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D0616" w14:textId="7DDA6F56" w:rsidR="00CC20BD" w:rsidRDefault="00CC20BD" w:rsidP="006E4C32">
      <w:pPr>
        <w:spacing w:line="276" w:lineRule="auto"/>
        <w:jc w:val="center"/>
        <w:rPr>
          <w:b/>
        </w:rPr>
      </w:pPr>
      <w:bookmarkStart w:id="0" w:name="_GoBack"/>
      <w:bookmarkEnd w:id="0"/>
    </w:p>
    <w:p w14:paraId="22A630BA" w14:textId="284838F1" w:rsidR="00CC20BD" w:rsidRDefault="008A7032" w:rsidP="006E4C32">
      <w:pPr>
        <w:spacing w:line="276" w:lineRule="auto"/>
        <w:jc w:val="center"/>
        <w:rPr>
          <w:b/>
        </w:rPr>
      </w:pPr>
      <w:r>
        <w:rPr>
          <w:b/>
          <w:noProof/>
        </w:rPr>
        <w:drawing>
          <wp:inline distT="0" distB="0" distL="0" distR="0" wp14:anchorId="541DDECF" wp14:editId="3FD863BF">
            <wp:extent cx="652145" cy="4940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2145" cy="494030"/>
                    </a:xfrm>
                    <a:prstGeom prst="rect">
                      <a:avLst/>
                    </a:prstGeom>
                    <a:noFill/>
                  </pic:spPr>
                </pic:pic>
              </a:graphicData>
            </a:graphic>
          </wp:inline>
        </w:drawing>
      </w:r>
    </w:p>
    <w:p w14:paraId="75BD4CEA" w14:textId="60A42F86" w:rsidR="008A7032" w:rsidRPr="008A7032" w:rsidRDefault="008A7032" w:rsidP="006E4C32">
      <w:pPr>
        <w:spacing w:line="276" w:lineRule="auto"/>
        <w:jc w:val="center"/>
        <w:rPr>
          <w:b/>
          <w:sz w:val="22"/>
          <w:szCs w:val="22"/>
        </w:rPr>
      </w:pPr>
      <w:r w:rsidRPr="008A7032">
        <w:rPr>
          <w:b/>
          <w:sz w:val="22"/>
          <w:szCs w:val="22"/>
        </w:rPr>
        <w:t>République d’Haïti</w:t>
      </w:r>
    </w:p>
    <w:p w14:paraId="15C01FCB" w14:textId="069068BF" w:rsidR="008A7032" w:rsidRPr="008A7032" w:rsidRDefault="008A7032" w:rsidP="006E4C32">
      <w:pPr>
        <w:spacing w:line="276" w:lineRule="auto"/>
        <w:jc w:val="center"/>
        <w:rPr>
          <w:b/>
          <w:sz w:val="22"/>
          <w:szCs w:val="22"/>
        </w:rPr>
      </w:pPr>
    </w:p>
    <w:p w14:paraId="6D0F0B20" w14:textId="77777777" w:rsidR="008A7032" w:rsidRPr="008A7032" w:rsidRDefault="008A7032" w:rsidP="006E4C32">
      <w:pPr>
        <w:spacing w:line="276" w:lineRule="auto"/>
        <w:jc w:val="center"/>
        <w:rPr>
          <w:b/>
          <w:sz w:val="22"/>
          <w:szCs w:val="22"/>
        </w:rPr>
      </w:pPr>
    </w:p>
    <w:p w14:paraId="2DBF3942" w14:textId="3DCE7C3B" w:rsidR="000C46DB" w:rsidRPr="008A7032" w:rsidRDefault="00CC20BD" w:rsidP="006E4C32">
      <w:pPr>
        <w:spacing w:line="276" w:lineRule="auto"/>
        <w:jc w:val="center"/>
        <w:rPr>
          <w:b/>
          <w:sz w:val="22"/>
          <w:szCs w:val="22"/>
        </w:rPr>
      </w:pPr>
      <w:r w:rsidRPr="008A7032">
        <w:rPr>
          <w:b/>
          <w:sz w:val="22"/>
          <w:szCs w:val="22"/>
        </w:rPr>
        <w:t>Ministère de</w:t>
      </w:r>
      <w:r w:rsidR="000C46DB" w:rsidRPr="008A7032">
        <w:rPr>
          <w:b/>
          <w:sz w:val="22"/>
          <w:szCs w:val="22"/>
        </w:rPr>
        <w:t xml:space="preserve"> l’Intérieur et des Collectivité</w:t>
      </w:r>
      <w:r w:rsidRPr="008A7032">
        <w:rPr>
          <w:b/>
          <w:sz w:val="22"/>
          <w:szCs w:val="22"/>
        </w:rPr>
        <w:t xml:space="preserve">s </w:t>
      </w:r>
      <w:r w:rsidR="000C46DB" w:rsidRPr="008A7032">
        <w:rPr>
          <w:b/>
          <w:sz w:val="22"/>
          <w:szCs w:val="22"/>
        </w:rPr>
        <w:t>Territoriale (MICT)</w:t>
      </w:r>
    </w:p>
    <w:p w14:paraId="3580BCD3" w14:textId="46ABF5AD" w:rsidR="000C46DB" w:rsidRPr="008A7032" w:rsidRDefault="000C46DB" w:rsidP="006E4C32">
      <w:pPr>
        <w:spacing w:line="276" w:lineRule="auto"/>
        <w:jc w:val="center"/>
        <w:rPr>
          <w:b/>
          <w:sz w:val="22"/>
          <w:szCs w:val="22"/>
        </w:rPr>
      </w:pPr>
      <w:r w:rsidRPr="008A7032">
        <w:rPr>
          <w:b/>
          <w:sz w:val="22"/>
          <w:szCs w:val="22"/>
        </w:rPr>
        <w:t xml:space="preserve">Direction des Collectivités Territoriales </w:t>
      </w:r>
      <w:r w:rsidR="008A7032" w:rsidRPr="008A7032">
        <w:rPr>
          <w:b/>
          <w:sz w:val="22"/>
          <w:szCs w:val="22"/>
        </w:rPr>
        <w:t xml:space="preserve">(DCT) </w:t>
      </w:r>
      <w:r w:rsidRPr="008A7032">
        <w:rPr>
          <w:b/>
          <w:sz w:val="22"/>
          <w:szCs w:val="22"/>
        </w:rPr>
        <w:t xml:space="preserve">et Unité de </w:t>
      </w:r>
      <w:r w:rsidR="008A7032" w:rsidRPr="008A7032">
        <w:rPr>
          <w:b/>
          <w:sz w:val="22"/>
          <w:szCs w:val="22"/>
        </w:rPr>
        <w:t>Coordination de Projet (UCP)</w:t>
      </w:r>
    </w:p>
    <w:p w14:paraId="7111EC8C" w14:textId="77777777" w:rsidR="008A7032" w:rsidRPr="008A7032" w:rsidRDefault="008A7032" w:rsidP="006E4C32">
      <w:pPr>
        <w:spacing w:line="276" w:lineRule="auto"/>
        <w:jc w:val="center"/>
        <w:rPr>
          <w:b/>
          <w:sz w:val="22"/>
          <w:szCs w:val="22"/>
        </w:rPr>
      </w:pPr>
    </w:p>
    <w:p w14:paraId="3844ADDB" w14:textId="74351DED" w:rsidR="000C46DB" w:rsidRPr="008A7032" w:rsidRDefault="000C46DB" w:rsidP="006E4C32">
      <w:pPr>
        <w:spacing w:line="276" w:lineRule="auto"/>
        <w:jc w:val="center"/>
        <w:rPr>
          <w:b/>
          <w:sz w:val="22"/>
          <w:szCs w:val="22"/>
        </w:rPr>
      </w:pPr>
      <w:r w:rsidRPr="008A7032">
        <w:rPr>
          <w:b/>
          <w:sz w:val="22"/>
          <w:szCs w:val="22"/>
        </w:rPr>
        <w:t>Ministère de l’Economie et des Finances</w:t>
      </w:r>
      <w:r w:rsidR="008A7032" w:rsidRPr="008A7032">
        <w:rPr>
          <w:b/>
          <w:sz w:val="22"/>
          <w:szCs w:val="22"/>
        </w:rPr>
        <w:t xml:space="preserve"> (MEF)</w:t>
      </w:r>
    </w:p>
    <w:p w14:paraId="6BC41035" w14:textId="1D049040" w:rsidR="0043165D" w:rsidRPr="008A7032" w:rsidRDefault="008A7032" w:rsidP="006E4C32">
      <w:pPr>
        <w:spacing w:line="276" w:lineRule="auto"/>
        <w:jc w:val="center"/>
        <w:rPr>
          <w:b/>
          <w:sz w:val="22"/>
          <w:szCs w:val="22"/>
        </w:rPr>
      </w:pPr>
      <w:r w:rsidRPr="008A7032">
        <w:rPr>
          <w:b/>
          <w:sz w:val="22"/>
          <w:szCs w:val="22"/>
        </w:rPr>
        <w:t>Unité Technique d’Exécution (UTE)</w:t>
      </w:r>
    </w:p>
    <w:p w14:paraId="5BAEA4AF" w14:textId="77777777" w:rsidR="0043165D" w:rsidRPr="008A7032" w:rsidRDefault="0043165D" w:rsidP="006E4C32">
      <w:pPr>
        <w:spacing w:line="276" w:lineRule="auto"/>
        <w:jc w:val="center"/>
        <w:rPr>
          <w:b/>
        </w:rPr>
      </w:pPr>
    </w:p>
    <w:p w14:paraId="55F0A8E9" w14:textId="77777777" w:rsidR="0043165D" w:rsidRPr="008A7032" w:rsidRDefault="0043165D" w:rsidP="006E4C32">
      <w:pPr>
        <w:spacing w:line="276" w:lineRule="auto"/>
        <w:jc w:val="center"/>
        <w:rPr>
          <w:b/>
        </w:rPr>
      </w:pPr>
    </w:p>
    <w:p w14:paraId="0C8CDC99" w14:textId="77777777" w:rsidR="0043165D" w:rsidRPr="008A7032" w:rsidRDefault="0043165D" w:rsidP="006E4C32">
      <w:pPr>
        <w:spacing w:line="276" w:lineRule="auto"/>
        <w:jc w:val="center"/>
        <w:rPr>
          <w:b/>
        </w:rPr>
      </w:pPr>
    </w:p>
    <w:p w14:paraId="12F786EB" w14:textId="77777777" w:rsidR="0043165D" w:rsidRPr="008A7032" w:rsidRDefault="0043165D" w:rsidP="006E4C32">
      <w:pPr>
        <w:spacing w:line="276" w:lineRule="auto"/>
        <w:jc w:val="center"/>
        <w:rPr>
          <w:b/>
        </w:rPr>
      </w:pPr>
    </w:p>
    <w:p w14:paraId="3CFF94BA" w14:textId="77777777" w:rsidR="0043165D" w:rsidRPr="008A7032" w:rsidRDefault="0043165D" w:rsidP="006E4C32">
      <w:pPr>
        <w:spacing w:line="276" w:lineRule="auto"/>
        <w:jc w:val="center"/>
        <w:rPr>
          <w:b/>
        </w:rPr>
      </w:pPr>
    </w:p>
    <w:p w14:paraId="33F9759E" w14:textId="77777777" w:rsidR="0043165D" w:rsidRPr="008A7032" w:rsidRDefault="0043165D" w:rsidP="006E4C32">
      <w:pPr>
        <w:spacing w:line="276" w:lineRule="auto"/>
        <w:jc w:val="center"/>
        <w:rPr>
          <w:b/>
        </w:rPr>
      </w:pPr>
    </w:p>
    <w:p w14:paraId="7418C034" w14:textId="2A28AE41" w:rsidR="00C67B0F" w:rsidRPr="008A7032" w:rsidRDefault="00C67B0F" w:rsidP="006E4C32">
      <w:pPr>
        <w:spacing w:line="276" w:lineRule="auto"/>
        <w:jc w:val="center"/>
        <w:rPr>
          <w:b/>
        </w:rPr>
      </w:pPr>
      <w:r w:rsidRPr="008A7032">
        <w:rPr>
          <w:b/>
        </w:rPr>
        <w:t xml:space="preserve">Projet </w:t>
      </w:r>
      <w:r w:rsidR="008A7032" w:rsidRPr="008A7032">
        <w:rPr>
          <w:b/>
        </w:rPr>
        <w:t>de Gestion des Résidus Solides dans le Nord d’Haïti</w:t>
      </w:r>
    </w:p>
    <w:p w14:paraId="280A84B0" w14:textId="6E22F870" w:rsidR="00017230" w:rsidRPr="008A7032" w:rsidRDefault="008A7032" w:rsidP="006E4C32">
      <w:pPr>
        <w:spacing w:line="276" w:lineRule="auto"/>
        <w:jc w:val="center"/>
        <w:rPr>
          <w:b/>
        </w:rPr>
      </w:pPr>
      <w:r w:rsidRPr="008A7032">
        <w:rPr>
          <w:b/>
        </w:rPr>
        <w:t>HA-L1106</w:t>
      </w:r>
    </w:p>
    <w:p w14:paraId="4EA1D25A" w14:textId="77777777" w:rsidR="008A7032" w:rsidRPr="008A7032" w:rsidRDefault="008A7032" w:rsidP="006E4C32">
      <w:pPr>
        <w:spacing w:line="276" w:lineRule="auto"/>
        <w:jc w:val="center"/>
        <w:rPr>
          <w:b/>
        </w:rPr>
      </w:pPr>
    </w:p>
    <w:p w14:paraId="163FFD77" w14:textId="73BA90CC" w:rsidR="008A7032" w:rsidRPr="008A7032" w:rsidRDefault="008A7032" w:rsidP="008A7032">
      <w:pPr>
        <w:spacing w:line="276" w:lineRule="auto"/>
        <w:jc w:val="center"/>
        <w:rPr>
          <w:b/>
          <w:sz w:val="22"/>
          <w:szCs w:val="22"/>
        </w:rPr>
      </w:pPr>
      <w:r w:rsidRPr="008A7032">
        <w:rPr>
          <w:b/>
          <w:sz w:val="22"/>
          <w:szCs w:val="22"/>
        </w:rPr>
        <w:t>Financement non remboursable de la Banque Interaméricaine de Développement</w:t>
      </w:r>
      <w:r>
        <w:rPr>
          <w:b/>
          <w:sz w:val="22"/>
          <w:szCs w:val="22"/>
        </w:rPr>
        <w:t xml:space="preserve"> (BID)</w:t>
      </w:r>
    </w:p>
    <w:p w14:paraId="36912190" w14:textId="1099AF6C" w:rsidR="00F72645" w:rsidRDefault="00F72645" w:rsidP="006E4C32">
      <w:pPr>
        <w:spacing w:line="276" w:lineRule="auto"/>
        <w:jc w:val="center"/>
        <w:rPr>
          <w:b/>
          <w:sz w:val="36"/>
          <w:szCs w:val="36"/>
        </w:rPr>
      </w:pPr>
    </w:p>
    <w:p w14:paraId="72EB8584" w14:textId="506E1D80" w:rsidR="00A71BBA" w:rsidRDefault="00A71BBA" w:rsidP="006E4C32">
      <w:pPr>
        <w:spacing w:line="276" w:lineRule="auto"/>
        <w:jc w:val="center"/>
        <w:rPr>
          <w:b/>
          <w:sz w:val="36"/>
          <w:szCs w:val="36"/>
        </w:rPr>
      </w:pPr>
    </w:p>
    <w:p w14:paraId="6A6FB789" w14:textId="2EED8AAE" w:rsidR="00CC20BD" w:rsidRPr="00CC20BD" w:rsidRDefault="00CC20BD" w:rsidP="00CC20BD">
      <w:pPr>
        <w:spacing w:line="276" w:lineRule="auto"/>
        <w:jc w:val="center"/>
        <w:rPr>
          <w:b/>
          <w:sz w:val="32"/>
          <w:szCs w:val="32"/>
        </w:rPr>
      </w:pPr>
      <w:r w:rsidRPr="00CC20BD">
        <w:rPr>
          <w:b/>
          <w:sz w:val="32"/>
          <w:szCs w:val="32"/>
        </w:rPr>
        <w:t>Manuel d’Opérations</w:t>
      </w:r>
    </w:p>
    <w:p w14:paraId="3040FCF1" w14:textId="4DA7B2CF" w:rsidR="00F72645" w:rsidRDefault="00F72645" w:rsidP="006E4C32">
      <w:pPr>
        <w:spacing w:line="276" w:lineRule="auto"/>
        <w:jc w:val="center"/>
        <w:rPr>
          <w:sz w:val="36"/>
          <w:szCs w:val="36"/>
        </w:rPr>
      </w:pPr>
    </w:p>
    <w:p w14:paraId="35838F09" w14:textId="13130BF6" w:rsidR="00A71BBA" w:rsidRDefault="00A71BBA" w:rsidP="006E4C32">
      <w:pPr>
        <w:spacing w:line="276" w:lineRule="auto"/>
        <w:jc w:val="center"/>
        <w:rPr>
          <w:sz w:val="36"/>
          <w:szCs w:val="36"/>
        </w:rPr>
      </w:pPr>
    </w:p>
    <w:p w14:paraId="5CBE9EFA" w14:textId="77777777" w:rsidR="00A71BBA" w:rsidRPr="00ED6EFB" w:rsidRDefault="00A71BBA" w:rsidP="006E4C32">
      <w:pPr>
        <w:spacing w:line="276" w:lineRule="auto"/>
        <w:jc w:val="center"/>
        <w:rPr>
          <w:sz w:val="36"/>
          <w:szCs w:val="36"/>
        </w:rPr>
      </w:pPr>
    </w:p>
    <w:p w14:paraId="48348796" w14:textId="77777777" w:rsidR="00F72645" w:rsidRPr="00ED6EFB" w:rsidRDefault="00F72645" w:rsidP="006E4C32">
      <w:pPr>
        <w:spacing w:line="276" w:lineRule="auto"/>
        <w:jc w:val="center"/>
      </w:pPr>
    </w:p>
    <w:p w14:paraId="22425DC3" w14:textId="77777777" w:rsidR="00F72645" w:rsidRPr="00ED6EFB" w:rsidRDefault="00F72645" w:rsidP="006E4C32">
      <w:pPr>
        <w:spacing w:line="276" w:lineRule="auto"/>
        <w:jc w:val="center"/>
      </w:pPr>
    </w:p>
    <w:p w14:paraId="6713B444" w14:textId="77777777" w:rsidR="00F72645" w:rsidRPr="00ED6EFB" w:rsidRDefault="00F72645" w:rsidP="006E4C32">
      <w:pPr>
        <w:spacing w:line="276" w:lineRule="auto"/>
        <w:jc w:val="center"/>
      </w:pPr>
    </w:p>
    <w:p w14:paraId="79F777E8" w14:textId="77777777" w:rsidR="00F72645" w:rsidRPr="00ED6EFB" w:rsidRDefault="00F72645" w:rsidP="006E4C32">
      <w:pPr>
        <w:spacing w:line="276" w:lineRule="auto"/>
        <w:jc w:val="center"/>
      </w:pPr>
    </w:p>
    <w:p w14:paraId="25BFEC01" w14:textId="77777777" w:rsidR="00F72645" w:rsidRPr="00ED6EFB" w:rsidRDefault="00F72645" w:rsidP="006E4C32">
      <w:pPr>
        <w:spacing w:line="276" w:lineRule="auto"/>
        <w:jc w:val="center"/>
      </w:pPr>
    </w:p>
    <w:p w14:paraId="0E331AA4" w14:textId="77777777" w:rsidR="00F72645" w:rsidRPr="00ED6EFB" w:rsidRDefault="00F72645" w:rsidP="006E4C32">
      <w:pPr>
        <w:spacing w:line="276" w:lineRule="auto"/>
        <w:jc w:val="center"/>
      </w:pPr>
    </w:p>
    <w:p w14:paraId="5991C232" w14:textId="77777777" w:rsidR="00F72645" w:rsidRPr="00ED6EFB" w:rsidRDefault="00F72645" w:rsidP="006E4C32">
      <w:pPr>
        <w:spacing w:line="276" w:lineRule="auto"/>
        <w:jc w:val="center"/>
      </w:pPr>
    </w:p>
    <w:p w14:paraId="47D3CFFB" w14:textId="77777777" w:rsidR="00F72645" w:rsidRPr="00ED6EFB" w:rsidRDefault="00F72645" w:rsidP="006E4C32">
      <w:pPr>
        <w:spacing w:line="276" w:lineRule="auto"/>
        <w:jc w:val="center"/>
      </w:pPr>
    </w:p>
    <w:p w14:paraId="5C2F6B5B" w14:textId="77777777" w:rsidR="00CC20BD" w:rsidRDefault="00CC20BD" w:rsidP="006E4C32">
      <w:pPr>
        <w:spacing w:line="276" w:lineRule="auto"/>
        <w:jc w:val="center"/>
        <w:rPr>
          <w:b/>
        </w:rPr>
      </w:pPr>
      <w:r>
        <w:rPr>
          <w:b/>
        </w:rPr>
        <w:t>Avril 2018</w:t>
      </w:r>
    </w:p>
    <w:p w14:paraId="236A718E" w14:textId="2236687D" w:rsidR="00CC20BD" w:rsidRDefault="00CC20BD">
      <w:pPr>
        <w:rPr>
          <w:rFonts w:eastAsia="Arial" w:cs="Arial"/>
          <w:b/>
        </w:rPr>
      </w:pPr>
      <w:r>
        <w:rPr>
          <w:rFonts w:eastAsia="Arial" w:cs="Arial"/>
          <w:b/>
        </w:rPr>
        <w:br w:type="page"/>
      </w:r>
    </w:p>
    <w:p w14:paraId="1C534281" w14:textId="77777777" w:rsidR="008F329F" w:rsidRPr="006E4C32" w:rsidRDefault="008F329F" w:rsidP="006E4C32">
      <w:pPr>
        <w:tabs>
          <w:tab w:val="left" w:pos="440"/>
        </w:tabs>
        <w:spacing w:line="276" w:lineRule="auto"/>
        <w:rPr>
          <w:rFonts w:eastAsia="Arial" w:cs="Arial"/>
          <w:b/>
        </w:rPr>
      </w:pPr>
    </w:p>
    <w:p w14:paraId="45930D75" w14:textId="77777777" w:rsidR="008C2FAA" w:rsidRPr="006E4C32" w:rsidRDefault="00D823E2" w:rsidP="006E4C32">
      <w:pPr>
        <w:tabs>
          <w:tab w:val="left" w:pos="440"/>
        </w:tabs>
        <w:spacing w:line="276" w:lineRule="auto"/>
        <w:rPr>
          <w:rFonts w:eastAsia="Arial" w:cs="Arial"/>
          <w:b/>
        </w:rPr>
      </w:pPr>
      <w:r w:rsidRPr="006E4C32">
        <w:rPr>
          <w:rFonts w:eastAsia="Arial" w:cs="Arial"/>
          <w:b/>
        </w:rPr>
        <w:t>ABRÉ</w:t>
      </w:r>
      <w:r w:rsidR="008C2FAA" w:rsidRPr="006E4C32">
        <w:rPr>
          <w:rFonts w:eastAsia="Arial" w:cs="Arial"/>
          <w:b/>
        </w:rPr>
        <w:t>VIATIONS</w:t>
      </w:r>
    </w:p>
    <w:p w14:paraId="730583C3" w14:textId="77777777" w:rsidR="003C51DD" w:rsidRPr="003C51DD" w:rsidRDefault="003C51DD" w:rsidP="006A1C58">
      <w:pPr>
        <w:tabs>
          <w:tab w:val="left" w:pos="1240"/>
        </w:tabs>
        <w:spacing w:before="160" w:after="160"/>
        <w:jc w:val="both"/>
        <w:rPr>
          <w:rFonts w:eastAsia="Arial" w:cs="Arial"/>
        </w:rPr>
      </w:pPr>
      <w:r w:rsidRPr="003C51DD">
        <w:rPr>
          <w:rFonts w:eastAsia="Arial" w:cs="Arial"/>
        </w:rPr>
        <w:t>AO</w:t>
      </w:r>
      <w:r w:rsidRPr="003C51DD">
        <w:rPr>
          <w:rFonts w:eastAsia="Arial" w:cs="Arial"/>
        </w:rPr>
        <w:tab/>
        <w:t>Appel d’offre</w:t>
      </w:r>
    </w:p>
    <w:p w14:paraId="359CD6C9" w14:textId="77777777" w:rsidR="003C51DD" w:rsidRPr="003C51DD" w:rsidRDefault="003C51DD" w:rsidP="006A1C58">
      <w:pPr>
        <w:tabs>
          <w:tab w:val="left" w:pos="1240"/>
        </w:tabs>
        <w:spacing w:before="160" w:after="160"/>
        <w:jc w:val="both"/>
        <w:rPr>
          <w:rFonts w:eastAsia="Arial" w:cs="Arial"/>
        </w:rPr>
      </w:pPr>
      <w:r w:rsidRPr="003C51DD">
        <w:rPr>
          <w:rFonts w:eastAsia="Arial" w:cs="Arial"/>
        </w:rPr>
        <w:t>ASEC</w:t>
      </w:r>
      <w:r w:rsidRPr="003C51DD">
        <w:rPr>
          <w:rFonts w:eastAsia="Times New Roman" w:cs="Arial"/>
        </w:rPr>
        <w:tab/>
      </w:r>
      <w:r w:rsidRPr="003C51DD">
        <w:rPr>
          <w:rFonts w:eastAsia="Arial" w:cs="Arial"/>
        </w:rPr>
        <w:t>Assemblée de la Section Communale</w:t>
      </w:r>
    </w:p>
    <w:p w14:paraId="67851E8A" w14:textId="77777777" w:rsidR="003C51DD" w:rsidRPr="003C51DD" w:rsidRDefault="003C51DD" w:rsidP="006A1C58">
      <w:pPr>
        <w:tabs>
          <w:tab w:val="left" w:pos="1240"/>
        </w:tabs>
        <w:spacing w:before="160" w:after="160"/>
        <w:jc w:val="both"/>
        <w:rPr>
          <w:rFonts w:eastAsia="Arial" w:cs="Arial"/>
        </w:rPr>
      </w:pPr>
      <w:r w:rsidRPr="003C51DD">
        <w:rPr>
          <w:rFonts w:eastAsia="Arial" w:cs="Arial"/>
        </w:rPr>
        <w:t>CASEC</w:t>
      </w:r>
      <w:r w:rsidRPr="003C51DD">
        <w:rPr>
          <w:rFonts w:eastAsia="Times New Roman" w:cs="Arial"/>
        </w:rPr>
        <w:tab/>
      </w:r>
      <w:r w:rsidRPr="003C51DD">
        <w:rPr>
          <w:rFonts w:eastAsia="Arial" w:cs="Arial"/>
        </w:rPr>
        <w:t>Conseil d'Administration de la Section Communale</w:t>
      </w:r>
    </w:p>
    <w:p w14:paraId="0445B436" w14:textId="77777777" w:rsidR="00CC20BD" w:rsidRPr="003C51DD" w:rsidRDefault="00CC20BD" w:rsidP="006A1C58">
      <w:pPr>
        <w:tabs>
          <w:tab w:val="left" w:pos="1240"/>
        </w:tabs>
        <w:spacing w:before="160" w:after="160"/>
        <w:jc w:val="both"/>
        <w:rPr>
          <w:rFonts w:eastAsia="Arial" w:cs="Arial"/>
        </w:rPr>
      </w:pPr>
      <w:r w:rsidRPr="003C51DD">
        <w:rPr>
          <w:rFonts w:eastAsia="Arial" w:cs="Arial"/>
        </w:rPr>
        <w:t>BM</w:t>
      </w:r>
      <w:r w:rsidRPr="003C51DD">
        <w:rPr>
          <w:rFonts w:eastAsia="Times New Roman" w:cs="Arial"/>
        </w:rPr>
        <w:tab/>
      </w:r>
      <w:r w:rsidRPr="003C51DD">
        <w:rPr>
          <w:rFonts w:eastAsia="Arial" w:cs="Arial"/>
        </w:rPr>
        <w:t>Banque Mondiale</w:t>
      </w:r>
    </w:p>
    <w:p w14:paraId="63C69C17" w14:textId="77777777" w:rsidR="003C51DD" w:rsidRPr="003C51DD" w:rsidRDefault="003C51DD" w:rsidP="006A1C58">
      <w:pPr>
        <w:tabs>
          <w:tab w:val="left" w:pos="1240"/>
        </w:tabs>
        <w:spacing w:before="160" w:after="160"/>
        <w:jc w:val="both"/>
        <w:rPr>
          <w:rFonts w:eastAsia="Arial" w:cs="Arial"/>
        </w:rPr>
      </w:pPr>
      <w:r w:rsidRPr="003C51DD">
        <w:rPr>
          <w:rFonts w:eastAsia="Arial" w:cs="Arial"/>
        </w:rPr>
        <w:t>BRH</w:t>
      </w:r>
      <w:r w:rsidRPr="003C51DD">
        <w:rPr>
          <w:rFonts w:eastAsia="Times New Roman" w:cs="Arial"/>
        </w:rPr>
        <w:tab/>
      </w:r>
      <w:r w:rsidRPr="003C51DD">
        <w:rPr>
          <w:rFonts w:eastAsia="Arial" w:cs="Arial"/>
        </w:rPr>
        <w:t>Banque de la République d</w:t>
      </w:r>
      <w:r w:rsidRPr="003C51DD">
        <w:rPr>
          <w:rFonts w:eastAsia="Arial" w:cs="Times New Roman"/>
        </w:rPr>
        <w:t>’</w:t>
      </w:r>
      <w:r w:rsidRPr="003C51DD">
        <w:rPr>
          <w:rFonts w:eastAsia="Arial" w:cs="Arial"/>
        </w:rPr>
        <w:t>Haïti</w:t>
      </w:r>
    </w:p>
    <w:p w14:paraId="37403514" w14:textId="1E79EA0B" w:rsidR="008A7032" w:rsidRPr="008A7032" w:rsidRDefault="008A7032" w:rsidP="006A1C58">
      <w:pPr>
        <w:tabs>
          <w:tab w:val="left" w:pos="1240"/>
        </w:tabs>
        <w:spacing w:before="160" w:after="160"/>
        <w:jc w:val="both"/>
        <w:rPr>
          <w:rFonts w:eastAsia="Arial" w:cs="Arial"/>
        </w:rPr>
      </w:pPr>
      <w:r w:rsidRPr="008A7032">
        <w:rPr>
          <w:rFonts w:eastAsia="Arial" w:cs="Arial"/>
        </w:rPr>
        <w:t>DCT</w:t>
      </w:r>
      <w:r w:rsidRPr="008A7032">
        <w:rPr>
          <w:rFonts w:eastAsia="Arial" w:cs="Arial"/>
        </w:rPr>
        <w:tab/>
        <w:t>Direction des Collectivités T</w:t>
      </w:r>
      <w:r>
        <w:rPr>
          <w:rFonts w:eastAsia="Arial" w:cs="Arial"/>
        </w:rPr>
        <w:t>erritoriales (MICT)</w:t>
      </w:r>
    </w:p>
    <w:p w14:paraId="389AD9DF" w14:textId="52C05315" w:rsidR="003C51DD" w:rsidRPr="003C51DD" w:rsidRDefault="003C51DD" w:rsidP="006A1C58">
      <w:pPr>
        <w:tabs>
          <w:tab w:val="left" w:pos="1240"/>
        </w:tabs>
        <w:spacing w:before="160" w:after="160"/>
        <w:jc w:val="both"/>
        <w:rPr>
          <w:rFonts w:eastAsia="Arial" w:cs="Arial"/>
          <w:lang w:val="en-US"/>
        </w:rPr>
      </w:pPr>
      <w:r w:rsidRPr="006A1C58">
        <w:rPr>
          <w:rFonts w:eastAsia="Arial" w:cs="Arial"/>
          <w:lang w:val="en-US"/>
        </w:rPr>
        <w:t>DRA</w:t>
      </w:r>
      <w:r w:rsidRPr="006A1C58">
        <w:rPr>
          <w:rFonts w:eastAsia="Arial" w:cs="Arial"/>
          <w:lang w:val="en-US"/>
        </w:rPr>
        <w:tab/>
        <w:t>Disaster and Risk M</w:t>
      </w:r>
      <w:r w:rsidRPr="003C51DD">
        <w:rPr>
          <w:rFonts w:eastAsia="Arial" w:cs="Arial"/>
          <w:lang w:val="en-US"/>
        </w:rPr>
        <w:t xml:space="preserve">anagement </w:t>
      </w:r>
    </w:p>
    <w:p w14:paraId="27A50253" w14:textId="77777777" w:rsidR="003C51DD" w:rsidRPr="006A1C58" w:rsidRDefault="003C51DD" w:rsidP="006A1C58">
      <w:pPr>
        <w:tabs>
          <w:tab w:val="left" w:pos="1240"/>
        </w:tabs>
        <w:spacing w:before="160" w:after="160"/>
        <w:jc w:val="both"/>
        <w:rPr>
          <w:rFonts w:eastAsia="Arial" w:cs="Arial"/>
          <w:lang w:val="en-US"/>
        </w:rPr>
      </w:pPr>
      <w:r w:rsidRPr="003C51DD">
        <w:rPr>
          <w:rFonts w:eastAsia="Arial" w:cs="Arial"/>
          <w:lang w:val="en-US"/>
        </w:rPr>
        <w:t>D</w:t>
      </w:r>
      <w:r w:rsidRPr="006A1C58">
        <w:rPr>
          <w:rFonts w:eastAsia="Arial" w:cs="Arial"/>
          <w:lang w:val="en-US"/>
        </w:rPr>
        <w:t>RAP</w:t>
      </w:r>
      <w:r w:rsidRPr="006A1C58">
        <w:rPr>
          <w:rFonts w:eastAsia="Arial" w:cs="Arial"/>
          <w:lang w:val="en-US"/>
        </w:rPr>
        <w:tab/>
        <w:t xml:space="preserve">Disaster and Risk </w:t>
      </w:r>
      <w:r w:rsidRPr="003C51DD">
        <w:rPr>
          <w:rFonts w:eastAsia="Arial" w:cs="Arial"/>
          <w:lang w:val="en-US"/>
        </w:rPr>
        <w:t>Management Plan</w:t>
      </w:r>
    </w:p>
    <w:p w14:paraId="23D3E95F" w14:textId="77777777" w:rsidR="003C51DD" w:rsidRPr="003C51DD" w:rsidRDefault="003C51DD" w:rsidP="006A1C58">
      <w:pPr>
        <w:tabs>
          <w:tab w:val="left" w:pos="1240"/>
        </w:tabs>
        <w:spacing w:before="160" w:after="160"/>
        <w:jc w:val="both"/>
        <w:rPr>
          <w:rFonts w:eastAsia="Arial" w:cs="Arial"/>
        </w:rPr>
      </w:pPr>
      <w:r w:rsidRPr="003C51DD">
        <w:rPr>
          <w:rFonts w:eastAsia="Arial" w:cs="Arial"/>
        </w:rPr>
        <w:t>EA</w:t>
      </w:r>
      <w:r w:rsidRPr="003C51DD">
        <w:rPr>
          <w:rFonts w:eastAsia="Times New Roman" w:cs="Arial"/>
        </w:rPr>
        <w:tab/>
      </w:r>
      <w:r w:rsidRPr="003C51DD">
        <w:rPr>
          <w:rFonts w:eastAsia="Arial" w:cs="Arial"/>
        </w:rPr>
        <w:t>Environmental Analysis (Analyse Environnementale - AE)</w:t>
      </w:r>
    </w:p>
    <w:p w14:paraId="13ACAD32" w14:textId="77777777" w:rsidR="003C51DD" w:rsidRPr="003C51DD" w:rsidRDefault="003C51DD" w:rsidP="006A1C58">
      <w:pPr>
        <w:tabs>
          <w:tab w:val="left" w:pos="1240"/>
        </w:tabs>
        <w:spacing w:before="160" w:after="160"/>
        <w:jc w:val="both"/>
        <w:rPr>
          <w:rFonts w:eastAsia="Arial" w:cs="Arial"/>
        </w:rPr>
      </w:pPr>
      <w:r w:rsidRPr="003C51DD">
        <w:rPr>
          <w:rFonts w:eastAsia="Arial" w:cs="Arial"/>
        </w:rPr>
        <w:t>AES</w:t>
      </w:r>
      <w:r w:rsidRPr="003C51DD">
        <w:rPr>
          <w:rFonts w:eastAsia="Times New Roman" w:cs="Arial"/>
        </w:rPr>
        <w:tab/>
      </w:r>
      <w:r w:rsidRPr="003C51DD">
        <w:rPr>
          <w:rFonts w:eastAsia="Arial" w:cs="Arial"/>
        </w:rPr>
        <w:t xml:space="preserve">Analyse Environnementale et Sociale </w:t>
      </w:r>
    </w:p>
    <w:p w14:paraId="627D0432" w14:textId="77777777" w:rsidR="003C51DD" w:rsidRPr="003C51DD" w:rsidRDefault="003C51DD" w:rsidP="006A1C58">
      <w:pPr>
        <w:tabs>
          <w:tab w:val="left" w:pos="1240"/>
        </w:tabs>
        <w:spacing w:before="160" w:after="160"/>
        <w:jc w:val="both"/>
        <w:rPr>
          <w:rFonts w:eastAsia="Arial" w:cs="Arial"/>
        </w:rPr>
      </w:pPr>
      <w:r w:rsidRPr="003C51DD">
        <w:rPr>
          <w:rFonts w:eastAsia="Arial" w:cs="Arial"/>
        </w:rPr>
        <w:t>ES</w:t>
      </w:r>
      <w:r w:rsidRPr="003C51DD">
        <w:rPr>
          <w:rFonts w:eastAsia="Arial" w:cs="Arial"/>
        </w:rPr>
        <w:tab/>
        <w:t>Environnemental et Social</w:t>
      </w:r>
    </w:p>
    <w:p w14:paraId="7116D25F" w14:textId="77777777" w:rsidR="003C51DD" w:rsidRPr="003C51DD" w:rsidRDefault="003C51DD" w:rsidP="006A1C58">
      <w:pPr>
        <w:tabs>
          <w:tab w:val="left" w:pos="1240"/>
        </w:tabs>
        <w:spacing w:before="160" w:after="160"/>
        <w:jc w:val="both"/>
        <w:rPr>
          <w:rFonts w:eastAsia="Arial" w:cs="Arial"/>
        </w:rPr>
      </w:pPr>
      <w:r w:rsidRPr="003C51DD">
        <w:rPr>
          <w:rFonts w:eastAsia="Arial" w:cs="Arial"/>
        </w:rPr>
        <w:t>ESCR</w:t>
      </w:r>
      <w:r w:rsidRPr="003C51DD">
        <w:rPr>
          <w:rFonts w:eastAsia="Arial" w:cs="Arial"/>
        </w:rPr>
        <w:tab/>
        <w:t>Rapport de conformité en mati</w:t>
      </w:r>
      <w:r w:rsidRPr="006A1C58">
        <w:rPr>
          <w:rFonts w:eastAsia="Arial" w:cs="Arial"/>
        </w:rPr>
        <w:t>è</w:t>
      </w:r>
      <w:r w:rsidRPr="003C51DD">
        <w:rPr>
          <w:rFonts w:eastAsia="Arial" w:cs="Arial"/>
        </w:rPr>
        <w:t>re d’ESSS</w:t>
      </w:r>
    </w:p>
    <w:p w14:paraId="1391690C" w14:textId="77777777" w:rsidR="003C51DD" w:rsidRPr="003C51DD" w:rsidRDefault="003C51DD" w:rsidP="006A1C58">
      <w:pPr>
        <w:tabs>
          <w:tab w:val="left" w:pos="1240"/>
        </w:tabs>
        <w:spacing w:before="160" w:after="160"/>
        <w:ind w:left="1240" w:hanging="1240"/>
        <w:jc w:val="both"/>
        <w:rPr>
          <w:rFonts w:eastAsia="Arial" w:cs="Arial"/>
        </w:rPr>
      </w:pPr>
      <w:r w:rsidRPr="003C51DD">
        <w:rPr>
          <w:rFonts w:eastAsia="Arial" w:cs="Arial"/>
        </w:rPr>
        <w:t xml:space="preserve">ESSS </w:t>
      </w:r>
      <w:r w:rsidRPr="003C51DD">
        <w:rPr>
          <w:rFonts w:eastAsia="Arial" w:cs="Arial"/>
        </w:rPr>
        <w:tab/>
        <w:t>Environnemental</w:t>
      </w:r>
      <w:r w:rsidRPr="006A1C58">
        <w:rPr>
          <w:rFonts w:eastAsia="Arial" w:cs="Arial"/>
        </w:rPr>
        <w:t>, Social, Santé et Sécurité</w:t>
      </w:r>
    </w:p>
    <w:p w14:paraId="4C779F71" w14:textId="77777777" w:rsidR="003C51DD" w:rsidRPr="003C51DD" w:rsidRDefault="003C51DD" w:rsidP="006A1C58">
      <w:pPr>
        <w:tabs>
          <w:tab w:val="left" w:pos="1240"/>
        </w:tabs>
        <w:spacing w:before="160" w:after="160"/>
        <w:ind w:left="1240" w:hanging="1240"/>
        <w:jc w:val="both"/>
        <w:rPr>
          <w:rFonts w:eastAsia="Arial" w:cs="Arial"/>
        </w:rPr>
      </w:pPr>
      <w:r w:rsidRPr="003C51DD">
        <w:rPr>
          <w:rFonts w:eastAsia="Arial" w:cs="Arial"/>
        </w:rPr>
        <w:t>ESMR</w:t>
      </w:r>
      <w:r w:rsidRPr="003C51DD">
        <w:rPr>
          <w:rFonts w:eastAsia="Arial" w:cs="Arial"/>
        </w:rPr>
        <w:tab/>
        <w:t>Environnemental and social m</w:t>
      </w:r>
      <w:r w:rsidRPr="006A1C58">
        <w:rPr>
          <w:rFonts w:eastAsia="Arial" w:cs="Arial"/>
        </w:rPr>
        <w:t>anagement report (</w:t>
      </w:r>
      <w:r w:rsidRPr="003C51DD">
        <w:rPr>
          <w:rFonts w:eastAsia="Arial" w:cs="Arial"/>
        </w:rPr>
        <w:t>Rapport de Gestion Environnementale et Social)</w:t>
      </w:r>
    </w:p>
    <w:p w14:paraId="242C80BA" w14:textId="77777777" w:rsidR="003C51DD" w:rsidRPr="003C51DD" w:rsidRDefault="003C51DD" w:rsidP="006A1C58">
      <w:pPr>
        <w:tabs>
          <w:tab w:val="left" w:pos="1240"/>
        </w:tabs>
        <w:spacing w:before="160" w:after="160"/>
        <w:ind w:left="1240" w:hanging="1240"/>
        <w:jc w:val="both"/>
        <w:rPr>
          <w:rFonts w:eastAsia="Arial" w:cs="Arial"/>
        </w:rPr>
      </w:pPr>
      <w:r w:rsidRPr="003C51DD">
        <w:rPr>
          <w:rFonts w:eastAsia="Arial" w:cs="Arial"/>
        </w:rPr>
        <w:t>ESA</w:t>
      </w:r>
      <w:r w:rsidRPr="003C51DD">
        <w:rPr>
          <w:rFonts w:eastAsia="Arial" w:cs="Arial"/>
        </w:rPr>
        <w:tab/>
        <w:t>Environmental and Social Assessm</w:t>
      </w:r>
      <w:r w:rsidRPr="006A1C58">
        <w:rPr>
          <w:rFonts w:eastAsia="Arial" w:cs="Arial"/>
        </w:rPr>
        <w:t>ent</w:t>
      </w:r>
    </w:p>
    <w:p w14:paraId="5A532EC5" w14:textId="77777777" w:rsidR="003C51DD" w:rsidRPr="003C51DD" w:rsidRDefault="003C51DD" w:rsidP="006A1C58">
      <w:pPr>
        <w:tabs>
          <w:tab w:val="left" w:pos="1240"/>
        </w:tabs>
        <w:spacing w:before="160" w:after="160"/>
        <w:ind w:left="1240" w:hanging="1240"/>
        <w:jc w:val="both"/>
        <w:rPr>
          <w:rFonts w:eastAsia="Arial" w:cs="Arial"/>
        </w:rPr>
      </w:pPr>
      <w:r w:rsidRPr="003C51DD">
        <w:rPr>
          <w:rFonts w:eastAsia="Arial" w:cs="Arial"/>
        </w:rPr>
        <w:t>ERC</w:t>
      </w:r>
      <w:r w:rsidRPr="003C51DD">
        <w:rPr>
          <w:rFonts w:eastAsia="Arial" w:cs="Arial"/>
        </w:rPr>
        <w:tab/>
        <w:t>Évaluation des Risques et Catastrophes</w:t>
      </w:r>
    </w:p>
    <w:p w14:paraId="4436152E" w14:textId="77777777" w:rsidR="003C51DD" w:rsidRPr="003C51DD" w:rsidRDefault="003C51DD" w:rsidP="006A1C58">
      <w:pPr>
        <w:tabs>
          <w:tab w:val="left" w:pos="1240"/>
        </w:tabs>
        <w:spacing w:before="160" w:after="160"/>
        <w:jc w:val="both"/>
        <w:rPr>
          <w:rFonts w:eastAsia="Arial" w:cs="Arial"/>
        </w:rPr>
      </w:pPr>
      <w:r w:rsidRPr="003C51DD">
        <w:rPr>
          <w:rFonts w:eastAsia="Arial" w:cs="Arial"/>
        </w:rPr>
        <w:t>ESS</w:t>
      </w:r>
      <w:r w:rsidRPr="003C51DD">
        <w:rPr>
          <w:rFonts w:eastAsia="Times New Roman" w:cs="Arial"/>
        </w:rPr>
        <w:tab/>
      </w:r>
      <w:r w:rsidRPr="003C51DD">
        <w:rPr>
          <w:rFonts w:eastAsia="Arial" w:cs="Arial"/>
        </w:rPr>
        <w:t>Environmental and Social Strategy (Stratégie Environnementale et Sociale)</w:t>
      </w:r>
    </w:p>
    <w:p w14:paraId="07DDE5DD" w14:textId="77777777" w:rsidR="003C51DD" w:rsidRPr="003C51DD" w:rsidRDefault="003C51DD" w:rsidP="006A1C58">
      <w:pPr>
        <w:tabs>
          <w:tab w:val="left" w:pos="1240"/>
        </w:tabs>
        <w:spacing w:before="160" w:after="160"/>
        <w:jc w:val="both"/>
        <w:rPr>
          <w:rFonts w:eastAsia="Arial" w:cs="Arial"/>
        </w:rPr>
      </w:pPr>
      <w:r w:rsidRPr="003C51DD">
        <w:rPr>
          <w:rFonts w:eastAsia="Arial" w:cs="Arial"/>
        </w:rPr>
        <w:t>GdH</w:t>
      </w:r>
      <w:r w:rsidRPr="003C51DD">
        <w:rPr>
          <w:rFonts w:eastAsia="Times New Roman" w:cs="Arial"/>
        </w:rPr>
        <w:tab/>
      </w:r>
      <w:r w:rsidRPr="003C51DD">
        <w:rPr>
          <w:rFonts w:eastAsia="Arial" w:cs="Arial"/>
        </w:rPr>
        <w:t>Gouvernement d</w:t>
      </w:r>
      <w:r w:rsidRPr="003C51DD">
        <w:rPr>
          <w:rFonts w:eastAsia="Arial" w:cs="Times New Roman"/>
        </w:rPr>
        <w:t>’</w:t>
      </w:r>
      <w:r w:rsidRPr="003C51DD">
        <w:rPr>
          <w:rFonts w:eastAsia="Arial" w:cs="Arial"/>
        </w:rPr>
        <w:t>Haïti</w:t>
      </w:r>
    </w:p>
    <w:p w14:paraId="66C7F605" w14:textId="77777777" w:rsidR="003C51DD" w:rsidRPr="003C51DD" w:rsidRDefault="003C51DD" w:rsidP="006A1C58">
      <w:pPr>
        <w:tabs>
          <w:tab w:val="left" w:pos="1240"/>
        </w:tabs>
        <w:spacing w:before="160" w:after="160"/>
        <w:jc w:val="both"/>
        <w:rPr>
          <w:rFonts w:eastAsia="Arial" w:cs="Arial"/>
        </w:rPr>
      </w:pPr>
      <w:r w:rsidRPr="003C51DD">
        <w:rPr>
          <w:rFonts w:eastAsia="Arial" w:cs="Arial"/>
        </w:rPr>
        <w:t>BID</w:t>
      </w:r>
      <w:r w:rsidRPr="003C51DD">
        <w:rPr>
          <w:rFonts w:eastAsia="Times New Roman" w:cs="Arial"/>
        </w:rPr>
        <w:tab/>
      </w:r>
      <w:r w:rsidRPr="003C51DD">
        <w:rPr>
          <w:rFonts w:eastAsia="Arial" w:cs="Arial"/>
        </w:rPr>
        <w:t>Banque Inter - Américaine de Développement</w:t>
      </w:r>
    </w:p>
    <w:p w14:paraId="2FC2261C" w14:textId="741F3829" w:rsidR="008A7032" w:rsidRDefault="008A7032" w:rsidP="006A1C58">
      <w:pPr>
        <w:tabs>
          <w:tab w:val="left" w:pos="1240"/>
        </w:tabs>
        <w:spacing w:before="160" w:after="160"/>
        <w:jc w:val="both"/>
        <w:rPr>
          <w:rFonts w:eastAsia="Arial" w:cs="Arial"/>
        </w:rPr>
      </w:pPr>
      <w:r>
        <w:rPr>
          <w:rFonts w:eastAsia="Arial" w:cs="Arial"/>
        </w:rPr>
        <w:t>MEF</w:t>
      </w:r>
      <w:r>
        <w:rPr>
          <w:rFonts w:eastAsia="Arial" w:cs="Arial"/>
        </w:rPr>
        <w:tab/>
        <w:t>Ministère de l’Economie et des Finances</w:t>
      </w:r>
    </w:p>
    <w:p w14:paraId="338BE42C" w14:textId="18BD430E" w:rsidR="008A7032" w:rsidRDefault="008A7032" w:rsidP="006A1C58">
      <w:pPr>
        <w:tabs>
          <w:tab w:val="left" w:pos="1240"/>
        </w:tabs>
        <w:spacing w:before="160" w:after="160"/>
        <w:jc w:val="both"/>
        <w:rPr>
          <w:rFonts w:eastAsia="Arial" w:cs="Arial"/>
        </w:rPr>
      </w:pPr>
      <w:r>
        <w:rPr>
          <w:rFonts w:eastAsia="Arial" w:cs="Arial"/>
        </w:rPr>
        <w:t>MICT</w:t>
      </w:r>
      <w:r>
        <w:rPr>
          <w:rFonts w:eastAsia="Arial" w:cs="Arial"/>
        </w:rPr>
        <w:tab/>
        <w:t>Ministère de l’Intérieur et des Collectivités Territoriales</w:t>
      </w:r>
    </w:p>
    <w:p w14:paraId="1DCC002C" w14:textId="25010790" w:rsidR="003C51DD" w:rsidRPr="003C51DD" w:rsidRDefault="003C51DD" w:rsidP="006A1C58">
      <w:pPr>
        <w:tabs>
          <w:tab w:val="left" w:pos="1240"/>
        </w:tabs>
        <w:spacing w:before="160" w:after="160"/>
        <w:jc w:val="both"/>
        <w:rPr>
          <w:rFonts w:eastAsia="Arial" w:cs="Arial"/>
        </w:rPr>
      </w:pPr>
      <w:r w:rsidRPr="003C51DD">
        <w:rPr>
          <w:rFonts w:eastAsia="Arial" w:cs="Arial"/>
        </w:rPr>
        <w:t>MO</w:t>
      </w:r>
      <w:r w:rsidR="00A71BBA">
        <w:rPr>
          <w:rFonts w:eastAsia="Arial" w:cs="Arial"/>
        </w:rPr>
        <w:t>P</w:t>
      </w:r>
      <w:r w:rsidRPr="003C51DD">
        <w:rPr>
          <w:rFonts w:eastAsia="Arial" w:cs="Arial"/>
        </w:rPr>
        <w:tab/>
        <w:t>Manu</w:t>
      </w:r>
      <w:r w:rsidR="008A7032">
        <w:rPr>
          <w:rFonts w:eastAsia="Arial" w:cs="Arial"/>
        </w:rPr>
        <w:t>e</w:t>
      </w:r>
      <w:r w:rsidRPr="003C51DD">
        <w:rPr>
          <w:rFonts w:eastAsia="Arial" w:cs="Arial"/>
        </w:rPr>
        <w:t>l d’opérations</w:t>
      </w:r>
    </w:p>
    <w:p w14:paraId="5FA5887F" w14:textId="7ED86355" w:rsidR="0008694D" w:rsidRDefault="0008694D" w:rsidP="006A1C58">
      <w:pPr>
        <w:tabs>
          <w:tab w:val="left" w:pos="1260"/>
        </w:tabs>
        <w:spacing w:before="160" w:after="160"/>
        <w:ind w:left="1260" w:hanging="1260"/>
        <w:jc w:val="both"/>
        <w:rPr>
          <w:rFonts w:eastAsia="Arial" w:cs="Arial"/>
        </w:rPr>
      </w:pPr>
      <w:r>
        <w:rPr>
          <w:rFonts w:eastAsia="Arial" w:cs="Arial"/>
        </w:rPr>
        <w:t>OE</w:t>
      </w:r>
      <w:r>
        <w:rPr>
          <w:rFonts w:eastAsia="Arial" w:cs="Arial"/>
        </w:rPr>
        <w:tab/>
        <w:t>Organisme d’Exécution</w:t>
      </w:r>
    </w:p>
    <w:p w14:paraId="372AE6B4" w14:textId="34CAB599" w:rsidR="00CC20BD" w:rsidRPr="003C51DD" w:rsidRDefault="00CC20BD" w:rsidP="006A1C58">
      <w:pPr>
        <w:tabs>
          <w:tab w:val="left" w:pos="1260"/>
        </w:tabs>
        <w:spacing w:before="160" w:after="160"/>
        <w:ind w:left="1260" w:hanging="1260"/>
        <w:jc w:val="both"/>
        <w:rPr>
          <w:rFonts w:eastAsia="Arial" w:cs="Arial"/>
        </w:rPr>
      </w:pPr>
      <w:r w:rsidRPr="003C51DD">
        <w:rPr>
          <w:rFonts w:eastAsia="Arial" w:cs="Arial"/>
        </w:rPr>
        <w:t>PESA</w:t>
      </w:r>
      <w:r>
        <w:rPr>
          <w:rFonts w:eastAsia="Arial" w:cs="Arial"/>
        </w:rPr>
        <w:tab/>
      </w:r>
      <w:r w:rsidRPr="003C51DD">
        <w:rPr>
          <w:rFonts w:eastAsia="Arial" w:cs="Arial"/>
          <w:i/>
        </w:rPr>
        <w:t>Programmatic Environmental and Social Assessment</w:t>
      </w:r>
      <w:r w:rsidRPr="003C51DD">
        <w:rPr>
          <w:rFonts w:eastAsia="Arial" w:cs="Arial"/>
        </w:rPr>
        <w:t xml:space="preserve"> (Evaluation Environnementale et Social Programmatique) </w:t>
      </w:r>
    </w:p>
    <w:p w14:paraId="6B16AD12" w14:textId="77777777" w:rsidR="003C51DD" w:rsidRPr="003C51DD" w:rsidRDefault="003C51DD" w:rsidP="006A1C58">
      <w:pPr>
        <w:tabs>
          <w:tab w:val="left" w:pos="1240"/>
        </w:tabs>
        <w:spacing w:before="160" w:after="160"/>
        <w:jc w:val="both"/>
        <w:rPr>
          <w:rFonts w:eastAsia="Arial" w:cs="Arial"/>
        </w:rPr>
      </w:pPr>
      <w:r w:rsidRPr="003C51DD">
        <w:rPr>
          <w:rFonts w:eastAsia="Arial" w:cs="Arial"/>
        </w:rPr>
        <w:t>PDPP</w:t>
      </w:r>
      <w:r w:rsidRPr="003C51DD">
        <w:rPr>
          <w:rFonts w:eastAsia="Arial" w:cs="Arial"/>
        </w:rPr>
        <w:tab/>
        <w:t>Plan de dialogue avec les parties prenantes</w:t>
      </w:r>
    </w:p>
    <w:p w14:paraId="71637AAF" w14:textId="57CF0362" w:rsidR="008A7032" w:rsidRDefault="008A7032" w:rsidP="006A1C58">
      <w:pPr>
        <w:tabs>
          <w:tab w:val="left" w:pos="1240"/>
        </w:tabs>
        <w:spacing w:before="160" w:after="160"/>
        <w:jc w:val="both"/>
        <w:rPr>
          <w:rFonts w:eastAsia="Arial" w:cs="Arial"/>
        </w:rPr>
      </w:pPr>
      <w:r>
        <w:rPr>
          <w:rFonts w:eastAsia="Arial" w:cs="Arial"/>
        </w:rPr>
        <w:t>PEP</w:t>
      </w:r>
      <w:r>
        <w:rPr>
          <w:rFonts w:eastAsia="Arial" w:cs="Arial"/>
        </w:rPr>
        <w:tab/>
        <w:t>Plan pluri-annuel d’Exécution</w:t>
      </w:r>
    </w:p>
    <w:p w14:paraId="5FFA6AC5" w14:textId="76A6A060" w:rsidR="003C51DD" w:rsidRPr="003C51DD" w:rsidRDefault="003C51DD" w:rsidP="006A1C58">
      <w:pPr>
        <w:tabs>
          <w:tab w:val="left" w:pos="1240"/>
        </w:tabs>
        <w:spacing w:before="160" w:after="160"/>
        <w:jc w:val="both"/>
        <w:rPr>
          <w:rFonts w:eastAsia="Arial" w:cs="Arial"/>
        </w:rPr>
      </w:pPr>
      <w:r w:rsidRPr="003C51DD">
        <w:rPr>
          <w:rFonts w:eastAsia="Arial" w:cs="Arial"/>
        </w:rPr>
        <w:t xml:space="preserve">PGES </w:t>
      </w:r>
      <w:r w:rsidRPr="003C51DD">
        <w:rPr>
          <w:rFonts w:eastAsia="Arial" w:cs="Arial"/>
        </w:rPr>
        <w:tab/>
        <w:t>Plan de Gestion Environnementale et Sociale</w:t>
      </w:r>
    </w:p>
    <w:p w14:paraId="24DF02AD" w14:textId="77777777" w:rsidR="003C51DD" w:rsidRPr="003C51DD" w:rsidRDefault="003C51DD" w:rsidP="006A1C58">
      <w:pPr>
        <w:tabs>
          <w:tab w:val="left" w:pos="1240"/>
        </w:tabs>
        <w:spacing w:before="160" w:after="160"/>
        <w:jc w:val="both"/>
        <w:rPr>
          <w:rFonts w:eastAsia="Arial" w:cs="Arial"/>
        </w:rPr>
      </w:pPr>
      <w:r w:rsidRPr="003C51DD">
        <w:rPr>
          <w:rFonts w:eastAsia="Arial" w:cs="Arial"/>
        </w:rPr>
        <w:lastRenderedPageBreak/>
        <w:t>PGRC</w:t>
      </w:r>
      <w:r w:rsidRPr="003C51DD">
        <w:rPr>
          <w:rFonts w:eastAsia="Arial" w:cs="Arial"/>
        </w:rPr>
        <w:tab/>
        <w:t>Plan de Gestion des Risques et Catastrophes</w:t>
      </w:r>
    </w:p>
    <w:p w14:paraId="4BF4F6FC" w14:textId="12DF7EE8" w:rsidR="003C51DD" w:rsidRPr="003C51DD" w:rsidRDefault="003C51DD" w:rsidP="006A1C58">
      <w:pPr>
        <w:tabs>
          <w:tab w:val="left" w:pos="1240"/>
        </w:tabs>
        <w:spacing w:before="160" w:after="160"/>
        <w:jc w:val="both"/>
        <w:rPr>
          <w:rFonts w:eastAsia="Arial" w:cs="Arial"/>
        </w:rPr>
      </w:pPr>
      <w:r w:rsidRPr="003C51DD">
        <w:rPr>
          <w:rFonts w:eastAsia="Arial" w:cs="Arial"/>
        </w:rPr>
        <w:t>POA</w:t>
      </w:r>
      <w:r w:rsidRPr="003C51DD">
        <w:rPr>
          <w:rFonts w:eastAsia="Arial" w:cs="Arial"/>
        </w:rPr>
        <w:tab/>
        <w:t xml:space="preserve">Plan </w:t>
      </w:r>
      <w:r w:rsidR="008A7032">
        <w:rPr>
          <w:rFonts w:eastAsia="Arial" w:cs="Arial"/>
        </w:rPr>
        <w:t>d’</w:t>
      </w:r>
      <w:r w:rsidRPr="003C51DD">
        <w:rPr>
          <w:rFonts w:eastAsia="Arial" w:cs="Arial"/>
        </w:rPr>
        <w:t>opération</w:t>
      </w:r>
      <w:r w:rsidR="008A7032">
        <w:rPr>
          <w:rFonts w:eastAsia="Arial" w:cs="Arial"/>
        </w:rPr>
        <w:t>s</w:t>
      </w:r>
      <w:r w:rsidRPr="003C51DD">
        <w:rPr>
          <w:rFonts w:eastAsia="Arial" w:cs="Arial"/>
        </w:rPr>
        <w:t xml:space="preserve"> annuel</w:t>
      </w:r>
    </w:p>
    <w:p w14:paraId="0FB3FCAA" w14:textId="65A9C541" w:rsidR="003C51DD" w:rsidRPr="003C51DD" w:rsidRDefault="003C51DD" w:rsidP="006A1C58">
      <w:pPr>
        <w:tabs>
          <w:tab w:val="left" w:pos="1240"/>
        </w:tabs>
        <w:spacing w:before="160" w:after="160"/>
        <w:jc w:val="both"/>
        <w:rPr>
          <w:rFonts w:eastAsia="Arial" w:cs="Arial"/>
        </w:rPr>
      </w:pPr>
      <w:r w:rsidRPr="003C51DD">
        <w:rPr>
          <w:rFonts w:eastAsia="Arial" w:cs="Arial"/>
        </w:rPr>
        <w:t>POD</w:t>
      </w:r>
      <w:r w:rsidRPr="003C51DD">
        <w:rPr>
          <w:rFonts w:eastAsia="Times New Roman" w:cs="Arial"/>
        </w:rPr>
        <w:tab/>
      </w:r>
      <w:r w:rsidRPr="003C51DD">
        <w:rPr>
          <w:rFonts w:eastAsia="Arial" w:cs="Arial"/>
        </w:rPr>
        <w:t>Proposition pour le développement de</w:t>
      </w:r>
      <w:r w:rsidR="008A7032">
        <w:rPr>
          <w:rFonts w:eastAsia="Arial" w:cs="Arial"/>
        </w:rPr>
        <w:t xml:space="preserve"> l’o</w:t>
      </w:r>
      <w:r w:rsidRPr="003C51DD">
        <w:rPr>
          <w:rFonts w:eastAsia="Arial" w:cs="Arial"/>
        </w:rPr>
        <w:t>p</w:t>
      </w:r>
      <w:r w:rsidR="008A7032">
        <w:rPr>
          <w:rFonts w:eastAsia="Arial" w:cs="Arial"/>
        </w:rPr>
        <w:t>é</w:t>
      </w:r>
      <w:r w:rsidRPr="003C51DD">
        <w:rPr>
          <w:rFonts w:eastAsia="Arial" w:cs="Arial"/>
        </w:rPr>
        <w:t>ration</w:t>
      </w:r>
    </w:p>
    <w:p w14:paraId="1B76C78B" w14:textId="6CBA60B2" w:rsidR="003C51DD" w:rsidRDefault="003C51DD" w:rsidP="008A7032">
      <w:pPr>
        <w:tabs>
          <w:tab w:val="left" w:pos="1240"/>
        </w:tabs>
        <w:spacing w:before="160" w:after="160"/>
        <w:jc w:val="both"/>
        <w:rPr>
          <w:rFonts w:eastAsia="Arial" w:cs="Arial"/>
        </w:rPr>
      </w:pPr>
      <w:r w:rsidRPr="003C51DD">
        <w:rPr>
          <w:rFonts w:eastAsia="Arial" w:cs="Arial"/>
        </w:rPr>
        <w:t>PRME</w:t>
      </w:r>
      <w:r w:rsidRPr="003C51DD">
        <w:rPr>
          <w:rFonts w:eastAsia="Arial" w:cs="Arial"/>
        </w:rPr>
        <w:tab/>
        <w:t>Plan de restauration des moyens d’existence</w:t>
      </w:r>
    </w:p>
    <w:p w14:paraId="1DDCB1A0" w14:textId="19163796" w:rsidR="008A7032" w:rsidRDefault="008A7032" w:rsidP="008A7032">
      <w:pPr>
        <w:tabs>
          <w:tab w:val="left" w:pos="1240"/>
        </w:tabs>
        <w:spacing w:before="160" w:after="160"/>
        <w:jc w:val="both"/>
        <w:rPr>
          <w:rFonts w:eastAsia="Arial" w:cs="Arial"/>
        </w:rPr>
      </w:pPr>
      <w:r>
        <w:rPr>
          <w:rFonts w:eastAsia="Arial" w:cs="Arial"/>
        </w:rPr>
        <w:t>UCP</w:t>
      </w:r>
      <w:r>
        <w:rPr>
          <w:rFonts w:eastAsia="Arial" w:cs="Arial"/>
        </w:rPr>
        <w:tab/>
        <w:t>Unité de Coordination de Projet</w:t>
      </w:r>
    </w:p>
    <w:p w14:paraId="451C8AC5" w14:textId="2AFA9601" w:rsidR="008A7032" w:rsidRPr="003C51DD" w:rsidRDefault="008A7032" w:rsidP="008A7032">
      <w:pPr>
        <w:tabs>
          <w:tab w:val="left" w:pos="1240"/>
        </w:tabs>
        <w:spacing w:before="160" w:after="160"/>
        <w:jc w:val="both"/>
        <w:rPr>
          <w:rFonts w:eastAsia="Arial" w:cs="Arial"/>
        </w:rPr>
      </w:pPr>
      <w:r>
        <w:rPr>
          <w:rFonts w:eastAsia="Arial" w:cs="Arial"/>
        </w:rPr>
        <w:t>UTE</w:t>
      </w:r>
      <w:r>
        <w:rPr>
          <w:rFonts w:eastAsia="Arial" w:cs="Arial"/>
        </w:rPr>
        <w:tab/>
        <w:t>Unité Technique d’Exécution (MEF)</w:t>
      </w:r>
    </w:p>
    <w:p w14:paraId="7F8116E0" w14:textId="4868C6E3" w:rsidR="00CC20BD" w:rsidRDefault="00CC20BD">
      <w:pPr>
        <w:rPr>
          <w:rFonts w:eastAsia="Times New Roman" w:cs="Arial"/>
        </w:rPr>
      </w:pPr>
      <w:r>
        <w:rPr>
          <w:rFonts w:eastAsia="Times New Roman" w:cs="Arial"/>
        </w:rPr>
        <w:br w:type="page"/>
      </w:r>
    </w:p>
    <w:p w14:paraId="76A2CFB6" w14:textId="41C0A2F6" w:rsidR="007021B6" w:rsidRPr="00CC20BD" w:rsidRDefault="00CC20BD">
      <w:pPr>
        <w:rPr>
          <w:rFonts w:eastAsia="Times New Roman" w:cs="Arial"/>
          <w:b/>
        </w:rPr>
      </w:pPr>
      <w:r w:rsidRPr="00CC20BD">
        <w:rPr>
          <w:rFonts w:eastAsia="Times New Roman" w:cs="Arial"/>
          <w:b/>
        </w:rPr>
        <w:lastRenderedPageBreak/>
        <w:t>TABLE DES MATIERES</w:t>
      </w:r>
    </w:p>
    <w:p w14:paraId="5EA31381" w14:textId="77777777" w:rsidR="008C2FAA" w:rsidRPr="006E4C32" w:rsidRDefault="008C2FAA" w:rsidP="006E4C32">
      <w:pPr>
        <w:spacing w:line="276" w:lineRule="auto"/>
        <w:rPr>
          <w:rFonts w:eastAsia="Times New Roman" w:cs="Arial"/>
        </w:rPr>
      </w:pPr>
    </w:p>
    <w:p w14:paraId="35F90C7D" w14:textId="012F27D4" w:rsidR="00D823E2" w:rsidRPr="006E4C32" w:rsidRDefault="00D823E2" w:rsidP="0006696B">
      <w:pPr>
        <w:pStyle w:val="ListParagraph"/>
        <w:numPr>
          <w:ilvl w:val="0"/>
          <w:numId w:val="17"/>
        </w:numPr>
        <w:spacing w:line="276" w:lineRule="auto"/>
        <w:rPr>
          <w:b/>
        </w:rPr>
      </w:pPr>
      <w:r w:rsidRPr="006E4C32">
        <w:rPr>
          <w:b/>
        </w:rPr>
        <w:t>G</w:t>
      </w:r>
      <w:r w:rsidR="00A71BBA">
        <w:rPr>
          <w:b/>
        </w:rPr>
        <w:t>ENERALITES</w:t>
      </w:r>
    </w:p>
    <w:p w14:paraId="2E60D77A" w14:textId="5151AE93" w:rsidR="00D823E2" w:rsidRPr="006E4C32" w:rsidRDefault="00D823E2" w:rsidP="0006696B">
      <w:pPr>
        <w:pStyle w:val="ListParagraph"/>
        <w:numPr>
          <w:ilvl w:val="1"/>
          <w:numId w:val="17"/>
        </w:numPr>
        <w:spacing w:line="276" w:lineRule="auto"/>
        <w:rPr>
          <w:b/>
        </w:rPr>
      </w:pPr>
      <w:r w:rsidRPr="006E4C32">
        <w:rPr>
          <w:b/>
        </w:rPr>
        <w:t>Objectifs du Manuel</w:t>
      </w:r>
    </w:p>
    <w:p w14:paraId="54372269" w14:textId="77777777" w:rsidR="00D823E2" w:rsidRPr="006E4C32" w:rsidRDefault="00D823E2" w:rsidP="0006696B">
      <w:pPr>
        <w:pStyle w:val="ListParagraph"/>
        <w:numPr>
          <w:ilvl w:val="1"/>
          <w:numId w:val="17"/>
        </w:numPr>
        <w:spacing w:line="276" w:lineRule="auto"/>
        <w:rPr>
          <w:b/>
        </w:rPr>
      </w:pPr>
      <w:r w:rsidRPr="006E4C32">
        <w:rPr>
          <w:b/>
        </w:rPr>
        <w:t xml:space="preserve">Portée et Structure </w:t>
      </w:r>
    </w:p>
    <w:p w14:paraId="622FEDBC" w14:textId="77777777" w:rsidR="00D823E2" w:rsidRPr="006E4C32" w:rsidRDefault="00D823E2" w:rsidP="0006696B">
      <w:pPr>
        <w:pStyle w:val="ListParagraph"/>
        <w:numPr>
          <w:ilvl w:val="1"/>
          <w:numId w:val="17"/>
        </w:numPr>
        <w:spacing w:line="276" w:lineRule="auto"/>
        <w:rPr>
          <w:b/>
        </w:rPr>
      </w:pPr>
      <w:r w:rsidRPr="006E4C32">
        <w:rPr>
          <w:b/>
        </w:rPr>
        <w:t xml:space="preserve">Modifications et mise à jour </w:t>
      </w:r>
    </w:p>
    <w:p w14:paraId="63C02C19" w14:textId="77777777" w:rsidR="00D823E2" w:rsidRPr="006E4C32" w:rsidRDefault="00D823E2" w:rsidP="006E4C32">
      <w:pPr>
        <w:spacing w:line="276" w:lineRule="auto"/>
        <w:rPr>
          <w:b/>
        </w:rPr>
      </w:pPr>
    </w:p>
    <w:p w14:paraId="5E689D03" w14:textId="45A31BBD" w:rsidR="00D823E2" w:rsidRPr="006E4C32" w:rsidRDefault="00D823E2" w:rsidP="0006696B">
      <w:pPr>
        <w:pStyle w:val="ListParagraph"/>
        <w:numPr>
          <w:ilvl w:val="0"/>
          <w:numId w:val="17"/>
        </w:numPr>
        <w:spacing w:line="276" w:lineRule="auto"/>
        <w:rPr>
          <w:b/>
        </w:rPr>
      </w:pPr>
      <w:r w:rsidRPr="006E4C32">
        <w:rPr>
          <w:b/>
        </w:rPr>
        <w:t xml:space="preserve">Présentation </w:t>
      </w:r>
      <w:r w:rsidR="00196DB0">
        <w:rPr>
          <w:b/>
        </w:rPr>
        <w:t>du Programme</w:t>
      </w:r>
    </w:p>
    <w:p w14:paraId="6E5C6570" w14:textId="50CD63FE" w:rsidR="00D0325E" w:rsidRPr="00ED6EFB" w:rsidRDefault="00196DB0" w:rsidP="0006696B">
      <w:pPr>
        <w:pStyle w:val="ListParagraph"/>
        <w:numPr>
          <w:ilvl w:val="1"/>
          <w:numId w:val="17"/>
        </w:numPr>
        <w:spacing w:line="276" w:lineRule="auto"/>
        <w:rPr>
          <w:b/>
        </w:rPr>
      </w:pPr>
      <w:r>
        <w:rPr>
          <w:b/>
        </w:rPr>
        <w:t>Objectifs</w:t>
      </w:r>
    </w:p>
    <w:p w14:paraId="69AC625C" w14:textId="7281EBF9" w:rsidR="00D823E2" w:rsidRPr="006E4C32" w:rsidRDefault="00196DB0" w:rsidP="0006696B">
      <w:pPr>
        <w:pStyle w:val="ListParagraph"/>
        <w:numPr>
          <w:ilvl w:val="1"/>
          <w:numId w:val="17"/>
        </w:numPr>
        <w:spacing w:line="276" w:lineRule="auto"/>
        <w:rPr>
          <w:b/>
        </w:rPr>
      </w:pPr>
      <w:r>
        <w:rPr>
          <w:b/>
        </w:rPr>
        <w:t>Composantes</w:t>
      </w:r>
    </w:p>
    <w:p w14:paraId="14969C00" w14:textId="77777777" w:rsidR="00196DB0" w:rsidRDefault="00196DB0" w:rsidP="0006696B">
      <w:pPr>
        <w:pStyle w:val="ListParagraph"/>
        <w:numPr>
          <w:ilvl w:val="1"/>
          <w:numId w:val="17"/>
        </w:numPr>
        <w:spacing w:line="276" w:lineRule="auto"/>
        <w:rPr>
          <w:b/>
        </w:rPr>
      </w:pPr>
      <w:r>
        <w:rPr>
          <w:b/>
        </w:rPr>
        <w:t>Indicateurs de résultats</w:t>
      </w:r>
    </w:p>
    <w:p w14:paraId="0C92E39E" w14:textId="77777777" w:rsidR="00196DB0" w:rsidRDefault="00196DB0" w:rsidP="0006696B">
      <w:pPr>
        <w:pStyle w:val="ListParagraph"/>
        <w:numPr>
          <w:ilvl w:val="1"/>
          <w:numId w:val="17"/>
        </w:numPr>
        <w:spacing w:line="276" w:lineRule="auto"/>
        <w:rPr>
          <w:b/>
        </w:rPr>
      </w:pPr>
      <w:r>
        <w:rPr>
          <w:b/>
        </w:rPr>
        <w:t>Ressources financières</w:t>
      </w:r>
    </w:p>
    <w:p w14:paraId="03522758" w14:textId="77777777" w:rsidR="00F86D19" w:rsidRDefault="00F86D19" w:rsidP="0006696B">
      <w:pPr>
        <w:pStyle w:val="ListParagraph"/>
        <w:numPr>
          <w:ilvl w:val="1"/>
          <w:numId w:val="17"/>
        </w:numPr>
        <w:spacing w:line="276" w:lineRule="auto"/>
        <w:rPr>
          <w:b/>
        </w:rPr>
      </w:pPr>
      <w:r>
        <w:rPr>
          <w:b/>
        </w:rPr>
        <w:t>Calendrier de décaissement</w:t>
      </w:r>
    </w:p>
    <w:p w14:paraId="46FE9318" w14:textId="77777777" w:rsidR="00D823E2" w:rsidRPr="006E4C32" w:rsidRDefault="00D823E2" w:rsidP="006E4C32">
      <w:pPr>
        <w:pStyle w:val="ListParagraph"/>
        <w:spacing w:line="276" w:lineRule="auto"/>
        <w:ind w:left="1080"/>
        <w:rPr>
          <w:b/>
        </w:rPr>
      </w:pPr>
    </w:p>
    <w:p w14:paraId="2F5DC747" w14:textId="77777777" w:rsidR="00D0325E" w:rsidRPr="006E4C32" w:rsidRDefault="00D823E2" w:rsidP="0006696B">
      <w:pPr>
        <w:pStyle w:val="ListParagraph"/>
        <w:numPr>
          <w:ilvl w:val="0"/>
          <w:numId w:val="17"/>
        </w:numPr>
        <w:spacing w:line="276" w:lineRule="auto"/>
      </w:pPr>
      <w:r w:rsidRPr="006E4C32">
        <w:rPr>
          <w:b/>
        </w:rPr>
        <w:t xml:space="preserve">Les acteurs et leur mandat </w:t>
      </w:r>
    </w:p>
    <w:p w14:paraId="3BB2B42D" w14:textId="4AAED56A" w:rsidR="00D0325E" w:rsidRPr="006E4C32" w:rsidRDefault="00D823E2" w:rsidP="0006696B">
      <w:pPr>
        <w:pStyle w:val="ListParagraph"/>
        <w:numPr>
          <w:ilvl w:val="1"/>
          <w:numId w:val="17"/>
        </w:numPr>
        <w:spacing w:line="276" w:lineRule="auto"/>
      </w:pPr>
      <w:r w:rsidRPr="006E4C32">
        <w:rPr>
          <w:b/>
        </w:rPr>
        <w:t>Mandat de l</w:t>
      </w:r>
      <w:r w:rsidR="0008694D">
        <w:rPr>
          <w:b/>
        </w:rPr>
        <w:t>’UTE (MEF)</w:t>
      </w:r>
    </w:p>
    <w:p w14:paraId="517A5728" w14:textId="6DAF47E2" w:rsidR="0008694D" w:rsidRPr="0008694D" w:rsidRDefault="00D823E2" w:rsidP="0006696B">
      <w:pPr>
        <w:pStyle w:val="ListParagraph"/>
        <w:numPr>
          <w:ilvl w:val="1"/>
          <w:numId w:val="17"/>
        </w:numPr>
        <w:spacing w:line="276" w:lineRule="auto"/>
      </w:pPr>
      <w:r w:rsidRPr="006E4C32">
        <w:rPr>
          <w:b/>
        </w:rPr>
        <w:t>Mandat de l’</w:t>
      </w:r>
      <w:r w:rsidR="0008694D">
        <w:rPr>
          <w:b/>
        </w:rPr>
        <w:t>UCP et de la DTC (MICT)</w:t>
      </w:r>
    </w:p>
    <w:p w14:paraId="7858D7A0" w14:textId="77777777" w:rsidR="00AD6E5A" w:rsidRPr="006E4C32" w:rsidRDefault="00AD6E5A" w:rsidP="006E4C32">
      <w:pPr>
        <w:pStyle w:val="ListParagraph"/>
        <w:spacing w:line="276" w:lineRule="auto"/>
      </w:pPr>
    </w:p>
    <w:p w14:paraId="4FBD9D4B" w14:textId="77777777" w:rsidR="002E5BE9" w:rsidRPr="006E4C32" w:rsidRDefault="002E5BE9" w:rsidP="0006696B">
      <w:pPr>
        <w:pStyle w:val="ListParagraph"/>
        <w:numPr>
          <w:ilvl w:val="0"/>
          <w:numId w:val="17"/>
        </w:numPr>
        <w:spacing w:line="276" w:lineRule="auto"/>
      </w:pPr>
      <w:r w:rsidRPr="006E4C32">
        <w:rPr>
          <w:b/>
        </w:rPr>
        <w:t xml:space="preserve">Mécanismes contractuels d’exécution </w:t>
      </w:r>
    </w:p>
    <w:p w14:paraId="38483165" w14:textId="77777777" w:rsidR="002E5BE9" w:rsidRPr="006E4C32" w:rsidRDefault="00CA6108" w:rsidP="0006696B">
      <w:pPr>
        <w:pStyle w:val="ListParagraph"/>
        <w:numPr>
          <w:ilvl w:val="1"/>
          <w:numId w:val="17"/>
        </w:numPr>
        <w:spacing w:line="276" w:lineRule="auto"/>
      </w:pPr>
      <w:r w:rsidRPr="006E4C32">
        <w:rPr>
          <w:b/>
        </w:rPr>
        <w:t>Séminaire de démarrage</w:t>
      </w:r>
    </w:p>
    <w:p w14:paraId="449BBFCA" w14:textId="5F8EEC11" w:rsidR="00CA6108" w:rsidRPr="006E4C32" w:rsidRDefault="00CA6108" w:rsidP="0006696B">
      <w:pPr>
        <w:pStyle w:val="ListParagraph"/>
        <w:numPr>
          <w:ilvl w:val="1"/>
          <w:numId w:val="17"/>
        </w:numPr>
        <w:spacing w:line="276" w:lineRule="auto"/>
      </w:pPr>
      <w:r w:rsidRPr="006E4C32">
        <w:rPr>
          <w:b/>
        </w:rPr>
        <w:t>Suivi</w:t>
      </w:r>
    </w:p>
    <w:p w14:paraId="261988E4" w14:textId="20EEAFD6" w:rsidR="00CA6108" w:rsidRPr="006E4C32" w:rsidRDefault="00CA6108" w:rsidP="0006696B">
      <w:pPr>
        <w:pStyle w:val="ListParagraph"/>
        <w:numPr>
          <w:ilvl w:val="1"/>
          <w:numId w:val="17"/>
        </w:numPr>
        <w:spacing w:line="276" w:lineRule="auto"/>
      </w:pPr>
      <w:r w:rsidRPr="006E4C32">
        <w:rPr>
          <w:b/>
        </w:rPr>
        <w:t>Rapports</w:t>
      </w:r>
    </w:p>
    <w:p w14:paraId="3CA56ADF" w14:textId="28B419EA" w:rsidR="00CA6108" w:rsidRPr="006E4C32" w:rsidRDefault="008E2978" w:rsidP="0006696B">
      <w:pPr>
        <w:pStyle w:val="ListParagraph"/>
        <w:numPr>
          <w:ilvl w:val="1"/>
          <w:numId w:val="17"/>
        </w:numPr>
        <w:spacing w:line="276" w:lineRule="auto"/>
      </w:pPr>
      <w:r>
        <w:rPr>
          <w:b/>
        </w:rPr>
        <w:t>Audits</w:t>
      </w:r>
    </w:p>
    <w:p w14:paraId="28EC30C3" w14:textId="77777777" w:rsidR="00CA6108" w:rsidRPr="006E4C32" w:rsidRDefault="00CA6108" w:rsidP="0006696B">
      <w:pPr>
        <w:pStyle w:val="ListParagraph"/>
        <w:numPr>
          <w:ilvl w:val="1"/>
          <w:numId w:val="17"/>
        </w:numPr>
        <w:spacing w:line="276" w:lineRule="auto"/>
      </w:pPr>
      <w:r w:rsidRPr="006E4C32">
        <w:rPr>
          <w:b/>
        </w:rPr>
        <w:t>Evaluations</w:t>
      </w:r>
    </w:p>
    <w:p w14:paraId="05E6A274" w14:textId="791E6AF9" w:rsidR="00CA6108" w:rsidRDefault="008E2978" w:rsidP="0006696B">
      <w:pPr>
        <w:pStyle w:val="ListParagraph"/>
        <w:numPr>
          <w:ilvl w:val="1"/>
          <w:numId w:val="17"/>
        </w:numPr>
        <w:spacing w:line="276" w:lineRule="auto"/>
        <w:rPr>
          <w:b/>
        </w:rPr>
      </w:pPr>
      <w:r w:rsidRPr="008E2978">
        <w:rPr>
          <w:b/>
        </w:rPr>
        <w:t>Réunions de suivi</w:t>
      </w:r>
    </w:p>
    <w:p w14:paraId="1EFAC8C5" w14:textId="77777777" w:rsidR="008E2978" w:rsidRPr="008E2978" w:rsidRDefault="008E2978" w:rsidP="008E2978">
      <w:pPr>
        <w:pStyle w:val="ListParagraph"/>
        <w:spacing w:line="276" w:lineRule="auto"/>
        <w:ind w:left="1080"/>
        <w:rPr>
          <w:b/>
        </w:rPr>
      </w:pPr>
    </w:p>
    <w:p w14:paraId="0462A5A8" w14:textId="73DEBE97" w:rsidR="00C43C2B" w:rsidRPr="006E4C32" w:rsidRDefault="00C43C2B" w:rsidP="0006696B">
      <w:pPr>
        <w:pStyle w:val="ListParagraph"/>
        <w:numPr>
          <w:ilvl w:val="0"/>
          <w:numId w:val="17"/>
        </w:numPr>
        <w:spacing w:line="276" w:lineRule="auto"/>
        <w:rPr>
          <w:b/>
        </w:rPr>
      </w:pPr>
      <w:r w:rsidRPr="006E4C32">
        <w:rPr>
          <w:b/>
        </w:rPr>
        <w:t xml:space="preserve">Gestion Environnementale et Sociale </w:t>
      </w:r>
    </w:p>
    <w:p w14:paraId="43429AD8" w14:textId="072CDD68" w:rsidR="00C43C2B" w:rsidRPr="006E4C32" w:rsidRDefault="003A12DB" w:rsidP="0006696B">
      <w:pPr>
        <w:pStyle w:val="ListParagraph"/>
        <w:numPr>
          <w:ilvl w:val="1"/>
          <w:numId w:val="17"/>
        </w:numPr>
        <w:spacing w:line="276" w:lineRule="auto"/>
        <w:rPr>
          <w:b/>
        </w:rPr>
      </w:pPr>
      <w:r w:rsidRPr="006E4C32">
        <w:rPr>
          <w:b/>
        </w:rPr>
        <w:t>Système de suivi environnemental et social</w:t>
      </w:r>
    </w:p>
    <w:p w14:paraId="48839234" w14:textId="01ADCDCF" w:rsidR="003A12DB" w:rsidRPr="006E4C32" w:rsidRDefault="00AB08C4" w:rsidP="0006696B">
      <w:pPr>
        <w:pStyle w:val="ListParagraph"/>
        <w:numPr>
          <w:ilvl w:val="1"/>
          <w:numId w:val="17"/>
        </w:numPr>
        <w:spacing w:line="276" w:lineRule="auto"/>
        <w:rPr>
          <w:b/>
        </w:rPr>
      </w:pPr>
      <w:r>
        <w:rPr>
          <w:b/>
        </w:rPr>
        <w:t>Autres exigences</w:t>
      </w:r>
    </w:p>
    <w:p w14:paraId="664B0801" w14:textId="11186852" w:rsidR="003A12DB" w:rsidRPr="006E4C32" w:rsidRDefault="00AB08C4" w:rsidP="0006696B">
      <w:pPr>
        <w:pStyle w:val="ListParagraph"/>
        <w:numPr>
          <w:ilvl w:val="1"/>
          <w:numId w:val="17"/>
        </w:numPr>
        <w:spacing w:line="276" w:lineRule="auto"/>
        <w:rPr>
          <w:b/>
        </w:rPr>
      </w:pPr>
      <w:r>
        <w:rPr>
          <w:b/>
        </w:rPr>
        <w:t>Structure responsable du suivi environnemental et social</w:t>
      </w:r>
    </w:p>
    <w:p w14:paraId="3CACBC9C" w14:textId="77777777" w:rsidR="003A12DB" w:rsidRPr="006E4C32" w:rsidRDefault="003A12DB" w:rsidP="006E4C32">
      <w:pPr>
        <w:pStyle w:val="ListParagraph"/>
        <w:spacing w:line="276" w:lineRule="auto"/>
        <w:rPr>
          <w:b/>
        </w:rPr>
      </w:pPr>
    </w:p>
    <w:p w14:paraId="7BF2DD8E" w14:textId="77777777" w:rsidR="00CA6108" w:rsidRPr="006E4C32" w:rsidRDefault="00CA6108" w:rsidP="0006696B">
      <w:pPr>
        <w:pStyle w:val="ListParagraph"/>
        <w:numPr>
          <w:ilvl w:val="0"/>
          <w:numId w:val="17"/>
        </w:numPr>
        <w:spacing w:line="276" w:lineRule="auto"/>
      </w:pPr>
      <w:r w:rsidRPr="006E4C32">
        <w:rPr>
          <w:b/>
        </w:rPr>
        <w:t>Documents obligatoires de programmation et de suivi des activités</w:t>
      </w:r>
    </w:p>
    <w:p w14:paraId="2F2A913D" w14:textId="77777777" w:rsidR="00CA6108" w:rsidRPr="006E4C32" w:rsidRDefault="00CA6108" w:rsidP="0006696B">
      <w:pPr>
        <w:pStyle w:val="ListParagraph"/>
        <w:numPr>
          <w:ilvl w:val="1"/>
          <w:numId w:val="17"/>
        </w:numPr>
        <w:spacing w:line="276" w:lineRule="auto"/>
      </w:pPr>
      <w:r w:rsidRPr="006E4C32">
        <w:rPr>
          <w:b/>
        </w:rPr>
        <w:t>Plan de Passation de Marché</w:t>
      </w:r>
    </w:p>
    <w:p w14:paraId="0F12A65B" w14:textId="77777777" w:rsidR="00CA6108" w:rsidRPr="006E4C32" w:rsidRDefault="00CA6108" w:rsidP="0006696B">
      <w:pPr>
        <w:pStyle w:val="ListParagraph"/>
        <w:numPr>
          <w:ilvl w:val="1"/>
          <w:numId w:val="17"/>
        </w:numPr>
        <w:spacing w:line="276" w:lineRule="auto"/>
      </w:pPr>
      <w:r w:rsidRPr="006E4C32">
        <w:rPr>
          <w:b/>
        </w:rPr>
        <w:t>Plan d’exécution pluriannuel</w:t>
      </w:r>
    </w:p>
    <w:p w14:paraId="5984B8B0" w14:textId="77777777" w:rsidR="00CA6108" w:rsidRPr="006E4C32" w:rsidRDefault="00CA6108" w:rsidP="0006696B">
      <w:pPr>
        <w:pStyle w:val="ListParagraph"/>
        <w:numPr>
          <w:ilvl w:val="1"/>
          <w:numId w:val="17"/>
        </w:numPr>
        <w:spacing w:line="276" w:lineRule="auto"/>
      </w:pPr>
      <w:r w:rsidRPr="006E4C32">
        <w:rPr>
          <w:b/>
        </w:rPr>
        <w:t>Plan opérationnel annuel</w:t>
      </w:r>
    </w:p>
    <w:p w14:paraId="53AE2AA7" w14:textId="1A5F3DE2" w:rsidR="00CA6108" w:rsidRPr="006E4C32" w:rsidRDefault="00CA6108" w:rsidP="0006696B">
      <w:pPr>
        <w:pStyle w:val="ListParagraph"/>
        <w:numPr>
          <w:ilvl w:val="1"/>
          <w:numId w:val="17"/>
        </w:numPr>
        <w:spacing w:line="276" w:lineRule="auto"/>
      </w:pPr>
      <w:r w:rsidRPr="006E4C32">
        <w:rPr>
          <w:b/>
        </w:rPr>
        <w:t>Chronogramme d’exécution d</w:t>
      </w:r>
      <w:r w:rsidR="00B94427">
        <w:rPr>
          <w:b/>
        </w:rPr>
        <w:t>e</w:t>
      </w:r>
      <w:r w:rsidRPr="006E4C32">
        <w:rPr>
          <w:b/>
        </w:rPr>
        <w:t xml:space="preserve"> contrat</w:t>
      </w:r>
      <w:r w:rsidR="00B94427">
        <w:rPr>
          <w:b/>
        </w:rPr>
        <w:t>s</w:t>
      </w:r>
    </w:p>
    <w:p w14:paraId="5BA72607" w14:textId="77777777" w:rsidR="00CA6108" w:rsidRPr="006E4C32" w:rsidRDefault="00CA6108" w:rsidP="0006696B">
      <w:pPr>
        <w:pStyle w:val="ListParagraph"/>
        <w:numPr>
          <w:ilvl w:val="1"/>
          <w:numId w:val="17"/>
        </w:numPr>
        <w:spacing w:line="276" w:lineRule="auto"/>
      </w:pPr>
      <w:r w:rsidRPr="006E4C32">
        <w:rPr>
          <w:b/>
        </w:rPr>
        <w:t xml:space="preserve">Contrôle de qualité </w:t>
      </w:r>
    </w:p>
    <w:p w14:paraId="366AC0D2" w14:textId="74FD46D5" w:rsidR="00CA6108" w:rsidRPr="006E4C32" w:rsidRDefault="00CA6108" w:rsidP="0006696B">
      <w:pPr>
        <w:pStyle w:val="ListParagraph"/>
        <w:numPr>
          <w:ilvl w:val="1"/>
          <w:numId w:val="17"/>
        </w:numPr>
        <w:spacing w:line="276" w:lineRule="auto"/>
      </w:pPr>
      <w:r w:rsidRPr="006E4C32">
        <w:rPr>
          <w:b/>
        </w:rPr>
        <w:t>Evaluation de la performance de</w:t>
      </w:r>
      <w:r w:rsidR="00B94427">
        <w:rPr>
          <w:b/>
        </w:rPr>
        <w:t xml:space="preserve">s </w:t>
      </w:r>
      <w:r w:rsidRPr="006E4C32">
        <w:rPr>
          <w:b/>
        </w:rPr>
        <w:t>entreprise</w:t>
      </w:r>
      <w:r w:rsidR="00B94427">
        <w:rPr>
          <w:b/>
        </w:rPr>
        <w:t>s et des consultants</w:t>
      </w:r>
    </w:p>
    <w:p w14:paraId="38740FCE" w14:textId="5E3AFCBC" w:rsidR="00CA6108" w:rsidRPr="006E4C32" w:rsidRDefault="00CA6108" w:rsidP="0006696B">
      <w:pPr>
        <w:pStyle w:val="ListParagraph"/>
        <w:numPr>
          <w:ilvl w:val="1"/>
          <w:numId w:val="17"/>
        </w:numPr>
        <w:spacing w:line="276" w:lineRule="auto"/>
      </w:pPr>
      <w:r w:rsidRPr="006E4C32">
        <w:rPr>
          <w:b/>
        </w:rPr>
        <w:t>Rapports d’études</w:t>
      </w:r>
      <w:r w:rsidR="00B94427">
        <w:rPr>
          <w:rFonts w:eastAsia="Arial"/>
          <w:b/>
        </w:rPr>
        <w:t>, de chantiers et de services</w:t>
      </w:r>
    </w:p>
    <w:p w14:paraId="578F31AB" w14:textId="4B6B9CFF" w:rsidR="00CA6108" w:rsidRPr="006E4C32" w:rsidRDefault="00CA6108" w:rsidP="0006696B">
      <w:pPr>
        <w:pStyle w:val="ListParagraph"/>
        <w:numPr>
          <w:ilvl w:val="1"/>
          <w:numId w:val="17"/>
        </w:numPr>
        <w:spacing w:line="276" w:lineRule="auto"/>
      </w:pPr>
      <w:r w:rsidRPr="006E4C32">
        <w:rPr>
          <w:b/>
        </w:rPr>
        <w:t>Visites techniques</w:t>
      </w:r>
    </w:p>
    <w:p w14:paraId="2B71532D" w14:textId="77777777" w:rsidR="00CA6108" w:rsidRPr="006E4C32" w:rsidRDefault="00CA6108" w:rsidP="0006696B">
      <w:pPr>
        <w:pStyle w:val="ListParagraph"/>
        <w:numPr>
          <w:ilvl w:val="1"/>
          <w:numId w:val="17"/>
        </w:numPr>
        <w:spacing w:line="276" w:lineRule="auto"/>
      </w:pPr>
      <w:r w:rsidRPr="006E4C32">
        <w:rPr>
          <w:b/>
        </w:rPr>
        <w:t>Revues de contrats</w:t>
      </w:r>
    </w:p>
    <w:p w14:paraId="3590A7F6" w14:textId="77777777" w:rsidR="00CA6108" w:rsidRPr="006E4C32" w:rsidRDefault="00CA6108" w:rsidP="006E4C32">
      <w:pPr>
        <w:spacing w:line="276" w:lineRule="auto"/>
        <w:ind w:left="720"/>
      </w:pPr>
    </w:p>
    <w:p w14:paraId="09884E34" w14:textId="77777777" w:rsidR="00CA6108" w:rsidRPr="006E4C32" w:rsidRDefault="00CA6108" w:rsidP="0006696B">
      <w:pPr>
        <w:pStyle w:val="ListParagraph"/>
        <w:numPr>
          <w:ilvl w:val="0"/>
          <w:numId w:val="17"/>
        </w:numPr>
        <w:spacing w:line="276" w:lineRule="auto"/>
      </w:pPr>
      <w:r w:rsidRPr="006E4C32">
        <w:rPr>
          <w:b/>
        </w:rPr>
        <w:t xml:space="preserve"> Procédures de Passation de Marché</w:t>
      </w:r>
    </w:p>
    <w:p w14:paraId="16693829" w14:textId="2DC92EE6" w:rsidR="007021B6" w:rsidRPr="00ED6EFB" w:rsidRDefault="007021B6" w:rsidP="0006696B">
      <w:pPr>
        <w:pStyle w:val="ListParagraph"/>
        <w:numPr>
          <w:ilvl w:val="1"/>
          <w:numId w:val="17"/>
        </w:numPr>
        <w:spacing w:line="276" w:lineRule="auto"/>
        <w:rPr>
          <w:b/>
        </w:rPr>
      </w:pPr>
      <w:r w:rsidRPr="00ED6EFB">
        <w:rPr>
          <w:b/>
        </w:rPr>
        <w:t>Demandes de non-objection</w:t>
      </w:r>
    </w:p>
    <w:p w14:paraId="5D9C498B" w14:textId="5F6652C4" w:rsidR="007021B6" w:rsidRPr="00ED6EFB" w:rsidRDefault="007021B6" w:rsidP="0006696B">
      <w:pPr>
        <w:pStyle w:val="ListParagraph"/>
        <w:numPr>
          <w:ilvl w:val="1"/>
          <w:numId w:val="17"/>
        </w:numPr>
        <w:spacing w:line="276" w:lineRule="auto"/>
        <w:rPr>
          <w:b/>
        </w:rPr>
      </w:pPr>
      <w:r w:rsidRPr="00ED6EFB">
        <w:rPr>
          <w:b/>
        </w:rPr>
        <w:t>L’analyse et l’attribution des marchés et contrats</w:t>
      </w:r>
    </w:p>
    <w:p w14:paraId="4FBE52BB" w14:textId="397494B8" w:rsidR="007021B6" w:rsidRPr="00ED6EFB" w:rsidRDefault="007021B6" w:rsidP="0006696B">
      <w:pPr>
        <w:pStyle w:val="ListParagraph"/>
        <w:numPr>
          <w:ilvl w:val="1"/>
          <w:numId w:val="17"/>
        </w:numPr>
        <w:spacing w:line="276" w:lineRule="auto"/>
        <w:rPr>
          <w:b/>
        </w:rPr>
      </w:pPr>
      <w:r w:rsidRPr="00ED6EFB">
        <w:rPr>
          <w:b/>
        </w:rPr>
        <w:t>Acquisition pour Travaux, Biens, et Services</w:t>
      </w:r>
    </w:p>
    <w:p w14:paraId="5378A5BA" w14:textId="1EC89CE2" w:rsidR="007021B6" w:rsidRPr="00ED6EFB" w:rsidRDefault="007021B6" w:rsidP="0006696B">
      <w:pPr>
        <w:pStyle w:val="ListParagraph"/>
        <w:numPr>
          <w:ilvl w:val="1"/>
          <w:numId w:val="17"/>
        </w:numPr>
        <w:spacing w:line="276" w:lineRule="auto"/>
        <w:rPr>
          <w:b/>
        </w:rPr>
      </w:pPr>
      <w:r w:rsidRPr="00ED6EFB">
        <w:rPr>
          <w:b/>
        </w:rPr>
        <w:t>Procédure d’acquisition en cas de Participation Communautaire</w:t>
      </w:r>
    </w:p>
    <w:p w14:paraId="567AA996" w14:textId="43C3951F" w:rsidR="007021B6" w:rsidRPr="00ED6EFB" w:rsidRDefault="007021B6" w:rsidP="0006696B">
      <w:pPr>
        <w:pStyle w:val="ListParagraph"/>
        <w:numPr>
          <w:ilvl w:val="1"/>
          <w:numId w:val="17"/>
        </w:numPr>
        <w:spacing w:line="276" w:lineRule="auto"/>
        <w:rPr>
          <w:b/>
        </w:rPr>
      </w:pPr>
      <w:r w:rsidRPr="00ED6EFB">
        <w:rPr>
          <w:b/>
        </w:rPr>
        <w:t xml:space="preserve">Sélection et </w:t>
      </w:r>
      <w:r w:rsidR="00E06C6A">
        <w:rPr>
          <w:b/>
        </w:rPr>
        <w:t>e</w:t>
      </w:r>
      <w:r w:rsidRPr="00ED6EFB">
        <w:rPr>
          <w:b/>
        </w:rPr>
        <w:t xml:space="preserve">mbauche des consultants </w:t>
      </w:r>
    </w:p>
    <w:p w14:paraId="3AC8B13D" w14:textId="1E8F283F" w:rsidR="007021B6" w:rsidRPr="00ED6EFB" w:rsidRDefault="007021B6" w:rsidP="0006696B">
      <w:pPr>
        <w:pStyle w:val="ListParagraph"/>
        <w:numPr>
          <w:ilvl w:val="1"/>
          <w:numId w:val="17"/>
        </w:numPr>
        <w:spacing w:line="276" w:lineRule="auto"/>
        <w:rPr>
          <w:b/>
        </w:rPr>
      </w:pPr>
      <w:r w:rsidRPr="00ED6EFB">
        <w:rPr>
          <w:b/>
        </w:rPr>
        <w:t>Dépenses récurrentes</w:t>
      </w:r>
    </w:p>
    <w:p w14:paraId="4D2CDF75" w14:textId="370A8838" w:rsidR="00CA6108" w:rsidRDefault="007021B6" w:rsidP="0006696B">
      <w:pPr>
        <w:pStyle w:val="ListParagraph"/>
        <w:numPr>
          <w:ilvl w:val="1"/>
          <w:numId w:val="17"/>
        </w:numPr>
        <w:spacing w:line="276" w:lineRule="auto"/>
        <w:rPr>
          <w:b/>
        </w:rPr>
      </w:pPr>
      <w:r w:rsidRPr="00E06C6A">
        <w:rPr>
          <w:b/>
        </w:rPr>
        <w:t>Conditions spéciales à considérer</w:t>
      </w:r>
    </w:p>
    <w:p w14:paraId="2A18A2D0" w14:textId="4F9A2566" w:rsidR="00E06C6A" w:rsidRPr="00E06C6A" w:rsidRDefault="00E06C6A" w:rsidP="0006696B">
      <w:pPr>
        <w:pStyle w:val="ListParagraph"/>
        <w:numPr>
          <w:ilvl w:val="1"/>
          <w:numId w:val="17"/>
        </w:numPr>
        <w:spacing w:line="276" w:lineRule="auto"/>
        <w:rPr>
          <w:b/>
        </w:rPr>
      </w:pPr>
      <w:r>
        <w:rPr>
          <w:b/>
        </w:rPr>
        <w:t>Inventaire des biens</w:t>
      </w:r>
    </w:p>
    <w:p w14:paraId="4D8558AE" w14:textId="77777777" w:rsidR="00CA6108" w:rsidRPr="006E4C32" w:rsidRDefault="00CA6108" w:rsidP="006E4C32">
      <w:pPr>
        <w:pStyle w:val="ListParagraph"/>
        <w:spacing w:line="276" w:lineRule="auto"/>
      </w:pPr>
    </w:p>
    <w:p w14:paraId="0FA7E880" w14:textId="77777777" w:rsidR="00CA6108" w:rsidRPr="006E4C32" w:rsidRDefault="00CA6108" w:rsidP="0006696B">
      <w:pPr>
        <w:pStyle w:val="ListParagraph"/>
        <w:numPr>
          <w:ilvl w:val="0"/>
          <w:numId w:val="17"/>
        </w:numPr>
        <w:spacing w:line="276" w:lineRule="auto"/>
        <w:rPr>
          <w:b/>
        </w:rPr>
      </w:pPr>
      <w:r w:rsidRPr="006E4C32">
        <w:rPr>
          <w:b/>
        </w:rPr>
        <w:t>Procédures financières</w:t>
      </w:r>
    </w:p>
    <w:p w14:paraId="37A41E9C" w14:textId="77777777" w:rsidR="00E06C6A" w:rsidRPr="00E06C6A" w:rsidRDefault="00E06C6A" w:rsidP="00E06C6A">
      <w:pPr>
        <w:pStyle w:val="ListParagraph"/>
        <w:pBdr>
          <w:top w:val="nil"/>
          <w:left w:val="nil"/>
          <w:bottom w:val="nil"/>
          <w:right w:val="nil"/>
          <w:between w:val="nil"/>
          <w:bar w:val="nil"/>
        </w:pBdr>
        <w:spacing w:before="120" w:after="120" w:line="276" w:lineRule="auto"/>
        <w:jc w:val="both"/>
        <w:rPr>
          <w:b/>
        </w:rPr>
      </w:pPr>
      <w:r w:rsidRPr="00E06C6A">
        <w:rPr>
          <w:b/>
        </w:rPr>
        <w:t xml:space="preserve">8.1 Rôles et responsabilités </w:t>
      </w:r>
    </w:p>
    <w:p w14:paraId="2E3712F3" w14:textId="77777777" w:rsidR="00E06C6A" w:rsidRPr="00E06C6A" w:rsidRDefault="00E06C6A" w:rsidP="00E06C6A">
      <w:pPr>
        <w:pStyle w:val="ListParagraph"/>
        <w:pBdr>
          <w:top w:val="nil"/>
          <w:left w:val="nil"/>
          <w:bottom w:val="nil"/>
          <w:right w:val="nil"/>
          <w:between w:val="nil"/>
          <w:bar w:val="nil"/>
        </w:pBdr>
        <w:spacing w:before="120" w:after="120" w:line="276" w:lineRule="auto"/>
        <w:jc w:val="both"/>
        <w:rPr>
          <w:b/>
        </w:rPr>
      </w:pPr>
      <w:r w:rsidRPr="00E06C6A">
        <w:rPr>
          <w:b/>
        </w:rPr>
        <w:t>8.2 Mobilisation des ressources</w:t>
      </w:r>
    </w:p>
    <w:p w14:paraId="11DECAAC" w14:textId="77777777" w:rsidR="00E06C6A" w:rsidRPr="00E06C6A" w:rsidRDefault="00E06C6A" w:rsidP="00E06C6A">
      <w:pPr>
        <w:pStyle w:val="ListParagraph"/>
        <w:pBdr>
          <w:top w:val="nil"/>
          <w:left w:val="nil"/>
          <w:bottom w:val="nil"/>
          <w:right w:val="nil"/>
          <w:between w:val="nil"/>
          <w:bar w:val="nil"/>
        </w:pBdr>
        <w:spacing w:before="120" w:after="120" w:line="276" w:lineRule="auto"/>
        <w:jc w:val="both"/>
        <w:rPr>
          <w:b/>
        </w:rPr>
      </w:pPr>
      <w:r w:rsidRPr="00E06C6A">
        <w:rPr>
          <w:b/>
        </w:rPr>
        <w:t>8.3 Ouverture et fonctionnement des comptes bancaires</w:t>
      </w:r>
    </w:p>
    <w:p w14:paraId="2B11EC85" w14:textId="77777777" w:rsidR="00E06C6A" w:rsidRPr="00E06C6A" w:rsidRDefault="00E06C6A" w:rsidP="00E06C6A">
      <w:pPr>
        <w:pStyle w:val="ListParagraph"/>
        <w:pBdr>
          <w:top w:val="nil"/>
          <w:left w:val="nil"/>
          <w:bottom w:val="nil"/>
          <w:right w:val="nil"/>
          <w:between w:val="nil"/>
          <w:bar w:val="nil"/>
        </w:pBdr>
        <w:spacing w:before="120" w:after="120" w:line="276" w:lineRule="auto"/>
        <w:jc w:val="both"/>
        <w:rPr>
          <w:b/>
        </w:rPr>
      </w:pPr>
      <w:r w:rsidRPr="00E06C6A">
        <w:rPr>
          <w:b/>
        </w:rPr>
        <w:t>8.4 Eligibilité des dépenses</w:t>
      </w:r>
    </w:p>
    <w:p w14:paraId="69AB8175" w14:textId="77777777" w:rsidR="00E06C6A" w:rsidRPr="00E06C6A" w:rsidRDefault="00E06C6A" w:rsidP="00E06C6A">
      <w:pPr>
        <w:pStyle w:val="ListParagraph"/>
        <w:spacing w:line="226" w:lineRule="auto"/>
        <w:ind w:right="20"/>
        <w:jc w:val="both"/>
        <w:rPr>
          <w:rFonts w:eastAsia="Arial"/>
          <w:b/>
        </w:rPr>
      </w:pPr>
      <w:r w:rsidRPr="00E06C6A">
        <w:rPr>
          <w:rFonts w:eastAsia="Arial"/>
          <w:b/>
        </w:rPr>
        <w:t>8.5 Planification</w:t>
      </w:r>
    </w:p>
    <w:p w14:paraId="739248DB" w14:textId="77777777" w:rsidR="00E06C6A" w:rsidRPr="00E06C6A" w:rsidRDefault="00E06C6A" w:rsidP="00E06C6A">
      <w:pPr>
        <w:pStyle w:val="ListParagraph"/>
        <w:spacing w:line="226" w:lineRule="auto"/>
        <w:ind w:right="20"/>
        <w:rPr>
          <w:rFonts w:eastAsia="Arial"/>
          <w:b/>
        </w:rPr>
      </w:pPr>
      <w:r w:rsidRPr="00E06C6A">
        <w:rPr>
          <w:rFonts w:eastAsia="Arial"/>
          <w:b/>
        </w:rPr>
        <w:t>8.6 Processus d’exécution des dépenses</w:t>
      </w:r>
    </w:p>
    <w:p w14:paraId="4E01F437" w14:textId="77777777" w:rsidR="00E06C6A" w:rsidRPr="00E06C6A" w:rsidRDefault="00E06C6A" w:rsidP="00E06C6A">
      <w:pPr>
        <w:pStyle w:val="ListParagraph"/>
        <w:spacing w:line="226" w:lineRule="auto"/>
        <w:ind w:right="20"/>
        <w:jc w:val="both"/>
        <w:rPr>
          <w:b/>
        </w:rPr>
      </w:pPr>
      <w:r w:rsidRPr="00E06C6A">
        <w:rPr>
          <w:b/>
        </w:rPr>
        <w:t>8.7 Fonds non utilisés</w:t>
      </w:r>
    </w:p>
    <w:p w14:paraId="3C02C928" w14:textId="20A69C3B" w:rsidR="00E06C6A" w:rsidRPr="00E06C6A" w:rsidRDefault="00E06C6A" w:rsidP="00E06C6A">
      <w:pPr>
        <w:pStyle w:val="ListParagraph"/>
        <w:spacing w:line="226" w:lineRule="auto"/>
        <w:ind w:right="20"/>
        <w:jc w:val="both"/>
        <w:rPr>
          <w:b/>
        </w:rPr>
      </w:pPr>
      <w:r w:rsidRPr="00E06C6A">
        <w:rPr>
          <w:b/>
        </w:rPr>
        <w:t xml:space="preserve">8.8 Transparence et </w:t>
      </w:r>
      <w:r>
        <w:rPr>
          <w:b/>
        </w:rPr>
        <w:t>é</w:t>
      </w:r>
      <w:r w:rsidRPr="00E06C6A">
        <w:rPr>
          <w:b/>
        </w:rPr>
        <w:t>thique</w:t>
      </w:r>
    </w:p>
    <w:p w14:paraId="7678ECDD" w14:textId="4F906209" w:rsidR="006E4C32" w:rsidRDefault="006E4C32" w:rsidP="006E4C32">
      <w:pPr>
        <w:spacing w:line="276" w:lineRule="auto"/>
      </w:pPr>
      <w:r>
        <w:br w:type="page"/>
      </w:r>
    </w:p>
    <w:p w14:paraId="1823D0D3" w14:textId="77777777" w:rsidR="00BC0F4B" w:rsidRPr="006E4C32" w:rsidRDefault="00B97199" w:rsidP="0006696B">
      <w:pPr>
        <w:pStyle w:val="ListParagraph"/>
        <w:numPr>
          <w:ilvl w:val="0"/>
          <w:numId w:val="16"/>
        </w:numPr>
        <w:spacing w:line="276" w:lineRule="auto"/>
        <w:rPr>
          <w:b/>
          <w:sz w:val="32"/>
        </w:rPr>
      </w:pPr>
      <w:r w:rsidRPr="006E4C32">
        <w:rPr>
          <w:b/>
          <w:sz w:val="32"/>
        </w:rPr>
        <w:lastRenderedPageBreak/>
        <w:t xml:space="preserve">GÉNÉRALITÉS </w:t>
      </w:r>
    </w:p>
    <w:p w14:paraId="2516C5DE" w14:textId="77777777" w:rsidR="00BC0F4B" w:rsidRPr="006E4C32" w:rsidRDefault="00BC0F4B" w:rsidP="006E4C32">
      <w:pPr>
        <w:tabs>
          <w:tab w:val="left" w:pos="580"/>
        </w:tabs>
        <w:spacing w:line="276" w:lineRule="auto"/>
        <w:rPr>
          <w:rFonts w:eastAsia="Arial"/>
          <w:b/>
        </w:rPr>
      </w:pPr>
    </w:p>
    <w:p w14:paraId="75B191AA" w14:textId="2F9BEA5C" w:rsidR="00BC0F4B" w:rsidRDefault="00B97199" w:rsidP="0006696B">
      <w:pPr>
        <w:pStyle w:val="ListParagraph"/>
        <w:numPr>
          <w:ilvl w:val="1"/>
          <w:numId w:val="16"/>
        </w:numPr>
        <w:tabs>
          <w:tab w:val="left" w:pos="580"/>
        </w:tabs>
        <w:spacing w:line="276" w:lineRule="auto"/>
        <w:rPr>
          <w:rFonts w:eastAsia="Arial"/>
          <w:b/>
        </w:rPr>
      </w:pPr>
      <w:r w:rsidRPr="006E4C32">
        <w:rPr>
          <w:rFonts w:eastAsia="Arial"/>
          <w:b/>
        </w:rPr>
        <w:t>OBJE</w:t>
      </w:r>
      <w:r w:rsidR="00D5491B" w:rsidRPr="006E4C32">
        <w:rPr>
          <w:rFonts w:eastAsia="Arial"/>
          <w:b/>
        </w:rPr>
        <w:t>C</w:t>
      </w:r>
      <w:r w:rsidRPr="006E4C32">
        <w:rPr>
          <w:rFonts w:eastAsia="Arial"/>
          <w:b/>
        </w:rPr>
        <w:t>TIFS DU MANUEL</w:t>
      </w:r>
    </w:p>
    <w:p w14:paraId="7E78E431" w14:textId="77777777" w:rsidR="00A71BBA" w:rsidRPr="006E4C32" w:rsidRDefault="00A71BBA" w:rsidP="00A71BBA">
      <w:pPr>
        <w:pStyle w:val="ListParagraph"/>
        <w:tabs>
          <w:tab w:val="left" w:pos="580"/>
        </w:tabs>
        <w:spacing w:line="276" w:lineRule="auto"/>
        <w:rPr>
          <w:rFonts w:eastAsia="Arial"/>
          <w:b/>
        </w:rPr>
      </w:pPr>
    </w:p>
    <w:p w14:paraId="5843006B" w14:textId="2BF673CB" w:rsidR="00196DB0" w:rsidRDefault="00BC0F4B">
      <w:pPr>
        <w:spacing w:line="276" w:lineRule="auto"/>
        <w:jc w:val="both"/>
        <w:rPr>
          <w:rFonts w:eastAsia="Arial"/>
        </w:rPr>
      </w:pPr>
      <w:r w:rsidRPr="006E4C32">
        <w:rPr>
          <w:rFonts w:eastAsia="Arial"/>
        </w:rPr>
        <w:t>L’objectif du Manuel d’Opérations est d’établir les normes et procédures pour l’exécution d</w:t>
      </w:r>
      <w:r w:rsidR="00196DB0">
        <w:rPr>
          <w:rFonts w:eastAsia="Arial"/>
        </w:rPr>
        <w:t>u programme HA-L110</w:t>
      </w:r>
      <w:r w:rsidR="008A7032">
        <w:rPr>
          <w:rFonts w:eastAsia="Arial"/>
        </w:rPr>
        <w:t>6</w:t>
      </w:r>
      <w:r w:rsidR="00196DB0">
        <w:t>,</w:t>
      </w:r>
      <w:r w:rsidRPr="006E4C32">
        <w:t xml:space="preserve"> intitulé </w:t>
      </w:r>
      <w:r w:rsidR="00A71BBA">
        <w:t>« </w:t>
      </w:r>
      <w:r w:rsidR="008A7032">
        <w:t>Gestion des Résidus Solides dans le Nord d’Haïti</w:t>
      </w:r>
      <w:r w:rsidR="00A71BBA">
        <w:t xml:space="preserve"> ». </w:t>
      </w:r>
      <w:r w:rsidRPr="006E4C32">
        <w:rPr>
          <w:rFonts w:eastAsia="Arial"/>
        </w:rPr>
        <w:t>On entend par Programme l</w:t>
      </w:r>
      <w:r w:rsidR="00B97199" w:rsidRPr="006E4C32">
        <w:rPr>
          <w:rFonts w:eastAsia="Arial" w:cs="Times New Roman"/>
        </w:rPr>
        <w:t>’</w:t>
      </w:r>
      <w:r w:rsidRPr="006E4C32">
        <w:rPr>
          <w:rFonts w:eastAsia="Arial"/>
        </w:rPr>
        <w:t>ensemble des composantes et de</w:t>
      </w:r>
      <w:r w:rsidR="00A71BBA">
        <w:rPr>
          <w:rFonts w:eastAsia="Arial"/>
        </w:rPr>
        <w:t>s</w:t>
      </w:r>
      <w:r w:rsidRPr="006E4C32">
        <w:rPr>
          <w:rFonts w:eastAsia="Arial"/>
        </w:rPr>
        <w:t xml:space="preserve"> activités dont l</w:t>
      </w:r>
      <w:r w:rsidR="00B97199" w:rsidRPr="006E4C32">
        <w:rPr>
          <w:rFonts w:eastAsia="Arial" w:cs="Times New Roman"/>
        </w:rPr>
        <w:t>’</w:t>
      </w:r>
      <w:r w:rsidR="00B97199" w:rsidRPr="006E4C32">
        <w:rPr>
          <w:rFonts w:eastAsia="Arial"/>
        </w:rPr>
        <w:t xml:space="preserve">exécution sera financée par </w:t>
      </w:r>
      <w:r w:rsidR="00196DB0">
        <w:rPr>
          <w:rFonts w:eastAsia="Arial"/>
        </w:rPr>
        <w:t>l’</w:t>
      </w:r>
      <w:r w:rsidR="00A71BBA">
        <w:rPr>
          <w:rFonts w:eastAsia="Arial"/>
        </w:rPr>
        <w:t>A</w:t>
      </w:r>
      <w:r w:rsidR="00196DB0">
        <w:rPr>
          <w:rFonts w:eastAsia="Arial"/>
        </w:rPr>
        <w:t xml:space="preserve">ccord de don </w:t>
      </w:r>
      <w:r w:rsidR="008A7032">
        <w:rPr>
          <w:rFonts w:eastAsia="Arial"/>
        </w:rPr>
        <w:t>XXXX</w:t>
      </w:r>
      <w:r w:rsidR="00196DB0">
        <w:rPr>
          <w:rFonts w:eastAsia="Arial"/>
        </w:rPr>
        <w:t>/GR-HA.</w:t>
      </w:r>
    </w:p>
    <w:p w14:paraId="67CC4E43" w14:textId="77777777" w:rsidR="00BC0F4B" w:rsidRPr="006E4C32" w:rsidRDefault="00BC0F4B" w:rsidP="00ED6EFB">
      <w:pPr>
        <w:spacing w:line="276" w:lineRule="auto"/>
        <w:jc w:val="both"/>
        <w:rPr>
          <w:rFonts w:eastAsia="Times New Roman"/>
        </w:rPr>
      </w:pPr>
    </w:p>
    <w:p w14:paraId="23E356A7" w14:textId="7CED9F4A" w:rsidR="00BC0F4B" w:rsidRPr="006E4C32" w:rsidRDefault="00BC0F4B" w:rsidP="00ED6EFB">
      <w:pPr>
        <w:spacing w:line="276" w:lineRule="auto"/>
        <w:jc w:val="both"/>
        <w:rPr>
          <w:rFonts w:eastAsia="Arial"/>
        </w:rPr>
      </w:pPr>
      <w:r w:rsidRPr="006E4C32">
        <w:rPr>
          <w:rFonts w:eastAsia="Arial"/>
        </w:rPr>
        <w:t>Ce Manuel prétend être un guide pratique et le document de référence à consulter par tous les organismes et les personnes physiques et/ou morales qui prennent part à l'exécution, le financement et</w:t>
      </w:r>
      <w:r w:rsidR="00550E13" w:rsidRPr="006E4C32">
        <w:rPr>
          <w:rFonts w:eastAsia="Arial"/>
        </w:rPr>
        <w:t>/ou l'administration d</w:t>
      </w:r>
      <w:r w:rsidR="00196DB0">
        <w:rPr>
          <w:rFonts w:eastAsia="Arial"/>
        </w:rPr>
        <w:t>u programme :</w:t>
      </w:r>
      <w:r w:rsidR="00550E13" w:rsidRPr="006E4C32">
        <w:rPr>
          <w:rFonts w:eastAsia="Arial"/>
        </w:rPr>
        <w:t xml:space="preserve"> </w:t>
      </w:r>
    </w:p>
    <w:p w14:paraId="6380173D" w14:textId="77777777" w:rsidR="00BC0F4B" w:rsidRPr="006E4C32" w:rsidRDefault="00BC0F4B" w:rsidP="00ED6EFB">
      <w:pPr>
        <w:spacing w:line="276" w:lineRule="auto"/>
        <w:jc w:val="both"/>
        <w:rPr>
          <w:rFonts w:eastAsia="Times New Roman"/>
        </w:rPr>
      </w:pPr>
    </w:p>
    <w:p w14:paraId="44085F71" w14:textId="4AF59B14" w:rsidR="00BC0F4B" w:rsidRPr="008A7032" w:rsidRDefault="00BC0F4B" w:rsidP="008A7032">
      <w:pPr>
        <w:numPr>
          <w:ilvl w:val="0"/>
          <w:numId w:val="1"/>
        </w:numPr>
        <w:tabs>
          <w:tab w:val="left" w:pos="1080"/>
        </w:tabs>
        <w:spacing w:line="276" w:lineRule="auto"/>
        <w:ind w:left="720" w:hanging="360"/>
        <w:jc w:val="both"/>
        <w:rPr>
          <w:rFonts w:eastAsia="Times New Roman"/>
        </w:rPr>
      </w:pPr>
      <w:r w:rsidRPr="006E4C32">
        <w:rPr>
          <w:rFonts w:eastAsia="Arial"/>
        </w:rPr>
        <w:t>Le Ministère de</w:t>
      </w:r>
      <w:r w:rsidR="008A7032">
        <w:rPr>
          <w:rFonts w:eastAsia="Arial"/>
        </w:rPr>
        <w:t xml:space="preserve"> l’Economie et des Finances (MEF) auquel est rattachée l’Unité Technique d’Exécution (UTE) </w:t>
      </w:r>
      <w:r w:rsidR="00A71BBA" w:rsidRPr="008A7032">
        <w:rPr>
          <w:rFonts w:eastAsia="Arial"/>
        </w:rPr>
        <w:t>;</w:t>
      </w:r>
    </w:p>
    <w:p w14:paraId="6A41EDFD" w14:textId="43859200" w:rsidR="008A7032" w:rsidRPr="008A7032" w:rsidRDefault="00BC0F4B" w:rsidP="00ED6EFB">
      <w:pPr>
        <w:numPr>
          <w:ilvl w:val="0"/>
          <w:numId w:val="1"/>
        </w:numPr>
        <w:tabs>
          <w:tab w:val="left" w:pos="1080"/>
        </w:tabs>
        <w:spacing w:line="276" w:lineRule="auto"/>
        <w:ind w:left="720" w:hanging="360"/>
        <w:jc w:val="both"/>
        <w:rPr>
          <w:rFonts w:eastAsia="Times New Roman"/>
        </w:rPr>
      </w:pPr>
      <w:r w:rsidRPr="006E4C32">
        <w:rPr>
          <w:rFonts w:eastAsia="Arial"/>
        </w:rPr>
        <w:t>L</w:t>
      </w:r>
      <w:r w:rsidR="008A7032">
        <w:rPr>
          <w:rFonts w:eastAsia="Arial"/>
        </w:rPr>
        <w:t>e Ministère de l’Intérieur et des Collectivités Territoriales</w:t>
      </w:r>
      <w:r w:rsidR="0008694D">
        <w:rPr>
          <w:rFonts w:eastAsia="Arial"/>
        </w:rPr>
        <w:t xml:space="preserve"> (MICT)</w:t>
      </w:r>
      <w:r w:rsidR="008A7032">
        <w:rPr>
          <w:rFonts w:eastAsia="Arial"/>
        </w:rPr>
        <w:t>, sa Direction des Collectivités Territoriales (DCT) et son Unité de Coordination de Projet (UCP)</w:t>
      </w:r>
      <w:r w:rsidR="0008694D">
        <w:rPr>
          <w:rFonts w:eastAsia="Arial"/>
        </w:rPr>
        <w:t> ;</w:t>
      </w:r>
    </w:p>
    <w:p w14:paraId="756D5F35" w14:textId="6947AA38" w:rsidR="008A7032" w:rsidRPr="008A7032" w:rsidRDefault="008A7032" w:rsidP="00ED6EFB">
      <w:pPr>
        <w:numPr>
          <w:ilvl w:val="0"/>
          <w:numId w:val="1"/>
        </w:numPr>
        <w:tabs>
          <w:tab w:val="left" w:pos="1080"/>
        </w:tabs>
        <w:spacing w:line="276" w:lineRule="auto"/>
        <w:ind w:left="720" w:hanging="360"/>
        <w:jc w:val="both"/>
        <w:rPr>
          <w:rFonts w:eastAsia="Times New Roman"/>
        </w:rPr>
      </w:pPr>
      <w:r>
        <w:rPr>
          <w:rFonts w:eastAsia="Times New Roman"/>
        </w:rPr>
        <w:t>Les Mairies</w:t>
      </w:r>
      <w:r w:rsidR="0008694D">
        <w:rPr>
          <w:rFonts w:eastAsia="Times New Roman"/>
        </w:rPr>
        <w:t xml:space="preserve"> du Cap Haïtien, Limonade et Quartier Morin ;</w:t>
      </w:r>
    </w:p>
    <w:p w14:paraId="60FC516E" w14:textId="2FF42571" w:rsidR="00BC0F4B" w:rsidRPr="006E4C32" w:rsidRDefault="00BC0F4B" w:rsidP="00ED6EFB">
      <w:pPr>
        <w:numPr>
          <w:ilvl w:val="0"/>
          <w:numId w:val="1"/>
        </w:numPr>
        <w:tabs>
          <w:tab w:val="left" w:pos="1080"/>
        </w:tabs>
        <w:spacing w:line="276" w:lineRule="auto"/>
        <w:ind w:left="720" w:hanging="360"/>
        <w:jc w:val="both"/>
        <w:rPr>
          <w:rFonts w:eastAsia="Times New Roman"/>
        </w:rPr>
      </w:pPr>
      <w:r w:rsidRPr="006E4C32">
        <w:rPr>
          <w:rFonts w:eastAsia="Arial"/>
        </w:rPr>
        <w:t>La Banque Interaméricaine de Développement (BID)</w:t>
      </w:r>
      <w:r w:rsidR="00A71BBA">
        <w:rPr>
          <w:rFonts w:eastAsia="Arial"/>
        </w:rPr>
        <w:t>.</w:t>
      </w:r>
    </w:p>
    <w:p w14:paraId="2EEC4688" w14:textId="67CF5EFB" w:rsidR="00BC0F4B" w:rsidRDefault="00BC0F4B" w:rsidP="00ED6EFB">
      <w:pPr>
        <w:spacing w:line="276" w:lineRule="auto"/>
        <w:jc w:val="both"/>
        <w:rPr>
          <w:rFonts w:eastAsia="Times New Roman"/>
        </w:rPr>
      </w:pPr>
    </w:p>
    <w:p w14:paraId="197BACE9" w14:textId="53ABA6E2" w:rsidR="0008694D" w:rsidRDefault="0008694D" w:rsidP="00ED6EFB">
      <w:pPr>
        <w:spacing w:line="276" w:lineRule="auto"/>
        <w:jc w:val="both"/>
        <w:rPr>
          <w:rFonts w:eastAsia="Times New Roman"/>
        </w:rPr>
      </w:pPr>
      <w:r>
        <w:rPr>
          <w:rFonts w:eastAsia="Times New Roman"/>
        </w:rPr>
        <w:t>L’UTE, d’une part, et l’UCP (avec l’appui technique de la DCT), d’autre part, seront les deux Organismes d’Exécution (OE) du programme, chacun étant responsable de l’exécution d’une des deux composantes du programme.</w:t>
      </w:r>
    </w:p>
    <w:p w14:paraId="3299F568" w14:textId="77777777" w:rsidR="0008694D" w:rsidRPr="006E4C32" w:rsidRDefault="0008694D" w:rsidP="00ED6EFB">
      <w:pPr>
        <w:spacing w:line="276" w:lineRule="auto"/>
        <w:jc w:val="both"/>
        <w:rPr>
          <w:rFonts w:eastAsia="Times New Roman"/>
        </w:rPr>
      </w:pPr>
    </w:p>
    <w:p w14:paraId="395A91CB" w14:textId="58C37D2A" w:rsidR="00BC0F4B" w:rsidRPr="006E4C32" w:rsidRDefault="00BC0F4B" w:rsidP="00ED6EFB">
      <w:pPr>
        <w:spacing w:line="276" w:lineRule="auto"/>
        <w:jc w:val="both"/>
        <w:rPr>
          <w:rFonts w:eastAsia="Arial"/>
        </w:rPr>
      </w:pPr>
      <w:r w:rsidRPr="006E4C32">
        <w:rPr>
          <w:rFonts w:eastAsia="Arial"/>
        </w:rPr>
        <w:t>Ces dispositions devront aussi être communiquées aux autres participants du Programme, chacun suivant la partie qui le concerne</w:t>
      </w:r>
      <w:r w:rsidR="00A71BBA">
        <w:rPr>
          <w:rFonts w:eastAsia="Arial"/>
        </w:rPr>
        <w:t xml:space="preserve"> </w:t>
      </w:r>
      <w:r w:rsidRPr="006E4C32">
        <w:rPr>
          <w:rFonts w:eastAsia="Arial"/>
        </w:rPr>
        <w:t>:</w:t>
      </w:r>
    </w:p>
    <w:p w14:paraId="6297F009" w14:textId="77777777" w:rsidR="00BC0F4B" w:rsidRPr="006E4C32" w:rsidRDefault="00BC0F4B" w:rsidP="00ED6EFB">
      <w:pPr>
        <w:spacing w:line="276" w:lineRule="auto"/>
        <w:jc w:val="both"/>
        <w:rPr>
          <w:rFonts w:eastAsia="Times New Roman"/>
        </w:rPr>
      </w:pPr>
    </w:p>
    <w:p w14:paraId="79E07A8F" w14:textId="33B04453" w:rsidR="00BC0F4B" w:rsidRPr="006E4C32" w:rsidRDefault="00BC0F4B" w:rsidP="00ED6EFB">
      <w:pPr>
        <w:numPr>
          <w:ilvl w:val="0"/>
          <w:numId w:val="2"/>
        </w:numPr>
        <w:tabs>
          <w:tab w:val="left" w:pos="1080"/>
        </w:tabs>
        <w:spacing w:line="276" w:lineRule="auto"/>
        <w:ind w:left="1080" w:hanging="370"/>
        <w:jc w:val="both"/>
        <w:rPr>
          <w:rFonts w:eastAsia="Times New Roman"/>
        </w:rPr>
      </w:pPr>
      <w:r w:rsidRPr="006E4C32">
        <w:rPr>
          <w:rFonts w:eastAsia="Arial"/>
        </w:rPr>
        <w:t>autres prestataires de services contractuels du projet</w:t>
      </w:r>
      <w:r w:rsidR="00A71BBA">
        <w:rPr>
          <w:rFonts w:eastAsia="Arial"/>
        </w:rPr>
        <w:t> ;</w:t>
      </w:r>
    </w:p>
    <w:p w14:paraId="33CAB25E" w14:textId="73A84650" w:rsidR="00BC0F4B" w:rsidRPr="006E4C32" w:rsidRDefault="00BC0F4B" w:rsidP="00ED6EFB">
      <w:pPr>
        <w:numPr>
          <w:ilvl w:val="0"/>
          <w:numId w:val="2"/>
        </w:numPr>
        <w:tabs>
          <w:tab w:val="left" w:pos="1080"/>
        </w:tabs>
        <w:spacing w:line="276" w:lineRule="auto"/>
        <w:ind w:left="1080" w:hanging="370"/>
        <w:jc w:val="both"/>
        <w:rPr>
          <w:rFonts w:eastAsia="Times New Roman"/>
        </w:rPr>
      </w:pPr>
      <w:r w:rsidRPr="006E4C32">
        <w:rPr>
          <w:rFonts w:eastAsia="Arial"/>
        </w:rPr>
        <w:t>les consultants</w:t>
      </w:r>
      <w:r w:rsidR="00A71BBA">
        <w:rPr>
          <w:rFonts w:eastAsia="Arial"/>
        </w:rPr>
        <w:t> ;</w:t>
      </w:r>
    </w:p>
    <w:p w14:paraId="022981B7" w14:textId="3EB06728" w:rsidR="00BC0F4B" w:rsidRPr="006E4C32" w:rsidRDefault="00BC0F4B" w:rsidP="00ED6EFB">
      <w:pPr>
        <w:numPr>
          <w:ilvl w:val="0"/>
          <w:numId w:val="2"/>
        </w:numPr>
        <w:tabs>
          <w:tab w:val="left" w:pos="1080"/>
        </w:tabs>
        <w:spacing w:line="276" w:lineRule="auto"/>
        <w:ind w:left="1080" w:hanging="370"/>
        <w:jc w:val="both"/>
        <w:rPr>
          <w:rFonts w:eastAsia="Times New Roman"/>
        </w:rPr>
      </w:pPr>
      <w:r w:rsidRPr="006E4C32">
        <w:rPr>
          <w:rFonts w:eastAsia="Arial"/>
        </w:rPr>
        <w:t>les partenaires individuels et institutionnels du projet</w:t>
      </w:r>
      <w:r w:rsidR="00A71BBA">
        <w:rPr>
          <w:rFonts w:eastAsia="Arial"/>
        </w:rPr>
        <w:t> ;</w:t>
      </w:r>
    </w:p>
    <w:p w14:paraId="0D61FA7D" w14:textId="4F91D698" w:rsidR="00BC0F4B" w:rsidRPr="006E4C32" w:rsidRDefault="00BC0F4B" w:rsidP="00ED6EFB">
      <w:pPr>
        <w:numPr>
          <w:ilvl w:val="0"/>
          <w:numId w:val="2"/>
        </w:numPr>
        <w:tabs>
          <w:tab w:val="left" w:pos="1080"/>
        </w:tabs>
        <w:spacing w:line="276" w:lineRule="auto"/>
        <w:ind w:left="1080" w:hanging="370"/>
        <w:jc w:val="both"/>
        <w:rPr>
          <w:rFonts w:eastAsia="Times New Roman"/>
        </w:rPr>
      </w:pPr>
      <w:r w:rsidRPr="006E4C32">
        <w:rPr>
          <w:rFonts w:eastAsia="Arial"/>
        </w:rPr>
        <w:t>les auditeurs</w:t>
      </w:r>
      <w:r w:rsidR="00A71BBA">
        <w:rPr>
          <w:rFonts w:eastAsia="Arial"/>
        </w:rPr>
        <w:t> ;</w:t>
      </w:r>
    </w:p>
    <w:p w14:paraId="02D338F3" w14:textId="77777777" w:rsidR="00BC0F4B" w:rsidRPr="006E4C32" w:rsidRDefault="00550E13" w:rsidP="00ED6EFB">
      <w:pPr>
        <w:numPr>
          <w:ilvl w:val="0"/>
          <w:numId w:val="2"/>
        </w:numPr>
        <w:tabs>
          <w:tab w:val="left" w:pos="1080"/>
        </w:tabs>
        <w:spacing w:line="276" w:lineRule="auto"/>
        <w:ind w:left="1080" w:hanging="370"/>
        <w:jc w:val="both"/>
        <w:rPr>
          <w:rFonts w:eastAsia="Times New Roman"/>
        </w:rPr>
      </w:pPr>
      <w:r w:rsidRPr="006E4C32">
        <w:rPr>
          <w:rFonts w:eastAsia="Arial"/>
        </w:rPr>
        <w:t>les responsables de l’</w:t>
      </w:r>
      <w:r w:rsidR="00BC0F4B" w:rsidRPr="006E4C32">
        <w:rPr>
          <w:rFonts w:eastAsia="Arial"/>
        </w:rPr>
        <w:t>évaluation.</w:t>
      </w:r>
    </w:p>
    <w:p w14:paraId="7C3C7AD8" w14:textId="77777777" w:rsidR="00BC0F4B" w:rsidRPr="006E4C32" w:rsidRDefault="00BC0F4B" w:rsidP="00ED6EFB">
      <w:pPr>
        <w:spacing w:line="276" w:lineRule="auto"/>
        <w:jc w:val="both"/>
        <w:rPr>
          <w:rFonts w:eastAsia="Times New Roman"/>
        </w:rPr>
      </w:pPr>
    </w:p>
    <w:p w14:paraId="7D27F652" w14:textId="1C9E4354" w:rsidR="00BC0F4B" w:rsidRPr="006E4C32" w:rsidRDefault="00BC0F4B" w:rsidP="00ED6EFB">
      <w:pPr>
        <w:spacing w:line="276" w:lineRule="auto"/>
        <w:jc w:val="both"/>
        <w:rPr>
          <w:rFonts w:eastAsia="Arial"/>
        </w:rPr>
      </w:pPr>
      <w:r w:rsidRPr="006E4C32">
        <w:rPr>
          <w:rFonts w:eastAsia="Arial"/>
        </w:rPr>
        <w:t>En cas</w:t>
      </w:r>
      <w:r w:rsidR="00550E13" w:rsidRPr="006E4C32">
        <w:rPr>
          <w:rFonts w:eastAsia="Arial"/>
        </w:rPr>
        <w:t xml:space="preserve"> de différence entre l</w:t>
      </w:r>
      <w:r w:rsidR="009676B9">
        <w:rPr>
          <w:rFonts w:eastAsia="Arial"/>
        </w:rPr>
        <w:t>’</w:t>
      </w:r>
      <w:r w:rsidR="00550E13" w:rsidRPr="006E4C32">
        <w:rPr>
          <w:rFonts w:eastAsia="Arial"/>
        </w:rPr>
        <w:t xml:space="preserve">Accord </w:t>
      </w:r>
      <w:r w:rsidRPr="006E4C32">
        <w:rPr>
          <w:rFonts w:eastAsia="Arial"/>
        </w:rPr>
        <w:t>de Don</w:t>
      </w:r>
      <w:r w:rsidR="00550E13" w:rsidRPr="006E4C32">
        <w:rPr>
          <w:rFonts w:eastAsia="Arial"/>
        </w:rPr>
        <w:t xml:space="preserve"> d</w:t>
      </w:r>
      <w:r w:rsidR="009676B9">
        <w:rPr>
          <w:rFonts w:eastAsia="Arial"/>
        </w:rPr>
        <w:t>u programme</w:t>
      </w:r>
      <w:r w:rsidRPr="006E4C32">
        <w:rPr>
          <w:rFonts w:eastAsia="Arial"/>
        </w:rPr>
        <w:t xml:space="preserve"> </w:t>
      </w:r>
      <w:r w:rsidR="00550E13" w:rsidRPr="006E4C32">
        <w:rPr>
          <w:rFonts w:eastAsia="Arial"/>
        </w:rPr>
        <w:t>et le présent Manuel, l</w:t>
      </w:r>
      <w:r w:rsidR="009676B9">
        <w:rPr>
          <w:rFonts w:eastAsia="Arial"/>
        </w:rPr>
        <w:t>’</w:t>
      </w:r>
      <w:r w:rsidR="00550E13" w:rsidRPr="006E4C32">
        <w:rPr>
          <w:rFonts w:eastAsia="Arial"/>
        </w:rPr>
        <w:t xml:space="preserve">Accord de Don </w:t>
      </w:r>
      <w:r w:rsidR="009676B9">
        <w:rPr>
          <w:rFonts w:eastAsia="Arial"/>
        </w:rPr>
        <w:t>a</w:t>
      </w:r>
      <w:r w:rsidRPr="006E4C32">
        <w:rPr>
          <w:rFonts w:eastAsia="Arial"/>
        </w:rPr>
        <w:t xml:space="preserve"> toujours valeur prépondérante.</w:t>
      </w:r>
    </w:p>
    <w:p w14:paraId="0121B3AF" w14:textId="77777777" w:rsidR="00D0325E" w:rsidRPr="006E4C32" w:rsidRDefault="00D0325E" w:rsidP="00ED6EFB">
      <w:pPr>
        <w:spacing w:line="276" w:lineRule="auto"/>
        <w:jc w:val="both"/>
        <w:rPr>
          <w:rFonts w:eastAsia="Times New Roman"/>
        </w:rPr>
      </w:pPr>
    </w:p>
    <w:p w14:paraId="04F6F8D9" w14:textId="77777777" w:rsidR="00BC0F4B" w:rsidRPr="006E4C32" w:rsidRDefault="00BC0F4B" w:rsidP="00ED6EFB">
      <w:pPr>
        <w:spacing w:line="276" w:lineRule="auto"/>
        <w:jc w:val="both"/>
        <w:rPr>
          <w:rFonts w:eastAsia="Times New Roman"/>
        </w:rPr>
      </w:pPr>
    </w:p>
    <w:p w14:paraId="11B5601F" w14:textId="77777777" w:rsidR="00553B26" w:rsidRPr="006E4C32" w:rsidRDefault="00B97199" w:rsidP="0006696B">
      <w:pPr>
        <w:pStyle w:val="ListParagraph"/>
        <w:numPr>
          <w:ilvl w:val="1"/>
          <w:numId w:val="15"/>
        </w:numPr>
        <w:tabs>
          <w:tab w:val="left" w:pos="580"/>
        </w:tabs>
        <w:spacing w:line="276" w:lineRule="auto"/>
        <w:jc w:val="both"/>
        <w:rPr>
          <w:rFonts w:eastAsia="Arial"/>
          <w:b/>
        </w:rPr>
      </w:pPr>
      <w:r w:rsidRPr="006E4C32">
        <w:rPr>
          <w:rFonts w:eastAsia="Arial"/>
          <w:b/>
        </w:rPr>
        <w:t xml:space="preserve">PORTÉE ET STRUCTURE </w:t>
      </w:r>
    </w:p>
    <w:p w14:paraId="76354894" w14:textId="77777777" w:rsidR="00553B26" w:rsidRPr="006E4C32" w:rsidRDefault="00553B26" w:rsidP="00ED6EFB">
      <w:pPr>
        <w:spacing w:line="276" w:lineRule="auto"/>
        <w:jc w:val="both"/>
        <w:rPr>
          <w:rFonts w:eastAsia="Times New Roman"/>
        </w:rPr>
      </w:pPr>
    </w:p>
    <w:p w14:paraId="2E880644" w14:textId="661053D5" w:rsidR="00553B26" w:rsidRPr="006E4C32" w:rsidRDefault="00553B26" w:rsidP="00ED6EFB">
      <w:pPr>
        <w:spacing w:line="276" w:lineRule="auto"/>
        <w:jc w:val="both"/>
        <w:rPr>
          <w:rFonts w:eastAsia="Arial"/>
        </w:rPr>
      </w:pPr>
      <w:r w:rsidRPr="006E4C32">
        <w:rPr>
          <w:rFonts w:eastAsia="Arial"/>
        </w:rPr>
        <w:lastRenderedPageBreak/>
        <w:t xml:space="preserve">Le manuel </w:t>
      </w:r>
      <w:r w:rsidR="00D3545F" w:rsidRPr="006E4C32">
        <w:rPr>
          <w:rFonts w:eastAsia="Arial"/>
        </w:rPr>
        <w:t>consolid</w:t>
      </w:r>
      <w:r w:rsidRPr="006E4C32">
        <w:rPr>
          <w:rFonts w:eastAsia="Arial"/>
        </w:rPr>
        <w:t xml:space="preserve">é se veut un guide pratique auquel chaque intervenant </w:t>
      </w:r>
      <w:r w:rsidR="00E91F71" w:rsidRPr="006E4C32">
        <w:rPr>
          <w:rFonts w:eastAsia="Arial"/>
        </w:rPr>
        <w:t>d</w:t>
      </w:r>
      <w:r w:rsidR="0008694D">
        <w:rPr>
          <w:rFonts w:eastAsia="Arial"/>
        </w:rPr>
        <w:t>u</w:t>
      </w:r>
      <w:r w:rsidR="00E91F71" w:rsidRPr="006E4C32">
        <w:rPr>
          <w:rFonts w:eastAsia="Arial"/>
        </w:rPr>
        <w:t xml:space="preserve"> programme</w:t>
      </w:r>
      <w:r w:rsidRPr="006E4C32">
        <w:rPr>
          <w:rFonts w:eastAsia="Arial"/>
        </w:rPr>
        <w:t xml:space="preserve"> (</w:t>
      </w:r>
      <w:r w:rsidR="009676B9">
        <w:rPr>
          <w:rFonts w:eastAsia="Arial"/>
        </w:rPr>
        <w:t>chef de projet, comptable,</w:t>
      </w:r>
      <w:r w:rsidRPr="006E4C32">
        <w:rPr>
          <w:rFonts w:eastAsia="Arial"/>
        </w:rPr>
        <w:t xml:space="preserve"> ingénieur, responsable en passation de marché, personnel administratif… etc.) pourra se référer en cas de doute sur la procédure à utiliser ou les documents en vigueur dans son secteur.</w:t>
      </w:r>
    </w:p>
    <w:p w14:paraId="336518C6" w14:textId="1F733170" w:rsidR="00553B26" w:rsidRDefault="00553B26" w:rsidP="00ED6EFB">
      <w:pPr>
        <w:spacing w:line="276" w:lineRule="auto"/>
        <w:jc w:val="both"/>
        <w:rPr>
          <w:rFonts w:eastAsia="Times New Roman"/>
        </w:rPr>
      </w:pPr>
    </w:p>
    <w:p w14:paraId="2E358666" w14:textId="39D17C5A" w:rsidR="009676B9" w:rsidRPr="00EA02B6" w:rsidRDefault="009676B9" w:rsidP="009676B9">
      <w:pPr>
        <w:spacing w:line="276" w:lineRule="auto"/>
        <w:jc w:val="both"/>
        <w:rPr>
          <w:rFonts w:eastAsia="Arial"/>
        </w:rPr>
      </w:pPr>
      <w:r w:rsidRPr="00EA02B6">
        <w:rPr>
          <w:rFonts w:eastAsia="Arial"/>
        </w:rPr>
        <w:t xml:space="preserve">Le présent </w:t>
      </w:r>
      <w:r>
        <w:rPr>
          <w:rFonts w:eastAsia="Arial"/>
        </w:rPr>
        <w:t>manuel</w:t>
      </w:r>
      <w:r w:rsidRPr="00EA02B6">
        <w:rPr>
          <w:rFonts w:eastAsia="Arial"/>
        </w:rPr>
        <w:t xml:space="preserve"> décrit les procédures que l</w:t>
      </w:r>
      <w:r w:rsidR="0008694D">
        <w:rPr>
          <w:rFonts w:eastAsia="Arial"/>
        </w:rPr>
        <w:t>’UTE, la DCT et l’UCP</w:t>
      </w:r>
      <w:r>
        <w:rPr>
          <w:rFonts w:eastAsia="Arial"/>
        </w:rPr>
        <w:t xml:space="preserve"> </w:t>
      </w:r>
      <w:r w:rsidRPr="00EA02B6">
        <w:rPr>
          <w:rFonts w:eastAsia="Arial"/>
        </w:rPr>
        <w:t xml:space="preserve">ainsi que les </w:t>
      </w:r>
      <w:r>
        <w:rPr>
          <w:rFonts w:eastAsia="Arial"/>
        </w:rPr>
        <w:t xml:space="preserve">acteurs impliqués </w:t>
      </w:r>
      <w:r w:rsidRPr="00EA02B6">
        <w:rPr>
          <w:rFonts w:eastAsia="Arial"/>
        </w:rPr>
        <w:t>devront utiliser à titre de guide dans l’accomplissement des tâches techniques, administratives et financières relatives à l’exécution d</w:t>
      </w:r>
      <w:r>
        <w:rPr>
          <w:rFonts w:eastAsia="Arial"/>
        </w:rPr>
        <w:t>u programme</w:t>
      </w:r>
      <w:r w:rsidRPr="00EA02B6">
        <w:rPr>
          <w:rFonts w:eastAsia="Arial"/>
        </w:rPr>
        <w:t>.</w:t>
      </w:r>
    </w:p>
    <w:p w14:paraId="5671C79A" w14:textId="77777777" w:rsidR="009676B9" w:rsidRPr="00B00D2D" w:rsidRDefault="009676B9" w:rsidP="009676B9">
      <w:pPr>
        <w:spacing w:line="276" w:lineRule="auto"/>
        <w:jc w:val="both"/>
        <w:rPr>
          <w:rFonts w:eastAsia="Arial"/>
        </w:rPr>
      </w:pPr>
    </w:p>
    <w:p w14:paraId="660342E6" w14:textId="67B3E2C6" w:rsidR="009676B9" w:rsidRPr="00455C01" w:rsidRDefault="009676B9" w:rsidP="009676B9">
      <w:pPr>
        <w:spacing w:line="276" w:lineRule="auto"/>
        <w:jc w:val="both"/>
        <w:rPr>
          <w:rFonts w:eastAsia="Arial"/>
        </w:rPr>
      </w:pPr>
      <w:r w:rsidRPr="00B00D2D">
        <w:rPr>
          <w:rFonts w:eastAsia="Arial"/>
        </w:rPr>
        <w:t>Quand appliqués de façon uniforme</w:t>
      </w:r>
      <w:r>
        <w:rPr>
          <w:rFonts w:eastAsia="Arial"/>
        </w:rPr>
        <w:t xml:space="preserve"> par tous les acteurs impliqués,</w:t>
      </w:r>
      <w:r w:rsidRPr="00B00D2D">
        <w:rPr>
          <w:rFonts w:eastAsia="Arial"/>
        </w:rPr>
        <w:t xml:space="preserve"> les principes et les politiques assurent que </w:t>
      </w:r>
      <w:r>
        <w:rPr>
          <w:rFonts w:eastAsia="Arial"/>
        </w:rPr>
        <w:t xml:space="preserve">l’exécution du programme se réalise de manière transparente et efficace et que </w:t>
      </w:r>
      <w:r w:rsidRPr="00B00D2D">
        <w:rPr>
          <w:rFonts w:eastAsia="Arial"/>
        </w:rPr>
        <w:t>les différents états financiers émis reflètent fidèlement les résultats des activités du pro</w:t>
      </w:r>
      <w:r>
        <w:rPr>
          <w:rFonts w:eastAsia="Arial"/>
        </w:rPr>
        <w:t>gramme</w:t>
      </w:r>
      <w:r w:rsidRPr="00B00D2D">
        <w:rPr>
          <w:rFonts w:eastAsia="Arial"/>
        </w:rPr>
        <w:t xml:space="preserve">. </w:t>
      </w:r>
      <w:r w:rsidRPr="00455C01">
        <w:rPr>
          <w:rFonts w:eastAsia="Arial"/>
        </w:rPr>
        <w:t xml:space="preserve">Il est de la responsabilité de tous les employés (permanents ou contractuels) de suivre des procédures qui mettent en œuvre ces politiques et à aider à une amélioration continue des activités et </w:t>
      </w:r>
      <w:r w:rsidR="00135368">
        <w:rPr>
          <w:rFonts w:eastAsia="Arial"/>
        </w:rPr>
        <w:t>d</w:t>
      </w:r>
      <w:r w:rsidRPr="00455C01">
        <w:rPr>
          <w:rFonts w:eastAsia="Arial"/>
        </w:rPr>
        <w:t xml:space="preserve">es pratiques du Programme. </w:t>
      </w:r>
    </w:p>
    <w:p w14:paraId="262A573C" w14:textId="77777777" w:rsidR="009676B9" w:rsidRDefault="009676B9" w:rsidP="009676B9">
      <w:pPr>
        <w:spacing w:line="276" w:lineRule="auto"/>
        <w:jc w:val="both"/>
        <w:rPr>
          <w:rFonts w:eastAsia="Arial"/>
        </w:rPr>
      </w:pPr>
    </w:p>
    <w:p w14:paraId="41615EEE" w14:textId="7B0FC322" w:rsidR="009676B9" w:rsidRPr="00564F68" w:rsidRDefault="009676B9" w:rsidP="009676B9">
      <w:pPr>
        <w:spacing w:line="276" w:lineRule="auto"/>
        <w:jc w:val="both"/>
        <w:rPr>
          <w:rFonts w:eastAsia="Arial"/>
        </w:rPr>
      </w:pPr>
      <w:r>
        <w:rPr>
          <w:rFonts w:eastAsia="Arial"/>
        </w:rPr>
        <w:t>L</w:t>
      </w:r>
      <w:r w:rsidRPr="00564F68">
        <w:rPr>
          <w:rFonts w:eastAsia="Arial"/>
        </w:rPr>
        <w:t>es aspects traités par le présent document sont les suivants</w:t>
      </w:r>
      <w:r w:rsidR="00135368">
        <w:rPr>
          <w:rFonts w:eastAsia="Arial"/>
        </w:rPr>
        <w:t xml:space="preserve"> </w:t>
      </w:r>
      <w:r w:rsidRPr="00564F68">
        <w:rPr>
          <w:rFonts w:eastAsia="Arial"/>
        </w:rPr>
        <w:t>:</w:t>
      </w:r>
    </w:p>
    <w:p w14:paraId="09401C9D" w14:textId="7265E1E4" w:rsidR="009676B9" w:rsidRPr="00564F68" w:rsidRDefault="009676B9" w:rsidP="0006696B">
      <w:pPr>
        <w:numPr>
          <w:ilvl w:val="0"/>
          <w:numId w:val="22"/>
        </w:numPr>
        <w:spacing w:line="276" w:lineRule="auto"/>
        <w:jc w:val="both"/>
        <w:rPr>
          <w:rFonts w:eastAsia="Arial"/>
        </w:rPr>
      </w:pPr>
      <w:r w:rsidRPr="00564F68">
        <w:rPr>
          <w:rFonts w:eastAsia="Arial"/>
        </w:rPr>
        <w:t>Les arrangements institutionnels et l’établissement des liens de coordination entre les différentes entités intervenant dans l’exécution</w:t>
      </w:r>
      <w:r w:rsidR="00135368">
        <w:rPr>
          <w:rFonts w:eastAsia="Arial"/>
        </w:rPr>
        <w:t xml:space="preserve"> </w:t>
      </w:r>
      <w:r w:rsidRPr="00564F68">
        <w:rPr>
          <w:rFonts w:eastAsia="Arial"/>
        </w:rPr>
        <w:t>du Programme</w:t>
      </w:r>
      <w:r w:rsidR="00135368">
        <w:rPr>
          <w:rFonts w:eastAsia="Arial"/>
        </w:rPr>
        <w:t xml:space="preserve"> </w:t>
      </w:r>
      <w:r w:rsidRPr="00564F68">
        <w:rPr>
          <w:rFonts w:eastAsia="Arial"/>
        </w:rPr>
        <w:t>;</w:t>
      </w:r>
    </w:p>
    <w:p w14:paraId="7B966B74" w14:textId="77777777" w:rsidR="009676B9" w:rsidRPr="00564F68" w:rsidRDefault="009676B9" w:rsidP="0006696B">
      <w:pPr>
        <w:numPr>
          <w:ilvl w:val="0"/>
          <w:numId w:val="22"/>
        </w:numPr>
        <w:spacing w:line="276" w:lineRule="auto"/>
        <w:jc w:val="both"/>
        <w:rPr>
          <w:rFonts w:eastAsia="Arial"/>
        </w:rPr>
      </w:pPr>
      <w:r w:rsidRPr="00564F68">
        <w:rPr>
          <w:rFonts w:eastAsia="Arial"/>
        </w:rPr>
        <w:t>Description des différents mécanismes opératoires que les institutions impliquées dans la mise en œuvre des différentes activités d’un projet devront appliquer afin de garantir la réalisation de ses objectifs. Ces mécanismes comprennent :</w:t>
      </w:r>
    </w:p>
    <w:p w14:paraId="54A538BA" w14:textId="77777777" w:rsidR="009676B9" w:rsidRPr="00564F68" w:rsidRDefault="009676B9" w:rsidP="0006696B">
      <w:pPr>
        <w:numPr>
          <w:ilvl w:val="0"/>
          <w:numId w:val="23"/>
        </w:numPr>
        <w:spacing w:line="276" w:lineRule="auto"/>
        <w:jc w:val="both"/>
        <w:rPr>
          <w:rFonts w:eastAsia="Arial"/>
        </w:rPr>
      </w:pPr>
      <w:r w:rsidRPr="00564F68">
        <w:rPr>
          <w:rFonts w:eastAsia="Arial"/>
        </w:rPr>
        <w:t>Les mécanismes généraux d’exécution ;</w:t>
      </w:r>
    </w:p>
    <w:p w14:paraId="617E0D83" w14:textId="1B761432" w:rsidR="009676B9" w:rsidRPr="00564F68" w:rsidRDefault="009676B9" w:rsidP="0006696B">
      <w:pPr>
        <w:numPr>
          <w:ilvl w:val="0"/>
          <w:numId w:val="23"/>
        </w:numPr>
        <w:spacing w:line="276" w:lineRule="auto"/>
        <w:jc w:val="both"/>
        <w:rPr>
          <w:rFonts w:eastAsia="Arial"/>
        </w:rPr>
      </w:pPr>
      <w:r w:rsidRPr="00564F68">
        <w:rPr>
          <w:rFonts w:eastAsia="Arial"/>
        </w:rPr>
        <w:t>Les instruments de coordination entre l</w:t>
      </w:r>
      <w:r w:rsidR="0008694D">
        <w:rPr>
          <w:rFonts w:eastAsia="Arial"/>
        </w:rPr>
        <w:t>es Organismes d’exécution</w:t>
      </w:r>
      <w:r>
        <w:rPr>
          <w:rFonts w:eastAsia="Arial"/>
        </w:rPr>
        <w:t xml:space="preserve"> </w:t>
      </w:r>
      <w:r w:rsidRPr="00564F68">
        <w:rPr>
          <w:rFonts w:eastAsia="Arial"/>
        </w:rPr>
        <w:t>et les autres acteurs et entités amenés à participer à la mise en œuvre du projet</w:t>
      </w:r>
      <w:r w:rsidR="00135368">
        <w:rPr>
          <w:rFonts w:eastAsia="Arial"/>
        </w:rPr>
        <w:t xml:space="preserve"> </w:t>
      </w:r>
      <w:r w:rsidRPr="00564F68">
        <w:rPr>
          <w:rFonts w:eastAsia="Arial"/>
        </w:rPr>
        <w:t>;</w:t>
      </w:r>
    </w:p>
    <w:p w14:paraId="3BD9418B" w14:textId="01745122" w:rsidR="009676B9" w:rsidRPr="00564F68" w:rsidRDefault="009676B9" w:rsidP="0006696B">
      <w:pPr>
        <w:numPr>
          <w:ilvl w:val="0"/>
          <w:numId w:val="23"/>
        </w:numPr>
        <w:spacing w:line="276" w:lineRule="auto"/>
        <w:jc w:val="both"/>
        <w:rPr>
          <w:rFonts w:eastAsia="Arial"/>
        </w:rPr>
      </w:pPr>
      <w:r w:rsidRPr="00564F68">
        <w:rPr>
          <w:rFonts w:eastAsia="Arial"/>
        </w:rPr>
        <w:t xml:space="preserve">La passation de contrats de prestations intellectuelles de conseil, </w:t>
      </w:r>
      <w:r w:rsidR="00A71BBA" w:rsidRPr="00564F68">
        <w:rPr>
          <w:rFonts w:eastAsia="Arial"/>
        </w:rPr>
        <w:t>de</w:t>
      </w:r>
      <w:r w:rsidR="00A71BBA">
        <w:rPr>
          <w:rFonts w:eastAsia="Arial"/>
        </w:rPr>
        <w:t>s</w:t>
      </w:r>
      <w:r w:rsidR="00A71BBA" w:rsidRPr="00564F68">
        <w:rPr>
          <w:rFonts w:eastAsia="Arial"/>
        </w:rPr>
        <w:t xml:space="preserve"> services</w:t>
      </w:r>
      <w:r w:rsidRPr="00564F68">
        <w:rPr>
          <w:rFonts w:eastAsia="Arial"/>
        </w:rPr>
        <w:t xml:space="preserve"> ou de travaux ;</w:t>
      </w:r>
    </w:p>
    <w:p w14:paraId="18B43B01" w14:textId="77777777" w:rsidR="009676B9" w:rsidRPr="00564F68" w:rsidRDefault="009676B9" w:rsidP="0006696B">
      <w:pPr>
        <w:numPr>
          <w:ilvl w:val="0"/>
          <w:numId w:val="23"/>
        </w:numPr>
        <w:spacing w:line="276" w:lineRule="auto"/>
        <w:jc w:val="both"/>
        <w:rPr>
          <w:rFonts w:eastAsia="Arial"/>
        </w:rPr>
      </w:pPr>
      <w:r w:rsidRPr="00564F68">
        <w:rPr>
          <w:rFonts w:eastAsia="Arial"/>
        </w:rPr>
        <w:t>Les procédures d’acquisition de biens et services ;</w:t>
      </w:r>
    </w:p>
    <w:p w14:paraId="5548501B" w14:textId="5B0989FF" w:rsidR="009676B9" w:rsidRPr="00564F68" w:rsidRDefault="009676B9" w:rsidP="0006696B">
      <w:pPr>
        <w:numPr>
          <w:ilvl w:val="0"/>
          <w:numId w:val="23"/>
        </w:numPr>
        <w:spacing w:line="276" w:lineRule="auto"/>
        <w:jc w:val="both"/>
        <w:rPr>
          <w:rFonts w:eastAsia="Arial"/>
        </w:rPr>
      </w:pPr>
      <w:r w:rsidRPr="00564F68">
        <w:rPr>
          <w:rFonts w:eastAsia="Arial"/>
        </w:rPr>
        <w:t>L’administration et l’entretien des infrastructures à construire</w:t>
      </w:r>
      <w:r w:rsidR="00135368">
        <w:rPr>
          <w:rFonts w:eastAsia="Arial"/>
        </w:rPr>
        <w:t xml:space="preserve"> </w:t>
      </w:r>
      <w:r w:rsidRPr="00564F68">
        <w:rPr>
          <w:rFonts w:eastAsia="Arial"/>
        </w:rPr>
        <w:t>;</w:t>
      </w:r>
    </w:p>
    <w:p w14:paraId="5236053B" w14:textId="17FFD6FA" w:rsidR="009676B9" w:rsidRPr="00564F68" w:rsidRDefault="009676B9" w:rsidP="0006696B">
      <w:pPr>
        <w:numPr>
          <w:ilvl w:val="0"/>
          <w:numId w:val="23"/>
        </w:numPr>
        <w:spacing w:line="276" w:lineRule="auto"/>
        <w:jc w:val="both"/>
        <w:rPr>
          <w:rFonts w:eastAsia="Arial"/>
        </w:rPr>
      </w:pPr>
      <w:r w:rsidRPr="00564F68">
        <w:rPr>
          <w:rFonts w:eastAsia="Arial"/>
        </w:rPr>
        <w:t>Les procédures relatives aux mouvements de fonds et les mécanismes de fonctionnement et d’approvisionnement d</w:t>
      </w:r>
      <w:r>
        <w:rPr>
          <w:rFonts w:eastAsia="Arial"/>
        </w:rPr>
        <w:t>es avances de fonds</w:t>
      </w:r>
      <w:r w:rsidR="00135368">
        <w:rPr>
          <w:rFonts w:eastAsia="Arial"/>
        </w:rPr>
        <w:t xml:space="preserve"> </w:t>
      </w:r>
      <w:r w:rsidRPr="00564F68">
        <w:rPr>
          <w:rFonts w:eastAsia="Arial"/>
        </w:rPr>
        <w:t>;</w:t>
      </w:r>
    </w:p>
    <w:p w14:paraId="7D739813" w14:textId="77777777" w:rsidR="009676B9" w:rsidRPr="00564F68" w:rsidRDefault="009676B9" w:rsidP="0006696B">
      <w:pPr>
        <w:numPr>
          <w:ilvl w:val="0"/>
          <w:numId w:val="23"/>
        </w:numPr>
        <w:spacing w:line="276" w:lineRule="auto"/>
        <w:jc w:val="both"/>
        <w:rPr>
          <w:rFonts w:eastAsia="Arial"/>
        </w:rPr>
      </w:pPr>
      <w:r w:rsidRPr="00564F68">
        <w:rPr>
          <w:rFonts w:eastAsia="Arial"/>
        </w:rPr>
        <w:t>Les mécanismes de contrôle et d’évaluation du projet ;</w:t>
      </w:r>
    </w:p>
    <w:p w14:paraId="569E0377" w14:textId="77777777" w:rsidR="009676B9" w:rsidRPr="00564F68" w:rsidRDefault="009676B9" w:rsidP="0006696B">
      <w:pPr>
        <w:numPr>
          <w:ilvl w:val="0"/>
          <w:numId w:val="23"/>
        </w:numPr>
        <w:spacing w:line="276" w:lineRule="auto"/>
        <w:jc w:val="both"/>
        <w:rPr>
          <w:rFonts w:eastAsia="Arial"/>
        </w:rPr>
      </w:pPr>
      <w:r w:rsidRPr="00564F68">
        <w:rPr>
          <w:rFonts w:eastAsia="Arial"/>
        </w:rPr>
        <w:t>Les normes de transparence dans la gestion des projets.</w:t>
      </w:r>
    </w:p>
    <w:p w14:paraId="213C4DF6" w14:textId="218799A8" w:rsidR="009676B9" w:rsidRDefault="009676B9" w:rsidP="00ED6EFB">
      <w:pPr>
        <w:spacing w:line="276" w:lineRule="auto"/>
        <w:jc w:val="both"/>
        <w:rPr>
          <w:rFonts w:eastAsia="Times New Roman"/>
        </w:rPr>
      </w:pPr>
    </w:p>
    <w:p w14:paraId="6A1E79DA" w14:textId="66592AE3" w:rsidR="00A71BBA" w:rsidRDefault="00A71BBA">
      <w:pPr>
        <w:rPr>
          <w:rFonts w:eastAsia="Times New Roman"/>
        </w:rPr>
      </w:pPr>
      <w:r>
        <w:rPr>
          <w:rFonts w:eastAsia="Times New Roman"/>
        </w:rPr>
        <w:br w:type="page"/>
      </w:r>
    </w:p>
    <w:p w14:paraId="05CF46BF" w14:textId="77777777" w:rsidR="009676B9" w:rsidRPr="006E4C32" w:rsidRDefault="009676B9" w:rsidP="00ED6EFB">
      <w:pPr>
        <w:spacing w:line="276" w:lineRule="auto"/>
        <w:jc w:val="both"/>
        <w:rPr>
          <w:rFonts w:eastAsia="Times New Roman"/>
        </w:rPr>
      </w:pPr>
    </w:p>
    <w:p w14:paraId="48743500" w14:textId="1D1164A2" w:rsidR="008C2FAA" w:rsidRPr="006E4C32" w:rsidRDefault="00B97199" w:rsidP="0006696B">
      <w:pPr>
        <w:pStyle w:val="ListParagraph"/>
        <w:numPr>
          <w:ilvl w:val="1"/>
          <w:numId w:val="15"/>
        </w:numPr>
        <w:spacing w:line="276" w:lineRule="auto"/>
        <w:jc w:val="both"/>
        <w:rPr>
          <w:b/>
        </w:rPr>
      </w:pPr>
      <w:r w:rsidRPr="006E4C32">
        <w:rPr>
          <w:b/>
        </w:rPr>
        <w:t xml:space="preserve">MODIFICATIONS </w:t>
      </w:r>
      <w:r w:rsidR="00805673" w:rsidRPr="006E4C32">
        <w:rPr>
          <w:b/>
        </w:rPr>
        <w:t xml:space="preserve">ET MISES À JOUR </w:t>
      </w:r>
    </w:p>
    <w:p w14:paraId="2D222F5F" w14:textId="77777777" w:rsidR="00553B26" w:rsidRPr="006E4C32" w:rsidRDefault="00553B26" w:rsidP="00ED6EFB">
      <w:pPr>
        <w:spacing w:line="276" w:lineRule="auto"/>
        <w:jc w:val="both"/>
        <w:rPr>
          <w:b/>
        </w:rPr>
      </w:pPr>
    </w:p>
    <w:p w14:paraId="22702FEF" w14:textId="2B549B1D" w:rsidR="00E91F71" w:rsidRPr="006E4C32" w:rsidRDefault="00E91F71" w:rsidP="00ED6EFB">
      <w:pPr>
        <w:spacing w:line="276" w:lineRule="auto"/>
        <w:jc w:val="both"/>
        <w:rPr>
          <w:rFonts w:eastAsia="Arial"/>
        </w:rPr>
      </w:pPr>
      <w:r w:rsidRPr="006E4C32">
        <w:rPr>
          <w:rFonts w:eastAsia="Arial"/>
        </w:rPr>
        <w:t>Les tâches de mise à jour</w:t>
      </w:r>
      <w:r w:rsidR="00135368">
        <w:rPr>
          <w:rFonts w:eastAsia="Arial"/>
        </w:rPr>
        <w:t xml:space="preserve">, </w:t>
      </w:r>
      <w:r w:rsidR="00A71BBA">
        <w:rPr>
          <w:rFonts w:eastAsia="Arial"/>
        </w:rPr>
        <w:t>de</w:t>
      </w:r>
      <w:r w:rsidR="00A71BBA" w:rsidRPr="006E4C32">
        <w:rPr>
          <w:rFonts w:eastAsia="Arial"/>
        </w:rPr>
        <w:t xml:space="preserve"> diffusion</w:t>
      </w:r>
      <w:r w:rsidRPr="006E4C32">
        <w:rPr>
          <w:rFonts w:eastAsia="Arial"/>
        </w:rPr>
        <w:t xml:space="preserve"> et d</w:t>
      </w:r>
      <w:r w:rsidR="00135368">
        <w:rPr>
          <w:rFonts w:eastAsia="Arial"/>
        </w:rPr>
        <w:t>e</w:t>
      </w:r>
      <w:r w:rsidRPr="006E4C32">
        <w:rPr>
          <w:rFonts w:eastAsia="Arial"/>
        </w:rPr>
        <w:t xml:space="preserve"> contrôle d</w:t>
      </w:r>
      <w:r>
        <w:rPr>
          <w:rFonts w:eastAsia="Arial"/>
        </w:rPr>
        <w:t>’</w:t>
      </w:r>
      <w:r w:rsidRPr="006E4C32">
        <w:rPr>
          <w:rFonts w:eastAsia="Arial"/>
        </w:rPr>
        <w:t>utilisation de la dernière version de ce document relèvent de</w:t>
      </w:r>
      <w:r w:rsidR="0008694D">
        <w:rPr>
          <w:rFonts w:eastAsia="Arial"/>
        </w:rPr>
        <w:t>s deux OE</w:t>
      </w:r>
      <w:r w:rsidRPr="006E4C32">
        <w:rPr>
          <w:rFonts w:eastAsia="Arial"/>
        </w:rPr>
        <w:t>.</w:t>
      </w:r>
    </w:p>
    <w:p w14:paraId="6C14858E" w14:textId="3C5EA453" w:rsidR="00E91F71" w:rsidRDefault="00E91F71" w:rsidP="00ED6EFB">
      <w:pPr>
        <w:spacing w:line="276" w:lineRule="auto"/>
        <w:jc w:val="both"/>
      </w:pPr>
    </w:p>
    <w:p w14:paraId="13801858" w14:textId="70796DFB" w:rsidR="00553B26" w:rsidRPr="006E4C32" w:rsidRDefault="00553B26" w:rsidP="00ED6EFB">
      <w:pPr>
        <w:spacing w:line="276" w:lineRule="auto"/>
        <w:jc w:val="both"/>
      </w:pPr>
      <w:r w:rsidRPr="006E4C32">
        <w:t>Celle</w:t>
      </w:r>
      <w:r w:rsidR="0008694D">
        <w:t>s</w:t>
      </w:r>
      <w:r w:rsidRPr="006E4C32">
        <w:t>-ci transmettr</w:t>
      </w:r>
      <w:r w:rsidR="0008694D">
        <w:t>ont</w:t>
      </w:r>
      <w:r w:rsidRPr="006E4C32">
        <w:t xml:space="preserve"> la version révisée à la représentation de la BID en Haïti pour non-objection. Une révision du manuel pourra être effectuée au besoin en vue d’identifier les sections obsolètes ainsi que les nouvelles exigences identifiées pendant l’exécution du programme. La mise à jour du manuel peut être motivée par exemple </w:t>
      </w:r>
      <w:r w:rsidR="00E91F71">
        <w:t>par</w:t>
      </w:r>
      <w:r w:rsidR="00A71BBA">
        <w:t xml:space="preserve"> </w:t>
      </w:r>
      <w:r w:rsidRPr="006E4C32">
        <w:t>:</w:t>
      </w:r>
    </w:p>
    <w:p w14:paraId="3432B0BA" w14:textId="77777777" w:rsidR="00553B26" w:rsidRPr="006E4C32" w:rsidRDefault="00553B26" w:rsidP="0006696B">
      <w:pPr>
        <w:pStyle w:val="ListParagraph"/>
        <w:numPr>
          <w:ilvl w:val="0"/>
          <w:numId w:val="4"/>
        </w:numPr>
        <w:spacing w:line="276" w:lineRule="auto"/>
        <w:jc w:val="both"/>
      </w:pPr>
      <w:r w:rsidRPr="006E4C32">
        <w:t>Les changements de structure ou des activités ;</w:t>
      </w:r>
    </w:p>
    <w:p w14:paraId="17B2915C" w14:textId="77777777" w:rsidR="00553B26" w:rsidRPr="006E4C32" w:rsidRDefault="00553B26" w:rsidP="0006696B">
      <w:pPr>
        <w:pStyle w:val="ListParagraph"/>
        <w:numPr>
          <w:ilvl w:val="0"/>
          <w:numId w:val="4"/>
        </w:numPr>
        <w:spacing w:line="276" w:lineRule="auto"/>
        <w:jc w:val="both"/>
      </w:pPr>
      <w:r w:rsidRPr="006E4C32">
        <w:t>Des situations nouvelles qui nécessitent le changement ou l’amélioration des procédures ;</w:t>
      </w:r>
    </w:p>
    <w:p w14:paraId="387F3C55" w14:textId="77777777" w:rsidR="00553B26" w:rsidRPr="006E4C32" w:rsidRDefault="00553B26" w:rsidP="0006696B">
      <w:pPr>
        <w:pStyle w:val="ListParagraph"/>
        <w:numPr>
          <w:ilvl w:val="0"/>
          <w:numId w:val="4"/>
        </w:numPr>
        <w:spacing w:line="276" w:lineRule="auto"/>
        <w:jc w:val="both"/>
      </w:pPr>
      <w:r w:rsidRPr="006E4C32">
        <w:t>Des changements rendus nécessaires par l’application de textes et décrets concernant les lois et règles en vigueur ;</w:t>
      </w:r>
    </w:p>
    <w:p w14:paraId="043A4E6B" w14:textId="77777777" w:rsidR="00553B26" w:rsidRPr="006E4C32" w:rsidRDefault="00553B26" w:rsidP="0006696B">
      <w:pPr>
        <w:pStyle w:val="ListParagraph"/>
        <w:numPr>
          <w:ilvl w:val="0"/>
          <w:numId w:val="4"/>
        </w:numPr>
        <w:spacing w:line="276" w:lineRule="auto"/>
        <w:jc w:val="both"/>
      </w:pPr>
      <w:r w:rsidRPr="006E4C32">
        <w:t>Des modifications en ce qui concerne le personnel et les tâches lui incombant ;</w:t>
      </w:r>
    </w:p>
    <w:p w14:paraId="4BDF0190" w14:textId="77777777" w:rsidR="00553B26" w:rsidRPr="006E4C32" w:rsidRDefault="00553B26" w:rsidP="0006696B">
      <w:pPr>
        <w:pStyle w:val="ListParagraph"/>
        <w:numPr>
          <w:ilvl w:val="0"/>
          <w:numId w:val="4"/>
        </w:numPr>
        <w:spacing w:line="276" w:lineRule="auto"/>
        <w:jc w:val="both"/>
      </w:pPr>
      <w:r w:rsidRPr="006E4C32">
        <w:t>Des aménagements dans l’organisation du Projet ;</w:t>
      </w:r>
    </w:p>
    <w:p w14:paraId="454BCEF9" w14:textId="77777777" w:rsidR="00553B26" w:rsidRPr="006E4C32" w:rsidRDefault="00553B26" w:rsidP="0006696B">
      <w:pPr>
        <w:pStyle w:val="ListParagraph"/>
        <w:numPr>
          <w:ilvl w:val="0"/>
          <w:numId w:val="4"/>
        </w:numPr>
        <w:spacing w:line="276" w:lineRule="auto"/>
        <w:jc w:val="both"/>
      </w:pPr>
      <w:r w:rsidRPr="006E4C32">
        <w:t>L’identification de problème ou de dysfonctionnement dans cette procédure.</w:t>
      </w:r>
    </w:p>
    <w:p w14:paraId="0850023F" w14:textId="77777777" w:rsidR="00553B26" w:rsidRPr="006E4C32" w:rsidRDefault="00553B26" w:rsidP="00ED6EFB">
      <w:pPr>
        <w:spacing w:line="276" w:lineRule="auto"/>
        <w:jc w:val="both"/>
      </w:pPr>
    </w:p>
    <w:p w14:paraId="0072F1EC" w14:textId="7743BB75" w:rsidR="00553B26" w:rsidRPr="006E4C32" w:rsidRDefault="00553B26" w:rsidP="00ED6EFB">
      <w:pPr>
        <w:spacing w:line="276" w:lineRule="auto"/>
        <w:jc w:val="both"/>
      </w:pPr>
      <w:r w:rsidRPr="006E4C32">
        <w:t>Lorsque la modification des procédures existantes est envisagée, l</w:t>
      </w:r>
      <w:r w:rsidR="0008694D">
        <w:t>es deux OE</w:t>
      </w:r>
      <w:r w:rsidRPr="006E4C32">
        <w:t xml:space="preserve"> convoque</w:t>
      </w:r>
      <w:r w:rsidR="0008694D">
        <w:t>nt</w:t>
      </w:r>
      <w:r w:rsidRPr="006E4C32">
        <w:t xml:space="preserve"> une réunion à laquelle doivent participer tous les agents susceptibles d’être concernés par ces modifications. A l’issue de cette réunion, un procès-verbal est établi indiquant les éléments suivants : </w:t>
      </w:r>
    </w:p>
    <w:p w14:paraId="54B7A5B4" w14:textId="77777777" w:rsidR="00553B26" w:rsidRPr="006E4C32" w:rsidRDefault="00553B26" w:rsidP="00ED6EFB">
      <w:pPr>
        <w:spacing w:line="276" w:lineRule="auto"/>
        <w:jc w:val="both"/>
      </w:pPr>
    </w:p>
    <w:p w14:paraId="245CC25C" w14:textId="77777777" w:rsidR="00553B26" w:rsidRPr="006E4C32" w:rsidRDefault="00553B26" w:rsidP="0006696B">
      <w:pPr>
        <w:numPr>
          <w:ilvl w:val="0"/>
          <w:numId w:val="3"/>
        </w:numPr>
        <w:spacing w:line="276" w:lineRule="auto"/>
        <w:jc w:val="both"/>
      </w:pPr>
      <w:r w:rsidRPr="006E4C32">
        <w:t>les procédures devant être modifiées ;</w:t>
      </w:r>
    </w:p>
    <w:p w14:paraId="15990BCE" w14:textId="77777777" w:rsidR="00553B26" w:rsidRPr="006E4C32" w:rsidRDefault="00553B26" w:rsidP="0006696B">
      <w:pPr>
        <w:numPr>
          <w:ilvl w:val="0"/>
          <w:numId w:val="3"/>
        </w:numPr>
        <w:spacing w:line="276" w:lineRule="auto"/>
        <w:jc w:val="both"/>
      </w:pPr>
      <w:r w:rsidRPr="006E4C32">
        <w:t>les raisons pour lesquelles les modifications sont demandées ;</w:t>
      </w:r>
    </w:p>
    <w:p w14:paraId="2B66A325" w14:textId="77777777" w:rsidR="00553B26" w:rsidRPr="006E4C32" w:rsidRDefault="00553B26" w:rsidP="0006696B">
      <w:pPr>
        <w:numPr>
          <w:ilvl w:val="0"/>
          <w:numId w:val="3"/>
        </w:numPr>
        <w:spacing w:line="276" w:lineRule="auto"/>
        <w:jc w:val="both"/>
      </w:pPr>
      <w:r w:rsidRPr="006E4C32">
        <w:t>la personne chargée de rédiger les nouvelles procédures à inclure dans le manuel.</w:t>
      </w:r>
    </w:p>
    <w:p w14:paraId="1B8D9CF5" w14:textId="77777777" w:rsidR="00553B26" w:rsidRPr="006E4C32" w:rsidRDefault="00553B26" w:rsidP="00ED6EFB">
      <w:pPr>
        <w:spacing w:line="276" w:lineRule="auto"/>
        <w:ind w:left="900"/>
        <w:jc w:val="both"/>
      </w:pPr>
    </w:p>
    <w:p w14:paraId="561B807E" w14:textId="4CEECE48" w:rsidR="00135368" w:rsidRPr="00564F68" w:rsidRDefault="00553B26" w:rsidP="00135368">
      <w:pPr>
        <w:spacing w:line="276" w:lineRule="auto"/>
        <w:jc w:val="both"/>
      </w:pPr>
      <w:r w:rsidRPr="006E4C32">
        <w:t>Toute révision du manuel doit obtenir la non-objection de la BID.</w:t>
      </w:r>
      <w:r w:rsidR="00135368">
        <w:t xml:space="preserve"> </w:t>
      </w:r>
      <w:r w:rsidR="00135368" w:rsidRPr="00564F68">
        <w:t>Une fois la non objection du bailleur obtenue, l</w:t>
      </w:r>
      <w:r w:rsidR="0008694D">
        <w:t>es deux OE</w:t>
      </w:r>
      <w:r w:rsidR="00135368">
        <w:t xml:space="preserve"> </w:t>
      </w:r>
      <w:r w:rsidR="00135368" w:rsidRPr="00564F68">
        <w:t>se charger</w:t>
      </w:r>
      <w:r w:rsidR="0008694D">
        <w:t>ont</w:t>
      </w:r>
      <w:r w:rsidR="00135368" w:rsidRPr="00564F68">
        <w:t xml:space="preserve"> de distribuer la nouvelle version du MOP aux intéressés. La personne chargée de la distribution notera dans un registre réservé à cet effet la date de transmission de la nouvelle version aux intéressés ainsi que les références correspondantes</w:t>
      </w:r>
      <w:r w:rsidR="00135368">
        <w:t xml:space="preserve"> et elle tiendra</w:t>
      </w:r>
      <w:r w:rsidR="00135368" w:rsidRPr="00564F68">
        <w:t xml:space="preserve"> un registre permettant de suivre la mise à jour de chaque copie du Manuel.</w:t>
      </w:r>
    </w:p>
    <w:p w14:paraId="6697226B" w14:textId="12E16825" w:rsidR="006E4C32" w:rsidRDefault="006E4C32" w:rsidP="006E4C32">
      <w:pPr>
        <w:spacing w:line="276" w:lineRule="auto"/>
      </w:pPr>
      <w:r>
        <w:br w:type="page"/>
      </w:r>
    </w:p>
    <w:p w14:paraId="279FDD4B" w14:textId="77777777" w:rsidR="00196DB0" w:rsidRDefault="00E25E12" w:rsidP="0006696B">
      <w:pPr>
        <w:pStyle w:val="ListParagraph"/>
        <w:numPr>
          <w:ilvl w:val="0"/>
          <w:numId w:val="5"/>
        </w:numPr>
        <w:spacing w:line="276" w:lineRule="auto"/>
        <w:jc w:val="both"/>
        <w:rPr>
          <w:rFonts w:eastAsia="Arial"/>
          <w:b/>
          <w:sz w:val="32"/>
        </w:rPr>
      </w:pPr>
      <w:r w:rsidRPr="006E4C32">
        <w:rPr>
          <w:rFonts w:eastAsia="Arial"/>
          <w:b/>
          <w:sz w:val="32"/>
        </w:rPr>
        <w:lastRenderedPageBreak/>
        <w:t>PRESENTATION GENERALE D</w:t>
      </w:r>
      <w:r w:rsidR="00196DB0">
        <w:rPr>
          <w:rFonts w:eastAsia="Arial"/>
          <w:b/>
          <w:sz w:val="32"/>
        </w:rPr>
        <w:t>U PROGRAMME</w:t>
      </w:r>
    </w:p>
    <w:p w14:paraId="670D96EB" w14:textId="77777777" w:rsidR="000A745B" w:rsidRPr="006E4C32" w:rsidRDefault="000A745B" w:rsidP="00ED6EFB">
      <w:pPr>
        <w:tabs>
          <w:tab w:val="left" w:pos="1000"/>
        </w:tabs>
        <w:spacing w:line="276" w:lineRule="auto"/>
        <w:jc w:val="both"/>
        <w:rPr>
          <w:rFonts w:eastAsia="Arial"/>
        </w:rPr>
      </w:pPr>
    </w:p>
    <w:p w14:paraId="4C3A6B8A" w14:textId="34E855F9" w:rsidR="00196DB0" w:rsidRDefault="009C4EB0">
      <w:pPr>
        <w:tabs>
          <w:tab w:val="left" w:pos="1000"/>
        </w:tabs>
        <w:spacing w:line="276" w:lineRule="auto"/>
        <w:jc w:val="both"/>
        <w:rPr>
          <w:rFonts w:eastAsia="Arial"/>
          <w:b/>
        </w:rPr>
      </w:pPr>
      <w:r w:rsidRPr="006E4C32">
        <w:rPr>
          <w:rFonts w:eastAsia="Arial"/>
          <w:b/>
        </w:rPr>
        <w:t>2.</w:t>
      </w:r>
      <w:r w:rsidR="00196DB0">
        <w:rPr>
          <w:rFonts w:eastAsia="Arial"/>
          <w:b/>
        </w:rPr>
        <w:t>1.</w:t>
      </w:r>
      <w:r w:rsidRPr="006E4C32">
        <w:rPr>
          <w:rFonts w:eastAsia="Arial"/>
          <w:b/>
        </w:rPr>
        <w:t xml:space="preserve"> </w:t>
      </w:r>
      <w:r w:rsidR="00196DB0">
        <w:rPr>
          <w:rFonts w:eastAsia="Arial"/>
          <w:b/>
        </w:rPr>
        <w:t>OBJECTIFS</w:t>
      </w:r>
    </w:p>
    <w:p w14:paraId="4DB00C5E" w14:textId="77777777" w:rsidR="00C34698" w:rsidRDefault="00425405" w:rsidP="00ED6EFB">
      <w:pPr>
        <w:pStyle w:val="Paragraph"/>
        <w:numPr>
          <w:ilvl w:val="0"/>
          <w:numId w:val="0"/>
        </w:numPr>
        <w:spacing w:line="276" w:lineRule="auto"/>
        <w:rPr>
          <w:rFonts w:ascii="Times" w:hAnsi="Times" w:cs="Arial"/>
          <w:szCs w:val="24"/>
          <w:lang w:val="fr-FR"/>
        </w:rPr>
      </w:pPr>
      <w:bookmarkStart w:id="1" w:name="_Toc363857091"/>
      <w:bookmarkStart w:id="2" w:name="_Toc363857613"/>
      <w:r w:rsidRPr="006E4C32">
        <w:rPr>
          <w:rFonts w:ascii="Times" w:hAnsi="Times" w:cs="Arial"/>
          <w:szCs w:val="24"/>
          <w:lang w:val="fr-FR"/>
        </w:rPr>
        <w:t>L’Objectif géné</w:t>
      </w:r>
      <w:r w:rsidR="003B62BC" w:rsidRPr="006E4C32">
        <w:rPr>
          <w:rFonts w:ascii="Times" w:hAnsi="Times" w:cs="Arial"/>
          <w:szCs w:val="24"/>
          <w:lang w:val="fr-FR"/>
        </w:rPr>
        <w:t xml:space="preserve">ral du programme est </w:t>
      </w:r>
      <w:r w:rsidR="000272AC" w:rsidRPr="006E4C32">
        <w:rPr>
          <w:rFonts w:ascii="Times" w:hAnsi="Times" w:cs="Arial"/>
          <w:szCs w:val="24"/>
          <w:lang w:val="fr-FR"/>
        </w:rPr>
        <w:t>l’amélioration de</w:t>
      </w:r>
      <w:r w:rsidR="00AC2201">
        <w:rPr>
          <w:rFonts w:ascii="Times" w:hAnsi="Times" w:cs="Arial"/>
          <w:szCs w:val="24"/>
          <w:lang w:val="fr-FR"/>
        </w:rPr>
        <w:t>s conditions de vie des habitants de la Région Nord d’Haïti grâce à l’amélioration des pratiques d’hygiène</w:t>
      </w:r>
      <w:r w:rsidR="00C34698">
        <w:rPr>
          <w:rFonts w:ascii="Times" w:hAnsi="Times" w:cs="Arial"/>
          <w:szCs w:val="24"/>
          <w:lang w:val="fr-FR"/>
        </w:rPr>
        <w:t xml:space="preserve">, </w:t>
      </w:r>
      <w:r w:rsidR="00AC2201">
        <w:rPr>
          <w:rFonts w:ascii="Times" w:hAnsi="Times" w:cs="Arial"/>
          <w:szCs w:val="24"/>
          <w:lang w:val="fr-FR"/>
        </w:rPr>
        <w:t>de gestion d</w:t>
      </w:r>
      <w:r w:rsidR="00C34698">
        <w:rPr>
          <w:rFonts w:ascii="Times" w:hAnsi="Times" w:cs="Arial"/>
          <w:szCs w:val="24"/>
          <w:lang w:val="fr-FR"/>
        </w:rPr>
        <w:t>e mise en œuvre d’infrastructure de transport et de disposition des résidus solides.</w:t>
      </w:r>
    </w:p>
    <w:p w14:paraId="7FD54156" w14:textId="77777777" w:rsidR="00A71BBA" w:rsidRDefault="00A71BBA" w:rsidP="00ED6EFB">
      <w:pPr>
        <w:pStyle w:val="Paragraph"/>
        <w:numPr>
          <w:ilvl w:val="0"/>
          <w:numId w:val="0"/>
        </w:numPr>
        <w:spacing w:line="276" w:lineRule="auto"/>
        <w:rPr>
          <w:rFonts w:ascii="Times" w:hAnsi="Times" w:cs="Arial"/>
          <w:b/>
          <w:szCs w:val="24"/>
          <w:lang w:val="fr-FR"/>
        </w:rPr>
      </w:pPr>
      <w:bookmarkStart w:id="3" w:name="_Toc363857093"/>
      <w:bookmarkEnd w:id="1"/>
      <w:bookmarkEnd w:id="2"/>
    </w:p>
    <w:p w14:paraId="15C1280E" w14:textId="47F0E6DB" w:rsidR="00B137B8" w:rsidRPr="006E4C32" w:rsidRDefault="009C4EB0" w:rsidP="00ED6EFB">
      <w:pPr>
        <w:pStyle w:val="Paragraph"/>
        <w:numPr>
          <w:ilvl w:val="0"/>
          <w:numId w:val="0"/>
        </w:numPr>
        <w:spacing w:line="276" w:lineRule="auto"/>
        <w:rPr>
          <w:rFonts w:ascii="Times" w:hAnsi="Times" w:cs="Arial"/>
          <w:b/>
          <w:szCs w:val="24"/>
          <w:lang w:val="fr-FR"/>
        </w:rPr>
      </w:pPr>
      <w:r w:rsidRPr="006E4C32">
        <w:rPr>
          <w:rFonts w:ascii="Times" w:hAnsi="Times" w:cs="Arial"/>
          <w:b/>
          <w:szCs w:val="24"/>
          <w:lang w:val="fr-FR"/>
        </w:rPr>
        <w:t>2.2</w:t>
      </w:r>
      <w:r w:rsidR="00196DB0">
        <w:rPr>
          <w:rFonts w:ascii="Times" w:hAnsi="Times" w:cs="Arial"/>
          <w:b/>
          <w:szCs w:val="24"/>
          <w:lang w:val="fr-FR"/>
        </w:rPr>
        <w:t>.</w:t>
      </w:r>
      <w:r w:rsidR="001950BE" w:rsidRPr="006E4C32">
        <w:rPr>
          <w:rFonts w:ascii="Times" w:hAnsi="Times" w:cs="Arial"/>
          <w:b/>
          <w:szCs w:val="24"/>
          <w:lang w:val="fr-FR"/>
        </w:rPr>
        <w:t xml:space="preserve"> </w:t>
      </w:r>
      <w:r w:rsidRPr="006E4C32">
        <w:rPr>
          <w:rFonts w:ascii="Times" w:hAnsi="Times" w:cs="Arial"/>
          <w:b/>
          <w:szCs w:val="24"/>
          <w:lang w:val="fr-FR"/>
        </w:rPr>
        <w:t>C</w:t>
      </w:r>
      <w:r w:rsidR="00196DB0">
        <w:rPr>
          <w:rFonts w:ascii="Times" w:hAnsi="Times" w:cs="Arial"/>
          <w:b/>
          <w:szCs w:val="24"/>
          <w:lang w:val="fr-FR"/>
        </w:rPr>
        <w:t>OMPOSANTES</w:t>
      </w:r>
      <w:bookmarkEnd w:id="3"/>
    </w:p>
    <w:p w14:paraId="2E2A6B6B" w14:textId="335BC067" w:rsidR="009C4EB0" w:rsidRPr="006E4C32" w:rsidRDefault="00B137B8" w:rsidP="00ED6EFB">
      <w:pPr>
        <w:pStyle w:val="Paragraph"/>
        <w:numPr>
          <w:ilvl w:val="0"/>
          <w:numId w:val="0"/>
        </w:numPr>
        <w:spacing w:line="276" w:lineRule="auto"/>
        <w:rPr>
          <w:rFonts w:ascii="Times" w:hAnsi="Times" w:cs="Arial"/>
          <w:szCs w:val="24"/>
          <w:lang w:val="fr-FR"/>
        </w:rPr>
      </w:pPr>
      <w:bookmarkStart w:id="4" w:name="_Toc363857094"/>
      <w:bookmarkStart w:id="5" w:name="_Toc363857616"/>
      <w:r w:rsidRPr="006E4C32">
        <w:rPr>
          <w:rFonts w:ascii="Times" w:hAnsi="Times" w:cs="Arial"/>
          <w:b/>
          <w:szCs w:val="24"/>
          <w:lang w:val="fr-FR"/>
        </w:rPr>
        <w:t>2.2.1 Composante</w:t>
      </w:r>
      <w:r w:rsidR="00CA6108" w:rsidRPr="006E4C32">
        <w:rPr>
          <w:rFonts w:ascii="Times" w:hAnsi="Times" w:cs="Arial"/>
          <w:b/>
          <w:szCs w:val="24"/>
          <w:lang w:val="fr-FR"/>
        </w:rPr>
        <w:t xml:space="preserve"> I (US$ </w:t>
      </w:r>
      <w:r w:rsidR="00C34698">
        <w:rPr>
          <w:rFonts w:ascii="Times" w:hAnsi="Times" w:cs="Arial"/>
          <w:b/>
          <w:szCs w:val="24"/>
          <w:lang w:val="fr-FR"/>
        </w:rPr>
        <w:t>28,920,000</w:t>
      </w:r>
      <w:r w:rsidR="00C266AA" w:rsidRPr="006E4C32">
        <w:rPr>
          <w:rFonts w:ascii="Times" w:hAnsi="Times" w:cs="Arial"/>
          <w:b/>
          <w:szCs w:val="24"/>
          <w:lang w:val="fr-FR"/>
        </w:rPr>
        <w:t xml:space="preserve">). </w:t>
      </w:r>
      <w:r w:rsidR="00C34698">
        <w:rPr>
          <w:rFonts w:ascii="Times" w:hAnsi="Times" w:cs="Arial"/>
          <w:b/>
          <w:szCs w:val="24"/>
          <w:lang w:val="fr-FR"/>
        </w:rPr>
        <w:t>Infrastructures pour la gestion des résidus solides</w:t>
      </w:r>
      <w:r w:rsidR="00C266AA" w:rsidRPr="006E4C32">
        <w:rPr>
          <w:rFonts w:ascii="Times" w:hAnsi="Times" w:cs="Arial"/>
          <w:b/>
          <w:szCs w:val="24"/>
          <w:lang w:val="fr-FR"/>
        </w:rPr>
        <w:t>.</w:t>
      </w:r>
      <w:bookmarkEnd w:id="4"/>
      <w:bookmarkEnd w:id="5"/>
    </w:p>
    <w:p w14:paraId="77814B7F" w14:textId="42BAE070" w:rsidR="00C34698" w:rsidRDefault="00C266AA" w:rsidP="00ED6EFB">
      <w:pPr>
        <w:pStyle w:val="Paragraph"/>
        <w:numPr>
          <w:ilvl w:val="0"/>
          <w:numId w:val="0"/>
        </w:numPr>
        <w:spacing w:line="276" w:lineRule="auto"/>
        <w:rPr>
          <w:rFonts w:ascii="Times" w:hAnsi="Times" w:cs="Arial"/>
          <w:szCs w:val="24"/>
          <w:lang w:val="fr-FR"/>
        </w:rPr>
      </w:pPr>
      <w:bookmarkStart w:id="6" w:name="_Toc363857095"/>
      <w:bookmarkStart w:id="7" w:name="_Toc363857617"/>
      <w:r w:rsidRPr="006E4C32">
        <w:rPr>
          <w:rFonts w:ascii="Times" w:hAnsi="Times" w:cs="Arial"/>
          <w:szCs w:val="24"/>
          <w:lang w:val="fr-FR"/>
        </w:rPr>
        <w:t>Cette composante financera l</w:t>
      </w:r>
      <w:r w:rsidR="00C34698">
        <w:rPr>
          <w:rFonts w:ascii="Times" w:hAnsi="Times" w:cs="Arial"/>
          <w:szCs w:val="24"/>
          <w:lang w:val="fr-FR"/>
        </w:rPr>
        <w:t>a construction d’un site de disposition finale à Mouchinette. Seront financées des infrastructure pour la réduction, la réutilisation, le recyclage et le compostage des résidus par l’acquisition et la maintenance de camions de collecte et de transport des résidus solides, des équipements (containers), la construction de points de regroupements pour les zones périphériques du Cap haïtien et la construction d’édifices administratifs et d’expaces de formation au niveau du Centre de Gestion Intégré des Résidus Solides (CGIRS). Aussi, seront financées des infrastructures d’assainissement à Limonade, plus particulièrement la reconfiguration du marché local grâce à la réalisation de petits ouvrages de génie civil et des actions de contrôle contre les inondations par la construction de canaux et petits ponts.</w:t>
      </w:r>
    </w:p>
    <w:p w14:paraId="6C84D78D" w14:textId="77777777" w:rsidR="009C4962" w:rsidRDefault="00C34698" w:rsidP="00ED6EFB">
      <w:pPr>
        <w:pStyle w:val="Paragraph"/>
        <w:numPr>
          <w:ilvl w:val="0"/>
          <w:numId w:val="0"/>
        </w:numPr>
        <w:spacing w:line="276" w:lineRule="auto"/>
        <w:rPr>
          <w:rFonts w:ascii="Times" w:hAnsi="Times" w:cs="Arial"/>
          <w:szCs w:val="24"/>
          <w:lang w:val="fr-FR"/>
        </w:rPr>
      </w:pPr>
      <w:r>
        <w:rPr>
          <w:rFonts w:ascii="Times" w:hAnsi="Times" w:cs="Arial"/>
          <w:szCs w:val="24"/>
          <w:lang w:val="fr-FR"/>
        </w:rPr>
        <w:t>Le résultat attendu est l’intégration d’un système formel de transport et de disposition finale des résidus domiciliaires et assimilables</w:t>
      </w:r>
      <w:r w:rsidR="009C4962">
        <w:rPr>
          <w:rFonts w:ascii="Times" w:hAnsi="Times" w:cs="Arial"/>
          <w:szCs w:val="24"/>
          <w:lang w:val="fr-FR"/>
        </w:rPr>
        <w:t xml:space="preserve"> en complément de l’infrastructure existante de collecte et qui respecte tous les processus nécessaires afin de promouvoir l’exploitation et la valorisation des résidus pour allonger la vie utile de la station de décharge et garantir la durabilité du système tout en améliorant les conditions environnementales. L’infrastructure de base d’assainissement à Limonade permettra de réorganiser le système de gestion des déchets solides (au niveau du marché) et de réduire la contamination des eaux.</w:t>
      </w:r>
    </w:p>
    <w:p w14:paraId="54C272CC" w14:textId="29741AAA" w:rsidR="00C34698" w:rsidRDefault="007039A0" w:rsidP="0006696B">
      <w:pPr>
        <w:pStyle w:val="Paragraph"/>
        <w:numPr>
          <w:ilvl w:val="2"/>
          <w:numId w:val="19"/>
        </w:numPr>
        <w:spacing w:line="276" w:lineRule="auto"/>
        <w:rPr>
          <w:rFonts w:ascii="Times" w:hAnsi="Times" w:cs="Arial"/>
          <w:b/>
          <w:szCs w:val="24"/>
          <w:lang w:val="fr-FR"/>
        </w:rPr>
      </w:pPr>
      <w:bookmarkStart w:id="8" w:name="_Toc363857096"/>
      <w:bookmarkStart w:id="9" w:name="_Toc363857618"/>
      <w:bookmarkEnd w:id="6"/>
      <w:bookmarkEnd w:id="7"/>
      <w:r w:rsidRPr="006E4C32">
        <w:rPr>
          <w:rFonts w:ascii="Times" w:hAnsi="Times" w:cs="Arial"/>
          <w:b/>
          <w:szCs w:val="24"/>
          <w:lang w:val="fr-FR"/>
        </w:rPr>
        <w:t>Composante II (</w:t>
      </w:r>
      <w:r w:rsidR="00FD419E" w:rsidRPr="006E4C32">
        <w:rPr>
          <w:rFonts w:ascii="Times" w:hAnsi="Times" w:cs="Arial"/>
          <w:b/>
          <w:szCs w:val="24"/>
          <w:lang w:val="fr-FR"/>
        </w:rPr>
        <w:t>US$</w:t>
      </w:r>
      <w:r w:rsidR="009C4962">
        <w:rPr>
          <w:rFonts w:ascii="Times" w:hAnsi="Times" w:cs="Arial"/>
          <w:b/>
          <w:szCs w:val="24"/>
          <w:lang w:val="fr-FR"/>
        </w:rPr>
        <w:t xml:space="preserve"> 4,830,000</w:t>
      </w:r>
      <w:r w:rsidR="00FD419E" w:rsidRPr="006E4C32">
        <w:rPr>
          <w:rFonts w:ascii="Times" w:hAnsi="Times" w:cs="Arial"/>
          <w:b/>
          <w:szCs w:val="24"/>
          <w:lang w:val="fr-FR"/>
        </w:rPr>
        <w:t xml:space="preserve">) </w:t>
      </w:r>
      <w:r w:rsidR="00C34698">
        <w:rPr>
          <w:rFonts w:ascii="Times" w:hAnsi="Times" w:cs="Arial"/>
          <w:b/>
          <w:szCs w:val="24"/>
          <w:lang w:val="fr-FR"/>
        </w:rPr>
        <w:t>Renforcement institutionnel</w:t>
      </w:r>
    </w:p>
    <w:p w14:paraId="1889DFCF" w14:textId="456598E3" w:rsidR="00C76E71" w:rsidRPr="006E4C32" w:rsidRDefault="00542CB6" w:rsidP="00ED6EFB">
      <w:pPr>
        <w:pStyle w:val="Paragraph"/>
        <w:numPr>
          <w:ilvl w:val="0"/>
          <w:numId w:val="0"/>
        </w:numPr>
        <w:spacing w:line="276" w:lineRule="auto"/>
        <w:rPr>
          <w:rFonts w:ascii="Times" w:hAnsi="Times" w:cs="Arial"/>
          <w:szCs w:val="24"/>
          <w:lang w:val="fr-FR"/>
        </w:rPr>
      </w:pPr>
      <w:bookmarkStart w:id="10" w:name="_Toc363857097"/>
      <w:bookmarkStart w:id="11" w:name="_Toc363857619"/>
      <w:bookmarkEnd w:id="8"/>
      <w:bookmarkEnd w:id="9"/>
      <w:r w:rsidRPr="006E4C32">
        <w:rPr>
          <w:rFonts w:ascii="Times" w:hAnsi="Times" w:cs="Arial"/>
          <w:szCs w:val="24"/>
          <w:lang w:val="fr-FR"/>
        </w:rPr>
        <w:t xml:space="preserve">Cette composante financera par </w:t>
      </w:r>
      <w:r w:rsidR="00CD1798">
        <w:rPr>
          <w:rFonts w:ascii="Times" w:hAnsi="Times" w:cs="Arial"/>
          <w:szCs w:val="24"/>
          <w:lang w:val="fr-FR"/>
        </w:rPr>
        <w:t xml:space="preserve">les frais d’exploitation et d’entretien du CTE-RMPP </w:t>
      </w:r>
      <w:r w:rsidR="001950BE" w:rsidRPr="006E4C32">
        <w:rPr>
          <w:rFonts w:ascii="Times" w:hAnsi="Times" w:cs="Arial"/>
          <w:szCs w:val="24"/>
          <w:lang w:val="fr-FR"/>
        </w:rPr>
        <w:t>(énergie, chlore et équipements de ré</w:t>
      </w:r>
      <w:r w:rsidRPr="006E4C32">
        <w:rPr>
          <w:rFonts w:ascii="Times" w:hAnsi="Times" w:cs="Arial"/>
          <w:szCs w:val="24"/>
          <w:lang w:val="fr-FR"/>
        </w:rPr>
        <w:t xml:space="preserve">paration), qui ne peuvent être couverts </w:t>
      </w:r>
      <w:r w:rsidR="00D719AF">
        <w:rPr>
          <w:rFonts w:ascii="Times" w:hAnsi="Times" w:cs="Arial"/>
          <w:szCs w:val="24"/>
          <w:lang w:val="fr-FR"/>
        </w:rPr>
        <w:t xml:space="preserve">par </w:t>
      </w:r>
      <w:r w:rsidR="00CD1798">
        <w:rPr>
          <w:rFonts w:ascii="Times" w:hAnsi="Times" w:cs="Arial"/>
          <w:szCs w:val="24"/>
          <w:lang w:val="fr-FR"/>
        </w:rPr>
        <w:t>ses</w:t>
      </w:r>
      <w:r w:rsidRPr="006E4C32">
        <w:rPr>
          <w:rFonts w:ascii="Times" w:hAnsi="Times" w:cs="Arial"/>
          <w:szCs w:val="24"/>
          <w:lang w:val="fr-FR"/>
        </w:rPr>
        <w:t xml:space="preserve"> revenus annuels actuel</w:t>
      </w:r>
      <w:r w:rsidR="00CD1798">
        <w:rPr>
          <w:rFonts w:ascii="Times" w:hAnsi="Times" w:cs="Arial"/>
          <w:szCs w:val="24"/>
          <w:lang w:val="fr-FR"/>
        </w:rPr>
        <w:t>s</w:t>
      </w:r>
      <w:bookmarkEnd w:id="10"/>
      <w:bookmarkEnd w:id="11"/>
      <w:r w:rsidR="00CD1798">
        <w:rPr>
          <w:rFonts w:ascii="Times" w:hAnsi="Times" w:cs="Arial"/>
          <w:szCs w:val="24"/>
          <w:lang w:val="fr-FR"/>
        </w:rPr>
        <w:t>.</w:t>
      </w:r>
    </w:p>
    <w:p w14:paraId="7C5BB4C7" w14:textId="05EBCE67" w:rsidR="009C4EB0" w:rsidRPr="00ED6EFB" w:rsidRDefault="00C76E71" w:rsidP="0006696B">
      <w:pPr>
        <w:pStyle w:val="Paragraph"/>
        <w:numPr>
          <w:ilvl w:val="2"/>
          <w:numId w:val="19"/>
        </w:numPr>
        <w:spacing w:line="276" w:lineRule="auto"/>
        <w:rPr>
          <w:rFonts w:ascii="Times" w:hAnsi="Times" w:cs="Arial"/>
          <w:b/>
          <w:szCs w:val="24"/>
          <w:lang w:val="fr-FR"/>
        </w:rPr>
      </w:pPr>
      <w:bookmarkStart w:id="12" w:name="_Toc363857098"/>
      <w:bookmarkStart w:id="13" w:name="_Toc363857620"/>
      <w:r w:rsidRPr="006E4C32">
        <w:rPr>
          <w:rFonts w:ascii="Times" w:hAnsi="Times" w:cs="Arial"/>
          <w:b/>
          <w:szCs w:val="24"/>
          <w:lang w:val="fr-FR"/>
        </w:rPr>
        <w:t>Composante III (US $39.5 million) – Investissements en infrastructures EPA.</w:t>
      </w:r>
      <w:bookmarkEnd w:id="12"/>
      <w:bookmarkEnd w:id="13"/>
    </w:p>
    <w:p w14:paraId="7F1F61EB" w14:textId="77777777" w:rsidR="009C4962" w:rsidRDefault="00C76E71" w:rsidP="00ED6EFB">
      <w:pPr>
        <w:pStyle w:val="Paragraph"/>
        <w:numPr>
          <w:ilvl w:val="0"/>
          <w:numId w:val="0"/>
        </w:numPr>
        <w:spacing w:line="276" w:lineRule="auto"/>
        <w:rPr>
          <w:rFonts w:ascii="Times" w:hAnsi="Times" w:cs="Arial"/>
          <w:szCs w:val="24"/>
          <w:lang w:val="fr-FR"/>
        </w:rPr>
      </w:pPr>
      <w:bookmarkStart w:id="14" w:name="_Toc363857099"/>
      <w:bookmarkStart w:id="15" w:name="_Toc363857621"/>
      <w:r w:rsidRPr="006E4C32">
        <w:rPr>
          <w:rFonts w:ascii="Times" w:hAnsi="Times" w:cs="Arial"/>
          <w:szCs w:val="24"/>
          <w:lang w:val="fr-FR"/>
        </w:rPr>
        <w:t>Cette composante financera</w:t>
      </w:r>
      <w:r w:rsidR="00FC7530" w:rsidRPr="006E4C32">
        <w:rPr>
          <w:rFonts w:ascii="Times" w:hAnsi="Times" w:cs="Arial"/>
          <w:szCs w:val="24"/>
          <w:lang w:val="fr-FR"/>
        </w:rPr>
        <w:t xml:space="preserve"> </w:t>
      </w:r>
      <w:r w:rsidRPr="006E4C32">
        <w:rPr>
          <w:rFonts w:ascii="Times" w:hAnsi="Times" w:cs="Arial"/>
          <w:szCs w:val="24"/>
          <w:lang w:val="fr-FR"/>
        </w:rPr>
        <w:t>la</w:t>
      </w:r>
      <w:r w:rsidR="009C4962">
        <w:rPr>
          <w:rFonts w:ascii="Times" w:hAnsi="Times" w:cs="Arial"/>
          <w:szCs w:val="24"/>
          <w:lang w:val="fr-FR"/>
        </w:rPr>
        <w:t xml:space="preserve"> création de capacités nationales et locales en matière de gestion des résidus solides, ainsi que des activités d’éducation environnementale et de communication. En particulier, la consolidation de la Société Anonyme Mixte (SAM) sera appuyée par le financement de : (I) consultations en appui à la structuration des </w:t>
      </w:r>
      <w:r w:rsidR="009C4962">
        <w:rPr>
          <w:rFonts w:ascii="Times" w:hAnsi="Times" w:cs="Arial"/>
          <w:szCs w:val="24"/>
          <w:lang w:val="fr-FR"/>
        </w:rPr>
        <w:lastRenderedPageBreak/>
        <w:t>départements commercial, technique, administratif et financier, (ii) la formation du personnel devant être embauché par la SAM, (iii) la construction et l’équipement des bureaux et la dotation en équipement, entre autres.</w:t>
      </w:r>
    </w:p>
    <w:p w14:paraId="7DF41E65" w14:textId="24BE2DE4" w:rsidR="009C4962" w:rsidRDefault="009C4962" w:rsidP="00ED6EFB">
      <w:pPr>
        <w:pStyle w:val="Paragraph"/>
        <w:numPr>
          <w:ilvl w:val="0"/>
          <w:numId w:val="0"/>
        </w:numPr>
        <w:spacing w:line="276" w:lineRule="auto"/>
        <w:rPr>
          <w:rFonts w:ascii="Times" w:hAnsi="Times" w:cs="Arial"/>
          <w:szCs w:val="24"/>
          <w:lang w:val="fr-FR"/>
        </w:rPr>
      </w:pPr>
      <w:r>
        <w:rPr>
          <w:rFonts w:ascii="Times" w:hAnsi="Times" w:cs="Arial"/>
          <w:szCs w:val="24"/>
          <w:lang w:val="fr-FR"/>
        </w:rPr>
        <w:t xml:space="preserve">Le résultat attendu est que cette entité dispose de la capacité de </w:t>
      </w:r>
      <w:r w:rsidR="00D90966">
        <w:rPr>
          <w:rFonts w:ascii="Times" w:hAnsi="Times" w:cs="Arial"/>
          <w:szCs w:val="24"/>
          <w:lang w:val="fr-FR"/>
        </w:rPr>
        <w:t>superviser</w:t>
      </w:r>
      <w:r>
        <w:rPr>
          <w:rFonts w:ascii="Times" w:hAnsi="Times" w:cs="Arial"/>
          <w:szCs w:val="24"/>
          <w:lang w:val="fr-FR"/>
        </w:rPr>
        <w:t xml:space="preserve"> les actions réalisées par l’entreprise prestataire des services relatifs à la disposition finale et au transport des résidus solides et éventuellement de l’opération après une période de transfert de connaissances et compétences. Aussi, il est attendu que la SAM soit en mesure de définir les tarifs de collecte, signer </w:t>
      </w:r>
      <w:r w:rsidR="00D90966">
        <w:rPr>
          <w:rFonts w:ascii="Times" w:hAnsi="Times" w:cs="Arial"/>
          <w:szCs w:val="24"/>
          <w:lang w:val="fr-FR"/>
        </w:rPr>
        <w:t>les contrats de collecte avec d’autres acteurs, réaliser les activités de recouvrement, développer directement des activités de communication et d’éducation environnementale, promouvoir l’expansion des services de collecte, entre autres.</w:t>
      </w:r>
    </w:p>
    <w:bookmarkEnd w:id="14"/>
    <w:bookmarkEnd w:id="15"/>
    <w:p w14:paraId="216856E9" w14:textId="77777777" w:rsidR="006E4C32" w:rsidRPr="006E4C32" w:rsidRDefault="006E4C32" w:rsidP="00ED6EFB">
      <w:pPr>
        <w:pStyle w:val="Paragraph"/>
        <w:numPr>
          <w:ilvl w:val="0"/>
          <w:numId w:val="0"/>
        </w:numPr>
        <w:spacing w:line="276" w:lineRule="auto"/>
        <w:ind w:left="567"/>
        <w:rPr>
          <w:rFonts w:ascii="Times" w:hAnsi="Times" w:cs="Arial"/>
          <w:szCs w:val="24"/>
          <w:lang w:val="fr-FR"/>
        </w:rPr>
      </w:pPr>
    </w:p>
    <w:p w14:paraId="14BC31C0" w14:textId="557E0EC9" w:rsidR="00A46C4F" w:rsidRPr="006E4C32" w:rsidRDefault="009D3874" w:rsidP="00ED6EFB">
      <w:pPr>
        <w:pStyle w:val="FirstHeading"/>
        <w:spacing w:line="276" w:lineRule="auto"/>
        <w:ind w:left="540" w:hanging="630"/>
        <w:jc w:val="both"/>
        <w:rPr>
          <w:rFonts w:ascii="Times" w:hAnsi="Times" w:cs="Arial"/>
          <w:szCs w:val="24"/>
          <w:lang w:val="fr-FR"/>
        </w:rPr>
      </w:pPr>
      <w:bookmarkStart w:id="16" w:name="_Toc224106709"/>
      <w:bookmarkStart w:id="17" w:name="_Toc224442589"/>
      <w:bookmarkStart w:id="18" w:name="_Toc422322545"/>
      <w:r w:rsidRPr="006E4C32">
        <w:rPr>
          <w:rFonts w:ascii="Times" w:hAnsi="Times" w:cs="Arial"/>
          <w:szCs w:val="24"/>
          <w:lang w:val="fr-FR"/>
        </w:rPr>
        <w:t>2.</w:t>
      </w:r>
      <w:r w:rsidR="004449F4">
        <w:rPr>
          <w:rFonts w:ascii="Times" w:hAnsi="Times" w:cs="Arial"/>
          <w:szCs w:val="24"/>
          <w:lang w:val="fr-FR"/>
        </w:rPr>
        <w:t>3</w:t>
      </w:r>
      <w:r w:rsidRPr="006E4C32">
        <w:rPr>
          <w:rFonts w:ascii="Times" w:hAnsi="Times" w:cs="Arial"/>
          <w:szCs w:val="24"/>
          <w:lang w:val="fr-FR"/>
        </w:rPr>
        <w:t xml:space="preserve"> </w:t>
      </w:r>
      <w:r w:rsidR="00A46C4F" w:rsidRPr="006E4C32">
        <w:rPr>
          <w:rFonts w:ascii="Times" w:hAnsi="Times" w:cs="Arial"/>
          <w:szCs w:val="24"/>
          <w:lang w:val="fr-FR"/>
        </w:rPr>
        <w:tab/>
      </w:r>
      <w:bookmarkEnd w:id="16"/>
      <w:bookmarkEnd w:id="17"/>
      <w:bookmarkEnd w:id="18"/>
      <w:r w:rsidR="00196DB0">
        <w:rPr>
          <w:rFonts w:ascii="Times" w:hAnsi="Times" w:cs="Arial"/>
          <w:szCs w:val="24"/>
          <w:lang w:val="fr-FR"/>
        </w:rPr>
        <w:t>INDICATEURS DE RESULTATS</w:t>
      </w:r>
    </w:p>
    <w:p w14:paraId="12CD4FBF" w14:textId="4B6CC51E" w:rsidR="004656C8" w:rsidRPr="006E4C32" w:rsidRDefault="004656C8" w:rsidP="00ED6EFB">
      <w:pPr>
        <w:pStyle w:val="Paragraph"/>
        <w:numPr>
          <w:ilvl w:val="0"/>
          <w:numId w:val="0"/>
        </w:numPr>
        <w:spacing w:before="100" w:after="100" w:line="276" w:lineRule="auto"/>
        <w:ind w:left="540"/>
        <w:rPr>
          <w:rFonts w:ascii="Times" w:hAnsi="Times" w:cs="Arial"/>
          <w:szCs w:val="24"/>
          <w:lang w:val="fr-FR"/>
        </w:rPr>
      </w:pPr>
      <w:bookmarkStart w:id="19" w:name="_Toc363857106"/>
      <w:bookmarkStart w:id="20" w:name="_Toc363857628"/>
      <w:r w:rsidRPr="006E4C32">
        <w:rPr>
          <w:rFonts w:ascii="Times" w:hAnsi="Times" w:cs="Arial"/>
          <w:szCs w:val="24"/>
          <w:lang w:val="fr-FR"/>
        </w:rPr>
        <w:t xml:space="preserve">Les indicateurs </w:t>
      </w:r>
      <w:r w:rsidR="002B30CD">
        <w:rPr>
          <w:rFonts w:ascii="Times" w:hAnsi="Times" w:cs="Arial"/>
          <w:szCs w:val="24"/>
          <w:lang w:val="fr-FR"/>
        </w:rPr>
        <w:t xml:space="preserve">de résultats sont présentés </w:t>
      </w:r>
      <w:r w:rsidRPr="006E4C32">
        <w:rPr>
          <w:rFonts w:ascii="Times" w:hAnsi="Times" w:cs="Arial"/>
          <w:szCs w:val="24"/>
          <w:lang w:val="fr-FR"/>
        </w:rPr>
        <w:t xml:space="preserve">dans le </w:t>
      </w:r>
      <w:r w:rsidR="002B30CD" w:rsidRPr="006E4C32">
        <w:rPr>
          <w:rFonts w:ascii="Times" w:hAnsi="Times" w:cs="Arial"/>
          <w:szCs w:val="24"/>
          <w:lang w:val="fr-FR"/>
        </w:rPr>
        <w:t>tableau</w:t>
      </w:r>
      <w:r w:rsidRPr="006E4C32">
        <w:rPr>
          <w:rFonts w:ascii="Times" w:hAnsi="Times" w:cs="Arial"/>
          <w:szCs w:val="24"/>
          <w:lang w:val="fr-FR"/>
        </w:rPr>
        <w:t xml:space="preserve"> 1 ci-dessous</w:t>
      </w:r>
      <w:r w:rsidR="002B30CD">
        <w:rPr>
          <w:rFonts w:ascii="Times" w:hAnsi="Times" w:cs="Arial"/>
          <w:szCs w:val="24"/>
          <w:lang w:val="fr-FR"/>
        </w:rPr>
        <w:t>, extraits de la matrice de résultats</w:t>
      </w:r>
      <w:r w:rsidRPr="006E4C32">
        <w:rPr>
          <w:rFonts w:ascii="Times" w:hAnsi="Times" w:cs="Arial"/>
          <w:szCs w:val="24"/>
          <w:lang w:val="fr-FR"/>
        </w:rPr>
        <w:t xml:space="preserve">. </w:t>
      </w:r>
      <w:bookmarkEnd w:id="19"/>
      <w:bookmarkEnd w:id="20"/>
    </w:p>
    <w:p w14:paraId="69790051" w14:textId="10E77975" w:rsidR="00A46C4F" w:rsidRPr="006E4C32" w:rsidRDefault="00A46C4F" w:rsidP="006E4C32">
      <w:pPr>
        <w:pStyle w:val="Paragraph"/>
        <w:numPr>
          <w:ilvl w:val="0"/>
          <w:numId w:val="0"/>
        </w:numPr>
        <w:tabs>
          <w:tab w:val="num" w:pos="1296"/>
        </w:tabs>
        <w:spacing w:before="60" w:after="60" w:line="276" w:lineRule="auto"/>
        <w:jc w:val="left"/>
        <w:rPr>
          <w:rFonts w:ascii="Times" w:hAnsi="Times" w:cs="Arial"/>
          <w:b/>
          <w:spacing w:val="-2"/>
          <w:szCs w:val="24"/>
          <w:lang w:val="fr-FR"/>
        </w:rPr>
      </w:pPr>
      <w:bookmarkStart w:id="21" w:name="_Toc363857107"/>
      <w:bookmarkStart w:id="22" w:name="_Toc363857629"/>
      <w:r w:rsidRPr="006E4C32">
        <w:rPr>
          <w:rFonts w:ascii="Times" w:hAnsi="Times" w:cs="Arial"/>
          <w:b/>
          <w:spacing w:val="-2"/>
          <w:szCs w:val="24"/>
          <w:lang w:val="fr-FR"/>
        </w:rPr>
        <w:t xml:space="preserve">Table </w:t>
      </w:r>
      <w:r w:rsidR="00D66540" w:rsidRPr="006E4C32">
        <w:rPr>
          <w:rFonts w:ascii="Times" w:hAnsi="Times" w:cs="Arial"/>
          <w:b/>
          <w:spacing w:val="-2"/>
          <w:szCs w:val="24"/>
          <w:lang w:val="fr-FR"/>
        </w:rPr>
        <w:t>1. Indicateurs de résultat</w:t>
      </w:r>
      <w:bookmarkEnd w:id="21"/>
      <w:bookmarkEnd w:id="22"/>
      <w:r w:rsidR="00D90966">
        <w:rPr>
          <w:rFonts w:ascii="Times" w:hAnsi="Times" w:cs="Arial"/>
          <w:b/>
          <w:spacing w:val="-2"/>
          <w:szCs w:val="24"/>
          <w:lang w:val="fr-FR"/>
        </w:rPr>
        <w:t>s (A COMPLETER)</w:t>
      </w:r>
    </w:p>
    <w:tbl>
      <w:tblPr>
        <w:tblpPr w:leftFromText="141" w:rightFromText="141" w:vertAnchor="text" w:tblpX="702" w:tblpY="1"/>
        <w:tblOverlap w:val="never"/>
        <w:tblW w:w="7151" w:type="dxa"/>
        <w:tblLayout w:type="fixed"/>
        <w:tblLook w:val="04A0" w:firstRow="1" w:lastRow="0" w:firstColumn="1" w:lastColumn="0" w:noHBand="0" w:noVBand="1"/>
      </w:tblPr>
      <w:tblGrid>
        <w:gridCol w:w="5377"/>
        <w:gridCol w:w="880"/>
        <w:gridCol w:w="894"/>
      </w:tblGrid>
      <w:tr w:rsidR="00A46C4F" w:rsidRPr="006E4C32" w14:paraId="651FC1D1" w14:textId="77777777" w:rsidTr="005B0BBD">
        <w:trPr>
          <w:trHeight w:val="145"/>
        </w:trPr>
        <w:tc>
          <w:tcPr>
            <w:tcW w:w="5377" w:type="dxa"/>
            <w:tcBorders>
              <w:top w:val="single" w:sz="8" w:space="0" w:color="auto"/>
              <w:left w:val="single" w:sz="8" w:space="0" w:color="auto"/>
              <w:bottom w:val="single" w:sz="8" w:space="0" w:color="auto"/>
              <w:right w:val="nil"/>
            </w:tcBorders>
            <w:shd w:val="clear" w:color="auto" w:fill="C4BC96" w:themeFill="background2" w:themeFillShade="BF"/>
            <w:noWrap/>
            <w:vAlign w:val="bottom"/>
            <w:hideMark/>
          </w:tcPr>
          <w:p w14:paraId="620E0A86" w14:textId="77777777" w:rsidR="00A46C4F" w:rsidRPr="006E4C32" w:rsidRDefault="00D66540" w:rsidP="006E4C32">
            <w:pPr>
              <w:spacing w:line="276" w:lineRule="auto"/>
              <w:rPr>
                <w:rFonts w:cs="Arial"/>
                <w:b/>
                <w:bCs/>
                <w:color w:val="000000"/>
                <w:sz w:val="20"/>
              </w:rPr>
            </w:pPr>
            <w:r w:rsidRPr="006E4C32">
              <w:rPr>
                <w:rFonts w:cs="Arial"/>
                <w:b/>
                <w:bCs/>
                <w:color w:val="000000"/>
                <w:sz w:val="20"/>
              </w:rPr>
              <w:t>Indicateur</w:t>
            </w:r>
          </w:p>
        </w:tc>
        <w:tc>
          <w:tcPr>
            <w:tcW w:w="880" w:type="dxa"/>
            <w:tcBorders>
              <w:top w:val="single" w:sz="8" w:space="0" w:color="auto"/>
              <w:left w:val="nil"/>
              <w:bottom w:val="single" w:sz="8" w:space="0" w:color="auto"/>
              <w:right w:val="nil"/>
            </w:tcBorders>
            <w:shd w:val="clear" w:color="auto" w:fill="C4BC96" w:themeFill="background2" w:themeFillShade="BF"/>
            <w:noWrap/>
            <w:vAlign w:val="bottom"/>
            <w:hideMark/>
          </w:tcPr>
          <w:p w14:paraId="4FB6B47C" w14:textId="77777777" w:rsidR="00A46C4F" w:rsidRPr="006E4C32" w:rsidRDefault="00D66540" w:rsidP="006E4C32">
            <w:pPr>
              <w:spacing w:line="276" w:lineRule="auto"/>
              <w:rPr>
                <w:rFonts w:cs="Arial"/>
                <w:b/>
                <w:bCs/>
                <w:color w:val="000000"/>
                <w:sz w:val="20"/>
              </w:rPr>
            </w:pPr>
            <w:r w:rsidRPr="006E4C32">
              <w:rPr>
                <w:rFonts w:cs="Arial"/>
                <w:b/>
                <w:bCs/>
                <w:color w:val="000000"/>
                <w:sz w:val="20"/>
              </w:rPr>
              <w:t>Ligne de base</w:t>
            </w:r>
            <w:r w:rsidR="00A46C4F" w:rsidRPr="006E4C32">
              <w:rPr>
                <w:rFonts w:cs="Arial"/>
                <w:b/>
                <w:bCs/>
                <w:color w:val="000000"/>
                <w:sz w:val="20"/>
              </w:rPr>
              <w:t xml:space="preserve"> </w:t>
            </w:r>
          </w:p>
        </w:tc>
        <w:tc>
          <w:tcPr>
            <w:tcW w:w="894" w:type="dxa"/>
            <w:tcBorders>
              <w:top w:val="single" w:sz="8" w:space="0" w:color="auto"/>
              <w:left w:val="nil"/>
              <w:bottom w:val="single" w:sz="8" w:space="0" w:color="auto"/>
              <w:right w:val="single" w:sz="8" w:space="0" w:color="auto"/>
            </w:tcBorders>
            <w:shd w:val="clear" w:color="auto" w:fill="C4BC96" w:themeFill="background2" w:themeFillShade="BF"/>
            <w:noWrap/>
            <w:vAlign w:val="bottom"/>
            <w:hideMark/>
          </w:tcPr>
          <w:p w14:paraId="2F36D1EA" w14:textId="77777777" w:rsidR="00A46C4F" w:rsidRPr="006E4C32" w:rsidRDefault="00D66540" w:rsidP="006E4C32">
            <w:pPr>
              <w:spacing w:line="276" w:lineRule="auto"/>
              <w:rPr>
                <w:rFonts w:cs="Arial"/>
                <w:b/>
                <w:bCs/>
                <w:color w:val="000000"/>
                <w:sz w:val="20"/>
              </w:rPr>
            </w:pPr>
            <w:r w:rsidRPr="006E4C32">
              <w:rPr>
                <w:rFonts w:cs="Arial"/>
                <w:b/>
                <w:bCs/>
                <w:color w:val="000000"/>
                <w:sz w:val="20"/>
              </w:rPr>
              <w:t xml:space="preserve">Cible </w:t>
            </w:r>
          </w:p>
        </w:tc>
      </w:tr>
      <w:tr w:rsidR="00A46C4F" w:rsidRPr="006E4C32" w14:paraId="22147F60" w14:textId="77777777" w:rsidTr="00D90966">
        <w:trPr>
          <w:trHeight w:val="349"/>
        </w:trPr>
        <w:tc>
          <w:tcPr>
            <w:tcW w:w="5377" w:type="dxa"/>
            <w:tcBorders>
              <w:top w:val="single" w:sz="8" w:space="0" w:color="auto"/>
              <w:left w:val="single" w:sz="8" w:space="0" w:color="auto"/>
              <w:bottom w:val="single" w:sz="8" w:space="0" w:color="auto"/>
              <w:right w:val="single" w:sz="8" w:space="0" w:color="auto"/>
            </w:tcBorders>
            <w:shd w:val="clear" w:color="auto" w:fill="auto"/>
            <w:vAlign w:val="center"/>
          </w:tcPr>
          <w:p w14:paraId="0E5B5787" w14:textId="0F45AAFE" w:rsidR="00A46C4F" w:rsidRPr="006E4C32" w:rsidRDefault="00A46C4F" w:rsidP="006E4C32">
            <w:pPr>
              <w:spacing w:line="276" w:lineRule="auto"/>
              <w:rPr>
                <w:rFonts w:cs="Arial"/>
                <w:color w:val="000000"/>
                <w:sz w:val="20"/>
              </w:rPr>
            </w:pPr>
          </w:p>
        </w:tc>
        <w:tc>
          <w:tcPr>
            <w:tcW w:w="880" w:type="dxa"/>
            <w:tcBorders>
              <w:top w:val="single" w:sz="8" w:space="0" w:color="auto"/>
              <w:left w:val="single" w:sz="8" w:space="0" w:color="auto"/>
              <w:bottom w:val="single" w:sz="8" w:space="0" w:color="auto"/>
              <w:right w:val="single" w:sz="8" w:space="0" w:color="auto"/>
            </w:tcBorders>
            <w:shd w:val="clear" w:color="auto" w:fill="auto"/>
            <w:vAlign w:val="center"/>
          </w:tcPr>
          <w:p w14:paraId="61399F65" w14:textId="39E131F1" w:rsidR="00A46C4F" w:rsidRPr="006E4C32" w:rsidRDefault="00A46C4F" w:rsidP="006E4C32">
            <w:pPr>
              <w:spacing w:line="276" w:lineRule="auto"/>
              <w:rPr>
                <w:rFonts w:cs="Arial"/>
                <w:color w:val="000000"/>
                <w:sz w:val="20"/>
              </w:rPr>
            </w:pPr>
          </w:p>
        </w:tc>
        <w:tc>
          <w:tcPr>
            <w:tcW w:w="894" w:type="dxa"/>
            <w:tcBorders>
              <w:top w:val="single" w:sz="8" w:space="0" w:color="auto"/>
              <w:left w:val="single" w:sz="8" w:space="0" w:color="auto"/>
              <w:bottom w:val="single" w:sz="8" w:space="0" w:color="auto"/>
              <w:right w:val="single" w:sz="8" w:space="0" w:color="auto"/>
            </w:tcBorders>
            <w:shd w:val="clear" w:color="auto" w:fill="auto"/>
            <w:vAlign w:val="center"/>
          </w:tcPr>
          <w:p w14:paraId="7AA4DF39" w14:textId="16724C2E" w:rsidR="00A46C4F" w:rsidRPr="006E4C32" w:rsidRDefault="00A46C4F" w:rsidP="006E4C32">
            <w:pPr>
              <w:spacing w:line="276" w:lineRule="auto"/>
              <w:rPr>
                <w:rFonts w:cs="Arial"/>
                <w:color w:val="000000"/>
                <w:sz w:val="20"/>
              </w:rPr>
            </w:pPr>
          </w:p>
        </w:tc>
      </w:tr>
      <w:tr w:rsidR="00A46C4F" w:rsidRPr="006E4C32" w14:paraId="3F3E038A" w14:textId="77777777" w:rsidTr="00D90966">
        <w:trPr>
          <w:trHeight w:val="400"/>
        </w:trPr>
        <w:tc>
          <w:tcPr>
            <w:tcW w:w="5377" w:type="dxa"/>
            <w:tcBorders>
              <w:top w:val="single" w:sz="8" w:space="0" w:color="auto"/>
              <w:left w:val="single" w:sz="8" w:space="0" w:color="auto"/>
              <w:bottom w:val="single" w:sz="8" w:space="0" w:color="auto"/>
              <w:right w:val="single" w:sz="8" w:space="0" w:color="auto"/>
            </w:tcBorders>
            <w:shd w:val="clear" w:color="auto" w:fill="auto"/>
            <w:vAlign w:val="center"/>
          </w:tcPr>
          <w:p w14:paraId="07674E7C" w14:textId="5455FCF7" w:rsidR="00A46C4F" w:rsidRPr="006E4C32" w:rsidRDefault="00A46C4F" w:rsidP="006E4C32">
            <w:pPr>
              <w:spacing w:line="276" w:lineRule="auto"/>
              <w:rPr>
                <w:rFonts w:cs="Arial"/>
                <w:color w:val="000000"/>
                <w:sz w:val="20"/>
              </w:rPr>
            </w:pPr>
          </w:p>
        </w:tc>
        <w:tc>
          <w:tcPr>
            <w:tcW w:w="880" w:type="dxa"/>
            <w:tcBorders>
              <w:top w:val="single" w:sz="8" w:space="0" w:color="auto"/>
              <w:left w:val="single" w:sz="8" w:space="0" w:color="auto"/>
              <w:bottom w:val="single" w:sz="8" w:space="0" w:color="auto"/>
              <w:right w:val="single" w:sz="8" w:space="0" w:color="auto"/>
            </w:tcBorders>
            <w:shd w:val="clear" w:color="auto" w:fill="auto"/>
            <w:vAlign w:val="center"/>
          </w:tcPr>
          <w:p w14:paraId="213A9EE6" w14:textId="48F75A74" w:rsidR="00A46C4F" w:rsidRPr="006E4C32" w:rsidRDefault="00A46C4F" w:rsidP="006E4C32">
            <w:pPr>
              <w:spacing w:line="276" w:lineRule="auto"/>
              <w:rPr>
                <w:rFonts w:cs="Arial"/>
                <w:color w:val="000000"/>
                <w:sz w:val="20"/>
              </w:rPr>
            </w:pPr>
          </w:p>
        </w:tc>
        <w:tc>
          <w:tcPr>
            <w:tcW w:w="894" w:type="dxa"/>
            <w:tcBorders>
              <w:top w:val="single" w:sz="8" w:space="0" w:color="auto"/>
              <w:left w:val="single" w:sz="8" w:space="0" w:color="auto"/>
              <w:bottom w:val="single" w:sz="8" w:space="0" w:color="auto"/>
              <w:right w:val="single" w:sz="8" w:space="0" w:color="auto"/>
            </w:tcBorders>
            <w:shd w:val="clear" w:color="auto" w:fill="auto"/>
            <w:vAlign w:val="center"/>
          </w:tcPr>
          <w:p w14:paraId="60EEABB4" w14:textId="7EBD8DD7" w:rsidR="00A46C4F" w:rsidRPr="006E4C32" w:rsidRDefault="00A46C4F" w:rsidP="006E4C32">
            <w:pPr>
              <w:spacing w:line="276" w:lineRule="auto"/>
              <w:rPr>
                <w:rFonts w:cs="Arial"/>
                <w:color w:val="000000"/>
                <w:sz w:val="20"/>
              </w:rPr>
            </w:pPr>
          </w:p>
        </w:tc>
      </w:tr>
      <w:tr w:rsidR="00A46C4F" w:rsidRPr="006E4C32" w14:paraId="165F241B" w14:textId="77777777" w:rsidTr="00D90966">
        <w:trPr>
          <w:trHeight w:val="455"/>
        </w:trPr>
        <w:tc>
          <w:tcPr>
            <w:tcW w:w="5377" w:type="dxa"/>
            <w:tcBorders>
              <w:top w:val="single" w:sz="8" w:space="0" w:color="auto"/>
              <w:left w:val="single" w:sz="8" w:space="0" w:color="auto"/>
              <w:bottom w:val="single" w:sz="8" w:space="0" w:color="auto"/>
              <w:right w:val="single" w:sz="8" w:space="0" w:color="auto"/>
            </w:tcBorders>
            <w:shd w:val="clear" w:color="auto" w:fill="auto"/>
            <w:vAlign w:val="center"/>
          </w:tcPr>
          <w:p w14:paraId="491A953B" w14:textId="1B46A210" w:rsidR="00A46C4F" w:rsidRPr="006E4C32" w:rsidRDefault="00A46C4F" w:rsidP="006E4C32">
            <w:pPr>
              <w:spacing w:line="276" w:lineRule="auto"/>
              <w:rPr>
                <w:rFonts w:cs="Arial"/>
                <w:color w:val="000000"/>
                <w:sz w:val="20"/>
              </w:rPr>
            </w:pPr>
          </w:p>
        </w:tc>
        <w:tc>
          <w:tcPr>
            <w:tcW w:w="880" w:type="dxa"/>
            <w:tcBorders>
              <w:top w:val="single" w:sz="8" w:space="0" w:color="auto"/>
              <w:left w:val="single" w:sz="8" w:space="0" w:color="auto"/>
              <w:bottom w:val="single" w:sz="8" w:space="0" w:color="auto"/>
              <w:right w:val="single" w:sz="8" w:space="0" w:color="auto"/>
            </w:tcBorders>
            <w:shd w:val="clear" w:color="auto" w:fill="auto"/>
            <w:vAlign w:val="center"/>
          </w:tcPr>
          <w:p w14:paraId="1BDBD8F2" w14:textId="1A467015" w:rsidR="00A46C4F" w:rsidRPr="006E4C32" w:rsidRDefault="00A46C4F" w:rsidP="006E4C32">
            <w:pPr>
              <w:spacing w:line="276" w:lineRule="auto"/>
              <w:rPr>
                <w:rFonts w:cs="Arial"/>
                <w:color w:val="000000"/>
                <w:sz w:val="20"/>
              </w:rPr>
            </w:pPr>
          </w:p>
        </w:tc>
        <w:tc>
          <w:tcPr>
            <w:tcW w:w="894" w:type="dxa"/>
            <w:tcBorders>
              <w:top w:val="single" w:sz="8" w:space="0" w:color="auto"/>
              <w:left w:val="single" w:sz="8" w:space="0" w:color="auto"/>
              <w:bottom w:val="single" w:sz="8" w:space="0" w:color="auto"/>
              <w:right w:val="single" w:sz="8" w:space="0" w:color="auto"/>
            </w:tcBorders>
            <w:shd w:val="clear" w:color="auto" w:fill="auto"/>
            <w:vAlign w:val="center"/>
          </w:tcPr>
          <w:p w14:paraId="5C1E6D97" w14:textId="01D66DFF" w:rsidR="00A46C4F" w:rsidRPr="006E4C32" w:rsidRDefault="00A46C4F" w:rsidP="006E4C32">
            <w:pPr>
              <w:spacing w:line="276" w:lineRule="auto"/>
              <w:rPr>
                <w:rFonts w:cs="Arial"/>
                <w:color w:val="000000"/>
                <w:sz w:val="20"/>
              </w:rPr>
            </w:pPr>
          </w:p>
        </w:tc>
      </w:tr>
      <w:tr w:rsidR="00A46C4F" w:rsidRPr="006E4C32" w14:paraId="4FB83ED4" w14:textId="77777777" w:rsidTr="00D90966">
        <w:trPr>
          <w:trHeight w:hRule="exact" w:val="609"/>
        </w:trPr>
        <w:tc>
          <w:tcPr>
            <w:tcW w:w="5377" w:type="dxa"/>
            <w:tcBorders>
              <w:top w:val="single" w:sz="8" w:space="0" w:color="auto"/>
              <w:left w:val="single" w:sz="8" w:space="0" w:color="auto"/>
              <w:bottom w:val="single" w:sz="8" w:space="0" w:color="auto"/>
              <w:right w:val="single" w:sz="8" w:space="0" w:color="auto"/>
            </w:tcBorders>
            <w:shd w:val="clear" w:color="auto" w:fill="auto"/>
            <w:vAlign w:val="center"/>
          </w:tcPr>
          <w:p w14:paraId="5AF8E903" w14:textId="47A15128" w:rsidR="00A46C4F" w:rsidRPr="006E4C32" w:rsidRDefault="00A46C4F" w:rsidP="006E4C32">
            <w:pPr>
              <w:spacing w:line="276" w:lineRule="auto"/>
              <w:rPr>
                <w:rFonts w:cs="Arial"/>
                <w:color w:val="000000"/>
                <w:sz w:val="20"/>
              </w:rPr>
            </w:pPr>
          </w:p>
        </w:tc>
        <w:tc>
          <w:tcPr>
            <w:tcW w:w="880" w:type="dxa"/>
            <w:tcBorders>
              <w:top w:val="single" w:sz="8" w:space="0" w:color="auto"/>
              <w:left w:val="single" w:sz="8" w:space="0" w:color="auto"/>
              <w:bottom w:val="single" w:sz="8" w:space="0" w:color="auto"/>
              <w:right w:val="single" w:sz="8" w:space="0" w:color="auto"/>
            </w:tcBorders>
            <w:shd w:val="clear" w:color="auto" w:fill="auto"/>
            <w:vAlign w:val="center"/>
          </w:tcPr>
          <w:p w14:paraId="1A1003B1" w14:textId="1A9E57F7" w:rsidR="00A46C4F" w:rsidRPr="006E4C32" w:rsidRDefault="00A46C4F" w:rsidP="006E4C32">
            <w:pPr>
              <w:spacing w:line="276" w:lineRule="auto"/>
              <w:rPr>
                <w:rFonts w:cs="Arial"/>
                <w:color w:val="000000"/>
                <w:sz w:val="20"/>
              </w:rPr>
            </w:pPr>
          </w:p>
        </w:tc>
        <w:tc>
          <w:tcPr>
            <w:tcW w:w="894" w:type="dxa"/>
            <w:tcBorders>
              <w:top w:val="single" w:sz="8" w:space="0" w:color="auto"/>
              <w:left w:val="single" w:sz="8" w:space="0" w:color="auto"/>
              <w:bottom w:val="single" w:sz="8" w:space="0" w:color="auto"/>
              <w:right w:val="single" w:sz="8" w:space="0" w:color="auto"/>
            </w:tcBorders>
            <w:shd w:val="clear" w:color="auto" w:fill="auto"/>
            <w:vAlign w:val="center"/>
          </w:tcPr>
          <w:p w14:paraId="736A4A7B" w14:textId="7FC3EE6A" w:rsidR="00A46C4F" w:rsidRPr="006E4C32" w:rsidRDefault="00A46C4F" w:rsidP="006E4C32">
            <w:pPr>
              <w:spacing w:line="276" w:lineRule="auto"/>
              <w:rPr>
                <w:rFonts w:cs="Arial"/>
                <w:color w:val="000000"/>
                <w:sz w:val="20"/>
              </w:rPr>
            </w:pPr>
          </w:p>
        </w:tc>
      </w:tr>
      <w:tr w:rsidR="00A46C4F" w:rsidRPr="006E4C32" w14:paraId="7D678D92" w14:textId="77777777" w:rsidTr="00D90966">
        <w:trPr>
          <w:trHeight w:val="366"/>
        </w:trPr>
        <w:tc>
          <w:tcPr>
            <w:tcW w:w="5377" w:type="dxa"/>
            <w:tcBorders>
              <w:top w:val="single" w:sz="8" w:space="0" w:color="auto"/>
              <w:left w:val="single" w:sz="8" w:space="0" w:color="auto"/>
              <w:bottom w:val="single" w:sz="4" w:space="0" w:color="auto"/>
              <w:right w:val="single" w:sz="8" w:space="0" w:color="auto"/>
            </w:tcBorders>
            <w:shd w:val="clear" w:color="auto" w:fill="auto"/>
            <w:vAlign w:val="center"/>
          </w:tcPr>
          <w:p w14:paraId="6A4F2574" w14:textId="540FDBCC" w:rsidR="00A46C4F" w:rsidRPr="006E4C32" w:rsidRDefault="00A46C4F" w:rsidP="006E4C32">
            <w:pPr>
              <w:spacing w:line="276" w:lineRule="auto"/>
              <w:rPr>
                <w:rFonts w:cs="Arial"/>
                <w:color w:val="000000"/>
                <w:sz w:val="20"/>
              </w:rPr>
            </w:pPr>
          </w:p>
        </w:tc>
        <w:tc>
          <w:tcPr>
            <w:tcW w:w="880" w:type="dxa"/>
            <w:tcBorders>
              <w:top w:val="single" w:sz="8" w:space="0" w:color="auto"/>
              <w:left w:val="single" w:sz="8" w:space="0" w:color="auto"/>
              <w:bottom w:val="single" w:sz="4" w:space="0" w:color="auto"/>
              <w:right w:val="single" w:sz="8" w:space="0" w:color="auto"/>
            </w:tcBorders>
            <w:shd w:val="clear" w:color="auto" w:fill="auto"/>
            <w:vAlign w:val="center"/>
          </w:tcPr>
          <w:p w14:paraId="795CB631" w14:textId="03E06F06" w:rsidR="00A46C4F" w:rsidRPr="006E4C32" w:rsidRDefault="00A46C4F" w:rsidP="006E4C32">
            <w:pPr>
              <w:spacing w:line="276" w:lineRule="auto"/>
              <w:rPr>
                <w:rFonts w:cs="Arial"/>
                <w:color w:val="000000"/>
                <w:sz w:val="20"/>
              </w:rPr>
            </w:pPr>
          </w:p>
        </w:tc>
        <w:tc>
          <w:tcPr>
            <w:tcW w:w="894" w:type="dxa"/>
            <w:tcBorders>
              <w:top w:val="single" w:sz="8" w:space="0" w:color="auto"/>
              <w:left w:val="single" w:sz="8" w:space="0" w:color="auto"/>
              <w:bottom w:val="single" w:sz="4" w:space="0" w:color="auto"/>
              <w:right w:val="single" w:sz="8" w:space="0" w:color="auto"/>
            </w:tcBorders>
            <w:shd w:val="clear" w:color="auto" w:fill="auto"/>
            <w:vAlign w:val="center"/>
          </w:tcPr>
          <w:p w14:paraId="74C67AF2" w14:textId="12B34EBD" w:rsidR="00A46C4F" w:rsidRPr="006E4C32" w:rsidRDefault="00A46C4F" w:rsidP="006E4C32">
            <w:pPr>
              <w:spacing w:line="276" w:lineRule="auto"/>
              <w:rPr>
                <w:rFonts w:cs="Arial"/>
                <w:color w:val="000000"/>
                <w:sz w:val="20"/>
              </w:rPr>
            </w:pPr>
          </w:p>
        </w:tc>
      </w:tr>
    </w:tbl>
    <w:p w14:paraId="08AF1D64" w14:textId="77777777" w:rsidR="00A46C4F" w:rsidRPr="006E4C32" w:rsidRDefault="00A46C4F" w:rsidP="006E4C32">
      <w:pPr>
        <w:pStyle w:val="Paragraph"/>
        <w:numPr>
          <w:ilvl w:val="0"/>
          <w:numId w:val="0"/>
        </w:numPr>
        <w:spacing w:before="0" w:after="0" w:line="276" w:lineRule="auto"/>
        <w:ind w:left="720"/>
        <w:jc w:val="left"/>
        <w:rPr>
          <w:rFonts w:ascii="Times" w:hAnsi="Times" w:cs="Arial"/>
          <w:szCs w:val="24"/>
          <w:lang w:val="fr-FR"/>
        </w:rPr>
      </w:pPr>
    </w:p>
    <w:p w14:paraId="3FB6441D" w14:textId="77777777" w:rsidR="00EE679D" w:rsidRPr="006E4C32" w:rsidRDefault="00EE679D" w:rsidP="006E4C32">
      <w:pPr>
        <w:pStyle w:val="Paragraph"/>
        <w:numPr>
          <w:ilvl w:val="0"/>
          <w:numId w:val="0"/>
        </w:numPr>
        <w:spacing w:before="0" w:after="0" w:line="276" w:lineRule="auto"/>
        <w:ind w:left="720"/>
        <w:jc w:val="left"/>
        <w:rPr>
          <w:rFonts w:ascii="Times" w:hAnsi="Times" w:cs="Arial"/>
          <w:szCs w:val="24"/>
          <w:lang w:val="fr-FR"/>
        </w:rPr>
      </w:pPr>
    </w:p>
    <w:p w14:paraId="4E5FD3CB" w14:textId="77777777" w:rsidR="00EE679D" w:rsidRPr="006E4C32" w:rsidRDefault="00EE679D" w:rsidP="006E4C32">
      <w:pPr>
        <w:pStyle w:val="Paragraph"/>
        <w:numPr>
          <w:ilvl w:val="0"/>
          <w:numId w:val="0"/>
        </w:numPr>
        <w:spacing w:before="0" w:after="0" w:line="276" w:lineRule="auto"/>
        <w:ind w:left="720"/>
        <w:jc w:val="left"/>
        <w:rPr>
          <w:rFonts w:ascii="Times" w:hAnsi="Times" w:cs="Arial"/>
          <w:szCs w:val="24"/>
          <w:lang w:val="fr-FR"/>
        </w:rPr>
      </w:pPr>
    </w:p>
    <w:p w14:paraId="4D4CE29F" w14:textId="77777777" w:rsidR="00EE679D" w:rsidRPr="006E4C32" w:rsidRDefault="00EE679D" w:rsidP="006E4C32">
      <w:pPr>
        <w:pStyle w:val="Paragraph"/>
        <w:numPr>
          <w:ilvl w:val="0"/>
          <w:numId w:val="0"/>
        </w:numPr>
        <w:spacing w:before="0" w:after="0" w:line="276" w:lineRule="auto"/>
        <w:ind w:left="720"/>
        <w:jc w:val="left"/>
        <w:rPr>
          <w:rFonts w:ascii="Times" w:hAnsi="Times" w:cs="Arial"/>
          <w:szCs w:val="24"/>
          <w:lang w:val="fr-FR"/>
        </w:rPr>
      </w:pPr>
    </w:p>
    <w:p w14:paraId="199EB95E" w14:textId="77777777" w:rsidR="00EE679D" w:rsidRPr="006E4C32" w:rsidRDefault="00EE679D" w:rsidP="006E4C32">
      <w:pPr>
        <w:pStyle w:val="Paragraph"/>
        <w:numPr>
          <w:ilvl w:val="0"/>
          <w:numId w:val="0"/>
        </w:numPr>
        <w:spacing w:before="0" w:after="0" w:line="276" w:lineRule="auto"/>
        <w:ind w:left="720"/>
        <w:jc w:val="left"/>
        <w:rPr>
          <w:rFonts w:ascii="Times" w:hAnsi="Times" w:cs="Arial"/>
          <w:szCs w:val="24"/>
          <w:lang w:val="fr-FR"/>
        </w:rPr>
      </w:pPr>
    </w:p>
    <w:p w14:paraId="793A0930" w14:textId="77777777" w:rsidR="00EE679D" w:rsidRPr="006E4C32" w:rsidRDefault="00EE679D" w:rsidP="006E4C32">
      <w:pPr>
        <w:pStyle w:val="Paragraph"/>
        <w:numPr>
          <w:ilvl w:val="0"/>
          <w:numId w:val="0"/>
        </w:numPr>
        <w:spacing w:before="0" w:after="0" w:line="276" w:lineRule="auto"/>
        <w:ind w:left="720"/>
        <w:jc w:val="left"/>
        <w:rPr>
          <w:rFonts w:ascii="Times" w:hAnsi="Times" w:cs="Arial"/>
          <w:szCs w:val="24"/>
          <w:lang w:val="fr-FR"/>
        </w:rPr>
      </w:pPr>
    </w:p>
    <w:p w14:paraId="427F5F90" w14:textId="77777777" w:rsidR="00EE679D" w:rsidRPr="006E4C32" w:rsidRDefault="00EE679D" w:rsidP="006E4C32">
      <w:pPr>
        <w:pStyle w:val="Paragraph"/>
        <w:numPr>
          <w:ilvl w:val="0"/>
          <w:numId w:val="0"/>
        </w:numPr>
        <w:spacing w:before="0" w:after="0" w:line="276" w:lineRule="auto"/>
        <w:ind w:left="720"/>
        <w:jc w:val="left"/>
        <w:rPr>
          <w:rFonts w:ascii="Times" w:hAnsi="Times" w:cs="Arial"/>
          <w:szCs w:val="24"/>
          <w:lang w:val="fr-FR"/>
        </w:rPr>
      </w:pPr>
    </w:p>
    <w:p w14:paraId="2B81EB29" w14:textId="77777777" w:rsidR="00EE679D" w:rsidRPr="006E4C32" w:rsidRDefault="00EE679D" w:rsidP="006E4C32">
      <w:pPr>
        <w:pStyle w:val="Paragraph"/>
        <w:numPr>
          <w:ilvl w:val="0"/>
          <w:numId w:val="0"/>
        </w:numPr>
        <w:spacing w:before="0" w:after="0" w:line="276" w:lineRule="auto"/>
        <w:ind w:left="720"/>
        <w:jc w:val="left"/>
        <w:rPr>
          <w:rFonts w:ascii="Times" w:hAnsi="Times" w:cs="Arial"/>
          <w:szCs w:val="24"/>
          <w:lang w:val="fr-FR"/>
        </w:rPr>
      </w:pPr>
    </w:p>
    <w:p w14:paraId="32274130" w14:textId="77777777" w:rsidR="00EE679D" w:rsidRPr="006E4C32" w:rsidRDefault="00EE679D" w:rsidP="006E4C32">
      <w:pPr>
        <w:pStyle w:val="Paragraph"/>
        <w:numPr>
          <w:ilvl w:val="0"/>
          <w:numId w:val="0"/>
        </w:numPr>
        <w:spacing w:before="0" w:after="0" w:line="276" w:lineRule="auto"/>
        <w:ind w:left="720"/>
        <w:jc w:val="left"/>
        <w:rPr>
          <w:rFonts w:ascii="Times" w:hAnsi="Times" w:cs="Arial"/>
          <w:szCs w:val="24"/>
          <w:lang w:val="fr-FR"/>
        </w:rPr>
      </w:pPr>
    </w:p>
    <w:p w14:paraId="43695924" w14:textId="77777777" w:rsidR="00EE679D" w:rsidRPr="006E4C32" w:rsidRDefault="00EE679D" w:rsidP="006E4C32">
      <w:pPr>
        <w:pStyle w:val="Paragraph"/>
        <w:numPr>
          <w:ilvl w:val="0"/>
          <w:numId w:val="0"/>
        </w:numPr>
        <w:spacing w:before="0" w:after="0" w:line="276" w:lineRule="auto"/>
        <w:ind w:left="720"/>
        <w:jc w:val="left"/>
        <w:rPr>
          <w:rFonts w:ascii="Times" w:hAnsi="Times" w:cs="Arial"/>
          <w:szCs w:val="24"/>
          <w:lang w:val="fr-FR"/>
        </w:rPr>
      </w:pPr>
    </w:p>
    <w:p w14:paraId="410748D7" w14:textId="7F0B0705" w:rsidR="00A46C4F" w:rsidRPr="006E4C32" w:rsidRDefault="009D3874" w:rsidP="006E4C32">
      <w:pPr>
        <w:pStyle w:val="FirstHeading"/>
        <w:spacing w:before="100" w:after="100" w:line="276" w:lineRule="auto"/>
        <w:ind w:left="180" w:hanging="180"/>
        <w:rPr>
          <w:rFonts w:ascii="Times" w:hAnsi="Times" w:cs="Arial"/>
          <w:szCs w:val="24"/>
          <w:lang w:val="fr-FR"/>
        </w:rPr>
      </w:pPr>
      <w:bookmarkStart w:id="23" w:name="_Toc224106711"/>
      <w:bookmarkStart w:id="24" w:name="_Toc224442591"/>
      <w:bookmarkStart w:id="25" w:name="_Toc422322547"/>
      <w:r w:rsidRPr="006E4C32">
        <w:rPr>
          <w:rFonts w:ascii="Times" w:hAnsi="Times" w:cs="Arial"/>
          <w:szCs w:val="24"/>
          <w:lang w:val="fr-FR"/>
        </w:rPr>
        <w:t>2.</w:t>
      </w:r>
      <w:r w:rsidR="004449F4">
        <w:rPr>
          <w:rFonts w:ascii="Times" w:hAnsi="Times" w:cs="Arial"/>
          <w:szCs w:val="24"/>
          <w:lang w:val="fr-FR"/>
        </w:rPr>
        <w:t>4</w:t>
      </w:r>
      <w:r w:rsidRPr="006E4C32">
        <w:rPr>
          <w:rFonts w:ascii="Times" w:hAnsi="Times" w:cs="Arial"/>
          <w:szCs w:val="24"/>
          <w:lang w:val="fr-FR"/>
        </w:rPr>
        <w:t xml:space="preserve"> </w:t>
      </w:r>
      <w:r w:rsidR="00302456">
        <w:rPr>
          <w:rFonts w:ascii="Times" w:hAnsi="Times" w:cs="Arial"/>
          <w:szCs w:val="24"/>
          <w:lang w:val="fr-FR"/>
        </w:rPr>
        <w:t>R</w:t>
      </w:r>
      <w:r w:rsidR="00196DB0">
        <w:rPr>
          <w:rFonts w:ascii="Times" w:hAnsi="Times" w:cs="Arial"/>
          <w:szCs w:val="24"/>
          <w:lang w:val="fr-FR"/>
        </w:rPr>
        <w:t>ESSOURCES FINANCIERES</w:t>
      </w:r>
      <w:bookmarkEnd w:id="23"/>
      <w:bookmarkEnd w:id="24"/>
      <w:bookmarkEnd w:id="25"/>
    </w:p>
    <w:p w14:paraId="4F822CD5" w14:textId="05825362" w:rsidR="00A46C4F" w:rsidRDefault="00302456" w:rsidP="006E4C32">
      <w:pPr>
        <w:pStyle w:val="Paragraph"/>
        <w:numPr>
          <w:ilvl w:val="0"/>
          <w:numId w:val="0"/>
        </w:numPr>
        <w:spacing w:before="100" w:after="100" w:line="276" w:lineRule="auto"/>
        <w:ind w:left="540"/>
        <w:jc w:val="left"/>
        <w:rPr>
          <w:rFonts w:ascii="Times" w:hAnsi="Times" w:cs="Arial"/>
          <w:spacing w:val="-3"/>
          <w:szCs w:val="24"/>
          <w:lang w:val="fr-FR"/>
        </w:rPr>
      </w:pPr>
      <w:bookmarkStart w:id="26" w:name="_Toc363857108"/>
      <w:bookmarkStart w:id="27" w:name="_Toc363857630"/>
      <w:r>
        <w:rPr>
          <w:rFonts w:ascii="Times" w:hAnsi="Times" w:cs="Arial"/>
          <w:spacing w:val="-3"/>
          <w:szCs w:val="24"/>
          <w:lang w:val="fr-FR"/>
        </w:rPr>
        <w:t>Le montant de ce programme d’investissement s’élève à</w:t>
      </w:r>
      <w:r w:rsidR="009F20AC" w:rsidRPr="006E4C32">
        <w:rPr>
          <w:rFonts w:ascii="Times" w:hAnsi="Times" w:cs="Arial"/>
          <w:spacing w:val="-3"/>
          <w:szCs w:val="24"/>
          <w:lang w:val="fr-FR"/>
        </w:rPr>
        <w:t xml:space="preserve"> </w:t>
      </w:r>
      <w:r w:rsidR="00EE679D" w:rsidRPr="006E4C32">
        <w:rPr>
          <w:rFonts w:ascii="Times" w:hAnsi="Times" w:cs="Arial"/>
          <w:spacing w:val="-3"/>
          <w:szCs w:val="24"/>
          <w:lang w:val="fr-FR"/>
        </w:rPr>
        <w:t>US$</w:t>
      </w:r>
      <w:r w:rsidR="00D90966">
        <w:rPr>
          <w:rFonts w:ascii="Times" w:hAnsi="Times" w:cs="Arial"/>
          <w:spacing w:val="-3"/>
          <w:szCs w:val="24"/>
          <w:lang w:val="fr-FR"/>
        </w:rPr>
        <w:t>3</w:t>
      </w:r>
      <w:r w:rsidR="00EE679D" w:rsidRPr="006E4C32">
        <w:rPr>
          <w:rFonts w:ascii="Times" w:hAnsi="Times" w:cs="Arial"/>
          <w:spacing w:val="-3"/>
          <w:szCs w:val="24"/>
          <w:lang w:val="fr-FR"/>
        </w:rPr>
        <w:t>5</w:t>
      </w:r>
      <w:r w:rsidR="00005576" w:rsidRPr="006E4C32">
        <w:rPr>
          <w:rFonts w:ascii="Times" w:hAnsi="Times" w:cs="Arial"/>
          <w:spacing w:val="-3"/>
          <w:szCs w:val="24"/>
          <w:lang w:val="fr-FR"/>
        </w:rPr>
        <w:t xml:space="preserve"> millions</w:t>
      </w:r>
      <w:r>
        <w:rPr>
          <w:rFonts w:ascii="Times" w:hAnsi="Times" w:cs="Arial"/>
          <w:spacing w:val="-3"/>
          <w:szCs w:val="24"/>
          <w:lang w:val="fr-FR"/>
        </w:rPr>
        <w:t xml:space="preserve"> de dollars américains et </w:t>
      </w:r>
      <w:r w:rsidR="00EE679D" w:rsidRPr="006E4C32">
        <w:rPr>
          <w:rFonts w:ascii="Times" w:hAnsi="Times" w:cs="Arial"/>
          <w:spacing w:val="-3"/>
          <w:szCs w:val="24"/>
          <w:lang w:val="fr-FR"/>
        </w:rPr>
        <w:t>sera financé</w:t>
      </w:r>
      <w:r w:rsidR="009F20AC" w:rsidRPr="006E4C32">
        <w:rPr>
          <w:rFonts w:ascii="Times" w:hAnsi="Times" w:cs="Arial"/>
          <w:spacing w:val="-3"/>
          <w:szCs w:val="24"/>
          <w:lang w:val="fr-FR"/>
        </w:rPr>
        <w:t xml:space="preserve"> par un don de la BID. </w:t>
      </w:r>
      <w:r w:rsidR="00676295" w:rsidRPr="006E4C32">
        <w:rPr>
          <w:rFonts w:ascii="Times" w:hAnsi="Times" w:cs="Arial"/>
          <w:spacing w:val="-3"/>
          <w:szCs w:val="24"/>
          <w:lang w:val="fr-FR"/>
        </w:rPr>
        <w:t>La période de décaissement est de 60 mois. La table 2 fournit un sommaire des coûts par composante</w:t>
      </w:r>
      <w:bookmarkEnd w:id="26"/>
      <w:bookmarkEnd w:id="27"/>
      <w:r w:rsidR="00D719AF">
        <w:rPr>
          <w:rFonts w:ascii="Times" w:hAnsi="Times" w:cs="Arial"/>
          <w:spacing w:val="-3"/>
          <w:szCs w:val="24"/>
          <w:lang w:val="fr-FR"/>
        </w:rPr>
        <w:t>.</w:t>
      </w:r>
    </w:p>
    <w:p w14:paraId="6709A5BE" w14:textId="77777777" w:rsidR="00D719AF" w:rsidRDefault="00D719AF" w:rsidP="006E4C32">
      <w:pPr>
        <w:pStyle w:val="Paragraph"/>
        <w:numPr>
          <w:ilvl w:val="0"/>
          <w:numId w:val="0"/>
        </w:numPr>
        <w:spacing w:before="100" w:after="100" w:line="276" w:lineRule="auto"/>
        <w:ind w:left="540"/>
        <w:jc w:val="left"/>
        <w:rPr>
          <w:rFonts w:ascii="Times" w:hAnsi="Times" w:cs="Arial"/>
          <w:spacing w:val="-3"/>
          <w:szCs w:val="24"/>
          <w:lang w:val="fr-FR"/>
        </w:rPr>
      </w:pPr>
    </w:p>
    <w:p w14:paraId="4FFEC138" w14:textId="4E0F83A1" w:rsidR="00A46C4F" w:rsidRPr="006E4C32" w:rsidRDefault="00A46C4F" w:rsidP="006E4C32">
      <w:pPr>
        <w:spacing w:line="276" w:lineRule="auto"/>
        <w:rPr>
          <w:rFonts w:cs="Arial"/>
          <w:b/>
        </w:rPr>
      </w:pPr>
      <w:r w:rsidRPr="006E4C32">
        <w:rPr>
          <w:rFonts w:cs="Arial"/>
          <w:b/>
        </w:rPr>
        <w:t>Table 2.</w:t>
      </w:r>
      <w:r w:rsidR="00676295" w:rsidRPr="006E4C32">
        <w:rPr>
          <w:rFonts w:cs="Arial"/>
          <w:b/>
        </w:rPr>
        <w:t xml:space="preserve"> Coûts totaux </w:t>
      </w:r>
      <w:r w:rsidRPr="006E4C32">
        <w:rPr>
          <w:rFonts w:cs="Arial"/>
          <w:b/>
        </w:rPr>
        <w:t>(US$)</w:t>
      </w:r>
    </w:p>
    <w:tbl>
      <w:tblPr>
        <w:tblW w:w="9270" w:type="dxa"/>
        <w:tblInd w:w="-190" w:type="dxa"/>
        <w:tblLayout w:type="fixed"/>
        <w:tblLook w:val="04A0" w:firstRow="1" w:lastRow="0" w:firstColumn="1" w:lastColumn="0" w:noHBand="0" w:noVBand="1"/>
      </w:tblPr>
      <w:tblGrid>
        <w:gridCol w:w="2024"/>
        <w:gridCol w:w="891"/>
        <w:gridCol w:w="891"/>
        <w:gridCol w:w="2304"/>
        <w:gridCol w:w="310"/>
        <w:gridCol w:w="1300"/>
        <w:gridCol w:w="237"/>
        <w:gridCol w:w="1313"/>
      </w:tblGrid>
      <w:tr w:rsidR="001950BE" w:rsidRPr="006E4C32" w14:paraId="73CB82DC" w14:textId="77777777" w:rsidTr="00122BFA">
        <w:trPr>
          <w:trHeight w:val="142"/>
        </w:trPr>
        <w:tc>
          <w:tcPr>
            <w:tcW w:w="2024" w:type="dxa"/>
            <w:tcBorders>
              <w:top w:val="single" w:sz="8" w:space="0" w:color="auto"/>
              <w:left w:val="single" w:sz="8" w:space="0" w:color="auto"/>
              <w:bottom w:val="single" w:sz="4" w:space="0" w:color="auto"/>
              <w:right w:val="nil"/>
            </w:tcBorders>
            <w:shd w:val="clear" w:color="auto" w:fill="C4BC96" w:themeFill="background2" w:themeFillShade="BF"/>
            <w:noWrap/>
            <w:vAlign w:val="bottom"/>
            <w:hideMark/>
          </w:tcPr>
          <w:p w14:paraId="7B475303" w14:textId="77777777" w:rsidR="00A46C4F" w:rsidRPr="006E4C32" w:rsidRDefault="001950BE" w:rsidP="006E4C32">
            <w:pPr>
              <w:spacing w:line="276" w:lineRule="auto"/>
              <w:rPr>
                <w:rFonts w:cs="Arial"/>
                <w:b/>
                <w:bCs/>
                <w:color w:val="000000"/>
                <w:sz w:val="20"/>
              </w:rPr>
            </w:pPr>
            <w:r w:rsidRPr="006E4C32">
              <w:rPr>
                <w:rFonts w:cs="Arial"/>
                <w:b/>
                <w:bCs/>
                <w:color w:val="000000"/>
                <w:sz w:val="20"/>
              </w:rPr>
              <w:t>Categorie</w:t>
            </w:r>
          </w:p>
        </w:tc>
        <w:tc>
          <w:tcPr>
            <w:tcW w:w="891" w:type="dxa"/>
            <w:tcBorders>
              <w:top w:val="single" w:sz="8" w:space="0" w:color="auto"/>
              <w:left w:val="nil"/>
              <w:bottom w:val="single" w:sz="4" w:space="0" w:color="auto"/>
              <w:right w:val="nil"/>
            </w:tcBorders>
            <w:shd w:val="clear" w:color="auto" w:fill="C4BC96" w:themeFill="background2" w:themeFillShade="BF"/>
            <w:noWrap/>
            <w:vAlign w:val="bottom"/>
            <w:hideMark/>
          </w:tcPr>
          <w:p w14:paraId="7A4899D7" w14:textId="77777777" w:rsidR="00A46C4F" w:rsidRPr="006E4C32" w:rsidRDefault="00A46C4F" w:rsidP="006E4C32">
            <w:pPr>
              <w:spacing w:line="276" w:lineRule="auto"/>
              <w:rPr>
                <w:rFonts w:cs="Arial"/>
                <w:b/>
                <w:bCs/>
                <w:color w:val="000000"/>
                <w:sz w:val="20"/>
              </w:rPr>
            </w:pPr>
            <w:r w:rsidRPr="006E4C32">
              <w:rPr>
                <w:rFonts w:cs="Arial"/>
                <w:b/>
                <w:bCs/>
                <w:color w:val="000000"/>
                <w:sz w:val="20"/>
              </w:rPr>
              <w:t> </w:t>
            </w:r>
          </w:p>
        </w:tc>
        <w:tc>
          <w:tcPr>
            <w:tcW w:w="891" w:type="dxa"/>
            <w:tcBorders>
              <w:top w:val="single" w:sz="8" w:space="0" w:color="auto"/>
              <w:left w:val="nil"/>
              <w:bottom w:val="single" w:sz="4" w:space="0" w:color="auto"/>
              <w:right w:val="nil"/>
            </w:tcBorders>
            <w:shd w:val="clear" w:color="auto" w:fill="C4BC96" w:themeFill="background2" w:themeFillShade="BF"/>
            <w:noWrap/>
            <w:vAlign w:val="bottom"/>
            <w:hideMark/>
          </w:tcPr>
          <w:p w14:paraId="4E42C1C5" w14:textId="77777777" w:rsidR="00A46C4F" w:rsidRPr="006E4C32" w:rsidRDefault="00A46C4F" w:rsidP="006E4C32">
            <w:pPr>
              <w:spacing w:line="276" w:lineRule="auto"/>
              <w:rPr>
                <w:rFonts w:cs="Arial"/>
                <w:b/>
                <w:bCs/>
                <w:color w:val="000000"/>
                <w:sz w:val="20"/>
              </w:rPr>
            </w:pPr>
            <w:r w:rsidRPr="006E4C32">
              <w:rPr>
                <w:rFonts w:cs="Arial"/>
                <w:b/>
                <w:bCs/>
                <w:color w:val="000000"/>
                <w:sz w:val="20"/>
              </w:rPr>
              <w:t> </w:t>
            </w:r>
          </w:p>
        </w:tc>
        <w:tc>
          <w:tcPr>
            <w:tcW w:w="2304" w:type="dxa"/>
            <w:tcBorders>
              <w:top w:val="single" w:sz="8" w:space="0" w:color="auto"/>
              <w:left w:val="nil"/>
              <w:bottom w:val="single" w:sz="4" w:space="0" w:color="auto"/>
              <w:right w:val="nil"/>
            </w:tcBorders>
            <w:shd w:val="clear" w:color="auto" w:fill="C4BC96" w:themeFill="background2" w:themeFillShade="BF"/>
            <w:noWrap/>
            <w:vAlign w:val="bottom"/>
            <w:hideMark/>
          </w:tcPr>
          <w:p w14:paraId="7210755C" w14:textId="77777777" w:rsidR="00A46C4F" w:rsidRPr="006E4C32" w:rsidRDefault="00A46C4F" w:rsidP="006E4C32">
            <w:pPr>
              <w:spacing w:line="276" w:lineRule="auto"/>
              <w:rPr>
                <w:rFonts w:cs="Arial"/>
                <w:b/>
                <w:bCs/>
                <w:color w:val="000000"/>
                <w:sz w:val="20"/>
              </w:rPr>
            </w:pPr>
            <w:r w:rsidRPr="006E4C32">
              <w:rPr>
                <w:rFonts w:cs="Arial"/>
                <w:b/>
                <w:bCs/>
                <w:color w:val="000000"/>
                <w:sz w:val="20"/>
              </w:rPr>
              <w:t> </w:t>
            </w:r>
          </w:p>
        </w:tc>
        <w:tc>
          <w:tcPr>
            <w:tcW w:w="1610" w:type="dxa"/>
            <w:gridSpan w:val="2"/>
            <w:tcBorders>
              <w:top w:val="single" w:sz="8" w:space="0" w:color="auto"/>
              <w:left w:val="nil"/>
              <w:bottom w:val="single" w:sz="4" w:space="0" w:color="auto"/>
              <w:right w:val="nil"/>
            </w:tcBorders>
            <w:shd w:val="clear" w:color="auto" w:fill="C4BC96" w:themeFill="background2" w:themeFillShade="BF"/>
            <w:noWrap/>
            <w:vAlign w:val="bottom"/>
            <w:hideMark/>
          </w:tcPr>
          <w:p w14:paraId="7C733F9B" w14:textId="77777777" w:rsidR="00A46C4F" w:rsidRPr="006E4C32" w:rsidRDefault="001950BE" w:rsidP="006E4C32">
            <w:pPr>
              <w:spacing w:line="276" w:lineRule="auto"/>
              <w:rPr>
                <w:rFonts w:cs="Arial"/>
                <w:b/>
                <w:bCs/>
                <w:color w:val="000000"/>
                <w:sz w:val="20"/>
              </w:rPr>
            </w:pPr>
            <w:r w:rsidRPr="006E4C32">
              <w:rPr>
                <w:rFonts w:cs="Arial"/>
                <w:b/>
                <w:bCs/>
                <w:color w:val="000000"/>
                <w:sz w:val="20"/>
              </w:rPr>
              <w:t>Financement</w:t>
            </w:r>
          </w:p>
        </w:tc>
        <w:tc>
          <w:tcPr>
            <w:tcW w:w="237" w:type="dxa"/>
            <w:tcBorders>
              <w:top w:val="single" w:sz="8" w:space="0" w:color="auto"/>
              <w:left w:val="nil"/>
              <w:bottom w:val="single" w:sz="4" w:space="0" w:color="auto"/>
              <w:right w:val="nil"/>
            </w:tcBorders>
            <w:shd w:val="clear" w:color="auto" w:fill="C4BC96" w:themeFill="background2" w:themeFillShade="BF"/>
            <w:noWrap/>
            <w:vAlign w:val="bottom"/>
            <w:hideMark/>
          </w:tcPr>
          <w:p w14:paraId="6C5C20CE" w14:textId="77777777" w:rsidR="00A46C4F" w:rsidRPr="006E4C32" w:rsidRDefault="00A46C4F" w:rsidP="006E4C32">
            <w:pPr>
              <w:spacing w:line="276" w:lineRule="auto"/>
              <w:rPr>
                <w:rFonts w:cs="Arial"/>
                <w:b/>
                <w:bCs/>
                <w:color w:val="000000"/>
                <w:sz w:val="20"/>
              </w:rPr>
            </w:pPr>
            <w:r w:rsidRPr="006E4C32">
              <w:rPr>
                <w:rFonts w:cs="Arial"/>
                <w:b/>
                <w:bCs/>
                <w:color w:val="000000"/>
                <w:sz w:val="20"/>
              </w:rPr>
              <w:t> </w:t>
            </w:r>
          </w:p>
        </w:tc>
        <w:tc>
          <w:tcPr>
            <w:tcW w:w="1313" w:type="dxa"/>
            <w:tcBorders>
              <w:top w:val="single" w:sz="8" w:space="0" w:color="auto"/>
              <w:left w:val="nil"/>
              <w:bottom w:val="single" w:sz="4" w:space="0" w:color="auto"/>
              <w:right w:val="single" w:sz="8" w:space="0" w:color="auto"/>
            </w:tcBorders>
            <w:shd w:val="clear" w:color="auto" w:fill="C4BC96" w:themeFill="background2" w:themeFillShade="BF"/>
            <w:noWrap/>
            <w:vAlign w:val="bottom"/>
            <w:hideMark/>
          </w:tcPr>
          <w:p w14:paraId="256376A6" w14:textId="77777777" w:rsidR="00A46C4F" w:rsidRPr="006E4C32" w:rsidRDefault="00A46C4F" w:rsidP="00903265">
            <w:pPr>
              <w:spacing w:line="276" w:lineRule="auto"/>
              <w:jc w:val="right"/>
              <w:rPr>
                <w:rFonts w:cs="Arial"/>
                <w:b/>
                <w:bCs/>
                <w:color w:val="000000"/>
                <w:sz w:val="20"/>
              </w:rPr>
            </w:pPr>
            <w:r w:rsidRPr="006E4C32">
              <w:rPr>
                <w:rFonts w:cs="Arial"/>
                <w:b/>
                <w:bCs/>
                <w:color w:val="000000"/>
                <w:sz w:val="20"/>
              </w:rPr>
              <w:t>%</w:t>
            </w:r>
          </w:p>
        </w:tc>
      </w:tr>
      <w:tr w:rsidR="00A46C4F" w:rsidRPr="006E4C32" w14:paraId="0F773F0C" w14:textId="77777777" w:rsidTr="00122BFA">
        <w:trPr>
          <w:trHeight w:val="300"/>
        </w:trPr>
        <w:tc>
          <w:tcPr>
            <w:tcW w:w="6420" w:type="dxa"/>
            <w:gridSpan w:val="5"/>
            <w:tcBorders>
              <w:top w:val="nil"/>
              <w:left w:val="single" w:sz="8" w:space="0" w:color="auto"/>
              <w:bottom w:val="nil"/>
              <w:right w:val="nil"/>
            </w:tcBorders>
            <w:shd w:val="clear" w:color="auto" w:fill="auto"/>
            <w:noWrap/>
            <w:vAlign w:val="bottom"/>
            <w:hideMark/>
          </w:tcPr>
          <w:p w14:paraId="4C554A83" w14:textId="41392620" w:rsidR="00A46C4F" w:rsidRPr="00D90966" w:rsidRDefault="00A46C4F" w:rsidP="006E4C32">
            <w:pPr>
              <w:spacing w:line="276" w:lineRule="auto"/>
              <w:rPr>
                <w:rFonts w:cs="Arial"/>
                <w:color w:val="000000"/>
                <w:sz w:val="20"/>
              </w:rPr>
            </w:pPr>
            <w:r w:rsidRPr="00D90966">
              <w:rPr>
                <w:rFonts w:cs="Arial"/>
                <w:color w:val="000000"/>
                <w:sz w:val="20"/>
              </w:rPr>
              <w:t>I.</w:t>
            </w:r>
            <w:r w:rsidR="00676295" w:rsidRPr="00D90966">
              <w:rPr>
                <w:rFonts w:cs="Arial"/>
                <w:bCs/>
                <w:color w:val="000000"/>
                <w:sz w:val="20"/>
              </w:rPr>
              <w:t xml:space="preserve"> Composante </w:t>
            </w:r>
            <w:r w:rsidRPr="00D90966">
              <w:rPr>
                <w:rFonts w:cs="Arial"/>
                <w:bCs/>
                <w:color w:val="000000"/>
                <w:sz w:val="20"/>
              </w:rPr>
              <w:t>I</w:t>
            </w:r>
            <w:r w:rsidR="00676295" w:rsidRPr="00D90966">
              <w:rPr>
                <w:rFonts w:cs="Arial"/>
                <w:color w:val="000000"/>
                <w:sz w:val="20"/>
              </w:rPr>
              <w:t xml:space="preserve"> </w:t>
            </w:r>
            <w:r w:rsidR="00D90966" w:rsidRPr="00D90966">
              <w:rPr>
                <w:rFonts w:cs="Arial"/>
                <w:color w:val="000000"/>
                <w:sz w:val="20"/>
              </w:rPr>
              <w:t>Infrastructure</w:t>
            </w:r>
          </w:p>
        </w:tc>
        <w:tc>
          <w:tcPr>
            <w:tcW w:w="1300" w:type="dxa"/>
            <w:tcBorders>
              <w:top w:val="nil"/>
              <w:left w:val="nil"/>
              <w:bottom w:val="nil"/>
              <w:right w:val="nil"/>
            </w:tcBorders>
            <w:shd w:val="clear" w:color="auto" w:fill="auto"/>
            <w:noWrap/>
            <w:vAlign w:val="bottom"/>
            <w:hideMark/>
          </w:tcPr>
          <w:p w14:paraId="7F18637F" w14:textId="0FC88EEA" w:rsidR="00A46C4F" w:rsidRPr="00D90966" w:rsidRDefault="00D90966" w:rsidP="00D90966">
            <w:pPr>
              <w:spacing w:line="276" w:lineRule="auto"/>
              <w:jc w:val="right"/>
              <w:rPr>
                <w:rFonts w:cs="Arial"/>
                <w:color w:val="000000"/>
                <w:sz w:val="20"/>
              </w:rPr>
            </w:pPr>
            <w:r w:rsidRPr="00D90966">
              <w:rPr>
                <w:rFonts w:cs="Arial"/>
                <w:color w:val="000000"/>
                <w:sz w:val="20"/>
              </w:rPr>
              <w:t>28,920,000</w:t>
            </w:r>
          </w:p>
        </w:tc>
        <w:tc>
          <w:tcPr>
            <w:tcW w:w="237" w:type="dxa"/>
            <w:tcBorders>
              <w:top w:val="nil"/>
              <w:left w:val="nil"/>
              <w:bottom w:val="nil"/>
              <w:right w:val="nil"/>
            </w:tcBorders>
            <w:shd w:val="clear" w:color="auto" w:fill="auto"/>
            <w:noWrap/>
            <w:vAlign w:val="bottom"/>
            <w:hideMark/>
          </w:tcPr>
          <w:p w14:paraId="65ADEC28" w14:textId="77777777" w:rsidR="00A46C4F" w:rsidRPr="00D90966" w:rsidRDefault="00A46C4F" w:rsidP="006E4C32">
            <w:pPr>
              <w:spacing w:line="276" w:lineRule="auto"/>
              <w:rPr>
                <w:rFonts w:cs="Arial"/>
                <w:color w:val="000000"/>
                <w:sz w:val="20"/>
              </w:rPr>
            </w:pPr>
          </w:p>
        </w:tc>
        <w:tc>
          <w:tcPr>
            <w:tcW w:w="1313" w:type="dxa"/>
            <w:tcBorders>
              <w:top w:val="nil"/>
              <w:left w:val="nil"/>
              <w:bottom w:val="nil"/>
              <w:right w:val="single" w:sz="8" w:space="0" w:color="auto"/>
            </w:tcBorders>
            <w:shd w:val="clear" w:color="auto" w:fill="auto"/>
            <w:noWrap/>
            <w:vAlign w:val="bottom"/>
            <w:hideMark/>
          </w:tcPr>
          <w:p w14:paraId="5C499F75" w14:textId="6B1F8B3E" w:rsidR="00A46C4F" w:rsidRPr="00D90966" w:rsidRDefault="00D90966" w:rsidP="00903265">
            <w:pPr>
              <w:spacing w:line="276" w:lineRule="auto"/>
              <w:jc w:val="right"/>
              <w:rPr>
                <w:rFonts w:cs="Arial"/>
                <w:color w:val="000000"/>
                <w:sz w:val="20"/>
              </w:rPr>
            </w:pPr>
            <w:r>
              <w:rPr>
                <w:rFonts w:cs="Arial"/>
                <w:color w:val="000000"/>
                <w:sz w:val="20"/>
              </w:rPr>
              <w:t>82.6</w:t>
            </w:r>
            <w:r w:rsidR="00A46C4F" w:rsidRPr="00D90966">
              <w:rPr>
                <w:rFonts w:cs="Arial"/>
                <w:color w:val="000000"/>
                <w:sz w:val="20"/>
              </w:rPr>
              <w:t>%</w:t>
            </w:r>
          </w:p>
        </w:tc>
      </w:tr>
      <w:tr w:rsidR="00A46C4F" w:rsidRPr="006E4C32" w14:paraId="68E9CC61" w14:textId="77777777" w:rsidTr="00122BFA">
        <w:trPr>
          <w:trHeight w:val="300"/>
        </w:trPr>
        <w:tc>
          <w:tcPr>
            <w:tcW w:w="6420" w:type="dxa"/>
            <w:gridSpan w:val="5"/>
            <w:tcBorders>
              <w:top w:val="nil"/>
              <w:left w:val="single" w:sz="8" w:space="0" w:color="auto"/>
              <w:bottom w:val="nil"/>
              <w:right w:val="nil"/>
            </w:tcBorders>
            <w:shd w:val="clear" w:color="auto" w:fill="auto"/>
            <w:noWrap/>
            <w:vAlign w:val="bottom"/>
            <w:hideMark/>
          </w:tcPr>
          <w:p w14:paraId="6CBA6648" w14:textId="487866E0" w:rsidR="00A46C4F" w:rsidRPr="00D90966" w:rsidRDefault="00D90966" w:rsidP="006E4C32">
            <w:pPr>
              <w:spacing w:line="276" w:lineRule="auto"/>
              <w:rPr>
                <w:rFonts w:cs="Arial"/>
                <w:color w:val="000000"/>
                <w:sz w:val="20"/>
              </w:rPr>
            </w:pPr>
            <w:r w:rsidRPr="00D90966">
              <w:rPr>
                <w:rFonts w:cs="Arial"/>
                <w:color w:val="000000"/>
                <w:sz w:val="20"/>
              </w:rPr>
              <w:t>II</w:t>
            </w:r>
            <w:r w:rsidR="00A46C4F" w:rsidRPr="00D90966">
              <w:rPr>
                <w:rFonts w:cs="Arial"/>
                <w:color w:val="000000"/>
                <w:sz w:val="20"/>
              </w:rPr>
              <w:t xml:space="preserve"> </w:t>
            </w:r>
            <w:r w:rsidR="00676295" w:rsidRPr="00D90966">
              <w:rPr>
                <w:rFonts w:cs="Arial"/>
                <w:bCs/>
                <w:color w:val="000000"/>
                <w:sz w:val="20"/>
              </w:rPr>
              <w:t xml:space="preserve">Composante </w:t>
            </w:r>
            <w:r w:rsidR="00A46C4F" w:rsidRPr="00D90966">
              <w:rPr>
                <w:rFonts w:cs="Arial"/>
                <w:bCs/>
                <w:color w:val="000000"/>
                <w:sz w:val="20"/>
              </w:rPr>
              <w:t>II</w:t>
            </w:r>
            <w:r w:rsidR="00A46C4F" w:rsidRPr="00D90966">
              <w:rPr>
                <w:rFonts w:cs="Arial"/>
                <w:color w:val="000000"/>
                <w:sz w:val="20"/>
              </w:rPr>
              <w:t xml:space="preserve"> </w:t>
            </w:r>
            <w:r w:rsidR="00676295" w:rsidRPr="00D90966">
              <w:rPr>
                <w:rFonts w:cs="Arial"/>
                <w:color w:val="000000"/>
                <w:sz w:val="20"/>
              </w:rPr>
              <w:t>Support pour les opérations et entretien du CTE</w:t>
            </w:r>
          </w:p>
        </w:tc>
        <w:tc>
          <w:tcPr>
            <w:tcW w:w="1300" w:type="dxa"/>
            <w:tcBorders>
              <w:top w:val="nil"/>
              <w:left w:val="nil"/>
              <w:bottom w:val="nil"/>
              <w:right w:val="nil"/>
            </w:tcBorders>
            <w:shd w:val="clear" w:color="auto" w:fill="auto"/>
            <w:noWrap/>
            <w:vAlign w:val="bottom"/>
            <w:hideMark/>
          </w:tcPr>
          <w:p w14:paraId="45F2B777" w14:textId="30961D17" w:rsidR="00A46C4F" w:rsidRPr="00D90966" w:rsidRDefault="00D90966" w:rsidP="00D90966">
            <w:pPr>
              <w:spacing w:line="276" w:lineRule="auto"/>
              <w:jc w:val="right"/>
              <w:rPr>
                <w:rFonts w:cs="Arial"/>
                <w:color w:val="000000"/>
                <w:sz w:val="20"/>
              </w:rPr>
            </w:pPr>
            <w:r w:rsidRPr="00D90966">
              <w:rPr>
                <w:rFonts w:cs="Arial"/>
                <w:color w:val="000000"/>
                <w:sz w:val="20"/>
              </w:rPr>
              <w:t>4</w:t>
            </w:r>
            <w:r w:rsidR="00A46C4F" w:rsidRPr="00D90966">
              <w:rPr>
                <w:rFonts w:cs="Arial"/>
                <w:color w:val="000000"/>
                <w:sz w:val="20"/>
              </w:rPr>
              <w:t>,</w:t>
            </w:r>
            <w:r w:rsidRPr="00D90966">
              <w:rPr>
                <w:rFonts w:cs="Arial"/>
                <w:color w:val="000000"/>
                <w:sz w:val="20"/>
              </w:rPr>
              <w:t>830</w:t>
            </w:r>
            <w:r w:rsidR="00A46C4F" w:rsidRPr="00D90966">
              <w:rPr>
                <w:rFonts w:cs="Arial"/>
                <w:color w:val="000000"/>
                <w:sz w:val="20"/>
              </w:rPr>
              <w:t>,000</w:t>
            </w:r>
          </w:p>
        </w:tc>
        <w:tc>
          <w:tcPr>
            <w:tcW w:w="237" w:type="dxa"/>
            <w:tcBorders>
              <w:top w:val="nil"/>
              <w:left w:val="nil"/>
              <w:bottom w:val="nil"/>
              <w:right w:val="nil"/>
            </w:tcBorders>
            <w:shd w:val="clear" w:color="auto" w:fill="auto"/>
            <w:noWrap/>
            <w:vAlign w:val="bottom"/>
            <w:hideMark/>
          </w:tcPr>
          <w:p w14:paraId="0B752BDF" w14:textId="77777777" w:rsidR="00A46C4F" w:rsidRPr="00D90966" w:rsidRDefault="00A46C4F" w:rsidP="006E4C32">
            <w:pPr>
              <w:spacing w:line="276" w:lineRule="auto"/>
              <w:rPr>
                <w:rFonts w:cs="Arial"/>
                <w:color w:val="000000"/>
                <w:sz w:val="20"/>
              </w:rPr>
            </w:pPr>
          </w:p>
        </w:tc>
        <w:tc>
          <w:tcPr>
            <w:tcW w:w="1313" w:type="dxa"/>
            <w:tcBorders>
              <w:top w:val="nil"/>
              <w:left w:val="nil"/>
              <w:bottom w:val="nil"/>
              <w:right w:val="single" w:sz="8" w:space="0" w:color="auto"/>
            </w:tcBorders>
            <w:shd w:val="clear" w:color="auto" w:fill="auto"/>
            <w:noWrap/>
            <w:vAlign w:val="bottom"/>
            <w:hideMark/>
          </w:tcPr>
          <w:p w14:paraId="2920C31C" w14:textId="13442F03" w:rsidR="00A46C4F" w:rsidRPr="00D90966" w:rsidRDefault="00D90966" w:rsidP="00903265">
            <w:pPr>
              <w:spacing w:line="276" w:lineRule="auto"/>
              <w:jc w:val="right"/>
              <w:rPr>
                <w:rFonts w:cs="Arial"/>
                <w:color w:val="000000"/>
                <w:sz w:val="20"/>
              </w:rPr>
            </w:pPr>
            <w:r>
              <w:rPr>
                <w:rFonts w:cs="Arial"/>
                <w:color w:val="000000"/>
                <w:sz w:val="20"/>
              </w:rPr>
              <w:t>13.8</w:t>
            </w:r>
            <w:r w:rsidR="00A46C4F" w:rsidRPr="00D90966">
              <w:rPr>
                <w:rFonts w:cs="Arial"/>
                <w:color w:val="000000"/>
                <w:sz w:val="20"/>
              </w:rPr>
              <w:t>%</w:t>
            </w:r>
          </w:p>
        </w:tc>
      </w:tr>
      <w:tr w:rsidR="00D90966" w:rsidRPr="006E4C32" w14:paraId="7B6150E2" w14:textId="77777777" w:rsidTr="00903265">
        <w:trPr>
          <w:trHeight w:val="300"/>
        </w:trPr>
        <w:tc>
          <w:tcPr>
            <w:tcW w:w="6420" w:type="dxa"/>
            <w:gridSpan w:val="5"/>
            <w:tcBorders>
              <w:top w:val="single" w:sz="4" w:space="0" w:color="auto"/>
              <w:left w:val="single" w:sz="8" w:space="0" w:color="auto"/>
              <w:bottom w:val="nil"/>
              <w:right w:val="nil"/>
            </w:tcBorders>
            <w:shd w:val="clear" w:color="auto" w:fill="auto"/>
            <w:noWrap/>
            <w:vAlign w:val="bottom"/>
            <w:hideMark/>
          </w:tcPr>
          <w:p w14:paraId="359F57FA" w14:textId="443EC035" w:rsidR="00D90966" w:rsidRPr="00D90966" w:rsidRDefault="00D90966" w:rsidP="00D90966">
            <w:pPr>
              <w:spacing w:line="276" w:lineRule="auto"/>
              <w:rPr>
                <w:rFonts w:cs="Arial"/>
                <w:bCs/>
                <w:color w:val="000000"/>
                <w:sz w:val="20"/>
              </w:rPr>
            </w:pPr>
            <w:r w:rsidRPr="00D90966">
              <w:rPr>
                <w:rFonts w:cs="Arial"/>
                <w:bCs/>
                <w:color w:val="000000"/>
                <w:sz w:val="20"/>
              </w:rPr>
              <w:t>III Administration, évaluation et audit externe </w:t>
            </w:r>
          </w:p>
        </w:tc>
        <w:tc>
          <w:tcPr>
            <w:tcW w:w="1300" w:type="dxa"/>
            <w:tcBorders>
              <w:top w:val="single" w:sz="4" w:space="0" w:color="auto"/>
              <w:left w:val="nil"/>
              <w:bottom w:val="nil"/>
              <w:right w:val="nil"/>
            </w:tcBorders>
            <w:shd w:val="clear" w:color="auto" w:fill="auto"/>
            <w:noWrap/>
            <w:vAlign w:val="bottom"/>
            <w:hideMark/>
          </w:tcPr>
          <w:p w14:paraId="3CFEDB07" w14:textId="1EA94B68" w:rsidR="00D90966" w:rsidRPr="00D90966" w:rsidRDefault="00D90966" w:rsidP="00D90966">
            <w:pPr>
              <w:spacing w:line="276" w:lineRule="auto"/>
              <w:jc w:val="right"/>
              <w:rPr>
                <w:rFonts w:cs="Arial"/>
                <w:bCs/>
                <w:color w:val="000000"/>
                <w:sz w:val="20"/>
              </w:rPr>
            </w:pPr>
            <w:r w:rsidRPr="00D90966">
              <w:rPr>
                <w:rFonts w:cs="Arial"/>
                <w:bCs/>
                <w:color w:val="000000"/>
                <w:sz w:val="20"/>
              </w:rPr>
              <w:t>1,250,000</w:t>
            </w:r>
          </w:p>
        </w:tc>
        <w:tc>
          <w:tcPr>
            <w:tcW w:w="237" w:type="dxa"/>
            <w:tcBorders>
              <w:top w:val="single" w:sz="4" w:space="0" w:color="auto"/>
              <w:left w:val="nil"/>
              <w:bottom w:val="nil"/>
              <w:right w:val="nil"/>
            </w:tcBorders>
            <w:shd w:val="clear" w:color="auto" w:fill="auto"/>
            <w:noWrap/>
            <w:vAlign w:val="bottom"/>
            <w:hideMark/>
          </w:tcPr>
          <w:p w14:paraId="182560C8" w14:textId="77777777" w:rsidR="00D90966" w:rsidRPr="00D90966" w:rsidRDefault="00D90966" w:rsidP="006E4C32">
            <w:pPr>
              <w:spacing w:line="276" w:lineRule="auto"/>
              <w:rPr>
                <w:rFonts w:cs="Arial"/>
                <w:bCs/>
                <w:color w:val="000000"/>
                <w:sz w:val="20"/>
              </w:rPr>
            </w:pPr>
            <w:r w:rsidRPr="00D90966">
              <w:rPr>
                <w:rFonts w:cs="Arial"/>
                <w:bCs/>
                <w:color w:val="000000"/>
                <w:sz w:val="20"/>
              </w:rPr>
              <w:t> </w:t>
            </w:r>
          </w:p>
        </w:tc>
        <w:tc>
          <w:tcPr>
            <w:tcW w:w="1313" w:type="dxa"/>
            <w:tcBorders>
              <w:top w:val="single" w:sz="4" w:space="0" w:color="auto"/>
              <w:left w:val="nil"/>
              <w:bottom w:val="nil"/>
              <w:right w:val="single" w:sz="8" w:space="0" w:color="auto"/>
            </w:tcBorders>
            <w:shd w:val="clear" w:color="auto" w:fill="auto"/>
            <w:noWrap/>
            <w:vAlign w:val="bottom"/>
            <w:hideMark/>
          </w:tcPr>
          <w:p w14:paraId="6CFE85D6" w14:textId="36CCEB1B" w:rsidR="00D90966" w:rsidRPr="00D90966" w:rsidRDefault="00903265" w:rsidP="00903265">
            <w:pPr>
              <w:spacing w:line="276" w:lineRule="auto"/>
              <w:jc w:val="right"/>
              <w:rPr>
                <w:rFonts w:cs="Arial"/>
                <w:bCs/>
                <w:color w:val="000000"/>
                <w:sz w:val="20"/>
              </w:rPr>
            </w:pPr>
            <w:r>
              <w:rPr>
                <w:rFonts w:cs="Arial"/>
                <w:bCs/>
                <w:color w:val="000000"/>
                <w:sz w:val="20"/>
              </w:rPr>
              <w:t>3.6</w:t>
            </w:r>
            <w:r w:rsidR="00D90966" w:rsidRPr="00D90966">
              <w:rPr>
                <w:rFonts w:cs="Arial"/>
                <w:bCs/>
                <w:color w:val="000000"/>
                <w:sz w:val="20"/>
              </w:rPr>
              <w:t>%</w:t>
            </w:r>
          </w:p>
        </w:tc>
      </w:tr>
      <w:tr w:rsidR="001950BE" w:rsidRPr="006E4C32" w14:paraId="6747FC03" w14:textId="77777777" w:rsidTr="00122BFA">
        <w:trPr>
          <w:trHeight w:val="242"/>
        </w:trPr>
        <w:tc>
          <w:tcPr>
            <w:tcW w:w="2915" w:type="dxa"/>
            <w:gridSpan w:val="2"/>
            <w:tcBorders>
              <w:top w:val="single" w:sz="4" w:space="0" w:color="auto"/>
              <w:left w:val="single" w:sz="8" w:space="0" w:color="auto"/>
              <w:bottom w:val="single" w:sz="8" w:space="0" w:color="auto"/>
              <w:right w:val="nil"/>
            </w:tcBorders>
            <w:shd w:val="clear" w:color="auto" w:fill="C4BC96" w:themeFill="background2" w:themeFillShade="BF"/>
            <w:noWrap/>
            <w:vAlign w:val="bottom"/>
            <w:hideMark/>
          </w:tcPr>
          <w:p w14:paraId="67735D6E" w14:textId="77777777" w:rsidR="00A46C4F" w:rsidRPr="006E4C32" w:rsidRDefault="002E05BA" w:rsidP="006E4C32">
            <w:pPr>
              <w:spacing w:line="276" w:lineRule="auto"/>
              <w:rPr>
                <w:rFonts w:cs="Arial"/>
                <w:b/>
                <w:bCs/>
                <w:color w:val="000000"/>
                <w:sz w:val="20"/>
              </w:rPr>
            </w:pPr>
            <w:r w:rsidRPr="006E4C32">
              <w:rPr>
                <w:rFonts w:cs="Arial"/>
                <w:b/>
                <w:bCs/>
                <w:color w:val="000000"/>
                <w:sz w:val="20"/>
              </w:rPr>
              <w:t>Coûts totaux</w:t>
            </w:r>
          </w:p>
        </w:tc>
        <w:tc>
          <w:tcPr>
            <w:tcW w:w="891" w:type="dxa"/>
            <w:tcBorders>
              <w:top w:val="nil"/>
              <w:left w:val="nil"/>
              <w:bottom w:val="single" w:sz="8" w:space="0" w:color="auto"/>
              <w:right w:val="nil"/>
            </w:tcBorders>
            <w:shd w:val="clear" w:color="auto" w:fill="C4BC96" w:themeFill="background2" w:themeFillShade="BF"/>
            <w:noWrap/>
            <w:vAlign w:val="bottom"/>
            <w:hideMark/>
          </w:tcPr>
          <w:p w14:paraId="4FD42039" w14:textId="77777777" w:rsidR="00A46C4F" w:rsidRPr="006E4C32" w:rsidRDefault="00A46C4F" w:rsidP="006E4C32">
            <w:pPr>
              <w:spacing w:line="276" w:lineRule="auto"/>
              <w:rPr>
                <w:rFonts w:cs="Arial"/>
                <w:b/>
                <w:bCs/>
                <w:color w:val="000000"/>
                <w:sz w:val="20"/>
              </w:rPr>
            </w:pPr>
            <w:r w:rsidRPr="006E4C32">
              <w:rPr>
                <w:rFonts w:cs="Arial"/>
                <w:b/>
                <w:bCs/>
                <w:color w:val="000000"/>
                <w:sz w:val="20"/>
              </w:rPr>
              <w:t> </w:t>
            </w:r>
          </w:p>
        </w:tc>
        <w:tc>
          <w:tcPr>
            <w:tcW w:w="2614" w:type="dxa"/>
            <w:gridSpan w:val="2"/>
            <w:tcBorders>
              <w:top w:val="nil"/>
              <w:left w:val="nil"/>
              <w:bottom w:val="single" w:sz="8" w:space="0" w:color="auto"/>
              <w:right w:val="nil"/>
            </w:tcBorders>
            <w:shd w:val="clear" w:color="auto" w:fill="C4BC96" w:themeFill="background2" w:themeFillShade="BF"/>
            <w:noWrap/>
            <w:vAlign w:val="bottom"/>
            <w:hideMark/>
          </w:tcPr>
          <w:p w14:paraId="17E50DB1" w14:textId="77777777" w:rsidR="00A46C4F" w:rsidRPr="006E4C32" w:rsidRDefault="00A46C4F" w:rsidP="006E4C32">
            <w:pPr>
              <w:spacing w:line="276" w:lineRule="auto"/>
              <w:rPr>
                <w:rFonts w:cs="Arial"/>
                <w:b/>
                <w:bCs/>
                <w:color w:val="000000"/>
                <w:sz w:val="20"/>
              </w:rPr>
            </w:pPr>
            <w:r w:rsidRPr="006E4C32">
              <w:rPr>
                <w:rFonts w:cs="Arial"/>
                <w:b/>
                <w:bCs/>
                <w:color w:val="000000"/>
                <w:sz w:val="20"/>
              </w:rPr>
              <w:t> </w:t>
            </w:r>
          </w:p>
        </w:tc>
        <w:tc>
          <w:tcPr>
            <w:tcW w:w="1300" w:type="dxa"/>
            <w:tcBorders>
              <w:top w:val="nil"/>
              <w:left w:val="nil"/>
              <w:bottom w:val="single" w:sz="8" w:space="0" w:color="auto"/>
              <w:right w:val="nil"/>
            </w:tcBorders>
            <w:shd w:val="clear" w:color="auto" w:fill="C4BC96" w:themeFill="background2" w:themeFillShade="BF"/>
            <w:noWrap/>
            <w:vAlign w:val="bottom"/>
            <w:hideMark/>
          </w:tcPr>
          <w:p w14:paraId="494AF0C1" w14:textId="478FBDA2" w:rsidR="00A46C4F" w:rsidRPr="006E4C32" w:rsidRDefault="00D90966" w:rsidP="006E4C32">
            <w:pPr>
              <w:spacing w:line="276" w:lineRule="auto"/>
              <w:rPr>
                <w:rFonts w:cs="Arial"/>
                <w:b/>
                <w:bCs/>
                <w:color w:val="000000"/>
                <w:sz w:val="20"/>
              </w:rPr>
            </w:pPr>
            <w:r>
              <w:rPr>
                <w:rFonts w:cs="Arial"/>
                <w:b/>
                <w:bCs/>
                <w:color w:val="000000"/>
                <w:sz w:val="20"/>
              </w:rPr>
              <w:t>35</w:t>
            </w:r>
            <w:r w:rsidR="00A46C4F" w:rsidRPr="006E4C32">
              <w:rPr>
                <w:rFonts w:cs="Arial"/>
                <w:b/>
                <w:bCs/>
                <w:color w:val="000000"/>
                <w:sz w:val="20"/>
              </w:rPr>
              <w:t>,000,00</w:t>
            </w:r>
            <w:r w:rsidR="00122BFA" w:rsidRPr="006E4C32">
              <w:rPr>
                <w:rFonts w:cs="Arial"/>
                <w:b/>
                <w:bCs/>
                <w:color w:val="000000"/>
                <w:sz w:val="20"/>
              </w:rPr>
              <w:t>0</w:t>
            </w:r>
          </w:p>
        </w:tc>
        <w:tc>
          <w:tcPr>
            <w:tcW w:w="237" w:type="dxa"/>
            <w:tcBorders>
              <w:top w:val="nil"/>
              <w:left w:val="nil"/>
              <w:bottom w:val="single" w:sz="8" w:space="0" w:color="auto"/>
              <w:right w:val="nil"/>
            </w:tcBorders>
            <w:shd w:val="clear" w:color="auto" w:fill="C4BC96" w:themeFill="background2" w:themeFillShade="BF"/>
            <w:noWrap/>
            <w:vAlign w:val="bottom"/>
            <w:hideMark/>
          </w:tcPr>
          <w:p w14:paraId="5B02F175" w14:textId="77777777" w:rsidR="00A46C4F" w:rsidRPr="006E4C32" w:rsidRDefault="00A46C4F" w:rsidP="006E4C32">
            <w:pPr>
              <w:spacing w:line="276" w:lineRule="auto"/>
              <w:rPr>
                <w:rFonts w:cs="Arial"/>
                <w:b/>
                <w:bCs/>
                <w:color w:val="000000"/>
                <w:sz w:val="20"/>
              </w:rPr>
            </w:pPr>
            <w:r w:rsidRPr="006E4C32">
              <w:rPr>
                <w:rFonts w:cs="Arial"/>
                <w:b/>
                <w:bCs/>
                <w:color w:val="000000"/>
                <w:sz w:val="20"/>
              </w:rPr>
              <w:t> </w:t>
            </w:r>
          </w:p>
        </w:tc>
        <w:tc>
          <w:tcPr>
            <w:tcW w:w="1313" w:type="dxa"/>
            <w:tcBorders>
              <w:top w:val="nil"/>
              <w:left w:val="nil"/>
              <w:bottom w:val="single" w:sz="8" w:space="0" w:color="auto"/>
              <w:right w:val="single" w:sz="8" w:space="0" w:color="auto"/>
            </w:tcBorders>
            <w:shd w:val="clear" w:color="auto" w:fill="C4BC96" w:themeFill="background2" w:themeFillShade="BF"/>
            <w:noWrap/>
            <w:vAlign w:val="bottom"/>
            <w:hideMark/>
          </w:tcPr>
          <w:p w14:paraId="1AF5EB13" w14:textId="77777777" w:rsidR="00A46C4F" w:rsidRPr="006E4C32" w:rsidRDefault="00A46C4F" w:rsidP="00903265">
            <w:pPr>
              <w:spacing w:line="276" w:lineRule="auto"/>
              <w:jc w:val="right"/>
              <w:rPr>
                <w:rFonts w:cs="Arial"/>
                <w:b/>
                <w:bCs/>
                <w:color w:val="000000"/>
                <w:sz w:val="20"/>
              </w:rPr>
            </w:pPr>
            <w:r w:rsidRPr="006E4C32">
              <w:rPr>
                <w:rFonts w:cs="Arial"/>
                <w:b/>
                <w:bCs/>
                <w:color w:val="000000"/>
                <w:sz w:val="20"/>
              </w:rPr>
              <w:t>100.00%</w:t>
            </w:r>
          </w:p>
        </w:tc>
      </w:tr>
    </w:tbl>
    <w:p w14:paraId="4F9BDD33" w14:textId="77777777" w:rsidR="00D823E2" w:rsidRPr="006E4C32" w:rsidRDefault="00D823E2" w:rsidP="006E4C32">
      <w:pPr>
        <w:spacing w:line="276" w:lineRule="auto"/>
        <w:ind w:right="-20"/>
        <w:rPr>
          <w:rFonts w:cs="Arial"/>
          <w:b/>
          <w:bCs/>
          <w:position w:val="-1"/>
        </w:rPr>
      </w:pPr>
    </w:p>
    <w:p w14:paraId="1FECE526" w14:textId="6A3D236A" w:rsidR="00D719AF" w:rsidRPr="00ED6EFB" w:rsidRDefault="000A73AD" w:rsidP="0006696B">
      <w:pPr>
        <w:pStyle w:val="Paragraph"/>
        <w:numPr>
          <w:ilvl w:val="1"/>
          <w:numId w:val="32"/>
        </w:numPr>
        <w:spacing w:before="100" w:after="100" w:line="276" w:lineRule="auto"/>
        <w:jc w:val="left"/>
        <w:rPr>
          <w:rFonts w:ascii="Times" w:hAnsi="Times" w:cs="Arial"/>
          <w:szCs w:val="24"/>
          <w:lang w:val="fr-FR"/>
        </w:rPr>
      </w:pPr>
      <w:bookmarkStart w:id="28" w:name="_Toc363857109"/>
      <w:bookmarkStart w:id="29" w:name="_Toc363857631"/>
      <w:r w:rsidRPr="006E4C32">
        <w:rPr>
          <w:rFonts w:ascii="Times" w:hAnsi="Times" w:cs="Arial"/>
          <w:b/>
          <w:szCs w:val="24"/>
          <w:lang w:val="fr-FR"/>
        </w:rPr>
        <w:t>C</w:t>
      </w:r>
      <w:r w:rsidR="00196DB0">
        <w:rPr>
          <w:rFonts w:ascii="Times" w:hAnsi="Times" w:cs="Arial"/>
          <w:b/>
          <w:szCs w:val="24"/>
          <w:lang w:val="fr-FR"/>
        </w:rPr>
        <w:t>ALENDRIER DE DECAISSEMENT</w:t>
      </w:r>
      <w:r w:rsidR="00903265">
        <w:rPr>
          <w:rFonts w:ascii="Times" w:hAnsi="Times" w:cs="Arial"/>
          <w:b/>
          <w:szCs w:val="24"/>
          <w:lang w:val="fr-FR"/>
        </w:rPr>
        <w:t xml:space="preserve"> (A COMPLETER)</w:t>
      </w:r>
    </w:p>
    <w:p w14:paraId="2981CCC3" w14:textId="7D013C0A" w:rsidR="00A46C4F" w:rsidRPr="006E4C32" w:rsidRDefault="000A73AD" w:rsidP="00ED6EFB">
      <w:pPr>
        <w:pStyle w:val="Paragraph"/>
        <w:numPr>
          <w:ilvl w:val="0"/>
          <w:numId w:val="0"/>
        </w:numPr>
        <w:spacing w:before="100" w:after="100" w:line="276" w:lineRule="auto"/>
        <w:ind w:left="540"/>
        <w:jc w:val="left"/>
        <w:rPr>
          <w:rFonts w:ascii="Times" w:hAnsi="Times" w:cs="Arial"/>
          <w:szCs w:val="24"/>
          <w:lang w:val="fr-FR"/>
        </w:rPr>
      </w:pPr>
      <w:r w:rsidRPr="006E4C32">
        <w:rPr>
          <w:rFonts w:ascii="Times" w:hAnsi="Times" w:cs="Arial"/>
          <w:szCs w:val="24"/>
          <w:lang w:val="fr-FR"/>
        </w:rPr>
        <w:t xml:space="preserve">Le calendrier de décaissement est </w:t>
      </w:r>
      <w:r w:rsidR="00D719AF">
        <w:rPr>
          <w:rFonts w:ascii="Times" w:hAnsi="Times" w:cs="Arial"/>
          <w:szCs w:val="24"/>
          <w:lang w:val="fr-FR"/>
        </w:rPr>
        <w:t xml:space="preserve">le suivant </w:t>
      </w:r>
      <w:r w:rsidR="00A46C4F" w:rsidRPr="006E4C32">
        <w:rPr>
          <w:rFonts w:ascii="Times" w:hAnsi="Times" w:cs="Arial"/>
          <w:szCs w:val="24"/>
          <w:lang w:val="fr-FR"/>
        </w:rPr>
        <w:t>:</w:t>
      </w:r>
      <w:bookmarkEnd w:id="28"/>
      <w:bookmarkEnd w:id="29"/>
    </w:p>
    <w:p w14:paraId="73992982" w14:textId="1093659E" w:rsidR="00A46C4F" w:rsidRPr="006E4C32" w:rsidRDefault="00A46C4F" w:rsidP="006E4C32">
      <w:pPr>
        <w:spacing w:before="44" w:line="276" w:lineRule="auto"/>
        <w:ind w:left="3178" w:right="-20"/>
        <w:rPr>
          <w:rFonts w:cs="Arial"/>
          <w:b/>
          <w:bCs/>
          <w:spacing w:val="-3"/>
          <w:position w:val="-1"/>
        </w:rPr>
      </w:pPr>
      <w:r w:rsidRPr="006E4C32">
        <w:rPr>
          <w:rFonts w:cs="Arial"/>
          <w:b/>
          <w:bCs/>
          <w:spacing w:val="-3"/>
          <w:position w:val="-1"/>
        </w:rPr>
        <w:t>T</w:t>
      </w:r>
      <w:r w:rsidRPr="006E4C32">
        <w:rPr>
          <w:rFonts w:cs="Arial"/>
          <w:b/>
          <w:bCs/>
          <w:spacing w:val="-1"/>
          <w:position w:val="-1"/>
        </w:rPr>
        <w:t>a</w:t>
      </w:r>
      <w:r w:rsidRPr="006E4C32">
        <w:rPr>
          <w:rFonts w:cs="Arial"/>
          <w:b/>
          <w:bCs/>
          <w:spacing w:val="-3"/>
          <w:position w:val="-1"/>
        </w:rPr>
        <w:t>bl</w:t>
      </w:r>
      <w:r w:rsidRPr="006E4C32">
        <w:rPr>
          <w:rFonts w:cs="Arial"/>
          <w:b/>
          <w:bCs/>
          <w:position w:val="-1"/>
        </w:rPr>
        <w:t>e</w:t>
      </w:r>
      <w:r w:rsidRPr="006E4C32">
        <w:rPr>
          <w:rFonts w:cs="Arial"/>
          <w:b/>
          <w:bCs/>
          <w:spacing w:val="-9"/>
          <w:position w:val="-1"/>
        </w:rPr>
        <w:t xml:space="preserve"> </w:t>
      </w:r>
      <w:r w:rsidRPr="006E4C32">
        <w:rPr>
          <w:rFonts w:cs="Arial"/>
          <w:b/>
          <w:bCs/>
          <w:spacing w:val="-4"/>
          <w:position w:val="-1"/>
        </w:rPr>
        <w:t>3</w:t>
      </w:r>
      <w:r w:rsidRPr="006E4C32">
        <w:rPr>
          <w:rFonts w:cs="Arial"/>
          <w:b/>
          <w:bCs/>
          <w:position w:val="-1"/>
        </w:rPr>
        <w:t>.</w:t>
      </w:r>
      <w:r w:rsidRPr="006E4C32">
        <w:rPr>
          <w:rFonts w:cs="Arial"/>
          <w:b/>
          <w:bCs/>
          <w:spacing w:val="-5"/>
          <w:position w:val="-1"/>
        </w:rPr>
        <w:t xml:space="preserve"> </w:t>
      </w:r>
      <w:r w:rsidR="000A73AD" w:rsidRPr="006E4C32">
        <w:rPr>
          <w:rFonts w:cs="Arial"/>
          <w:b/>
          <w:bCs/>
          <w:spacing w:val="-5"/>
          <w:position w:val="-1"/>
        </w:rPr>
        <w:t xml:space="preserve">Calendrier de décaissement </w:t>
      </w:r>
      <w:r w:rsidRPr="006E4C32">
        <w:rPr>
          <w:rFonts w:cs="Arial"/>
          <w:b/>
          <w:bCs/>
          <w:spacing w:val="-5"/>
          <w:position w:val="-1"/>
        </w:rPr>
        <w:t xml:space="preserve"> </w:t>
      </w:r>
      <w:r w:rsidRPr="006E4C32">
        <w:rPr>
          <w:rFonts w:cs="Arial"/>
          <w:b/>
          <w:bCs/>
          <w:spacing w:val="-2"/>
          <w:position w:val="-1"/>
        </w:rPr>
        <w:t>(U</w:t>
      </w:r>
      <w:r w:rsidRPr="006E4C32">
        <w:rPr>
          <w:rFonts w:cs="Arial"/>
          <w:b/>
          <w:bCs/>
          <w:spacing w:val="-5"/>
          <w:position w:val="-1"/>
        </w:rPr>
        <w:t>S</w:t>
      </w:r>
      <w:r w:rsidRPr="006E4C32">
        <w:rPr>
          <w:rFonts w:cs="Arial"/>
          <w:b/>
          <w:bCs/>
          <w:spacing w:val="-1"/>
          <w:position w:val="-1"/>
        </w:rPr>
        <w:t>$</w:t>
      </w:r>
      <w:r w:rsidRPr="006E4C32">
        <w:rPr>
          <w:rFonts w:cs="Arial"/>
          <w:b/>
          <w:bCs/>
          <w:spacing w:val="-3"/>
          <w:position w:val="-1"/>
        </w:rPr>
        <w:t>)</w:t>
      </w:r>
    </w:p>
    <w:p w14:paraId="55DA43CE" w14:textId="77777777" w:rsidR="00A46C4F" w:rsidRPr="006E4C32" w:rsidRDefault="00A46C4F" w:rsidP="006E4C32">
      <w:pPr>
        <w:spacing w:before="6" w:line="276" w:lineRule="auto"/>
        <w:rPr>
          <w:rFonts w:cs="Arial"/>
        </w:rPr>
      </w:pPr>
    </w:p>
    <w:tbl>
      <w:tblPr>
        <w:tblW w:w="8190" w:type="dxa"/>
        <w:tblInd w:w="545" w:type="dxa"/>
        <w:tblLayout w:type="fixed"/>
        <w:tblCellMar>
          <w:left w:w="0" w:type="dxa"/>
          <w:right w:w="0" w:type="dxa"/>
        </w:tblCellMar>
        <w:tblLook w:val="01E0" w:firstRow="1" w:lastRow="1" w:firstColumn="1" w:lastColumn="1" w:noHBand="0" w:noVBand="0"/>
      </w:tblPr>
      <w:tblGrid>
        <w:gridCol w:w="1080"/>
        <w:gridCol w:w="1170"/>
        <w:gridCol w:w="1170"/>
        <w:gridCol w:w="1170"/>
        <w:gridCol w:w="1080"/>
        <w:gridCol w:w="1170"/>
        <w:gridCol w:w="1350"/>
      </w:tblGrid>
      <w:tr w:rsidR="00A46C4F" w:rsidRPr="006E4C32" w14:paraId="6AF12E01" w14:textId="77777777" w:rsidTr="00A46C4F">
        <w:trPr>
          <w:trHeight w:hRule="exact" w:val="271"/>
        </w:trPr>
        <w:tc>
          <w:tcPr>
            <w:tcW w:w="1080" w:type="dxa"/>
            <w:tcBorders>
              <w:top w:val="single" w:sz="4" w:space="0" w:color="000000"/>
              <w:left w:val="single" w:sz="4" w:space="0" w:color="000000"/>
              <w:bottom w:val="single" w:sz="4" w:space="0" w:color="000000"/>
              <w:right w:val="nil"/>
            </w:tcBorders>
            <w:shd w:val="clear" w:color="auto" w:fill="C4BC96" w:themeFill="background2" w:themeFillShade="BF"/>
          </w:tcPr>
          <w:p w14:paraId="31681F1D" w14:textId="77777777" w:rsidR="00A46C4F" w:rsidRPr="006E4C32" w:rsidRDefault="00A46C4F" w:rsidP="006E4C32">
            <w:pPr>
              <w:spacing w:before="18" w:line="276" w:lineRule="auto"/>
              <w:ind w:left="64" w:right="-20"/>
              <w:rPr>
                <w:rFonts w:cs="Arial"/>
                <w:sz w:val="20"/>
              </w:rPr>
            </w:pPr>
            <w:r w:rsidRPr="006E4C32">
              <w:rPr>
                <w:rFonts w:cs="Arial"/>
                <w:b/>
                <w:bCs/>
                <w:spacing w:val="-3"/>
                <w:sz w:val="20"/>
              </w:rPr>
              <w:t>S</w:t>
            </w:r>
            <w:r w:rsidRPr="006E4C32">
              <w:rPr>
                <w:rFonts w:cs="Arial"/>
                <w:b/>
                <w:bCs/>
                <w:spacing w:val="-1"/>
                <w:sz w:val="20"/>
              </w:rPr>
              <w:t>o</w:t>
            </w:r>
            <w:r w:rsidRPr="006E4C32">
              <w:rPr>
                <w:rFonts w:cs="Arial"/>
                <w:b/>
                <w:bCs/>
                <w:spacing w:val="-3"/>
                <w:sz w:val="20"/>
              </w:rPr>
              <w:t>u</w:t>
            </w:r>
            <w:r w:rsidRPr="006E4C32">
              <w:rPr>
                <w:rFonts w:cs="Arial"/>
                <w:b/>
                <w:bCs/>
                <w:spacing w:val="-2"/>
                <w:sz w:val="20"/>
              </w:rPr>
              <w:t>rc</w:t>
            </w:r>
            <w:r w:rsidRPr="006E4C32">
              <w:rPr>
                <w:rFonts w:cs="Arial"/>
                <w:b/>
                <w:bCs/>
                <w:sz w:val="20"/>
              </w:rPr>
              <w:t>e</w:t>
            </w:r>
          </w:p>
        </w:tc>
        <w:tc>
          <w:tcPr>
            <w:tcW w:w="1170" w:type="dxa"/>
            <w:tcBorders>
              <w:top w:val="single" w:sz="4" w:space="0" w:color="000000"/>
              <w:left w:val="nil"/>
              <w:bottom w:val="single" w:sz="4" w:space="0" w:color="000000"/>
              <w:right w:val="nil"/>
            </w:tcBorders>
            <w:shd w:val="clear" w:color="auto" w:fill="C4BC96" w:themeFill="background2" w:themeFillShade="BF"/>
          </w:tcPr>
          <w:p w14:paraId="027E56E2" w14:textId="77777777" w:rsidR="00A46C4F" w:rsidRPr="006E4C32" w:rsidRDefault="00A46C4F" w:rsidP="006E4C32">
            <w:pPr>
              <w:spacing w:before="18" w:line="276" w:lineRule="auto"/>
              <w:ind w:left="301" w:right="-20"/>
              <w:rPr>
                <w:rFonts w:cs="Arial"/>
                <w:sz w:val="20"/>
              </w:rPr>
            </w:pPr>
            <w:r w:rsidRPr="006E4C32">
              <w:rPr>
                <w:rFonts w:cs="Arial"/>
                <w:b/>
                <w:bCs/>
                <w:spacing w:val="-2"/>
                <w:sz w:val="20"/>
              </w:rPr>
              <w:t>Ye</w:t>
            </w:r>
            <w:r w:rsidRPr="006E4C32">
              <w:rPr>
                <w:rFonts w:cs="Arial"/>
                <w:b/>
                <w:bCs/>
                <w:spacing w:val="-1"/>
                <w:sz w:val="20"/>
              </w:rPr>
              <w:t>a</w:t>
            </w:r>
            <w:r w:rsidRPr="006E4C32">
              <w:rPr>
                <w:rFonts w:cs="Arial"/>
                <w:b/>
                <w:bCs/>
                <w:sz w:val="20"/>
              </w:rPr>
              <w:t>r</w:t>
            </w:r>
            <w:r w:rsidRPr="006E4C32">
              <w:rPr>
                <w:rFonts w:cs="Arial"/>
                <w:b/>
                <w:bCs/>
                <w:spacing w:val="-10"/>
                <w:sz w:val="20"/>
              </w:rPr>
              <w:t xml:space="preserve"> </w:t>
            </w:r>
            <w:r w:rsidRPr="006E4C32">
              <w:rPr>
                <w:rFonts w:cs="Arial"/>
                <w:b/>
                <w:bCs/>
                <w:sz w:val="20"/>
              </w:rPr>
              <w:t>1</w:t>
            </w:r>
          </w:p>
        </w:tc>
        <w:tc>
          <w:tcPr>
            <w:tcW w:w="1170" w:type="dxa"/>
            <w:tcBorders>
              <w:top w:val="single" w:sz="4" w:space="0" w:color="000000"/>
              <w:left w:val="nil"/>
              <w:bottom w:val="single" w:sz="4" w:space="0" w:color="000000"/>
              <w:right w:val="nil"/>
            </w:tcBorders>
            <w:shd w:val="clear" w:color="auto" w:fill="C4BC96" w:themeFill="background2" w:themeFillShade="BF"/>
          </w:tcPr>
          <w:p w14:paraId="43D7CA2F" w14:textId="77777777" w:rsidR="00A46C4F" w:rsidRPr="006E4C32" w:rsidRDefault="00A46C4F" w:rsidP="006E4C32">
            <w:pPr>
              <w:spacing w:before="18" w:line="276" w:lineRule="auto"/>
              <w:ind w:left="325" w:right="-20"/>
              <w:rPr>
                <w:rFonts w:cs="Arial"/>
                <w:sz w:val="20"/>
              </w:rPr>
            </w:pPr>
            <w:r w:rsidRPr="006E4C32">
              <w:rPr>
                <w:rFonts w:cs="Arial"/>
                <w:b/>
                <w:bCs/>
                <w:spacing w:val="-2"/>
                <w:sz w:val="20"/>
              </w:rPr>
              <w:t>Ye</w:t>
            </w:r>
            <w:r w:rsidRPr="006E4C32">
              <w:rPr>
                <w:rFonts w:cs="Arial"/>
                <w:b/>
                <w:bCs/>
                <w:spacing w:val="-1"/>
                <w:sz w:val="20"/>
              </w:rPr>
              <w:t>a</w:t>
            </w:r>
            <w:r w:rsidRPr="006E4C32">
              <w:rPr>
                <w:rFonts w:cs="Arial"/>
                <w:b/>
                <w:bCs/>
                <w:sz w:val="20"/>
              </w:rPr>
              <w:t>r</w:t>
            </w:r>
            <w:r w:rsidRPr="006E4C32">
              <w:rPr>
                <w:rFonts w:cs="Arial"/>
                <w:b/>
                <w:bCs/>
                <w:spacing w:val="-10"/>
                <w:sz w:val="20"/>
              </w:rPr>
              <w:t xml:space="preserve"> </w:t>
            </w:r>
            <w:r w:rsidRPr="006E4C32">
              <w:rPr>
                <w:rFonts w:cs="Arial"/>
                <w:b/>
                <w:bCs/>
                <w:sz w:val="20"/>
              </w:rPr>
              <w:t>2</w:t>
            </w:r>
          </w:p>
        </w:tc>
        <w:tc>
          <w:tcPr>
            <w:tcW w:w="1170" w:type="dxa"/>
            <w:tcBorders>
              <w:top w:val="single" w:sz="4" w:space="0" w:color="000000"/>
              <w:left w:val="nil"/>
              <w:bottom w:val="single" w:sz="4" w:space="0" w:color="000000"/>
              <w:right w:val="nil"/>
            </w:tcBorders>
            <w:shd w:val="clear" w:color="auto" w:fill="C4BC96" w:themeFill="background2" w:themeFillShade="BF"/>
          </w:tcPr>
          <w:p w14:paraId="48743BC0" w14:textId="77777777" w:rsidR="00A46C4F" w:rsidRPr="006E4C32" w:rsidRDefault="00A46C4F" w:rsidP="006E4C32">
            <w:pPr>
              <w:spacing w:before="18" w:line="276" w:lineRule="auto"/>
              <w:ind w:left="278" w:right="-20"/>
              <w:rPr>
                <w:rFonts w:cs="Arial"/>
                <w:sz w:val="20"/>
              </w:rPr>
            </w:pPr>
            <w:r w:rsidRPr="006E4C32">
              <w:rPr>
                <w:rFonts w:cs="Arial"/>
                <w:b/>
                <w:bCs/>
                <w:spacing w:val="-2"/>
                <w:sz w:val="20"/>
              </w:rPr>
              <w:t>Ye</w:t>
            </w:r>
            <w:r w:rsidRPr="006E4C32">
              <w:rPr>
                <w:rFonts w:cs="Arial"/>
                <w:b/>
                <w:bCs/>
                <w:spacing w:val="-1"/>
                <w:sz w:val="20"/>
              </w:rPr>
              <w:t>a</w:t>
            </w:r>
            <w:r w:rsidRPr="006E4C32">
              <w:rPr>
                <w:rFonts w:cs="Arial"/>
                <w:b/>
                <w:bCs/>
                <w:sz w:val="20"/>
              </w:rPr>
              <w:t>r</w:t>
            </w:r>
            <w:r w:rsidRPr="006E4C32">
              <w:rPr>
                <w:rFonts w:cs="Arial"/>
                <w:b/>
                <w:bCs/>
                <w:spacing w:val="-10"/>
                <w:sz w:val="20"/>
              </w:rPr>
              <w:t xml:space="preserve"> </w:t>
            </w:r>
            <w:r w:rsidRPr="006E4C32">
              <w:rPr>
                <w:rFonts w:cs="Arial"/>
                <w:b/>
                <w:bCs/>
                <w:sz w:val="20"/>
              </w:rPr>
              <w:t>3</w:t>
            </w:r>
          </w:p>
        </w:tc>
        <w:tc>
          <w:tcPr>
            <w:tcW w:w="1080" w:type="dxa"/>
            <w:tcBorders>
              <w:top w:val="single" w:sz="4" w:space="0" w:color="000000"/>
              <w:left w:val="nil"/>
              <w:bottom w:val="single" w:sz="4" w:space="0" w:color="000000"/>
              <w:right w:val="nil"/>
            </w:tcBorders>
            <w:shd w:val="clear" w:color="auto" w:fill="C4BC96" w:themeFill="background2" w:themeFillShade="BF"/>
          </w:tcPr>
          <w:p w14:paraId="2E251AF4" w14:textId="77777777" w:rsidR="00A46C4F" w:rsidRPr="006E4C32" w:rsidRDefault="00A46C4F" w:rsidP="006E4C32">
            <w:pPr>
              <w:spacing w:before="18" w:line="276" w:lineRule="auto"/>
              <w:ind w:left="321" w:right="-20"/>
              <w:rPr>
                <w:rFonts w:cs="Arial"/>
                <w:sz w:val="20"/>
              </w:rPr>
            </w:pPr>
            <w:r w:rsidRPr="006E4C32">
              <w:rPr>
                <w:rFonts w:cs="Arial"/>
                <w:b/>
                <w:bCs/>
                <w:spacing w:val="-2"/>
                <w:sz w:val="20"/>
              </w:rPr>
              <w:t>Ye</w:t>
            </w:r>
            <w:r w:rsidRPr="006E4C32">
              <w:rPr>
                <w:rFonts w:cs="Arial"/>
                <w:b/>
                <w:bCs/>
                <w:spacing w:val="-1"/>
                <w:sz w:val="20"/>
              </w:rPr>
              <w:t>a</w:t>
            </w:r>
            <w:r w:rsidRPr="006E4C32">
              <w:rPr>
                <w:rFonts w:cs="Arial"/>
                <w:b/>
                <w:bCs/>
                <w:sz w:val="20"/>
              </w:rPr>
              <w:t>r</w:t>
            </w:r>
            <w:r w:rsidRPr="006E4C32">
              <w:rPr>
                <w:rFonts w:cs="Arial"/>
                <w:b/>
                <w:bCs/>
                <w:spacing w:val="-10"/>
                <w:sz w:val="20"/>
              </w:rPr>
              <w:t xml:space="preserve"> </w:t>
            </w:r>
            <w:r w:rsidRPr="006E4C32">
              <w:rPr>
                <w:rFonts w:cs="Arial"/>
                <w:b/>
                <w:bCs/>
                <w:sz w:val="20"/>
              </w:rPr>
              <w:t>4</w:t>
            </w:r>
          </w:p>
        </w:tc>
        <w:tc>
          <w:tcPr>
            <w:tcW w:w="1170" w:type="dxa"/>
            <w:tcBorders>
              <w:top w:val="single" w:sz="4" w:space="0" w:color="000000"/>
              <w:left w:val="nil"/>
              <w:bottom w:val="single" w:sz="4" w:space="0" w:color="000000"/>
              <w:right w:val="nil"/>
            </w:tcBorders>
            <w:shd w:val="clear" w:color="auto" w:fill="C4BC96" w:themeFill="background2" w:themeFillShade="BF"/>
          </w:tcPr>
          <w:p w14:paraId="6087D330" w14:textId="77777777" w:rsidR="00A46C4F" w:rsidRPr="006E4C32" w:rsidRDefault="00A46C4F" w:rsidP="006E4C32">
            <w:pPr>
              <w:spacing w:before="18" w:line="276" w:lineRule="auto"/>
              <w:ind w:left="244" w:right="-20"/>
              <w:rPr>
                <w:rFonts w:cs="Arial"/>
                <w:sz w:val="20"/>
              </w:rPr>
            </w:pPr>
            <w:r w:rsidRPr="006E4C32">
              <w:rPr>
                <w:rFonts w:cs="Arial"/>
                <w:b/>
                <w:bCs/>
                <w:spacing w:val="-2"/>
                <w:sz w:val="20"/>
              </w:rPr>
              <w:t>Ye</w:t>
            </w:r>
            <w:r w:rsidRPr="006E4C32">
              <w:rPr>
                <w:rFonts w:cs="Arial"/>
                <w:b/>
                <w:bCs/>
                <w:spacing w:val="-1"/>
                <w:sz w:val="20"/>
              </w:rPr>
              <w:t>a</w:t>
            </w:r>
            <w:r w:rsidRPr="006E4C32">
              <w:rPr>
                <w:rFonts w:cs="Arial"/>
                <w:b/>
                <w:bCs/>
                <w:sz w:val="20"/>
              </w:rPr>
              <w:t>r</w:t>
            </w:r>
            <w:r w:rsidRPr="006E4C32">
              <w:rPr>
                <w:rFonts w:cs="Arial"/>
                <w:b/>
                <w:bCs/>
                <w:spacing w:val="-10"/>
                <w:sz w:val="20"/>
              </w:rPr>
              <w:t xml:space="preserve"> </w:t>
            </w:r>
            <w:r w:rsidRPr="006E4C32">
              <w:rPr>
                <w:rFonts w:cs="Arial"/>
                <w:b/>
                <w:bCs/>
                <w:sz w:val="20"/>
              </w:rPr>
              <w:t>5</w:t>
            </w:r>
          </w:p>
        </w:tc>
        <w:tc>
          <w:tcPr>
            <w:tcW w:w="1350" w:type="dxa"/>
            <w:tcBorders>
              <w:top w:val="single" w:sz="4" w:space="0" w:color="000000"/>
              <w:left w:val="nil"/>
              <w:bottom w:val="single" w:sz="4" w:space="0" w:color="000000"/>
              <w:right w:val="single" w:sz="4" w:space="0" w:color="000000"/>
            </w:tcBorders>
            <w:shd w:val="clear" w:color="auto" w:fill="C4BC96" w:themeFill="background2" w:themeFillShade="BF"/>
          </w:tcPr>
          <w:p w14:paraId="55BDBC64" w14:textId="77777777" w:rsidR="00A46C4F" w:rsidRPr="006E4C32" w:rsidRDefault="00A46C4F" w:rsidP="006E4C32">
            <w:pPr>
              <w:spacing w:before="18" w:line="276" w:lineRule="auto"/>
              <w:ind w:left="374" w:right="-20"/>
              <w:rPr>
                <w:rFonts w:cs="Arial"/>
                <w:sz w:val="20"/>
              </w:rPr>
            </w:pPr>
            <w:r w:rsidRPr="006E4C32">
              <w:rPr>
                <w:rFonts w:cs="Arial"/>
                <w:b/>
                <w:bCs/>
                <w:spacing w:val="-3"/>
                <w:sz w:val="20"/>
              </w:rPr>
              <w:t>T</w:t>
            </w:r>
            <w:r w:rsidRPr="006E4C32">
              <w:rPr>
                <w:rFonts w:cs="Arial"/>
                <w:b/>
                <w:bCs/>
                <w:spacing w:val="-1"/>
                <w:sz w:val="20"/>
              </w:rPr>
              <w:t>o</w:t>
            </w:r>
            <w:r w:rsidRPr="006E4C32">
              <w:rPr>
                <w:rFonts w:cs="Arial"/>
                <w:b/>
                <w:bCs/>
                <w:spacing w:val="-2"/>
                <w:sz w:val="20"/>
              </w:rPr>
              <w:t>t</w:t>
            </w:r>
            <w:r w:rsidRPr="006E4C32">
              <w:rPr>
                <w:rFonts w:cs="Arial"/>
                <w:b/>
                <w:bCs/>
                <w:spacing w:val="-1"/>
                <w:sz w:val="20"/>
              </w:rPr>
              <w:t>a</w:t>
            </w:r>
            <w:r w:rsidRPr="006E4C32">
              <w:rPr>
                <w:rFonts w:cs="Arial"/>
                <w:b/>
                <w:bCs/>
                <w:sz w:val="20"/>
              </w:rPr>
              <w:t>l</w:t>
            </w:r>
          </w:p>
        </w:tc>
      </w:tr>
      <w:tr w:rsidR="00A46C4F" w:rsidRPr="006E4C32" w14:paraId="43CE5D86" w14:textId="77777777" w:rsidTr="00A46C4F">
        <w:trPr>
          <w:trHeight w:hRule="exact" w:val="298"/>
        </w:trPr>
        <w:tc>
          <w:tcPr>
            <w:tcW w:w="1080" w:type="dxa"/>
            <w:tcBorders>
              <w:top w:val="single" w:sz="4" w:space="0" w:color="000000"/>
              <w:left w:val="single" w:sz="4" w:space="0" w:color="000000"/>
              <w:bottom w:val="single" w:sz="8" w:space="0" w:color="auto"/>
              <w:right w:val="single" w:sz="8" w:space="0" w:color="auto"/>
            </w:tcBorders>
            <w:vAlign w:val="center"/>
          </w:tcPr>
          <w:p w14:paraId="417EC8DC" w14:textId="77777777" w:rsidR="00A46C4F" w:rsidRPr="006E4C32" w:rsidRDefault="000A73AD" w:rsidP="006E4C32">
            <w:pPr>
              <w:spacing w:before="14" w:line="276" w:lineRule="auto"/>
              <w:ind w:left="64" w:right="-20"/>
              <w:rPr>
                <w:rFonts w:cs="Arial"/>
                <w:sz w:val="20"/>
              </w:rPr>
            </w:pPr>
            <w:r w:rsidRPr="006E4C32">
              <w:rPr>
                <w:rFonts w:cs="Arial"/>
                <w:spacing w:val="-2"/>
                <w:sz w:val="20"/>
              </w:rPr>
              <w:t>BID</w:t>
            </w:r>
          </w:p>
        </w:tc>
        <w:tc>
          <w:tcPr>
            <w:tcW w:w="1170" w:type="dxa"/>
            <w:tcBorders>
              <w:top w:val="single" w:sz="4" w:space="0" w:color="000000"/>
              <w:left w:val="single" w:sz="8" w:space="0" w:color="auto"/>
              <w:bottom w:val="single" w:sz="8" w:space="0" w:color="auto"/>
              <w:right w:val="single" w:sz="8" w:space="0" w:color="auto"/>
            </w:tcBorders>
            <w:vAlign w:val="center"/>
          </w:tcPr>
          <w:p w14:paraId="37EC7A5C" w14:textId="24D8212F" w:rsidR="00A46C4F" w:rsidRPr="006E4C32" w:rsidRDefault="00A46C4F" w:rsidP="006E4C32">
            <w:pPr>
              <w:spacing w:before="14" w:line="276" w:lineRule="auto"/>
              <w:ind w:left="191" w:right="-20"/>
              <w:rPr>
                <w:rFonts w:cs="Arial"/>
                <w:sz w:val="20"/>
              </w:rPr>
            </w:pPr>
          </w:p>
        </w:tc>
        <w:tc>
          <w:tcPr>
            <w:tcW w:w="1170" w:type="dxa"/>
            <w:tcBorders>
              <w:top w:val="single" w:sz="4" w:space="0" w:color="000000"/>
              <w:left w:val="single" w:sz="8" w:space="0" w:color="auto"/>
              <w:bottom w:val="single" w:sz="8" w:space="0" w:color="auto"/>
              <w:right w:val="single" w:sz="8" w:space="0" w:color="auto"/>
            </w:tcBorders>
            <w:vAlign w:val="center"/>
          </w:tcPr>
          <w:p w14:paraId="061EFE7B" w14:textId="1B5EF48A" w:rsidR="00A46C4F" w:rsidRPr="006E4C32" w:rsidRDefault="00A46C4F" w:rsidP="006E4C32">
            <w:pPr>
              <w:spacing w:before="14" w:line="276" w:lineRule="auto"/>
              <w:ind w:left="166" w:right="-20"/>
              <w:rPr>
                <w:rFonts w:cs="Arial"/>
                <w:sz w:val="20"/>
              </w:rPr>
            </w:pPr>
          </w:p>
        </w:tc>
        <w:tc>
          <w:tcPr>
            <w:tcW w:w="1170" w:type="dxa"/>
            <w:tcBorders>
              <w:top w:val="single" w:sz="4" w:space="0" w:color="000000"/>
              <w:left w:val="single" w:sz="8" w:space="0" w:color="auto"/>
              <w:bottom w:val="single" w:sz="8" w:space="0" w:color="auto"/>
              <w:right w:val="single" w:sz="8" w:space="0" w:color="auto"/>
            </w:tcBorders>
            <w:vAlign w:val="center"/>
          </w:tcPr>
          <w:p w14:paraId="6E156D1A" w14:textId="613723A2" w:rsidR="00A46C4F" w:rsidRPr="006E4C32" w:rsidRDefault="00A46C4F" w:rsidP="006E4C32">
            <w:pPr>
              <w:spacing w:before="14" w:line="276" w:lineRule="auto"/>
              <w:ind w:left="119" w:right="-20"/>
              <w:rPr>
                <w:rFonts w:cs="Arial"/>
                <w:sz w:val="20"/>
              </w:rPr>
            </w:pPr>
          </w:p>
        </w:tc>
        <w:tc>
          <w:tcPr>
            <w:tcW w:w="1080" w:type="dxa"/>
            <w:tcBorders>
              <w:top w:val="single" w:sz="4" w:space="0" w:color="000000"/>
              <w:left w:val="single" w:sz="8" w:space="0" w:color="auto"/>
              <w:bottom w:val="single" w:sz="8" w:space="0" w:color="auto"/>
              <w:right w:val="single" w:sz="8" w:space="0" w:color="auto"/>
            </w:tcBorders>
            <w:vAlign w:val="center"/>
          </w:tcPr>
          <w:p w14:paraId="47077608" w14:textId="2F86CB6F" w:rsidR="00A46C4F" w:rsidRPr="006E4C32" w:rsidRDefault="00A46C4F" w:rsidP="006E4C32">
            <w:pPr>
              <w:spacing w:before="14" w:line="276" w:lineRule="auto"/>
              <w:ind w:left="211" w:right="-20"/>
              <w:rPr>
                <w:rFonts w:cs="Arial"/>
                <w:sz w:val="20"/>
              </w:rPr>
            </w:pPr>
          </w:p>
        </w:tc>
        <w:tc>
          <w:tcPr>
            <w:tcW w:w="1170" w:type="dxa"/>
            <w:tcBorders>
              <w:top w:val="single" w:sz="4" w:space="0" w:color="000000"/>
              <w:left w:val="single" w:sz="8" w:space="0" w:color="auto"/>
              <w:bottom w:val="single" w:sz="8" w:space="0" w:color="auto"/>
              <w:right w:val="single" w:sz="8" w:space="0" w:color="auto"/>
            </w:tcBorders>
            <w:vAlign w:val="center"/>
          </w:tcPr>
          <w:p w14:paraId="0447E6DA" w14:textId="54467F19" w:rsidR="00A46C4F" w:rsidRPr="006E4C32" w:rsidRDefault="00A46C4F" w:rsidP="006E4C32">
            <w:pPr>
              <w:spacing w:before="14" w:line="276" w:lineRule="auto"/>
              <w:ind w:left="206" w:right="-20"/>
              <w:rPr>
                <w:rFonts w:cs="Arial"/>
                <w:sz w:val="20"/>
              </w:rPr>
            </w:pPr>
          </w:p>
        </w:tc>
        <w:tc>
          <w:tcPr>
            <w:tcW w:w="1350" w:type="dxa"/>
            <w:tcBorders>
              <w:top w:val="single" w:sz="4" w:space="0" w:color="000000"/>
              <w:left w:val="single" w:sz="8" w:space="0" w:color="auto"/>
              <w:bottom w:val="single" w:sz="8" w:space="0" w:color="auto"/>
              <w:right w:val="single" w:sz="4" w:space="0" w:color="000000"/>
            </w:tcBorders>
            <w:vAlign w:val="center"/>
          </w:tcPr>
          <w:p w14:paraId="556FF9C8" w14:textId="5C88378C" w:rsidR="00A46C4F" w:rsidRPr="006E4C32" w:rsidRDefault="00903265" w:rsidP="006E4C32">
            <w:pPr>
              <w:spacing w:before="14" w:line="276" w:lineRule="auto"/>
              <w:ind w:left="160" w:right="-20"/>
              <w:rPr>
                <w:rFonts w:cs="Arial"/>
                <w:sz w:val="20"/>
              </w:rPr>
            </w:pPr>
            <w:r>
              <w:rPr>
                <w:rFonts w:cs="Arial"/>
                <w:sz w:val="20"/>
              </w:rPr>
              <w:t>3</w:t>
            </w:r>
            <w:r w:rsidR="0050135A" w:rsidRPr="006E4C32">
              <w:rPr>
                <w:rFonts w:cs="Arial"/>
                <w:sz w:val="20"/>
              </w:rPr>
              <w:t>5</w:t>
            </w:r>
            <w:r w:rsidR="00A46C4F" w:rsidRPr="006E4C32">
              <w:rPr>
                <w:rFonts w:cs="Arial"/>
                <w:sz w:val="20"/>
              </w:rPr>
              <w:t>,000,000</w:t>
            </w:r>
          </w:p>
        </w:tc>
      </w:tr>
      <w:tr w:rsidR="00A46C4F" w:rsidRPr="006E4C32" w14:paraId="593C1C0F" w14:textId="77777777" w:rsidTr="00A46C4F">
        <w:trPr>
          <w:trHeight w:hRule="exact" w:val="275"/>
        </w:trPr>
        <w:tc>
          <w:tcPr>
            <w:tcW w:w="1080" w:type="dxa"/>
            <w:tcBorders>
              <w:top w:val="single" w:sz="8" w:space="0" w:color="auto"/>
              <w:left w:val="single" w:sz="4" w:space="0" w:color="000000"/>
              <w:bottom w:val="single" w:sz="8" w:space="0" w:color="auto"/>
              <w:right w:val="single" w:sz="8" w:space="0" w:color="auto"/>
            </w:tcBorders>
          </w:tcPr>
          <w:p w14:paraId="5EE6BEC9" w14:textId="77777777" w:rsidR="00A46C4F" w:rsidRPr="006E4C32" w:rsidRDefault="00A46C4F" w:rsidP="006E4C32">
            <w:pPr>
              <w:spacing w:before="8" w:line="276" w:lineRule="auto"/>
              <w:ind w:left="64" w:right="-20"/>
              <w:rPr>
                <w:rFonts w:cs="Arial"/>
                <w:sz w:val="20"/>
              </w:rPr>
            </w:pPr>
            <w:r w:rsidRPr="006E4C32">
              <w:rPr>
                <w:rFonts w:cs="Arial"/>
                <w:sz w:val="20"/>
              </w:rPr>
              <w:t>P</w:t>
            </w:r>
            <w:r w:rsidR="000A73AD" w:rsidRPr="006E4C32">
              <w:rPr>
                <w:rFonts w:cs="Arial"/>
                <w:spacing w:val="-5"/>
                <w:sz w:val="20"/>
              </w:rPr>
              <w:t>ou</w:t>
            </w:r>
            <w:r w:rsidRPr="006E4C32">
              <w:rPr>
                <w:rFonts w:cs="Arial"/>
                <w:spacing w:val="-2"/>
                <w:sz w:val="20"/>
              </w:rPr>
              <w:t>rce</w:t>
            </w:r>
            <w:r w:rsidRPr="006E4C32">
              <w:rPr>
                <w:rFonts w:cs="Arial"/>
                <w:spacing w:val="-4"/>
                <w:sz w:val="20"/>
              </w:rPr>
              <w:t>n</w:t>
            </w:r>
            <w:r w:rsidRPr="006E4C32">
              <w:rPr>
                <w:rFonts w:cs="Arial"/>
                <w:spacing w:val="-3"/>
                <w:sz w:val="20"/>
              </w:rPr>
              <w:t>t</w:t>
            </w:r>
            <w:r w:rsidRPr="006E4C32">
              <w:rPr>
                <w:rFonts w:cs="Arial"/>
                <w:spacing w:val="-2"/>
                <w:sz w:val="20"/>
              </w:rPr>
              <w:t>a</w:t>
            </w:r>
            <w:r w:rsidRPr="006E4C32">
              <w:rPr>
                <w:rFonts w:cs="Arial"/>
                <w:spacing w:val="-4"/>
                <w:sz w:val="20"/>
              </w:rPr>
              <w:t>g</w:t>
            </w:r>
            <w:r w:rsidRPr="006E4C32">
              <w:rPr>
                <w:rFonts w:cs="Arial"/>
                <w:sz w:val="20"/>
              </w:rPr>
              <w:t>e</w:t>
            </w:r>
          </w:p>
        </w:tc>
        <w:tc>
          <w:tcPr>
            <w:tcW w:w="1170" w:type="dxa"/>
            <w:tcBorders>
              <w:top w:val="single" w:sz="8" w:space="0" w:color="auto"/>
              <w:left w:val="single" w:sz="8" w:space="0" w:color="auto"/>
              <w:bottom w:val="single" w:sz="8" w:space="0" w:color="auto"/>
              <w:right w:val="single" w:sz="8" w:space="0" w:color="auto"/>
            </w:tcBorders>
          </w:tcPr>
          <w:p w14:paraId="55320E71" w14:textId="1C7FF260" w:rsidR="00A46C4F" w:rsidRPr="006E4C32" w:rsidRDefault="00A46C4F" w:rsidP="006E4C32">
            <w:pPr>
              <w:spacing w:before="8" w:line="276" w:lineRule="auto"/>
              <w:ind w:right="-20"/>
              <w:rPr>
                <w:rFonts w:cs="Arial"/>
                <w:sz w:val="20"/>
              </w:rPr>
            </w:pPr>
          </w:p>
        </w:tc>
        <w:tc>
          <w:tcPr>
            <w:tcW w:w="1170" w:type="dxa"/>
            <w:tcBorders>
              <w:top w:val="single" w:sz="8" w:space="0" w:color="auto"/>
              <w:left w:val="single" w:sz="8" w:space="0" w:color="auto"/>
              <w:bottom w:val="single" w:sz="8" w:space="0" w:color="auto"/>
              <w:right w:val="single" w:sz="8" w:space="0" w:color="auto"/>
            </w:tcBorders>
          </w:tcPr>
          <w:p w14:paraId="7C60F4B1" w14:textId="47A83ED9" w:rsidR="00A46C4F" w:rsidRPr="006E4C32" w:rsidRDefault="00A46C4F" w:rsidP="006E4C32">
            <w:pPr>
              <w:spacing w:before="8" w:line="276" w:lineRule="auto"/>
              <w:ind w:left="349" w:right="-20"/>
              <w:rPr>
                <w:rFonts w:cs="Arial"/>
                <w:sz w:val="20"/>
              </w:rPr>
            </w:pPr>
          </w:p>
        </w:tc>
        <w:tc>
          <w:tcPr>
            <w:tcW w:w="1170" w:type="dxa"/>
            <w:tcBorders>
              <w:top w:val="single" w:sz="8" w:space="0" w:color="auto"/>
              <w:left w:val="single" w:sz="8" w:space="0" w:color="auto"/>
              <w:bottom w:val="single" w:sz="8" w:space="0" w:color="auto"/>
              <w:right w:val="single" w:sz="8" w:space="0" w:color="auto"/>
            </w:tcBorders>
          </w:tcPr>
          <w:p w14:paraId="2E981CDE" w14:textId="000E8245" w:rsidR="00A46C4F" w:rsidRPr="006E4C32" w:rsidRDefault="00A46C4F" w:rsidP="006E4C32">
            <w:pPr>
              <w:spacing w:before="8" w:line="276" w:lineRule="auto"/>
              <w:ind w:left="304" w:right="-20"/>
              <w:rPr>
                <w:rFonts w:cs="Arial"/>
                <w:sz w:val="20"/>
              </w:rPr>
            </w:pPr>
          </w:p>
        </w:tc>
        <w:tc>
          <w:tcPr>
            <w:tcW w:w="1080" w:type="dxa"/>
            <w:tcBorders>
              <w:top w:val="single" w:sz="8" w:space="0" w:color="auto"/>
              <w:left w:val="single" w:sz="8" w:space="0" w:color="auto"/>
              <w:bottom w:val="single" w:sz="8" w:space="0" w:color="auto"/>
              <w:right w:val="single" w:sz="8" w:space="0" w:color="auto"/>
            </w:tcBorders>
          </w:tcPr>
          <w:p w14:paraId="1C984026" w14:textId="00315820" w:rsidR="00A46C4F" w:rsidRPr="006E4C32" w:rsidRDefault="00A46C4F" w:rsidP="006E4C32">
            <w:pPr>
              <w:spacing w:before="8" w:line="276" w:lineRule="auto"/>
              <w:ind w:left="345" w:right="-20"/>
              <w:rPr>
                <w:rFonts w:cs="Arial"/>
                <w:sz w:val="20"/>
              </w:rPr>
            </w:pPr>
          </w:p>
        </w:tc>
        <w:tc>
          <w:tcPr>
            <w:tcW w:w="1170" w:type="dxa"/>
            <w:tcBorders>
              <w:top w:val="single" w:sz="8" w:space="0" w:color="auto"/>
              <w:left w:val="single" w:sz="8" w:space="0" w:color="auto"/>
              <w:bottom w:val="single" w:sz="8" w:space="0" w:color="auto"/>
              <w:right w:val="single" w:sz="8" w:space="0" w:color="auto"/>
            </w:tcBorders>
          </w:tcPr>
          <w:p w14:paraId="17E1C0EF" w14:textId="127DD3C1" w:rsidR="00A46C4F" w:rsidRPr="006E4C32" w:rsidRDefault="00A46C4F" w:rsidP="006E4C32">
            <w:pPr>
              <w:spacing w:before="8" w:line="276" w:lineRule="auto"/>
              <w:ind w:left="319" w:right="-20"/>
              <w:rPr>
                <w:rFonts w:cs="Arial"/>
                <w:sz w:val="20"/>
              </w:rPr>
            </w:pPr>
          </w:p>
        </w:tc>
        <w:tc>
          <w:tcPr>
            <w:tcW w:w="1350" w:type="dxa"/>
            <w:tcBorders>
              <w:top w:val="single" w:sz="8" w:space="0" w:color="auto"/>
              <w:left w:val="single" w:sz="8" w:space="0" w:color="auto"/>
              <w:bottom w:val="single" w:sz="8" w:space="0" w:color="auto"/>
              <w:right w:val="single" w:sz="4" w:space="0" w:color="000000"/>
            </w:tcBorders>
          </w:tcPr>
          <w:p w14:paraId="4AB33D1B" w14:textId="77777777" w:rsidR="00A46C4F" w:rsidRPr="006E4C32" w:rsidRDefault="00A46C4F" w:rsidP="006E4C32">
            <w:pPr>
              <w:spacing w:before="8" w:line="276" w:lineRule="auto"/>
              <w:ind w:left="295" w:right="-20"/>
              <w:rPr>
                <w:rFonts w:cs="Arial"/>
                <w:sz w:val="20"/>
              </w:rPr>
            </w:pPr>
            <w:r w:rsidRPr="006E4C32">
              <w:rPr>
                <w:rFonts w:cs="Arial"/>
                <w:spacing w:val="-1"/>
                <w:sz w:val="20"/>
              </w:rPr>
              <w:t>1</w:t>
            </w:r>
            <w:r w:rsidRPr="006E4C32">
              <w:rPr>
                <w:rFonts w:cs="Arial"/>
                <w:spacing w:val="-4"/>
                <w:sz w:val="20"/>
              </w:rPr>
              <w:t>0</w:t>
            </w:r>
            <w:r w:rsidRPr="006E4C32">
              <w:rPr>
                <w:rFonts w:cs="Arial"/>
                <w:spacing w:val="-1"/>
                <w:sz w:val="20"/>
              </w:rPr>
              <w:t>0</w:t>
            </w:r>
            <w:r w:rsidRPr="006E4C32">
              <w:rPr>
                <w:rFonts w:cs="Arial"/>
                <w:spacing w:val="-4"/>
                <w:sz w:val="20"/>
              </w:rPr>
              <w:t>.</w:t>
            </w:r>
            <w:r w:rsidRPr="006E4C32">
              <w:rPr>
                <w:rFonts w:cs="Arial"/>
                <w:spacing w:val="-1"/>
                <w:sz w:val="20"/>
              </w:rPr>
              <w:t>0</w:t>
            </w:r>
            <w:r w:rsidRPr="006E4C32">
              <w:rPr>
                <w:rFonts w:cs="Arial"/>
                <w:sz w:val="20"/>
              </w:rPr>
              <w:t>%</w:t>
            </w:r>
          </w:p>
        </w:tc>
      </w:tr>
    </w:tbl>
    <w:p w14:paraId="720D50D3" w14:textId="77777777" w:rsidR="001959BE" w:rsidRPr="006E4C32" w:rsidRDefault="001959BE" w:rsidP="006E4C32">
      <w:pPr>
        <w:spacing w:line="276" w:lineRule="auto"/>
        <w:ind w:left="360"/>
        <w:rPr>
          <w:rFonts w:eastAsia="Arial"/>
          <w:b/>
        </w:rPr>
      </w:pPr>
    </w:p>
    <w:p w14:paraId="03E2A5A4" w14:textId="0920055D" w:rsidR="006E4C32" w:rsidRDefault="006E4C32" w:rsidP="006E4C32">
      <w:pPr>
        <w:spacing w:line="276" w:lineRule="auto"/>
        <w:ind w:left="360"/>
        <w:rPr>
          <w:rFonts w:eastAsia="Arial"/>
          <w:b/>
        </w:rPr>
      </w:pPr>
      <w:r>
        <w:rPr>
          <w:rFonts w:eastAsia="Arial"/>
          <w:b/>
        </w:rPr>
        <w:br w:type="page"/>
      </w:r>
    </w:p>
    <w:p w14:paraId="2C7A820D" w14:textId="77777777" w:rsidR="001959BE" w:rsidRPr="006E4C32" w:rsidRDefault="001959BE" w:rsidP="006E4C32">
      <w:pPr>
        <w:spacing w:line="276" w:lineRule="auto"/>
        <w:ind w:left="360"/>
        <w:rPr>
          <w:rFonts w:eastAsia="Arial"/>
          <w:b/>
        </w:rPr>
      </w:pPr>
    </w:p>
    <w:p w14:paraId="28F94924" w14:textId="1A22A221" w:rsidR="00665E7C" w:rsidRPr="006E4C32" w:rsidRDefault="00665E7C" w:rsidP="0006696B">
      <w:pPr>
        <w:pStyle w:val="ListParagraph"/>
        <w:numPr>
          <w:ilvl w:val="0"/>
          <w:numId w:val="20"/>
        </w:numPr>
        <w:spacing w:line="276" w:lineRule="auto"/>
        <w:rPr>
          <w:rFonts w:eastAsia="Arial"/>
          <w:b/>
          <w:sz w:val="32"/>
        </w:rPr>
      </w:pPr>
      <w:r w:rsidRPr="006E4C32">
        <w:rPr>
          <w:rFonts w:eastAsia="Arial"/>
          <w:b/>
          <w:sz w:val="32"/>
        </w:rPr>
        <w:t xml:space="preserve">LES ACTEURS ET LEUR MANDAT </w:t>
      </w:r>
      <w:r w:rsidR="00903265">
        <w:rPr>
          <w:rFonts w:eastAsia="Arial"/>
          <w:b/>
          <w:sz w:val="32"/>
        </w:rPr>
        <w:t>(A COMPLETER)</w:t>
      </w:r>
    </w:p>
    <w:p w14:paraId="59BD245F" w14:textId="38835A4A" w:rsidR="00D719AF" w:rsidRDefault="00AD6E5A" w:rsidP="00903265">
      <w:pPr>
        <w:pStyle w:val="Paragraph"/>
        <w:numPr>
          <w:ilvl w:val="0"/>
          <w:numId w:val="0"/>
        </w:numPr>
        <w:ind w:left="360"/>
        <w:rPr>
          <w:rFonts w:ascii="Times" w:hAnsi="Times"/>
          <w:spacing w:val="-2"/>
          <w:szCs w:val="24"/>
          <w:lang w:val="fr-CA"/>
        </w:rPr>
      </w:pPr>
      <w:r w:rsidRPr="006E4C32">
        <w:rPr>
          <w:rFonts w:ascii="Times" w:hAnsi="Times"/>
          <w:spacing w:val="-2"/>
          <w:szCs w:val="24"/>
          <w:lang w:val="fr-CA"/>
        </w:rPr>
        <w:t>L</w:t>
      </w:r>
      <w:r w:rsidR="00903265">
        <w:rPr>
          <w:rFonts w:ascii="Times" w:hAnsi="Times"/>
          <w:spacing w:val="-2"/>
          <w:szCs w:val="24"/>
          <w:lang w:val="fr-CA"/>
        </w:rPr>
        <w:t xml:space="preserve">es </w:t>
      </w:r>
      <w:r w:rsidRPr="006E4C32">
        <w:rPr>
          <w:rFonts w:ascii="Times" w:hAnsi="Times"/>
          <w:spacing w:val="-2"/>
          <w:szCs w:val="24"/>
          <w:lang w:val="fr-CA"/>
        </w:rPr>
        <w:t>Organisme d’</w:t>
      </w:r>
      <w:r w:rsidR="00903265">
        <w:rPr>
          <w:rFonts w:ascii="Times" w:hAnsi="Times"/>
          <w:spacing w:val="-2"/>
          <w:szCs w:val="24"/>
          <w:lang w:val="fr-CA"/>
        </w:rPr>
        <w:t>E</w:t>
      </w:r>
      <w:r w:rsidRPr="006E4C32">
        <w:rPr>
          <w:rFonts w:ascii="Times" w:hAnsi="Times"/>
          <w:spacing w:val="-2"/>
          <w:szCs w:val="24"/>
          <w:lang w:val="fr-CA"/>
        </w:rPr>
        <w:t xml:space="preserve">xécution </w:t>
      </w:r>
      <w:r w:rsidR="00903265">
        <w:rPr>
          <w:rFonts w:ascii="Times" w:hAnsi="Times"/>
          <w:spacing w:val="-2"/>
          <w:szCs w:val="24"/>
          <w:lang w:val="fr-CA"/>
        </w:rPr>
        <w:t xml:space="preserve">(OE) </w:t>
      </w:r>
      <w:r w:rsidRPr="006E4C32">
        <w:rPr>
          <w:rFonts w:ascii="Times" w:hAnsi="Times"/>
          <w:spacing w:val="-2"/>
          <w:szCs w:val="24"/>
          <w:lang w:val="fr-CA"/>
        </w:rPr>
        <w:t>du Pro</w:t>
      </w:r>
      <w:r w:rsidR="00105FCC">
        <w:rPr>
          <w:rFonts w:ascii="Times" w:hAnsi="Times"/>
          <w:spacing w:val="-2"/>
          <w:szCs w:val="24"/>
          <w:lang w:val="fr-CA"/>
        </w:rPr>
        <w:t>gramme HA-L110</w:t>
      </w:r>
      <w:r w:rsidR="00903265">
        <w:rPr>
          <w:rFonts w:ascii="Times" w:hAnsi="Times"/>
          <w:spacing w:val="-2"/>
          <w:szCs w:val="24"/>
          <w:lang w:val="fr-CA"/>
        </w:rPr>
        <w:t>6 seront l’UTE/MEF et l’UCP/MICT</w:t>
      </w:r>
      <w:r w:rsidRPr="006E4C32">
        <w:rPr>
          <w:rFonts w:ascii="Times" w:hAnsi="Times"/>
          <w:spacing w:val="-2"/>
          <w:szCs w:val="24"/>
          <w:lang w:val="fr-CA"/>
        </w:rPr>
        <w:t xml:space="preserve"> </w:t>
      </w:r>
    </w:p>
    <w:p w14:paraId="2257B22E" w14:textId="77777777" w:rsidR="000346A4" w:rsidRPr="006E4C32" w:rsidRDefault="000346A4" w:rsidP="00FA3A58">
      <w:pPr>
        <w:spacing w:line="276" w:lineRule="auto"/>
        <w:jc w:val="both"/>
      </w:pPr>
    </w:p>
    <w:p w14:paraId="6F3F7F46" w14:textId="77777777" w:rsidR="00903265" w:rsidRDefault="00665E7C" w:rsidP="0006696B">
      <w:pPr>
        <w:pStyle w:val="ListParagraph"/>
        <w:numPr>
          <w:ilvl w:val="1"/>
          <w:numId w:val="29"/>
        </w:numPr>
        <w:spacing w:line="276" w:lineRule="auto"/>
        <w:rPr>
          <w:b/>
        </w:rPr>
      </w:pPr>
      <w:r w:rsidRPr="006E4C32">
        <w:rPr>
          <w:b/>
        </w:rPr>
        <w:t>Mandat de l</w:t>
      </w:r>
      <w:r w:rsidR="00903265">
        <w:rPr>
          <w:b/>
        </w:rPr>
        <w:t>’UTE/MEF</w:t>
      </w:r>
    </w:p>
    <w:p w14:paraId="12C25509" w14:textId="444291B5" w:rsidR="00B95F25" w:rsidRDefault="00B95F25" w:rsidP="00FA3A58">
      <w:pPr>
        <w:pStyle w:val="ListParagraph"/>
        <w:spacing w:line="276" w:lineRule="auto"/>
        <w:ind w:left="426"/>
        <w:jc w:val="both"/>
      </w:pPr>
    </w:p>
    <w:p w14:paraId="100C2D09" w14:textId="3D8951AE" w:rsidR="00D719AF" w:rsidRPr="006E4C32" w:rsidRDefault="00D719AF" w:rsidP="0006696B">
      <w:pPr>
        <w:pStyle w:val="ListParagraph"/>
        <w:numPr>
          <w:ilvl w:val="1"/>
          <w:numId w:val="29"/>
        </w:numPr>
        <w:spacing w:line="276" w:lineRule="auto"/>
        <w:rPr>
          <w:b/>
        </w:rPr>
      </w:pPr>
      <w:r w:rsidRPr="006E4C32">
        <w:rPr>
          <w:b/>
        </w:rPr>
        <w:t xml:space="preserve">Mandat de </w:t>
      </w:r>
      <w:r w:rsidR="00903265">
        <w:rPr>
          <w:b/>
        </w:rPr>
        <w:t>l’UCP/MICT</w:t>
      </w:r>
    </w:p>
    <w:p w14:paraId="44B8A3D0" w14:textId="77777777" w:rsidR="00903265" w:rsidRDefault="00903265" w:rsidP="00FA3A58">
      <w:pPr>
        <w:pBdr>
          <w:top w:val="nil"/>
          <w:left w:val="nil"/>
          <w:bottom w:val="nil"/>
          <w:right w:val="nil"/>
          <w:between w:val="nil"/>
          <w:bar w:val="nil"/>
        </w:pBdr>
        <w:spacing w:before="120" w:after="120" w:line="276" w:lineRule="auto"/>
        <w:ind w:left="426"/>
        <w:jc w:val="both"/>
      </w:pPr>
      <w:r>
        <w:t>Avec l’appui technique de la DTC</w:t>
      </w:r>
    </w:p>
    <w:p w14:paraId="019A603E" w14:textId="0BD03455" w:rsidR="000F411C" w:rsidRPr="006E4C32" w:rsidRDefault="006E4C32" w:rsidP="006E4C32">
      <w:pPr>
        <w:spacing w:line="276" w:lineRule="auto"/>
      </w:pPr>
      <w:r>
        <w:br w:type="page"/>
      </w:r>
    </w:p>
    <w:p w14:paraId="7835EA0E" w14:textId="18F133B1" w:rsidR="00DE2E1C" w:rsidRPr="006E4C32" w:rsidRDefault="006447B6" w:rsidP="0006696B">
      <w:pPr>
        <w:pStyle w:val="ListParagraph"/>
        <w:numPr>
          <w:ilvl w:val="0"/>
          <w:numId w:val="29"/>
        </w:numPr>
        <w:tabs>
          <w:tab w:val="left" w:pos="580"/>
        </w:tabs>
        <w:spacing w:before="120" w:after="120" w:line="276" w:lineRule="auto"/>
        <w:rPr>
          <w:rFonts w:eastAsia="Arial"/>
          <w:b/>
          <w:sz w:val="32"/>
        </w:rPr>
      </w:pPr>
      <w:r w:rsidRPr="006E4C32">
        <w:rPr>
          <w:rFonts w:eastAsia="Arial"/>
          <w:b/>
          <w:sz w:val="32"/>
        </w:rPr>
        <w:lastRenderedPageBreak/>
        <w:t xml:space="preserve">MECANISMES CONTRACTUELS </w:t>
      </w:r>
      <w:r w:rsidR="00AD6E5A" w:rsidRPr="006E4C32">
        <w:rPr>
          <w:rFonts w:eastAsia="Arial"/>
          <w:b/>
          <w:sz w:val="32"/>
        </w:rPr>
        <w:t>D’EXÉCUTION</w:t>
      </w:r>
    </w:p>
    <w:p w14:paraId="47610123" w14:textId="77777777" w:rsidR="00DE2E1C" w:rsidRPr="006E4C32" w:rsidRDefault="00DE2E1C" w:rsidP="006E4C32">
      <w:pPr>
        <w:spacing w:line="276" w:lineRule="auto"/>
        <w:rPr>
          <w:rFonts w:eastAsia="Times New Roman"/>
        </w:rPr>
      </w:pPr>
    </w:p>
    <w:p w14:paraId="28EF18C4" w14:textId="472CF9EB" w:rsidR="00D44C81" w:rsidRPr="006A1C58" w:rsidRDefault="00D44C81" w:rsidP="006A1C58">
      <w:pPr>
        <w:spacing w:line="276" w:lineRule="auto"/>
        <w:rPr>
          <w:b/>
        </w:rPr>
      </w:pPr>
      <w:r w:rsidRPr="006A1C58">
        <w:rPr>
          <w:b/>
        </w:rPr>
        <w:t xml:space="preserve">4.1 </w:t>
      </w:r>
      <w:r w:rsidR="006447B6" w:rsidRPr="006A1C58">
        <w:rPr>
          <w:b/>
        </w:rPr>
        <w:t>SEMINAIRE DE DEMARRAGE</w:t>
      </w:r>
    </w:p>
    <w:p w14:paraId="0A75FFE1" w14:textId="77777777" w:rsidR="006447B6" w:rsidRPr="006E4C32" w:rsidRDefault="006447B6" w:rsidP="006E4C32">
      <w:pPr>
        <w:spacing w:line="276" w:lineRule="auto"/>
        <w:rPr>
          <w:rFonts w:eastAsia="Times New Roman"/>
        </w:rPr>
      </w:pPr>
    </w:p>
    <w:p w14:paraId="6BE61135" w14:textId="280262CC" w:rsidR="006447B6" w:rsidRPr="006E4C32" w:rsidRDefault="006447B6" w:rsidP="00ED6EFB">
      <w:pPr>
        <w:spacing w:line="276" w:lineRule="auto"/>
        <w:jc w:val="both"/>
        <w:rPr>
          <w:rFonts w:eastAsia="Arial"/>
        </w:rPr>
      </w:pPr>
      <w:r w:rsidRPr="006E4C32">
        <w:rPr>
          <w:rFonts w:eastAsia="Arial"/>
        </w:rPr>
        <w:t>Le séminaire de démarrage vise</w:t>
      </w:r>
      <w:r w:rsidR="001D5181">
        <w:rPr>
          <w:rFonts w:eastAsia="Arial"/>
        </w:rPr>
        <w:t>ra</w:t>
      </w:r>
      <w:r w:rsidRPr="006E4C32">
        <w:rPr>
          <w:rFonts w:eastAsia="Arial"/>
        </w:rPr>
        <w:t xml:space="preserve"> à présenter la planification et l'ensemble des procédures du présent programme aux différents partenaires impliqués. Il se tiendra préalablement au premier décaissement. Il présentera les objectifs du programme, les activités, la ligne de base les conditions d’exécution et les contrepar</w:t>
      </w:r>
      <w:r w:rsidR="00B95F25" w:rsidRPr="006E4C32">
        <w:rPr>
          <w:rFonts w:eastAsia="Arial"/>
        </w:rPr>
        <w:t>ties attendues de la part du Gouvernement Haïtien</w:t>
      </w:r>
      <w:r w:rsidRPr="006E4C32">
        <w:rPr>
          <w:rFonts w:eastAsia="Arial"/>
        </w:rPr>
        <w:t>.</w:t>
      </w:r>
      <w:r w:rsidR="00B95F25" w:rsidRPr="006E4C32">
        <w:rPr>
          <w:rFonts w:eastAsia="Arial"/>
        </w:rPr>
        <w:t xml:space="preserve"> </w:t>
      </w:r>
    </w:p>
    <w:p w14:paraId="742F207A" w14:textId="77777777" w:rsidR="00ED6969" w:rsidRPr="006E4C32" w:rsidRDefault="00ED6969" w:rsidP="00ED6EFB">
      <w:pPr>
        <w:spacing w:line="276" w:lineRule="auto"/>
        <w:jc w:val="both"/>
        <w:rPr>
          <w:rFonts w:eastAsia="Arial"/>
        </w:rPr>
      </w:pPr>
    </w:p>
    <w:p w14:paraId="36156EDB" w14:textId="46F98FD8" w:rsidR="003C51DD" w:rsidRPr="003C51DD" w:rsidRDefault="003C51DD" w:rsidP="003C51DD">
      <w:pPr>
        <w:spacing w:before="160" w:after="160" w:line="276" w:lineRule="auto"/>
        <w:jc w:val="both"/>
        <w:rPr>
          <w:rFonts w:eastAsia="Arial"/>
        </w:rPr>
      </w:pPr>
      <w:r w:rsidRPr="003C51DD">
        <w:rPr>
          <w:rFonts w:eastAsia="Arial"/>
        </w:rPr>
        <w:t>Spécialement, en ce qui concerne les aspects environnementaux et sociaux, l</w:t>
      </w:r>
      <w:r w:rsidR="00903265">
        <w:rPr>
          <w:rFonts w:eastAsia="Arial"/>
        </w:rPr>
        <w:t>es OE</w:t>
      </w:r>
      <w:r w:rsidRPr="003C51DD">
        <w:rPr>
          <w:rFonts w:eastAsia="Arial"/>
        </w:rPr>
        <w:t xml:space="preserve"> devr</w:t>
      </w:r>
      <w:r w:rsidR="00903265">
        <w:rPr>
          <w:rFonts w:eastAsia="Arial"/>
        </w:rPr>
        <w:t>ont</w:t>
      </w:r>
      <w:r w:rsidRPr="003C51DD">
        <w:rPr>
          <w:rFonts w:eastAsia="Arial"/>
        </w:rPr>
        <w:t xml:space="preserve"> démontrer à la BID préalablement au premier décaissement que les documents suivants ont été conçus pour la phase de construction de chaque projet, qu’ils sont en vigueur et ont été intégrés dans le Manuel Opérationnel Unifié</w:t>
      </w:r>
      <w:r w:rsidRPr="003C51DD">
        <w:rPr>
          <w:rFonts w:ascii="Segoe UI Emoji" w:eastAsia="Segoe UI Emoji" w:hAnsi="Segoe UI Emoji" w:cs="Segoe UI Emoji"/>
        </w:rPr>
        <w:t xml:space="preserve"> : </w:t>
      </w:r>
      <w:r w:rsidRPr="003C51DD">
        <w:rPr>
          <w:rFonts w:eastAsia="Arial"/>
        </w:rPr>
        <w:t xml:space="preserve">(i) un plan d'engagement des parties prenantes ou plan de dialogue avec les parties prenantes (PDPP) ; (ii)  une évaluation des risques de catastrophe (ERC) et son correspondant plan de gestion des risques de catastrophes (PGRC) ; (iii) un mécanisme de règlement des griefs ; et (iv) une étude socio-économique pour déterminer des tarifs accessibles pour l’eau. Le </w:t>
      </w:r>
      <w:r w:rsidRPr="006A1C58">
        <w:rPr>
          <w:rFonts w:eastAsia="Arial"/>
        </w:rPr>
        <w:t>P</w:t>
      </w:r>
      <w:r w:rsidRPr="003C51DD">
        <w:rPr>
          <w:rFonts w:eastAsia="Arial"/>
        </w:rPr>
        <w:t xml:space="preserve">DPP, le mécanisme de règlements des griefs et les ERC et ses respectifs PGRC pour des échantillons sont annexés dans ce MO. </w:t>
      </w:r>
    </w:p>
    <w:p w14:paraId="4B1F86CE" w14:textId="77777777" w:rsidR="00ED6969" w:rsidRPr="006E4C32" w:rsidRDefault="00ED6969" w:rsidP="00ED6EFB">
      <w:pPr>
        <w:pStyle w:val="HTMLPreformatted"/>
        <w:shd w:val="clear" w:color="auto" w:fill="FFFFFF"/>
        <w:jc w:val="both"/>
        <w:rPr>
          <w:rFonts w:ascii="Times" w:hAnsi="Times" w:cs="Times New Roman"/>
          <w:color w:val="212121"/>
          <w:sz w:val="24"/>
          <w:szCs w:val="24"/>
          <w:lang w:val="fr-FR"/>
        </w:rPr>
      </w:pPr>
    </w:p>
    <w:p w14:paraId="6BC13AF8" w14:textId="1F5782BF" w:rsidR="00DE2E1C" w:rsidRPr="006A1C58" w:rsidRDefault="00D44C81" w:rsidP="006A1C58">
      <w:pPr>
        <w:tabs>
          <w:tab w:val="left" w:pos="720"/>
        </w:tabs>
        <w:spacing w:line="276" w:lineRule="auto"/>
        <w:ind w:left="540"/>
        <w:rPr>
          <w:rFonts w:eastAsia="Arial"/>
          <w:b/>
        </w:rPr>
      </w:pPr>
      <w:r>
        <w:rPr>
          <w:rFonts w:eastAsia="Arial"/>
          <w:b/>
        </w:rPr>
        <w:t xml:space="preserve">4.2 </w:t>
      </w:r>
      <w:r w:rsidR="00DE2E1C" w:rsidRPr="006A1C58">
        <w:rPr>
          <w:rFonts w:eastAsia="Arial"/>
          <w:b/>
        </w:rPr>
        <w:t>S</w:t>
      </w:r>
      <w:r>
        <w:rPr>
          <w:rFonts w:eastAsia="Arial"/>
          <w:b/>
        </w:rPr>
        <w:t>UIVI</w:t>
      </w:r>
    </w:p>
    <w:p w14:paraId="6F003A0C" w14:textId="77777777" w:rsidR="00DE2E1C" w:rsidRPr="006E4C32" w:rsidRDefault="00DE2E1C" w:rsidP="00ED6EFB">
      <w:pPr>
        <w:spacing w:line="276" w:lineRule="auto"/>
        <w:jc w:val="both"/>
        <w:rPr>
          <w:rFonts w:eastAsia="Times New Roman"/>
        </w:rPr>
      </w:pPr>
    </w:p>
    <w:p w14:paraId="6C0F2244" w14:textId="69371C40" w:rsidR="00DE2E1C" w:rsidRPr="006E4C32" w:rsidRDefault="00577C33" w:rsidP="00ED6EFB">
      <w:pPr>
        <w:spacing w:line="276" w:lineRule="auto"/>
        <w:jc w:val="both"/>
        <w:rPr>
          <w:rFonts w:eastAsia="Arial"/>
        </w:rPr>
      </w:pPr>
      <w:r w:rsidRPr="006E4C32">
        <w:rPr>
          <w:rFonts w:eastAsia="Arial"/>
        </w:rPr>
        <w:t>L</w:t>
      </w:r>
      <w:r w:rsidR="00903265">
        <w:rPr>
          <w:rFonts w:eastAsia="Arial"/>
        </w:rPr>
        <w:t>’</w:t>
      </w:r>
      <w:r w:rsidR="0034767B">
        <w:rPr>
          <w:rFonts w:eastAsia="Arial"/>
        </w:rPr>
        <w:t>équipe de projet</w:t>
      </w:r>
      <w:r w:rsidR="00DE2E1C" w:rsidRPr="006E4C32">
        <w:rPr>
          <w:rFonts w:eastAsia="Arial"/>
        </w:rPr>
        <w:t xml:space="preserve"> </w:t>
      </w:r>
      <w:r w:rsidR="00903265">
        <w:rPr>
          <w:rFonts w:eastAsia="Arial"/>
        </w:rPr>
        <w:t xml:space="preserve">de chaque OE </w:t>
      </w:r>
      <w:r w:rsidR="00DE2E1C" w:rsidRPr="006E4C32">
        <w:rPr>
          <w:rFonts w:eastAsia="Arial"/>
        </w:rPr>
        <w:t>maintiendra un système de suivi permanent pour évaluer le progrès des</w:t>
      </w:r>
      <w:r w:rsidR="00E4254F" w:rsidRPr="006E4C32">
        <w:rPr>
          <w:rFonts w:eastAsia="Arial"/>
        </w:rPr>
        <w:t xml:space="preserve"> activités d</w:t>
      </w:r>
      <w:r w:rsidR="00903265">
        <w:rPr>
          <w:rFonts w:eastAsia="Arial"/>
        </w:rPr>
        <w:t>u programme</w:t>
      </w:r>
      <w:r w:rsidR="00DE2E1C" w:rsidRPr="006E4C32">
        <w:rPr>
          <w:rFonts w:eastAsia="Arial"/>
        </w:rPr>
        <w:t xml:space="preserve">. </w:t>
      </w:r>
      <w:r w:rsidR="0034767B">
        <w:rPr>
          <w:rFonts w:eastAsia="Arial"/>
        </w:rPr>
        <w:t xml:space="preserve">Elle </w:t>
      </w:r>
      <w:r w:rsidR="00DE2E1C" w:rsidRPr="006E4C32">
        <w:rPr>
          <w:rFonts w:eastAsia="Arial"/>
        </w:rPr>
        <w:t>collectera et retiendra dans ce système toute information actualisée qui permettra la construction et</w:t>
      </w:r>
      <w:r w:rsidR="00E84246" w:rsidRPr="006E4C32">
        <w:rPr>
          <w:rFonts w:eastAsia="Arial"/>
        </w:rPr>
        <w:t xml:space="preserve"> la</w:t>
      </w:r>
      <w:r w:rsidR="00DE2E1C" w:rsidRPr="006E4C32">
        <w:rPr>
          <w:rFonts w:eastAsia="Arial"/>
        </w:rPr>
        <w:t xml:space="preserve"> vérification des indicateurs de perf</w:t>
      </w:r>
      <w:r w:rsidR="00E84246" w:rsidRPr="006E4C32">
        <w:rPr>
          <w:rFonts w:eastAsia="Arial"/>
        </w:rPr>
        <w:t>ormance ainsi que le suivi d</w:t>
      </w:r>
      <w:r w:rsidR="0079048A" w:rsidRPr="006E4C32">
        <w:rPr>
          <w:rFonts w:eastAsia="Arial"/>
        </w:rPr>
        <w:t xml:space="preserve">es plans d’exécution, y compris les aspects environnementaux et sociaux tels que décrits dans le Chapitre 5 de ce Manuel. </w:t>
      </w:r>
      <w:r w:rsidR="00B95F25" w:rsidRPr="006E4C32">
        <w:rPr>
          <w:rFonts w:eastAsia="Arial"/>
        </w:rPr>
        <w:t>Le suivi d</w:t>
      </w:r>
      <w:r w:rsidR="0034767B">
        <w:rPr>
          <w:rFonts w:eastAsia="Arial"/>
        </w:rPr>
        <w:t>u</w:t>
      </w:r>
      <w:r w:rsidR="00B95F25" w:rsidRPr="006E4C32">
        <w:rPr>
          <w:rFonts w:eastAsia="Arial"/>
        </w:rPr>
        <w:t xml:space="preserve"> programme</w:t>
      </w:r>
      <w:r w:rsidR="00B95F25" w:rsidRPr="006E4C32">
        <w:rPr>
          <w:rFonts w:eastAsia="Arial"/>
          <w:u w:val="single"/>
        </w:rPr>
        <w:t xml:space="preserve"> </w:t>
      </w:r>
      <w:r w:rsidR="00DE2E1C" w:rsidRPr="006E4C32">
        <w:rPr>
          <w:rFonts w:eastAsia="Arial"/>
        </w:rPr>
        <w:t>aura comme base le Plan d´Opération Annuel (POA) et la m</w:t>
      </w:r>
      <w:r w:rsidR="00B95F25" w:rsidRPr="006E4C32">
        <w:rPr>
          <w:rFonts w:eastAsia="Arial"/>
        </w:rPr>
        <w:t xml:space="preserve">atrice de résultats. </w:t>
      </w:r>
    </w:p>
    <w:p w14:paraId="7E8C4B59" w14:textId="68480172" w:rsidR="007E1E77" w:rsidRDefault="007E1E77" w:rsidP="00ED6EFB">
      <w:pPr>
        <w:spacing w:line="276" w:lineRule="auto"/>
        <w:jc w:val="both"/>
        <w:rPr>
          <w:rFonts w:eastAsia="Times New Roman"/>
        </w:rPr>
      </w:pPr>
    </w:p>
    <w:p w14:paraId="0703E48F" w14:textId="0F6F9B19" w:rsidR="009C077E" w:rsidRPr="00ED6EFB" w:rsidRDefault="009C077E" w:rsidP="00ED6EFB">
      <w:pPr>
        <w:spacing w:line="276" w:lineRule="auto"/>
        <w:jc w:val="both"/>
        <w:rPr>
          <w:rFonts w:eastAsia="Arial"/>
        </w:rPr>
      </w:pPr>
      <w:r w:rsidRPr="00ED6EFB">
        <w:rPr>
          <w:rFonts w:eastAsia="Arial"/>
          <w:b/>
        </w:rPr>
        <w:t>Un Plan pluriannuel d'exécution du Projet (PEP)</w:t>
      </w:r>
      <w:r w:rsidRPr="00ED6EFB">
        <w:rPr>
          <w:rFonts w:eastAsia="Arial"/>
        </w:rPr>
        <w:t xml:space="preserve"> </w:t>
      </w:r>
      <w:r>
        <w:rPr>
          <w:rFonts w:eastAsia="Arial"/>
        </w:rPr>
        <w:t xml:space="preserve">sera </w:t>
      </w:r>
      <w:r w:rsidRPr="009C077E">
        <w:rPr>
          <w:rFonts w:eastAsia="Arial"/>
        </w:rPr>
        <w:t>présent</w:t>
      </w:r>
      <w:r>
        <w:rPr>
          <w:rFonts w:eastAsia="Arial"/>
        </w:rPr>
        <w:t>é</w:t>
      </w:r>
      <w:r w:rsidR="00903265">
        <w:rPr>
          <w:rFonts w:eastAsia="Arial"/>
        </w:rPr>
        <w:t xml:space="preserve"> conjointement pa</w:t>
      </w:r>
      <w:r w:rsidRPr="00ED6EFB">
        <w:rPr>
          <w:rFonts w:eastAsia="Arial"/>
        </w:rPr>
        <w:t xml:space="preserve">r </w:t>
      </w:r>
      <w:r w:rsidR="00903265">
        <w:rPr>
          <w:rFonts w:eastAsia="Arial"/>
        </w:rPr>
        <w:t xml:space="preserve">les deux </w:t>
      </w:r>
      <w:r w:rsidRPr="00ED6EFB">
        <w:rPr>
          <w:rFonts w:eastAsia="Arial"/>
        </w:rPr>
        <w:t>Organisme d'</w:t>
      </w:r>
      <w:r w:rsidRPr="009C077E">
        <w:rPr>
          <w:rFonts w:eastAsia="Arial"/>
        </w:rPr>
        <w:t>exécution</w:t>
      </w:r>
      <w:r w:rsidRPr="00ED6EFB">
        <w:rPr>
          <w:rFonts w:eastAsia="Arial"/>
        </w:rPr>
        <w:t xml:space="preserve"> au plus tard dix (10) jours </w:t>
      </w:r>
      <w:r w:rsidRPr="009C077E">
        <w:rPr>
          <w:rFonts w:eastAsia="Arial"/>
        </w:rPr>
        <w:t>après</w:t>
      </w:r>
      <w:r w:rsidRPr="00ED6EFB">
        <w:rPr>
          <w:rFonts w:eastAsia="Arial"/>
        </w:rPr>
        <w:t xml:space="preserve"> la date d'</w:t>
      </w:r>
      <w:r w:rsidRPr="009C077E">
        <w:rPr>
          <w:rFonts w:eastAsia="Arial"/>
        </w:rPr>
        <w:t>entrée</w:t>
      </w:r>
      <w:r w:rsidRPr="00ED6EFB">
        <w:rPr>
          <w:rFonts w:eastAsia="Arial"/>
        </w:rPr>
        <w:t xml:space="preserve"> en vigueur de l'Accord, qui devra inclure la planification </w:t>
      </w:r>
      <w:r w:rsidRPr="009C077E">
        <w:rPr>
          <w:rFonts w:eastAsia="Arial"/>
        </w:rPr>
        <w:t>complète</w:t>
      </w:r>
      <w:r w:rsidRPr="00ED6EFB">
        <w:rPr>
          <w:rFonts w:eastAsia="Arial"/>
        </w:rPr>
        <w:t xml:space="preserve"> du Projet </w:t>
      </w:r>
      <w:r w:rsidRPr="009C077E">
        <w:rPr>
          <w:rFonts w:eastAsia="Arial"/>
        </w:rPr>
        <w:t>conformément</w:t>
      </w:r>
      <w:r w:rsidRPr="00ED6EFB">
        <w:rPr>
          <w:rFonts w:eastAsia="Arial"/>
        </w:rPr>
        <w:t xml:space="preserve"> </w:t>
      </w:r>
      <w:r w:rsidR="00903265" w:rsidRPr="00ED6EFB">
        <w:rPr>
          <w:rFonts w:eastAsia="Arial"/>
        </w:rPr>
        <w:t>à</w:t>
      </w:r>
      <w:r w:rsidRPr="00ED6EFB">
        <w:rPr>
          <w:rFonts w:eastAsia="Arial"/>
        </w:rPr>
        <w:t xml:space="preserve"> la structure des produits attendus selon la Matrice des </w:t>
      </w:r>
      <w:r w:rsidRPr="009C077E">
        <w:rPr>
          <w:rFonts w:eastAsia="Arial"/>
        </w:rPr>
        <w:t>résultats</w:t>
      </w:r>
      <w:r w:rsidRPr="00ED6EFB">
        <w:rPr>
          <w:rFonts w:eastAsia="Arial"/>
        </w:rPr>
        <w:t xml:space="preserve"> du Projet, </w:t>
      </w:r>
      <w:r>
        <w:rPr>
          <w:rFonts w:eastAsia="Arial"/>
        </w:rPr>
        <w:t>l</w:t>
      </w:r>
      <w:r w:rsidRPr="00ED6EFB">
        <w:rPr>
          <w:rFonts w:eastAsia="Arial"/>
        </w:rPr>
        <w:t xml:space="preserve">e chemin critique ou les actions critiques qui devront </w:t>
      </w:r>
      <w:r w:rsidRPr="009C077E">
        <w:rPr>
          <w:rFonts w:eastAsia="Arial"/>
        </w:rPr>
        <w:t>être</w:t>
      </w:r>
      <w:r w:rsidRPr="00ED6EFB">
        <w:rPr>
          <w:rFonts w:eastAsia="Arial"/>
        </w:rPr>
        <w:t xml:space="preserve"> </w:t>
      </w:r>
      <w:r w:rsidRPr="009C077E">
        <w:rPr>
          <w:rFonts w:eastAsia="Arial"/>
        </w:rPr>
        <w:t>exécutes</w:t>
      </w:r>
      <w:r w:rsidRPr="00ED6EFB">
        <w:rPr>
          <w:rFonts w:eastAsia="Arial"/>
        </w:rPr>
        <w:t xml:space="preserve"> pour que </w:t>
      </w:r>
      <w:r>
        <w:rPr>
          <w:rFonts w:eastAsia="Arial"/>
        </w:rPr>
        <w:t>l</w:t>
      </w:r>
      <w:r w:rsidRPr="00ED6EFB">
        <w:rPr>
          <w:rFonts w:eastAsia="Arial"/>
        </w:rPr>
        <w:t xml:space="preserve">e Don soit </w:t>
      </w:r>
      <w:r w:rsidRPr="009C077E">
        <w:rPr>
          <w:rFonts w:eastAsia="Arial"/>
        </w:rPr>
        <w:t>décaiss</w:t>
      </w:r>
      <w:r>
        <w:rPr>
          <w:rFonts w:eastAsia="Arial"/>
        </w:rPr>
        <w:t>é</w:t>
      </w:r>
      <w:r w:rsidRPr="00ED6EFB">
        <w:rPr>
          <w:rFonts w:eastAsia="Arial"/>
        </w:rPr>
        <w:t xml:space="preserve"> dans les d</w:t>
      </w:r>
      <w:r>
        <w:rPr>
          <w:rFonts w:eastAsia="Arial"/>
        </w:rPr>
        <w:t>é</w:t>
      </w:r>
      <w:r w:rsidRPr="00ED6EFB">
        <w:rPr>
          <w:rFonts w:eastAsia="Arial"/>
        </w:rPr>
        <w:t>lais pr</w:t>
      </w:r>
      <w:r>
        <w:rPr>
          <w:rFonts w:eastAsia="Arial"/>
        </w:rPr>
        <w:t>é</w:t>
      </w:r>
      <w:r w:rsidRPr="00ED6EFB">
        <w:rPr>
          <w:rFonts w:eastAsia="Arial"/>
        </w:rPr>
        <w:t xml:space="preserve">vus. Le PEP devra </w:t>
      </w:r>
      <w:r w:rsidRPr="009C077E">
        <w:rPr>
          <w:rFonts w:eastAsia="Arial"/>
        </w:rPr>
        <w:t>être</w:t>
      </w:r>
      <w:r w:rsidRPr="00ED6EFB">
        <w:rPr>
          <w:rFonts w:eastAsia="Arial"/>
        </w:rPr>
        <w:t xml:space="preserve"> mis </w:t>
      </w:r>
      <w:r w:rsidRPr="009C077E">
        <w:rPr>
          <w:rFonts w:eastAsia="Arial"/>
        </w:rPr>
        <w:t>à</w:t>
      </w:r>
      <w:r w:rsidRPr="00ED6EFB">
        <w:rPr>
          <w:rFonts w:eastAsia="Arial"/>
        </w:rPr>
        <w:t xml:space="preserve"> jour lorsque cela sera </w:t>
      </w:r>
      <w:r w:rsidRPr="009C077E">
        <w:rPr>
          <w:rFonts w:eastAsia="Arial"/>
        </w:rPr>
        <w:t>nécessaire</w:t>
      </w:r>
      <w:r w:rsidRPr="00ED6EFB">
        <w:rPr>
          <w:rFonts w:eastAsia="Arial"/>
        </w:rPr>
        <w:t>, en particulier, en cas de changements importants qui impliquent ou pourraient impliquer des retards dans l'</w:t>
      </w:r>
      <w:r w:rsidRPr="009C077E">
        <w:rPr>
          <w:rFonts w:eastAsia="Arial"/>
        </w:rPr>
        <w:t>exécution</w:t>
      </w:r>
      <w:r w:rsidRPr="00ED6EFB">
        <w:rPr>
          <w:rFonts w:eastAsia="Arial"/>
        </w:rPr>
        <w:t xml:space="preserve"> du Projet, ou de changements dans les objectifs de produits des </w:t>
      </w:r>
      <w:r w:rsidRPr="009C077E">
        <w:rPr>
          <w:rFonts w:eastAsia="Arial"/>
        </w:rPr>
        <w:t>périodes</w:t>
      </w:r>
      <w:r w:rsidRPr="00ED6EFB">
        <w:rPr>
          <w:rFonts w:eastAsia="Arial"/>
        </w:rPr>
        <w:t xml:space="preserve"> </w:t>
      </w:r>
      <w:r w:rsidRPr="009C077E">
        <w:rPr>
          <w:rFonts w:eastAsia="Arial"/>
        </w:rPr>
        <w:t>intermédiaires</w:t>
      </w:r>
      <w:r w:rsidRPr="00ED6EFB">
        <w:rPr>
          <w:rFonts w:eastAsia="Arial"/>
        </w:rPr>
        <w:t>.</w:t>
      </w:r>
    </w:p>
    <w:p w14:paraId="43661560" w14:textId="77777777" w:rsidR="009C077E" w:rsidRPr="00ED6EFB" w:rsidRDefault="009C077E" w:rsidP="00ED6EFB">
      <w:pPr>
        <w:spacing w:line="276" w:lineRule="auto"/>
        <w:jc w:val="both"/>
        <w:rPr>
          <w:rFonts w:eastAsia="Arial"/>
        </w:rPr>
      </w:pPr>
    </w:p>
    <w:p w14:paraId="2D6C6EA6" w14:textId="1AE16522" w:rsidR="009C077E" w:rsidRPr="00ED6EFB" w:rsidRDefault="009C077E" w:rsidP="00ED6EFB">
      <w:pPr>
        <w:spacing w:line="276" w:lineRule="auto"/>
        <w:jc w:val="both"/>
        <w:rPr>
          <w:rFonts w:eastAsia="Arial"/>
        </w:rPr>
      </w:pPr>
      <w:r w:rsidRPr="00ED6EFB">
        <w:rPr>
          <w:rFonts w:eastAsia="Arial"/>
          <w:b/>
        </w:rPr>
        <w:t xml:space="preserve">Des Plans </w:t>
      </w:r>
      <w:r w:rsidR="00903265">
        <w:rPr>
          <w:rFonts w:eastAsia="Arial"/>
          <w:b/>
        </w:rPr>
        <w:t>d’</w:t>
      </w:r>
      <w:r w:rsidRPr="00ED6EFB">
        <w:rPr>
          <w:rFonts w:eastAsia="Arial"/>
          <w:b/>
        </w:rPr>
        <w:t>opérations annuels (POA)</w:t>
      </w:r>
      <w:r w:rsidRPr="00ED6EFB">
        <w:rPr>
          <w:rFonts w:eastAsia="Arial"/>
        </w:rPr>
        <w:t xml:space="preserve"> seront </w:t>
      </w:r>
      <w:r w:rsidRPr="009C077E">
        <w:rPr>
          <w:rFonts w:eastAsia="Arial"/>
        </w:rPr>
        <w:t>élabor</w:t>
      </w:r>
      <w:r>
        <w:rPr>
          <w:rFonts w:eastAsia="Arial"/>
        </w:rPr>
        <w:t>é</w:t>
      </w:r>
      <w:r w:rsidRPr="009C077E">
        <w:rPr>
          <w:rFonts w:eastAsia="Arial"/>
        </w:rPr>
        <w:t>s</w:t>
      </w:r>
      <w:r w:rsidRPr="00ED6EFB">
        <w:rPr>
          <w:rFonts w:eastAsia="Arial"/>
        </w:rPr>
        <w:t xml:space="preserve"> </w:t>
      </w:r>
      <w:r w:rsidR="00903265">
        <w:rPr>
          <w:rFonts w:eastAsia="Arial"/>
        </w:rPr>
        <w:t>conjoitnement par les deux OE</w:t>
      </w:r>
      <w:r w:rsidRPr="00ED6EFB">
        <w:rPr>
          <w:rFonts w:eastAsia="Arial"/>
        </w:rPr>
        <w:t xml:space="preserve"> sur la base du PEP et contiendront la planification op</w:t>
      </w:r>
      <w:r>
        <w:rPr>
          <w:rFonts w:eastAsia="Arial"/>
        </w:rPr>
        <w:t>é</w:t>
      </w:r>
      <w:r w:rsidRPr="00ED6EFB">
        <w:rPr>
          <w:rFonts w:eastAsia="Arial"/>
        </w:rPr>
        <w:t>rationnelle</w:t>
      </w:r>
      <w:r>
        <w:rPr>
          <w:rFonts w:eastAsia="Arial"/>
        </w:rPr>
        <w:t xml:space="preserve"> </w:t>
      </w:r>
      <w:r w:rsidRPr="009C077E">
        <w:rPr>
          <w:rFonts w:eastAsia="Arial"/>
        </w:rPr>
        <w:t>détaillée</w:t>
      </w:r>
      <w:r w:rsidRPr="00ED6EFB">
        <w:rPr>
          <w:rFonts w:eastAsia="Arial"/>
        </w:rPr>
        <w:t xml:space="preserve"> de chaque </w:t>
      </w:r>
      <w:r w:rsidRPr="009C077E">
        <w:rPr>
          <w:rFonts w:eastAsia="Arial"/>
        </w:rPr>
        <w:t>période</w:t>
      </w:r>
      <w:r w:rsidRPr="00ED6EFB">
        <w:rPr>
          <w:rFonts w:eastAsia="Arial"/>
        </w:rPr>
        <w:t xml:space="preserve"> annuelle durant la </w:t>
      </w:r>
      <w:r w:rsidRPr="009C077E">
        <w:rPr>
          <w:rFonts w:eastAsia="Arial"/>
        </w:rPr>
        <w:t>période</w:t>
      </w:r>
      <w:r w:rsidRPr="00ED6EFB">
        <w:rPr>
          <w:rFonts w:eastAsia="Arial"/>
        </w:rPr>
        <w:t xml:space="preserve"> de </w:t>
      </w:r>
      <w:r w:rsidRPr="009C077E">
        <w:rPr>
          <w:rFonts w:eastAsia="Arial"/>
        </w:rPr>
        <w:t>décaissements</w:t>
      </w:r>
      <w:r w:rsidRPr="00ED6EFB">
        <w:rPr>
          <w:rFonts w:eastAsia="Arial"/>
        </w:rPr>
        <w:t xml:space="preserve"> ou toute</w:t>
      </w:r>
      <w:r>
        <w:rPr>
          <w:rFonts w:eastAsia="Arial"/>
        </w:rPr>
        <w:t xml:space="preserve"> </w:t>
      </w:r>
      <w:r w:rsidRPr="00ED6EFB">
        <w:rPr>
          <w:rFonts w:eastAsia="Arial"/>
        </w:rPr>
        <w:t xml:space="preserve">prorogation de cette </w:t>
      </w:r>
      <w:r w:rsidRPr="009C077E">
        <w:rPr>
          <w:rFonts w:eastAsia="Arial"/>
        </w:rPr>
        <w:t>dernière</w:t>
      </w:r>
      <w:r w:rsidRPr="00ED6EFB">
        <w:rPr>
          <w:rFonts w:eastAsia="Arial"/>
        </w:rPr>
        <w:t xml:space="preserve">, ainsi que </w:t>
      </w:r>
      <w:r>
        <w:rPr>
          <w:rFonts w:eastAsia="Arial"/>
        </w:rPr>
        <w:t>l</w:t>
      </w:r>
      <w:r w:rsidRPr="00ED6EFB">
        <w:rPr>
          <w:rFonts w:eastAsia="Arial"/>
        </w:rPr>
        <w:t>e Plan de passation de march</w:t>
      </w:r>
      <w:r>
        <w:rPr>
          <w:rFonts w:eastAsia="Arial"/>
        </w:rPr>
        <w:t>é</w:t>
      </w:r>
      <w:r w:rsidRPr="00ED6EFB">
        <w:rPr>
          <w:rFonts w:eastAsia="Arial"/>
        </w:rPr>
        <w:t xml:space="preserve">s et </w:t>
      </w:r>
      <w:r>
        <w:rPr>
          <w:rFonts w:eastAsia="Arial"/>
        </w:rPr>
        <w:t>l</w:t>
      </w:r>
      <w:r w:rsidRPr="00ED6EFB">
        <w:rPr>
          <w:rFonts w:eastAsia="Arial"/>
        </w:rPr>
        <w:t>e Plan</w:t>
      </w:r>
      <w:r>
        <w:rPr>
          <w:rFonts w:eastAsia="Arial"/>
        </w:rPr>
        <w:t xml:space="preserve"> </w:t>
      </w:r>
      <w:r w:rsidRPr="00ED6EFB">
        <w:rPr>
          <w:rFonts w:eastAsia="Arial"/>
        </w:rPr>
        <w:t>financier actualis</w:t>
      </w:r>
      <w:r>
        <w:rPr>
          <w:rFonts w:eastAsia="Arial"/>
        </w:rPr>
        <w:t>é</w:t>
      </w:r>
      <w:r w:rsidRPr="00ED6EFB">
        <w:rPr>
          <w:rFonts w:eastAsia="Arial"/>
        </w:rPr>
        <w:t xml:space="preserve">s du Projet. Le premier POA du Projet sera </w:t>
      </w:r>
      <w:r w:rsidRPr="009C077E">
        <w:rPr>
          <w:rFonts w:eastAsia="Arial"/>
        </w:rPr>
        <w:t>présenté</w:t>
      </w:r>
      <w:r w:rsidRPr="00ED6EFB">
        <w:rPr>
          <w:rFonts w:eastAsia="Arial"/>
        </w:rPr>
        <w:t xml:space="preserve"> </w:t>
      </w:r>
      <w:r>
        <w:rPr>
          <w:rFonts w:eastAsia="Arial"/>
        </w:rPr>
        <w:t>à</w:t>
      </w:r>
      <w:r w:rsidRPr="00ED6EFB">
        <w:rPr>
          <w:rFonts w:eastAsia="Arial"/>
        </w:rPr>
        <w:t xml:space="preserve"> la</w:t>
      </w:r>
      <w:r>
        <w:rPr>
          <w:rFonts w:eastAsia="Arial"/>
        </w:rPr>
        <w:t xml:space="preserve"> </w:t>
      </w:r>
      <w:r w:rsidRPr="00ED6EFB">
        <w:rPr>
          <w:rFonts w:eastAsia="Arial"/>
        </w:rPr>
        <w:t>Banque au plus tard trente (30) jours après la date d'entrée en vigueur de l'Accord et les POAs subséquents seront présentés dans les Rapports semestriels de progrès du Projet correspondant au second semestre de chaque année civile.</w:t>
      </w:r>
    </w:p>
    <w:p w14:paraId="67339814" w14:textId="552232E8" w:rsidR="007E1E77" w:rsidRDefault="007E1E77" w:rsidP="009C077E">
      <w:pPr>
        <w:spacing w:line="276" w:lineRule="auto"/>
        <w:jc w:val="both"/>
        <w:rPr>
          <w:rFonts w:eastAsia="Times New Roman"/>
        </w:rPr>
      </w:pPr>
    </w:p>
    <w:p w14:paraId="4EC40A16" w14:textId="707DA984" w:rsidR="00C1757E" w:rsidRDefault="00C1757E" w:rsidP="00C1757E">
      <w:pPr>
        <w:spacing w:line="276" w:lineRule="auto"/>
        <w:jc w:val="both"/>
        <w:rPr>
          <w:rFonts w:eastAsia="Arial"/>
        </w:rPr>
      </w:pPr>
      <w:r w:rsidRPr="00ED6EFB">
        <w:rPr>
          <w:rFonts w:eastAsia="Arial"/>
          <w:b/>
        </w:rPr>
        <w:t>Le plan de passation de marchés (PPM)</w:t>
      </w:r>
      <w:r w:rsidRPr="00ED6EFB">
        <w:rPr>
          <w:rFonts w:eastAsia="Arial"/>
        </w:rPr>
        <w:t xml:space="preserve"> sera actualisé par </w:t>
      </w:r>
      <w:r w:rsidR="00903265">
        <w:rPr>
          <w:rFonts w:eastAsia="Arial"/>
        </w:rPr>
        <w:t>chaque OE</w:t>
      </w:r>
      <w:r w:rsidRPr="00ED6EFB">
        <w:rPr>
          <w:rFonts w:eastAsia="Arial"/>
        </w:rPr>
        <w:t xml:space="preserve"> au moins annuellement ou plus </w:t>
      </w:r>
      <w:r w:rsidRPr="00C1757E">
        <w:rPr>
          <w:rFonts w:eastAsia="Arial"/>
        </w:rPr>
        <w:t>fréquemment</w:t>
      </w:r>
      <w:r w:rsidRPr="00ED6EFB">
        <w:rPr>
          <w:rFonts w:eastAsia="Arial"/>
        </w:rPr>
        <w:t xml:space="preserve">, selon les besoins du Projet. Chaque version </w:t>
      </w:r>
      <w:r w:rsidRPr="00C1757E">
        <w:rPr>
          <w:rFonts w:eastAsia="Arial"/>
        </w:rPr>
        <w:t>actualisée</w:t>
      </w:r>
      <w:r w:rsidRPr="00ED6EFB">
        <w:rPr>
          <w:rFonts w:eastAsia="Arial"/>
        </w:rPr>
        <w:t xml:space="preserve"> dudit Plan de passation de marches devra </w:t>
      </w:r>
      <w:r w:rsidR="00903265" w:rsidRPr="00ED6EFB">
        <w:rPr>
          <w:rFonts w:eastAsia="Arial"/>
        </w:rPr>
        <w:t>être</w:t>
      </w:r>
      <w:r w:rsidRPr="00ED6EFB">
        <w:rPr>
          <w:rFonts w:eastAsia="Arial"/>
        </w:rPr>
        <w:t xml:space="preserve"> soumis </w:t>
      </w:r>
      <w:r w:rsidR="00903265">
        <w:rPr>
          <w:rFonts w:eastAsia="Arial"/>
        </w:rPr>
        <w:t>à</w:t>
      </w:r>
      <w:r w:rsidRPr="00ED6EFB">
        <w:rPr>
          <w:rFonts w:eastAsia="Arial"/>
        </w:rPr>
        <w:t xml:space="preserve"> la Banque pour examen et approbation.</w:t>
      </w:r>
    </w:p>
    <w:p w14:paraId="0933A4E3" w14:textId="745033AC" w:rsidR="00C1757E" w:rsidRPr="00ED6EFB" w:rsidRDefault="00C1757E" w:rsidP="00ED6EFB">
      <w:pPr>
        <w:tabs>
          <w:tab w:val="left" w:pos="3204"/>
        </w:tabs>
        <w:spacing w:line="276" w:lineRule="auto"/>
        <w:jc w:val="both"/>
        <w:rPr>
          <w:rFonts w:eastAsia="Arial"/>
        </w:rPr>
      </w:pPr>
    </w:p>
    <w:p w14:paraId="3E1AADA6" w14:textId="7B3F9ADF" w:rsidR="00DE2E1C" w:rsidRDefault="00AB08C4" w:rsidP="00AB08C4">
      <w:pPr>
        <w:tabs>
          <w:tab w:val="left" w:pos="720"/>
        </w:tabs>
        <w:spacing w:line="276" w:lineRule="auto"/>
        <w:ind w:left="540"/>
        <w:rPr>
          <w:rFonts w:eastAsia="Arial"/>
          <w:b/>
        </w:rPr>
      </w:pPr>
      <w:r>
        <w:rPr>
          <w:rFonts w:eastAsia="Arial"/>
          <w:b/>
        </w:rPr>
        <w:t xml:space="preserve">4.3 </w:t>
      </w:r>
      <w:r w:rsidR="00DE2E1C" w:rsidRPr="006E4C32">
        <w:rPr>
          <w:rFonts w:eastAsia="Arial"/>
          <w:b/>
        </w:rPr>
        <w:t>R</w:t>
      </w:r>
      <w:r w:rsidR="00D44C81">
        <w:rPr>
          <w:rFonts w:eastAsia="Arial"/>
          <w:b/>
        </w:rPr>
        <w:t>APPORTS</w:t>
      </w:r>
    </w:p>
    <w:p w14:paraId="20848BCE" w14:textId="77777777" w:rsidR="00DE2E1C" w:rsidRPr="006E4C32" w:rsidRDefault="00DE2E1C" w:rsidP="006E4C32">
      <w:pPr>
        <w:spacing w:line="276" w:lineRule="auto"/>
        <w:rPr>
          <w:rFonts w:eastAsia="Times New Roman"/>
        </w:rPr>
      </w:pPr>
    </w:p>
    <w:p w14:paraId="17F410CA" w14:textId="5700E6B1" w:rsidR="00DE2E1C" w:rsidRPr="006E4C32" w:rsidRDefault="00DE2E1C" w:rsidP="006E4C32">
      <w:pPr>
        <w:spacing w:line="276" w:lineRule="auto"/>
        <w:rPr>
          <w:rFonts w:eastAsia="Arial"/>
        </w:rPr>
      </w:pPr>
      <w:r w:rsidRPr="006E4C32">
        <w:rPr>
          <w:rFonts w:eastAsia="Arial"/>
        </w:rPr>
        <w:t>L</w:t>
      </w:r>
      <w:r w:rsidR="00903265">
        <w:rPr>
          <w:rFonts w:eastAsia="Arial"/>
        </w:rPr>
        <w:t>es deux OE</w:t>
      </w:r>
      <w:r w:rsidRPr="006E4C32">
        <w:rPr>
          <w:rFonts w:eastAsia="Arial"/>
        </w:rPr>
        <w:t>, conformément aux engagements pris dans le contrat de don, soumettr</w:t>
      </w:r>
      <w:r w:rsidR="00903265">
        <w:rPr>
          <w:rFonts w:eastAsia="Arial"/>
        </w:rPr>
        <w:t>ont</w:t>
      </w:r>
      <w:r w:rsidRPr="006E4C32">
        <w:rPr>
          <w:rFonts w:eastAsia="Arial"/>
        </w:rPr>
        <w:t xml:space="preserve"> pour non-objec</w:t>
      </w:r>
      <w:r w:rsidR="001156FB" w:rsidRPr="006E4C32">
        <w:rPr>
          <w:rFonts w:eastAsia="Arial"/>
        </w:rPr>
        <w:t xml:space="preserve">tion de la Banque </w:t>
      </w:r>
      <w:r w:rsidRPr="006E4C32">
        <w:rPr>
          <w:rFonts w:eastAsia="Arial"/>
        </w:rPr>
        <w:t>:</w:t>
      </w:r>
    </w:p>
    <w:p w14:paraId="0934DCA5" w14:textId="77777777" w:rsidR="00DE2E1C" w:rsidRPr="006E4C32" w:rsidRDefault="00DE2E1C" w:rsidP="006E4C32">
      <w:pPr>
        <w:spacing w:line="276" w:lineRule="auto"/>
        <w:rPr>
          <w:rFonts w:eastAsia="Times New Roman"/>
        </w:rPr>
      </w:pPr>
    </w:p>
    <w:p w14:paraId="563D6CEB" w14:textId="19CC27CB" w:rsidR="0048517D" w:rsidRDefault="00B95F25" w:rsidP="00ED6EFB">
      <w:pPr>
        <w:autoSpaceDE w:val="0"/>
        <w:autoSpaceDN w:val="0"/>
        <w:adjustRightInd w:val="0"/>
        <w:jc w:val="both"/>
        <w:rPr>
          <w:rFonts w:ascii="Times New Roman" w:hAnsi="Times New Roman" w:cs="Times New Roman"/>
          <w:color w:val="191919"/>
        </w:rPr>
      </w:pPr>
      <w:r w:rsidRPr="006E4C32">
        <w:rPr>
          <w:rFonts w:eastAsia="Arial"/>
          <w:i/>
          <w:u w:val="single"/>
        </w:rPr>
        <w:t xml:space="preserve">a. </w:t>
      </w:r>
      <w:r w:rsidR="00DE2E1C" w:rsidRPr="006E4C32">
        <w:rPr>
          <w:rFonts w:eastAsia="Arial"/>
          <w:i/>
          <w:u w:val="single"/>
        </w:rPr>
        <w:t>Un rapport d'activités semestriel</w:t>
      </w:r>
      <w:r w:rsidR="004F346D">
        <w:rPr>
          <w:rFonts w:eastAsia="Arial"/>
          <w:i/>
          <w:u w:val="single"/>
        </w:rPr>
        <w:t xml:space="preserve"> de Progrès du Projet</w:t>
      </w:r>
      <w:r w:rsidR="00DE2E1C" w:rsidRPr="006E4C32">
        <w:rPr>
          <w:rFonts w:eastAsia="Arial"/>
        </w:rPr>
        <w:t xml:space="preserve">, </w:t>
      </w:r>
      <w:r w:rsidR="0034767B">
        <w:rPr>
          <w:rFonts w:ascii="Times New Roman" w:hAnsi="Times New Roman" w:cs="Times New Roman"/>
          <w:color w:val="191919"/>
        </w:rPr>
        <w:t>dans les soixante (60) jours suivant la fin de chaque semestre de l'</w:t>
      </w:r>
      <w:r w:rsidR="0048517D">
        <w:rPr>
          <w:rFonts w:ascii="Times New Roman" w:hAnsi="Times New Roman" w:cs="Times New Roman"/>
          <w:color w:val="191919"/>
        </w:rPr>
        <w:t>année</w:t>
      </w:r>
      <w:r w:rsidR="0034767B">
        <w:rPr>
          <w:rFonts w:ascii="Times New Roman" w:hAnsi="Times New Roman" w:cs="Times New Roman"/>
          <w:color w:val="191919"/>
        </w:rPr>
        <w:t xml:space="preserve"> civile, qui incluront</w:t>
      </w:r>
      <w:r w:rsidR="0048517D">
        <w:rPr>
          <w:rFonts w:ascii="Times New Roman" w:hAnsi="Times New Roman" w:cs="Times New Roman"/>
          <w:color w:val="191919"/>
        </w:rPr>
        <w:t> :</w:t>
      </w:r>
    </w:p>
    <w:p w14:paraId="092FE219" w14:textId="5305A219" w:rsidR="001D5181" w:rsidRDefault="0034767B" w:rsidP="00ED6EFB">
      <w:pPr>
        <w:autoSpaceDE w:val="0"/>
        <w:autoSpaceDN w:val="0"/>
        <w:adjustRightInd w:val="0"/>
        <w:jc w:val="both"/>
        <w:rPr>
          <w:rFonts w:ascii="Times New Roman" w:hAnsi="Times New Roman" w:cs="Times New Roman"/>
          <w:color w:val="191919"/>
        </w:rPr>
      </w:pPr>
      <w:r>
        <w:rPr>
          <w:rFonts w:ascii="Times New Roman" w:hAnsi="Times New Roman" w:cs="Times New Roman"/>
          <w:color w:val="191919"/>
        </w:rPr>
        <w:t xml:space="preserve">(i) les </w:t>
      </w:r>
      <w:r w:rsidR="0048517D">
        <w:rPr>
          <w:rFonts w:ascii="Times New Roman" w:hAnsi="Times New Roman" w:cs="Times New Roman"/>
          <w:color w:val="191919"/>
        </w:rPr>
        <w:t>résultats</w:t>
      </w:r>
      <w:r>
        <w:rPr>
          <w:rFonts w:ascii="Times New Roman" w:hAnsi="Times New Roman" w:cs="Times New Roman"/>
          <w:color w:val="191919"/>
        </w:rPr>
        <w:t xml:space="preserve"> et les produits </w:t>
      </w:r>
      <w:r w:rsidR="0048517D">
        <w:rPr>
          <w:rFonts w:ascii="Times New Roman" w:hAnsi="Times New Roman" w:cs="Times New Roman"/>
          <w:color w:val="191919"/>
        </w:rPr>
        <w:t>réalis</w:t>
      </w:r>
      <w:r w:rsidR="001D5181">
        <w:rPr>
          <w:rFonts w:ascii="Times New Roman" w:hAnsi="Times New Roman" w:cs="Times New Roman"/>
          <w:color w:val="191919"/>
        </w:rPr>
        <w:t>é</w:t>
      </w:r>
      <w:r w:rsidR="0048517D">
        <w:rPr>
          <w:rFonts w:ascii="Times New Roman" w:hAnsi="Times New Roman" w:cs="Times New Roman"/>
          <w:color w:val="191919"/>
        </w:rPr>
        <w:t>s</w:t>
      </w:r>
      <w:r>
        <w:rPr>
          <w:rFonts w:ascii="Times New Roman" w:hAnsi="Times New Roman" w:cs="Times New Roman"/>
          <w:color w:val="191919"/>
        </w:rPr>
        <w:t xml:space="preserve"> dans </w:t>
      </w:r>
      <w:r w:rsidR="0048517D">
        <w:rPr>
          <w:rFonts w:ascii="Times New Roman" w:hAnsi="Times New Roman" w:cs="Times New Roman"/>
          <w:color w:val="191919"/>
        </w:rPr>
        <w:t>l</w:t>
      </w:r>
      <w:r>
        <w:rPr>
          <w:rFonts w:ascii="Times New Roman" w:hAnsi="Times New Roman" w:cs="Times New Roman"/>
          <w:color w:val="191919"/>
        </w:rPr>
        <w:t>e cadre de l</w:t>
      </w:r>
      <w:r>
        <w:rPr>
          <w:rFonts w:ascii="Times New Roman" w:hAnsi="Times New Roman" w:cs="Times New Roman"/>
          <w:color w:val="414141"/>
        </w:rPr>
        <w:t>'</w:t>
      </w:r>
      <w:r w:rsidR="0048517D">
        <w:rPr>
          <w:rFonts w:ascii="Times New Roman" w:hAnsi="Times New Roman" w:cs="Times New Roman"/>
          <w:color w:val="191919"/>
        </w:rPr>
        <w:t>exécution</w:t>
      </w:r>
      <w:r>
        <w:rPr>
          <w:rFonts w:ascii="Times New Roman" w:hAnsi="Times New Roman" w:cs="Times New Roman"/>
          <w:color w:val="191919"/>
        </w:rPr>
        <w:t xml:space="preserve"> du POA</w:t>
      </w:r>
      <w:r>
        <w:rPr>
          <w:rFonts w:ascii="Times New Roman" w:hAnsi="Times New Roman" w:cs="Times New Roman"/>
          <w:color w:val="414141"/>
        </w:rPr>
        <w:t xml:space="preserve">, </w:t>
      </w:r>
      <w:r>
        <w:rPr>
          <w:rFonts w:ascii="Times New Roman" w:hAnsi="Times New Roman" w:cs="Times New Roman"/>
          <w:color w:val="191919"/>
        </w:rPr>
        <w:t>du Plan de passation de march</w:t>
      </w:r>
      <w:r w:rsidR="001D5181">
        <w:rPr>
          <w:rFonts w:ascii="Times New Roman" w:hAnsi="Times New Roman" w:cs="Times New Roman"/>
          <w:color w:val="191919"/>
        </w:rPr>
        <w:t>é</w:t>
      </w:r>
      <w:r>
        <w:rPr>
          <w:rFonts w:ascii="Times New Roman" w:hAnsi="Times New Roman" w:cs="Times New Roman"/>
          <w:color w:val="191919"/>
        </w:rPr>
        <w:t xml:space="preserve">s et de la Matrice des </w:t>
      </w:r>
      <w:r w:rsidR="0048517D">
        <w:rPr>
          <w:rFonts w:ascii="Times New Roman" w:hAnsi="Times New Roman" w:cs="Times New Roman"/>
          <w:color w:val="191919"/>
        </w:rPr>
        <w:t>résultats</w:t>
      </w:r>
      <w:r>
        <w:rPr>
          <w:rFonts w:ascii="Times New Roman" w:hAnsi="Times New Roman" w:cs="Times New Roman"/>
          <w:color w:val="191919"/>
        </w:rPr>
        <w:t xml:space="preserve"> du Projet ; </w:t>
      </w:r>
    </w:p>
    <w:p w14:paraId="7E324375" w14:textId="77777777" w:rsidR="001D5181" w:rsidRDefault="0034767B" w:rsidP="00ED6EFB">
      <w:pPr>
        <w:autoSpaceDE w:val="0"/>
        <w:autoSpaceDN w:val="0"/>
        <w:adjustRightInd w:val="0"/>
        <w:jc w:val="both"/>
        <w:rPr>
          <w:rFonts w:ascii="Times New Roman" w:hAnsi="Times New Roman" w:cs="Times New Roman"/>
          <w:color w:val="414141"/>
        </w:rPr>
      </w:pPr>
      <w:r>
        <w:rPr>
          <w:rFonts w:ascii="Times New Roman" w:hAnsi="Times New Roman" w:cs="Times New Roman"/>
          <w:color w:val="191919"/>
        </w:rPr>
        <w:t xml:space="preserve">(ii) une description du respect des conditions contractuelles </w:t>
      </w:r>
      <w:r>
        <w:rPr>
          <w:rFonts w:ascii="Times New Roman" w:hAnsi="Times New Roman" w:cs="Times New Roman"/>
          <w:color w:val="414141"/>
        </w:rPr>
        <w:t xml:space="preserve">; </w:t>
      </w:r>
    </w:p>
    <w:p w14:paraId="0457EB8A" w14:textId="3114B03E" w:rsidR="001D5181" w:rsidRDefault="0034767B" w:rsidP="00ED6EFB">
      <w:pPr>
        <w:autoSpaceDE w:val="0"/>
        <w:autoSpaceDN w:val="0"/>
        <w:adjustRightInd w:val="0"/>
        <w:jc w:val="both"/>
        <w:rPr>
          <w:rFonts w:ascii="Times New Roman" w:hAnsi="Times New Roman" w:cs="Times New Roman"/>
          <w:color w:val="191919"/>
        </w:rPr>
      </w:pPr>
      <w:r>
        <w:rPr>
          <w:rFonts w:ascii="Times New Roman" w:hAnsi="Times New Roman" w:cs="Times New Roman"/>
          <w:color w:val="191919"/>
        </w:rPr>
        <w:t xml:space="preserve">(iii) une description des </w:t>
      </w:r>
      <w:r w:rsidR="0048517D">
        <w:rPr>
          <w:rFonts w:ascii="Times New Roman" w:hAnsi="Times New Roman" w:cs="Times New Roman"/>
          <w:color w:val="191919"/>
        </w:rPr>
        <w:t>activités</w:t>
      </w:r>
      <w:r>
        <w:rPr>
          <w:rFonts w:ascii="Times New Roman" w:hAnsi="Times New Roman" w:cs="Times New Roman"/>
          <w:color w:val="191919"/>
        </w:rPr>
        <w:t xml:space="preserve"> </w:t>
      </w:r>
      <w:r w:rsidR="0048517D">
        <w:rPr>
          <w:rFonts w:ascii="Times New Roman" w:hAnsi="Times New Roman" w:cs="Times New Roman"/>
          <w:color w:val="191919"/>
        </w:rPr>
        <w:t>réalisées</w:t>
      </w:r>
      <w:r>
        <w:rPr>
          <w:rFonts w:ascii="Times New Roman" w:hAnsi="Times New Roman" w:cs="Times New Roman"/>
          <w:color w:val="191919"/>
        </w:rPr>
        <w:t xml:space="preserve"> et des informations </w:t>
      </w:r>
      <w:r w:rsidR="0048517D">
        <w:rPr>
          <w:rFonts w:ascii="Times New Roman" w:hAnsi="Times New Roman" w:cs="Times New Roman"/>
          <w:color w:val="191919"/>
        </w:rPr>
        <w:t>générales</w:t>
      </w:r>
      <w:r>
        <w:rPr>
          <w:rFonts w:ascii="Times New Roman" w:hAnsi="Times New Roman" w:cs="Times New Roman"/>
          <w:color w:val="191919"/>
        </w:rPr>
        <w:t xml:space="preserve"> les </w:t>
      </w:r>
      <w:r w:rsidR="001D5181">
        <w:rPr>
          <w:rFonts w:ascii="Times New Roman" w:hAnsi="Times New Roman" w:cs="Times New Roman"/>
          <w:color w:val="191919"/>
        </w:rPr>
        <w:t>concernant ;</w:t>
      </w:r>
      <w:r>
        <w:rPr>
          <w:rFonts w:ascii="Times New Roman" w:hAnsi="Times New Roman" w:cs="Times New Roman"/>
          <w:color w:val="191919"/>
        </w:rPr>
        <w:t xml:space="preserve"> (iv) les </w:t>
      </w:r>
      <w:r w:rsidR="0048517D">
        <w:rPr>
          <w:rFonts w:ascii="Times New Roman" w:hAnsi="Times New Roman" w:cs="Times New Roman"/>
          <w:color w:val="191919"/>
        </w:rPr>
        <w:t>progrès</w:t>
      </w:r>
      <w:r>
        <w:rPr>
          <w:rFonts w:ascii="Times New Roman" w:hAnsi="Times New Roman" w:cs="Times New Roman"/>
          <w:color w:val="191919"/>
        </w:rPr>
        <w:t xml:space="preserve"> par rapport aux indicateurs d</w:t>
      </w:r>
      <w:r>
        <w:rPr>
          <w:rFonts w:ascii="Times New Roman" w:hAnsi="Times New Roman" w:cs="Times New Roman"/>
          <w:color w:val="414141"/>
        </w:rPr>
        <w:t>'</w:t>
      </w:r>
      <w:r w:rsidR="0048517D">
        <w:rPr>
          <w:rFonts w:ascii="Times New Roman" w:hAnsi="Times New Roman" w:cs="Times New Roman"/>
          <w:color w:val="191919"/>
        </w:rPr>
        <w:t>exécution</w:t>
      </w:r>
      <w:r>
        <w:rPr>
          <w:rFonts w:ascii="Times New Roman" w:hAnsi="Times New Roman" w:cs="Times New Roman"/>
          <w:color w:val="191919"/>
        </w:rPr>
        <w:t xml:space="preserve"> et au calendrier de </w:t>
      </w:r>
      <w:r w:rsidR="0048517D">
        <w:rPr>
          <w:rFonts w:ascii="Times New Roman" w:hAnsi="Times New Roman" w:cs="Times New Roman"/>
          <w:color w:val="191919"/>
        </w:rPr>
        <w:t>décaissements</w:t>
      </w:r>
      <w:r>
        <w:rPr>
          <w:rFonts w:ascii="Times New Roman" w:hAnsi="Times New Roman" w:cs="Times New Roman"/>
          <w:color w:val="191919"/>
        </w:rPr>
        <w:t xml:space="preserve"> convenu, et les chronogrammes actualis</w:t>
      </w:r>
      <w:r w:rsidR="001D5181">
        <w:rPr>
          <w:rFonts w:ascii="Times New Roman" w:hAnsi="Times New Roman" w:cs="Times New Roman"/>
          <w:color w:val="191919"/>
        </w:rPr>
        <w:t>é</w:t>
      </w:r>
      <w:r>
        <w:rPr>
          <w:rFonts w:ascii="Times New Roman" w:hAnsi="Times New Roman" w:cs="Times New Roman"/>
          <w:color w:val="191919"/>
        </w:rPr>
        <w:t>s d'</w:t>
      </w:r>
      <w:r w:rsidR="0048517D">
        <w:rPr>
          <w:rFonts w:ascii="Times New Roman" w:hAnsi="Times New Roman" w:cs="Times New Roman"/>
          <w:color w:val="191919"/>
        </w:rPr>
        <w:t>exécution</w:t>
      </w:r>
      <w:r>
        <w:rPr>
          <w:rFonts w:ascii="Times New Roman" w:hAnsi="Times New Roman" w:cs="Times New Roman"/>
          <w:color w:val="191919"/>
        </w:rPr>
        <w:t xml:space="preserve"> physique et de </w:t>
      </w:r>
      <w:r w:rsidR="0048517D">
        <w:rPr>
          <w:rFonts w:ascii="Times New Roman" w:hAnsi="Times New Roman" w:cs="Times New Roman"/>
          <w:color w:val="191919"/>
        </w:rPr>
        <w:t>décaissements</w:t>
      </w:r>
      <w:r>
        <w:rPr>
          <w:rFonts w:ascii="Times New Roman" w:hAnsi="Times New Roman" w:cs="Times New Roman"/>
          <w:color w:val="191919"/>
        </w:rPr>
        <w:t xml:space="preserve">; </w:t>
      </w:r>
    </w:p>
    <w:p w14:paraId="3D073745" w14:textId="77777777" w:rsidR="001D5181" w:rsidRDefault="0034767B" w:rsidP="00ED6EFB">
      <w:pPr>
        <w:autoSpaceDE w:val="0"/>
        <w:autoSpaceDN w:val="0"/>
        <w:adjustRightInd w:val="0"/>
        <w:jc w:val="both"/>
        <w:rPr>
          <w:rFonts w:ascii="Times New Roman" w:hAnsi="Times New Roman" w:cs="Times New Roman"/>
          <w:color w:val="191919"/>
        </w:rPr>
      </w:pPr>
      <w:r>
        <w:rPr>
          <w:rFonts w:ascii="Times New Roman" w:hAnsi="Times New Roman" w:cs="Times New Roman"/>
          <w:color w:val="191919"/>
        </w:rPr>
        <w:t xml:space="preserve">(v) un </w:t>
      </w:r>
      <w:r w:rsidR="0048517D">
        <w:rPr>
          <w:rFonts w:ascii="Times New Roman" w:hAnsi="Times New Roman" w:cs="Times New Roman"/>
          <w:color w:val="191919"/>
        </w:rPr>
        <w:t>résumé</w:t>
      </w:r>
      <w:r>
        <w:rPr>
          <w:rFonts w:ascii="Times New Roman" w:hAnsi="Times New Roman" w:cs="Times New Roman"/>
          <w:color w:val="191919"/>
        </w:rPr>
        <w:t xml:space="preserve"> de la situation </w:t>
      </w:r>
      <w:r w:rsidR="0048517D">
        <w:rPr>
          <w:rFonts w:ascii="Times New Roman" w:hAnsi="Times New Roman" w:cs="Times New Roman"/>
          <w:color w:val="191919"/>
        </w:rPr>
        <w:t>financière</w:t>
      </w:r>
      <w:r>
        <w:rPr>
          <w:rFonts w:ascii="Times New Roman" w:hAnsi="Times New Roman" w:cs="Times New Roman"/>
          <w:color w:val="191919"/>
        </w:rPr>
        <w:t xml:space="preserve"> du Projet ; </w:t>
      </w:r>
    </w:p>
    <w:p w14:paraId="694689E7" w14:textId="77777777" w:rsidR="001D5181" w:rsidRDefault="0034767B" w:rsidP="00ED6EFB">
      <w:pPr>
        <w:autoSpaceDE w:val="0"/>
        <w:autoSpaceDN w:val="0"/>
        <w:adjustRightInd w:val="0"/>
        <w:jc w:val="both"/>
        <w:rPr>
          <w:rFonts w:ascii="Times New Roman" w:hAnsi="Times New Roman" w:cs="Times New Roman"/>
          <w:color w:val="191919"/>
        </w:rPr>
      </w:pPr>
      <w:r>
        <w:rPr>
          <w:rFonts w:ascii="Times New Roman" w:hAnsi="Times New Roman" w:cs="Times New Roman"/>
          <w:color w:val="191919"/>
        </w:rPr>
        <w:t xml:space="preserve">(vi) une description des processus d'appel d'offres </w:t>
      </w:r>
      <w:r w:rsidR="0048517D">
        <w:rPr>
          <w:rFonts w:ascii="Times New Roman" w:hAnsi="Times New Roman" w:cs="Times New Roman"/>
          <w:color w:val="191919"/>
        </w:rPr>
        <w:t>menés</w:t>
      </w:r>
      <w:r>
        <w:rPr>
          <w:rFonts w:ascii="Times New Roman" w:hAnsi="Times New Roman" w:cs="Times New Roman"/>
          <w:color w:val="191919"/>
        </w:rPr>
        <w:t xml:space="preserve"> ; </w:t>
      </w:r>
    </w:p>
    <w:p w14:paraId="1FCB8676" w14:textId="77777777" w:rsidR="001D5181" w:rsidRDefault="001D5181" w:rsidP="00ED6EFB">
      <w:pPr>
        <w:autoSpaceDE w:val="0"/>
        <w:autoSpaceDN w:val="0"/>
        <w:adjustRightInd w:val="0"/>
        <w:jc w:val="both"/>
        <w:rPr>
          <w:rFonts w:ascii="Times New Roman" w:hAnsi="Times New Roman" w:cs="Times New Roman"/>
          <w:color w:val="191919"/>
        </w:rPr>
      </w:pPr>
      <w:r>
        <w:rPr>
          <w:rFonts w:ascii="Times New Roman" w:hAnsi="Times New Roman" w:cs="Times New Roman"/>
          <w:color w:val="191919"/>
        </w:rPr>
        <w:t xml:space="preserve">(vii) </w:t>
      </w:r>
      <w:r w:rsidR="0034767B" w:rsidRPr="00ED6EFB">
        <w:rPr>
          <w:rFonts w:ascii="Times New Roman" w:hAnsi="Times New Roman" w:cs="Times New Roman"/>
          <w:color w:val="191919"/>
        </w:rPr>
        <w:t xml:space="preserve">une </w:t>
      </w:r>
      <w:r w:rsidR="0048517D" w:rsidRPr="00ED6EFB">
        <w:rPr>
          <w:rFonts w:ascii="Times New Roman" w:hAnsi="Times New Roman" w:cs="Times New Roman"/>
          <w:color w:val="191919"/>
        </w:rPr>
        <w:t>évaluation</w:t>
      </w:r>
      <w:r w:rsidR="0034767B" w:rsidRPr="00ED6EFB">
        <w:rPr>
          <w:rFonts w:ascii="Times New Roman" w:hAnsi="Times New Roman" w:cs="Times New Roman"/>
          <w:color w:val="191919"/>
        </w:rPr>
        <w:t xml:space="preserve"> des firmes sous contrat; </w:t>
      </w:r>
    </w:p>
    <w:p w14:paraId="0E6493AD" w14:textId="4D8B8437" w:rsidR="001D5181" w:rsidRPr="00ED6EFB" w:rsidRDefault="001D5181" w:rsidP="00ED6EFB">
      <w:pPr>
        <w:autoSpaceDE w:val="0"/>
        <w:autoSpaceDN w:val="0"/>
        <w:adjustRightInd w:val="0"/>
        <w:jc w:val="both"/>
        <w:rPr>
          <w:rFonts w:ascii="Times New Roman" w:hAnsi="Times New Roman" w:cs="Times New Roman"/>
          <w:color w:val="191919"/>
        </w:rPr>
      </w:pPr>
      <w:r>
        <w:rPr>
          <w:rFonts w:ascii="Times New Roman" w:hAnsi="Times New Roman" w:cs="Times New Roman"/>
          <w:color w:val="191919"/>
        </w:rPr>
        <w:t xml:space="preserve">(viii) </w:t>
      </w:r>
      <w:r w:rsidR="0034767B" w:rsidRPr="00ED6EFB">
        <w:rPr>
          <w:rFonts w:ascii="Times New Roman" w:hAnsi="Times New Roman" w:cs="Times New Roman"/>
          <w:color w:val="191919"/>
        </w:rPr>
        <w:t xml:space="preserve">la gestion </w:t>
      </w:r>
      <w:r w:rsidR="0048517D" w:rsidRPr="00ED6EFB">
        <w:rPr>
          <w:rFonts w:ascii="Times New Roman" w:hAnsi="Times New Roman" w:cs="Times New Roman"/>
          <w:color w:val="191919"/>
        </w:rPr>
        <w:t>socio en</w:t>
      </w:r>
      <w:r w:rsidR="0048517D" w:rsidRPr="00ED6EFB">
        <w:rPr>
          <w:rFonts w:ascii="Times New Roman" w:hAnsi="Times New Roman" w:cs="Times New Roman"/>
          <w:color w:val="414141"/>
        </w:rPr>
        <w:t>v</w:t>
      </w:r>
      <w:r w:rsidR="0048517D" w:rsidRPr="00ED6EFB">
        <w:rPr>
          <w:rFonts w:ascii="Times New Roman" w:hAnsi="Times New Roman" w:cs="Times New Roman"/>
          <w:color w:val="191919"/>
        </w:rPr>
        <w:t>ironnementale</w:t>
      </w:r>
      <w:r w:rsidR="0034767B" w:rsidRPr="00ED6EFB">
        <w:rPr>
          <w:rFonts w:ascii="Times New Roman" w:hAnsi="Times New Roman" w:cs="Times New Roman"/>
          <w:color w:val="191919"/>
        </w:rPr>
        <w:t xml:space="preserve"> du Projet</w:t>
      </w:r>
      <w:r w:rsidR="0034767B" w:rsidRPr="00ED6EFB">
        <w:rPr>
          <w:rFonts w:ascii="Times New Roman" w:hAnsi="Times New Roman" w:cs="Times New Roman"/>
          <w:color w:val="414141"/>
        </w:rPr>
        <w:t xml:space="preserve">, </w:t>
      </w:r>
      <w:r w:rsidR="0034767B" w:rsidRPr="00ED6EFB">
        <w:rPr>
          <w:rFonts w:ascii="Times New Roman" w:hAnsi="Times New Roman" w:cs="Times New Roman"/>
          <w:color w:val="191919"/>
        </w:rPr>
        <w:t xml:space="preserve">y compris les chronogrammes, les </w:t>
      </w:r>
      <w:r w:rsidR="0048517D" w:rsidRPr="00ED6EFB">
        <w:rPr>
          <w:rFonts w:ascii="Times New Roman" w:hAnsi="Times New Roman" w:cs="Times New Roman"/>
          <w:color w:val="191919"/>
        </w:rPr>
        <w:t>résultats</w:t>
      </w:r>
      <w:r w:rsidR="0034767B" w:rsidRPr="00ED6EFB">
        <w:rPr>
          <w:rFonts w:ascii="Times New Roman" w:hAnsi="Times New Roman" w:cs="Times New Roman"/>
          <w:color w:val="191919"/>
        </w:rPr>
        <w:t xml:space="preserve"> et les mesures </w:t>
      </w:r>
      <w:r w:rsidR="0048517D" w:rsidRPr="00ED6EFB">
        <w:rPr>
          <w:rFonts w:ascii="Times New Roman" w:hAnsi="Times New Roman" w:cs="Times New Roman"/>
          <w:color w:val="191919"/>
        </w:rPr>
        <w:t>appliquées</w:t>
      </w:r>
      <w:r w:rsidR="0034767B" w:rsidRPr="00ED6EFB">
        <w:rPr>
          <w:rFonts w:ascii="Times New Roman" w:hAnsi="Times New Roman" w:cs="Times New Roman"/>
          <w:color w:val="191919"/>
        </w:rPr>
        <w:t xml:space="preserve"> pour respecter </w:t>
      </w:r>
      <w:r w:rsidR="0048517D" w:rsidRPr="00ED6EFB">
        <w:rPr>
          <w:rFonts w:ascii="Times New Roman" w:hAnsi="Times New Roman" w:cs="Times New Roman"/>
          <w:color w:val="191919"/>
        </w:rPr>
        <w:t>l</w:t>
      </w:r>
      <w:r w:rsidR="0034767B" w:rsidRPr="00ED6EFB">
        <w:rPr>
          <w:rFonts w:ascii="Times New Roman" w:hAnsi="Times New Roman" w:cs="Times New Roman"/>
          <w:color w:val="191919"/>
        </w:rPr>
        <w:t>e RGES</w:t>
      </w:r>
      <w:r w:rsidR="0034767B" w:rsidRPr="00ED6EFB">
        <w:rPr>
          <w:rFonts w:ascii="Times New Roman" w:hAnsi="Times New Roman" w:cs="Times New Roman"/>
          <w:color w:val="414141"/>
        </w:rPr>
        <w:t xml:space="preserve">; </w:t>
      </w:r>
    </w:p>
    <w:p w14:paraId="768458F6" w14:textId="4442B346" w:rsidR="001D5181" w:rsidRDefault="0034767B" w:rsidP="00ED6EFB">
      <w:pPr>
        <w:autoSpaceDE w:val="0"/>
        <w:autoSpaceDN w:val="0"/>
        <w:adjustRightInd w:val="0"/>
        <w:jc w:val="both"/>
        <w:rPr>
          <w:rFonts w:ascii="Times New Roman" w:hAnsi="Times New Roman" w:cs="Times New Roman"/>
          <w:color w:val="191919"/>
        </w:rPr>
      </w:pPr>
      <w:r w:rsidRPr="00ED6EFB">
        <w:rPr>
          <w:rFonts w:ascii="Times New Roman" w:hAnsi="Times New Roman" w:cs="Times New Roman"/>
          <w:color w:val="191919"/>
        </w:rPr>
        <w:t>(ix) l</w:t>
      </w:r>
      <w:r w:rsidRPr="00ED6EFB">
        <w:rPr>
          <w:rFonts w:ascii="Times New Roman" w:hAnsi="Times New Roman" w:cs="Times New Roman"/>
          <w:color w:val="414141"/>
        </w:rPr>
        <w:t>'</w:t>
      </w:r>
      <w:r w:rsidRPr="00ED6EFB">
        <w:rPr>
          <w:rFonts w:ascii="Times New Roman" w:hAnsi="Times New Roman" w:cs="Times New Roman"/>
          <w:color w:val="191919"/>
        </w:rPr>
        <w:t xml:space="preserve">analyse des </w:t>
      </w:r>
      <w:r w:rsidR="0048517D" w:rsidRPr="00ED6EFB">
        <w:rPr>
          <w:rFonts w:ascii="Times New Roman" w:hAnsi="Times New Roman" w:cs="Times New Roman"/>
          <w:color w:val="191919"/>
        </w:rPr>
        <w:t>problèmes</w:t>
      </w:r>
      <w:r w:rsidRPr="00ED6EFB">
        <w:rPr>
          <w:rFonts w:ascii="Times New Roman" w:hAnsi="Times New Roman" w:cs="Times New Roman"/>
          <w:color w:val="191919"/>
        </w:rPr>
        <w:t xml:space="preserve"> rencontr</w:t>
      </w:r>
      <w:r w:rsidR="001D5181">
        <w:rPr>
          <w:rFonts w:ascii="Times New Roman" w:hAnsi="Times New Roman" w:cs="Times New Roman"/>
          <w:color w:val="191919"/>
        </w:rPr>
        <w:t>é</w:t>
      </w:r>
      <w:r w:rsidRPr="00ED6EFB">
        <w:rPr>
          <w:rFonts w:ascii="Times New Roman" w:hAnsi="Times New Roman" w:cs="Times New Roman"/>
          <w:color w:val="191919"/>
        </w:rPr>
        <w:t xml:space="preserve">s et les mesures correctives </w:t>
      </w:r>
      <w:r w:rsidR="0048517D" w:rsidRPr="00ED6EFB">
        <w:rPr>
          <w:rFonts w:ascii="Times New Roman" w:hAnsi="Times New Roman" w:cs="Times New Roman"/>
          <w:color w:val="191919"/>
        </w:rPr>
        <w:t>adoptées</w:t>
      </w:r>
      <w:r w:rsidR="001D5181">
        <w:rPr>
          <w:rFonts w:ascii="Times New Roman" w:hAnsi="Times New Roman" w:cs="Times New Roman"/>
          <w:color w:val="191919"/>
        </w:rPr>
        <w:t xml:space="preserve"> </w:t>
      </w:r>
      <w:r w:rsidRPr="00ED6EFB">
        <w:rPr>
          <w:rFonts w:ascii="Times New Roman" w:hAnsi="Times New Roman" w:cs="Times New Roman"/>
          <w:color w:val="191919"/>
        </w:rPr>
        <w:t xml:space="preserve">; </w:t>
      </w:r>
    </w:p>
    <w:p w14:paraId="096AE3CE" w14:textId="77777777" w:rsidR="001D5181" w:rsidRDefault="0034767B" w:rsidP="00ED6EFB">
      <w:pPr>
        <w:autoSpaceDE w:val="0"/>
        <w:autoSpaceDN w:val="0"/>
        <w:adjustRightInd w:val="0"/>
        <w:jc w:val="both"/>
        <w:rPr>
          <w:rFonts w:ascii="Times New Roman" w:hAnsi="Times New Roman" w:cs="Times New Roman"/>
          <w:color w:val="414141"/>
        </w:rPr>
      </w:pPr>
      <w:r w:rsidRPr="00ED6EFB">
        <w:rPr>
          <w:rFonts w:ascii="Times New Roman" w:hAnsi="Times New Roman" w:cs="Times New Roman"/>
          <w:color w:val="191919"/>
        </w:rPr>
        <w:t xml:space="preserve">(x) les </w:t>
      </w:r>
      <w:r w:rsidR="0048517D" w:rsidRPr="00ED6EFB">
        <w:rPr>
          <w:rFonts w:ascii="Times New Roman" w:hAnsi="Times New Roman" w:cs="Times New Roman"/>
          <w:color w:val="191919"/>
        </w:rPr>
        <w:t>développements</w:t>
      </w:r>
      <w:r w:rsidRPr="00ED6EFB">
        <w:rPr>
          <w:rFonts w:ascii="Times New Roman" w:hAnsi="Times New Roman" w:cs="Times New Roman"/>
          <w:color w:val="191919"/>
        </w:rPr>
        <w:t xml:space="preserve"> ou </w:t>
      </w:r>
      <w:r w:rsidR="0048517D" w:rsidRPr="00ED6EFB">
        <w:rPr>
          <w:rFonts w:ascii="Times New Roman" w:hAnsi="Times New Roman" w:cs="Times New Roman"/>
          <w:color w:val="191919"/>
        </w:rPr>
        <w:t>évènements</w:t>
      </w:r>
      <w:r w:rsidRPr="00ED6EFB">
        <w:rPr>
          <w:rFonts w:ascii="Times New Roman" w:hAnsi="Times New Roman" w:cs="Times New Roman"/>
          <w:color w:val="191919"/>
        </w:rPr>
        <w:t xml:space="preserve"> potentiels qui pourraient compromettre l'</w:t>
      </w:r>
      <w:r w:rsidR="0048517D" w:rsidRPr="00ED6EFB">
        <w:rPr>
          <w:rFonts w:ascii="Times New Roman" w:hAnsi="Times New Roman" w:cs="Times New Roman"/>
          <w:color w:val="191919"/>
        </w:rPr>
        <w:t>exécution</w:t>
      </w:r>
      <w:r w:rsidRPr="00ED6EFB">
        <w:rPr>
          <w:rFonts w:ascii="Times New Roman" w:hAnsi="Times New Roman" w:cs="Times New Roman"/>
          <w:color w:val="191919"/>
        </w:rPr>
        <w:t xml:space="preserve"> du Projet </w:t>
      </w:r>
      <w:r w:rsidRPr="00ED6EFB">
        <w:rPr>
          <w:rFonts w:ascii="Times New Roman" w:hAnsi="Times New Roman" w:cs="Times New Roman"/>
          <w:color w:val="414141"/>
        </w:rPr>
        <w:t>;</w:t>
      </w:r>
    </w:p>
    <w:p w14:paraId="0440D5C7" w14:textId="7BC5FD24" w:rsidR="0034767B" w:rsidRDefault="0034767B" w:rsidP="00ED6EFB">
      <w:pPr>
        <w:autoSpaceDE w:val="0"/>
        <w:autoSpaceDN w:val="0"/>
        <w:adjustRightInd w:val="0"/>
        <w:jc w:val="both"/>
      </w:pPr>
      <w:r w:rsidRPr="00ED6EFB">
        <w:rPr>
          <w:rFonts w:ascii="Times New Roman" w:hAnsi="Times New Roman" w:cs="Times New Roman"/>
          <w:color w:val="191919"/>
        </w:rPr>
        <w:t xml:space="preserve">(xi) </w:t>
      </w:r>
      <w:r w:rsidR="0048517D" w:rsidRPr="00ED6EFB">
        <w:rPr>
          <w:rFonts w:ascii="Times New Roman" w:hAnsi="Times New Roman" w:cs="Times New Roman"/>
          <w:color w:val="191919"/>
        </w:rPr>
        <w:t>l</w:t>
      </w:r>
      <w:r w:rsidRPr="00ED6EFB">
        <w:rPr>
          <w:rFonts w:ascii="Times New Roman" w:hAnsi="Times New Roman" w:cs="Times New Roman"/>
          <w:color w:val="191919"/>
        </w:rPr>
        <w:t>e Plan de Passation de March</w:t>
      </w:r>
      <w:r w:rsidR="001D5181">
        <w:rPr>
          <w:rFonts w:ascii="Times New Roman" w:hAnsi="Times New Roman" w:cs="Times New Roman"/>
          <w:color w:val="191919"/>
        </w:rPr>
        <w:t>é</w:t>
      </w:r>
      <w:r w:rsidRPr="00ED6EFB">
        <w:rPr>
          <w:rFonts w:ascii="Times New Roman" w:hAnsi="Times New Roman" w:cs="Times New Roman"/>
          <w:color w:val="191919"/>
        </w:rPr>
        <w:t>s et Plan financier actualis</w:t>
      </w:r>
      <w:r w:rsidR="0048517D" w:rsidRPr="00ED6EFB">
        <w:rPr>
          <w:rFonts w:ascii="Times New Roman" w:hAnsi="Times New Roman" w:cs="Times New Roman"/>
          <w:color w:val="191919"/>
        </w:rPr>
        <w:t>é</w:t>
      </w:r>
      <w:r w:rsidRPr="00ED6EFB">
        <w:rPr>
          <w:rFonts w:ascii="Times New Roman" w:hAnsi="Times New Roman" w:cs="Times New Roman"/>
          <w:color w:val="191919"/>
        </w:rPr>
        <w:t xml:space="preserve">s du Projet. </w:t>
      </w:r>
    </w:p>
    <w:p w14:paraId="6A7251B5" w14:textId="77777777" w:rsidR="004F346D" w:rsidRDefault="004F346D" w:rsidP="00ED6EFB">
      <w:pPr>
        <w:jc w:val="both"/>
        <w:rPr>
          <w:rFonts w:eastAsia="Arial"/>
        </w:rPr>
      </w:pPr>
    </w:p>
    <w:p w14:paraId="41AAA4F9" w14:textId="2C4050E5" w:rsidR="004F346D" w:rsidRPr="00ED6EFB" w:rsidRDefault="004F346D" w:rsidP="00ED6EFB">
      <w:pPr>
        <w:rPr>
          <w:i/>
          <w:u w:val="single"/>
        </w:rPr>
      </w:pPr>
      <w:r w:rsidRPr="00ED6EFB">
        <w:rPr>
          <w:rFonts w:eastAsia="Arial"/>
          <w:i/>
        </w:rPr>
        <w:t>b.</w:t>
      </w:r>
      <w:r w:rsidRPr="00ED6EFB">
        <w:rPr>
          <w:i/>
          <w:u w:val="single"/>
        </w:rPr>
        <w:t>Un plan de maintenance et des rapports annuels</w:t>
      </w:r>
    </w:p>
    <w:p w14:paraId="2C4191A7" w14:textId="1FCB37F7" w:rsidR="004F346D" w:rsidRDefault="004F346D" w:rsidP="004F346D">
      <w:pPr>
        <w:spacing w:line="276" w:lineRule="auto"/>
        <w:rPr>
          <w:rFonts w:eastAsia="Arial"/>
        </w:rPr>
      </w:pPr>
      <w:r w:rsidRPr="00ED6EFB">
        <w:rPr>
          <w:rFonts w:eastAsia="Arial"/>
        </w:rPr>
        <w:t>L</w:t>
      </w:r>
      <w:r w:rsidR="00903265">
        <w:rPr>
          <w:rFonts w:eastAsia="Arial"/>
        </w:rPr>
        <w:t>es deux OE devront</w:t>
      </w:r>
      <w:r w:rsidRPr="00ED6EFB">
        <w:rPr>
          <w:rFonts w:eastAsia="Arial"/>
        </w:rPr>
        <w:t xml:space="preserve"> présenter un plan annuel de maintenance et le soumettre à la Banque, au cours des trois (3) années suivant l'achèvement du premier des travaux du Projet et au cours du premier trimestre de chaque année civile, un rapport sur l'état de ces travaux et équipements et le plan annuel de maintenance pour l'année. Si sur la base des inspections qu'effectue la Banque, ou des rapports qu'elle reçoit, il est déterminé que la </w:t>
      </w:r>
      <w:r w:rsidRPr="00ED6EFB">
        <w:rPr>
          <w:rFonts w:eastAsia="Arial"/>
        </w:rPr>
        <w:lastRenderedPageBreak/>
        <w:t>maintenance réalisée est inférieure aux niveaux convenus, le Bénéficiaire, agissant par l'intermédiaire de</w:t>
      </w:r>
      <w:r w:rsidR="00903265">
        <w:rPr>
          <w:rFonts w:eastAsia="Arial"/>
        </w:rPr>
        <w:t xml:space="preserve">s deux </w:t>
      </w:r>
      <w:r w:rsidRPr="00ED6EFB">
        <w:rPr>
          <w:rFonts w:eastAsia="Arial"/>
        </w:rPr>
        <w:t>Organisme</w:t>
      </w:r>
      <w:r w:rsidR="00903265">
        <w:rPr>
          <w:rFonts w:eastAsia="Arial"/>
        </w:rPr>
        <w:t>s</w:t>
      </w:r>
      <w:r w:rsidRPr="00ED6EFB">
        <w:rPr>
          <w:rFonts w:eastAsia="Arial"/>
        </w:rPr>
        <w:t xml:space="preserve"> d'exécution, devra prendre les mesures nécessaires afin de remédier entièrement aux lacunes.</w:t>
      </w:r>
    </w:p>
    <w:p w14:paraId="4CCEEA50" w14:textId="3506A679" w:rsidR="004F346D" w:rsidRDefault="004F346D" w:rsidP="004F346D">
      <w:pPr>
        <w:spacing w:line="276" w:lineRule="auto"/>
        <w:rPr>
          <w:rFonts w:eastAsia="Arial"/>
        </w:rPr>
      </w:pPr>
    </w:p>
    <w:p w14:paraId="1F181C1E" w14:textId="77777777" w:rsidR="00DE2E1C" w:rsidRPr="006E4C32" w:rsidRDefault="00DE2E1C" w:rsidP="006E4C32">
      <w:pPr>
        <w:spacing w:line="276" w:lineRule="auto"/>
        <w:rPr>
          <w:rFonts w:eastAsia="Times New Roman"/>
        </w:rPr>
      </w:pPr>
    </w:p>
    <w:p w14:paraId="125DBE5F" w14:textId="6979D659" w:rsidR="000A40FE" w:rsidRPr="00AB08C4" w:rsidRDefault="000A40FE" w:rsidP="0006696B">
      <w:pPr>
        <w:pStyle w:val="ListParagraph"/>
        <w:numPr>
          <w:ilvl w:val="1"/>
          <w:numId w:val="30"/>
        </w:numPr>
        <w:tabs>
          <w:tab w:val="left" w:pos="580"/>
        </w:tabs>
        <w:spacing w:line="276" w:lineRule="auto"/>
        <w:rPr>
          <w:rFonts w:eastAsia="Arial"/>
          <w:b/>
        </w:rPr>
      </w:pPr>
      <w:r w:rsidRPr="00AB08C4">
        <w:rPr>
          <w:rFonts w:eastAsia="Arial"/>
          <w:b/>
        </w:rPr>
        <w:t>AUDITS</w:t>
      </w:r>
      <w:r w:rsidR="00D44C81" w:rsidRPr="00AB08C4">
        <w:rPr>
          <w:rFonts w:eastAsia="Arial"/>
          <w:b/>
        </w:rPr>
        <w:t xml:space="preserve"> ET AUTRES RAPPORTS</w:t>
      </w:r>
    </w:p>
    <w:p w14:paraId="315D0161" w14:textId="3831267F" w:rsidR="00F8169C" w:rsidRPr="006E4C32" w:rsidRDefault="00F8169C" w:rsidP="00ED6EFB">
      <w:pPr>
        <w:spacing w:line="276" w:lineRule="auto"/>
        <w:jc w:val="both"/>
        <w:rPr>
          <w:iCs/>
        </w:rPr>
      </w:pPr>
      <w:r w:rsidRPr="006E4C32">
        <w:rPr>
          <w:iCs/>
        </w:rPr>
        <w:t>L</w:t>
      </w:r>
      <w:r w:rsidR="00903265">
        <w:rPr>
          <w:iCs/>
        </w:rPr>
        <w:t xml:space="preserve">es deux OE seront </w:t>
      </w:r>
      <w:r w:rsidRPr="006E4C32">
        <w:rPr>
          <w:iCs/>
        </w:rPr>
        <w:t>responsable</w:t>
      </w:r>
      <w:r w:rsidR="00903265">
        <w:rPr>
          <w:iCs/>
        </w:rPr>
        <w:t>s</w:t>
      </w:r>
      <w:r w:rsidRPr="006E4C32">
        <w:rPr>
          <w:iCs/>
        </w:rPr>
        <w:t xml:space="preserve"> du recrutement d’auditeurs externes éligibles à la Banque dans le but de réaliser l’audit du programme comme suit : </w:t>
      </w:r>
    </w:p>
    <w:p w14:paraId="580AA8EC" w14:textId="77777777" w:rsidR="00F8169C" w:rsidRPr="006E4C32" w:rsidRDefault="00F8169C" w:rsidP="00ED6EFB">
      <w:pPr>
        <w:spacing w:line="276" w:lineRule="auto"/>
        <w:jc w:val="both"/>
        <w:rPr>
          <w:iCs/>
        </w:rPr>
      </w:pPr>
    </w:p>
    <w:p w14:paraId="2BFF58E7" w14:textId="4BB1C888" w:rsidR="00F8169C" w:rsidRPr="006E4C32" w:rsidRDefault="00F8169C" w:rsidP="00ED6EFB">
      <w:pPr>
        <w:spacing w:line="276" w:lineRule="auto"/>
        <w:jc w:val="both"/>
        <w:rPr>
          <w:iCs/>
        </w:rPr>
      </w:pPr>
      <w:r w:rsidRPr="006E4C32">
        <w:rPr>
          <w:iCs/>
        </w:rPr>
        <w:t>(i) Un audit financier annuel du programme qui devra être soumis au plus tard 120 jours après la fermeture de chaque année fiscale</w:t>
      </w:r>
      <w:r w:rsidR="0087547E">
        <w:rPr>
          <w:iCs/>
        </w:rPr>
        <w:t>.</w:t>
      </w:r>
    </w:p>
    <w:p w14:paraId="7E02505C" w14:textId="77777777" w:rsidR="00F8169C" w:rsidRPr="006E4C32" w:rsidRDefault="00F8169C" w:rsidP="00ED6EFB">
      <w:pPr>
        <w:spacing w:line="276" w:lineRule="auto"/>
        <w:jc w:val="both"/>
        <w:rPr>
          <w:iCs/>
        </w:rPr>
      </w:pPr>
    </w:p>
    <w:p w14:paraId="39D1CD56" w14:textId="672E7932" w:rsidR="00F8169C" w:rsidRPr="006E4C32" w:rsidRDefault="00F8169C" w:rsidP="00ED6EFB">
      <w:pPr>
        <w:spacing w:line="276" w:lineRule="auto"/>
        <w:jc w:val="both"/>
        <w:rPr>
          <w:iCs/>
        </w:rPr>
      </w:pPr>
      <w:r w:rsidRPr="006E4C32">
        <w:rPr>
          <w:iCs/>
        </w:rPr>
        <w:t>(ii) Une revue semestrielle ex post des procédures d’acquisition exécutées par l</w:t>
      </w:r>
      <w:r w:rsidR="00903265">
        <w:rPr>
          <w:iCs/>
        </w:rPr>
        <w:t>es deux OE</w:t>
      </w:r>
      <w:r w:rsidRPr="006E4C32">
        <w:rPr>
          <w:iCs/>
        </w:rPr>
        <w:t xml:space="preserve"> qui devra être soumise au plus 60 jours après la fin du premier semestre de chaque année fiscale </w:t>
      </w:r>
    </w:p>
    <w:p w14:paraId="40BF3615" w14:textId="77777777" w:rsidR="00F8169C" w:rsidRPr="006E4C32" w:rsidRDefault="00F8169C" w:rsidP="00ED6EFB">
      <w:pPr>
        <w:spacing w:line="276" w:lineRule="auto"/>
        <w:jc w:val="both"/>
        <w:rPr>
          <w:iCs/>
        </w:rPr>
      </w:pPr>
    </w:p>
    <w:p w14:paraId="4EE3F579" w14:textId="48E766C8" w:rsidR="0087547E" w:rsidRPr="00ED6EFB" w:rsidRDefault="00F8169C" w:rsidP="00ED6EFB">
      <w:pPr>
        <w:spacing w:line="276" w:lineRule="auto"/>
        <w:jc w:val="both"/>
        <w:rPr>
          <w:iCs/>
        </w:rPr>
      </w:pPr>
      <w:r w:rsidRPr="006E4C32">
        <w:rPr>
          <w:iCs/>
        </w:rPr>
        <w:t xml:space="preserve">(iii) </w:t>
      </w:r>
      <w:r w:rsidR="0087547E" w:rsidRPr="00ED6EFB">
        <w:rPr>
          <w:iCs/>
        </w:rPr>
        <w:t>Des rapports financiers semestriels non-audit</w:t>
      </w:r>
      <w:r w:rsidR="0087547E">
        <w:rPr>
          <w:iCs/>
        </w:rPr>
        <w:t>é</w:t>
      </w:r>
      <w:r w:rsidR="0087547E" w:rsidRPr="00ED6EFB">
        <w:rPr>
          <w:iCs/>
        </w:rPr>
        <w:t xml:space="preserve">s du Projet. Pendant la </w:t>
      </w:r>
      <w:r w:rsidR="0087547E" w:rsidRPr="0087547E">
        <w:rPr>
          <w:iCs/>
        </w:rPr>
        <w:t>première</w:t>
      </w:r>
      <w:r w:rsidR="0087547E">
        <w:rPr>
          <w:iCs/>
        </w:rPr>
        <w:t xml:space="preserve"> </w:t>
      </w:r>
      <w:r w:rsidR="0087547E" w:rsidRPr="0087547E">
        <w:rPr>
          <w:iCs/>
        </w:rPr>
        <w:t>année</w:t>
      </w:r>
      <w:r w:rsidR="0087547E" w:rsidRPr="00ED6EFB">
        <w:rPr>
          <w:iCs/>
        </w:rPr>
        <w:t xml:space="preserve"> d'</w:t>
      </w:r>
      <w:r w:rsidR="0087547E" w:rsidRPr="0087547E">
        <w:rPr>
          <w:iCs/>
        </w:rPr>
        <w:t>exécution</w:t>
      </w:r>
      <w:r w:rsidR="0087547E" w:rsidRPr="00ED6EFB">
        <w:rPr>
          <w:iCs/>
        </w:rPr>
        <w:t xml:space="preserve"> du Projet, ces rapports seront </w:t>
      </w:r>
      <w:r w:rsidR="0087547E" w:rsidRPr="0087547E">
        <w:rPr>
          <w:iCs/>
        </w:rPr>
        <w:t>présentés</w:t>
      </w:r>
      <w:r w:rsidR="0087547E" w:rsidRPr="00ED6EFB">
        <w:rPr>
          <w:iCs/>
        </w:rPr>
        <w:t xml:space="preserve"> dans les soixante (60)</w:t>
      </w:r>
      <w:r w:rsidR="0087547E">
        <w:rPr>
          <w:iCs/>
        </w:rPr>
        <w:t xml:space="preserve"> </w:t>
      </w:r>
      <w:r w:rsidR="0087547E" w:rsidRPr="00ED6EFB">
        <w:rPr>
          <w:iCs/>
        </w:rPr>
        <w:t xml:space="preserve">jours suivant la fin de chaque semestre de chaque </w:t>
      </w:r>
      <w:r w:rsidR="0087547E" w:rsidRPr="0087547E">
        <w:rPr>
          <w:iCs/>
        </w:rPr>
        <w:t>année</w:t>
      </w:r>
      <w:r w:rsidR="0087547E" w:rsidRPr="00ED6EFB">
        <w:rPr>
          <w:iCs/>
        </w:rPr>
        <w:t xml:space="preserve"> fiscale. Pour les </w:t>
      </w:r>
      <w:r w:rsidR="0087547E" w:rsidRPr="0087547E">
        <w:rPr>
          <w:iCs/>
        </w:rPr>
        <w:t>années</w:t>
      </w:r>
      <w:r w:rsidR="0087547E">
        <w:rPr>
          <w:iCs/>
        </w:rPr>
        <w:t xml:space="preserve"> </w:t>
      </w:r>
      <w:r w:rsidR="0087547E" w:rsidRPr="00ED6EFB">
        <w:rPr>
          <w:iCs/>
        </w:rPr>
        <w:t xml:space="preserve">suivantes, la </w:t>
      </w:r>
      <w:r w:rsidR="0087547E" w:rsidRPr="0087547E">
        <w:rPr>
          <w:iCs/>
        </w:rPr>
        <w:t>fréquence</w:t>
      </w:r>
      <w:r w:rsidR="0087547E" w:rsidRPr="00ED6EFB">
        <w:rPr>
          <w:iCs/>
        </w:rPr>
        <w:t xml:space="preserve"> de soumission de ces rapports non-audit</w:t>
      </w:r>
      <w:r w:rsidR="0087547E">
        <w:rPr>
          <w:iCs/>
        </w:rPr>
        <w:t>é</w:t>
      </w:r>
      <w:r w:rsidR="0087547E" w:rsidRPr="00ED6EFB">
        <w:rPr>
          <w:iCs/>
        </w:rPr>
        <w:t xml:space="preserve">s sera </w:t>
      </w:r>
      <w:r w:rsidR="0087547E" w:rsidRPr="0087547E">
        <w:rPr>
          <w:iCs/>
        </w:rPr>
        <w:t>déterminée</w:t>
      </w:r>
      <w:r w:rsidR="0087547E">
        <w:rPr>
          <w:iCs/>
        </w:rPr>
        <w:t xml:space="preserve"> </w:t>
      </w:r>
      <w:r w:rsidR="0087547E" w:rsidRPr="00ED6EFB">
        <w:rPr>
          <w:iCs/>
        </w:rPr>
        <w:t xml:space="preserve">par la Banque selon son </w:t>
      </w:r>
      <w:r w:rsidR="0087547E" w:rsidRPr="0087547E">
        <w:rPr>
          <w:iCs/>
        </w:rPr>
        <w:t>évaluation</w:t>
      </w:r>
      <w:r w:rsidR="0087547E" w:rsidRPr="00ED6EFB">
        <w:rPr>
          <w:iCs/>
        </w:rPr>
        <w:t xml:space="preserve"> des risques dans </w:t>
      </w:r>
      <w:r w:rsidR="0087547E">
        <w:rPr>
          <w:iCs/>
        </w:rPr>
        <w:t>l</w:t>
      </w:r>
      <w:r w:rsidR="0087547E" w:rsidRPr="00ED6EFB">
        <w:rPr>
          <w:iCs/>
        </w:rPr>
        <w:t>e cadre de missions de</w:t>
      </w:r>
      <w:r w:rsidR="0087547E">
        <w:rPr>
          <w:iCs/>
        </w:rPr>
        <w:t xml:space="preserve"> </w:t>
      </w:r>
      <w:r w:rsidR="0087547E" w:rsidRPr="00ED6EFB">
        <w:rPr>
          <w:iCs/>
        </w:rPr>
        <w:t>supervision de la Banque</w:t>
      </w:r>
      <w:r w:rsidR="0087547E">
        <w:rPr>
          <w:iCs/>
        </w:rPr>
        <w:t>.</w:t>
      </w:r>
    </w:p>
    <w:p w14:paraId="1D9253E2" w14:textId="77777777" w:rsidR="0087547E" w:rsidRDefault="0087547E" w:rsidP="00ED6EFB">
      <w:pPr>
        <w:spacing w:line="276" w:lineRule="auto"/>
        <w:jc w:val="both"/>
        <w:rPr>
          <w:iCs/>
        </w:rPr>
      </w:pPr>
    </w:p>
    <w:p w14:paraId="198E845D" w14:textId="77777777" w:rsidR="00F8169C" w:rsidRPr="006E4C32" w:rsidRDefault="00F8169C" w:rsidP="006E4C32">
      <w:pPr>
        <w:spacing w:line="276" w:lineRule="auto"/>
        <w:rPr>
          <w:iCs/>
        </w:rPr>
      </w:pPr>
    </w:p>
    <w:p w14:paraId="3552978D" w14:textId="77777777" w:rsidR="00D44C81" w:rsidRDefault="00D44C81" w:rsidP="00D44C81">
      <w:pPr>
        <w:spacing w:line="276" w:lineRule="auto"/>
        <w:rPr>
          <w:iCs/>
        </w:rPr>
      </w:pPr>
    </w:p>
    <w:p w14:paraId="3C8CD743" w14:textId="0755C47F" w:rsidR="00D44C81" w:rsidRPr="003C51DD" w:rsidRDefault="00D44C81" w:rsidP="00D44C81">
      <w:pPr>
        <w:spacing w:line="276" w:lineRule="auto"/>
        <w:rPr>
          <w:iCs/>
        </w:rPr>
      </w:pPr>
      <w:r w:rsidRPr="00C00BC5">
        <w:rPr>
          <w:iCs/>
        </w:rPr>
        <w:t>Il revient à l</w:t>
      </w:r>
      <w:r w:rsidR="00903265">
        <w:rPr>
          <w:iCs/>
        </w:rPr>
        <w:t>’UTE/MEF et à l’UCP/MICT</w:t>
      </w:r>
      <w:r w:rsidRPr="00C00BC5">
        <w:rPr>
          <w:iCs/>
        </w:rPr>
        <w:t xml:space="preserve"> la responsabilité de la préparation des états financiers qui doivent être soumis aux auditeurs et qui sont:</w:t>
      </w:r>
    </w:p>
    <w:p w14:paraId="022AF36B" w14:textId="77777777" w:rsidR="00D44C81" w:rsidRPr="003C51DD" w:rsidRDefault="00D44C81" w:rsidP="0006696B">
      <w:pPr>
        <w:numPr>
          <w:ilvl w:val="0"/>
          <w:numId w:val="24"/>
        </w:numPr>
        <w:spacing w:line="276" w:lineRule="auto"/>
        <w:rPr>
          <w:iCs/>
        </w:rPr>
      </w:pPr>
      <w:r w:rsidRPr="003C51DD">
        <w:rPr>
          <w:iCs/>
        </w:rPr>
        <w:t>L’Etats des Flux de Trésorerie ou Etats des montants reçus et des dépenses effectuées</w:t>
      </w:r>
    </w:p>
    <w:p w14:paraId="44C90DB0" w14:textId="77777777" w:rsidR="00D44C81" w:rsidRPr="003C51DD" w:rsidRDefault="00D44C81" w:rsidP="0006696B">
      <w:pPr>
        <w:numPr>
          <w:ilvl w:val="0"/>
          <w:numId w:val="24"/>
        </w:numPr>
        <w:spacing w:line="276" w:lineRule="auto"/>
        <w:rPr>
          <w:iCs/>
          <w:lang w:val="en-US"/>
        </w:rPr>
      </w:pPr>
      <w:r w:rsidRPr="003C51DD">
        <w:rPr>
          <w:iCs/>
        </w:rPr>
        <w:t>L’Etats des Investissements Cumulés</w:t>
      </w:r>
    </w:p>
    <w:p w14:paraId="701EED28" w14:textId="77777777" w:rsidR="00D44C81" w:rsidRPr="00C00BC5" w:rsidRDefault="00D44C81" w:rsidP="0006696B">
      <w:pPr>
        <w:numPr>
          <w:ilvl w:val="0"/>
          <w:numId w:val="24"/>
        </w:numPr>
        <w:spacing w:line="276" w:lineRule="auto"/>
        <w:rPr>
          <w:iCs/>
          <w:lang w:val="en-US"/>
        </w:rPr>
      </w:pPr>
      <w:r w:rsidRPr="00C00BC5">
        <w:rPr>
          <w:iCs/>
        </w:rPr>
        <w:t xml:space="preserve">L’Etat Comparatif WLMS – Projet </w:t>
      </w:r>
    </w:p>
    <w:p w14:paraId="6D7D0EAA" w14:textId="77777777" w:rsidR="00D44C81" w:rsidRPr="00C00BC5" w:rsidRDefault="00D44C81" w:rsidP="0006696B">
      <w:pPr>
        <w:numPr>
          <w:ilvl w:val="0"/>
          <w:numId w:val="24"/>
        </w:numPr>
        <w:spacing w:line="276" w:lineRule="auto"/>
        <w:rPr>
          <w:iCs/>
        </w:rPr>
      </w:pPr>
      <w:r w:rsidRPr="00C00BC5">
        <w:rPr>
          <w:iCs/>
        </w:rPr>
        <w:t>Réconciliation des comptes du Projet au 30 septembre de chaque exercice fiscal par rapport au solde de l’avance de fonds selon le LMS 1 de la BID.</w:t>
      </w:r>
    </w:p>
    <w:p w14:paraId="71A888C4" w14:textId="77777777" w:rsidR="00D44C81" w:rsidRPr="00C00BC5" w:rsidRDefault="00D44C81" w:rsidP="0006696B">
      <w:pPr>
        <w:numPr>
          <w:ilvl w:val="0"/>
          <w:numId w:val="24"/>
        </w:numPr>
        <w:spacing w:line="276" w:lineRule="auto"/>
        <w:rPr>
          <w:iCs/>
        </w:rPr>
      </w:pPr>
      <w:r w:rsidRPr="00C00BC5">
        <w:rPr>
          <w:iCs/>
        </w:rPr>
        <w:t>Un tableau ou note explicative justifiant les différences de change pour la période</w:t>
      </w:r>
    </w:p>
    <w:p w14:paraId="6993AE87" w14:textId="77777777" w:rsidR="00D44C81" w:rsidRPr="00C00BC5" w:rsidRDefault="00D44C81" w:rsidP="0006696B">
      <w:pPr>
        <w:numPr>
          <w:ilvl w:val="0"/>
          <w:numId w:val="24"/>
        </w:numPr>
        <w:spacing w:line="276" w:lineRule="auto"/>
        <w:rPr>
          <w:iCs/>
        </w:rPr>
      </w:pPr>
      <w:r w:rsidRPr="00C00BC5">
        <w:rPr>
          <w:iCs/>
        </w:rPr>
        <w:t xml:space="preserve">Le tableau des engagements incluant les contrats en cours </w:t>
      </w:r>
    </w:p>
    <w:p w14:paraId="619B5D76" w14:textId="77777777" w:rsidR="00D44C81" w:rsidRPr="00C00BC5" w:rsidRDefault="00D44C81" w:rsidP="0006696B">
      <w:pPr>
        <w:numPr>
          <w:ilvl w:val="0"/>
          <w:numId w:val="24"/>
        </w:numPr>
        <w:spacing w:line="276" w:lineRule="auto"/>
        <w:rPr>
          <w:iCs/>
          <w:lang w:val="en-US"/>
        </w:rPr>
      </w:pPr>
      <w:r w:rsidRPr="00C00BC5">
        <w:rPr>
          <w:iCs/>
        </w:rPr>
        <w:t xml:space="preserve">Les notes explicatives.  </w:t>
      </w:r>
    </w:p>
    <w:p w14:paraId="205D71B4" w14:textId="77777777" w:rsidR="00D44C81" w:rsidRPr="00C00BC5" w:rsidRDefault="00D44C81" w:rsidP="00D44C81">
      <w:pPr>
        <w:spacing w:line="276" w:lineRule="auto"/>
        <w:rPr>
          <w:iCs/>
        </w:rPr>
      </w:pPr>
    </w:p>
    <w:p w14:paraId="3BDFC734" w14:textId="17F0E177" w:rsidR="00D44C81" w:rsidRPr="009A5412" w:rsidRDefault="00D44C81" w:rsidP="00D44C81">
      <w:pPr>
        <w:spacing w:line="276" w:lineRule="auto"/>
        <w:rPr>
          <w:iCs/>
        </w:rPr>
      </w:pPr>
      <w:r w:rsidRPr="00C00BC5">
        <w:rPr>
          <w:iCs/>
        </w:rPr>
        <w:t>L</w:t>
      </w:r>
      <w:r w:rsidR="00903265">
        <w:rPr>
          <w:iCs/>
        </w:rPr>
        <w:t>es deux OE</w:t>
      </w:r>
      <w:r w:rsidRPr="00C00BC5">
        <w:rPr>
          <w:iCs/>
        </w:rPr>
        <w:t xml:space="preserve"> s’assurer</w:t>
      </w:r>
      <w:r w:rsidR="00903265">
        <w:rPr>
          <w:iCs/>
        </w:rPr>
        <w:t>ont</w:t>
      </w:r>
      <w:r w:rsidRPr="00C00BC5">
        <w:rPr>
          <w:iCs/>
        </w:rPr>
        <w:t xml:space="preserve"> de la mise en application des recommandations des auditeurs.</w:t>
      </w:r>
    </w:p>
    <w:p w14:paraId="3223AB66" w14:textId="1D73444B" w:rsidR="00903265" w:rsidRDefault="00903265">
      <w:pPr>
        <w:rPr>
          <w:rFonts w:eastAsia="Times New Roman"/>
        </w:rPr>
      </w:pPr>
      <w:r>
        <w:rPr>
          <w:rFonts w:eastAsia="Times New Roman"/>
        </w:rPr>
        <w:br w:type="page"/>
      </w:r>
    </w:p>
    <w:p w14:paraId="6A0FBBB9" w14:textId="77777777" w:rsidR="00903265" w:rsidRPr="006E4C32" w:rsidRDefault="00903265" w:rsidP="006E4C32">
      <w:pPr>
        <w:spacing w:line="276" w:lineRule="auto"/>
        <w:rPr>
          <w:rFonts w:eastAsia="Times New Roman"/>
        </w:rPr>
      </w:pPr>
    </w:p>
    <w:p w14:paraId="07544662" w14:textId="77777777" w:rsidR="000A40FE" w:rsidRPr="006E4C32" w:rsidRDefault="000A40FE" w:rsidP="0006696B">
      <w:pPr>
        <w:pStyle w:val="ListParagraph"/>
        <w:numPr>
          <w:ilvl w:val="1"/>
          <w:numId w:val="30"/>
        </w:numPr>
        <w:tabs>
          <w:tab w:val="left" w:pos="580"/>
        </w:tabs>
        <w:spacing w:line="276" w:lineRule="auto"/>
        <w:rPr>
          <w:rFonts w:eastAsia="Arial"/>
          <w:b/>
        </w:rPr>
      </w:pPr>
      <w:r w:rsidRPr="006E4C32">
        <w:rPr>
          <w:rFonts w:eastAsia="Arial"/>
          <w:b/>
        </w:rPr>
        <w:t>EVALUATIONS</w:t>
      </w:r>
    </w:p>
    <w:p w14:paraId="471CC5FD" w14:textId="77777777" w:rsidR="000A40FE" w:rsidRPr="006E4C32" w:rsidRDefault="000A40FE" w:rsidP="006E4C32">
      <w:pPr>
        <w:spacing w:line="276" w:lineRule="auto"/>
        <w:rPr>
          <w:rFonts w:eastAsia="Times New Roman"/>
        </w:rPr>
      </w:pPr>
    </w:p>
    <w:p w14:paraId="2494B1DA" w14:textId="77777777" w:rsidR="0087547E" w:rsidRDefault="0087547E" w:rsidP="006E4C32">
      <w:pPr>
        <w:spacing w:line="276" w:lineRule="auto"/>
        <w:rPr>
          <w:rFonts w:eastAsia="Arial"/>
        </w:rPr>
      </w:pPr>
      <w:r>
        <w:rPr>
          <w:rFonts w:eastAsia="Arial"/>
        </w:rPr>
        <w:t>Deux évaluations sont prévues :</w:t>
      </w:r>
    </w:p>
    <w:p w14:paraId="3D0782BE" w14:textId="77777777" w:rsidR="00A972DE" w:rsidRPr="006E4C32" w:rsidRDefault="00A972DE" w:rsidP="006E4C32">
      <w:pPr>
        <w:spacing w:line="276" w:lineRule="auto"/>
        <w:rPr>
          <w:rFonts w:eastAsia="Arial"/>
        </w:rPr>
      </w:pPr>
    </w:p>
    <w:p w14:paraId="01D70362" w14:textId="262EC508" w:rsidR="0087547E" w:rsidRPr="00ED6EFB" w:rsidRDefault="0087547E" w:rsidP="00ED6EFB">
      <w:pPr>
        <w:spacing w:line="276" w:lineRule="auto"/>
        <w:rPr>
          <w:rFonts w:eastAsia="Arial"/>
        </w:rPr>
      </w:pPr>
      <w:r w:rsidRPr="00ED6EFB">
        <w:rPr>
          <w:rFonts w:eastAsia="Arial"/>
        </w:rPr>
        <w:t>L</w:t>
      </w:r>
      <w:r w:rsidR="00903265">
        <w:rPr>
          <w:rFonts w:eastAsia="Arial"/>
        </w:rPr>
        <w:t>es deux OE présenteront</w:t>
      </w:r>
      <w:r w:rsidRPr="00ED6EFB">
        <w:rPr>
          <w:rFonts w:eastAsia="Arial"/>
        </w:rPr>
        <w:t xml:space="preserve"> à la Banque les informations suivantes en vue de déterminer </w:t>
      </w:r>
      <w:r w:rsidR="004569EA" w:rsidRPr="00ED6EFB">
        <w:rPr>
          <w:rFonts w:eastAsia="Arial"/>
        </w:rPr>
        <w:t>l</w:t>
      </w:r>
      <w:r w:rsidRPr="00ED6EFB">
        <w:rPr>
          <w:rFonts w:eastAsia="Arial"/>
        </w:rPr>
        <w:t>e degr</w:t>
      </w:r>
      <w:r w:rsidR="004569EA" w:rsidRPr="00ED6EFB">
        <w:rPr>
          <w:rFonts w:eastAsia="Arial"/>
        </w:rPr>
        <w:t>é</w:t>
      </w:r>
      <w:r w:rsidRPr="00ED6EFB">
        <w:rPr>
          <w:rFonts w:eastAsia="Arial"/>
        </w:rPr>
        <w:t xml:space="preserve"> de </w:t>
      </w:r>
      <w:r w:rsidR="004569EA" w:rsidRPr="00ED6EFB">
        <w:rPr>
          <w:rFonts w:eastAsia="Arial"/>
        </w:rPr>
        <w:t>réalisation</w:t>
      </w:r>
      <w:r w:rsidRPr="00ED6EFB">
        <w:rPr>
          <w:rFonts w:eastAsia="Arial"/>
        </w:rPr>
        <w:t xml:space="preserve"> de l'objectif du Projet et ses </w:t>
      </w:r>
      <w:r w:rsidR="004569EA" w:rsidRPr="00ED6EFB">
        <w:rPr>
          <w:rFonts w:eastAsia="Arial"/>
        </w:rPr>
        <w:t>résultats</w:t>
      </w:r>
      <w:r w:rsidRPr="00ED6EFB">
        <w:rPr>
          <w:rFonts w:eastAsia="Arial"/>
        </w:rPr>
        <w:t xml:space="preserve"> :</w:t>
      </w:r>
    </w:p>
    <w:p w14:paraId="6B7C4857" w14:textId="3A5EA30A" w:rsidR="00354D88" w:rsidRPr="00ED6EFB" w:rsidRDefault="0087547E" w:rsidP="00ED6EFB">
      <w:pPr>
        <w:pStyle w:val="SubHeading1"/>
        <w:jc w:val="both"/>
        <w:rPr>
          <w:rFonts w:ascii="Times" w:eastAsia="Arial" w:hAnsi="Times" w:cstheme="minorBidi"/>
          <w:b w:val="0"/>
          <w:szCs w:val="24"/>
          <w:lang w:val="fr-FR"/>
        </w:rPr>
      </w:pPr>
      <w:r w:rsidRPr="00ED6EFB">
        <w:rPr>
          <w:rFonts w:eastAsia="Arial"/>
          <w:b w:val="0"/>
          <w:lang w:val="fr-FR"/>
        </w:rPr>
        <w:t xml:space="preserve">Dans les dix-huit (18) mois suivant la date </w:t>
      </w:r>
      <w:r w:rsidR="004569EA" w:rsidRPr="00ED6EFB">
        <w:rPr>
          <w:rFonts w:eastAsia="Arial"/>
          <w:b w:val="0"/>
          <w:lang w:val="fr-FR"/>
        </w:rPr>
        <w:t>à</w:t>
      </w:r>
      <w:r w:rsidRPr="00ED6EFB">
        <w:rPr>
          <w:rFonts w:eastAsia="Arial"/>
          <w:b w:val="0"/>
          <w:lang w:val="fr-FR"/>
        </w:rPr>
        <w:t xml:space="preserve"> laquelle intervient </w:t>
      </w:r>
      <w:r w:rsidR="004569EA" w:rsidRPr="00ED6EFB">
        <w:rPr>
          <w:rFonts w:eastAsia="Arial"/>
          <w:b w:val="0"/>
          <w:lang w:val="fr-FR"/>
        </w:rPr>
        <w:t>l</w:t>
      </w:r>
      <w:r w:rsidRPr="00ED6EFB">
        <w:rPr>
          <w:rFonts w:eastAsia="Arial"/>
          <w:b w:val="0"/>
          <w:lang w:val="fr-FR"/>
        </w:rPr>
        <w:t>e premier</w:t>
      </w:r>
      <w:r w:rsidR="004569EA" w:rsidRPr="00ED6EFB">
        <w:rPr>
          <w:rFonts w:eastAsia="Arial"/>
          <w:b w:val="0"/>
          <w:lang w:val="fr-FR"/>
        </w:rPr>
        <w:t xml:space="preserve"> </w:t>
      </w:r>
      <w:r w:rsidRPr="00ED6EFB">
        <w:rPr>
          <w:rFonts w:eastAsia="Arial"/>
          <w:b w:val="0"/>
          <w:lang w:val="fr-FR"/>
        </w:rPr>
        <w:t>d</w:t>
      </w:r>
      <w:r w:rsidR="004569EA" w:rsidRPr="00ED6EFB">
        <w:rPr>
          <w:rFonts w:eastAsia="Arial"/>
          <w:b w:val="0"/>
          <w:lang w:val="fr-FR"/>
        </w:rPr>
        <w:t>é</w:t>
      </w:r>
      <w:r w:rsidRPr="00ED6EFB">
        <w:rPr>
          <w:rFonts w:eastAsia="Arial"/>
          <w:b w:val="0"/>
          <w:lang w:val="fr-FR"/>
        </w:rPr>
        <w:t xml:space="preserve">caissement des ressources du Don, ou suivant </w:t>
      </w:r>
      <w:r w:rsidR="004569EA" w:rsidRPr="00ED6EFB">
        <w:rPr>
          <w:rFonts w:eastAsia="Arial"/>
          <w:b w:val="0"/>
          <w:lang w:val="fr-FR"/>
        </w:rPr>
        <w:t>l</w:t>
      </w:r>
      <w:r w:rsidRPr="00ED6EFB">
        <w:rPr>
          <w:rFonts w:eastAsia="Arial"/>
          <w:b w:val="0"/>
          <w:lang w:val="fr-FR"/>
        </w:rPr>
        <w:t xml:space="preserve">e </w:t>
      </w:r>
      <w:r w:rsidR="004569EA" w:rsidRPr="00ED6EFB">
        <w:rPr>
          <w:rFonts w:eastAsia="Arial"/>
          <w:b w:val="0"/>
          <w:lang w:val="fr-FR"/>
        </w:rPr>
        <w:t>décaissement</w:t>
      </w:r>
      <w:r w:rsidRPr="00ED6EFB">
        <w:rPr>
          <w:rFonts w:eastAsia="Arial"/>
          <w:b w:val="0"/>
          <w:lang w:val="fr-FR"/>
        </w:rPr>
        <w:t xml:space="preserve"> de vingt pour</w:t>
      </w:r>
      <w:r w:rsidR="004569EA" w:rsidRPr="00ED6EFB">
        <w:rPr>
          <w:rFonts w:eastAsia="Arial"/>
          <w:b w:val="0"/>
          <w:lang w:val="fr-FR"/>
        </w:rPr>
        <w:t xml:space="preserve"> </w:t>
      </w:r>
      <w:r w:rsidRPr="00ED6EFB">
        <w:rPr>
          <w:rFonts w:eastAsia="Arial"/>
          <w:b w:val="0"/>
          <w:lang w:val="fr-FR"/>
        </w:rPr>
        <w:t>cent (20%) des ressources du Don, selon ce qui arrivera en premier, un rapport</w:t>
      </w:r>
      <w:r w:rsidR="004569EA" w:rsidRPr="00ED6EFB">
        <w:rPr>
          <w:rFonts w:eastAsia="Arial"/>
          <w:b w:val="0"/>
          <w:lang w:val="fr-FR"/>
        </w:rPr>
        <w:t xml:space="preserve"> </w:t>
      </w:r>
      <w:r w:rsidRPr="00ED6EFB">
        <w:rPr>
          <w:rFonts w:eastAsia="Arial"/>
          <w:b w:val="0"/>
          <w:lang w:val="fr-FR"/>
        </w:rPr>
        <w:t>d'</w:t>
      </w:r>
      <w:r w:rsidR="004569EA" w:rsidRPr="00ED6EFB">
        <w:rPr>
          <w:rFonts w:eastAsia="Arial"/>
          <w:b w:val="0"/>
          <w:lang w:val="fr-FR"/>
        </w:rPr>
        <w:t>évaluation</w:t>
      </w:r>
      <w:r w:rsidRPr="00ED6EFB">
        <w:rPr>
          <w:rFonts w:eastAsia="Arial"/>
          <w:b w:val="0"/>
          <w:lang w:val="fr-FR"/>
        </w:rPr>
        <w:t xml:space="preserve"> initiale </w:t>
      </w:r>
      <w:r w:rsidR="000734CA" w:rsidRPr="00354D88">
        <w:rPr>
          <w:rFonts w:eastAsia="Arial"/>
          <w:b w:val="0"/>
          <w:lang w:val="fr-FR"/>
        </w:rPr>
        <w:t>étayant</w:t>
      </w:r>
      <w:r w:rsidRPr="00ED6EFB">
        <w:rPr>
          <w:rFonts w:eastAsia="Arial"/>
          <w:b w:val="0"/>
          <w:lang w:val="fr-FR"/>
        </w:rPr>
        <w:t xml:space="preserve"> les </w:t>
      </w:r>
      <w:r w:rsidR="004569EA" w:rsidRPr="00ED6EFB">
        <w:rPr>
          <w:rFonts w:eastAsia="Arial"/>
          <w:b w:val="0"/>
          <w:lang w:val="fr-FR"/>
        </w:rPr>
        <w:t>résultats</w:t>
      </w:r>
      <w:r w:rsidRPr="00ED6EFB">
        <w:rPr>
          <w:rFonts w:eastAsia="Arial"/>
          <w:b w:val="0"/>
          <w:lang w:val="fr-FR"/>
        </w:rPr>
        <w:t xml:space="preserve"> du Projet selon la Matrice des </w:t>
      </w:r>
      <w:r w:rsidR="004569EA" w:rsidRPr="00ED6EFB">
        <w:rPr>
          <w:rFonts w:eastAsia="Arial"/>
          <w:b w:val="0"/>
          <w:lang w:val="fr-FR"/>
        </w:rPr>
        <w:t xml:space="preserve">résultats </w:t>
      </w:r>
      <w:r w:rsidRPr="00ED6EFB">
        <w:rPr>
          <w:rFonts w:eastAsia="Arial"/>
          <w:b w:val="0"/>
          <w:lang w:val="fr-FR"/>
        </w:rPr>
        <w:t>du Projet et approfondissant les facteurs qui ont une incidence sur sa performance,</w:t>
      </w:r>
      <w:r w:rsidR="004569EA" w:rsidRPr="00ED6EFB">
        <w:rPr>
          <w:rFonts w:eastAsia="Arial"/>
          <w:b w:val="0"/>
          <w:lang w:val="fr-FR"/>
        </w:rPr>
        <w:t xml:space="preserve"> </w:t>
      </w:r>
      <w:r w:rsidRPr="00ED6EFB">
        <w:rPr>
          <w:rFonts w:eastAsia="Arial"/>
          <w:b w:val="0"/>
          <w:lang w:val="fr-FR"/>
        </w:rPr>
        <w:t xml:space="preserve">sur la base de la </w:t>
      </w:r>
      <w:r w:rsidR="004569EA" w:rsidRPr="00ED6EFB">
        <w:rPr>
          <w:rFonts w:eastAsia="Arial"/>
          <w:b w:val="0"/>
          <w:lang w:val="fr-FR"/>
        </w:rPr>
        <w:t>méthodologie</w:t>
      </w:r>
      <w:r w:rsidRPr="00ED6EFB">
        <w:rPr>
          <w:rFonts w:eastAsia="Arial"/>
          <w:b w:val="0"/>
          <w:lang w:val="fr-FR"/>
        </w:rPr>
        <w:t xml:space="preserve"> et </w:t>
      </w:r>
      <w:r w:rsidR="004569EA" w:rsidRPr="00ED6EFB">
        <w:rPr>
          <w:rFonts w:eastAsia="Arial"/>
          <w:b w:val="0"/>
          <w:lang w:val="fr-FR"/>
        </w:rPr>
        <w:t>conformément</w:t>
      </w:r>
      <w:r w:rsidRPr="00ED6EFB">
        <w:rPr>
          <w:rFonts w:eastAsia="Arial"/>
          <w:b w:val="0"/>
          <w:lang w:val="fr-FR"/>
        </w:rPr>
        <w:t xml:space="preserve"> aux directives figurant dans </w:t>
      </w:r>
      <w:r w:rsidR="004569EA" w:rsidRPr="00ED6EFB">
        <w:rPr>
          <w:rFonts w:eastAsia="Arial"/>
          <w:b w:val="0"/>
          <w:lang w:val="fr-FR"/>
        </w:rPr>
        <w:t>l</w:t>
      </w:r>
      <w:r w:rsidRPr="00ED6EFB">
        <w:rPr>
          <w:rFonts w:eastAsia="Arial"/>
          <w:b w:val="0"/>
          <w:lang w:val="fr-FR"/>
        </w:rPr>
        <w:t>e</w:t>
      </w:r>
      <w:r w:rsidR="004569EA" w:rsidRPr="00ED6EFB">
        <w:rPr>
          <w:rFonts w:eastAsia="Arial"/>
          <w:b w:val="0"/>
          <w:lang w:val="fr-FR"/>
        </w:rPr>
        <w:t xml:space="preserve"> </w:t>
      </w:r>
      <w:r w:rsidRPr="00ED6EFB">
        <w:rPr>
          <w:rFonts w:eastAsia="Arial"/>
          <w:b w:val="0"/>
          <w:lang w:val="fr-FR"/>
        </w:rPr>
        <w:t xml:space="preserve">Plan de suivi et </w:t>
      </w:r>
      <w:r w:rsidR="004569EA" w:rsidRPr="00ED6EFB">
        <w:rPr>
          <w:rFonts w:eastAsia="Arial"/>
          <w:b w:val="0"/>
          <w:lang w:val="fr-FR"/>
        </w:rPr>
        <w:t>évaluation</w:t>
      </w:r>
      <w:r w:rsidRPr="00ED6EFB">
        <w:rPr>
          <w:rFonts w:eastAsia="Arial"/>
          <w:b w:val="0"/>
          <w:lang w:val="fr-FR"/>
        </w:rPr>
        <w:t xml:space="preserve"> du Projet ; </w:t>
      </w:r>
    </w:p>
    <w:p w14:paraId="4103C284" w14:textId="77777777" w:rsidR="00354D88" w:rsidRPr="00354D88" w:rsidRDefault="00354D88" w:rsidP="00ED6EFB">
      <w:pPr>
        <w:spacing w:line="276" w:lineRule="auto"/>
        <w:jc w:val="both"/>
        <w:rPr>
          <w:rFonts w:eastAsia="Arial"/>
        </w:rPr>
      </w:pPr>
    </w:p>
    <w:p w14:paraId="542DF2C5" w14:textId="31BAB05D" w:rsidR="00033182" w:rsidRPr="006A1C58" w:rsidRDefault="0087547E" w:rsidP="00ED6EFB">
      <w:pPr>
        <w:pStyle w:val="SubHeading1"/>
        <w:jc w:val="both"/>
        <w:rPr>
          <w:rFonts w:eastAsia="Arial"/>
          <w:lang w:val="fr-FR"/>
        </w:rPr>
      </w:pPr>
      <w:r w:rsidRPr="00ED6EFB">
        <w:rPr>
          <w:rFonts w:eastAsia="Arial"/>
          <w:b w:val="0"/>
          <w:lang w:val="fr-FR"/>
        </w:rPr>
        <w:t xml:space="preserve">Suite au </w:t>
      </w:r>
      <w:r w:rsidR="004569EA" w:rsidRPr="00ED6EFB">
        <w:rPr>
          <w:rFonts w:eastAsia="Arial"/>
          <w:b w:val="0"/>
          <w:lang w:val="fr-FR"/>
        </w:rPr>
        <w:t>décaissement</w:t>
      </w:r>
      <w:r w:rsidRPr="00ED6EFB">
        <w:rPr>
          <w:rFonts w:eastAsia="Arial"/>
          <w:b w:val="0"/>
          <w:lang w:val="fr-FR"/>
        </w:rPr>
        <w:t xml:space="preserve"> de quatre-vingt pour cent (80%) des ressources du Don, un</w:t>
      </w:r>
      <w:r w:rsidR="00033182" w:rsidRPr="00ED6EFB">
        <w:rPr>
          <w:rFonts w:eastAsia="Arial"/>
          <w:b w:val="0"/>
          <w:lang w:val="fr-FR"/>
        </w:rPr>
        <w:t xml:space="preserve"> </w:t>
      </w:r>
      <w:r w:rsidRPr="00ED6EFB">
        <w:rPr>
          <w:rFonts w:eastAsia="Arial"/>
          <w:b w:val="0"/>
          <w:lang w:val="fr-FR"/>
        </w:rPr>
        <w:t>rapport d'</w:t>
      </w:r>
      <w:r w:rsidR="004569EA" w:rsidRPr="00ED6EFB">
        <w:rPr>
          <w:rFonts w:eastAsia="Arial"/>
          <w:b w:val="0"/>
          <w:lang w:val="fr-FR"/>
        </w:rPr>
        <w:t>évaluation</w:t>
      </w:r>
      <w:r w:rsidRPr="00ED6EFB">
        <w:rPr>
          <w:rFonts w:eastAsia="Arial"/>
          <w:b w:val="0"/>
          <w:lang w:val="fr-FR"/>
        </w:rPr>
        <w:t xml:space="preserve"> finale </w:t>
      </w:r>
      <w:r w:rsidR="004569EA" w:rsidRPr="00ED6EFB">
        <w:rPr>
          <w:rFonts w:eastAsia="Arial"/>
          <w:b w:val="0"/>
          <w:lang w:val="fr-FR"/>
        </w:rPr>
        <w:t>étayant</w:t>
      </w:r>
      <w:r w:rsidRPr="00ED6EFB">
        <w:rPr>
          <w:rFonts w:eastAsia="Arial"/>
          <w:b w:val="0"/>
          <w:lang w:val="fr-FR"/>
        </w:rPr>
        <w:t xml:space="preserve"> la </w:t>
      </w:r>
      <w:r w:rsidR="004569EA" w:rsidRPr="00ED6EFB">
        <w:rPr>
          <w:rFonts w:eastAsia="Arial"/>
          <w:b w:val="0"/>
          <w:lang w:val="fr-FR"/>
        </w:rPr>
        <w:t>réalisation</w:t>
      </w:r>
      <w:r w:rsidRPr="00ED6EFB">
        <w:rPr>
          <w:rFonts w:eastAsia="Arial"/>
          <w:b w:val="0"/>
          <w:lang w:val="fr-FR"/>
        </w:rPr>
        <w:t xml:space="preserve"> des cibles d'impact convenues et</w:t>
      </w:r>
      <w:r w:rsidR="004569EA" w:rsidRPr="00ED6EFB">
        <w:rPr>
          <w:rFonts w:eastAsia="Arial"/>
          <w:b w:val="0"/>
          <w:lang w:val="fr-FR"/>
        </w:rPr>
        <w:t xml:space="preserve"> </w:t>
      </w:r>
      <w:r w:rsidRPr="00ED6EFB">
        <w:rPr>
          <w:rFonts w:eastAsia="Arial"/>
          <w:b w:val="0"/>
          <w:lang w:val="fr-FR"/>
        </w:rPr>
        <w:t>les le</w:t>
      </w:r>
      <w:r w:rsidR="004569EA" w:rsidRPr="00ED6EFB">
        <w:rPr>
          <w:rFonts w:eastAsia="Arial"/>
          <w:b w:val="0"/>
          <w:lang w:val="fr-FR"/>
        </w:rPr>
        <w:t>ço</w:t>
      </w:r>
      <w:r w:rsidRPr="00ED6EFB">
        <w:rPr>
          <w:rFonts w:eastAsia="Arial"/>
          <w:b w:val="0"/>
          <w:lang w:val="fr-FR"/>
        </w:rPr>
        <w:t xml:space="preserve">ns apprises dans </w:t>
      </w:r>
      <w:r w:rsidR="00033182" w:rsidRPr="00ED6EFB">
        <w:rPr>
          <w:rFonts w:eastAsia="Arial"/>
          <w:b w:val="0"/>
          <w:lang w:val="fr-FR"/>
        </w:rPr>
        <w:t>l</w:t>
      </w:r>
      <w:r w:rsidRPr="00ED6EFB">
        <w:rPr>
          <w:rFonts w:eastAsia="Arial"/>
          <w:b w:val="0"/>
          <w:lang w:val="fr-FR"/>
        </w:rPr>
        <w:t>e contexte des facteurs qui ont eu une incidence sur la</w:t>
      </w:r>
      <w:r w:rsidR="00033182" w:rsidRPr="00ED6EFB">
        <w:rPr>
          <w:rFonts w:eastAsia="Arial"/>
          <w:b w:val="0"/>
          <w:lang w:val="fr-FR"/>
        </w:rPr>
        <w:t xml:space="preserve"> </w:t>
      </w:r>
      <w:r w:rsidRPr="00ED6EFB">
        <w:rPr>
          <w:rFonts w:eastAsia="Arial"/>
          <w:b w:val="0"/>
          <w:lang w:val="fr-FR"/>
        </w:rPr>
        <w:t>performance du Projet et incluant l'</w:t>
      </w:r>
      <w:r w:rsidR="00033182" w:rsidRPr="00ED6EFB">
        <w:rPr>
          <w:rFonts w:eastAsia="Arial"/>
          <w:b w:val="0"/>
          <w:lang w:val="fr-FR"/>
        </w:rPr>
        <w:t>évaluation</w:t>
      </w:r>
      <w:r w:rsidRPr="00ED6EFB">
        <w:rPr>
          <w:rFonts w:eastAsia="Arial"/>
          <w:b w:val="0"/>
          <w:lang w:val="fr-FR"/>
        </w:rPr>
        <w:t xml:space="preserve"> </w:t>
      </w:r>
      <w:r w:rsidR="00033182" w:rsidRPr="00ED6EFB">
        <w:rPr>
          <w:rFonts w:eastAsia="Arial"/>
          <w:b w:val="0"/>
          <w:lang w:val="fr-FR"/>
        </w:rPr>
        <w:t>socioéconomique</w:t>
      </w:r>
      <w:r w:rsidRPr="00ED6EFB">
        <w:rPr>
          <w:rFonts w:eastAsia="Arial"/>
          <w:b w:val="0"/>
          <w:lang w:val="fr-FR"/>
        </w:rPr>
        <w:t xml:space="preserve"> ex-post du Projet,</w:t>
      </w:r>
      <w:r w:rsidR="00033182" w:rsidRPr="00ED6EFB">
        <w:rPr>
          <w:rFonts w:eastAsia="Arial"/>
          <w:b w:val="0"/>
          <w:lang w:val="fr-FR"/>
        </w:rPr>
        <w:t xml:space="preserve"> </w:t>
      </w:r>
      <w:r w:rsidRPr="00ED6EFB">
        <w:rPr>
          <w:rFonts w:eastAsia="Arial"/>
          <w:b w:val="0"/>
          <w:lang w:val="fr-FR"/>
        </w:rPr>
        <w:t xml:space="preserve">sur la base de la </w:t>
      </w:r>
      <w:r w:rsidR="00033182" w:rsidRPr="00ED6EFB">
        <w:rPr>
          <w:rFonts w:eastAsia="Arial"/>
          <w:b w:val="0"/>
          <w:lang w:val="fr-FR"/>
        </w:rPr>
        <w:t>méthodologie</w:t>
      </w:r>
      <w:r w:rsidRPr="00ED6EFB">
        <w:rPr>
          <w:rFonts w:eastAsia="Arial"/>
          <w:b w:val="0"/>
          <w:lang w:val="fr-FR"/>
        </w:rPr>
        <w:t xml:space="preserve"> et </w:t>
      </w:r>
      <w:r w:rsidR="00033182" w:rsidRPr="00ED6EFB">
        <w:rPr>
          <w:rFonts w:eastAsia="Arial"/>
          <w:b w:val="0"/>
          <w:lang w:val="fr-FR"/>
        </w:rPr>
        <w:t>conformément</w:t>
      </w:r>
      <w:r w:rsidRPr="00ED6EFB">
        <w:rPr>
          <w:rFonts w:eastAsia="Arial"/>
          <w:b w:val="0"/>
          <w:lang w:val="fr-FR"/>
        </w:rPr>
        <w:t xml:space="preserve"> aux directives figurant dans </w:t>
      </w:r>
      <w:r w:rsidR="00033182" w:rsidRPr="00ED6EFB">
        <w:rPr>
          <w:rFonts w:eastAsia="Arial"/>
          <w:b w:val="0"/>
          <w:lang w:val="fr-FR"/>
        </w:rPr>
        <w:t>l</w:t>
      </w:r>
      <w:r w:rsidRPr="00ED6EFB">
        <w:rPr>
          <w:rFonts w:eastAsia="Arial"/>
          <w:b w:val="0"/>
          <w:lang w:val="fr-FR"/>
        </w:rPr>
        <w:t>e</w:t>
      </w:r>
      <w:r w:rsidR="00033182" w:rsidRPr="00ED6EFB">
        <w:rPr>
          <w:rFonts w:eastAsia="Arial"/>
          <w:b w:val="0"/>
          <w:lang w:val="fr-FR"/>
        </w:rPr>
        <w:t xml:space="preserve"> </w:t>
      </w:r>
      <w:r w:rsidRPr="00ED6EFB">
        <w:rPr>
          <w:rFonts w:eastAsia="Arial"/>
          <w:b w:val="0"/>
          <w:lang w:val="fr-FR"/>
        </w:rPr>
        <w:t xml:space="preserve">Plan de suivi et </w:t>
      </w:r>
      <w:r w:rsidR="00033182" w:rsidRPr="00ED6EFB">
        <w:rPr>
          <w:rFonts w:eastAsia="Arial"/>
          <w:b w:val="0"/>
          <w:lang w:val="fr-FR"/>
        </w:rPr>
        <w:t>évaluation</w:t>
      </w:r>
      <w:r w:rsidRPr="00ED6EFB">
        <w:rPr>
          <w:rFonts w:eastAsia="Arial"/>
          <w:b w:val="0"/>
          <w:lang w:val="fr-FR"/>
        </w:rPr>
        <w:t xml:space="preserve"> du Projet.</w:t>
      </w:r>
    </w:p>
    <w:p w14:paraId="50EB4776" w14:textId="77777777" w:rsidR="00033182" w:rsidRPr="00ED6EFB" w:rsidRDefault="00033182" w:rsidP="00ED6EFB">
      <w:pPr>
        <w:spacing w:line="276" w:lineRule="auto"/>
        <w:rPr>
          <w:rFonts w:eastAsia="Arial"/>
        </w:rPr>
      </w:pPr>
    </w:p>
    <w:p w14:paraId="2B4B3822" w14:textId="77777777" w:rsidR="000A40FE" w:rsidRPr="006E4C32" w:rsidRDefault="000A40FE" w:rsidP="00ED6EFB">
      <w:pPr>
        <w:pStyle w:val="ListParagraph"/>
        <w:rPr>
          <w:rFonts w:eastAsia="Times New Roman"/>
        </w:rPr>
      </w:pPr>
    </w:p>
    <w:p w14:paraId="0290F2CA" w14:textId="77777777" w:rsidR="0087547E" w:rsidRDefault="004F346D" w:rsidP="0006696B">
      <w:pPr>
        <w:pStyle w:val="ListParagraph"/>
        <w:numPr>
          <w:ilvl w:val="1"/>
          <w:numId w:val="30"/>
        </w:numPr>
        <w:tabs>
          <w:tab w:val="left" w:pos="580"/>
        </w:tabs>
        <w:spacing w:line="276" w:lineRule="auto"/>
        <w:rPr>
          <w:rFonts w:eastAsia="Arial"/>
          <w:b/>
        </w:rPr>
      </w:pPr>
      <w:r w:rsidRPr="004F346D">
        <w:rPr>
          <w:rFonts w:eastAsia="Arial"/>
          <w:b/>
        </w:rPr>
        <w:t>REUNIONS DE SUIVI</w:t>
      </w:r>
    </w:p>
    <w:p w14:paraId="64995D43" w14:textId="77777777" w:rsidR="0048101E" w:rsidRPr="004F346D" w:rsidRDefault="0048101E" w:rsidP="00ED6EFB">
      <w:pPr>
        <w:pStyle w:val="ListParagraph"/>
        <w:tabs>
          <w:tab w:val="left" w:pos="580"/>
        </w:tabs>
        <w:spacing w:line="276" w:lineRule="auto"/>
        <w:ind w:left="1080"/>
        <w:rPr>
          <w:rFonts w:eastAsia="Times New Roman"/>
        </w:rPr>
      </w:pPr>
    </w:p>
    <w:p w14:paraId="7DA3FD59" w14:textId="26C5C9B1" w:rsidR="004F346D" w:rsidRPr="00ED6EFB" w:rsidRDefault="004F346D" w:rsidP="00ED6EFB">
      <w:pPr>
        <w:spacing w:line="276" w:lineRule="auto"/>
        <w:jc w:val="both"/>
        <w:rPr>
          <w:rFonts w:eastAsia="Arial"/>
        </w:rPr>
      </w:pPr>
      <w:r w:rsidRPr="00ED6EFB">
        <w:rPr>
          <w:rFonts w:eastAsia="Arial"/>
        </w:rPr>
        <w:t xml:space="preserve">Des réunions d'évaluation conjointe avec la Banque se tiendront dans les trente (30) jours suivant la </w:t>
      </w:r>
      <w:r w:rsidR="0087547E" w:rsidRPr="00ED6EFB">
        <w:rPr>
          <w:rFonts w:eastAsia="Arial"/>
        </w:rPr>
        <w:t>réception</w:t>
      </w:r>
      <w:r w:rsidRPr="00ED6EFB">
        <w:rPr>
          <w:rFonts w:eastAsia="Arial"/>
        </w:rPr>
        <w:t xml:space="preserve"> des rapports semestriels d’avancement du projet. Le rapport correspondant au second semestre de chaque </w:t>
      </w:r>
      <w:r w:rsidR="0087547E" w:rsidRPr="00ED6EFB">
        <w:rPr>
          <w:rFonts w:eastAsia="Arial"/>
        </w:rPr>
        <w:t>année</w:t>
      </w:r>
      <w:r w:rsidRPr="00ED6EFB">
        <w:rPr>
          <w:rFonts w:eastAsia="Arial"/>
        </w:rPr>
        <w:t xml:space="preserve"> comprendra la proposition de POA pour l'</w:t>
      </w:r>
      <w:r w:rsidR="0087547E" w:rsidRPr="00ED6EFB">
        <w:rPr>
          <w:rFonts w:eastAsia="Arial"/>
        </w:rPr>
        <w:t>année</w:t>
      </w:r>
      <w:r w:rsidRPr="00ED6EFB">
        <w:rPr>
          <w:rFonts w:eastAsia="Arial"/>
        </w:rPr>
        <w:t xml:space="preserve"> suivante, qui devra avoir </w:t>
      </w:r>
      <w:r w:rsidR="0087547E" w:rsidRPr="00ED6EFB">
        <w:rPr>
          <w:rFonts w:eastAsia="Arial"/>
        </w:rPr>
        <w:t>été</w:t>
      </w:r>
      <w:r w:rsidRPr="00ED6EFB">
        <w:rPr>
          <w:rFonts w:eastAsia="Arial"/>
        </w:rPr>
        <w:t xml:space="preserve"> convenue avec la Banque lors de la </w:t>
      </w:r>
      <w:r w:rsidR="0087547E" w:rsidRPr="00ED6EFB">
        <w:rPr>
          <w:rFonts w:eastAsia="Arial"/>
        </w:rPr>
        <w:t>réunion</w:t>
      </w:r>
      <w:r w:rsidRPr="00ED6EFB">
        <w:rPr>
          <w:rFonts w:eastAsia="Arial"/>
        </w:rPr>
        <w:t xml:space="preserve"> d'</w:t>
      </w:r>
      <w:r w:rsidR="0087547E" w:rsidRPr="00ED6EFB">
        <w:rPr>
          <w:rFonts w:eastAsia="Arial"/>
        </w:rPr>
        <w:t>évaluation</w:t>
      </w:r>
      <w:r w:rsidRPr="00ED6EFB">
        <w:rPr>
          <w:rFonts w:eastAsia="Arial"/>
        </w:rPr>
        <w:t xml:space="preserve"> conjointe correspondante.</w:t>
      </w:r>
    </w:p>
    <w:p w14:paraId="7ADF0205" w14:textId="1811EE8A" w:rsidR="004F346D" w:rsidRDefault="004F346D" w:rsidP="00ED6EFB">
      <w:pPr>
        <w:autoSpaceDE w:val="0"/>
        <w:autoSpaceDN w:val="0"/>
        <w:adjustRightInd w:val="0"/>
        <w:jc w:val="both"/>
        <w:rPr>
          <w:rFonts w:eastAsia="Arial"/>
        </w:rPr>
      </w:pPr>
    </w:p>
    <w:p w14:paraId="79E34FA2" w14:textId="3D55D300" w:rsidR="00CF1942" w:rsidRDefault="00CF1942">
      <w:pPr>
        <w:rPr>
          <w:rFonts w:eastAsia="Arial"/>
        </w:rPr>
      </w:pPr>
      <w:r>
        <w:rPr>
          <w:rFonts w:eastAsia="Arial"/>
        </w:rPr>
        <w:br w:type="page"/>
      </w:r>
    </w:p>
    <w:p w14:paraId="208C8DA7" w14:textId="77777777" w:rsidR="006E4C32" w:rsidRDefault="006E4C32" w:rsidP="006E4C32">
      <w:pPr>
        <w:tabs>
          <w:tab w:val="left" w:pos="288"/>
        </w:tabs>
        <w:spacing w:line="276" w:lineRule="auto"/>
        <w:rPr>
          <w:rFonts w:eastAsia="Arial"/>
        </w:rPr>
      </w:pPr>
    </w:p>
    <w:p w14:paraId="0AA84AC2" w14:textId="77777777" w:rsidR="0079048A" w:rsidRPr="006E4C32" w:rsidRDefault="0079048A" w:rsidP="006E4C32">
      <w:pPr>
        <w:tabs>
          <w:tab w:val="left" w:pos="288"/>
        </w:tabs>
        <w:spacing w:line="276" w:lineRule="auto"/>
        <w:rPr>
          <w:rFonts w:eastAsia="Arial"/>
        </w:rPr>
      </w:pPr>
    </w:p>
    <w:p w14:paraId="2072EB12" w14:textId="31BA10D3" w:rsidR="0079048A" w:rsidRPr="006E4C32" w:rsidRDefault="008D5D1C" w:rsidP="0006696B">
      <w:pPr>
        <w:pStyle w:val="ListParagraph"/>
        <w:numPr>
          <w:ilvl w:val="0"/>
          <w:numId w:val="30"/>
        </w:numPr>
        <w:tabs>
          <w:tab w:val="left" w:pos="288"/>
        </w:tabs>
        <w:spacing w:line="276" w:lineRule="auto"/>
        <w:rPr>
          <w:rFonts w:eastAsia="Arial"/>
          <w:b/>
          <w:sz w:val="32"/>
        </w:rPr>
      </w:pPr>
      <w:r w:rsidRPr="006E4C32">
        <w:rPr>
          <w:rFonts w:eastAsia="Arial"/>
          <w:b/>
          <w:sz w:val="32"/>
        </w:rPr>
        <w:t>GESTION</w:t>
      </w:r>
      <w:r w:rsidR="0079048A" w:rsidRPr="006E4C32">
        <w:rPr>
          <w:rFonts w:eastAsia="Arial"/>
          <w:b/>
          <w:sz w:val="32"/>
        </w:rPr>
        <w:t xml:space="preserve"> ENVIRONNEMENTAL</w:t>
      </w:r>
      <w:r w:rsidR="005376EE" w:rsidRPr="006E4C32">
        <w:rPr>
          <w:rFonts w:eastAsia="Arial"/>
          <w:b/>
          <w:sz w:val="32"/>
        </w:rPr>
        <w:t>E</w:t>
      </w:r>
      <w:r w:rsidR="0079048A" w:rsidRPr="006E4C32">
        <w:rPr>
          <w:rFonts w:eastAsia="Arial"/>
          <w:b/>
          <w:sz w:val="32"/>
        </w:rPr>
        <w:t xml:space="preserve"> ET SOCIAL</w:t>
      </w:r>
      <w:r w:rsidRPr="006E4C32">
        <w:rPr>
          <w:rFonts w:eastAsia="Arial"/>
          <w:b/>
          <w:sz w:val="32"/>
        </w:rPr>
        <w:t>E</w:t>
      </w:r>
      <w:r w:rsidR="0079048A" w:rsidRPr="006E4C32">
        <w:rPr>
          <w:rFonts w:eastAsia="Arial"/>
          <w:b/>
          <w:sz w:val="32"/>
        </w:rPr>
        <w:t xml:space="preserve"> </w:t>
      </w:r>
    </w:p>
    <w:p w14:paraId="73B0D6B2" w14:textId="600B7103" w:rsidR="0079048A" w:rsidRDefault="0079048A" w:rsidP="006E4C32">
      <w:pPr>
        <w:tabs>
          <w:tab w:val="left" w:pos="288"/>
        </w:tabs>
        <w:spacing w:line="276" w:lineRule="auto"/>
        <w:rPr>
          <w:rFonts w:eastAsia="Arial"/>
        </w:rPr>
      </w:pPr>
    </w:p>
    <w:p w14:paraId="067BE127" w14:textId="39F96677" w:rsidR="003C51DD" w:rsidRPr="003C51DD" w:rsidRDefault="003C51DD" w:rsidP="003C51DD">
      <w:pPr>
        <w:tabs>
          <w:tab w:val="left" w:pos="288"/>
        </w:tabs>
        <w:spacing w:before="160" w:after="160" w:line="276" w:lineRule="auto"/>
        <w:jc w:val="both"/>
        <w:rPr>
          <w:rFonts w:eastAsia="Arial"/>
        </w:rPr>
      </w:pPr>
      <w:r w:rsidRPr="003C51DD">
        <w:rPr>
          <w:rFonts w:eastAsia="Arial"/>
        </w:rPr>
        <w:t xml:space="preserve">Il incombe </w:t>
      </w:r>
      <w:r w:rsidR="00CF1942">
        <w:rPr>
          <w:rFonts w:eastAsia="Arial"/>
        </w:rPr>
        <w:t>aux deux OE</w:t>
      </w:r>
      <w:r w:rsidRPr="003C51DD">
        <w:rPr>
          <w:rFonts w:eastAsia="Arial"/>
        </w:rPr>
        <w:t xml:space="preserve"> de veiller à ce que toutes les activités du projet soient conformes aux requêtes énoncées dans les trois documents qui régissent les exigences ES du projet, ceux-ci cités ensuite : l’Accord de don, le ESMR, le MO.</w:t>
      </w:r>
    </w:p>
    <w:p w14:paraId="59795ADA" w14:textId="2B755D2E" w:rsidR="003C51DD" w:rsidRPr="003C51DD" w:rsidRDefault="00B53854" w:rsidP="003C51DD">
      <w:pPr>
        <w:keepNext/>
        <w:keepLines/>
        <w:numPr>
          <w:ilvl w:val="1"/>
          <w:numId w:val="0"/>
        </w:numPr>
        <w:spacing w:before="200" w:after="200" w:line="276" w:lineRule="auto"/>
        <w:ind w:left="576" w:hanging="576"/>
        <w:jc w:val="both"/>
        <w:outlineLvl w:val="1"/>
        <w:rPr>
          <w:rFonts w:ascii="Times New Roman" w:eastAsia="Arial" w:hAnsi="Times New Roman" w:cstheme="majorBidi"/>
          <w:b/>
          <w:bCs/>
          <w:szCs w:val="26"/>
          <w:lang w:eastAsia="es-CO"/>
        </w:rPr>
      </w:pPr>
      <w:r>
        <w:rPr>
          <w:rFonts w:ascii="Times New Roman" w:eastAsia="Arial" w:hAnsi="Times New Roman" w:cstheme="majorBidi"/>
          <w:b/>
          <w:bCs/>
          <w:szCs w:val="26"/>
          <w:lang w:eastAsia="es-CO"/>
        </w:rPr>
        <w:t xml:space="preserve">5.1 </w:t>
      </w:r>
      <w:r w:rsidR="003C51DD" w:rsidRPr="003C51DD">
        <w:rPr>
          <w:rFonts w:ascii="Times New Roman" w:eastAsia="Arial" w:hAnsi="Times New Roman" w:cstheme="majorBidi"/>
          <w:b/>
          <w:bCs/>
          <w:szCs w:val="26"/>
          <w:lang w:eastAsia="es-CO"/>
        </w:rPr>
        <w:t xml:space="preserve">Système de suivi environnemental et social </w:t>
      </w:r>
    </w:p>
    <w:p w14:paraId="1F9F3430" w14:textId="77777777" w:rsidR="003C51DD" w:rsidRPr="003C51DD" w:rsidRDefault="003C51DD" w:rsidP="003C51DD">
      <w:pPr>
        <w:tabs>
          <w:tab w:val="left" w:pos="288"/>
        </w:tabs>
        <w:spacing w:before="160" w:after="160" w:line="276" w:lineRule="auto"/>
        <w:jc w:val="both"/>
        <w:rPr>
          <w:rFonts w:eastAsia="Arial"/>
        </w:rPr>
      </w:pPr>
      <w:r w:rsidRPr="003C51DD">
        <w:rPr>
          <w:rFonts w:eastAsia="Arial"/>
        </w:rPr>
        <w:t xml:space="preserve">Le système de suivi environnemental et social est composé des parties suivantes : </w:t>
      </w:r>
    </w:p>
    <w:p w14:paraId="39A1EADB" w14:textId="77777777" w:rsidR="003C51DD" w:rsidRPr="003C51DD" w:rsidRDefault="003C51DD" w:rsidP="0006696B">
      <w:pPr>
        <w:numPr>
          <w:ilvl w:val="0"/>
          <w:numId w:val="8"/>
        </w:numPr>
        <w:tabs>
          <w:tab w:val="left" w:pos="620"/>
        </w:tabs>
        <w:spacing w:before="160" w:after="160" w:line="276" w:lineRule="auto"/>
        <w:jc w:val="both"/>
        <w:rPr>
          <w:rFonts w:eastAsia="Arial" w:cs="Times New Roman"/>
        </w:rPr>
      </w:pPr>
      <w:r w:rsidRPr="003C51DD">
        <w:rPr>
          <w:rFonts w:eastAsia="Arial"/>
          <w:b/>
        </w:rPr>
        <w:t>Rapport de Conformité en matière d’ESSS</w:t>
      </w:r>
      <w:r w:rsidRPr="003C51DD">
        <w:rPr>
          <w:rFonts w:eastAsia="Arial"/>
        </w:rPr>
        <w:t xml:space="preserve"> (ESCR). Le rapport sera soumis par l’agence d’exécution trimestriellement pendant la construction et semestriellement pendant deux ans après l’achèvement de la construction. Ce rapport contiendra l’harmonie des activités avec les mesures d’atténuation et/ou d’indemnisation spécifiées dans les ESA, PGAS et tous les plans y composant. Un chapitre contiendra les mesures de gestion réalisées ainsi que les structures de l'agence d'exécution impliquées. Ce rapport sera préparé par le spécialiste environnemental et par l’unité de supervision de </w:t>
      </w:r>
      <w:r w:rsidRPr="003C51DD">
        <w:rPr>
          <w:rFonts w:eastAsia="Arial" w:cs="Times New Roman"/>
        </w:rPr>
        <w:t xml:space="preserve">l’unité d’exécution du projet (UEP). </w:t>
      </w:r>
      <w:r w:rsidRPr="003C51DD">
        <w:rPr>
          <w:rFonts w:eastAsia="Arial"/>
        </w:rPr>
        <w:t xml:space="preserve">Le contenu et la forme des ESCR devront être convenus avec la Banque. À noter que la conformité aux ESSS est une condition requise pour chaque décaissement. </w:t>
      </w:r>
    </w:p>
    <w:p w14:paraId="13BBB019" w14:textId="77777777" w:rsidR="003C51DD" w:rsidRPr="003C51DD" w:rsidRDefault="003C51DD" w:rsidP="003C51DD">
      <w:pPr>
        <w:tabs>
          <w:tab w:val="left" w:pos="620"/>
        </w:tabs>
        <w:spacing w:before="160" w:after="160" w:line="276" w:lineRule="auto"/>
        <w:ind w:left="620"/>
        <w:jc w:val="both"/>
        <w:rPr>
          <w:rFonts w:eastAsia="Arial" w:cs="Times New Roman"/>
        </w:rPr>
      </w:pPr>
      <w:r w:rsidRPr="003C51DD">
        <w:rPr>
          <w:rFonts w:eastAsia="Arial"/>
        </w:rPr>
        <w:t>Les rapports ESCR seront accompagnés d’une présentation en format PowerPoint</w:t>
      </w:r>
      <w:r w:rsidRPr="003C51DD">
        <w:rPr>
          <w:rFonts w:eastAsia="Arial" w:cs="Times New Roman"/>
        </w:rPr>
        <w:t xml:space="preserve">. </w:t>
      </w:r>
    </w:p>
    <w:p w14:paraId="225F6F13" w14:textId="77777777" w:rsidR="003C51DD" w:rsidRPr="003C51DD" w:rsidRDefault="003C51DD" w:rsidP="0006696B">
      <w:pPr>
        <w:numPr>
          <w:ilvl w:val="0"/>
          <w:numId w:val="8"/>
        </w:numPr>
        <w:tabs>
          <w:tab w:val="left" w:pos="620"/>
        </w:tabs>
        <w:spacing w:before="160" w:after="160" w:line="276" w:lineRule="auto"/>
        <w:jc w:val="both"/>
        <w:rPr>
          <w:rFonts w:eastAsia="Arial" w:cs="Times New Roman"/>
        </w:rPr>
      </w:pPr>
      <w:r w:rsidRPr="003C51DD">
        <w:rPr>
          <w:rFonts w:eastAsia="Arial" w:cs="Times New Roman"/>
          <w:b/>
        </w:rPr>
        <w:t>Fiches mensuelles des chantiers</w:t>
      </w:r>
      <w:r w:rsidRPr="003C51DD">
        <w:rPr>
          <w:rFonts w:eastAsia="Arial" w:cs="Times New Roman"/>
        </w:rPr>
        <w:t xml:space="preserve">. Ces fiches contiendront la conformité en matière de PGAS, et les plans y composant, pour chaque lot des marchés. Ces fiches seront accordées en forme et contenu avec la Banque et avec le spécialiste environnemental de l’UEP. Les fiches mensuelles seront remplies par l’unité de supervision sur la base des visites hebdomadaires aux sites de travaux où des fiches hebdomadaires seront aussi remplies. </w:t>
      </w:r>
    </w:p>
    <w:p w14:paraId="4234E406" w14:textId="77777777" w:rsidR="003C51DD" w:rsidRPr="003C51DD" w:rsidRDefault="003C51DD" w:rsidP="0006696B">
      <w:pPr>
        <w:numPr>
          <w:ilvl w:val="0"/>
          <w:numId w:val="8"/>
        </w:numPr>
        <w:tabs>
          <w:tab w:val="left" w:pos="620"/>
        </w:tabs>
        <w:spacing w:before="160" w:after="160" w:line="276" w:lineRule="auto"/>
        <w:jc w:val="both"/>
        <w:rPr>
          <w:rFonts w:eastAsia="Arial" w:cs="Times New Roman"/>
        </w:rPr>
      </w:pPr>
      <w:r w:rsidRPr="003C51DD">
        <w:rPr>
          <w:rFonts w:eastAsia="Arial" w:cs="Times New Roman"/>
          <w:b/>
        </w:rPr>
        <w:t xml:space="preserve">Chapitre dans le rapport </w:t>
      </w:r>
      <w:r w:rsidRPr="003C51DD">
        <w:rPr>
          <w:rFonts w:eastAsia="Arial"/>
          <w:b/>
        </w:rPr>
        <w:t>semestriel de progrès du projet,</w:t>
      </w:r>
      <w:r w:rsidRPr="003C51DD">
        <w:rPr>
          <w:rFonts w:eastAsia="Arial"/>
        </w:rPr>
        <w:t xml:space="preserve"> </w:t>
      </w:r>
      <w:r w:rsidRPr="003C51DD">
        <w:rPr>
          <w:rFonts w:eastAsia="Arial" w:cs="Times New Roman"/>
        </w:rPr>
        <w:t>comme spécifié dans le chapitre antérieur</w:t>
      </w:r>
      <w:r w:rsidRPr="003C51DD">
        <w:rPr>
          <w:rFonts w:eastAsia="Arial"/>
        </w:rPr>
        <w:t>. Ce chapitre sera préparé par le spécialiste environnemental de l’UEP. Le chapitre rassemblera les aspects les plus importants des ESCR et des fiches mensuelles des chantiers.</w:t>
      </w:r>
    </w:p>
    <w:p w14:paraId="021C95E5" w14:textId="77777777" w:rsidR="003C51DD" w:rsidRPr="003C51DD" w:rsidRDefault="003C51DD" w:rsidP="003C51DD">
      <w:pPr>
        <w:tabs>
          <w:tab w:val="left" w:pos="620"/>
        </w:tabs>
        <w:spacing w:before="160" w:after="160" w:line="276" w:lineRule="auto"/>
        <w:ind w:left="620"/>
        <w:jc w:val="both"/>
        <w:rPr>
          <w:rFonts w:eastAsia="Arial" w:cs="Times New Roman"/>
        </w:rPr>
      </w:pPr>
      <w:r w:rsidRPr="003C51DD">
        <w:rPr>
          <w:rFonts w:eastAsia="Arial" w:cs="Times New Roman"/>
        </w:rPr>
        <w:t xml:space="preserve">Le chapitre ES sera également résumé dans une présentation en format PowerPoint. La Banque </w:t>
      </w:r>
      <w:r w:rsidRPr="003C51DD">
        <w:rPr>
          <w:rFonts w:eastAsia="Arial"/>
        </w:rPr>
        <w:t>pourra solliciter au spécialiste environnemental de la UEP de faire la présentation dans les réunions de suivi du projet.</w:t>
      </w:r>
    </w:p>
    <w:p w14:paraId="1DAF3242" w14:textId="77777777" w:rsidR="003C51DD" w:rsidRPr="003C51DD" w:rsidRDefault="003C51DD" w:rsidP="0006696B">
      <w:pPr>
        <w:numPr>
          <w:ilvl w:val="0"/>
          <w:numId w:val="8"/>
        </w:numPr>
        <w:tabs>
          <w:tab w:val="left" w:pos="620"/>
        </w:tabs>
        <w:spacing w:before="160" w:after="160" w:line="276" w:lineRule="auto"/>
        <w:jc w:val="both"/>
        <w:rPr>
          <w:rFonts w:eastAsia="Arial" w:cs="Times New Roman"/>
        </w:rPr>
      </w:pPr>
      <w:r w:rsidRPr="003C51DD">
        <w:rPr>
          <w:rFonts w:eastAsia="Arial" w:cs="Times New Roman"/>
        </w:rPr>
        <w:t xml:space="preserve">L’agence d’exécution et ses structures impliquées dans la gestion et l’exécution du projet doivent coopérer pleinement avec la Banque, ou avec un consultant en matière de </w:t>
      </w:r>
      <w:r w:rsidRPr="003C51DD">
        <w:rPr>
          <w:rFonts w:eastAsia="Arial" w:cs="Times New Roman"/>
        </w:rPr>
        <w:lastRenderedPageBreak/>
        <w:t>ESSS en son nom, pour effectuer la supervision du projet et préparer des rapports de supervision.</w:t>
      </w:r>
    </w:p>
    <w:p w14:paraId="6527CD11" w14:textId="77777777" w:rsidR="003C51DD" w:rsidRPr="003C51DD" w:rsidRDefault="003C51DD" w:rsidP="0006696B">
      <w:pPr>
        <w:numPr>
          <w:ilvl w:val="0"/>
          <w:numId w:val="8"/>
        </w:numPr>
        <w:tabs>
          <w:tab w:val="left" w:pos="620"/>
        </w:tabs>
        <w:spacing w:before="160" w:after="160" w:line="276" w:lineRule="auto"/>
        <w:jc w:val="both"/>
        <w:rPr>
          <w:rFonts w:eastAsia="Arial" w:cs="Times New Roman"/>
        </w:rPr>
      </w:pPr>
      <w:r w:rsidRPr="003C51DD">
        <w:rPr>
          <w:rFonts w:eastAsia="Arial" w:cs="Times New Roman"/>
        </w:rPr>
        <w:t>Le système de suivi compte avec des structures de surveillance comme spécifié dans la section &lt;&lt;</w:t>
      </w:r>
      <w:r w:rsidRPr="003C51DD">
        <w:rPr>
          <w:rFonts w:eastAsia="Arial"/>
        </w:rPr>
        <w:t xml:space="preserve"> Structure responsable du suivi environnemental et social </w:t>
      </w:r>
      <w:r w:rsidRPr="003C51DD">
        <w:rPr>
          <w:rFonts w:eastAsia="Arial" w:cs="Times New Roman"/>
        </w:rPr>
        <w:t>&gt;&gt; ci-dessous.</w:t>
      </w:r>
    </w:p>
    <w:p w14:paraId="715D7C46" w14:textId="3C5072E5" w:rsidR="00B53854" w:rsidRPr="003C51DD" w:rsidRDefault="00B53854" w:rsidP="00B53854">
      <w:pPr>
        <w:keepNext/>
        <w:keepLines/>
        <w:numPr>
          <w:ilvl w:val="1"/>
          <w:numId w:val="0"/>
        </w:numPr>
        <w:spacing w:before="200" w:after="200" w:line="276" w:lineRule="auto"/>
        <w:ind w:left="576" w:hanging="576"/>
        <w:jc w:val="both"/>
        <w:outlineLvl w:val="1"/>
        <w:rPr>
          <w:rFonts w:ascii="Times New Roman" w:eastAsia="Arial" w:hAnsi="Times New Roman" w:cstheme="majorBidi"/>
          <w:b/>
          <w:bCs/>
          <w:szCs w:val="26"/>
          <w:lang w:eastAsia="es-CO"/>
        </w:rPr>
      </w:pPr>
      <w:r>
        <w:rPr>
          <w:rFonts w:ascii="Times New Roman" w:eastAsia="Arial" w:hAnsi="Times New Roman" w:cstheme="majorBidi"/>
          <w:b/>
          <w:bCs/>
          <w:szCs w:val="26"/>
          <w:lang w:eastAsia="es-CO"/>
        </w:rPr>
        <w:t>5.2 A</w:t>
      </w:r>
      <w:r w:rsidR="003C51DD" w:rsidRPr="003C51DD">
        <w:rPr>
          <w:rFonts w:ascii="Times New Roman" w:eastAsia="Arial" w:hAnsi="Times New Roman" w:cstheme="majorBidi"/>
          <w:b/>
          <w:bCs/>
          <w:szCs w:val="26"/>
          <w:lang w:eastAsia="es-CO"/>
        </w:rPr>
        <w:t xml:space="preserve">utres exigences </w:t>
      </w:r>
    </w:p>
    <w:p w14:paraId="7D7EAA4C" w14:textId="77777777" w:rsidR="003C51DD" w:rsidRPr="003C51DD" w:rsidRDefault="003C51DD" w:rsidP="0006696B">
      <w:pPr>
        <w:numPr>
          <w:ilvl w:val="0"/>
          <w:numId w:val="26"/>
        </w:numPr>
        <w:tabs>
          <w:tab w:val="left" w:pos="620"/>
        </w:tabs>
        <w:spacing w:before="160" w:after="160" w:line="276" w:lineRule="auto"/>
        <w:ind w:left="620" w:hanging="368"/>
        <w:jc w:val="both"/>
        <w:rPr>
          <w:rFonts w:eastAsia="Arial" w:cs="Times New Roman"/>
        </w:rPr>
      </w:pPr>
      <w:r w:rsidRPr="003C51DD">
        <w:rPr>
          <w:rFonts w:eastAsia="Arial" w:cs="Times New Roman"/>
        </w:rPr>
        <w:t xml:space="preserve">Des PDPP annuels seront préparés en conformité avec le PDPP du projet annexé dans ce MO. Les PDPP annuels seront annexés au POA, à exception de la première année du projet dont le PDPP sera présenté avant la signature du premier contrat du premier marché prévue. La réalisation des PDPP sera coordonnée par le spécialiste environnemental du projet. La réalisation des PDPP requiert la consultation et la concertation avec toutes les structures de l’UEP, avec des autres structures de l’agence d’exécution et avec la Banque. </w:t>
      </w:r>
    </w:p>
    <w:p w14:paraId="7F582EBA" w14:textId="77777777" w:rsidR="003C51DD" w:rsidRPr="003C51DD" w:rsidRDefault="003C51DD" w:rsidP="0006696B">
      <w:pPr>
        <w:numPr>
          <w:ilvl w:val="0"/>
          <w:numId w:val="26"/>
        </w:numPr>
        <w:tabs>
          <w:tab w:val="left" w:pos="620"/>
        </w:tabs>
        <w:spacing w:before="160" w:after="160" w:line="276" w:lineRule="auto"/>
        <w:ind w:left="620" w:hanging="368"/>
        <w:jc w:val="both"/>
        <w:rPr>
          <w:rFonts w:eastAsia="Arial" w:cs="Times New Roman"/>
        </w:rPr>
      </w:pPr>
      <w:r w:rsidRPr="003C51DD">
        <w:rPr>
          <w:rFonts w:eastAsia="Arial" w:cs="Times New Roman"/>
        </w:rPr>
        <w:t>Des ESA (PESA), incluant une ERC, seront réalisés pour chaque investissement sur la base des PESA existantes qui concernent un échantillon des investissements du projet</w:t>
      </w:r>
      <w:r w:rsidRPr="003C51DD">
        <w:rPr>
          <w:rFonts w:eastAsia="Arial" w:cs="Times New Roman"/>
          <w:vertAlign w:val="superscript"/>
        </w:rPr>
        <w:footnoteReference w:id="1"/>
      </w:r>
      <w:r w:rsidRPr="003C51DD">
        <w:rPr>
          <w:rFonts w:eastAsia="Arial" w:cs="Times New Roman"/>
        </w:rPr>
        <w:t>. Chaque ESA inclura un PGES, y compris le PGRC. Les ESA (et les ERC, PGES et PGRC inclus) doivent être intégrées dans le processus d'AO pour chaque projet. Cette documentation sera préparée par le spécialiste environnemental.</w:t>
      </w:r>
    </w:p>
    <w:p w14:paraId="75057EFE" w14:textId="77777777" w:rsidR="003C51DD" w:rsidRPr="003C51DD" w:rsidRDefault="003C51DD" w:rsidP="003C51DD">
      <w:pPr>
        <w:tabs>
          <w:tab w:val="left" w:pos="620"/>
        </w:tabs>
        <w:spacing w:before="160" w:after="160" w:line="276" w:lineRule="auto"/>
        <w:ind w:left="620"/>
        <w:jc w:val="both"/>
        <w:rPr>
          <w:rFonts w:eastAsia="Arial" w:cs="Times New Roman"/>
        </w:rPr>
      </w:pPr>
      <w:r w:rsidRPr="003C51DD">
        <w:rPr>
          <w:rFonts w:eastAsia="Arial" w:cs="Times New Roman"/>
        </w:rPr>
        <w:t>Dans la cadre de préparation et d’élaboration des PGES, il est nécessaire la préparation et la mise en place d'un PRME avant de commencer les travaux dans les zones où le déplacement économique ne peut être évité grâce à des mesures d'atténuation identifiées.</w:t>
      </w:r>
    </w:p>
    <w:p w14:paraId="6EE5C5FD" w14:textId="77777777" w:rsidR="003C51DD" w:rsidRPr="003C51DD" w:rsidRDefault="003C51DD" w:rsidP="0006696B">
      <w:pPr>
        <w:numPr>
          <w:ilvl w:val="0"/>
          <w:numId w:val="26"/>
        </w:numPr>
        <w:tabs>
          <w:tab w:val="left" w:pos="620"/>
        </w:tabs>
        <w:spacing w:before="160" w:after="160" w:line="276" w:lineRule="auto"/>
        <w:ind w:left="620" w:hanging="368"/>
        <w:jc w:val="both"/>
        <w:rPr>
          <w:rFonts w:eastAsia="Arial"/>
        </w:rPr>
      </w:pPr>
      <w:r w:rsidRPr="003C51DD">
        <w:rPr>
          <w:rFonts w:eastAsia="Arial"/>
        </w:rPr>
        <w:t>L'approbation des PGES est condition sine qua non pour le début des travaux</w:t>
      </w:r>
    </w:p>
    <w:p w14:paraId="7FE97484" w14:textId="77777777" w:rsidR="003C51DD" w:rsidRPr="003C51DD" w:rsidRDefault="003C51DD" w:rsidP="0006696B">
      <w:pPr>
        <w:numPr>
          <w:ilvl w:val="0"/>
          <w:numId w:val="26"/>
        </w:numPr>
        <w:tabs>
          <w:tab w:val="left" w:pos="620"/>
        </w:tabs>
        <w:spacing w:before="160" w:after="160" w:line="276" w:lineRule="auto"/>
        <w:ind w:left="620" w:hanging="368"/>
        <w:jc w:val="both"/>
        <w:rPr>
          <w:rFonts w:eastAsia="Arial"/>
        </w:rPr>
      </w:pPr>
      <w:r w:rsidRPr="003C51DD">
        <w:rPr>
          <w:rFonts w:eastAsia="Arial"/>
        </w:rPr>
        <w:t xml:space="preserve">Avant de commencer les travaux à Diquini si le déplacement économique ne peut être évité grâce aux mesures d'atténuation identifiées, le PRME sera préparé par l’agence d’exécution aussi que sa mise en œuvre. </w:t>
      </w:r>
    </w:p>
    <w:p w14:paraId="3A27E4AA" w14:textId="77777777" w:rsidR="003C51DD" w:rsidRPr="003C51DD" w:rsidRDefault="003C51DD" w:rsidP="0006696B">
      <w:pPr>
        <w:numPr>
          <w:ilvl w:val="0"/>
          <w:numId w:val="26"/>
        </w:numPr>
        <w:tabs>
          <w:tab w:val="left" w:pos="620"/>
        </w:tabs>
        <w:spacing w:before="160" w:after="160" w:line="276" w:lineRule="auto"/>
        <w:ind w:left="620" w:hanging="368"/>
        <w:jc w:val="both"/>
        <w:rPr>
          <w:rFonts w:eastAsia="Arial"/>
        </w:rPr>
      </w:pPr>
      <w:r w:rsidRPr="003C51DD">
        <w:rPr>
          <w:rFonts w:eastAsia="Arial" w:cs="Times New Roman"/>
        </w:rPr>
        <w:t>Les EA, notamment les PGES, les ERC et les PGRC qui l'accompagnent, seront préparés pour la phase d’opération et d’entretien de chaque projet qui ne fait pas partie de l'échantillon</w:t>
      </w:r>
      <w:r w:rsidRPr="003C51DD">
        <w:rPr>
          <w:rFonts w:eastAsia="Arial" w:cs="Times New Roman"/>
          <w:vertAlign w:val="superscript"/>
        </w:rPr>
        <w:footnoteReference w:id="2"/>
      </w:r>
      <w:r w:rsidRPr="003C51DD">
        <w:rPr>
          <w:rFonts w:eastAsia="Arial" w:cs="Times New Roman"/>
        </w:rPr>
        <w:t xml:space="preserve">. </w:t>
      </w:r>
    </w:p>
    <w:p w14:paraId="277C1936" w14:textId="77777777" w:rsidR="003C51DD" w:rsidRPr="003C51DD" w:rsidRDefault="003C51DD" w:rsidP="0006696B">
      <w:pPr>
        <w:numPr>
          <w:ilvl w:val="0"/>
          <w:numId w:val="26"/>
        </w:numPr>
        <w:tabs>
          <w:tab w:val="left" w:pos="620"/>
        </w:tabs>
        <w:spacing w:before="160" w:after="160" w:line="276" w:lineRule="auto"/>
        <w:ind w:left="620" w:hanging="368"/>
        <w:jc w:val="both"/>
        <w:rPr>
          <w:rFonts w:eastAsia="Arial"/>
        </w:rPr>
      </w:pPr>
      <w:r w:rsidRPr="003C51DD">
        <w:rPr>
          <w:rFonts w:eastAsia="Arial"/>
        </w:rPr>
        <w:t xml:space="preserve">L'agence d'exécution doit notifier par écrit à la Banque, dans un délai de dix (10) jours, tout (1) non-respect potentiel ou réel des exigences environnementales et sociales; (2) accidents, incidents ou autres événements importants; (3) conflits sociaux réels ou imminents importants; (4) mesure de réglementation en matière </w:t>
      </w:r>
      <w:r w:rsidRPr="003C51DD">
        <w:rPr>
          <w:rFonts w:eastAsia="Arial"/>
        </w:rPr>
        <w:lastRenderedPageBreak/>
        <w:t>d’ESSS; ou (5) risques et impacts environnementaux et sociaux nouvellement identifiés, qui peuvent affecter les aspects environnementaux et sociaux de l'Opération; dans chaque cas, une telle notification doit inclure les mesures prises ou proposées concernant ces événements.</w:t>
      </w:r>
    </w:p>
    <w:p w14:paraId="5EE00315" w14:textId="1C39C4EC" w:rsidR="003C51DD" w:rsidRPr="003C51DD" w:rsidRDefault="00B53854" w:rsidP="003C51DD">
      <w:pPr>
        <w:keepNext/>
        <w:keepLines/>
        <w:numPr>
          <w:ilvl w:val="1"/>
          <w:numId w:val="0"/>
        </w:numPr>
        <w:spacing w:before="200" w:after="200"/>
        <w:ind w:left="576" w:hanging="576"/>
        <w:jc w:val="both"/>
        <w:outlineLvl w:val="1"/>
        <w:rPr>
          <w:rFonts w:ascii="Times New Roman" w:eastAsia="Arial" w:hAnsi="Times New Roman" w:cstheme="majorBidi"/>
          <w:b/>
          <w:bCs/>
          <w:szCs w:val="26"/>
          <w:lang w:eastAsia="es-CO"/>
        </w:rPr>
      </w:pPr>
      <w:r>
        <w:rPr>
          <w:rFonts w:ascii="Times New Roman" w:eastAsia="Arial" w:hAnsi="Times New Roman" w:cstheme="majorBidi"/>
          <w:b/>
          <w:bCs/>
          <w:szCs w:val="26"/>
          <w:lang w:eastAsia="es-CO"/>
        </w:rPr>
        <w:t xml:space="preserve">5.3 </w:t>
      </w:r>
      <w:r w:rsidR="003C51DD" w:rsidRPr="003C51DD">
        <w:rPr>
          <w:rFonts w:ascii="Times New Roman" w:eastAsia="Arial" w:hAnsi="Times New Roman" w:cstheme="majorBidi"/>
          <w:b/>
          <w:bCs/>
          <w:szCs w:val="26"/>
          <w:lang w:eastAsia="es-CO"/>
        </w:rPr>
        <w:t xml:space="preserve">Structure responsable du suivi environnemental et social </w:t>
      </w:r>
      <w:r w:rsidR="00CF1942">
        <w:rPr>
          <w:rFonts w:ascii="Times New Roman" w:eastAsia="Arial" w:hAnsi="Times New Roman" w:cstheme="majorBidi"/>
          <w:b/>
          <w:bCs/>
          <w:szCs w:val="26"/>
          <w:lang w:eastAsia="es-CO"/>
        </w:rPr>
        <w:t>(A COMPLETER)</w:t>
      </w:r>
    </w:p>
    <w:p w14:paraId="52E32DFF" w14:textId="147E7803" w:rsidR="003C51DD" w:rsidRPr="003C51DD" w:rsidRDefault="00CF1942" w:rsidP="003C51DD">
      <w:pPr>
        <w:spacing w:before="160" w:after="160" w:line="276" w:lineRule="auto"/>
        <w:jc w:val="both"/>
      </w:pPr>
      <w:r>
        <w:t>XXX</w:t>
      </w:r>
      <w:r w:rsidR="003C51DD" w:rsidRPr="003C51DD">
        <w:t xml:space="preserve"> sont </w:t>
      </w:r>
      <w:r>
        <w:t>responsables de</w:t>
      </w:r>
      <w:r w:rsidR="003C51DD" w:rsidRPr="003C51DD">
        <w:t xml:space="preserve"> la surveillance des aspects ES. </w:t>
      </w:r>
      <w:r>
        <w:t>XXX</w:t>
      </w:r>
      <w:r w:rsidR="003C51DD" w:rsidRPr="003C51DD">
        <w:t xml:space="preserve"> s’occupe du suivi des PGES dans les chantiers et pour tant de l’accomplissement des mesures d’atténuation et compensation, le cas échéant, par l’entreprise d’exécution. </w:t>
      </w:r>
    </w:p>
    <w:p w14:paraId="706862A8" w14:textId="3DC5D01D" w:rsidR="003C51DD" w:rsidRPr="003C51DD" w:rsidRDefault="003C51DD" w:rsidP="003C51DD">
      <w:pPr>
        <w:spacing w:before="160" w:after="160" w:line="276" w:lineRule="auto"/>
        <w:jc w:val="both"/>
      </w:pPr>
      <w:r w:rsidRPr="003C51DD">
        <w:t xml:space="preserve">Les responsabilités concrètes de </w:t>
      </w:r>
      <w:r w:rsidR="00CF1942">
        <w:t>XXX</w:t>
      </w:r>
      <w:r w:rsidRPr="003C51DD">
        <w:t xml:space="preserve"> dans ce sens sont :</w:t>
      </w:r>
    </w:p>
    <w:p w14:paraId="6F9DAAC2" w14:textId="77777777" w:rsidR="003C51DD" w:rsidRPr="003C51DD" w:rsidRDefault="003C51DD" w:rsidP="0006696B">
      <w:pPr>
        <w:numPr>
          <w:ilvl w:val="0"/>
          <w:numId w:val="2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Le suivi hebdomadaire de tous les chantiers et lieux des travaux et le remplissage des fiches hebdomadaires et mensuelles. La forme et le contenu des fiches seront accordés avec le spécialiste environnemental et la Banque.</w:t>
      </w:r>
    </w:p>
    <w:p w14:paraId="0EACCBB1" w14:textId="1356BB9C" w:rsidR="003C51DD" w:rsidRPr="003C51DD" w:rsidRDefault="003C51DD" w:rsidP="0006696B">
      <w:pPr>
        <w:numPr>
          <w:ilvl w:val="0"/>
          <w:numId w:val="2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 xml:space="preserve">Donner l'avis au spécialiste environnemental et au chef du projet si l’accomplissement des contrats en termes ES n’est pas acquise par l’entreprise d’exécution. Il faut considérer les délais maximaux dans le but que le chef du projet puisse aussi informer à la Banque dans les délais prescrits (voir  iv. dans la section antérieure). L'avis </w:t>
      </w:r>
      <w:r w:rsidR="00CF1942">
        <w:rPr>
          <w:rFonts w:eastAsia="Arial" w:cs="Times New Roman"/>
        </w:rPr>
        <w:t>du</w:t>
      </w:r>
      <w:r w:rsidRPr="003C51DD">
        <w:rPr>
          <w:rFonts w:eastAsia="Arial" w:cs="Times New Roman"/>
        </w:rPr>
        <w:t xml:space="preserve"> spécialiste environnemental est essentiel pour diminuer les risques sociaux qui découlent du mécontentement des communautés touchées. </w:t>
      </w:r>
    </w:p>
    <w:p w14:paraId="160EF87B" w14:textId="77777777" w:rsidR="003C51DD" w:rsidRPr="003C51DD" w:rsidRDefault="003C51DD" w:rsidP="0006696B">
      <w:pPr>
        <w:numPr>
          <w:ilvl w:val="0"/>
          <w:numId w:val="2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 xml:space="preserve">Participer dans la mise en place de traitement des griefs (voir la Fig. 1 et la Fig. 2 dans le mécanisme de réclamation annexé) lorsque la présence de l’unité de supervision est requise par le spécialiste environnemental ou bien par le chef du projet ou une autre instance supérieure. </w:t>
      </w:r>
    </w:p>
    <w:p w14:paraId="575F3C7B" w14:textId="11252EA1" w:rsidR="003C51DD" w:rsidRPr="003C51DD" w:rsidRDefault="003C51DD" w:rsidP="003C51DD">
      <w:pPr>
        <w:spacing w:before="160" w:after="160" w:line="276" w:lineRule="auto"/>
        <w:jc w:val="both"/>
      </w:pPr>
      <w:r w:rsidRPr="003C51DD">
        <w:t xml:space="preserve">Parmi les activités de la </w:t>
      </w:r>
      <w:r w:rsidR="00CF1942">
        <w:t>XXX</w:t>
      </w:r>
      <w:r w:rsidRPr="003C51DD">
        <w:t xml:space="preserve">, on y trouve : </w:t>
      </w:r>
    </w:p>
    <w:p w14:paraId="7BA0248E" w14:textId="77777777" w:rsidR="003C51DD" w:rsidRPr="003C51DD" w:rsidRDefault="003C51DD" w:rsidP="0006696B">
      <w:pPr>
        <w:numPr>
          <w:ilvl w:val="0"/>
          <w:numId w:val="2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 xml:space="preserve">La mise en place du système de réclamation en conformité avec la Fig. 1 et la Fig. 2 du mécanisme de réclamation annexé. </w:t>
      </w:r>
    </w:p>
    <w:p w14:paraId="49A74EAD" w14:textId="77777777" w:rsidR="003C51DD" w:rsidRPr="003C51DD" w:rsidRDefault="003C51DD" w:rsidP="0006696B">
      <w:pPr>
        <w:numPr>
          <w:ilvl w:val="0"/>
          <w:numId w:val="2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La mise en place des activités d’engagement qui les concernent. Celles-ci seront spécifiées dans les PDPP annuels.</w:t>
      </w:r>
    </w:p>
    <w:p w14:paraId="32821CB0" w14:textId="77777777" w:rsidR="003C51DD" w:rsidRPr="003C51DD" w:rsidRDefault="003C51DD" w:rsidP="0006696B">
      <w:pPr>
        <w:numPr>
          <w:ilvl w:val="0"/>
          <w:numId w:val="2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 xml:space="preserve">Recueillir les données nécessaires pour évaluer les PDPP et le mécanisme de réclamation en tenant en considération les indicateurs de surveillance spécifiés dans le PDPP du projet et le mécanisme de réclamation, le deux annexés.  </w:t>
      </w:r>
    </w:p>
    <w:p w14:paraId="44935D9C" w14:textId="77777777" w:rsidR="003C51DD" w:rsidRPr="003C51DD" w:rsidRDefault="003C51DD" w:rsidP="0006696B">
      <w:pPr>
        <w:numPr>
          <w:ilvl w:val="0"/>
          <w:numId w:val="27"/>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La mise en place de PRME, le cas échéant.</w:t>
      </w:r>
    </w:p>
    <w:p w14:paraId="647B030F" w14:textId="2B5569F9" w:rsidR="003C51DD" w:rsidRPr="003C51DD" w:rsidRDefault="003C51DD" w:rsidP="003C51DD">
      <w:pPr>
        <w:spacing w:before="160" w:after="160" w:line="276" w:lineRule="auto"/>
        <w:jc w:val="both"/>
        <w:rPr>
          <w:rFonts w:eastAsia="Arial"/>
        </w:rPr>
      </w:pPr>
      <w:r w:rsidRPr="003C51DD">
        <w:rPr>
          <w:rFonts w:eastAsia="Arial"/>
        </w:rPr>
        <w:t xml:space="preserve">Dans la </w:t>
      </w:r>
      <w:r w:rsidR="00CF1942">
        <w:rPr>
          <w:rFonts w:eastAsia="Arial"/>
        </w:rPr>
        <w:t>XXX</w:t>
      </w:r>
      <w:r w:rsidRPr="003C51DD">
        <w:rPr>
          <w:rFonts w:eastAsia="Arial"/>
        </w:rPr>
        <w:t xml:space="preserve">, un(e) spécialiste environnemental sera le coordonnateur de la </w:t>
      </w:r>
      <w:r w:rsidR="00CF1942">
        <w:rPr>
          <w:rFonts w:eastAsia="Arial"/>
        </w:rPr>
        <w:t>XXX</w:t>
      </w:r>
      <w:r w:rsidRPr="003C51DD">
        <w:rPr>
          <w:rFonts w:eastAsia="Arial"/>
        </w:rPr>
        <w:t xml:space="preserve">. Le spécialiste sera particulièrement responsable des aspects suivants : </w:t>
      </w:r>
    </w:p>
    <w:p w14:paraId="5E314B09" w14:textId="77777777" w:rsidR="003C51DD" w:rsidRPr="003C51DD" w:rsidRDefault="003C51DD" w:rsidP="0006696B">
      <w:pPr>
        <w:numPr>
          <w:ilvl w:val="0"/>
          <w:numId w:val="2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lastRenderedPageBreak/>
        <w:t>Coordonner et former aux équipes de la cellule environnementale et de l’agence d’exécution pour assurer toute la gestion ES. Avec les autres cellules faisant partie de l’UEP qui sont également concernées au suivi ES, (tel est le cas de l’unité de supervision), le spécialiste devra avoir une collaboration étroite pour assurer le correct suivi des travaux.</w:t>
      </w:r>
    </w:p>
    <w:p w14:paraId="24188A63" w14:textId="77777777" w:rsidR="003C51DD" w:rsidRPr="003C51DD" w:rsidRDefault="003C51DD" w:rsidP="0006696B">
      <w:pPr>
        <w:numPr>
          <w:ilvl w:val="0"/>
          <w:numId w:val="2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La préparation des ESCR et des présentations, comme stipulée dans la section antérieure.</w:t>
      </w:r>
    </w:p>
    <w:p w14:paraId="5C81C3F1" w14:textId="77777777" w:rsidR="003C51DD" w:rsidRPr="003C51DD" w:rsidRDefault="003C51DD" w:rsidP="0006696B">
      <w:pPr>
        <w:numPr>
          <w:ilvl w:val="0"/>
          <w:numId w:val="2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Préparer le chapitre ES dans le rapport semestriel du projet, comme stipulé dans la section antérieure.</w:t>
      </w:r>
    </w:p>
    <w:p w14:paraId="7946D56E" w14:textId="77777777" w:rsidR="003C51DD" w:rsidRPr="003C51DD" w:rsidRDefault="003C51DD" w:rsidP="0006696B">
      <w:pPr>
        <w:numPr>
          <w:ilvl w:val="0"/>
          <w:numId w:val="2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 xml:space="preserve">Accorder avec la Banque et avec l’unité de supervision la forme et le contenu des fiches de chantier. </w:t>
      </w:r>
    </w:p>
    <w:p w14:paraId="2D76D7D8" w14:textId="77777777" w:rsidR="003C51DD" w:rsidRPr="003C51DD" w:rsidRDefault="003C51DD" w:rsidP="0006696B">
      <w:pPr>
        <w:numPr>
          <w:ilvl w:val="0"/>
          <w:numId w:val="2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Préparer la documentation environnementale pour chaque investissement (voir ii. de la section antérieure)  aussi que pour la phase d’opération du projet (voir v. de la section antérieure). Pour ces tâches, le spécialiste requerra le support des autres cellules comprenant l’UEP, notamment de la supervision.</w:t>
      </w:r>
    </w:p>
    <w:p w14:paraId="43434F1D" w14:textId="77777777" w:rsidR="003C51DD" w:rsidRPr="003C51DD" w:rsidRDefault="003C51DD" w:rsidP="0006696B">
      <w:pPr>
        <w:numPr>
          <w:ilvl w:val="0"/>
          <w:numId w:val="2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Préparer les PDPP annuels grâce à la concertation et à la consultation du personnel composant la propre cellule environnementale et les autres cellules faisant partie de l’UEP, d’autres membres de l’agence d’exécution et la Banque.</w:t>
      </w:r>
    </w:p>
    <w:p w14:paraId="083ED69E" w14:textId="77777777" w:rsidR="003C51DD" w:rsidRPr="003C51DD" w:rsidRDefault="003C51DD" w:rsidP="0006696B">
      <w:pPr>
        <w:numPr>
          <w:ilvl w:val="0"/>
          <w:numId w:val="2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Times New Roman" w:cs="Courier New"/>
          <w:color w:val="212121"/>
        </w:rPr>
        <w:t>Appuyer les visites de supervision environnementale et sociale de la Banque</w:t>
      </w:r>
    </w:p>
    <w:p w14:paraId="6DBC1F06" w14:textId="77777777" w:rsidR="003C51DD" w:rsidRPr="003C51DD" w:rsidRDefault="003C51DD" w:rsidP="0006696B">
      <w:pPr>
        <w:numPr>
          <w:ilvl w:val="0"/>
          <w:numId w:val="2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Fournir au chef du projet des données sur la performance ESSS aussi que son avis dans le but de garantir les exigences en matière de ESSS.</w:t>
      </w:r>
    </w:p>
    <w:p w14:paraId="64FF08C9" w14:textId="77777777" w:rsidR="003C51DD" w:rsidRPr="003C51DD" w:rsidRDefault="003C51DD" w:rsidP="0006696B">
      <w:pPr>
        <w:numPr>
          <w:ilvl w:val="0"/>
          <w:numId w:val="2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 xml:space="preserve">Appuyer à l'OREPA Ouest dans la coordination des aspects environnementaux et sociaux avec les parties prenantes (institutions étatiques, d'autres bailleurs, des ONG et la société civile). </w:t>
      </w:r>
    </w:p>
    <w:p w14:paraId="2700FE88" w14:textId="77777777" w:rsidR="003C51DD" w:rsidRPr="003C51DD" w:rsidRDefault="003C51DD" w:rsidP="0006696B">
      <w:pPr>
        <w:numPr>
          <w:ilvl w:val="0"/>
          <w:numId w:val="2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Appuyer la préparation des TdR pour les analyses, études ou audits environnementaux et en collaboration avec la Direction Passation de Marché, préparer le lancement des analyses et des audits environnementaux, le cas échéant.</w:t>
      </w:r>
    </w:p>
    <w:p w14:paraId="6C317661" w14:textId="77777777" w:rsidR="003C51DD" w:rsidRPr="003C51DD" w:rsidRDefault="003C51DD" w:rsidP="0006696B">
      <w:pPr>
        <w:numPr>
          <w:ilvl w:val="0"/>
          <w:numId w:val="2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Participer à la préparation des conditions de réception définitive des contrats de travaux, des biens et des services pour s’assurer la conformité avec les politiques de la Banque et la réglementation haïtienne.</w:t>
      </w:r>
    </w:p>
    <w:p w14:paraId="40975250" w14:textId="77777777" w:rsidR="003C51DD" w:rsidRPr="003C51DD" w:rsidRDefault="003C51DD" w:rsidP="0006696B">
      <w:pPr>
        <w:numPr>
          <w:ilvl w:val="0"/>
          <w:numId w:val="2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Assurer de ne pas recevoir les services/travaux jusqu’u tous les passifs environnementaux et sociaux soient solutionnais à la satisfaction de la Banque</w:t>
      </w:r>
    </w:p>
    <w:p w14:paraId="083D9045" w14:textId="4ED9FCC9" w:rsidR="003C51DD" w:rsidRPr="003C51DD" w:rsidRDefault="003C51DD" w:rsidP="0006696B">
      <w:pPr>
        <w:numPr>
          <w:ilvl w:val="0"/>
          <w:numId w:val="2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lastRenderedPageBreak/>
        <w:t xml:space="preserve">Travailler en collaboration </w:t>
      </w:r>
      <w:r w:rsidR="00CF1942">
        <w:rPr>
          <w:rFonts w:eastAsia="Arial" w:cs="Times New Roman"/>
        </w:rPr>
        <w:t>avec</w:t>
      </w:r>
      <w:r w:rsidRPr="003C51DD">
        <w:rPr>
          <w:rFonts w:eastAsia="Arial" w:cs="Times New Roman"/>
        </w:rPr>
        <w:t xml:space="preserve"> l'unité de passation marché de l’</w:t>
      </w:r>
      <w:r w:rsidR="00CF1942">
        <w:rPr>
          <w:rFonts w:eastAsia="Arial" w:cs="Times New Roman"/>
        </w:rPr>
        <w:t>OE</w:t>
      </w:r>
      <w:r w:rsidRPr="003C51DD">
        <w:rPr>
          <w:rFonts w:eastAsia="Arial" w:cs="Times New Roman"/>
        </w:rPr>
        <w:t xml:space="preserve"> dans le but de vérifier que les processus de passation de marché des projets d’infrastructures du programme comprennent les exigences suivantes :</w:t>
      </w:r>
    </w:p>
    <w:p w14:paraId="3CD46C4D" w14:textId="77777777" w:rsidR="003C51DD" w:rsidRPr="003C51DD" w:rsidRDefault="003C51DD" w:rsidP="0006696B">
      <w:pPr>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Les ESA (et les ERC, PGES et PGRC inclus) doivent être intégrées dans le processus d'AO pour chaque projet. L'approbation de cette documentation est condition sine qua non pour le début des travaux ;</w:t>
      </w:r>
    </w:p>
    <w:p w14:paraId="3C4B9985" w14:textId="77777777" w:rsidR="003C51DD" w:rsidRPr="003C51DD" w:rsidRDefault="003C51DD" w:rsidP="0006696B">
      <w:pPr>
        <w:numPr>
          <w:ilvl w:val="0"/>
          <w:numId w:val="1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Arial" w:cs="Times New Roman"/>
        </w:rPr>
      </w:pPr>
      <w:r w:rsidRPr="003C51DD">
        <w:rPr>
          <w:rFonts w:eastAsia="Arial" w:cs="Times New Roman"/>
        </w:rPr>
        <w:t>Les processus d'acquisition des biens et des services sont conformes avec la réglementation haïtienne et les politiques de la Banque.</w:t>
      </w:r>
    </w:p>
    <w:p w14:paraId="3B4D4B19" w14:textId="71D9ACA4" w:rsidR="003C51DD" w:rsidRPr="003C51DD" w:rsidRDefault="003C51DD" w:rsidP="0006696B">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Times New Roman" w:cs="Courier New"/>
          <w:color w:val="212121"/>
        </w:rPr>
      </w:pPr>
      <w:r w:rsidRPr="003C51DD">
        <w:rPr>
          <w:rFonts w:eastAsia="Times New Roman" w:cs="Courier New"/>
          <w:color w:val="212121"/>
        </w:rPr>
        <w:t xml:space="preserve">Engagement par la société de construction d’une surveillance environnementale et sociale, propre ou sous-traitant, en contrepartie de la surveillance environnementale de l’UEP, accompagnée d'une déclaration que le personnel engagé fonctionnera sous l'entière responsabilité de la société </w:t>
      </w:r>
      <w:r w:rsidR="00B53854" w:rsidRPr="003C51DD">
        <w:rPr>
          <w:rFonts w:eastAsia="Times New Roman" w:cs="Courier New"/>
          <w:color w:val="212121"/>
        </w:rPr>
        <w:t>requérante ;</w:t>
      </w:r>
    </w:p>
    <w:p w14:paraId="1F46D85F" w14:textId="77777777" w:rsidR="003C51DD" w:rsidRPr="003C51DD" w:rsidRDefault="003C51DD" w:rsidP="0006696B">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line="276" w:lineRule="auto"/>
        <w:jc w:val="both"/>
        <w:rPr>
          <w:rFonts w:eastAsia="Times New Roman" w:cs="Courier New"/>
          <w:color w:val="212121"/>
        </w:rPr>
      </w:pPr>
      <w:r w:rsidRPr="003C51DD">
        <w:rPr>
          <w:rFonts w:eastAsia="Times New Roman" w:cs="Courier New"/>
          <w:color w:val="212121"/>
        </w:rPr>
        <w:t>Inclusion par l´entreprise de construction du contrôle des coûts environnementaux et sociaux dans le cadre du programme / table des coûts physiques, et inclusion dans le journal de travail de tous;</w:t>
      </w:r>
    </w:p>
    <w:p w14:paraId="356D2AE2" w14:textId="7F770C46" w:rsidR="006E4C32" w:rsidRDefault="006E4C32" w:rsidP="006E4C32">
      <w:pPr>
        <w:spacing w:line="276" w:lineRule="auto"/>
        <w:rPr>
          <w:rFonts w:eastAsia="Arial"/>
        </w:rPr>
      </w:pPr>
      <w:r>
        <w:rPr>
          <w:rFonts w:eastAsia="Arial"/>
        </w:rPr>
        <w:br w:type="page"/>
      </w:r>
    </w:p>
    <w:p w14:paraId="60F25068" w14:textId="77777777" w:rsidR="007E1E77" w:rsidRPr="006E4C32" w:rsidRDefault="007E1E77" w:rsidP="006E4C32">
      <w:pPr>
        <w:tabs>
          <w:tab w:val="left" w:pos="288"/>
        </w:tabs>
        <w:spacing w:line="276" w:lineRule="auto"/>
        <w:ind w:left="2"/>
        <w:rPr>
          <w:rFonts w:eastAsia="Arial"/>
        </w:rPr>
      </w:pPr>
    </w:p>
    <w:p w14:paraId="3C6ADDAD" w14:textId="58B1B0FB" w:rsidR="001D6B7B" w:rsidRPr="006E4C32" w:rsidRDefault="001D6B7B" w:rsidP="0006696B">
      <w:pPr>
        <w:pStyle w:val="ListParagraph"/>
        <w:numPr>
          <w:ilvl w:val="0"/>
          <w:numId w:val="30"/>
        </w:numPr>
        <w:tabs>
          <w:tab w:val="left" w:pos="580"/>
        </w:tabs>
        <w:spacing w:line="276" w:lineRule="auto"/>
        <w:rPr>
          <w:rFonts w:eastAsia="Arial"/>
          <w:b/>
          <w:sz w:val="32"/>
        </w:rPr>
      </w:pPr>
      <w:r w:rsidRPr="006E4C32">
        <w:rPr>
          <w:rFonts w:eastAsia="Arial"/>
          <w:b/>
          <w:sz w:val="32"/>
        </w:rPr>
        <w:t>DOCUMENTS OBLIGATOIRES DE PRO</w:t>
      </w:r>
      <w:r w:rsidR="00E66013" w:rsidRPr="006E4C32">
        <w:rPr>
          <w:rFonts w:eastAsia="Arial"/>
          <w:b/>
          <w:sz w:val="32"/>
        </w:rPr>
        <w:t>GRAMMATION ET SUIVI DES ACTIVITÉ</w:t>
      </w:r>
      <w:r w:rsidRPr="006E4C32">
        <w:rPr>
          <w:rFonts w:eastAsia="Arial"/>
          <w:b/>
          <w:sz w:val="32"/>
        </w:rPr>
        <w:t>S</w:t>
      </w:r>
    </w:p>
    <w:p w14:paraId="6AC6FBE7" w14:textId="77777777" w:rsidR="001D6B7B" w:rsidRPr="006E4C32" w:rsidRDefault="001D6B7B" w:rsidP="006E4C32">
      <w:pPr>
        <w:spacing w:line="276" w:lineRule="auto"/>
        <w:rPr>
          <w:rFonts w:eastAsia="Times New Roman"/>
        </w:rPr>
      </w:pPr>
    </w:p>
    <w:p w14:paraId="6EBAC6C0" w14:textId="4B4BAF98" w:rsidR="001D6B7B" w:rsidRPr="00B94427" w:rsidRDefault="001D6B7B" w:rsidP="0006696B">
      <w:pPr>
        <w:pStyle w:val="ListParagraph"/>
        <w:numPr>
          <w:ilvl w:val="1"/>
          <w:numId w:val="31"/>
        </w:numPr>
        <w:tabs>
          <w:tab w:val="left" w:pos="720"/>
        </w:tabs>
        <w:spacing w:line="276" w:lineRule="auto"/>
        <w:rPr>
          <w:rFonts w:eastAsia="Arial"/>
          <w:b/>
        </w:rPr>
      </w:pPr>
      <w:r w:rsidRPr="00B94427">
        <w:rPr>
          <w:rFonts w:eastAsia="Arial"/>
          <w:b/>
        </w:rPr>
        <w:t>Le Plan de Passation de Marchés</w:t>
      </w:r>
    </w:p>
    <w:p w14:paraId="0E679B14" w14:textId="77777777" w:rsidR="001D6B7B" w:rsidRPr="006E4C32" w:rsidRDefault="001D6B7B" w:rsidP="006E4C32">
      <w:pPr>
        <w:spacing w:line="276" w:lineRule="auto"/>
        <w:rPr>
          <w:rFonts w:eastAsia="Times New Roman"/>
        </w:rPr>
      </w:pPr>
    </w:p>
    <w:p w14:paraId="37B51453" w14:textId="7F301941" w:rsidR="001D6B7B" w:rsidRPr="006E4C32" w:rsidRDefault="001D6B7B" w:rsidP="00ED6EFB">
      <w:pPr>
        <w:spacing w:line="276" w:lineRule="auto"/>
        <w:jc w:val="both"/>
        <w:rPr>
          <w:rFonts w:eastAsia="Arial"/>
        </w:rPr>
      </w:pPr>
      <w:r w:rsidRPr="006E4C32">
        <w:rPr>
          <w:rFonts w:eastAsia="Arial"/>
        </w:rPr>
        <w:t xml:space="preserve">Le plan de passation de marchés est </w:t>
      </w:r>
      <w:r w:rsidR="003F78E2">
        <w:rPr>
          <w:rFonts w:eastAsia="Arial"/>
        </w:rPr>
        <w:t>un outil de planification</w:t>
      </w:r>
      <w:r w:rsidRPr="006E4C32">
        <w:rPr>
          <w:rFonts w:eastAsia="Arial"/>
        </w:rPr>
        <w:t xml:space="preserve"> présentant tous les marchés passés, prévus ou en cours. Une version actualisée doit être fournie, au minimum, chaque 6 mois à la BID.</w:t>
      </w:r>
      <w:r w:rsidR="00403D47" w:rsidRPr="006E4C32">
        <w:rPr>
          <w:rFonts w:eastAsia="Arial"/>
        </w:rPr>
        <w:t xml:space="preserve"> </w:t>
      </w:r>
      <w:r w:rsidR="00F4253B" w:rsidRPr="006E4C32">
        <w:rPr>
          <w:rFonts w:eastAsia="Arial"/>
        </w:rPr>
        <w:t>Avant de donner la non-objection la BID d</w:t>
      </w:r>
      <w:r w:rsidR="00403D47" w:rsidRPr="006E4C32">
        <w:rPr>
          <w:rFonts w:eastAsia="Arial"/>
        </w:rPr>
        <w:t xml:space="preserve">oit </w:t>
      </w:r>
      <w:r w:rsidR="00904CF7" w:rsidRPr="006E4C32">
        <w:rPr>
          <w:rFonts w:eastAsia="Arial"/>
        </w:rPr>
        <w:t>s’assurer</w:t>
      </w:r>
      <w:r w:rsidR="00403D47" w:rsidRPr="006E4C32">
        <w:rPr>
          <w:rFonts w:eastAsia="Arial"/>
        </w:rPr>
        <w:t xml:space="preserve"> que, dans les cas des travaux d’infrastructure, il </w:t>
      </w:r>
      <w:r w:rsidR="00904CF7" w:rsidRPr="006E4C32">
        <w:rPr>
          <w:rFonts w:eastAsia="Arial"/>
        </w:rPr>
        <w:t>y ait</w:t>
      </w:r>
      <w:r w:rsidR="00403D47" w:rsidRPr="006E4C32">
        <w:rPr>
          <w:rFonts w:eastAsia="Arial"/>
        </w:rPr>
        <w:t xml:space="preserve"> une étude d’</w:t>
      </w:r>
      <w:r w:rsidR="00751F4D" w:rsidRPr="006E4C32">
        <w:rPr>
          <w:rFonts w:eastAsia="Arial"/>
        </w:rPr>
        <w:t>analyse</w:t>
      </w:r>
      <w:r w:rsidR="00403D47" w:rsidRPr="006E4C32">
        <w:rPr>
          <w:rFonts w:eastAsia="Arial"/>
        </w:rPr>
        <w:t xml:space="preserve"> environnementale et sociale (</w:t>
      </w:r>
      <w:r w:rsidR="00751F4D" w:rsidRPr="006E4C32">
        <w:rPr>
          <w:rFonts w:eastAsia="Arial"/>
        </w:rPr>
        <w:t>A</w:t>
      </w:r>
      <w:r w:rsidR="00403D47" w:rsidRPr="006E4C32">
        <w:rPr>
          <w:rFonts w:eastAsia="Arial"/>
        </w:rPr>
        <w:t>ES) avec son PGAS</w:t>
      </w:r>
      <w:r w:rsidR="00904CF7" w:rsidRPr="006E4C32">
        <w:rPr>
          <w:rFonts w:eastAsia="Arial"/>
        </w:rPr>
        <w:t xml:space="preserve"> respectif</w:t>
      </w:r>
      <w:r w:rsidR="00403D47" w:rsidRPr="006E4C32">
        <w:rPr>
          <w:rFonts w:eastAsia="Arial"/>
        </w:rPr>
        <w:t xml:space="preserve"> et qu’il </w:t>
      </w:r>
      <w:r w:rsidR="00904CF7" w:rsidRPr="006E4C32">
        <w:rPr>
          <w:rFonts w:eastAsia="Arial"/>
        </w:rPr>
        <w:t>fasse</w:t>
      </w:r>
      <w:r w:rsidR="00403D47" w:rsidRPr="006E4C32">
        <w:rPr>
          <w:rFonts w:eastAsia="Arial"/>
        </w:rPr>
        <w:t xml:space="preserve"> l’objet de consultation avec des personnes affectées.</w:t>
      </w:r>
    </w:p>
    <w:p w14:paraId="38D987A0" w14:textId="77777777" w:rsidR="001D6B7B" w:rsidRPr="006E4C32" w:rsidRDefault="001D6B7B" w:rsidP="00ED6EFB">
      <w:pPr>
        <w:spacing w:line="276" w:lineRule="auto"/>
        <w:jc w:val="both"/>
        <w:rPr>
          <w:rFonts w:eastAsia="Times New Roman"/>
        </w:rPr>
      </w:pPr>
    </w:p>
    <w:p w14:paraId="0C34C5F1" w14:textId="5557099C" w:rsidR="001D6B7B" w:rsidRPr="006E4C32" w:rsidRDefault="001D6B7B" w:rsidP="00ED6EFB">
      <w:pPr>
        <w:spacing w:line="276" w:lineRule="auto"/>
        <w:jc w:val="both"/>
        <w:rPr>
          <w:rFonts w:eastAsia="Arial"/>
        </w:rPr>
      </w:pPr>
      <w:r w:rsidRPr="006E4C32">
        <w:rPr>
          <w:rFonts w:eastAsia="Arial"/>
        </w:rPr>
        <w:t>Les retards éventuels dans les passations de marché ou les problèm</w:t>
      </w:r>
      <w:r w:rsidR="001871D9" w:rsidRPr="006E4C32">
        <w:rPr>
          <w:rFonts w:eastAsia="Arial"/>
        </w:rPr>
        <w:t>es rencontrés dans l’</w:t>
      </w:r>
      <w:r w:rsidRPr="006E4C32">
        <w:rPr>
          <w:rFonts w:eastAsia="Arial"/>
        </w:rPr>
        <w:t>exécution des contrats, peuvent accroître considérablement le délai prévu pour la remise ou la mise en fonctionnement des produits, travaux ou services inclus dans le programme, et avo</w:t>
      </w:r>
      <w:r w:rsidR="001871D9" w:rsidRPr="006E4C32">
        <w:rPr>
          <w:rFonts w:eastAsia="Arial"/>
        </w:rPr>
        <w:t>ir une incidence négative sur l’</w:t>
      </w:r>
      <w:r w:rsidRPr="006E4C32">
        <w:rPr>
          <w:rFonts w:eastAsia="Arial"/>
        </w:rPr>
        <w:t>atteinte des object</w:t>
      </w:r>
      <w:r w:rsidR="001871D9" w:rsidRPr="006E4C32">
        <w:rPr>
          <w:rFonts w:eastAsia="Arial"/>
        </w:rPr>
        <w:t>ifs de ce même programme. C’</w:t>
      </w:r>
      <w:r w:rsidRPr="006E4C32">
        <w:rPr>
          <w:rFonts w:eastAsia="Arial"/>
        </w:rPr>
        <w:t>est pourquoi, il est nécessaire d'établir des mécanism</w:t>
      </w:r>
      <w:r w:rsidR="001871D9" w:rsidRPr="006E4C32">
        <w:rPr>
          <w:rFonts w:eastAsia="Arial"/>
        </w:rPr>
        <w:t>es adéquats afin de contrôler l’</w:t>
      </w:r>
      <w:r w:rsidRPr="006E4C32">
        <w:rPr>
          <w:rFonts w:eastAsia="Arial"/>
        </w:rPr>
        <w:t>accomplissement</w:t>
      </w:r>
      <w:r w:rsidR="00DF7FB9">
        <w:rPr>
          <w:rFonts w:eastAsia="Arial"/>
        </w:rPr>
        <w:t xml:space="preserve"> et le suivi</w:t>
      </w:r>
      <w:r w:rsidRPr="006E4C32">
        <w:rPr>
          <w:rFonts w:eastAsia="Arial"/>
        </w:rPr>
        <w:t xml:space="preserve"> du Plan de</w:t>
      </w:r>
      <w:r w:rsidR="001871D9" w:rsidRPr="006E4C32">
        <w:rPr>
          <w:rFonts w:eastAsia="Arial"/>
        </w:rPr>
        <w:t xml:space="preserve"> </w:t>
      </w:r>
      <w:r w:rsidRPr="006E4C32">
        <w:rPr>
          <w:rFonts w:eastAsia="Arial"/>
        </w:rPr>
        <w:t>Passation de Marchés.</w:t>
      </w:r>
    </w:p>
    <w:p w14:paraId="5F9A6698" w14:textId="77777777" w:rsidR="0048101E" w:rsidRPr="006E4C32" w:rsidRDefault="0048101E" w:rsidP="00ED6EFB">
      <w:pPr>
        <w:spacing w:line="276" w:lineRule="auto"/>
        <w:jc w:val="both"/>
        <w:rPr>
          <w:rFonts w:eastAsia="Times New Roman"/>
        </w:rPr>
      </w:pPr>
    </w:p>
    <w:p w14:paraId="415ED054" w14:textId="3F28AF52" w:rsidR="001D6B7B" w:rsidRPr="006E4C32" w:rsidRDefault="001D6B7B" w:rsidP="00ED6EFB">
      <w:pPr>
        <w:spacing w:line="276" w:lineRule="auto"/>
        <w:jc w:val="both"/>
        <w:rPr>
          <w:rFonts w:eastAsia="Arial"/>
          <w:b/>
        </w:rPr>
      </w:pPr>
      <w:r w:rsidRPr="006E4C32">
        <w:rPr>
          <w:rFonts w:eastAsia="Arial"/>
        </w:rPr>
        <w:t>Les contrats résultant de</w:t>
      </w:r>
      <w:r w:rsidR="00DF7FB9">
        <w:rPr>
          <w:rFonts w:eastAsia="Arial"/>
        </w:rPr>
        <w:t xml:space="preserve"> ces</w:t>
      </w:r>
      <w:r w:rsidRPr="006E4C32">
        <w:rPr>
          <w:rFonts w:eastAsia="Arial"/>
        </w:rPr>
        <w:t xml:space="preserve"> procédures de passation de marchés établissent clairement les droits et les devoirs d</w:t>
      </w:r>
      <w:r w:rsidR="00DF7FB9">
        <w:rPr>
          <w:rFonts w:eastAsia="Arial"/>
        </w:rPr>
        <w:t>e l’Autorité Contractante et du</w:t>
      </w:r>
      <w:r w:rsidRPr="006E4C32">
        <w:rPr>
          <w:rFonts w:eastAsia="Arial"/>
        </w:rPr>
        <w:t xml:space="preserve"> Contractant, de même que la forme, les conditions et les délais dans lesquels doivent être</w:t>
      </w:r>
      <w:r w:rsidR="00760605" w:rsidRPr="006E4C32">
        <w:rPr>
          <w:rFonts w:eastAsia="Arial"/>
        </w:rPr>
        <w:t xml:space="preserve"> livrés les produits qui font </w:t>
      </w:r>
      <w:r w:rsidR="00403D47" w:rsidRPr="006E4C32">
        <w:rPr>
          <w:rFonts w:eastAsia="Arial"/>
        </w:rPr>
        <w:t>l’objet</w:t>
      </w:r>
      <w:r w:rsidRPr="006E4C32">
        <w:rPr>
          <w:rFonts w:eastAsia="Arial"/>
        </w:rPr>
        <w:t xml:space="preserve"> du contrat, ainsi que la forme, les conditions et les délais dans lesquels </w:t>
      </w:r>
      <w:r w:rsidR="00DF7FB9">
        <w:rPr>
          <w:rFonts w:eastAsia="Arial"/>
        </w:rPr>
        <w:t>seront</w:t>
      </w:r>
      <w:r w:rsidRPr="006E4C32">
        <w:rPr>
          <w:rFonts w:eastAsia="Arial"/>
        </w:rPr>
        <w:t xml:space="preserve"> effectués les paiements correspondants. Des guides généra</w:t>
      </w:r>
      <w:r w:rsidR="00DF7FB9">
        <w:rPr>
          <w:rFonts w:eastAsia="Arial"/>
        </w:rPr>
        <w:t>ux</w:t>
      </w:r>
      <w:r w:rsidRPr="006E4C32">
        <w:rPr>
          <w:rFonts w:eastAsia="Arial"/>
        </w:rPr>
        <w:t xml:space="preserve"> sur la portée et les produits à exiger dans les contrats d´études, travaux </w:t>
      </w:r>
      <w:r w:rsidR="00F8169C" w:rsidRPr="006E4C32">
        <w:rPr>
          <w:rFonts w:eastAsia="Arial"/>
        </w:rPr>
        <w:t>et supervision se présentent en Annexe</w:t>
      </w:r>
      <w:r w:rsidRPr="006E4C32">
        <w:rPr>
          <w:rFonts w:eastAsia="Arial"/>
          <w:b/>
        </w:rPr>
        <w:t>.</w:t>
      </w:r>
    </w:p>
    <w:p w14:paraId="6D6AEAB3" w14:textId="77777777" w:rsidR="001D6B7B" w:rsidRPr="006E4C32" w:rsidRDefault="001D6B7B" w:rsidP="00ED6EFB">
      <w:pPr>
        <w:spacing w:line="276" w:lineRule="auto"/>
        <w:jc w:val="both"/>
        <w:rPr>
          <w:rFonts w:eastAsia="Times New Roman"/>
        </w:rPr>
      </w:pPr>
    </w:p>
    <w:p w14:paraId="39BABA1B" w14:textId="6B9CF74C" w:rsidR="001D6B7B" w:rsidRPr="006E4C32" w:rsidRDefault="00B95B81" w:rsidP="00ED6EFB">
      <w:pPr>
        <w:spacing w:line="276" w:lineRule="auto"/>
        <w:jc w:val="both"/>
        <w:rPr>
          <w:rFonts w:eastAsia="Arial"/>
        </w:rPr>
      </w:pPr>
      <w:r w:rsidRPr="006E4C32">
        <w:rPr>
          <w:rFonts w:eastAsia="Arial"/>
        </w:rPr>
        <w:t>Afin de s’</w:t>
      </w:r>
      <w:r w:rsidR="001D6B7B" w:rsidRPr="006E4C32">
        <w:rPr>
          <w:rFonts w:eastAsia="Arial"/>
        </w:rPr>
        <w:t>assurer que tous les aspects et toutes les conditions du Contrat sont respectés, l</w:t>
      </w:r>
      <w:r w:rsidR="00CF1942">
        <w:rPr>
          <w:rFonts w:eastAsia="Arial"/>
        </w:rPr>
        <w:t>es OE</w:t>
      </w:r>
      <w:r w:rsidR="001D6B7B" w:rsidRPr="006E4C32">
        <w:rPr>
          <w:rFonts w:eastAsia="Arial"/>
        </w:rPr>
        <w:t xml:space="preserve"> doi</w:t>
      </w:r>
      <w:r w:rsidR="00B94427">
        <w:rPr>
          <w:rFonts w:eastAsia="Arial"/>
        </w:rPr>
        <w:t>ven</w:t>
      </w:r>
      <w:r w:rsidR="001D6B7B" w:rsidRPr="006E4C32">
        <w:rPr>
          <w:rFonts w:eastAsia="Arial"/>
        </w:rPr>
        <w:t>t également être dotée d</w:t>
      </w:r>
      <w:r w:rsidR="003E44CD">
        <w:rPr>
          <w:rFonts w:eastAsia="Arial"/>
        </w:rPr>
        <w:t xml:space="preserve">’outils de suivi des contrats et de </w:t>
      </w:r>
      <w:r w:rsidR="001D6B7B" w:rsidRPr="006E4C32">
        <w:rPr>
          <w:rFonts w:eastAsia="Arial"/>
        </w:rPr>
        <w:t>mécanismes de gérance fiables et efficaces pour assurer un s</w:t>
      </w:r>
      <w:r w:rsidR="009B4DB1" w:rsidRPr="006E4C32">
        <w:rPr>
          <w:rFonts w:eastAsia="Arial"/>
        </w:rPr>
        <w:t>uivi permanent et opportun de l’</w:t>
      </w:r>
      <w:r w:rsidR="001D6B7B" w:rsidRPr="006E4C32">
        <w:rPr>
          <w:rFonts w:eastAsia="Arial"/>
        </w:rPr>
        <w:t>action des entités ou des individus engagés, ainsi que de l</w:t>
      </w:r>
      <w:r w:rsidR="009B4DB1" w:rsidRPr="006E4C32">
        <w:rPr>
          <w:rFonts w:eastAsia="Arial"/>
        </w:rPr>
        <w:t>’</w:t>
      </w:r>
      <w:r w:rsidR="001D6B7B" w:rsidRPr="006E4C32">
        <w:rPr>
          <w:rFonts w:eastAsia="Arial"/>
        </w:rPr>
        <w:t>exécution des cont</w:t>
      </w:r>
      <w:r w:rsidR="009B4DB1" w:rsidRPr="006E4C32">
        <w:rPr>
          <w:rFonts w:eastAsia="Arial"/>
        </w:rPr>
        <w:t>rats, et disposer de systèmes d’</w:t>
      </w:r>
      <w:r w:rsidR="001D6B7B" w:rsidRPr="006E4C32">
        <w:rPr>
          <w:rFonts w:eastAsia="Arial"/>
        </w:rPr>
        <w:t>administration flexibles qui leur permettent de remplir leurs obligations respectives, tels que la ponctualité dans le versement</w:t>
      </w:r>
      <w:r w:rsidR="009B4DB1" w:rsidRPr="006E4C32">
        <w:rPr>
          <w:rFonts w:eastAsia="Arial"/>
        </w:rPr>
        <w:t xml:space="preserve"> des paiements, le traitement d’</w:t>
      </w:r>
      <w:r w:rsidR="001D6B7B" w:rsidRPr="006E4C32">
        <w:rPr>
          <w:rFonts w:eastAsia="Arial"/>
        </w:rPr>
        <w:t>éventuelles modifications de la conception ou la prise en compte des réclamations. Un professionnel en ingénierie a été engagé pour cette fonction spécifique.</w:t>
      </w:r>
    </w:p>
    <w:p w14:paraId="4B8278FF" w14:textId="77777777" w:rsidR="001D6B7B" w:rsidRPr="006E4C32" w:rsidRDefault="001D6B7B" w:rsidP="00ED6EFB">
      <w:pPr>
        <w:spacing w:line="276" w:lineRule="auto"/>
        <w:jc w:val="both"/>
        <w:rPr>
          <w:rFonts w:eastAsia="Times New Roman"/>
        </w:rPr>
      </w:pPr>
    </w:p>
    <w:p w14:paraId="6768AAA6" w14:textId="0836DD19" w:rsidR="001D6B7B" w:rsidRPr="006E4C32" w:rsidRDefault="001D6B7B" w:rsidP="00ED6EFB">
      <w:pPr>
        <w:spacing w:line="276" w:lineRule="auto"/>
        <w:jc w:val="both"/>
        <w:rPr>
          <w:rFonts w:eastAsia="Arial"/>
        </w:rPr>
      </w:pPr>
      <w:r w:rsidRPr="006E4C32">
        <w:rPr>
          <w:rFonts w:eastAsia="Arial"/>
        </w:rPr>
        <w:t>Le plan de passation de marchés tel que défini conjointement par l</w:t>
      </w:r>
      <w:r w:rsidR="00CF1942">
        <w:rPr>
          <w:rFonts w:eastAsia="Arial"/>
        </w:rPr>
        <w:t xml:space="preserve">es OE </w:t>
      </w:r>
      <w:r w:rsidRPr="006E4C32">
        <w:rPr>
          <w:rFonts w:eastAsia="Arial"/>
        </w:rPr>
        <w:t>et</w:t>
      </w:r>
      <w:r w:rsidR="0043165D" w:rsidRPr="006E4C32">
        <w:rPr>
          <w:rFonts w:eastAsia="Arial"/>
        </w:rPr>
        <w:t xml:space="preserve"> la BID </w:t>
      </w:r>
      <w:r w:rsidRPr="006E4C32">
        <w:rPr>
          <w:rFonts w:eastAsia="Arial"/>
        </w:rPr>
        <w:t xml:space="preserve">est présenté en </w:t>
      </w:r>
      <w:r w:rsidR="00C91F3F" w:rsidRPr="00B94427">
        <w:rPr>
          <w:rFonts w:eastAsia="Arial"/>
          <w:highlight w:val="yellow"/>
        </w:rPr>
        <w:t>Annexe</w:t>
      </w:r>
      <w:r w:rsidR="00B94427" w:rsidRPr="00B94427">
        <w:rPr>
          <w:rFonts w:eastAsia="Arial"/>
          <w:highlight w:val="yellow"/>
        </w:rPr>
        <w:t xml:space="preserve"> X</w:t>
      </w:r>
      <w:r w:rsidR="00C91F3F" w:rsidRPr="006E4C32">
        <w:rPr>
          <w:rFonts w:eastAsia="Arial"/>
        </w:rPr>
        <w:t>.</w:t>
      </w:r>
    </w:p>
    <w:p w14:paraId="35677E3E" w14:textId="77777777" w:rsidR="001D6B7B" w:rsidRPr="006E4C32" w:rsidRDefault="001D6B7B" w:rsidP="00ED6EFB">
      <w:pPr>
        <w:spacing w:line="276" w:lineRule="auto"/>
        <w:jc w:val="both"/>
        <w:rPr>
          <w:rFonts w:eastAsia="Times New Roman"/>
        </w:rPr>
      </w:pPr>
    </w:p>
    <w:p w14:paraId="5E62E57E" w14:textId="61992152" w:rsidR="00200F01" w:rsidRPr="006E4C32" w:rsidRDefault="001D6B7B" w:rsidP="00ED6EFB">
      <w:pPr>
        <w:spacing w:line="276" w:lineRule="auto"/>
        <w:jc w:val="both"/>
        <w:rPr>
          <w:rFonts w:eastAsia="Arial"/>
        </w:rPr>
      </w:pPr>
      <w:r w:rsidRPr="006E4C32">
        <w:rPr>
          <w:rFonts w:eastAsia="Arial"/>
        </w:rPr>
        <w:t>Ce</w:t>
      </w:r>
      <w:r w:rsidR="003E44CD">
        <w:rPr>
          <w:rFonts w:eastAsia="Arial"/>
        </w:rPr>
        <w:t>t outil</w:t>
      </w:r>
      <w:r w:rsidR="00B94427">
        <w:rPr>
          <w:rFonts w:eastAsia="Arial"/>
        </w:rPr>
        <w:t xml:space="preserve"> </w:t>
      </w:r>
      <w:r w:rsidRPr="006E4C32">
        <w:rPr>
          <w:rFonts w:eastAsia="Arial"/>
        </w:rPr>
        <w:t xml:space="preserve">identifie les biens, les travaux et les services de consultation qui seront acquis pendant la durée du programme pour soutenir le calendrier de mise en œuvre planifié. Il </w:t>
      </w:r>
      <w:r w:rsidRPr="006E4C32">
        <w:rPr>
          <w:rFonts w:eastAsia="Arial"/>
        </w:rPr>
        <w:lastRenderedPageBreak/>
        <w:t>est organisé sur la base d</w:t>
      </w:r>
      <w:r w:rsidR="00200F01" w:rsidRPr="006E4C32">
        <w:rPr>
          <w:rFonts w:eastAsia="Arial"/>
        </w:rPr>
        <w:t>es composantes pour permettre d’</w:t>
      </w:r>
      <w:r w:rsidRPr="006E4C32">
        <w:rPr>
          <w:rFonts w:eastAsia="Arial"/>
        </w:rPr>
        <w:t>identifier facilement les besoins des composantes planifiées du programme.</w:t>
      </w:r>
    </w:p>
    <w:p w14:paraId="130AEBDE" w14:textId="77777777" w:rsidR="00200F01" w:rsidRPr="006E4C32" w:rsidRDefault="00200F01" w:rsidP="00ED6EFB">
      <w:pPr>
        <w:spacing w:line="276" w:lineRule="auto"/>
        <w:jc w:val="both"/>
        <w:rPr>
          <w:rFonts w:eastAsia="Times New Roman"/>
        </w:rPr>
      </w:pPr>
    </w:p>
    <w:p w14:paraId="25075601" w14:textId="0815592B" w:rsidR="001D6B7B" w:rsidRPr="006E4C32" w:rsidRDefault="00B532C6" w:rsidP="0006696B">
      <w:pPr>
        <w:pStyle w:val="ListParagraph"/>
        <w:numPr>
          <w:ilvl w:val="1"/>
          <w:numId w:val="31"/>
        </w:numPr>
        <w:tabs>
          <w:tab w:val="left" w:pos="720"/>
        </w:tabs>
        <w:spacing w:line="276" w:lineRule="auto"/>
        <w:rPr>
          <w:rFonts w:eastAsia="Arial"/>
          <w:b/>
        </w:rPr>
      </w:pPr>
      <w:r w:rsidRPr="006E4C32">
        <w:rPr>
          <w:rFonts w:eastAsia="Arial"/>
          <w:b/>
        </w:rPr>
        <w:t>Le Plan d’Exécution Pluriannuel</w:t>
      </w:r>
    </w:p>
    <w:p w14:paraId="694A3C2E" w14:textId="24C7285D" w:rsidR="001D6B7B" w:rsidRPr="006E4C32" w:rsidRDefault="00B532C6" w:rsidP="00ED6EFB">
      <w:pPr>
        <w:spacing w:line="276" w:lineRule="auto"/>
        <w:jc w:val="both"/>
        <w:rPr>
          <w:rFonts w:eastAsia="Arial"/>
        </w:rPr>
      </w:pPr>
      <w:r w:rsidRPr="006E4C32">
        <w:rPr>
          <w:rFonts w:eastAsia="Arial"/>
        </w:rPr>
        <w:t>Le Plan d´Exécution Pluriannuel</w:t>
      </w:r>
      <w:r w:rsidR="001D6B7B" w:rsidRPr="006E4C32">
        <w:rPr>
          <w:rFonts w:eastAsia="Arial"/>
        </w:rPr>
        <w:t xml:space="preserve"> établit le programme d</w:t>
      </w:r>
      <w:r w:rsidR="000734CA">
        <w:rPr>
          <w:rFonts w:eastAsia="Arial"/>
        </w:rPr>
        <w:t>’</w:t>
      </w:r>
      <w:r w:rsidR="001D6B7B" w:rsidRPr="006E4C32">
        <w:rPr>
          <w:rFonts w:eastAsia="Arial"/>
        </w:rPr>
        <w:t>activités, les responsables, la projection annuelle des dépenses et le budget. Ce plan permet de quantifier les besoins en matière de ressources financières, humaines et logistiques pour la période d´exécution du programme.</w:t>
      </w:r>
      <w:r w:rsidR="00B94427">
        <w:rPr>
          <w:rFonts w:eastAsia="Arial"/>
        </w:rPr>
        <w:t xml:space="preserve"> </w:t>
      </w:r>
      <w:r w:rsidR="001D6B7B" w:rsidRPr="006E4C32">
        <w:rPr>
          <w:rFonts w:eastAsia="Arial"/>
        </w:rPr>
        <w:t xml:space="preserve">Ce Plan sera la base </w:t>
      </w:r>
      <w:r w:rsidRPr="006E4C32">
        <w:rPr>
          <w:rFonts w:eastAsia="Arial"/>
        </w:rPr>
        <w:t xml:space="preserve">pour la préparation des Plans </w:t>
      </w:r>
      <w:r w:rsidR="001D6B7B" w:rsidRPr="006E4C32">
        <w:rPr>
          <w:rFonts w:eastAsia="Arial"/>
        </w:rPr>
        <w:t>Opération</w:t>
      </w:r>
      <w:r w:rsidRPr="006E4C32">
        <w:rPr>
          <w:rFonts w:eastAsia="Arial"/>
        </w:rPr>
        <w:t>nels</w:t>
      </w:r>
      <w:r w:rsidR="001D6B7B" w:rsidRPr="006E4C32">
        <w:rPr>
          <w:rFonts w:eastAsia="Arial"/>
        </w:rPr>
        <w:t xml:space="preserve"> Annuels</w:t>
      </w:r>
      <w:r w:rsidR="000734CA">
        <w:rPr>
          <w:rFonts w:eastAsia="Arial"/>
        </w:rPr>
        <w:t>.</w:t>
      </w:r>
    </w:p>
    <w:p w14:paraId="5FF3B15C" w14:textId="77777777" w:rsidR="001D6B7B" w:rsidRPr="006E4C32" w:rsidRDefault="001D6B7B" w:rsidP="00ED6EFB">
      <w:pPr>
        <w:spacing w:line="276" w:lineRule="auto"/>
        <w:jc w:val="both"/>
        <w:rPr>
          <w:rFonts w:eastAsia="Times New Roman"/>
        </w:rPr>
      </w:pPr>
    </w:p>
    <w:p w14:paraId="3C03B1F2" w14:textId="77777777" w:rsidR="001D6B7B" w:rsidRPr="006E4C32" w:rsidRDefault="00B532C6" w:rsidP="0006696B">
      <w:pPr>
        <w:pStyle w:val="ListParagraph"/>
        <w:numPr>
          <w:ilvl w:val="1"/>
          <w:numId w:val="31"/>
        </w:numPr>
        <w:tabs>
          <w:tab w:val="left" w:pos="720"/>
        </w:tabs>
        <w:spacing w:line="276" w:lineRule="auto"/>
        <w:rPr>
          <w:rFonts w:eastAsia="Arial"/>
          <w:b/>
        </w:rPr>
      </w:pPr>
      <w:r w:rsidRPr="006E4C32">
        <w:rPr>
          <w:rFonts w:eastAsia="Arial"/>
          <w:b/>
        </w:rPr>
        <w:t xml:space="preserve">Le Plan Opérationnel </w:t>
      </w:r>
      <w:r w:rsidR="001D6B7B" w:rsidRPr="006E4C32">
        <w:rPr>
          <w:rFonts w:eastAsia="Arial"/>
          <w:b/>
        </w:rPr>
        <w:t>Annuel (POA)</w:t>
      </w:r>
    </w:p>
    <w:p w14:paraId="74CE6162" w14:textId="77777777" w:rsidR="001D6B7B" w:rsidRPr="006E4C32" w:rsidRDefault="00B532C6" w:rsidP="00ED6EFB">
      <w:pPr>
        <w:spacing w:line="276" w:lineRule="auto"/>
        <w:jc w:val="both"/>
        <w:rPr>
          <w:rFonts w:eastAsia="Arial"/>
        </w:rPr>
      </w:pPr>
      <w:r w:rsidRPr="006E4C32">
        <w:rPr>
          <w:rFonts w:eastAsia="Arial"/>
        </w:rPr>
        <w:t xml:space="preserve">Le Plan Opérationnel </w:t>
      </w:r>
      <w:r w:rsidR="001D6B7B" w:rsidRPr="006E4C32">
        <w:rPr>
          <w:rFonts w:eastAsia="Arial"/>
        </w:rPr>
        <w:t xml:space="preserve">Annuel (POA) est destiné à </w:t>
      </w:r>
      <w:r w:rsidRPr="006E4C32">
        <w:rPr>
          <w:rFonts w:eastAsia="Arial"/>
        </w:rPr>
        <w:t>établir le lien entre le Plan d’Exécution Pluriannuel</w:t>
      </w:r>
      <w:r w:rsidR="001D6B7B" w:rsidRPr="006E4C32">
        <w:rPr>
          <w:rFonts w:eastAsia="Arial"/>
        </w:rPr>
        <w:t xml:space="preserve"> du Projet, qui couvre la durée de vie du Projet en termes de ses indicateurs de performance de fin de projet, et les cibles annuelles qui présentent une progression logique de ces objectifs finaux. Il définit les résultats anticipés à partir d</w:t>
      </w:r>
      <w:r w:rsidR="00404E7C" w:rsidRPr="006E4C32">
        <w:rPr>
          <w:rFonts w:eastAsia="Arial"/>
        </w:rPr>
        <w:t>’un niveau d’</w:t>
      </w:r>
      <w:r w:rsidR="001D6B7B" w:rsidRPr="006E4C32">
        <w:rPr>
          <w:rFonts w:eastAsia="Arial"/>
        </w:rPr>
        <w:t>investisse</w:t>
      </w:r>
      <w:r w:rsidR="00404E7C" w:rsidRPr="006E4C32">
        <w:rPr>
          <w:rFonts w:eastAsia="Arial"/>
        </w:rPr>
        <w:t>ments proposé sur une période d’</w:t>
      </w:r>
      <w:r w:rsidR="001D6B7B" w:rsidRPr="006E4C32">
        <w:rPr>
          <w:rFonts w:eastAsia="Arial"/>
        </w:rPr>
        <w:t>un an.</w:t>
      </w:r>
    </w:p>
    <w:p w14:paraId="2C7AEFF4" w14:textId="77777777" w:rsidR="001D6B7B" w:rsidRPr="006E4C32" w:rsidRDefault="00404E7C" w:rsidP="00ED6EFB">
      <w:pPr>
        <w:spacing w:line="276" w:lineRule="auto"/>
        <w:jc w:val="both"/>
        <w:rPr>
          <w:rFonts w:eastAsia="Arial"/>
        </w:rPr>
      </w:pPr>
      <w:r w:rsidRPr="006E4C32">
        <w:rPr>
          <w:rFonts w:eastAsia="Arial"/>
        </w:rPr>
        <w:t>C’</w:t>
      </w:r>
      <w:r w:rsidR="001D6B7B" w:rsidRPr="006E4C32">
        <w:rPr>
          <w:rFonts w:eastAsia="Arial"/>
        </w:rPr>
        <w:t>est un document évolutif mis à jour chaque année, sa première édition devant être fournie lors du séminaire de démarrage en ayant comme ba</w:t>
      </w:r>
      <w:r w:rsidRPr="006E4C32">
        <w:rPr>
          <w:rFonts w:eastAsia="Arial"/>
        </w:rPr>
        <w:t xml:space="preserve">se le Plan d’Exécution Pluriannuel </w:t>
      </w:r>
      <w:r w:rsidR="001D6B7B" w:rsidRPr="006E4C32">
        <w:rPr>
          <w:rFonts w:eastAsia="Arial"/>
        </w:rPr>
        <w:t>défini ci-dessus.</w:t>
      </w:r>
    </w:p>
    <w:p w14:paraId="4E6ECFE5" w14:textId="543C2655" w:rsidR="001D6B7B" w:rsidRPr="006E4C32" w:rsidRDefault="001D6B7B" w:rsidP="00ED6EFB">
      <w:pPr>
        <w:spacing w:line="276" w:lineRule="auto"/>
        <w:jc w:val="both"/>
        <w:rPr>
          <w:rFonts w:eastAsia="Arial"/>
        </w:rPr>
      </w:pPr>
      <w:r w:rsidRPr="006E4C32">
        <w:rPr>
          <w:rFonts w:eastAsia="Arial"/>
        </w:rPr>
        <w:t xml:space="preserve">Le POA constitue </w:t>
      </w:r>
      <w:r w:rsidR="00404E7C" w:rsidRPr="006E4C32">
        <w:rPr>
          <w:rFonts w:eastAsia="Arial"/>
        </w:rPr>
        <w:t>la base pour le monitoring et l’</w:t>
      </w:r>
      <w:r w:rsidRPr="006E4C32">
        <w:rPr>
          <w:rFonts w:eastAsia="Arial"/>
        </w:rPr>
        <w:t>évaluation par les principaux acteurs qui ont une responsabilité de contrôle</w:t>
      </w:r>
      <w:r w:rsidR="00CF1942">
        <w:rPr>
          <w:rFonts w:eastAsia="Arial"/>
        </w:rPr>
        <w:t xml:space="preserve">. </w:t>
      </w:r>
      <w:r w:rsidR="006712CA" w:rsidRPr="006E4C32">
        <w:rPr>
          <w:rFonts w:eastAsia="Arial"/>
        </w:rPr>
        <w:t xml:space="preserve">Les objectifs du Plan Opérationnel </w:t>
      </w:r>
      <w:r w:rsidRPr="006E4C32">
        <w:rPr>
          <w:rFonts w:eastAsia="Arial"/>
        </w:rPr>
        <w:t>Annuel sont :</w:t>
      </w:r>
    </w:p>
    <w:p w14:paraId="0C2A5E09" w14:textId="77777777" w:rsidR="001D6B7B" w:rsidRPr="006E4C32" w:rsidRDefault="001D6B7B" w:rsidP="00ED6EFB">
      <w:pPr>
        <w:spacing w:line="276" w:lineRule="auto"/>
        <w:jc w:val="both"/>
        <w:rPr>
          <w:rFonts w:eastAsia="Times New Roman"/>
        </w:rPr>
      </w:pPr>
    </w:p>
    <w:p w14:paraId="50664195" w14:textId="77777777" w:rsidR="001D6B7B" w:rsidRPr="006E4C32" w:rsidRDefault="000D4CFB" w:rsidP="0006696B">
      <w:pPr>
        <w:numPr>
          <w:ilvl w:val="0"/>
          <w:numId w:val="11"/>
        </w:numPr>
        <w:tabs>
          <w:tab w:val="left" w:pos="720"/>
        </w:tabs>
        <w:spacing w:line="276" w:lineRule="auto"/>
        <w:ind w:left="720" w:hanging="358"/>
        <w:jc w:val="both"/>
        <w:rPr>
          <w:rFonts w:eastAsia="Arial"/>
        </w:rPr>
      </w:pPr>
      <w:r w:rsidRPr="006E4C32">
        <w:rPr>
          <w:rFonts w:eastAsia="Arial"/>
        </w:rPr>
        <w:t>D’</w:t>
      </w:r>
      <w:r w:rsidR="001D6B7B" w:rsidRPr="006E4C32">
        <w:rPr>
          <w:rFonts w:eastAsia="Arial"/>
        </w:rPr>
        <w:t>améliorer la g</w:t>
      </w:r>
      <w:r w:rsidRPr="006E4C32">
        <w:rPr>
          <w:rFonts w:eastAsia="Arial"/>
        </w:rPr>
        <w:t>estion des projets/programmes d’</w:t>
      </w:r>
      <w:r w:rsidR="001D6B7B" w:rsidRPr="006E4C32">
        <w:rPr>
          <w:rFonts w:eastAsia="Arial"/>
        </w:rPr>
        <w:t>investissement en fournissant à toutes les parties prenant</w:t>
      </w:r>
      <w:r w:rsidRPr="006E4C32">
        <w:rPr>
          <w:rFonts w:eastAsia="Arial"/>
        </w:rPr>
        <w:t>es une perspective claire sur l’exécution du projet pour l’</w:t>
      </w:r>
      <w:r w:rsidR="001D6B7B" w:rsidRPr="006E4C32">
        <w:rPr>
          <w:rFonts w:eastAsia="Arial"/>
        </w:rPr>
        <w:t>année en question.</w:t>
      </w:r>
    </w:p>
    <w:p w14:paraId="7DEEC173" w14:textId="77777777" w:rsidR="001D6B7B" w:rsidRPr="006E4C32" w:rsidRDefault="001D6B7B" w:rsidP="00ED6EFB">
      <w:pPr>
        <w:spacing w:line="276" w:lineRule="auto"/>
        <w:jc w:val="both"/>
        <w:rPr>
          <w:rFonts w:eastAsia="Arial"/>
        </w:rPr>
      </w:pPr>
    </w:p>
    <w:p w14:paraId="4B804E31" w14:textId="1FD177BF" w:rsidR="001D6B7B" w:rsidRPr="006E4C32" w:rsidRDefault="001D6B7B" w:rsidP="0006696B">
      <w:pPr>
        <w:numPr>
          <w:ilvl w:val="0"/>
          <w:numId w:val="11"/>
        </w:numPr>
        <w:tabs>
          <w:tab w:val="left" w:pos="720"/>
        </w:tabs>
        <w:spacing w:line="276" w:lineRule="auto"/>
        <w:ind w:left="720" w:hanging="358"/>
        <w:jc w:val="both"/>
        <w:rPr>
          <w:rFonts w:eastAsia="Arial"/>
        </w:rPr>
      </w:pPr>
      <w:r w:rsidRPr="006E4C32">
        <w:rPr>
          <w:rFonts w:eastAsia="Arial"/>
        </w:rPr>
        <w:t>De fournir des informations précises qui permettront aux décideurs du Ministère des Finances, de la BID de prendre les meilleures</w:t>
      </w:r>
      <w:r w:rsidR="000D4CFB" w:rsidRPr="006E4C32">
        <w:rPr>
          <w:rFonts w:eastAsia="Arial"/>
        </w:rPr>
        <w:t xml:space="preserve"> décisions sur les ressources d’</w:t>
      </w:r>
      <w:r w:rsidRPr="006E4C32">
        <w:rPr>
          <w:rFonts w:eastAsia="Arial"/>
        </w:rPr>
        <w:t>i</w:t>
      </w:r>
      <w:r w:rsidR="000D4CFB" w:rsidRPr="006E4C32">
        <w:rPr>
          <w:rFonts w:eastAsia="Arial"/>
        </w:rPr>
        <w:t>nvestissements à allouer pour l’</w:t>
      </w:r>
      <w:r w:rsidRPr="006E4C32">
        <w:rPr>
          <w:rFonts w:eastAsia="Arial"/>
        </w:rPr>
        <w:t>année en question.</w:t>
      </w:r>
    </w:p>
    <w:p w14:paraId="1444798E" w14:textId="77777777" w:rsidR="001D6B7B" w:rsidRPr="006E4C32" w:rsidRDefault="001D6B7B" w:rsidP="00ED6EFB">
      <w:pPr>
        <w:spacing w:line="276" w:lineRule="auto"/>
        <w:jc w:val="both"/>
        <w:rPr>
          <w:rFonts w:eastAsia="Times New Roman"/>
        </w:rPr>
      </w:pPr>
    </w:p>
    <w:p w14:paraId="21F80891" w14:textId="77777777" w:rsidR="000D4CFB" w:rsidRPr="006E4C32" w:rsidRDefault="000D4CFB" w:rsidP="00ED6EFB">
      <w:pPr>
        <w:spacing w:line="276" w:lineRule="auto"/>
        <w:jc w:val="both"/>
        <w:rPr>
          <w:rFonts w:eastAsia="Arial"/>
        </w:rPr>
      </w:pPr>
    </w:p>
    <w:p w14:paraId="436D5D32" w14:textId="7779A7F3" w:rsidR="001D6B7B" w:rsidRPr="006E4C32" w:rsidRDefault="001D6B7B" w:rsidP="00ED6EFB">
      <w:pPr>
        <w:spacing w:line="276" w:lineRule="auto"/>
        <w:jc w:val="both"/>
        <w:rPr>
          <w:rFonts w:eastAsia="Arial"/>
        </w:rPr>
      </w:pPr>
      <w:r w:rsidRPr="006E4C32">
        <w:rPr>
          <w:rFonts w:eastAsia="Arial"/>
        </w:rPr>
        <w:t>Pour la préparation du POA la responsabilité première est celle de</w:t>
      </w:r>
      <w:r w:rsidR="00CF1942">
        <w:rPr>
          <w:rFonts w:eastAsia="Arial"/>
        </w:rPr>
        <w:t>s deux OE</w:t>
      </w:r>
      <w:r w:rsidRPr="006E4C32">
        <w:rPr>
          <w:rFonts w:eastAsia="Arial"/>
        </w:rPr>
        <w:t xml:space="preserve">. </w:t>
      </w:r>
      <w:r w:rsidR="00CF1942">
        <w:rPr>
          <w:rFonts w:eastAsia="Arial"/>
        </w:rPr>
        <w:t>Chaque coordonnateur de projet</w:t>
      </w:r>
      <w:r w:rsidR="000D4CFB" w:rsidRPr="006E4C32">
        <w:rPr>
          <w:rFonts w:eastAsia="Arial"/>
        </w:rPr>
        <w:t xml:space="preserve"> en a </w:t>
      </w:r>
      <w:r w:rsidR="00CF1942">
        <w:rPr>
          <w:rFonts w:eastAsia="Arial"/>
        </w:rPr>
        <w:t>la</w:t>
      </w:r>
      <w:r w:rsidRPr="006E4C32">
        <w:rPr>
          <w:rFonts w:eastAsia="Arial"/>
        </w:rPr>
        <w:t xml:space="preserve"> responsabilité mais la prépar</w:t>
      </w:r>
      <w:r w:rsidR="000D4CFB" w:rsidRPr="006E4C32">
        <w:rPr>
          <w:rFonts w:eastAsia="Arial"/>
        </w:rPr>
        <w:t>ation exige une approche d’</w:t>
      </w:r>
      <w:r w:rsidRPr="006E4C32">
        <w:rPr>
          <w:rFonts w:eastAsia="Arial"/>
        </w:rPr>
        <w:t>équipe impliquant l</w:t>
      </w:r>
      <w:r w:rsidR="000D4CFB" w:rsidRPr="006E4C32">
        <w:rPr>
          <w:rFonts w:eastAsia="Arial"/>
        </w:rPr>
        <w:t xml:space="preserve">e personnel clé. </w:t>
      </w:r>
    </w:p>
    <w:p w14:paraId="1EC8D56D" w14:textId="77777777" w:rsidR="001D6B7B" w:rsidRPr="006E4C32" w:rsidRDefault="001D6B7B" w:rsidP="00ED6EFB">
      <w:pPr>
        <w:spacing w:line="276" w:lineRule="auto"/>
        <w:jc w:val="both"/>
        <w:rPr>
          <w:rFonts w:eastAsia="Times New Roman"/>
        </w:rPr>
      </w:pPr>
    </w:p>
    <w:p w14:paraId="19B06A3A" w14:textId="77777777" w:rsidR="001D6B7B" w:rsidRPr="006E4C32" w:rsidRDefault="001D6B7B" w:rsidP="00ED6EFB">
      <w:pPr>
        <w:spacing w:line="276" w:lineRule="auto"/>
        <w:jc w:val="both"/>
        <w:rPr>
          <w:rFonts w:eastAsia="Arial"/>
        </w:rPr>
      </w:pPr>
      <w:r w:rsidRPr="006E4C32">
        <w:rPr>
          <w:rFonts w:eastAsia="Arial"/>
        </w:rPr>
        <w:t>Le POA doit suivre une séquence logique à commencer par une identification de la portion des activités, des résultats connexes et des rendements dont la réa</w:t>
      </w:r>
      <w:r w:rsidR="007A00E1" w:rsidRPr="006E4C32">
        <w:rPr>
          <w:rFonts w:eastAsia="Arial"/>
        </w:rPr>
        <w:t>lisation est anticipée durant l’</w:t>
      </w:r>
      <w:r w:rsidRPr="006E4C32">
        <w:rPr>
          <w:rFonts w:eastAsia="Arial"/>
        </w:rPr>
        <w:t xml:space="preserve">année </w:t>
      </w:r>
      <w:r w:rsidR="007A00E1" w:rsidRPr="006E4C32">
        <w:rPr>
          <w:rFonts w:eastAsia="Arial"/>
        </w:rPr>
        <w:t>en question et les éléments qu’i</w:t>
      </w:r>
      <w:r w:rsidRPr="006E4C32">
        <w:rPr>
          <w:rFonts w:eastAsia="Arial"/>
        </w:rPr>
        <w:t>l faut pour les réaliser. Il sera donc composé de:</w:t>
      </w:r>
    </w:p>
    <w:p w14:paraId="1FE7EC51" w14:textId="77777777" w:rsidR="001D6B7B" w:rsidRPr="006E4C32" w:rsidRDefault="001D6B7B" w:rsidP="00ED6EFB">
      <w:pPr>
        <w:spacing w:line="276" w:lineRule="auto"/>
        <w:jc w:val="both"/>
        <w:rPr>
          <w:rFonts w:eastAsia="Times New Roman"/>
        </w:rPr>
      </w:pPr>
    </w:p>
    <w:p w14:paraId="1F61B093" w14:textId="77777777" w:rsidR="001D6B7B" w:rsidRPr="006E4C32" w:rsidRDefault="001D6B7B" w:rsidP="0006696B">
      <w:pPr>
        <w:numPr>
          <w:ilvl w:val="0"/>
          <w:numId w:val="12"/>
        </w:numPr>
        <w:tabs>
          <w:tab w:val="left" w:pos="720"/>
        </w:tabs>
        <w:spacing w:line="276" w:lineRule="auto"/>
        <w:ind w:left="720" w:hanging="358"/>
        <w:jc w:val="both"/>
        <w:rPr>
          <w:rFonts w:eastAsia="Arial"/>
        </w:rPr>
      </w:pPr>
      <w:r w:rsidRPr="006E4C32">
        <w:rPr>
          <w:rFonts w:eastAsia="Arial"/>
        </w:rPr>
        <w:t>Calendrier de Mise en Œuvre de projet révisé pour la durée de vie du projet</w:t>
      </w:r>
    </w:p>
    <w:p w14:paraId="01BFC662" w14:textId="77777777" w:rsidR="001D6B7B" w:rsidRPr="006E4C32" w:rsidRDefault="001D6B7B" w:rsidP="00ED6EFB">
      <w:pPr>
        <w:spacing w:line="276" w:lineRule="auto"/>
        <w:jc w:val="both"/>
        <w:rPr>
          <w:rFonts w:eastAsia="Arial"/>
        </w:rPr>
      </w:pPr>
    </w:p>
    <w:p w14:paraId="352A3BF3" w14:textId="77777777" w:rsidR="001D6B7B" w:rsidRPr="006E4C32" w:rsidRDefault="001D6B7B" w:rsidP="0006696B">
      <w:pPr>
        <w:numPr>
          <w:ilvl w:val="0"/>
          <w:numId w:val="12"/>
        </w:numPr>
        <w:tabs>
          <w:tab w:val="left" w:pos="720"/>
        </w:tabs>
        <w:spacing w:line="276" w:lineRule="auto"/>
        <w:ind w:left="720" w:hanging="358"/>
        <w:jc w:val="both"/>
        <w:rPr>
          <w:rFonts w:eastAsia="Arial"/>
        </w:rPr>
      </w:pPr>
      <w:r w:rsidRPr="006E4C32">
        <w:rPr>
          <w:rFonts w:eastAsia="Arial"/>
        </w:rPr>
        <w:t>La liste des Rendement</w:t>
      </w:r>
      <w:r w:rsidR="006368BB" w:rsidRPr="006E4C32">
        <w:rPr>
          <w:rFonts w:eastAsia="Arial"/>
        </w:rPr>
        <w:t>s Anticipés et Résultats pour l’</w:t>
      </w:r>
      <w:r w:rsidRPr="006E4C32">
        <w:rPr>
          <w:rFonts w:eastAsia="Arial"/>
        </w:rPr>
        <w:t>Année</w:t>
      </w:r>
    </w:p>
    <w:p w14:paraId="304AA269" w14:textId="77777777" w:rsidR="001D6B7B" w:rsidRPr="006E4C32" w:rsidRDefault="001D6B7B" w:rsidP="00ED6EFB">
      <w:pPr>
        <w:spacing w:line="276" w:lineRule="auto"/>
        <w:jc w:val="both"/>
        <w:rPr>
          <w:rFonts w:eastAsia="Arial"/>
        </w:rPr>
      </w:pPr>
    </w:p>
    <w:p w14:paraId="3A456B6A" w14:textId="77777777" w:rsidR="001D6B7B" w:rsidRPr="006E4C32" w:rsidRDefault="001D6B7B" w:rsidP="0006696B">
      <w:pPr>
        <w:numPr>
          <w:ilvl w:val="0"/>
          <w:numId w:val="12"/>
        </w:numPr>
        <w:tabs>
          <w:tab w:val="left" w:pos="720"/>
        </w:tabs>
        <w:spacing w:line="276" w:lineRule="auto"/>
        <w:ind w:left="720" w:hanging="358"/>
        <w:jc w:val="both"/>
        <w:rPr>
          <w:rFonts w:eastAsia="Arial"/>
        </w:rPr>
      </w:pPr>
      <w:r w:rsidRPr="006E4C32">
        <w:rPr>
          <w:rFonts w:eastAsia="Arial"/>
        </w:rPr>
        <w:t>La liste des Activités et Calendrier de Mise en Œuvre</w:t>
      </w:r>
    </w:p>
    <w:p w14:paraId="1436901C" w14:textId="77777777" w:rsidR="001D6B7B" w:rsidRPr="006E4C32" w:rsidRDefault="001D6B7B" w:rsidP="00ED6EFB">
      <w:pPr>
        <w:spacing w:line="276" w:lineRule="auto"/>
        <w:jc w:val="both"/>
        <w:rPr>
          <w:rFonts w:eastAsia="Arial"/>
        </w:rPr>
      </w:pPr>
    </w:p>
    <w:p w14:paraId="0C434A68" w14:textId="77777777" w:rsidR="001D6B7B" w:rsidRPr="006E4C32" w:rsidRDefault="001D6B7B" w:rsidP="0006696B">
      <w:pPr>
        <w:numPr>
          <w:ilvl w:val="0"/>
          <w:numId w:val="12"/>
        </w:numPr>
        <w:tabs>
          <w:tab w:val="left" w:pos="720"/>
        </w:tabs>
        <w:spacing w:line="276" w:lineRule="auto"/>
        <w:ind w:left="720" w:hanging="358"/>
        <w:jc w:val="both"/>
        <w:rPr>
          <w:rFonts w:eastAsia="Arial"/>
        </w:rPr>
      </w:pPr>
      <w:r w:rsidRPr="006E4C32">
        <w:rPr>
          <w:rFonts w:eastAsia="Arial"/>
        </w:rPr>
        <w:t>Le Plan de Passation de Marchés - la dernière actualisation semestrielle sera jointe au POA</w:t>
      </w:r>
    </w:p>
    <w:p w14:paraId="0C8A2F28" w14:textId="77777777" w:rsidR="001D6B7B" w:rsidRPr="006E4C32" w:rsidRDefault="001D6B7B" w:rsidP="00ED6EFB">
      <w:pPr>
        <w:spacing w:line="276" w:lineRule="auto"/>
        <w:jc w:val="both"/>
        <w:rPr>
          <w:rFonts w:eastAsia="Arial"/>
        </w:rPr>
      </w:pPr>
    </w:p>
    <w:p w14:paraId="2C3FCDED" w14:textId="77777777" w:rsidR="001D6B7B" w:rsidRPr="006E4C32" w:rsidRDefault="001D6B7B" w:rsidP="0006696B">
      <w:pPr>
        <w:numPr>
          <w:ilvl w:val="0"/>
          <w:numId w:val="12"/>
        </w:numPr>
        <w:tabs>
          <w:tab w:val="left" w:pos="720"/>
        </w:tabs>
        <w:spacing w:line="276" w:lineRule="auto"/>
        <w:ind w:left="720" w:hanging="358"/>
        <w:jc w:val="both"/>
        <w:rPr>
          <w:rFonts w:eastAsia="Arial"/>
        </w:rPr>
      </w:pPr>
      <w:r w:rsidRPr="006E4C32">
        <w:rPr>
          <w:rFonts w:eastAsia="Arial"/>
        </w:rPr>
        <w:t>Les Projections Budgétaires et de Décaissement</w:t>
      </w:r>
    </w:p>
    <w:p w14:paraId="26CBC003" w14:textId="77777777" w:rsidR="001D6B7B" w:rsidRPr="006E4C32" w:rsidRDefault="001D6B7B" w:rsidP="00ED6EFB">
      <w:pPr>
        <w:spacing w:line="276" w:lineRule="auto"/>
        <w:jc w:val="both"/>
        <w:rPr>
          <w:rFonts w:eastAsia="Times New Roman"/>
        </w:rPr>
      </w:pPr>
    </w:p>
    <w:p w14:paraId="2DD40541" w14:textId="77777777" w:rsidR="00E320DF" w:rsidRPr="006E4C32" w:rsidRDefault="00E320DF" w:rsidP="00ED6EFB">
      <w:pPr>
        <w:spacing w:line="276" w:lineRule="auto"/>
        <w:jc w:val="both"/>
        <w:rPr>
          <w:rFonts w:eastAsia="Times New Roman"/>
        </w:rPr>
      </w:pPr>
    </w:p>
    <w:p w14:paraId="39DA5E43" w14:textId="77777777" w:rsidR="00E320DF" w:rsidRPr="006E4C32" w:rsidRDefault="00E320DF" w:rsidP="00ED6EFB">
      <w:pPr>
        <w:spacing w:line="276" w:lineRule="auto"/>
        <w:jc w:val="both"/>
        <w:rPr>
          <w:rFonts w:eastAsia="Times New Roman"/>
        </w:rPr>
      </w:pPr>
    </w:p>
    <w:p w14:paraId="7191EE6E" w14:textId="6A988B07" w:rsidR="001D6B7B" w:rsidRPr="006E4C32" w:rsidRDefault="00B94427" w:rsidP="00B94427">
      <w:pPr>
        <w:pStyle w:val="ListParagraph"/>
        <w:tabs>
          <w:tab w:val="left" w:pos="580"/>
        </w:tabs>
        <w:spacing w:line="276" w:lineRule="auto"/>
        <w:ind w:left="786"/>
        <w:rPr>
          <w:rFonts w:eastAsia="Arial"/>
          <w:b/>
        </w:rPr>
      </w:pPr>
      <w:r>
        <w:rPr>
          <w:rFonts w:eastAsia="Arial"/>
          <w:b/>
        </w:rPr>
        <w:t xml:space="preserve">6.4 </w:t>
      </w:r>
      <w:r w:rsidR="001D6B7B" w:rsidRPr="006E4C32">
        <w:rPr>
          <w:rFonts w:eastAsia="Arial"/>
          <w:b/>
        </w:rPr>
        <w:t>C</w:t>
      </w:r>
      <w:r>
        <w:rPr>
          <w:rFonts w:eastAsia="Arial"/>
          <w:b/>
        </w:rPr>
        <w:t>hronogramme d’exécution des contrats</w:t>
      </w:r>
    </w:p>
    <w:p w14:paraId="0674ECC6" w14:textId="77777777" w:rsidR="001D6B7B" w:rsidRPr="006E4C32" w:rsidRDefault="001D6B7B" w:rsidP="00ED6EFB">
      <w:pPr>
        <w:spacing w:line="276" w:lineRule="auto"/>
        <w:jc w:val="both"/>
        <w:rPr>
          <w:rFonts w:eastAsia="Times New Roman"/>
        </w:rPr>
      </w:pPr>
    </w:p>
    <w:p w14:paraId="4EAC1051" w14:textId="30CEB74B" w:rsidR="001D6B7B" w:rsidRPr="006E4C32" w:rsidRDefault="001D6B7B" w:rsidP="00ED6EFB">
      <w:pPr>
        <w:spacing w:line="276" w:lineRule="auto"/>
        <w:jc w:val="both"/>
        <w:rPr>
          <w:rFonts w:eastAsia="Arial"/>
        </w:rPr>
      </w:pPr>
      <w:r w:rsidRPr="006E4C32">
        <w:rPr>
          <w:rFonts w:eastAsia="Arial"/>
        </w:rPr>
        <w:t>Un chronogramme, actualisé tous les</w:t>
      </w:r>
      <w:r w:rsidR="00C91F3F" w:rsidRPr="006E4C32">
        <w:rPr>
          <w:rFonts w:eastAsia="Arial"/>
        </w:rPr>
        <w:t xml:space="preserve"> 6 mois, sera demandé</w:t>
      </w:r>
      <w:r w:rsidR="00EB2228">
        <w:rPr>
          <w:rFonts w:eastAsia="Arial"/>
        </w:rPr>
        <w:t>.</w:t>
      </w:r>
      <w:r w:rsidR="006368BB" w:rsidRPr="006E4C32">
        <w:rPr>
          <w:rFonts w:eastAsia="Arial"/>
        </w:rPr>
        <w:t xml:space="preserve"> Ce </w:t>
      </w:r>
      <w:r w:rsidR="00B94427">
        <w:rPr>
          <w:rFonts w:eastAsia="Arial"/>
        </w:rPr>
        <w:t>c</w:t>
      </w:r>
      <w:r w:rsidR="006368BB" w:rsidRPr="006E4C32">
        <w:rPr>
          <w:rFonts w:eastAsia="Arial"/>
        </w:rPr>
        <w:t>hronogramme d’</w:t>
      </w:r>
      <w:r w:rsidR="00B94427">
        <w:rPr>
          <w:rFonts w:eastAsia="Arial"/>
        </w:rPr>
        <w:t>e</w:t>
      </w:r>
      <w:r w:rsidRPr="006E4C32">
        <w:rPr>
          <w:rFonts w:eastAsia="Arial"/>
        </w:rPr>
        <w:t>xécution sera relié au Plan Opérationnel Annuel et au Plan de Passation de Marchés du Programme, devra établir des objectifs identifiables et lister les progrès de façon</w:t>
      </w:r>
      <w:r w:rsidR="00AA7FAD" w:rsidRPr="006E4C32">
        <w:rPr>
          <w:rFonts w:eastAsia="Arial"/>
        </w:rPr>
        <w:t xml:space="preserve"> </w:t>
      </w:r>
      <w:r w:rsidRPr="006E4C32">
        <w:rPr>
          <w:rFonts w:eastAsia="Arial"/>
        </w:rPr>
        <w:t>systématique et permanente, afin de détecter les possibles déviations par rappo</w:t>
      </w:r>
      <w:r w:rsidR="00AA7FAD" w:rsidRPr="006E4C32">
        <w:rPr>
          <w:rFonts w:eastAsia="Arial"/>
        </w:rPr>
        <w:t>rt aux buts fixés et recevoir l’information opportune quant à l’impact d’</w:t>
      </w:r>
      <w:r w:rsidRPr="006E4C32">
        <w:rPr>
          <w:rFonts w:eastAsia="Arial"/>
        </w:rPr>
        <w:t>éventuels retards. Il montrera, au minimum, les projections trimestrielles de décaissement en se basant sur les modalités de paiement prévisionnelles indiquées dans les contrats (avances de paiement, décomptes, restitution des cautions).</w:t>
      </w:r>
    </w:p>
    <w:p w14:paraId="39FAC998" w14:textId="77777777" w:rsidR="001D6B7B" w:rsidRPr="006E4C32" w:rsidRDefault="001D6B7B" w:rsidP="00ED6EFB">
      <w:pPr>
        <w:spacing w:line="276" w:lineRule="auto"/>
        <w:jc w:val="both"/>
        <w:rPr>
          <w:rFonts w:eastAsia="Times New Roman"/>
        </w:rPr>
      </w:pPr>
    </w:p>
    <w:p w14:paraId="6514A1B6" w14:textId="77777777" w:rsidR="001D6B7B" w:rsidRPr="006E4C32" w:rsidRDefault="001D6B7B" w:rsidP="00ED6EFB">
      <w:pPr>
        <w:spacing w:line="276" w:lineRule="auto"/>
        <w:ind w:left="8"/>
        <w:jc w:val="both"/>
        <w:rPr>
          <w:rFonts w:eastAsia="Arial"/>
        </w:rPr>
      </w:pPr>
      <w:r w:rsidRPr="006E4C32">
        <w:rPr>
          <w:rFonts w:eastAsia="Arial"/>
        </w:rPr>
        <w:t>Ce chronogramme devra être cohérent avec le plan de passation de marchés auquel il pourra être rattaché (fichiers électroniques liés).</w:t>
      </w:r>
    </w:p>
    <w:p w14:paraId="638CA69F" w14:textId="77777777" w:rsidR="001D6B7B" w:rsidRPr="006E4C32" w:rsidRDefault="001D6B7B" w:rsidP="00ED6EFB">
      <w:pPr>
        <w:spacing w:line="276" w:lineRule="auto"/>
        <w:jc w:val="both"/>
        <w:rPr>
          <w:rFonts w:eastAsia="Times New Roman"/>
        </w:rPr>
      </w:pPr>
    </w:p>
    <w:p w14:paraId="438D7C4F" w14:textId="77777777" w:rsidR="00CF1942" w:rsidRDefault="001D6B7B" w:rsidP="00ED6EFB">
      <w:pPr>
        <w:spacing w:line="276" w:lineRule="auto"/>
        <w:ind w:left="8"/>
        <w:jc w:val="both"/>
        <w:rPr>
          <w:rFonts w:eastAsia="Arial"/>
        </w:rPr>
      </w:pPr>
      <w:r w:rsidRPr="006E4C32">
        <w:rPr>
          <w:rFonts w:eastAsia="Arial"/>
        </w:rPr>
        <w:t>Il est également nécessaire de disposer d</w:t>
      </w:r>
      <w:r w:rsidR="00C87D4E" w:rsidRPr="006E4C32">
        <w:rPr>
          <w:rFonts w:eastAsia="Arial" w:cs="Times New Roman"/>
        </w:rPr>
        <w:t>’</w:t>
      </w:r>
      <w:r w:rsidRPr="006E4C32">
        <w:rPr>
          <w:rFonts w:eastAsia="Arial"/>
        </w:rPr>
        <w:t>un Chronogramme, idéalement le même que le chronogramme d</w:t>
      </w:r>
      <w:r w:rsidR="00C87D4E" w:rsidRPr="006E4C32">
        <w:rPr>
          <w:rFonts w:eastAsia="Arial" w:cs="Times New Roman"/>
        </w:rPr>
        <w:t>’</w:t>
      </w:r>
      <w:r w:rsidRPr="006E4C32">
        <w:rPr>
          <w:rFonts w:eastAsia="Arial"/>
        </w:rPr>
        <w:t>exécution des contrats, mesurant l</w:t>
      </w:r>
      <w:r w:rsidR="00C87D4E" w:rsidRPr="006E4C32">
        <w:rPr>
          <w:rFonts w:eastAsia="Arial" w:cs="Times New Roman"/>
        </w:rPr>
        <w:t>’</w:t>
      </w:r>
      <w:r w:rsidRPr="006E4C32">
        <w:rPr>
          <w:rFonts w:eastAsia="Arial"/>
        </w:rPr>
        <w:t>Avancement Physico-Financier du Contrat, afin de contrôler l</w:t>
      </w:r>
      <w:r w:rsidR="00C87D4E" w:rsidRPr="006E4C32">
        <w:rPr>
          <w:rFonts w:eastAsia="Arial" w:cs="Times New Roman"/>
        </w:rPr>
        <w:t>’</w:t>
      </w:r>
      <w:r w:rsidRPr="006E4C32">
        <w:rPr>
          <w:rFonts w:eastAsia="Arial"/>
        </w:rPr>
        <w:t xml:space="preserve">exécution de chaque contrat en particulier. Dans ce Chronogramme, les dates auxquelles doivent se produire certains événements sont signalées mais aussi les dates de livraison des produits, de même que les flux de </w:t>
      </w:r>
      <w:r w:rsidR="00C91F3F" w:rsidRPr="006E4C32">
        <w:rPr>
          <w:rFonts w:eastAsia="Arial"/>
        </w:rPr>
        <w:t xml:space="preserve">décaissements prévus. </w:t>
      </w:r>
    </w:p>
    <w:p w14:paraId="21F8337E" w14:textId="77777777" w:rsidR="00CF1942" w:rsidRDefault="00CF1942" w:rsidP="00ED6EFB">
      <w:pPr>
        <w:spacing w:line="276" w:lineRule="auto"/>
        <w:ind w:left="8"/>
        <w:jc w:val="both"/>
        <w:rPr>
          <w:rFonts w:eastAsia="Arial"/>
        </w:rPr>
      </w:pPr>
    </w:p>
    <w:p w14:paraId="25E103FF" w14:textId="25E6CAA0" w:rsidR="001D6B7B" w:rsidRPr="006E4C32" w:rsidRDefault="00CF1942" w:rsidP="00ED6EFB">
      <w:pPr>
        <w:spacing w:line="276" w:lineRule="auto"/>
        <w:ind w:left="8"/>
        <w:jc w:val="both"/>
        <w:rPr>
          <w:rFonts w:eastAsia="Arial"/>
        </w:rPr>
      </w:pPr>
      <w:r>
        <w:rPr>
          <w:rFonts w:eastAsia="Arial"/>
        </w:rPr>
        <w:t>Chaque OE</w:t>
      </w:r>
      <w:r w:rsidR="00EB2228">
        <w:rPr>
          <w:rFonts w:eastAsia="Arial"/>
        </w:rPr>
        <w:t xml:space="preserve"> </w:t>
      </w:r>
      <w:r w:rsidR="001D6B7B" w:rsidRPr="006E4C32">
        <w:rPr>
          <w:rFonts w:eastAsia="Arial"/>
        </w:rPr>
        <w:t>doit recevoir des rapports sur les progrès et les enregistrer, au moins sur une base mensuelle, afin de pouvoir vérifier que les objectifs sont bien atteints, analyser la cause des retards, s</w:t>
      </w:r>
      <w:r w:rsidR="00C87D4E" w:rsidRPr="006E4C32">
        <w:rPr>
          <w:rFonts w:eastAsia="Arial" w:cs="Times New Roman"/>
        </w:rPr>
        <w:t>’</w:t>
      </w:r>
      <w:r w:rsidR="001D6B7B" w:rsidRPr="006E4C32">
        <w:rPr>
          <w:rFonts w:eastAsia="Arial"/>
        </w:rPr>
        <w:t>il y en avait, déterminer les mesures correctives à adopter et programmer à nouveau le chronogramme d</w:t>
      </w:r>
      <w:r w:rsidR="00C87D4E" w:rsidRPr="006E4C32">
        <w:rPr>
          <w:rFonts w:eastAsia="Arial" w:cs="Times New Roman"/>
        </w:rPr>
        <w:t>’</w:t>
      </w:r>
      <w:r w:rsidR="001D6B7B" w:rsidRPr="006E4C32">
        <w:rPr>
          <w:rFonts w:eastAsia="Arial"/>
        </w:rPr>
        <w:t>exécution, le Plan Opérationnel Annuel (POA) et le Plan de Passation de Marchés, et solliciter pour ce faire, la “Non Objection” de la Banque. Si les retards sont imputables au fournisseur, entrepreneur ou exécuteur des services pour lesquels est passé l</w:t>
      </w:r>
      <w:r w:rsidR="00C87D4E" w:rsidRPr="006E4C32">
        <w:rPr>
          <w:rFonts w:eastAsia="Arial" w:cs="Times New Roman"/>
        </w:rPr>
        <w:t>’</w:t>
      </w:r>
      <w:r w:rsidR="001D6B7B" w:rsidRPr="006E4C32">
        <w:rPr>
          <w:rFonts w:eastAsia="Arial"/>
        </w:rPr>
        <w:t>Appel d</w:t>
      </w:r>
      <w:r w:rsidR="00C87D4E" w:rsidRPr="006E4C32">
        <w:rPr>
          <w:rFonts w:eastAsia="Arial" w:cs="Times New Roman"/>
        </w:rPr>
        <w:t>’</w:t>
      </w:r>
      <w:r w:rsidR="001D6B7B" w:rsidRPr="006E4C32">
        <w:rPr>
          <w:rFonts w:eastAsia="Arial"/>
        </w:rPr>
        <w:t xml:space="preserve">Offres, et ont pour conséquence de plus longs </w:t>
      </w:r>
      <w:r w:rsidR="001D6B7B" w:rsidRPr="006E4C32">
        <w:rPr>
          <w:rFonts w:eastAsia="Arial"/>
        </w:rPr>
        <w:lastRenderedPageBreak/>
        <w:t>délais, et/ou impliquent des coûts pour le Contractant, ce dernier appliquera à l</w:t>
      </w:r>
      <w:r w:rsidR="00C87D4E" w:rsidRPr="006E4C32">
        <w:rPr>
          <w:rFonts w:eastAsia="Arial" w:cs="Times New Roman"/>
        </w:rPr>
        <w:t>’</w:t>
      </w:r>
      <w:r w:rsidR="001D6B7B" w:rsidRPr="006E4C32">
        <w:rPr>
          <w:rFonts w:eastAsia="Arial"/>
        </w:rPr>
        <w:t xml:space="preserve">Entrepreneur les sanctions prévues dans </w:t>
      </w:r>
      <w:r w:rsidR="00EB2228">
        <w:rPr>
          <w:rFonts w:eastAsia="Arial"/>
        </w:rPr>
        <w:t>l</w:t>
      </w:r>
      <w:r w:rsidR="001D6B7B" w:rsidRPr="006E4C32">
        <w:rPr>
          <w:rFonts w:eastAsia="Arial"/>
        </w:rPr>
        <w:t>es contrats.</w:t>
      </w:r>
    </w:p>
    <w:p w14:paraId="44630622" w14:textId="77777777" w:rsidR="001D6B7B" w:rsidRPr="006E4C32" w:rsidRDefault="001D6B7B" w:rsidP="006E4C32">
      <w:pPr>
        <w:spacing w:line="276" w:lineRule="auto"/>
        <w:rPr>
          <w:rFonts w:eastAsia="Times New Roman"/>
        </w:rPr>
      </w:pPr>
    </w:p>
    <w:p w14:paraId="25EF1E8B" w14:textId="77777777" w:rsidR="001D6B7B" w:rsidRPr="006E4C32" w:rsidRDefault="001D6B7B" w:rsidP="006E4C32">
      <w:pPr>
        <w:spacing w:line="276" w:lineRule="auto"/>
        <w:rPr>
          <w:rFonts w:eastAsia="Times New Roman"/>
        </w:rPr>
      </w:pPr>
    </w:p>
    <w:p w14:paraId="38875089" w14:textId="77777777" w:rsidR="00B94427" w:rsidRDefault="00C91F3F" w:rsidP="0006696B">
      <w:pPr>
        <w:pStyle w:val="ListParagraph"/>
        <w:numPr>
          <w:ilvl w:val="1"/>
          <w:numId w:val="31"/>
        </w:numPr>
        <w:tabs>
          <w:tab w:val="left" w:pos="588"/>
        </w:tabs>
        <w:spacing w:line="276" w:lineRule="auto"/>
        <w:rPr>
          <w:rFonts w:eastAsia="Arial"/>
          <w:b/>
        </w:rPr>
      </w:pPr>
      <w:r w:rsidRPr="006E4C32">
        <w:rPr>
          <w:rFonts w:eastAsia="Arial"/>
          <w:b/>
        </w:rPr>
        <w:t>C</w:t>
      </w:r>
      <w:r w:rsidR="00B94427">
        <w:rPr>
          <w:rFonts w:eastAsia="Arial"/>
          <w:b/>
        </w:rPr>
        <w:t>ontrôle de qualité, réception et acceptation finale des produits</w:t>
      </w:r>
    </w:p>
    <w:p w14:paraId="28DAE6C1" w14:textId="77777777" w:rsidR="001D6B7B" w:rsidRPr="006E4C32" w:rsidRDefault="001D6B7B" w:rsidP="006E4C32">
      <w:pPr>
        <w:spacing w:line="276" w:lineRule="auto"/>
        <w:rPr>
          <w:rFonts w:eastAsia="Times New Roman"/>
        </w:rPr>
      </w:pPr>
    </w:p>
    <w:p w14:paraId="70D34018" w14:textId="3832D7B9" w:rsidR="001D6B7B" w:rsidRPr="006E4C32" w:rsidRDefault="00C91F3F" w:rsidP="00B94427">
      <w:pPr>
        <w:spacing w:line="276" w:lineRule="auto"/>
        <w:ind w:left="8"/>
        <w:jc w:val="both"/>
        <w:rPr>
          <w:rFonts w:eastAsia="Arial"/>
        </w:rPr>
      </w:pPr>
      <w:r w:rsidRPr="006E4C32">
        <w:rPr>
          <w:rFonts w:eastAsia="Arial"/>
        </w:rPr>
        <w:t>L</w:t>
      </w:r>
      <w:r w:rsidR="00CF1942">
        <w:rPr>
          <w:rFonts w:eastAsia="Arial"/>
        </w:rPr>
        <w:t>es deux OE</w:t>
      </w:r>
      <w:r w:rsidR="001D6B7B" w:rsidRPr="006E4C32">
        <w:rPr>
          <w:rFonts w:eastAsia="Arial"/>
        </w:rPr>
        <w:t xml:space="preserve"> </w:t>
      </w:r>
      <w:r w:rsidR="00EB2228">
        <w:rPr>
          <w:rFonts w:eastAsia="Arial"/>
        </w:rPr>
        <w:t>seront responsable de la validation des prestations, en fonction des activités pour lesquels ils seront responsables (voir chapitre 3)</w:t>
      </w:r>
      <w:r w:rsidRPr="006E4C32">
        <w:rPr>
          <w:rFonts w:eastAsia="Arial"/>
        </w:rPr>
        <w:t xml:space="preserve">. De ce fait, </w:t>
      </w:r>
      <w:r w:rsidR="00CF1942">
        <w:rPr>
          <w:rFonts w:eastAsia="Arial"/>
        </w:rPr>
        <w:t>chacun</w:t>
      </w:r>
      <w:r w:rsidRPr="006E4C32">
        <w:rPr>
          <w:rFonts w:eastAsia="Arial"/>
        </w:rPr>
        <w:t xml:space="preserve"> </w:t>
      </w:r>
      <w:r w:rsidR="001D6B7B" w:rsidRPr="006E4C32">
        <w:rPr>
          <w:rFonts w:eastAsia="Arial"/>
        </w:rPr>
        <w:t>devra vérifier que les conceptions, les spécificités techniques, les termes et les conditions de ces contrats sont respecté</w:t>
      </w:r>
      <w:r w:rsidRPr="006E4C32">
        <w:rPr>
          <w:rFonts w:eastAsia="Arial"/>
        </w:rPr>
        <w:t>e</w:t>
      </w:r>
      <w:r w:rsidR="001D6B7B" w:rsidRPr="006E4C32">
        <w:rPr>
          <w:rFonts w:eastAsia="Arial"/>
        </w:rPr>
        <w:t xml:space="preserve">s dans leur totalité, dans tous ses aspects formels, techniques et légaux. Un contrôle concomitant pourra être effectué conjointement par la </w:t>
      </w:r>
      <w:r w:rsidR="00CF1942">
        <w:rPr>
          <w:rFonts w:eastAsia="Arial"/>
        </w:rPr>
        <w:t>B</w:t>
      </w:r>
      <w:r w:rsidR="001D6B7B" w:rsidRPr="006E4C32">
        <w:rPr>
          <w:rFonts w:eastAsia="Arial"/>
        </w:rPr>
        <w:t>anque</w:t>
      </w:r>
      <w:r w:rsidR="00CF1942">
        <w:rPr>
          <w:rFonts w:eastAsia="Arial"/>
        </w:rPr>
        <w:t>.</w:t>
      </w:r>
    </w:p>
    <w:p w14:paraId="734ECB95" w14:textId="77777777" w:rsidR="001D6B7B" w:rsidRPr="006E4C32" w:rsidRDefault="001D6B7B" w:rsidP="00B94427">
      <w:pPr>
        <w:spacing w:line="276" w:lineRule="auto"/>
        <w:jc w:val="both"/>
        <w:rPr>
          <w:rFonts w:eastAsia="Times New Roman"/>
        </w:rPr>
      </w:pPr>
    </w:p>
    <w:p w14:paraId="30E4FE81" w14:textId="77777777" w:rsidR="001D6B7B" w:rsidRPr="006E4C32" w:rsidRDefault="001D6B7B" w:rsidP="00B94427">
      <w:pPr>
        <w:spacing w:line="276" w:lineRule="auto"/>
        <w:ind w:left="8"/>
        <w:jc w:val="both"/>
        <w:rPr>
          <w:rFonts w:eastAsia="Arial"/>
        </w:rPr>
      </w:pPr>
      <w:r w:rsidRPr="006E4C32">
        <w:rPr>
          <w:rFonts w:eastAsia="Arial"/>
        </w:rPr>
        <w:t>Les résultats des échantillons, évaluations, essais et tests pour vérifier la qualité des produits qui ont été livrés doivent être archivés de façon adéquate et être disponibles afin d’être révisés, à tout moment, par la Banque ou des audits désignés par cette dernière. De manière similaire, toutes les modifications, les réparations ou remplacements effectués afin de combler les déficiences qui ont été détectées doivent être listés et archivés. Cette documentation fera partie de l’Archive du Programme.</w:t>
      </w:r>
    </w:p>
    <w:p w14:paraId="5C045994" w14:textId="77777777" w:rsidR="001D6B7B" w:rsidRPr="006E4C32" w:rsidRDefault="001D6B7B" w:rsidP="00B94427">
      <w:pPr>
        <w:spacing w:line="276" w:lineRule="auto"/>
        <w:jc w:val="both"/>
        <w:rPr>
          <w:rFonts w:eastAsia="Times New Roman"/>
        </w:rPr>
      </w:pPr>
    </w:p>
    <w:p w14:paraId="2DED5DE1" w14:textId="77777777" w:rsidR="001D6B7B" w:rsidRPr="006E4C32" w:rsidRDefault="001D6B7B" w:rsidP="00B94427">
      <w:pPr>
        <w:spacing w:line="276" w:lineRule="auto"/>
        <w:ind w:left="8"/>
        <w:jc w:val="both"/>
        <w:rPr>
          <w:rFonts w:eastAsia="Arial"/>
        </w:rPr>
      </w:pPr>
      <w:r w:rsidRPr="006E4C32">
        <w:rPr>
          <w:rFonts w:eastAsia="Arial"/>
        </w:rPr>
        <w:t>La réception et l’acceptation finale des biens, travaux ou services qui ont été livrés ou réalisés s’effectueront après l’exécution des preuves de fonctionnement, les inspections techniques ou les évaluations établies dans les contrats, et seront enregistrées dans un Acte signé par les deux Parties.</w:t>
      </w:r>
    </w:p>
    <w:p w14:paraId="69568377" w14:textId="77777777" w:rsidR="006E4C32" w:rsidRDefault="006E4C32" w:rsidP="006E4C32">
      <w:pPr>
        <w:spacing w:line="276" w:lineRule="auto"/>
        <w:ind w:left="8"/>
        <w:rPr>
          <w:rFonts w:eastAsia="Arial"/>
        </w:rPr>
      </w:pPr>
    </w:p>
    <w:p w14:paraId="36FE6444" w14:textId="77777777" w:rsidR="006E4C32" w:rsidRPr="006E4C32" w:rsidRDefault="006E4C32" w:rsidP="006E4C32">
      <w:pPr>
        <w:spacing w:line="276" w:lineRule="auto"/>
        <w:ind w:left="8"/>
        <w:rPr>
          <w:rFonts w:eastAsia="Arial"/>
        </w:rPr>
      </w:pPr>
    </w:p>
    <w:p w14:paraId="05CEE8C1" w14:textId="77777777" w:rsidR="00B94427" w:rsidRDefault="001D6B7B" w:rsidP="0006696B">
      <w:pPr>
        <w:pStyle w:val="ListParagraph"/>
        <w:numPr>
          <w:ilvl w:val="1"/>
          <w:numId w:val="31"/>
        </w:numPr>
        <w:tabs>
          <w:tab w:val="left" w:pos="580"/>
        </w:tabs>
        <w:spacing w:line="276" w:lineRule="auto"/>
        <w:rPr>
          <w:rFonts w:eastAsia="Arial"/>
          <w:b/>
        </w:rPr>
      </w:pPr>
      <w:r w:rsidRPr="006E4C32">
        <w:rPr>
          <w:rFonts w:eastAsia="Arial"/>
          <w:b/>
        </w:rPr>
        <w:t>E</w:t>
      </w:r>
      <w:r w:rsidR="00B94427">
        <w:rPr>
          <w:rFonts w:eastAsia="Arial"/>
          <w:b/>
        </w:rPr>
        <w:t>valuation de la performance des entreprises et des consultants</w:t>
      </w:r>
    </w:p>
    <w:p w14:paraId="4D40F5E9" w14:textId="77777777" w:rsidR="001D6B7B" w:rsidRPr="006E4C32" w:rsidRDefault="001D6B7B" w:rsidP="00EB65E3">
      <w:pPr>
        <w:spacing w:line="276" w:lineRule="auto"/>
        <w:jc w:val="both"/>
        <w:rPr>
          <w:rFonts w:eastAsia="Times New Roman"/>
        </w:rPr>
      </w:pPr>
    </w:p>
    <w:p w14:paraId="5026C615" w14:textId="0D9B3CA5" w:rsidR="001D6B7B" w:rsidRPr="006E4C32" w:rsidRDefault="001D6B7B" w:rsidP="00EB65E3">
      <w:pPr>
        <w:spacing w:line="276" w:lineRule="auto"/>
        <w:jc w:val="both"/>
        <w:rPr>
          <w:rFonts w:eastAsia="Arial"/>
        </w:rPr>
      </w:pPr>
      <w:r w:rsidRPr="006E4C32">
        <w:rPr>
          <w:rFonts w:eastAsia="Arial"/>
        </w:rPr>
        <w:t>Lorsque les travaux et les s</w:t>
      </w:r>
      <w:r w:rsidR="00C91F3F" w:rsidRPr="006E4C32">
        <w:rPr>
          <w:rFonts w:eastAsia="Arial"/>
        </w:rPr>
        <w:t xml:space="preserve">ervices sont terminés, </w:t>
      </w:r>
      <w:r w:rsidR="00CF1942">
        <w:rPr>
          <w:rFonts w:eastAsia="Arial"/>
        </w:rPr>
        <w:t>chaque OE</w:t>
      </w:r>
      <w:r w:rsidRPr="006E4C32">
        <w:rPr>
          <w:rFonts w:eastAsia="Arial"/>
        </w:rPr>
        <w:t xml:space="preserve"> doit effectuer une évaluation de la performance de l’entreprise ou des consultants en fonction de paramètres établis antérieurement. Il transmettra son évaluation à la BID.</w:t>
      </w:r>
    </w:p>
    <w:p w14:paraId="7A89F6AE" w14:textId="77777777" w:rsidR="001D6B7B" w:rsidRPr="006E4C32" w:rsidRDefault="001D6B7B" w:rsidP="00EB65E3">
      <w:pPr>
        <w:spacing w:line="276" w:lineRule="auto"/>
        <w:jc w:val="both"/>
        <w:rPr>
          <w:rFonts w:eastAsia="Times New Roman"/>
        </w:rPr>
      </w:pPr>
    </w:p>
    <w:p w14:paraId="19C9765C" w14:textId="72DCF88A" w:rsidR="00C91F3F" w:rsidRPr="006E4C32" w:rsidRDefault="001D6B7B" w:rsidP="00EB65E3">
      <w:pPr>
        <w:spacing w:line="276" w:lineRule="auto"/>
        <w:jc w:val="both"/>
        <w:rPr>
          <w:rFonts w:eastAsia="Arial"/>
        </w:rPr>
      </w:pPr>
      <w:r w:rsidRPr="006E4C32">
        <w:rPr>
          <w:rFonts w:eastAsia="Arial"/>
        </w:rPr>
        <w:t xml:space="preserve">Elle doit prendre en compte : la qualité des produits qui ont été </w:t>
      </w:r>
      <w:r w:rsidR="00B94427" w:rsidRPr="006E4C32">
        <w:rPr>
          <w:rFonts w:eastAsia="Arial"/>
        </w:rPr>
        <w:t>livrés ;</w:t>
      </w:r>
      <w:r w:rsidRPr="006E4C32">
        <w:rPr>
          <w:rFonts w:eastAsia="Arial"/>
        </w:rPr>
        <w:t xml:space="preserve"> l’efficacité et le caractère idoine du personnel et des équipements qui ont été employés; le respect des délais ; sa bonne disposition pour négocier et réaliser les ajustements ou les ajouts nécessaires afin d’améliorer le programme ou </w:t>
      </w:r>
      <w:r w:rsidR="00C91F3F" w:rsidRPr="006E4C32">
        <w:rPr>
          <w:rFonts w:eastAsia="Arial"/>
        </w:rPr>
        <w:t>les propositions faites par l</w:t>
      </w:r>
      <w:r w:rsidR="00CF1942">
        <w:rPr>
          <w:rFonts w:eastAsia="Arial"/>
        </w:rPr>
        <w:t>’OE</w:t>
      </w:r>
      <w:r w:rsidRPr="006E4C32">
        <w:rPr>
          <w:rFonts w:eastAsia="Arial"/>
        </w:rPr>
        <w:t xml:space="preserve"> et sa bonne volonté pour apporter une réponse aux observations de cette dernière ou de son représentant</w:t>
      </w:r>
      <w:r w:rsidR="00830723" w:rsidRPr="006E4C32">
        <w:rPr>
          <w:rFonts w:eastAsia="Arial"/>
        </w:rPr>
        <w:t>. En ce qu</w:t>
      </w:r>
      <w:r w:rsidR="00E320DF" w:rsidRPr="006E4C32">
        <w:rPr>
          <w:rFonts w:eastAsia="Arial"/>
        </w:rPr>
        <w:t>i</w:t>
      </w:r>
      <w:r w:rsidR="00830723" w:rsidRPr="006E4C32">
        <w:rPr>
          <w:rFonts w:eastAsia="Arial"/>
        </w:rPr>
        <w:t xml:space="preserve"> concerne la performance environnementale e</w:t>
      </w:r>
      <w:r w:rsidR="00E320DF" w:rsidRPr="006E4C32">
        <w:rPr>
          <w:rFonts w:eastAsia="Arial"/>
        </w:rPr>
        <w:t>t</w:t>
      </w:r>
      <w:r w:rsidR="00830723" w:rsidRPr="006E4C32">
        <w:rPr>
          <w:rFonts w:eastAsia="Arial"/>
        </w:rPr>
        <w:t xml:space="preserve"> sociale, le/la spécialiste environnementale et sociale doit évaluer l’entreprise selon sa</w:t>
      </w:r>
      <w:r w:rsidR="00F4253B" w:rsidRPr="006E4C32">
        <w:rPr>
          <w:rFonts w:eastAsia="Arial"/>
        </w:rPr>
        <w:t xml:space="preserve"> conformité avec le PGAS, en accord avec les indicateurs de performance établis dans le PESA (Tableau 8.1)</w:t>
      </w:r>
      <w:r w:rsidRPr="006E4C32">
        <w:rPr>
          <w:rFonts w:eastAsia="Arial"/>
        </w:rPr>
        <w:t xml:space="preserve">. Cette information sera mise </w:t>
      </w:r>
      <w:r w:rsidRPr="006E4C32">
        <w:rPr>
          <w:rFonts w:eastAsia="Arial"/>
        </w:rPr>
        <w:lastRenderedPageBreak/>
        <w:t>à disposition de la Banque, et pourra être utilisée comme antécédent pour la qualification et l’adjudication de contrats lors de procédures de passation de marchés futures.</w:t>
      </w:r>
    </w:p>
    <w:p w14:paraId="60CE78B8" w14:textId="77777777" w:rsidR="00C91F3F" w:rsidRPr="006E4C32" w:rsidRDefault="00C91F3F" w:rsidP="00EB65E3">
      <w:pPr>
        <w:spacing w:line="276" w:lineRule="auto"/>
        <w:jc w:val="both"/>
        <w:rPr>
          <w:rFonts w:eastAsia="Times New Roman"/>
        </w:rPr>
      </w:pPr>
    </w:p>
    <w:p w14:paraId="6BFA07C1" w14:textId="77777777" w:rsidR="00C8718B" w:rsidRPr="006E4C32" w:rsidRDefault="00C8718B" w:rsidP="00EB65E3">
      <w:pPr>
        <w:spacing w:line="276" w:lineRule="auto"/>
        <w:jc w:val="both"/>
        <w:rPr>
          <w:rFonts w:eastAsia="Times New Roman"/>
        </w:rPr>
      </w:pPr>
    </w:p>
    <w:p w14:paraId="335A175A" w14:textId="77777777" w:rsidR="00B94427" w:rsidRDefault="001D6B7B" w:rsidP="0006696B">
      <w:pPr>
        <w:pStyle w:val="ListParagraph"/>
        <w:numPr>
          <w:ilvl w:val="1"/>
          <w:numId w:val="31"/>
        </w:numPr>
        <w:tabs>
          <w:tab w:val="left" w:pos="580"/>
        </w:tabs>
        <w:spacing w:line="276" w:lineRule="auto"/>
        <w:rPr>
          <w:rFonts w:eastAsia="Arial"/>
          <w:b/>
        </w:rPr>
      </w:pPr>
      <w:r w:rsidRPr="006E4C32">
        <w:rPr>
          <w:rFonts w:eastAsia="Arial"/>
          <w:b/>
        </w:rPr>
        <w:t>R</w:t>
      </w:r>
      <w:r w:rsidR="00B94427">
        <w:rPr>
          <w:rFonts w:eastAsia="Arial"/>
          <w:b/>
        </w:rPr>
        <w:t>apports d’études, de chantiers et de services</w:t>
      </w:r>
    </w:p>
    <w:p w14:paraId="456F62DE" w14:textId="77777777" w:rsidR="001D6B7B" w:rsidRPr="006E4C32" w:rsidRDefault="001D6B7B" w:rsidP="006E4C32">
      <w:pPr>
        <w:spacing w:line="276" w:lineRule="auto"/>
        <w:rPr>
          <w:rFonts w:eastAsia="Times New Roman"/>
        </w:rPr>
      </w:pPr>
    </w:p>
    <w:p w14:paraId="5D30C347" w14:textId="6C991A78" w:rsidR="001D6B7B" w:rsidRPr="006E4C32" w:rsidRDefault="001D6B7B" w:rsidP="00EB65E3">
      <w:pPr>
        <w:spacing w:line="276" w:lineRule="auto"/>
        <w:jc w:val="both"/>
        <w:rPr>
          <w:rFonts w:eastAsia="Arial"/>
        </w:rPr>
      </w:pPr>
      <w:r w:rsidRPr="006E4C32">
        <w:rPr>
          <w:rFonts w:eastAsia="Arial"/>
        </w:rPr>
        <w:t>Tous les rapports mentionnés dans ce Manuel</w:t>
      </w:r>
      <w:r w:rsidR="00C91F3F" w:rsidRPr="006E4C32">
        <w:rPr>
          <w:rFonts w:eastAsia="Arial"/>
        </w:rPr>
        <w:t xml:space="preserve"> </w:t>
      </w:r>
      <w:r w:rsidRPr="006E4C32">
        <w:rPr>
          <w:rFonts w:eastAsia="Arial"/>
        </w:rPr>
        <w:t xml:space="preserve">seront transmis sous format électronique au </w:t>
      </w:r>
      <w:r w:rsidR="00C91F3F" w:rsidRPr="006E4C32">
        <w:rPr>
          <w:rFonts w:eastAsia="Arial"/>
        </w:rPr>
        <w:t>responsable sectoriel de la BID. Le</w:t>
      </w:r>
      <w:r w:rsidR="00CF1942">
        <w:rPr>
          <w:rFonts w:eastAsia="Arial"/>
        </w:rPr>
        <w:t>s OE se baseront</w:t>
      </w:r>
      <w:r w:rsidRPr="006E4C32">
        <w:rPr>
          <w:rFonts w:eastAsia="Arial"/>
        </w:rPr>
        <w:t xml:space="preserve"> préférentiellement sur les fréquences suivantes pour établir les obligations contractuelles des contractants :</w:t>
      </w:r>
    </w:p>
    <w:p w14:paraId="32C05276" w14:textId="77777777" w:rsidR="001D6B7B" w:rsidRPr="006E4C32" w:rsidRDefault="001D6B7B" w:rsidP="00EB65E3">
      <w:pPr>
        <w:spacing w:line="276" w:lineRule="auto"/>
        <w:jc w:val="both"/>
        <w:rPr>
          <w:rFonts w:eastAsia="Times New Roman"/>
        </w:rPr>
      </w:pPr>
    </w:p>
    <w:p w14:paraId="17284047" w14:textId="77777777" w:rsidR="001D6B7B" w:rsidRPr="006E4C32" w:rsidRDefault="001D6B7B" w:rsidP="00EB65E3">
      <w:pPr>
        <w:spacing w:line="276" w:lineRule="auto"/>
        <w:jc w:val="both"/>
        <w:rPr>
          <w:rFonts w:eastAsia="Arial"/>
        </w:rPr>
      </w:pPr>
      <w:r w:rsidRPr="006E4C32">
        <w:rPr>
          <w:rFonts w:eastAsia="Arial"/>
          <w:u w:val="single"/>
        </w:rPr>
        <w:t>Rapports d’études</w:t>
      </w:r>
      <w:r w:rsidRPr="006E4C32">
        <w:rPr>
          <w:rFonts w:eastAsia="Arial"/>
        </w:rPr>
        <w:t xml:space="preserve"> :</w:t>
      </w:r>
    </w:p>
    <w:p w14:paraId="7E369B3D" w14:textId="77777777" w:rsidR="001D6B7B" w:rsidRPr="006E4C32" w:rsidRDefault="001D6B7B" w:rsidP="0006696B">
      <w:pPr>
        <w:numPr>
          <w:ilvl w:val="0"/>
          <w:numId w:val="13"/>
        </w:numPr>
        <w:tabs>
          <w:tab w:val="left" w:pos="140"/>
        </w:tabs>
        <w:spacing w:line="276" w:lineRule="auto"/>
        <w:ind w:left="720" w:hanging="360"/>
        <w:jc w:val="both"/>
        <w:rPr>
          <w:rFonts w:eastAsia="Arial"/>
        </w:rPr>
      </w:pPr>
      <w:r w:rsidRPr="006E4C32">
        <w:rPr>
          <w:rFonts w:eastAsia="Arial"/>
        </w:rPr>
        <w:t>tous les 3 mois au minimum pour des études supérieures à 6 mois</w:t>
      </w:r>
    </w:p>
    <w:p w14:paraId="0FEE5CE3" w14:textId="77777777" w:rsidR="001D6B7B" w:rsidRPr="006E4C32" w:rsidRDefault="001D6B7B" w:rsidP="0006696B">
      <w:pPr>
        <w:numPr>
          <w:ilvl w:val="0"/>
          <w:numId w:val="13"/>
        </w:numPr>
        <w:tabs>
          <w:tab w:val="left" w:pos="140"/>
        </w:tabs>
        <w:spacing w:line="276" w:lineRule="auto"/>
        <w:ind w:left="720" w:hanging="360"/>
        <w:jc w:val="both"/>
        <w:rPr>
          <w:rFonts w:eastAsia="Arial"/>
        </w:rPr>
      </w:pPr>
      <w:r w:rsidRPr="006E4C32">
        <w:rPr>
          <w:rFonts w:eastAsia="Arial"/>
        </w:rPr>
        <w:t>au moins un rapport intermédiaire et un rapport final pour les études inférieures à 6 mois.</w:t>
      </w:r>
    </w:p>
    <w:p w14:paraId="466E2F54" w14:textId="77777777" w:rsidR="001D6B7B" w:rsidRPr="006E4C32" w:rsidRDefault="001D6B7B" w:rsidP="00EB65E3">
      <w:pPr>
        <w:spacing w:line="276" w:lineRule="auto"/>
        <w:jc w:val="both"/>
        <w:rPr>
          <w:rFonts w:eastAsia="Times New Roman"/>
        </w:rPr>
      </w:pPr>
    </w:p>
    <w:p w14:paraId="0C1A9292" w14:textId="77777777" w:rsidR="001D6B7B" w:rsidRPr="006E4C32" w:rsidRDefault="001D6B7B" w:rsidP="00EB65E3">
      <w:pPr>
        <w:spacing w:line="276" w:lineRule="auto"/>
        <w:jc w:val="both"/>
        <w:rPr>
          <w:rFonts w:eastAsia="Arial"/>
        </w:rPr>
      </w:pPr>
      <w:r w:rsidRPr="006E4C32">
        <w:rPr>
          <w:rFonts w:eastAsia="Arial"/>
        </w:rPr>
        <w:t>Les contrats indiqueront un délai de quelques semaines pour réviser le rapport final et demander au prestataire des corrections et un rapport final définitif.</w:t>
      </w:r>
    </w:p>
    <w:p w14:paraId="72759179" w14:textId="77777777" w:rsidR="001D6B7B" w:rsidRPr="006E4C32" w:rsidRDefault="001D6B7B" w:rsidP="00EB65E3">
      <w:pPr>
        <w:spacing w:line="276" w:lineRule="auto"/>
        <w:jc w:val="both"/>
        <w:rPr>
          <w:rFonts w:eastAsia="Times New Roman"/>
        </w:rPr>
      </w:pPr>
    </w:p>
    <w:p w14:paraId="235AD621" w14:textId="77777777" w:rsidR="001D6B7B" w:rsidRPr="006E4C32" w:rsidRDefault="001D6B7B" w:rsidP="00EB65E3">
      <w:pPr>
        <w:spacing w:line="276" w:lineRule="auto"/>
        <w:jc w:val="both"/>
        <w:rPr>
          <w:rFonts w:eastAsia="Arial"/>
        </w:rPr>
      </w:pPr>
      <w:r w:rsidRPr="006E4C32">
        <w:rPr>
          <w:rFonts w:eastAsia="Arial"/>
          <w:u w:val="single"/>
        </w:rPr>
        <w:t>Rapports d’avancement de chantier</w:t>
      </w:r>
      <w:r w:rsidRPr="006E4C32">
        <w:rPr>
          <w:rFonts w:eastAsia="Arial"/>
        </w:rPr>
        <w:t xml:space="preserve"> :</w:t>
      </w:r>
    </w:p>
    <w:p w14:paraId="6ED57D89" w14:textId="2A0C64ED" w:rsidR="001D6B7B" w:rsidRPr="006E4C32" w:rsidRDefault="001D6B7B" w:rsidP="00EB65E3">
      <w:pPr>
        <w:spacing w:line="276" w:lineRule="auto"/>
        <w:jc w:val="both"/>
        <w:rPr>
          <w:rFonts w:eastAsia="Arial"/>
        </w:rPr>
      </w:pPr>
      <w:r w:rsidRPr="006E4C32">
        <w:rPr>
          <w:rFonts w:eastAsia="Arial"/>
        </w:rPr>
        <w:t>Il sera demandé à la supervision de faire des réunions de chantier mensuelles et d’envoyer un rapport mensuel au Maître d’ouvrage.</w:t>
      </w:r>
    </w:p>
    <w:p w14:paraId="0F3DF0E6" w14:textId="77777777" w:rsidR="001D6B7B" w:rsidRPr="006E4C32" w:rsidRDefault="001D6B7B" w:rsidP="00EB65E3">
      <w:pPr>
        <w:spacing w:line="276" w:lineRule="auto"/>
        <w:jc w:val="both"/>
        <w:rPr>
          <w:rFonts w:eastAsia="Times New Roman"/>
        </w:rPr>
      </w:pPr>
    </w:p>
    <w:p w14:paraId="227028FD" w14:textId="5D134097" w:rsidR="00E320DF" w:rsidRPr="006E4C32" w:rsidRDefault="009C2C7A" w:rsidP="00EB65E3">
      <w:pPr>
        <w:spacing w:line="276" w:lineRule="auto"/>
        <w:jc w:val="both"/>
        <w:rPr>
          <w:rFonts w:eastAsia="Arial"/>
        </w:rPr>
      </w:pPr>
      <w:r w:rsidRPr="006E4C32">
        <w:rPr>
          <w:rFonts w:eastAsia="Arial"/>
        </w:rPr>
        <w:t>Les rapports mensuels d’avancement de chantier doivent inclure aussi des informations sur la conformité des travaux avec le PGAS</w:t>
      </w:r>
      <w:r w:rsidR="007E1E77" w:rsidRPr="006E4C32">
        <w:rPr>
          <w:rFonts w:eastAsia="Arial"/>
        </w:rPr>
        <w:t>, tel que dé</w:t>
      </w:r>
      <w:r w:rsidR="00797D1B" w:rsidRPr="006E4C32">
        <w:rPr>
          <w:rFonts w:eastAsia="Arial"/>
        </w:rPr>
        <w:t>veloppé au Chapitre 5 qui relate l</w:t>
      </w:r>
      <w:r w:rsidR="007E1E77" w:rsidRPr="006E4C32">
        <w:rPr>
          <w:rFonts w:eastAsia="Arial"/>
        </w:rPr>
        <w:t>es procédures environnementales et sociales du programme.</w:t>
      </w:r>
    </w:p>
    <w:p w14:paraId="71720204" w14:textId="54781AD7" w:rsidR="001D6B7B" w:rsidRDefault="001D6B7B" w:rsidP="00EB65E3">
      <w:pPr>
        <w:spacing w:line="276" w:lineRule="auto"/>
        <w:jc w:val="both"/>
        <w:rPr>
          <w:rFonts w:eastAsia="Times New Roman"/>
        </w:rPr>
      </w:pPr>
    </w:p>
    <w:p w14:paraId="1EAA9448" w14:textId="002700BE" w:rsidR="00B94427" w:rsidRDefault="00B94427">
      <w:pPr>
        <w:rPr>
          <w:rFonts w:eastAsia="Times New Roman"/>
        </w:rPr>
      </w:pPr>
      <w:r>
        <w:rPr>
          <w:rFonts w:eastAsia="Times New Roman"/>
        </w:rPr>
        <w:br w:type="page"/>
      </w:r>
    </w:p>
    <w:p w14:paraId="73541D83" w14:textId="77777777" w:rsidR="00B94427" w:rsidRPr="006E4C32" w:rsidRDefault="00B94427" w:rsidP="006E4C32">
      <w:pPr>
        <w:spacing w:line="276" w:lineRule="auto"/>
        <w:rPr>
          <w:rFonts w:eastAsia="Times New Roman"/>
        </w:rPr>
      </w:pPr>
    </w:p>
    <w:p w14:paraId="3DC4535B" w14:textId="144351A1" w:rsidR="001D6B7B" w:rsidRPr="006E4C32" w:rsidRDefault="007515D4" w:rsidP="0006696B">
      <w:pPr>
        <w:pStyle w:val="ListParagraph"/>
        <w:numPr>
          <w:ilvl w:val="1"/>
          <w:numId w:val="31"/>
        </w:numPr>
        <w:tabs>
          <w:tab w:val="left" w:pos="580"/>
        </w:tabs>
        <w:spacing w:line="276" w:lineRule="auto"/>
        <w:rPr>
          <w:rFonts w:eastAsia="Arial"/>
          <w:b/>
        </w:rPr>
      </w:pPr>
      <w:r w:rsidRPr="006E4C32">
        <w:rPr>
          <w:rFonts w:eastAsia="Arial"/>
          <w:b/>
        </w:rPr>
        <w:t>V</w:t>
      </w:r>
      <w:r w:rsidR="00B94427">
        <w:rPr>
          <w:rFonts w:eastAsia="Arial"/>
          <w:b/>
        </w:rPr>
        <w:t>isites techniques</w:t>
      </w:r>
    </w:p>
    <w:p w14:paraId="2FBEA64C" w14:textId="77777777" w:rsidR="001D6B7B" w:rsidRPr="006E4C32" w:rsidRDefault="001D6B7B" w:rsidP="00EB65E3">
      <w:pPr>
        <w:spacing w:line="276" w:lineRule="auto"/>
        <w:jc w:val="both"/>
        <w:rPr>
          <w:rFonts w:eastAsia="Times New Roman"/>
        </w:rPr>
      </w:pPr>
    </w:p>
    <w:p w14:paraId="3FFE7C17" w14:textId="7CFD1609" w:rsidR="001D6B7B" w:rsidRPr="006E4C32" w:rsidRDefault="001D6B7B" w:rsidP="00EB65E3">
      <w:pPr>
        <w:spacing w:line="276" w:lineRule="auto"/>
        <w:jc w:val="both"/>
        <w:rPr>
          <w:rFonts w:eastAsia="Arial"/>
        </w:rPr>
      </w:pPr>
      <w:r w:rsidRPr="006E4C32">
        <w:rPr>
          <w:rFonts w:eastAsia="Arial"/>
        </w:rPr>
        <w:t xml:space="preserve">Des visites techniques doivent se faire tout au long </w:t>
      </w:r>
      <w:r w:rsidR="00C91F3F" w:rsidRPr="006E4C32">
        <w:rPr>
          <w:rFonts w:eastAsia="Arial"/>
        </w:rPr>
        <w:t>du cycle du projet</w:t>
      </w:r>
      <w:r w:rsidRPr="006E4C32">
        <w:rPr>
          <w:rFonts w:eastAsia="Arial"/>
        </w:rPr>
        <w:t>.</w:t>
      </w:r>
    </w:p>
    <w:p w14:paraId="20EB46F7" w14:textId="77777777" w:rsidR="001D6B7B" w:rsidRPr="006E4C32" w:rsidRDefault="001D6B7B" w:rsidP="00EB65E3">
      <w:pPr>
        <w:spacing w:line="276" w:lineRule="auto"/>
        <w:jc w:val="both"/>
        <w:rPr>
          <w:rFonts w:eastAsia="Times New Roman"/>
        </w:rPr>
      </w:pPr>
    </w:p>
    <w:p w14:paraId="7D0E2594" w14:textId="77777777" w:rsidR="001D6B7B" w:rsidRPr="006E4C32" w:rsidRDefault="001D6B7B" w:rsidP="00EB65E3">
      <w:pPr>
        <w:spacing w:line="276" w:lineRule="auto"/>
        <w:ind w:left="8"/>
        <w:jc w:val="both"/>
        <w:rPr>
          <w:rFonts w:eastAsia="Arial"/>
        </w:rPr>
      </w:pPr>
      <w:r w:rsidRPr="006E4C32">
        <w:rPr>
          <w:rFonts w:eastAsia="Arial"/>
        </w:rPr>
        <w:t>En ce qui concerne les aspects techniques les visites de terrain seront faites par un ingénieur</w:t>
      </w:r>
      <w:r w:rsidR="00C87D4E" w:rsidRPr="006E4C32">
        <w:rPr>
          <w:rFonts w:eastAsia="Arial"/>
        </w:rPr>
        <w:t xml:space="preserve"> </w:t>
      </w:r>
      <w:r w:rsidRPr="006E4C32">
        <w:rPr>
          <w:rFonts w:eastAsia="Arial"/>
        </w:rPr>
        <w:t>chargé du suivi des études ou des travaux, avec la participation du représentant du prestataire ou du soumissionnaire. Elles auront comme objectif, entre autres :</w:t>
      </w:r>
    </w:p>
    <w:p w14:paraId="22C49348" w14:textId="77777777" w:rsidR="001D6B7B" w:rsidRPr="006E4C32" w:rsidRDefault="001D6B7B" w:rsidP="00EB65E3">
      <w:pPr>
        <w:spacing w:line="276" w:lineRule="auto"/>
        <w:jc w:val="both"/>
        <w:rPr>
          <w:rFonts w:eastAsia="Times New Roman"/>
        </w:rPr>
      </w:pPr>
    </w:p>
    <w:p w14:paraId="6A52F603" w14:textId="15DB9730" w:rsidR="001D6B7B" w:rsidRPr="006E4C32" w:rsidRDefault="001D6B7B" w:rsidP="0006696B">
      <w:pPr>
        <w:numPr>
          <w:ilvl w:val="0"/>
          <w:numId w:val="14"/>
        </w:numPr>
        <w:tabs>
          <w:tab w:val="left" w:pos="720"/>
        </w:tabs>
        <w:spacing w:line="276" w:lineRule="auto"/>
        <w:ind w:left="720" w:hanging="358"/>
        <w:jc w:val="both"/>
        <w:rPr>
          <w:rFonts w:eastAsia="Arial"/>
        </w:rPr>
      </w:pPr>
      <w:r w:rsidRPr="006E4C32">
        <w:rPr>
          <w:rFonts w:eastAsia="Arial"/>
        </w:rPr>
        <w:t>Vérifier les conditions topographiques, géologiques, géotechniques, et autres qui soient nécessaires pour l’exécution des études ou des travaux.</w:t>
      </w:r>
    </w:p>
    <w:p w14:paraId="0BB4CE86" w14:textId="77777777" w:rsidR="001D6B7B" w:rsidRPr="006E4C32" w:rsidRDefault="001D6B7B" w:rsidP="0006696B">
      <w:pPr>
        <w:numPr>
          <w:ilvl w:val="0"/>
          <w:numId w:val="14"/>
        </w:numPr>
        <w:tabs>
          <w:tab w:val="left" w:pos="720"/>
        </w:tabs>
        <w:spacing w:line="276" w:lineRule="auto"/>
        <w:ind w:left="720" w:hanging="358"/>
        <w:jc w:val="both"/>
        <w:rPr>
          <w:rFonts w:eastAsia="Arial"/>
        </w:rPr>
      </w:pPr>
      <w:r w:rsidRPr="006E4C32">
        <w:rPr>
          <w:rFonts w:eastAsia="Arial"/>
        </w:rPr>
        <w:t>Vérifier la disponibilité des terrains pour les travaux.</w:t>
      </w:r>
    </w:p>
    <w:p w14:paraId="3263A0B4" w14:textId="77777777" w:rsidR="001D6B7B" w:rsidRPr="006E4C32" w:rsidRDefault="001D6B7B" w:rsidP="0006696B">
      <w:pPr>
        <w:numPr>
          <w:ilvl w:val="0"/>
          <w:numId w:val="14"/>
        </w:numPr>
        <w:tabs>
          <w:tab w:val="left" w:pos="720"/>
        </w:tabs>
        <w:spacing w:line="276" w:lineRule="auto"/>
        <w:ind w:left="720" w:hanging="358"/>
        <w:jc w:val="both"/>
        <w:rPr>
          <w:rFonts w:eastAsia="Arial"/>
        </w:rPr>
      </w:pPr>
      <w:r w:rsidRPr="006E4C32">
        <w:rPr>
          <w:rFonts w:eastAsia="Arial"/>
        </w:rPr>
        <w:t>Confirmer les avances des études préliminaires, la prise des échantillons, les mesures et quantités demandées par les études.</w:t>
      </w:r>
    </w:p>
    <w:p w14:paraId="3318F1CF" w14:textId="77777777" w:rsidR="001D6B7B" w:rsidRPr="006E4C32" w:rsidRDefault="001D6B7B" w:rsidP="0006696B">
      <w:pPr>
        <w:numPr>
          <w:ilvl w:val="0"/>
          <w:numId w:val="14"/>
        </w:numPr>
        <w:tabs>
          <w:tab w:val="left" w:pos="720"/>
        </w:tabs>
        <w:spacing w:line="276" w:lineRule="auto"/>
        <w:ind w:left="720" w:hanging="358"/>
        <w:jc w:val="both"/>
        <w:rPr>
          <w:rFonts w:eastAsia="Arial"/>
        </w:rPr>
      </w:pPr>
      <w:r w:rsidRPr="006E4C32">
        <w:rPr>
          <w:rFonts w:eastAsia="Arial"/>
        </w:rPr>
        <w:t>Vérifier les quantités d’œuvre exécutées face au chronogramme des travaux, confirmer la disponibilité du personnel et de l’équipement.</w:t>
      </w:r>
    </w:p>
    <w:p w14:paraId="5F015290" w14:textId="77777777" w:rsidR="001D6B7B" w:rsidRPr="006E4C32" w:rsidRDefault="001D6B7B" w:rsidP="0006696B">
      <w:pPr>
        <w:numPr>
          <w:ilvl w:val="0"/>
          <w:numId w:val="14"/>
        </w:numPr>
        <w:tabs>
          <w:tab w:val="left" w:pos="720"/>
        </w:tabs>
        <w:spacing w:line="276" w:lineRule="auto"/>
        <w:ind w:left="720" w:hanging="358"/>
        <w:jc w:val="both"/>
        <w:rPr>
          <w:rFonts w:eastAsia="Arial"/>
        </w:rPr>
      </w:pPr>
      <w:r w:rsidRPr="006E4C32">
        <w:rPr>
          <w:rFonts w:eastAsia="Arial"/>
        </w:rPr>
        <w:t>Faire un registre photographique de l’évolution des études ou des travaux</w:t>
      </w:r>
    </w:p>
    <w:p w14:paraId="50C93946" w14:textId="77777777" w:rsidR="001D6B7B" w:rsidRPr="006E4C32" w:rsidRDefault="001D6B7B" w:rsidP="0006696B">
      <w:pPr>
        <w:numPr>
          <w:ilvl w:val="0"/>
          <w:numId w:val="14"/>
        </w:numPr>
        <w:tabs>
          <w:tab w:val="left" w:pos="720"/>
        </w:tabs>
        <w:spacing w:line="276" w:lineRule="auto"/>
        <w:ind w:left="720" w:hanging="358"/>
        <w:jc w:val="both"/>
        <w:rPr>
          <w:rFonts w:eastAsia="Arial"/>
        </w:rPr>
      </w:pPr>
      <w:r w:rsidRPr="006E4C32">
        <w:rPr>
          <w:rFonts w:eastAsia="Arial"/>
        </w:rPr>
        <w:t>Effectuer des mesures ponctuelles sur les travaux effectués (Par exemple : mesure de la profondeur d’enfouissement, épaisseur de lit de sable, état physique et fonctionnalité des accessoires hydrauliques, vérification des dosages de béton…)</w:t>
      </w:r>
    </w:p>
    <w:p w14:paraId="52A71FE6" w14:textId="77777777" w:rsidR="001D6B7B" w:rsidRPr="006E4C32" w:rsidRDefault="001D6B7B" w:rsidP="0006696B">
      <w:pPr>
        <w:numPr>
          <w:ilvl w:val="0"/>
          <w:numId w:val="14"/>
        </w:numPr>
        <w:tabs>
          <w:tab w:val="left" w:pos="720"/>
        </w:tabs>
        <w:spacing w:line="276" w:lineRule="auto"/>
        <w:ind w:left="720" w:hanging="358"/>
        <w:jc w:val="both"/>
        <w:rPr>
          <w:rFonts w:eastAsia="Arial"/>
        </w:rPr>
      </w:pPr>
      <w:r w:rsidRPr="006E4C32">
        <w:rPr>
          <w:rFonts w:eastAsia="Arial"/>
        </w:rPr>
        <w:t>Évaluer les problèmes et proposer des solutions pour la finalisation des études ou travaux</w:t>
      </w:r>
    </w:p>
    <w:p w14:paraId="707FA2DA" w14:textId="77777777" w:rsidR="001D6B7B" w:rsidRPr="006E4C32" w:rsidRDefault="001D6B7B" w:rsidP="0006696B">
      <w:pPr>
        <w:numPr>
          <w:ilvl w:val="0"/>
          <w:numId w:val="14"/>
        </w:numPr>
        <w:tabs>
          <w:tab w:val="left" w:pos="720"/>
        </w:tabs>
        <w:spacing w:line="276" w:lineRule="auto"/>
        <w:ind w:left="720" w:hanging="358"/>
        <w:jc w:val="both"/>
        <w:rPr>
          <w:rFonts w:eastAsia="Arial"/>
        </w:rPr>
      </w:pPr>
      <w:r w:rsidRPr="006E4C32">
        <w:rPr>
          <w:rFonts w:eastAsia="Arial"/>
        </w:rPr>
        <w:t>Évaluer si les aspects environnementaux et sociaux et les mesures de mitigation ont été respectés</w:t>
      </w:r>
    </w:p>
    <w:p w14:paraId="6B977F67" w14:textId="77777777" w:rsidR="001D6B7B" w:rsidRPr="006E4C32" w:rsidRDefault="001D6B7B" w:rsidP="0006696B">
      <w:pPr>
        <w:numPr>
          <w:ilvl w:val="0"/>
          <w:numId w:val="14"/>
        </w:numPr>
        <w:tabs>
          <w:tab w:val="left" w:pos="720"/>
        </w:tabs>
        <w:spacing w:line="276" w:lineRule="auto"/>
        <w:ind w:left="720" w:hanging="358"/>
        <w:jc w:val="both"/>
        <w:rPr>
          <w:rFonts w:eastAsia="Arial"/>
        </w:rPr>
      </w:pPr>
      <w:r w:rsidRPr="006E4C32">
        <w:rPr>
          <w:rFonts w:eastAsia="Arial"/>
        </w:rPr>
        <w:t>Évaluer les indicateurs de performance définis pour les études ou les travaux.</w:t>
      </w:r>
    </w:p>
    <w:p w14:paraId="2DFF7626" w14:textId="77777777" w:rsidR="001D6B7B" w:rsidRPr="006E4C32" w:rsidRDefault="001D6B7B" w:rsidP="00EB65E3">
      <w:pPr>
        <w:spacing w:line="276" w:lineRule="auto"/>
        <w:jc w:val="both"/>
        <w:rPr>
          <w:rFonts w:eastAsia="Times New Roman"/>
        </w:rPr>
      </w:pPr>
    </w:p>
    <w:p w14:paraId="3C6460A7" w14:textId="445697D0" w:rsidR="001D6B7B" w:rsidRPr="006E4C32" w:rsidRDefault="001D6B7B" w:rsidP="00EB65E3">
      <w:pPr>
        <w:spacing w:line="276" w:lineRule="auto"/>
        <w:jc w:val="both"/>
        <w:rPr>
          <w:rFonts w:eastAsia="Arial"/>
        </w:rPr>
      </w:pPr>
      <w:r w:rsidRPr="006E4C32">
        <w:rPr>
          <w:rFonts w:eastAsia="Arial"/>
        </w:rPr>
        <w:t>Toute visite comprendra un rapport détaillé du processus, des résultats et des accords.</w:t>
      </w:r>
      <w:r w:rsidR="001E4C7D" w:rsidRPr="006E4C32">
        <w:rPr>
          <w:rFonts w:eastAsia="Arial"/>
        </w:rPr>
        <w:t xml:space="preserve"> Les aspects sociaux, environnementaux et sécurité de travail seront présentés dans un rapport tel que détaillé au Chapitre 5 de ce Manuel.</w:t>
      </w:r>
    </w:p>
    <w:p w14:paraId="777B8CF1" w14:textId="77777777" w:rsidR="006E4C32" w:rsidRPr="006E4C32" w:rsidRDefault="006E4C32" w:rsidP="00EB65E3">
      <w:pPr>
        <w:spacing w:line="276" w:lineRule="auto"/>
        <w:jc w:val="both"/>
        <w:rPr>
          <w:rFonts w:eastAsia="Times New Roman"/>
        </w:rPr>
      </w:pPr>
    </w:p>
    <w:p w14:paraId="57C2A707" w14:textId="28C59A7F" w:rsidR="001D6B7B" w:rsidRPr="006E4C32" w:rsidRDefault="00422F4D" w:rsidP="0006696B">
      <w:pPr>
        <w:pStyle w:val="ListParagraph"/>
        <w:numPr>
          <w:ilvl w:val="1"/>
          <w:numId w:val="31"/>
        </w:numPr>
        <w:tabs>
          <w:tab w:val="left" w:pos="580"/>
        </w:tabs>
        <w:spacing w:line="276" w:lineRule="auto"/>
        <w:jc w:val="both"/>
        <w:rPr>
          <w:rFonts w:eastAsia="Arial"/>
          <w:b/>
        </w:rPr>
      </w:pPr>
      <w:r w:rsidRPr="006E4C32">
        <w:rPr>
          <w:rFonts w:eastAsia="Arial"/>
          <w:b/>
        </w:rPr>
        <w:t>R</w:t>
      </w:r>
      <w:r w:rsidR="00EB65E3">
        <w:rPr>
          <w:rFonts w:eastAsia="Arial"/>
          <w:b/>
        </w:rPr>
        <w:t>evue de contrats</w:t>
      </w:r>
    </w:p>
    <w:p w14:paraId="618E8B89" w14:textId="77777777" w:rsidR="001D6B7B" w:rsidRPr="006E4C32" w:rsidRDefault="001D6B7B" w:rsidP="00EB65E3">
      <w:pPr>
        <w:spacing w:line="276" w:lineRule="auto"/>
        <w:jc w:val="both"/>
        <w:rPr>
          <w:rFonts w:eastAsia="Times New Roman"/>
        </w:rPr>
      </w:pPr>
    </w:p>
    <w:p w14:paraId="490ACD85" w14:textId="754F3531" w:rsidR="001E4C7D" w:rsidRPr="006E4C32" w:rsidRDefault="001D6B7B" w:rsidP="00024402">
      <w:pPr>
        <w:spacing w:line="276" w:lineRule="auto"/>
        <w:jc w:val="both"/>
        <w:rPr>
          <w:rFonts w:eastAsia="Arial"/>
        </w:rPr>
      </w:pPr>
      <w:r w:rsidRPr="006E4C32">
        <w:rPr>
          <w:rFonts w:eastAsia="Arial"/>
        </w:rPr>
        <w:t xml:space="preserve">Sur la base du chronogramme d’exécution des contrats et du plan de passation de marchés, </w:t>
      </w:r>
      <w:r w:rsidR="00C87D4E" w:rsidRPr="006E4C32">
        <w:rPr>
          <w:rFonts w:eastAsia="Arial"/>
        </w:rPr>
        <w:t>la BID</w:t>
      </w:r>
      <w:r w:rsidR="00024402">
        <w:rPr>
          <w:rFonts w:eastAsia="Arial"/>
        </w:rPr>
        <w:t xml:space="preserve"> et les OE</w:t>
      </w:r>
      <w:r w:rsidRPr="006E4C32">
        <w:rPr>
          <w:rFonts w:eastAsia="Arial"/>
        </w:rPr>
        <w:t xml:space="preserve"> programmeront, chaque mois une revue des contrats. </w:t>
      </w:r>
    </w:p>
    <w:p w14:paraId="3E7B41AE" w14:textId="064F0782" w:rsidR="006E4C32" w:rsidRDefault="006E4C32" w:rsidP="00EB65E3">
      <w:pPr>
        <w:spacing w:line="276" w:lineRule="auto"/>
        <w:jc w:val="both"/>
        <w:rPr>
          <w:rFonts w:eastAsia="Times New Roman"/>
        </w:rPr>
      </w:pPr>
      <w:r>
        <w:rPr>
          <w:rFonts w:eastAsia="Times New Roman"/>
        </w:rPr>
        <w:br w:type="page"/>
      </w:r>
    </w:p>
    <w:p w14:paraId="1D648D91" w14:textId="77777777" w:rsidR="00EC0106" w:rsidRPr="006E4C32" w:rsidRDefault="00F8169C" w:rsidP="0006696B">
      <w:pPr>
        <w:pStyle w:val="ListParagraph"/>
        <w:numPr>
          <w:ilvl w:val="0"/>
          <w:numId w:val="31"/>
        </w:numPr>
        <w:spacing w:line="276" w:lineRule="auto"/>
        <w:rPr>
          <w:rFonts w:eastAsia="Times New Roman"/>
          <w:b/>
          <w:sz w:val="32"/>
        </w:rPr>
      </w:pPr>
      <w:r w:rsidRPr="006E4C32">
        <w:rPr>
          <w:rFonts w:eastAsia="Times New Roman"/>
          <w:b/>
          <w:sz w:val="32"/>
        </w:rPr>
        <w:lastRenderedPageBreak/>
        <w:t xml:space="preserve">PROCÉDURES DE PASSATION DE MARCHÉ </w:t>
      </w:r>
    </w:p>
    <w:p w14:paraId="3597BA42" w14:textId="77777777" w:rsidR="00642B52" w:rsidRPr="006E4C32" w:rsidRDefault="00642B52" w:rsidP="00EB65E3">
      <w:pPr>
        <w:spacing w:line="276" w:lineRule="auto"/>
        <w:jc w:val="both"/>
        <w:rPr>
          <w:rFonts w:eastAsia="Times New Roman"/>
        </w:rPr>
      </w:pPr>
    </w:p>
    <w:p w14:paraId="18D153DD" w14:textId="60D64518" w:rsidR="00642B52" w:rsidRPr="006E4C32" w:rsidRDefault="00F8169C" w:rsidP="00EB65E3">
      <w:pPr>
        <w:autoSpaceDE w:val="0"/>
        <w:autoSpaceDN w:val="0"/>
        <w:adjustRightInd w:val="0"/>
        <w:spacing w:before="120" w:after="120" w:line="276" w:lineRule="auto"/>
        <w:ind w:left="180"/>
        <w:jc w:val="both"/>
        <w:rPr>
          <w:rFonts w:cs="Arial"/>
        </w:rPr>
      </w:pPr>
      <w:r w:rsidRPr="006E4C32">
        <w:rPr>
          <w:rFonts w:eastAsia="Arial"/>
        </w:rPr>
        <w:t>Toute acquisition de biens</w:t>
      </w:r>
      <w:r w:rsidR="00A84EC8">
        <w:rPr>
          <w:rFonts w:eastAsia="Arial"/>
        </w:rPr>
        <w:t>, travaux</w:t>
      </w:r>
      <w:r w:rsidRPr="006E4C32">
        <w:rPr>
          <w:rFonts w:eastAsia="Arial"/>
        </w:rPr>
        <w:t xml:space="preserve">, services </w:t>
      </w:r>
      <w:r w:rsidR="00A84EC8">
        <w:rPr>
          <w:rFonts w:eastAsia="Arial"/>
        </w:rPr>
        <w:t>connexes et services consultatifs (</w:t>
      </w:r>
      <w:r w:rsidR="002F3B3E">
        <w:rPr>
          <w:rFonts w:eastAsia="Arial"/>
        </w:rPr>
        <w:t>firmes ou consultant individuel</w:t>
      </w:r>
      <w:r w:rsidR="00A84EC8">
        <w:rPr>
          <w:rFonts w:eastAsia="Arial"/>
        </w:rPr>
        <w:t>)</w:t>
      </w:r>
      <w:r w:rsidR="002F3B3E">
        <w:rPr>
          <w:rFonts w:eastAsia="Arial"/>
        </w:rPr>
        <w:t xml:space="preserve"> </w:t>
      </w:r>
      <w:r w:rsidRPr="006E4C32">
        <w:rPr>
          <w:rFonts w:eastAsia="Arial"/>
        </w:rPr>
        <w:t>devra se faire de manière transparente et conforme aux politiques de la BID</w:t>
      </w:r>
      <w:r w:rsidR="00642B52" w:rsidRPr="006E4C32">
        <w:rPr>
          <w:rFonts w:eastAsia="Arial"/>
        </w:rPr>
        <w:t xml:space="preserve">. </w:t>
      </w:r>
      <w:r w:rsidR="00642B52" w:rsidRPr="006E4C32">
        <w:rPr>
          <w:rFonts w:cs="Arial"/>
          <w:b/>
        </w:rPr>
        <w:t xml:space="preserve"> </w:t>
      </w:r>
      <w:r w:rsidR="00642B52" w:rsidRPr="006E4C32">
        <w:rPr>
          <w:rFonts w:cs="Arial"/>
        </w:rPr>
        <w:t xml:space="preserve">La DINEPA et la Banque se mettront d’accord sur le plan de Passation de Marché, qui couvre la durée entière du programme. Il sera mis à jour chaque six mois, ou si nécessaire, ou à toutes les fois prévues par  les politiques de la Banque. </w:t>
      </w:r>
    </w:p>
    <w:p w14:paraId="318B0F9D" w14:textId="77777777" w:rsidR="00F8169C" w:rsidRPr="006E4C32" w:rsidRDefault="00642B52" w:rsidP="00EB65E3">
      <w:pPr>
        <w:autoSpaceDE w:val="0"/>
        <w:autoSpaceDN w:val="0"/>
        <w:adjustRightInd w:val="0"/>
        <w:spacing w:before="120" w:after="120" w:line="276" w:lineRule="auto"/>
        <w:ind w:left="180"/>
        <w:jc w:val="both"/>
        <w:rPr>
          <w:color w:val="000000"/>
        </w:rPr>
      </w:pPr>
      <w:r w:rsidRPr="006E4C32">
        <w:rPr>
          <w:rFonts w:cs="Arial"/>
        </w:rPr>
        <w:t xml:space="preserve">Les acquisitions dans le cadre du  programme seront réalisées selon les politiques d’acquisition des Biens et Services financés par la Banque </w:t>
      </w:r>
      <w:r w:rsidRPr="006E4C32">
        <w:rPr>
          <w:color w:val="000000"/>
        </w:rPr>
        <w:t xml:space="preserve">(GN-2349-9), datant de mars 2011 ; et les politiques pour la Sélection et l’Embauche des Consultants financés par la Banque (GN-2350-9), datant de mars 2011. </w:t>
      </w:r>
    </w:p>
    <w:p w14:paraId="3EE2DB11" w14:textId="77777777" w:rsidR="00F8169C" w:rsidRPr="006E4C32" w:rsidRDefault="00F8169C" w:rsidP="00EB65E3">
      <w:pPr>
        <w:spacing w:line="276" w:lineRule="auto"/>
        <w:jc w:val="both"/>
        <w:rPr>
          <w:rFonts w:eastAsia="Times New Roman"/>
        </w:rPr>
      </w:pPr>
    </w:p>
    <w:p w14:paraId="1FFAFDA2" w14:textId="597C22DB" w:rsidR="00F8169C" w:rsidRPr="006E4C32" w:rsidRDefault="00F8169C" w:rsidP="00EB65E3">
      <w:pPr>
        <w:spacing w:line="276" w:lineRule="auto"/>
        <w:jc w:val="both"/>
        <w:rPr>
          <w:rFonts w:eastAsia="Arial"/>
        </w:rPr>
      </w:pPr>
      <w:r w:rsidRPr="006E4C32">
        <w:rPr>
          <w:rFonts w:eastAsia="Arial"/>
        </w:rPr>
        <w:t>Pour toute acquisition de biens, de services et de travaux</w:t>
      </w:r>
      <w:r w:rsidR="00232B91">
        <w:rPr>
          <w:rFonts w:eastAsia="Arial"/>
        </w:rPr>
        <w:t xml:space="preserve"> ou tout recrutement de firmes ou consultants individuels</w:t>
      </w:r>
      <w:r w:rsidRPr="006E4C32">
        <w:rPr>
          <w:rFonts w:eastAsia="Arial"/>
        </w:rPr>
        <w:t xml:space="preserve"> la démarche suivra les étapes suivantes :</w:t>
      </w:r>
    </w:p>
    <w:p w14:paraId="7AE0FD40" w14:textId="77777777" w:rsidR="00F8169C" w:rsidRPr="006E4C32" w:rsidRDefault="00F8169C" w:rsidP="00EB65E3">
      <w:pPr>
        <w:spacing w:line="276" w:lineRule="auto"/>
        <w:jc w:val="both"/>
        <w:rPr>
          <w:rFonts w:eastAsia="Times New Roman"/>
        </w:rPr>
      </w:pPr>
    </w:p>
    <w:p w14:paraId="6DE37813" w14:textId="77777777" w:rsidR="00024402" w:rsidRDefault="00024402" w:rsidP="0006696B">
      <w:pPr>
        <w:numPr>
          <w:ilvl w:val="0"/>
          <w:numId w:val="9"/>
        </w:numPr>
        <w:tabs>
          <w:tab w:val="left" w:pos="1060"/>
        </w:tabs>
        <w:spacing w:line="276" w:lineRule="auto"/>
        <w:ind w:left="1060" w:hanging="352"/>
        <w:jc w:val="both"/>
        <w:rPr>
          <w:rFonts w:eastAsia="Arial"/>
        </w:rPr>
      </w:pPr>
      <w:r>
        <w:rPr>
          <w:rFonts w:eastAsia="Arial"/>
        </w:rPr>
        <w:t>A COMPLETER</w:t>
      </w:r>
    </w:p>
    <w:p w14:paraId="7724E9A2" w14:textId="77777777" w:rsidR="00F8169C" w:rsidRPr="006E4C32" w:rsidRDefault="00F8169C" w:rsidP="00EB65E3">
      <w:pPr>
        <w:spacing w:line="276" w:lineRule="auto"/>
        <w:jc w:val="both"/>
        <w:rPr>
          <w:rFonts w:eastAsia="Arial"/>
        </w:rPr>
      </w:pPr>
      <w:bookmarkStart w:id="30" w:name="_Hlk504999269"/>
    </w:p>
    <w:p w14:paraId="5E23DCB1" w14:textId="72EC5BB0" w:rsidR="00F8169C" w:rsidRPr="00ED6EFB" w:rsidRDefault="00F8169C" w:rsidP="0006696B">
      <w:pPr>
        <w:pStyle w:val="ListParagraph"/>
        <w:numPr>
          <w:ilvl w:val="1"/>
          <w:numId w:val="21"/>
        </w:numPr>
        <w:tabs>
          <w:tab w:val="left" w:pos="360"/>
        </w:tabs>
        <w:spacing w:line="276" w:lineRule="auto"/>
        <w:jc w:val="both"/>
        <w:rPr>
          <w:rFonts w:eastAsia="Arial"/>
          <w:b/>
        </w:rPr>
      </w:pPr>
      <w:r w:rsidRPr="00ED6EFB">
        <w:rPr>
          <w:rFonts w:eastAsia="Arial"/>
          <w:b/>
        </w:rPr>
        <w:t>Demandes de non-objection</w:t>
      </w:r>
      <w:r w:rsidR="00024402">
        <w:rPr>
          <w:rFonts w:eastAsia="Arial"/>
          <w:b/>
        </w:rPr>
        <w:t xml:space="preserve"> (COMPLETER SELON L’OE)</w:t>
      </w:r>
    </w:p>
    <w:p w14:paraId="20D6616C" w14:textId="77777777" w:rsidR="00F8169C" w:rsidRPr="006E4C32" w:rsidRDefault="00F8169C" w:rsidP="00EB65E3">
      <w:pPr>
        <w:spacing w:line="276" w:lineRule="auto"/>
        <w:jc w:val="both"/>
        <w:rPr>
          <w:rFonts w:eastAsia="Times New Roman"/>
        </w:rPr>
      </w:pPr>
    </w:p>
    <w:p w14:paraId="5B642E05" w14:textId="3FD3E0B0" w:rsidR="00F8169C" w:rsidRPr="006E4C32" w:rsidRDefault="00F8169C" w:rsidP="00EB65E3">
      <w:pPr>
        <w:spacing w:line="276" w:lineRule="auto"/>
        <w:jc w:val="both"/>
        <w:rPr>
          <w:rFonts w:eastAsia="Arial"/>
        </w:rPr>
      </w:pPr>
      <w:r w:rsidRPr="006E4C32">
        <w:rPr>
          <w:rFonts w:eastAsia="Arial"/>
        </w:rPr>
        <w:t>Tout achat / Vente de matériel, recrutement</w:t>
      </w:r>
      <w:r w:rsidR="00232B91">
        <w:rPr>
          <w:rFonts w:eastAsia="Arial"/>
        </w:rPr>
        <w:t xml:space="preserve"> de firmes ou de personnel</w:t>
      </w:r>
      <w:r w:rsidRPr="006E4C32">
        <w:rPr>
          <w:rFonts w:eastAsia="Arial"/>
        </w:rPr>
        <w:t xml:space="preserve"> /, dépense d</w:t>
      </w:r>
      <w:r w:rsidRPr="006E4C32">
        <w:rPr>
          <w:rFonts w:eastAsia="Arial" w:cs="Times New Roman"/>
        </w:rPr>
        <w:t>’</w:t>
      </w:r>
      <w:r w:rsidRPr="006E4C32">
        <w:rPr>
          <w:rFonts w:eastAsia="Arial"/>
        </w:rPr>
        <w:t xml:space="preserve">ordre logistique </w:t>
      </w:r>
      <w:r w:rsidR="0097314E">
        <w:t>entrainant l’acquisition de biens, travaux, services ou le recrutement de personnel</w:t>
      </w:r>
      <w:r w:rsidR="0097314E" w:rsidRPr="006E4C32">
        <w:rPr>
          <w:rFonts w:eastAsia="Arial"/>
        </w:rPr>
        <w:t xml:space="preserve"> </w:t>
      </w:r>
      <w:r w:rsidRPr="006E4C32">
        <w:rPr>
          <w:rFonts w:eastAsia="Arial"/>
        </w:rPr>
        <w:t>devra faire l</w:t>
      </w:r>
      <w:r w:rsidRPr="006E4C32">
        <w:rPr>
          <w:rFonts w:eastAsia="Arial" w:cs="Times New Roman"/>
        </w:rPr>
        <w:t>’</w:t>
      </w:r>
      <w:r w:rsidRPr="006E4C32">
        <w:rPr>
          <w:rFonts w:eastAsia="Arial"/>
        </w:rPr>
        <w:t>objet d</w:t>
      </w:r>
      <w:r w:rsidRPr="006E4C32">
        <w:rPr>
          <w:rFonts w:eastAsia="Arial" w:cs="Times New Roman"/>
        </w:rPr>
        <w:t>’</w:t>
      </w:r>
      <w:r w:rsidRPr="006E4C32">
        <w:rPr>
          <w:rFonts w:eastAsia="Arial"/>
        </w:rPr>
        <w:t>une demande de non-objection à la B</w:t>
      </w:r>
      <w:r w:rsidR="00642B52" w:rsidRPr="006E4C32">
        <w:rPr>
          <w:rFonts w:eastAsia="Arial"/>
        </w:rPr>
        <w:t xml:space="preserve">ID </w:t>
      </w:r>
      <w:r w:rsidR="006A1C58">
        <w:rPr>
          <w:rFonts w:eastAsia="Arial"/>
        </w:rPr>
        <w:t xml:space="preserve">pour tout montant supérieur à </w:t>
      </w:r>
      <w:r w:rsidR="00024402">
        <w:rPr>
          <w:rFonts w:eastAsia="Arial"/>
        </w:rPr>
        <w:t>XXX</w:t>
      </w:r>
      <w:r w:rsidR="006A1C58">
        <w:rPr>
          <w:rFonts w:eastAsia="Arial"/>
        </w:rPr>
        <w:t xml:space="preserve"> dollars ou équivalent en monnaie locale</w:t>
      </w:r>
      <w:r w:rsidRPr="006E4C32">
        <w:rPr>
          <w:rFonts w:eastAsia="Arial"/>
        </w:rPr>
        <w:t>. La demande devra être accompagnée de :</w:t>
      </w:r>
    </w:p>
    <w:p w14:paraId="2D466217" w14:textId="77777777" w:rsidR="00F8169C" w:rsidRPr="006E4C32" w:rsidRDefault="00F8169C" w:rsidP="00EB65E3">
      <w:pPr>
        <w:spacing w:line="276" w:lineRule="auto"/>
        <w:jc w:val="both"/>
        <w:rPr>
          <w:rFonts w:eastAsia="Times New Roman"/>
        </w:rPr>
      </w:pPr>
    </w:p>
    <w:p w14:paraId="002DD1E5" w14:textId="06EF8220" w:rsidR="00F8169C" w:rsidRPr="006E4C32" w:rsidRDefault="00F8169C" w:rsidP="0006696B">
      <w:pPr>
        <w:numPr>
          <w:ilvl w:val="0"/>
          <w:numId w:val="10"/>
        </w:numPr>
        <w:tabs>
          <w:tab w:val="left" w:pos="720"/>
        </w:tabs>
        <w:spacing w:line="276" w:lineRule="auto"/>
        <w:ind w:left="720" w:hanging="358"/>
        <w:jc w:val="both"/>
        <w:rPr>
          <w:rFonts w:eastAsia="Arial"/>
        </w:rPr>
      </w:pPr>
      <w:r w:rsidRPr="006E4C32">
        <w:rPr>
          <w:rFonts w:eastAsia="Arial"/>
        </w:rPr>
        <w:t>dossier d</w:t>
      </w:r>
      <w:r w:rsidRPr="006E4C32">
        <w:rPr>
          <w:rFonts w:eastAsia="Arial" w:cs="Times New Roman"/>
        </w:rPr>
        <w:t>’</w:t>
      </w:r>
      <w:r w:rsidRPr="006E4C32">
        <w:rPr>
          <w:rFonts w:eastAsia="Arial"/>
        </w:rPr>
        <w:t>appel d</w:t>
      </w:r>
      <w:r w:rsidRPr="006E4C32">
        <w:rPr>
          <w:rFonts w:eastAsia="Arial" w:cs="Times New Roman"/>
        </w:rPr>
        <w:t>’</w:t>
      </w:r>
      <w:r w:rsidRPr="006E4C32">
        <w:rPr>
          <w:rFonts w:eastAsia="Arial"/>
        </w:rPr>
        <w:t>offres / de consultation</w:t>
      </w:r>
      <w:r w:rsidR="00232B91">
        <w:rPr>
          <w:rFonts w:eastAsia="Arial"/>
        </w:rPr>
        <w:t xml:space="preserve"> / demande de proposition </w:t>
      </w:r>
      <w:r w:rsidRPr="006E4C32">
        <w:rPr>
          <w:rFonts w:eastAsia="Arial"/>
        </w:rPr>
        <w:t>suivant le modèle administratif fourni par la BID et toutes annexes utiles</w:t>
      </w:r>
    </w:p>
    <w:p w14:paraId="78D9E0E1" w14:textId="77777777" w:rsidR="00F8169C" w:rsidRPr="006E4C32" w:rsidRDefault="00F8169C" w:rsidP="00EB65E3">
      <w:pPr>
        <w:spacing w:line="276" w:lineRule="auto"/>
        <w:jc w:val="both"/>
        <w:rPr>
          <w:rFonts w:eastAsia="Arial"/>
        </w:rPr>
      </w:pPr>
    </w:p>
    <w:p w14:paraId="59951BC3" w14:textId="77777777" w:rsidR="00F8169C" w:rsidRPr="006E4C32" w:rsidRDefault="00F8169C" w:rsidP="0006696B">
      <w:pPr>
        <w:numPr>
          <w:ilvl w:val="0"/>
          <w:numId w:val="10"/>
        </w:numPr>
        <w:tabs>
          <w:tab w:val="left" w:pos="720"/>
        </w:tabs>
        <w:spacing w:line="276" w:lineRule="auto"/>
        <w:ind w:left="720" w:hanging="358"/>
        <w:jc w:val="both"/>
        <w:rPr>
          <w:rFonts w:eastAsia="Arial"/>
        </w:rPr>
      </w:pPr>
      <w:r w:rsidRPr="006E4C32">
        <w:rPr>
          <w:rFonts w:eastAsia="Arial"/>
        </w:rPr>
        <w:t>termes de références spécifiques au dossier concerné</w:t>
      </w:r>
    </w:p>
    <w:p w14:paraId="4856F203" w14:textId="77777777" w:rsidR="00F8169C" w:rsidRPr="006E4C32" w:rsidRDefault="00F8169C" w:rsidP="00EB65E3">
      <w:pPr>
        <w:spacing w:line="276" w:lineRule="auto"/>
        <w:jc w:val="both"/>
        <w:rPr>
          <w:rFonts w:eastAsia="Times New Roman"/>
        </w:rPr>
      </w:pPr>
    </w:p>
    <w:p w14:paraId="4A8F45B0" w14:textId="10845AE2" w:rsidR="00F8169C" w:rsidRPr="006E4C32" w:rsidRDefault="003F5D21" w:rsidP="00EB65E3">
      <w:pPr>
        <w:spacing w:line="276" w:lineRule="auto"/>
        <w:jc w:val="both"/>
        <w:rPr>
          <w:rFonts w:eastAsia="Arial"/>
        </w:rPr>
      </w:pPr>
      <w:r>
        <w:rPr>
          <w:rFonts w:eastAsia="Arial"/>
        </w:rPr>
        <w:t>Pour tous les contrats soumis à la révision ex-ante au sein du plan de passation de marchés</w:t>
      </w:r>
      <w:r w:rsidR="002F3B3E">
        <w:rPr>
          <w:rFonts w:eastAsia="Arial"/>
        </w:rPr>
        <w:t>, s</w:t>
      </w:r>
      <w:r w:rsidR="00F8169C" w:rsidRPr="006E4C32">
        <w:rPr>
          <w:rFonts w:eastAsia="Arial"/>
        </w:rPr>
        <w:t>ans non-o</w:t>
      </w:r>
      <w:r w:rsidR="00642B52" w:rsidRPr="006E4C32">
        <w:rPr>
          <w:rFonts w:eastAsia="Arial"/>
        </w:rPr>
        <w:t xml:space="preserve">bjection de la part de la BID </w:t>
      </w:r>
      <w:r w:rsidR="00F8169C" w:rsidRPr="006E4C32">
        <w:rPr>
          <w:rFonts w:eastAsia="Arial"/>
        </w:rPr>
        <w:t>, aucun contrat d</w:t>
      </w:r>
      <w:r w:rsidR="00F8169C" w:rsidRPr="006E4C32">
        <w:rPr>
          <w:rFonts w:eastAsia="Arial" w:cs="Times New Roman"/>
        </w:rPr>
        <w:t>’</w:t>
      </w:r>
      <w:r w:rsidR="00F8169C" w:rsidRPr="006E4C32">
        <w:rPr>
          <w:rFonts w:eastAsia="Arial"/>
        </w:rPr>
        <w:t>acquisition de biens, de services</w:t>
      </w:r>
      <w:r w:rsidR="00232B91">
        <w:rPr>
          <w:rFonts w:eastAsia="Arial"/>
        </w:rPr>
        <w:t xml:space="preserve">, </w:t>
      </w:r>
      <w:r w:rsidR="00F8169C" w:rsidRPr="006E4C32">
        <w:rPr>
          <w:rFonts w:eastAsia="Arial"/>
        </w:rPr>
        <w:t xml:space="preserve">de travaux </w:t>
      </w:r>
      <w:r w:rsidR="00232B91">
        <w:rPr>
          <w:rFonts w:eastAsia="Arial"/>
        </w:rPr>
        <w:t xml:space="preserve">ou de services consultatifs </w:t>
      </w:r>
      <w:r w:rsidR="00F8169C" w:rsidRPr="006E4C32">
        <w:rPr>
          <w:rFonts w:eastAsia="Arial"/>
        </w:rPr>
        <w:t>ne sera considéré comme valable par la BID et</w:t>
      </w:r>
      <w:r w:rsidR="00232B91">
        <w:rPr>
          <w:rFonts w:eastAsia="Arial"/>
        </w:rPr>
        <w:t xml:space="preserve"> les dépenses liées à ces contrats</w:t>
      </w:r>
      <w:r w:rsidR="00F8169C" w:rsidRPr="006E4C32">
        <w:rPr>
          <w:rFonts w:eastAsia="Arial"/>
        </w:rPr>
        <w:t xml:space="preserve"> pourr</w:t>
      </w:r>
      <w:r w:rsidR="00232B91">
        <w:rPr>
          <w:rFonts w:eastAsia="Arial"/>
        </w:rPr>
        <w:t>ont</w:t>
      </w:r>
      <w:r w:rsidR="00F8169C" w:rsidRPr="006E4C32">
        <w:rPr>
          <w:rFonts w:eastAsia="Arial"/>
        </w:rPr>
        <w:t xml:space="preserve"> être rejeté</w:t>
      </w:r>
      <w:r w:rsidR="00232B91">
        <w:rPr>
          <w:rFonts w:eastAsia="Arial"/>
        </w:rPr>
        <w:t>es</w:t>
      </w:r>
      <w:r w:rsidR="00F8169C" w:rsidRPr="006E4C32">
        <w:rPr>
          <w:rFonts w:eastAsia="Arial"/>
        </w:rPr>
        <w:t xml:space="preserve">. La </w:t>
      </w:r>
      <w:r w:rsidR="00642B52" w:rsidRPr="006E4C32">
        <w:rPr>
          <w:rFonts w:eastAsia="Arial"/>
        </w:rPr>
        <w:t>BID pourrai</w:t>
      </w:r>
      <w:r w:rsidR="00F8169C" w:rsidRPr="006E4C32">
        <w:rPr>
          <w:rFonts w:eastAsia="Arial"/>
        </w:rPr>
        <w:t>t demander toute précision utile aux demandes de non-objection avec acceptation.</w:t>
      </w:r>
    </w:p>
    <w:p w14:paraId="757160A7" w14:textId="77777777" w:rsidR="00F8169C" w:rsidRPr="006E4C32" w:rsidRDefault="00F8169C" w:rsidP="00EB65E3">
      <w:pPr>
        <w:spacing w:line="276" w:lineRule="auto"/>
        <w:jc w:val="both"/>
        <w:rPr>
          <w:rFonts w:eastAsia="Times New Roman"/>
        </w:rPr>
      </w:pPr>
    </w:p>
    <w:p w14:paraId="1995E034" w14:textId="77777777" w:rsidR="00F8169C" w:rsidRPr="006E4C32" w:rsidRDefault="00F8169C" w:rsidP="00EB65E3">
      <w:pPr>
        <w:spacing w:line="276" w:lineRule="auto"/>
        <w:jc w:val="both"/>
        <w:rPr>
          <w:rFonts w:eastAsia="Arial"/>
        </w:rPr>
      </w:pPr>
      <w:r w:rsidRPr="006E4C32">
        <w:rPr>
          <w:rFonts w:eastAsia="Arial"/>
        </w:rPr>
        <w:t>La demande pourra être faite par voie électronique à condition que la DINEPA mette en place un archivage électronique adéquat.</w:t>
      </w:r>
    </w:p>
    <w:p w14:paraId="25C6F658" w14:textId="77777777" w:rsidR="00F8169C" w:rsidRPr="006E4C32" w:rsidRDefault="00F8169C" w:rsidP="00EB65E3">
      <w:pPr>
        <w:spacing w:line="276" w:lineRule="auto"/>
        <w:jc w:val="both"/>
        <w:rPr>
          <w:rFonts w:eastAsia="Times New Roman"/>
        </w:rPr>
      </w:pPr>
    </w:p>
    <w:p w14:paraId="5CE5646F" w14:textId="402B8B23" w:rsidR="00F8169C" w:rsidRPr="00ED6EFB" w:rsidRDefault="00F86D19" w:rsidP="00EB65E3">
      <w:pPr>
        <w:spacing w:line="276" w:lineRule="auto"/>
        <w:ind w:left="20"/>
        <w:jc w:val="both"/>
        <w:rPr>
          <w:rFonts w:eastAsia="Arial"/>
          <w:b/>
        </w:rPr>
      </w:pPr>
      <w:r w:rsidRPr="00ED6EFB">
        <w:rPr>
          <w:rFonts w:eastAsia="Arial"/>
          <w:b/>
        </w:rPr>
        <w:lastRenderedPageBreak/>
        <w:t xml:space="preserve">7.2 </w:t>
      </w:r>
      <w:r w:rsidR="00F8169C" w:rsidRPr="00ED6EFB">
        <w:rPr>
          <w:rFonts w:eastAsia="Arial"/>
          <w:b/>
        </w:rPr>
        <w:t>L’analyse et l</w:t>
      </w:r>
      <w:r w:rsidR="00F8169C" w:rsidRPr="00ED6EFB">
        <w:rPr>
          <w:rFonts w:eastAsia="Arial" w:cs="Times New Roman"/>
          <w:b/>
        </w:rPr>
        <w:t>’</w:t>
      </w:r>
      <w:r w:rsidR="00F8169C" w:rsidRPr="00ED6EFB">
        <w:rPr>
          <w:rFonts w:eastAsia="Arial"/>
          <w:b/>
        </w:rPr>
        <w:t>attribution des marchés et contrats</w:t>
      </w:r>
    </w:p>
    <w:p w14:paraId="3FA74452" w14:textId="10BB8601" w:rsidR="00F8169C" w:rsidRPr="006E4C32" w:rsidRDefault="00F8169C" w:rsidP="00EB65E3">
      <w:pPr>
        <w:spacing w:line="276" w:lineRule="auto"/>
        <w:jc w:val="both"/>
        <w:rPr>
          <w:rFonts w:eastAsia="Arial"/>
        </w:rPr>
      </w:pPr>
      <w:r w:rsidRPr="006E4C32">
        <w:rPr>
          <w:rFonts w:eastAsia="Arial"/>
        </w:rPr>
        <w:t>Pour tout processus de passation de marchés une commission d</w:t>
      </w:r>
      <w:r w:rsidRPr="006E4C32">
        <w:rPr>
          <w:rFonts w:eastAsia="Arial" w:cs="Times New Roman"/>
        </w:rPr>
        <w:t>’</w:t>
      </w:r>
      <w:r w:rsidRPr="006E4C32">
        <w:rPr>
          <w:rFonts w:eastAsia="Arial"/>
        </w:rPr>
        <w:t>analyse et d'évaluation des offres</w:t>
      </w:r>
      <w:r w:rsidR="00232B91">
        <w:rPr>
          <w:rFonts w:eastAsia="Arial"/>
        </w:rPr>
        <w:t>/propositions</w:t>
      </w:r>
      <w:r w:rsidRPr="006E4C32">
        <w:rPr>
          <w:rFonts w:eastAsia="Arial"/>
        </w:rPr>
        <w:t xml:space="preserve"> jouissant de son autonomie sera mise en place. La commission devra évaluer les offres</w:t>
      </w:r>
      <w:r w:rsidR="00232B91">
        <w:rPr>
          <w:rFonts w:eastAsia="Arial"/>
        </w:rPr>
        <w:t>/propositions</w:t>
      </w:r>
      <w:r w:rsidRPr="006E4C32">
        <w:rPr>
          <w:rFonts w:eastAsia="Arial"/>
        </w:rPr>
        <w:t>, préparer son rapport tout en incluant ses recommandations pour l'attribution du marché (annulation de l'appel d'offr</w:t>
      </w:r>
      <w:r w:rsidR="00642B52" w:rsidRPr="006E4C32">
        <w:rPr>
          <w:rFonts w:eastAsia="Arial"/>
        </w:rPr>
        <w:t>es ou autre décision). L’O</w:t>
      </w:r>
      <w:r w:rsidR="00024402">
        <w:rPr>
          <w:rFonts w:eastAsia="Arial"/>
        </w:rPr>
        <w:t>E</w:t>
      </w:r>
      <w:r w:rsidRPr="006E4C32">
        <w:rPr>
          <w:rFonts w:eastAsia="Arial"/>
        </w:rPr>
        <w:t xml:space="preserve"> transmettra à</w:t>
      </w:r>
      <w:r w:rsidR="00642B52" w:rsidRPr="006E4C32">
        <w:rPr>
          <w:rFonts w:eastAsia="Arial"/>
        </w:rPr>
        <w:t xml:space="preserve"> la BID </w:t>
      </w:r>
      <w:r w:rsidRPr="006E4C32">
        <w:rPr>
          <w:rFonts w:eastAsia="Arial"/>
        </w:rPr>
        <w:t xml:space="preserve">le rapport d'analyse et d'évaluation des offres pour non-objection. La commission </w:t>
      </w:r>
      <w:r w:rsidR="00642B52" w:rsidRPr="006E4C32">
        <w:rPr>
          <w:rFonts w:eastAsia="Arial"/>
        </w:rPr>
        <w:t>sera mise en place par l’O</w:t>
      </w:r>
      <w:r w:rsidR="00024402">
        <w:rPr>
          <w:rFonts w:eastAsia="Arial"/>
        </w:rPr>
        <w:t xml:space="preserve">E </w:t>
      </w:r>
      <w:r w:rsidRPr="006E4C32">
        <w:rPr>
          <w:rFonts w:eastAsia="Arial"/>
        </w:rPr>
        <w:t>et sera composée d</w:t>
      </w:r>
      <w:r w:rsidRPr="006E4C32">
        <w:rPr>
          <w:rFonts w:eastAsia="Arial" w:cs="Times New Roman"/>
        </w:rPr>
        <w:t>’</w:t>
      </w:r>
      <w:r w:rsidRPr="006E4C32">
        <w:rPr>
          <w:rFonts w:eastAsia="Arial"/>
        </w:rPr>
        <w:t>au moins trois personnes. Un membre</w:t>
      </w:r>
      <w:r w:rsidR="00642B52" w:rsidRPr="006E4C32">
        <w:rPr>
          <w:rFonts w:eastAsia="Arial"/>
        </w:rPr>
        <w:t xml:space="preserve"> du personnel cadre de l’O</w:t>
      </w:r>
      <w:r w:rsidR="00024402">
        <w:rPr>
          <w:rFonts w:eastAsia="Arial"/>
        </w:rPr>
        <w:t>E</w:t>
      </w:r>
      <w:r w:rsidRPr="006E4C32">
        <w:rPr>
          <w:rFonts w:eastAsia="Arial"/>
        </w:rPr>
        <w:t xml:space="preserve"> présidera cette commission, les autres membres seront issus du personnel salarié ou consultant de</w:t>
      </w:r>
      <w:r w:rsidR="00642B52" w:rsidRPr="006E4C32">
        <w:rPr>
          <w:rFonts w:eastAsia="Arial"/>
        </w:rPr>
        <w:t>s agences publiques conce</w:t>
      </w:r>
      <w:r w:rsidR="00AC342A" w:rsidRPr="006E4C32">
        <w:rPr>
          <w:rFonts w:eastAsia="Arial"/>
        </w:rPr>
        <w:t>rnées</w:t>
      </w:r>
      <w:r w:rsidR="00642B52" w:rsidRPr="006E4C32">
        <w:rPr>
          <w:rFonts w:eastAsia="Arial"/>
        </w:rPr>
        <w:t xml:space="preserve">. </w:t>
      </w:r>
      <w:r w:rsidRPr="006E4C32">
        <w:rPr>
          <w:rFonts w:eastAsia="Arial"/>
        </w:rPr>
        <w:t>Aucun membre ne doit se trouver en situation de conflit d</w:t>
      </w:r>
      <w:r w:rsidRPr="006E4C32">
        <w:rPr>
          <w:rFonts w:eastAsia="Arial" w:cs="Times New Roman"/>
        </w:rPr>
        <w:t>’</w:t>
      </w:r>
      <w:r w:rsidRPr="006E4C32">
        <w:rPr>
          <w:rFonts w:eastAsia="Arial"/>
        </w:rPr>
        <w:t>intérêt avec un ou des soumissionnaires.</w:t>
      </w:r>
    </w:p>
    <w:p w14:paraId="0EF4E186" w14:textId="77777777" w:rsidR="00F8169C" w:rsidRPr="006E4C32" w:rsidRDefault="00F8169C" w:rsidP="00EB65E3">
      <w:pPr>
        <w:spacing w:line="276" w:lineRule="auto"/>
        <w:jc w:val="both"/>
        <w:rPr>
          <w:rFonts w:eastAsia="Times New Roman"/>
        </w:rPr>
      </w:pPr>
    </w:p>
    <w:p w14:paraId="39B150DA" w14:textId="618596CE" w:rsidR="00642B52" w:rsidRPr="00ED6EFB" w:rsidRDefault="00F86D19" w:rsidP="00EB65E3">
      <w:pPr>
        <w:autoSpaceDE w:val="0"/>
        <w:autoSpaceDN w:val="0"/>
        <w:adjustRightInd w:val="0"/>
        <w:spacing w:before="120" w:after="120" w:line="276" w:lineRule="auto"/>
        <w:ind w:left="180"/>
        <w:jc w:val="both"/>
        <w:rPr>
          <w:b/>
          <w:color w:val="000000"/>
        </w:rPr>
      </w:pPr>
      <w:r w:rsidRPr="00ED6EFB">
        <w:rPr>
          <w:b/>
          <w:color w:val="000000"/>
        </w:rPr>
        <w:t xml:space="preserve">7.3. </w:t>
      </w:r>
      <w:r w:rsidR="00642B52" w:rsidRPr="00ED6EFB">
        <w:rPr>
          <w:b/>
          <w:color w:val="000000"/>
        </w:rPr>
        <w:t>Acquisition pour Travaux, Biens, et Services (à l’exception des services de consultation</w:t>
      </w:r>
      <w:r w:rsidR="00EC6D17" w:rsidRPr="00ED6EFB">
        <w:rPr>
          <w:b/>
          <w:color w:val="000000"/>
        </w:rPr>
        <w:t xml:space="preserve"> et d’</w:t>
      </w:r>
      <w:r w:rsidR="000F411C" w:rsidRPr="00ED6EFB">
        <w:rPr>
          <w:b/>
          <w:color w:val="000000"/>
        </w:rPr>
        <w:t>analyse</w:t>
      </w:r>
      <w:r w:rsidR="00EC6D17" w:rsidRPr="00ED6EFB">
        <w:rPr>
          <w:b/>
          <w:color w:val="000000"/>
        </w:rPr>
        <w:t xml:space="preserve"> environnementale et sociale</w:t>
      </w:r>
      <w:r w:rsidR="00642B52" w:rsidRPr="00ED6EFB">
        <w:rPr>
          <w:b/>
          <w:color w:val="000000"/>
        </w:rPr>
        <w:t>) –</w:t>
      </w:r>
    </w:p>
    <w:p w14:paraId="20892CD9" w14:textId="37CE0380" w:rsidR="00642B52" w:rsidRPr="006E4C32" w:rsidRDefault="00642B52" w:rsidP="00EB65E3">
      <w:pPr>
        <w:autoSpaceDE w:val="0"/>
        <w:autoSpaceDN w:val="0"/>
        <w:adjustRightInd w:val="0"/>
        <w:spacing w:before="120" w:after="120" w:line="276" w:lineRule="auto"/>
        <w:ind w:left="180"/>
        <w:jc w:val="both"/>
        <w:rPr>
          <w:color w:val="000000"/>
        </w:rPr>
      </w:pPr>
      <w:r w:rsidRPr="006E4C32">
        <w:rPr>
          <w:color w:val="000000"/>
        </w:rPr>
        <w:t xml:space="preserve">Les contrats pour les Travaux, Biens et Services à l’exception des services de consultation générés sur le projet et </w:t>
      </w:r>
      <w:r w:rsidR="005B51F4">
        <w:rPr>
          <w:color w:val="000000"/>
        </w:rPr>
        <w:t xml:space="preserve"> supérieurs au seuil des</w:t>
      </w:r>
      <w:r w:rsidRPr="006E4C32">
        <w:rPr>
          <w:color w:val="000000"/>
        </w:rPr>
        <w:t xml:space="preserve"> appels d’offres internationaux seront exécutés en utilisant les Documents de Soumission Standards (SBDs) produits par la Banque. Les procédés sujets à des appels d’offres nationaux (NCB) seront exécutés en utilisant les documents d’appel d’offre nationaux acceptés par la Banque. La revue des spécifications techniques durant la préparation du processus de sélection est de la responsabilité du spécialiste sectoriel affecté au programme. </w:t>
      </w:r>
    </w:p>
    <w:p w14:paraId="498A50B5" w14:textId="0D3EFF59" w:rsidR="00642B52" w:rsidRPr="00ED6EFB" w:rsidRDefault="00F86D19" w:rsidP="00EB65E3">
      <w:pPr>
        <w:autoSpaceDE w:val="0"/>
        <w:autoSpaceDN w:val="0"/>
        <w:adjustRightInd w:val="0"/>
        <w:spacing w:before="120" w:after="120" w:line="276" w:lineRule="auto"/>
        <w:ind w:left="180"/>
        <w:jc w:val="both"/>
        <w:rPr>
          <w:b/>
          <w:color w:val="000000"/>
        </w:rPr>
      </w:pPr>
      <w:r w:rsidRPr="00ED6EFB">
        <w:rPr>
          <w:b/>
          <w:color w:val="000000"/>
        </w:rPr>
        <w:t xml:space="preserve">7.4. </w:t>
      </w:r>
      <w:r w:rsidR="00642B52" w:rsidRPr="00ED6EFB">
        <w:rPr>
          <w:b/>
          <w:color w:val="000000"/>
        </w:rPr>
        <w:t xml:space="preserve"> Procédure d’acquisition en cas de Participation Communautaire</w:t>
      </w:r>
    </w:p>
    <w:p w14:paraId="5A46FB5B" w14:textId="44D6C1F0" w:rsidR="00642B52" w:rsidRPr="006E4C32" w:rsidRDefault="00642B52" w:rsidP="00EB65E3">
      <w:pPr>
        <w:autoSpaceDE w:val="0"/>
        <w:autoSpaceDN w:val="0"/>
        <w:adjustRightInd w:val="0"/>
        <w:spacing w:before="120" w:after="120" w:line="276" w:lineRule="auto"/>
        <w:ind w:left="180"/>
        <w:jc w:val="both"/>
        <w:rPr>
          <w:color w:val="000000"/>
        </w:rPr>
      </w:pPr>
      <w:r w:rsidRPr="006E4C32">
        <w:rPr>
          <w:color w:val="000000"/>
        </w:rPr>
        <w:t xml:space="preserve">Une firme ou une organisation non gouvernementale sera sélectionnée dans le but d’organiser la participation communautaire en vue de la construction du système d’eau semi collectif. </w:t>
      </w:r>
    </w:p>
    <w:p w14:paraId="7025B676" w14:textId="1E86DF48" w:rsidR="00642B52" w:rsidRPr="00ED6EFB" w:rsidRDefault="00F86D19" w:rsidP="00EB65E3">
      <w:pPr>
        <w:autoSpaceDE w:val="0"/>
        <w:autoSpaceDN w:val="0"/>
        <w:adjustRightInd w:val="0"/>
        <w:spacing w:before="120" w:after="120" w:line="276" w:lineRule="auto"/>
        <w:ind w:left="180"/>
        <w:jc w:val="both"/>
        <w:rPr>
          <w:b/>
          <w:color w:val="000000"/>
        </w:rPr>
      </w:pPr>
      <w:r w:rsidRPr="00ED6EFB">
        <w:rPr>
          <w:b/>
          <w:color w:val="000000"/>
        </w:rPr>
        <w:t>7.5.</w:t>
      </w:r>
      <w:r w:rsidR="00642B52" w:rsidRPr="00ED6EFB">
        <w:rPr>
          <w:b/>
          <w:color w:val="000000"/>
        </w:rPr>
        <w:t xml:space="preserve"> Sélection et </w:t>
      </w:r>
      <w:r w:rsidR="00EB65E3">
        <w:rPr>
          <w:b/>
          <w:color w:val="000000"/>
        </w:rPr>
        <w:t>e</w:t>
      </w:r>
      <w:r w:rsidR="00642B52" w:rsidRPr="00ED6EFB">
        <w:rPr>
          <w:b/>
          <w:color w:val="000000"/>
        </w:rPr>
        <w:t xml:space="preserve">mbauche de consultants </w:t>
      </w:r>
    </w:p>
    <w:p w14:paraId="71D5B5FD" w14:textId="5C33F6E4" w:rsidR="00642B52" w:rsidRPr="006E4C32" w:rsidRDefault="00642B52" w:rsidP="00EB65E3">
      <w:pPr>
        <w:autoSpaceDE w:val="0"/>
        <w:autoSpaceDN w:val="0"/>
        <w:adjustRightInd w:val="0"/>
        <w:spacing w:before="120" w:after="120" w:line="276" w:lineRule="auto"/>
        <w:ind w:left="180"/>
        <w:jc w:val="both"/>
        <w:rPr>
          <w:color w:val="000000"/>
        </w:rPr>
      </w:pPr>
      <w:r w:rsidRPr="006E4C32">
        <w:rPr>
          <w:color w:val="000000"/>
        </w:rPr>
        <w:t xml:space="preserve">Les contrats de service de consultation générés sur ce projet seront exécutés en utilisant les Requêtes Standardes de Propositions (SRFPs) produits ou acceptés par la Banque. La revue des Termes de Référence pour la sélection des services de consultation </w:t>
      </w:r>
      <w:r w:rsidR="00EC6D17" w:rsidRPr="006E4C32">
        <w:rPr>
          <w:color w:val="000000"/>
          <w:u w:val="single"/>
        </w:rPr>
        <w:t>et d’</w:t>
      </w:r>
      <w:r w:rsidR="000F411C" w:rsidRPr="006E4C32">
        <w:rPr>
          <w:color w:val="000000"/>
          <w:u w:val="single"/>
        </w:rPr>
        <w:t>analyse</w:t>
      </w:r>
      <w:r w:rsidR="00EC6D17" w:rsidRPr="006E4C32">
        <w:rPr>
          <w:color w:val="000000"/>
          <w:u w:val="single"/>
        </w:rPr>
        <w:t xml:space="preserve"> environnementale et sociale</w:t>
      </w:r>
      <w:r w:rsidR="00EC6D17" w:rsidRPr="006E4C32">
        <w:rPr>
          <w:color w:val="000000"/>
        </w:rPr>
        <w:t xml:space="preserve"> </w:t>
      </w:r>
      <w:r w:rsidRPr="006E4C32">
        <w:rPr>
          <w:color w:val="000000"/>
        </w:rPr>
        <w:t>est de la responsabilité d</w:t>
      </w:r>
      <w:r w:rsidR="00EC6D17" w:rsidRPr="006E4C32">
        <w:rPr>
          <w:color w:val="000000"/>
        </w:rPr>
        <w:t>es</w:t>
      </w:r>
      <w:r w:rsidRPr="006E4C32">
        <w:rPr>
          <w:color w:val="000000"/>
        </w:rPr>
        <w:t xml:space="preserve"> spécialiste</w:t>
      </w:r>
      <w:r w:rsidR="00EC6D17" w:rsidRPr="006E4C32">
        <w:rPr>
          <w:color w:val="000000"/>
        </w:rPr>
        <w:t>s</w:t>
      </w:r>
      <w:r w:rsidRPr="006E4C32">
        <w:rPr>
          <w:color w:val="000000"/>
        </w:rPr>
        <w:t xml:space="preserve"> sectoriel</w:t>
      </w:r>
      <w:r w:rsidR="00EC6D17" w:rsidRPr="006E4C32">
        <w:rPr>
          <w:color w:val="000000"/>
        </w:rPr>
        <w:t>s</w:t>
      </w:r>
      <w:r w:rsidR="00E320DF" w:rsidRPr="006E4C32">
        <w:rPr>
          <w:color w:val="000000"/>
        </w:rPr>
        <w:t xml:space="preserve"> </w:t>
      </w:r>
      <w:r w:rsidR="00EC6D17" w:rsidRPr="006E4C32">
        <w:rPr>
          <w:color w:val="000000"/>
        </w:rPr>
        <w:t>/environnementa</w:t>
      </w:r>
      <w:r w:rsidR="00E320DF" w:rsidRPr="006E4C32">
        <w:rPr>
          <w:color w:val="000000"/>
        </w:rPr>
        <w:t>ux</w:t>
      </w:r>
      <w:r w:rsidR="00EC6D17" w:rsidRPr="006E4C32">
        <w:rPr>
          <w:color w:val="000000"/>
        </w:rPr>
        <w:t>/socia</w:t>
      </w:r>
      <w:r w:rsidR="00F86D19">
        <w:rPr>
          <w:color w:val="000000"/>
        </w:rPr>
        <w:t>u</w:t>
      </w:r>
      <w:r w:rsidR="00E320DF" w:rsidRPr="006E4C32">
        <w:rPr>
          <w:color w:val="000000"/>
        </w:rPr>
        <w:t>x</w:t>
      </w:r>
      <w:r w:rsidRPr="006E4C32">
        <w:rPr>
          <w:color w:val="000000"/>
        </w:rPr>
        <w:t xml:space="preserve">.  </w:t>
      </w:r>
    </w:p>
    <w:p w14:paraId="2604AF22" w14:textId="6682D16A" w:rsidR="00642B52" w:rsidRPr="00ED6EFB" w:rsidRDefault="00F86D19" w:rsidP="00EB65E3">
      <w:pPr>
        <w:spacing w:line="276" w:lineRule="auto"/>
        <w:jc w:val="both"/>
        <w:rPr>
          <w:b/>
        </w:rPr>
      </w:pPr>
      <w:r w:rsidRPr="00ED6EFB">
        <w:rPr>
          <w:b/>
        </w:rPr>
        <w:t>7.</w:t>
      </w:r>
      <w:r w:rsidR="00024402">
        <w:rPr>
          <w:b/>
        </w:rPr>
        <w:t>6</w:t>
      </w:r>
      <w:r w:rsidRPr="00ED6EFB">
        <w:rPr>
          <w:b/>
        </w:rPr>
        <w:t xml:space="preserve">. </w:t>
      </w:r>
      <w:r w:rsidR="00C8718B" w:rsidRPr="00ED6EFB">
        <w:rPr>
          <w:b/>
        </w:rPr>
        <w:t>Conditions spéciales à considérer</w:t>
      </w:r>
    </w:p>
    <w:p w14:paraId="2466A92F" w14:textId="77777777" w:rsidR="00024402" w:rsidRDefault="00024402" w:rsidP="00EB65E3">
      <w:pPr>
        <w:pBdr>
          <w:top w:val="nil"/>
          <w:left w:val="nil"/>
          <w:bottom w:val="nil"/>
          <w:right w:val="nil"/>
          <w:between w:val="nil"/>
          <w:bar w:val="nil"/>
        </w:pBdr>
        <w:spacing w:before="120" w:after="120" w:line="276" w:lineRule="auto"/>
        <w:jc w:val="both"/>
      </w:pPr>
      <w:r>
        <w:t>A COMPLETER</w:t>
      </w:r>
    </w:p>
    <w:p w14:paraId="245526D1" w14:textId="373093AA" w:rsidR="005248A3" w:rsidRDefault="005248A3" w:rsidP="00EB65E3">
      <w:pPr>
        <w:pStyle w:val="ListParagraph"/>
        <w:pBdr>
          <w:top w:val="nil"/>
          <w:left w:val="nil"/>
          <w:bottom w:val="nil"/>
          <w:right w:val="nil"/>
          <w:between w:val="nil"/>
          <w:bar w:val="nil"/>
        </w:pBdr>
        <w:spacing w:before="120" w:after="120" w:line="276" w:lineRule="auto"/>
        <w:ind w:left="0"/>
        <w:jc w:val="both"/>
        <w:rPr>
          <w:b/>
        </w:rPr>
      </w:pPr>
      <w:bookmarkStart w:id="31" w:name="_Hlk505683927"/>
      <w:bookmarkEnd w:id="30"/>
      <w:r w:rsidRPr="00EB65E3">
        <w:rPr>
          <w:b/>
        </w:rPr>
        <w:t>7.8. Inventaire des biens</w:t>
      </w:r>
    </w:p>
    <w:p w14:paraId="5D9DB7AC" w14:textId="77777777" w:rsidR="00EB65E3" w:rsidRPr="00EB65E3" w:rsidRDefault="00EB65E3" w:rsidP="00EB65E3">
      <w:pPr>
        <w:pStyle w:val="ListParagraph"/>
        <w:pBdr>
          <w:top w:val="nil"/>
          <w:left w:val="nil"/>
          <w:bottom w:val="nil"/>
          <w:right w:val="nil"/>
          <w:between w:val="nil"/>
          <w:bar w:val="nil"/>
        </w:pBdr>
        <w:spacing w:before="120" w:after="120" w:line="276" w:lineRule="auto"/>
        <w:ind w:left="0"/>
        <w:jc w:val="both"/>
        <w:rPr>
          <w:b/>
        </w:rPr>
      </w:pPr>
    </w:p>
    <w:p w14:paraId="1E63E7DC" w14:textId="1A67C181" w:rsidR="005248A3" w:rsidRPr="00EB65E3" w:rsidRDefault="005248A3" w:rsidP="00EB65E3">
      <w:pPr>
        <w:pStyle w:val="ListParagraph"/>
        <w:pBdr>
          <w:top w:val="nil"/>
          <w:left w:val="nil"/>
          <w:bottom w:val="nil"/>
          <w:right w:val="nil"/>
          <w:between w:val="nil"/>
          <w:bar w:val="nil"/>
        </w:pBdr>
        <w:spacing w:before="120" w:after="120" w:line="276" w:lineRule="auto"/>
        <w:ind w:left="0"/>
        <w:jc w:val="both"/>
      </w:pPr>
      <w:r w:rsidRPr="00EB65E3">
        <w:t>Tout bien acheter à partir des fonds du projet devra être inventorié. Cet inventaire fera l’objet de révision lors des audits externes.</w:t>
      </w:r>
    </w:p>
    <w:p w14:paraId="251E6548" w14:textId="324E3E50" w:rsidR="006E4C32" w:rsidRDefault="005248A3" w:rsidP="00EB65E3">
      <w:pPr>
        <w:pStyle w:val="ListParagraph"/>
        <w:pBdr>
          <w:top w:val="nil"/>
          <w:left w:val="nil"/>
          <w:bottom w:val="nil"/>
          <w:right w:val="nil"/>
          <w:between w:val="nil"/>
          <w:bar w:val="nil"/>
        </w:pBdr>
        <w:spacing w:before="120" w:after="120" w:line="276" w:lineRule="auto"/>
        <w:ind w:left="0"/>
        <w:jc w:val="both"/>
        <w:rPr>
          <w:i/>
        </w:rPr>
      </w:pPr>
      <w:r>
        <w:rPr>
          <w:i/>
        </w:rPr>
        <w:t xml:space="preserve"> </w:t>
      </w:r>
      <w:bookmarkEnd w:id="31"/>
      <w:r w:rsidR="006E4C32">
        <w:rPr>
          <w:i/>
        </w:rPr>
        <w:br w:type="page"/>
      </w:r>
    </w:p>
    <w:p w14:paraId="17426E4D" w14:textId="77777777" w:rsidR="00C00BC5" w:rsidRPr="006E4C32" w:rsidRDefault="00C00BC5" w:rsidP="00EB65E3">
      <w:pPr>
        <w:pStyle w:val="ListParagraph"/>
        <w:pBdr>
          <w:top w:val="nil"/>
          <w:left w:val="nil"/>
          <w:bottom w:val="nil"/>
          <w:right w:val="nil"/>
          <w:between w:val="nil"/>
          <w:bar w:val="nil"/>
        </w:pBdr>
        <w:spacing w:before="120" w:after="120" w:line="276" w:lineRule="auto"/>
        <w:ind w:left="0"/>
        <w:jc w:val="both"/>
        <w:rPr>
          <w:i/>
        </w:rPr>
      </w:pPr>
    </w:p>
    <w:p w14:paraId="6A8E4C8C" w14:textId="77777777" w:rsidR="00C00BC5" w:rsidRPr="006E4C32" w:rsidRDefault="00C00BC5" w:rsidP="0006696B">
      <w:pPr>
        <w:pStyle w:val="ListParagraph"/>
        <w:numPr>
          <w:ilvl w:val="0"/>
          <w:numId w:val="21"/>
        </w:numPr>
        <w:spacing w:line="276" w:lineRule="auto"/>
        <w:jc w:val="both"/>
        <w:rPr>
          <w:rFonts w:eastAsia="Times New Roman"/>
          <w:b/>
          <w:sz w:val="32"/>
        </w:rPr>
      </w:pPr>
      <w:r w:rsidRPr="006E4C32">
        <w:rPr>
          <w:rFonts w:eastAsia="Times New Roman"/>
          <w:b/>
          <w:sz w:val="32"/>
        </w:rPr>
        <w:t xml:space="preserve">PROCÉDURES FINANCIÈRES </w:t>
      </w:r>
    </w:p>
    <w:p w14:paraId="701B891F" w14:textId="76A358E2" w:rsidR="00C00BC5" w:rsidRPr="00EB65E3" w:rsidRDefault="00C00BC5" w:rsidP="00EB65E3">
      <w:pPr>
        <w:pBdr>
          <w:top w:val="nil"/>
          <w:left w:val="nil"/>
          <w:bottom w:val="nil"/>
          <w:right w:val="nil"/>
          <w:between w:val="nil"/>
          <w:bar w:val="nil"/>
        </w:pBdr>
        <w:spacing w:before="120" w:after="120" w:line="276" w:lineRule="auto"/>
        <w:jc w:val="both"/>
        <w:rPr>
          <w:b/>
        </w:rPr>
      </w:pPr>
      <w:r w:rsidRPr="00EB65E3">
        <w:rPr>
          <w:b/>
        </w:rPr>
        <w:t xml:space="preserve">8.1 Rôles et responsabilités </w:t>
      </w:r>
    </w:p>
    <w:p w14:paraId="6B686A89" w14:textId="5B428BF2" w:rsidR="00C00BC5" w:rsidRPr="00745DC2" w:rsidRDefault="00C00BC5" w:rsidP="00EB65E3">
      <w:pPr>
        <w:pBdr>
          <w:top w:val="nil"/>
          <w:left w:val="nil"/>
          <w:bottom w:val="nil"/>
          <w:right w:val="nil"/>
          <w:between w:val="nil"/>
          <w:bar w:val="nil"/>
        </w:pBdr>
        <w:spacing w:before="120" w:after="120" w:line="276" w:lineRule="auto"/>
        <w:jc w:val="both"/>
      </w:pPr>
      <w:r w:rsidRPr="00ED6EFB">
        <w:t>Les procédures financières à suivre dans le cadre de l’exécution du programme HA-L110</w:t>
      </w:r>
      <w:r w:rsidR="00024402">
        <w:t>6</w:t>
      </w:r>
      <w:r w:rsidRPr="00ED6EFB">
        <w:t xml:space="preserve"> sont celles en vigueur au sein de la BID</w:t>
      </w:r>
      <w:r>
        <w:t xml:space="preserve"> relatives à la gestion financière (OP_273-6) et à la préparation des rapports financiers audités et à la gestion des audits externe</w:t>
      </w:r>
      <w:r w:rsidRPr="00F00945">
        <w:rPr>
          <w:rFonts w:ascii="Georgia" w:eastAsia="Times New Roman" w:hAnsi="Georgia" w:cs="Times New Roman"/>
          <w:lang w:eastAsia="es-ES"/>
        </w:rPr>
        <w:t xml:space="preserve"> </w:t>
      </w:r>
      <w:r w:rsidRPr="00F00945">
        <w:t>en tout ce qui concerne l’administration des comptes spéciaux, les demandes de décaissement, les demandes de paiements directs, de l’approvisionnement de l’avance de fonds</w:t>
      </w:r>
      <w:r>
        <w:t xml:space="preserve"> et la justification de celle-ci</w:t>
      </w:r>
      <w:r w:rsidRPr="00F00945">
        <w:t>.</w:t>
      </w:r>
      <w:r w:rsidRPr="00745DC2">
        <w:rPr>
          <w:rFonts w:ascii="Calibri" w:eastAsia="Calibri" w:hAnsi="Calibri" w:cs="Times New Roman"/>
          <w:sz w:val="22"/>
          <w:szCs w:val="22"/>
        </w:rPr>
        <w:t xml:space="preserve"> </w:t>
      </w:r>
      <w:r w:rsidRPr="00745DC2">
        <w:t>Les procédures opérationnelles  s</w:t>
      </w:r>
      <w:r>
        <w:t>eront</w:t>
      </w:r>
      <w:r w:rsidRPr="00745DC2">
        <w:t xml:space="preserve"> détaillées dans </w:t>
      </w:r>
      <w:r>
        <w:t>un</w:t>
      </w:r>
      <w:r w:rsidRPr="00745DC2">
        <w:t xml:space="preserve"> manuel de procédures administratives et financières</w:t>
      </w:r>
      <w:r>
        <w:t>.</w:t>
      </w:r>
    </w:p>
    <w:p w14:paraId="337738E5" w14:textId="77777777" w:rsidR="00024402" w:rsidRDefault="00024402" w:rsidP="00EB65E3">
      <w:pPr>
        <w:pBdr>
          <w:top w:val="nil"/>
          <w:left w:val="nil"/>
          <w:bottom w:val="nil"/>
          <w:right w:val="nil"/>
          <w:between w:val="nil"/>
          <w:bar w:val="nil"/>
        </w:pBdr>
        <w:spacing w:before="120" w:after="120" w:line="276" w:lineRule="auto"/>
        <w:jc w:val="both"/>
      </w:pPr>
      <w:r>
        <w:t>A COMPLETER</w:t>
      </w:r>
    </w:p>
    <w:p w14:paraId="3F4D0225" w14:textId="77777777" w:rsidR="00C00BC5" w:rsidRDefault="00C00BC5" w:rsidP="00EB65E3">
      <w:pPr>
        <w:pBdr>
          <w:top w:val="nil"/>
          <w:left w:val="nil"/>
          <w:bottom w:val="nil"/>
          <w:right w:val="nil"/>
          <w:between w:val="nil"/>
          <w:bar w:val="nil"/>
        </w:pBdr>
        <w:spacing w:before="120" w:after="120" w:line="276" w:lineRule="auto"/>
        <w:jc w:val="both"/>
      </w:pPr>
    </w:p>
    <w:p w14:paraId="08581817" w14:textId="77777777" w:rsidR="00C00BC5" w:rsidRPr="00245ABD" w:rsidRDefault="00C00BC5" w:rsidP="00EB65E3">
      <w:pPr>
        <w:pBdr>
          <w:top w:val="nil"/>
          <w:left w:val="nil"/>
          <w:bottom w:val="nil"/>
          <w:right w:val="nil"/>
          <w:between w:val="nil"/>
          <w:bar w:val="nil"/>
        </w:pBdr>
        <w:spacing w:before="120" w:after="120" w:line="276" w:lineRule="auto"/>
        <w:jc w:val="both"/>
        <w:rPr>
          <w:b/>
        </w:rPr>
      </w:pPr>
      <w:r w:rsidRPr="00245ABD">
        <w:rPr>
          <w:b/>
        </w:rPr>
        <w:t>8.2 Mobilisation des ressources</w:t>
      </w:r>
    </w:p>
    <w:p w14:paraId="36A0EB3F" w14:textId="4E64F70B" w:rsidR="00C00BC5" w:rsidRPr="00F00945" w:rsidRDefault="00C00BC5" w:rsidP="00EB65E3">
      <w:pPr>
        <w:pBdr>
          <w:top w:val="nil"/>
          <w:left w:val="nil"/>
          <w:bottom w:val="nil"/>
          <w:right w:val="nil"/>
          <w:between w:val="nil"/>
          <w:bar w:val="nil"/>
        </w:pBdr>
        <w:spacing w:before="120" w:after="120" w:line="276" w:lineRule="auto"/>
        <w:jc w:val="both"/>
      </w:pPr>
      <w:r w:rsidRPr="00F00945">
        <w:t>Les fonds d</w:t>
      </w:r>
      <w:r>
        <w:t>u</w:t>
      </w:r>
      <w:r w:rsidRPr="00F00945">
        <w:t xml:space="preserve"> projet seront décaissés conformément aux directives du bailleur et devront être utilisés pour financer les activités du projet concerné. Les décaissements s'effectueront par des paiements directs, des demandes de retrait de fonds accompagnées de pièces justificatives, ou des avances sur le compte désigné</w:t>
      </w:r>
      <w:r>
        <w:t xml:space="preserve"> conformément </w:t>
      </w:r>
      <w:r w:rsidR="00024402">
        <w:t>XXXX</w:t>
      </w:r>
      <w:r w:rsidRPr="00F00945">
        <w:t xml:space="preserve">. </w:t>
      </w:r>
    </w:p>
    <w:p w14:paraId="566D8EE6" w14:textId="77777777" w:rsidR="00C00BC5" w:rsidRDefault="00C00BC5" w:rsidP="00EB65E3">
      <w:pPr>
        <w:pBdr>
          <w:top w:val="nil"/>
          <w:left w:val="nil"/>
          <w:bottom w:val="nil"/>
          <w:right w:val="nil"/>
          <w:between w:val="nil"/>
          <w:bar w:val="nil"/>
        </w:pBdr>
        <w:spacing w:before="120" w:after="120" w:line="276" w:lineRule="auto"/>
        <w:jc w:val="both"/>
      </w:pPr>
    </w:p>
    <w:p w14:paraId="4410048A" w14:textId="4B9C83E4" w:rsidR="00C00BC5" w:rsidRPr="00245ABD" w:rsidRDefault="00C00BC5" w:rsidP="00EB65E3">
      <w:pPr>
        <w:pBdr>
          <w:top w:val="nil"/>
          <w:left w:val="nil"/>
          <w:bottom w:val="nil"/>
          <w:right w:val="nil"/>
          <w:between w:val="nil"/>
          <w:bar w:val="nil"/>
        </w:pBdr>
        <w:spacing w:before="120" w:after="120" w:line="276" w:lineRule="auto"/>
        <w:jc w:val="both"/>
        <w:rPr>
          <w:b/>
        </w:rPr>
      </w:pPr>
      <w:r w:rsidRPr="00245ABD">
        <w:rPr>
          <w:b/>
        </w:rPr>
        <w:t>8.</w:t>
      </w:r>
      <w:r>
        <w:rPr>
          <w:b/>
        </w:rPr>
        <w:t>3</w:t>
      </w:r>
      <w:r w:rsidRPr="00245ABD">
        <w:rPr>
          <w:b/>
        </w:rPr>
        <w:t xml:space="preserve"> Ouverture et fonctionnement des comptes bancaires</w:t>
      </w:r>
    </w:p>
    <w:p w14:paraId="358B0D0E" w14:textId="7ADEDCB4" w:rsidR="00C00BC5" w:rsidRPr="0084092F" w:rsidRDefault="00C00BC5" w:rsidP="00EB65E3">
      <w:pPr>
        <w:pBdr>
          <w:top w:val="nil"/>
          <w:left w:val="nil"/>
          <w:bottom w:val="nil"/>
          <w:right w:val="nil"/>
          <w:between w:val="nil"/>
          <w:bar w:val="nil"/>
        </w:pBdr>
        <w:spacing w:before="120" w:after="120" w:line="276" w:lineRule="auto"/>
        <w:jc w:val="both"/>
      </w:pPr>
      <w:r>
        <w:t>La DINEPA</w:t>
      </w:r>
      <w:r w:rsidRPr="0084092F">
        <w:t xml:space="preserve"> devra ouvrir et maintenir dans les livres de la Banque de la République d’Haïti (BRH)</w:t>
      </w:r>
      <w:r w:rsidR="00024402">
        <w:t xml:space="preserve"> XXXX</w:t>
      </w:r>
      <w:r w:rsidRPr="0084092F">
        <w:t xml:space="preserve"> comptes bancaires distincts :</w:t>
      </w:r>
    </w:p>
    <w:p w14:paraId="3280B3A5" w14:textId="4AE92691" w:rsidR="00C00BC5" w:rsidRDefault="00024402" w:rsidP="00EB65E3">
      <w:pPr>
        <w:pBdr>
          <w:top w:val="nil"/>
          <w:left w:val="nil"/>
          <w:bottom w:val="nil"/>
          <w:right w:val="nil"/>
          <w:between w:val="nil"/>
          <w:bar w:val="nil"/>
        </w:pBdr>
        <w:spacing w:before="120" w:after="120" w:line="276" w:lineRule="auto"/>
        <w:jc w:val="both"/>
      </w:pPr>
      <w:r>
        <w:t>A COMPLETER</w:t>
      </w:r>
    </w:p>
    <w:p w14:paraId="7CAB5BF2" w14:textId="7C9C2F90" w:rsidR="00C00BC5" w:rsidRPr="00E06C6A" w:rsidRDefault="00C00BC5" w:rsidP="00EB65E3">
      <w:pPr>
        <w:pBdr>
          <w:top w:val="nil"/>
          <w:left w:val="nil"/>
          <w:bottom w:val="nil"/>
          <w:right w:val="nil"/>
          <w:between w:val="nil"/>
          <w:bar w:val="nil"/>
        </w:pBdr>
        <w:spacing w:before="120" w:after="120" w:line="276" w:lineRule="auto"/>
        <w:jc w:val="both"/>
        <w:rPr>
          <w:b/>
        </w:rPr>
      </w:pPr>
      <w:r w:rsidRPr="00E06C6A">
        <w:rPr>
          <w:b/>
        </w:rPr>
        <w:t>8.</w:t>
      </w:r>
      <w:r w:rsidR="00E06C6A">
        <w:rPr>
          <w:b/>
        </w:rPr>
        <w:t>4</w:t>
      </w:r>
      <w:r w:rsidRPr="00E06C6A">
        <w:rPr>
          <w:b/>
        </w:rPr>
        <w:t xml:space="preserve"> Eligibilité des dépenses</w:t>
      </w:r>
    </w:p>
    <w:p w14:paraId="54F3434E" w14:textId="77777777" w:rsidR="00C00BC5" w:rsidRDefault="00C00BC5" w:rsidP="00EB65E3">
      <w:pPr>
        <w:pBdr>
          <w:top w:val="nil"/>
          <w:left w:val="nil"/>
          <w:bottom w:val="nil"/>
          <w:right w:val="nil"/>
          <w:between w:val="nil"/>
          <w:bar w:val="nil"/>
        </w:pBdr>
        <w:spacing w:before="120" w:after="120" w:line="276" w:lineRule="auto"/>
        <w:jc w:val="both"/>
      </w:pPr>
      <w:r>
        <w:t xml:space="preserve">Les dépenses effectuées avec les ressources du programme (fonds de la BID et de la contrepartie) et qui : </w:t>
      </w:r>
    </w:p>
    <w:p w14:paraId="1369F2DC" w14:textId="77777777" w:rsidR="00C00BC5" w:rsidRDefault="00C00BC5" w:rsidP="0006696B">
      <w:pPr>
        <w:pStyle w:val="ListParagraph"/>
        <w:numPr>
          <w:ilvl w:val="0"/>
          <w:numId w:val="25"/>
        </w:numPr>
        <w:pBdr>
          <w:top w:val="nil"/>
          <w:left w:val="nil"/>
          <w:bottom w:val="nil"/>
          <w:right w:val="nil"/>
          <w:between w:val="nil"/>
          <w:bar w:val="nil"/>
        </w:pBdr>
        <w:spacing w:before="120" w:after="120" w:line="276" w:lineRule="auto"/>
        <w:jc w:val="both"/>
      </w:pPr>
      <w:r>
        <w:t>sont nécessaires à la réalisation des activités du projet et en ligne avec les objectifs de celui-ci ;</w:t>
      </w:r>
    </w:p>
    <w:p w14:paraId="6296AE7F" w14:textId="77777777" w:rsidR="00C00BC5" w:rsidRDefault="00C00BC5" w:rsidP="0006696B">
      <w:pPr>
        <w:pStyle w:val="ListParagraph"/>
        <w:numPr>
          <w:ilvl w:val="0"/>
          <w:numId w:val="25"/>
        </w:numPr>
        <w:pBdr>
          <w:top w:val="nil"/>
          <w:left w:val="nil"/>
          <w:bottom w:val="nil"/>
          <w:right w:val="nil"/>
          <w:between w:val="nil"/>
          <w:bar w:val="nil"/>
        </w:pBdr>
        <w:spacing w:before="120" w:after="120" w:line="276" w:lineRule="auto"/>
        <w:jc w:val="both"/>
      </w:pPr>
      <w:r>
        <w:t xml:space="preserve">sont effectuées en conformité avec les processus de passation de marchés de la banque et conforme aux obligations déterminées dans les contrats ou accord;  </w:t>
      </w:r>
    </w:p>
    <w:p w14:paraId="49B13067" w14:textId="77777777" w:rsidR="00C00BC5" w:rsidRDefault="00C00BC5" w:rsidP="0006696B">
      <w:pPr>
        <w:pStyle w:val="ListParagraph"/>
        <w:numPr>
          <w:ilvl w:val="0"/>
          <w:numId w:val="25"/>
        </w:numPr>
        <w:pBdr>
          <w:top w:val="nil"/>
          <w:left w:val="nil"/>
          <w:bottom w:val="nil"/>
          <w:right w:val="nil"/>
          <w:between w:val="nil"/>
          <w:bar w:val="nil"/>
        </w:pBdr>
        <w:spacing w:before="120" w:after="120" w:line="276" w:lineRule="auto"/>
        <w:jc w:val="both"/>
      </w:pPr>
      <w:r>
        <w:t>sont correctement enregistrées dans le système comptable du programme ;</w:t>
      </w:r>
    </w:p>
    <w:p w14:paraId="2D9AB955" w14:textId="77777777" w:rsidR="00C00BC5" w:rsidRDefault="00C00BC5" w:rsidP="0006696B">
      <w:pPr>
        <w:pStyle w:val="ListParagraph"/>
        <w:numPr>
          <w:ilvl w:val="0"/>
          <w:numId w:val="25"/>
        </w:numPr>
        <w:pBdr>
          <w:top w:val="nil"/>
          <w:left w:val="nil"/>
          <w:bottom w:val="nil"/>
          <w:right w:val="nil"/>
          <w:between w:val="nil"/>
          <w:bar w:val="nil"/>
        </w:pBdr>
        <w:spacing w:before="120" w:after="120" w:line="276" w:lineRule="auto"/>
        <w:jc w:val="both"/>
      </w:pPr>
      <w:r>
        <w:t xml:space="preserve">et qui ont reçu la non-objection de la Banque. </w:t>
      </w:r>
    </w:p>
    <w:p w14:paraId="23C4CA85" w14:textId="77777777" w:rsidR="00C00BC5" w:rsidRDefault="00C00BC5" w:rsidP="00EB65E3">
      <w:pPr>
        <w:spacing w:line="226" w:lineRule="auto"/>
        <w:ind w:right="20"/>
        <w:jc w:val="both"/>
      </w:pPr>
    </w:p>
    <w:p w14:paraId="4F9A2596" w14:textId="7672D9AB" w:rsidR="00C00BC5" w:rsidRPr="00D20C6C" w:rsidRDefault="00C00BC5" w:rsidP="00EB65E3">
      <w:pPr>
        <w:spacing w:line="226" w:lineRule="auto"/>
        <w:ind w:right="20"/>
        <w:jc w:val="both"/>
        <w:rPr>
          <w:rFonts w:eastAsia="Arial"/>
          <w:b/>
        </w:rPr>
      </w:pPr>
      <w:r>
        <w:rPr>
          <w:rFonts w:eastAsia="Arial"/>
          <w:b/>
        </w:rPr>
        <w:t>8.</w:t>
      </w:r>
      <w:r w:rsidR="006A1C58">
        <w:rPr>
          <w:rFonts w:eastAsia="Arial"/>
          <w:b/>
        </w:rPr>
        <w:t>5</w:t>
      </w:r>
      <w:r>
        <w:rPr>
          <w:rFonts w:eastAsia="Arial"/>
          <w:b/>
        </w:rPr>
        <w:t xml:space="preserve"> </w:t>
      </w:r>
      <w:r w:rsidRPr="00D20C6C">
        <w:rPr>
          <w:rFonts w:eastAsia="Arial"/>
          <w:b/>
        </w:rPr>
        <w:t>Planification</w:t>
      </w:r>
    </w:p>
    <w:p w14:paraId="67A0BA17" w14:textId="2A8101D6" w:rsidR="00C00BC5" w:rsidRPr="00D20C6C" w:rsidRDefault="00C00BC5" w:rsidP="00EB65E3">
      <w:pPr>
        <w:pBdr>
          <w:top w:val="nil"/>
          <w:left w:val="nil"/>
          <w:bottom w:val="nil"/>
          <w:right w:val="nil"/>
          <w:between w:val="nil"/>
          <w:bar w:val="nil"/>
        </w:pBdr>
        <w:spacing w:before="120" w:after="120" w:line="276" w:lineRule="auto"/>
        <w:jc w:val="both"/>
      </w:pPr>
      <w:r w:rsidRPr="00E06C6A">
        <w:t xml:space="preserve">Dans le cadre de la mise en œuvre du projet, un plan d’opération annuel (POA) doit être établi au plus tard trente (30) jours avant la fin de chaque année civile correspondante et </w:t>
      </w:r>
      <w:r w:rsidRPr="00E06C6A">
        <w:lastRenderedPageBreak/>
        <w:t xml:space="preserve">qui doit être le reflet des actions à mener durant une année d’exécution du projet et tenir compte des composantes (catégories d’investissements) prévus dans l’accord de don. Les POA incluront les indicateurs cibles, un plan de travail pour l’année civile, les plans de passations de marchés et de mitigation des risques actualisés et une projection de décaissement ou plan de trésorerie et un plan d’entretien des infrastructures et </w:t>
      </w:r>
      <w:r w:rsidR="006A1C58">
        <w:t>é</w:t>
      </w:r>
      <w:r w:rsidRPr="00E06C6A">
        <w:t>quipment</w:t>
      </w:r>
      <w:r w:rsidR="006A1C58">
        <w:t>s</w:t>
      </w:r>
      <w:r w:rsidRPr="00E06C6A">
        <w:t xml:space="preserve"> financés par le projet.</w:t>
      </w:r>
    </w:p>
    <w:p w14:paraId="1C0FF2F4" w14:textId="78738CAD" w:rsidR="00C00BC5" w:rsidRPr="00ED6EFB" w:rsidRDefault="00C00BC5" w:rsidP="00EB65E3">
      <w:pPr>
        <w:pBdr>
          <w:top w:val="nil"/>
          <w:left w:val="nil"/>
          <w:bottom w:val="nil"/>
          <w:right w:val="nil"/>
          <w:between w:val="nil"/>
          <w:bar w:val="nil"/>
        </w:pBdr>
        <w:spacing w:before="120" w:after="120" w:line="276" w:lineRule="auto"/>
        <w:jc w:val="both"/>
      </w:pPr>
      <w:r w:rsidRPr="00ED6EFB">
        <w:t>L</w:t>
      </w:r>
      <w:r w:rsidR="00024402">
        <w:t>es deux OE seront conjointement en</w:t>
      </w:r>
      <w:r w:rsidRPr="00ED6EFB">
        <w:t xml:space="preserve"> charge de la préparation du plan d’opération annuel</w:t>
      </w:r>
      <w:r>
        <w:t xml:space="preserve">, du plan de passation de marchés </w:t>
      </w:r>
      <w:r w:rsidRPr="00ED6EFB">
        <w:t>et du plan de trésorerie d</w:t>
      </w:r>
      <w:r>
        <w:t xml:space="preserve">u projet. </w:t>
      </w:r>
      <w:r w:rsidRPr="00ED6EFB">
        <w:t>Il</w:t>
      </w:r>
      <w:r w:rsidR="00024402">
        <w:t>s</w:t>
      </w:r>
      <w:r w:rsidRPr="00ED6EFB">
        <w:t xml:space="preserve"> ser</w:t>
      </w:r>
      <w:r w:rsidR="00024402">
        <w:t>ont</w:t>
      </w:r>
      <w:r w:rsidRPr="00ED6EFB">
        <w:t xml:space="preserve"> également responsable de la préparation des requêtes de décaissements, de justification, de la gestion des contrats et de tenir à jour les archives d</w:t>
      </w:r>
      <w:r>
        <w:t>u projet.</w:t>
      </w:r>
    </w:p>
    <w:p w14:paraId="28D37FD9" w14:textId="77777777" w:rsidR="00C00BC5" w:rsidRPr="00ED6EFB" w:rsidRDefault="00C00BC5" w:rsidP="00EB65E3">
      <w:pPr>
        <w:pBdr>
          <w:top w:val="nil"/>
          <w:left w:val="nil"/>
          <w:bottom w:val="nil"/>
          <w:right w:val="nil"/>
          <w:between w:val="nil"/>
          <w:bar w:val="nil"/>
        </w:pBdr>
        <w:spacing w:before="120" w:after="120" w:line="276" w:lineRule="auto"/>
        <w:jc w:val="both"/>
      </w:pPr>
    </w:p>
    <w:p w14:paraId="54DC6ABE" w14:textId="4127CBD9" w:rsidR="00C00BC5" w:rsidRPr="00FC0A89" w:rsidRDefault="00C00BC5" w:rsidP="00C00BC5">
      <w:pPr>
        <w:spacing w:line="226" w:lineRule="auto"/>
        <w:ind w:right="20"/>
        <w:rPr>
          <w:rFonts w:eastAsia="Arial"/>
          <w:b/>
        </w:rPr>
      </w:pPr>
      <w:r w:rsidRPr="00E06C6A">
        <w:rPr>
          <w:rFonts w:eastAsia="Arial"/>
          <w:b/>
        </w:rPr>
        <w:t>8.</w:t>
      </w:r>
      <w:r w:rsidR="006A1C58">
        <w:rPr>
          <w:rFonts w:eastAsia="Arial"/>
          <w:b/>
        </w:rPr>
        <w:t>6</w:t>
      </w:r>
      <w:r w:rsidRPr="00E06C6A">
        <w:rPr>
          <w:rFonts w:eastAsia="Arial"/>
          <w:b/>
        </w:rPr>
        <w:t xml:space="preserve"> Processus d’exécution des dépenses</w:t>
      </w:r>
    </w:p>
    <w:p w14:paraId="26F7DCBB" w14:textId="77777777" w:rsidR="00C00BC5" w:rsidRDefault="00C00BC5" w:rsidP="00C00BC5">
      <w:pPr>
        <w:spacing w:line="226" w:lineRule="auto"/>
        <w:ind w:right="20"/>
        <w:jc w:val="both"/>
        <w:rPr>
          <w:rFonts w:eastAsia="Arial"/>
          <w:b/>
        </w:rPr>
      </w:pPr>
    </w:p>
    <w:p w14:paraId="0DDBC662" w14:textId="77777777" w:rsidR="00C00BC5" w:rsidRPr="00FC0A89" w:rsidRDefault="00C00BC5" w:rsidP="00C00BC5">
      <w:pPr>
        <w:spacing w:line="226" w:lineRule="auto"/>
        <w:ind w:right="20"/>
        <w:jc w:val="both"/>
        <w:rPr>
          <w:rFonts w:eastAsia="Arial"/>
        </w:rPr>
      </w:pPr>
      <w:r w:rsidRPr="00FC0A89">
        <w:rPr>
          <w:rFonts w:eastAsia="Arial"/>
        </w:rPr>
        <w:t xml:space="preserve">Une fois approuvé, le </w:t>
      </w:r>
      <w:r>
        <w:rPr>
          <w:rFonts w:eastAsia="Arial"/>
        </w:rPr>
        <w:t xml:space="preserve">POA et le plan financier </w:t>
      </w:r>
      <w:r w:rsidRPr="00FC0A89">
        <w:rPr>
          <w:rFonts w:eastAsia="Arial"/>
        </w:rPr>
        <w:t>devien</w:t>
      </w:r>
      <w:r>
        <w:rPr>
          <w:rFonts w:eastAsia="Arial"/>
        </w:rPr>
        <w:t>nent</w:t>
      </w:r>
      <w:r w:rsidRPr="00FC0A89">
        <w:rPr>
          <w:rFonts w:eastAsia="Arial"/>
        </w:rPr>
        <w:t xml:space="preserve"> l’outil principal de la gestion financière du projet. Il</w:t>
      </w:r>
      <w:r>
        <w:rPr>
          <w:rFonts w:eastAsia="Arial"/>
        </w:rPr>
        <w:t>s</w:t>
      </w:r>
      <w:r w:rsidRPr="00FC0A89">
        <w:rPr>
          <w:rFonts w:eastAsia="Arial"/>
        </w:rPr>
        <w:t xml:space="preserve"> représente</w:t>
      </w:r>
      <w:r>
        <w:rPr>
          <w:rFonts w:eastAsia="Arial"/>
        </w:rPr>
        <w:t>nt</w:t>
      </w:r>
      <w:r w:rsidRPr="00FC0A89">
        <w:rPr>
          <w:rFonts w:eastAsia="Arial"/>
        </w:rPr>
        <w:t xml:space="preserve"> le processus au cours duquel les implications financières des activités sont exposées et les ressources affectées. Tous les déboursés effectués </w:t>
      </w:r>
      <w:r>
        <w:rPr>
          <w:rFonts w:eastAsia="Arial"/>
        </w:rPr>
        <w:t xml:space="preserve">dans le cadre du projet </w:t>
      </w:r>
      <w:r w:rsidRPr="00FC0A89">
        <w:rPr>
          <w:rFonts w:eastAsia="Arial"/>
        </w:rPr>
        <w:t xml:space="preserve">doivent ainsi s’inscrire dans les enveloppes budgétaires approuvées. </w:t>
      </w:r>
    </w:p>
    <w:p w14:paraId="435645EA" w14:textId="77777777" w:rsidR="00C00BC5" w:rsidRPr="00FC0A89" w:rsidRDefault="00C00BC5" w:rsidP="00C00BC5">
      <w:pPr>
        <w:spacing w:line="226" w:lineRule="auto"/>
        <w:ind w:right="20"/>
        <w:jc w:val="both"/>
        <w:rPr>
          <w:rFonts w:eastAsia="Arial"/>
        </w:rPr>
      </w:pPr>
    </w:p>
    <w:p w14:paraId="5FC4F135" w14:textId="055D8786" w:rsidR="00C00BC5" w:rsidRPr="007310B1" w:rsidRDefault="00C00BC5" w:rsidP="00C00BC5">
      <w:pPr>
        <w:spacing w:line="226" w:lineRule="auto"/>
        <w:ind w:right="20"/>
        <w:jc w:val="both"/>
        <w:rPr>
          <w:rFonts w:eastAsia="Arial"/>
        </w:rPr>
      </w:pPr>
      <w:r w:rsidRPr="00FC0A89">
        <w:rPr>
          <w:rFonts w:eastAsia="Arial"/>
        </w:rPr>
        <w:t>Les dépenses seront enregistrées suivant les catégories, les composantes et les produits déjà prédéfinies dans le POA. Les comptes à créer, conformément à la Comptabilité Publique Haïtienne , seront regroupés pour faire partie desdites catégories ou enveloppes budgétaires et faciliter la production de rapports financiers consolidés par l</w:t>
      </w:r>
      <w:r w:rsidR="00024402">
        <w:rPr>
          <w:rFonts w:eastAsia="Arial"/>
        </w:rPr>
        <w:t>es deux OE.</w:t>
      </w:r>
      <w:r>
        <w:rPr>
          <w:rFonts w:eastAsia="Arial"/>
        </w:rPr>
        <w:t xml:space="preserve"> </w:t>
      </w:r>
      <w:r w:rsidRPr="007310B1">
        <w:rPr>
          <w:rFonts w:eastAsia="Arial"/>
        </w:rPr>
        <w:t xml:space="preserve">Une méthode modifiée de comptabilité à base de cash sera utilisée aux fins de soumission de rapport. </w:t>
      </w:r>
      <w:r>
        <w:rPr>
          <w:rFonts w:eastAsia="Arial"/>
        </w:rPr>
        <w:t>L</w:t>
      </w:r>
      <w:r w:rsidRPr="007310B1">
        <w:rPr>
          <w:rFonts w:eastAsia="Arial"/>
        </w:rPr>
        <w:t xml:space="preserve">e taux de référence de la BRH  valide à la date des paiements  </w:t>
      </w:r>
      <w:r>
        <w:rPr>
          <w:rFonts w:eastAsia="Arial"/>
        </w:rPr>
        <w:t xml:space="preserve">sera utilisé </w:t>
      </w:r>
      <w:r w:rsidRPr="007310B1">
        <w:rPr>
          <w:rFonts w:eastAsia="Arial"/>
        </w:rPr>
        <w:t>pour enregistrer toutes les dépenses faites en monnaie locale.</w:t>
      </w:r>
    </w:p>
    <w:p w14:paraId="216657DF" w14:textId="77777777" w:rsidR="00C00BC5" w:rsidRPr="00FC0A89" w:rsidRDefault="00C00BC5" w:rsidP="00C00BC5">
      <w:pPr>
        <w:spacing w:line="226" w:lineRule="auto"/>
        <w:ind w:right="20"/>
        <w:jc w:val="both"/>
        <w:rPr>
          <w:rFonts w:eastAsia="Arial"/>
        </w:rPr>
      </w:pPr>
    </w:p>
    <w:p w14:paraId="78577974" w14:textId="303FD424" w:rsidR="00C00BC5" w:rsidRDefault="00024402" w:rsidP="00C00BC5">
      <w:pPr>
        <w:spacing w:line="226" w:lineRule="auto"/>
        <w:ind w:right="20"/>
        <w:jc w:val="both"/>
      </w:pPr>
      <w:r>
        <w:rPr>
          <w:rFonts w:eastAsia="Arial"/>
        </w:rPr>
        <w:t>A compléter</w:t>
      </w:r>
    </w:p>
    <w:p w14:paraId="4EDB570B" w14:textId="77777777" w:rsidR="00C00BC5" w:rsidRDefault="00C00BC5" w:rsidP="00C00BC5">
      <w:pPr>
        <w:spacing w:line="226" w:lineRule="auto"/>
        <w:ind w:right="20"/>
        <w:jc w:val="both"/>
      </w:pPr>
    </w:p>
    <w:p w14:paraId="4FA71D3B" w14:textId="4A250D9E" w:rsidR="00C00BC5" w:rsidRPr="00EB65E3" w:rsidRDefault="00C00BC5" w:rsidP="00C00BC5">
      <w:pPr>
        <w:spacing w:line="226" w:lineRule="auto"/>
        <w:ind w:right="20"/>
        <w:jc w:val="both"/>
        <w:rPr>
          <w:b/>
        </w:rPr>
      </w:pPr>
      <w:r w:rsidRPr="00EB65E3">
        <w:rPr>
          <w:b/>
        </w:rPr>
        <w:t>8.</w:t>
      </w:r>
      <w:r w:rsidR="006A1C58">
        <w:rPr>
          <w:b/>
        </w:rPr>
        <w:t>7</w:t>
      </w:r>
      <w:r w:rsidRPr="00EB65E3">
        <w:rPr>
          <w:b/>
        </w:rPr>
        <w:t xml:space="preserve"> Fonds non utilisés</w:t>
      </w:r>
    </w:p>
    <w:p w14:paraId="3C57D959" w14:textId="77777777" w:rsidR="00EB65E3" w:rsidRDefault="00EB65E3" w:rsidP="00C00BC5">
      <w:pPr>
        <w:spacing w:line="226" w:lineRule="auto"/>
        <w:ind w:right="20"/>
        <w:jc w:val="both"/>
      </w:pPr>
    </w:p>
    <w:p w14:paraId="59195146" w14:textId="660A8331" w:rsidR="00C00BC5" w:rsidRPr="009A2A55" w:rsidRDefault="00C00BC5" w:rsidP="00C00BC5">
      <w:pPr>
        <w:spacing w:line="226" w:lineRule="auto"/>
        <w:ind w:right="20"/>
        <w:jc w:val="both"/>
      </w:pPr>
      <w:r w:rsidRPr="009A2A55">
        <w:t xml:space="preserve">Les fonds assignés au financement d’un projet devront être </w:t>
      </w:r>
      <w:r>
        <w:t>décaissés</w:t>
      </w:r>
      <w:r w:rsidRPr="009A2A55">
        <w:t xml:space="preserve">, conformément au délai imparti par l’Accord de financement </w:t>
      </w:r>
      <w:r>
        <w:t xml:space="preserve">et au </w:t>
      </w:r>
      <w:r w:rsidRPr="009A2A55">
        <w:t>chronogramme établi pour le projet, décompté à partir de la date d’entrée en vigueur de l’Accord</w:t>
      </w:r>
      <w:r>
        <w:t xml:space="preserve"> sauf si une extension a été convenue par écrit entre l’Etat Haïtien et la Banque.</w:t>
      </w:r>
      <w:r w:rsidRPr="009A2A55">
        <w:t xml:space="preserve"> Dans le cas contraire, la partie de la Contribution qui n’aura pas été engagée ou décaissée, suivant les dispositions arrêtées dans l’Accord, dans le délai prévu, sera automatiquement annulée et le cas échéant retournée au Bailleur.</w:t>
      </w:r>
    </w:p>
    <w:p w14:paraId="3B4FD966" w14:textId="77777777" w:rsidR="00C00BC5" w:rsidRDefault="00C00BC5" w:rsidP="00C00BC5">
      <w:pPr>
        <w:spacing w:line="226" w:lineRule="auto"/>
        <w:ind w:right="20"/>
        <w:jc w:val="both"/>
      </w:pPr>
    </w:p>
    <w:p w14:paraId="0153F846" w14:textId="632AB0EA" w:rsidR="00C00BC5" w:rsidRPr="00245ABD" w:rsidRDefault="00C00BC5" w:rsidP="00C00BC5">
      <w:pPr>
        <w:spacing w:line="226" w:lineRule="auto"/>
        <w:ind w:right="20"/>
        <w:jc w:val="both"/>
        <w:rPr>
          <w:b/>
        </w:rPr>
      </w:pPr>
      <w:r w:rsidRPr="00245ABD">
        <w:rPr>
          <w:b/>
        </w:rPr>
        <w:t>8.</w:t>
      </w:r>
      <w:r w:rsidR="006A1C58">
        <w:rPr>
          <w:b/>
        </w:rPr>
        <w:t>8</w:t>
      </w:r>
      <w:r w:rsidRPr="00245ABD">
        <w:rPr>
          <w:b/>
        </w:rPr>
        <w:t xml:space="preserve"> Transparence et </w:t>
      </w:r>
      <w:r>
        <w:rPr>
          <w:b/>
        </w:rPr>
        <w:t>E</w:t>
      </w:r>
      <w:r w:rsidRPr="00245ABD">
        <w:rPr>
          <w:b/>
        </w:rPr>
        <w:t>thique</w:t>
      </w:r>
    </w:p>
    <w:p w14:paraId="0D683D38" w14:textId="77777777" w:rsidR="00C00BC5" w:rsidRDefault="00C00BC5" w:rsidP="00C00BC5">
      <w:pPr>
        <w:spacing w:line="226" w:lineRule="auto"/>
        <w:ind w:right="20"/>
        <w:jc w:val="both"/>
      </w:pPr>
    </w:p>
    <w:p w14:paraId="73015220" w14:textId="016EB0C4" w:rsidR="00C00BC5" w:rsidRPr="003E5DBB" w:rsidRDefault="00C00BC5" w:rsidP="00C00BC5">
      <w:pPr>
        <w:spacing w:line="226" w:lineRule="auto"/>
        <w:ind w:right="20"/>
        <w:jc w:val="both"/>
      </w:pPr>
      <w:r w:rsidRPr="003E5DBB">
        <w:t xml:space="preserve">Dans le but d’instaurer la transparence dans la gestion des projets et d’assurer une bonne circulation de l’information au niveau des bénéficiaires et du public en général, </w:t>
      </w:r>
      <w:r>
        <w:t>l</w:t>
      </w:r>
      <w:r w:rsidR="00024402">
        <w:t>es OE</w:t>
      </w:r>
      <w:r>
        <w:t xml:space="preserve"> </w:t>
      </w:r>
      <w:r w:rsidRPr="003E5DBB">
        <w:t>et les différentes entités partenaires d</w:t>
      </w:r>
      <w:r>
        <w:t>u projet</w:t>
      </w:r>
      <w:r w:rsidRPr="003E5DBB">
        <w:t xml:space="preserve"> prendront les mesures adéquates pour rendre les informations disponibles à tous les intéressés au moyen des outils les plus appropriés. </w:t>
      </w:r>
    </w:p>
    <w:p w14:paraId="14B89797" w14:textId="77777777" w:rsidR="00C00BC5" w:rsidRPr="003E5DBB" w:rsidRDefault="00C00BC5" w:rsidP="00C00BC5">
      <w:pPr>
        <w:spacing w:line="226" w:lineRule="auto"/>
        <w:ind w:right="20"/>
        <w:jc w:val="both"/>
      </w:pPr>
    </w:p>
    <w:p w14:paraId="089C44C4" w14:textId="0C208ECC" w:rsidR="00C00BC5" w:rsidRPr="003E5DBB" w:rsidRDefault="00C00BC5" w:rsidP="00C00BC5">
      <w:pPr>
        <w:spacing w:line="226" w:lineRule="auto"/>
        <w:ind w:right="20"/>
        <w:jc w:val="both"/>
      </w:pPr>
      <w:r w:rsidRPr="003E5DBB">
        <w:lastRenderedPageBreak/>
        <w:t>L</w:t>
      </w:r>
      <w:r w:rsidR="00024402">
        <w:t>es OE</w:t>
      </w:r>
      <w:r>
        <w:t>,</w:t>
      </w:r>
      <w:r w:rsidRPr="003E5DBB">
        <w:t xml:space="preserve"> les entités partenaires des projets et les consultants et opérateurs recrutés dans le cadre des activités du Projet s’engagent à se conformer aux lois, normes et règles de transparence et de prévention de la corruption de et de la République d’Haïti </w:t>
      </w:r>
      <w:r>
        <w:t>et les Pratiques Interdites de la Banque</w:t>
      </w:r>
      <w:r w:rsidRPr="003E5DBB">
        <w:t>.</w:t>
      </w:r>
    </w:p>
    <w:p w14:paraId="6E06BC90" w14:textId="77777777" w:rsidR="00C00BC5" w:rsidRPr="003E5DBB" w:rsidRDefault="00C00BC5" w:rsidP="00C00BC5">
      <w:pPr>
        <w:spacing w:line="226" w:lineRule="auto"/>
        <w:ind w:right="20"/>
        <w:jc w:val="both"/>
      </w:pPr>
    </w:p>
    <w:p w14:paraId="137CC458" w14:textId="77777777" w:rsidR="00C00BC5" w:rsidRDefault="00C00BC5" w:rsidP="00C00BC5">
      <w:pPr>
        <w:spacing w:line="226" w:lineRule="auto"/>
        <w:ind w:right="20"/>
        <w:jc w:val="both"/>
      </w:pPr>
      <w:r w:rsidRPr="003E5DBB">
        <w:t>Le tableau ci-dessous présente certaines mesures prévues pour assurer la transparence dans la gestion des projets.</w:t>
      </w:r>
    </w:p>
    <w:p w14:paraId="34852A54" w14:textId="77777777" w:rsidR="00C00BC5" w:rsidRDefault="00C00BC5" w:rsidP="00C00BC5">
      <w:pPr>
        <w:spacing w:line="226" w:lineRule="auto"/>
        <w:ind w:right="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2199"/>
        <w:gridCol w:w="2170"/>
        <w:gridCol w:w="2113"/>
      </w:tblGrid>
      <w:tr w:rsidR="00C00BC5" w:rsidRPr="003E5DBB" w14:paraId="4E36A7DB" w14:textId="77777777" w:rsidTr="00C00BC5">
        <w:trPr>
          <w:jc w:val="center"/>
        </w:trPr>
        <w:tc>
          <w:tcPr>
            <w:tcW w:w="2373" w:type="dxa"/>
            <w:shd w:val="clear" w:color="auto" w:fill="2E74B5"/>
          </w:tcPr>
          <w:p w14:paraId="73B5A17E" w14:textId="77777777" w:rsidR="00C00BC5" w:rsidRPr="003E5DBB" w:rsidRDefault="00C00BC5" w:rsidP="00C00BC5">
            <w:pPr>
              <w:spacing w:line="226" w:lineRule="auto"/>
              <w:ind w:right="20"/>
              <w:jc w:val="both"/>
              <w:rPr>
                <w:b/>
              </w:rPr>
            </w:pPr>
            <w:r w:rsidRPr="003E5DBB">
              <w:rPr>
                <w:b/>
              </w:rPr>
              <w:t>Activités</w:t>
            </w:r>
          </w:p>
        </w:tc>
        <w:tc>
          <w:tcPr>
            <w:tcW w:w="2373" w:type="dxa"/>
            <w:shd w:val="clear" w:color="auto" w:fill="2E74B5"/>
          </w:tcPr>
          <w:p w14:paraId="1A015BD5" w14:textId="77777777" w:rsidR="00C00BC5" w:rsidRPr="003E5DBB" w:rsidRDefault="00C00BC5" w:rsidP="00C00BC5">
            <w:pPr>
              <w:spacing w:line="226" w:lineRule="auto"/>
              <w:ind w:right="20"/>
              <w:jc w:val="both"/>
              <w:rPr>
                <w:b/>
              </w:rPr>
            </w:pPr>
            <w:r w:rsidRPr="003E5DBB">
              <w:rPr>
                <w:b/>
              </w:rPr>
              <w:t>Mesures</w:t>
            </w:r>
          </w:p>
        </w:tc>
        <w:tc>
          <w:tcPr>
            <w:tcW w:w="2374" w:type="dxa"/>
            <w:shd w:val="clear" w:color="auto" w:fill="2E74B5"/>
          </w:tcPr>
          <w:p w14:paraId="412CB400" w14:textId="77777777" w:rsidR="00C00BC5" w:rsidRPr="003E5DBB" w:rsidRDefault="00C00BC5" w:rsidP="00C00BC5">
            <w:pPr>
              <w:spacing w:line="226" w:lineRule="auto"/>
              <w:ind w:right="20"/>
              <w:jc w:val="both"/>
              <w:rPr>
                <w:b/>
              </w:rPr>
            </w:pPr>
            <w:r w:rsidRPr="003E5DBB">
              <w:rPr>
                <w:b/>
              </w:rPr>
              <w:t>Responsabilité</w:t>
            </w:r>
          </w:p>
        </w:tc>
        <w:tc>
          <w:tcPr>
            <w:tcW w:w="2374" w:type="dxa"/>
            <w:shd w:val="clear" w:color="auto" w:fill="2E74B5"/>
          </w:tcPr>
          <w:p w14:paraId="6B0231A0" w14:textId="641A4B15" w:rsidR="00C00BC5" w:rsidRPr="003E5DBB" w:rsidRDefault="00024402" w:rsidP="00C00BC5">
            <w:pPr>
              <w:spacing w:line="226" w:lineRule="auto"/>
              <w:ind w:right="20"/>
              <w:jc w:val="both"/>
              <w:rPr>
                <w:b/>
              </w:rPr>
            </w:pPr>
            <w:r>
              <w:rPr>
                <w:b/>
              </w:rPr>
              <w:t>Echéance</w:t>
            </w:r>
          </w:p>
        </w:tc>
      </w:tr>
      <w:tr w:rsidR="00C00BC5" w:rsidRPr="003E5DBB" w14:paraId="1F4E7FC0" w14:textId="77777777" w:rsidTr="00C00BC5">
        <w:trPr>
          <w:jc w:val="center"/>
        </w:trPr>
        <w:tc>
          <w:tcPr>
            <w:tcW w:w="2373" w:type="dxa"/>
            <w:shd w:val="clear" w:color="auto" w:fill="auto"/>
          </w:tcPr>
          <w:p w14:paraId="21D26995" w14:textId="77777777" w:rsidR="00C00BC5" w:rsidRPr="003E5DBB" w:rsidRDefault="00C00BC5" w:rsidP="00C00BC5">
            <w:pPr>
              <w:spacing w:line="226" w:lineRule="auto"/>
              <w:ind w:right="20"/>
              <w:jc w:val="both"/>
            </w:pPr>
            <w:r w:rsidRPr="003E5DBB">
              <w:t>Transparence et diffusion des informations</w:t>
            </w:r>
          </w:p>
        </w:tc>
        <w:tc>
          <w:tcPr>
            <w:tcW w:w="2373" w:type="dxa"/>
            <w:shd w:val="clear" w:color="auto" w:fill="auto"/>
          </w:tcPr>
          <w:p w14:paraId="2029379F" w14:textId="77777777" w:rsidR="00C00BC5" w:rsidRPr="003E5DBB" w:rsidRDefault="00C00BC5" w:rsidP="00C00BC5">
            <w:pPr>
              <w:spacing w:line="226" w:lineRule="auto"/>
              <w:ind w:right="20"/>
              <w:jc w:val="both"/>
            </w:pPr>
            <w:r w:rsidRPr="003E5DBB">
              <w:t>Diffuser toutes les informations pertinentes sur les projets en choisissant les media les plus appropriés en fonction du type d’information.</w:t>
            </w:r>
          </w:p>
          <w:p w14:paraId="684794F8" w14:textId="77777777" w:rsidR="00C00BC5" w:rsidRPr="003E5DBB" w:rsidRDefault="00C00BC5" w:rsidP="00C00BC5">
            <w:pPr>
              <w:spacing w:line="226" w:lineRule="auto"/>
              <w:ind w:right="20"/>
              <w:jc w:val="both"/>
            </w:pPr>
            <w:r w:rsidRPr="003E5DBB">
              <w:t>Diffuser les informations sur les sites web et mettre en place un système de mise à jour régulier.</w:t>
            </w:r>
          </w:p>
        </w:tc>
        <w:tc>
          <w:tcPr>
            <w:tcW w:w="2374" w:type="dxa"/>
            <w:shd w:val="clear" w:color="auto" w:fill="auto"/>
          </w:tcPr>
          <w:p w14:paraId="1D2ACF81" w14:textId="191A921E" w:rsidR="00C00BC5" w:rsidRPr="003E5DBB" w:rsidRDefault="00024402" w:rsidP="00C00BC5">
            <w:pPr>
              <w:spacing w:line="226" w:lineRule="auto"/>
              <w:ind w:right="20"/>
              <w:jc w:val="both"/>
            </w:pPr>
            <w:r>
              <w:t>UTE et UCP</w:t>
            </w:r>
          </w:p>
          <w:p w14:paraId="0E674070" w14:textId="77777777" w:rsidR="00C00BC5" w:rsidRPr="003E5DBB" w:rsidRDefault="00C00BC5" w:rsidP="00C00BC5">
            <w:pPr>
              <w:spacing w:line="226" w:lineRule="auto"/>
              <w:ind w:right="20"/>
              <w:jc w:val="both"/>
            </w:pPr>
          </w:p>
        </w:tc>
        <w:tc>
          <w:tcPr>
            <w:tcW w:w="2374" w:type="dxa"/>
            <w:shd w:val="clear" w:color="auto" w:fill="auto"/>
          </w:tcPr>
          <w:p w14:paraId="2A1FC17C" w14:textId="77777777" w:rsidR="00C00BC5" w:rsidRPr="003E5DBB" w:rsidRDefault="00C00BC5" w:rsidP="00C00BC5">
            <w:pPr>
              <w:spacing w:line="226" w:lineRule="auto"/>
              <w:ind w:right="20"/>
              <w:jc w:val="both"/>
            </w:pPr>
            <w:r w:rsidRPr="003E5DBB">
              <w:t>Tout au long de la mise en œuvre des projets.</w:t>
            </w:r>
          </w:p>
        </w:tc>
      </w:tr>
      <w:tr w:rsidR="00C00BC5" w:rsidRPr="003E5DBB" w14:paraId="6E67930D" w14:textId="77777777" w:rsidTr="00C00BC5">
        <w:trPr>
          <w:jc w:val="center"/>
        </w:trPr>
        <w:tc>
          <w:tcPr>
            <w:tcW w:w="2373" w:type="dxa"/>
            <w:shd w:val="clear" w:color="auto" w:fill="auto"/>
          </w:tcPr>
          <w:p w14:paraId="2187AA17" w14:textId="77777777" w:rsidR="00C00BC5" w:rsidRPr="003E5DBB" w:rsidRDefault="00C00BC5" w:rsidP="00C00BC5">
            <w:pPr>
              <w:spacing w:line="226" w:lineRule="auto"/>
              <w:ind w:right="20"/>
              <w:jc w:val="both"/>
            </w:pPr>
          </w:p>
        </w:tc>
        <w:tc>
          <w:tcPr>
            <w:tcW w:w="2373" w:type="dxa"/>
            <w:shd w:val="clear" w:color="auto" w:fill="auto"/>
          </w:tcPr>
          <w:p w14:paraId="6C94F6D1" w14:textId="77777777" w:rsidR="00C00BC5" w:rsidRPr="003E5DBB" w:rsidRDefault="00C00BC5" w:rsidP="00C00BC5">
            <w:pPr>
              <w:spacing w:line="226" w:lineRule="auto"/>
              <w:ind w:right="20"/>
              <w:jc w:val="both"/>
            </w:pPr>
            <w:r w:rsidRPr="003E5DBB">
              <w:t>Publication des informations sur la passation de marchés, les mesures de réinstallation, les mesures prises pour protéger l’environnement</w:t>
            </w:r>
          </w:p>
        </w:tc>
        <w:tc>
          <w:tcPr>
            <w:tcW w:w="2374" w:type="dxa"/>
            <w:shd w:val="clear" w:color="auto" w:fill="auto"/>
          </w:tcPr>
          <w:p w14:paraId="29CD8E30" w14:textId="440216F4" w:rsidR="00C00BC5" w:rsidRPr="003E5DBB" w:rsidRDefault="00024402" w:rsidP="00C00BC5">
            <w:pPr>
              <w:spacing w:line="226" w:lineRule="auto"/>
              <w:ind w:right="20"/>
              <w:jc w:val="both"/>
            </w:pPr>
            <w:r>
              <w:t>UTE et UCP</w:t>
            </w:r>
            <w:r w:rsidR="00C00BC5">
              <w:t xml:space="preserve"> </w:t>
            </w:r>
          </w:p>
        </w:tc>
        <w:tc>
          <w:tcPr>
            <w:tcW w:w="2374" w:type="dxa"/>
            <w:shd w:val="clear" w:color="auto" w:fill="auto"/>
          </w:tcPr>
          <w:p w14:paraId="4DD48E65" w14:textId="77777777" w:rsidR="00C00BC5" w:rsidRPr="003E5DBB" w:rsidRDefault="00C00BC5" w:rsidP="00C00BC5">
            <w:pPr>
              <w:spacing w:line="226" w:lineRule="auto"/>
              <w:ind w:right="20"/>
              <w:jc w:val="both"/>
            </w:pPr>
            <w:r w:rsidRPr="003E5DBB">
              <w:t>Tout au long de la mise en œuvre des projets</w:t>
            </w:r>
          </w:p>
        </w:tc>
      </w:tr>
      <w:tr w:rsidR="00C00BC5" w:rsidRPr="003E5DBB" w14:paraId="4162A175" w14:textId="77777777" w:rsidTr="00C00BC5">
        <w:trPr>
          <w:jc w:val="center"/>
        </w:trPr>
        <w:tc>
          <w:tcPr>
            <w:tcW w:w="2373" w:type="dxa"/>
            <w:shd w:val="clear" w:color="auto" w:fill="auto"/>
          </w:tcPr>
          <w:p w14:paraId="16815C2D" w14:textId="77777777" w:rsidR="00C00BC5" w:rsidRPr="003E5DBB" w:rsidRDefault="00C00BC5" w:rsidP="00C00BC5">
            <w:pPr>
              <w:spacing w:line="226" w:lineRule="auto"/>
              <w:ind w:right="20"/>
              <w:jc w:val="both"/>
            </w:pPr>
            <w:r w:rsidRPr="003E5DBB">
              <w:t>Mécanismes de réception et de gestion des plaintes </w:t>
            </w:r>
          </w:p>
        </w:tc>
        <w:tc>
          <w:tcPr>
            <w:tcW w:w="2373" w:type="dxa"/>
            <w:shd w:val="clear" w:color="auto" w:fill="auto"/>
          </w:tcPr>
          <w:p w14:paraId="7BB9E6F6" w14:textId="77777777" w:rsidR="00C00BC5" w:rsidRPr="003E5DBB" w:rsidRDefault="00C00BC5" w:rsidP="00C00BC5">
            <w:pPr>
              <w:spacing w:line="226" w:lineRule="auto"/>
              <w:ind w:right="20"/>
              <w:jc w:val="both"/>
            </w:pPr>
            <w:r w:rsidRPr="003E5DBB">
              <w:t>Mettre en place une structure en charge du traitement des plaintes et recours</w:t>
            </w:r>
          </w:p>
        </w:tc>
        <w:tc>
          <w:tcPr>
            <w:tcW w:w="2374" w:type="dxa"/>
            <w:shd w:val="clear" w:color="auto" w:fill="auto"/>
          </w:tcPr>
          <w:p w14:paraId="25DE698C" w14:textId="53B61874" w:rsidR="00C00BC5" w:rsidRPr="003E5DBB" w:rsidRDefault="00024402" w:rsidP="00C00BC5">
            <w:pPr>
              <w:spacing w:line="226" w:lineRule="auto"/>
              <w:ind w:right="20"/>
              <w:jc w:val="both"/>
            </w:pPr>
            <w:r>
              <w:t>UTE et UCP</w:t>
            </w:r>
          </w:p>
        </w:tc>
        <w:tc>
          <w:tcPr>
            <w:tcW w:w="2374" w:type="dxa"/>
            <w:shd w:val="clear" w:color="auto" w:fill="auto"/>
          </w:tcPr>
          <w:p w14:paraId="6083F533" w14:textId="77777777" w:rsidR="00C00BC5" w:rsidRPr="003E5DBB" w:rsidRDefault="00C00BC5" w:rsidP="00C00BC5">
            <w:pPr>
              <w:spacing w:line="226" w:lineRule="auto"/>
              <w:ind w:right="20"/>
              <w:jc w:val="both"/>
            </w:pPr>
            <w:r w:rsidRPr="003E5DBB">
              <w:t>Avant la phase de mise en œuvre du Projet.</w:t>
            </w:r>
          </w:p>
        </w:tc>
      </w:tr>
      <w:tr w:rsidR="00C00BC5" w:rsidRPr="003E5DBB" w14:paraId="58B9D175" w14:textId="77777777" w:rsidTr="00C00BC5">
        <w:trPr>
          <w:jc w:val="center"/>
        </w:trPr>
        <w:tc>
          <w:tcPr>
            <w:tcW w:w="2373" w:type="dxa"/>
            <w:shd w:val="clear" w:color="auto" w:fill="auto"/>
          </w:tcPr>
          <w:p w14:paraId="7FD8EFF9" w14:textId="77777777" w:rsidR="00C00BC5" w:rsidRPr="003E5DBB" w:rsidRDefault="00C00BC5" w:rsidP="00C00BC5">
            <w:pPr>
              <w:spacing w:line="226" w:lineRule="auto"/>
              <w:ind w:right="20"/>
              <w:jc w:val="both"/>
            </w:pPr>
            <w:r w:rsidRPr="003E5DBB">
              <w:t>Lutte contre les conflits d’intérêt et la divulgation d’informations confidentielles</w:t>
            </w:r>
          </w:p>
        </w:tc>
        <w:tc>
          <w:tcPr>
            <w:tcW w:w="2373" w:type="dxa"/>
            <w:shd w:val="clear" w:color="auto" w:fill="auto"/>
          </w:tcPr>
          <w:p w14:paraId="407B27EE" w14:textId="77777777" w:rsidR="00C00BC5" w:rsidRPr="003E5DBB" w:rsidRDefault="00C00BC5" w:rsidP="00C00BC5">
            <w:pPr>
              <w:spacing w:line="226" w:lineRule="auto"/>
              <w:ind w:right="20"/>
              <w:jc w:val="both"/>
            </w:pPr>
            <w:r w:rsidRPr="003E5DBB">
              <w:t xml:space="preserve">Signature d’une déclaration sur l’honneur sur l’absence de conflit d’intérêt et le respect de la confidentialité par les membres des commissions de sélection de consultants, </w:t>
            </w:r>
            <w:r w:rsidRPr="003E5DBB">
              <w:lastRenderedPageBreak/>
              <w:t>d’entreprises ou de firmes</w:t>
            </w:r>
          </w:p>
        </w:tc>
        <w:tc>
          <w:tcPr>
            <w:tcW w:w="2374" w:type="dxa"/>
            <w:shd w:val="clear" w:color="auto" w:fill="auto"/>
          </w:tcPr>
          <w:p w14:paraId="4FB7B4B2" w14:textId="7C41D606" w:rsidR="00C00BC5" w:rsidRPr="003E5DBB" w:rsidRDefault="00024402" w:rsidP="00C00BC5">
            <w:pPr>
              <w:spacing w:line="226" w:lineRule="auto"/>
              <w:ind w:right="20"/>
              <w:jc w:val="both"/>
            </w:pPr>
            <w:r>
              <w:lastRenderedPageBreak/>
              <w:t>UTE et UCP</w:t>
            </w:r>
          </w:p>
        </w:tc>
        <w:tc>
          <w:tcPr>
            <w:tcW w:w="2374" w:type="dxa"/>
            <w:shd w:val="clear" w:color="auto" w:fill="auto"/>
          </w:tcPr>
          <w:p w14:paraId="559BE555" w14:textId="77777777" w:rsidR="00C00BC5" w:rsidRPr="003E5DBB" w:rsidRDefault="00C00BC5" w:rsidP="00C00BC5">
            <w:pPr>
              <w:spacing w:line="226" w:lineRule="auto"/>
              <w:ind w:right="20"/>
              <w:jc w:val="both"/>
            </w:pPr>
            <w:r w:rsidRPr="003E5DBB">
              <w:t>Avant le lancement des travaux des commissions.</w:t>
            </w:r>
          </w:p>
        </w:tc>
      </w:tr>
      <w:tr w:rsidR="00C00BC5" w:rsidRPr="003E5DBB" w14:paraId="6E65FEDF" w14:textId="77777777" w:rsidTr="00C00BC5">
        <w:trPr>
          <w:jc w:val="center"/>
        </w:trPr>
        <w:tc>
          <w:tcPr>
            <w:tcW w:w="2373" w:type="dxa"/>
            <w:shd w:val="clear" w:color="auto" w:fill="auto"/>
          </w:tcPr>
          <w:p w14:paraId="6BA55EB3" w14:textId="77777777" w:rsidR="00C00BC5" w:rsidRPr="003E5DBB" w:rsidRDefault="00C00BC5" w:rsidP="00C00BC5">
            <w:pPr>
              <w:spacing w:line="226" w:lineRule="auto"/>
              <w:ind w:right="20"/>
              <w:jc w:val="both"/>
            </w:pPr>
            <w:r w:rsidRPr="003E5DBB">
              <w:t>L’implication de la société civile dans le suivi de la mise en œuvre du Projet </w:t>
            </w:r>
          </w:p>
        </w:tc>
        <w:tc>
          <w:tcPr>
            <w:tcW w:w="2373" w:type="dxa"/>
            <w:shd w:val="clear" w:color="auto" w:fill="auto"/>
          </w:tcPr>
          <w:p w14:paraId="422EFA21" w14:textId="77777777" w:rsidR="00C00BC5" w:rsidRPr="003E5DBB" w:rsidRDefault="00C00BC5" w:rsidP="00C00BC5">
            <w:pPr>
              <w:spacing w:line="226" w:lineRule="auto"/>
              <w:ind w:right="20"/>
              <w:jc w:val="both"/>
            </w:pPr>
            <w:r w:rsidRPr="003E5DBB">
              <w:t>Consulter et informer régulièrement les bénéficiaires et les parties prenantes.</w:t>
            </w:r>
          </w:p>
          <w:p w14:paraId="1F3E9CA1" w14:textId="77777777" w:rsidR="00C00BC5" w:rsidRPr="003E5DBB" w:rsidRDefault="00C00BC5" w:rsidP="00C00BC5">
            <w:pPr>
              <w:spacing w:line="226" w:lineRule="auto"/>
              <w:ind w:right="20"/>
              <w:jc w:val="both"/>
            </w:pPr>
            <w:r w:rsidRPr="003E5DBB">
              <w:t>Leur fournir les outils adéquats pour suivre la mise en œuvre du Projet.</w:t>
            </w:r>
          </w:p>
          <w:p w14:paraId="400BA1C2" w14:textId="77777777" w:rsidR="00C00BC5" w:rsidRPr="003E5DBB" w:rsidRDefault="00C00BC5" w:rsidP="00C00BC5">
            <w:pPr>
              <w:spacing w:line="226" w:lineRule="auto"/>
              <w:ind w:right="20"/>
              <w:jc w:val="both"/>
            </w:pPr>
            <w:r w:rsidRPr="003E5DBB">
              <w:t>Impliquer les acteurs pertinents dans les travaux du comité de pilotage et des commissions de sélection des fournisseurs de service et des entreprises</w:t>
            </w:r>
          </w:p>
        </w:tc>
        <w:tc>
          <w:tcPr>
            <w:tcW w:w="2374" w:type="dxa"/>
            <w:shd w:val="clear" w:color="auto" w:fill="auto"/>
          </w:tcPr>
          <w:p w14:paraId="19495E14" w14:textId="22FEEAF0" w:rsidR="00C00BC5" w:rsidRPr="003E5DBB" w:rsidRDefault="00024402" w:rsidP="00C00BC5">
            <w:pPr>
              <w:spacing w:line="226" w:lineRule="auto"/>
              <w:ind w:right="20"/>
              <w:jc w:val="both"/>
            </w:pPr>
            <w:r>
              <w:t>UTE et UCP</w:t>
            </w:r>
          </w:p>
        </w:tc>
        <w:tc>
          <w:tcPr>
            <w:tcW w:w="2374" w:type="dxa"/>
            <w:shd w:val="clear" w:color="auto" w:fill="auto"/>
          </w:tcPr>
          <w:p w14:paraId="2EAAED7F" w14:textId="77777777" w:rsidR="00C00BC5" w:rsidRPr="003E5DBB" w:rsidRDefault="00C00BC5" w:rsidP="00C00BC5">
            <w:pPr>
              <w:spacing w:line="226" w:lineRule="auto"/>
              <w:ind w:right="20"/>
              <w:jc w:val="both"/>
            </w:pPr>
            <w:r w:rsidRPr="003E5DBB">
              <w:t>Tout au long de la mise en œuvre des projets.</w:t>
            </w:r>
          </w:p>
        </w:tc>
      </w:tr>
      <w:tr w:rsidR="00C00BC5" w:rsidRPr="003E5DBB" w14:paraId="415F1DFE" w14:textId="77777777" w:rsidTr="00C00BC5">
        <w:trPr>
          <w:jc w:val="center"/>
        </w:trPr>
        <w:tc>
          <w:tcPr>
            <w:tcW w:w="2373" w:type="dxa"/>
            <w:shd w:val="clear" w:color="auto" w:fill="auto"/>
          </w:tcPr>
          <w:p w14:paraId="59EF93C4" w14:textId="77777777" w:rsidR="00C00BC5" w:rsidRPr="003E5DBB" w:rsidRDefault="00C00BC5" w:rsidP="00C00BC5">
            <w:pPr>
              <w:spacing w:line="226" w:lineRule="auto"/>
              <w:ind w:right="20"/>
              <w:jc w:val="both"/>
            </w:pPr>
            <w:r w:rsidRPr="003E5DBB">
              <w:t>Sanctions et recours contre les pratiques de fraude et de corruption </w:t>
            </w:r>
          </w:p>
        </w:tc>
        <w:tc>
          <w:tcPr>
            <w:tcW w:w="2373" w:type="dxa"/>
            <w:shd w:val="clear" w:color="auto" w:fill="auto"/>
          </w:tcPr>
          <w:p w14:paraId="5704AFA0" w14:textId="77777777" w:rsidR="00C00BC5" w:rsidRPr="003E5DBB" w:rsidRDefault="00C00BC5" w:rsidP="00C00BC5">
            <w:pPr>
              <w:spacing w:line="226" w:lineRule="auto"/>
              <w:ind w:right="20"/>
              <w:jc w:val="both"/>
            </w:pPr>
            <w:r w:rsidRPr="003E5DBB">
              <w:t>Prendre les sanctions adaptées contre les pratiques de fraude et de corruption avérées.</w:t>
            </w:r>
          </w:p>
        </w:tc>
        <w:tc>
          <w:tcPr>
            <w:tcW w:w="2374" w:type="dxa"/>
            <w:shd w:val="clear" w:color="auto" w:fill="auto"/>
          </w:tcPr>
          <w:p w14:paraId="69D27CC4" w14:textId="3C11F818" w:rsidR="00C00BC5" w:rsidRPr="003E5DBB" w:rsidRDefault="00024402" w:rsidP="00C00BC5">
            <w:pPr>
              <w:spacing w:line="226" w:lineRule="auto"/>
              <w:ind w:right="20"/>
              <w:jc w:val="both"/>
            </w:pPr>
            <w:r>
              <w:t>MEF et MICT</w:t>
            </w:r>
            <w:r w:rsidR="00C00BC5" w:rsidRPr="003E5DBB">
              <w:t xml:space="preserve"> </w:t>
            </w:r>
          </w:p>
        </w:tc>
        <w:tc>
          <w:tcPr>
            <w:tcW w:w="2374" w:type="dxa"/>
            <w:shd w:val="clear" w:color="auto" w:fill="auto"/>
          </w:tcPr>
          <w:p w14:paraId="4B095DC5" w14:textId="77777777" w:rsidR="00C00BC5" w:rsidRPr="003E5DBB" w:rsidRDefault="00C00BC5" w:rsidP="00C00BC5">
            <w:pPr>
              <w:spacing w:line="226" w:lineRule="auto"/>
              <w:ind w:right="20"/>
              <w:jc w:val="both"/>
            </w:pPr>
            <w:r w:rsidRPr="003E5DBB">
              <w:t>Tout au long de la mise en œuvre du Projet.</w:t>
            </w:r>
          </w:p>
        </w:tc>
      </w:tr>
      <w:tr w:rsidR="00C00BC5" w:rsidRPr="003E5DBB" w14:paraId="2FD73D13" w14:textId="77777777" w:rsidTr="00C00BC5">
        <w:trPr>
          <w:jc w:val="center"/>
        </w:trPr>
        <w:tc>
          <w:tcPr>
            <w:tcW w:w="2373" w:type="dxa"/>
            <w:shd w:val="clear" w:color="auto" w:fill="auto"/>
          </w:tcPr>
          <w:p w14:paraId="790E616D" w14:textId="77777777" w:rsidR="00C00BC5" w:rsidRPr="003E5DBB" w:rsidRDefault="00C00BC5" w:rsidP="00C00BC5">
            <w:pPr>
              <w:spacing w:line="226" w:lineRule="auto"/>
              <w:ind w:right="20"/>
              <w:jc w:val="both"/>
            </w:pPr>
            <w:r w:rsidRPr="003E5DBB">
              <w:t>Actions visant à prévenir les cas de collusion, de fraude et de népotisme</w:t>
            </w:r>
          </w:p>
        </w:tc>
        <w:tc>
          <w:tcPr>
            <w:tcW w:w="2373" w:type="dxa"/>
            <w:shd w:val="clear" w:color="auto" w:fill="auto"/>
          </w:tcPr>
          <w:p w14:paraId="37BC8FBB" w14:textId="5DB36A60" w:rsidR="00C00BC5" w:rsidRPr="003E5DBB" w:rsidRDefault="00C00BC5" w:rsidP="00C00BC5">
            <w:pPr>
              <w:spacing w:line="226" w:lineRule="auto"/>
              <w:ind w:right="20"/>
              <w:jc w:val="both"/>
            </w:pPr>
            <w:r w:rsidRPr="003E5DBB">
              <w:t>Mettre à disposition du personnel de</w:t>
            </w:r>
            <w:r w:rsidR="00024402">
              <w:t>s OE</w:t>
            </w:r>
            <w:r w:rsidRPr="003E5DBB">
              <w:t xml:space="preserve"> </w:t>
            </w:r>
            <w:r>
              <w:t>et</w:t>
            </w:r>
            <w:r w:rsidRPr="003E5DBB">
              <w:t xml:space="preserve"> des partenaires du projet les politiques et procédures applicables en matière de lutte contre la corruption.</w:t>
            </w:r>
          </w:p>
        </w:tc>
        <w:tc>
          <w:tcPr>
            <w:tcW w:w="2374" w:type="dxa"/>
            <w:shd w:val="clear" w:color="auto" w:fill="auto"/>
          </w:tcPr>
          <w:p w14:paraId="57E2B998" w14:textId="55810DA4" w:rsidR="00C00BC5" w:rsidRPr="003E5DBB" w:rsidRDefault="00024402" w:rsidP="00C00BC5">
            <w:pPr>
              <w:spacing w:line="226" w:lineRule="auto"/>
              <w:ind w:right="20"/>
              <w:jc w:val="both"/>
            </w:pPr>
            <w:r>
              <w:t>UTE et UCP</w:t>
            </w:r>
          </w:p>
        </w:tc>
        <w:tc>
          <w:tcPr>
            <w:tcW w:w="2374" w:type="dxa"/>
            <w:shd w:val="clear" w:color="auto" w:fill="auto"/>
          </w:tcPr>
          <w:p w14:paraId="2FF6F30E" w14:textId="77777777" w:rsidR="00C00BC5" w:rsidRPr="003E5DBB" w:rsidRDefault="00C00BC5" w:rsidP="00C00BC5">
            <w:pPr>
              <w:spacing w:line="226" w:lineRule="auto"/>
              <w:ind w:right="20"/>
              <w:jc w:val="both"/>
            </w:pPr>
            <w:r w:rsidRPr="003E5DBB">
              <w:t>Tout au long de la mise en œuvre du Projet.</w:t>
            </w:r>
          </w:p>
        </w:tc>
      </w:tr>
    </w:tbl>
    <w:p w14:paraId="6F4EC556" w14:textId="77777777" w:rsidR="00C00BC5" w:rsidRPr="003E5DBB" w:rsidRDefault="00C00BC5" w:rsidP="00C00BC5">
      <w:pPr>
        <w:spacing w:line="226" w:lineRule="auto"/>
        <w:ind w:right="20"/>
        <w:jc w:val="both"/>
      </w:pPr>
    </w:p>
    <w:p w14:paraId="3BF5605D" w14:textId="77777777" w:rsidR="00C00BC5" w:rsidRDefault="00C00BC5" w:rsidP="00C00BC5">
      <w:pPr>
        <w:spacing w:line="226" w:lineRule="auto"/>
        <w:ind w:right="20"/>
        <w:jc w:val="both"/>
      </w:pPr>
    </w:p>
    <w:p w14:paraId="5FBD1714" w14:textId="77777777" w:rsidR="00C00BC5" w:rsidRPr="00DF7139" w:rsidRDefault="00C00BC5" w:rsidP="00C00BC5">
      <w:pPr>
        <w:spacing w:line="226" w:lineRule="auto"/>
        <w:ind w:right="20"/>
        <w:jc w:val="both"/>
        <w:rPr>
          <w:b/>
        </w:rPr>
      </w:pPr>
      <w:r w:rsidRPr="00DF7139">
        <w:rPr>
          <w:b/>
        </w:rPr>
        <w:t xml:space="preserve">Ethique </w:t>
      </w:r>
    </w:p>
    <w:p w14:paraId="742B46FC" w14:textId="77777777" w:rsidR="00C00BC5" w:rsidRPr="00DF7139" w:rsidRDefault="00C00BC5" w:rsidP="00C00BC5">
      <w:pPr>
        <w:spacing w:line="226" w:lineRule="auto"/>
        <w:ind w:right="20"/>
        <w:jc w:val="both"/>
      </w:pPr>
    </w:p>
    <w:p w14:paraId="3B4F20E4" w14:textId="28A0DF12" w:rsidR="00C00BC5" w:rsidRPr="00DF7139" w:rsidRDefault="00C00BC5" w:rsidP="00C00BC5">
      <w:pPr>
        <w:spacing w:line="226" w:lineRule="auto"/>
        <w:ind w:right="20"/>
        <w:jc w:val="both"/>
      </w:pPr>
      <w:r w:rsidRPr="00DF7139">
        <w:t>Le personnel d</w:t>
      </w:r>
      <w:r w:rsidR="00024402">
        <w:t>es OE</w:t>
      </w:r>
      <w:r w:rsidRPr="00DF7139">
        <w:t xml:space="preserve"> est tenu au respect strict des règles d’intégrité et de transparence décrites dans leurs manuels de procédures administratives et financières respectifs et dans le Manuel d’Opérations. </w:t>
      </w:r>
    </w:p>
    <w:p w14:paraId="65ADA1AB" w14:textId="77777777" w:rsidR="00C00BC5" w:rsidRPr="00DF7139" w:rsidRDefault="00C00BC5" w:rsidP="00C00BC5">
      <w:pPr>
        <w:spacing w:line="226" w:lineRule="auto"/>
        <w:ind w:right="20"/>
        <w:jc w:val="both"/>
      </w:pPr>
    </w:p>
    <w:p w14:paraId="51200AF7" w14:textId="77777777" w:rsidR="00C00BC5" w:rsidRPr="00DF7139" w:rsidRDefault="00C00BC5" w:rsidP="00C00BC5">
      <w:pPr>
        <w:spacing w:line="226" w:lineRule="auto"/>
        <w:ind w:right="20"/>
        <w:jc w:val="both"/>
      </w:pPr>
      <w:r w:rsidRPr="00DF7139">
        <w:t xml:space="preserve">Le personnel de </w:t>
      </w:r>
      <w:r>
        <w:t xml:space="preserve">ces entités </w:t>
      </w:r>
      <w:r w:rsidRPr="00DF7139">
        <w:t>sous peine de cessation immédiate de leur contrat et sans préjudice des poursuites judiciaires prévues par la Loi, ne s’impliquera dans des actions assimilables à un délit d’initié, un vol, un abus de biens sociaux, une corruption caractérisée (acceptation de pots de vin, détournement de fonds, subornation de témoin, etc.), ou une conduite constitutive d’un harcèlement sexuel.</w:t>
      </w:r>
    </w:p>
    <w:p w14:paraId="62763AAD" w14:textId="6F41690B" w:rsidR="006E4C32" w:rsidRDefault="006E4C32" w:rsidP="00ED6EFB">
      <w:pPr>
        <w:spacing w:line="226" w:lineRule="auto"/>
        <w:ind w:right="20"/>
        <w:jc w:val="both"/>
        <w:rPr>
          <w:i/>
        </w:rPr>
      </w:pPr>
    </w:p>
    <w:p w14:paraId="3B67CAC0" w14:textId="17D9F60E" w:rsidR="00EB65E3" w:rsidRDefault="00EB65E3" w:rsidP="00ED6EFB">
      <w:pPr>
        <w:spacing w:line="226" w:lineRule="auto"/>
        <w:ind w:right="20"/>
        <w:jc w:val="both"/>
        <w:rPr>
          <w:i/>
        </w:rPr>
      </w:pPr>
    </w:p>
    <w:p w14:paraId="3AE1C4B8" w14:textId="77777777" w:rsidR="003F5286" w:rsidRPr="006E4C32" w:rsidRDefault="003F5286" w:rsidP="00ED6EFB">
      <w:pPr>
        <w:spacing w:line="226" w:lineRule="auto"/>
        <w:ind w:right="20"/>
        <w:jc w:val="both"/>
      </w:pPr>
    </w:p>
    <w:sectPr w:rsidR="003F5286" w:rsidRPr="006E4C32" w:rsidSect="006E4C32">
      <w:headerReference w:type="default" r:id="rId9"/>
      <w:footerReference w:type="even" r:id="rId10"/>
      <w:footerReference w:type="default" r:id="rId11"/>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4EC2B" w14:textId="77777777" w:rsidR="001B11C2" w:rsidRDefault="001B11C2" w:rsidP="00A46C4F">
      <w:r>
        <w:separator/>
      </w:r>
    </w:p>
  </w:endnote>
  <w:endnote w:type="continuationSeparator" w:id="0">
    <w:p w14:paraId="62A9064F" w14:textId="77777777" w:rsidR="001B11C2" w:rsidRDefault="001B11C2" w:rsidP="00A46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pitch w:val="default"/>
    <w:sig w:usb0="00000003" w:usb1="00000000" w:usb2="00000000" w:usb3="00000000" w:csb0="00000001" w:csb1="00000000"/>
  </w:font>
  <w:font w:name="Segoe UI Emoji">
    <w:altName w:val="Segoe UI"/>
    <w:panose1 w:val="020B0502040204020203"/>
    <w:charset w:val="00"/>
    <w:family w:val="swiss"/>
    <w:pitch w:val="variable"/>
    <w:sig w:usb0="00000003" w:usb1="02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DD878" w14:textId="77777777" w:rsidR="00903265" w:rsidRDefault="00903265" w:rsidP="006E4C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3634B4" w14:textId="77777777" w:rsidR="00903265" w:rsidRDefault="00903265" w:rsidP="006E4C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3ECC2" w14:textId="2B9A2149" w:rsidR="00903265" w:rsidRDefault="00903265" w:rsidP="00BD2B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33</w:t>
    </w:r>
    <w:r>
      <w:rPr>
        <w:rStyle w:val="PageNumber"/>
      </w:rPr>
      <w:fldChar w:fldCharType="end"/>
    </w:r>
  </w:p>
  <w:p w14:paraId="5B14BC98" w14:textId="77777777" w:rsidR="00903265" w:rsidRDefault="00903265" w:rsidP="006E4C3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9DF77C" w14:textId="77777777" w:rsidR="001B11C2" w:rsidRDefault="001B11C2" w:rsidP="00A46C4F">
      <w:r>
        <w:separator/>
      </w:r>
    </w:p>
  </w:footnote>
  <w:footnote w:type="continuationSeparator" w:id="0">
    <w:p w14:paraId="69BB726E" w14:textId="77777777" w:rsidR="001B11C2" w:rsidRDefault="001B11C2" w:rsidP="00A46C4F">
      <w:r>
        <w:continuationSeparator/>
      </w:r>
    </w:p>
  </w:footnote>
  <w:footnote w:id="1">
    <w:p w14:paraId="7C97CC83" w14:textId="77777777" w:rsidR="00903265" w:rsidRPr="002239E3" w:rsidRDefault="00903265" w:rsidP="003C51DD">
      <w:pPr>
        <w:pStyle w:val="FootnoteText"/>
        <w:rPr>
          <w:lang w:val="fr-FR"/>
        </w:rPr>
      </w:pPr>
      <w:r>
        <w:rPr>
          <w:rStyle w:val="FootnoteReference"/>
        </w:rPr>
        <w:footnoteRef/>
      </w:r>
      <w:r w:rsidRPr="002239E3">
        <w:rPr>
          <w:lang w:val="fr-FR"/>
        </w:rPr>
        <w:t xml:space="preserve"> </w:t>
      </w:r>
      <w:r>
        <w:rPr>
          <w:lang w:val="fr-FR"/>
        </w:rPr>
        <w:t xml:space="preserve">Pour de plus amples renseignements : </w:t>
      </w:r>
      <w:r w:rsidRPr="001776C6">
        <w:rPr>
          <w:lang w:val="fr-FR"/>
        </w:rPr>
        <w:t>https://www.iadb.org/en/project/HA-L1103</w:t>
      </w:r>
    </w:p>
  </w:footnote>
  <w:footnote w:id="2">
    <w:p w14:paraId="668DB480" w14:textId="77777777" w:rsidR="00903265" w:rsidRPr="001776C6" w:rsidRDefault="00903265" w:rsidP="003C51DD">
      <w:pPr>
        <w:pStyle w:val="FootnoteText"/>
        <w:rPr>
          <w:lang w:val="fr-FR"/>
        </w:rPr>
      </w:pPr>
      <w:r>
        <w:rPr>
          <w:rStyle w:val="FootnoteReference"/>
        </w:rPr>
        <w:footnoteRef/>
      </w:r>
      <w:r w:rsidRPr="001776C6">
        <w:rPr>
          <w:lang w:val="fr-FR"/>
        </w:rPr>
        <w:t xml:space="preserve"> </w:t>
      </w:r>
      <w:r>
        <w:rPr>
          <w:lang w:val="fr-FR"/>
        </w:rPr>
        <w:t xml:space="preserve">Pour de plus amples renseignements : </w:t>
      </w:r>
      <w:r w:rsidRPr="001776C6">
        <w:rPr>
          <w:lang w:val="fr-FR"/>
        </w:rPr>
        <w:t>https://www.iadb.org/en/project/HA-L1103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8838388"/>
      <w:docPartObj>
        <w:docPartGallery w:val="Watermarks"/>
        <w:docPartUnique/>
      </w:docPartObj>
    </w:sdtPr>
    <w:sdtEndPr/>
    <w:sdtContent>
      <w:p w14:paraId="3CE41600" w14:textId="455CBA07" w:rsidR="00903265" w:rsidRDefault="001B11C2">
        <w:pPr>
          <w:pStyle w:val="Header"/>
        </w:pPr>
        <w:r>
          <w:rPr>
            <w:noProof/>
          </w:rPr>
          <w:pict w14:anchorId="5AC7B3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hybridMultilevel"/>
    <w:tmpl w:val="19E21BB2"/>
    <w:lvl w:ilvl="0" w:tplc="C6869E0C">
      <w:start w:val="1"/>
      <w:numFmt w:val="bullet"/>
      <w:lvlText w:val="-"/>
      <w:lvlJc w:val="left"/>
    </w:lvl>
    <w:lvl w:ilvl="1" w:tplc="BFBE6286">
      <w:start w:val="1"/>
      <w:numFmt w:val="bullet"/>
      <w:lvlText w:val=""/>
      <w:lvlJc w:val="left"/>
    </w:lvl>
    <w:lvl w:ilvl="2" w:tplc="4D145878">
      <w:start w:val="1"/>
      <w:numFmt w:val="bullet"/>
      <w:lvlText w:val=""/>
      <w:lvlJc w:val="left"/>
    </w:lvl>
    <w:lvl w:ilvl="3" w:tplc="637ACF80">
      <w:start w:val="1"/>
      <w:numFmt w:val="bullet"/>
      <w:lvlText w:val=""/>
      <w:lvlJc w:val="left"/>
    </w:lvl>
    <w:lvl w:ilvl="4" w:tplc="E452ACF4">
      <w:start w:val="1"/>
      <w:numFmt w:val="bullet"/>
      <w:lvlText w:val=""/>
      <w:lvlJc w:val="left"/>
    </w:lvl>
    <w:lvl w:ilvl="5" w:tplc="8C68102C">
      <w:start w:val="1"/>
      <w:numFmt w:val="bullet"/>
      <w:lvlText w:val=""/>
      <w:lvlJc w:val="left"/>
    </w:lvl>
    <w:lvl w:ilvl="6" w:tplc="A64AE710">
      <w:start w:val="1"/>
      <w:numFmt w:val="bullet"/>
      <w:lvlText w:val=""/>
      <w:lvlJc w:val="left"/>
    </w:lvl>
    <w:lvl w:ilvl="7" w:tplc="02248CAC">
      <w:start w:val="1"/>
      <w:numFmt w:val="bullet"/>
      <w:lvlText w:val=""/>
      <w:lvlJc w:val="left"/>
    </w:lvl>
    <w:lvl w:ilvl="8" w:tplc="2496E3EC">
      <w:start w:val="1"/>
      <w:numFmt w:val="bullet"/>
      <w:lvlText w:val=""/>
      <w:lvlJc w:val="left"/>
    </w:lvl>
  </w:abstractNum>
  <w:abstractNum w:abstractNumId="1" w15:restartNumberingAfterBreak="0">
    <w:nsid w:val="00000008"/>
    <w:multiLevelType w:val="hybridMultilevel"/>
    <w:tmpl w:val="75E0858A"/>
    <w:lvl w:ilvl="0" w:tplc="1764CB6E">
      <w:start w:val="1"/>
      <w:numFmt w:val="bullet"/>
      <w:lvlText w:val="-"/>
      <w:lvlJc w:val="left"/>
    </w:lvl>
    <w:lvl w:ilvl="1" w:tplc="C4B03BCA">
      <w:start w:val="1"/>
      <w:numFmt w:val="bullet"/>
      <w:lvlText w:val=""/>
      <w:lvlJc w:val="left"/>
    </w:lvl>
    <w:lvl w:ilvl="2" w:tplc="2D9E6B5C">
      <w:start w:val="1"/>
      <w:numFmt w:val="bullet"/>
      <w:lvlText w:val=""/>
      <w:lvlJc w:val="left"/>
    </w:lvl>
    <w:lvl w:ilvl="3" w:tplc="14AEBD3A">
      <w:start w:val="1"/>
      <w:numFmt w:val="bullet"/>
      <w:lvlText w:val=""/>
      <w:lvlJc w:val="left"/>
    </w:lvl>
    <w:lvl w:ilvl="4" w:tplc="F4B2EC32">
      <w:start w:val="1"/>
      <w:numFmt w:val="bullet"/>
      <w:lvlText w:val=""/>
      <w:lvlJc w:val="left"/>
    </w:lvl>
    <w:lvl w:ilvl="5" w:tplc="C2AE2FA2">
      <w:start w:val="1"/>
      <w:numFmt w:val="bullet"/>
      <w:lvlText w:val=""/>
      <w:lvlJc w:val="left"/>
    </w:lvl>
    <w:lvl w:ilvl="6" w:tplc="AEC6777E">
      <w:start w:val="1"/>
      <w:numFmt w:val="bullet"/>
      <w:lvlText w:val=""/>
      <w:lvlJc w:val="left"/>
    </w:lvl>
    <w:lvl w:ilvl="7" w:tplc="B5BEDF82">
      <w:start w:val="1"/>
      <w:numFmt w:val="bullet"/>
      <w:lvlText w:val=""/>
      <w:lvlJc w:val="left"/>
    </w:lvl>
    <w:lvl w:ilvl="8" w:tplc="151AEFFC">
      <w:start w:val="1"/>
      <w:numFmt w:val="bullet"/>
      <w:lvlText w:val=""/>
      <w:lvlJc w:val="left"/>
    </w:lvl>
  </w:abstractNum>
  <w:abstractNum w:abstractNumId="2" w15:restartNumberingAfterBreak="0">
    <w:nsid w:val="00000050"/>
    <w:multiLevelType w:val="hybridMultilevel"/>
    <w:tmpl w:val="AC5E1DFC"/>
    <w:lvl w:ilvl="0" w:tplc="09CAE058">
      <w:start w:val="1"/>
      <w:numFmt w:val="lowerRoman"/>
      <w:lvlText w:val="%1."/>
      <w:lvlJc w:val="left"/>
    </w:lvl>
    <w:lvl w:ilvl="1" w:tplc="14FE9BE8">
      <w:start w:val="1"/>
      <w:numFmt w:val="bullet"/>
      <w:lvlText w:val=""/>
      <w:lvlJc w:val="left"/>
    </w:lvl>
    <w:lvl w:ilvl="2" w:tplc="89C4CFC0">
      <w:start w:val="1"/>
      <w:numFmt w:val="bullet"/>
      <w:lvlText w:val=""/>
      <w:lvlJc w:val="left"/>
    </w:lvl>
    <w:lvl w:ilvl="3" w:tplc="887C7CB6">
      <w:start w:val="1"/>
      <w:numFmt w:val="bullet"/>
      <w:lvlText w:val=""/>
      <w:lvlJc w:val="left"/>
    </w:lvl>
    <w:lvl w:ilvl="4" w:tplc="ADB69266">
      <w:start w:val="1"/>
      <w:numFmt w:val="bullet"/>
      <w:lvlText w:val=""/>
      <w:lvlJc w:val="left"/>
    </w:lvl>
    <w:lvl w:ilvl="5" w:tplc="C74A1A14">
      <w:start w:val="1"/>
      <w:numFmt w:val="bullet"/>
      <w:lvlText w:val=""/>
      <w:lvlJc w:val="left"/>
    </w:lvl>
    <w:lvl w:ilvl="6" w:tplc="B8484822">
      <w:start w:val="1"/>
      <w:numFmt w:val="bullet"/>
      <w:lvlText w:val=""/>
      <w:lvlJc w:val="left"/>
    </w:lvl>
    <w:lvl w:ilvl="7" w:tplc="984E5F84">
      <w:start w:val="1"/>
      <w:numFmt w:val="bullet"/>
      <w:lvlText w:val=""/>
      <w:lvlJc w:val="left"/>
    </w:lvl>
    <w:lvl w:ilvl="8" w:tplc="E3B68154">
      <w:start w:val="1"/>
      <w:numFmt w:val="bullet"/>
      <w:lvlText w:val=""/>
      <w:lvlJc w:val="left"/>
    </w:lvl>
  </w:abstractNum>
  <w:abstractNum w:abstractNumId="3" w15:restartNumberingAfterBreak="0">
    <w:nsid w:val="0000005D"/>
    <w:multiLevelType w:val="hybridMultilevel"/>
    <w:tmpl w:val="24E60400"/>
    <w:lvl w:ilvl="0" w:tplc="CA4A1316">
      <w:start w:val="1"/>
      <w:numFmt w:val="bullet"/>
      <w:lvlText w:val="-"/>
      <w:lvlJc w:val="left"/>
    </w:lvl>
    <w:lvl w:ilvl="1" w:tplc="88F6CF50">
      <w:start w:val="1"/>
      <w:numFmt w:val="bullet"/>
      <w:lvlText w:val=""/>
      <w:lvlJc w:val="left"/>
    </w:lvl>
    <w:lvl w:ilvl="2" w:tplc="AA94648C">
      <w:start w:val="1"/>
      <w:numFmt w:val="bullet"/>
      <w:lvlText w:val=""/>
      <w:lvlJc w:val="left"/>
    </w:lvl>
    <w:lvl w:ilvl="3" w:tplc="CAE8BC92">
      <w:start w:val="1"/>
      <w:numFmt w:val="bullet"/>
      <w:lvlText w:val=""/>
      <w:lvlJc w:val="left"/>
    </w:lvl>
    <w:lvl w:ilvl="4" w:tplc="DEE0BA30">
      <w:start w:val="1"/>
      <w:numFmt w:val="bullet"/>
      <w:lvlText w:val=""/>
      <w:lvlJc w:val="left"/>
    </w:lvl>
    <w:lvl w:ilvl="5" w:tplc="5F0E2AE2">
      <w:start w:val="1"/>
      <w:numFmt w:val="bullet"/>
      <w:lvlText w:val=""/>
      <w:lvlJc w:val="left"/>
    </w:lvl>
    <w:lvl w:ilvl="6" w:tplc="7F34514E">
      <w:start w:val="1"/>
      <w:numFmt w:val="bullet"/>
      <w:lvlText w:val=""/>
      <w:lvlJc w:val="left"/>
    </w:lvl>
    <w:lvl w:ilvl="7" w:tplc="9258D3C8">
      <w:start w:val="1"/>
      <w:numFmt w:val="bullet"/>
      <w:lvlText w:val=""/>
      <w:lvlJc w:val="left"/>
    </w:lvl>
    <w:lvl w:ilvl="8" w:tplc="54C2F322">
      <w:start w:val="1"/>
      <w:numFmt w:val="bullet"/>
      <w:lvlText w:val=""/>
      <w:lvlJc w:val="left"/>
    </w:lvl>
  </w:abstractNum>
  <w:abstractNum w:abstractNumId="4" w15:restartNumberingAfterBreak="0">
    <w:nsid w:val="00000060"/>
    <w:multiLevelType w:val="hybridMultilevel"/>
    <w:tmpl w:val="36B2ACBC"/>
    <w:lvl w:ilvl="0" w:tplc="F47E3220">
      <w:start w:val="1"/>
      <w:numFmt w:val="bullet"/>
      <w:lvlText w:val="-"/>
      <w:lvlJc w:val="left"/>
    </w:lvl>
    <w:lvl w:ilvl="1" w:tplc="40D45F6E">
      <w:start w:val="1"/>
      <w:numFmt w:val="bullet"/>
      <w:lvlText w:val=""/>
      <w:lvlJc w:val="left"/>
    </w:lvl>
    <w:lvl w:ilvl="2" w:tplc="526A1494">
      <w:start w:val="1"/>
      <w:numFmt w:val="bullet"/>
      <w:lvlText w:val=""/>
      <w:lvlJc w:val="left"/>
    </w:lvl>
    <w:lvl w:ilvl="3" w:tplc="B53E78EC">
      <w:start w:val="1"/>
      <w:numFmt w:val="bullet"/>
      <w:lvlText w:val=""/>
      <w:lvlJc w:val="left"/>
    </w:lvl>
    <w:lvl w:ilvl="4" w:tplc="9C364F42">
      <w:start w:val="1"/>
      <w:numFmt w:val="bullet"/>
      <w:lvlText w:val=""/>
      <w:lvlJc w:val="left"/>
    </w:lvl>
    <w:lvl w:ilvl="5" w:tplc="047697D0">
      <w:start w:val="1"/>
      <w:numFmt w:val="bullet"/>
      <w:lvlText w:val=""/>
      <w:lvlJc w:val="left"/>
    </w:lvl>
    <w:lvl w:ilvl="6" w:tplc="9274E768">
      <w:start w:val="1"/>
      <w:numFmt w:val="bullet"/>
      <w:lvlText w:val=""/>
      <w:lvlJc w:val="left"/>
    </w:lvl>
    <w:lvl w:ilvl="7" w:tplc="162E5102">
      <w:start w:val="1"/>
      <w:numFmt w:val="bullet"/>
      <w:lvlText w:val=""/>
      <w:lvlJc w:val="left"/>
    </w:lvl>
    <w:lvl w:ilvl="8" w:tplc="2BEE8D1A">
      <w:start w:val="1"/>
      <w:numFmt w:val="bullet"/>
      <w:lvlText w:val=""/>
      <w:lvlJc w:val="left"/>
    </w:lvl>
  </w:abstractNum>
  <w:abstractNum w:abstractNumId="5" w15:restartNumberingAfterBreak="0">
    <w:nsid w:val="00000068"/>
    <w:multiLevelType w:val="hybridMultilevel"/>
    <w:tmpl w:val="710757D0"/>
    <w:lvl w:ilvl="0" w:tplc="6A3036F6">
      <w:start w:val="1"/>
      <w:numFmt w:val="lowerLetter"/>
      <w:lvlText w:val="%1)"/>
      <w:lvlJc w:val="left"/>
    </w:lvl>
    <w:lvl w:ilvl="1" w:tplc="0B3654CE">
      <w:start w:val="1"/>
      <w:numFmt w:val="bullet"/>
      <w:lvlText w:val=""/>
      <w:lvlJc w:val="left"/>
    </w:lvl>
    <w:lvl w:ilvl="2" w:tplc="F2E6E8E4">
      <w:start w:val="1"/>
      <w:numFmt w:val="bullet"/>
      <w:lvlText w:val=""/>
      <w:lvlJc w:val="left"/>
    </w:lvl>
    <w:lvl w:ilvl="3" w:tplc="F1C00B58">
      <w:start w:val="1"/>
      <w:numFmt w:val="bullet"/>
      <w:lvlText w:val=""/>
      <w:lvlJc w:val="left"/>
    </w:lvl>
    <w:lvl w:ilvl="4" w:tplc="7284B59A">
      <w:start w:val="1"/>
      <w:numFmt w:val="bullet"/>
      <w:lvlText w:val=""/>
      <w:lvlJc w:val="left"/>
    </w:lvl>
    <w:lvl w:ilvl="5" w:tplc="526C7496">
      <w:start w:val="1"/>
      <w:numFmt w:val="bullet"/>
      <w:lvlText w:val=""/>
      <w:lvlJc w:val="left"/>
    </w:lvl>
    <w:lvl w:ilvl="6" w:tplc="0388BE92">
      <w:start w:val="1"/>
      <w:numFmt w:val="bullet"/>
      <w:lvlText w:val=""/>
      <w:lvlJc w:val="left"/>
    </w:lvl>
    <w:lvl w:ilvl="7" w:tplc="8E084FB4">
      <w:start w:val="1"/>
      <w:numFmt w:val="bullet"/>
      <w:lvlText w:val=""/>
      <w:lvlJc w:val="left"/>
    </w:lvl>
    <w:lvl w:ilvl="8" w:tplc="2F98629E">
      <w:start w:val="1"/>
      <w:numFmt w:val="bullet"/>
      <w:lvlText w:val=""/>
      <w:lvlJc w:val="left"/>
    </w:lvl>
  </w:abstractNum>
  <w:abstractNum w:abstractNumId="6" w15:restartNumberingAfterBreak="0">
    <w:nsid w:val="00000069"/>
    <w:multiLevelType w:val="hybridMultilevel"/>
    <w:tmpl w:val="5015CD1A"/>
    <w:lvl w:ilvl="0" w:tplc="4E3CAA22">
      <w:start w:val="1"/>
      <w:numFmt w:val="bullet"/>
      <w:lvlText w:val="-"/>
      <w:lvlJc w:val="left"/>
    </w:lvl>
    <w:lvl w:ilvl="1" w:tplc="885C9DE6">
      <w:start w:val="1"/>
      <w:numFmt w:val="bullet"/>
      <w:lvlText w:val=""/>
      <w:lvlJc w:val="left"/>
    </w:lvl>
    <w:lvl w:ilvl="2" w:tplc="EB780390">
      <w:start w:val="1"/>
      <w:numFmt w:val="bullet"/>
      <w:lvlText w:val=""/>
      <w:lvlJc w:val="left"/>
    </w:lvl>
    <w:lvl w:ilvl="3" w:tplc="286AC3A6">
      <w:start w:val="1"/>
      <w:numFmt w:val="bullet"/>
      <w:lvlText w:val=""/>
      <w:lvlJc w:val="left"/>
    </w:lvl>
    <w:lvl w:ilvl="4" w:tplc="4BB48AAE">
      <w:start w:val="1"/>
      <w:numFmt w:val="bullet"/>
      <w:lvlText w:val=""/>
      <w:lvlJc w:val="left"/>
    </w:lvl>
    <w:lvl w:ilvl="5" w:tplc="ABC4290C">
      <w:start w:val="1"/>
      <w:numFmt w:val="bullet"/>
      <w:lvlText w:val=""/>
      <w:lvlJc w:val="left"/>
    </w:lvl>
    <w:lvl w:ilvl="6" w:tplc="2C86945A">
      <w:start w:val="1"/>
      <w:numFmt w:val="bullet"/>
      <w:lvlText w:val=""/>
      <w:lvlJc w:val="left"/>
    </w:lvl>
    <w:lvl w:ilvl="7" w:tplc="D26880DC">
      <w:start w:val="1"/>
      <w:numFmt w:val="bullet"/>
      <w:lvlText w:val=""/>
      <w:lvlJc w:val="left"/>
    </w:lvl>
    <w:lvl w:ilvl="8" w:tplc="FF5ADA76">
      <w:start w:val="1"/>
      <w:numFmt w:val="bullet"/>
      <w:lvlText w:val=""/>
      <w:lvlJc w:val="left"/>
    </w:lvl>
  </w:abstractNum>
  <w:abstractNum w:abstractNumId="7" w15:restartNumberingAfterBreak="0">
    <w:nsid w:val="0000006E"/>
    <w:multiLevelType w:val="hybridMultilevel"/>
    <w:tmpl w:val="6A3B714C"/>
    <w:lvl w:ilvl="0" w:tplc="B2CA5D6A">
      <w:start w:val="1"/>
      <w:numFmt w:val="bullet"/>
      <w:lvlText w:val="-"/>
      <w:lvlJc w:val="left"/>
    </w:lvl>
    <w:lvl w:ilvl="1" w:tplc="3D9ACAB8">
      <w:start w:val="1"/>
      <w:numFmt w:val="bullet"/>
      <w:lvlText w:val=""/>
      <w:lvlJc w:val="left"/>
    </w:lvl>
    <w:lvl w:ilvl="2" w:tplc="AB1CEF9E">
      <w:start w:val="1"/>
      <w:numFmt w:val="bullet"/>
      <w:lvlText w:val=""/>
      <w:lvlJc w:val="left"/>
    </w:lvl>
    <w:lvl w:ilvl="3" w:tplc="37F2B2F4">
      <w:start w:val="1"/>
      <w:numFmt w:val="bullet"/>
      <w:lvlText w:val=""/>
      <w:lvlJc w:val="left"/>
    </w:lvl>
    <w:lvl w:ilvl="4" w:tplc="D6AAEAD6">
      <w:start w:val="1"/>
      <w:numFmt w:val="bullet"/>
      <w:lvlText w:val=""/>
      <w:lvlJc w:val="left"/>
    </w:lvl>
    <w:lvl w:ilvl="5" w:tplc="9D94A50C">
      <w:start w:val="1"/>
      <w:numFmt w:val="bullet"/>
      <w:lvlText w:val=""/>
      <w:lvlJc w:val="left"/>
    </w:lvl>
    <w:lvl w:ilvl="6" w:tplc="5D702F16">
      <w:start w:val="1"/>
      <w:numFmt w:val="bullet"/>
      <w:lvlText w:val=""/>
      <w:lvlJc w:val="left"/>
    </w:lvl>
    <w:lvl w:ilvl="7" w:tplc="BE5671CE">
      <w:start w:val="1"/>
      <w:numFmt w:val="bullet"/>
      <w:lvlText w:val=""/>
      <w:lvlJc w:val="left"/>
    </w:lvl>
    <w:lvl w:ilvl="8" w:tplc="89C6D89E">
      <w:start w:val="1"/>
      <w:numFmt w:val="bullet"/>
      <w:lvlText w:val=""/>
      <w:lvlJc w:val="left"/>
    </w:lvl>
  </w:abstractNum>
  <w:abstractNum w:abstractNumId="8" w15:restartNumberingAfterBreak="0">
    <w:nsid w:val="00000070"/>
    <w:multiLevelType w:val="hybridMultilevel"/>
    <w:tmpl w:val="1F461B50"/>
    <w:lvl w:ilvl="0" w:tplc="4BF68262">
      <w:start w:val="1"/>
      <w:numFmt w:val="bullet"/>
      <w:lvlText w:val="-"/>
      <w:lvlJc w:val="left"/>
    </w:lvl>
    <w:lvl w:ilvl="1" w:tplc="92CE61A0">
      <w:start w:val="1"/>
      <w:numFmt w:val="bullet"/>
      <w:lvlText w:val=""/>
      <w:lvlJc w:val="left"/>
    </w:lvl>
    <w:lvl w:ilvl="2" w:tplc="9566D8C6">
      <w:start w:val="1"/>
      <w:numFmt w:val="bullet"/>
      <w:lvlText w:val=""/>
      <w:lvlJc w:val="left"/>
    </w:lvl>
    <w:lvl w:ilvl="3" w:tplc="CEBA6478">
      <w:start w:val="1"/>
      <w:numFmt w:val="bullet"/>
      <w:lvlText w:val=""/>
      <w:lvlJc w:val="left"/>
    </w:lvl>
    <w:lvl w:ilvl="4" w:tplc="BBAC632E">
      <w:start w:val="1"/>
      <w:numFmt w:val="bullet"/>
      <w:lvlText w:val=""/>
      <w:lvlJc w:val="left"/>
    </w:lvl>
    <w:lvl w:ilvl="5" w:tplc="69B608B8">
      <w:start w:val="1"/>
      <w:numFmt w:val="bullet"/>
      <w:lvlText w:val=""/>
      <w:lvlJc w:val="left"/>
    </w:lvl>
    <w:lvl w:ilvl="6" w:tplc="FC981D00">
      <w:start w:val="1"/>
      <w:numFmt w:val="bullet"/>
      <w:lvlText w:val=""/>
      <w:lvlJc w:val="left"/>
    </w:lvl>
    <w:lvl w:ilvl="7" w:tplc="13B8FA5C">
      <w:start w:val="1"/>
      <w:numFmt w:val="bullet"/>
      <w:lvlText w:val=""/>
      <w:lvlJc w:val="left"/>
    </w:lvl>
    <w:lvl w:ilvl="8" w:tplc="65DAE284">
      <w:start w:val="1"/>
      <w:numFmt w:val="bullet"/>
      <w:lvlText w:val=""/>
      <w:lvlJc w:val="left"/>
    </w:lvl>
  </w:abstractNum>
  <w:abstractNum w:abstractNumId="9" w15:restartNumberingAfterBreak="0">
    <w:nsid w:val="05A2513C"/>
    <w:multiLevelType w:val="multilevel"/>
    <w:tmpl w:val="662410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76D0161"/>
    <w:multiLevelType w:val="multilevel"/>
    <w:tmpl w:val="41D01D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2921BB0"/>
    <w:multiLevelType w:val="multilevel"/>
    <w:tmpl w:val="D136BDA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176CE7"/>
    <w:multiLevelType w:val="hybridMultilevel"/>
    <w:tmpl w:val="2B78FE0C"/>
    <w:lvl w:ilvl="0" w:tplc="09CAE058">
      <w:start w:val="1"/>
      <w:numFmt w:val="low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F77D0B"/>
    <w:multiLevelType w:val="multilevel"/>
    <w:tmpl w:val="5A12C04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4" w15:restartNumberingAfterBreak="0">
    <w:nsid w:val="27F93346"/>
    <w:multiLevelType w:val="hybridMultilevel"/>
    <w:tmpl w:val="4A3085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8A58D7"/>
    <w:multiLevelType w:val="multilevel"/>
    <w:tmpl w:val="13BA3048"/>
    <w:lvl w:ilvl="0">
      <w:start w:val="2"/>
      <w:numFmt w:val="decimal"/>
      <w:lvlText w:val="%1"/>
      <w:lvlJc w:val="left"/>
      <w:pPr>
        <w:ind w:left="360" w:hanging="360"/>
      </w:pPr>
      <w:rPr>
        <w:rFonts w:hint="default"/>
        <w:b/>
      </w:rPr>
    </w:lvl>
    <w:lvl w:ilvl="1">
      <w:start w:val="6"/>
      <w:numFmt w:val="decimal"/>
      <w:lvlText w:val="%1.%2"/>
      <w:lvlJc w:val="left"/>
      <w:pPr>
        <w:ind w:left="900" w:hanging="36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16" w15:restartNumberingAfterBreak="0">
    <w:nsid w:val="319B52EC"/>
    <w:multiLevelType w:val="multilevel"/>
    <w:tmpl w:val="D9EA6A1A"/>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6867740"/>
    <w:multiLevelType w:val="multilevel"/>
    <w:tmpl w:val="C35C22BC"/>
    <w:lvl w:ilvl="0">
      <w:start w:val="1"/>
      <w:numFmt w:val="upperRoman"/>
      <w:pStyle w:val="Chapter"/>
      <w:lvlText w:val="%1."/>
      <w:lvlJc w:val="right"/>
      <w:pPr>
        <w:ind w:left="2088" w:hanging="360"/>
      </w:pPr>
      <w:rPr>
        <w:b/>
        <w:i w:val="0"/>
      </w:rPr>
    </w:lvl>
    <w:lvl w:ilvl="1">
      <w:start w:val="1"/>
      <w:numFmt w:val="decimal"/>
      <w:pStyle w:val="Paragraph"/>
      <w:isLgl/>
      <w:lvlText w:val="%1.%2"/>
      <w:lvlJc w:val="left"/>
      <w:pPr>
        <w:tabs>
          <w:tab w:val="num" w:pos="2736"/>
        </w:tabs>
        <w:ind w:left="2736" w:hanging="1296"/>
      </w:pPr>
      <w:rPr>
        <w:rFonts w:cs="Times New Roman"/>
      </w:rPr>
    </w:lvl>
    <w:lvl w:ilvl="2">
      <w:start w:val="1"/>
      <w:numFmt w:val="lowerLetter"/>
      <w:pStyle w:val="subpar"/>
      <w:lvlText w:val="%3."/>
      <w:lvlJc w:val="left"/>
      <w:pPr>
        <w:tabs>
          <w:tab w:val="num" w:pos="2592"/>
        </w:tabs>
        <w:ind w:left="2592" w:hanging="432"/>
      </w:pPr>
      <w:rPr>
        <w:rFonts w:cs="Times New Roman"/>
      </w:rPr>
    </w:lvl>
    <w:lvl w:ilvl="3">
      <w:start w:val="1"/>
      <w:numFmt w:val="lowerRoman"/>
      <w:pStyle w:val="SubSubPar"/>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18" w15:restartNumberingAfterBreak="0">
    <w:nsid w:val="3B323014"/>
    <w:multiLevelType w:val="hybridMultilevel"/>
    <w:tmpl w:val="3EDCF1F2"/>
    <w:lvl w:ilvl="0" w:tplc="6FFA5D54">
      <w:start w:val="1"/>
      <w:numFmt w:val="bullet"/>
      <w:lvlText w:val=""/>
      <w:lvlJc w:val="left"/>
      <w:pPr>
        <w:tabs>
          <w:tab w:val="num" w:pos="720"/>
        </w:tabs>
        <w:ind w:left="720" w:hanging="360"/>
      </w:pPr>
      <w:rPr>
        <w:rFonts w:ascii="Symbol" w:hAnsi="Symbol" w:hint="default"/>
      </w:rPr>
    </w:lvl>
    <w:lvl w:ilvl="1" w:tplc="C88AE006">
      <w:start w:val="1"/>
      <w:numFmt w:val="decimal"/>
      <w:lvlText w:val="%2."/>
      <w:lvlJc w:val="left"/>
      <w:pPr>
        <w:tabs>
          <w:tab w:val="num" w:pos="1800"/>
        </w:tabs>
        <w:ind w:left="1800" w:hanging="720"/>
      </w:pPr>
      <w:rPr>
        <w:rFonts w:hint="default"/>
      </w:rPr>
    </w:lvl>
    <w:lvl w:ilvl="2" w:tplc="EAC88CFE">
      <w:start w:val="1"/>
      <w:numFmt w:val="lowerRoman"/>
      <w:lvlText w:val="(%3)"/>
      <w:lvlJc w:val="left"/>
      <w:pPr>
        <w:tabs>
          <w:tab w:val="num" w:pos="2520"/>
        </w:tabs>
        <w:ind w:left="2520" w:hanging="720"/>
      </w:pPr>
      <w:rPr>
        <w:rFonts w:hint="default"/>
      </w:rPr>
    </w:lvl>
    <w:lvl w:ilvl="3" w:tplc="4D60BBCA" w:tentative="1">
      <w:start w:val="1"/>
      <w:numFmt w:val="bullet"/>
      <w:lvlText w:val=""/>
      <w:lvlJc w:val="left"/>
      <w:pPr>
        <w:tabs>
          <w:tab w:val="num" w:pos="2880"/>
        </w:tabs>
        <w:ind w:left="2880" w:hanging="360"/>
      </w:pPr>
      <w:rPr>
        <w:rFonts w:ascii="Symbol" w:hAnsi="Symbol" w:hint="default"/>
      </w:rPr>
    </w:lvl>
    <w:lvl w:ilvl="4" w:tplc="CDC0BFDC" w:tentative="1">
      <w:start w:val="1"/>
      <w:numFmt w:val="bullet"/>
      <w:lvlText w:val="o"/>
      <w:lvlJc w:val="left"/>
      <w:pPr>
        <w:tabs>
          <w:tab w:val="num" w:pos="3600"/>
        </w:tabs>
        <w:ind w:left="3600" w:hanging="360"/>
      </w:pPr>
      <w:rPr>
        <w:rFonts w:ascii="Courier New" w:hAnsi="Courier New" w:hint="default"/>
      </w:rPr>
    </w:lvl>
    <w:lvl w:ilvl="5" w:tplc="11D43FD8" w:tentative="1">
      <w:start w:val="1"/>
      <w:numFmt w:val="bullet"/>
      <w:lvlText w:val=""/>
      <w:lvlJc w:val="left"/>
      <w:pPr>
        <w:tabs>
          <w:tab w:val="num" w:pos="4320"/>
        </w:tabs>
        <w:ind w:left="4320" w:hanging="360"/>
      </w:pPr>
      <w:rPr>
        <w:rFonts w:ascii="Wingdings" w:hAnsi="Wingdings" w:hint="default"/>
      </w:rPr>
    </w:lvl>
    <w:lvl w:ilvl="6" w:tplc="A5288E50" w:tentative="1">
      <w:start w:val="1"/>
      <w:numFmt w:val="bullet"/>
      <w:lvlText w:val=""/>
      <w:lvlJc w:val="left"/>
      <w:pPr>
        <w:tabs>
          <w:tab w:val="num" w:pos="5040"/>
        </w:tabs>
        <w:ind w:left="5040" w:hanging="360"/>
      </w:pPr>
      <w:rPr>
        <w:rFonts w:ascii="Symbol" w:hAnsi="Symbol" w:hint="default"/>
      </w:rPr>
    </w:lvl>
    <w:lvl w:ilvl="7" w:tplc="087AAF7A" w:tentative="1">
      <w:start w:val="1"/>
      <w:numFmt w:val="bullet"/>
      <w:lvlText w:val="o"/>
      <w:lvlJc w:val="left"/>
      <w:pPr>
        <w:tabs>
          <w:tab w:val="num" w:pos="5760"/>
        </w:tabs>
        <w:ind w:left="5760" w:hanging="360"/>
      </w:pPr>
      <w:rPr>
        <w:rFonts w:ascii="Courier New" w:hAnsi="Courier New" w:hint="default"/>
      </w:rPr>
    </w:lvl>
    <w:lvl w:ilvl="8" w:tplc="5E64B65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CC53DE"/>
    <w:multiLevelType w:val="hybridMultilevel"/>
    <w:tmpl w:val="497C8E84"/>
    <w:lvl w:ilvl="0" w:tplc="04090019">
      <w:start w:val="1"/>
      <w:numFmt w:val="lowerLetter"/>
      <w:lvlText w:val="%1."/>
      <w:lvlJc w:val="left"/>
      <w:pPr>
        <w:ind w:left="2440" w:hanging="360"/>
      </w:pPr>
    </w:lvl>
    <w:lvl w:ilvl="1" w:tplc="04090019" w:tentative="1">
      <w:start w:val="1"/>
      <w:numFmt w:val="lowerLetter"/>
      <w:lvlText w:val="%2."/>
      <w:lvlJc w:val="left"/>
      <w:pPr>
        <w:ind w:left="3160" w:hanging="360"/>
      </w:pPr>
    </w:lvl>
    <w:lvl w:ilvl="2" w:tplc="0409001B" w:tentative="1">
      <w:start w:val="1"/>
      <w:numFmt w:val="lowerRoman"/>
      <w:lvlText w:val="%3."/>
      <w:lvlJc w:val="right"/>
      <w:pPr>
        <w:ind w:left="3880" w:hanging="180"/>
      </w:pPr>
    </w:lvl>
    <w:lvl w:ilvl="3" w:tplc="0409000F" w:tentative="1">
      <w:start w:val="1"/>
      <w:numFmt w:val="decimal"/>
      <w:lvlText w:val="%4."/>
      <w:lvlJc w:val="left"/>
      <w:pPr>
        <w:ind w:left="4600" w:hanging="360"/>
      </w:pPr>
    </w:lvl>
    <w:lvl w:ilvl="4" w:tplc="04090019" w:tentative="1">
      <w:start w:val="1"/>
      <w:numFmt w:val="lowerLetter"/>
      <w:lvlText w:val="%5."/>
      <w:lvlJc w:val="left"/>
      <w:pPr>
        <w:ind w:left="5320" w:hanging="360"/>
      </w:pPr>
    </w:lvl>
    <w:lvl w:ilvl="5" w:tplc="0409001B" w:tentative="1">
      <w:start w:val="1"/>
      <w:numFmt w:val="lowerRoman"/>
      <w:lvlText w:val="%6."/>
      <w:lvlJc w:val="right"/>
      <w:pPr>
        <w:ind w:left="6040" w:hanging="180"/>
      </w:pPr>
    </w:lvl>
    <w:lvl w:ilvl="6" w:tplc="0409000F" w:tentative="1">
      <w:start w:val="1"/>
      <w:numFmt w:val="decimal"/>
      <w:lvlText w:val="%7."/>
      <w:lvlJc w:val="left"/>
      <w:pPr>
        <w:ind w:left="6760" w:hanging="360"/>
      </w:pPr>
    </w:lvl>
    <w:lvl w:ilvl="7" w:tplc="04090019" w:tentative="1">
      <w:start w:val="1"/>
      <w:numFmt w:val="lowerLetter"/>
      <w:lvlText w:val="%8."/>
      <w:lvlJc w:val="left"/>
      <w:pPr>
        <w:ind w:left="7480" w:hanging="360"/>
      </w:pPr>
    </w:lvl>
    <w:lvl w:ilvl="8" w:tplc="0409001B" w:tentative="1">
      <w:start w:val="1"/>
      <w:numFmt w:val="lowerRoman"/>
      <w:lvlText w:val="%9."/>
      <w:lvlJc w:val="right"/>
      <w:pPr>
        <w:ind w:left="8200" w:hanging="180"/>
      </w:pPr>
    </w:lvl>
  </w:abstractNum>
  <w:abstractNum w:abstractNumId="20" w15:restartNumberingAfterBreak="0">
    <w:nsid w:val="614F5A9C"/>
    <w:multiLevelType w:val="multilevel"/>
    <w:tmpl w:val="8FDA286E"/>
    <w:lvl w:ilvl="0">
      <w:start w:val="1"/>
      <w:numFmt w:val="decimal"/>
      <w:lvlText w:val="%1."/>
      <w:lvlJc w:val="left"/>
      <w:pPr>
        <w:ind w:left="720" w:hanging="360"/>
      </w:pPr>
      <w:rPr>
        <w:rFonts w:eastAsia="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48E68C1"/>
    <w:multiLevelType w:val="hybridMultilevel"/>
    <w:tmpl w:val="14BE3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CF57BA"/>
    <w:multiLevelType w:val="hybridMultilevel"/>
    <w:tmpl w:val="2B78FE0C"/>
    <w:lvl w:ilvl="0" w:tplc="09CAE058">
      <w:start w:val="1"/>
      <w:numFmt w:val="low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456E51"/>
    <w:multiLevelType w:val="hybridMultilevel"/>
    <w:tmpl w:val="0B96ED82"/>
    <w:lvl w:ilvl="0" w:tplc="0409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24" w15:restartNumberingAfterBreak="0">
    <w:nsid w:val="688346A9"/>
    <w:multiLevelType w:val="multilevel"/>
    <w:tmpl w:val="01CAE5FE"/>
    <w:lvl w:ilvl="0">
      <w:start w:val="2"/>
      <w:numFmt w:val="decimal"/>
      <w:lvlText w:val="%1"/>
      <w:lvlJc w:val="left"/>
      <w:pPr>
        <w:ind w:left="360" w:hanging="360"/>
      </w:pPr>
      <w:rPr>
        <w:rFonts w:hint="default"/>
        <w:b/>
      </w:rPr>
    </w:lvl>
    <w:lvl w:ilvl="1">
      <w:start w:val="5"/>
      <w:numFmt w:val="decimal"/>
      <w:lvlText w:val="%1.%2"/>
      <w:lvlJc w:val="left"/>
      <w:pPr>
        <w:ind w:left="900" w:hanging="36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25" w15:restartNumberingAfterBreak="0">
    <w:nsid w:val="69B10536"/>
    <w:multiLevelType w:val="multilevel"/>
    <w:tmpl w:val="7CC2B1F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6CB34E2E"/>
    <w:multiLevelType w:val="hybridMultilevel"/>
    <w:tmpl w:val="AC5E1DFC"/>
    <w:lvl w:ilvl="0" w:tplc="09CAE058">
      <w:start w:val="1"/>
      <w:numFmt w:val="lowerRoman"/>
      <w:lvlText w:val="%1."/>
      <w:lvlJc w:val="left"/>
    </w:lvl>
    <w:lvl w:ilvl="1" w:tplc="14FE9BE8">
      <w:start w:val="1"/>
      <w:numFmt w:val="bullet"/>
      <w:lvlText w:val=""/>
      <w:lvlJc w:val="left"/>
    </w:lvl>
    <w:lvl w:ilvl="2" w:tplc="89C4CFC0">
      <w:start w:val="1"/>
      <w:numFmt w:val="bullet"/>
      <w:lvlText w:val=""/>
      <w:lvlJc w:val="left"/>
    </w:lvl>
    <w:lvl w:ilvl="3" w:tplc="887C7CB6">
      <w:start w:val="1"/>
      <w:numFmt w:val="bullet"/>
      <w:lvlText w:val=""/>
      <w:lvlJc w:val="left"/>
    </w:lvl>
    <w:lvl w:ilvl="4" w:tplc="ADB69266">
      <w:start w:val="1"/>
      <w:numFmt w:val="bullet"/>
      <w:lvlText w:val=""/>
      <w:lvlJc w:val="left"/>
    </w:lvl>
    <w:lvl w:ilvl="5" w:tplc="C74A1A14">
      <w:start w:val="1"/>
      <w:numFmt w:val="bullet"/>
      <w:lvlText w:val=""/>
      <w:lvlJc w:val="left"/>
    </w:lvl>
    <w:lvl w:ilvl="6" w:tplc="B8484822">
      <w:start w:val="1"/>
      <w:numFmt w:val="bullet"/>
      <w:lvlText w:val=""/>
      <w:lvlJc w:val="left"/>
    </w:lvl>
    <w:lvl w:ilvl="7" w:tplc="984E5F84">
      <w:start w:val="1"/>
      <w:numFmt w:val="bullet"/>
      <w:lvlText w:val=""/>
      <w:lvlJc w:val="left"/>
    </w:lvl>
    <w:lvl w:ilvl="8" w:tplc="E3B68154">
      <w:start w:val="1"/>
      <w:numFmt w:val="bullet"/>
      <w:lvlText w:val=""/>
      <w:lvlJc w:val="left"/>
    </w:lvl>
  </w:abstractNum>
  <w:abstractNum w:abstractNumId="27" w15:restartNumberingAfterBreak="0">
    <w:nsid w:val="6DCF758E"/>
    <w:multiLevelType w:val="multilevel"/>
    <w:tmpl w:val="2DF450A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73363456"/>
    <w:multiLevelType w:val="multilevel"/>
    <w:tmpl w:val="11FE9B7C"/>
    <w:lvl w:ilvl="0">
      <w:start w:val="4"/>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733D2CB2"/>
    <w:multiLevelType w:val="multilevel"/>
    <w:tmpl w:val="D60AF7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4C87480"/>
    <w:multiLevelType w:val="hybridMultilevel"/>
    <w:tmpl w:val="4E50AE1A"/>
    <w:lvl w:ilvl="0" w:tplc="04090003">
      <w:start w:val="1"/>
      <w:numFmt w:val="bullet"/>
      <w:lvlText w:val="o"/>
      <w:lvlJc w:val="left"/>
      <w:pPr>
        <w:ind w:left="1066" w:hanging="360"/>
      </w:pPr>
      <w:rPr>
        <w:rFonts w:ascii="Courier New" w:hAnsi="Courier New"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31" w15:restartNumberingAfterBreak="0">
    <w:nsid w:val="7F152B31"/>
    <w:multiLevelType w:val="multilevel"/>
    <w:tmpl w:val="41A01210"/>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1"/>
  </w:num>
  <w:num w:numId="3">
    <w:abstractNumId w:val="23"/>
  </w:num>
  <w:num w:numId="4">
    <w:abstractNumId w:val="14"/>
  </w:num>
  <w:num w:numId="5">
    <w:abstractNumId w:val="31"/>
  </w:num>
  <w:num w:numId="6">
    <w:abstractNumId w:val="17"/>
  </w:num>
  <w:num w:numId="7">
    <w:abstractNumId w:val="13"/>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10"/>
  </w:num>
  <w:num w:numId="16">
    <w:abstractNumId w:val="20"/>
  </w:num>
  <w:num w:numId="17">
    <w:abstractNumId w:val="25"/>
  </w:num>
  <w:num w:numId="18">
    <w:abstractNumId w:val="19"/>
  </w:num>
  <w:num w:numId="19">
    <w:abstractNumId w:val="11"/>
  </w:num>
  <w:num w:numId="20">
    <w:abstractNumId w:val="15"/>
  </w:num>
  <w:num w:numId="21">
    <w:abstractNumId w:val="29"/>
  </w:num>
  <w:num w:numId="22">
    <w:abstractNumId w:val="18"/>
  </w:num>
  <w:num w:numId="23">
    <w:abstractNumId w:val="30"/>
  </w:num>
  <w:num w:numId="24">
    <w:abstractNumId w:val="9"/>
  </w:num>
  <w:num w:numId="25">
    <w:abstractNumId w:val="21"/>
  </w:num>
  <w:num w:numId="26">
    <w:abstractNumId w:val="26"/>
  </w:num>
  <w:num w:numId="27">
    <w:abstractNumId w:val="12"/>
  </w:num>
  <w:num w:numId="28">
    <w:abstractNumId w:val="22"/>
  </w:num>
  <w:num w:numId="29">
    <w:abstractNumId w:val="27"/>
  </w:num>
  <w:num w:numId="30">
    <w:abstractNumId w:val="28"/>
  </w:num>
  <w:num w:numId="31">
    <w:abstractNumId w:val="16"/>
  </w:num>
  <w:num w:numId="3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9A0"/>
    <w:rsid w:val="00003354"/>
    <w:rsid w:val="00005576"/>
    <w:rsid w:val="00010643"/>
    <w:rsid w:val="00011AB7"/>
    <w:rsid w:val="00014E52"/>
    <w:rsid w:val="000153C6"/>
    <w:rsid w:val="00017230"/>
    <w:rsid w:val="0002404B"/>
    <w:rsid w:val="00024402"/>
    <w:rsid w:val="000272AC"/>
    <w:rsid w:val="000279AC"/>
    <w:rsid w:val="00030989"/>
    <w:rsid w:val="00033182"/>
    <w:rsid w:val="000346A4"/>
    <w:rsid w:val="0004522A"/>
    <w:rsid w:val="00052502"/>
    <w:rsid w:val="00053CBD"/>
    <w:rsid w:val="000572F3"/>
    <w:rsid w:val="00057975"/>
    <w:rsid w:val="00063FD1"/>
    <w:rsid w:val="0006696B"/>
    <w:rsid w:val="00066C9E"/>
    <w:rsid w:val="0006741A"/>
    <w:rsid w:val="000734CA"/>
    <w:rsid w:val="000739D9"/>
    <w:rsid w:val="00073B2A"/>
    <w:rsid w:val="000820FC"/>
    <w:rsid w:val="00083903"/>
    <w:rsid w:val="0008694D"/>
    <w:rsid w:val="00097FDC"/>
    <w:rsid w:val="000A40FE"/>
    <w:rsid w:val="000A4317"/>
    <w:rsid w:val="000A6486"/>
    <w:rsid w:val="000A73AD"/>
    <w:rsid w:val="000A745B"/>
    <w:rsid w:val="000B1994"/>
    <w:rsid w:val="000C209C"/>
    <w:rsid w:val="000C46DB"/>
    <w:rsid w:val="000D4CFB"/>
    <w:rsid w:val="000E5E55"/>
    <w:rsid w:val="000F00DD"/>
    <w:rsid w:val="000F411C"/>
    <w:rsid w:val="000F44FE"/>
    <w:rsid w:val="00105FCC"/>
    <w:rsid w:val="001115A8"/>
    <w:rsid w:val="00111738"/>
    <w:rsid w:val="001156FB"/>
    <w:rsid w:val="00120609"/>
    <w:rsid w:val="00122BFA"/>
    <w:rsid w:val="0013329A"/>
    <w:rsid w:val="00135368"/>
    <w:rsid w:val="00135FE5"/>
    <w:rsid w:val="001376DF"/>
    <w:rsid w:val="001517BD"/>
    <w:rsid w:val="0016237B"/>
    <w:rsid w:val="00163FE5"/>
    <w:rsid w:val="001661F2"/>
    <w:rsid w:val="001871D9"/>
    <w:rsid w:val="00191F3A"/>
    <w:rsid w:val="001950BE"/>
    <w:rsid w:val="001959BE"/>
    <w:rsid w:val="0019674D"/>
    <w:rsid w:val="00196DB0"/>
    <w:rsid w:val="001A52ED"/>
    <w:rsid w:val="001B0CEF"/>
    <w:rsid w:val="001B11C2"/>
    <w:rsid w:val="001C27DF"/>
    <w:rsid w:val="001D2058"/>
    <w:rsid w:val="001D3187"/>
    <w:rsid w:val="001D5181"/>
    <w:rsid w:val="001D6B7B"/>
    <w:rsid w:val="001E00E6"/>
    <w:rsid w:val="001E4C7D"/>
    <w:rsid w:val="001F71AF"/>
    <w:rsid w:val="00200F01"/>
    <w:rsid w:val="002174EA"/>
    <w:rsid w:val="00224225"/>
    <w:rsid w:val="00232B91"/>
    <w:rsid w:val="00236A8E"/>
    <w:rsid w:val="0023725B"/>
    <w:rsid w:val="00255308"/>
    <w:rsid w:val="00261F90"/>
    <w:rsid w:val="0026283D"/>
    <w:rsid w:val="002635A2"/>
    <w:rsid w:val="00275758"/>
    <w:rsid w:val="0028408B"/>
    <w:rsid w:val="002A1AB6"/>
    <w:rsid w:val="002B30CD"/>
    <w:rsid w:val="002B30FC"/>
    <w:rsid w:val="002B5CF4"/>
    <w:rsid w:val="002C3284"/>
    <w:rsid w:val="002C76FE"/>
    <w:rsid w:val="002D1355"/>
    <w:rsid w:val="002D3F04"/>
    <w:rsid w:val="002E05BA"/>
    <w:rsid w:val="002E5BE9"/>
    <w:rsid w:val="002F3B3E"/>
    <w:rsid w:val="0030062D"/>
    <w:rsid w:val="00302456"/>
    <w:rsid w:val="0033071D"/>
    <w:rsid w:val="0034767B"/>
    <w:rsid w:val="00354D88"/>
    <w:rsid w:val="00355A0B"/>
    <w:rsid w:val="003609B5"/>
    <w:rsid w:val="00390C02"/>
    <w:rsid w:val="00390CAB"/>
    <w:rsid w:val="0039415C"/>
    <w:rsid w:val="0039453B"/>
    <w:rsid w:val="003A12DB"/>
    <w:rsid w:val="003A69F3"/>
    <w:rsid w:val="003B62BC"/>
    <w:rsid w:val="003B6B23"/>
    <w:rsid w:val="003C387E"/>
    <w:rsid w:val="003C42CD"/>
    <w:rsid w:val="003C51DD"/>
    <w:rsid w:val="003D47B0"/>
    <w:rsid w:val="003E44CD"/>
    <w:rsid w:val="003F4613"/>
    <w:rsid w:val="003F5286"/>
    <w:rsid w:val="003F5D21"/>
    <w:rsid w:val="003F78E2"/>
    <w:rsid w:val="0040364B"/>
    <w:rsid w:val="00403D47"/>
    <w:rsid w:val="00404E7C"/>
    <w:rsid w:val="00411939"/>
    <w:rsid w:val="00422D4F"/>
    <w:rsid w:val="00422F4D"/>
    <w:rsid w:val="00425405"/>
    <w:rsid w:val="0043165D"/>
    <w:rsid w:val="004407F3"/>
    <w:rsid w:val="004449F4"/>
    <w:rsid w:val="004545BE"/>
    <w:rsid w:val="004569EA"/>
    <w:rsid w:val="0046366D"/>
    <w:rsid w:val="004656C8"/>
    <w:rsid w:val="00475433"/>
    <w:rsid w:val="0048101E"/>
    <w:rsid w:val="0048517D"/>
    <w:rsid w:val="00497DF4"/>
    <w:rsid w:val="004B75ED"/>
    <w:rsid w:val="004C2841"/>
    <w:rsid w:val="004C4DA1"/>
    <w:rsid w:val="004D3ADB"/>
    <w:rsid w:val="004E666A"/>
    <w:rsid w:val="004E6F3C"/>
    <w:rsid w:val="004E798F"/>
    <w:rsid w:val="004F346D"/>
    <w:rsid w:val="0050135A"/>
    <w:rsid w:val="00502511"/>
    <w:rsid w:val="0050514F"/>
    <w:rsid w:val="00512FE4"/>
    <w:rsid w:val="00514936"/>
    <w:rsid w:val="005248A3"/>
    <w:rsid w:val="0053568A"/>
    <w:rsid w:val="005376EE"/>
    <w:rsid w:val="00542CB6"/>
    <w:rsid w:val="00545D52"/>
    <w:rsid w:val="00550E13"/>
    <w:rsid w:val="00553B26"/>
    <w:rsid w:val="0055512B"/>
    <w:rsid w:val="00555892"/>
    <w:rsid w:val="0056297B"/>
    <w:rsid w:val="0057160E"/>
    <w:rsid w:val="00577C33"/>
    <w:rsid w:val="00587985"/>
    <w:rsid w:val="0059447A"/>
    <w:rsid w:val="0059574D"/>
    <w:rsid w:val="005B0BBD"/>
    <w:rsid w:val="005B22E4"/>
    <w:rsid w:val="005B51F4"/>
    <w:rsid w:val="005C4102"/>
    <w:rsid w:val="005C4B0A"/>
    <w:rsid w:val="005D5ED4"/>
    <w:rsid w:val="00601BED"/>
    <w:rsid w:val="00606DC8"/>
    <w:rsid w:val="00616241"/>
    <w:rsid w:val="00624B61"/>
    <w:rsid w:val="00624E7A"/>
    <w:rsid w:val="006368BB"/>
    <w:rsid w:val="00642B52"/>
    <w:rsid w:val="006447B6"/>
    <w:rsid w:val="00665E7C"/>
    <w:rsid w:val="006712CA"/>
    <w:rsid w:val="00672E98"/>
    <w:rsid w:val="00676295"/>
    <w:rsid w:val="00676453"/>
    <w:rsid w:val="00694E30"/>
    <w:rsid w:val="006A1C58"/>
    <w:rsid w:val="006B122E"/>
    <w:rsid w:val="006D189E"/>
    <w:rsid w:val="006E4C32"/>
    <w:rsid w:val="006E61E6"/>
    <w:rsid w:val="006F4A5B"/>
    <w:rsid w:val="006F6C85"/>
    <w:rsid w:val="00701E78"/>
    <w:rsid w:val="007021B6"/>
    <w:rsid w:val="007039A0"/>
    <w:rsid w:val="0070793F"/>
    <w:rsid w:val="00725E46"/>
    <w:rsid w:val="007262CB"/>
    <w:rsid w:val="0072728D"/>
    <w:rsid w:val="00737BB4"/>
    <w:rsid w:val="00747C65"/>
    <w:rsid w:val="007515D4"/>
    <w:rsid w:val="00751F4D"/>
    <w:rsid w:val="007577F9"/>
    <w:rsid w:val="00760605"/>
    <w:rsid w:val="0079048A"/>
    <w:rsid w:val="00797D1B"/>
    <w:rsid w:val="007A00E1"/>
    <w:rsid w:val="007A4D4E"/>
    <w:rsid w:val="007B7645"/>
    <w:rsid w:val="007D3A11"/>
    <w:rsid w:val="007E1E77"/>
    <w:rsid w:val="007E2B74"/>
    <w:rsid w:val="007F276D"/>
    <w:rsid w:val="007F396B"/>
    <w:rsid w:val="007F549B"/>
    <w:rsid w:val="00805673"/>
    <w:rsid w:val="0080712C"/>
    <w:rsid w:val="008162E7"/>
    <w:rsid w:val="008255A6"/>
    <w:rsid w:val="00830723"/>
    <w:rsid w:val="0083174A"/>
    <w:rsid w:val="0083459F"/>
    <w:rsid w:val="008509C0"/>
    <w:rsid w:val="00851385"/>
    <w:rsid w:val="0087547E"/>
    <w:rsid w:val="00877503"/>
    <w:rsid w:val="008837EF"/>
    <w:rsid w:val="00884AD3"/>
    <w:rsid w:val="00891CDA"/>
    <w:rsid w:val="00893D0D"/>
    <w:rsid w:val="008978AA"/>
    <w:rsid w:val="008A7032"/>
    <w:rsid w:val="008A740E"/>
    <w:rsid w:val="008A76CA"/>
    <w:rsid w:val="008B2BE4"/>
    <w:rsid w:val="008C1108"/>
    <w:rsid w:val="008C2FAA"/>
    <w:rsid w:val="008D5D1C"/>
    <w:rsid w:val="008D6A90"/>
    <w:rsid w:val="008E2978"/>
    <w:rsid w:val="008E6760"/>
    <w:rsid w:val="008F13BF"/>
    <w:rsid w:val="008F329F"/>
    <w:rsid w:val="00903265"/>
    <w:rsid w:val="009047C0"/>
    <w:rsid w:val="00904CF7"/>
    <w:rsid w:val="00913AC1"/>
    <w:rsid w:val="00916533"/>
    <w:rsid w:val="0093220A"/>
    <w:rsid w:val="0093739D"/>
    <w:rsid w:val="00941397"/>
    <w:rsid w:val="009453EC"/>
    <w:rsid w:val="00954054"/>
    <w:rsid w:val="00955E93"/>
    <w:rsid w:val="009676B9"/>
    <w:rsid w:val="0097314E"/>
    <w:rsid w:val="009874D8"/>
    <w:rsid w:val="009A0EC1"/>
    <w:rsid w:val="009A1BB2"/>
    <w:rsid w:val="009B31CA"/>
    <w:rsid w:val="009B4DB1"/>
    <w:rsid w:val="009C077E"/>
    <w:rsid w:val="009C20DE"/>
    <w:rsid w:val="009C2C7A"/>
    <w:rsid w:val="009C4962"/>
    <w:rsid w:val="009C4EB0"/>
    <w:rsid w:val="009D1D90"/>
    <w:rsid w:val="009D25D7"/>
    <w:rsid w:val="009D3874"/>
    <w:rsid w:val="009D7224"/>
    <w:rsid w:val="009F131A"/>
    <w:rsid w:val="009F20AC"/>
    <w:rsid w:val="009F4DB4"/>
    <w:rsid w:val="00A0181C"/>
    <w:rsid w:val="00A01CD6"/>
    <w:rsid w:val="00A05631"/>
    <w:rsid w:val="00A0643E"/>
    <w:rsid w:val="00A10CB6"/>
    <w:rsid w:val="00A2321B"/>
    <w:rsid w:val="00A32C5B"/>
    <w:rsid w:val="00A35E42"/>
    <w:rsid w:val="00A37591"/>
    <w:rsid w:val="00A42427"/>
    <w:rsid w:val="00A46C4F"/>
    <w:rsid w:val="00A5383B"/>
    <w:rsid w:val="00A55017"/>
    <w:rsid w:val="00A63BD5"/>
    <w:rsid w:val="00A71BBA"/>
    <w:rsid w:val="00A84EC8"/>
    <w:rsid w:val="00A8694B"/>
    <w:rsid w:val="00A95627"/>
    <w:rsid w:val="00A972DE"/>
    <w:rsid w:val="00AA17DE"/>
    <w:rsid w:val="00AA2ED8"/>
    <w:rsid w:val="00AA7FAD"/>
    <w:rsid w:val="00AB04DA"/>
    <w:rsid w:val="00AB08C4"/>
    <w:rsid w:val="00AC2201"/>
    <w:rsid w:val="00AC342A"/>
    <w:rsid w:val="00AD1481"/>
    <w:rsid w:val="00AD6E5A"/>
    <w:rsid w:val="00AD6F58"/>
    <w:rsid w:val="00AE0179"/>
    <w:rsid w:val="00AE4F37"/>
    <w:rsid w:val="00AF4771"/>
    <w:rsid w:val="00AF56F0"/>
    <w:rsid w:val="00B02E6A"/>
    <w:rsid w:val="00B06FB4"/>
    <w:rsid w:val="00B137B8"/>
    <w:rsid w:val="00B15BBC"/>
    <w:rsid w:val="00B22D53"/>
    <w:rsid w:val="00B27FC1"/>
    <w:rsid w:val="00B33431"/>
    <w:rsid w:val="00B405DC"/>
    <w:rsid w:val="00B431F0"/>
    <w:rsid w:val="00B509DE"/>
    <w:rsid w:val="00B532C6"/>
    <w:rsid w:val="00B53854"/>
    <w:rsid w:val="00B72825"/>
    <w:rsid w:val="00B80AE3"/>
    <w:rsid w:val="00B843A7"/>
    <w:rsid w:val="00B850E1"/>
    <w:rsid w:val="00B857A2"/>
    <w:rsid w:val="00B8687F"/>
    <w:rsid w:val="00B9423E"/>
    <w:rsid w:val="00B94427"/>
    <w:rsid w:val="00B9511E"/>
    <w:rsid w:val="00B95B81"/>
    <w:rsid w:val="00B95F25"/>
    <w:rsid w:val="00B96A65"/>
    <w:rsid w:val="00B97199"/>
    <w:rsid w:val="00BA12EC"/>
    <w:rsid w:val="00BA3E33"/>
    <w:rsid w:val="00BC0F4B"/>
    <w:rsid w:val="00BD0C17"/>
    <w:rsid w:val="00BD0DCC"/>
    <w:rsid w:val="00BD2BC5"/>
    <w:rsid w:val="00BD4E01"/>
    <w:rsid w:val="00BE2816"/>
    <w:rsid w:val="00BF39D8"/>
    <w:rsid w:val="00BF746D"/>
    <w:rsid w:val="00C00BC5"/>
    <w:rsid w:val="00C070B7"/>
    <w:rsid w:val="00C16197"/>
    <w:rsid w:val="00C16E57"/>
    <w:rsid w:val="00C1757E"/>
    <w:rsid w:val="00C24B1A"/>
    <w:rsid w:val="00C25AB7"/>
    <w:rsid w:val="00C26534"/>
    <w:rsid w:val="00C266AA"/>
    <w:rsid w:val="00C32FB3"/>
    <w:rsid w:val="00C34698"/>
    <w:rsid w:val="00C354CA"/>
    <w:rsid w:val="00C375EE"/>
    <w:rsid w:val="00C43C2B"/>
    <w:rsid w:val="00C44E3C"/>
    <w:rsid w:val="00C53FD6"/>
    <w:rsid w:val="00C653EA"/>
    <w:rsid w:val="00C67B0F"/>
    <w:rsid w:val="00C76E71"/>
    <w:rsid w:val="00C8718B"/>
    <w:rsid w:val="00C87D4E"/>
    <w:rsid w:val="00C91F3F"/>
    <w:rsid w:val="00CA53D9"/>
    <w:rsid w:val="00CA554F"/>
    <w:rsid w:val="00CA58C9"/>
    <w:rsid w:val="00CA6108"/>
    <w:rsid w:val="00CC20BD"/>
    <w:rsid w:val="00CD1798"/>
    <w:rsid w:val="00CD6D66"/>
    <w:rsid w:val="00CF1942"/>
    <w:rsid w:val="00D0325E"/>
    <w:rsid w:val="00D0609B"/>
    <w:rsid w:val="00D20537"/>
    <w:rsid w:val="00D3545F"/>
    <w:rsid w:val="00D423DE"/>
    <w:rsid w:val="00D44C81"/>
    <w:rsid w:val="00D45299"/>
    <w:rsid w:val="00D50EB8"/>
    <w:rsid w:val="00D51E58"/>
    <w:rsid w:val="00D53ACE"/>
    <w:rsid w:val="00D5491B"/>
    <w:rsid w:val="00D66540"/>
    <w:rsid w:val="00D719AF"/>
    <w:rsid w:val="00D823E2"/>
    <w:rsid w:val="00D90966"/>
    <w:rsid w:val="00D95978"/>
    <w:rsid w:val="00D96F17"/>
    <w:rsid w:val="00DA37EF"/>
    <w:rsid w:val="00DA7E25"/>
    <w:rsid w:val="00DB3E01"/>
    <w:rsid w:val="00DC6BE9"/>
    <w:rsid w:val="00DD1646"/>
    <w:rsid w:val="00DD3CF8"/>
    <w:rsid w:val="00DD7C97"/>
    <w:rsid w:val="00DE2E1C"/>
    <w:rsid w:val="00DE457C"/>
    <w:rsid w:val="00DE4D16"/>
    <w:rsid w:val="00DF73FB"/>
    <w:rsid w:val="00DF7FB9"/>
    <w:rsid w:val="00E06C6A"/>
    <w:rsid w:val="00E10D0B"/>
    <w:rsid w:val="00E11A8C"/>
    <w:rsid w:val="00E167F6"/>
    <w:rsid w:val="00E210AD"/>
    <w:rsid w:val="00E25E12"/>
    <w:rsid w:val="00E27518"/>
    <w:rsid w:val="00E320DF"/>
    <w:rsid w:val="00E3569A"/>
    <w:rsid w:val="00E41488"/>
    <w:rsid w:val="00E4254F"/>
    <w:rsid w:val="00E64AF5"/>
    <w:rsid w:val="00E66013"/>
    <w:rsid w:val="00E66C7F"/>
    <w:rsid w:val="00E70345"/>
    <w:rsid w:val="00E75A06"/>
    <w:rsid w:val="00E81737"/>
    <w:rsid w:val="00E84246"/>
    <w:rsid w:val="00E91F57"/>
    <w:rsid w:val="00E91F71"/>
    <w:rsid w:val="00EB07E7"/>
    <w:rsid w:val="00EB2228"/>
    <w:rsid w:val="00EB65E3"/>
    <w:rsid w:val="00EB7A44"/>
    <w:rsid w:val="00EC0106"/>
    <w:rsid w:val="00EC452D"/>
    <w:rsid w:val="00EC6D17"/>
    <w:rsid w:val="00ED1249"/>
    <w:rsid w:val="00ED6969"/>
    <w:rsid w:val="00ED6EFB"/>
    <w:rsid w:val="00ED7110"/>
    <w:rsid w:val="00EE35B0"/>
    <w:rsid w:val="00EE679D"/>
    <w:rsid w:val="00EF4716"/>
    <w:rsid w:val="00EF5300"/>
    <w:rsid w:val="00EF79A0"/>
    <w:rsid w:val="00EF7FCC"/>
    <w:rsid w:val="00F0463D"/>
    <w:rsid w:val="00F10653"/>
    <w:rsid w:val="00F17234"/>
    <w:rsid w:val="00F22310"/>
    <w:rsid w:val="00F417EB"/>
    <w:rsid w:val="00F4253B"/>
    <w:rsid w:val="00F43429"/>
    <w:rsid w:val="00F43852"/>
    <w:rsid w:val="00F43E7C"/>
    <w:rsid w:val="00F4715A"/>
    <w:rsid w:val="00F55ED5"/>
    <w:rsid w:val="00F57DF9"/>
    <w:rsid w:val="00F70B19"/>
    <w:rsid w:val="00F72645"/>
    <w:rsid w:val="00F777AA"/>
    <w:rsid w:val="00F8169C"/>
    <w:rsid w:val="00F81D7D"/>
    <w:rsid w:val="00F86D19"/>
    <w:rsid w:val="00F874AA"/>
    <w:rsid w:val="00FA3A58"/>
    <w:rsid w:val="00FC5053"/>
    <w:rsid w:val="00FC5757"/>
    <w:rsid w:val="00FC7530"/>
    <w:rsid w:val="00FD083E"/>
    <w:rsid w:val="00FD41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53A1255"/>
  <w14:defaultImageDpi w14:val="300"/>
  <w15:docId w15:val="{48AECD79-1BAF-4C93-A999-8630B7252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heme="minorEastAsia" w:hAnsi="Times"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745B"/>
    <w:pPr>
      <w:keepNext/>
      <w:keepLines/>
      <w:spacing w:before="480"/>
      <w:jc w:val="both"/>
      <w:outlineLvl w:val="0"/>
    </w:pPr>
    <w:rPr>
      <w:rFonts w:asciiTheme="majorHAnsi" w:eastAsiaTheme="majorEastAsia" w:hAnsiTheme="majorHAnsi" w:cstheme="majorBidi"/>
      <w:b/>
      <w:bCs/>
      <w:color w:val="365F91" w:themeColor="accent1" w:themeShade="BF"/>
      <w:sz w:val="28"/>
      <w:szCs w:val="28"/>
      <w:lang w:eastAsia="es-CO"/>
    </w:rPr>
  </w:style>
  <w:style w:type="paragraph" w:styleId="Heading2">
    <w:name w:val="heading 2"/>
    <w:basedOn w:val="Normal"/>
    <w:next w:val="Normal"/>
    <w:link w:val="Heading2Char"/>
    <w:unhideWhenUsed/>
    <w:qFormat/>
    <w:rsid w:val="000A745B"/>
    <w:pPr>
      <w:keepNext/>
      <w:keepLines/>
      <w:spacing w:before="200"/>
      <w:jc w:val="both"/>
      <w:outlineLvl w:val="1"/>
    </w:pPr>
    <w:rPr>
      <w:rFonts w:asciiTheme="majorHAnsi" w:eastAsiaTheme="majorEastAsia" w:hAnsiTheme="majorHAnsi" w:cstheme="majorBidi"/>
      <w:b/>
      <w:bCs/>
      <w:color w:val="4F81BD" w:themeColor="accent1"/>
      <w:sz w:val="26"/>
      <w:szCs w:val="26"/>
      <w:lang w:eastAsia="es-CO"/>
    </w:rPr>
  </w:style>
  <w:style w:type="paragraph" w:styleId="Heading3">
    <w:name w:val="heading 3"/>
    <w:basedOn w:val="Normal"/>
    <w:next w:val="Normal"/>
    <w:link w:val="Heading3Char"/>
    <w:unhideWhenUsed/>
    <w:qFormat/>
    <w:rsid w:val="000A745B"/>
    <w:pPr>
      <w:keepNext/>
      <w:keepLines/>
      <w:spacing w:before="200"/>
      <w:jc w:val="both"/>
      <w:outlineLvl w:val="2"/>
    </w:pPr>
    <w:rPr>
      <w:rFonts w:asciiTheme="majorHAnsi" w:eastAsiaTheme="majorEastAsia" w:hAnsiTheme="majorHAnsi" w:cstheme="majorBidi"/>
      <w:b/>
      <w:bCs/>
      <w:color w:val="4F81BD" w:themeColor="accent1"/>
      <w:sz w:val="22"/>
      <w:szCs w:val="16"/>
      <w:lang w:eastAsia="es-CO"/>
    </w:rPr>
  </w:style>
  <w:style w:type="paragraph" w:styleId="Heading5">
    <w:name w:val="heading 5"/>
    <w:basedOn w:val="Normal"/>
    <w:next w:val="Normal"/>
    <w:link w:val="Heading5Char"/>
    <w:qFormat/>
    <w:rsid w:val="00A46C4F"/>
    <w:pPr>
      <w:numPr>
        <w:ilvl w:val="4"/>
        <w:numId w:val="7"/>
      </w:numPr>
      <w:spacing w:before="240" w:after="60"/>
      <w:outlineLvl w:val="4"/>
    </w:pPr>
    <w:rPr>
      <w:rFonts w:ascii="Times New Roman" w:eastAsia="Times New Roman" w:hAnsi="Times New Roman" w:cs="Times New Roman"/>
      <w:sz w:val="22"/>
      <w:szCs w:val="20"/>
      <w:lang w:val="en-US"/>
    </w:rPr>
  </w:style>
  <w:style w:type="paragraph" w:styleId="Heading6">
    <w:name w:val="heading 6"/>
    <w:basedOn w:val="Normal"/>
    <w:next w:val="Normal"/>
    <w:link w:val="Heading6Char"/>
    <w:qFormat/>
    <w:rsid w:val="00A46C4F"/>
    <w:pPr>
      <w:numPr>
        <w:ilvl w:val="5"/>
        <w:numId w:val="7"/>
      </w:numPr>
      <w:spacing w:before="240" w:after="60"/>
      <w:outlineLvl w:val="5"/>
    </w:pPr>
    <w:rPr>
      <w:rFonts w:ascii="Times New Roman" w:eastAsia="Times New Roman" w:hAnsi="Times New Roman" w:cs="Times New Roman"/>
      <w:i/>
      <w:sz w:val="22"/>
      <w:szCs w:val="20"/>
      <w:lang w:val="en-US"/>
    </w:rPr>
  </w:style>
  <w:style w:type="paragraph" w:styleId="Heading7">
    <w:name w:val="heading 7"/>
    <w:basedOn w:val="Normal"/>
    <w:next w:val="Normal"/>
    <w:link w:val="Heading7Char"/>
    <w:qFormat/>
    <w:rsid w:val="00A46C4F"/>
    <w:pPr>
      <w:numPr>
        <w:ilvl w:val="6"/>
        <w:numId w:val="7"/>
      </w:numPr>
      <w:spacing w:before="240" w:after="60"/>
      <w:outlineLvl w:val="6"/>
    </w:pPr>
    <w:rPr>
      <w:rFonts w:ascii="Arial" w:eastAsia="Times New Roman" w:hAnsi="Arial" w:cs="Times New Roman"/>
      <w:szCs w:val="20"/>
      <w:lang w:val="en-US"/>
    </w:rPr>
  </w:style>
  <w:style w:type="paragraph" w:styleId="Heading8">
    <w:name w:val="heading 8"/>
    <w:basedOn w:val="Normal"/>
    <w:next w:val="Normal"/>
    <w:link w:val="Heading8Char"/>
    <w:qFormat/>
    <w:rsid w:val="00A46C4F"/>
    <w:pPr>
      <w:numPr>
        <w:ilvl w:val="7"/>
        <w:numId w:val="7"/>
      </w:numPr>
      <w:spacing w:before="240" w:after="60"/>
      <w:outlineLvl w:val="7"/>
    </w:pPr>
    <w:rPr>
      <w:rFonts w:ascii="Arial" w:eastAsia="Times New Roman" w:hAnsi="Arial" w:cs="Times New Roman"/>
      <w:i/>
      <w:szCs w:val="20"/>
      <w:lang w:val="en-US"/>
    </w:rPr>
  </w:style>
  <w:style w:type="paragraph" w:styleId="Heading9">
    <w:name w:val="heading 9"/>
    <w:basedOn w:val="Normal"/>
    <w:next w:val="Normal"/>
    <w:link w:val="Heading9Char"/>
    <w:qFormat/>
    <w:rsid w:val="00A46C4F"/>
    <w:pPr>
      <w:numPr>
        <w:ilvl w:val="8"/>
        <w:numId w:val="7"/>
      </w:numPr>
      <w:spacing w:before="240" w:after="60"/>
      <w:outlineLvl w:val="8"/>
    </w:pPr>
    <w:rPr>
      <w:rFonts w:ascii="Arial" w:eastAsia="Times New Roman" w:hAnsi="Arial"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Párrafo de lista1,Bullets,Lista vistosa - Énfasis 11,fuente,Segundo,Parágrafo da Lista 1"/>
    <w:basedOn w:val="Normal"/>
    <w:link w:val="ListParagraphChar"/>
    <w:uiPriority w:val="34"/>
    <w:qFormat/>
    <w:rsid w:val="00017230"/>
    <w:pPr>
      <w:ind w:left="720"/>
      <w:contextualSpacing/>
    </w:pPr>
  </w:style>
  <w:style w:type="character" w:customStyle="1" w:styleId="Heading1Char">
    <w:name w:val="Heading 1 Char"/>
    <w:basedOn w:val="DefaultParagraphFont"/>
    <w:link w:val="Heading1"/>
    <w:uiPriority w:val="9"/>
    <w:rsid w:val="000A745B"/>
    <w:rPr>
      <w:rFonts w:asciiTheme="majorHAnsi" w:eastAsiaTheme="majorEastAsia" w:hAnsiTheme="majorHAnsi" w:cstheme="majorBidi"/>
      <w:b/>
      <w:bCs/>
      <w:color w:val="365F91" w:themeColor="accent1" w:themeShade="BF"/>
      <w:sz w:val="28"/>
      <w:szCs w:val="28"/>
      <w:lang w:val="fr-FR" w:eastAsia="es-CO"/>
    </w:rPr>
  </w:style>
  <w:style w:type="character" w:customStyle="1" w:styleId="Heading2Char">
    <w:name w:val="Heading 2 Char"/>
    <w:basedOn w:val="DefaultParagraphFont"/>
    <w:link w:val="Heading2"/>
    <w:rsid w:val="000A745B"/>
    <w:rPr>
      <w:rFonts w:asciiTheme="majorHAnsi" w:eastAsiaTheme="majorEastAsia" w:hAnsiTheme="majorHAnsi" w:cstheme="majorBidi"/>
      <w:b/>
      <w:bCs/>
      <w:color w:val="4F81BD" w:themeColor="accent1"/>
      <w:sz w:val="26"/>
      <w:szCs w:val="26"/>
      <w:lang w:val="fr-FR" w:eastAsia="es-CO"/>
    </w:rPr>
  </w:style>
  <w:style w:type="character" w:customStyle="1" w:styleId="Heading3Char">
    <w:name w:val="Heading 3 Char"/>
    <w:basedOn w:val="DefaultParagraphFont"/>
    <w:link w:val="Heading3"/>
    <w:rsid w:val="000A745B"/>
    <w:rPr>
      <w:rFonts w:asciiTheme="majorHAnsi" w:eastAsiaTheme="majorEastAsia" w:hAnsiTheme="majorHAnsi" w:cstheme="majorBidi"/>
      <w:b/>
      <w:bCs/>
      <w:color w:val="4F81BD" w:themeColor="accent1"/>
      <w:sz w:val="22"/>
      <w:szCs w:val="16"/>
      <w:lang w:val="fr-FR" w:eastAsia="es-CO"/>
    </w:rPr>
  </w:style>
  <w:style w:type="paragraph" w:styleId="BodyText">
    <w:name w:val="Body Text"/>
    <w:basedOn w:val="Normal"/>
    <w:link w:val="BodyTextChar"/>
    <w:semiHidden/>
    <w:rsid w:val="000A745B"/>
    <w:pPr>
      <w:jc w:val="both"/>
    </w:pPr>
    <w:rPr>
      <w:rFonts w:ascii="Arial" w:eastAsia="Times New Roman" w:hAnsi="Arial" w:cs="Times New Roman"/>
      <w:sz w:val="22"/>
      <w:szCs w:val="20"/>
      <w:lang w:val="es-MX" w:eastAsia="es-CO"/>
    </w:rPr>
  </w:style>
  <w:style w:type="character" w:customStyle="1" w:styleId="BodyTextChar">
    <w:name w:val="Body Text Char"/>
    <w:basedOn w:val="DefaultParagraphFont"/>
    <w:link w:val="BodyText"/>
    <w:semiHidden/>
    <w:rsid w:val="000A745B"/>
    <w:rPr>
      <w:rFonts w:ascii="Arial" w:eastAsia="Times New Roman" w:hAnsi="Arial" w:cs="Times New Roman"/>
      <w:sz w:val="22"/>
      <w:szCs w:val="20"/>
      <w:lang w:val="es-MX" w:eastAsia="es-CO"/>
    </w:rPr>
  </w:style>
  <w:style w:type="paragraph" w:customStyle="1" w:styleId="Chapter">
    <w:name w:val="Chapter"/>
    <w:basedOn w:val="Normal"/>
    <w:next w:val="Normal"/>
    <w:rsid w:val="000A745B"/>
    <w:pPr>
      <w:keepNext/>
      <w:numPr>
        <w:numId w:val="6"/>
      </w:numPr>
      <w:tabs>
        <w:tab w:val="left" w:pos="1440"/>
      </w:tabs>
      <w:spacing w:before="240" w:after="240"/>
      <w:jc w:val="center"/>
    </w:pPr>
    <w:rPr>
      <w:rFonts w:ascii="Times New Roman" w:eastAsia="Times New Roman" w:hAnsi="Times New Roman" w:cs="Times New Roman"/>
      <w:b/>
      <w:smallCaps/>
      <w:szCs w:val="20"/>
      <w:lang w:val="es-ES"/>
    </w:rPr>
  </w:style>
  <w:style w:type="paragraph" w:customStyle="1" w:styleId="Paragraph">
    <w:name w:val="Paragraph"/>
    <w:aliases w:val="paragraph,p,PARAGRAPH,PG,pa,at"/>
    <w:basedOn w:val="BodyTextIndent"/>
    <w:link w:val="ParagraphChar"/>
    <w:qFormat/>
    <w:rsid w:val="000A745B"/>
    <w:pPr>
      <w:numPr>
        <w:ilvl w:val="1"/>
        <w:numId w:val="6"/>
      </w:numPr>
      <w:spacing w:before="120"/>
      <w:jc w:val="both"/>
      <w:outlineLvl w:val="1"/>
    </w:pPr>
    <w:rPr>
      <w:rFonts w:ascii="Times New Roman" w:eastAsia="Times New Roman" w:hAnsi="Times New Roman" w:cs="Times New Roman"/>
      <w:szCs w:val="20"/>
      <w:lang w:val="es-ES"/>
    </w:rPr>
  </w:style>
  <w:style w:type="character" w:customStyle="1" w:styleId="ParagraphChar">
    <w:name w:val="Paragraph Char"/>
    <w:aliases w:val="paragraph Char,p Char,PARAGRAPH Char,PG Char,pa Char,at Char"/>
    <w:link w:val="Paragraph"/>
    <w:locked/>
    <w:rsid w:val="000A745B"/>
    <w:rPr>
      <w:rFonts w:ascii="Times New Roman" w:eastAsia="Times New Roman" w:hAnsi="Times New Roman" w:cs="Times New Roman"/>
      <w:szCs w:val="20"/>
      <w:lang w:val="es-ES"/>
    </w:rPr>
  </w:style>
  <w:style w:type="paragraph" w:customStyle="1" w:styleId="subpar">
    <w:name w:val="subpar"/>
    <w:basedOn w:val="BodyTextIndent3"/>
    <w:rsid w:val="000A745B"/>
    <w:pPr>
      <w:numPr>
        <w:ilvl w:val="2"/>
        <w:numId w:val="6"/>
      </w:numPr>
      <w:tabs>
        <w:tab w:val="clear" w:pos="2592"/>
      </w:tabs>
      <w:spacing w:before="120"/>
      <w:ind w:left="2160" w:hanging="180"/>
      <w:jc w:val="both"/>
      <w:outlineLvl w:val="2"/>
    </w:pPr>
    <w:rPr>
      <w:rFonts w:ascii="Times New Roman" w:eastAsia="Times New Roman" w:hAnsi="Times New Roman" w:cs="Times New Roman"/>
      <w:sz w:val="24"/>
      <w:szCs w:val="20"/>
    </w:rPr>
  </w:style>
  <w:style w:type="paragraph" w:customStyle="1" w:styleId="SubSubPar">
    <w:name w:val="SubSubPar"/>
    <w:basedOn w:val="subpar"/>
    <w:rsid w:val="000A745B"/>
    <w:pPr>
      <w:numPr>
        <w:ilvl w:val="3"/>
      </w:numPr>
      <w:tabs>
        <w:tab w:val="clear" w:pos="3024"/>
        <w:tab w:val="num" w:pos="2592"/>
      </w:tabs>
      <w:ind w:left="2592" w:hanging="432"/>
    </w:pPr>
  </w:style>
  <w:style w:type="paragraph" w:styleId="BodyTextIndent">
    <w:name w:val="Body Text Indent"/>
    <w:basedOn w:val="Normal"/>
    <w:link w:val="BodyTextIndentChar"/>
    <w:uiPriority w:val="99"/>
    <w:semiHidden/>
    <w:unhideWhenUsed/>
    <w:rsid w:val="000A745B"/>
    <w:pPr>
      <w:spacing w:after="120"/>
      <w:ind w:left="360"/>
    </w:pPr>
  </w:style>
  <w:style w:type="character" w:customStyle="1" w:styleId="BodyTextIndentChar">
    <w:name w:val="Body Text Indent Char"/>
    <w:basedOn w:val="DefaultParagraphFont"/>
    <w:link w:val="BodyTextIndent"/>
    <w:uiPriority w:val="99"/>
    <w:semiHidden/>
    <w:rsid w:val="000A745B"/>
    <w:rPr>
      <w:lang w:val="fr-FR"/>
    </w:rPr>
  </w:style>
  <w:style w:type="paragraph" w:styleId="BodyTextIndent3">
    <w:name w:val="Body Text Indent 3"/>
    <w:basedOn w:val="Normal"/>
    <w:link w:val="BodyTextIndent3Char"/>
    <w:uiPriority w:val="99"/>
    <w:semiHidden/>
    <w:unhideWhenUsed/>
    <w:rsid w:val="000A745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A745B"/>
    <w:rPr>
      <w:sz w:val="16"/>
      <w:szCs w:val="16"/>
      <w:lang w:val="fr-FR"/>
    </w:rPr>
  </w:style>
  <w:style w:type="paragraph" w:styleId="BalloonText">
    <w:name w:val="Balloon Text"/>
    <w:basedOn w:val="Normal"/>
    <w:link w:val="BalloonTextChar"/>
    <w:uiPriority w:val="99"/>
    <w:semiHidden/>
    <w:unhideWhenUsed/>
    <w:rsid w:val="000A745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745B"/>
    <w:rPr>
      <w:rFonts w:ascii="Lucida Grande" w:hAnsi="Lucida Grande" w:cs="Lucida Grande"/>
      <w:sz w:val="18"/>
      <w:szCs w:val="18"/>
      <w:lang w:val="fr-FR"/>
    </w:rPr>
  </w:style>
  <w:style w:type="character" w:customStyle="1" w:styleId="Heading5Char">
    <w:name w:val="Heading 5 Char"/>
    <w:basedOn w:val="DefaultParagraphFont"/>
    <w:link w:val="Heading5"/>
    <w:rsid w:val="00A46C4F"/>
    <w:rPr>
      <w:rFonts w:ascii="Times New Roman" w:eastAsia="Times New Roman" w:hAnsi="Times New Roman" w:cs="Times New Roman"/>
      <w:sz w:val="22"/>
      <w:szCs w:val="20"/>
    </w:rPr>
  </w:style>
  <w:style w:type="character" w:customStyle="1" w:styleId="Heading6Char">
    <w:name w:val="Heading 6 Char"/>
    <w:basedOn w:val="DefaultParagraphFont"/>
    <w:link w:val="Heading6"/>
    <w:rsid w:val="00A46C4F"/>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A46C4F"/>
    <w:rPr>
      <w:rFonts w:ascii="Arial" w:eastAsia="Times New Roman" w:hAnsi="Arial" w:cs="Times New Roman"/>
      <w:szCs w:val="20"/>
    </w:rPr>
  </w:style>
  <w:style w:type="character" w:customStyle="1" w:styleId="Heading8Char">
    <w:name w:val="Heading 8 Char"/>
    <w:basedOn w:val="DefaultParagraphFont"/>
    <w:link w:val="Heading8"/>
    <w:rsid w:val="00A46C4F"/>
    <w:rPr>
      <w:rFonts w:ascii="Arial" w:eastAsia="Times New Roman" w:hAnsi="Arial" w:cs="Times New Roman"/>
      <w:i/>
      <w:szCs w:val="20"/>
    </w:rPr>
  </w:style>
  <w:style w:type="character" w:customStyle="1" w:styleId="Heading9Char">
    <w:name w:val="Heading 9 Char"/>
    <w:basedOn w:val="DefaultParagraphFont"/>
    <w:link w:val="Heading9"/>
    <w:rsid w:val="00A46C4F"/>
    <w:rPr>
      <w:rFonts w:ascii="Arial" w:eastAsia="Times New Roman" w:hAnsi="Arial" w:cs="Times New Roman"/>
      <w:b/>
      <w:i/>
      <w:sz w:val="18"/>
      <w:szCs w:val="20"/>
    </w:rPr>
  </w:style>
  <w:style w:type="paragraph" w:customStyle="1" w:styleId="FirstHeading">
    <w:name w:val="FirstHeading"/>
    <w:basedOn w:val="Normal"/>
    <w:next w:val="Normal"/>
    <w:link w:val="FirstHeadingChar"/>
    <w:rsid w:val="00A46C4F"/>
    <w:pPr>
      <w:keepNext/>
      <w:numPr>
        <w:numId w:val="7"/>
      </w:numPr>
      <w:tabs>
        <w:tab w:val="left" w:pos="0"/>
        <w:tab w:val="left" w:pos="86"/>
      </w:tabs>
      <w:spacing w:before="120" w:after="120"/>
    </w:pPr>
    <w:rPr>
      <w:rFonts w:ascii="Times New Roman" w:eastAsia="Times New Roman" w:hAnsi="Times New Roman" w:cs="Times New Roman"/>
      <w:b/>
      <w:szCs w:val="20"/>
      <w:lang w:val="es-ES_tradnl"/>
    </w:rPr>
  </w:style>
  <w:style w:type="paragraph" w:customStyle="1" w:styleId="SecHeading">
    <w:name w:val="SecHeading"/>
    <w:basedOn w:val="Normal"/>
    <w:next w:val="Paragraph"/>
    <w:rsid w:val="00A46C4F"/>
    <w:pPr>
      <w:keepNext/>
      <w:numPr>
        <w:ilvl w:val="1"/>
        <w:numId w:val="7"/>
      </w:numPr>
      <w:tabs>
        <w:tab w:val="clear" w:pos="5400"/>
        <w:tab w:val="num" w:pos="1296"/>
      </w:tabs>
      <w:spacing w:before="120" w:after="120"/>
      <w:ind w:left="1296"/>
    </w:pPr>
    <w:rPr>
      <w:rFonts w:ascii="Times New Roman" w:eastAsia="Times New Roman" w:hAnsi="Times New Roman" w:cs="Times New Roman"/>
      <w:b/>
      <w:szCs w:val="20"/>
      <w:lang w:val="es-ES_tradnl"/>
    </w:rPr>
  </w:style>
  <w:style w:type="paragraph" w:customStyle="1" w:styleId="SubHeading1">
    <w:name w:val="SubHeading1"/>
    <w:basedOn w:val="SecHeading"/>
    <w:rsid w:val="00A46C4F"/>
    <w:pPr>
      <w:numPr>
        <w:ilvl w:val="2"/>
      </w:numPr>
      <w:tabs>
        <w:tab w:val="clear" w:pos="5976"/>
        <w:tab w:val="num" w:pos="1872"/>
      </w:tabs>
      <w:ind w:left="1872"/>
    </w:pPr>
  </w:style>
  <w:style w:type="paragraph" w:customStyle="1" w:styleId="Subheading2">
    <w:name w:val="Subheading2"/>
    <w:basedOn w:val="SecHeading"/>
    <w:rsid w:val="00A46C4F"/>
    <w:pPr>
      <w:numPr>
        <w:ilvl w:val="3"/>
      </w:numPr>
      <w:tabs>
        <w:tab w:val="clear" w:pos="6480"/>
        <w:tab w:val="num" w:pos="2376"/>
      </w:tabs>
      <w:ind w:left="2376"/>
    </w:pPr>
  </w:style>
  <w:style w:type="character" w:customStyle="1" w:styleId="FirstHeadingChar">
    <w:name w:val="FirstHeading Char"/>
    <w:basedOn w:val="DefaultParagraphFont"/>
    <w:link w:val="FirstHeading"/>
    <w:rsid w:val="00A46C4F"/>
    <w:rPr>
      <w:rFonts w:ascii="Times New Roman" w:eastAsia="Times New Roman" w:hAnsi="Times New Roman" w:cs="Times New Roman"/>
      <w:b/>
      <w:szCs w:val="20"/>
      <w:lang w:val="es-ES_tradnl"/>
    </w:rPr>
  </w:style>
  <w:style w:type="paragraph" w:styleId="FootnoteText">
    <w:name w:val="footnote text"/>
    <w:aliases w:val="fn,texto de nota al pie,Nota a pie/Bibliog,footnote,foottextfra,F,Texto,nota,pie,Ref.,al,Texto nota pie IIRSA,ADB,single space,FOOTNOTES,Fußnotentext Char,Footnote text,ft,Footnote Text Char2 Char,Footnote Text Char1 Char Char,Fußnotentext"/>
    <w:basedOn w:val="Normal"/>
    <w:link w:val="FootnoteTextChar"/>
    <w:qFormat/>
    <w:rsid w:val="00A46C4F"/>
    <w:pPr>
      <w:keepNext/>
      <w:keepLines/>
      <w:spacing w:after="120"/>
      <w:ind w:left="288" w:hanging="288"/>
      <w:jc w:val="both"/>
    </w:pPr>
    <w:rPr>
      <w:rFonts w:ascii="Times New Roman" w:eastAsia="Times New Roman" w:hAnsi="Times New Roman" w:cs="Times New Roman"/>
      <w:spacing w:val="-3"/>
      <w:sz w:val="20"/>
      <w:szCs w:val="20"/>
      <w:lang w:val="en-US"/>
    </w:rPr>
  </w:style>
  <w:style w:type="character" w:customStyle="1" w:styleId="FootnoteTextChar">
    <w:name w:val="Footnote Text Char"/>
    <w:aliases w:val="fn Char,texto de nota al pie Char,Nota a pie/Bibliog Char,footnote Char,foottextfra Char,F Char,Texto Char,nota Char,pie Char,Ref. Char,al Char,Texto nota pie IIRSA Char,ADB Char,single space Char,FOOTNOTES Char,Fußnotentext Char Char"/>
    <w:basedOn w:val="DefaultParagraphFont"/>
    <w:link w:val="FootnoteText"/>
    <w:rsid w:val="00A46C4F"/>
    <w:rPr>
      <w:rFonts w:ascii="Times New Roman" w:eastAsia="Times New Roman" w:hAnsi="Times New Roman" w:cs="Times New Roman"/>
      <w:spacing w:val="-3"/>
      <w:sz w:val="20"/>
      <w:szCs w:val="20"/>
    </w:rPr>
  </w:style>
  <w:style w:type="character" w:styleId="FootnoteReference">
    <w:name w:val="footnote reference"/>
    <w:aliases w:val="ftref,16 Point,Superscript 6 Point,Ref,de nota al pie,referencia nota al pie,(Ref. de nota al pie),Fußnotenzeichen DISS,FC,Style 24,BVI fnr, BVI fnr,Знак сноски 1,Footnotes refss,Ref. de nota al pie.,Texto de nota al pie"/>
    <w:rsid w:val="00A46C4F"/>
    <w:rPr>
      <w:vertAlign w:val="superscript"/>
    </w:rPr>
  </w:style>
  <w:style w:type="character" w:styleId="CommentReference">
    <w:name w:val="annotation reference"/>
    <w:basedOn w:val="DefaultParagraphFont"/>
    <w:uiPriority w:val="99"/>
    <w:semiHidden/>
    <w:unhideWhenUsed/>
    <w:rsid w:val="00EF7FCC"/>
    <w:rPr>
      <w:sz w:val="18"/>
      <w:szCs w:val="18"/>
    </w:rPr>
  </w:style>
  <w:style w:type="paragraph" w:styleId="CommentText">
    <w:name w:val="annotation text"/>
    <w:basedOn w:val="Normal"/>
    <w:link w:val="CommentTextChar"/>
    <w:uiPriority w:val="99"/>
    <w:semiHidden/>
    <w:unhideWhenUsed/>
    <w:rsid w:val="00EF7FCC"/>
  </w:style>
  <w:style w:type="character" w:customStyle="1" w:styleId="CommentTextChar">
    <w:name w:val="Comment Text Char"/>
    <w:basedOn w:val="DefaultParagraphFont"/>
    <w:link w:val="CommentText"/>
    <w:uiPriority w:val="99"/>
    <w:rsid w:val="00EF7FCC"/>
    <w:rPr>
      <w:lang w:val="fr-FR"/>
    </w:rPr>
  </w:style>
  <w:style w:type="paragraph" w:styleId="CommentSubject">
    <w:name w:val="annotation subject"/>
    <w:basedOn w:val="CommentText"/>
    <w:next w:val="CommentText"/>
    <w:link w:val="CommentSubjectChar"/>
    <w:uiPriority w:val="99"/>
    <w:semiHidden/>
    <w:unhideWhenUsed/>
    <w:rsid w:val="00EF7FCC"/>
    <w:rPr>
      <w:b/>
      <w:bCs/>
      <w:sz w:val="20"/>
      <w:szCs w:val="20"/>
    </w:rPr>
  </w:style>
  <w:style w:type="character" w:customStyle="1" w:styleId="CommentSubjectChar">
    <w:name w:val="Comment Subject Char"/>
    <w:basedOn w:val="CommentTextChar"/>
    <w:link w:val="CommentSubject"/>
    <w:uiPriority w:val="99"/>
    <w:semiHidden/>
    <w:rsid w:val="00EF7FCC"/>
    <w:rPr>
      <w:b/>
      <w:bCs/>
      <w:sz w:val="20"/>
      <w:szCs w:val="20"/>
      <w:lang w:val="fr-FR"/>
    </w:rPr>
  </w:style>
  <w:style w:type="paragraph" w:customStyle="1" w:styleId="Clause">
    <w:name w:val="Clause"/>
    <w:basedOn w:val="Normal"/>
    <w:uiPriority w:val="99"/>
    <w:rsid w:val="00A972DE"/>
    <w:pPr>
      <w:tabs>
        <w:tab w:val="left" w:pos="1980"/>
      </w:tabs>
      <w:spacing w:after="240" w:line="360" w:lineRule="auto"/>
      <w:jc w:val="both"/>
    </w:pPr>
    <w:rPr>
      <w:rFonts w:ascii="Times New Roman" w:eastAsia="Times New Roman" w:hAnsi="Times New Roman" w:cs="Times New Roman"/>
      <w:szCs w:val="20"/>
      <w:lang w:val="es-ES"/>
    </w:rPr>
  </w:style>
  <w:style w:type="character" w:styleId="Hyperlink">
    <w:name w:val="Hyperlink"/>
    <w:uiPriority w:val="99"/>
    <w:rsid w:val="00EC0106"/>
    <w:rPr>
      <w:rFonts w:cs="Times New Roman"/>
      <w:color w:val="0000FF"/>
      <w:u w:val="single"/>
    </w:rPr>
  </w:style>
  <w:style w:type="paragraph" w:styleId="TOCHeading">
    <w:name w:val="TOC Heading"/>
    <w:basedOn w:val="Heading1"/>
    <w:next w:val="Normal"/>
    <w:uiPriority w:val="39"/>
    <w:unhideWhenUsed/>
    <w:qFormat/>
    <w:rsid w:val="0043165D"/>
    <w:pPr>
      <w:spacing w:line="276" w:lineRule="auto"/>
      <w:jc w:val="left"/>
      <w:outlineLvl w:val="9"/>
    </w:pPr>
    <w:rPr>
      <w:lang w:val="en-US" w:eastAsia="en-US"/>
    </w:rPr>
  </w:style>
  <w:style w:type="paragraph" w:styleId="TOC1">
    <w:name w:val="toc 1"/>
    <w:basedOn w:val="Normal"/>
    <w:next w:val="Normal"/>
    <w:autoRedefine/>
    <w:uiPriority w:val="39"/>
    <w:unhideWhenUsed/>
    <w:rsid w:val="0043165D"/>
    <w:pPr>
      <w:spacing w:before="120"/>
    </w:pPr>
    <w:rPr>
      <w:rFonts w:asciiTheme="minorHAnsi" w:hAnsiTheme="minorHAnsi"/>
      <w:b/>
    </w:rPr>
  </w:style>
  <w:style w:type="paragraph" w:styleId="TOC2">
    <w:name w:val="toc 2"/>
    <w:basedOn w:val="Normal"/>
    <w:next w:val="Normal"/>
    <w:autoRedefine/>
    <w:uiPriority w:val="39"/>
    <w:unhideWhenUsed/>
    <w:rsid w:val="0043165D"/>
    <w:pPr>
      <w:ind w:left="240"/>
    </w:pPr>
    <w:rPr>
      <w:rFonts w:asciiTheme="minorHAnsi" w:hAnsiTheme="minorHAnsi"/>
      <w:b/>
      <w:sz w:val="22"/>
      <w:szCs w:val="22"/>
    </w:rPr>
  </w:style>
  <w:style w:type="paragraph" w:styleId="TOC3">
    <w:name w:val="toc 3"/>
    <w:basedOn w:val="Normal"/>
    <w:next w:val="Normal"/>
    <w:autoRedefine/>
    <w:uiPriority w:val="39"/>
    <w:unhideWhenUsed/>
    <w:rsid w:val="0043165D"/>
    <w:pPr>
      <w:ind w:left="480"/>
    </w:pPr>
    <w:rPr>
      <w:rFonts w:asciiTheme="minorHAnsi" w:hAnsiTheme="minorHAnsi"/>
      <w:sz w:val="22"/>
      <w:szCs w:val="22"/>
    </w:rPr>
  </w:style>
  <w:style w:type="paragraph" w:styleId="TOC4">
    <w:name w:val="toc 4"/>
    <w:basedOn w:val="Normal"/>
    <w:next w:val="Normal"/>
    <w:autoRedefine/>
    <w:uiPriority w:val="39"/>
    <w:semiHidden/>
    <w:unhideWhenUsed/>
    <w:rsid w:val="0043165D"/>
    <w:pPr>
      <w:ind w:left="720"/>
    </w:pPr>
    <w:rPr>
      <w:rFonts w:asciiTheme="minorHAnsi" w:hAnsiTheme="minorHAnsi"/>
      <w:sz w:val="20"/>
      <w:szCs w:val="20"/>
    </w:rPr>
  </w:style>
  <w:style w:type="paragraph" w:styleId="TOC5">
    <w:name w:val="toc 5"/>
    <w:basedOn w:val="Normal"/>
    <w:next w:val="Normal"/>
    <w:autoRedefine/>
    <w:uiPriority w:val="39"/>
    <w:semiHidden/>
    <w:unhideWhenUsed/>
    <w:rsid w:val="0043165D"/>
    <w:pPr>
      <w:ind w:left="960"/>
    </w:pPr>
    <w:rPr>
      <w:rFonts w:asciiTheme="minorHAnsi" w:hAnsiTheme="minorHAnsi"/>
      <w:sz w:val="20"/>
      <w:szCs w:val="20"/>
    </w:rPr>
  </w:style>
  <w:style w:type="paragraph" w:styleId="TOC6">
    <w:name w:val="toc 6"/>
    <w:basedOn w:val="Normal"/>
    <w:next w:val="Normal"/>
    <w:autoRedefine/>
    <w:uiPriority w:val="39"/>
    <w:semiHidden/>
    <w:unhideWhenUsed/>
    <w:rsid w:val="0043165D"/>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43165D"/>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43165D"/>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43165D"/>
    <w:pPr>
      <w:ind w:left="1920"/>
    </w:pPr>
    <w:rPr>
      <w:rFonts w:asciiTheme="minorHAnsi" w:hAnsiTheme="minorHAnsi"/>
      <w:sz w:val="20"/>
      <w:szCs w:val="20"/>
    </w:rPr>
  </w:style>
  <w:style w:type="paragraph" w:styleId="Footer">
    <w:name w:val="footer"/>
    <w:basedOn w:val="Normal"/>
    <w:link w:val="FooterChar"/>
    <w:unhideWhenUsed/>
    <w:rsid w:val="00D0325E"/>
    <w:pPr>
      <w:tabs>
        <w:tab w:val="center" w:pos="4320"/>
        <w:tab w:val="right" w:pos="8640"/>
      </w:tabs>
    </w:pPr>
  </w:style>
  <w:style w:type="character" w:customStyle="1" w:styleId="FooterChar">
    <w:name w:val="Footer Char"/>
    <w:basedOn w:val="DefaultParagraphFont"/>
    <w:link w:val="Footer"/>
    <w:uiPriority w:val="99"/>
    <w:rsid w:val="00D0325E"/>
    <w:rPr>
      <w:lang w:val="fr-FR"/>
    </w:rPr>
  </w:style>
  <w:style w:type="character" w:styleId="PageNumber">
    <w:name w:val="page number"/>
    <w:basedOn w:val="DefaultParagraphFont"/>
    <w:unhideWhenUsed/>
    <w:rsid w:val="00D0325E"/>
  </w:style>
  <w:style w:type="paragraph" w:styleId="Revision">
    <w:name w:val="Revision"/>
    <w:hidden/>
    <w:uiPriority w:val="99"/>
    <w:semiHidden/>
    <w:rsid w:val="0070793F"/>
    <w:rPr>
      <w:lang w:val="fr-FR"/>
    </w:rPr>
  </w:style>
  <w:style w:type="paragraph" w:styleId="HTMLPreformatted">
    <w:name w:val="HTML Preformatted"/>
    <w:basedOn w:val="Normal"/>
    <w:link w:val="HTMLPreformattedChar"/>
    <w:uiPriority w:val="99"/>
    <w:unhideWhenUsed/>
    <w:rsid w:val="00ED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ED6969"/>
    <w:rPr>
      <w:rFonts w:ascii="Courier New" w:eastAsia="Times New Roman" w:hAnsi="Courier New" w:cs="Courier New"/>
      <w:sz w:val="20"/>
      <w:szCs w:val="20"/>
    </w:rPr>
  </w:style>
  <w:style w:type="character" w:customStyle="1" w:styleId="ListParagraphChar">
    <w:name w:val="List Paragraph Char"/>
    <w:aliases w:val="titulo 3 Char,Párrafo de lista1 Char,Bullets Char,Lista vistosa - Énfasis 11 Char,fuente Char,Segundo Char,Parágrafo da Lista 1 Char"/>
    <w:link w:val="ListParagraph"/>
    <w:uiPriority w:val="34"/>
    <w:locked/>
    <w:rsid w:val="00A2321B"/>
    <w:rPr>
      <w:lang w:val="fr-FR"/>
    </w:rPr>
  </w:style>
  <w:style w:type="paragraph" w:customStyle="1" w:styleId="Default">
    <w:name w:val="Default"/>
    <w:rsid w:val="000F44FE"/>
    <w:pPr>
      <w:autoSpaceDE w:val="0"/>
      <w:autoSpaceDN w:val="0"/>
      <w:adjustRightInd w:val="0"/>
    </w:pPr>
    <w:rPr>
      <w:rFonts w:ascii="Arial" w:eastAsiaTheme="minorHAnsi" w:hAnsi="Arial" w:cs="Arial"/>
      <w:color w:val="000000"/>
      <w:lang w:val="pt-BR"/>
    </w:rPr>
  </w:style>
  <w:style w:type="character" w:customStyle="1" w:styleId="Comentrio4">
    <w:name w:val="Comentário 4"/>
    <w:uiPriority w:val="1"/>
    <w:qFormat/>
    <w:rsid w:val="000F00DD"/>
    <w:rPr>
      <w:rFonts w:ascii="Times New Roman Bold" w:hAnsi="Times New Roman Bold"/>
      <w:b/>
      <w:bCs/>
      <w:i w:val="0"/>
      <w:dstrike w:val="0"/>
      <w:color w:val="FF0000"/>
      <w:sz w:val="28"/>
      <w:vertAlign w:val="baseline"/>
    </w:rPr>
  </w:style>
  <w:style w:type="paragraph" w:styleId="Header">
    <w:name w:val="header"/>
    <w:basedOn w:val="Normal"/>
    <w:link w:val="HeaderChar"/>
    <w:uiPriority w:val="99"/>
    <w:rsid w:val="004407F3"/>
    <w:pPr>
      <w:tabs>
        <w:tab w:val="center" w:pos="4320"/>
        <w:tab w:val="right" w:pos="8640"/>
      </w:tabs>
    </w:pPr>
    <w:rPr>
      <w:rFonts w:ascii="Times New Roman" w:eastAsia="Times New Roman" w:hAnsi="Times New Roman" w:cs="Times New Roman"/>
      <w:szCs w:val="20"/>
      <w:lang w:val="en-US"/>
    </w:rPr>
  </w:style>
  <w:style w:type="character" w:customStyle="1" w:styleId="HeaderChar">
    <w:name w:val="Header Char"/>
    <w:basedOn w:val="DefaultParagraphFont"/>
    <w:link w:val="Header"/>
    <w:uiPriority w:val="99"/>
    <w:rsid w:val="004407F3"/>
    <w:rPr>
      <w:rFonts w:ascii="Times New Roman" w:eastAsia="Times New Roman" w:hAnsi="Times New Roman" w:cs="Times New Roman"/>
      <w:szCs w:val="20"/>
    </w:rPr>
  </w:style>
  <w:style w:type="paragraph" w:customStyle="1" w:styleId="Newpage">
    <w:name w:val="Newpage"/>
    <w:basedOn w:val="Chapter"/>
    <w:rsid w:val="004407F3"/>
    <w:pPr>
      <w:numPr>
        <w:numId w:val="0"/>
      </w:numPr>
      <w:tabs>
        <w:tab w:val="left" w:pos="3060"/>
      </w:tabs>
      <w:spacing w:after="0"/>
    </w:pPr>
    <w:rPr>
      <w:lang w:val="es-ES_tradnl"/>
    </w:rPr>
  </w:style>
  <w:style w:type="table" w:styleId="TableGrid">
    <w:name w:val="Table Grid"/>
    <w:basedOn w:val="TableNormal"/>
    <w:uiPriority w:val="59"/>
    <w:rsid w:val="004407F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4407F3"/>
    <w:rPr>
      <w:rFonts w:ascii="Calibri" w:eastAsiaTheme="minorHAnsi" w:hAnsi="Calibri"/>
      <w:sz w:val="22"/>
      <w:szCs w:val="21"/>
      <w:lang w:val="en-US"/>
    </w:rPr>
  </w:style>
  <w:style w:type="character" w:customStyle="1" w:styleId="PlainTextChar">
    <w:name w:val="Plain Text Char"/>
    <w:basedOn w:val="DefaultParagraphFont"/>
    <w:link w:val="PlainText"/>
    <w:uiPriority w:val="99"/>
    <w:rsid w:val="004407F3"/>
    <w:rPr>
      <w:rFonts w:ascii="Calibri" w:eastAsiaTheme="minorHAnsi" w:hAnsi="Calibri"/>
      <w:sz w:val="22"/>
      <w:szCs w:val="21"/>
    </w:rPr>
  </w:style>
  <w:style w:type="paragraph" w:customStyle="1" w:styleId="ABNList1">
    <w:name w:val="ABN List 1"/>
    <w:basedOn w:val="Normal"/>
    <w:qFormat/>
    <w:rsid w:val="004407F3"/>
    <w:pPr>
      <w:spacing w:before="120" w:after="120"/>
      <w:jc w:val="both"/>
    </w:pPr>
    <w:rPr>
      <w:rFonts w:ascii="Times New Roman" w:eastAsia="Times New Roman" w:hAnsi="Times New Roman"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646719">
      <w:bodyDiv w:val="1"/>
      <w:marLeft w:val="0"/>
      <w:marRight w:val="0"/>
      <w:marTop w:val="0"/>
      <w:marBottom w:val="0"/>
      <w:divBdr>
        <w:top w:val="none" w:sz="0" w:space="0" w:color="auto"/>
        <w:left w:val="none" w:sz="0" w:space="0" w:color="auto"/>
        <w:bottom w:val="none" w:sz="0" w:space="0" w:color="auto"/>
        <w:right w:val="none" w:sz="0" w:space="0" w:color="auto"/>
      </w:divBdr>
    </w:div>
    <w:div w:id="530218397">
      <w:bodyDiv w:val="1"/>
      <w:marLeft w:val="0"/>
      <w:marRight w:val="0"/>
      <w:marTop w:val="0"/>
      <w:marBottom w:val="0"/>
      <w:divBdr>
        <w:top w:val="none" w:sz="0" w:space="0" w:color="auto"/>
        <w:left w:val="none" w:sz="0" w:space="0" w:color="auto"/>
        <w:bottom w:val="none" w:sz="0" w:space="0" w:color="auto"/>
        <w:right w:val="none" w:sz="0" w:space="0" w:color="auto"/>
      </w:divBdr>
    </w:div>
    <w:div w:id="829371911">
      <w:bodyDiv w:val="1"/>
      <w:marLeft w:val="0"/>
      <w:marRight w:val="0"/>
      <w:marTop w:val="0"/>
      <w:marBottom w:val="0"/>
      <w:divBdr>
        <w:top w:val="none" w:sz="0" w:space="0" w:color="auto"/>
        <w:left w:val="none" w:sz="0" w:space="0" w:color="auto"/>
        <w:bottom w:val="none" w:sz="0" w:space="0" w:color="auto"/>
        <w:right w:val="none" w:sz="0" w:space="0" w:color="auto"/>
      </w:divBdr>
    </w:div>
    <w:div w:id="853228743">
      <w:bodyDiv w:val="1"/>
      <w:marLeft w:val="0"/>
      <w:marRight w:val="0"/>
      <w:marTop w:val="0"/>
      <w:marBottom w:val="0"/>
      <w:divBdr>
        <w:top w:val="none" w:sz="0" w:space="0" w:color="auto"/>
        <w:left w:val="none" w:sz="0" w:space="0" w:color="auto"/>
        <w:bottom w:val="none" w:sz="0" w:space="0" w:color="auto"/>
        <w:right w:val="none" w:sz="0" w:space="0" w:color="auto"/>
      </w:divBdr>
    </w:div>
    <w:div w:id="1481729191">
      <w:bodyDiv w:val="1"/>
      <w:marLeft w:val="0"/>
      <w:marRight w:val="0"/>
      <w:marTop w:val="0"/>
      <w:marBottom w:val="0"/>
      <w:divBdr>
        <w:top w:val="none" w:sz="0" w:space="0" w:color="auto"/>
        <w:left w:val="none" w:sz="0" w:space="0" w:color="auto"/>
        <w:bottom w:val="none" w:sz="0" w:space="0" w:color="auto"/>
        <w:right w:val="none" w:sz="0" w:space="0" w:color="auto"/>
      </w:divBdr>
    </w:div>
    <w:div w:id="1551453735">
      <w:bodyDiv w:val="1"/>
      <w:marLeft w:val="0"/>
      <w:marRight w:val="0"/>
      <w:marTop w:val="0"/>
      <w:marBottom w:val="0"/>
      <w:divBdr>
        <w:top w:val="none" w:sz="0" w:space="0" w:color="auto"/>
        <w:left w:val="none" w:sz="0" w:space="0" w:color="auto"/>
        <w:bottom w:val="none" w:sz="0" w:space="0" w:color="auto"/>
        <w:right w:val="none" w:sz="0" w:space="0" w:color="auto"/>
      </w:divBdr>
    </w:div>
    <w:div w:id="1739669010">
      <w:bodyDiv w:val="1"/>
      <w:marLeft w:val="0"/>
      <w:marRight w:val="0"/>
      <w:marTop w:val="0"/>
      <w:marBottom w:val="0"/>
      <w:divBdr>
        <w:top w:val="none" w:sz="0" w:space="0" w:color="auto"/>
        <w:left w:val="none" w:sz="0" w:space="0" w:color="auto"/>
        <w:bottom w:val="none" w:sz="0" w:space="0" w:color="auto"/>
        <w:right w:val="none" w:sz="0" w:space="0" w:color="auto"/>
      </w:divBdr>
    </w:div>
    <w:div w:id="1789427042">
      <w:bodyDiv w:val="1"/>
      <w:marLeft w:val="0"/>
      <w:marRight w:val="0"/>
      <w:marTop w:val="0"/>
      <w:marBottom w:val="0"/>
      <w:divBdr>
        <w:top w:val="none" w:sz="0" w:space="0" w:color="auto"/>
        <w:left w:val="none" w:sz="0" w:space="0" w:color="auto"/>
        <w:bottom w:val="none" w:sz="0" w:space="0" w:color="auto"/>
        <w:right w:val="none" w:sz="0" w:space="0" w:color="auto"/>
      </w:divBdr>
    </w:div>
    <w:div w:id="1880388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20"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8F56736A541D104B9336CDF618FFAEF7" ma:contentTypeVersion="33" ma:contentTypeDescription="The base project type from which other project content types inherit their information." ma:contentTypeScope="" ma:versionID="ea506a86fdf136b27cfc99a371e097f5">
  <xsd:schema xmlns:xsd="http://www.w3.org/2001/XMLSchema" xmlns:xs="http://www.w3.org/2001/XMLSchema" xmlns:p="http://schemas.microsoft.com/office/2006/metadata/properties" xmlns:ns2="cdc7663a-08f0-4737-9e8c-148ce897a09c" targetNamespace="http://schemas.microsoft.com/office/2006/metadata/properties" ma:root="true" ma:fieldsID="62e2d43c24a6845445190ddd83c6bf4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L110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5CF45222187B24393C6E2E46F21CBA5" ma:contentTypeVersion="332" ma:contentTypeDescription="A content type to manage public (operations) IDB documents" ma:contentTypeScope="" ma:versionID="33c133e6d750c727ca8cd2bd9fab24f7">
  <xsd:schema xmlns:xsd="http://www.w3.org/2001/XMLSchema" xmlns:xs="http://www.w3.org/2001/XMLSchema" xmlns:p="http://schemas.microsoft.com/office/2006/metadata/properties" xmlns:ns2="cdc7663a-08f0-4737-9e8c-148ce897a09c" targetNamespace="http://schemas.microsoft.com/office/2006/metadata/properties" ma:root="true" ma:fieldsID="95c9035acea6c87b599156be98b0f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0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Galaz,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83</Value>
      <Value>60</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HA-L1106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R0002224682</Record_x0020_Number>
    <_dlc_DocId xmlns="cdc7663a-08f0-4737-9e8c-148ce897a09c">EZSHARE-535831809-14</_dlc_DocId>
    <_dlc_DocIdUrl xmlns="cdc7663a-08f0-4737-9e8c-148ce897a09c">
      <Url>https://idbg.sharepoint.com/teams/EZ-HA-LON/HA-L1106/_layouts/15/DocIdRedir.aspx?ID=EZSHARE-535831809-14</Url>
      <Description>EZSHARE-535831809-14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277B218E-3070-4B50-9D77-1786DE40B01D}">
  <ds:schemaRefs>
    <ds:schemaRef ds:uri="http://schemas.openxmlformats.org/officeDocument/2006/bibliography"/>
  </ds:schemaRefs>
</ds:datastoreItem>
</file>

<file path=customXml/itemProps2.xml><?xml version="1.0" encoding="utf-8"?>
<ds:datastoreItem xmlns:ds="http://schemas.openxmlformats.org/officeDocument/2006/customXml" ds:itemID="{EFDAB9E5-48EE-40ED-8F76-FAF7A66FF37F}"/>
</file>

<file path=customXml/itemProps3.xml><?xml version="1.0" encoding="utf-8"?>
<ds:datastoreItem xmlns:ds="http://schemas.openxmlformats.org/officeDocument/2006/customXml" ds:itemID="{3CCED01F-78F3-4752-8034-5CCA9A5D8657}"/>
</file>

<file path=customXml/itemProps4.xml><?xml version="1.0" encoding="utf-8"?>
<ds:datastoreItem xmlns:ds="http://schemas.openxmlformats.org/officeDocument/2006/customXml" ds:itemID="{F83A4616-52DD-46F0-98F5-4B79CA58558A}"/>
</file>

<file path=customXml/itemProps5.xml><?xml version="1.0" encoding="utf-8"?>
<ds:datastoreItem xmlns:ds="http://schemas.openxmlformats.org/officeDocument/2006/customXml" ds:itemID="{5F690548-FF8A-486E-9B3C-260C926C1CFE}"/>
</file>

<file path=customXml/itemProps6.xml><?xml version="1.0" encoding="utf-8"?>
<ds:datastoreItem xmlns:ds="http://schemas.openxmlformats.org/officeDocument/2006/customXml" ds:itemID="{0DF4166F-908F-4AFF-863F-FF703C9584C9}"/>
</file>

<file path=customXml/itemProps7.xml><?xml version="1.0" encoding="utf-8"?>
<ds:datastoreItem xmlns:ds="http://schemas.openxmlformats.org/officeDocument/2006/customXml" ds:itemID="{E41C8012-A5F5-4D3D-80CE-968D2047900C}"/>
</file>

<file path=customXml/itemProps8.xml><?xml version="1.0" encoding="utf-8"?>
<ds:datastoreItem xmlns:ds="http://schemas.openxmlformats.org/officeDocument/2006/customXml" ds:itemID="{19625EE9-3F23-4EFA-99FD-01B9D643C963}"/>
</file>

<file path=docProps/app.xml><?xml version="1.0" encoding="utf-8"?>
<Properties xmlns="http://schemas.openxmlformats.org/officeDocument/2006/extended-properties" xmlns:vt="http://schemas.openxmlformats.org/officeDocument/2006/docPropsVTypes">
  <Template>Normal.dotm</Template>
  <TotalTime>0</TotalTime>
  <Pages>33</Pages>
  <Words>8601</Words>
  <Characters>49031</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Gentilé Senat</dc:creator>
  <cp:keywords/>
  <dc:description/>
  <cp:lastModifiedBy>Cartin Barrios, Irene</cp:lastModifiedBy>
  <cp:revision>2</cp:revision>
  <cp:lastPrinted>2018-04-19T15:50:00Z</cp:lastPrinted>
  <dcterms:created xsi:type="dcterms:W3CDTF">2018-04-24T16:20:00Z</dcterms:created>
  <dcterms:modified xsi:type="dcterms:W3CDTF">2018-04-24T16:20:00Z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60;#WATER AND SANITATION|58dede58-0f72-4d2f-8205-0b2af4d108e7</vt:lpwstr>
  </property>
  <property fmtid="{D5CDD505-2E9C-101B-9397-08002B2CF9AE}" pid="7" name="Fund IDB">
    <vt:lpwstr/>
  </property>
  <property fmtid="{D5CDD505-2E9C-101B-9397-08002B2CF9AE}" pid="8" name="Country">
    <vt:lpwstr>42;#Haiti|77a11ace-c854-4e9c-9e19-c924bca0dd43</vt:lpwstr>
  </property>
  <property fmtid="{D5CDD505-2E9C-101B-9397-08002B2CF9AE}" pid="9" name="Sector IDB">
    <vt:lpwstr>83;#WATER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2238b757-ba78-4f19-9987-1bc21c3b463b</vt:lpwstr>
  </property>
  <property fmtid="{D5CDD505-2E9C-101B-9397-08002B2CF9AE}" pid="13" name="RecordStorageActiveId">
    <vt:lpwstr>f41cef59-3796-4a07-9d4e-bcb2f0dab071</vt:lpwstr>
  </property>
  <property fmtid="{D5CDD505-2E9C-101B-9397-08002B2CF9AE}" pid="14" name="ContentTypeId">
    <vt:lpwstr>0x0101001A458A224826124E8B45B1D613300CFC0075CF45222187B24393C6E2E46F21CBA5</vt:lpwstr>
  </property>
</Properties>
</file>