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45EFB" w14:textId="160B1293" w:rsidR="00813650" w:rsidRDefault="00120449" w:rsidP="00D914BD">
      <w:pPr>
        <w:jc w:val="center"/>
        <w:rPr>
          <w:b/>
          <w:sz w:val="22"/>
          <w:szCs w:val="22"/>
          <w:lang w:val="es-ES_tradnl"/>
        </w:rPr>
      </w:pPr>
      <w:r w:rsidRPr="00CA5000">
        <w:rPr>
          <w:b/>
          <w:bCs/>
          <w:sz w:val="22"/>
          <w:szCs w:val="22"/>
          <w:lang w:val="es-ES_tradnl"/>
        </w:rPr>
        <w:t xml:space="preserve">Análisis del Cumplimiento del </w:t>
      </w:r>
      <w:r w:rsidR="00D914BD" w:rsidRPr="00D914BD">
        <w:rPr>
          <w:b/>
          <w:bCs/>
          <w:sz w:val="22"/>
          <w:szCs w:val="22"/>
          <w:lang w:val="es-ES_tradnl"/>
        </w:rPr>
        <w:t xml:space="preserve">Programa </w:t>
      </w:r>
      <w:r w:rsidR="00A772D5">
        <w:rPr>
          <w:b/>
          <w:bCs/>
          <w:sz w:val="22"/>
          <w:szCs w:val="22"/>
          <w:lang w:val="es-ES_tradnl"/>
        </w:rPr>
        <w:t>para la Gestión de los Residuos Sólidos en el Norte de Haití</w:t>
      </w:r>
      <w:r w:rsidRPr="00CA5000">
        <w:rPr>
          <w:b/>
          <w:sz w:val="22"/>
          <w:szCs w:val="22"/>
          <w:lang w:val="es-ES_tradnl"/>
        </w:rPr>
        <w:t xml:space="preserve"> (</w:t>
      </w:r>
      <w:r w:rsidRPr="00CA5000">
        <w:rPr>
          <w:b/>
          <w:sz w:val="22"/>
          <w:szCs w:val="22"/>
          <w:lang w:val="es-ES"/>
        </w:rPr>
        <w:t>GN-2716-6</w:t>
      </w:r>
      <w:r w:rsidRPr="00CA5000">
        <w:rPr>
          <w:b/>
          <w:sz w:val="22"/>
          <w:szCs w:val="22"/>
          <w:lang w:val="es-ES_tradnl"/>
        </w:rPr>
        <w:t>)</w:t>
      </w:r>
    </w:p>
    <w:p w14:paraId="3F964302" w14:textId="08540C9C" w:rsidR="00D459B5" w:rsidRDefault="00D459B5" w:rsidP="00A22BAE">
      <w:pPr>
        <w:autoSpaceDE w:val="0"/>
        <w:autoSpaceDN w:val="0"/>
        <w:adjustRightInd w:val="0"/>
        <w:ind w:right="-180"/>
        <w:jc w:val="both"/>
        <w:rPr>
          <w:b/>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3177"/>
        <w:gridCol w:w="3556"/>
      </w:tblGrid>
      <w:tr w:rsidR="00D459B5" w:rsidRPr="00D06EBC" w14:paraId="5EE81EC4" w14:textId="77777777" w:rsidTr="00D459B5">
        <w:trPr>
          <w:jc w:val="center"/>
        </w:trPr>
        <w:tc>
          <w:tcPr>
            <w:tcW w:w="1897" w:type="dxa"/>
            <w:shd w:val="clear" w:color="auto" w:fill="C0C0C0"/>
            <w:vAlign w:val="center"/>
          </w:tcPr>
          <w:p w14:paraId="33C1FF7D" w14:textId="77777777" w:rsidR="00D459B5" w:rsidRPr="00D06EBC" w:rsidRDefault="00D459B5" w:rsidP="008B5897">
            <w:pPr>
              <w:spacing w:before="120" w:after="120"/>
              <w:jc w:val="center"/>
              <w:rPr>
                <w:b/>
                <w:sz w:val="18"/>
                <w:szCs w:val="18"/>
                <w:lang w:val="es-ES_tradnl"/>
              </w:rPr>
            </w:pPr>
            <w:r w:rsidRPr="00D06EBC">
              <w:rPr>
                <w:b/>
                <w:sz w:val="18"/>
                <w:szCs w:val="18"/>
                <w:lang w:val="es-ES_tradnl"/>
              </w:rPr>
              <w:t>Condiciones de la Política</w:t>
            </w:r>
          </w:p>
        </w:tc>
        <w:tc>
          <w:tcPr>
            <w:tcW w:w="3177" w:type="dxa"/>
            <w:shd w:val="clear" w:color="auto" w:fill="C0C0C0"/>
            <w:vAlign w:val="center"/>
          </w:tcPr>
          <w:p w14:paraId="34731FD3" w14:textId="77777777" w:rsidR="00D459B5" w:rsidRPr="00D06EBC" w:rsidRDefault="00D459B5" w:rsidP="008B5897">
            <w:pPr>
              <w:spacing w:before="120" w:after="120"/>
              <w:jc w:val="center"/>
              <w:rPr>
                <w:b/>
                <w:sz w:val="18"/>
                <w:szCs w:val="18"/>
                <w:lang w:val="es-ES_tradnl"/>
              </w:rPr>
            </w:pPr>
            <w:r w:rsidRPr="00D06EBC">
              <w:rPr>
                <w:b/>
                <w:sz w:val="18"/>
                <w:szCs w:val="18"/>
                <w:lang w:val="es-ES_tradnl"/>
              </w:rPr>
              <w:t>Descripción</w:t>
            </w:r>
          </w:p>
        </w:tc>
        <w:tc>
          <w:tcPr>
            <w:tcW w:w="3556" w:type="dxa"/>
            <w:shd w:val="clear" w:color="auto" w:fill="C0C0C0"/>
            <w:vAlign w:val="center"/>
          </w:tcPr>
          <w:p w14:paraId="3F98AB15" w14:textId="77777777" w:rsidR="00D459B5" w:rsidRPr="00D06EBC" w:rsidRDefault="00D459B5" w:rsidP="008B5897">
            <w:pPr>
              <w:spacing w:before="120" w:after="120"/>
              <w:jc w:val="center"/>
              <w:rPr>
                <w:b/>
                <w:sz w:val="18"/>
                <w:szCs w:val="18"/>
                <w:lang w:val="es-ES_tradnl"/>
              </w:rPr>
            </w:pPr>
            <w:r w:rsidRPr="00D06EBC">
              <w:rPr>
                <w:b/>
                <w:sz w:val="18"/>
                <w:szCs w:val="18"/>
                <w:lang w:val="es-ES_tradnl"/>
              </w:rPr>
              <w:t>Comentarios</w:t>
            </w:r>
          </w:p>
        </w:tc>
      </w:tr>
      <w:tr w:rsidR="00D459B5" w:rsidRPr="00DA4B41" w14:paraId="659AD424" w14:textId="77777777" w:rsidTr="00D459B5">
        <w:trPr>
          <w:jc w:val="center"/>
        </w:trPr>
        <w:tc>
          <w:tcPr>
            <w:tcW w:w="1897" w:type="dxa"/>
            <w:shd w:val="clear" w:color="auto" w:fill="auto"/>
          </w:tcPr>
          <w:p w14:paraId="09F132C0" w14:textId="77777777" w:rsidR="00D459B5" w:rsidRPr="00D06EBC" w:rsidRDefault="00D459B5" w:rsidP="008B5897">
            <w:pPr>
              <w:rPr>
                <w:sz w:val="18"/>
                <w:szCs w:val="18"/>
                <w:lang w:val="es-ES_tradnl"/>
              </w:rPr>
            </w:pPr>
            <w:r w:rsidRPr="00D06EBC">
              <w:rPr>
                <w:bCs/>
                <w:sz w:val="18"/>
                <w:szCs w:val="18"/>
                <w:lang w:val="es-ES_tradnl"/>
              </w:rPr>
              <w:t>1. Sostenibilidad Financiera</w:t>
            </w:r>
          </w:p>
        </w:tc>
        <w:tc>
          <w:tcPr>
            <w:tcW w:w="3177" w:type="dxa"/>
            <w:shd w:val="clear" w:color="auto" w:fill="auto"/>
          </w:tcPr>
          <w:p w14:paraId="0534B8A9" w14:textId="77777777" w:rsidR="00D459B5" w:rsidRPr="00870BB4" w:rsidRDefault="00D459B5" w:rsidP="008B5897">
            <w:pPr>
              <w:autoSpaceDE w:val="0"/>
              <w:autoSpaceDN w:val="0"/>
              <w:adjustRightInd w:val="0"/>
              <w:jc w:val="both"/>
              <w:rPr>
                <w:sz w:val="18"/>
                <w:szCs w:val="18"/>
                <w:lang w:val="es-ES_tradnl"/>
              </w:rPr>
            </w:pPr>
            <w:r w:rsidRPr="00870BB4">
              <w:rPr>
                <w:rFonts w:eastAsiaTheme="minorHAnsi"/>
                <w:sz w:val="18"/>
                <w:szCs w:val="18"/>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3556" w:type="dxa"/>
            <w:shd w:val="clear" w:color="auto" w:fill="auto"/>
          </w:tcPr>
          <w:p w14:paraId="49334AD8" w14:textId="77777777" w:rsidR="00ED6158" w:rsidRDefault="006834C6" w:rsidP="008B5897">
            <w:pPr>
              <w:pStyle w:val="Paragraph"/>
              <w:numPr>
                <w:ilvl w:val="0"/>
                <w:numId w:val="0"/>
              </w:numPr>
              <w:ind w:left="-108"/>
              <w:rPr>
                <w:sz w:val="18"/>
                <w:szCs w:val="18"/>
              </w:rPr>
            </w:pPr>
            <w:r w:rsidRPr="006834C6">
              <w:rPr>
                <w:sz w:val="18"/>
                <w:szCs w:val="18"/>
              </w:rPr>
              <w:t>El análisis financiero</w:t>
            </w:r>
            <w:r w:rsidR="00FE2C43">
              <w:rPr>
                <w:sz w:val="18"/>
                <w:szCs w:val="18"/>
              </w:rPr>
              <w:t xml:space="preserve"> del proyecto contempló la determinación de los costos de operación y mantenimiento de la infraestructura, determinado los ingresos necesarios para garantizar la sostenibilidad financiera aplica</w:t>
            </w:r>
            <w:r w:rsidR="00ED6158">
              <w:rPr>
                <w:sz w:val="18"/>
                <w:szCs w:val="18"/>
              </w:rPr>
              <w:t>ndo</w:t>
            </w:r>
            <w:r w:rsidR="00FE2C43">
              <w:rPr>
                <w:sz w:val="18"/>
                <w:szCs w:val="18"/>
              </w:rPr>
              <w:t xml:space="preserve"> el mecanismo de recuperación de costos</w:t>
            </w:r>
            <w:r w:rsidR="00ED6158">
              <w:rPr>
                <w:sz w:val="18"/>
                <w:szCs w:val="18"/>
              </w:rPr>
              <w:t xml:space="preserve"> de</w:t>
            </w:r>
            <w:r w:rsidR="00FE2C43">
              <w:rPr>
                <w:sz w:val="18"/>
                <w:szCs w:val="18"/>
              </w:rPr>
              <w:t xml:space="preserve"> operación</w:t>
            </w:r>
            <w:r w:rsidR="00ED6158">
              <w:rPr>
                <w:sz w:val="18"/>
                <w:szCs w:val="18"/>
              </w:rPr>
              <w:t xml:space="preserve"> y mantenimiento</w:t>
            </w:r>
            <w:r w:rsidR="00FE2C43">
              <w:rPr>
                <w:sz w:val="18"/>
                <w:szCs w:val="18"/>
              </w:rPr>
              <w:t xml:space="preserve">. </w:t>
            </w:r>
          </w:p>
          <w:p w14:paraId="237B9D6C" w14:textId="73ED26DC" w:rsidR="00ED6158" w:rsidRDefault="00FE2C43" w:rsidP="00ED6158">
            <w:pPr>
              <w:pStyle w:val="Paragraph"/>
              <w:numPr>
                <w:ilvl w:val="0"/>
                <w:numId w:val="0"/>
              </w:numPr>
              <w:ind w:left="-108"/>
              <w:rPr>
                <w:sz w:val="18"/>
                <w:szCs w:val="18"/>
              </w:rPr>
            </w:pPr>
            <w:r>
              <w:rPr>
                <w:sz w:val="18"/>
                <w:szCs w:val="18"/>
              </w:rPr>
              <w:t>El gobierno se ha comprometido a cubrir dichos costos</w:t>
            </w:r>
            <w:r w:rsidR="00ED6158">
              <w:rPr>
                <w:sz w:val="18"/>
                <w:szCs w:val="18"/>
              </w:rPr>
              <w:t xml:space="preserve"> durante los primeros años del proyecto en tanto se consolida el ente institucional que se hará responsable de la gestión de los servicios.</w:t>
            </w:r>
            <w:r>
              <w:rPr>
                <w:sz w:val="18"/>
                <w:szCs w:val="18"/>
              </w:rPr>
              <w:t xml:space="preserve"> </w:t>
            </w:r>
            <w:r w:rsidR="00ED6158">
              <w:rPr>
                <w:sz w:val="18"/>
                <w:szCs w:val="18"/>
              </w:rPr>
              <w:t>Los recursos aportados por el gobierno se harán de manera transparente a través del presupuesto nacional.</w:t>
            </w:r>
          </w:p>
          <w:p w14:paraId="09EEFBBE" w14:textId="5DCB552C" w:rsidR="00ED6158" w:rsidRDefault="00ED6158" w:rsidP="00ED6158">
            <w:pPr>
              <w:pStyle w:val="Paragraph"/>
              <w:numPr>
                <w:ilvl w:val="0"/>
                <w:numId w:val="0"/>
              </w:numPr>
              <w:ind w:left="-108"/>
              <w:rPr>
                <w:sz w:val="18"/>
                <w:szCs w:val="18"/>
              </w:rPr>
            </w:pPr>
            <w:r>
              <w:rPr>
                <w:sz w:val="18"/>
                <w:szCs w:val="18"/>
              </w:rPr>
              <w:t>El proyecto contempla la conformación de una Sociedad Anónima Mixta (SAM) que contará con autonomía técnica y financiera y que será la responsable de la gestión de los servicios, incluyendo el cobro de tarifas y el manejo de los recursos. La SAM tendrá un modelo de negocios y contará con una estructura tarifaria</w:t>
            </w:r>
            <w:r w:rsidR="0014406E">
              <w:rPr>
                <w:sz w:val="18"/>
                <w:szCs w:val="18"/>
              </w:rPr>
              <w:t xml:space="preserve">. Está tendrá una tarifa doméstica </w:t>
            </w:r>
            <w:r>
              <w:rPr>
                <w:sz w:val="18"/>
                <w:szCs w:val="18"/>
              </w:rPr>
              <w:t>para que los usuarios vayan cubriendo a parte de los costos del servicio, pero contando con tarifas sociales para considerar a los hogares con menores recursos.</w:t>
            </w:r>
            <w:r w:rsidR="0014406E">
              <w:rPr>
                <w:sz w:val="18"/>
                <w:szCs w:val="18"/>
              </w:rPr>
              <w:t xml:space="preserve"> T</w:t>
            </w:r>
            <w:r>
              <w:rPr>
                <w:sz w:val="18"/>
                <w:szCs w:val="18"/>
              </w:rPr>
              <w:t xml:space="preserve">ambién </w:t>
            </w:r>
            <w:r w:rsidR="0014406E">
              <w:rPr>
                <w:sz w:val="18"/>
                <w:szCs w:val="18"/>
              </w:rPr>
              <w:t xml:space="preserve">se diseñarán </w:t>
            </w:r>
            <w:r>
              <w:rPr>
                <w:sz w:val="18"/>
                <w:szCs w:val="18"/>
              </w:rPr>
              <w:t xml:space="preserve">mecanismos para que otros clientes financien parte de la infraestructura mediante subsidios cruzados </w:t>
            </w:r>
            <w:r w:rsidR="0014406E">
              <w:rPr>
                <w:sz w:val="18"/>
                <w:szCs w:val="18"/>
              </w:rPr>
              <w:t>lo que irá reduciendo poco a poco el aporte del gobierno</w:t>
            </w:r>
            <w:r>
              <w:rPr>
                <w:sz w:val="18"/>
                <w:szCs w:val="18"/>
              </w:rPr>
              <w:t>.</w:t>
            </w:r>
            <w:r w:rsidR="0014406E">
              <w:rPr>
                <w:sz w:val="18"/>
                <w:szCs w:val="18"/>
              </w:rPr>
              <w:t xml:space="preserve"> Asimismo, se irán generando los recursos para la reposición de la infraestructura.</w:t>
            </w:r>
          </w:p>
          <w:p w14:paraId="529CD4C1" w14:textId="0437D9FF" w:rsidR="00D459B5" w:rsidRPr="006834C6" w:rsidRDefault="00D459B5" w:rsidP="008B5897">
            <w:pPr>
              <w:pStyle w:val="Paragraph"/>
              <w:numPr>
                <w:ilvl w:val="0"/>
                <w:numId w:val="0"/>
              </w:numPr>
              <w:ind w:left="-108"/>
              <w:rPr>
                <w:sz w:val="18"/>
                <w:szCs w:val="18"/>
              </w:rPr>
            </w:pPr>
          </w:p>
        </w:tc>
      </w:tr>
      <w:tr w:rsidR="00D459B5" w:rsidRPr="00DA4B41" w14:paraId="78E9A4F4" w14:textId="77777777" w:rsidTr="00D459B5">
        <w:trPr>
          <w:jc w:val="center"/>
        </w:trPr>
        <w:tc>
          <w:tcPr>
            <w:tcW w:w="1897" w:type="dxa"/>
            <w:shd w:val="clear" w:color="auto" w:fill="auto"/>
          </w:tcPr>
          <w:p w14:paraId="7FC955B8" w14:textId="77777777" w:rsidR="00D459B5" w:rsidRPr="009834A9" w:rsidRDefault="00D459B5" w:rsidP="008B5897">
            <w:pPr>
              <w:rPr>
                <w:sz w:val="18"/>
                <w:szCs w:val="18"/>
                <w:lang w:val="es-ES_tradnl"/>
              </w:rPr>
            </w:pPr>
            <w:r w:rsidRPr="009834A9">
              <w:rPr>
                <w:bCs/>
                <w:sz w:val="18"/>
                <w:szCs w:val="18"/>
                <w:lang w:val="es-ES_tradnl"/>
              </w:rPr>
              <w:t>2. Evaluación Económica</w:t>
            </w:r>
          </w:p>
        </w:tc>
        <w:tc>
          <w:tcPr>
            <w:tcW w:w="3177" w:type="dxa"/>
            <w:shd w:val="clear" w:color="auto" w:fill="auto"/>
          </w:tcPr>
          <w:p w14:paraId="69EA8294" w14:textId="77777777" w:rsidR="00D459B5" w:rsidRPr="009834A9" w:rsidRDefault="00D459B5" w:rsidP="008B5897">
            <w:pPr>
              <w:jc w:val="both"/>
              <w:rPr>
                <w:sz w:val="18"/>
                <w:szCs w:val="18"/>
                <w:lang w:val="es-ES_tradnl"/>
              </w:rPr>
            </w:pPr>
            <w:r w:rsidRPr="009834A9">
              <w:rPr>
                <w:sz w:val="18"/>
                <w:szCs w:val="18"/>
                <w:lang w:val="es-ES_tradnl"/>
              </w:rPr>
              <w:t>Los proyectos de servicios públicos domiciliarios deberán ser económicamente rentables [de acuerdo a las metodologías de evaluación costo beneficio y costo efectividad utilizadas y aceptadas por el Banco.]</w:t>
            </w:r>
          </w:p>
        </w:tc>
        <w:tc>
          <w:tcPr>
            <w:tcW w:w="3556" w:type="dxa"/>
            <w:shd w:val="clear" w:color="auto" w:fill="auto"/>
          </w:tcPr>
          <w:p w14:paraId="64A06904" w14:textId="75D9D75F" w:rsidR="00D459B5" w:rsidRPr="00B77FF1" w:rsidRDefault="00D75056" w:rsidP="008B5897">
            <w:pPr>
              <w:spacing w:before="120" w:after="120"/>
              <w:jc w:val="both"/>
              <w:rPr>
                <w:b/>
                <w:color w:val="FF0000"/>
                <w:sz w:val="18"/>
                <w:szCs w:val="18"/>
                <w:lang w:val="es-ES"/>
              </w:rPr>
            </w:pPr>
            <w:r w:rsidRPr="00D75056">
              <w:rPr>
                <w:sz w:val="18"/>
                <w:szCs w:val="18"/>
                <w:lang w:val="es-ES"/>
              </w:rPr>
              <w:t>Se elaboró un análisis costo-beneficio al proyecto de recolección y disposición final de los residuos sólidos. Los beneficios del proyecto provienen del valor dado por los usuarios del sistema</w:t>
            </w:r>
            <w:r w:rsidR="00044976">
              <w:rPr>
                <w:sz w:val="18"/>
                <w:szCs w:val="18"/>
                <w:lang w:val="es-ES"/>
              </w:rPr>
              <w:t>, el valor económico del compost y reciclables</w:t>
            </w:r>
            <w:r w:rsidRPr="00D75056">
              <w:rPr>
                <w:sz w:val="18"/>
                <w:szCs w:val="18"/>
                <w:lang w:val="es-ES"/>
              </w:rPr>
              <w:t xml:space="preserve"> y el ahorro de costo que tendría los usuarios comerciales, industriales y de los mercados públicos por tener que manejar y disponer sus residuos sólidos en soluciones individuales. El proyecto es económicamente viable con una Tasa Interna de Retorno Económica (TIRE) de </w:t>
            </w:r>
            <w:r w:rsidR="00044976">
              <w:rPr>
                <w:sz w:val="18"/>
                <w:szCs w:val="18"/>
                <w:lang w:val="es-ES"/>
              </w:rPr>
              <w:t>14,4</w:t>
            </w:r>
            <w:r w:rsidRPr="00D75056">
              <w:rPr>
                <w:sz w:val="18"/>
                <w:szCs w:val="18"/>
                <w:lang w:val="es-ES"/>
              </w:rPr>
              <w:t xml:space="preserve">% y un valor presente neto de US$ </w:t>
            </w:r>
            <w:r w:rsidR="008775BE">
              <w:rPr>
                <w:sz w:val="18"/>
                <w:szCs w:val="18"/>
                <w:lang w:val="es-ES"/>
              </w:rPr>
              <w:t xml:space="preserve">1,5 </w:t>
            </w:r>
            <w:r w:rsidRPr="00D75056">
              <w:rPr>
                <w:sz w:val="18"/>
                <w:szCs w:val="18"/>
                <w:lang w:val="es-ES"/>
              </w:rPr>
              <w:t xml:space="preserve">millones. Se elaboró un análisis de sensibilidad a los principales supuestos de la evaluación económica, demostrando </w:t>
            </w:r>
            <w:r w:rsidR="004B46D1">
              <w:rPr>
                <w:sz w:val="18"/>
                <w:szCs w:val="18"/>
                <w:lang w:val="es-ES"/>
              </w:rPr>
              <w:t xml:space="preserve">sensibilidad a los </w:t>
            </w:r>
            <w:r w:rsidR="00A006A5">
              <w:rPr>
                <w:sz w:val="18"/>
                <w:szCs w:val="18"/>
                <w:lang w:val="es-ES"/>
              </w:rPr>
              <w:t>costos,</w:t>
            </w:r>
            <w:r w:rsidR="004B46D1">
              <w:rPr>
                <w:sz w:val="18"/>
                <w:szCs w:val="18"/>
                <w:lang w:val="es-ES"/>
              </w:rPr>
              <w:t xml:space="preserve"> pero </w:t>
            </w:r>
            <w:r w:rsidRPr="00D75056">
              <w:rPr>
                <w:sz w:val="18"/>
                <w:szCs w:val="18"/>
                <w:lang w:val="es-ES"/>
              </w:rPr>
              <w:t>robustez de los resultados</w:t>
            </w:r>
            <w:r w:rsidR="004B46D1">
              <w:rPr>
                <w:sz w:val="18"/>
                <w:szCs w:val="18"/>
                <w:lang w:val="es-ES"/>
              </w:rPr>
              <w:t xml:space="preserve"> </w:t>
            </w:r>
            <w:r w:rsidR="006573BF">
              <w:rPr>
                <w:sz w:val="18"/>
                <w:szCs w:val="18"/>
                <w:lang w:val="es-ES"/>
              </w:rPr>
              <w:t>a otros supuestos</w:t>
            </w:r>
            <w:r>
              <w:rPr>
                <w:sz w:val="18"/>
                <w:szCs w:val="18"/>
                <w:lang w:val="es-ES"/>
              </w:rPr>
              <w:t>.</w:t>
            </w:r>
          </w:p>
        </w:tc>
      </w:tr>
    </w:tbl>
    <w:p w14:paraId="159C9CE0" w14:textId="77777777" w:rsidR="00813650" w:rsidRDefault="00813650" w:rsidP="00BD68A5">
      <w:pPr>
        <w:jc w:val="center"/>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3178"/>
        <w:gridCol w:w="3554"/>
      </w:tblGrid>
      <w:tr w:rsidR="000F1306" w:rsidRPr="0039287D" w14:paraId="11F135C0" w14:textId="77777777" w:rsidTr="00A22BAE">
        <w:trPr>
          <w:tblHeader/>
          <w:jc w:val="center"/>
        </w:trPr>
        <w:tc>
          <w:tcPr>
            <w:tcW w:w="2129" w:type="dxa"/>
            <w:shd w:val="clear" w:color="auto" w:fill="C0C0C0"/>
          </w:tcPr>
          <w:p w14:paraId="343B011C" w14:textId="77777777" w:rsidR="000F1306" w:rsidRPr="00A22BAE" w:rsidRDefault="000F1306" w:rsidP="000F1306">
            <w:pPr>
              <w:rPr>
                <w:b/>
                <w:sz w:val="18"/>
                <w:szCs w:val="18"/>
                <w:lang w:val="es-ES_tradnl"/>
              </w:rPr>
            </w:pPr>
            <w:r w:rsidRPr="00A22BAE">
              <w:rPr>
                <w:b/>
                <w:sz w:val="18"/>
                <w:szCs w:val="18"/>
                <w:lang w:val="es-ES_tradnl"/>
              </w:rPr>
              <w:lastRenderedPageBreak/>
              <w:t>Objetivos de la Política</w:t>
            </w:r>
          </w:p>
          <w:p w14:paraId="56A670CD" w14:textId="77777777" w:rsidR="000F1306" w:rsidRPr="00D06EBC" w:rsidRDefault="000F1306" w:rsidP="000F1306">
            <w:pPr>
              <w:rPr>
                <w:sz w:val="18"/>
                <w:szCs w:val="18"/>
                <w:lang w:val="es-ES_tradnl"/>
              </w:rPr>
            </w:pPr>
          </w:p>
        </w:tc>
        <w:tc>
          <w:tcPr>
            <w:tcW w:w="3799" w:type="dxa"/>
            <w:shd w:val="clear" w:color="auto" w:fill="C0C0C0"/>
          </w:tcPr>
          <w:p w14:paraId="4A425C50" w14:textId="77777777" w:rsidR="000F1306" w:rsidRPr="009876DD" w:rsidRDefault="000F1306" w:rsidP="000F1306">
            <w:pPr>
              <w:rPr>
                <w:b/>
                <w:sz w:val="18"/>
                <w:szCs w:val="18"/>
                <w:lang w:val="es-ES_tradnl"/>
              </w:rPr>
            </w:pPr>
            <w:r w:rsidRPr="009876DD">
              <w:rPr>
                <w:b/>
                <w:sz w:val="18"/>
                <w:szCs w:val="18"/>
                <w:lang w:val="es-ES_tradnl"/>
              </w:rPr>
              <w:t xml:space="preserve">Descripción </w:t>
            </w:r>
          </w:p>
        </w:tc>
        <w:tc>
          <w:tcPr>
            <w:tcW w:w="4307" w:type="dxa"/>
            <w:shd w:val="clear" w:color="auto" w:fill="C0C0C0"/>
          </w:tcPr>
          <w:p w14:paraId="6EDC3BDB" w14:textId="77777777" w:rsidR="000F1306" w:rsidRPr="009876DD" w:rsidRDefault="000F1306" w:rsidP="000F1306">
            <w:pPr>
              <w:rPr>
                <w:b/>
                <w:sz w:val="18"/>
                <w:szCs w:val="18"/>
                <w:lang w:val="es-ES_tradnl"/>
              </w:rPr>
            </w:pPr>
            <w:r w:rsidRPr="009876DD">
              <w:rPr>
                <w:b/>
                <w:sz w:val="18"/>
                <w:szCs w:val="18"/>
                <w:lang w:val="es-ES_tradnl"/>
              </w:rPr>
              <w:t>Comentarios</w:t>
            </w:r>
          </w:p>
        </w:tc>
      </w:tr>
      <w:tr w:rsidR="009834A9" w:rsidRPr="00DA4B41" w14:paraId="76A28610" w14:textId="77777777" w:rsidTr="00F97646">
        <w:trPr>
          <w:jc w:val="center"/>
        </w:trPr>
        <w:tc>
          <w:tcPr>
            <w:tcW w:w="2129" w:type="dxa"/>
            <w:shd w:val="clear" w:color="auto" w:fill="auto"/>
          </w:tcPr>
          <w:p w14:paraId="6DA7BD85" w14:textId="77777777" w:rsidR="000F1306" w:rsidRPr="009834A9" w:rsidRDefault="000F1306" w:rsidP="000F1306">
            <w:pPr>
              <w:rPr>
                <w:sz w:val="18"/>
                <w:szCs w:val="18"/>
                <w:lang w:val="es-ES_tradnl"/>
              </w:rPr>
            </w:pPr>
            <w:r w:rsidRPr="009834A9">
              <w:rPr>
                <w:bCs/>
                <w:sz w:val="18"/>
                <w:szCs w:val="18"/>
                <w:lang w:val="es-ES_tradnl"/>
              </w:rPr>
              <w:t>1. Fomentar el Acceso</w:t>
            </w:r>
          </w:p>
        </w:tc>
        <w:tc>
          <w:tcPr>
            <w:tcW w:w="3799" w:type="dxa"/>
            <w:shd w:val="clear" w:color="auto" w:fill="auto"/>
          </w:tcPr>
          <w:p w14:paraId="571E8F0D" w14:textId="77777777" w:rsidR="000F1306" w:rsidRPr="009834A9" w:rsidRDefault="000F1306" w:rsidP="000F1306">
            <w:pPr>
              <w:rPr>
                <w:sz w:val="18"/>
                <w:szCs w:val="18"/>
                <w:lang w:val="es-ES_tradnl"/>
              </w:rPr>
            </w:pPr>
            <w:r w:rsidRPr="009834A9">
              <w:rPr>
                <w:sz w:val="18"/>
                <w:szCs w:val="18"/>
                <w:lang w:val="es-ES_tradnl"/>
              </w:rPr>
              <w:t>Las políticas deben promover el acceso a todos los usuarios, especialme</w:t>
            </w:r>
            <w:r w:rsidR="00CD359B">
              <w:rPr>
                <w:sz w:val="18"/>
                <w:szCs w:val="18"/>
                <w:lang w:val="es-ES_tradnl"/>
              </w:rPr>
              <w:t xml:space="preserve">nte a las comunidades y grupos </w:t>
            </w:r>
            <w:r w:rsidRPr="009834A9">
              <w:rPr>
                <w:sz w:val="18"/>
                <w:szCs w:val="18"/>
                <w:lang w:val="es-ES_tradnl"/>
              </w:rPr>
              <w:t xml:space="preserve">más desfavorecidos. </w:t>
            </w:r>
          </w:p>
        </w:tc>
        <w:tc>
          <w:tcPr>
            <w:tcW w:w="4307" w:type="dxa"/>
            <w:shd w:val="clear" w:color="auto" w:fill="auto"/>
          </w:tcPr>
          <w:p w14:paraId="36C93902" w14:textId="4429903E" w:rsidR="00C34AA2" w:rsidRDefault="0014406E" w:rsidP="005C55FD">
            <w:pPr>
              <w:jc w:val="both"/>
              <w:rPr>
                <w:sz w:val="18"/>
                <w:szCs w:val="18"/>
                <w:lang w:val="es-ES_tradnl"/>
              </w:rPr>
            </w:pPr>
            <w:r>
              <w:rPr>
                <w:sz w:val="18"/>
                <w:szCs w:val="18"/>
                <w:lang w:val="es-ES_tradnl"/>
              </w:rPr>
              <w:t>El Plan de Desarrollo del Norte-Noreste publicado por el Comité Interministerial de Desarrollo Territorial (CIAT) en diciembre de 2012 establece los ejes de desarrollo de esta zona, definiendo polos de desarrollo y las intervenciones que permitirán reordenar el territorio, generar espacios de desarrollo urbano</w:t>
            </w:r>
            <w:r w:rsidR="001C4B78">
              <w:rPr>
                <w:sz w:val="18"/>
                <w:szCs w:val="18"/>
                <w:lang w:val="es-ES_tradnl"/>
              </w:rPr>
              <w:t xml:space="preserve"> y dotar a la población de servicios básicos. Dicho Plan hace especial énfasis en la atención a zonas que denominan precarias, las cuales requieren mecanismos diferenciados para su desarrollo.</w:t>
            </w:r>
          </w:p>
          <w:p w14:paraId="4AE2B765" w14:textId="633727D8" w:rsidR="001C4B78" w:rsidRPr="005C55FD" w:rsidRDefault="001C4B78" w:rsidP="005C55FD">
            <w:pPr>
              <w:jc w:val="both"/>
              <w:rPr>
                <w:sz w:val="18"/>
                <w:szCs w:val="18"/>
                <w:lang w:val="es-MX"/>
              </w:rPr>
            </w:pPr>
            <w:r>
              <w:rPr>
                <w:sz w:val="18"/>
                <w:szCs w:val="18"/>
                <w:lang w:val="es-MX"/>
              </w:rPr>
              <w:t>El proyecto contempla la construcción de un Centro de Gestión Integral de Residuos Sólidos (CGIRS) que dará servicio en un principio a las cabeceras municipales de Limonade, Quartier Morin y al casco urbano de Cabo Haitiano. Sin embargo, dicha infraestructura puede dar servicio a una población más grande una vez que se vaya consolidando el sistema de recolección en el resto de la ciudad de Cabo Haitiano. La SAM será responsable de diseñar los mecanismos para ir atendiendo poco a poco al resto de la población incluyendo la zonas periurbanas y rurales de estas tres comunas y la posibilidad de expansión a otras zonas del norte del país.</w:t>
            </w:r>
          </w:p>
        </w:tc>
      </w:tr>
      <w:tr w:rsidR="000F1306" w:rsidRPr="00DA4B41" w14:paraId="1F0D25F1" w14:textId="77777777" w:rsidTr="00F97646">
        <w:trPr>
          <w:jc w:val="center"/>
        </w:trPr>
        <w:tc>
          <w:tcPr>
            <w:tcW w:w="2129" w:type="dxa"/>
            <w:shd w:val="clear" w:color="auto" w:fill="auto"/>
          </w:tcPr>
          <w:p w14:paraId="53FE14FD" w14:textId="77777777" w:rsidR="000F1306" w:rsidRPr="00D06EBC" w:rsidRDefault="000F1306" w:rsidP="00776571">
            <w:pPr>
              <w:jc w:val="both"/>
              <w:rPr>
                <w:sz w:val="18"/>
                <w:szCs w:val="18"/>
                <w:lang w:val="es-ES_tradnl"/>
              </w:rPr>
            </w:pPr>
            <w:r w:rsidRPr="00D06EBC">
              <w:rPr>
                <w:bCs/>
                <w:sz w:val="18"/>
                <w:szCs w:val="18"/>
                <w:lang w:val="es-ES_tradnl"/>
              </w:rPr>
              <w:t>2. Suministrar el acceso al servicio en condiciones de confiabilidad y calidad adecuadas</w:t>
            </w:r>
          </w:p>
        </w:tc>
        <w:tc>
          <w:tcPr>
            <w:tcW w:w="3799" w:type="dxa"/>
            <w:shd w:val="clear" w:color="auto" w:fill="auto"/>
          </w:tcPr>
          <w:p w14:paraId="55780D71" w14:textId="77777777" w:rsidR="000F1306" w:rsidRPr="009876DD" w:rsidRDefault="000F1306" w:rsidP="00776571">
            <w:pPr>
              <w:jc w:val="both"/>
              <w:rPr>
                <w:sz w:val="18"/>
                <w:szCs w:val="18"/>
                <w:lang w:val="es-ES_tradnl"/>
              </w:rPr>
            </w:pPr>
            <w:r w:rsidRPr="009876DD">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307" w:type="dxa"/>
            <w:shd w:val="clear" w:color="auto" w:fill="auto"/>
          </w:tcPr>
          <w:p w14:paraId="144E688A" w14:textId="7A788743" w:rsidR="008D14BF" w:rsidRPr="009D6EF3" w:rsidRDefault="00D2434C" w:rsidP="00C34AA2">
            <w:pPr>
              <w:pStyle w:val="ListBullet"/>
              <w:numPr>
                <w:ilvl w:val="0"/>
                <w:numId w:val="0"/>
              </w:numPr>
              <w:rPr>
                <w:rFonts w:ascii="Times New Roman" w:hAnsi="Times New Roman"/>
                <w:sz w:val="18"/>
                <w:szCs w:val="18"/>
                <w:lang w:val="es-MX" w:eastAsia="en-US"/>
              </w:rPr>
            </w:pPr>
            <w:r w:rsidRPr="009D6EF3">
              <w:rPr>
                <w:rFonts w:ascii="Times New Roman" w:hAnsi="Times New Roman"/>
                <w:sz w:val="18"/>
                <w:szCs w:val="18"/>
                <w:lang w:val="es-MX" w:eastAsia="en-US"/>
              </w:rPr>
              <w:t>En el marco de la operación, se</w:t>
            </w:r>
            <w:r w:rsidR="008D14BF" w:rsidRPr="009D6EF3">
              <w:rPr>
                <w:rFonts w:ascii="Times New Roman" w:hAnsi="Times New Roman"/>
                <w:sz w:val="18"/>
                <w:szCs w:val="18"/>
                <w:lang w:val="es-MX" w:eastAsia="en-US"/>
              </w:rPr>
              <w:t xml:space="preserve"> </w:t>
            </w:r>
            <w:r w:rsidR="00081A38" w:rsidRPr="009D6EF3">
              <w:rPr>
                <w:rFonts w:ascii="Times New Roman" w:hAnsi="Times New Roman"/>
                <w:sz w:val="18"/>
                <w:szCs w:val="18"/>
                <w:lang w:val="es-MX" w:eastAsia="en-US"/>
              </w:rPr>
              <w:t>preparará</w:t>
            </w:r>
            <w:r w:rsidR="008D14BF" w:rsidRPr="009D6EF3">
              <w:rPr>
                <w:rFonts w:ascii="Times New Roman" w:hAnsi="Times New Roman"/>
                <w:sz w:val="18"/>
                <w:szCs w:val="18"/>
                <w:lang w:val="es-MX" w:eastAsia="en-US"/>
              </w:rPr>
              <w:t xml:space="preserve"> un reglamento ad hoc que </w:t>
            </w:r>
            <w:r w:rsidRPr="009D6EF3">
              <w:rPr>
                <w:rFonts w:ascii="Times New Roman" w:hAnsi="Times New Roman"/>
                <w:sz w:val="18"/>
                <w:szCs w:val="18"/>
                <w:lang w:val="es-MX" w:eastAsia="en-US"/>
              </w:rPr>
              <w:t xml:space="preserve">establecerá el marco operativo y </w:t>
            </w:r>
            <w:r w:rsidR="008D14BF" w:rsidRPr="009D6EF3">
              <w:rPr>
                <w:rFonts w:ascii="Times New Roman" w:hAnsi="Times New Roman"/>
                <w:sz w:val="18"/>
                <w:szCs w:val="18"/>
                <w:lang w:val="es-MX" w:eastAsia="en-US"/>
              </w:rPr>
              <w:t>regular</w:t>
            </w:r>
            <w:r w:rsidR="00070A5C" w:rsidRPr="009D6EF3">
              <w:rPr>
                <w:rFonts w:ascii="Times New Roman" w:hAnsi="Times New Roman"/>
                <w:sz w:val="18"/>
                <w:szCs w:val="18"/>
                <w:lang w:val="es-MX" w:eastAsia="en-US"/>
              </w:rPr>
              <w:t>á</w:t>
            </w:r>
            <w:r w:rsidR="008D14BF" w:rsidRPr="009D6EF3">
              <w:rPr>
                <w:rFonts w:ascii="Times New Roman" w:hAnsi="Times New Roman"/>
                <w:sz w:val="18"/>
                <w:szCs w:val="18"/>
                <w:lang w:val="es-MX" w:eastAsia="en-US"/>
              </w:rPr>
              <w:t xml:space="preserve"> el servicio</w:t>
            </w:r>
            <w:r w:rsidR="00081A38" w:rsidRPr="009D6EF3">
              <w:rPr>
                <w:rFonts w:ascii="Times New Roman" w:hAnsi="Times New Roman"/>
                <w:sz w:val="18"/>
                <w:szCs w:val="18"/>
                <w:lang w:val="es-MX" w:eastAsia="en-US"/>
              </w:rPr>
              <w:t>. En lo que refier</w:t>
            </w:r>
            <w:r w:rsidR="00070A5C" w:rsidRPr="009D6EF3">
              <w:rPr>
                <w:rFonts w:ascii="Times New Roman" w:hAnsi="Times New Roman"/>
                <w:sz w:val="18"/>
                <w:szCs w:val="18"/>
                <w:lang w:val="es-MX" w:eastAsia="en-US"/>
              </w:rPr>
              <w:t>e</w:t>
            </w:r>
            <w:r w:rsidR="00081A38" w:rsidRPr="009D6EF3">
              <w:rPr>
                <w:rFonts w:ascii="Times New Roman" w:hAnsi="Times New Roman"/>
                <w:sz w:val="18"/>
                <w:szCs w:val="18"/>
                <w:lang w:val="es-MX" w:eastAsia="en-US"/>
              </w:rPr>
              <w:t xml:space="preserve"> a fluc</w:t>
            </w:r>
            <w:r w:rsidR="00F44352" w:rsidRPr="009D6EF3">
              <w:rPr>
                <w:rFonts w:ascii="Times New Roman" w:hAnsi="Times New Roman"/>
                <w:sz w:val="18"/>
                <w:szCs w:val="18"/>
                <w:lang w:val="es-MX" w:eastAsia="en-US"/>
              </w:rPr>
              <w:t>tuaciones</w:t>
            </w:r>
            <w:r w:rsidR="00081A38" w:rsidRPr="009D6EF3">
              <w:rPr>
                <w:rFonts w:ascii="Times New Roman" w:hAnsi="Times New Roman"/>
                <w:sz w:val="18"/>
                <w:szCs w:val="18"/>
                <w:lang w:val="es-MX" w:eastAsia="en-US"/>
              </w:rPr>
              <w:t xml:space="preserve"> de costos, </w:t>
            </w:r>
            <w:r w:rsidR="0085029D" w:rsidRPr="009D6EF3">
              <w:rPr>
                <w:rFonts w:ascii="Times New Roman" w:hAnsi="Times New Roman"/>
                <w:sz w:val="18"/>
                <w:szCs w:val="18"/>
                <w:lang w:val="es-MX" w:eastAsia="en-US"/>
              </w:rPr>
              <w:t xml:space="preserve">se prevén que puedan darse debido a las </w:t>
            </w:r>
            <w:r w:rsidR="00F44352" w:rsidRPr="009D6EF3">
              <w:rPr>
                <w:rFonts w:ascii="Times New Roman" w:hAnsi="Times New Roman"/>
                <w:sz w:val="18"/>
                <w:szCs w:val="18"/>
                <w:lang w:val="es-MX" w:eastAsia="en-US"/>
              </w:rPr>
              <w:t>variaciones</w:t>
            </w:r>
            <w:r w:rsidR="00081A38" w:rsidRPr="009D6EF3">
              <w:rPr>
                <w:rFonts w:ascii="Times New Roman" w:hAnsi="Times New Roman"/>
                <w:sz w:val="18"/>
                <w:szCs w:val="18"/>
                <w:lang w:val="es-MX" w:eastAsia="en-US"/>
              </w:rPr>
              <w:t xml:space="preserve"> de </w:t>
            </w:r>
            <w:r w:rsidR="00F44352" w:rsidRPr="009D6EF3">
              <w:rPr>
                <w:rFonts w:ascii="Times New Roman" w:hAnsi="Times New Roman"/>
                <w:sz w:val="18"/>
                <w:szCs w:val="18"/>
                <w:lang w:val="es-MX" w:eastAsia="en-US"/>
              </w:rPr>
              <w:t>flujo</w:t>
            </w:r>
            <w:r w:rsidR="00081A38" w:rsidRPr="009D6EF3">
              <w:rPr>
                <w:rFonts w:ascii="Times New Roman" w:hAnsi="Times New Roman"/>
                <w:sz w:val="18"/>
                <w:szCs w:val="18"/>
                <w:lang w:val="es-MX" w:eastAsia="en-US"/>
              </w:rPr>
              <w:t xml:space="preserve"> que ingresen al </w:t>
            </w:r>
            <w:r w:rsidR="00F44352" w:rsidRPr="009D6EF3">
              <w:rPr>
                <w:rFonts w:ascii="Times New Roman" w:hAnsi="Times New Roman"/>
                <w:sz w:val="18"/>
                <w:szCs w:val="18"/>
                <w:lang w:val="es-MX" w:eastAsia="en-US"/>
              </w:rPr>
              <w:t>sistema</w:t>
            </w:r>
            <w:r w:rsidR="00081A38" w:rsidRPr="009D6EF3">
              <w:rPr>
                <w:rFonts w:ascii="Times New Roman" w:hAnsi="Times New Roman"/>
                <w:sz w:val="18"/>
                <w:szCs w:val="18"/>
                <w:lang w:val="es-MX" w:eastAsia="en-US"/>
              </w:rPr>
              <w:t xml:space="preserve"> (CGIRS)</w:t>
            </w:r>
            <w:r w:rsidR="0085029D" w:rsidRPr="009D6EF3">
              <w:rPr>
                <w:rFonts w:ascii="Times New Roman" w:hAnsi="Times New Roman"/>
                <w:sz w:val="18"/>
                <w:szCs w:val="18"/>
                <w:lang w:val="es-MX" w:eastAsia="en-US"/>
              </w:rPr>
              <w:t>, por lo que</w:t>
            </w:r>
            <w:r w:rsidR="00070A5C" w:rsidRPr="009D6EF3">
              <w:rPr>
                <w:rFonts w:ascii="Times New Roman" w:hAnsi="Times New Roman"/>
                <w:sz w:val="18"/>
                <w:szCs w:val="18"/>
                <w:lang w:val="es-MX" w:eastAsia="en-US"/>
              </w:rPr>
              <w:t xml:space="preserve"> se considerar</w:t>
            </w:r>
            <w:r w:rsidR="00554508" w:rsidRPr="009D6EF3">
              <w:rPr>
                <w:rFonts w:ascii="Times New Roman" w:hAnsi="Times New Roman"/>
                <w:sz w:val="18"/>
                <w:szCs w:val="18"/>
                <w:lang w:val="es-MX" w:eastAsia="en-US"/>
              </w:rPr>
              <w:t>á</w:t>
            </w:r>
            <w:r w:rsidR="0085029D" w:rsidRPr="009D6EF3">
              <w:rPr>
                <w:rFonts w:ascii="Times New Roman" w:hAnsi="Times New Roman"/>
                <w:sz w:val="18"/>
                <w:szCs w:val="18"/>
                <w:lang w:val="es-MX" w:eastAsia="en-US"/>
              </w:rPr>
              <w:t>n</w:t>
            </w:r>
            <w:r w:rsidR="00070A5C" w:rsidRPr="009D6EF3">
              <w:rPr>
                <w:rFonts w:ascii="Times New Roman" w:hAnsi="Times New Roman"/>
                <w:sz w:val="18"/>
                <w:szCs w:val="18"/>
                <w:lang w:val="es-MX" w:eastAsia="en-US"/>
              </w:rPr>
              <w:t xml:space="preserve"> </w:t>
            </w:r>
            <w:r w:rsidR="0084665C" w:rsidRPr="009D6EF3">
              <w:rPr>
                <w:rFonts w:ascii="Times New Roman" w:hAnsi="Times New Roman"/>
                <w:sz w:val="18"/>
                <w:szCs w:val="18"/>
                <w:lang w:val="es-MX" w:eastAsia="en-US"/>
              </w:rPr>
              <w:t>las opciones</w:t>
            </w:r>
            <w:r w:rsidR="00070A5C" w:rsidRPr="009D6EF3">
              <w:rPr>
                <w:rFonts w:ascii="Times New Roman" w:hAnsi="Times New Roman"/>
                <w:sz w:val="18"/>
                <w:szCs w:val="18"/>
                <w:lang w:val="es-MX" w:eastAsia="en-US"/>
              </w:rPr>
              <w:t xml:space="preserve"> de bandas de </w:t>
            </w:r>
            <w:r w:rsidR="0084665C" w:rsidRPr="009D6EF3">
              <w:rPr>
                <w:rFonts w:ascii="Times New Roman" w:hAnsi="Times New Roman"/>
                <w:sz w:val="18"/>
                <w:szCs w:val="18"/>
                <w:lang w:val="es-MX" w:eastAsia="en-US"/>
              </w:rPr>
              <w:t>precios</w:t>
            </w:r>
            <w:r w:rsidR="00070A5C" w:rsidRPr="009D6EF3">
              <w:rPr>
                <w:rFonts w:ascii="Times New Roman" w:hAnsi="Times New Roman"/>
                <w:sz w:val="18"/>
                <w:szCs w:val="18"/>
                <w:lang w:val="es-MX" w:eastAsia="en-US"/>
              </w:rPr>
              <w:t xml:space="preserve">, que </w:t>
            </w:r>
            <w:r w:rsidR="0084665C" w:rsidRPr="009D6EF3">
              <w:rPr>
                <w:rFonts w:ascii="Times New Roman" w:hAnsi="Times New Roman"/>
                <w:sz w:val="18"/>
                <w:szCs w:val="18"/>
                <w:lang w:val="es-MX" w:eastAsia="en-US"/>
              </w:rPr>
              <w:t xml:space="preserve">garanticen tanto al cliente como al operador mantener la calidad del servicio, independiente de variaciones en </w:t>
            </w:r>
            <w:r w:rsidR="001A0236" w:rsidRPr="009D6EF3">
              <w:rPr>
                <w:rFonts w:ascii="Times New Roman" w:hAnsi="Times New Roman"/>
                <w:sz w:val="18"/>
                <w:szCs w:val="18"/>
                <w:lang w:val="es-MX" w:eastAsia="en-US"/>
              </w:rPr>
              <w:t xml:space="preserve">el </w:t>
            </w:r>
            <w:r w:rsidR="0084665C" w:rsidRPr="009D6EF3">
              <w:rPr>
                <w:rFonts w:ascii="Times New Roman" w:hAnsi="Times New Roman"/>
                <w:sz w:val="18"/>
                <w:szCs w:val="18"/>
                <w:lang w:val="es-MX" w:eastAsia="en-US"/>
              </w:rPr>
              <w:t>ingreso de residuos</w:t>
            </w:r>
            <w:r w:rsidR="00554508" w:rsidRPr="009D6EF3">
              <w:rPr>
                <w:rFonts w:ascii="Times New Roman" w:hAnsi="Times New Roman"/>
                <w:sz w:val="18"/>
                <w:szCs w:val="18"/>
                <w:lang w:val="es-MX" w:eastAsia="en-US"/>
              </w:rPr>
              <w:t>.</w:t>
            </w:r>
            <w:r w:rsidR="001A0236" w:rsidRPr="009D6EF3">
              <w:rPr>
                <w:rFonts w:ascii="Times New Roman" w:hAnsi="Times New Roman"/>
                <w:sz w:val="18"/>
                <w:szCs w:val="18"/>
                <w:lang w:val="es-MX" w:eastAsia="en-US"/>
              </w:rPr>
              <w:t xml:space="preserve"> Asimismo, se establecerán en el contrato con </w:t>
            </w:r>
            <w:r w:rsidR="00C948AC" w:rsidRPr="009D6EF3">
              <w:rPr>
                <w:rFonts w:ascii="Times New Roman" w:hAnsi="Times New Roman"/>
                <w:sz w:val="18"/>
                <w:szCs w:val="18"/>
                <w:lang w:val="es-MX" w:eastAsia="en-US"/>
              </w:rPr>
              <w:t>el</w:t>
            </w:r>
            <w:r w:rsidR="001A0236" w:rsidRPr="009D6EF3">
              <w:rPr>
                <w:rFonts w:ascii="Times New Roman" w:hAnsi="Times New Roman"/>
                <w:sz w:val="18"/>
                <w:szCs w:val="18"/>
                <w:lang w:val="es-MX" w:eastAsia="en-US"/>
              </w:rPr>
              <w:t xml:space="preserve"> operador, un esquema de sanciones e incentivos que </w:t>
            </w:r>
            <w:r w:rsidR="00C948AC" w:rsidRPr="009D6EF3">
              <w:rPr>
                <w:rFonts w:ascii="Times New Roman" w:hAnsi="Times New Roman"/>
                <w:sz w:val="18"/>
                <w:szCs w:val="18"/>
                <w:lang w:val="es-MX" w:eastAsia="en-US"/>
              </w:rPr>
              <w:t xml:space="preserve">aplique en los casos en los que </w:t>
            </w:r>
            <w:r w:rsidR="009D6EF3" w:rsidRPr="009D6EF3">
              <w:rPr>
                <w:rFonts w:ascii="Times New Roman" w:hAnsi="Times New Roman"/>
                <w:sz w:val="18"/>
                <w:szCs w:val="18"/>
                <w:lang w:val="es-MX" w:eastAsia="en-US"/>
              </w:rPr>
              <w:t>se vea afectada positiva o negativamente el servicio por causas imputables al operador.</w:t>
            </w:r>
          </w:p>
        </w:tc>
      </w:tr>
      <w:tr w:rsidR="009834A9" w:rsidRPr="00DA4B41" w14:paraId="170C0061" w14:textId="77777777" w:rsidTr="00F97646">
        <w:trPr>
          <w:jc w:val="center"/>
        </w:trPr>
        <w:tc>
          <w:tcPr>
            <w:tcW w:w="2129" w:type="dxa"/>
            <w:shd w:val="clear" w:color="auto" w:fill="auto"/>
          </w:tcPr>
          <w:p w14:paraId="567554AF" w14:textId="77777777" w:rsidR="000F1306" w:rsidRPr="009834A9" w:rsidRDefault="000F1306" w:rsidP="000F1306">
            <w:pPr>
              <w:rPr>
                <w:bCs/>
                <w:sz w:val="18"/>
                <w:szCs w:val="18"/>
                <w:lang w:val="es-ES_tradnl"/>
              </w:rPr>
            </w:pPr>
            <w:r w:rsidRPr="009834A9">
              <w:rPr>
                <w:bCs/>
                <w:sz w:val="18"/>
                <w:szCs w:val="18"/>
                <w:lang w:val="es-ES_tradnl"/>
              </w:rPr>
              <w:t>3. Suministrar un servicio en condiciones de eficiencia</w:t>
            </w:r>
          </w:p>
        </w:tc>
        <w:tc>
          <w:tcPr>
            <w:tcW w:w="3799" w:type="dxa"/>
            <w:shd w:val="clear" w:color="auto" w:fill="auto"/>
          </w:tcPr>
          <w:p w14:paraId="6E3E9803" w14:textId="77777777" w:rsidR="000F1306" w:rsidRPr="009834A9" w:rsidRDefault="000F1306" w:rsidP="000F1306">
            <w:pPr>
              <w:rPr>
                <w:sz w:val="18"/>
                <w:szCs w:val="18"/>
                <w:lang w:val="es-ES_tradnl"/>
              </w:rPr>
            </w:pPr>
            <w:r w:rsidRPr="009834A9">
              <w:rPr>
                <w:sz w:val="18"/>
                <w:szCs w:val="18"/>
                <w:lang w:val="es-ES_tradnl"/>
              </w:rPr>
              <w:t>Debe asegurarse que, desde el punto de vista de la oferta, los servicios se proveen con los menores costos posibles.</w:t>
            </w:r>
          </w:p>
        </w:tc>
        <w:tc>
          <w:tcPr>
            <w:tcW w:w="4307" w:type="dxa"/>
            <w:shd w:val="clear" w:color="auto" w:fill="auto"/>
          </w:tcPr>
          <w:p w14:paraId="5606A273" w14:textId="7C1553BF" w:rsidR="00CF2264" w:rsidRDefault="00CF2264" w:rsidP="00C34AA2">
            <w:pPr>
              <w:spacing w:before="120" w:after="120"/>
              <w:jc w:val="both"/>
              <w:rPr>
                <w:rFonts w:eastAsiaTheme="minorHAnsi"/>
                <w:sz w:val="18"/>
                <w:szCs w:val="18"/>
                <w:lang w:val="es-ES_tradnl" w:eastAsia="en-NZ"/>
              </w:rPr>
            </w:pPr>
            <w:r>
              <w:rPr>
                <w:rFonts w:eastAsiaTheme="minorHAnsi"/>
                <w:sz w:val="18"/>
                <w:szCs w:val="18"/>
                <w:lang w:val="es-ES_tradnl" w:eastAsia="en-NZ"/>
              </w:rPr>
              <w:t xml:space="preserve">Las </w:t>
            </w:r>
            <w:r w:rsidR="00405980">
              <w:rPr>
                <w:rFonts w:eastAsiaTheme="minorHAnsi"/>
                <w:sz w:val="18"/>
                <w:szCs w:val="18"/>
                <w:lang w:val="es-ES_tradnl" w:eastAsia="en-NZ"/>
              </w:rPr>
              <w:t>tecnologías</w:t>
            </w:r>
            <w:r>
              <w:rPr>
                <w:rFonts w:eastAsiaTheme="minorHAnsi"/>
                <w:sz w:val="18"/>
                <w:szCs w:val="18"/>
                <w:lang w:val="es-ES_tradnl" w:eastAsia="en-NZ"/>
              </w:rPr>
              <w:t xml:space="preserve"> propuestas </w:t>
            </w:r>
            <w:r w:rsidR="005523AD">
              <w:rPr>
                <w:rFonts w:eastAsiaTheme="minorHAnsi"/>
                <w:sz w:val="18"/>
                <w:szCs w:val="18"/>
                <w:lang w:val="es-ES_tradnl" w:eastAsia="en-NZ"/>
              </w:rPr>
              <w:t>presentadas</w:t>
            </w:r>
            <w:r>
              <w:rPr>
                <w:rFonts w:eastAsiaTheme="minorHAnsi"/>
                <w:sz w:val="18"/>
                <w:szCs w:val="18"/>
                <w:lang w:val="es-ES_tradnl" w:eastAsia="en-NZ"/>
              </w:rPr>
              <w:t xml:space="preserve"> (asociadas</w:t>
            </w:r>
            <w:r w:rsidR="00420606">
              <w:rPr>
                <w:rFonts w:eastAsiaTheme="minorHAnsi"/>
                <w:sz w:val="18"/>
                <w:szCs w:val="18"/>
                <w:lang w:val="es-ES_tradnl" w:eastAsia="en-NZ"/>
              </w:rPr>
              <w:t xml:space="preserve"> a </w:t>
            </w:r>
            <w:r>
              <w:rPr>
                <w:rFonts w:eastAsiaTheme="minorHAnsi"/>
                <w:sz w:val="18"/>
                <w:szCs w:val="18"/>
                <w:lang w:val="es-ES_tradnl" w:eastAsia="en-NZ"/>
              </w:rPr>
              <w:t xml:space="preserve">sus </w:t>
            </w:r>
            <w:r w:rsidR="005523AD">
              <w:rPr>
                <w:rFonts w:eastAsiaTheme="minorHAnsi"/>
                <w:sz w:val="18"/>
                <w:szCs w:val="18"/>
                <w:lang w:val="es-ES_tradnl" w:eastAsia="en-NZ"/>
              </w:rPr>
              <w:t>rendimientos</w:t>
            </w:r>
            <w:r>
              <w:rPr>
                <w:rFonts w:eastAsiaTheme="minorHAnsi"/>
                <w:sz w:val="18"/>
                <w:szCs w:val="18"/>
                <w:lang w:val="es-ES_tradnl" w:eastAsia="en-NZ"/>
              </w:rPr>
              <w:t xml:space="preserve"> y ef</w:t>
            </w:r>
            <w:r w:rsidR="005523AD">
              <w:rPr>
                <w:rFonts w:eastAsiaTheme="minorHAnsi"/>
                <w:sz w:val="18"/>
                <w:szCs w:val="18"/>
                <w:lang w:val="es-ES_tradnl" w:eastAsia="en-NZ"/>
              </w:rPr>
              <w:t>iciencias</w:t>
            </w:r>
            <w:r>
              <w:rPr>
                <w:rFonts w:eastAsiaTheme="minorHAnsi"/>
                <w:sz w:val="18"/>
                <w:szCs w:val="18"/>
                <w:lang w:val="es-ES_tradnl" w:eastAsia="en-NZ"/>
              </w:rPr>
              <w:t xml:space="preserve"> esperadas) </w:t>
            </w:r>
            <w:r w:rsidR="00420606">
              <w:rPr>
                <w:rFonts w:eastAsiaTheme="minorHAnsi"/>
                <w:sz w:val="18"/>
                <w:szCs w:val="18"/>
                <w:lang w:val="es-ES_tradnl" w:eastAsia="en-NZ"/>
              </w:rPr>
              <w:t>son</w:t>
            </w:r>
            <w:r>
              <w:rPr>
                <w:rFonts w:eastAsiaTheme="minorHAnsi"/>
                <w:sz w:val="18"/>
                <w:szCs w:val="18"/>
                <w:lang w:val="es-ES_tradnl" w:eastAsia="en-NZ"/>
              </w:rPr>
              <w:t xml:space="preserve"> de costos </w:t>
            </w:r>
            <w:r w:rsidR="00405980">
              <w:rPr>
                <w:rFonts w:eastAsiaTheme="minorHAnsi"/>
                <w:sz w:val="18"/>
                <w:szCs w:val="18"/>
                <w:lang w:val="es-ES_tradnl" w:eastAsia="en-NZ"/>
              </w:rPr>
              <w:t>relativ</w:t>
            </w:r>
            <w:r w:rsidR="00033D61">
              <w:rPr>
                <w:rFonts w:eastAsiaTheme="minorHAnsi"/>
                <w:sz w:val="18"/>
                <w:szCs w:val="18"/>
                <w:lang w:val="es-ES_tradnl" w:eastAsia="en-NZ"/>
              </w:rPr>
              <w:t>amente</w:t>
            </w:r>
            <w:r w:rsidR="00405980">
              <w:rPr>
                <w:rFonts w:eastAsiaTheme="minorHAnsi"/>
                <w:sz w:val="18"/>
                <w:szCs w:val="18"/>
                <w:lang w:val="es-ES_tradnl" w:eastAsia="en-NZ"/>
              </w:rPr>
              <w:t xml:space="preserve"> bajos</w:t>
            </w:r>
            <w:r w:rsidR="00420606">
              <w:rPr>
                <w:rFonts w:eastAsiaTheme="minorHAnsi"/>
                <w:sz w:val="18"/>
                <w:szCs w:val="18"/>
                <w:lang w:val="es-ES_tradnl" w:eastAsia="en-NZ"/>
              </w:rPr>
              <w:t xml:space="preserve"> para</w:t>
            </w:r>
            <w:r w:rsidR="00405980">
              <w:rPr>
                <w:rFonts w:eastAsiaTheme="minorHAnsi"/>
                <w:sz w:val="18"/>
                <w:szCs w:val="18"/>
                <w:lang w:val="es-ES_tradnl" w:eastAsia="en-NZ"/>
              </w:rPr>
              <w:t xml:space="preserve"> </w:t>
            </w:r>
            <w:r w:rsidR="005523AD">
              <w:rPr>
                <w:rFonts w:eastAsiaTheme="minorHAnsi"/>
                <w:sz w:val="18"/>
                <w:szCs w:val="18"/>
                <w:lang w:val="es-ES_tradnl" w:eastAsia="en-NZ"/>
              </w:rPr>
              <w:t>(o</w:t>
            </w:r>
            <w:r w:rsidR="00405980">
              <w:rPr>
                <w:rFonts w:eastAsiaTheme="minorHAnsi"/>
                <w:sz w:val="18"/>
                <w:szCs w:val="18"/>
                <w:lang w:val="es-ES_tradnl" w:eastAsia="en-NZ"/>
              </w:rPr>
              <w:t xml:space="preserve"> del orden del promedio) </w:t>
            </w:r>
            <w:r w:rsidR="006905F2">
              <w:rPr>
                <w:rFonts w:eastAsiaTheme="minorHAnsi"/>
                <w:sz w:val="18"/>
                <w:szCs w:val="18"/>
                <w:lang w:val="es-ES_tradnl" w:eastAsia="en-NZ"/>
              </w:rPr>
              <w:t>Latinoamérica</w:t>
            </w:r>
            <w:r w:rsidR="00405980">
              <w:rPr>
                <w:rFonts w:eastAsiaTheme="minorHAnsi"/>
                <w:sz w:val="18"/>
                <w:szCs w:val="18"/>
                <w:lang w:val="es-ES_tradnl" w:eastAsia="en-NZ"/>
              </w:rPr>
              <w:t xml:space="preserve"> y el </w:t>
            </w:r>
            <w:r w:rsidR="00420606">
              <w:rPr>
                <w:rFonts w:eastAsiaTheme="minorHAnsi"/>
                <w:sz w:val="18"/>
                <w:szCs w:val="18"/>
                <w:lang w:val="es-ES_tradnl" w:eastAsia="en-NZ"/>
              </w:rPr>
              <w:t>C</w:t>
            </w:r>
            <w:r w:rsidR="00405980">
              <w:rPr>
                <w:rFonts w:eastAsiaTheme="minorHAnsi"/>
                <w:sz w:val="18"/>
                <w:szCs w:val="18"/>
                <w:lang w:val="es-ES_tradnl" w:eastAsia="en-NZ"/>
              </w:rPr>
              <w:t>aribe.</w:t>
            </w:r>
          </w:p>
          <w:p w14:paraId="725A8E24" w14:textId="69B3F81A" w:rsidR="00405980" w:rsidRPr="00014BD1" w:rsidRDefault="00033D61" w:rsidP="00C34AA2">
            <w:pPr>
              <w:spacing w:before="120" w:after="120"/>
              <w:jc w:val="both"/>
              <w:rPr>
                <w:rFonts w:eastAsiaTheme="minorHAnsi"/>
                <w:sz w:val="18"/>
                <w:szCs w:val="18"/>
                <w:lang w:val="es-ES_tradnl" w:eastAsia="en-NZ"/>
              </w:rPr>
            </w:pPr>
            <w:r>
              <w:rPr>
                <w:rFonts w:eastAsiaTheme="minorHAnsi"/>
                <w:sz w:val="18"/>
                <w:szCs w:val="18"/>
                <w:lang w:val="es-ES_tradnl" w:eastAsia="en-NZ"/>
              </w:rPr>
              <w:t>Asimismo,</w:t>
            </w:r>
            <w:r w:rsidR="00405980">
              <w:rPr>
                <w:rFonts w:eastAsiaTheme="minorHAnsi"/>
                <w:sz w:val="18"/>
                <w:szCs w:val="18"/>
                <w:lang w:val="es-ES_tradnl" w:eastAsia="en-NZ"/>
              </w:rPr>
              <w:t xml:space="preserve"> </w:t>
            </w:r>
            <w:r>
              <w:rPr>
                <w:rFonts w:eastAsiaTheme="minorHAnsi"/>
                <w:sz w:val="18"/>
                <w:szCs w:val="18"/>
                <w:lang w:val="es-ES_tradnl" w:eastAsia="en-NZ"/>
              </w:rPr>
              <w:t>durante</w:t>
            </w:r>
            <w:r w:rsidR="00405980">
              <w:rPr>
                <w:rFonts w:eastAsiaTheme="minorHAnsi"/>
                <w:sz w:val="18"/>
                <w:szCs w:val="18"/>
                <w:lang w:val="es-ES_tradnl" w:eastAsia="en-NZ"/>
              </w:rPr>
              <w:t xml:space="preserve"> el proceso de </w:t>
            </w:r>
            <w:r w:rsidR="00FF486D">
              <w:rPr>
                <w:rFonts w:eastAsiaTheme="minorHAnsi"/>
                <w:sz w:val="18"/>
                <w:szCs w:val="18"/>
                <w:lang w:val="es-ES_tradnl" w:eastAsia="en-NZ"/>
              </w:rPr>
              <w:t xml:space="preserve">contratación </w:t>
            </w:r>
            <w:r w:rsidR="00405980">
              <w:rPr>
                <w:rFonts w:eastAsiaTheme="minorHAnsi"/>
                <w:sz w:val="18"/>
                <w:szCs w:val="18"/>
                <w:lang w:val="es-ES_tradnl" w:eastAsia="en-NZ"/>
              </w:rPr>
              <w:t xml:space="preserve">del </w:t>
            </w:r>
            <w:r>
              <w:rPr>
                <w:rFonts w:eastAsiaTheme="minorHAnsi"/>
                <w:sz w:val="18"/>
                <w:szCs w:val="18"/>
                <w:lang w:val="es-ES_tradnl" w:eastAsia="en-NZ"/>
              </w:rPr>
              <w:t>constructor</w:t>
            </w:r>
            <w:r w:rsidR="00405980">
              <w:rPr>
                <w:rFonts w:eastAsiaTheme="minorHAnsi"/>
                <w:sz w:val="18"/>
                <w:szCs w:val="18"/>
                <w:lang w:val="es-ES_tradnl" w:eastAsia="en-NZ"/>
              </w:rPr>
              <w:t xml:space="preserve"> y </w:t>
            </w:r>
            <w:r>
              <w:rPr>
                <w:rFonts w:eastAsiaTheme="minorHAnsi"/>
                <w:sz w:val="18"/>
                <w:szCs w:val="18"/>
                <w:lang w:val="es-ES_tradnl" w:eastAsia="en-NZ"/>
              </w:rPr>
              <w:t>operador</w:t>
            </w:r>
            <w:r w:rsidR="00405980">
              <w:rPr>
                <w:rFonts w:eastAsiaTheme="minorHAnsi"/>
                <w:sz w:val="18"/>
                <w:szCs w:val="18"/>
                <w:lang w:val="es-ES_tradnl" w:eastAsia="en-NZ"/>
              </w:rPr>
              <w:t xml:space="preserve"> se </w:t>
            </w:r>
            <w:r>
              <w:rPr>
                <w:rFonts w:eastAsiaTheme="minorHAnsi"/>
                <w:sz w:val="18"/>
                <w:szCs w:val="18"/>
                <w:lang w:val="es-ES_tradnl" w:eastAsia="en-NZ"/>
              </w:rPr>
              <w:t>considerará</w:t>
            </w:r>
            <w:r w:rsidR="00405980">
              <w:rPr>
                <w:rFonts w:eastAsiaTheme="minorHAnsi"/>
                <w:sz w:val="18"/>
                <w:szCs w:val="18"/>
                <w:lang w:val="es-ES_tradnl" w:eastAsia="en-NZ"/>
              </w:rPr>
              <w:t xml:space="preserve"> la </w:t>
            </w:r>
            <w:r>
              <w:rPr>
                <w:rFonts w:eastAsiaTheme="minorHAnsi"/>
                <w:sz w:val="18"/>
                <w:szCs w:val="18"/>
                <w:lang w:val="es-ES_tradnl" w:eastAsia="en-NZ"/>
              </w:rPr>
              <w:t>relevancia</w:t>
            </w:r>
            <w:r w:rsidR="00405980">
              <w:rPr>
                <w:rFonts w:eastAsiaTheme="minorHAnsi"/>
                <w:sz w:val="18"/>
                <w:szCs w:val="18"/>
                <w:lang w:val="es-ES_tradnl" w:eastAsia="en-NZ"/>
              </w:rPr>
              <w:t xml:space="preserve"> del </w:t>
            </w:r>
            <w:r>
              <w:rPr>
                <w:rFonts w:eastAsiaTheme="minorHAnsi"/>
                <w:sz w:val="18"/>
                <w:szCs w:val="18"/>
                <w:lang w:val="es-ES_tradnl" w:eastAsia="en-NZ"/>
              </w:rPr>
              <w:t>mínimo</w:t>
            </w:r>
            <w:r w:rsidR="00405980">
              <w:rPr>
                <w:rFonts w:eastAsiaTheme="minorHAnsi"/>
                <w:sz w:val="18"/>
                <w:szCs w:val="18"/>
                <w:lang w:val="es-ES_tradnl" w:eastAsia="en-NZ"/>
              </w:rPr>
              <w:t xml:space="preserve"> costo en </w:t>
            </w:r>
            <w:r>
              <w:rPr>
                <w:rFonts w:eastAsiaTheme="minorHAnsi"/>
                <w:sz w:val="18"/>
                <w:szCs w:val="18"/>
                <w:lang w:val="es-ES_tradnl" w:eastAsia="en-NZ"/>
              </w:rPr>
              <w:t>el proceso</w:t>
            </w:r>
            <w:r w:rsidR="00405980">
              <w:rPr>
                <w:rFonts w:eastAsiaTheme="minorHAnsi"/>
                <w:sz w:val="18"/>
                <w:szCs w:val="18"/>
                <w:lang w:val="es-ES_tradnl" w:eastAsia="en-NZ"/>
              </w:rPr>
              <w:t xml:space="preserve"> de decisión.</w:t>
            </w:r>
          </w:p>
        </w:tc>
      </w:tr>
      <w:tr w:rsidR="009834A9" w:rsidRPr="00DA4B41" w14:paraId="563BF1D9" w14:textId="77777777" w:rsidTr="00F97646">
        <w:trPr>
          <w:jc w:val="center"/>
        </w:trPr>
        <w:tc>
          <w:tcPr>
            <w:tcW w:w="2129" w:type="dxa"/>
            <w:tcBorders>
              <w:bottom w:val="single" w:sz="4" w:space="0" w:color="auto"/>
            </w:tcBorders>
            <w:shd w:val="clear" w:color="auto" w:fill="auto"/>
          </w:tcPr>
          <w:p w14:paraId="4277421C" w14:textId="47CC44EF" w:rsidR="000F1306" w:rsidRPr="009834A9" w:rsidRDefault="000F1306" w:rsidP="000F1306">
            <w:pPr>
              <w:rPr>
                <w:bCs/>
                <w:sz w:val="18"/>
                <w:szCs w:val="18"/>
                <w:lang w:val="es-ES_tradnl"/>
              </w:rPr>
            </w:pPr>
            <w:r w:rsidRPr="009834A9">
              <w:rPr>
                <w:bCs/>
                <w:sz w:val="18"/>
                <w:szCs w:val="18"/>
                <w:lang w:val="es-ES_tradnl"/>
              </w:rPr>
              <w:t xml:space="preserve">4. Generar incentivos adecuados a la </w:t>
            </w:r>
            <w:r w:rsidR="0074200E">
              <w:rPr>
                <w:bCs/>
                <w:sz w:val="18"/>
                <w:szCs w:val="18"/>
                <w:lang w:val="es-ES_tradnl"/>
              </w:rPr>
              <w:t>-</w:t>
            </w:r>
            <w:r w:rsidRPr="009834A9">
              <w:rPr>
                <w:bCs/>
                <w:sz w:val="18"/>
                <w:szCs w:val="18"/>
                <w:lang w:val="es-ES_tradnl"/>
              </w:rPr>
              <w:t>demanda de servicios.</w:t>
            </w:r>
          </w:p>
        </w:tc>
        <w:tc>
          <w:tcPr>
            <w:tcW w:w="3799" w:type="dxa"/>
            <w:tcBorders>
              <w:bottom w:val="single" w:sz="4" w:space="0" w:color="auto"/>
            </w:tcBorders>
            <w:shd w:val="clear" w:color="auto" w:fill="auto"/>
          </w:tcPr>
          <w:p w14:paraId="743000D7" w14:textId="77777777" w:rsidR="000F1306" w:rsidRPr="009834A9" w:rsidRDefault="000F1306" w:rsidP="000F1306">
            <w:pPr>
              <w:rPr>
                <w:sz w:val="18"/>
                <w:szCs w:val="18"/>
                <w:lang w:val="es-ES_tradnl"/>
              </w:rPr>
            </w:pPr>
            <w:r w:rsidRPr="009834A9">
              <w:rPr>
                <w:sz w:val="18"/>
                <w:szCs w:val="18"/>
                <w:lang w:val="es-ES_tradnl"/>
              </w:rPr>
              <w:t>Debe velarse porque existan los incentivos adecuados para que los usuarios hagan un uso de estos servicios compatible con su sostenibilidad económica, financiera y ambiental</w:t>
            </w:r>
          </w:p>
        </w:tc>
        <w:tc>
          <w:tcPr>
            <w:tcW w:w="4307" w:type="dxa"/>
            <w:tcBorders>
              <w:bottom w:val="single" w:sz="4" w:space="0" w:color="auto"/>
            </w:tcBorders>
            <w:shd w:val="clear" w:color="auto" w:fill="auto"/>
          </w:tcPr>
          <w:p w14:paraId="3B00488D" w14:textId="77777777" w:rsidR="000F1306" w:rsidRDefault="00F54C32" w:rsidP="00C34AA2">
            <w:pPr>
              <w:spacing w:after="120"/>
              <w:jc w:val="both"/>
              <w:rPr>
                <w:sz w:val="18"/>
                <w:szCs w:val="18"/>
                <w:lang w:val="es-ES_tradnl"/>
              </w:rPr>
            </w:pPr>
            <w:r w:rsidRPr="00F54C32">
              <w:rPr>
                <w:sz w:val="18"/>
                <w:szCs w:val="18"/>
                <w:lang w:val="es-ES_tradnl"/>
              </w:rPr>
              <w:t xml:space="preserve">El Plan de Desarrollo del Norte-Noreste publicado por </w:t>
            </w:r>
            <w:r>
              <w:rPr>
                <w:sz w:val="18"/>
                <w:szCs w:val="18"/>
                <w:lang w:val="es-ES_tradnl"/>
              </w:rPr>
              <w:t xml:space="preserve">la </w:t>
            </w:r>
            <w:r w:rsidRPr="00F54C32">
              <w:rPr>
                <w:sz w:val="18"/>
                <w:szCs w:val="18"/>
                <w:lang w:val="es-ES_tradnl"/>
              </w:rPr>
              <w:t xml:space="preserve">CIAT en diciembre de 2012 </w:t>
            </w:r>
            <w:r>
              <w:rPr>
                <w:sz w:val="18"/>
                <w:szCs w:val="18"/>
                <w:lang w:val="es-ES_tradnl"/>
              </w:rPr>
              <w:t xml:space="preserve">establece la necesidad de que la población tenga acceso a servicios básicos como </w:t>
            </w:r>
            <w:r>
              <w:rPr>
                <w:sz w:val="18"/>
                <w:szCs w:val="18"/>
                <w:lang w:val="es-ES_tradnl"/>
              </w:rPr>
              <w:lastRenderedPageBreak/>
              <w:t xml:space="preserve">mecanismo para promover el desarrollo regional. </w:t>
            </w:r>
          </w:p>
          <w:p w14:paraId="3FE70C52" w14:textId="77777777" w:rsidR="00F54C32" w:rsidRDefault="00F54C32" w:rsidP="00C34AA2">
            <w:pPr>
              <w:spacing w:after="120"/>
              <w:jc w:val="both"/>
              <w:rPr>
                <w:sz w:val="18"/>
                <w:szCs w:val="18"/>
                <w:lang w:val="es-ES_tradnl"/>
              </w:rPr>
            </w:pPr>
            <w:r>
              <w:rPr>
                <w:sz w:val="18"/>
                <w:szCs w:val="18"/>
                <w:lang w:val="es-ES_tradnl"/>
              </w:rPr>
              <w:t>En esta línea el proyecto contempla el fortalecimiento de la SAM, a fin de que ésta pueda generar el marco de incentivos a los usuarios en el marco de la sostenibilidad económica, financiera y ambiental. Para ello, se contará con un Reglamento Operativo y un Plan de Negocios y será la SAM la responsable de dar cumplimiento a la política ambiental nacional y la del Banco.</w:t>
            </w:r>
          </w:p>
          <w:p w14:paraId="709D1BAF" w14:textId="37CC2AB3" w:rsidR="00F54C32" w:rsidRPr="009834A9" w:rsidRDefault="00F54C32" w:rsidP="00C34AA2">
            <w:pPr>
              <w:spacing w:after="120"/>
              <w:jc w:val="both"/>
              <w:rPr>
                <w:sz w:val="18"/>
                <w:szCs w:val="18"/>
                <w:lang w:val="es-ES_tradnl"/>
              </w:rPr>
            </w:pPr>
            <w:r>
              <w:rPr>
                <w:sz w:val="18"/>
                <w:szCs w:val="18"/>
                <w:lang w:val="es-ES_tradnl"/>
              </w:rPr>
              <w:t>Asimismo, se contempla la contratación de expertos para la realización de actividades de capacitación y educación ambiental tanto para el adecuado manejo de los residuos sólidos como para el composteo y reciclaje.</w:t>
            </w:r>
          </w:p>
        </w:tc>
      </w:tr>
      <w:tr w:rsidR="009834A9" w:rsidRPr="00DA4B41" w14:paraId="7B20801C" w14:textId="77777777" w:rsidTr="00F97646">
        <w:trPr>
          <w:jc w:val="center"/>
        </w:trPr>
        <w:tc>
          <w:tcPr>
            <w:tcW w:w="2129" w:type="dxa"/>
            <w:tcBorders>
              <w:bottom w:val="single" w:sz="4" w:space="0" w:color="auto"/>
            </w:tcBorders>
            <w:shd w:val="clear" w:color="auto" w:fill="auto"/>
          </w:tcPr>
          <w:p w14:paraId="54B9F39D" w14:textId="77777777" w:rsidR="000F1306" w:rsidRPr="009834A9" w:rsidRDefault="000F1306" w:rsidP="002E3C4E">
            <w:pPr>
              <w:rPr>
                <w:bCs/>
                <w:sz w:val="18"/>
                <w:szCs w:val="18"/>
                <w:lang w:val="es-ES_tradnl"/>
              </w:rPr>
            </w:pPr>
            <w:r w:rsidRPr="009834A9">
              <w:rPr>
                <w:bCs/>
                <w:sz w:val="18"/>
                <w:szCs w:val="18"/>
                <w:lang w:val="es-ES_tradnl"/>
              </w:rPr>
              <w:lastRenderedPageBreak/>
              <w:t>5. Promover la sostenibilidad de los servicios públicos domiciliarios</w:t>
            </w:r>
          </w:p>
        </w:tc>
        <w:tc>
          <w:tcPr>
            <w:tcW w:w="3799" w:type="dxa"/>
            <w:tcBorders>
              <w:bottom w:val="single" w:sz="4" w:space="0" w:color="auto"/>
            </w:tcBorders>
            <w:shd w:val="clear" w:color="auto" w:fill="auto"/>
          </w:tcPr>
          <w:p w14:paraId="7CC3A972" w14:textId="77777777" w:rsidR="000F1306" w:rsidRPr="009834A9" w:rsidRDefault="000F1306" w:rsidP="000F1306">
            <w:pPr>
              <w:rPr>
                <w:sz w:val="18"/>
                <w:szCs w:val="18"/>
                <w:lang w:val="es-ES_tradnl"/>
              </w:rPr>
            </w:pPr>
            <w:r w:rsidRPr="009834A9">
              <w:rPr>
                <w:sz w:val="18"/>
                <w:szCs w:val="18"/>
                <w:lang w:val="es-ES_tradnl"/>
              </w:rPr>
              <w:t>El alcance de la sostenibilidad de los servicios públicos domiciliarios se promoverá en función de tres pilares:</w:t>
            </w:r>
          </w:p>
          <w:p w14:paraId="79486B54" w14:textId="77777777" w:rsidR="000F1306" w:rsidRPr="009834A9" w:rsidRDefault="000F1306" w:rsidP="000F1306">
            <w:pPr>
              <w:rPr>
                <w:sz w:val="18"/>
                <w:szCs w:val="18"/>
                <w:lang w:val="es-ES_tradnl"/>
              </w:rPr>
            </w:pPr>
          </w:p>
          <w:p w14:paraId="6A4A6B87" w14:textId="77777777" w:rsidR="000F1306" w:rsidRPr="009834A9" w:rsidRDefault="000F1306" w:rsidP="000F1306">
            <w:pPr>
              <w:rPr>
                <w:sz w:val="18"/>
                <w:szCs w:val="18"/>
                <w:lang w:val="es-ES_tradnl"/>
              </w:rPr>
            </w:pPr>
            <w:r w:rsidRPr="009834A9">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440BF72E" w14:textId="77777777" w:rsidR="000F1306" w:rsidRPr="009834A9" w:rsidRDefault="000F1306" w:rsidP="000F1306">
            <w:pPr>
              <w:rPr>
                <w:sz w:val="18"/>
                <w:szCs w:val="18"/>
                <w:lang w:val="es-ES_tradnl"/>
              </w:rPr>
            </w:pPr>
          </w:p>
          <w:p w14:paraId="1A167116" w14:textId="77777777" w:rsidR="000F1306" w:rsidRPr="009834A9" w:rsidRDefault="000F1306" w:rsidP="000F1306">
            <w:pPr>
              <w:rPr>
                <w:sz w:val="18"/>
                <w:szCs w:val="18"/>
                <w:lang w:val="es-ES_tradnl"/>
              </w:rPr>
            </w:pPr>
            <w:r w:rsidRPr="009834A9">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9FD1682" w14:textId="77777777" w:rsidR="000F1306" w:rsidRPr="009834A9" w:rsidRDefault="000F1306" w:rsidP="000F1306">
            <w:pPr>
              <w:rPr>
                <w:sz w:val="18"/>
                <w:szCs w:val="18"/>
                <w:lang w:val="es-ES_tradnl"/>
              </w:rPr>
            </w:pPr>
          </w:p>
          <w:p w14:paraId="2D5557F0" w14:textId="338CB835" w:rsidR="000F1306" w:rsidRPr="009834A9" w:rsidRDefault="000F1306" w:rsidP="000F1306">
            <w:pPr>
              <w:rPr>
                <w:sz w:val="18"/>
                <w:szCs w:val="18"/>
                <w:lang w:val="es-ES_tradnl"/>
              </w:rPr>
            </w:pPr>
            <w:r w:rsidRPr="009834A9">
              <w:rPr>
                <w:sz w:val="18"/>
                <w:szCs w:val="18"/>
                <w:lang w:val="es-ES_tradnl"/>
              </w:rPr>
              <w:t xml:space="preserve">c. Sostenibilidad social: contribuyendo a incrementar el acceso al servicio y previendo mecanismos de consulta </w:t>
            </w:r>
            <w:r w:rsidR="00A006A5">
              <w:rPr>
                <w:sz w:val="18"/>
                <w:szCs w:val="18"/>
                <w:lang w:val="es-ES_tradnl"/>
              </w:rPr>
              <w:t xml:space="preserve">y de recepción de quejas </w:t>
            </w:r>
            <w:r w:rsidRPr="009834A9">
              <w:rPr>
                <w:sz w:val="18"/>
                <w:szCs w:val="18"/>
                <w:lang w:val="es-ES_tradnl"/>
              </w:rPr>
              <w:t>con la comunidad sobre los aspectos relevantes de la provisión del servicio.</w:t>
            </w:r>
          </w:p>
        </w:tc>
        <w:tc>
          <w:tcPr>
            <w:tcW w:w="4307" w:type="dxa"/>
            <w:tcBorders>
              <w:bottom w:val="single" w:sz="4" w:space="0" w:color="auto"/>
            </w:tcBorders>
            <w:shd w:val="clear" w:color="auto" w:fill="auto"/>
          </w:tcPr>
          <w:p w14:paraId="2CF583C2" w14:textId="4154C81A" w:rsidR="00A421C1" w:rsidRDefault="000F1306" w:rsidP="00A05AB1">
            <w:pPr>
              <w:pStyle w:val="Paragraph"/>
              <w:numPr>
                <w:ilvl w:val="0"/>
                <w:numId w:val="0"/>
              </w:numPr>
              <w:ind w:left="1"/>
              <w:rPr>
                <w:rFonts w:eastAsiaTheme="minorHAnsi"/>
                <w:color w:val="000000"/>
                <w:sz w:val="18"/>
                <w:szCs w:val="18"/>
                <w:lang w:val="es-ES_tradnl"/>
              </w:rPr>
            </w:pPr>
            <w:r w:rsidRPr="001E688D">
              <w:rPr>
                <w:rFonts w:eastAsiaTheme="minorHAnsi"/>
                <w:i/>
                <w:color w:val="000000"/>
                <w:sz w:val="18"/>
                <w:szCs w:val="18"/>
                <w:lang w:val="es-ES_tradnl"/>
              </w:rPr>
              <w:t>Sostenibilidad Financiera</w:t>
            </w:r>
            <w:r w:rsidR="002121D6" w:rsidRPr="001E688D">
              <w:rPr>
                <w:rFonts w:eastAsiaTheme="minorHAnsi"/>
                <w:color w:val="000000"/>
                <w:sz w:val="18"/>
                <w:szCs w:val="18"/>
                <w:lang w:val="es-ES_tradnl"/>
              </w:rPr>
              <w:t xml:space="preserve">. </w:t>
            </w:r>
            <w:r w:rsidR="00A421C1">
              <w:rPr>
                <w:rFonts w:eastAsiaTheme="minorHAnsi"/>
                <w:color w:val="000000"/>
                <w:sz w:val="18"/>
                <w:szCs w:val="18"/>
                <w:lang w:val="es-ES_tradnl"/>
              </w:rPr>
              <w:t xml:space="preserve">El proyecto contempla la realización de un plan de negocios y una estructura tarifaria acorde con las condiciones socio-económicas de la población y del mercado. Esto permitirá ir estableciendo un mecanismo de recuperación de costos. Asimismo, la creación de la SAM con autonomía financiera permitirá una gestión transparente de los recursos y la inversión de éstos en la operación, mantenimiento y expansión de la infraestructura. </w:t>
            </w:r>
          </w:p>
          <w:p w14:paraId="7DD1B45D" w14:textId="73E3A171" w:rsidR="00DA4B41" w:rsidRPr="00DA4B41" w:rsidRDefault="00DA4B41" w:rsidP="00DA4B41">
            <w:pPr>
              <w:spacing w:before="120" w:after="120"/>
              <w:ind w:left="50"/>
              <w:jc w:val="both"/>
              <w:outlineLvl w:val="1"/>
              <w:rPr>
                <w:sz w:val="18"/>
                <w:szCs w:val="22"/>
                <w:lang w:val="es-ES_tradnl"/>
              </w:rPr>
            </w:pPr>
            <w:r w:rsidRPr="00DA4B41">
              <w:rPr>
                <w:i/>
                <w:sz w:val="18"/>
                <w:szCs w:val="22"/>
                <w:lang w:val="es-ES_tradnl"/>
              </w:rPr>
              <w:t>Sostenibilidad ambiental y social.</w:t>
            </w:r>
            <w:r w:rsidRPr="00DA4B41">
              <w:rPr>
                <w:sz w:val="18"/>
                <w:szCs w:val="22"/>
                <w:lang w:val="es-ES_tradnl"/>
              </w:rPr>
              <w:t xml:space="preserve"> En cumplimiento con OP-703, el programa fue clasificado como A y el Prestatario elaboró un Estudio de Impacto Ambiental y Social (ESIA) además de un Análisis Ambiental y Social (AAS), con sus respectivos Planes de Gestión Ambiental y Social (PGAS) asociados. El EIAS y el AAS incluyen la descripción de las características del medio físico y la descripción del entorno social de del área de influencia. El Prestatario ha preparado un Plan de Consultas</w:t>
            </w:r>
            <w:r>
              <w:rPr>
                <w:sz w:val="18"/>
                <w:szCs w:val="22"/>
                <w:lang w:val="es-ES_tradnl"/>
              </w:rPr>
              <w:t xml:space="preserve"> </w:t>
            </w:r>
            <w:r w:rsidRPr="00DA4B41">
              <w:rPr>
                <w:sz w:val="18"/>
                <w:szCs w:val="22"/>
                <w:lang w:val="es-ES_tradnl"/>
              </w:rPr>
              <w:t>y prepa</w:t>
            </w:r>
            <w:r w:rsidR="004F4BEF">
              <w:rPr>
                <w:sz w:val="18"/>
                <w:szCs w:val="22"/>
                <w:lang w:val="es-ES_tradnl"/>
              </w:rPr>
              <w:t>ra</w:t>
            </w:r>
            <w:r w:rsidRPr="00DA4B41">
              <w:rPr>
                <w:sz w:val="18"/>
                <w:szCs w:val="22"/>
                <w:lang w:val="es-ES_tradnl"/>
              </w:rPr>
              <w:t>rá un Mecanismo de quejas y</w:t>
            </w:r>
            <w:r w:rsidR="004F4BEF">
              <w:rPr>
                <w:sz w:val="18"/>
                <w:szCs w:val="22"/>
                <w:lang w:val="es-ES_tradnl"/>
              </w:rPr>
              <w:t xml:space="preserve"> un p</w:t>
            </w:r>
            <w:r w:rsidRPr="00DA4B41">
              <w:rPr>
                <w:sz w:val="18"/>
                <w:szCs w:val="22"/>
                <w:lang w:val="es-ES_tradnl"/>
              </w:rPr>
              <w:t xml:space="preserve">lan de comunicación con las partes interesadas a ser implementado durante la ejecución. </w:t>
            </w:r>
          </w:p>
          <w:p w14:paraId="3AB6351E" w14:textId="55E0A0B8" w:rsidR="0010220C" w:rsidRPr="0010220C" w:rsidRDefault="0010220C" w:rsidP="007915F7">
            <w:pPr>
              <w:pStyle w:val="Paragraph"/>
              <w:numPr>
                <w:ilvl w:val="0"/>
                <w:numId w:val="0"/>
              </w:numPr>
              <w:ind w:left="50"/>
              <w:rPr>
                <w:rFonts w:eastAsiaTheme="minorHAnsi"/>
                <w:color w:val="000000"/>
                <w:sz w:val="18"/>
                <w:szCs w:val="18"/>
                <w:lang w:val="es-ES_tradnl"/>
              </w:rPr>
            </w:pPr>
            <w:r w:rsidRPr="0010220C">
              <w:rPr>
                <w:sz w:val="18"/>
                <w:szCs w:val="22"/>
                <w:lang w:val="es-ES_tradnl"/>
              </w:rPr>
              <w:t>El IGAS contiene las acciones necesarias para cumplir con las políticas de salvaguardas del Banco.</w:t>
            </w:r>
          </w:p>
        </w:tc>
      </w:tr>
    </w:tbl>
    <w:p w14:paraId="28DFA590" w14:textId="77777777" w:rsidR="000F1306" w:rsidRPr="009876DD" w:rsidRDefault="000F1306" w:rsidP="000F1306">
      <w:pPr>
        <w:rPr>
          <w:lang w:val="es-ES_tradnl"/>
        </w:rPr>
      </w:pPr>
      <w:r w:rsidRPr="009876DD">
        <w:rPr>
          <w:lang w:val="es-ES_tradn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3511"/>
        <w:gridCol w:w="3238"/>
      </w:tblGrid>
      <w:tr w:rsidR="006D5B9D" w:rsidRPr="00A36229" w14:paraId="0E49B2FA" w14:textId="77777777" w:rsidTr="00A22BAE">
        <w:trPr>
          <w:trHeight w:val="701"/>
          <w:tblHeader/>
          <w:jc w:val="center"/>
        </w:trPr>
        <w:tc>
          <w:tcPr>
            <w:tcW w:w="1968" w:type="dxa"/>
            <w:shd w:val="clear" w:color="auto" w:fill="C0C0C0"/>
          </w:tcPr>
          <w:p w14:paraId="26DF54AA" w14:textId="77777777" w:rsidR="000F1306" w:rsidRPr="009876DD" w:rsidRDefault="000F1306" w:rsidP="000F1306">
            <w:pPr>
              <w:rPr>
                <w:b/>
                <w:sz w:val="18"/>
                <w:szCs w:val="18"/>
                <w:lang w:val="es-ES_tradnl"/>
              </w:rPr>
            </w:pPr>
            <w:r w:rsidRPr="009876DD">
              <w:rPr>
                <w:b/>
                <w:sz w:val="18"/>
                <w:szCs w:val="18"/>
                <w:lang w:val="es-ES_tradnl"/>
              </w:rPr>
              <w:lastRenderedPageBreak/>
              <w:t>Principios de la Política que orientan el diseño de las operaciones del Banco</w:t>
            </w:r>
          </w:p>
        </w:tc>
        <w:tc>
          <w:tcPr>
            <w:tcW w:w="4301" w:type="dxa"/>
            <w:shd w:val="clear" w:color="auto" w:fill="C0C0C0"/>
            <w:vAlign w:val="center"/>
          </w:tcPr>
          <w:p w14:paraId="60BFBEF2" w14:textId="77777777" w:rsidR="000F1306" w:rsidRPr="009876DD" w:rsidRDefault="000F1306" w:rsidP="000F1306">
            <w:pPr>
              <w:jc w:val="center"/>
              <w:rPr>
                <w:b/>
                <w:sz w:val="18"/>
                <w:szCs w:val="18"/>
                <w:lang w:val="es-ES_tradnl"/>
              </w:rPr>
            </w:pPr>
            <w:r w:rsidRPr="009876DD">
              <w:rPr>
                <w:b/>
                <w:sz w:val="18"/>
                <w:szCs w:val="18"/>
                <w:lang w:val="es-ES_tradnl"/>
              </w:rPr>
              <w:t>Descripción</w:t>
            </w:r>
          </w:p>
        </w:tc>
        <w:tc>
          <w:tcPr>
            <w:tcW w:w="3966" w:type="dxa"/>
            <w:shd w:val="clear" w:color="auto" w:fill="C0C0C0"/>
            <w:vAlign w:val="center"/>
          </w:tcPr>
          <w:p w14:paraId="370D24CE" w14:textId="77777777" w:rsidR="000F1306" w:rsidRPr="009876DD" w:rsidRDefault="000F1306" w:rsidP="000F1306">
            <w:pPr>
              <w:jc w:val="center"/>
              <w:rPr>
                <w:b/>
                <w:sz w:val="18"/>
                <w:szCs w:val="18"/>
                <w:lang w:val="es-ES_tradnl"/>
              </w:rPr>
            </w:pPr>
            <w:r w:rsidRPr="009876DD">
              <w:rPr>
                <w:b/>
                <w:sz w:val="18"/>
                <w:szCs w:val="18"/>
                <w:lang w:val="es-ES_tradnl"/>
              </w:rPr>
              <w:t>Comentarios</w:t>
            </w:r>
          </w:p>
        </w:tc>
      </w:tr>
      <w:tr w:rsidR="006D5B9D" w:rsidRPr="00DA4B41" w14:paraId="538FD841" w14:textId="77777777" w:rsidTr="00120449">
        <w:trPr>
          <w:jc w:val="center"/>
        </w:trPr>
        <w:tc>
          <w:tcPr>
            <w:tcW w:w="1968" w:type="dxa"/>
            <w:shd w:val="clear" w:color="auto" w:fill="auto"/>
          </w:tcPr>
          <w:p w14:paraId="3C63E6E1" w14:textId="77777777" w:rsidR="000F1306" w:rsidRPr="009834A9" w:rsidRDefault="000F1306" w:rsidP="000F1306">
            <w:pPr>
              <w:rPr>
                <w:b/>
                <w:bCs/>
                <w:sz w:val="18"/>
                <w:szCs w:val="18"/>
                <w:lang w:val="es-ES_tradnl"/>
              </w:rPr>
            </w:pPr>
            <w:r w:rsidRPr="009834A9">
              <w:rPr>
                <w:b/>
                <w:bCs/>
                <w:sz w:val="18"/>
                <w:szCs w:val="18"/>
                <w:lang w:val="es-ES_tradnl"/>
              </w:rPr>
              <w:t xml:space="preserve">1. Apoyar a los países para atender las necesidades básicas </w:t>
            </w:r>
          </w:p>
        </w:tc>
        <w:tc>
          <w:tcPr>
            <w:tcW w:w="4301" w:type="dxa"/>
            <w:shd w:val="clear" w:color="auto" w:fill="auto"/>
          </w:tcPr>
          <w:p w14:paraId="5F9D1935"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75BAF1FB" w14:textId="33F0917F" w:rsidR="001755E1" w:rsidRDefault="00275233" w:rsidP="00EA2BD2">
            <w:pPr>
              <w:pStyle w:val="Paragraph"/>
              <w:numPr>
                <w:ilvl w:val="0"/>
                <w:numId w:val="0"/>
              </w:numPr>
              <w:rPr>
                <w:sz w:val="18"/>
                <w:szCs w:val="18"/>
                <w:lang w:val="es-ES_tradnl"/>
              </w:rPr>
            </w:pPr>
            <w:r w:rsidRPr="00E60230">
              <w:rPr>
                <w:sz w:val="18"/>
                <w:szCs w:val="18"/>
                <w:lang w:val="es-ES_tradnl"/>
              </w:rPr>
              <w:t xml:space="preserve">La solución propuesta para el sistema de </w:t>
            </w:r>
            <w:r w:rsidR="00981058">
              <w:rPr>
                <w:sz w:val="18"/>
                <w:szCs w:val="18"/>
                <w:lang w:val="es-ES_tradnl"/>
              </w:rPr>
              <w:t>recolección</w:t>
            </w:r>
            <w:r w:rsidR="00981058" w:rsidRPr="00E60230">
              <w:rPr>
                <w:sz w:val="18"/>
                <w:szCs w:val="18"/>
                <w:lang w:val="es-ES_tradnl"/>
              </w:rPr>
              <w:t xml:space="preserve"> </w:t>
            </w:r>
            <w:r w:rsidRPr="00E60230">
              <w:rPr>
                <w:sz w:val="18"/>
                <w:szCs w:val="18"/>
                <w:lang w:val="es-ES_tradnl"/>
              </w:rPr>
              <w:t xml:space="preserve">y disposición final de los residuos </w:t>
            </w:r>
            <w:r w:rsidR="007B0FBC" w:rsidRPr="00E60230">
              <w:rPr>
                <w:sz w:val="18"/>
                <w:szCs w:val="18"/>
                <w:lang w:val="es-ES_tradnl"/>
              </w:rPr>
              <w:t xml:space="preserve">sólidos </w:t>
            </w:r>
            <w:r w:rsidRPr="00E60230">
              <w:rPr>
                <w:sz w:val="18"/>
                <w:szCs w:val="18"/>
                <w:lang w:val="es-ES_tradnl"/>
              </w:rPr>
              <w:t>ha sido probada en otros países de la región y es acorde a las condiciones social</w:t>
            </w:r>
            <w:r w:rsidR="00FD70F3" w:rsidRPr="00E60230">
              <w:rPr>
                <w:sz w:val="18"/>
                <w:szCs w:val="18"/>
                <w:lang w:val="es-ES_tradnl"/>
              </w:rPr>
              <w:t>es y ambientales de Haití</w:t>
            </w:r>
            <w:r w:rsidR="001755E1">
              <w:rPr>
                <w:sz w:val="18"/>
                <w:szCs w:val="18"/>
                <w:lang w:val="es-ES_tradnl"/>
              </w:rPr>
              <w:t>;</w:t>
            </w:r>
            <w:r w:rsidR="00DB6475">
              <w:rPr>
                <w:sz w:val="18"/>
                <w:szCs w:val="18"/>
                <w:lang w:val="es-ES_tradnl"/>
              </w:rPr>
              <w:t xml:space="preserve"> existen operaciones </w:t>
            </w:r>
            <w:r w:rsidR="00184E23">
              <w:rPr>
                <w:sz w:val="18"/>
                <w:szCs w:val="18"/>
                <w:lang w:val="es-ES_tradnl"/>
              </w:rPr>
              <w:t>recientes</w:t>
            </w:r>
            <w:r w:rsidR="00DB6475">
              <w:rPr>
                <w:sz w:val="18"/>
                <w:szCs w:val="18"/>
                <w:lang w:val="es-ES_tradnl"/>
              </w:rPr>
              <w:t xml:space="preserve"> </w:t>
            </w:r>
            <w:r w:rsidR="00184E23">
              <w:rPr>
                <w:sz w:val="18"/>
                <w:szCs w:val="18"/>
                <w:lang w:val="es-ES_tradnl"/>
              </w:rPr>
              <w:t xml:space="preserve">del </w:t>
            </w:r>
            <w:r w:rsidR="00DB6475">
              <w:rPr>
                <w:sz w:val="18"/>
                <w:szCs w:val="18"/>
                <w:lang w:val="es-ES_tradnl"/>
              </w:rPr>
              <w:t xml:space="preserve">BID </w:t>
            </w:r>
            <w:r w:rsidR="00EC5234">
              <w:rPr>
                <w:sz w:val="18"/>
                <w:szCs w:val="18"/>
                <w:lang w:val="es-ES_tradnl"/>
              </w:rPr>
              <w:t xml:space="preserve">con aproximaciones equivalentes </w:t>
            </w:r>
            <w:r w:rsidR="00DB6475">
              <w:rPr>
                <w:sz w:val="18"/>
                <w:szCs w:val="18"/>
                <w:lang w:val="es-ES_tradnl"/>
              </w:rPr>
              <w:t xml:space="preserve">en este sentido en Argentina, </w:t>
            </w:r>
            <w:r w:rsidR="00EC5234">
              <w:rPr>
                <w:sz w:val="18"/>
                <w:szCs w:val="18"/>
                <w:lang w:val="es-ES_tradnl"/>
              </w:rPr>
              <w:t>Bolivia,</w:t>
            </w:r>
            <w:r w:rsidR="00CC1499">
              <w:rPr>
                <w:sz w:val="18"/>
                <w:szCs w:val="18"/>
                <w:lang w:val="es-ES_tradnl"/>
              </w:rPr>
              <w:t xml:space="preserve"> </w:t>
            </w:r>
            <w:r w:rsidR="00184E23">
              <w:rPr>
                <w:sz w:val="18"/>
                <w:szCs w:val="18"/>
                <w:lang w:val="es-ES_tradnl"/>
              </w:rPr>
              <w:t>Perú</w:t>
            </w:r>
            <w:r w:rsidR="003E5946">
              <w:rPr>
                <w:sz w:val="18"/>
                <w:szCs w:val="18"/>
                <w:lang w:val="es-ES_tradnl"/>
              </w:rPr>
              <w:t>, Brasil, Ecuador, Colombia, Venezuela, Guyana</w:t>
            </w:r>
            <w:r w:rsidR="00184E23">
              <w:rPr>
                <w:sz w:val="18"/>
                <w:szCs w:val="18"/>
                <w:lang w:val="es-ES_tradnl"/>
              </w:rPr>
              <w:t xml:space="preserve"> y Belice</w:t>
            </w:r>
            <w:r w:rsidR="00FD70F3" w:rsidRPr="00E60230">
              <w:rPr>
                <w:sz w:val="18"/>
                <w:szCs w:val="18"/>
                <w:lang w:val="es-ES_tradnl"/>
              </w:rPr>
              <w:t>.</w:t>
            </w:r>
            <w:r w:rsidR="00FD70F3" w:rsidRPr="008D39E6">
              <w:rPr>
                <w:sz w:val="18"/>
                <w:szCs w:val="18"/>
                <w:lang w:val="es-ES_tradnl"/>
              </w:rPr>
              <w:t xml:space="preserve"> </w:t>
            </w:r>
          </w:p>
          <w:p w14:paraId="28DCED6F" w14:textId="42FE6189" w:rsidR="00EA2BD2" w:rsidRPr="008D39E6" w:rsidRDefault="00184E23" w:rsidP="00EA2BD2">
            <w:pPr>
              <w:pStyle w:val="Paragraph"/>
              <w:numPr>
                <w:ilvl w:val="0"/>
                <w:numId w:val="0"/>
              </w:numPr>
              <w:rPr>
                <w:sz w:val="18"/>
                <w:szCs w:val="18"/>
                <w:lang w:val="es-ES_tradnl"/>
              </w:rPr>
            </w:pPr>
            <w:r>
              <w:rPr>
                <w:sz w:val="18"/>
                <w:szCs w:val="18"/>
                <w:lang w:val="es-ES_tradnl"/>
              </w:rPr>
              <w:t xml:space="preserve">En lo que se refiere a esquemas </w:t>
            </w:r>
            <w:r w:rsidR="004F65F3">
              <w:rPr>
                <w:sz w:val="18"/>
                <w:szCs w:val="18"/>
                <w:lang w:val="es-ES_tradnl"/>
              </w:rPr>
              <w:t>más</w:t>
            </w:r>
            <w:r>
              <w:rPr>
                <w:sz w:val="18"/>
                <w:szCs w:val="18"/>
                <w:lang w:val="es-ES_tradnl"/>
              </w:rPr>
              <w:t xml:space="preserve"> integrales que incluyen </w:t>
            </w:r>
            <w:r w:rsidR="00E80366">
              <w:rPr>
                <w:sz w:val="18"/>
                <w:szCs w:val="18"/>
                <w:lang w:val="es-ES_tradnl"/>
              </w:rPr>
              <w:t>recuperación</w:t>
            </w:r>
            <w:r>
              <w:rPr>
                <w:sz w:val="18"/>
                <w:szCs w:val="18"/>
                <w:lang w:val="es-ES_tradnl"/>
              </w:rPr>
              <w:t xml:space="preserve"> (reciclaje y compost</w:t>
            </w:r>
            <w:r w:rsidR="00AF763D">
              <w:rPr>
                <w:sz w:val="18"/>
                <w:szCs w:val="18"/>
                <w:lang w:val="es-ES_tradnl"/>
              </w:rPr>
              <w:t>)</w:t>
            </w:r>
            <w:r w:rsidR="001755E1">
              <w:rPr>
                <w:sz w:val="18"/>
                <w:szCs w:val="18"/>
                <w:lang w:val="es-ES_tradnl"/>
              </w:rPr>
              <w:t xml:space="preserve"> se ha</w:t>
            </w:r>
            <w:r w:rsidR="004F65F3">
              <w:rPr>
                <w:sz w:val="18"/>
                <w:szCs w:val="18"/>
                <w:lang w:val="es-ES_tradnl"/>
              </w:rPr>
              <w:t>n</w:t>
            </w:r>
            <w:r w:rsidR="001755E1">
              <w:rPr>
                <w:sz w:val="18"/>
                <w:szCs w:val="18"/>
                <w:lang w:val="es-ES_tradnl"/>
              </w:rPr>
              <w:t xml:space="preserve"> probado con éxito en </w:t>
            </w:r>
            <w:r w:rsidR="00CB6CBA">
              <w:rPr>
                <w:sz w:val="18"/>
                <w:szCs w:val="18"/>
                <w:lang w:val="es-ES_tradnl"/>
              </w:rPr>
              <w:t>la región</w:t>
            </w:r>
            <w:r w:rsidR="00B70054">
              <w:rPr>
                <w:sz w:val="18"/>
                <w:szCs w:val="18"/>
                <w:lang w:val="es-ES_tradnl"/>
              </w:rPr>
              <w:t xml:space="preserve"> tanto e</w:t>
            </w:r>
            <w:r w:rsidR="00A417C9">
              <w:rPr>
                <w:sz w:val="18"/>
                <w:szCs w:val="18"/>
                <w:lang w:val="es-ES_tradnl"/>
              </w:rPr>
              <w:t>n</w:t>
            </w:r>
            <w:r w:rsidR="00B70054">
              <w:rPr>
                <w:sz w:val="18"/>
                <w:szCs w:val="18"/>
                <w:lang w:val="es-ES_tradnl"/>
              </w:rPr>
              <w:t xml:space="preserve"> Belice, Guyana, </w:t>
            </w:r>
            <w:r w:rsidR="00C933BF">
              <w:rPr>
                <w:sz w:val="18"/>
                <w:szCs w:val="18"/>
                <w:lang w:val="es-ES_tradnl"/>
              </w:rPr>
              <w:t>Ecuador</w:t>
            </w:r>
            <w:r w:rsidR="00B70054">
              <w:rPr>
                <w:sz w:val="18"/>
                <w:szCs w:val="18"/>
                <w:lang w:val="es-ES_tradnl"/>
              </w:rPr>
              <w:t>. Un be</w:t>
            </w:r>
            <w:r w:rsidR="00C933BF">
              <w:rPr>
                <w:sz w:val="18"/>
                <w:szCs w:val="18"/>
                <w:lang w:val="es-ES_tradnl"/>
              </w:rPr>
              <w:t>neficio adicional</w:t>
            </w:r>
            <w:r w:rsidR="00AA521D">
              <w:rPr>
                <w:sz w:val="18"/>
                <w:szCs w:val="18"/>
                <w:lang w:val="es-ES_tradnl"/>
              </w:rPr>
              <w:t xml:space="preserve"> que favorece la sustentabilidad es que mediante la educación y </w:t>
            </w:r>
            <w:r w:rsidR="00C933BF">
              <w:rPr>
                <w:sz w:val="18"/>
                <w:szCs w:val="18"/>
                <w:lang w:val="es-ES_tradnl"/>
              </w:rPr>
              <w:t>colaboración</w:t>
            </w:r>
            <w:r w:rsidR="00AA521D">
              <w:rPr>
                <w:sz w:val="18"/>
                <w:szCs w:val="18"/>
                <w:lang w:val="es-ES_tradnl"/>
              </w:rPr>
              <w:t xml:space="preserve"> en la </w:t>
            </w:r>
            <w:r w:rsidR="00C933BF">
              <w:rPr>
                <w:sz w:val="18"/>
                <w:szCs w:val="18"/>
                <w:lang w:val="es-ES_tradnl"/>
              </w:rPr>
              <w:t>recuperación</w:t>
            </w:r>
            <w:r w:rsidR="00AA521D">
              <w:rPr>
                <w:sz w:val="18"/>
                <w:szCs w:val="18"/>
                <w:lang w:val="es-ES_tradnl"/>
              </w:rPr>
              <w:t xml:space="preserve"> se logra una </w:t>
            </w:r>
            <w:r w:rsidR="00C933BF">
              <w:rPr>
                <w:sz w:val="18"/>
                <w:szCs w:val="18"/>
                <w:lang w:val="es-ES_tradnl"/>
              </w:rPr>
              <w:t>mayor</w:t>
            </w:r>
            <w:r w:rsidR="00AA521D">
              <w:rPr>
                <w:sz w:val="18"/>
                <w:szCs w:val="18"/>
                <w:lang w:val="es-ES_tradnl"/>
              </w:rPr>
              <w:t xml:space="preserve"> integración </w:t>
            </w:r>
            <w:r w:rsidR="00E60230">
              <w:rPr>
                <w:sz w:val="18"/>
                <w:szCs w:val="18"/>
                <w:lang w:val="es-ES_tradnl"/>
              </w:rPr>
              <w:t>de</w:t>
            </w:r>
            <w:r w:rsidR="0089590A">
              <w:rPr>
                <w:sz w:val="18"/>
                <w:szCs w:val="18"/>
                <w:lang w:val="es-ES_tradnl"/>
              </w:rPr>
              <w:t xml:space="preserve"> la</w:t>
            </w:r>
            <w:r w:rsidR="00C933BF">
              <w:rPr>
                <w:sz w:val="18"/>
                <w:szCs w:val="18"/>
                <w:lang w:val="es-ES_tradnl"/>
              </w:rPr>
              <w:t xml:space="preserve"> población</w:t>
            </w:r>
            <w:r w:rsidR="00AA521D">
              <w:rPr>
                <w:sz w:val="18"/>
                <w:szCs w:val="18"/>
                <w:lang w:val="es-ES_tradnl"/>
              </w:rPr>
              <w:t xml:space="preserve"> </w:t>
            </w:r>
            <w:r w:rsidR="0089590A">
              <w:rPr>
                <w:sz w:val="18"/>
                <w:szCs w:val="18"/>
                <w:lang w:val="es-ES_tradnl"/>
              </w:rPr>
              <w:t>usuaria</w:t>
            </w:r>
            <w:r w:rsidR="00AA521D">
              <w:rPr>
                <w:sz w:val="18"/>
                <w:szCs w:val="18"/>
                <w:lang w:val="es-ES_tradnl"/>
              </w:rPr>
              <w:t xml:space="preserve"> del </w:t>
            </w:r>
            <w:r w:rsidR="0089590A">
              <w:rPr>
                <w:sz w:val="18"/>
                <w:szCs w:val="18"/>
                <w:lang w:val="es-ES_tradnl"/>
              </w:rPr>
              <w:t>sistema,</w:t>
            </w:r>
            <w:r w:rsidR="00AA521D">
              <w:rPr>
                <w:sz w:val="18"/>
                <w:szCs w:val="18"/>
                <w:lang w:val="es-ES_tradnl"/>
              </w:rPr>
              <w:t xml:space="preserve"> lo que </w:t>
            </w:r>
            <w:r w:rsidR="00E62F94">
              <w:rPr>
                <w:sz w:val="18"/>
                <w:szCs w:val="18"/>
                <w:lang w:val="es-ES_tradnl"/>
              </w:rPr>
              <w:t xml:space="preserve">redunda en un comportamiento proactivo a la logística </w:t>
            </w:r>
            <w:r w:rsidR="0089590A">
              <w:rPr>
                <w:sz w:val="18"/>
                <w:szCs w:val="18"/>
                <w:lang w:val="es-ES_tradnl"/>
              </w:rPr>
              <w:t>operacional</w:t>
            </w:r>
            <w:r w:rsidR="00E62F94">
              <w:rPr>
                <w:sz w:val="18"/>
                <w:szCs w:val="18"/>
                <w:lang w:val="es-ES_tradnl"/>
              </w:rPr>
              <w:t xml:space="preserve"> del mismo.</w:t>
            </w:r>
          </w:p>
          <w:p w14:paraId="3E8D735F" w14:textId="77777777" w:rsidR="003D3837" w:rsidRPr="00EC6C70" w:rsidRDefault="003D3837" w:rsidP="007C6EF9">
            <w:pPr>
              <w:pStyle w:val="Paragraph"/>
              <w:numPr>
                <w:ilvl w:val="0"/>
                <w:numId w:val="0"/>
              </w:numPr>
              <w:rPr>
                <w:sz w:val="18"/>
                <w:szCs w:val="18"/>
                <w:lang w:val="es-ES_tradnl"/>
              </w:rPr>
            </w:pPr>
          </w:p>
        </w:tc>
      </w:tr>
      <w:tr w:rsidR="006D5B9D" w:rsidRPr="00A772D5" w14:paraId="405E0615" w14:textId="77777777" w:rsidTr="00120449">
        <w:trPr>
          <w:jc w:val="center"/>
        </w:trPr>
        <w:tc>
          <w:tcPr>
            <w:tcW w:w="1968" w:type="dxa"/>
            <w:shd w:val="clear" w:color="auto" w:fill="auto"/>
          </w:tcPr>
          <w:p w14:paraId="50682029" w14:textId="77777777" w:rsidR="000F1306" w:rsidRPr="009876DD" w:rsidRDefault="000F1306" w:rsidP="000F1306">
            <w:pPr>
              <w:rPr>
                <w:b/>
                <w:bCs/>
                <w:sz w:val="18"/>
                <w:szCs w:val="18"/>
                <w:lang w:val="es-ES_tradnl"/>
              </w:rPr>
            </w:pPr>
            <w:r w:rsidRPr="009876DD">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4301" w:type="dxa"/>
            <w:shd w:val="clear" w:color="auto" w:fill="auto"/>
          </w:tcPr>
          <w:p w14:paraId="45A6A9F9" w14:textId="77777777" w:rsidR="000F1306" w:rsidRPr="009876DD" w:rsidRDefault="000F1306" w:rsidP="000F1306">
            <w:pPr>
              <w:rPr>
                <w:sz w:val="18"/>
                <w:szCs w:val="18"/>
                <w:lang w:val="es-ES_tradnl"/>
              </w:rPr>
            </w:pPr>
            <w:r w:rsidRPr="009876DD">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966" w:type="dxa"/>
            <w:shd w:val="clear" w:color="auto" w:fill="auto"/>
          </w:tcPr>
          <w:p w14:paraId="25D39092" w14:textId="421B261C" w:rsidR="000F1306" w:rsidRPr="00563D9C" w:rsidRDefault="00FD70F3" w:rsidP="00D06EBC">
            <w:pPr>
              <w:spacing w:before="120" w:after="120"/>
              <w:jc w:val="both"/>
              <w:rPr>
                <w:sz w:val="18"/>
                <w:szCs w:val="18"/>
                <w:highlight w:val="cyan"/>
                <w:lang w:val="es-ES_tradnl"/>
              </w:rPr>
            </w:pPr>
            <w:r w:rsidRPr="00FD70F3">
              <w:rPr>
                <w:sz w:val="18"/>
                <w:szCs w:val="18"/>
                <w:lang w:val="es-ES_tradnl"/>
              </w:rPr>
              <w:t>Ver Puntos A a G.</w:t>
            </w:r>
          </w:p>
        </w:tc>
      </w:tr>
      <w:tr w:rsidR="006D5B9D" w:rsidRPr="00DA4B41" w14:paraId="5F0CF32F" w14:textId="77777777" w:rsidTr="00120449">
        <w:trPr>
          <w:jc w:val="center"/>
        </w:trPr>
        <w:tc>
          <w:tcPr>
            <w:tcW w:w="1968" w:type="dxa"/>
            <w:shd w:val="clear" w:color="auto" w:fill="auto"/>
          </w:tcPr>
          <w:p w14:paraId="721C33AF" w14:textId="77777777" w:rsidR="000F1306" w:rsidRPr="009834A9" w:rsidRDefault="000F1306" w:rsidP="000F1306">
            <w:pPr>
              <w:ind w:left="330" w:hanging="150"/>
              <w:rPr>
                <w:b/>
                <w:bCs/>
                <w:i/>
                <w:sz w:val="18"/>
                <w:szCs w:val="18"/>
                <w:lang w:val="es-ES_tradnl"/>
              </w:rPr>
            </w:pPr>
            <w:r w:rsidRPr="009834A9">
              <w:rPr>
                <w:b/>
                <w:bCs/>
                <w:i/>
                <w:sz w:val="18"/>
                <w:szCs w:val="18"/>
                <w:lang w:val="es-ES_tradnl"/>
              </w:rPr>
              <w:t>A. Promover la integridad, la transparencia y la rendición de cuentas</w:t>
            </w:r>
          </w:p>
        </w:tc>
        <w:tc>
          <w:tcPr>
            <w:tcW w:w="4301" w:type="dxa"/>
            <w:shd w:val="clear" w:color="auto" w:fill="auto"/>
          </w:tcPr>
          <w:p w14:paraId="3EF7BB88" w14:textId="77777777" w:rsidR="000F1306" w:rsidRPr="009834A9" w:rsidRDefault="000F1306" w:rsidP="000F1306">
            <w:pPr>
              <w:rPr>
                <w:sz w:val="18"/>
                <w:szCs w:val="18"/>
                <w:lang w:val="es-ES_tradnl"/>
              </w:rPr>
            </w:pPr>
            <w:r w:rsidRPr="009834A9">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966" w:type="dxa"/>
            <w:shd w:val="clear" w:color="auto" w:fill="auto"/>
          </w:tcPr>
          <w:p w14:paraId="3FE8BFA5" w14:textId="4B239584" w:rsidR="0040228D" w:rsidRPr="009834A9" w:rsidRDefault="00B21898" w:rsidP="007C6EF9">
            <w:pPr>
              <w:spacing w:before="120" w:after="120"/>
              <w:jc w:val="both"/>
              <w:rPr>
                <w:sz w:val="18"/>
                <w:szCs w:val="18"/>
                <w:highlight w:val="cyan"/>
                <w:lang w:val="es-ES_tradnl"/>
              </w:rPr>
            </w:pPr>
            <w:r w:rsidRPr="007C6EF9">
              <w:rPr>
                <w:rFonts w:eastAsiaTheme="minorHAnsi"/>
                <w:color w:val="000000"/>
                <w:sz w:val="18"/>
                <w:szCs w:val="18"/>
                <w:lang w:val="es-ES_tradnl"/>
              </w:rPr>
              <w:t xml:space="preserve">Se ha </w:t>
            </w:r>
            <w:r w:rsidR="006D695C" w:rsidRPr="006D695C">
              <w:rPr>
                <w:rFonts w:eastAsiaTheme="minorHAnsi"/>
                <w:color w:val="000000"/>
                <w:sz w:val="18"/>
                <w:szCs w:val="18"/>
                <w:lang w:val="es-ES_tradnl"/>
              </w:rPr>
              <w:t>diseñado</w:t>
            </w:r>
            <w:r w:rsidRPr="007C6EF9">
              <w:rPr>
                <w:rFonts w:eastAsiaTheme="minorHAnsi"/>
                <w:color w:val="000000"/>
                <w:sz w:val="18"/>
                <w:szCs w:val="18"/>
                <w:lang w:val="es-ES_tradnl"/>
              </w:rPr>
              <w:t xml:space="preserve"> </w:t>
            </w:r>
            <w:r w:rsidR="006D695C" w:rsidRPr="006D695C">
              <w:rPr>
                <w:rFonts w:eastAsiaTheme="minorHAnsi"/>
                <w:color w:val="000000"/>
                <w:sz w:val="18"/>
                <w:szCs w:val="18"/>
                <w:lang w:val="es-ES_tradnl"/>
              </w:rPr>
              <w:t>un sistema</w:t>
            </w:r>
            <w:r w:rsidRPr="007C6EF9">
              <w:rPr>
                <w:rFonts w:eastAsiaTheme="minorHAnsi"/>
                <w:color w:val="000000"/>
                <w:sz w:val="18"/>
                <w:szCs w:val="18"/>
                <w:lang w:val="es-ES_tradnl"/>
              </w:rPr>
              <w:t xml:space="preserve"> </w:t>
            </w:r>
            <w:r w:rsidR="006D695C" w:rsidRPr="006D695C">
              <w:rPr>
                <w:rFonts w:eastAsiaTheme="minorHAnsi"/>
                <w:color w:val="000000"/>
                <w:sz w:val="18"/>
                <w:szCs w:val="18"/>
                <w:lang w:val="es-ES_tradnl"/>
              </w:rPr>
              <w:t>de manejo de</w:t>
            </w:r>
            <w:r w:rsidRPr="007C6EF9">
              <w:rPr>
                <w:rFonts w:eastAsiaTheme="minorHAnsi"/>
                <w:color w:val="000000"/>
                <w:sz w:val="18"/>
                <w:szCs w:val="18"/>
                <w:lang w:val="es-ES_tradnl"/>
              </w:rPr>
              <w:t xml:space="preserve"> </w:t>
            </w:r>
            <w:r w:rsidR="006D695C" w:rsidRPr="006D695C">
              <w:rPr>
                <w:rFonts w:eastAsiaTheme="minorHAnsi"/>
                <w:color w:val="000000"/>
                <w:sz w:val="18"/>
                <w:szCs w:val="18"/>
                <w:lang w:val="es-ES_tradnl"/>
              </w:rPr>
              <w:t>residuos</w:t>
            </w:r>
            <w:r w:rsidRPr="007C6EF9">
              <w:rPr>
                <w:rFonts w:eastAsiaTheme="minorHAnsi"/>
                <w:color w:val="000000"/>
                <w:sz w:val="18"/>
                <w:szCs w:val="18"/>
                <w:lang w:val="es-ES_tradnl"/>
              </w:rPr>
              <w:t xml:space="preserve"> </w:t>
            </w:r>
            <w:r w:rsidR="00AC3680" w:rsidRPr="007C6EF9">
              <w:rPr>
                <w:rFonts w:eastAsiaTheme="minorHAnsi"/>
                <w:color w:val="000000"/>
                <w:sz w:val="18"/>
                <w:szCs w:val="18"/>
                <w:lang w:val="es-ES_tradnl"/>
              </w:rPr>
              <w:t xml:space="preserve">que es </w:t>
            </w:r>
            <w:r w:rsidR="00EE4F05" w:rsidRPr="007C6EF9">
              <w:rPr>
                <w:rFonts w:eastAsiaTheme="minorHAnsi"/>
                <w:color w:val="000000"/>
                <w:sz w:val="18"/>
                <w:szCs w:val="18"/>
                <w:lang w:val="es-ES_tradnl"/>
              </w:rPr>
              <w:t xml:space="preserve">de </w:t>
            </w:r>
            <w:r w:rsidR="006D695C" w:rsidRPr="006D695C">
              <w:rPr>
                <w:rFonts w:eastAsiaTheme="minorHAnsi"/>
                <w:color w:val="000000"/>
                <w:sz w:val="18"/>
                <w:szCs w:val="18"/>
                <w:lang w:val="es-ES_tradnl"/>
              </w:rPr>
              <w:t xml:space="preserve">un </w:t>
            </w:r>
            <w:r w:rsidR="00E9074B">
              <w:rPr>
                <w:rFonts w:eastAsiaTheme="minorHAnsi"/>
                <w:color w:val="000000"/>
                <w:sz w:val="18"/>
                <w:szCs w:val="18"/>
                <w:lang w:val="es-ES_tradnl"/>
              </w:rPr>
              <w:t>costo</w:t>
            </w:r>
            <w:r w:rsidR="006D695C" w:rsidRPr="006D695C">
              <w:rPr>
                <w:rFonts w:eastAsiaTheme="minorHAnsi"/>
                <w:color w:val="000000"/>
                <w:sz w:val="18"/>
                <w:szCs w:val="18"/>
                <w:lang w:val="es-ES_tradnl"/>
              </w:rPr>
              <w:t xml:space="preserve"> promedio</w:t>
            </w:r>
            <w:r w:rsidR="00EE4F05" w:rsidRPr="007C6EF9">
              <w:rPr>
                <w:rFonts w:eastAsiaTheme="minorHAnsi"/>
                <w:color w:val="000000"/>
                <w:sz w:val="18"/>
                <w:szCs w:val="18"/>
                <w:lang w:val="es-ES_tradnl"/>
              </w:rPr>
              <w:t xml:space="preserve"> a la media Latino</w:t>
            </w:r>
            <w:r w:rsidR="00C57409">
              <w:rPr>
                <w:rFonts w:eastAsiaTheme="minorHAnsi"/>
                <w:color w:val="000000"/>
                <w:sz w:val="18"/>
                <w:szCs w:val="18"/>
                <w:lang w:val="es-ES_tradnl"/>
              </w:rPr>
              <w:t>a</w:t>
            </w:r>
            <w:r w:rsidR="00EE4F05" w:rsidRPr="007C6EF9">
              <w:rPr>
                <w:rFonts w:eastAsiaTheme="minorHAnsi"/>
                <w:color w:val="000000"/>
                <w:sz w:val="18"/>
                <w:szCs w:val="18"/>
                <w:lang w:val="es-ES_tradnl"/>
              </w:rPr>
              <w:t>mericana</w:t>
            </w:r>
            <w:r w:rsidR="00E9074B">
              <w:rPr>
                <w:rFonts w:eastAsiaTheme="minorHAnsi"/>
                <w:color w:val="000000"/>
                <w:sz w:val="18"/>
                <w:szCs w:val="18"/>
                <w:lang w:val="es-ES_tradnl"/>
              </w:rPr>
              <w:t xml:space="preserve"> y </w:t>
            </w:r>
            <w:r w:rsidR="00C57409">
              <w:rPr>
                <w:rFonts w:eastAsiaTheme="minorHAnsi"/>
                <w:color w:val="000000"/>
                <w:sz w:val="18"/>
                <w:szCs w:val="18"/>
                <w:lang w:val="es-ES_tradnl"/>
              </w:rPr>
              <w:t xml:space="preserve">del </w:t>
            </w:r>
            <w:r w:rsidR="00E9074B">
              <w:rPr>
                <w:rFonts w:eastAsiaTheme="minorHAnsi"/>
                <w:color w:val="000000"/>
                <w:sz w:val="18"/>
                <w:szCs w:val="18"/>
                <w:lang w:val="es-ES_tradnl"/>
              </w:rPr>
              <w:t>Caribe</w:t>
            </w:r>
            <w:r w:rsidR="00EE4F05" w:rsidRPr="007C6EF9">
              <w:rPr>
                <w:rFonts w:eastAsiaTheme="minorHAnsi"/>
                <w:color w:val="000000"/>
                <w:sz w:val="18"/>
                <w:szCs w:val="18"/>
                <w:lang w:val="es-ES_tradnl"/>
              </w:rPr>
              <w:t xml:space="preserve">. Las </w:t>
            </w:r>
            <w:r w:rsidR="006D695C" w:rsidRPr="006D695C">
              <w:rPr>
                <w:rFonts w:eastAsiaTheme="minorHAnsi"/>
                <w:color w:val="000000"/>
                <w:sz w:val="18"/>
                <w:szCs w:val="18"/>
                <w:lang w:val="es-ES_tradnl"/>
              </w:rPr>
              <w:t>tecnologías</w:t>
            </w:r>
            <w:r w:rsidR="00EE4F05" w:rsidRPr="007C6EF9">
              <w:rPr>
                <w:rFonts w:eastAsiaTheme="minorHAnsi"/>
                <w:color w:val="000000"/>
                <w:sz w:val="18"/>
                <w:szCs w:val="18"/>
                <w:lang w:val="es-ES_tradnl"/>
              </w:rPr>
              <w:t xml:space="preserve"> incluidas so</w:t>
            </w:r>
            <w:r w:rsidR="004D5C61" w:rsidRPr="007C6EF9">
              <w:rPr>
                <w:rFonts w:eastAsiaTheme="minorHAnsi"/>
                <w:color w:val="000000"/>
                <w:sz w:val="18"/>
                <w:szCs w:val="18"/>
                <w:lang w:val="es-ES_tradnl"/>
              </w:rPr>
              <w:t xml:space="preserve">n </w:t>
            </w:r>
            <w:r w:rsidR="006D695C" w:rsidRPr="006D695C">
              <w:rPr>
                <w:rFonts w:eastAsiaTheme="minorHAnsi"/>
                <w:color w:val="000000"/>
                <w:sz w:val="18"/>
                <w:szCs w:val="18"/>
                <w:lang w:val="es-ES_tradnl"/>
              </w:rPr>
              <w:t>usualmente</w:t>
            </w:r>
            <w:r w:rsidR="004D5C61" w:rsidRPr="007C6EF9">
              <w:rPr>
                <w:rFonts w:eastAsiaTheme="minorHAnsi"/>
                <w:color w:val="000000"/>
                <w:sz w:val="18"/>
                <w:szCs w:val="18"/>
                <w:lang w:val="es-ES_tradnl"/>
              </w:rPr>
              <w:t xml:space="preserve"> las de menor costo en sus </w:t>
            </w:r>
            <w:r w:rsidR="006C4BC5">
              <w:rPr>
                <w:rFonts w:eastAsiaTheme="minorHAnsi"/>
                <w:color w:val="000000"/>
                <w:sz w:val="18"/>
                <w:szCs w:val="18"/>
                <w:lang w:val="es-ES_tradnl"/>
              </w:rPr>
              <w:t xml:space="preserve">respectivas etapas del </w:t>
            </w:r>
            <w:r w:rsidR="00F809C1">
              <w:rPr>
                <w:rFonts w:eastAsiaTheme="minorHAnsi"/>
                <w:color w:val="000000"/>
                <w:sz w:val="18"/>
                <w:szCs w:val="18"/>
                <w:lang w:val="es-ES_tradnl"/>
              </w:rPr>
              <w:t>sistema de gestión de residuos</w:t>
            </w:r>
            <w:r w:rsidR="00E9074B">
              <w:rPr>
                <w:rFonts w:eastAsiaTheme="minorHAnsi"/>
                <w:color w:val="000000"/>
                <w:sz w:val="18"/>
                <w:szCs w:val="18"/>
                <w:lang w:val="es-ES_tradnl"/>
              </w:rPr>
              <w:t xml:space="preserve"> en la realidad regional</w:t>
            </w:r>
            <w:r w:rsidR="00F809C1">
              <w:rPr>
                <w:rFonts w:eastAsiaTheme="minorHAnsi"/>
                <w:color w:val="000000"/>
                <w:sz w:val="18"/>
                <w:szCs w:val="18"/>
                <w:lang w:val="es-ES_tradnl"/>
              </w:rPr>
              <w:t xml:space="preserve">. </w:t>
            </w:r>
            <w:r w:rsidR="006D695C">
              <w:rPr>
                <w:rFonts w:eastAsiaTheme="minorHAnsi"/>
                <w:color w:val="000000"/>
                <w:sz w:val="18"/>
                <w:szCs w:val="18"/>
                <w:lang w:val="es-ES_tradnl"/>
              </w:rPr>
              <w:t>Adicionalmente</w:t>
            </w:r>
            <w:r w:rsidR="00F809C1">
              <w:rPr>
                <w:rFonts w:eastAsiaTheme="minorHAnsi"/>
                <w:color w:val="000000"/>
                <w:sz w:val="18"/>
                <w:szCs w:val="18"/>
                <w:lang w:val="es-ES_tradnl"/>
              </w:rPr>
              <w:t xml:space="preserve"> el piloto GIDE </w:t>
            </w:r>
            <w:r w:rsidR="006D695C">
              <w:rPr>
                <w:rFonts w:eastAsiaTheme="minorHAnsi"/>
                <w:color w:val="000000"/>
                <w:sz w:val="18"/>
                <w:szCs w:val="18"/>
                <w:lang w:val="es-ES_tradnl"/>
              </w:rPr>
              <w:t>generará</w:t>
            </w:r>
            <w:r w:rsidR="00AE060F">
              <w:rPr>
                <w:rFonts w:eastAsiaTheme="minorHAnsi"/>
                <w:color w:val="000000"/>
                <w:sz w:val="18"/>
                <w:szCs w:val="18"/>
                <w:lang w:val="es-ES_tradnl"/>
              </w:rPr>
              <w:t xml:space="preserve"> información que </w:t>
            </w:r>
            <w:r w:rsidR="006D695C">
              <w:rPr>
                <w:rFonts w:eastAsiaTheme="minorHAnsi"/>
                <w:color w:val="000000"/>
                <w:sz w:val="18"/>
                <w:szCs w:val="18"/>
                <w:lang w:val="es-ES_tradnl"/>
              </w:rPr>
              <w:t>permit</w:t>
            </w:r>
            <w:r w:rsidR="00E9074B">
              <w:rPr>
                <w:rFonts w:eastAsiaTheme="minorHAnsi"/>
                <w:color w:val="000000"/>
                <w:sz w:val="18"/>
                <w:szCs w:val="18"/>
                <w:lang w:val="es-ES_tradnl"/>
              </w:rPr>
              <w:t>irá</w:t>
            </w:r>
            <w:r w:rsidR="00AE060F">
              <w:rPr>
                <w:rFonts w:eastAsiaTheme="minorHAnsi"/>
                <w:color w:val="000000"/>
                <w:sz w:val="18"/>
                <w:szCs w:val="18"/>
                <w:lang w:val="es-ES_tradnl"/>
              </w:rPr>
              <w:t xml:space="preserve"> </w:t>
            </w:r>
            <w:r w:rsidR="006D695C">
              <w:rPr>
                <w:rFonts w:eastAsiaTheme="minorHAnsi"/>
                <w:color w:val="000000"/>
                <w:sz w:val="18"/>
                <w:szCs w:val="18"/>
                <w:lang w:val="es-ES_tradnl"/>
              </w:rPr>
              <w:t>durante el</w:t>
            </w:r>
            <w:r w:rsidR="00AE060F">
              <w:rPr>
                <w:rFonts w:eastAsiaTheme="minorHAnsi"/>
                <w:color w:val="000000"/>
                <w:sz w:val="18"/>
                <w:szCs w:val="18"/>
                <w:lang w:val="es-ES_tradnl"/>
              </w:rPr>
              <w:t xml:space="preserve"> avance de la operación contar </w:t>
            </w:r>
            <w:r w:rsidR="007C6EF9">
              <w:rPr>
                <w:rFonts w:eastAsiaTheme="minorHAnsi"/>
                <w:color w:val="000000"/>
                <w:sz w:val="18"/>
                <w:szCs w:val="18"/>
                <w:lang w:val="es-ES_tradnl"/>
              </w:rPr>
              <w:t xml:space="preserve">con </w:t>
            </w:r>
            <w:r w:rsidR="00AE060F">
              <w:rPr>
                <w:rFonts w:eastAsiaTheme="minorHAnsi"/>
                <w:color w:val="000000"/>
                <w:sz w:val="18"/>
                <w:szCs w:val="18"/>
                <w:lang w:val="es-ES_tradnl"/>
              </w:rPr>
              <w:t xml:space="preserve">información </w:t>
            </w:r>
            <w:r w:rsidR="007C6EF9">
              <w:rPr>
                <w:rFonts w:eastAsiaTheme="minorHAnsi"/>
                <w:color w:val="000000"/>
                <w:sz w:val="18"/>
                <w:szCs w:val="18"/>
                <w:lang w:val="es-ES_tradnl"/>
              </w:rPr>
              <w:t xml:space="preserve">adicional </w:t>
            </w:r>
            <w:r w:rsidR="00AE060F">
              <w:rPr>
                <w:rFonts w:eastAsiaTheme="minorHAnsi"/>
                <w:color w:val="000000"/>
                <w:sz w:val="18"/>
                <w:szCs w:val="18"/>
                <w:lang w:val="es-ES_tradnl"/>
              </w:rPr>
              <w:t xml:space="preserve">que </w:t>
            </w:r>
            <w:r w:rsidR="006D695C">
              <w:rPr>
                <w:rFonts w:eastAsiaTheme="minorHAnsi"/>
                <w:color w:val="000000"/>
                <w:sz w:val="18"/>
                <w:szCs w:val="18"/>
                <w:lang w:val="es-ES_tradnl"/>
              </w:rPr>
              <w:t>posibilitará</w:t>
            </w:r>
            <w:r w:rsidR="00AE060F">
              <w:rPr>
                <w:rFonts w:eastAsiaTheme="minorHAnsi"/>
                <w:color w:val="000000"/>
                <w:sz w:val="18"/>
                <w:szCs w:val="18"/>
                <w:lang w:val="es-ES_tradnl"/>
              </w:rPr>
              <w:t xml:space="preserve"> revisar y maximi</w:t>
            </w:r>
            <w:r w:rsidR="00463938">
              <w:rPr>
                <w:rFonts w:eastAsiaTheme="minorHAnsi"/>
                <w:color w:val="000000"/>
                <w:sz w:val="18"/>
                <w:szCs w:val="18"/>
                <w:lang w:val="es-ES_tradnl"/>
              </w:rPr>
              <w:t xml:space="preserve">zar las opciones de </w:t>
            </w:r>
            <w:r w:rsidR="006D695C">
              <w:rPr>
                <w:rFonts w:eastAsiaTheme="minorHAnsi"/>
                <w:color w:val="000000"/>
                <w:sz w:val="18"/>
                <w:szCs w:val="18"/>
                <w:lang w:val="es-ES_tradnl"/>
              </w:rPr>
              <w:t>sostenibilidad</w:t>
            </w:r>
            <w:r w:rsidR="00463938">
              <w:rPr>
                <w:rFonts w:eastAsiaTheme="minorHAnsi"/>
                <w:color w:val="000000"/>
                <w:sz w:val="18"/>
                <w:szCs w:val="18"/>
                <w:lang w:val="es-ES_tradnl"/>
              </w:rPr>
              <w:t xml:space="preserve"> del sistema, en especial en lo que se refiere </w:t>
            </w:r>
            <w:r w:rsidR="006D695C">
              <w:rPr>
                <w:rFonts w:eastAsiaTheme="minorHAnsi"/>
                <w:color w:val="000000"/>
                <w:sz w:val="18"/>
                <w:szCs w:val="18"/>
                <w:lang w:val="es-ES_tradnl"/>
              </w:rPr>
              <w:t>en la</w:t>
            </w:r>
            <w:r w:rsidR="00463938">
              <w:rPr>
                <w:rFonts w:eastAsiaTheme="minorHAnsi"/>
                <w:color w:val="000000"/>
                <w:sz w:val="18"/>
                <w:szCs w:val="18"/>
                <w:lang w:val="es-ES_tradnl"/>
              </w:rPr>
              <w:t xml:space="preserve"> parte </w:t>
            </w:r>
            <w:r w:rsidR="006D695C">
              <w:rPr>
                <w:rFonts w:eastAsiaTheme="minorHAnsi"/>
                <w:color w:val="000000"/>
                <w:sz w:val="18"/>
                <w:szCs w:val="18"/>
                <w:lang w:val="es-ES_tradnl"/>
              </w:rPr>
              <w:t>de valorización</w:t>
            </w:r>
            <w:r w:rsidR="00463938">
              <w:rPr>
                <w:rFonts w:eastAsiaTheme="minorHAnsi"/>
                <w:color w:val="000000"/>
                <w:sz w:val="18"/>
                <w:szCs w:val="18"/>
                <w:lang w:val="es-ES_tradnl"/>
              </w:rPr>
              <w:t xml:space="preserve"> de residuos.</w:t>
            </w:r>
          </w:p>
        </w:tc>
      </w:tr>
      <w:tr w:rsidR="006D5B9D" w:rsidRPr="00DA4B41" w14:paraId="525AC0BA" w14:textId="77777777" w:rsidTr="00120449">
        <w:trPr>
          <w:jc w:val="center"/>
        </w:trPr>
        <w:tc>
          <w:tcPr>
            <w:tcW w:w="1968" w:type="dxa"/>
            <w:shd w:val="clear" w:color="auto" w:fill="auto"/>
          </w:tcPr>
          <w:p w14:paraId="0EDA2E8A" w14:textId="77777777" w:rsidR="000F1306" w:rsidRPr="009876DD" w:rsidRDefault="000F1306" w:rsidP="000F1306">
            <w:pPr>
              <w:ind w:left="330" w:hanging="150"/>
              <w:rPr>
                <w:b/>
                <w:bCs/>
                <w:i/>
                <w:sz w:val="18"/>
                <w:szCs w:val="18"/>
                <w:lang w:val="es-ES_tradnl"/>
              </w:rPr>
            </w:pPr>
            <w:r w:rsidRPr="009876DD">
              <w:rPr>
                <w:b/>
                <w:bCs/>
                <w:i/>
                <w:sz w:val="18"/>
                <w:szCs w:val="18"/>
                <w:lang w:val="es-ES_tradnl"/>
              </w:rPr>
              <w:t>B. Analizar las características e impactos de los subsidios</w:t>
            </w:r>
          </w:p>
        </w:tc>
        <w:tc>
          <w:tcPr>
            <w:tcW w:w="4301" w:type="dxa"/>
            <w:shd w:val="clear" w:color="auto" w:fill="auto"/>
          </w:tcPr>
          <w:p w14:paraId="63381D27" w14:textId="77777777" w:rsidR="000F1306" w:rsidRPr="009876DD" w:rsidRDefault="000F1306" w:rsidP="00923B34">
            <w:pPr>
              <w:jc w:val="both"/>
              <w:rPr>
                <w:sz w:val="18"/>
                <w:szCs w:val="18"/>
                <w:lang w:val="es-ES_tradnl"/>
              </w:rPr>
            </w:pPr>
            <w:r w:rsidRPr="009876DD">
              <w:rPr>
                <w:sz w:val="18"/>
                <w:szCs w:val="18"/>
                <w:lang w:val="es-ES_tradnl"/>
              </w:rPr>
              <w:t xml:space="preserve">La operación y financiamiento de los servicios debería lograr la recuperación de costos de prestación en condiciones de eficiencia mediante tarifas a los usuarios. Sin embargo, </w:t>
            </w:r>
            <w:r w:rsidRPr="009876DD">
              <w:rPr>
                <w:sz w:val="18"/>
                <w:szCs w:val="18"/>
                <w:lang w:val="es-ES_tradnl"/>
              </w:rPr>
              <w:lastRenderedPageBreak/>
              <w:t>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966" w:type="dxa"/>
            <w:shd w:val="clear" w:color="auto" w:fill="auto"/>
          </w:tcPr>
          <w:p w14:paraId="5D06556A" w14:textId="77777777" w:rsidR="00FD70F3" w:rsidRPr="00FD70F3" w:rsidRDefault="00FD70F3" w:rsidP="00FD70F3">
            <w:pPr>
              <w:spacing w:before="120" w:after="120"/>
              <w:jc w:val="both"/>
              <w:rPr>
                <w:rFonts w:eastAsiaTheme="minorHAnsi"/>
                <w:color w:val="000000"/>
                <w:sz w:val="18"/>
                <w:szCs w:val="18"/>
                <w:lang w:val="es-ES_tradnl"/>
              </w:rPr>
            </w:pPr>
            <w:r w:rsidRPr="00FD70F3">
              <w:rPr>
                <w:rFonts w:eastAsiaTheme="minorHAnsi"/>
                <w:color w:val="000000"/>
                <w:sz w:val="18"/>
                <w:szCs w:val="18"/>
                <w:lang w:val="es-ES_tradnl"/>
              </w:rPr>
              <w:lastRenderedPageBreak/>
              <w:t xml:space="preserve">El análisis financiero del proyecto contempló la determinación de los costos de operación y mantenimiento de la infraestructura, determinado los ingresos </w:t>
            </w:r>
            <w:r w:rsidRPr="00FD70F3">
              <w:rPr>
                <w:rFonts w:eastAsiaTheme="minorHAnsi"/>
                <w:color w:val="000000"/>
                <w:sz w:val="18"/>
                <w:szCs w:val="18"/>
                <w:lang w:val="es-ES_tradnl"/>
              </w:rPr>
              <w:lastRenderedPageBreak/>
              <w:t xml:space="preserve">necesarios para garantizar la sostenibilidad financiera aplicando el mecanismo de recuperación de costos de operación y mantenimiento. </w:t>
            </w:r>
          </w:p>
          <w:p w14:paraId="5707B7CC" w14:textId="77777777" w:rsidR="00FD70F3" w:rsidRPr="00FD70F3" w:rsidRDefault="00FD70F3" w:rsidP="00FD70F3">
            <w:pPr>
              <w:spacing w:before="120" w:after="120"/>
              <w:jc w:val="both"/>
              <w:rPr>
                <w:rFonts w:eastAsiaTheme="minorHAnsi"/>
                <w:color w:val="000000"/>
                <w:sz w:val="18"/>
                <w:szCs w:val="18"/>
                <w:lang w:val="es-ES_tradnl"/>
              </w:rPr>
            </w:pPr>
            <w:r w:rsidRPr="00FD70F3">
              <w:rPr>
                <w:rFonts w:eastAsiaTheme="minorHAnsi"/>
                <w:color w:val="000000"/>
                <w:sz w:val="18"/>
                <w:szCs w:val="18"/>
                <w:lang w:val="es-ES_tradnl"/>
              </w:rPr>
              <w:t>El gobierno se ha comprometido a cubrir dichos costos durante los primeros años del proyecto en tanto se consolida el ente institucional que se hará responsable de la gestión de los servicios. Los recursos aportados por el gobierno se harán de manera transparente a través del presupuesto nacional.</w:t>
            </w:r>
          </w:p>
          <w:p w14:paraId="300BDE45" w14:textId="3418D22D" w:rsidR="00D67072" w:rsidRPr="00D06EBC" w:rsidRDefault="00FD70F3" w:rsidP="00FD70F3">
            <w:pPr>
              <w:jc w:val="both"/>
              <w:rPr>
                <w:rFonts w:eastAsiaTheme="minorHAnsi"/>
                <w:color w:val="000000"/>
                <w:sz w:val="18"/>
                <w:szCs w:val="18"/>
                <w:lang w:val="es-ES_tradnl"/>
              </w:rPr>
            </w:pPr>
            <w:r w:rsidRPr="00FD70F3">
              <w:rPr>
                <w:rFonts w:eastAsiaTheme="minorHAnsi"/>
                <w:color w:val="000000"/>
                <w:sz w:val="18"/>
                <w:szCs w:val="18"/>
                <w:lang w:val="es-ES_tradnl"/>
              </w:rPr>
              <w:t xml:space="preserve">El proyecto contempla la conformación de una Sociedad Anónima Mixta (SAM) que contará con autonomía técnica y financiera y que será la responsable de la gestión de los servicios, incluyendo el cobro de tarifas y el </w:t>
            </w:r>
            <w:r w:rsidRPr="00D75056">
              <w:rPr>
                <w:rFonts w:eastAsiaTheme="minorHAnsi"/>
                <w:color w:val="000000"/>
                <w:sz w:val="18"/>
                <w:szCs w:val="18"/>
                <w:lang w:val="es-ES_tradnl"/>
              </w:rPr>
              <w:t xml:space="preserve">manejo de los recursos. La SAM tendrá un </w:t>
            </w:r>
            <w:r w:rsidR="0074200E" w:rsidRPr="00D75056">
              <w:rPr>
                <w:rFonts w:eastAsiaTheme="minorHAnsi"/>
                <w:color w:val="000000"/>
                <w:sz w:val="18"/>
                <w:szCs w:val="18"/>
                <w:lang w:val="es-ES_tradnl"/>
              </w:rPr>
              <w:t>plan de negocio</w:t>
            </w:r>
            <w:r w:rsidRPr="00D75056">
              <w:rPr>
                <w:rFonts w:eastAsiaTheme="minorHAnsi"/>
                <w:color w:val="000000"/>
                <w:sz w:val="18"/>
                <w:szCs w:val="18"/>
                <w:lang w:val="es-ES_tradnl"/>
              </w:rPr>
              <w:t xml:space="preserve"> de negocios y contará con una estructura</w:t>
            </w:r>
            <w:r w:rsidRPr="00FD70F3">
              <w:rPr>
                <w:rFonts w:eastAsiaTheme="minorHAnsi"/>
                <w:color w:val="000000"/>
                <w:sz w:val="18"/>
                <w:szCs w:val="18"/>
                <w:lang w:val="es-ES_tradnl"/>
              </w:rPr>
              <w:t xml:space="preserve"> tarifaria. Está tendrá una tarifa doméstica para que los usuarios vayan cubriendo a parte de los costos del servicio, pero contando con tarifas sociales para considerar a los hogares con menores recursos. También se diseñarán mecanismos para que otros clientes financien parte de la infraestructura mediante subsidios cruzados lo que irá reduciendo poco a poco el aporte del gobierno. Asimismo, se irán generando los recursos para la reposición de la infraestructura.</w:t>
            </w:r>
          </w:p>
        </w:tc>
      </w:tr>
      <w:tr w:rsidR="006D5B9D" w:rsidRPr="00DA4B41" w14:paraId="36D41298" w14:textId="77777777" w:rsidTr="00120449">
        <w:trPr>
          <w:jc w:val="center"/>
        </w:trPr>
        <w:tc>
          <w:tcPr>
            <w:tcW w:w="1968" w:type="dxa"/>
            <w:shd w:val="clear" w:color="auto" w:fill="auto"/>
          </w:tcPr>
          <w:p w14:paraId="7EA07A3B" w14:textId="77777777" w:rsidR="000F1306" w:rsidRPr="009876DD" w:rsidRDefault="000F1306" w:rsidP="000F1306">
            <w:pPr>
              <w:ind w:left="330" w:hanging="150"/>
              <w:rPr>
                <w:i/>
                <w:sz w:val="18"/>
                <w:szCs w:val="18"/>
                <w:lang w:val="es-ES_tradnl"/>
              </w:rPr>
            </w:pPr>
            <w:r w:rsidRPr="009876DD">
              <w:rPr>
                <w:b/>
                <w:bCs/>
                <w:i/>
                <w:sz w:val="18"/>
                <w:szCs w:val="18"/>
                <w:lang w:val="es-ES_tradnl"/>
              </w:rPr>
              <w:lastRenderedPageBreak/>
              <w:t>C. Separación de Funciones para mejorar la gobernanza sectorial</w:t>
            </w:r>
          </w:p>
        </w:tc>
        <w:tc>
          <w:tcPr>
            <w:tcW w:w="4301" w:type="dxa"/>
            <w:shd w:val="clear" w:color="auto" w:fill="auto"/>
          </w:tcPr>
          <w:p w14:paraId="6D7E2164" w14:textId="77777777" w:rsidR="000F1306" w:rsidRPr="009876DD" w:rsidRDefault="000F1306" w:rsidP="000F1306">
            <w:pPr>
              <w:rPr>
                <w:sz w:val="18"/>
                <w:szCs w:val="18"/>
                <w:lang w:val="es-ES_tradnl"/>
              </w:rPr>
            </w:pPr>
            <w:r w:rsidRPr="009876DD">
              <w:rPr>
                <w:sz w:val="18"/>
                <w:szCs w:val="18"/>
                <w:lang w:val="es-ES_tradnl"/>
              </w:rPr>
              <w:t xml:space="preserve">Deben separarse las funciones de </w:t>
            </w:r>
            <w:r w:rsidRPr="009876DD">
              <w:rPr>
                <w:b/>
                <w:bCs/>
                <w:sz w:val="18"/>
                <w:szCs w:val="18"/>
                <w:lang w:val="es-ES_tradnl"/>
              </w:rPr>
              <w:t>formulador de políticas, regulador</w:t>
            </w:r>
            <w:r w:rsidRPr="009876DD">
              <w:rPr>
                <w:sz w:val="18"/>
                <w:szCs w:val="18"/>
                <w:lang w:val="es-ES_tradnl"/>
              </w:rPr>
              <w:t xml:space="preserve"> y </w:t>
            </w:r>
            <w:r w:rsidRPr="009876DD">
              <w:rPr>
                <w:b/>
                <w:bCs/>
                <w:sz w:val="18"/>
                <w:szCs w:val="18"/>
                <w:lang w:val="es-ES_tradnl"/>
              </w:rPr>
              <w:t>empresario</w:t>
            </w:r>
            <w:r w:rsidRPr="009876DD">
              <w:rPr>
                <w:sz w:val="18"/>
                <w:szCs w:val="18"/>
                <w:lang w:val="es-ES_tradnl"/>
              </w:rPr>
              <w:t xml:space="preserve"> y asignarse a instituciones distintas y apropiadas. De esta manera, las autoridades conservarán la responsabilidad de </w:t>
            </w:r>
            <w:r w:rsidRPr="009876DD">
              <w:rPr>
                <w:b/>
                <w:bCs/>
                <w:sz w:val="18"/>
                <w:szCs w:val="18"/>
                <w:lang w:val="es-ES_tradnl"/>
              </w:rPr>
              <w:t>formular la política</w:t>
            </w:r>
            <w:r w:rsidRPr="009876DD">
              <w:rPr>
                <w:sz w:val="18"/>
                <w:szCs w:val="18"/>
                <w:lang w:val="es-ES_tradnl"/>
              </w:rPr>
              <w:t xml:space="preserve">, un ente público separado dictará el </w:t>
            </w:r>
            <w:r w:rsidRPr="009876DD">
              <w:rPr>
                <w:b/>
                <w:bCs/>
                <w:sz w:val="18"/>
                <w:szCs w:val="18"/>
                <w:lang w:val="es-ES_tradnl"/>
              </w:rPr>
              <w:t>régimen reglamentario</w:t>
            </w:r>
            <w:r w:rsidRPr="009876DD">
              <w:rPr>
                <w:sz w:val="18"/>
                <w:szCs w:val="18"/>
                <w:lang w:val="es-ES_tradnl"/>
              </w:rPr>
              <w:t xml:space="preserve"> y se asignará al proveedor del servicio una función exclusivamente </w:t>
            </w:r>
            <w:r w:rsidRPr="009876DD">
              <w:rPr>
                <w:b/>
                <w:bCs/>
                <w:sz w:val="18"/>
                <w:szCs w:val="18"/>
                <w:lang w:val="es-ES_tradnl"/>
              </w:rPr>
              <w:t>empresarial</w:t>
            </w:r>
            <w:r w:rsidRPr="009876DD">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9876DD">
              <w:rPr>
                <w:lang w:val="es-ES"/>
              </w:rPr>
              <w:t xml:space="preserve"> </w:t>
            </w:r>
            <w:r w:rsidRPr="009876DD">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w:t>
            </w:r>
            <w:r w:rsidRPr="009876DD">
              <w:rPr>
                <w:sz w:val="18"/>
                <w:szCs w:val="18"/>
                <w:lang w:val="es-ES_tradnl"/>
              </w:rPr>
              <w:lastRenderedPageBreak/>
              <w:t xml:space="preserve">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966" w:type="dxa"/>
            <w:shd w:val="clear" w:color="auto" w:fill="auto"/>
          </w:tcPr>
          <w:p w14:paraId="3E42B8DF" w14:textId="52A7F1F4" w:rsidR="00882D30" w:rsidRDefault="00FD70F3" w:rsidP="003B307F">
            <w:pPr>
              <w:spacing w:before="120" w:after="120"/>
              <w:jc w:val="both"/>
              <w:rPr>
                <w:sz w:val="18"/>
                <w:szCs w:val="23"/>
                <w:lang w:val="es-ES_tradnl"/>
              </w:rPr>
            </w:pPr>
            <w:r>
              <w:rPr>
                <w:sz w:val="18"/>
                <w:szCs w:val="23"/>
                <w:lang w:val="es-ES_tradnl"/>
              </w:rPr>
              <w:lastRenderedPageBreak/>
              <w:t xml:space="preserve">La nueva Ley para la Gestión de los Residuos Sólidos establece un nuevo marco de gobernanza para el subsector, donde </w:t>
            </w:r>
            <w:r w:rsidR="007B4147">
              <w:rPr>
                <w:sz w:val="18"/>
                <w:szCs w:val="23"/>
                <w:lang w:val="es-ES_tradnl"/>
              </w:rPr>
              <w:t>se le da</w:t>
            </w:r>
            <w:r>
              <w:rPr>
                <w:sz w:val="18"/>
                <w:szCs w:val="23"/>
                <w:lang w:val="es-ES_tradnl"/>
              </w:rPr>
              <w:t xml:space="preserve"> la rectoría al Ministerio del Medio Ambiente para que este defina la normativa en materia de recolección, transporte, disposición y aprovechamiento de los </w:t>
            </w:r>
            <w:r w:rsidR="007B4147">
              <w:rPr>
                <w:sz w:val="18"/>
                <w:szCs w:val="23"/>
                <w:lang w:val="es-ES_tradnl"/>
              </w:rPr>
              <w:t>residuos sólidos</w:t>
            </w:r>
            <w:r>
              <w:rPr>
                <w:sz w:val="18"/>
                <w:szCs w:val="23"/>
                <w:lang w:val="es-ES_tradnl"/>
              </w:rPr>
              <w:t>. Asimismo, crea el Servicio Nacional para la Gestión de los Residuos Sólidos (SNCRS), quien en coordinación con las Colectividades Territoriales es la responsable de la prestación de</w:t>
            </w:r>
            <w:r w:rsidR="007B4147">
              <w:rPr>
                <w:sz w:val="18"/>
                <w:szCs w:val="23"/>
                <w:lang w:val="es-ES_tradnl"/>
              </w:rPr>
              <w:t xml:space="preserve"> </w:t>
            </w:r>
            <w:r>
              <w:rPr>
                <w:sz w:val="18"/>
                <w:szCs w:val="23"/>
                <w:lang w:val="es-ES_tradnl"/>
              </w:rPr>
              <w:t>l</w:t>
            </w:r>
            <w:r w:rsidR="007B4147">
              <w:rPr>
                <w:sz w:val="18"/>
                <w:szCs w:val="23"/>
                <w:lang w:val="es-ES_tradnl"/>
              </w:rPr>
              <w:t>os</w:t>
            </w:r>
            <w:r>
              <w:rPr>
                <w:sz w:val="18"/>
                <w:szCs w:val="23"/>
                <w:lang w:val="es-ES_tradnl"/>
              </w:rPr>
              <w:t xml:space="preserve"> servicio</w:t>
            </w:r>
            <w:r w:rsidR="007B4147">
              <w:rPr>
                <w:sz w:val="18"/>
                <w:szCs w:val="23"/>
                <w:lang w:val="es-ES_tradnl"/>
              </w:rPr>
              <w:t>s</w:t>
            </w:r>
            <w:r>
              <w:rPr>
                <w:sz w:val="18"/>
                <w:szCs w:val="23"/>
                <w:lang w:val="es-ES_tradnl"/>
              </w:rPr>
              <w:t xml:space="preserve">. Este marco regulatorio está aun en proceso de implementación; sin embargo, contribuirá a la generación de una política nacional para la gestión de los residuos que </w:t>
            </w:r>
            <w:r w:rsidR="007B4147">
              <w:rPr>
                <w:sz w:val="18"/>
                <w:szCs w:val="23"/>
                <w:lang w:val="es-ES_tradnl"/>
              </w:rPr>
              <w:t xml:space="preserve">permita la </w:t>
            </w:r>
            <w:r>
              <w:rPr>
                <w:sz w:val="18"/>
                <w:szCs w:val="23"/>
                <w:lang w:val="es-ES_tradnl"/>
              </w:rPr>
              <w:t>canali</w:t>
            </w:r>
            <w:r w:rsidR="007B4147">
              <w:rPr>
                <w:sz w:val="18"/>
                <w:szCs w:val="23"/>
                <w:lang w:val="es-ES_tradnl"/>
              </w:rPr>
              <w:t>zación de</w:t>
            </w:r>
            <w:r>
              <w:rPr>
                <w:sz w:val="18"/>
                <w:szCs w:val="23"/>
                <w:lang w:val="es-ES_tradnl"/>
              </w:rPr>
              <w:t xml:space="preserve"> recursos </w:t>
            </w:r>
            <w:r w:rsidR="007B4147">
              <w:rPr>
                <w:sz w:val="18"/>
                <w:szCs w:val="23"/>
                <w:lang w:val="es-ES_tradnl"/>
              </w:rPr>
              <w:t xml:space="preserve">nacionales </w:t>
            </w:r>
            <w:r>
              <w:rPr>
                <w:sz w:val="18"/>
                <w:szCs w:val="23"/>
                <w:lang w:val="es-ES_tradnl"/>
              </w:rPr>
              <w:t xml:space="preserve">para infraestructura y establezca parámetros y criterios para la adecuada prestación de los servicios. </w:t>
            </w:r>
          </w:p>
          <w:p w14:paraId="7BBBC6C4" w14:textId="7099CEAC" w:rsidR="00FD70F3" w:rsidRDefault="00FD70F3" w:rsidP="003B307F">
            <w:pPr>
              <w:spacing w:before="120" w:after="120"/>
              <w:jc w:val="both"/>
              <w:rPr>
                <w:sz w:val="18"/>
                <w:szCs w:val="23"/>
                <w:lang w:val="es-ES_tradnl"/>
              </w:rPr>
            </w:pPr>
            <w:r>
              <w:rPr>
                <w:sz w:val="18"/>
                <w:szCs w:val="23"/>
                <w:lang w:val="es-ES_tradnl"/>
              </w:rPr>
              <w:lastRenderedPageBreak/>
              <w:t xml:space="preserve">El proyecto contempla la creación de la SAM que se rige por </w:t>
            </w:r>
            <w:r w:rsidR="007B4147">
              <w:rPr>
                <w:sz w:val="18"/>
                <w:szCs w:val="23"/>
                <w:lang w:val="es-ES_tradnl"/>
              </w:rPr>
              <w:t>l</w:t>
            </w:r>
            <w:r>
              <w:rPr>
                <w:sz w:val="18"/>
                <w:szCs w:val="23"/>
                <w:lang w:val="es-ES_tradnl"/>
              </w:rPr>
              <w:t>eyes comerciales pero que cuenta con una participación mayoritaria de los municipios involucrados (Limonade, Quartier Morin y Cabo Haitiano)</w:t>
            </w:r>
            <w:r w:rsidR="007B4147">
              <w:rPr>
                <w:sz w:val="18"/>
                <w:szCs w:val="23"/>
                <w:lang w:val="es-ES_tradnl"/>
              </w:rPr>
              <w:t xml:space="preserve">, lo que permite seguir respondiendo a las demandas sociales de la población, pero por otro lado, permite tener autonomía técnica y financiera para generar ingresos y administrarlos de forma transparente, profesionalizar al personal y supervisar adecuadamente los contratos que se tengan con entes privados vinculados a la prestación de los servicios. </w:t>
            </w:r>
          </w:p>
          <w:p w14:paraId="50C52973" w14:textId="782074EB" w:rsidR="007B4147" w:rsidRPr="00304F3B" w:rsidRDefault="007B4147" w:rsidP="003B307F">
            <w:pPr>
              <w:spacing w:before="120" w:after="120"/>
              <w:jc w:val="both"/>
              <w:rPr>
                <w:sz w:val="18"/>
                <w:szCs w:val="23"/>
                <w:lang w:val="es-ES_tradnl"/>
              </w:rPr>
            </w:pPr>
            <w:r>
              <w:rPr>
                <w:sz w:val="18"/>
                <w:szCs w:val="23"/>
                <w:lang w:val="es-ES_tradnl"/>
              </w:rPr>
              <w:t>Se espera que este modelo sea replicable en otras partes del país donde aún no existen sistemas formales de recolección, transporte y disposición final a falta de capacidad técnica y financiera por parte los municipios.</w:t>
            </w:r>
          </w:p>
        </w:tc>
      </w:tr>
      <w:tr w:rsidR="006D5B9D" w:rsidRPr="00DA4B41" w14:paraId="42966F8D" w14:textId="77777777" w:rsidTr="00120449">
        <w:trPr>
          <w:jc w:val="center"/>
        </w:trPr>
        <w:tc>
          <w:tcPr>
            <w:tcW w:w="1968" w:type="dxa"/>
            <w:shd w:val="clear" w:color="auto" w:fill="auto"/>
          </w:tcPr>
          <w:p w14:paraId="00DA27B1" w14:textId="77777777" w:rsidR="000F1306" w:rsidRPr="009876DD" w:rsidRDefault="000F1306" w:rsidP="000F1306">
            <w:pPr>
              <w:ind w:left="330" w:hanging="150"/>
              <w:rPr>
                <w:i/>
                <w:sz w:val="18"/>
                <w:szCs w:val="18"/>
                <w:lang w:val="es-ES_tradnl"/>
              </w:rPr>
            </w:pPr>
            <w:r w:rsidRPr="009876DD">
              <w:rPr>
                <w:b/>
                <w:bCs/>
                <w:i/>
                <w:sz w:val="18"/>
                <w:szCs w:val="18"/>
                <w:lang w:val="es-ES_tradnl"/>
              </w:rPr>
              <w:lastRenderedPageBreak/>
              <w:t>D. Establecer la estructura sectorial más apropiada en el contexto de las características del servicio y los objetivos de la política</w:t>
            </w:r>
          </w:p>
        </w:tc>
        <w:tc>
          <w:tcPr>
            <w:tcW w:w="4301" w:type="dxa"/>
            <w:shd w:val="clear" w:color="auto" w:fill="auto"/>
          </w:tcPr>
          <w:p w14:paraId="4C3155F1" w14:textId="77777777" w:rsidR="000F1306" w:rsidRPr="009876DD" w:rsidRDefault="000F1306" w:rsidP="000F1306">
            <w:pPr>
              <w:rPr>
                <w:sz w:val="18"/>
                <w:szCs w:val="18"/>
                <w:lang w:val="es-ES_tradnl"/>
              </w:rPr>
            </w:pPr>
            <w:r w:rsidRPr="009876DD">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966" w:type="dxa"/>
            <w:shd w:val="clear" w:color="auto" w:fill="auto"/>
          </w:tcPr>
          <w:p w14:paraId="2D689AE2" w14:textId="75270294" w:rsidR="007A1123" w:rsidRPr="00D75056" w:rsidRDefault="007A1123" w:rsidP="004E7157">
            <w:pPr>
              <w:pStyle w:val="CFIJAENB"/>
              <w:spacing w:before="120" w:after="120"/>
              <w:ind w:left="0"/>
              <w:rPr>
                <w:rFonts w:ascii="Times New Roman" w:hAnsi="Times New Roman"/>
                <w:sz w:val="18"/>
                <w:szCs w:val="23"/>
                <w:lang w:val="es-ES"/>
              </w:rPr>
            </w:pPr>
            <w:r>
              <w:rPr>
                <w:rFonts w:ascii="Times New Roman" w:hAnsi="Times New Roman"/>
                <w:sz w:val="18"/>
                <w:szCs w:val="23"/>
                <w:lang w:val="es-ES"/>
              </w:rPr>
              <w:t xml:space="preserve">Considerando el marco regulatorio vigente y su nivel de desarrollo y que la infraestructura a crear dentro del proyecto tiene un </w:t>
            </w:r>
            <w:r w:rsidRPr="00D75056">
              <w:rPr>
                <w:rFonts w:ascii="Times New Roman" w:hAnsi="Times New Roman"/>
                <w:sz w:val="18"/>
                <w:szCs w:val="23"/>
                <w:lang w:val="es-ES"/>
              </w:rPr>
              <w:t xml:space="preserve">carácter regional, se determinó </w:t>
            </w:r>
            <w:r w:rsidR="006D5B9D" w:rsidRPr="00D75056">
              <w:rPr>
                <w:rFonts w:ascii="Times New Roman" w:hAnsi="Times New Roman"/>
                <w:sz w:val="18"/>
                <w:szCs w:val="23"/>
                <w:lang w:val="es-ES"/>
              </w:rPr>
              <w:t>que,</w:t>
            </w:r>
            <w:r w:rsidRPr="00D75056">
              <w:rPr>
                <w:rFonts w:ascii="Times New Roman" w:hAnsi="Times New Roman"/>
                <w:sz w:val="18"/>
                <w:szCs w:val="23"/>
                <w:lang w:val="es-ES"/>
              </w:rPr>
              <w:t xml:space="preserve"> para este caso particular, la creación de una SAM </w:t>
            </w:r>
            <w:r w:rsidR="006D5B9D" w:rsidRPr="00D75056">
              <w:rPr>
                <w:rFonts w:ascii="Times New Roman" w:hAnsi="Times New Roman"/>
                <w:sz w:val="18"/>
                <w:szCs w:val="23"/>
                <w:lang w:val="es-ES"/>
              </w:rPr>
              <w:t>podría permitir</w:t>
            </w:r>
            <w:r w:rsidRPr="00D75056">
              <w:rPr>
                <w:rFonts w:ascii="Times New Roman" w:hAnsi="Times New Roman"/>
                <w:sz w:val="18"/>
                <w:szCs w:val="23"/>
                <w:lang w:val="es-ES"/>
              </w:rPr>
              <w:t xml:space="preserve"> prestar un servicio de calidad que </w:t>
            </w:r>
            <w:r w:rsidR="006D5B9D" w:rsidRPr="00D75056">
              <w:rPr>
                <w:rFonts w:ascii="Times New Roman" w:hAnsi="Times New Roman"/>
                <w:sz w:val="18"/>
                <w:szCs w:val="23"/>
                <w:lang w:val="es-ES"/>
              </w:rPr>
              <w:t>incentive</w:t>
            </w:r>
            <w:r w:rsidRPr="00D75056">
              <w:rPr>
                <w:rFonts w:ascii="Times New Roman" w:hAnsi="Times New Roman"/>
                <w:sz w:val="18"/>
                <w:szCs w:val="23"/>
                <w:lang w:val="es-ES"/>
              </w:rPr>
              <w:t xml:space="preserve"> la eficiencia y la inversión. </w:t>
            </w:r>
          </w:p>
          <w:p w14:paraId="1BBAD193" w14:textId="604F6025" w:rsidR="000F1306" w:rsidRDefault="007A1123" w:rsidP="004E7157">
            <w:pPr>
              <w:pStyle w:val="CFIJAENB"/>
              <w:spacing w:before="120" w:after="120"/>
              <w:ind w:left="0"/>
              <w:rPr>
                <w:rFonts w:ascii="Times New Roman" w:hAnsi="Times New Roman"/>
                <w:sz w:val="18"/>
                <w:szCs w:val="23"/>
                <w:lang w:eastAsia="en-US"/>
              </w:rPr>
            </w:pPr>
            <w:r w:rsidRPr="00D75056">
              <w:rPr>
                <w:rFonts w:ascii="Times New Roman" w:hAnsi="Times New Roman"/>
                <w:sz w:val="18"/>
                <w:szCs w:val="23"/>
                <w:lang w:val="es-ES"/>
              </w:rPr>
              <w:t xml:space="preserve">La SAM </w:t>
            </w:r>
            <w:r w:rsidR="0074200E" w:rsidRPr="00D75056">
              <w:rPr>
                <w:rFonts w:ascii="Times New Roman" w:hAnsi="Times New Roman"/>
                <w:sz w:val="18"/>
                <w:szCs w:val="23"/>
                <w:lang w:val="es-ES"/>
              </w:rPr>
              <w:t xml:space="preserve">tendrá vocación comercial y </w:t>
            </w:r>
            <w:r w:rsidRPr="00D75056">
              <w:rPr>
                <w:rFonts w:ascii="Times New Roman" w:hAnsi="Times New Roman"/>
                <w:sz w:val="18"/>
                <w:szCs w:val="23"/>
                <w:lang w:val="es-ES"/>
              </w:rPr>
              <w:t xml:space="preserve">contará con </w:t>
            </w:r>
            <w:r w:rsidR="006D5B9D" w:rsidRPr="00D75056">
              <w:rPr>
                <w:rFonts w:ascii="Times New Roman" w:hAnsi="Times New Roman"/>
                <w:sz w:val="18"/>
                <w:szCs w:val="23"/>
                <w:lang w:val="es-ES"/>
              </w:rPr>
              <w:t>autonomía</w:t>
            </w:r>
            <w:r w:rsidRPr="00D75056">
              <w:rPr>
                <w:rFonts w:ascii="Times New Roman" w:hAnsi="Times New Roman"/>
                <w:sz w:val="18"/>
                <w:szCs w:val="23"/>
                <w:lang w:val="es-ES"/>
              </w:rPr>
              <w:t xml:space="preserve"> </w:t>
            </w:r>
            <w:r w:rsidR="006D5B9D" w:rsidRPr="00D75056">
              <w:rPr>
                <w:rFonts w:ascii="Times New Roman" w:hAnsi="Times New Roman"/>
                <w:sz w:val="18"/>
                <w:szCs w:val="23"/>
                <w:lang w:val="es-ES"/>
              </w:rPr>
              <w:t>financiera</w:t>
            </w:r>
            <w:r w:rsidRPr="00D75056">
              <w:rPr>
                <w:rFonts w:ascii="Times New Roman" w:hAnsi="Times New Roman"/>
                <w:sz w:val="18"/>
                <w:szCs w:val="23"/>
                <w:lang w:val="es-ES"/>
              </w:rPr>
              <w:t xml:space="preserve"> y técnica para realizar </w:t>
            </w:r>
            <w:r w:rsidR="00ED783E" w:rsidRPr="00D75056">
              <w:rPr>
                <w:rFonts w:ascii="Times New Roman" w:hAnsi="Times New Roman"/>
                <w:sz w:val="18"/>
                <w:szCs w:val="23"/>
                <w:lang w:val="es-ES"/>
              </w:rPr>
              <w:t xml:space="preserve">actividades de inversión </w:t>
            </w:r>
            <w:r w:rsidR="00F44400" w:rsidRPr="00D75056">
              <w:rPr>
                <w:rFonts w:ascii="Times New Roman" w:hAnsi="Times New Roman"/>
                <w:sz w:val="18"/>
                <w:szCs w:val="23"/>
                <w:lang w:val="es-ES"/>
              </w:rPr>
              <w:t>y O&amp;M de las obras</w:t>
            </w:r>
            <w:r w:rsidR="00ED783E" w:rsidRPr="00D75056">
              <w:rPr>
                <w:rFonts w:ascii="Times New Roman" w:hAnsi="Times New Roman"/>
                <w:sz w:val="18"/>
                <w:szCs w:val="23"/>
                <w:lang w:eastAsia="en-US"/>
              </w:rPr>
              <w:t>.</w:t>
            </w:r>
            <w:r w:rsidR="007C69DC" w:rsidRPr="00D75056">
              <w:rPr>
                <w:rFonts w:ascii="Times New Roman" w:hAnsi="Times New Roman"/>
                <w:sz w:val="18"/>
                <w:szCs w:val="23"/>
                <w:lang w:eastAsia="en-US"/>
              </w:rPr>
              <w:t xml:space="preserve"> Por otro lado, </w:t>
            </w:r>
            <w:r w:rsidRPr="00D75056">
              <w:rPr>
                <w:rFonts w:ascii="Times New Roman" w:hAnsi="Times New Roman"/>
                <w:sz w:val="18"/>
                <w:szCs w:val="23"/>
                <w:lang w:eastAsia="en-US"/>
              </w:rPr>
              <w:t xml:space="preserve">se contará con una Asistencia Técnica que permitirá </w:t>
            </w:r>
            <w:r w:rsidR="006D5B9D" w:rsidRPr="00D75056">
              <w:rPr>
                <w:rFonts w:ascii="Times New Roman" w:hAnsi="Times New Roman"/>
                <w:sz w:val="18"/>
                <w:szCs w:val="23"/>
                <w:lang w:eastAsia="en-US"/>
              </w:rPr>
              <w:t>la profesionalización</w:t>
            </w:r>
            <w:r w:rsidR="006D5B9D">
              <w:rPr>
                <w:rFonts w:ascii="Times New Roman" w:hAnsi="Times New Roman"/>
                <w:sz w:val="18"/>
                <w:szCs w:val="23"/>
                <w:lang w:eastAsia="en-US"/>
              </w:rPr>
              <w:t xml:space="preserve"> de la SAM</w:t>
            </w:r>
            <w:r w:rsidR="007C69DC">
              <w:rPr>
                <w:rFonts w:ascii="Times New Roman" w:hAnsi="Times New Roman"/>
                <w:sz w:val="18"/>
                <w:szCs w:val="23"/>
                <w:lang w:eastAsia="en-US"/>
              </w:rPr>
              <w:t>.</w:t>
            </w:r>
          </w:p>
          <w:p w14:paraId="6906BD3B" w14:textId="77777777" w:rsidR="00F44400" w:rsidRPr="00C34AA2" w:rsidRDefault="00F44400" w:rsidP="001B6FC0">
            <w:pPr>
              <w:jc w:val="both"/>
              <w:rPr>
                <w:b/>
                <w:sz w:val="18"/>
                <w:szCs w:val="23"/>
                <w:lang w:val="es-ES_tradnl"/>
              </w:rPr>
            </w:pPr>
          </w:p>
        </w:tc>
      </w:tr>
      <w:tr w:rsidR="006D5B9D" w:rsidRPr="00DA4B41" w14:paraId="711BA73D" w14:textId="77777777" w:rsidTr="00120449">
        <w:trPr>
          <w:jc w:val="center"/>
        </w:trPr>
        <w:tc>
          <w:tcPr>
            <w:tcW w:w="1968" w:type="dxa"/>
            <w:shd w:val="clear" w:color="auto" w:fill="auto"/>
          </w:tcPr>
          <w:p w14:paraId="20425C60" w14:textId="77777777" w:rsidR="000F1306" w:rsidRPr="009876DD" w:rsidRDefault="000F1306" w:rsidP="000F1306">
            <w:pPr>
              <w:ind w:left="330" w:hanging="150"/>
              <w:rPr>
                <w:i/>
                <w:sz w:val="18"/>
                <w:szCs w:val="18"/>
                <w:lang w:val="es-ES_tradnl"/>
              </w:rPr>
            </w:pPr>
            <w:r w:rsidRPr="009876DD">
              <w:rPr>
                <w:b/>
                <w:bCs/>
                <w:i/>
                <w:sz w:val="18"/>
                <w:szCs w:val="18"/>
                <w:lang w:val="es-ES_tradnl"/>
              </w:rPr>
              <w:t>E.</w:t>
            </w:r>
            <w:r w:rsidRPr="009876DD">
              <w:rPr>
                <w:i/>
                <w:lang w:val="es-ES"/>
              </w:rPr>
              <w:t xml:space="preserve"> </w:t>
            </w:r>
            <w:r w:rsidRPr="009876DD">
              <w:rPr>
                <w:b/>
                <w:bCs/>
                <w:i/>
                <w:sz w:val="18"/>
                <w:szCs w:val="18"/>
                <w:lang w:val="es-ES_tradnl"/>
              </w:rPr>
              <w:t>El rol de la regulación económica para incentivar la eficiencia, la inversión y proteger los derechos de los usuarios</w:t>
            </w:r>
          </w:p>
        </w:tc>
        <w:tc>
          <w:tcPr>
            <w:tcW w:w="4301" w:type="dxa"/>
            <w:shd w:val="clear" w:color="auto" w:fill="auto"/>
          </w:tcPr>
          <w:p w14:paraId="2CDE94C9" w14:textId="77777777" w:rsidR="000F1306" w:rsidRPr="009876DD" w:rsidRDefault="000F1306" w:rsidP="000F1306">
            <w:pPr>
              <w:rPr>
                <w:sz w:val="18"/>
                <w:szCs w:val="18"/>
                <w:lang w:val="es-ES_tradnl"/>
              </w:rPr>
            </w:pPr>
            <w:r w:rsidRPr="009876DD">
              <w:rPr>
                <w:bCs/>
                <w:sz w:val="18"/>
                <w:szCs w:val="18"/>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w:t>
            </w:r>
            <w:r w:rsidRPr="009876DD">
              <w:rPr>
                <w:bCs/>
                <w:sz w:val="18"/>
                <w:szCs w:val="18"/>
                <w:lang w:val="es-ES_tradnl"/>
              </w:rPr>
              <w:lastRenderedPageBreak/>
              <w:t>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966" w:type="dxa"/>
            <w:shd w:val="clear" w:color="auto" w:fill="auto"/>
          </w:tcPr>
          <w:p w14:paraId="62DB0C9F" w14:textId="77777777" w:rsidR="004B72AA" w:rsidRDefault="006D5B9D" w:rsidP="001B6FC0">
            <w:pPr>
              <w:jc w:val="both"/>
              <w:rPr>
                <w:rFonts w:eastAsiaTheme="minorHAnsi"/>
                <w:sz w:val="18"/>
                <w:szCs w:val="18"/>
                <w:lang w:val="es-ES_tradnl"/>
              </w:rPr>
            </w:pPr>
            <w:r>
              <w:rPr>
                <w:rFonts w:eastAsiaTheme="minorHAnsi"/>
                <w:sz w:val="18"/>
                <w:szCs w:val="18"/>
                <w:lang w:val="es-ES_tradnl"/>
              </w:rPr>
              <w:lastRenderedPageBreak/>
              <w:t xml:space="preserve">Este proyecto permitirá a las ciudades del norte de Haití contar con un sistema de recolección y disposición final adecuado, que generará </w:t>
            </w:r>
            <w:r w:rsidR="0091481F">
              <w:rPr>
                <w:rFonts w:eastAsiaTheme="minorHAnsi"/>
                <w:sz w:val="18"/>
                <w:szCs w:val="18"/>
                <w:lang w:val="es-ES_tradnl"/>
              </w:rPr>
              <w:t>bene</w:t>
            </w:r>
            <w:r w:rsidR="009C427A">
              <w:rPr>
                <w:rFonts w:eastAsiaTheme="minorHAnsi"/>
                <w:sz w:val="18"/>
                <w:szCs w:val="18"/>
                <w:lang w:val="es-ES_tradnl"/>
              </w:rPr>
              <w:t xml:space="preserve">ficios a toda la zona norte de Haití promoviendo el desarrollo. </w:t>
            </w:r>
          </w:p>
          <w:p w14:paraId="38698C27" w14:textId="77777777" w:rsidR="009C427A" w:rsidRDefault="009C427A" w:rsidP="001B6FC0">
            <w:pPr>
              <w:jc w:val="both"/>
              <w:rPr>
                <w:rFonts w:eastAsiaTheme="minorHAnsi"/>
                <w:sz w:val="18"/>
                <w:szCs w:val="18"/>
                <w:lang w:val="es-ES_tradnl"/>
              </w:rPr>
            </w:pPr>
          </w:p>
          <w:p w14:paraId="1175D93D" w14:textId="316FBAD8" w:rsidR="009C427A" w:rsidRPr="004B72AA" w:rsidRDefault="009C427A" w:rsidP="001B6FC0">
            <w:pPr>
              <w:jc w:val="both"/>
              <w:rPr>
                <w:rFonts w:eastAsiaTheme="minorHAnsi"/>
                <w:sz w:val="18"/>
                <w:szCs w:val="18"/>
                <w:lang w:val="es-ES_tradnl"/>
              </w:rPr>
            </w:pPr>
            <w:r>
              <w:rPr>
                <w:rFonts w:eastAsiaTheme="minorHAnsi"/>
                <w:sz w:val="18"/>
                <w:szCs w:val="18"/>
                <w:lang w:val="es-ES_tradnl"/>
              </w:rPr>
              <w:t xml:space="preserve">La creación de la SAM como un ente con autonomía técnica y financiera regido por las leyes comerciales permitirá la generación de ingresos y la sostenibilidad financiera, así como establecer parámetros para la adecuada prestación de los servicios. Dentro del proyecto se contempla también el desarrollo de sistemas de información que permitan llevar registros comerciales y técnicos relacionados con el servicio, los cuales se darán a conocer a la población y una vez </w:t>
            </w:r>
            <w:r>
              <w:rPr>
                <w:rFonts w:eastAsiaTheme="minorHAnsi"/>
                <w:sz w:val="18"/>
                <w:szCs w:val="18"/>
                <w:lang w:val="es-ES_tradnl"/>
              </w:rPr>
              <w:lastRenderedPageBreak/>
              <w:t>que se consolide el nuevo esquema de gobernanza dentro de la Ley Nacional, servirá de base para la formulación de políticas.</w:t>
            </w:r>
          </w:p>
        </w:tc>
      </w:tr>
      <w:tr w:rsidR="006D5B9D" w:rsidRPr="00DA4B41" w14:paraId="479215FC" w14:textId="77777777" w:rsidTr="00E7121B">
        <w:trPr>
          <w:trHeight w:val="350"/>
          <w:jc w:val="center"/>
        </w:trPr>
        <w:tc>
          <w:tcPr>
            <w:tcW w:w="1968" w:type="dxa"/>
            <w:shd w:val="clear" w:color="auto" w:fill="auto"/>
          </w:tcPr>
          <w:p w14:paraId="4CEBC433" w14:textId="77777777" w:rsidR="000F1306" w:rsidRPr="009876DD" w:rsidRDefault="000F1306" w:rsidP="000F1306">
            <w:pPr>
              <w:ind w:left="330" w:hanging="150"/>
              <w:rPr>
                <w:b/>
                <w:i/>
                <w:sz w:val="18"/>
                <w:szCs w:val="18"/>
                <w:lang w:val="es-ES_tradnl"/>
              </w:rPr>
            </w:pPr>
            <w:r w:rsidRPr="009876DD">
              <w:rPr>
                <w:b/>
                <w:i/>
                <w:sz w:val="18"/>
                <w:szCs w:val="18"/>
                <w:lang w:val="es-ES_tradnl"/>
              </w:rPr>
              <w:lastRenderedPageBreak/>
              <w:t xml:space="preserve">F. Generar condiciones adecuadas para que la participación privada sea una opción viable para la provisión de servicios públicos </w:t>
            </w:r>
            <w:r w:rsidRPr="009876DD">
              <w:rPr>
                <w:b/>
                <w:bCs/>
                <w:i/>
                <w:sz w:val="18"/>
                <w:szCs w:val="18"/>
                <w:lang w:val="es-ES_tradnl"/>
              </w:rPr>
              <w:t>domiciliarios</w:t>
            </w:r>
          </w:p>
        </w:tc>
        <w:tc>
          <w:tcPr>
            <w:tcW w:w="4301" w:type="dxa"/>
            <w:shd w:val="clear" w:color="auto" w:fill="auto"/>
          </w:tcPr>
          <w:p w14:paraId="0BD2A7E1" w14:textId="77777777" w:rsidR="000F1306" w:rsidRPr="009876DD" w:rsidRDefault="000F1306" w:rsidP="000F1306">
            <w:pPr>
              <w:rPr>
                <w:sz w:val="18"/>
                <w:szCs w:val="18"/>
                <w:lang w:val="es-ES_tradnl"/>
              </w:rPr>
            </w:pPr>
            <w:r w:rsidRPr="009876DD">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966" w:type="dxa"/>
            <w:shd w:val="clear" w:color="auto" w:fill="auto"/>
          </w:tcPr>
          <w:p w14:paraId="2B7F23ED" w14:textId="07B50124" w:rsidR="000F1306" w:rsidRPr="0067230D" w:rsidRDefault="00BD529B" w:rsidP="00C34AA2">
            <w:pPr>
              <w:spacing w:before="120" w:after="120"/>
              <w:jc w:val="both"/>
              <w:rPr>
                <w:sz w:val="18"/>
                <w:szCs w:val="18"/>
                <w:highlight w:val="yellow"/>
                <w:lang w:val="es-ES_tradnl"/>
              </w:rPr>
            </w:pPr>
            <w:r>
              <w:rPr>
                <w:sz w:val="18"/>
                <w:szCs w:val="18"/>
                <w:lang w:val="es-ES_tradnl"/>
              </w:rPr>
              <w:t>E</w:t>
            </w:r>
            <w:r w:rsidR="009C427A">
              <w:rPr>
                <w:sz w:val="18"/>
                <w:szCs w:val="18"/>
                <w:lang w:val="es-ES_tradnl"/>
              </w:rPr>
              <w:t xml:space="preserve">ste proyecto contempla la contratación de una </w:t>
            </w:r>
            <w:r w:rsidR="009C427A" w:rsidRPr="00D75056">
              <w:rPr>
                <w:sz w:val="18"/>
                <w:szCs w:val="18"/>
                <w:lang w:val="es-ES_tradnl"/>
              </w:rPr>
              <w:t xml:space="preserve">empresa privada para </w:t>
            </w:r>
            <w:r w:rsidR="0074200E" w:rsidRPr="00D75056">
              <w:rPr>
                <w:sz w:val="18"/>
                <w:szCs w:val="18"/>
                <w:lang w:val="es-ES_tradnl"/>
              </w:rPr>
              <w:t xml:space="preserve">el diseño, </w:t>
            </w:r>
            <w:r w:rsidR="009C427A" w:rsidRPr="00D75056">
              <w:rPr>
                <w:sz w:val="18"/>
                <w:szCs w:val="18"/>
                <w:lang w:val="es-ES_tradnl"/>
              </w:rPr>
              <w:t>la construcción y operación</w:t>
            </w:r>
            <w:r w:rsidR="009C427A">
              <w:rPr>
                <w:sz w:val="18"/>
                <w:szCs w:val="18"/>
                <w:lang w:val="es-ES_tradnl"/>
              </w:rPr>
              <w:t xml:space="preserve"> y mantenimiento de la infraestructura y la transferencia de conocimiento a la SAM a través de un contrato DBO (Design-Build-Operate). Este proceso de contratación se hará conforme a las políticas del Banco a fin de garantizar la competencia. Previo a la licitación, mediante el apoyo de un asesor de transacción, se realizarán talleres con empresas privadas a fin de recibir sus impresiones sobre el proyecto y reflejar adecuadamente dentro de los documentos de licitación a fin de asegurar la participación de un mayor número de empresas en el proceso. </w:t>
            </w:r>
          </w:p>
        </w:tc>
      </w:tr>
      <w:tr w:rsidR="006D5B9D" w:rsidRPr="00DA4B41" w14:paraId="5F190088" w14:textId="77777777" w:rsidTr="00120449">
        <w:trPr>
          <w:jc w:val="center"/>
        </w:trPr>
        <w:tc>
          <w:tcPr>
            <w:tcW w:w="1968" w:type="dxa"/>
            <w:shd w:val="clear" w:color="auto" w:fill="auto"/>
          </w:tcPr>
          <w:p w14:paraId="4A624B0C" w14:textId="77777777" w:rsidR="000F1306" w:rsidRPr="009876DD" w:rsidRDefault="000F1306" w:rsidP="000F1306">
            <w:pPr>
              <w:ind w:left="330" w:hanging="150"/>
              <w:rPr>
                <w:b/>
                <w:i/>
                <w:sz w:val="18"/>
                <w:szCs w:val="18"/>
                <w:lang w:val="es-ES"/>
              </w:rPr>
            </w:pPr>
            <w:r w:rsidRPr="009876DD">
              <w:rPr>
                <w:b/>
                <w:i/>
                <w:sz w:val="18"/>
                <w:szCs w:val="18"/>
                <w:lang w:val="es-ES"/>
              </w:rPr>
              <w:t xml:space="preserve">G. </w:t>
            </w:r>
            <w:r w:rsidRPr="009876DD">
              <w:rPr>
                <w:b/>
                <w:bCs/>
                <w:i/>
                <w:sz w:val="18"/>
                <w:szCs w:val="18"/>
                <w:lang w:val="es-ES_tradnl"/>
              </w:rPr>
              <w:t>Fortalecer</w:t>
            </w:r>
            <w:r w:rsidRPr="009876DD">
              <w:rPr>
                <w:b/>
                <w:i/>
                <w:sz w:val="18"/>
                <w:szCs w:val="18"/>
                <w:lang w:val="es-ES"/>
              </w:rPr>
              <w:t xml:space="preserve"> la gestión de la infraestructura utilizada para la prestación de los servicios públicos domiciliarios.</w:t>
            </w:r>
          </w:p>
        </w:tc>
        <w:tc>
          <w:tcPr>
            <w:tcW w:w="4301" w:type="dxa"/>
            <w:shd w:val="clear" w:color="auto" w:fill="auto"/>
          </w:tcPr>
          <w:p w14:paraId="37E5F7C8" w14:textId="77777777" w:rsidR="000F1306" w:rsidRPr="009876DD" w:rsidRDefault="000F1306" w:rsidP="000F1306">
            <w:pPr>
              <w:rPr>
                <w:sz w:val="18"/>
                <w:szCs w:val="18"/>
                <w:lang w:val="es-ES"/>
              </w:rPr>
            </w:pPr>
            <w:r w:rsidRPr="009876DD">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966" w:type="dxa"/>
            <w:shd w:val="clear" w:color="auto" w:fill="auto"/>
          </w:tcPr>
          <w:p w14:paraId="63A022C1" w14:textId="2DFA0A74" w:rsidR="003B307F" w:rsidRPr="00D75056" w:rsidRDefault="009C427A" w:rsidP="00C34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 xml:space="preserve">Dentro de este proyecto, la creación de la SAM como ente </w:t>
            </w:r>
            <w:r w:rsidRPr="00D75056">
              <w:rPr>
                <w:rFonts w:ascii="Times New Roman" w:hAnsi="Times New Roman"/>
                <w:sz w:val="18"/>
                <w:szCs w:val="18"/>
                <w:lang w:eastAsia="en-US"/>
              </w:rPr>
              <w:t>autónomo técnica y financieramente</w:t>
            </w:r>
            <w:r w:rsidR="0074200E" w:rsidRPr="00D75056">
              <w:rPr>
                <w:rFonts w:ascii="Times New Roman" w:hAnsi="Times New Roman"/>
                <w:sz w:val="18"/>
                <w:szCs w:val="18"/>
                <w:lang w:eastAsia="en-US"/>
              </w:rPr>
              <w:t xml:space="preserve"> y a vocación comercial</w:t>
            </w:r>
            <w:r w:rsidRPr="00D75056">
              <w:rPr>
                <w:rFonts w:ascii="Times New Roman" w:hAnsi="Times New Roman"/>
                <w:sz w:val="18"/>
                <w:szCs w:val="18"/>
                <w:lang w:eastAsia="en-US"/>
              </w:rPr>
              <w:t xml:space="preserve">, permitirá incentivar la eficiencia y la gestión adecuada de los activos. </w:t>
            </w:r>
          </w:p>
          <w:p w14:paraId="4ED26B6C" w14:textId="77777777" w:rsidR="009C427A" w:rsidRDefault="009C427A" w:rsidP="00C34AA2">
            <w:pPr>
              <w:pStyle w:val="CFIJAENB"/>
              <w:spacing w:before="120" w:after="120"/>
              <w:ind w:left="0"/>
              <w:rPr>
                <w:rFonts w:ascii="Times New Roman" w:hAnsi="Times New Roman"/>
                <w:sz w:val="18"/>
                <w:szCs w:val="18"/>
                <w:lang w:eastAsia="en-US"/>
              </w:rPr>
            </w:pPr>
            <w:r w:rsidRPr="00D75056">
              <w:rPr>
                <w:rFonts w:ascii="Times New Roman" w:hAnsi="Times New Roman"/>
                <w:sz w:val="18"/>
                <w:szCs w:val="18"/>
                <w:lang w:eastAsia="en-US"/>
              </w:rPr>
              <w:t>La existencia de un modelo de negocios</w:t>
            </w:r>
            <w:r>
              <w:rPr>
                <w:rFonts w:ascii="Times New Roman" w:hAnsi="Times New Roman"/>
                <w:sz w:val="18"/>
                <w:szCs w:val="18"/>
                <w:lang w:eastAsia="en-US"/>
              </w:rPr>
              <w:t xml:space="preserve"> permitirá tener una visión de largo plazo que asegure la reposición de activos </w:t>
            </w:r>
            <w:r w:rsidR="005B4409">
              <w:rPr>
                <w:rFonts w:ascii="Times New Roman" w:hAnsi="Times New Roman"/>
                <w:sz w:val="18"/>
                <w:szCs w:val="18"/>
                <w:lang w:eastAsia="en-US"/>
              </w:rPr>
              <w:t xml:space="preserve">una vez que terminen su vida útil. </w:t>
            </w:r>
          </w:p>
          <w:p w14:paraId="503D6A04" w14:textId="15142EEA" w:rsidR="005B4409" w:rsidRPr="00D06EBC" w:rsidRDefault="005B4409" w:rsidP="00C34AA2">
            <w:pPr>
              <w:pStyle w:val="CFIJAENB"/>
              <w:spacing w:before="120" w:after="120"/>
              <w:ind w:left="0"/>
              <w:rPr>
                <w:rFonts w:ascii="Times New Roman" w:hAnsi="Times New Roman"/>
                <w:sz w:val="18"/>
                <w:szCs w:val="18"/>
                <w:lang w:eastAsia="en-US"/>
              </w:rPr>
            </w:pPr>
            <w:r>
              <w:rPr>
                <w:rFonts w:ascii="Times New Roman" w:hAnsi="Times New Roman"/>
                <w:sz w:val="18"/>
                <w:szCs w:val="18"/>
                <w:lang w:eastAsia="en-US"/>
              </w:rPr>
              <w:t>Asimismo, la SAM tendrá dentro de sus responsabilidades incentivar la demanda del servicio, las campañas sanitarias y los programas de educación ambiental que permitan que los usuarios contribuyan adecuadamente en la operación del sistema y mediante el pago del servicio.</w:t>
            </w:r>
          </w:p>
        </w:tc>
      </w:tr>
      <w:tr w:rsidR="006D5B9D" w:rsidRPr="00DA4B41" w14:paraId="0783EF48" w14:textId="77777777" w:rsidTr="00120449">
        <w:trPr>
          <w:jc w:val="center"/>
        </w:trPr>
        <w:tc>
          <w:tcPr>
            <w:tcW w:w="1968" w:type="dxa"/>
            <w:shd w:val="clear" w:color="auto" w:fill="auto"/>
          </w:tcPr>
          <w:p w14:paraId="5D363C85" w14:textId="77777777" w:rsidR="000F1306" w:rsidRPr="009834A9" w:rsidRDefault="000F1306" w:rsidP="000F1306">
            <w:pPr>
              <w:rPr>
                <w:sz w:val="18"/>
                <w:szCs w:val="18"/>
                <w:lang w:val="es-ES"/>
              </w:rPr>
            </w:pPr>
            <w:r w:rsidRPr="009834A9">
              <w:rPr>
                <w:b/>
                <w:sz w:val="18"/>
                <w:szCs w:val="18"/>
                <w:lang w:val="es-ES"/>
              </w:rPr>
              <w:t>3. Promover la innovación para fomentar la eficiencia, el acceso y la sostenibilidad ambiental</w:t>
            </w:r>
          </w:p>
        </w:tc>
        <w:tc>
          <w:tcPr>
            <w:tcW w:w="4301" w:type="dxa"/>
            <w:shd w:val="clear" w:color="auto" w:fill="auto"/>
          </w:tcPr>
          <w:p w14:paraId="04BC8F5D" w14:textId="77777777" w:rsidR="000F1306" w:rsidRPr="009834A9" w:rsidRDefault="000F1306" w:rsidP="000F1306">
            <w:pPr>
              <w:rPr>
                <w:sz w:val="18"/>
                <w:szCs w:val="18"/>
                <w:lang w:val="es-ES"/>
              </w:rPr>
            </w:pPr>
            <w:r w:rsidRPr="009834A9">
              <w:rPr>
                <w:sz w:val="18"/>
                <w:szCs w:val="18"/>
                <w:lang w:val="es-ES"/>
              </w:rPr>
              <w:t xml:space="preserve">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w:t>
            </w:r>
            <w:r w:rsidRPr="009834A9">
              <w:rPr>
                <w:sz w:val="18"/>
                <w:szCs w:val="18"/>
                <w:lang w:val="es-ES"/>
              </w:rPr>
              <w:lastRenderedPageBreak/>
              <w:t>sobre la adopción, financiamiento y esquemas de gestión de las soluciones tecnológicas más apropiadas para cada combinación particular de servicio público y características de la demanda.</w:t>
            </w:r>
          </w:p>
        </w:tc>
        <w:tc>
          <w:tcPr>
            <w:tcW w:w="3966" w:type="dxa"/>
            <w:shd w:val="clear" w:color="auto" w:fill="auto"/>
          </w:tcPr>
          <w:p w14:paraId="50D49C7B" w14:textId="3721D6B5" w:rsidR="00B30E53" w:rsidRPr="005547E9" w:rsidRDefault="00F94F25" w:rsidP="0015796A">
            <w:pPr>
              <w:pStyle w:val="Paragraph"/>
              <w:numPr>
                <w:ilvl w:val="0"/>
                <w:numId w:val="0"/>
              </w:numPr>
              <w:rPr>
                <w:sz w:val="18"/>
                <w:szCs w:val="18"/>
                <w:lang w:val="es-ES_tradnl"/>
              </w:rPr>
            </w:pPr>
            <w:r>
              <w:rPr>
                <w:sz w:val="18"/>
                <w:szCs w:val="18"/>
                <w:lang w:val="es-ES_tradnl"/>
              </w:rPr>
              <w:lastRenderedPageBreak/>
              <w:t xml:space="preserve">En consideración a </w:t>
            </w:r>
            <w:r w:rsidR="00DF1E5D">
              <w:rPr>
                <w:sz w:val="18"/>
                <w:szCs w:val="18"/>
                <w:lang w:val="es-ES_tradnl"/>
              </w:rPr>
              <w:t>estrategia</w:t>
            </w:r>
            <w:r w:rsidR="00773CB0">
              <w:rPr>
                <w:sz w:val="18"/>
                <w:szCs w:val="18"/>
                <w:lang w:val="es-ES_tradnl"/>
              </w:rPr>
              <w:t xml:space="preserve"> </w:t>
            </w:r>
            <w:r w:rsidR="00DF1E5D">
              <w:rPr>
                <w:sz w:val="18"/>
                <w:szCs w:val="18"/>
                <w:lang w:val="es-ES_tradnl"/>
              </w:rPr>
              <w:t>jerarquizada</w:t>
            </w:r>
            <w:r w:rsidR="00773CB0">
              <w:rPr>
                <w:sz w:val="18"/>
                <w:szCs w:val="18"/>
                <w:lang w:val="es-ES_tradnl"/>
              </w:rPr>
              <w:t xml:space="preserve"> de </w:t>
            </w:r>
            <w:r w:rsidR="00DF1E5D">
              <w:rPr>
                <w:sz w:val="18"/>
                <w:szCs w:val="18"/>
                <w:lang w:val="es-ES_tradnl"/>
              </w:rPr>
              <w:t>residuos</w:t>
            </w:r>
            <w:r w:rsidR="00773CB0">
              <w:rPr>
                <w:sz w:val="18"/>
                <w:szCs w:val="18"/>
                <w:lang w:val="es-ES_tradnl"/>
              </w:rPr>
              <w:t xml:space="preserve">, y </w:t>
            </w:r>
            <w:r w:rsidR="00DF1E5D">
              <w:rPr>
                <w:sz w:val="18"/>
                <w:szCs w:val="18"/>
                <w:lang w:val="es-ES_tradnl"/>
              </w:rPr>
              <w:t>aprovec</w:t>
            </w:r>
            <w:bookmarkStart w:id="0" w:name="_GoBack"/>
            <w:bookmarkEnd w:id="0"/>
            <w:r w:rsidR="00DF1E5D">
              <w:rPr>
                <w:sz w:val="18"/>
                <w:szCs w:val="18"/>
                <w:lang w:val="es-ES_tradnl"/>
              </w:rPr>
              <w:t>hamiento</w:t>
            </w:r>
            <w:r w:rsidR="00773CB0">
              <w:rPr>
                <w:sz w:val="18"/>
                <w:szCs w:val="18"/>
                <w:lang w:val="es-ES_tradnl"/>
              </w:rPr>
              <w:t xml:space="preserve"> eficiente del </w:t>
            </w:r>
            <w:r w:rsidR="00DF1E5D">
              <w:rPr>
                <w:sz w:val="18"/>
                <w:szCs w:val="18"/>
                <w:lang w:val="es-ES_tradnl"/>
              </w:rPr>
              <w:t>espacio</w:t>
            </w:r>
            <w:r w:rsidR="00773CB0">
              <w:rPr>
                <w:sz w:val="18"/>
                <w:szCs w:val="18"/>
                <w:lang w:val="es-ES_tradnl"/>
              </w:rPr>
              <w:t xml:space="preserve"> </w:t>
            </w:r>
            <w:r w:rsidR="00DF1E5D">
              <w:rPr>
                <w:sz w:val="18"/>
                <w:szCs w:val="18"/>
                <w:lang w:val="es-ES_tradnl"/>
              </w:rPr>
              <w:t>disponible</w:t>
            </w:r>
            <w:r w:rsidR="00773CB0">
              <w:rPr>
                <w:sz w:val="18"/>
                <w:szCs w:val="18"/>
                <w:lang w:val="es-ES_tradnl"/>
              </w:rPr>
              <w:t xml:space="preserve"> para </w:t>
            </w:r>
            <w:r w:rsidR="00DF1E5D">
              <w:rPr>
                <w:sz w:val="18"/>
                <w:szCs w:val="18"/>
                <w:lang w:val="es-ES_tradnl"/>
              </w:rPr>
              <w:t>disposición</w:t>
            </w:r>
            <w:r w:rsidR="00773CB0">
              <w:rPr>
                <w:sz w:val="18"/>
                <w:szCs w:val="18"/>
                <w:lang w:val="es-ES_tradnl"/>
              </w:rPr>
              <w:t xml:space="preserve"> final (</w:t>
            </w:r>
            <w:r w:rsidR="009302F4">
              <w:rPr>
                <w:sz w:val="18"/>
                <w:szCs w:val="18"/>
                <w:lang w:val="es-ES_tradnl"/>
              </w:rPr>
              <w:t xml:space="preserve">con el consiguiente aumento de vida útil de las celdas de </w:t>
            </w:r>
            <w:r w:rsidR="00DF1E5D">
              <w:rPr>
                <w:sz w:val="18"/>
                <w:szCs w:val="18"/>
                <w:lang w:val="es-ES_tradnl"/>
              </w:rPr>
              <w:t>disposición</w:t>
            </w:r>
            <w:r w:rsidR="009302F4">
              <w:rPr>
                <w:sz w:val="18"/>
                <w:szCs w:val="18"/>
                <w:lang w:val="es-ES_tradnl"/>
              </w:rPr>
              <w:t xml:space="preserve"> final)</w:t>
            </w:r>
            <w:r w:rsidR="005B1BFC">
              <w:rPr>
                <w:sz w:val="18"/>
                <w:szCs w:val="18"/>
                <w:lang w:val="es-ES_tradnl"/>
              </w:rPr>
              <w:t xml:space="preserve">, se </w:t>
            </w:r>
            <w:r w:rsidR="00D218A1">
              <w:rPr>
                <w:sz w:val="18"/>
                <w:szCs w:val="18"/>
                <w:lang w:val="es-ES_tradnl"/>
              </w:rPr>
              <w:t>fomentará</w:t>
            </w:r>
            <w:r w:rsidR="005B1BFC">
              <w:rPr>
                <w:sz w:val="18"/>
                <w:szCs w:val="18"/>
                <w:lang w:val="es-ES_tradnl"/>
              </w:rPr>
              <w:t xml:space="preserve"> </w:t>
            </w:r>
            <w:r w:rsidR="00D218A1">
              <w:rPr>
                <w:sz w:val="18"/>
                <w:szCs w:val="18"/>
                <w:lang w:val="es-ES_tradnl"/>
              </w:rPr>
              <w:t>las opciones</w:t>
            </w:r>
            <w:r w:rsidR="005B1BFC">
              <w:rPr>
                <w:sz w:val="18"/>
                <w:szCs w:val="18"/>
                <w:lang w:val="es-ES_tradnl"/>
              </w:rPr>
              <w:t xml:space="preserve"> de </w:t>
            </w:r>
            <w:r w:rsidR="00DF1E5D">
              <w:rPr>
                <w:sz w:val="18"/>
                <w:szCs w:val="18"/>
                <w:lang w:val="es-ES_tradnl"/>
              </w:rPr>
              <w:t>minimización</w:t>
            </w:r>
            <w:r w:rsidR="005B1BFC">
              <w:rPr>
                <w:sz w:val="18"/>
                <w:szCs w:val="18"/>
                <w:lang w:val="es-ES_tradnl"/>
              </w:rPr>
              <w:t xml:space="preserve"> </w:t>
            </w:r>
            <w:r w:rsidR="005B1BFC">
              <w:rPr>
                <w:sz w:val="18"/>
                <w:szCs w:val="18"/>
                <w:lang w:val="es-ES_tradnl"/>
              </w:rPr>
              <w:lastRenderedPageBreak/>
              <w:t>de generación de r</w:t>
            </w:r>
            <w:r w:rsidR="00DF1E5D">
              <w:rPr>
                <w:sz w:val="18"/>
                <w:szCs w:val="18"/>
                <w:lang w:val="es-ES_tradnl"/>
              </w:rPr>
              <w:t>esiduos vía</w:t>
            </w:r>
            <w:r w:rsidR="005B1BFC">
              <w:rPr>
                <w:sz w:val="18"/>
                <w:szCs w:val="18"/>
                <w:lang w:val="es-ES_tradnl"/>
              </w:rPr>
              <w:t xml:space="preserve"> </w:t>
            </w:r>
            <w:r w:rsidR="00DF1E5D">
              <w:rPr>
                <w:sz w:val="18"/>
                <w:szCs w:val="18"/>
                <w:lang w:val="es-ES_tradnl"/>
              </w:rPr>
              <w:t>campaña</w:t>
            </w:r>
            <w:r w:rsidR="006F345F">
              <w:rPr>
                <w:sz w:val="18"/>
                <w:szCs w:val="18"/>
                <w:lang w:val="es-ES_tradnl"/>
              </w:rPr>
              <w:t>s</w:t>
            </w:r>
            <w:r w:rsidR="005B1BFC">
              <w:rPr>
                <w:sz w:val="18"/>
                <w:szCs w:val="18"/>
                <w:lang w:val="es-ES_tradnl"/>
              </w:rPr>
              <w:t xml:space="preserve"> de </w:t>
            </w:r>
            <w:r w:rsidR="006F345F">
              <w:rPr>
                <w:sz w:val="18"/>
                <w:szCs w:val="18"/>
                <w:lang w:val="es-ES_tradnl"/>
              </w:rPr>
              <w:t xml:space="preserve">comunicación y </w:t>
            </w:r>
            <w:r w:rsidR="00D218A1">
              <w:rPr>
                <w:sz w:val="18"/>
                <w:szCs w:val="18"/>
                <w:lang w:val="es-ES_tradnl"/>
              </w:rPr>
              <w:t>educación</w:t>
            </w:r>
            <w:r w:rsidR="006F345F">
              <w:rPr>
                <w:sz w:val="18"/>
                <w:szCs w:val="18"/>
                <w:lang w:val="es-ES_tradnl"/>
              </w:rPr>
              <w:t xml:space="preserve"> ambiental</w:t>
            </w:r>
            <w:r w:rsidR="005B1BFC">
              <w:rPr>
                <w:sz w:val="18"/>
                <w:szCs w:val="18"/>
                <w:lang w:val="es-ES_tradnl"/>
              </w:rPr>
              <w:t xml:space="preserve">, </w:t>
            </w:r>
            <w:r w:rsidR="00D218A1">
              <w:rPr>
                <w:sz w:val="18"/>
                <w:szCs w:val="18"/>
                <w:lang w:val="es-ES_tradnl"/>
              </w:rPr>
              <w:t>así</w:t>
            </w:r>
            <w:r w:rsidR="005B1BFC">
              <w:rPr>
                <w:sz w:val="18"/>
                <w:szCs w:val="18"/>
                <w:lang w:val="es-ES_tradnl"/>
              </w:rPr>
              <w:t xml:space="preserve"> como de </w:t>
            </w:r>
            <w:r w:rsidR="00D218A1">
              <w:rPr>
                <w:sz w:val="18"/>
                <w:szCs w:val="18"/>
                <w:lang w:val="es-ES_tradnl"/>
              </w:rPr>
              <w:t>valorización</w:t>
            </w:r>
            <w:r w:rsidR="005B1BFC">
              <w:rPr>
                <w:sz w:val="18"/>
                <w:szCs w:val="18"/>
                <w:lang w:val="es-ES_tradnl"/>
              </w:rPr>
              <w:t xml:space="preserve"> de </w:t>
            </w:r>
            <w:r w:rsidR="00D218A1">
              <w:rPr>
                <w:sz w:val="18"/>
                <w:szCs w:val="18"/>
                <w:lang w:val="es-ES_tradnl"/>
              </w:rPr>
              <w:t>residuos</w:t>
            </w:r>
            <w:r w:rsidR="005B1BFC">
              <w:rPr>
                <w:sz w:val="18"/>
                <w:szCs w:val="18"/>
                <w:lang w:val="es-ES_tradnl"/>
              </w:rPr>
              <w:t xml:space="preserve"> a </w:t>
            </w:r>
            <w:r w:rsidR="00D218A1">
              <w:rPr>
                <w:sz w:val="18"/>
                <w:szCs w:val="18"/>
                <w:lang w:val="es-ES_tradnl"/>
              </w:rPr>
              <w:t>través</w:t>
            </w:r>
            <w:r w:rsidR="005B1BFC">
              <w:rPr>
                <w:sz w:val="18"/>
                <w:szCs w:val="18"/>
                <w:lang w:val="es-ES_tradnl"/>
              </w:rPr>
              <w:t xml:space="preserve"> de </w:t>
            </w:r>
            <w:r w:rsidR="00D218A1">
              <w:rPr>
                <w:sz w:val="18"/>
                <w:szCs w:val="18"/>
                <w:lang w:val="es-ES_tradnl"/>
              </w:rPr>
              <w:t>la instalación</w:t>
            </w:r>
            <w:r w:rsidR="005B1BFC">
              <w:rPr>
                <w:sz w:val="18"/>
                <w:szCs w:val="18"/>
                <w:lang w:val="es-ES_tradnl"/>
              </w:rPr>
              <w:t xml:space="preserve"> </w:t>
            </w:r>
            <w:r w:rsidR="00D218A1">
              <w:rPr>
                <w:sz w:val="18"/>
                <w:szCs w:val="18"/>
                <w:lang w:val="es-ES_tradnl"/>
              </w:rPr>
              <w:t>dentro</w:t>
            </w:r>
            <w:r w:rsidR="005B1BFC">
              <w:rPr>
                <w:sz w:val="18"/>
                <w:szCs w:val="18"/>
                <w:lang w:val="es-ES_tradnl"/>
              </w:rPr>
              <w:t xml:space="preserve"> del CGIRS de unidades de re</w:t>
            </w:r>
            <w:r w:rsidR="00DF1E5D">
              <w:rPr>
                <w:sz w:val="18"/>
                <w:szCs w:val="18"/>
                <w:lang w:val="es-ES_tradnl"/>
              </w:rPr>
              <w:t xml:space="preserve">ciclaje y </w:t>
            </w:r>
            <w:r w:rsidR="00D218A1">
              <w:rPr>
                <w:sz w:val="18"/>
                <w:szCs w:val="18"/>
                <w:lang w:val="es-ES_tradnl"/>
              </w:rPr>
              <w:t>compost</w:t>
            </w:r>
            <w:r w:rsidR="00DF1E5D">
              <w:rPr>
                <w:sz w:val="18"/>
                <w:szCs w:val="18"/>
                <w:lang w:val="es-ES_tradnl"/>
              </w:rPr>
              <w:t xml:space="preserve">. Así </w:t>
            </w:r>
            <w:r w:rsidR="00D218A1">
              <w:rPr>
                <w:sz w:val="18"/>
                <w:szCs w:val="18"/>
                <w:lang w:val="es-ES_tradnl"/>
              </w:rPr>
              <w:t>mismo</w:t>
            </w:r>
            <w:r w:rsidR="00DF1E5D">
              <w:rPr>
                <w:sz w:val="18"/>
                <w:szCs w:val="18"/>
                <w:lang w:val="es-ES_tradnl"/>
              </w:rPr>
              <w:t xml:space="preserve"> se </w:t>
            </w:r>
            <w:r w:rsidR="00D218A1">
              <w:rPr>
                <w:sz w:val="18"/>
                <w:szCs w:val="18"/>
                <w:lang w:val="es-ES_tradnl"/>
              </w:rPr>
              <w:t>desarrollarán</w:t>
            </w:r>
            <w:r w:rsidR="00DF1E5D">
              <w:rPr>
                <w:sz w:val="18"/>
                <w:szCs w:val="18"/>
                <w:lang w:val="es-ES_tradnl"/>
              </w:rPr>
              <w:t xml:space="preserve"> </w:t>
            </w:r>
            <w:r w:rsidR="00D218A1">
              <w:rPr>
                <w:sz w:val="18"/>
                <w:szCs w:val="18"/>
                <w:lang w:val="es-ES_tradnl"/>
              </w:rPr>
              <w:t>pilotos</w:t>
            </w:r>
            <w:r w:rsidR="00DF1E5D">
              <w:rPr>
                <w:sz w:val="18"/>
                <w:szCs w:val="18"/>
                <w:lang w:val="es-ES_tradnl"/>
              </w:rPr>
              <w:t xml:space="preserve"> para explorar </w:t>
            </w:r>
            <w:r w:rsidR="00D218A1">
              <w:rPr>
                <w:sz w:val="18"/>
                <w:szCs w:val="18"/>
                <w:lang w:val="es-ES_tradnl"/>
              </w:rPr>
              <w:t>aumentar</w:t>
            </w:r>
            <w:r w:rsidR="00DF1E5D">
              <w:rPr>
                <w:sz w:val="18"/>
                <w:szCs w:val="18"/>
                <w:lang w:val="es-ES_tradnl"/>
              </w:rPr>
              <w:t xml:space="preserve"> la </w:t>
            </w:r>
            <w:r w:rsidR="00D218A1">
              <w:rPr>
                <w:sz w:val="18"/>
                <w:szCs w:val="18"/>
                <w:lang w:val="es-ES_tradnl"/>
              </w:rPr>
              <w:t>demanda</w:t>
            </w:r>
            <w:r w:rsidR="00DF1E5D">
              <w:rPr>
                <w:sz w:val="18"/>
                <w:szCs w:val="18"/>
                <w:lang w:val="es-ES_tradnl"/>
              </w:rPr>
              <w:t xml:space="preserve"> de </w:t>
            </w:r>
            <w:r w:rsidR="00D218A1">
              <w:rPr>
                <w:sz w:val="18"/>
                <w:szCs w:val="18"/>
                <w:lang w:val="es-ES_tradnl"/>
              </w:rPr>
              <w:t>reciclables</w:t>
            </w:r>
            <w:r w:rsidR="00DF1E5D">
              <w:rPr>
                <w:sz w:val="18"/>
                <w:szCs w:val="18"/>
                <w:lang w:val="es-ES_tradnl"/>
              </w:rPr>
              <w:t xml:space="preserve"> e a </w:t>
            </w:r>
            <w:r w:rsidR="00D218A1">
              <w:rPr>
                <w:sz w:val="18"/>
                <w:szCs w:val="18"/>
                <w:lang w:val="es-ES_tradnl"/>
              </w:rPr>
              <w:t>nivel</w:t>
            </w:r>
            <w:r w:rsidR="00DF1E5D">
              <w:rPr>
                <w:sz w:val="18"/>
                <w:szCs w:val="18"/>
                <w:lang w:val="es-ES_tradnl"/>
              </w:rPr>
              <w:t xml:space="preserve"> local.</w:t>
            </w:r>
          </w:p>
        </w:tc>
      </w:tr>
    </w:tbl>
    <w:p w14:paraId="6B7F5367" w14:textId="77777777" w:rsidR="003B02C4" w:rsidRPr="000F1306" w:rsidRDefault="003B02C4" w:rsidP="00120449">
      <w:pPr>
        <w:rPr>
          <w:lang w:val="es-ES"/>
        </w:rPr>
      </w:pPr>
    </w:p>
    <w:sectPr w:rsidR="003B02C4" w:rsidRPr="000F1306" w:rsidSect="009B38CC">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92CBB" w14:textId="77777777" w:rsidR="00C03C7C" w:rsidRDefault="00C03C7C" w:rsidP="00B72604">
      <w:r>
        <w:separator/>
      </w:r>
    </w:p>
  </w:endnote>
  <w:endnote w:type="continuationSeparator" w:id="0">
    <w:p w14:paraId="4EA8C1FF" w14:textId="77777777" w:rsidR="00C03C7C" w:rsidRDefault="00C03C7C" w:rsidP="00B7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AB4E9" w14:textId="77777777" w:rsidR="00C03C7C" w:rsidRDefault="00C03C7C" w:rsidP="00B72604">
      <w:r>
        <w:separator/>
      </w:r>
    </w:p>
  </w:footnote>
  <w:footnote w:type="continuationSeparator" w:id="0">
    <w:p w14:paraId="239568F9" w14:textId="77777777" w:rsidR="00C03C7C" w:rsidRDefault="00C03C7C" w:rsidP="00B72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168209085"/>
      <w:docPartObj>
        <w:docPartGallery w:val="Page Numbers (Top of Page)"/>
        <w:docPartUnique/>
      </w:docPartObj>
    </w:sdtPr>
    <w:sdtEndPr/>
    <w:sdtContent>
      <w:p w14:paraId="46D336A7" w14:textId="56061162" w:rsidR="00120449" w:rsidRDefault="00A772D5" w:rsidP="00F97646">
        <w:pPr>
          <w:pStyle w:val="Header"/>
          <w:tabs>
            <w:tab w:val="clear" w:pos="4680"/>
            <w:tab w:val="clear" w:pos="9360"/>
            <w:tab w:val="right" w:pos="8640"/>
          </w:tabs>
          <w:jc w:val="right"/>
          <w:rPr>
            <w:sz w:val="20"/>
            <w:szCs w:val="20"/>
          </w:rPr>
        </w:pPr>
        <w:r>
          <w:rPr>
            <w:sz w:val="20"/>
            <w:szCs w:val="20"/>
          </w:rPr>
          <w:t>HA-L1106</w:t>
        </w:r>
      </w:p>
      <w:p w14:paraId="2FE4748B" w14:textId="77777777" w:rsidR="00C05472" w:rsidRPr="00812BF8" w:rsidRDefault="00C05472" w:rsidP="00F97646">
        <w:pPr>
          <w:pStyle w:val="Header"/>
          <w:tabs>
            <w:tab w:val="clear" w:pos="4680"/>
            <w:tab w:val="clear" w:pos="9360"/>
            <w:tab w:val="right" w:pos="8640"/>
          </w:tabs>
          <w:jc w:val="right"/>
          <w:rPr>
            <w:sz w:val="20"/>
            <w:szCs w:val="20"/>
          </w:rPr>
        </w:pPr>
      </w:p>
      <w:p w14:paraId="6A57C419" w14:textId="5E605B68" w:rsidR="00120449" w:rsidRPr="00F97646" w:rsidRDefault="00120449" w:rsidP="00F97646">
        <w:pPr>
          <w:pStyle w:val="Header"/>
          <w:tabs>
            <w:tab w:val="clear" w:pos="4680"/>
            <w:tab w:val="clear" w:pos="9360"/>
          </w:tabs>
          <w:ind w:left="7200"/>
          <w:jc w:val="right"/>
          <w:rPr>
            <w:sz w:val="20"/>
            <w:szCs w:val="20"/>
          </w:rPr>
        </w:pPr>
        <w:r w:rsidRPr="00C303C1">
          <w:rPr>
            <w:sz w:val="20"/>
            <w:szCs w:val="20"/>
            <w:lang w:val="es-ES"/>
          </w:rPr>
          <w:t>Página</w:t>
        </w:r>
        <w:r w:rsidRPr="00812BF8">
          <w:rPr>
            <w:sz w:val="20"/>
            <w:szCs w:val="20"/>
          </w:rPr>
          <w:t xml:space="preserve"> </w:t>
        </w:r>
        <w:r w:rsidRPr="00812BF8">
          <w:rPr>
            <w:bCs/>
            <w:sz w:val="20"/>
            <w:szCs w:val="20"/>
          </w:rPr>
          <w:fldChar w:fldCharType="begin"/>
        </w:r>
        <w:r w:rsidRPr="00812BF8">
          <w:rPr>
            <w:bCs/>
            <w:sz w:val="20"/>
            <w:szCs w:val="20"/>
          </w:rPr>
          <w:instrText xml:space="preserve"> PAGE </w:instrText>
        </w:r>
        <w:r w:rsidRPr="00812BF8">
          <w:rPr>
            <w:bCs/>
            <w:sz w:val="20"/>
            <w:szCs w:val="20"/>
          </w:rPr>
          <w:fldChar w:fldCharType="separate"/>
        </w:r>
        <w:r w:rsidR="00661EFA">
          <w:rPr>
            <w:bCs/>
            <w:noProof/>
            <w:sz w:val="20"/>
            <w:szCs w:val="20"/>
          </w:rPr>
          <w:t>1</w:t>
        </w:r>
        <w:r w:rsidRPr="00812BF8">
          <w:rPr>
            <w:bCs/>
            <w:sz w:val="20"/>
            <w:szCs w:val="20"/>
          </w:rPr>
          <w:fldChar w:fldCharType="end"/>
        </w:r>
        <w:r w:rsidRPr="00812BF8">
          <w:rPr>
            <w:bCs/>
            <w:sz w:val="20"/>
            <w:szCs w:val="20"/>
          </w:rPr>
          <w:t xml:space="preserve"> </w:t>
        </w:r>
        <w:r w:rsidRPr="00812BF8">
          <w:rPr>
            <w:sz w:val="20"/>
            <w:szCs w:val="20"/>
          </w:rPr>
          <w:t xml:space="preserve">de </w:t>
        </w:r>
        <w:r w:rsidRPr="00812BF8">
          <w:rPr>
            <w:bCs/>
            <w:sz w:val="20"/>
            <w:szCs w:val="20"/>
          </w:rPr>
          <w:fldChar w:fldCharType="begin"/>
        </w:r>
        <w:r w:rsidRPr="00812BF8">
          <w:rPr>
            <w:bCs/>
            <w:sz w:val="20"/>
            <w:szCs w:val="20"/>
          </w:rPr>
          <w:instrText xml:space="preserve"> NUMPAGES  </w:instrText>
        </w:r>
        <w:r w:rsidRPr="00812BF8">
          <w:rPr>
            <w:bCs/>
            <w:sz w:val="20"/>
            <w:szCs w:val="20"/>
          </w:rPr>
          <w:fldChar w:fldCharType="separate"/>
        </w:r>
        <w:r w:rsidR="00661EFA">
          <w:rPr>
            <w:bCs/>
            <w:noProof/>
            <w:sz w:val="20"/>
            <w:szCs w:val="20"/>
          </w:rPr>
          <w:t>13</w:t>
        </w:r>
        <w:r w:rsidRPr="00812BF8">
          <w:rPr>
            <w:bCs/>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73"/>
        </w:tabs>
        <w:ind w:left="1273"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2" w15:restartNumberingAfterBreak="0">
    <w:nsid w:val="09AF2B98"/>
    <w:multiLevelType w:val="multilevel"/>
    <w:tmpl w:val="4C2CC4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DAB7FC9"/>
    <w:multiLevelType w:val="multilevel"/>
    <w:tmpl w:val="7AFC85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 w15:restartNumberingAfterBreak="0">
    <w:nsid w:val="160320B5"/>
    <w:multiLevelType w:val="multilevel"/>
    <w:tmpl w:val="7C5448D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72E7663"/>
    <w:multiLevelType w:val="hybridMultilevel"/>
    <w:tmpl w:val="A3D81D94"/>
    <w:lvl w:ilvl="0" w:tplc="3DCE8444">
      <w:start w:val="1"/>
      <w:numFmt w:val="bullet"/>
      <w:lvlText w:val=""/>
      <w:lvlJc w:val="left"/>
      <w:pPr>
        <w:ind w:left="720"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D810CB"/>
    <w:multiLevelType w:val="hybridMultilevel"/>
    <w:tmpl w:val="38E4DCCE"/>
    <w:lvl w:ilvl="0" w:tplc="CA86ED4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10" w15:restartNumberingAfterBreak="0">
    <w:nsid w:val="24981CFB"/>
    <w:multiLevelType w:val="hybridMultilevel"/>
    <w:tmpl w:val="B7E427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05FC8"/>
    <w:multiLevelType w:val="hybridMultilevel"/>
    <w:tmpl w:val="93CA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B21"/>
    <w:multiLevelType w:val="hybridMultilevel"/>
    <w:tmpl w:val="F364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C125A"/>
    <w:multiLevelType w:val="hybridMultilevel"/>
    <w:tmpl w:val="64129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num w:numId="1">
    <w:abstractNumId w:val="4"/>
  </w:num>
  <w:num w:numId="2">
    <w:abstractNumId w:val="0"/>
  </w:num>
  <w:num w:numId="3">
    <w:abstractNumId w:val="3"/>
  </w:num>
  <w:num w:numId="4">
    <w:abstractNumId w:val="6"/>
  </w:num>
  <w:num w:numId="5">
    <w:abstractNumId w:val="2"/>
  </w:num>
  <w:num w:numId="6">
    <w:abstractNumId w:val="9"/>
  </w:num>
  <w:num w:numId="7">
    <w:abstractNumId w:val="3"/>
    <w:lvlOverride w:ilvl="0">
      <w:startOverride w:val="544"/>
    </w:lvlOverride>
    <w:lvlOverride w:ilvl="1">
      <w:startOverride w:val="89"/>
    </w:lvlOverride>
  </w:num>
  <w:num w:numId="8">
    <w:abstractNumId w:val="14"/>
  </w:num>
  <w:num w:numId="9">
    <w:abstractNumId w:val="1"/>
  </w:num>
  <w:num w:numId="10">
    <w:abstractNumId w:val="11"/>
  </w:num>
  <w:num w:numId="11">
    <w:abstractNumId w:val="12"/>
  </w:num>
  <w:num w:numId="12">
    <w:abstractNumId w:val="5"/>
  </w:num>
  <w:num w:numId="13">
    <w:abstractNumId w:val="7"/>
  </w:num>
  <w:num w:numId="14">
    <w:abstractNumId w:val="13"/>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DF1"/>
    <w:rsid w:val="0000306C"/>
    <w:rsid w:val="000105E2"/>
    <w:rsid w:val="000109BD"/>
    <w:rsid w:val="00010A1E"/>
    <w:rsid w:val="00014BD1"/>
    <w:rsid w:val="00015D4F"/>
    <w:rsid w:val="000166EC"/>
    <w:rsid w:val="000172A5"/>
    <w:rsid w:val="00020618"/>
    <w:rsid w:val="00022DE4"/>
    <w:rsid w:val="00024AB9"/>
    <w:rsid w:val="000272CD"/>
    <w:rsid w:val="00033D61"/>
    <w:rsid w:val="00044976"/>
    <w:rsid w:val="00060E7F"/>
    <w:rsid w:val="00064F88"/>
    <w:rsid w:val="00066B5B"/>
    <w:rsid w:val="00070A5C"/>
    <w:rsid w:val="00071A12"/>
    <w:rsid w:val="0008127B"/>
    <w:rsid w:val="00081A38"/>
    <w:rsid w:val="0008572D"/>
    <w:rsid w:val="000A6CFE"/>
    <w:rsid w:val="000B3484"/>
    <w:rsid w:val="000B7D06"/>
    <w:rsid w:val="000C6EE2"/>
    <w:rsid w:val="000D0662"/>
    <w:rsid w:val="000D29DC"/>
    <w:rsid w:val="000E0C3F"/>
    <w:rsid w:val="000E52E1"/>
    <w:rsid w:val="000E6487"/>
    <w:rsid w:val="000E765E"/>
    <w:rsid w:val="000F1306"/>
    <w:rsid w:val="00101141"/>
    <w:rsid w:val="0010220C"/>
    <w:rsid w:val="00112E2A"/>
    <w:rsid w:val="00120449"/>
    <w:rsid w:val="00122913"/>
    <w:rsid w:val="00126E23"/>
    <w:rsid w:val="00132320"/>
    <w:rsid w:val="00137DC3"/>
    <w:rsid w:val="0014406E"/>
    <w:rsid w:val="00144B20"/>
    <w:rsid w:val="00154CC9"/>
    <w:rsid w:val="0015796A"/>
    <w:rsid w:val="00165D3D"/>
    <w:rsid w:val="001666EA"/>
    <w:rsid w:val="001755E1"/>
    <w:rsid w:val="00184C1A"/>
    <w:rsid w:val="00184E23"/>
    <w:rsid w:val="00186926"/>
    <w:rsid w:val="00190233"/>
    <w:rsid w:val="00191A9C"/>
    <w:rsid w:val="00191CD4"/>
    <w:rsid w:val="00194F8B"/>
    <w:rsid w:val="00197176"/>
    <w:rsid w:val="001A0236"/>
    <w:rsid w:val="001B6FC0"/>
    <w:rsid w:val="001C0702"/>
    <w:rsid w:val="001C4B78"/>
    <w:rsid w:val="001D2F9A"/>
    <w:rsid w:val="001D3E28"/>
    <w:rsid w:val="001D70AF"/>
    <w:rsid w:val="001E688D"/>
    <w:rsid w:val="00200198"/>
    <w:rsid w:val="002004C3"/>
    <w:rsid w:val="00206462"/>
    <w:rsid w:val="002121D6"/>
    <w:rsid w:val="0022142A"/>
    <w:rsid w:val="002234FE"/>
    <w:rsid w:val="00230939"/>
    <w:rsid w:val="002314DB"/>
    <w:rsid w:val="00253272"/>
    <w:rsid w:val="00262F31"/>
    <w:rsid w:val="00270A79"/>
    <w:rsid w:val="00275233"/>
    <w:rsid w:val="0029596C"/>
    <w:rsid w:val="002A7664"/>
    <w:rsid w:val="002B229F"/>
    <w:rsid w:val="002B29C2"/>
    <w:rsid w:val="002B5737"/>
    <w:rsid w:val="002B6E68"/>
    <w:rsid w:val="002C2CCB"/>
    <w:rsid w:val="002C5A2F"/>
    <w:rsid w:val="002D4037"/>
    <w:rsid w:val="002D5CE0"/>
    <w:rsid w:val="002D7AB7"/>
    <w:rsid w:val="002E236F"/>
    <w:rsid w:val="002E3C4E"/>
    <w:rsid w:val="002E53CF"/>
    <w:rsid w:val="002E6D11"/>
    <w:rsid w:val="00304F3B"/>
    <w:rsid w:val="00323893"/>
    <w:rsid w:val="00327F29"/>
    <w:rsid w:val="0033068E"/>
    <w:rsid w:val="00332836"/>
    <w:rsid w:val="003377E6"/>
    <w:rsid w:val="003378F7"/>
    <w:rsid w:val="00344F3E"/>
    <w:rsid w:val="00357537"/>
    <w:rsid w:val="003665B1"/>
    <w:rsid w:val="00367261"/>
    <w:rsid w:val="00380059"/>
    <w:rsid w:val="00391F23"/>
    <w:rsid w:val="00392656"/>
    <w:rsid w:val="0039287D"/>
    <w:rsid w:val="00395318"/>
    <w:rsid w:val="003A14B3"/>
    <w:rsid w:val="003B02C4"/>
    <w:rsid w:val="003B307F"/>
    <w:rsid w:val="003B5AB2"/>
    <w:rsid w:val="003C1548"/>
    <w:rsid w:val="003C24B2"/>
    <w:rsid w:val="003C789A"/>
    <w:rsid w:val="003D1DBC"/>
    <w:rsid w:val="003D3837"/>
    <w:rsid w:val="003D5B41"/>
    <w:rsid w:val="003D6315"/>
    <w:rsid w:val="003E5946"/>
    <w:rsid w:val="003E7E68"/>
    <w:rsid w:val="003F4487"/>
    <w:rsid w:val="003F48CF"/>
    <w:rsid w:val="003F78EE"/>
    <w:rsid w:val="0040228D"/>
    <w:rsid w:val="00405980"/>
    <w:rsid w:val="004113A8"/>
    <w:rsid w:val="00412214"/>
    <w:rsid w:val="004138F9"/>
    <w:rsid w:val="00420606"/>
    <w:rsid w:val="00420CA5"/>
    <w:rsid w:val="00420DA6"/>
    <w:rsid w:val="00426A8C"/>
    <w:rsid w:val="004359CD"/>
    <w:rsid w:val="00444A98"/>
    <w:rsid w:val="00446EED"/>
    <w:rsid w:val="004479AD"/>
    <w:rsid w:val="00456597"/>
    <w:rsid w:val="00463938"/>
    <w:rsid w:val="004704F2"/>
    <w:rsid w:val="00473544"/>
    <w:rsid w:val="004738B1"/>
    <w:rsid w:val="004771D5"/>
    <w:rsid w:val="0048033F"/>
    <w:rsid w:val="004873B6"/>
    <w:rsid w:val="00490A19"/>
    <w:rsid w:val="004A45B0"/>
    <w:rsid w:val="004A6675"/>
    <w:rsid w:val="004B3077"/>
    <w:rsid w:val="004B46D1"/>
    <w:rsid w:val="004B72AA"/>
    <w:rsid w:val="004C1E1E"/>
    <w:rsid w:val="004C2D78"/>
    <w:rsid w:val="004D2661"/>
    <w:rsid w:val="004D49B1"/>
    <w:rsid w:val="004D5C61"/>
    <w:rsid w:val="004D7636"/>
    <w:rsid w:val="004D78F0"/>
    <w:rsid w:val="004E2BFE"/>
    <w:rsid w:val="004E7157"/>
    <w:rsid w:val="004F4BEF"/>
    <w:rsid w:val="004F58A1"/>
    <w:rsid w:val="004F65F3"/>
    <w:rsid w:val="005057ED"/>
    <w:rsid w:val="00507356"/>
    <w:rsid w:val="00507764"/>
    <w:rsid w:val="005135D7"/>
    <w:rsid w:val="005153E9"/>
    <w:rsid w:val="00533433"/>
    <w:rsid w:val="00534BE3"/>
    <w:rsid w:val="005418DF"/>
    <w:rsid w:val="00542B73"/>
    <w:rsid w:val="005523AD"/>
    <w:rsid w:val="0055292C"/>
    <w:rsid w:val="00553263"/>
    <w:rsid w:val="0055384B"/>
    <w:rsid w:val="00554508"/>
    <w:rsid w:val="005547E9"/>
    <w:rsid w:val="0056359E"/>
    <w:rsid w:val="00563D9C"/>
    <w:rsid w:val="00567085"/>
    <w:rsid w:val="005676D8"/>
    <w:rsid w:val="00575D50"/>
    <w:rsid w:val="0057785A"/>
    <w:rsid w:val="005821B3"/>
    <w:rsid w:val="00590F44"/>
    <w:rsid w:val="0059144C"/>
    <w:rsid w:val="005A019F"/>
    <w:rsid w:val="005A580E"/>
    <w:rsid w:val="005A5AA2"/>
    <w:rsid w:val="005A71C5"/>
    <w:rsid w:val="005B1BFC"/>
    <w:rsid w:val="005B4409"/>
    <w:rsid w:val="005C2DF9"/>
    <w:rsid w:val="005C55FD"/>
    <w:rsid w:val="005D2F29"/>
    <w:rsid w:val="005D67A3"/>
    <w:rsid w:val="005E5815"/>
    <w:rsid w:val="005F04E3"/>
    <w:rsid w:val="005F1FE2"/>
    <w:rsid w:val="0060170C"/>
    <w:rsid w:val="00605D11"/>
    <w:rsid w:val="00614E30"/>
    <w:rsid w:val="00621968"/>
    <w:rsid w:val="006256DC"/>
    <w:rsid w:val="006313DE"/>
    <w:rsid w:val="006315B4"/>
    <w:rsid w:val="0063252F"/>
    <w:rsid w:val="00640137"/>
    <w:rsid w:val="00654D44"/>
    <w:rsid w:val="006573BF"/>
    <w:rsid w:val="0066155C"/>
    <w:rsid w:val="00661EFA"/>
    <w:rsid w:val="0067230D"/>
    <w:rsid w:val="00675504"/>
    <w:rsid w:val="0067714B"/>
    <w:rsid w:val="0068015B"/>
    <w:rsid w:val="006834C6"/>
    <w:rsid w:val="006905F2"/>
    <w:rsid w:val="00690D98"/>
    <w:rsid w:val="00691441"/>
    <w:rsid w:val="0069471F"/>
    <w:rsid w:val="006C23EB"/>
    <w:rsid w:val="006C2B99"/>
    <w:rsid w:val="006C4863"/>
    <w:rsid w:val="006C4BC5"/>
    <w:rsid w:val="006C4BCA"/>
    <w:rsid w:val="006C69F4"/>
    <w:rsid w:val="006C7A2C"/>
    <w:rsid w:val="006D1B85"/>
    <w:rsid w:val="006D22E2"/>
    <w:rsid w:val="006D2AE1"/>
    <w:rsid w:val="006D4A79"/>
    <w:rsid w:val="006D5B9D"/>
    <w:rsid w:val="006D695C"/>
    <w:rsid w:val="006E1CE9"/>
    <w:rsid w:val="006E3B5A"/>
    <w:rsid w:val="006E42A2"/>
    <w:rsid w:val="006E5F14"/>
    <w:rsid w:val="006E6CC4"/>
    <w:rsid w:val="006F345F"/>
    <w:rsid w:val="006F518B"/>
    <w:rsid w:val="00701F4C"/>
    <w:rsid w:val="00703D79"/>
    <w:rsid w:val="007041DB"/>
    <w:rsid w:val="00706085"/>
    <w:rsid w:val="00713FB6"/>
    <w:rsid w:val="007146AD"/>
    <w:rsid w:val="00715E94"/>
    <w:rsid w:val="00717D8E"/>
    <w:rsid w:val="00720A31"/>
    <w:rsid w:val="00735EDF"/>
    <w:rsid w:val="0074200E"/>
    <w:rsid w:val="00742118"/>
    <w:rsid w:val="00742756"/>
    <w:rsid w:val="00745130"/>
    <w:rsid w:val="00755CF8"/>
    <w:rsid w:val="00773CB0"/>
    <w:rsid w:val="00776571"/>
    <w:rsid w:val="00777B24"/>
    <w:rsid w:val="00777F74"/>
    <w:rsid w:val="007818AD"/>
    <w:rsid w:val="00790BE6"/>
    <w:rsid w:val="007915F7"/>
    <w:rsid w:val="0079376B"/>
    <w:rsid w:val="00795FBB"/>
    <w:rsid w:val="007A1123"/>
    <w:rsid w:val="007A25B9"/>
    <w:rsid w:val="007A2DCC"/>
    <w:rsid w:val="007A464B"/>
    <w:rsid w:val="007A5503"/>
    <w:rsid w:val="007B0FBC"/>
    <w:rsid w:val="007B2412"/>
    <w:rsid w:val="007B4147"/>
    <w:rsid w:val="007B6A67"/>
    <w:rsid w:val="007B7D87"/>
    <w:rsid w:val="007C01B6"/>
    <w:rsid w:val="007C31ED"/>
    <w:rsid w:val="007C69DC"/>
    <w:rsid w:val="007C6EF9"/>
    <w:rsid w:val="007C72C6"/>
    <w:rsid w:val="007D0E58"/>
    <w:rsid w:val="007D36EC"/>
    <w:rsid w:val="007E2508"/>
    <w:rsid w:val="007E3287"/>
    <w:rsid w:val="007F5B40"/>
    <w:rsid w:val="008006EE"/>
    <w:rsid w:val="00802700"/>
    <w:rsid w:val="0080685E"/>
    <w:rsid w:val="008127B3"/>
    <w:rsid w:val="00812BF8"/>
    <w:rsid w:val="00813650"/>
    <w:rsid w:val="0081490C"/>
    <w:rsid w:val="00816AA2"/>
    <w:rsid w:val="008206E8"/>
    <w:rsid w:val="00824DD2"/>
    <w:rsid w:val="00830CBE"/>
    <w:rsid w:val="00830D4A"/>
    <w:rsid w:val="0083233B"/>
    <w:rsid w:val="00846362"/>
    <w:rsid w:val="0084665C"/>
    <w:rsid w:val="00847A10"/>
    <w:rsid w:val="0085029D"/>
    <w:rsid w:val="0085262B"/>
    <w:rsid w:val="00852DFD"/>
    <w:rsid w:val="00865F1B"/>
    <w:rsid w:val="00870DB0"/>
    <w:rsid w:val="0087294C"/>
    <w:rsid w:val="008751CA"/>
    <w:rsid w:val="008775BE"/>
    <w:rsid w:val="00882D30"/>
    <w:rsid w:val="008858B1"/>
    <w:rsid w:val="00894BEB"/>
    <w:rsid w:val="00894CCD"/>
    <w:rsid w:val="008957EA"/>
    <w:rsid w:val="0089590A"/>
    <w:rsid w:val="0089733E"/>
    <w:rsid w:val="008B0300"/>
    <w:rsid w:val="008B0C6D"/>
    <w:rsid w:val="008B4B01"/>
    <w:rsid w:val="008C0E36"/>
    <w:rsid w:val="008D0858"/>
    <w:rsid w:val="008D14BF"/>
    <w:rsid w:val="008D39E6"/>
    <w:rsid w:val="008E3A32"/>
    <w:rsid w:val="008E5F65"/>
    <w:rsid w:val="008F1774"/>
    <w:rsid w:val="008F3683"/>
    <w:rsid w:val="008F4AD0"/>
    <w:rsid w:val="0090402F"/>
    <w:rsid w:val="00905C23"/>
    <w:rsid w:val="009076BD"/>
    <w:rsid w:val="009078A5"/>
    <w:rsid w:val="009120FE"/>
    <w:rsid w:val="00912AE0"/>
    <w:rsid w:val="0091481F"/>
    <w:rsid w:val="00921972"/>
    <w:rsid w:val="00923B34"/>
    <w:rsid w:val="009302F4"/>
    <w:rsid w:val="00932BD3"/>
    <w:rsid w:val="009344BC"/>
    <w:rsid w:val="009368DF"/>
    <w:rsid w:val="00954462"/>
    <w:rsid w:val="00960729"/>
    <w:rsid w:val="00974C13"/>
    <w:rsid w:val="00981058"/>
    <w:rsid w:val="009834A9"/>
    <w:rsid w:val="0098758F"/>
    <w:rsid w:val="009876DD"/>
    <w:rsid w:val="00991651"/>
    <w:rsid w:val="009934CD"/>
    <w:rsid w:val="009A016C"/>
    <w:rsid w:val="009A1EC5"/>
    <w:rsid w:val="009A463C"/>
    <w:rsid w:val="009A5C2E"/>
    <w:rsid w:val="009B38CC"/>
    <w:rsid w:val="009B6098"/>
    <w:rsid w:val="009C427A"/>
    <w:rsid w:val="009C5D53"/>
    <w:rsid w:val="009D0850"/>
    <w:rsid w:val="009D1F89"/>
    <w:rsid w:val="009D361C"/>
    <w:rsid w:val="009D6EF3"/>
    <w:rsid w:val="009D741F"/>
    <w:rsid w:val="009E274E"/>
    <w:rsid w:val="009E6E3E"/>
    <w:rsid w:val="009F0B6A"/>
    <w:rsid w:val="009F7BD4"/>
    <w:rsid w:val="00A006A5"/>
    <w:rsid w:val="00A040A5"/>
    <w:rsid w:val="00A0596A"/>
    <w:rsid w:val="00A05AB1"/>
    <w:rsid w:val="00A05B39"/>
    <w:rsid w:val="00A13E77"/>
    <w:rsid w:val="00A17E0A"/>
    <w:rsid w:val="00A22BAE"/>
    <w:rsid w:val="00A2749F"/>
    <w:rsid w:val="00A3529B"/>
    <w:rsid w:val="00A36229"/>
    <w:rsid w:val="00A40CD4"/>
    <w:rsid w:val="00A417C9"/>
    <w:rsid w:val="00A421C1"/>
    <w:rsid w:val="00A43762"/>
    <w:rsid w:val="00A44FC9"/>
    <w:rsid w:val="00A52927"/>
    <w:rsid w:val="00A541BB"/>
    <w:rsid w:val="00A57489"/>
    <w:rsid w:val="00A6657A"/>
    <w:rsid w:val="00A67558"/>
    <w:rsid w:val="00A70D71"/>
    <w:rsid w:val="00A75193"/>
    <w:rsid w:val="00A7723F"/>
    <w:rsid w:val="00A772D5"/>
    <w:rsid w:val="00A80F24"/>
    <w:rsid w:val="00A87653"/>
    <w:rsid w:val="00A90601"/>
    <w:rsid w:val="00A90835"/>
    <w:rsid w:val="00A93118"/>
    <w:rsid w:val="00A95930"/>
    <w:rsid w:val="00AA1821"/>
    <w:rsid w:val="00AA521D"/>
    <w:rsid w:val="00AA6446"/>
    <w:rsid w:val="00AB1B2E"/>
    <w:rsid w:val="00AB41B9"/>
    <w:rsid w:val="00AB4A91"/>
    <w:rsid w:val="00AB5324"/>
    <w:rsid w:val="00AB7080"/>
    <w:rsid w:val="00AC0682"/>
    <w:rsid w:val="00AC34BE"/>
    <w:rsid w:val="00AC3680"/>
    <w:rsid w:val="00AC4E0D"/>
    <w:rsid w:val="00AC4F13"/>
    <w:rsid w:val="00AD0AAC"/>
    <w:rsid w:val="00AD0F07"/>
    <w:rsid w:val="00AD4670"/>
    <w:rsid w:val="00AE060F"/>
    <w:rsid w:val="00AF45AF"/>
    <w:rsid w:val="00AF5E02"/>
    <w:rsid w:val="00AF7635"/>
    <w:rsid w:val="00AF763D"/>
    <w:rsid w:val="00B01479"/>
    <w:rsid w:val="00B01E92"/>
    <w:rsid w:val="00B170E9"/>
    <w:rsid w:val="00B21898"/>
    <w:rsid w:val="00B30E53"/>
    <w:rsid w:val="00B32105"/>
    <w:rsid w:val="00B32464"/>
    <w:rsid w:val="00B32AD2"/>
    <w:rsid w:val="00B34857"/>
    <w:rsid w:val="00B36780"/>
    <w:rsid w:val="00B36D02"/>
    <w:rsid w:val="00B45D92"/>
    <w:rsid w:val="00B47D24"/>
    <w:rsid w:val="00B53554"/>
    <w:rsid w:val="00B622CF"/>
    <w:rsid w:val="00B66F47"/>
    <w:rsid w:val="00B70054"/>
    <w:rsid w:val="00B706F2"/>
    <w:rsid w:val="00B72604"/>
    <w:rsid w:val="00B75B1E"/>
    <w:rsid w:val="00B762C9"/>
    <w:rsid w:val="00B94B45"/>
    <w:rsid w:val="00B94CEF"/>
    <w:rsid w:val="00BB478A"/>
    <w:rsid w:val="00BB5E3B"/>
    <w:rsid w:val="00BD0461"/>
    <w:rsid w:val="00BD09E6"/>
    <w:rsid w:val="00BD529B"/>
    <w:rsid w:val="00BD68A5"/>
    <w:rsid w:val="00BE1B62"/>
    <w:rsid w:val="00BE6737"/>
    <w:rsid w:val="00BF646D"/>
    <w:rsid w:val="00C0245E"/>
    <w:rsid w:val="00C03C7C"/>
    <w:rsid w:val="00C05472"/>
    <w:rsid w:val="00C11B5B"/>
    <w:rsid w:val="00C1357D"/>
    <w:rsid w:val="00C303C1"/>
    <w:rsid w:val="00C33A4A"/>
    <w:rsid w:val="00C34AA2"/>
    <w:rsid w:val="00C46B65"/>
    <w:rsid w:val="00C507CE"/>
    <w:rsid w:val="00C54D22"/>
    <w:rsid w:val="00C571F5"/>
    <w:rsid w:val="00C57409"/>
    <w:rsid w:val="00C66FC4"/>
    <w:rsid w:val="00C827F1"/>
    <w:rsid w:val="00C83AFD"/>
    <w:rsid w:val="00C87FE0"/>
    <w:rsid w:val="00C933BF"/>
    <w:rsid w:val="00C948AC"/>
    <w:rsid w:val="00CA5000"/>
    <w:rsid w:val="00CA60A9"/>
    <w:rsid w:val="00CA61A4"/>
    <w:rsid w:val="00CA6E9C"/>
    <w:rsid w:val="00CB6CBA"/>
    <w:rsid w:val="00CB77BC"/>
    <w:rsid w:val="00CC1499"/>
    <w:rsid w:val="00CC32E0"/>
    <w:rsid w:val="00CC368B"/>
    <w:rsid w:val="00CD1F52"/>
    <w:rsid w:val="00CD359B"/>
    <w:rsid w:val="00CD6F7B"/>
    <w:rsid w:val="00CE33C6"/>
    <w:rsid w:val="00CE4C6C"/>
    <w:rsid w:val="00CE5546"/>
    <w:rsid w:val="00CE72A7"/>
    <w:rsid w:val="00CF2264"/>
    <w:rsid w:val="00CF5FCD"/>
    <w:rsid w:val="00CF6940"/>
    <w:rsid w:val="00CF6D80"/>
    <w:rsid w:val="00CF7C50"/>
    <w:rsid w:val="00D06EBC"/>
    <w:rsid w:val="00D12643"/>
    <w:rsid w:val="00D129F5"/>
    <w:rsid w:val="00D15C94"/>
    <w:rsid w:val="00D218A1"/>
    <w:rsid w:val="00D2434C"/>
    <w:rsid w:val="00D24E95"/>
    <w:rsid w:val="00D30E34"/>
    <w:rsid w:val="00D427FE"/>
    <w:rsid w:val="00D439A9"/>
    <w:rsid w:val="00D459B5"/>
    <w:rsid w:val="00D4736E"/>
    <w:rsid w:val="00D5534D"/>
    <w:rsid w:val="00D630FF"/>
    <w:rsid w:val="00D669F5"/>
    <w:rsid w:val="00D66FE8"/>
    <w:rsid w:val="00D67072"/>
    <w:rsid w:val="00D70422"/>
    <w:rsid w:val="00D70D53"/>
    <w:rsid w:val="00D75056"/>
    <w:rsid w:val="00D756A5"/>
    <w:rsid w:val="00D76A9C"/>
    <w:rsid w:val="00D77B05"/>
    <w:rsid w:val="00D802A5"/>
    <w:rsid w:val="00D8138A"/>
    <w:rsid w:val="00D9070D"/>
    <w:rsid w:val="00D914BD"/>
    <w:rsid w:val="00D974A1"/>
    <w:rsid w:val="00D97950"/>
    <w:rsid w:val="00DA08C1"/>
    <w:rsid w:val="00DA2557"/>
    <w:rsid w:val="00DA4B41"/>
    <w:rsid w:val="00DA7E1A"/>
    <w:rsid w:val="00DB17B7"/>
    <w:rsid w:val="00DB5CA2"/>
    <w:rsid w:val="00DB6475"/>
    <w:rsid w:val="00DC2FAD"/>
    <w:rsid w:val="00DC472F"/>
    <w:rsid w:val="00DC50E9"/>
    <w:rsid w:val="00DD04A6"/>
    <w:rsid w:val="00DD1549"/>
    <w:rsid w:val="00DD76D2"/>
    <w:rsid w:val="00DE177A"/>
    <w:rsid w:val="00DF1E5D"/>
    <w:rsid w:val="00DF688D"/>
    <w:rsid w:val="00E078BC"/>
    <w:rsid w:val="00E10175"/>
    <w:rsid w:val="00E130DA"/>
    <w:rsid w:val="00E130F6"/>
    <w:rsid w:val="00E3141F"/>
    <w:rsid w:val="00E328D6"/>
    <w:rsid w:val="00E36E78"/>
    <w:rsid w:val="00E37652"/>
    <w:rsid w:val="00E43A4B"/>
    <w:rsid w:val="00E53E1B"/>
    <w:rsid w:val="00E60230"/>
    <w:rsid w:val="00E6100E"/>
    <w:rsid w:val="00E6177B"/>
    <w:rsid w:val="00E62B2B"/>
    <w:rsid w:val="00E62F94"/>
    <w:rsid w:val="00E7121B"/>
    <w:rsid w:val="00E80366"/>
    <w:rsid w:val="00E86EB7"/>
    <w:rsid w:val="00E9074B"/>
    <w:rsid w:val="00E97211"/>
    <w:rsid w:val="00EA2BD2"/>
    <w:rsid w:val="00EA3F52"/>
    <w:rsid w:val="00EA54E3"/>
    <w:rsid w:val="00EB2CE9"/>
    <w:rsid w:val="00EB4D24"/>
    <w:rsid w:val="00EB73C6"/>
    <w:rsid w:val="00EC5234"/>
    <w:rsid w:val="00EC6C70"/>
    <w:rsid w:val="00EC725D"/>
    <w:rsid w:val="00ED0DF1"/>
    <w:rsid w:val="00ED1C91"/>
    <w:rsid w:val="00ED6158"/>
    <w:rsid w:val="00ED783E"/>
    <w:rsid w:val="00EE409C"/>
    <w:rsid w:val="00EE4F05"/>
    <w:rsid w:val="00EF4CB1"/>
    <w:rsid w:val="00F013C9"/>
    <w:rsid w:val="00F013D5"/>
    <w:rsid w:val="00F05839"/>
    <w:rsid w:val="00F06490"/>
    <w:rsid w:val="00F1124F"/>
    <w:rsid w:val="00F12B01"/>
    <w:rsid w:val="00F146C4"/>
    <w:rsid w:val="00F156A8"/>
    <w:rsid w:val="00F175B1"/>
    <w:rsid w:val="00F17736"/>
    <w:rsid w:val="00F246AF"/>
    <w:rsid w:val="00F258A0"/>
    <w:rsid w:val="00F27EFC"/>
    <w:rsid w:val="00F30970"/>
    <w:rsid w:val="00F438DD"/>
    <w:rsid w:val="00F44352"/>
    <w:rsid w:val="00F44400"/>
    <w:rsid w:val="00F46760"/>
    <w:rsid w:val="00F512FD"/>
    <w:rsid w:val="00F529C0"/>
    <w:rsid w:val="00F54C32"/>
    <w:rsid w:val="00F63951"/>
    <w:rsid w:val="00F70ADF"/>
    <w:rsid w:val="00F809C1"/>
    <w:rsid w:val="00F812AA"/>
    <w:rsid w:val="00F86432"/>
    <w:rsid w:val="00F87463"/>
    <w:rsid w:val="00F9446E"/>
    <w:rsid w:val="00F94F25"/>
    <w:rsid w:val="00F95C7E"/>
    <w:rsid w:val="00F97646"/>
    <w:rsid w:val="00FA7917"/>
    <w:rsid w:val="00FC0D74"/>
    <w:rsid w:val="00FC7A36"/>
    <w:rsid w:val="00FD0E5A"/>
    <w:rsid w:val="00FD1E9A"/>
    <w:rsid w:val="00FD70F3"/>
    <w:rsid w:val="00FE2B92"/>
    <w:rsid w:val="00FE2C43"/>
    <w:rsid w:val="00FE48A2"/>
    <w:rsid w:val="00FF16A0"/>
    <w:rsid w:val="00FF1A93"/>
    <w:rsid w:val="00FF48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07C8F3"/>
  <w15:docId w15:val="{369A8DFA-D775-4EBC-B003-EF3C27A6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uiPriority w:val="34"/>
    <w:qFormat/>
    <w:rsid w:val="00F06490"/>
    <w:pPr>
      <w:ind w:left="720"/>
      <w:contextualSpacing/>
    </w:pPr>
  </w:style>
  <w:style w:type="paragraph" w:customStyle="1" w:styleId="Default">
    <w:name w:val="Default"/>
    <w:rsid w:val="0033068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9070D"/>
    <w:rPr>
      <w:sz w:val="16"/>
      <w:szCs w:val="16"/>
    </w:rPr>
  </w:style>
  <w:style w:type="paragraph" w:styleId="CommentText">
    <w:name w:val="annotation text"/>
    <w:basedOn w:val="Normal"/>
    <w:link w:val="CommentTextChar"/>
    <w:uiPriority w:val="99"/>
    <w:semiHidden/>
    <w:unhideWhenUsed/>
    <w:rsid w:val="00D9070D"/>
    <w:rPr>
      <w:sz w:val="20"/>
      <w:szCs w:val="20"/>
    </w:rPr>
  </w:style>
  <w:style w:type="character" w:customStyle="1" w:styleId="CommentTextChar">
    <w:name w:val="Comment Text Char"/>
    <w:basedOn w:val="DefaultParagraphFont"/>
    <w:link w:val="CommentText"/>
    <w:uiPriority w:val="99"/>
    <w:semiHidden/>
    <w:rsid w:val="00D907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070D"/>
    <w:rPr>
      <w:b/>
      <w:bCs/>
    </w:rPr>
  </w:style>
  <w:style w:type="character" w:customStyle="1" w:styleId="CommentSubjectChar">
    <w:name w:val="Comment Subject Char"/>
    <w:basedOn w:val="CommentTextChar"/>
    <w:link w:val="CommentSubject"/>
    <w:uiPriority w:val="99"/>
    <w:semiHidden/>
    <w:rsid w:val="00D907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070D"/>
    <w:rPr>
      <w:rFonts w:ascii="Tahoma" w:hAnsi="Tahoma" w:cs="Tahoma"/>
      <w:sz w:val="16"/>
      <w:szCs w:val="16"/>
    </w:rPr>
  </w:style>
  <w:style w:type="character" w:customStyle="1" w:styleId="BalloonTextChar">
    <w:name w:val="Balloon Text Char"/>
    <w:basedOn w:val="DefaultParagraphFont"/>
    <w:link w:val="BalloonText"/>
    <w:uiPriority w:val="99"/>
    <w:semiHidden/>
    <w:rsid w:val="00D9070D"/>
    <w:rPr>
      <w:rFonts w:ascii="Tahoma" w:eastAsia="Times New Roman" w:hAnsi="Tahoma" w:cs="Tahoma"/>
      <w:sz w:val="16"/>
      <w:szCs w:val="16"/>
    </w:rPr>
  </w:style>
  <w:style w:type="paragraph" w:customStyle="1" w:styleId="Chapter">
    <w:name w:val="Chapter"/>
    <w:basedOn w:val="Normal"/>
    <w:next w:val="Normal"/>
    <w:rsid w:val="00B72604"/>
    <w:pPr>
      <w:numPr>
        <w:numId w:val="3"/>
      </w:numPr>
      <w:tabs>
        <w:tab w:val="left" w:pos="1440"/>
      </w:tabs>
      <w:spacing w:after="240"/>
      <w:jc w:val="center"/>
    </w:pPr>
    <w:rPr>
      <w:b/>
      <w:smallCaps/>
      <w:szCs w:val="20"/>
      <w:lang w:val="es-ES"/>
    </w:rPr>
  </w:style>
  <w:style w:type="paragraph" w:customStyle="1" w:styleId="Paragraph">
    <w:name w:val="Paragraph"/>
    <w:aliases w:val="p,PARAGRAPH,PG,pa,at,paragraph"/>
    <w:basedOn w:val="BodyTextIndent"/>
    <w:link w:val="ParagraphChar"/>
    <w:qFormat/>
    <w:rsid w:val="00B72604"/>
    <w:pPr>
      <w:numPr>
        <w:ilvl w:val="1"/>
        <w:numId w:val="3"/>
      </w:numPr>
      <w:tabs>
        <w:tab w:val="clear" w:pos="720"/>
      </w:tabs>
      <w:spacing w:before="120"/>
      <w:ind w:left="1440" w:hanging="360"/>
      <w:jc w:val="both"/>
      <w:outlineLvl w:val="1"/>
    </w:pPr>
    <w:rPr>
      <w:szCs w:val="20"/>
      <w:lang w:val="es-ES"/>
    </w:rPr>
  </w:style>
  <w:style w:type="paragraph" w:customStyle="1" w:styleId="subpar">
    <w:name w:val="subpar"/>
    <w:basedOn w:val="BodyTextIndent3"/>
    <w:rsid w:val="00B72604"/>
    <w:pPr>
      <w:numPr>
        <w:ilvl w:val="2"/>
        <w:numId w:val="3"/>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B72604"/>
    <w:pPr>
      <w:numPr>
        <w:ilvl w:val="3"/>
      </w:numPr>
      <w:tabs>
        <w:tab w:val="clear" w:pos="1584"/>
        <w:tab w:val="left" w:pos="0"/>
      </w:tabs>
      <w:ind w:left="2880" w:hanging="360"/>
    </w:pPr>
  </w:style>
  <w:style w:type="paragraph" w:styleId="FootnoteText">
    <w:name w:val="footnote text"/>
    <w:aliases w:val="fn,texto de nota al pie,Nota a pie/Bibliog,footnote,foottextfra,F,single space,footnote text,Texto de rodapé,nota_rodapé,nota de rodapé,Texto nota pie IIRSA,Texto nota pie Car Car,ft,Footnote Text Char Char,Char,Char Char Char Char"/>
    <w:basedOn w:val="Normal"/>
    <w:link w:val="FootnoteTextChar"/>
    <w:unhideWhenUsed/>
    <w:rsid w:val="00B72604"/>
    <w:rPr>
      <w:rFonts w:asciiTheme="minorHAnsi" w:eastAsiaTheme="minorEastAsia" w:hAnsiTheme="minorHAnsi" w:cstheme="minorBidi"/>
      <w:sz w:val="20"/>
      <w:szCs w:val="20"/>
    </w:rPr>
  </w:style>
  <w:style w:type="character" w:customStyle="1" w:styleId="FootnoteTextChar">
    <w:name w:val="Footnote Text Char"/>
    <w:aliases w:val="fn Char,texto de nota al pie Char,Nota a pie/Bibliog Char,footnote Char,foottextfra Char,F Char,single space Char,footnote text Char,Texto de rodapé Char,nota_rodapé Char,nota de rodapé Char,Texto nota pie IIRSA Char,ft Char,Char Char"/>
    <w:basedOn w:val="DefaultParagraphFont"/>
    <w:link w:val="FootnoteText"/>
    <w:rsid w:val="00B72604"/>
    <w:rPr>
      <w:rFonts w:eastAsiaTheme="minorEastAsia"/>
      <w:sz w:val="20"/>
      <w:szCs w:val="20"/>
    </w:rPr>
  </w:style>
  <w:style w:type="character" w:styleId="FootnoteReference">
    <w:name w:val="footnote reference"/>
    <w:aliases w:val="FC,referencia nota al pie,Ref. de nota al pie.,BVI fnr Char Char Char Char Char Char Char Char,BVI fnr Car Car Char Char Char Char Char Char Char Char,BVI fnr Car Char Char Char Char Char Char Char Char Char,BVI fnr,titulo 2,16 Point"/>
    <w:basedOn w:val="DefaultParagraphFont"/>
    <w:link w:val="BVIfnrCharCharCharCharCharCharChar"/>
    <w:unhideWhenUsed/>
    <w:rsid w:val="00B72604"/>
    <w:rPr>
      <w:vertAlign w:val="superscript"/>
    </w:rPr>
  </w:style>
  <w:style w:type="paragraph" w:styleId="BodyTextIndent">
    <w:name w:val="Body Text Indent"/>
    <w:basedOn w:val="Normal"/>
    <w:link w:val="BodyTextIndentChar"/>
    <w:uiPriority w:val="99"/>
    <w:semiHidden/>
    <w:unhideWhenUsed/>
    <w:rsid w:val="00B72604"/>
    <w:pPr>
      <w:spacing w:after="120"/>
      <w:ind w:left="360"/>
    </w:pPr>
  </w:style>
  <w:style w:type="character" w:customStyle="1" w:styleId="BodyTextIndentChar">
    <w:name w:val="Body Text Indent Char"/>
    <w:basedOn w:val="DefaultParagraphFont"/>
    <w:link w:val="BodyTextIndent"/>
    <w:uiPriority w:val="99"/>
    <w:semiHidden/>
    <w:rsid w:val="00B72604"/>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7260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72604"/>
    <w:rPr>
      <w:rFonts w:ascii="Times New Roman" w:eastAsia="Times New Roman" w:hAnsi="Times New Roman" w:cs="Times New Roman"/>
      <w:sz w:val="16"/>
      <w:szCs w:val="16"/>
    </w:rPr>
  </w:style>
  <w:style w:type="character" w:customStyle="1" w:styleId="Heading7Char">
    <w:name w:val="Heading 7 Char"/>
    <w:rsid w:val="006D4A79"/>
    <w:rPr>
      <w:rFonts w:ascii="Arial" w:eastAsia="Times New Roman" w:hAnsi="Arial" w:cs="Times New Roman"/>
      <w:sz w:val="24"/>
      <w:szCs w:val="20"/>
    </w:rPr>
  </w:style>
  <w:style w:type="paragraph" w:customStyle="1" w:styleId="FirstHeading">
    <w:name w:val="FirstHeading"/>
    <w:basedOn w:val="Normal"/>
    <w:rsid w:val="002B6E68"/>
    <w:pPr>
      <w:keepNext/>
      <w:numPr>
        <w:numId w:val="6"/>
      </w:numPr>
      <w:tabs>
        <w:tab w:val="left" w:pos="0"/>
        <w:tab w:val="left" w:pos="86"/>
      </w:tabs>
      <w:spacing w:before="120" w:after="120"/>
    </w:pPr>
    <w:rPr>
      <w:b/>
      <w:lang w:val="es-ES_tradnl"/>
    </w:rPr>
  </w:style>
  <w:style w:type="paragraph" w:customStyle="1" w:styleId="SecHeading">
    <w:name w:val="SecHeading"/>
    <w:basedOn w:val="Normal"/>
    <w:next w:val="Normal"/>
    <w:rsid w:val="002B6E68"/>
    <w:pPr>
      <w:keepNext/>
      <w:numPr>
        <w:ilvl w:val="1"/>
        <w:numId w:val="6"/>
      </w:numPr>
      <w:tabs>
        <w:tab w:val="clear" w:pos="5400"/>
        <w:tab w:val="num" w:pos="1296"/>
      </w:tabs>
      <w:spacing w:before="120" w:after="120"/>
      <w:ind w:left="1296"/>
    </w:pPr>
    <w:rPr>
      <w:b/>
      <w:lang w:val="es-ES_tradnl"/>
    </w:rPr>
  </w:style>
  <w:style w:type="paragraph" w:customStyle="1" w:styleId="SubHeading1">
    <w:name w:val="SubHeading1"/>
    <w:basedOn w:val="SecHeading"/>
    <w:rsid w:val="002B6E68"/>
    <w:pPr>
      <w:numPr>
        <w:ilvl w:val="2"/>
      </w:numPr>
      <w:tabs>
        <w:tab w:val="clear" w:pos="5976"/>
        <w:tab w:val="num" w:pos="1872"/>
      </w:tabs>
      <w:ind w:left="1872"/>
    </w:pPr>
  </w:style>
  <w:style w:type="paragraph" w:customStyle="1" w:styleId="Subheading2">
    <w:name w:val="Subheading2"/>
    <w:basedOn w:val="SecHeading"/>
    <w:rsid w:val="002B6E68"/>
    <w:pPr>
      <w:numPr>
        <w:ilvl w:val="3"/>
      </w:numPr>
      <w:tabs>
        <w:tab w:val="clear" w:pos="6480"/>
        <w:tab w:val="num" w:pos="2376"/>
      </w:tabs>
      <w:ind w:left="2376"/>
    </w:p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rsid w:val="002B6E68"/>
    <w:pPr>
      <w:spacing w:after="160" w:line="240" w:lineRule="exact"/>
    </w:pPr>
    <w:rPr>
      <w:rFonts w:asciiTheme="minorHAnsi" w:eastAsiaTheme="minorHAnsi" w:hAnsiTheme="minorHAnsi" w:cstheme="minorBidi"/>
      <w:sz w:val="22"/>
      <w:szCs w:val="22"/>
      <w:vertAlign w:val="superscript"/>
    </w:rPr>
  </w:style>
  <w:style w:type="character" w:customStyle="1" w:styleId="ParagraphChar">
    <w:name w:val="Paragraph Char"/>
    <w:link w:val="Paragraph"/>
    <w:locked/>
    <w:rsid w:val="00B47D24"/>
    <w:rPr>
      <w:rFonts w:ascii="Times New Roman" w:eastAsia="Times New Roman" w:hAnsi="Times New Roman" w:cs="Times New Roman"/>
      <w:sz w:val="24"/>
      <w:szCs w:val="20"/>
      <w:lang w:val="es-ES"/>
    </w:rPr>
  </w:style>
  <w:style w:type="paragraph" w:styleId="Header">
    <w:name w:val="header"/>
    <w:basedOn w:val="Normal"/>
    <w:link w:val="HeaderChar"/>
    <w:uiPriority w:val="99"/>
    <w:unhideWhenUsed/>
    <w:rsid w:val="00120449"/>
    <w:pPr>
      <w:tabs>
        <w:tab w:val="center" w:pos="4680"/>
        <w:tab w:val="right" w:pos="9360"/>
      </w:tabs>
    </w:pPr>
  </w:style>
  <w:style w:type="character" w:customStyle="1" w:styleId="HeaderChar">
    <w:name w:val="Header Char"/>
    <w:basedOn w:val="DefaultParagraphFont"/>
    <w:link w:val="Header"/>
    <w:uiPriority w:val="99"/>
    <w:rsid w:val="001204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20449"/>
    <w:pPr>
      <w:tabs>
        <w:tab w:val="center" w:pos="4680"/>
        <w:tab w:val="right" w:pos="9360"/>
      </w:tabs>
    </w:pPr>
  </w:style>
  <w:style w:type="character" w:customStyle="1" w:styleId="FooterChar">
    <w:name w:val="Footer Char"/>
    <w:basedOn w:val="DefaultParagraphFont"/>
    <w:link w:val="Footer"/>
    <w:uiPriority w:val="99"/>
    <w:rsid w:val="00120449"/>
    <w:rPr>
      <w:rFonts w:ascii="Times New Roman" w:eastAsia="Times New Roman" w:hAnsi="Times New Roman" w:cs="Times New Roman"/>
      <w:sz w:val="24"/>
      <w:szCs w:val="24"/>
    </w:rPr>
  </w:style>
  <w:style w:type="paragraph" w:styleId="BodyText">
    <w:name w:val="Body Text"/>
    <w:aliases w:val="Body Text Char Char Char Char Char,Body Text Char Char Char Char,Body Text Char Char Char,Body Text Char Char,1body,BodText,bt,body text,Body Txt,heading3,3 indent,heading31,body text1,3 indent1,heading32,body text2,3 indent2,b"/>
    <w:basedOn w:val="Normal"/>
    <w:link w:val="BodyTextChar1"/>
    <w:rsid w:val="00534BE3"/>
    <w:pPr>
      <w:spacing w:after="120"/>
      <w:jc w:val="both"/>
    </w:pPr>
    <w:rPr>
      <w:rFonts w:ascii="Garamond" w:hAnsi="Garamond"/>
      <w:lang w:eastAsia="en-NZ"/>
    </w:rPr>
  </w:style>
  <w:style w:type="character" w:customStyle="1" w:styleId="BodyTextChar">
    <w:name w:val="Body Text Char"/>
    <w:basedOn w:val="DefaultParagraphFont"/>
    <w:uiPriority w:val="99"/>
    <w:semiHidden/>
    <w:rsid w:val="00534BE3"/>
    <w:rPr>
      <w:rFonts w:ascii="Times New Roman" w:eastAsia="Times New Roman" w:hAnsi="Times New Roman" w:cs="Times New Roman"/>
      <w:sz w:val="24"/>
      <w:szCs w:val="24"/>
    </w:rPr>
  </w:style>
  <w:style w:type="paragraph" w:styleId="ListBullet">
    <w:name w:val="List Bullet"/>
    <w:basedOn w:val="BodyText"/>
    <w:rsid w:val="00534BE3"/>
    <w:pPr>
      <w:numPr>
        <w:numId w:val="9"/>
      </w:numPr>
      <w:tabs>
        <w:tab w:val="clear" w:pos="1004"/>
        <w:tab w:val="num" w:pos="2088"/>
      </w:tabs>
      <w:ind w:left="1440" w:firstLine="288"/>
    </w:pPr>
  </w:style>
  <w:style w:type="paragraph" w:styleId="ListBullet2">
    <w:name w:val="List Bullet 2"/>
    <w:basedOn w:val="BodyText"/>
    <w:rsid w:val="00534BE3"/>
    <w:pPr>
      <w:numPr>
        <w:ilvl w:val="1"/>
        <w:numId w:val="9"/>
      </w:numPr>
      <w:tabs>
        <w:tab w:val="clear" w:pos="1273"/>
        <w:tab w:val="num" w:pos="1287"/>
        <w:tab w:val="num" w:pos="2736"/>
      </w:tabs>
      <w:ind w:left="1287" w:hanging="1296"/>
    </w:pPr>
  </w:style>
  <w:style w:type="paragraph" w:styleId="ListBullet3">
    <w:name w:val="List Bullet 3"/>
    <w:basedOn w:val="BodyText"/>
    <w:rsid w:val="00534BE3"/>
    <w:pPr>
      <w:numPr>
        <w:ilvl w:val="2"/>
        <w:numId w:val="9"/>
      </w:numPr>
      <w:tabs>
        <w:tab w:val="clear" w:pos="1571"/>
        <w:tab w:val="num" w:pos="2592"/>
      </w:tabs>
      <w:ind w:left="2592" w:hanging="432"/>
    </w:pPr>
  </w:style>
  <w:style w:type="paragraph" w:styleId="ListBullet4">
    <w:name w:val="List Bullet 4"/>
    <w:basedOn w:val="BodyText"/>
    <w:rsid w:val="00534BE3"/>
    <w:pPr>
      <w:numPr>
        <w:ilvl w:val="3"/>
        <w:numId w:val="9"/>
      </w:numPr>
      <w:ind w:left="2304" w:hanging="864"/>
    </w:pPr>
  </w:style>
  <w:style w:type="paragraph" w:customStyle="1" w:styleId="BoxBullet1">
    <w:name w:val="Box Bullet 1"/>
    <w:basedOn w:val="Normal"/>
    <w:rsid w:val="00534BE3"/>
    <w:pPr>
      <w:numPr>
        <w:numId w:val="8"/>
      </w:numPr>
      <w:spacing w:before="30" w:after="30"/>
      <w:jc w:val="both"/>
    </w:pPr>
    <w:rPr>
      <w:rFonts w:ascii="Garamond" w:hAnsi="Garamond"/>
      <w:sz w:val="22"/>
      <w:lang w:eastAsia="en-NZ"/>
    </w:rPr>
  </w:style>
  <w:style w:type="paragraph" w:customStyle="1" w:styleId="BoxBullet2">
    <w:name w:val="Box Bullet 2"/>
    <w:basedOn w:val="Normal"/>
    <w:rsid w:val="00534BE3"/>
    <w:pPr>
      <w:numPr>
        <w:ilvl w:val="1"/>
        <w:numId w:val="8"/>
      </w:numPr>
      <w:spacing w:before="30" w:after="30"/>
      <w:jc w:val="both"/>
    </w:pPr>
    <w:rPr>
      <w:rFonts w:ascii="Garamond" w:hAnsi="Garamond"/>
      <w:sz w:val="22"/>
      <w:lang w:eastAsia="en-NZ"/>
    </w:rPr>
  </w:style>
  <w:style w:type="character" w:customStyle="1" w:styleId="BodyTextChar1">
    <w:name w:val="Body Text Char1"/>
    <w:aliases w:val="Body Text Char Char Char Char Char Char,Body Text Char Char Char Char Char1,Body Text Char Char Char Char1,Body Text Char Char Char1,1body Char,BodText Char,bt Char,body text Char,Body Txt Char,heading3 Char,3 indent Char,heading31 Char"/>
    <w:basedOn w:val="DefaultParagraphFont"/>
    <w:link w:val="BodyText"/>
    <w:rsid w:val="00534BE3"/>
    <w:rPr>
      <w:rFonts w:ascii="Garamond" w:eastAsia="Times New Roman" w:hAnsi="Garamond" w:cs="Times New Roman"/>
      <w:sz w:val="24"/>
      <w:szCs w:val="24"/>
      <w:lang w:eastAsia="en-NZ"/>
    </w:rPr>
  </w:style>
  <w:style w:type="paragraph" w:customStyle="1" w:styleId="CFIJAENB">
    <w:name w:val="( C )  FIJA EN &quot;B&quot;"/>
    <w:basedOn w:val="Normal"/>
    <w:rsid w:val="00262F31"/>
    <w:pPr>
      <w:ind w:left="703"/>
      <w:jc w:val="both"/>
    </w:pPr>
    <w:rPr>
      <w:rFonts w:ascii="Arial" w:hAnsi="Arial"/>
      <w:sz w:val="20"/>
      <w:szCs w:val="20"/>
      <w:lang w:val="es-ES_tradnl" w:eastAsia="es-ES"/>
    </w:rPr>
  </w:style>
  <w:style w:type="paragraph" w:customStyle="1" w:styleId="BoxNumberedText">
    <w:name w:val="Box Numbered Text"/>
    <w:basedOn w:val="Normal"/>
    <w:rsid w:val="005A019F"/>
    <w:pPr>
      <w:numPr>
        <w:numId w:val="12"/>
      </w:numPr>
      <w:spacing w:before="30" w:after="30"/>
      <w:jc w:val="both"/>
    </w:pPr>
    <w:rPr>
      <w:rFonts w:ascii="Garamond" w:hAnsi="Garamond"/>
      <w:sz w:val="22"/>
      <w:lang w:eastAsia="en-NZ"/>
    </w:rPr>
  </w:style>
  <w:style w:type="paragraph" w:styleId="Title">
    <w:name w:val="Title"/>
    <w:basedOn w:val="Normal"/>
    <w:next w:val="Normal"/>
    <w:link w:val="TitleChar"/>
    <w:uiPriority w:val="10"/>
    <w:qFormat/>
    <w:rsid w:val="00304F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4F3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5269">
      <w:bodyDiv w:val="1"/>
      <w:marLeft w:val="0"/>
      <w:marRight w:val="0"/>
      <w:marTop w:val="0"/>
      <w:marBottom w:val="0"/>
      <w:divBdr>
        <w:top w:val="none" w:sz="0" w:space="0" w:color="auto"/>
        <w:left w:val="none" w:sz="0" w:space="0" w:color="auto"/>
        <w:bottom w:val="none" w:sz="0" w:space="0" w:color="auto"/>
        <w:right w:val="none" w:sz="0" w:space="0" w:color="auto"/>
      </w:divBdr>
    </w:div>
    <w:div w:id="1085344569">
      <w:bodyDiv w:val="1"/>
      <w:marLeft w:val="0"/>
      <w:marRight w:val="0"/>
      <w:marTop w:val="0"/>
      <w:marBottom w:val="0"/>
      <w:divBdr>
        <w:top w:val="none" w:sz="0" w:space="0" w:color="auto"/>
        <w:left w:val="none" w:sz="0" w:space="0" w:color="auto"/>
        <w:bottom w:val="none" w:sz="0" w:space="0" w:color="auto"/>
        <w:right w:val="none" w:sz="0" w:space="0" w:color="auto"/>
      </w:divBdr>
    </w:div>
    <w:div w:id="117676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10.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8F56736A541D104B9336CDF618FFAEF7" ma:contentTypeVersion="33" ma:contentTypeDescription="The base project type from which other project content types inherit their information." ma:contentTypeScope="" ma:versionID="ea506a86fdf136b27cfc99a371e097f5">
  <xsd:schema xmlns:xsd="http://www.w3.org/2001/XMLSchema" xmlns:xs="http://www.w3.org/2001/XMLSchema" xmlns:p="http://schemas.microsoft.com/office/2006/metadata/properties" xmlns:ns2="cdc7663a-08f0-4737-9e8c-148ce897a09c" targetNamespace="http://schemas.microsoft.com/office/2006/metadata/properties" ma:root="true" ma:fieldsID="62e2d43c24a6845445190ddd83c6bf4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0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CF45222187B24393C6E2E46F21CBA5" ma:contentTypeVersion="332" ma:contentTypeDescription="A content type to manage public (operations) IDB documents" ma:contentTypeScope="" ma:versionID="33c133e6d750c727ca8cd2bd9fab24f7">
  <xsd:schema xmlns:xsd="http://www.w3.org/2001/XMLSchema" xmlns:xs="http://www.w3.org/2001/XMLSchema" xmlns:p="http://schemas.microsoft.com/office/2006/metadata/properties" xmlns:ns2="cdc7663a-08f0-4737-9e8c-148ce897a09c" targetNamespace="http://schemas.microsoft.com/office/2006/metadata/properties" ma:root="true" ma:fieldsID="95c9035acea6c87b599156be98b0f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40647557</IDBDocs_x0020_Number>
    <TaxCatchAll xmlns="cdc7663a-08f0-4737-9e8c-148ce897a09c">
      <Value>83</Value>
      <Value>60</Value>
      <Value>9</Value>
      <Value>42</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Garcia Merino, Lucio Javier</Document_x0020_Author>
    <Fiscal_x0020_Year_x0020_IDB xmlns="cdc7663a-08f0-4737-9e8c-148ce897a09c">2018</Fiscal_x0020_Year_x0020_IDB>
    <Other_x0020_Author xmlns="cdc7663a-08f0-4737-9e8c-148ce897a09c" xsi:nil="true"/>
    <Project_x0020_Number xmlns="cdc7663a-08f0-4737-9e8c-148ce897a09c">HA-L1106</Project_x0020_Number>
    <Package_x0020_Code xmlns="cdc7663a-08f0-4737-9e8c-148ce897a09c" xsi:nil="true"/>
    <Key_x0020_Document xmlns="cdc7663a-08f0-4737-9e8c-148ce897a09c">false</Key_x0020_Document>
    <Migration_x0020_Info xmlns="cdc7663a-08f0-4737-9e8c-148ce897a09c">MS WORDLoan Proposal0Nov 16 2016 12&amp;#58;00AMN</Migration_x0020_Info>
    <Operation_x0020_Type xmlns="cdc7663a-08f0-4737-9e8c-148ce897a09c">Loan Operation</Operation_x0020_Type>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R0002216169</Record_x0020_Number>
    <_dlc_DocId xmlns="cdc7663a-08f0-4737-9e8c-148ce897a09c">EZSHARE-535831809-9</_dlc_DocId>
    <_dlc_DocIdUrl xmlns="cdc7663a-08f0-4737-9e8c-148ce897a09c">
      <Url>https://idbg.sharepoint.com/teams/EZ-HA-LON/HA-L1106/_layouts/15/DocIdRedir.aspx?ID=EZSHARE-535831809-9</Url>
      <Description>EZSHARE-535831809-9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1A30C4F3-645B-4223-A46B-9B40070EB259}">
  <ds:schemaRefs>
    <ds:schemaRef ds:uri="http://schemas.microsoft.com/sharepoint/v3/contenttype/forms"/>
  </ds:schemaRefs>
</ds:datastoreItem>
</file>

<file path=customXml/itemProps10.xml><?xml version="1.0" encoding="utf-8"?>
<ds:datastoreItem xmlns:ds="http://schemas.openxmlformats.org/officeDocument/2006/customXml" ds:itemID="{E7BAF36D-AD7A-451C-8F8D-11ACE6416421}"/>
</file>

<file path=customXml/itemProps2.xml><?xml version="1.0" encoding="utf-8"?>
<ds:datastoreItem xmlns:ds="http://schemas.openxmlformats.org/officeDocument/2006/customXml" ds:itemID="{C74EBE8C-42D8-41E0-BD78-3E414E1E4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277A62-118A-47F8-8B4E-416B8CA13847}"/>
</file>

<file path=customXml/itemProps4.xml><?xml version="1.0" encoding="utf-8"?>
<ds:datastoreItem xmlns:ds="http://schemas.openxmlformats.org/officeDocument/2006/customXml" ds:itemID="{77D52461-6E38-4AD6-9792-C819D67FCC6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582E7837-A8D7-4759-B773-6FBE6623A9E5}"/>
</file>

<file path=customXml/itemProps6.xml><?xml version="1.0" encoding="utf-8"?>
<ds:datastoreItem xmlns:ds="http://schemas.openxmlformats.org/officeDocument/2006/customXml" ds:itemID="{6B592C2B-7EDA-4FE0-A3AA-B3089C7BE8EC}">
  <ds:schemaRefs>
    <ds:schemaRef ds:uri="http://schemas.microsoft.com/sharepoint/events"/>
  </ds:schemaRefs>
</ds:datastoreItem>
</file>

<file path=customXml/itemProps7.xml><?xml version="1.0" encoding="utf-8"?>
<ds:datastoreItem xmlns:ds="http://schemas.openxmlformats.org/officeDocument/2006/customXml" ds:itemID="{2C3718FA-3DF9-466F-B466-4590D35F9D3B}">
  <ds:schemaRefs>
    <ds:schemaRef ds:uri="http://schemas.openxmlformats.org/officeDocument/2006/bibliography"/>
  </ds:schemaRefs>
</ds:datastoreItem>
</file>

<file path=customXml/itemProps8.xml><?xml version="1.0" encoding="utf-8"?>
<ds:datastoreItem xmlns:ds="http://schemas.openxmlformats.org/officeDocument/2006/customXml" ds:itemID="{8DBBE61D-1AA2-4B97-B2CC-051B95E64173}"/>
</file>

<file path=customXml/itemProps9.xml><?xml version="1.0" encoding="utf-8"?>
<ds:datastoreItem xmlns:ds="http://schemas.openxmlformats.org/officeDocument/2006/customXml" ds:itemID="{0E511960-0CAA-48A6-AAAA-03916228906D}"/>
</file>

<file path=docProps/app.xml><?xml version="1.0" encoding="utf-8"?>
<Properties xmlns="http://schemas.openxmlformats.org/officeDocument/2006/extended-properties" xmlns:vt="http://schemas.openxmlformats.org/officeDocument/2006/docPropsVTypes">
  <Template>Normal.dotm</Template>
  <TotalTime>88</TotalTime>
  <Pages>8</Pages>
  <Words>3588</Words>
  <Characters>20454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EEO_5 - Análisis Cumplimiento Política Servicios Públicos</vt:lpstr>
    </vt:vector>
  </TitlesOfParts>
  <Company>Inter-American Development Bank</Company>
  <LinksUpToDate>false</LinksUpToDate>
  <CharactersWithSpaces>23995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EEO_5 - Análisis Cumplimiento Política Servicios Públicos</dc:title>
  <dc:creator>Inter-American Development Bank</dc:creator>
  <cp:keywords/>
  <cp:lastModifiedBy>Maria Eugenia de la Pena</cp:lastModifiedBy>
  <cp:revision>83</cp:revision>
  <cp:lastPrinted>2015-05-19T15:05:00Z</cp:lastPrinted>
  <dcterms:created xsi:type="dcterms:W3CDTF">2018-04-18T15:43:00Z</dcterms:created>
  <dcterms:modified xsi:type="dcterms:W3CDTF">2018-04-27T19:36:00Z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Function Operations IDB">
    <vt:lpwstr>9;#IDBDocs|cca77002-e150-4b2d-ab1f-1d7a7cdcae16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8" name="Country">
    <vt:lpwstr>42;#Haiti|77a11ace-c854-4e9c-9e19-c924bca0dd43</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83;#WATER AND SANITATION|ba6b63cd-e402-47cb-9357-08149f7ce046</vt:lpwstr>
  </property>
  <property fmtid="{D5CDD505-2E9C-101B-9397-08002B2CF9AE}" pid="14" name="Sub-Sector">
    <vt:lpwstr>60;#WATER AND SANITATION|58dede58-0f72-4d2f-8205-0b2af4d108e7</vt:lpwstr>
  </property>
  <property fmtid="{D5CDD505-2E9C-101B-9397-08002B2CF9AE}" pid="15" name="_dlc_DocIdItemGuid">
    <vt:lpwstr>e03752d0-a190-4f40-9241-bfec86db41b6</vt:lpwstr>
  </property>
  <property fmtid="{D5CDD505-2E9C-101B-9397-08002B2CF9AE}" pid="17" name="RecordStorageActiveId">
    <vt:lpwstr>21476109-c970-46d8-86ec-5a658a224c15</vt:lpwstr>
  </property>
  <property fmtid="{D5CDD505-2E9C-101B-9397-08002B2CF9AE}" pid="18" name="ContentTypeId">
    <vt:lpwstr>0x0101001A458A224826124E8B45B1D613300CFC0075CF45222187B24393C6E2E46F21CBA5</vt:lpwstr>
  </property>
</Properties>
</file>