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C0D3AB" w14:textId="77777777" w:rsidR="0095711B" w:rsidRPr="00D97FAD" w:rsidRDefault="0091508A" w:rsidP="00A34490">
      <w:pPr>
        <w:spacing w:before="120" w:after="120" w:line="240" w:lineRule="auto"/>
        <w:jc w:val="center"/>
        <w:rPr>
          <w:rFonts w:ascii="Arial" w:hAnsi="Arial" w:cs="Arial"/>
          <w:b/>
          <w:lang w:val="es-ES"/>
        </w:rPr>
      </w:pPr>
      <w:r w:rsidRPr="00D97FAD">
        <w:rPr>
          <w:rFonts w:ascii="Arial" w:hAnsi="Arial" w:cs="Arial"/>
          <w:b/>
          <w:sz w:val="24"/>
          <w:szCs w:val="24"/>
          <w:lang w:val="es-ES"/>
        </w:rPr>
        <w:t xml:space="preserve">Documento de </w:t>
      </w:r>
      <w:r w:rsidR="00F00960" w:rsidRPr="00D97FAD">
        <w:rPr>
          <w:rFonts w:ascii="Arial" w:hAnsi="Arial" w:cs="Arial"/>
          <w:b/>
          <w:sz w:val="24"/>
          <w:szCs w:val="24"/>
          <w:lang w:val="es-ES"/>
        </w:rPr>
        <w:t>Cooperación</w:t>
      </w:r>
      <w:r w:rsidRPr="00D97FAD">
        <w:rPr>
          <w:rFonts w:ascii="Arial" w:hAnsi="Arial" w:cs="Arial"/>
          <w:b/>
          <w:sz w:val="24"/>
          <w:szCs w:val="24"/>
          <w:lang w:val="es-ES"/>
        </w:rPr>
        <w:t xml:space="preserve"> T</w:t>
      </w:r>
      <w:r w:rsidR="00F00960" w:rsidRPr="00D97FAD">
        <w:rPr>
          <w:rFonts w:ascii="Arial" w:hAnsi="Arial" w:cs="Arial"/>
          <w:b/>
          <w:sz w:val="24"/>
          <w:szCs w:val="24"/>
          <w:lang w:val="es-ES"/>
        </w:rPr>
        <w:t>é</w:t>
      </w:r>
      <w:r w:rsidR="00A34490">
        <w:rPr>
          <w:rFonts w:ascii="Arial" w:hAnsi="Arial" w:cs="Arial"/>
          <w:b/>
          <w:sz w:val="24"/>
          <w:szCs w:val="24"/>
          <w:lang w:val="es-ES"/>
        </w:rPr>
        <w:t>cnica</w:t>
      </w:r>
    </w:p>
    <w:p w14:paraId="59850BD4" w14:textId="77777777" w:rsidR="008F4286" w:rsidRPr="005358DE" w:rsidRDefault="008F4286" w:rsidP="005358DE">
      <w:pPr>
        <w:spacing w:after="0" w:line="240" w:lineRule="auto"/>
        <w:jc w:val="both"/>
        <w:rPr>
          <w:rFonts w:ascii="Arial" w:hAnsi="Arial" w:cs="Arial"/>
          <w:b/>
          <w:sz w:val="18"/>
          <w:lang w:val="es-ES"/>
        </w:rPr>
      </w:pPr>
    </w:p>
    <w:p w14:paraId="6023B382" w14:textId="77777777" w:rsidR="0095711B" w:rsidRPr="005358DE" w:rsidRDefault="00E33333" w:rsidP="008F4286">
      <w:pPr>
        <w:pStyle w:val="ListParagraph"/>
        <w:numPr>
          <w:ilvl w:val="0"/>
          <w:numId w:val="5"/>
        </w:numPr>
        <w:spacing w:before="120" w:after="120" w:line="240" w:lineRule="auto"/>
        <w:contextualSpacing w:val="0"/>
        <w:jc w:val="both"/>
        <w:rPr>
          <w:rFonts w:ascii="Arial" w:hAnsi="Arial" w:cs="Arial"/>
          <w:b/>
          <w:lang w:val="es-ES"/>
        </w:rPr>
      </w:pPr>
      <w:r w:rsidRPr="00D97FAD">
        <w:rPr>
          <w:rFonts w:ascii="Arial" w:hAnsi="Arial" w:cs="Arial"/>
          <w:b/>
          <w:lang w:val="es-ES"/>
        </w:rPr>
        <w:t>Información</w:t>
      </w:r>
      <w:r w:rsidR="0091508A" w:rsidRPr="00D97FAD">
        <w:rPr>
          <w:rFonts w:ascii="Arial" w:hAnsi="Arial" w:cs="Arial"/>
          <w:b/>
          <w:lang w:val="es-ES"/>
        </w:rPr>
        <w:t xml:space="preserve"> </w:t>
      </w:r>
      <w:r w:rsidRPr="00D97FAD">
        <w:rPr>
          <w:rFonts w:ascii="Arial" w:hAnsi="Arial" w:cs="Arial"/>
          <w:b/>
          <w:lang w:val="es-ES"/>
        </w:rPr>
        <w:t>Básica</w:t>
      </w:r>
      <w:r w:rsidR="0091508A" w:rsidRPr="00D97FAD">
        <w:rPr>
          <w:rFonts w:ascii="Arial" w:hAnsi="Arial" w:cs="Arial"/>
          <w:b/>
          <w:lang w:val="es-ES"/>
        </w:rPr>
        <w:t xml:space="preserve"> de la CT </w:t>
      </w:r>
    </w:p>
    <w:p w14:paraId="54AA66DB" w14:textId="77777777" w:rsidR="005358DE" w:rsidRPr="00D97FAD" w:rsidRDefault="005358DE" w:rsidP="005358DE">
      <w:pPr>
        <w:pStyle w:val="ListParagraph"/>
        <w:spacing w:after="0" w:line="240" w:lineRule="auto"/>
        <w:ind w:left="360"/>
        <w:contextualSpacing w:val="0"/>
        <w:jc w:val="both"/>
        <w:rPr>
          <w:rFonts w:ascii="Arial" w:hAnsi="Arial" w:cs="Arial"/>
          <w:b/>
          <w:lang w:val="es-ES"/>
        </w:rPr>
      </w:pPr>
    </w:p>
    <w:tbl>
      <w:tblPr>
        <w:tblStyle w:val="TableGrid"/>
        <w:tblW w:w="8568" w:type="dxa"/>
        <w:tblInd w:w="37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140"/>
        <w:gridCol w:w="4428"/>
      </w:tblGrid>
      <w:tr w:rsidR="000C16F9" w:rsidRPr="00D97FAD" w14:paraId="1E5E6D22" w14:textId="77777777" w:rsidTr="007C6B4B">
        <w:tc>
          <w:tcPr>
            <w:tcW w:w="4140" w:type="dxa"/>
          </w:tcPr>
          <w:p w14:paraId="2838B73A" w14:textId="77777777"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País</w:t>
            </w:r>
            <w:r w:rsidR="009F33FF" w:rsidRPr="00D97FAD">
              <w:rPr>
                <w:rFonts w:ascii="Arial" w:hAnsi="Arial" w:cs="Arial"/>
                <w:sz w:val="18"/>
                <w:szCs w:val="18"/>
                <w:lang w:val="es-ES"/>
              </w:rPr>
              <w:t>/Regi</w:t>
            </w:r>
            <w:r w:rsidRPr="00D97FAD">
              <w:rPr>
                <w:rFonts w:ascii="Arial" w:hAnsi="Arial" w:cs="Arial"/>
                <w:sz w:val="18"/>
                <w:szCs w:val="18"/>
                <w:lang w:val="es-ES"/>
              </w:rPr>
              <w:t>ó</w:t>
            </w:r>
            <w:r w:rsidR="009F33FF" w:rsidRPr="00D97FAD">
              <w:rPr>
                <w:rFonts w:ascii="Arial" w:hAnsi="Arial" w:cs="Arial"/>
                <w:sz w:val="18"/>
                <w:szCs w:val="18"/>
                <w:lang w:val="es-ES"/>
              </w:rPr>
              <w:t>n:</w:t>
            </w:r>
          </w:p>
        </w:tc>
        <w:tc>
          <w:tcPr>
            <w:tcW w:w="4428" w:type="dxa"/>
          </w:tcPr>
          <w:p w14:paraId="22D9F37B"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Perú</w:t>
            </w:r>
          </w:p>
        </w:tc>
      </w:tr>
      <w:tr w:rsidR="000C16F9" w:rsidRPr="000144D6" w14:paraId="77C4EC25" w14:textId="77777777" w:rsidTr="007C6B4B">
        <w:tc>
          <w:tcPr>
            <w:tcW w:w="4140" w:type="dxa"/>
          </w:tcPr>
          <w:p w14:paraId="278D74B7" w14:textId="77777777"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Nombre de la C</w:t>
            </w:r>
            <w:r w:rsidR="009F33FF" w:rsidRPr="00D97FAD">
              <w:rPr>
                <w:rFonts w:ascii="Arial" w:hAnsi="Arial" w:cs="Arial"/>
                <w:sz w:val="18"/>
                <w:szCs w:val="18"/>
                <w:lang w:val="es-ES"/>
              </w:rPr>
              <w:t>T:</w:t>
            </w:r>
          </w:p>
        </w:tc>
        <w:tc>
          <w:tcPr>
            <w:tcW w:w="4428" w:type="dxa"/>
          </w:tcPr>
          <w:p w14:paraId="78C34F44"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Apoyo al Desarrollo de P</w:t>
            </w:r>
            <w:r w:rsidRPr="00AF7BBC">
              <w:rPr>
                <w:rFonts w:ascii="Arial" w:hAnsi="Arial" w:cs="Arial"/>
                <w:sz w:val="18"/>
                <w:szCs w:val="18"/>
                <w:lang w:val="es-ES"/>
              </w:rPr>
              <w:t xml:space="preserve">olíticas de </w:t>
            </w:r>
            <w:r>
              <w:rPr>
                <w:rFonts w:ascii="Arial" w:hAnsi="Arial" w:cs="Arial"/>
                <w:sz w:val="18"/>
                <w:szCs w:val="18"/>
                <w:lang w:val="es-ES"/>
              </w:rPr>
              <w:t>Formalización Laboral</w:t>
            </w:r>
          </w:p>
        </w:tc>
      </w:tr>
      <w:tr w:rsidR="000C16F9" w:rsidRPr="00D97FAD" w14:paraId="105EAF33" w14:textId="77777777" w:rsidTr="007C6B4B">
        <w:tc>
          <w:tcPr>
            <w:tcW w:w="4140" w:type="dxa"/>
          </w:tcPr>
          <w:p w14:paraId="58A43ECD" w14:textId="77777777"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Número de C</w:t>
            </w:r>
            <w:r w:rsidR="009F33FF" w:rsidRPr="00D97FAD">
              <w:rPr>
                <w:rFonts w:ascii="Arial" w:hAnsi="Arial" w:cs="Arial"/>
                <w:sz w:val="18"/>
                <w:szCs w:val="18"/>
                <w:lang w:val="es-ES"/>
              </w:rPr>
              <w:t>T:</w:t>
            </w:r>
          </w:p>
        </w:tc>
        <w:tc>
          <w:tcPr>
            <w:tcW w:w="4428" w:type="dxa"/>
          </w:tcPr>
          <w:p w14:paraId="300A25F3"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PE-T1366</w:t>
            </w:r>
          </w:p>
        </w:tc>
      </w:tr>
      <w:tr w:rsidR="000C16F9" w:rsidRPr="000144D6" w14:paraId="50B3752B" w14:textId="77777777" w:rsidTr="007C6B4B">
        <w:tc>
          <w:tcPr>
            <w:tcW w:w="4140" w:type="dxa"/>
          </w:tcPr>
          <w:p w14:paraId="1B73FBCA" w14:textId="77777777" w:rsidR="009F33FF"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Jefe de Equipo/Miembros:</w:t>
            </w:r>
          </w:p>
        </w:tc>
        <w:tc>
          <w:tcPr>
            <w:tcW w:w="4428" w:type="dxa"/>
          </w:tcPr>
          <w:p w14:paraId="4B8F3A11" w14:textId="34C29EC8"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_tradnl"/>
              </w:rPr>
              <w:t>David Rosas</w:t>
            </w:r>
            <w:r w:rsidRPr="00416B63">
              <w:rPr>
                <w:rFonts w:ascii="Arial" w:hAnsi="Arial" w:cs="Arial"/>
                <w:sz w:val="18"/>
                <w:szCs w:val="18"/>
                <w:lang w:val="es-ES_tradnl"/>
              </w:rPr>
              <w:t>, jefe de equipo (</w:t>
            </w:r>
            <w:r>
              <w:rPr>
                <w:rFonts w:ascii="Arial" w:hAnsi="Arial" w:cs="Arial"/>
                <w:sz w:val="18"/>
                <w:szCs w:val="18"/>
                <w:lang w:val="es-ES_tradnl"/>
              </w:rPr>
              <w:t>SCL</w:t>
            </w:r>
            <w:r w:rsidRPr="00416B63">
              <w:rPr>
                <w:rFonts w:ascii="Arial" w:hAnsi="Arial" w:cs="Arial"/>
                <w:sz w:val="18"/>
                <w:szCs w:val="18"/>
                <w:lang w:val="es-ES_tradnl"/>
              </w:rPr>
              <w:t>/</w:t>
            </w:r>
            <w:r>
              <w:rPr>
                <w:rFonts w:ascii="Arial" w:hAnsi="Arial" w:cs="Arial"/>
                <w:sz w:val="18"/>
                <w:szCs w:val="18"/>
                <w:lang w:val="es-ES_tradnl"/>
              </w:rPr>
              <w:t>LMK</w:t>
            </w:r>
            <w:r w:rsidRPr="00416B63">
              <w:rPr>
                <w:rFonts w:ascii="Arial" w:hAnsi="Arial" w:cs="Arial"/>
                <w:sz w:val="18"/>
                <w:szCs w:val="18"/>
                <w:lang w:val="es-ES_tradnl"/>
              </w:rPr>
              <w:t xml:space="preserve">); </w:t>
            </w:r>
            <w:r>
              <w:rPr>
                <w:rFonts w:ascii="Arial" w:hAnsi="Arial" w:cs="Arial"/>
                <w:sz w:val="18"/>
                <w:szCs w:val="18"/>
                <w:lang w:val="es-ES_tradnl"/>
              </w:rPr>
              <w:t xml:space="preserve">Mariano Bosch (SCL/LMK); </w:t>
            </w:r>
            <w:r w:rsidRPr="00416B63">
              <w:rPr>
                <w:rFonts w:ascii="Arial" w:hAnsi="Arial" w:cs="Arial"/>
                <w:sz w:val="18"/>
                <w:szCs w:val="18"/>
                <w:lang w:val="es-ES_tradnl"/>
              </w:rPr>
              <w:t>Ethel Muhlstein (SCL/LMK);</w:t>
            </w:r>
            <w:r>
              <w:rPr>
                <w:rFonts w:ascii="Arial" w:hAnsi="Arial" w:cs="Arial"/>
                <w:sz w:val="18"/>
                <w:szCs w:val="18"/>
                <w:lang w:val="es-ES_tradnl"/>
              </w:rPr>
              <w:t xml:space="preserve"> </w:t>
            </w:r>
            <w:r w:rsidRPr="00DA0A39">
              <w:rPr>
                <w:rFonts w:ascii="Arial" w:hAnsi="Arial" w:cs="Arial"/>
                <w:sz w:val="18"/>
                <w:szCs w:val="18"/>
                <w:lang w:val="es-ES_tradnl"/>
              </w:rPr>
              <w:t>Carolina Gonzalez</w:t>
            </w:r>
            <w:r>
              <w:rPr>
                <w:rFonts w:ascii="Arial" w:hAnsi="Arial" w:cs="Arial"/>
                <w:sz w:val="18"/>
                <w:szCs w:val="18"/>
                <w:lang w:val="es-ES_tradnl"/>
              </w:rPr>
              <w:t xml:space="preserve"> (LMK/CCO);</w:t>
            </w:r>
            <w:r w:rsidRPr="00DA0A39">
              <w:rPr>
                <w:rFonts w:ascii="Arial" w:hAnsi="Arial" w:cs="Arial"/>
                <w:sz w:val="18"/>
                <w:szCs w:val="18"/>
                <w:lang w:val="es-ES_tradnl"/>
              </w:rPr>
              <w:t xml:space="preserve"> Marie</w:t>
            </w:r>
            <w:r>
              <w:rPr>
                <w:rFonts w:ascii="Arial" w:hAnsi="Arial" w:cs="Arial"/>
                <w:sz w:val="18"/>
                <w:szCs w:val="18"/>
                <w:lang w:val="es-ES_tradnl"/>
              </w:rPr>
              <w:t>l</w:t>
            </w:r>
            <w:r w:rsidRPr="00DA0A39">
              <w:rPr>
                <w:rFonts w:ascii="Arial" w:hAnsi="Arial" w:cs="Arial"/>
                <w:sz w:val="18"/>
                <w:szCs w:val="18"/>
                <w:lang w:val="es-ES_tradnl"/>
              </w:rPr>
              <w:t>la Diaz</w:t>
            </w:r>
            <w:r>
              <w:rPr>
                <w:rFonts w:ascii="Arial" w:hAnsi="Arial" w:cs="Arial"/>
                <w:sz w:val="18"/>
                <w:szCs w:val="18"/>
                <w:lang w:val="es-ES_tradnl"/>
              </w:rPr>
              <w:t xml:space="preserve"> (CAN/CPE);</w:t>
            </w:r>
            <w:r w:rsidRPr="00DA0A39">
              <w:rPr>
                <w:rFonts w:ascii="Arial" w:hAnsi="Arial" w:cs="Arial"/>
                <w:sz w:val="18"/>
                <w:szCs w:val="18"/>
                <w:lang w:val="es-ES_tradnl"/>
              </w:rPr>
              <w:t xml:space="preserve"> Tania Gaona</w:t>
            </w:r>
            <w:r>
              <w:rPr>
                <w:rFonts w:ascii="Arial" w:hAnsi="Arial" w:cs="Arial"/>
                <w:sz w:val="18"/>
                <w:szCs w:val="18"/>
                <w:lang w:val="es-ES_tradnl"/>
              </w:rPr>
              <w:t xml:space="preserve"> (SCL/LMK);</w:t>
            </w:r>
            <w:r w:rsidRPr="00DA0A39">
              <w:rPr>
                <w:rFonts w:ascii="Arial" w:hAnsi="Arial" w:cs="Arial"/>
                <w:sz w:val="18"/>
                <w:szCs w:val="18"/>
                <w:lang w:val="es-ES_tradnl"/>
              </w:rPr>
              <w:t xml:space="preserve"> Lukas Keller</w:t>
            </w:r>
            <w:r>
              <w:rPr>
                <w:rFonts w:ascii="Arial" w:hAnsi="Arial" w:cs="Arial"/>
                <w:sz w:val="18"/>
                <w:szCs w:val="18"/>
                <w:lang w:val="es-ES_tradnl"/>
              </w:rPr>
              <w:t xml:space="preserve"> (SCL/LMK);</w:t>
            </w:r>
            <w:r w:rsidRPr="00DA0A39">
              <w:rPr>
                <w:rFonts w:ascii="Arial" w:hAnsi="Arial" w:cs="Arial"/>
                <w:sz w:val="18"/>
                <w:szCs w:val="18"/>
                <w:lang w:val="es-ES_tradnl"/>
              </w:rPr>
              <w:t xml:space="preserve"> </w:t>
            </w:r>
            <w:r>
              <w:rPr>
                <w:rFonts w:ascii="Arial" w:hAnsi="Arial" w:cs="Arial"/>
                <w:sz w:val="18"/>
                <w:szCs w:val="18"/>
                <w:lang w:val="es-ES_tradnl"/>
              </w:rPr>
              <w:t xml:space="preserve">y </w:t>
            </w:r>
            <w:r w:rsidRPr="000B521E">
              <w:rPr>
                <w:rFonts w:ascii="Arial" w:hAnsi="Arial" w:cs="Arial"/>
                <w:sz w:val="18"/>
                <w:szCs w:val="18"/>
                <w:lang w:val="es-ES_tradnl"/>
              </w:rPr>
              <w:t>Javier Jiménez</w:t>
            </w:r>
            <w:r>
              <w:rPr>
                <w:rFonts w:ascii="Arial" w:hAnsi="Arial" w:cs="Arial"/>
                <w:sz w:val="18"/>
                <w:szCs w:val="18"/>
                <w:lang w:val="es-ES_tradnl"/>
              </w:rPr>
              <w:t xml:space="preserve"> (LEG/SGO)</w:t>
            </w:r>
            <w:r w:rsidRPr="00416B63">
              <w:rPr>
                <w:rFonts w:ascii="Arial" w:hAnsi="Arial" w:cs="Arial"/>
                <w:sz w:val="18"/>
                <w:szCs w:val="18"/>
                <w:lang w:val="es-ES_tradnl"/>
              </w:rPr>
              <w:t>.</w:t>
            </w:r>
          </w:p>
        </w:tc>
      </w:tr>
      <w:tr w:rsidR="00CC716E" w:rsidRPr="00DA0A39" w14:paraId="3D69CBF9" w14:textId="77777777" w:rsidTr="007C6B4B">
        <w:tc>
          <w:tcPr>
            <w:tcW w:w="4140" w:type="dxa"/>
          </w:tcPr>
          <w:p w14:paraId="0FA2C80B" w14:textId="77777777" w:rsidR="00CC716E"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Indicar si es: Apoyo Operativo, Apoyo al Cliente, o Investigación y Difusión </w:t>
            </w:r>
          </w:p>
        </w:tc>
        <w:tc>
          <w:tcPr>
            <w:tcW w:w="4428" w:type="dxa"/>
          </w:tcPr>
          <w:p w14:paraId="72E1042B" w14:textId="3C907AB1" w:rsidR="00CC716E"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Apoyo Operativo</w:t>
            </w:r>
            <w:r w:rsidR="00F93AA3">
              <w:rPr>
                <w:rFonts w:ascii="Arial" w:hAnsi="Arial" w:cs="Arial"/>
                <w:sz w:val="18"/>
                <w:szCs w:val="18"/>
                <w:lang w:val="es-ES"/>
              </w:rPr>
              <w:t xml:space="preserve"> (OS)</w:t>
            </w:r>
          </w:p>
        </w:tc>
      </w:tr>
      <w:tr w:rsidR="00CC716E" w:rsidRPr="000144D6" w14:paraId="00694E8D" w14:textId="77777777" w:rsidTr="007C6B4B">
        <w:tc>
          <w:tcPr>
            <w:tcW w:w="4140" w:type="dxa"/>
          </w:tcPr>
          <w:p w14:paraId="1EC2EE18" w14:textId="77777777" w:rsidR="00CC716E" w:rsidRPr="00D97FAD" w:rsidRDefault="00CC716E"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Si es Apoyo Operativo, proveer número y nombre de la operación que apoyará la CT:</w:t>
            </w:r>
          </w:p>
        </w:tc>
        <w:tc>
          <w:tcPr>
            <w:tcW w:w="4428" w:type="dxa"/>
          </w:tcPr>
          <w:p w14:paraId="3734D201" w14:textId="77777777" w:rsidR="00CC716E"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Programa de acompañamiento a las reformas para la formalización laboral en el Perú (PE-L1223)</w:t>
            </w:r>
          </w:p>
        </w:tc>
      </w:tr>
      <w:tr w:rsidR="000C16F9" w:rsidRPr="00DA0A39" w14:paraId="725A88C2" w14:textId="77777777" w:rsidTr="007C6B4B">
        <w:tc>
          <w:tcPr>
            <w:tcW w:w="4140" w:type="dxa"/>
          </w:tcPr>
          <w:p w14:paraId="62F7370F" w14:textId="77777777"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Fecha de </w:t>
            </w:r>
            <w:r w:rsidR="00E33333" w:rsidRPr="00D97FAD">
              <w:rPr>
                <w:rFonts w:ascii="Arial" w:hAnsi="Arial" w:cs="Arial"/>
                <w:sz w:val="18"/>
                <w:szCs w:val="18"/>
                <w:lang w:val="es-ES"/>
              </w:rPr>
              <w:t>Autorización</w:t>
            </w:r>
            <w:r w:rsidRPr="00D97FAD">
              <w:rPr>
                <w:rFonts w:ascii="Arial" w:hAnsi="Arial" w:cs="Arial"/>
                <w:sz w:val="18"/>
                <w:szCs w:val="18"/>
                <w:lang w:val="es-ES"/>
              </w:rPr>
              <w:t xml:space="preserve"> del Abstracto de CT</w:t>
            </w:r>
            <w:r w:rsidR="009F33FF" w:rsidRPr="00D97FAD">
              <w:rPr>
                <w:rFonts w:ascii="Arial" w:hAnsi="Arial" w:cs="Arial"/>
                <w:sz w:val="18"/>
                <w:szCs w:val="18"/>
                <w:lang w:val="es-ES"/>
              </w:rPr>
              <w:t>:</w:t>
            </w:r>
          </w:p>
        </w:tc>
        <w:tc>
          <w:tcPr>
            <w:tcW w:w="4428" w:type="dxa"/>
          </w:tcPr>
          <w:p w14:paraId="4108315D" w14:textId="77777777" w:rsidR="009F33FF" w:rsidRPr="00D97FAD" w:rsidRDefault="00DA0A39" w:rsidP="00F93AA3">
            <w:pPr>
              <w:spacing w:after="60"/>
              <w:jc w:val="both"/>
              <w:rPr>
                <w:rFonts w:ascii="Arial" w:hAnsi="Arial" w:cs="Arial"/>
                <w:sz w:val="18"/>
                <w:szCs w:val="18"/>
                <w:lang w:val="es-ES"/>
              </w:rPr>
            </w:pPr>
            <w:r w:rsidRPr="00E46A59">
              <w:rPr>
                <w:rFonts w:ascii="Arial" w:hAnsi="Arial" w:cs="Arial"/>
                <w:sz w:val="18"/>
                <w:szCs w:val="18"/>
                <w:lang w:val="es-ES"/>
              </w:rPr>
              <w:t>10 de marzo de 2017</w:t>
            </w:r>
          </w:p>
        </w:tc>
      </w:tr>
      <w:tr w:rsidR="000C16F9" w:rsidRPr="000144D6" w14:paraId="1B5C1716" w14:textId="77777777" w:rsidTr="007C6B4B">
        <w:tc>
          <w:tcPr>
            <w:tcW w:w="4140" w:type="dxa"/>
          </w:tcPr>
          <w:p w14:paraId="163D81BA" w14:textId="77777777"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Beneficiar</w:t>
            </w:r>
            <w:r w:rsidR="0091508A" w:rsidRPr="00D97FAD">
              <w:rPr>
                <w:rFonts w:ascii="Arial" w:hAnsi="Arial" w:cs="Arial"/>
                <w:sz w:val="18"/>
                <w:szCs w:val="18"/>
                <w:lang w:val="es-ES"/>
              </w:rPr>
              <w:t xml:space="preserve">io </w:t>
            </w:r>
            <w:r w:rsidRPr="00D97FAD">
              <w:rPr>
                <w:rFonts w:ascii="Arial" w:hAnsi="Arial" w:cs="Arial"/>
                <w:sz w:val="18"/>
                <w:szCs w:val="18"/>
                <w:lang w:val="es-ES"/>
              </w:rPr>
              <w:t>(</w:t>
            </w:r>
            <w:r w:rsidR="00E33333" w:rsidRPr="00D97FAD">
              <w:rPr>
                <w:rFonts w:ascii="Arial" w:hAnsi="Arial" w:cs="Arial"/>
                <w:sz w:val="18"/>
                <w:szCs w:val="18"/>
                <w:lang w:val="es-ES"/>
              </w:rPr>
              <w:t>países</w:t>
            </w:r>
            <w:r w:rsidR="0091508A" w:rsidRPr="00D97FAD">
              <w:rPr>
                <w:rFonts w:ascii="Arial" w:hAnsi="Arial" w:cs="Arial"/>
                <w:sz w:val="18"/>
                <w:szCs w:val="18"/>
                <w:lang w:val="es-ES"/>
              </w:rPr>
              <w:t xml:space="preserve"> o entidades que </w:t>
            </w:r>
            <w:r w:rsidR="00E33333" w:rsidRPr="00D97FAD">
              <w:rPr>
                <w:rFonts w:ascii="Arial" w:hAnsi="Arial" w:cs="Arial"/>
                <w:sz w:val="18"/>
                <w:szCs w:val="18"/>
                <w:lang w:val="es-ES"/>
              </w:rPr>
              <w:t>recibirán</w:t>
            </w:r>
            <w:r w:rsidR="0091508A" w:rsidRPr="00D97FAD">
              <w:rPr>
                <w:rFonts w:ascii="Arial" w:hAnsi="Arial" w:cs="Arial"/>
                <w:sz w:val="18"/>
                <w:szCs w:val="18"/>
                <w:lang w:val="es-ES"/>
              </w:rPr>
              <w:t xml:space="preserve"> la asistencia </w:t>
            </w:r>
            <w:r w:rsidR="00E33333" w:rsidRPr="00D97FAD">
              <w:rPr>
                <w:rFonts w:ascii="Arial" w:hAnsi="Arial" w:cs="Arial"/>
                <w:sz w:val="18"/>
                <w:szCs w:val="18"/>
                <w:lang w:val="es-ES"/>
              </w:rPr>
              <w:t>técnica</w:t>
            </w:r>
            <w:r w:rsidRPr="00D97FAD">
              <w:rPr>
                <w:rFonts w:ascii="Arial" w:hAnsi="Arial" w:cs="Arial"/>
                <w:sz w:val="18"/>
                <w:szCs w:val="18"/>
                <w:lang w:val="es-ES"/>
              </w:rPr>
              <w:t>):</w:t>
            </w:r>
          </w:p>
        </w:tc>
        <w:tc>
          <w:tcPr>
            <w:tcW w:w="4428" w:type="dxa"/>
          </w:tcPr>
          <w:p w14:paraId="50A66ACD"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Ministerio de Economía y Finanzas (MEF)</w:t>
            </w:r>
          </w:p>
        </w:tc>
      </w:tr>
      <w:tr w:rsidR="000C16F9" w:rsidRPr="000144D6" w14:paraId="46CFB8AA" w14:textId="77777777" w:rsidTr="007C6B4B">
        <w:tc>
          <w:tcPr>
            <w:tcW w:w="4140" w:type="dxa"/>
          </w:tcPr>
          <w:p w14:paraId="36EE6DF3" w14:textId="667E5662" w:rsidR="009F33FF" w:rsidRPr="00D97FAD" w:rsidRDefault="0091508A"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Agencia Ejecutora y nombre de contacto</w:t>
            </w:r>
            <w:r w:rsidR="00F93AA3">
              <w:rPr>
                <w:rFonts w:ascii="Arial" w:hAnsi="Arial" w:cs="Arial"/>
                <w:sz w:val="18"/>
                <w:szCs w:val="18"/>
                <w:lang w:val="es-ES"/>
              </w:rPr>
              <w:t>:</w:t>
            </w:r>
            <w:r w:rsidRPr="00D97FAD">
              <w:rPr>
                <w:rFonts w:ascii="Arial" w:hAnsi="Arial" w:cs="Arial"/>
                <w:sz w:val="18"/>
                <w:szCs w:val="18"/>
                <w:lang w:val="es-ES"/>
              </w:rPr>
              <w:t xml:space="preserve"> </w:t>
            </w:r>
          </w:p>
        </w:tc>
        <w:tc>
          <w:tcPr>
            <w:tcW w:w="4428" w:type="dxa"/>
          </w:tcPr>
          <w:p w14:paraId="73FCDDA3" w14:textId="77777777" w:rsidR="009F33FF" w:rsidRPr="00D97FAD" w:rsidRDefault="00DA0A39" w:rsidP="00F93AA3">
            <w:pPr>
              <w:spacing w:after="60"/>
              <w:jc w:val="both"/>
              <w:rPr>
                <w:rFonts w:ascii="Arial" w:hAnsi="Arial" w:cs="Arial"/>
                <w:sz w:val="18"/>
                <w:szCs w:val="18"/>
                <w:lang w:val="es-ES"/>
              </w:rPr>
            </w:pPr>
            <w:r w:rsidRPr="004F0F0F">
              <w:rPr>
                <w:rFonts w:ascii="Arial" w:hAnsi="Arial" w:cs="Arial"/>
                <w:sz w:val="18"/>
                <w:szCs w:val="18"/>
                <w:lang w:val="es-ES"/>
              </w:rPr>
              <w:t>Banco Interameric</w:t>
            </w:r>
            <w:r>
              <w:rPr>
                <w:rFonts w:ascii="Arial" w:hAnsi="Arial" w:cs="Arial"/>
                <w:sz w:val="18"/>
                <w:szCs w:val="18"/>
                <w:lang w:val="es-ES"/>
              </w:rPr>
              <w:t xml:space="preserve">ano de Desarrollo (BID), Sector </w:t>
            </w:r>
            <w:r w:rsidRPr="004F0F0F">
              <w:rPr>
                <w:rFonts w:ascii="Arial" w:hAnsi="Arial" w:cs="Arial"/>
                <w:sz w:val="18"/>
                <w:szCs w:val="18"/>
                <w:lang w:val="es-ES"/>
              </w:rPr>
              <w:t xml:space="preserve">Social, </w:t>
            </w:r>
            <w:r>
              <w:rPr>
                <w:rFonts w:ascii="Arial" w:hAnsi="Arial" w:cs="Arial"/>
                <w:sz w:val="18"/>
                <w:szCs w:val="18"/>
                <w:lang w:val="es-ES"/>
              </w:rPr>
              <w:t>División</w:t>
            </w:r>
            <w:r w:rsidRPr="004F0F0F">
              <w:rPr>
                <w:rFonts w:ascii="Arial" w:hAnsi="Arial" w:cs="Arial"/>
                <w:sz w:val="18"/>
                <w:szCs w:val="18"/>
                <w:lang w:val="es-ES"/>
              </w:rPr>
              <w:t xml:space="preserve"> de Merca</w:t>
            </w:r>
            <w:r>
              <w:rPr>
                <w:rFonts w:ascii="Arial" w:hAnsi="Arial" w:cs="Arial"/>
                <w:sz w:val="18"/>
                <w:szCs w:val="18"/>
                <w:lang w:val="es-ES"/>
              </w:rPr>
              <w:t xml:space="preserve">dos Laborales y Seguridad </w:t>
            </w:r>
            <w:r w:rsidRPr="004F0F0F">
              <w:rPr>
                <w:rFonts w:ascii="Arial" w:hAnsi="Arial" w:cs="Arial"/>
                <w:sz w:val="18"/>
                <w:szCs w:val="18"/>
                <w:lang w:val="es-ES"/>
              </w:rPr>
              <w:t>Social (SCL/LMK)</w:t>
            </w:r>
            <w:r>
              <w:rPr>
                <w:rFonts w:ascii="Arial" w:hAnsi="Arial" w:cs="Arial"/>
                <w:sz w:val="18"/>
                <w:szCs w:val="18"/>
                <w:lang w:val="es-ES"/>
              </w:rPr>
              <w:t>, David Rosas (</w:t>
            </w:r>
            <w:hyperlink r:id="rId8" w:history="1">
              <w:r>
                <w:rPr>
                  <w:rStyle w:val="Hyperlink"/>
                  <w:rFonts w:ascii="Arial" w:hAnsi="Arial" w:cs="Arial"/>
                  <w:sz w:val="18"/>
                  <w:szCs w:val="18"/>
                  <w:lang w:val="es-ES"/>
                </w:rPr>
                <w:t>davidro</w:t>
              </w:r>
              <w:r w:rsidRPr="00760225">
                <w:rPr>
                  <w:rStyle w:val="Hyperlink"/>
                  <w:rFonts w:ascii="Arial" w:hAnsi="Arial" w:cs="Arial"/>
                  <w:sz w:val="18"/>
                  <w:szCs w:val="18"/>
                  <w:lang w:val="es-ES"/>
                </w:rPr>
                <w:t>@iadb.org</w:t>
              </w:r>
            </w:hyperlink>
            <w:r>
              <w:rPr>
                <w:rFonts w:ascii="Arial" w:hAnsi="Arial" w:cs="Arial"/>
                <w:sz w:val="18"/>
                <w:szCs w:val="18"/>
                <w:lang w:val="es-ES"/>
              </w:rPr>
              <w:t>)</w:t>
            </w:r>
          </w:p>
        </w:tc>
      </w:tr>
      <w:tr w:rsidR="00075F42" w:rsidRPr="000144D6" w14:paraId="2E2833AA" w14:textId="77777777" w:rsidTr="007C6B4B">
        <w:tc>
          <w:tcPr>
            <w:tcW w:w="4140" w:type="dxa"/>
          </w:tcPr>
          <w:p w14:paraId="29EC34BD" w14:textId="295227DD" w:rsidR="00075F42" w:rsidRPr="00D97FAD" w:rsidRDefault="00075F42" w:rsidP="00AE4812">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Donantes que pr</w:t>
            </w:r>
            <w:r w:rsidR="003835F0" w:rsidRPr="00D97FAD">
              <w:rPr>
                <w:rFonts w:ascii="Arial" w:hAnsi="Arial" w:cs="Arial"/>
                <w:sz w:val="18"/>
                <w:szCs w:val="18"/>
                <w:lang w:val="es-ES"/>
              </w:rPr>
              <w:t>o</w:t>
            </w:r>
            <w:r w:rsidRPr="00D97FAD">
              <w:rPr>
                <w:rFonts w:ascii="Arial" w:hAnsi="Arial" w:cs="Arial"/>
                <w:sz w:val="18"/>
                <w:szCs w:val="18"/>
                <w:lang w:val="es-ES"/>
              </w:rPr>
              <w:t>veerán financiamiento:</w:t>
            </w:r>
          </w:p>
        </w:tc>
        <w:tc>
          <w:tcPr>
            <w:tcW w:w="4428" w:type="dxa"/>
          </w:tcPr>
          <w:p w14:paraId="65B00E79" w14:textId="4C5ED2FE" w:rsidR="00075F42" w:rsidRPr="00D97FAD" w:rsidRDefault="00DA0A39" w:rsidP="00F93AA3">
            <w:pPr>
              <w:spacing w:after="60"/>
              <w:jc w:val="both"/>
              <w:rPr>
                <w:rFonts w:ascii="Arial" w:hAnsi="Arial" w:cs="Arial"/>
                <w:sz w:val="18"/>
                <w:szCs w:val="18"/>
                <w:lang w:val="es-ES"/>
              </w:rPr>
            </w:pPr>
            <w:r w:rsidRPr="004D3A09">
              <w:rPr>
                <w:rFonts w:ascii="Arial" w:hAnsi="Arial" w:cs="Arial"/>
                <w:sz w:val="18"/>
                <w:szCs w:val="18"/>
                <w:lang w:val="es-ES"/>
              </w:rPr>
              <w:t>Programa Estratégico para el Desarrollo Social Financiado con Capital Ordinario</w:t>
            </w:r>
            <w:r w:rsidR="00DA18A5">
              <w:rPr>
                <w:rFonts w:ascii="Arial" w:hAnsi="Arial" w:cs="Arial"/>
                <w:sz w:val="18"/>
                <w:szCs w:val="18"/>
                <w:lang w:val="es-ES"/>
              </w:rPr>
              <w:t xml:space="preserve"> (SOF)</w:t>
            </w:r>
          </w:p>
        </w:tc>
      </w:tr>
      <w:tr w:rsidR="000C16F9" w:rsidRPr="00D97FAD" w14:paraId="18BE903D" w14:textId="77777777" w:rsidTr="007C6B4B">
        <w:tc>
          <w:tcPr>
            <w:tcW w:w="4140" w:type="dxa"/>
          </w:tcPr>
          <w:p w14:paraId="5752D653" w14:textId="77777777"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Financiamiento Solicitado del BID</w:t>
            </w:r>
            <w:r w:rsidR="009F33FF" w:rsidRPr="00D97FAD">
              <w:rPr>
                <w:rFonts w:ascii="Arial" w:hAnsi="Arial" w:cs="Arial"/>
                <w:sz w:val="18"/>
                <w:szCs w:val="18"/>
                <w:lang w:val="es-ES"/>
              </w:rPr>
              <w:t>:</w:t>
            </w:r>
          </w:p>
        </w:tc>
        <w:tc>
          <w:tcPr>
            <w:tcW w:w="4428" w:type="dxa"/>
          </w:tcPr>
          <w:p w14:paraId="1FF518A1"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US$450.000</w:t>
            </w:r>
          </w:p>
        </w:tc>
      </w:tr>
      <w:tr w:rsidR="000C16F9" w:rsidRPr="00D97FAD" w14:paraId="5BD1CAFB" w14:textId="77777777" w:rsidTr="007C6B4B">
        <w:tc>
          <w:tcPr>
            <w:tcW w:w="4140" w:type="dxa"/>
          </w:tcPr>
          <w:p w14:paraId="61B02D07" w14:textId="77777777"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Contrapartida </w:t>
            </w:r>
            <w:r w:rsidR="009F33FF" w:rsidRPr="00D97FAD">
              <w:rPr>
                <w:rFonts w:ascii="Arial" w:hAnsi="Arial" w:cs="Arial"/>
                <w:sz w:val="18"/>
                <w:szCs w:val="18"/>
                <w:lang w:val="es-ES"/>
              </w:rPr>
              <w:t xml:space="preserve">Local, </w:t>
            </w:r>
            <w:r w:rsidRPr="00D97FAD">
              <w:rPr>
                <w:rFonts w:ascii="Arial" w:hAnsi="Arial" w:cs="Arial"/>
                <w:sz w:val="18"/>
                <w:szCs w:val="18"/>
                <w:lang w:val="es-ES"/>
              </w:rPr>
              <w:t>si hay</w:t>
            </w:r>
            <w:r w:rsidR="009F33FF" w:rsidRPr="00D97FAD">
              <w:rPr>
                <w:rFonts w:ascii="Arial" w:hAnsi="Arial" w:cs="Arial"/>
                <w:sz w:val="18"/>
                <w:szCs w:val="18"/>
                <w:lang w:val="es-ES"/>
              </w:rPr>
              <w:t>:</w:t>
            </w:r>
          </w:p>
        </w:tc>
        <w:tc>
          <w:tcPr>
            <w:tcW w:w="4428" w:type="dxa"/>
          </w:tcPr>
          <w:p w14:paraId="3EBC6093"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n/a</w:t>
            </w:r>
          </w:p>
        </w:tc>
      </w:tr>
      <w:tr w:rsidR="000C16F9" w:rsidRPr="00DA0A39" w14:paraId="5B192C2B" w14:textId="77777777" w:rsidTr="007C6B4B">
        <w:tc>
          <w:tcPr>
            <w:tcW w:w="4140" w:type="dxa"/>
          </w:tcPr>
          <w:p w14:paraId="1A64E863" w14:textId="096B0112"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Periodo de </w:t>
            </w:r>
            <w:r w:rsidR="00F93AA3">
              <w:rPr>
                <w:rFonts w:ascii="Arial" w:hAnsi="Arial" w:cs="Arial"/>
                <w:sz w:val="18"/>
                <w:szCs w:val="18"/>
                <w:lang w:val="es-ES"/>
              </w:rPr>
              <w:t xml:space="preserve">Ejecución y </w:t>
            </w:r>
            <w:r w:rsidRPr="00D97FAD">
              <w:rPr>
                <w:rFonts w:ascii="Arial" w:hAnsi="Arial" w:cs="Arial"/>
                <w:sz w:val="18"/>
                <w:szCs w:val="18"/>
                <w:lang w:val="es-ES"/>
              </w:rPr>
              <w:t>Desembolso</w:t>
            </w:r>
            <w:r w:rsidR="0016180C">
              <w:rPr>
                <w:rFonts w:ascii="Arial" w:hAnsi="Arial" w:cs="Arial"/>
                <w:sz w:val="18"/>
                <w:szCs w:val="18"/>
                <w:lang w:val="es-ES"/>
              </w:rPr>
              <w:t>:</w:t>
            </w:r>
            <w:r w:rsidRPr="00D97FAD">
              <w:rPr>
                <w:rFonts w:ascii="Arial" w:hAnsi="Arial" w:cs="Arial"/>
                <w:sz w:val="18"/>
                <w:szCs w:val="18"/>
                <w:lang w:val="es-ES"/>
              </w:rPr>
              <w:t xml:space="preserve"> </w:t>
            </w:r>
          </w:p>
        </w:tc>
        <w:tc>
          <w:tcPr>
            <w:tcW w:w="4428" w:type="dxa"/>
          </w:tcPr>
          <w:p w14:paraId="2C33D257"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24 meses</w:t>
            </w:r>
          </w:p>
        </w:tc>
      </w:tr>
      <w:tr w:rsidR="000C16F9" w:rsidRPr="00D97FAD" w14:paraId="5E10DB61" w14:textId="77777777" w:rsidTr="007C6B4B">
        <w:tc>
          <w:tcPr>
            <w:tcW w:w="4140" w:type="dxa"/>
          </w:tcPr>
          <w:p w14:paraId="6FC06248" w14:textId="77777777"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Fecha de Inicio</w:t>
            </w:r>
            <w:r w:rsidR="00F50742" w:rsidRPr="00D97FAD">
              <w:rPr>
                <w:rFonts w:ascii="Arial" w:hAnsi="Arial" w:cs="Arial"/>
                <w:sz w:val="18"/>
                <w:szCs w:val="18"/>
                <w:lang w:val="es-ES"/>
              </w:rPr>
              <w:t xml:space="preserve"> requerido</w:t>
            </w:r>
            <w:r w:rsidR="009F33FF" w:rsidRPr="00D97FAD">
              <w:rPr>
                <w:rFonts w:ascii="Arial" w:hAnsi="Arial" w:cs="Arial"/>
                <w:sz w:val="18"/>
                <w:szCs w:val="18"/>
                <w:lang w:val="es-ES"/>
              </w:rPr>
              <w:t>:</w:t>
            </w:r>
          </w:p>
        </w:tc>
        <w:tc>
          <w:tcPr>
            <w:tcW w:w="4428" w:type="dxa"/>
          </w:tcPr>
          <w:p w14:paraId="42875D3E" w14:textId="229EAC4D" w:rsidR="009F33FF" w:rsidRPr="00D97FAD" w:rsidRDefault="00CE4BFA" w:rsidP="00F93AA3">
            <w:pPr>
              <w:spacing w:after="60"/>
              <w:jc w:val="both"/>
              <w:rPr>
                <w:rFonts w:ascii="Arial" w:hAnsi="Arial" w:cs="Arial"/>
                <w:sz w:val="18"/>
                <w:szCs w:val="18"/>
                <w:lang w:val="es-ES"/>
              </w:rPr>
            </w:pPr>
            <w:r>
              <w:rPr>
                <w:rFonts w:ascii="Arial" w:hAnsi="Arial" w:cs="Arial"/>
                <w:sz w:val="18"/>
                <w:szCs w:val="18"/>
                <w:lang w:val="es-ES"/>
              </w:rPr>
              <w:t>25</w:t>
            </w:r>
            <w:r w:rsidR="002A561E">
              <w:rPr>
                <w:rFonts w:ascii="Arial" w:hAnsi="Arial" w:cs="Arial"/>
                <w:sz w:val="18"/>
                <w:szCs w:val="18"/>
                <w:lang w:val="es-ES"/>
              </w:rPr>
              <w:t xml:space="preserve"> </w:t>
            </w:r>
            <w:r w:rsidR="00DA0A39">
              <w:rPr>
                <w:rFonts w:ascii="Arial" w:hAnsi="Arial" w:cs="Arial"/>
                <w:sz w:val="18"/>
                <w:szCs w:val="18"/>
                <w:lang w:val="es-ES"/>
              </w:rPr>
              <w:t>de mayo de 2017</w:t>
            </w:r>
          </w:p>
        </w:tc>
      </w:tr>
      <w:tr w:rsidR="000C16F9" w:rsidRPr="00D97FAD" w14:paraId="4E0E55C1" w14:textId="77777777" w:rsidTr="007C6B4B">
        <w:tc>
          <w:tcPr>
            <w:tcW w:w="4140" w:type="dxa"/>
          </w:tcPr>
          <w:p w14:paraId="47BCF97F" w14:textId="77777777"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 xml:space="preserve">Tipos de consultores </w:t>
            </w:r>
            <w:r w:rsidR="009F33FF" w:rsidRPr="00D97FAD">
              <w:rPr>
                <w:rFonts w:ascii="Arial" w:hAnsi="Arial" w:cs="Arial"/>
                <w:sz w:val="18"/>
                <w:szCs w:val="18"/>
                <w:lang w:val="es-ES"/>
              </w:rPr>
              <w:t>(firm</w:t>
            </w:r>
            <w:r w:rsidRPr="00D97FAD">
              <w:rPr>
                <w:rFonts w:ascii="Arial" w:hAnsi="Arial" w:cs="Arial"/>
                <w:sz w:val="18"/>
                <w:szCs w:val="18"/>
                <w:lang w:val="es-ES"/>
              </w:rPr>
              <w:t>as</w:t>
            </w:r>
            <w:r w:rsidR="009F33FF" w:rsidRPr="00D97FAD">
              <w:rPr>
                <w:rFonts w:ascii="Arial" w:hAnsi="Arial" w:cs="Arial"/>
                <w:sz w:val="18"/>
                <w:szCs w:val="18"/>
                <w:lang w:val="es-ES"/>
              </w:rPr>
              <w:t xml:space="preserve"> o </w:t>
            </w:r>
            <w:r w:rsidRPr="00D97FAD">
              <w:rPr>
                <w:rFonts w:ascii="Arial" w:hAnsi="Arial" w:cs="Arial"/>
                <w:sz w:val="18"/>
                <w:szCs w:val="18"/>
                <w:lang w:val="es-ES"/>
              </w:rPr>
              <w:t xml:space="preserve">consultores </w:t>
            </w:r>
            <w:r w:rsidR="009F33FF" w:rsidRPr="00D97FAD">
              <w:rPr>
                <w:rFonts w:ascii="Arial" w:hAnsi="Arial" w:cs="Arial"/>
                <w:sz w:val="18"/>
                <w:szCs w:val="18"/>
                <w:lang w:val="es-ES"/>
              </w:rPr>
              <w:t>individual</w:t>
            </w:r>
            <w:r w:rsidRPr="00D97FAD">
              <w:rPr>
                <w:rFonts w:ascii="Arial" w:hAnsi="Arial" w:cs="Arial"/>
                <w:sz w:val="18"/>
                <w:szCs w:val="18"/>
                <w:lang w:val="es-ES"/>
              </w:rPr>
              <w:t>es</w:t>
            </w:r>
            <w:r w:rsidR="009F33FF" w:rsidRPr="00D97FAD">
              <w:rPr>
                <w:rFonts w:ascii="Arial" w:hAnsi="Arial" w:cs="Arial"/>
                <w:sz w:val="18"/>
                <w:szCs w:val="18"/>
                <w:lang w:val="es-ES"/>
              </w:rPr>
              <w:t>):</w:t>
            </w:r>
          </w:p>
        </w:tc>
        <w:tc>
          <w:tcPr>
            <w:tcW w:w="4428" w:type="dxa"/>
          </w:tcPr>
          <w:p w14:paraId="37BC4E23"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Firmas y consultores individuales</w:t>
            </w:r>
          </w:p>
        </w:tc>
      </w:tr>
      <w:tr w:rsidR="000C16F9" w:rsidRPr="000144D6" w14:paraId="2632A143" w14:textId="77777777" w:rsidTr="007C6B4B">
        <w:tc>
          <w:tcPr>
            <w:tcW w:w="4140" w:type="dxa"/>
          </w:tcPr>
          <w:p w14:paraId="16FC9A11" w14:textId="77777777" w:rsidR="009F33FF" w:rsidRPr="00D97FAD" w:rsidRDefault="00E33333"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Unidad de Preparación</w:t>
            </w:r>
            <w:r w:rsidR="009F33FF" w:rsidRPr="00D97FAD">
              <w:rPr>
                <w:rFonts w:ascii="Arial" w:hAnsi="Arial" w:cs="Arial"/>
                <w:sz w:val="18"/>
                <w:szCs w:val="18"/>
                <w:lang w:val="es-ES"/>
              </w:rPr>
              <w:t>:</w:t>
            </w:r>
          </w:p>
        </w:tc>
        <w:tc>
          <w:tcPr>
            <w:tcW w:w="4428" w:type="dxa"/>
          </w:tcPr>
          <w:p w14:paraId="73AF468E"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 xml:space="preserve">Sector Social, División </w:t>
            </w:r>
            <w:r w:rsidRPr="004F0F0F">
              <w:rPr>
                <w:rFonts w:ascii="Arial" w:hAnsi="Arial" w:cs="Arial"/>
                <w:sz w:val="18"/>
                <w:szCs w:val="18"/>
                <w:lang w:val="es-ES"/>
              </w:rPr>
              <w:t>de Mercados Laborales y Seguridad Social</w:t>
            </w:r>
            <w:r>
              <w:rPr>
                <w:rFonts w:ascii="Arial" w:hAnsi="Arial" w:cs="Arial"/>
                <w:sz w:val="18"/>
                <w:szCs w:val="18"/>
                <w:lang w:val="es-ES"/>
              </w:rPr>
              <w:t xml:space="preserve"> (</w:t>
            </w:r>
            <w:r w:rsidRPr="004F0F0F">
              <w:rPr>
                <w:rFonts w:ascii="Arial" w:hAnsi="Arial" w:cs="Arial"/>
                <w:sz w:val="18"/>
                <w:szCs w:val="18"/>
                <w:lang w:val="es-ES"/>
              </w:rPr>
              <w:t>SCL/LMK</w:t>
            </w:r>
            <w:r>
              <w:rPr>
                <w:rFonts w:ascii="Arial" w:hAnsi="Arial" w:cs="Arial"/>
                <w:sz w:val="18"/>
                <w:szCs w:val="18"/>
                <w:lang w:val="es-ES"/>
              </w:rPr>
              <w:t>)</w:t>
            </w:r>
          </w:p>
        </w:tc>
      </w:tr>
      <w:tr w:rsidR="000C16F9" w:rsidRPr="00D97FAD" w14:paraId="67472AE0" w14:textId="77777777" w:rsidTr="007C6B4B">
        <w:tc>
          <w:tcPr>
            <w:tcW w:w="4140" w:type="dxa"/>
          </w:tcPr>
          <w:p w14:paraId="7F613B90" w14:textId="77777777"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es-ES"/>
              </w:rPr>
            </w:pPr>
            <w:r w:rsidRPr="00D97FAD">
              <w:rPr>
                <w:rFonts w:ascii="Arial" w:hAnsi="Arial" w:cs="Arial"/>
                <w:sz w:val="18"/>
                <w:szCs w:val="18"/>
                <w:lang w:val="es-ES"/>
              </w:rPr>
              <w:t>Uni</w:t>
            </w:r>
            <w:r w:rsidR="00E33333" w:rsidRPr="00D97FAD">
              <w:rPr>
                <w:rFonts w:ascii="Arial" w:hAnsi="Arial" w:cs="Arial"/>
                <w:sz w:val="18"/>
                <w:szCs w:val="18"/>
                <w:lang w:val="es-ES"/>
              </w:rPr>
              <w:t>dad Responsab</w:t>
            </w:r>
            <w:r w:rsidR="00F50742" w:rsidRPr="00D97FAD">
              <w:rPr>
                <w:rFonts w:ascii="Arial" w:hAnsi="Arial" w:cs="Arial"/>
                <w:sz w:val="18"/>
                <w:szCs w:val="18"/>
                <w:lang w:val="es-ES"/>
              </w:rPr>
              <w:t>le</w:t>
            </w:r>
            <w:r w:rsidR="00E33333" w:rsidRPr="00D97FAD">
              <w:rPr>
                <w:rFonts w:ascii="Arial" w:hAnsi="Arial" w:cs="Arial"/>
                <w:sz w:val="18"/>
                <w:szCs w:val="18"/>
                <w:lang w:val="es-ES"/>
              </w:rPr>
              <w:t xml:space="preserve"> de Desembolso</w:t>
            </w:r>
            <w:r w:rsidRPr="00D97FAD">
              <w:rPr>
                <w:rFonts w:ascii="Arial" w:hAnsi="Arial" w:cs="Arial"/>
                <w:sz w:val="18"/>
                <w:szCs w:val="18"/>
                <w:lang w:val="es-ES"/>
              </w:rPr>
              <w:t>:</w:t>
            </w:r>
          </w:p>
        </w:tc>
        <w:tc>
          <w:tcPr>
            <w:tcW w:w="4428" w:type="dxa"/>
          </w:tcPr>
          <w:p w14:paraId="5036F44E" w14:textId="77777777"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SCL/LMK</w:t>
            </w:r>
          </w:p>
        </w:tc>
      </w:tr>
      <w:tr w:rsidR="000C16F9" w:rsidRPr="00D97FAD" w14:paraId="109D818F" w14:textId="77777777" w:rsidTr="007C6B4B">
        <w:tc>
          <w:tcPr>
            <w:tcW w:w="4140" w:type="dxa"/>
          </w:tcPr>
          <w:p w14:paraId="3044CBB6" w14:textId="77777777" w:rsidR="009F33FF" w:rsidRPr="00D97FAD" w:rsidRDefault="009F33FF" w:rsidP="00DA0911">
            <w:pPr>
              <w:pStyle w:val="ListParagraph"/>
              <w:numPr>
                <w:ilvl w:val="0"/>
                <w:numId w:val="2"/>
              </w:numPr>
              <w:spacing w:after="60"/>
              <w:ind w:left="180" w:hanging="180"/>
              <w:contextualSpacing w:val="0"/>
              <w:jc w:val="both"/>
              <w:rPr>
                <w:rFonts w:ascii="Arial" w:hAnsi="Arial" w:cs="Arial"/>
                <w:sz w:val="18"/>
                <w:szCs w:val="18"/>
                <w:lang w:val="pt-BR"/>
              </w:rPr>
            </w:pPr>
            <w:r w:rsidRPr="00D97FAD">
              <w:rPr>
                <w:rFonts w:ascii="Arial" w:hAnsi="Arial" w:cs="Arial"/>
                <w:sz w:val="18"/>
                <w:szCs w:val="18"/>
                <w:lang w:val="es-ES"/>
              </w:rPr>
              <w:t>C</w:t>
            </w:r>
            <w:r w:rsidR="00E33333" w:rsidRPr="00D97FAD">
              <w:rPr>
                <w:rFonts w:ascii="Arial" w:hAnsi="Arial" w:cs="Arial"/>
                <w:sz w:val="18"/>
                <w:szCs w:val="18"/>
                <w:lang w:val="es-ES"/>
              </w:rPr>
              <w:t>T incluida en la Estrategia de País</w:t>
            </w:r>
            <w:r w:rsidRPr="00D97FAD">
              <w:rPr>
                <w:rFonts w:ascii="Arial" w:hAnsi="Arial" w:cs="Arial"/>
                <w:sz w:val="18"/>
                <w:szCs w:val="18"/>
                <w:lang w:val="es-ES"/>
              </w:rPr>
              <w:t xml:space="preserve"> (</w:t>
            </w:r>
            <w:r w:rsidR="00E33333" w:rsidRPr="00D97FAD">
              <w:rPr>
                <w:rFonts w:ascii="Arial" w:hAnsi="Arial" w:cs="Arial"/>
                <w:sz w:val="18"/>
                <w:szCs w:val="18"/>
                <w:lang w:val="es-ES"/>
              </w:rPr>
              <w:t>s</w:t>
            </w:r>
            <w:r w:rsidRPr="00D97FAD">
              <w:rPr>
                <w:rFonts w:ascii="Arial" w:hAnsi="Arial" w:cs="Arial"/>
                <w:sz w:val="18"/>
                <w:szCs w:val="18"/>
                <w:lang w:val="es-ES"/>
              </w:rPr>
              <w:t xml:space="preserve">/n): </w:t>
            </w:r>
          </w:p>
        </w:tc>
        <w:tc>
          <w:tcPr>
            <w:tcW w:w="4428" w:type="dxa"/>
          </w:tcPr>
          <w:p w14:paraId="5A47D404" w14:textId="77777777" w:rsidR="009F33FF" w:rsidRPr="00D97FAD" w:rsidRDefault="00DA0A39" w:rsidP="00F93AA3">
            <w:pPr>
              <w:spacing w:after="60"/>
              <w:jc w:val="both"/>
              <w:rPr>
                <w:rFonts w:ascii="Arial" w:hAnsi="Arial" w:cs="Arial"/>
                <w:sz w:val="18"/>
                <w:szCs w:val="18"/>
                <w:lang w:val="pt-BR"/>
              </w:rPr>
            </w:pPr>
            <w:r>
              <w:rPr>
                <w:rFonts w:ascii="Arial" w:hAnsi="Arial" w:cs="Arial"/>
                <w:sz w:val="18"/>
                <w:szCs w:val="18"/>
                <w:lang w:val="es-ES_tradnl"/>
              </w:rPr>
              <w:t>No</w:t>
            </w:r>
          </w:p>
        </w:tc>
      </w:tr>
      <w:tr w:rsidR="007C6B4B" w:rsidRPr="00DA0A39" w14:paraId="491B13D8" w14:textId="77777777" w:rsidTr="007C6B4B">
        <w:tc>
          <w:tcPr>
            <w:tcW w:w="4140" w:type="dxa"/>
          </w:tcPr>
          <w:p w14:paraId="05801834" w14:textId="77777777" w:rsidR="007C6B4B" w:rsidRPr="00D97FAD" w:rsidRDefault="007C6B4B" w:rsidP="00DA0911">
            <w:pPr>
              <w:pStyle w:val="ListParagraph"/>
              <w:numPr>
                <w:ilvl w:val="0"/>
                <w:numId w:val="2"/>
              </w:numPr>
              <w:spacing w:after="60"/>
              <w:ind w:left="180" w:hanging="180"/>
              <w:contextualSpacing w:val="0"/>
              <w:jc w:val="both"/>
              <w:rPr>
                <w:rFonts w:ascii="Arial" w:hAnsi="Arial" w:cs="Arial"/>
                <w:sz w:val="18"/>
                <w:szCs w:val="18"/>
                <w:lang w:val="pt-BR"/>
              </w:rPr>
            </w:pPr>
            <w:r w:rsidRPr="00D97FAD">
              <w:rPr>
                <w:rFonts w:ascii="Arial" w:hAnsi="Arial" w:cs="Arial"/>
                <w:sz w:val="18"/>
                <w:szCs w:val="18"/>
                <w:lang w:val="pt-BR"/>
              </w:rPr>
              <w:t>CT incluída en CPD (s/n):</w:t>
            </w:r>
          </w:p>
        </w:tc>
        <w:tc>
          <w:tcPr>
            <w:tcW w:w="4428" w:type="dxa"/>
          </w:tcPr>
          <w:p w14:paraId="1E2D40C9" w14:textId="77777777" w:rsidR="007C6B4B" w:rsidRPr="00D97FAD" w:rsidRDefault="00DA0A39" w:rsidP="00F93AA3">
            <w:pPr>
              <w:spacing w:after="60"/>
              <w:jc w:val="both"/>
              <w:rPr>
                <w:rFonts w:ascii="Arial" w:hAnsi="Arial" w:cs="Arial"/>
                <w:sz w:val="18"/>
                <w:szCs w:val="18"/>
                <w:lang w:val="pt-BR"/>
              </w:rPr>
            </w:pPr>
            <w:r>
              <w:rPr>
                <w:rFonts w:ascii="Arial" w:hAnsi="Arial" w:cs="Arial"/>
                <w:sz w:val="18"/>
                <w:szCs w:val="18"/>
                <w:lang w:val="es-ES_tradnl"/>
              </w:rPr>
              <w:t>No</w:t>
            </w:r>
          </w:p>
        </w:tc>
      </w:tr>
      <w:tr w:rsidR="000C16F9" w:rsidRPr="000144D6" w14:paraId="583273BB" w14:textId="77777777" w:rsidTr="007C6B4B">
        <w:tc>
          <w:tcPr>
            <w:tcW w:w="4140" w:type="dxa"/>
          </w:tcPr>
          <w:p w14:paraId="2ED5217B" w14:textId="77777777" w:rsidR="009F33FF" w:rsidRPr="00D97FAD" w:rsidRDefault="00BB5D42" w:rsidP="00DA0911">
            <w:pPr>
              <w:pStyle w:val="ListParagraph"/>
              <w:numPr>
                <w:ilvl w:val="0"/>
                <w:numId w:val="2"/>
              </w:numPr>
              <w:spacing w:after="60"/>
              <w:ind w:left="180" w:hanging="180"/>
              <w:contextualSpacing w:val="0"/>
              <w:jc w:val="both"/>
              <w:rPr>
                <w:rFonts w:ascii="Arial" w:hAnsi="Arial" w:cs="Arial"/>
                <w:sz w:val="18"/>
                <w:szCs w:val="18"/>
                <w:lang w:val="es-ES"/>
              </w:rPr>
            </w:pPr>
            <w:r>
              <w:rPr>
                <w:rFonts w:ascii="Arial" w:hAnsi="Arial" w:cs="Arial"/>
                <w:sz w:val="18"/>
                <w:szCs w:val="18"/>
                <w:lang w:val="es-ES"/>
              </w:rPr>
              <w:t>Alineación</w:t>
            </w:r>
            <w:r w:rsidR="00AA1424">
              <w:rPr>
                <w:rFonts w:ascii="Arial" w:hAnsi="Arial" w:cs="Arial"/>
                <w:sz w:val="18"/>
                <w:szCs w:val="18"/>
                <w:lang w:val="es-ES"/>
              </w:rPr>
              <w:t xml:space="preserve"> a la</w:t>
            </w:r>
            <w:r>
              <w:rPr>
                <w:rFonts w:ascii="Arial" w:hAnsi="Arial" w:cs="Arial"/>
                <w:sz w:val="18"/>
                <w:szCs w:val="18"/>
                <w:lang w:val="es-ES"/>
              </w:rPr>
              <w:t xml:space="preserve"> </w:t>
            </w:r>
            <w:r w:rsidR="00555B9A">
              <w:rPr>
                <w:rFonts w:ascii="Arial" w:hAnsi="Arial" w:cs="Arial"/>
                <w:sz w:val="18"/>
                <w:szCs w:val="18"/>
                <w:lang w:val="es-ES"/>
              </w:rPr>
              <w:t xml:space="preserve">Actualización de la </w:t>
            </w:r>
            <w:r w:rsidR="00AA1424">
              <w:rPr>
                <w:rFonts w:ascii="Arial" w:hAnsi="Arial" w:cs="Arial"/>
                <w:sz w:val="18"/>
                <w:szCs w:val="18"/>
                <w:lang w:val="es-ES"/>
              </w:rPr>
              <w:t>Estrategia Institucional</w:t>
            </w:r>
            <w:r w:rsidR="005358DE">
              <w:rPr>
                <w:rFonts w:ascii="Arial" w:hAnsi="Arial" w:cs="Arial"/>
                <w:sz w:val="18"/>
                <w:szCs w:val="18"/>
                <w:lang w:val="es-ES"/>
              </w:rPr>
              <w:t xml:space="preserve"> 2010-2020</w:t>
            </w:r>
            <w:r w:rsidR="009F33FF" w:rsidRPr="00D97FAD">
              <w:rPr>
                <w:rFonts w:ascii="Arial" w:hAnsi="Arial" w:cs="Arial"/>
                <w:sz w:val="18"/>
                <w:szCs w:val="18"/>
                <w:lang w:val="es-ES"/>
              </w:rPr>
              <w:t>:</w:t>
            </w:r>
          </w:p>
        </w:tc>
        <w:tc>
          <w:tcPr>
            <w:tcW w:w="4428" w:type="dxa"/>
          </w:tcPr>
          <w:p w14:paraId="4172479F" w14:textId="3C44DBEA" w:rsidR="009F33FF" w:rsidRPr="00D97FAD" w:rsidRDefault="00DA0A39" w:rsidP="00F93AA3">
            <w:pPr>
              <w:spacing w:after="60"/>
              <w:jc w:val="both"/>
              <w:rPr>
                <w:rFonts w:ascii="Arial" w:hAnsi="Arial" w:cs="Arial"/>
                <w:sz w:val="18"/>
                <w:szCs w:val="18"/>
                <w:lang w:val="es-ES"/>
              </w:rPr>
            </w:pPr>
            <w:r>
              <w:rPr>
                <w:rFonts w:ascii="Arial" w:hAnsi="Arial" w:cs="Arial"/>
                <w:sz w:val="18"/>
                <w:szCs w:val="18"/>
                <w:lang w:val="es-ES"/>
              </w:rPr>
              <w:t>I</w:t>
            </w:r>
            <w:r w:rsidRPr="005225A5">
              <w:rPr>
                <w:rFonts w:ascii="Arial" w:hAnsi="Arial" w:cs="Arial"/>
                <w:sz w:val="18"/>
                <w:szCs w:val="18"/>
                <w:lang w:val="es-ES"/>
              </w:rPr>
              <w:t>ncl</w:t>
            </w:r>
            <w:r>
              <w:rPr>
                <w:rFonts w:ascii="Arial" w:hAnsi="Arial" w:cs="Arial"/>
                <w:sz w:val="18"/>
                <w:szCs w:val="18"/>
                <w:lang w:val="es-ES"/>
              </w:rPr>
              <w:t xml:space="preserve">usión social e igualdad; </w:t>
            </w:r>
            <w:r w:rsidRPr="005225A5">
              <w:rPr>
                <w:rFonts w:ascii="Arial" w:hAnsi="Arial" w:cs="Arial"/>
                <w:sz w:val="18"/>
                <w:szCs w:val="18"/>
                <w:lang w:val="es-ES"/>
              </w:rPr>
              <w:t>productividad e innovación</w:t>
            </w:r>
            <w:r>
              <w:rPr>
                <w:rFonts w:ascii="Arial" w:hAnsi="Arial" w:cs="Arial"/>
                <w:sz w:val="18"/>
                <w:szCs w:val="18"/>
                <w:lang w:val="es-ES"/>
              </w:rPr>
              <w:t xml:space="preserve"> (AB-3008)</w:t>
            </w:r>
            <w:r w:rsidR="00E46A59">
              <w:rPr>
                <w:rFonts w:ascii="Arial" w:hAnsi="Arial" w:cs="Arial"/>
                <w:sz w:val="18"/>
                <w:szCs w:val="18"/>
                <w:lang w:val="es-ES"/>
              </w:rPr>
              <w:t>, GN-2788-5.</w:t>
            </w:r>
          </w:p>
        </w:tc>
      </w:tr>
    </w:tbl>
    <w:p w14:paraId="228EA607" w14:textId="77777777" w:rsidR="005D330B" w:rsidRPr="00D97FAD" w:rsidRDefault="00F00960"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Descripción</w:t>
      </w:r>
      <w:r w:rsidR="005D330B" w:rsidRPr="00D97FAD">
        <w:rPr>
          <w:rFonts w:ascii="Arial" w:hAnsi="Arial" w:cs="Arial"/>
          <w:b/>
          <w:lang w:val="es-ES"/>
        </w:rPr>
        <w:t xml:space="preserve"> </w:t>
      </w:r>
      <w:r w:rsidR="00E33333" w:rsidRPr="00D97FAD">
        <w:rPr>
          <w:rFonts w:ascii="Arial" w:hAnsi="Arial" w:cs="Arial"/>
          <w:b/>
          <w:lang w:val="es-ES"/>
        </w:rPr>
        <w:t xml:space="preserve">del </w:t>
      </w:r>
      <w:r w:rsidRPr="00D97FAD">
        <w:rPr>
          <w:rFonts w:ascii="Arial" w:hAnsi="Arial" w:cs="Arial"/>
          <w:b/>
          <w:lang w:val="es-ES"/>
        </w:rPr>
        <w:t>Préstamo</w:t>
      </w:r>
      <w:r w:rsidR="00E33333" w:rsidRPr="00D97FAD">
        <w:rPr>
          <w:rFonts w:ascii="Arial" w:hAnsi="Arial" w:cs="Arial"/>
          <w:b/>
          <w:lang w:val="es-ES"/>
        </w:rPr>
        <w:t>/</w:t>
      </w:r>
      <w:r w:rsidRPr="00D97FAD">
        <w:rPr>
          <w:rFonts w:ascii="Arial" w:hAnsi="Arial" w:cs="Arial"/>
          <w:b/>
          <w:lang w:val="es-ES"/>
        </w:rPr>
        <w:t>Garantía</w:t>
      </w:r>
      <w:r w:rsidR="00F837EB">
        <w:rPr>
          <w:rFonts w:ascii="Arial" w:hAnsi="Arial" w:cs="Arial"/>
          <w:b/>
          <w:lang w:val="es-ES"/>
        </w:rPr>
        <w:t xml:space="preserve"> Asociado</w:t>
      </w:r>
      <w:r w:rsidR="005D330B" w:rsidRPr="00D97FAD">
        <w:rPr>
          <w:rFonts w:ascii="Arial" w:hAnsi="Arial" w:cs="Arial"/>
          <w:lang w:val="es-ES"/>
        </w:rPr>
        <w:t xml:space="preserve"> </w:t>
      </w:r>
    </w:p>
    <w:p w14:paraId="55840CE5" w14:textId="38B586F6"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F837EB">
        <w:rPr>
          <w:rFonts w:ascii="Arial" w:hAnsi="Arial" w:cs="Arial"/>
          <w:lang w:val="es-ES"/>
        </w:rPr>
        <w:t>Desde los años 2000 la economía peruana presenta una tasa promedio de crecimiento superior al 5%. Actualmente, a pesar de una reducción de esta tasa alrededor del 4%, el Perú se mantiene como una de las economías más dinámicas de la región. El crecimiento económico ha estado acompañado de una reducción de la pobreza y la desigualdad. Ambas pasaron respectivamente del 33,5% de la población y 0,48 (indicador de Gini) en 2009 al 21,8% y 0,44 en 2015. A pesar de estas mejoras, la productividad de la economía registra brechas con respecto a países más desarrollados (la productividad total de los factores (PTF) representa un 49% de la de EEUU). En términos de la productividad por trabajador, su nivel sólo alcanza 23% del nivel de los EEUU (Conference Board, 2016).</w:t>
      </w:r>
    </w:p>
    <w:p w14:paraId="45EF896E" w14:textId="270754E0"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b/>
          <w:lang w:val="es-ES"/>
        </w:rPr>
        <w:lastRenderedPageBreak/>
        <w:t>Esta baja productividad está asociada, entre otros, a una alta informalidad.</w:t>
      </w:r>
      <w:r w:rsidRPr="00F837EB">
        <w:rPr>
          <w:rFonts w:ascii="Arial" w:hAnsi="Arial" w:cs="Arial"/>
          <w:lang w:val="es-ES"/>
        </w:rPr>
        <w:t xml:space="preserve"> La economía peruana es altamente informal desde el punto de vista empresarial y lab</w:t>
      </w:r>
      <w:r>
        <w:rPr>
          <w:rFonts w:ascii="Arial" w:hAnsi="Arial" w:cs="Arial"/>
          <w:lang w:val="es-ES"/>
        </w:rPr>
        <w:t xml:space="preserve">oral. </w:t>
      </w:r>
      <w:r w:rsidRPr="00F837EB">
        <w:rPr>
          <w:rFonts w:ascii="Arial" w:hAnsi="Arial" w:cs="Arial"/>
          <w:lang w:val="es-ES"/>
        </w:rPr>
        <w:t>Así el 56% de las empresas y el 78</w:t>
      </w:r>
      <w:r>
        <w:rPr>
          <w:rFonts w:ascii="Arial" w:hAnsi="Arial" w:cs="Arial"/>
          <w:lang w:val="es-ES"/>
        </w:rPr>
        <w:t>% de los empleos son informales</w:t>
      </w:r>
      <w:r w:rsidRPr="00F837EB">
        <w:rPr>
          <w:rFonts w:ascii="Arial" w:hAnsi="Arial" w:cs="Arial"/>
          <w:lang w:val="es-ES"/>
        </w:rPr>
        <w:t xml:space="preserve">. La informalidad tiene las siguientes consecuencias: (i) reduce la capacidad del Estado de recaudar impuestos e implementar políticas públicas; (ii) afecta el aseguramiento social; </w:t>
      </w:r>
      <w:r w:rsidR="00E46A59">
        <w:rPr>
          <w:rFonts w:ascii="Arial" w:hAnsi="Arial" w:cs="Arial"/>
          <w:lang w:val="es-ES"/>
        </w:rPr>
        <w:t>y</w:t>
      </w:r>
      <w:r w:rsidRPr="00F837EB">
        <w:rPr>
          <w:rFonts w:ascii="Arial" w:hAnsi="Arial" w:cs="Arial"/>
          <w:lang w:val="es-ES"/>
        </w:rPr>
        <w:t xml:space="preserve"> (iii) impacta en el crecimiento de la productividad laboral a través de los siguientes canales: (a) impidiendo que recursos (capital y trabajo) fluyan hacia empresas productivas (Pagés, 2010); y (b) desincentivando la formación y la capacitación laboral. Todo ello retroalimenta un círculo vicioso de alta informalidad y baja productividad (Alaimo et al., 2015) y pone en peligro la sostenibilidad del crecimiento económico (BID, 2017).</w:t>
      </w:r>
    </w:p>
    <w:p w14:paraId="11780B71" w14:textId="77777777"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b/>
          <w:lang w:val="es-ES"/>
        </w:rPr>
        <w:t>Los principales factores que explican la elevada informalidad en el Perú.</w:t>
      </w:r>
      <w:r w:rsidRPr="00F837EB">
        <w:rPr>
          <w:rFonts w:ascii="Arial" w:hAnsi="Arial" w:cs="Arial"/>
          <w:lang w:val="es-ES"/>
        </w:rPr>
        <w:t xml:space="preserve"> La in</w:t>
      </w:r>
      <w:r w:rsidR="00D50351">
        <w:rPr>
          <w:rFonts w:ascii="Arial" w:hAnsi="Arial" w:cs="Arial"/>
          <w:lang w:val="es-ES"/>
        </w:rPr>
        <w:t>formalidad resulta, entre otros</w:t>
      </w:r>
      <w:r w:rsidRPr="00F837EB">
        <w:rPr>
          <w:rFonts w:ascii="Arial" w:hAnsi="Arial" w:cs="Arial"/>
          <w:lang w:val="es-ES"/>
        </w:rPr>
        <w:t>, del desbalance entre el costo de operar formalmente, que incluye costos tanto impositivos como los derivados del financiamiento del sistema de protección social (SPS) de los trabajadores, y la productividad de empresas y trabajadores que determina la capacidad para financiar esos costos.</w:t>
      </w:r>
    </w:p>
    <w:p w14:paraId="455BB6A8" w14:textId="77777777"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b/>
          <w:lang w:val="es-ES"/>
        </w:rPr>
        <w:t>Los costos de la formalidad son altos en Perú.</w:t>
      </w:r>
      <w:r w:rsidRPr="00F837EB">
        <w:rPr>
          <w:rFonts w:ascii="Arial" w:hAnsi="Arial" w:cs="Arial"/>
          <w:lang w:val="es-ES"/>
        </w:rPr>
        <w:t xml:space="preserve"> Por una parte, las empresas enfrentan barreras administrativas para poder registrarse y formalizarse. Por ejemplo, los costos y tiempos para registrar una empresa son tres veces más altos que en el promedio de la OCDE (BID, 2017). Asimismo, la contratación de trabajadores asalariados formales es costosa: los costos no salariales, como porcentaje del salario anual, alcanzan un 50% contra 40% para la media de la región. Estos costos se combinan con costos por indemnización por despido que también son elevados y superan el 63% del salario anual. </w:t>
      </w:r>
      <w:r w:rsidR="00D50351" w:rsidRPr="00F837EB">
        <w:rPr>
          <w:rFonts w:ascii="Arial" w:hAnsi="Arial" w:cs="Arial"/>
          <w:lang w:val="es-ES"/>
        </w:rPr>
        <w:t>Pero,</w:t>
      </w:r>
      <w:r w:rsidRPr="00F837EB">
        <w:rPr>
          <w:rFonts w:ascii="Arial" w:hAnsi="Arial" w:cs="Arial"/>
          <w:lang w:val="es-ES"/>
        </w:rPr>
        <w:t xml:space="preserve"> sobre todo, existen restricciones legales al despido, en tanto el sistema judicial ha considerado, en varios casos, que la reposición del trabajador es la única compensación posible luego de un despido arbitrario. Por otra parte, la fiscalización laboral es muy limitada.</w:t>
      </w:r>
    </w:p>
    <w:p w14:paraId="6A7B253E" w14:textId="77777777"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F837EB">
        <w:rPr>
          <w:rFonts w:ascii="Arial" w:hAnsi="Arial" w:cs="Arial"/>
          <w:b/>
          <w:lang w:val="es-ES"/>
        </w:rPr>
        <w:t>El segundo elemento de la alta informalidad es la baja productividad laboral, lo cual está asociado a que la fuerza laboral no tiene las habilidades requeridas por el sector productivo</w:t>
      </w:r>
      <w:r w:rsidRPr="00F837EB">
        <w:rPr>
          <w:rFonts w:ascii="Arial" w:hAnsi="Arial" w:cs="Arial"/>
          <w:lang w:val="es-ES"/>
        </w:rPr>
        <w:t>.</w:t>
      </w:r>
      <w:r>
        <w:rPr>
          <w:rFonts w:ascii="Arial" w:hAnsi="Arial" w:cs="Arial"/>
          <w:lang w:val="es-ES"/>
        </w:rPr>
        <w:t xml:space="preserve"> </w:t>
      </w:r>
      <w:r w:rsidRPr="00F837EB">
        <w:rPr>
          <w:rFonts w:ascii="Arial" w:hAnsi="Arial" w:cs="Arial"/>
          <w:lang w:val="es-ES"/>
        </w:rPr>
        <w:t>Ni la educación superior (tanto técnica como universitaria) ni la capacitación laboral contribuyen a corregir las brechas en habilidades de las personas que proviene</w:t>
      </w:r>
      <w:r w:rsidR="00D50351">
        <w:rPr>
          <w:rFonts w:ascii="Arial" w:hAnsi="Arial" w:cs="Arial"/>
          <w:lang w:val="es-ES"/>
        </w:rPr>
        <w:t>n del ciclo de educación básica</w:t>
      </w:r>
      <w:r w:rsidRPr="00F837EB">
        <w:rPr>
          <w:rFonts w:ascii="Arial" w:hAnsi="Arial" w:cs="Arial"/>
          <w:lang w:val="es-ES"/>
        </w:rPr>
        <w:t>. Tampoco permiten que las personas desarrollen y/o actualicen las competencias necesarias para desempeñarse con éxito en el trabajo. En particular, existe una desconexión entre la oferta educativa y las necesidades del sector productivo (Chacaltana y Rosas, 2015). Esto se refleja, entre otros problemas, en la debilidad de la oferta formativa técnica-profesional y tecnológica. Se trata de una compleja oferta de títulos que no necesariamente corresponden a jerarquías de conocimiento y para los que no existe un marco de equivalencias que permita convalidaciones. Además, es una oferta que no está sujeta a estándares de excelencia y no hay una política pública clara que incentive la excelencia en la ca</w:t>
      </w:r>
      <w:r>
        <w:rPr>
          <w:rFonts w:ascii="Arial" w:hAnsi="Arial" w:cs="Arial"/>
          <w:lang w:val="es-ES"/>
        </w:rPr>
        <w:t>lidad en este tipo de formación</w:t>
      </w:r>
      <w:r w:rsidRPr="00F837EB">
        <w:rPr>
          <w:rFonts w:ascii="Arial" w:hAnsi="Arial" w:cs="Arial"/>
          <w:lang w:val="es-ES"/>
        </w:rPr>
        <w:t xml:space="preserve">. Adicionalmente, los peruanos deben tomar decisiones sobre su educación con información limitada sobre los retornos en el mercado laboral de las distintas carreras y sobre la calidad de la oferta de formación. Esto conduce por ejemplo a que 64% de los jóvenes prefiera estudios universitarios a los técnicos a pesar que las empresas manifiestan una creciente dificultad por encontrar trabajadores técnicos (Apoyo, 2010). Al respecto, el portal educativo Ponte en Carrera, que informa sobre las distintas alternativas educativas, así como sobre empleos y salarios, representa un buen avance, pero aún requiere ser fortalecido. Finalmente, no existe un programa nacional que permita que los </w:t>
      </w:r>
      <w:r w:rsidRPr="00F837EB">
        <w:rPr>
          <w:rFonts w:ascii="Arial" w:hAnsi="Arial" w:cs="Arial"/>
          <w:lang w:val="es-ES"/>
        </w:rPr>
        <w:lastRenderedPageBreak/>
        <w:t>jóvenes puedan formarse y adquirir una experiencia relevante en las empresas formales. Sólo se cuenta con Convenios de Modalidades Formativas, uno de los cuales es el de aprendizaje, que han sido poco empleados.</w:t>
      </w:r>
    </w:p>
    <w:p w14:paraId="1150B00A" w14:textId="77777777" w:rsidR="00F837EB" w:rsidRDefault="00F837EB"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F837EB">
        <w:rPr>
          <w:rFonts w:ascii="Arial" w:hAnsi="Arial" w:cs="Arial"/>
          <w:b/>
          <w:lang w:val="es-ES"/>
        </w:rPr>
        <w:t xml:space="preserve">El Gobierno de Perú (GOP) ha priorizado </w:t>
      </w:r>
      <w:r w:rsidR="00D50351">
        <w:rPr>
          <w:rFonts w:ascii="Arial" w:hAnsi="Arial" w:cs="Arial"/>
          <w:b/>
          <w:lang w:val="es-ES"/>
        </w:rPr>
        <w:t>la lucha contra la informalidad</w:t>
      </w:r>
      <w:r w:rsidRPr="00F837EB">
        <w:rPr>
          <w:rFonts w:ascii="Arial" w:hAnsi="Arial" w:cs="Arial"/>
          <w:b/>
          <w:lang w:val="es-ES"/>
        </w:rPr>
        <w:t>. Actualmente, distintos sectores gubernamentales vienen desarrollando medidas para promover la formalidad, aunque con una limitada coordinación interinstitucional</w:t>
      </w:r>
      <w:r w:rsidRPr="00F837EB">
        <w:rPr>
          <w:rFonts w:ascii="Arial" w:hAnsi="Arial" w:cs="Arial"/>
          <w:lang w:val="es-ES"/>
        </w:rPr>
        <w:t>. Así, entre otros, el MEF, a través del Consejo Nacional de Competitividad y Formalización (CNCF), viene elaborando una Estrategia Multisectorial para la Reducción de la Informalidad en el Perú (ENF) que permita orientar y guiar los esfuerzos sectoriales en la materia. Asimismo, el MEF ha convocado una Comisión de Protección Social (CPS) que tiene como encargo principal de elaborar una propuesta de reforma del SPSl (sistemas de pensiones y salud, y seguro de desempleo) que permita desvincular su financiamiento del estatus laboral. Por otra parte, el Ministerio de Trabajo y Promoción del Empleo (MTPE) está buscando reformar la legislación laboral para reducir los costos a la formalización (por ejemplo, revisar los regímenes de contratación y las condiciones de despido), y también revisar la Ley de Modalidades Formativas para promover el modelo de formación dual a fin que los jóvenes puedan transitar de la escuela a trabajos formales en los cuales podrían continuar con su formación. Por su parte, el Ministerio de la Producción (PRODUCE) viene trabajando el modelo de Centros de Desarrollo Empresarial (CDE), los cuales buscan promover la formalización empresarial y el crecimiento de las MIPYME, así como de los emprendedores, asociaciones y cooperativas. Finalmente, el Ministerio de Educación (MINEDU), en el marco de la nueva Ley de Institutos y Escuelas de Educación Superior (Ley 29394) que aprobó a mediados del 2016, quiere desarrollar Institutos de Excelencia (IDEX) que permitan ofrecer una formación con pertinencia y calidad a fin que los jóvenes cuenten con las habilidades que son requeridas por el sector formal.</w:t>
      </w:r>
    </w:p>
    <w:p w14:paraId="5F7E346A" w14:textId="77777777" w:rsidR="00D50351" w:rsidRPr="00D50351" w:rsidRDefault="00D50351" w:rsidP="00D50351">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b/>
          <w:lang w:val="es-ES_tradnl"/>
        </w:rPr>
        <w:t>El GOP ha solicitado al Banco una operación de Apoyo a Reformas de Políticas, bajo la modalidad programática, para incrementar la productividad laboral y la formalidad laboral (PE-L1223)</w:t>
      </w:r>
      <w:r>
        <w:rPr>
          <w:rStyle w:val="FootnoteReference"/>
          <w:rFonts w:ascii="Arial" w:hAnsi="Arial" w:cs="Arial"/>
          <w:b/>
        </w:rPr>
        <w:footnoteReference w:id="1"/>
      </w:r>
      <w:r w:rsidRPr="00D50351">
        <w:rPr>
          <w:rFonts w:ascii="Arial" w:hAnsi="Arial" w:cs="Arial"/>
          <w:b/>
          <w:lang w:val="es-ES_tradnl"/>
        </w:rPr>
        <w:t>.</w:t>
      </w:r>
      <w:r w:rsidRPr="00D50351">
        <w:rPr>
          <w:rFonts w:ascii="Arial" w:hAnsi="Arial" w:cs="Arial"/>
          <w:lang w:val="es-ES_tradnl"/>
        </w:rPr>
        <w:t xml:space="preserve"> </w:t>
      </w:r>
      <w:r w:rsidRPr="00342587">
        <w:rPr>
          <w:rFonts w:ascii="Arial" w:hAnsi="Arial" w:cs="Arial"/>
          <w:lang w:val="es-ES_tradnl"/>
        </w:rPr>
        <w:t xml:space="preserve">Se prevé preparar esta operación en el 2017 y aprobar el primer préstamo de la serie en el 2018. Las actividades de esta cooperación técnica (CT) se enmarcan en las líneas de acción promovidas por la PE-L1223 y están orientadas a apoyar al GOP con el diseño y/o implementación de medidas de política orientadas a reducir la informalidad. </w:t>
      </w:r>
    </w:p>
    <w:p w14:paraId="07ADBCF9" w14:textId="5CFCA94F" w:rsidR="00D50351" w:rsidRPr="00F30073" w:rsidRDefault="00D50351" w:rsidP="00F837EB">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b/>
          <w:lang w:val="es-ES"/>
        </w:rPr>
        <w:t>Experiencia del Banco.</w:t>
      </w:r>
      <w:r w:rsidRPr="00D50351">
        <w:rPr>
          <w:rFonts w:ascii="Arial" w:hAnsi="Arial" w:cs="Arial"/>
          <w:lang w:val="es-ES"/>
        </w:rPr>
        <w:t xml:space="preserve"> El Banco viene apoyando a Perú en los temas de empleo y </w:t>
      </w:r>
      <w:r w:rsidRPr="00E46A59">
        <w:rPr>
          <w:rFonts w:ascii="Arial" w:hAnsi="Arial" w:cs="Arial"/>
          <w:lang w:val="es-ES"/>
        </w:rPr>
        <w:t xml:space="preserve">productividad desde hace varios años (ver por ejemplo las operaciones PE-L1072, </w:t>
      </w:r>
      <w:r w:rsidR="00E46A59" w:rsidRPr="00E46A59">
        <w:rPr>
          <w:rFonts w:ascii="Arial" w:hAnsi="Arial" w:cs="Arial"/>
          <w:bCs/>
          <w:color w:val="0C1320"/>
          <w:shd w:val="clear" w:color="auto" w:fill="FFFFFF"/>
          <w:lang w:val="es-ES_tradnl"/>
        </w:rPr>
        <w:t xml:space="preserve">2234/OC-PE; </w:t>
      </w:r>
      <w:r w:rsidRPr="00E46A59">
        <w:rPr>
          <w:rFonts w:ascii="Arial" w:hAnsi="Arial" w:cs="Arial"/>
          <w:lang w:val="es-ES"/>
        </w:rPr>
        <w:t>PE</w:t>
      </w:r>
      <w:r w:rsidR="003D1E75" w:rsidRPr="00E46A59">
        <w:rPr>
          <w:rFonts w:ascii="Arial" w:hAnsi="Arial" w:cs="Arial"/>
          <w:lang w:val="es-ES"/>
        </w:rPr>
        <w:t>-</w:t>
      </w:r>
      <w:r w:rsidRPr="00E46A59">
        <w:rPr>
          <w:rFonts w:ascii="Arial" w:hAnsi="Arial" w:cs="Arial"/>
          <w:lang w:val="es-ES"/>
        </w:rPr>
        <w:t>L1078</w:t>
      </w:r>
      <w:r w:rsidR="00E46A59"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2446/OC-PE;</w:t>
      </w:r>
      <w:r w:rsidRPr="00E46A59">
        <w:rPr>
          <w:rFonts w:ascii="Arial" w:hAnsi="Arial" w:cs="Arial"/>
          <w:lang w:val="es-ES"/>
        </w:rPr>
        <w:t xml:space="preserve"> PE-L1105</w:t>
      </w:r>
      <w:r w:rsidR="00E46A59"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2783/OC-PE;</w:t>
      </w:r>
      <w:r w:rsidRPr="00E46A59">
        <w:rPr>
          <w:rFonts w:ascii="Arial" w:hAnsi="Arial" w:cs="Arial"/>
          <w:lang w:val="es-ES"/>
        </w:rPr>
        <w:t xml:space="preserve"> PE-L1099</w:t>
      </w:r>
      <w:r w:rsidR="00E46A59"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3299/OC-PE;</w:t>
      </w:r>
      <w:r w:rsidRPr="00E46A59">
        <w:rPr>
          <w:rFonts w:ascii="Arial" w:hAnsi="Arial" w:cs="Arial"/>
          <w:lang w:val="es-ES"/>
        </w:rPr>
        <w:t xml:space="preserve"> y PE-L1088</w:t>
      </w:r>
      <w:r w:rsidR="00E46A59"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2303/OC-PE</w:t>
      </w:r>
      <w:r w:rsidRPr="00E46A59">
        <w:rPr>
          <w:rFonts w:ascii="Arial" w:hAnsi="Arial" w:cs="Arial"/>
          <w:lang w:val="es-ES"/>
        </w:rPr>
        <w:t>). Actualmente,</w:t>
      </w:r>
      <w:r w:rsidRPr="00D50351">
        <w:rPr>
          <w:rFonts w:ascii="Arial" w:hAnsi="Arial" w:cs="Arial"/>
          <w:lang w:val="es-ES"/>
        </w:rPr>
        <w:t xml:space="preserve"> se está iniciando la ejecución de un proyecto de inversión orientado a fortalecer el Centro de Empleo (PE</w:t>
      </w:r>
      <w:r w:rsidR="003D1E75">
        <w:rPr>
          <w:rFonts w:ascii="Arial" w:hAnsi="Arial" w:cs="Arial"/>
          <w:lang w:val="es-ES"/>
        </w:rPr>
        <w:t>-</w:t>
      </w:r>
      <w:r w:rsidRPr="00D50351">
        <w:rPr>
          <w:rFonts w:ascii="Arial" w:hAnsi="Arial" w:cs="Arial"/>
          <w:lang w:val="es-ES"/>
        </w:rPr>
        <w:t>L1152</w:t>
      </w:r>
      <w:r w:rsidR="00E46A59">
        <w:rPr>
          <w:rFonts w:ascii="Arial" w:hAnsi="Arial" w:cs="Arial"/>
          <w:lang w:val="es-ES"/>
        </w:rPr>
        <w:t xml:space="preserve">, </w:t>
      </w:r>
      <w:r w:rsidR="00E46A59" w:rsidRPr="00E46A59">
        <w:rPr>
          <w:rFonts w:ascii="Arial" w:hAnsi="Arial" w:cs="Arial"/>
          <w:bCs/>
          <w:color w:val="0C1320"/>
          <w:shd w:val="clear" w:color="auto" w:fill="FFFFFF"/>
          <w:lang w:val="es-ES_tradnl"/>
        </w:rPr>
        <w:t>ATN/OC-14819-PE</w:t>
      </w:r>
      <w:r w:rsidRPr="00E46A59">
        <w:rPr>
          <w:rFonts w:ascii="Arial" w:hAnsi="Arial" w:cs="Arial"/>
          <w:bCs/>
          <w:color w:val="0C1320"/>
          <w:shd w:val="clear" w:color="auto" w:fill="FFFFFF"/>
          <w:lang w:val="es-ES_tradnl"/>
        </w:rPr>
        <w:t>)</w:t>
      </w:r>
      <w:r w:rsidRPr="00D50351">
        <w:rPr>
          <w:rFonts w:ascii="Arial" w:hAnsi="Arial" w:cs="Arial"/>
          <w:lang w:val="es-ES"/>
        </w:rPr>
        <w:t xml:space="preserve"> en siete regiones del país. Además, se están ejecutando las cooperaciones técnicas </w:t>
      </w:r>
      <w:r w:rsidRPr="00E46A59">
        <w:rPr>
          <w:rFonts w:ascii="Arial" w:hAnsi="Arial" w:cs="Arial"/>
          <w:lang w:val="es-ES"/>
        </w:rPr>
        <w:t>PE T1302</w:t>
      </w:r>
      <w:r w:rsidR="00E46A59"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ATN/OC-14539-PE</w:t>
      </w:r>
      <w:r w:rsidRPr="00E46A59">
        <w:rPr>
          <w:rFonts w:ascii="Arial" w:hAnsi="Arial" w:cs="Arial"/>
          <w:lang w:val="es-ES"/>
        </w:rPr>
        <w:t xml:space="preserve"> y PE-T1320</w:t>
      </w:r>
      <w:r w:rsidR="00E46A59" w:rsidRPr="00E46A59">
        <w:rPr>
          <w:rFonts w:ascii="Arial" w:hAnsi="Arial" w:cs="Arial"/>
          <w:lang w:val="es-ES"/>
        </w:rPr>
        <w:t>,</w:t>
      </w:r>
      <w:r w:rsidRPr="00E46A59">
        <w:rPr>
          <w:rFonts w:ascii="Arial" w:hAnsi="Arial" w:cs="Arial"/>
          <w:lang w:val="es-ES"/>
        </w:rPr>
        <w:t xml:space="preserve"> </w:t>
      </w:r>
      <w:r w:rsidR="00E46A59" w:rsidRPr="00E46A59">
        <w:rPr>
          <w:rFonts w:ascii="Arial" w:hAnsi="Arial" w:cs="Arial"/>
          <w:bCs/>
          <w:color w:val="0C1320"/>
          <w:shd w:val="clear" w:color="auto" w:fill="FFFFFF"/>
          <w:lang w:val="es-ES_tradnl"/>
        </w:rPr>
        <w:t xml:space="preserve">ATN/OC-14819-PE </w:t>
      </w:r>
      <w:r w:rsidRPr="00E46A59">
        <w:rPr>
          <w:rFonts w:ascii="Arial" w:hAnsi="Arial" w:cs="Arial"/>
          <w:lang w:val="es-ES"/>
        </w:rPr>
        <w:t>que</w:t>
      </w:r>
      <w:r w:rsidRPr="00D50351">
        <w:rPr>
          <w:rFonts w:ascii="Arial" w:hAnsi="Arial" w:cs="Arial"/>
          <w:lang w:val="es-ES"/>
        </w:rPr>
        <w:t xml:space="preserve"> están orientadas respectivamente a mejorar los programas de empleo del MTPE y desarrollar dos pilotos de consejos sectoriales, y a desarrollar e implementar una encuesta a empresas que permita identificar y caracterizar la brecha de habilidades en el país. Por otra parte, el Banco apoya a varios países con el análisis </w:t>
      </w:r>
      <w:r w:rsidRPr="00D50351">
        <w:rPr>
          <w:rFonts w:ascii="Arial" w:hAnsi="Arial" w:cs="Arial"/>
          <w:lang w:val="es-ES"/>
        </w:rPr>
        <w:lastRenderedPageBreak/>
        <w:t xml:space="preserve">de sus políticas públicas para incrementar la formalidad (ver los proyectos de CT en </w:t>
      </w:r>
      <w:r w:rsidRPr="00F30073">
        <w:rPr>
          <w:rFonts w:ascii="Arial" w:hAnsi="Arial" w:cs="Arial"/>
          <w:lang w:val="es-ES"/>
        </w:rPr>
        <w:t>Colombia (CO-T1345</w:t>
      </w:r>
      <w:r w:rsidR="00F30073" w:rsidRPr="00F30073">
        <w:rPr>
          <w:rFonts w:ascii="Arial" w:hAnsi="Arial" w:cs="Arial"/>
          <w:lang w:val="es-ES"/>
        </w:rPr>
        <w:t xml:space="preserve">, </w:t>
      </w:r>
      <w:r w:rsidR="00F30073" w:rsidRPr="00F30073">
        <w:rPr>
          <w:rFonts w:ascii="Arial" w:hAnsi="Arial" w:cs="Arial"/>
          <w:bCs/>
          <w:color w:val="0C1320"/>
          <w:shd w:val="clear" w:color="auto" w:fill="FFFFFF"/>
          <w:lang w:val="es-ES_tradnl"/>
        </w:rPr>
        <w:t>ATN/OC-14125-CO</w:t>
      </w:r>
      <w:r w:rsidRPr="00F30073">
        <w:rPr>
          <w:rFonts w:ascii="Arial" w:hAnsi="Arial" w:cs="Arial"/>
          <w:lang w:val="es-ES"/>
        </w:rPr>
        <w:t>) y Ecuador (EC-T12</w:t>
      </w:r>
      <w:r w:rsidR="00F30073" w:rsidRPr="00F30073">
        <w:rPr>
          <w:rFonts w:ascii="Arial" w:hAnsi="Arial" w:cs="Arial"/>
          <w:lang w:val="es-ES"/>
        </w:rPr>
        <w:t xml:space="preserve">53, </w:t>
      </w:r>
      <w:r w:rsidR="00F30073" w:rsidRPr="00F30073">
        <w:rPr>
          <w:rFonts w:ascii="Arial" w:hAnsi="Arial" w:cs="Arial"/>
          <w:bCs/>
          <w:color w:val="0C1320"/>
          <w:shd w:val="clear" w:color="auto" w:fill="FFFFFF"/>
          <w:lang w:val="es-ES_tradnl"/>
        </w:rPr>
        <w:t>ATN/OC-13569-EC</w:t>
      </w:r>
      <w:r w:rsidRPr="00F30073">
        <w:rPr>
          <w:rFonts w:ascii="Arial" w:hAnsi="Arial" w:cs="Arial"/>
          <w:lang w:val="es-ES"/>
        </w:rPr>
        <w:t>)).</w:t>
      </w:r>
    </w:p>
    <w:p w14:paraId="2F37569A" w14:textId="77777777" w:rsidR="0095711B" w:rsidRPr="00D97FAD" w:rsidRDefault="00C43E24"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Obje</w:t>
      </w:r>
      <w:r w:rsidR="00F00960" w:rsidRPr="00D97FAD">
        <w:rPr>
          <w:rFonts w:ascii="Arial" w:hAnsi="Arial" w:cs="Arial"/>
          <w:b/>
          <w:lang w:val="es-ES"/>
        </w:rPr>
        <w:t>tivos</w:t>
      </w:r>
      <w:r w:rsidRPr="00D97FAD">
        <w:rPr>
          <w:rFonts w:ascii="Arial" w:hAnsi="Arial" w:cs="Arial"/>
          <w:b/>
          <w:lang w:val="es-ES"/>
        </w:rPr>
        <w:t xml:space="preserve"> </w:t>
      </w:r>
      <w:r w:rsidR="00F00960" w:rsidRPr="00D97FAD">
        <w:rPr>
          <w:rFonts w:ascii="Arial" w:hAnsi="Arial" w:cs="Arial"/>
          <w:b/>
          <w:lang w:val="es-ES"/>
        </w:rPr>
        <w:t>y Justificación de la CT</w:t>
      </w:r>
      <w:r w:rsidR="00A12C27" w:rsidRPr="00D97FAD">
        <w:rPr>
          <w:rFonts w:ascii="Arial" w:hAnsi="Arial" w:cs="Arial"/>
          <w:highlight w:val="yellow"/>
          <w:lang w:val="es-ES"/>
        </w:rPr>
        <w:t xml:space="preserve"> </w:t>
      </w:r>
    </w:p>
    <w:p w14:paraId="790229FC" w14:textId="77777777" w:rsidR="00D50351" w:rsidRDefault="00D50351" w:rsidP="00D50351">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lang w:val="es-ES"/>
        </w:rPr>
        <w:t>Esta CT tiene como objetivo general apoyar los esfuerzos del GOP para incrementar la formalidad en el país. Más específicamente, la CT financiará estudios sectoriales y diagnósticos institucionales y/o legales con el fin de apoyar el diseño y/o desarrollo de las medidas de política promovidas por la operación PE-L1223.</w:t>
      </w:r>
    </w:p>
    <w:p w14:paraId="631192CB" w14:textId="63F810E4" w:rsidR="00D50351" w:rsidRDefault="00D50351" w:rsidP="00D50351">
      <w:pPr>
        <w:pStyle w:val="ListParagraph"/>
        <w:numPr>
          <w:ilvl w:val="1"/>
          <w:numId w:val="5"/>
        </w:numPr>
        <w:spacing w:before="120" w:after="120" w:line="240" w:lineRule="auto"/>
        <w:ind w:left="360" w:hanging="540"/>
        <w:contextualSpacing w:val="0"/>
        <w:jc w:val="both"/>
        <w:rPr>
          <w:rFonts w:ascii="Arial" w:hAnsi="Arial" w:cs="Arial"/>
          <w:lang w:val="es-ES"/>
        </w:rPr>
      </w:pPr>
      <w:r w:rsidRPr="00D50351">
        <w:rPr>
          <w:rFonts w:ascii="Arial" w:hAnsi="Arial" w:cs="Arial"/>
          <w:lang w:val="es-ES"/>
        </w:rPr>
        <w:t>El GOP ha priorizado la lucha contra la formalidad y ha emprendido iniciativas orientadas a desarrollar varias reformas clave. Dado lo anterior, existe la necesidad de: (i) apoyar el trabajo que realizará la CPS; (ii) diseñar los arreglos institucionales y los indicadores que permitan una mejor coordinación institucional y un seguimiento de la implementación de los acuerdos alcanzados en materia de formalización; y (iii)</w:t>
      </w:r>
      <w:r w:rsidR="003D1E75">
        <w:rPr>
          <w:rFonts w:ascii="Arial" w:hAnsi="Arial" w:cs="Arial"/>
          <w:lang w:val="es-ES"/>
        </w:rPr>
        <w:t> </w:t>
      </w:r>
      <w:r w:rsidRPr="00D50351">
        <w:rPr>
          <w:rFonts w:ascii="Arial" w:hAnsi="Arial" w:cs="Arial"/>
          <w:lang w:val="es-ES"/>
        </w:rPr>
        <w:t>apoyar con el análisis y elaboración de propuestas de mejora de programas orientados a mejorar la formalización de trabajadores y empresas.</w:t>
      </w:r>
    </w:p>
    <w:p w14:paraId="18F65967" w14:textId="45C89D64" w:rsidR="005913C3" w:rsidRPr="00CE4BFA" w:rsidRDefault="005913C3" w:rsidP="005913C3">
      <w:pPr>
        <w:pStyle w:val="ListParagraph"/>
        <w:numPr>
          <w:ilvl w:val="1"/>
          <w:numId w:val="5"/>
        </w:numPr>
        <w:spacing w:before="120" w:after="120" w:line="240" w:lineRule="auto"/>
        <w:ind w:left="360" w:hanging="540"/>
        <w:contextualSpacing w:val="0"/>
        <w:jc w:val="both"/>
        <w:rPr>
          <w:rFonts w:ascii="Arial" w:hAnsi="Arial" w:cs="Arial"/>
          <w:lang w:val="es-ES_tradnl"/>
        </w:rPr>
      </w:pPr>
      <w:r w:rsidRPr="005913C3">
        <w:rPr>
          <w:rFonts w:ascii="Arial" w:hAnsi="Arial" w:cs="Arial"/>
          <w:lang w:val="es-ES"/>
        </w:rPr>
        <w:t>Considerando lo anterior, la presente CT es consistente con la Actualización de la Estrategia Institucional (UIS) 2010-2020 (AB-3008) y se alinea estratégicamente con los desafíos de desarrollo de: (i) inclusión social e igualdad; y (ii) productividad e innovación</w:t>
      </w:r>
      <w:r w:rsidR="003D1E75">
        <w:rPr>
          <w:rFonts w:ascii="Arial" w:hAnsi="Arial" w:cs="Arial"/>
          <w:lang w:val="es-ES"/>
        </w:rPr>
        <w:t>,</w:t>
      </w:r>
      <w:r w:rsidRPr="005913C3">
        <w:rPr>
          <w:rFonts w:ascii="Arial" w:hAnsi="Arial" w:cs="Arial"/>
          <w:lang w:val="es-ES"/>
        </w:rPr>
        <w:t xml:space="preserve"> por medio de la promoción de medidas de política orientadas a incrementar la formalidad. Adicionalmente, el programa se alinea con las prioridades sectoriales de acceso al trabajo (V.A) y de cobertura social (V.C) del Marco Sectorial de Trabajo (GN-2741-7). También está alineada con la Estrategia de País del Grupo BID con Perú (2017-2021), la cual destaca en la prioridad de “Reactivación Económica”, el objetivo de apoyar la formalización de la economía, entre otros objetivos. Finalmente, la CT es </w:t>
      </w:r>
      <w:r w:rsidRPr="00F867A1">
        <w:rPr>
          <w:rFonts w:ascii="Arial" w:hAnsi="Arial" w:cs="Arial"/>
          <w:lang w:val="es-ES"/>
        </w:rPr>
        <w:t>consistente con los objetivos</w:t>
      </w:r>
      <w:r w:rsidRPr="005913C3">
        <w:rPr>
          <w:rFonts w:ascii="Arial" w:hAnsi="Arial" w:cs="Arial"/>
          <w:lang w:val="es-ES"/>
        </w:rPr>
        <w:t xml:space="preserve"> del “Programa Estratégico para el Desarrollo Social Financiado con Capital Ordinario”</w:t>
      </w:r>
      <w:r w:rsidR="00F867A1">
        <w:rPr>
          <w:rFonts w:ascii="Arial" w:hAnsi="Arial" w:cs="Arial"/>
          <w:lang w:val="es-ES"/>
        </w:rPr>
        <w:t xml:space="preserve"> (GN-2819-1) en particular los objetivos (ii) fortalecer los esfuerzos realizados por las instituciones públicas para ser más eficaces en sus programas sociales, la focalización en grupos específicos y la ejecución de los proyectos del sector social y (iv) promover la inclusión social, la igualdad de género y la diversidad en los países miembros.</w:t>
      </w:r>
    </w:p>
    <w:p w14:paraId="3DD08FB9" w14:textId="77777777" w:rsidR="005913C3" w:rsidRPr="009813B8" w:rsidRDefault="005913C3" w:rsidP="005913C3">
      <w:pPr>
        <w:spacing w:before="120" w:after="120" w:line="240" w:lineRule="auto"/>
        <w:rPr>
          <w:rFonts w:ascii="Arial" w:hAnsi="Arial" w:cs="Arial"/>
          <w:b/>
          <w:lang w:val="es-ES_tradnl"/>
        </w:rPr>
      </w:pPr>
    </w:p>
    <w:p w14:paraId="052674BE" w14:textId="77777777" w:rsidR="0095711B" w:rsidRPr="00D97FAD" w:rsidRDefault="00F00960"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Descripción de las </w:t>
      </w:r>
      <w:r w:rsidR="00A12C27" w:rsidRPr="00D97FAD">
        <w:rPr>
          <w:rFonts w:ascii="Arial" w:hAnsi="Arial" w:cs="Arial"/>
          <w:b/>
          <w:lang w:val="es-ES"/>
        </w:rPr>
        <w:t>activi</w:t>
      </w:r>
      <w:r w:rsidRPr="00D97FAD">
        <w:rPr>
          <w:rFonts w:ascii="Arial" w:hAnsi="Arial" w:cs="Arial"/>
          <w:b/>
          <w:lang w:val="es-ES"/>
        </w:rPr>
        <w:t>dades</w:t>
      </w:r>
      <w:r w:rsidR="00F6363D" w:rsidRPr="00D97FAD">
        <w:rPr>
          <w:rFonts w:ascii="Arial" w:hAnsi="Arial" w:cs="Arial"/>
          <w:b/>
          <w:lang w:val="es-ES"/>
        </w:rPr>
        <w:t>/component</w:t>
      </w:r>
      <w:r w:rsidRPr="00D97FAD">
        <w:rPr>
          <w:rFonts w:ascii="Arial" w:hAnsi="Arial" w:cs="Arial"/>
          <w:b/>
          <w:lang w:val="es-ES"/>
        </w:rPr>
        <w:t>e</w:t>
      </w:r>
      <w:r w:rsidR="00F6363D" w:rsidRPr="00D97FAD">
        <w:rPr>
          <w:rFonts w:ascii="Arial" w:hAnsi="Arial" w:cs="Arial"/>
          <w:b/>
          <w:lang w:val="es-ES"/>
        </w:rPr>
        <w:t>s</w:t>
      </w:r>
      <w:r w:rsidR="009C5C06" w:rsidRPr="00D97FAD">
        <w:rPr>
          <w:rFonts w:ascii="Arial" w:hAnsi="Arial" w:cs="Arial"/>
          <w:b/>
          <w:lang w:val="es-ES"/>
        </w:rPr>
        <w:t xml:space="preserve"> </w:t>
      </w:r>
      <w:r w:rsidR="00D50351">
        <w:rPr>
          <w:rFonts w:ascii="Arial" w:hAnsi="Arial" w:cs="Arial"/>
          <w:b/>
          <w:lang w:val="es-ES"/>
        </w:rPr>
        <w:t>y presupuesto</w:t>
      </w:r>
    </w:p>
    <w:p w14:paraId="0F751B8E" w14:textId="292E92B5" w:rsidR="00F41A0F" w:rsidRPr="00CE4BFA" w:rsidRDefault="00D50351" w:rsidP="000144D6">
      <w:pPr>
        <w:pStyle w:val="ListParagraph"/>
        <w:numPr>
          <w:ilvl w:val="1"/>
          <w:numId w:val="5"/>
        </w:numPr>
        <w:spacing w:before="120" w:after="120" w:line="240" w:lineRule="auto"/>
        <w:ind w:left="360" w:hanging="540"/>
        <w:contextualSpacing w:val="0"/>
        <w:jc w:val="both"/>
        <w:rPr>
          <w:rFonts w:ascii="Arial" w:hAnsi="Arial" w:cs="Arial"/>
          <w:lang w:val="es-ES"/>
        </w:rPr>
      </w:pPr>
      <w:r w:rsidRPr="00CE4BFA">
        <w:rPr>
          <w:rFonts w:ascii="Arial" w:hAnsi="Arial" w:cs="Arial"/>
          <w:b/>
          <w:lang w:val="es-ES"/>
        </w:rPr>
        <w:t xml:space="preserve">Componente 1: Generación de Insumos para las Políticas de Formalización (US$205.000). </w:t>
      </w:r>
      <w:r w:rsidR="00F41A0F" w:rsidRPr="00CE4BFA">
        <w:rPr>
          <w:rFonts w:ascii="Arial" w:hAnsi="Arial" w:cs="Arial"/>
          <w:lang w:val="es-ES"/>
        </w:rPr>
        <w:t>Busca apoyar el diseño de medidas de política y/o acciones sectoriales orientadas a incrementar la formalidad. Entre otros se considera financiar lo siguiente: (i)</w:t>
      </w:r>
      <w:r w:rsidR="00F30073" w:rsidRPr="00CE4BFA">
        <w:rPr>
          <w:rFonts w:ascii="Arial" w:hAnsi="Arial" w:cs="Arial"/>
          <w:lang w:val="es-ES"/>
        </w:rPr>
        <w:t> </w:t>
      </w:r>
      <w:r w:rsidR="00F41A0F" w:rsidRPr="00CE4BFA">
        <w:rPr>
          <w:rFonts w:ascii="Arial" w:hAnsi="Arial" w:cs="Arial"/>
          <w:lang w:val="es-ES"/>
        </w:rPr>
        <w:t>diseño de un sistema integrado de monitoreo de la implementación de la ENF, que permita hacer seguimiento de los logros de la ENF; (ii) diseño y plan de implementación de la Estrategia Nacional de Fiscalización Laboral (ENFIL), que permita organizar los grandes lineamientos de acción de la SUNAFIL; (iii) diseño del modelo de CDE, que permita su implementación a escala en el medio plazo; (iv)</w:t>
      </w:r>
      <w:r w:rsidR="003D1E75" w:rsidRPr="00CE4BFA">
        <w:rPr>
          <w:rFonts w:ascii="Arial" w:hAnsi="Arial" w:cs="Arial"/>
          <w:lang w:val="es-ES"/>
        </w:rPr>
        <w:t> </w:t>
      </w:r>
      <w:r w:rsidR="00F41A0F" w:rsidRPr="00CE4BFA">
        <w:rPr>
          <w:rFonts w:ascii="Arial" w:hAnsi="Arial" w:cs="Arial"/>
          <w:lang w:val="es-ES"/>
        </w:rPr>
        <w:t xml:space="preserve">diseño del marco conceptual para el modelo de IDEX (i.e. Institutos Técnicos de Excelencia en los que se busca garantizar </w:t>
      </w:r>
      <w:r w:rsidR="002A561E" w:rsidRPr="00CE4BFA">
        <w:rPr>
          <w:rFonts w:ascii="Arial" w:hAnsi="Arial" w:cs="Arial"/>
          <w:lang w:val="es-ES"/>
        </w:rPr>
        <w:t xml:space="preserve">una </w:t>
      </w:r>
      <w:r w:rsidR="00F41A0F" w:rsidRPr="00CE4BFA">
        <w:rPr>
          <w:rFonts w:ascii="Arial" w:hAnsi="Arial" w:cs="Arial"/>
          <w:lang w:val="es-ES"/>
        </w:rPr>
        <w:t>educación técnica formal de alta calidad en todas las regiones); (v)</w:t>
      </w:r>
      <w:r w:rsidR="00F774A5">
        <w:rPr>
          <w:rFonts w:ascii="Arial" w:hAnsi="Arial" w:cs="Arial"/>
          <w:lang w:val="es-ES"/>
        </w:rPr>
        <w:t> </w:t>
      </w:r>
      <w:r w:rsidR="002A561E" w:rsidRPr="00CE4BFA">
        <w:rPr>
          <w:rFonts w:ascii="Arial" w:hAnsi="Arial" w:cs="Arial"/>
          <w:lang w:val="es-ES"/>
        </w:rPr>
        <w:t>diagnóstico</w:t>
      </w:r>
      <w:r w:rsidR="00F41A0F" w:rsidRPr="00CE4BFA">
        <w:rPr>
          <w:rFonts w:ascii="Arial" w:hAnsi="Arial" w:cs="Arial"/>
          <w:lang w:val="es-ES"/>
        </w:rPr>
        <w:t xml:space="preserve"> y diseño de una versión mejorada del portal Ponte en Carrera, hoy la principal fuente de información sobre el retorno económico de las carreras educativas dirigido a orientar las decisiones de </w:t>
      </w:r>
      <w:r w:rsidR="002A561E" w:rsidRPr="00CE4BFA">
        <w:rPr>
          <w:rFonts w:ascii="Arial" w:hAnsi="Arial" w:cs="Arial"/>
          <w:lang w:val="es-ES"/>
        </w:rPr>
        <w:t xml:space="preserve">los </w:t>
      </w:r>
      <w:r w:rsidR="00F41A0F" w:rsidRPr="00CE4BFA">
        <w:rPr>
          <w:rFonts w:ascii="Arial" w:hAnsi="Arial" w:cs="Arial"/>
          <w:lang w:val="es-ES"/>
        </w:rPr>
        <w:t xml:space="preserve">estudiantes; y (vi) diseño </w:t>
      </w:r>
      <w:r w:rsidR="002A561E" w:rsidRPr="00CE4BFA">
        <w:rPr>
          <w:rFonts w:ascii="Arial" w:hAnsi="Arial" w:cs="Arial"/>
          <w:lang w:val="es-ES"/>
        </w:rPr>
        <w:t>conceptual y validación del</w:t>
      </w:r>
      <w:r w:rsidR="00F41A0F" w:rsidRPr="00CE4BFA">
        <w:rPr>
          <w:rFonts w:ascii="Arial" w:hAnsi="Arial" w:cs="Arial"/>
          <w:lang w:val="es-ES"/>
        </w:rPr>
        <w:t xml:space="preserve"> Marco Nacional de </w:t>
      </w:r>
      <w:r w:rsidR="00F41A0F" w:rsidRPr="00CE4BFA">
        <w:rPr>
          <w:rFonts w:ascii="Arial" w:hAnsi="Arial" w:cs="Arial"/>
          <w:lang w:val="es-ES"/>
        </w:rPr>
        <w:lastRenderedPageBreak/>
        <w:t>Cualificaciones, en el que se definen las jerarquías y equivalencias de títulos educativos y de capacitación y se determinan las trayectorias formativas.</w:t>
      </w:r>
      <w:r w:rsidR="003D1E75" w:rsidRPr="00CE4BFA">
        <w:rPr>
          <w:rFonts w:ascii="Arial" w:hAnsi="Arial" w:cs="Arial"/>
          <w:lang w:val="es-ES"/>
        </w:rPr>
        <w:t xml:space="preserve"> </w:t>
      </w:r>
    </w:p>
    <w:p w14:paraId="1AAEDB00" w14:textId="680DFAFA" w:rsidR="00D50351" w:rsidRDefault="00D50351" w:rsidP="00D14F1C">
      <w:pPr>
        <w:pStyle w:val="ListParagraph"/>
        <w:numPr>
          <w:ilvl w:val="1"/>
          <w:numId w:val="5"/>
        </w:numPr>
        <w:spacing w:before="120" w:after="120" w:line="240" w:lineRule="auto"/>
        <w:ind w:left="360" w:hanging="540"/>
        <w:contextualSpacing w:val="0"/>
        <w:jc w:val="both"/>
        <w:rPr>
          <w:rFonts w:ascii="Arial" w:hAnsi="Arial" w:cs="Arial"/>
          <w:lang w:val="es-ES"/>
        </w:rPr>
      </w:pPr>
      <w:r w:rsidRPr="00D14F1C">
        <w:rPr>
          <w:rFonts w:ascii="Arial" w:hAnsi="Arial" w:cs="Arial"/>
          <w:b/>
          <w:lang w:val="es-ES"/>
        </w:rPr>
        <w:t xml:space="preserve">Componente 2: Apoyo a la Comisión de Protección Social (US$190.000). </w:t>
      </w:r>
      <w:r w:rsidRPr="00D14F1C">
        <w:rPr>
          <w:rFonts w:ascii="Arial" w:hAnsi="Arial" w:cs="Arial"/>
          <w:lang w:val="es-ES"/>
        </w:rPr>
        <w:t>Busca apoyar las actividades de la CPS. Estas actividades comprenden: (i) el apoyo a la Comisión a través de la organización de talleres de trabajo semanales con expertos (aproximadamente 36 en tres meses) nacionales e internacionales de reconocido prestigio en materia de salud, pensiones, y seguro de desempleo; (ii)</w:t>
      </w:r>
      <w:r w:rsidR="004905D7">
        <w:rPr>
          <w:rFonts w:ascii="Arial" w:hAnsi="Arial" w:cs="Arial"/>
          <w:lang w:val="es-ES"/>
        </w:rPr>
        <w:t> </w:t>
      </w:r>
      <w:r w:rsidRPr="00D14F1C">
        <w:rPr>
          <w:rFonts w:ascii="Arial" w:hAnsi="Arial" w:cs="Arial"/>
          <w:lang w:val="es-ES"/>
        </w:rPr>
        <w:t>la definición y costeo del Plan Esencial de Aseguramiento de Salud (PEAS); y (iii)</w:t>
      </w:r>
      <w:r w:rsidR="004905D7">
        <w:rPr>
          <w:rFonts w:ascii="Arial" w:hAnsi="Arial" w:cs="Arial"/>
          <w:lang w:val="es-ES"/>
        </w:rPr>
        <w:t> </w:t>
      </w:r>
      <w:r w:rsidRPr="00D14F1C">
        <w:rPr>
          <w:rFonts w:ascii="Arial" w:hAnsi="Arial" w:cs="Arial"/>
          <w:lang w:val="es-ES"/>
        </w:rPr>
        <w:t>el diseño de una encuesta sobre el uso de los fondos pensionales luego de la aprobación de una ley que permite el retiro del 95,5% de los fondos de pensión</w:t>
      </w:r>
      <w:r>
        <w:rPr>
          <w:rStyle w:val="FootnoteReference"/>
          <w:rFonts w:ascii="Arial" w:hAnsi="Arial" w:cs="Arial"/>
          <w:lang w:val="es-ES"/>
        </w:rPr>
        <w:footnoteReference w:id="2"/>
      </w:r>
      <w:r w:rsidR="003D1E75">
        <w:rPr>
          <w:rFonts w:ascii="Arial" w:hAnsi="Arial" w:cs="Arial"/>
          <w:lang w:val="es-ES"/>
        </w:rPr>
        <w:t>.</w:t>
      </w:r>
    </w:p>
    <w:p w14:paraId="41143C42" w14:textId="3BF0245E" w:rsidR="00D14F1C" w:rsidRDefault="00D14F1C" w:rsidP="00D14F1C">
      <w:pPr>
        <w:pStyle w:val="ListParagraph"/>
        <w:numPr>
          <w:ilvl w:val="1"/>
          <w:numId w:val="5"/>
        </w:numPr>
        <w:spacing w:before="120" w:after="120" w:line="240" w:lineRule="auto"/>
        <w:ind w:left="360" w:hanging="540"/>
        <w:contextualSpacing w:val="0"/>
        <w:jc w:val="both"/>
        <w:rPr>
          <w:rFonts w:ascii="Arial" w:hAnsi="Arial" w:cs="Arial"/>
          <w:lang w:val="es-ES"/>
        </w:rPr>
      </w:pPr>
      <w:r w:rsidRPr="00187D2E">
        <w:rPr>
          <w:rFonts w:ascii="Arial" w:hAnsi="Arial" w:cs="Arial"/>
          <w:b/>
          <w:lang w:val="es-ES"/>
        </w:rPr>
        <w:t>Componente 3: Publicación</w:t>
      </w:r>
      <w:r>
        <w:rPr>
          <w:rFonts w:ascii="Arial" w:hAnsi="Arial" w:cs="Arial"/>
          <w:b/>
          <w:lang w:val="es-ES"/>
        </w:rPr>
        <w:t xml:space="preserve"> y</w:t>
      </w:r>
      <w:r w:rsidRPr="00187D2E">
        <w:rPr>
          <w:rFonts w:ascii="Arial" w:hAnsi="Arial" w:cs="Arial"/>
          <w:b/>
          <w:lang w:val="es-ES"/>
        </w:rPr>
        <w:t xml:space="preserve"> difusión</w:t>
      </w:r>
      <w:r>
        <w:rPr>
          <w:rFonts w:ascii="Arial" w:hAnsi="Arial" w:cs="Arial"/>
          <w:b/>
          <w:lang w:val="es-ES"/>
        </w:rPr>
        <w:t xml:space="preserve"> </w:t>
      </w:r>
      <w:r w:rsidRPr="00187D2E">
        <w:rPr>
          <w:rFonts w:ascii="Arial" w:hAnsi="Arial" w:cs="Arial"/>
          <w:b/>
          <w:lang w:val="es-ES"/>
        </w:rPr>
        <w:t>(US$</w:t>
      </w:r>
      <w:r w:rsidRPr="00795DA9">
        <w:rPr>
          <w:rFonts w:ascii="Arial" w:hAnsi="Arial" w:cs="Arial"/>
          <w:b/>
          <w:lang w:val="es-ES"/>
        </w:rPr>
        <w:t>15.000).</w:t>
      </w:r>
      <w:r w:rsidRPr="00187D2E">
        <w:rPr>
          <w:rFonts w:ascii="Arial" w:hAnsi="Arial" w:cs="Arial"/>
          <w:b/>
          <w:lang w:val="es-ES"/>
        </w:rPr>
        <w:t xml:space="preserve"> </w:t>
      </w:r>
      <w:r w:rsidRPr="00187D2E">
        <w:rPr>
          <w:rFonts w:ascii="Arial" w:hAnsi="Arial" w:cs="Arial"/>
          <w:lang w:val="es-ES"/>
        </w:rPr>
        <w:t xml:space="preserve">En el marco de este componente, se realizarán </w:t>
      </w:r>
      <w:r>
        <w:rPr>
          <w:rFonts w:ascii="Arial" w:hAnsi="Arial" w:cs="Arial"/>
          <w:lang w:val="es-ES"/>
        </w:rPr>
        <w:t>actividades de difusión</w:t>
      </w:r>
      <w:r w:rsidRPr="00187D2E">
        <w:rPr>
          <w:rFonts w:ascii="Arial" w:hAnsi="Arial" w:cs="Arial"/>
          <w:lang w:val="es-ES"/>
        </w:rPr>
        <w:t xml:space="preserve"> de </w:t>
      </w:r>
      <w:r>
        <w:rPr>
          <w:rFonts w:ascii="Arial" w:hAnsi="Arial" w:cs="Arial"/>
          <w:lang w:val="es-ES"/>
        </w:rPr>
        <w:t xml:space="preserve">los </w:t>
      </w:r>
      <w:r w:rsidRPr="00187D2E">
        <w:rPr>
          <w:rFonts w:ascii="Arial" w:hAnsi="Arial" w:cs="Arial"/>
          <w:lang w:val="es-ES"/>
        </w:rPr>
        <w:t>productos de conocimiento</w:t>
      </w:r>
      <w:r>
        <w:rPr>
          <w:rFonts w:ascii="Arial" w:hAnsi="Arial" w:cs="Arial"/>
          <w:lang w:val="es-ES"/>
        </w:rPr>
        <w:t xml:space="preserve"> que serán generados por el proyecto</w:t>
      </w:r>
      <w:r w:rsidRPr="00187D2E">
        <w:rPr>
          <w:rFonts w:ascii="Arial" w:hAnsi="Arial" w:cs="Arial"/>
          <w:lang w:val="es-ES"/>
        </w:rPr>
        <w:t>.</w:t>
      </w:r>
      <w:r w:rsidR="00342587">
        <w:rPr>
          <w:rFonts w:ascii="Arial" w:hAnsi="Arial" w:cs="Arial"/>
          <w:lang w:val="es-ES"/>
        </w:rPr>
        <w:t xml:space="preserve"> </w:t>
      </w:r>
      <w:r w:rsidR="00BC29E8">
        <w:rPr>
          <w:rFonts w:ascii="Arial" w:hAnsi="Arial" w:cs="Arial"/>
          <w:lang w:val="es-ES"/>
        </w:rPr>
        <w:t xml:space="preserve">Estos productos serán instrumentales tanto para la estrategia de formalización del país como para el trabajo de la </w:t>
      </w:r>
      <w:r w:rsidR="003D1E75">
        <w:rPr>
          <w:rFonts w:ascii="Arial" w:hAnsi="Arial" w:cs="Arial"/>
          <w:lang w:val="es-ES"/>
        </w:rPr>
        <w:t>C</w:t>
      </w:r>
      <w:r w:rsidR="00BC29E8">
        <w:rPr>
          <w:rFonts w:ascii="Arial" w:hAnsi="Arial" w:cs="Arial"/>
          <w:lang w:val="es-ES"/>
        </w:rPr>
        <w:t xml:space="preserve">omisión de </w:t>
      </w:r>
      <w:r w:rsidR="003D1E75">
        <w:rPr>
          <w:rFonts w:ascii="Arial" w:hAnsi="Arial" w:cs="Arial"/>
          <w:lang w:val="es-ES"/>
        </w:rPr>
        <w:t>P</w:t>
      </w:r>
      <w:r w:rsidR="00BC29E8">
        <w:rPr>
          <w:rFonts w:ascii="Arial" w:hAnsi="Arial" w:cs="Arial"/>
          <w:lang w:val="es-ES"/>
        </w:rPr>
        <w:t xml:space="preserve">rotección </w:t>
      </w:r>
      <w:r w:rsidR="003D1E75">
        <w:rPr>
          <w:rFonts w:ascii="Arial" w:hAnsi="Arial" w:cs="Arial"/>
          <w:lang w:val="es-ES"/>
        </w:rPr>
        <w:t>S</w:t>
      </w:r>
      <w:r w:rsidR="00BC29E8">
        <w:rPr>
          <w:rFonts w:ascii="Arial" w:hAnsi="Arial" w:cs="Arial"/>
          <w:lang w:val="es-ES"/>
        </w:rPr>
        <w:t xml:space="preserve">ocial. </w:t>
      </w:r>
      <w:r w:rsidR="00342587">
        <w:rPr>
          <w:rFonts w:ascii="Arial" w:hAnsi="Arial" w:cs="Arial"/>
          <w:lang w:val="es-ES"/>
        </w:rPr>
        <w:t>Los receptores de estos productos de conocimiento serán los tomadores de decisión de política y la comunidad académica.</w:t>
      </w:r>
    </w:p>
    <w:p w14:paraId="40587EBA" w14:textId="77777777" w:rsidR="00D14F1C" w:rsidRDefault="00D14F1C" w:rsidP="00D14F1C">
      <w:pPr>
        <w:spacing w:before="120" w:after="120" w:line="240" w:lineRule="auto"/>
        <w:jc w:val="both"/>
        <w:rPr>
          <w:rFonts w:ascii="Arial" w:hAnsi="Arial" w:cs="Arial"/>
          <w:lang w:val="es-ES"/>
        </w:rPr>
      </w:pPr>
    </w:p>
    <w:p w14:paraId="1E027BBE" w14:textId="3B55F0B9" w:rsidR="00D14F1C" w:rsidRPr="00D97FAD" w:rsidRDefault="00D14F1C" w:rsidP="0016180C">
      <w:pPr>
        <w:pStyle w:val="ListParagraph"/>
        <w:keepNext/>
        <w:spacing w:before="60" w:after="60" w:line="240" w:lineRule="auto"/>
        <w:ind w:left="360"/>
        <w:contextualSpacing w:val="0"/>
        <w:jc w:val="center"/>
        <w:rPr>
          <w:rFonts w:ascii="Arial" w:hAnsi="Arial" w:cs="Arial"/>
          <w:b/>
          <w:lang w:val="es-ES"/>
        </w:rPr>
      </w:pPr>
      <w:r w:rsidRPr="00D97FAD">
        <w:rPr>
          <w:rFonts w:ascii="Arial" w:hAnsi="Arial" w:cs="Arial"/>
          <w:b/>
          <w:lang w:val="es-ES"/>
        </w:rPr>
        <w:t xml:space="preserve">Presupuesto Indicativo </w:t>
      </w:r>
      <w:r>
        <w:rPr>
          <w:rFonts w:ascii="Arial" w:hAnsi="Arial" w:cs="Arial"/>
          <w:b/>
          <w:lang w:val="es-ES"/>
        </w:rPr>
        <w:t>(US$)</w:t>
      </w:r>
      <w:r w:rsidR="00F30073">
        <w:rPr>
          <w:rFonts w:ascii="Arial" w:hAnsi="Arial" w:cs="Arial"/>
          <w:b/>
          <w:lang w:val="es-ES"/>
        </w:rPr>
        <w:t xml:space="preserve">  </w:t>
      </w:r>
    </w:p>
    <w:tbl>
      <w:tblPr>
        <w:tblStyle w:val="TableGrid"/>
        <w:tblW w:w="9535" w:type="dxa"/>
        <w:jc w:val="center"/>
        <w:tblLayout w:type="fixed"/>
        <w:tblLook w:val="04A0" w:firstRow="1" w:lastRow="0" w:firstColumn="1" w:lastColumn="0" w:noHBand="0" w:noVBand="1"/>
      </w:tblPr>
      <w:tblGrid>
        <w:gridCol w:w="1885"/>
        <w:gridCol w:w="3690"/>
        <w:gridCol w:w="1450"/>
        <w:gridCol w:w="890"/>
        <w:gridCol w:w="1620"/>
      </w:tblGrid>
      <w:tr w:rsidR="00D14F1C" w:rsidRPr="00CB4CC5" w14:paraId="3CF5EECA" w14:textId="77777777" w:rsidTr="00D14F1C">
        <w:trPr>
          <w:tblHeader/>
          <w:jc w:val="center"/>
        </w:trPr>
        <w:tc>
          <w:tcPr>
            <w:tcW w:w="1885" w:type="dxa"/>
            <w:shd w:val="clear" w:color="auto" w:fill="DDD9C3" w:themeFill="background2" w:themeFillShade="E6"/>
          </w:tcPr>
          <w:p w14:paraId="6051D727" w14:textId="77777777" w:rsidR="00D14F1C" w:rsidRPr="00D14F1C" w:rsidRDefault="00D14F1C" w:rsidP="0016180C">
            <w:pPr>
              <w:pStyle w:val="ListParagraph"/>
              <w:keepNext/>
              <w:spacing w:before="60" w:after="60"/>
              <w:ind w:left="0"/>
              <w:contextualSpacing w:val="0"/>
              <w:jc w:val="center"/>
              <w:rPr>
                <w:rFonts w:ascii="Arial" w:hAnsi="Arial" w:cs="Arial"/>
                <w:b/>
                <w:sz w:val="18"/>
                <w:szCs w:val="18"/>
                <w:lang w:val="es-ES"/>
              </w:rPr>
            </w:pPr>
            <w:r w:rsidRPr="00D14F1C">
              <w:rPr>
                <w:rFonts w:ascii="Arial" w:hAnsi="Arial" w:cs="Arial"/>
                <w:b/>
                <w:sz w:val="18"/>
                <w:szCs w:val="18"/>
                <w:lang w:val="es-ES"/>
              </w:rPr>
              <w:t>Actividad / Componente</w:t>
            </w:r>
          </w:p>
        </w:tc>
        <w:tc>
          <w:tcPr>
            <w:tcW w:w="3690" w:type="dxa"/>
            <w:shd w:val="clear" w:color="auto" w:fill="DDD9C3" w:themeFill="background2" w:themeFillShade="E6"/>
          </w:tcPr>
          <w:p w14:paraId="3EB7D6AC" w14:textId="77777777" w:rsidR="00D14F1C" w:rsidRPr="00D14F1C" w:rsidRDefault="00D14F1C" w:rsidP="0016180C">
            <w:pPr>
              <w:pStyle w:val="ListParagraph"/>
              <w:keepNext/>
              <w:spacing w:before="60" w:after="60"/>
              <w:ind w:left="0"/>
              <w:contextualSpacing w:val="0"/>
              <w:jc w:val="center"/>
              <w:rPr>
                <w:rFonts w:ascii="Arial" w:hAnsi="Arial" w:cs="Arial"/>
                <w:b/>
                <w:sz w:val="18"/>
                <w:szCs w:val="18"/>
                <w:lang w:val="es-ES"/>
              </w:rPr>
            </w:pPr>
            <w:r w:rsidRPr="00D14F1C">
              <w:rPr>
                <w:rFonts w:ascii="Arial" w:hAnsi="Arial" w:cs="Arial"/>
                <w:b/>
                <w:sz w:val="18"/>
                <w:szCs w:val="18"/>
                <w:lang w:val="es-ES"/>
              </w:rPr>
              <w:t>Descripción</w:t>
            </w:r>
          </w:p>
        </w:tc>
        <w:tc>
          <w:tcPr>
            <w:tcW w:w="1450" w:type="dxa"/>
            <w:shd w:val="clear" w:color="auto" w:fill="DDD9C3" w:themeFill="background2" w:themeFillShade="E6"/>
          </w:tcPr>
          <w:p w14:paraId="2DB366B8" w14:textId="06AFF920" w:rsidR="00D14F1C" w:rsidRPr="00CE4BFA" w:rsidRDefault="00D14F1C" w:rsidP="00CE4BFA">
            <w:pPr>
              <w:pStyle w:val="ListParagraph"/>
              <w:keepNext/>
              <w:spacing w:before="60" w:after="60"/>
              <w:ind w:left="0"/>
              <w:contextualSpacing w:val="0"/>
              <w:jc w:val="center"/>
              <w:rPr>
                <w:rFonts w:ascii="Arial" w:hAnsi="Arial" w:cs="Arial"/>
                <w:b/>
                <w:sz w:val="18"/>
                <w:szCs w:val="18"/>
                <w:highlight w:val="yellow"/>
                <w:lang w:val="es-ES"/>
              </w:rPr>
            </w:pPr>
            <w:r w:rsidRPr="00D14F1C">
              <w:rPr>
                <w:rFonts w:ascii="Arial" w:hAnsi="Arial" w:cs="Arial"/>
                <w:b/>
                <w:sz w:val="18"/>
                <w:szCs w:val="18"/>
                <w:lang w:val="es-ES"/>
              </w:rPr>
              <w:t>BID / Financia-miento (</w:t>
            </w:r>
            <w:r w:rsidRPr="00CE4BFA">
              <w:rPr>
                <w:rFonts w:ascii="Arial" w:hAnsi="Arial" w:cs="Arial"/>
                <w:b/>
                <w:sz w:val="18"/>
                <w:szCs w:val="18"/>
                <w:lang w:val="es-ES"/>
              </w:rPr>
              <w:t>S</w:t>
            </w:r>
            <w:r w:rsidR="00CE4BFA" w:rsidRPr="00CE4BFA">
              <w:rPr>
                <w:rFonts w:ascii="Arial" w:hAnsi="Arial" w:cs="Arial"/>
                <w:b/>
                <w:sz w:val="18"/>
                <w:szCs w:val="18"/>
                <w:lang w:val="es-ES"/>
              </w:rPr>
              <w:t>OF</w:t>
            </w:r>
            <w:r w:rsidRPr="00CE4BFA">
              <w:rPr>
                <w:rFonts w:ascii="Arial" w:hAnsi="Arial" w:cs="Arial"/>
                <w:b/>
                <w:sz w:val="18"/>
                <w:szCs w:val="18"/>
                <w:lang w:val="es-ES"/>
              </w:rPr>
              <w:t>)</w:t>
            </w:r>
          </w:p>
        </w:tc>
        <w:tc>
          <w:tcPr>
            <w:tcW w:w="890" w:type="dxa"/>
            <w:shd w:val="clear" w:color="auto" w:fill="DDD9C3" w:themeFill="background2" w:themeFillShade="E6"/>
          </w:tcPr>
          <w:p w14:paraId="56785957" w14:textId="77777777" w:rsidR="00D14F1C" w:rsidRPr="00D14F1C" w:rsidRDefault="00D14F1C" w:rsidP="0016180C">
            <w:pPr>
              <w:pStyle w:val="ListParagraph"/>
              <w:keepNext/>
              <w:spacing w:before="60" w:after="60"/>
              <w:ind w:left="0"/>
              <w:contextualSpacing w:val="0"/>
              <w:jc w:val="center"/>
              <w:rPr>
                <w:rFonts w:ascii="Arial" w:hAnsi="Arial" w:cs="Arial"/>
                <w:b/>
                <w:sz w:val="18"/>
                <w:szCs w:val="18"/>
                <w:lang w:val="es-ES"/>
              </w:rPr>
            </w:pPr>
            <w:r w:rsidRPr="00D14F1C">
              <w:rPr>
                <w:rFonts w:ascii="Arial" w:hAnsi="Arial" w:cs="Arial"/>
                <w:b/>
                <w:sz w:val="18"/>
                <w:szCs w:val="18"/>
                <w:lang w:val="es-ES"/>
              </w:rPr>
              <w:t>Contrapartida</w:t>
            </w:r>
          </w:p>
          <w:p w14:paraId="620836CB" w14:textId="77777777" w:rsidR="00D14F1C" w:rsidRPr="00D14F1C" w:rsidRDefault="00D14F1C" w:rsidP="0016180C">
            <w:pPr>
              <w:pStyle w:val="ListParagraph"/>
              <w:keepNext/>
              <w:spacing w:before="60" w:after="60"/>
              <w:ind w:left="0"/>
              <w:contextualSpacing w:val="0"/>
              <w:jc w:val="center"/>
              <w:rPr>
                <w:rFonts w:ascii="Arial" w:hAnsi="Arial" w:cs="Arial"/>
                <w:b/>
                <w:sz w:val="18"/>
                <w:szCs w:val="18"/>
                <w:lang w:val="es-ES"/>
              </w:rPr>
            </w:pPr>
            <w:r w:rsidRPr="00D14F1C">
              <w:rPr>
                <w:rFonts w:ascii="Arial" w:hAnsi="Arial" w:cs="Arial"/>
                <w:b/>
                <w:sz w:val="18"/>
                <w:szCs w:val="18"/>
                <w:lang w:val="es-ES"/>
              </w:rPr>
              <w:t>Local</w:t>
            </w:r>
          </w:p>
        </w:tc>
        <w:tc>
          <w:tcPr>
            <w:tcW w:w="1620" w:type="dxa"/>
            <w:shd w:val="clear" w:color="auto" w:fill="DDD9C3" w:themeFill="background2" w:themeFillShade="E6"/>
          </w:tcPr>
          <w:p w14:paraId="702B01EE" w14:textId="77777777" w:rsidR="00D14F1C" w:rsidRPr="00D14F1C" w:rsidRDefault="00D14F1C" w:rsidP="0016180C">
            <w:pPr>
              <w:pStyle w:val="ListParagraph"/>
              <w:keepNext/>
              <w:spacing w:before="60" w:after="60"/>
              <w:ind w:left="0"/>
              <w:contextualSpacing w:val="0"/>
              <w:jc w:val="center"/>
              <w:rPr>
                <w:rFonts w:ascii="Arial" w:hAnsi="Arial" w:cs="Arial"/>
                <w:b/>
                <w:sz w:val="18"/>
                <w:szCs w:val="18"/>
                <w:lang w:val="es-ES"/>
              </w:rPr>
            </w:pPr>
            <w:r w:rsidRPr="00D14F1C">
              <w:rPr>
                <w:rFonts w:ascii="Arial" w:hAnsi="Arial" w:cs="Arial"/>
                <w:b/>
                <w:sz w:val="18"/>
                <w:szCs w:val="18"/>
                <w:lang w:val="es-ES"/>
              </w:rPr>
              <w:t xml:space="preserve">Financiamiento Total </w:t>
            </w:r>
          </w:p>
        </w:tc>
      </w:tr>
      <w:tr w:rsidR="00D14F1C" w:rsidRPr="00CB4CC5" w14:paraId="7C4FF7D1" w14:textId="77777777" w:rsidTr="00D14F1C">
        <w:trPr>
          <w:jc w:val="center"/>
        </w:trPr>
        <w:tc>
          <w:tcPr>
            <w:tcW w:w="5575" w:type="dxa"/>
            <w:gridSpan w:val="2"/>
            <w:shd w:val="clear" w:color="auto" w:fill="DDD9C3" w:themeFill="background2" w:themeFillShade="E6"/>
          </w:tcPr>
          <w:p w14:paraId="41D68171" w14:textId="77777777" w:rsidR="00D14F1C" w:rsidRPr="00CB4CC5" w:rsidRDefault="00D14F1C" w:rsidP="0016180C">
            <w:pPr>
              <w:pStyle w:val="ListParagraph"/>
              <w:keepNext/>
              <w:spacing w:before="60" w:after="60"/>
              <w:ind w:left="0"/>
              <w:contextualSpacing w:val="0"/>
              <w:jc w:val="both"/>
              <w:rPr>
                <w:rFonts w:ascii="Arial Narrow" w:hAnsi="Arial Narrow" w:cs="Arial"/>
                <w:sz w:val="16"/>
                <w:szCs w:val="16"/>
                <w:lang w:val="es-ES"/>
              </w:rPr>
            </w:pPr>
            <w:r w:rsidRPr="00CB4CC5">
              <w:rPr>
                <w:rFonts w:ascii="Arial Narrow" w:hAnsi="Arial Narrow" w:cs="Arial"/>
                <w:b/>
                <w:sz w:val="16"/>
                <w:szCs w:val="16"/>
                <w:lang w:val="es-ES"/>
              </w:rPr>
              <w:t>Componente 1: Generación de insumos para las políticas de formalización</w:t>
            </w:r>
          </w:p>
        </w:tc>
        <w:tc>
          <w:tcPr>
            <w:tcW w:w="1450" w:type="dxa"/>
            <w:shd w:val="clear" w:color="auto" w:fill="DDD9C3" w:themeFill="background2" w:themeFillShade="E6"/>
          </w:tcPr>
          <w:p w14:paraId="5D309F85" w14:textId="77777777" w:rsidR="00D14F1C" w:rsidRPr="00CB4CC5" w:rsidRDefault="00D14F1C" w:rsidP="0016180C">
            <w:pPr>
              <w:pStyle w:val="ListParagraph"/>
              <w:keepNext/>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205</w:t>
            </w:r>
            <w:r w:rsidRPr="00CB4CC5">
              <w:rPr>
                <w:rFonts w:ascii="Arial Narrow" w:hAnsi="Arial Narrow" w:cs="Arial"/>
                <w:b/>
                <w:sz w:val="16"/>
                <w:szCs w:val="16"/>
                <w:lang w:val="es-ES"/>
              </w:rPr>
              <w:t>.000</w:t>
            </w:r>
          </w:p>
        </w:tc>
        <w:tc>
          <w:tcPr>
            <w:tcW w:w="890" w:type="dxa"/>
            <w:shd w:val="clear" w:color="auto" w:fill="DDD9C3" w:themeFill="background2" w:themeFillShade="E6"/>
          </w:tcPr>
          <w:p w14:paraId="2D64987E" w14:textId="77777777" w:rsidR="00D14F1C" w:rsidRDefault="00D14F1C" w:rsidP="0016180C">
            <w:pPr>
              <w:pStyle w:val="ListParagraph"/>
              <w:keepNext/>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DDD9C3" w:themeFill="background2" w:themeFillShade="E6"/>
          </w:tcPr>
          <w:p w14:paraId="073AF830" w14:textId="77777777" w:rsidR="00D14F1C" w:rsidRPr="00CB4CC5" w:rsidRDefault="00D14F1C" w:rsidP="0016180C">
            <w:pPr>
              <w:pStyle w:val="ListParagraph"/>
              <w:keepNext/>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205</w:t>
            </w:r>
            <w:r w:rsidRPr="00CB4CC5">
              <w:rPr>
                <w:rFonts w:ascii="Arial Narrow" w:hAnsi="Arial Narrow" w:cs="Arial"/>
                <w:b/>
                <w:sz w:val="16"/>
                <w:szCs w:val="16"/>
                <w:lang w:val="es-ES"/>
              </w:rPr>
              <w:t>.000</w:t>
            </w:r>
          </w:p>
        </w:tc>
      </w:tr>
      <w:tr w:rsidR="00D14F1C" w:rsidRPr="00CB4CC5" w14:paraId="62FE531D" w14:textId="77777777" w:rsidTr="00D14F1C">
        <w:trPr>
          <w:jc w:val="center"/>
        </w:trPr>
        <w:tc>
          <w:tcPr>
            <w:tcW w:w="1885" w:type="dxa"/>
            <w:vAlign w:val="center"/>
          </w:tcPr>
          <w:p w14:paraId="22E2F77A" w14:textId="27F50556" w:rsidR="00D14F1C" w:rsidRPr="00CB4CC5" w:rsidRDefault="00D14F1C" w:rsidP="009813B8">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Sistema integrado de monitoreo de la implementación de la</w:t>
            </w:r>
            <w:r w:rsidR="009813B8">
              <w:rPr>
                <w:rFonts w:ascii="Arial Narrow" w:hAnsi="Arial Narrow" w:cs="Arial"/>
                <w:color w:val="000000" w:themeColor="text1"/>
                <w:sz w:val="16"/>
                <w:szCs w:val="16"/>
                <w:lang w:val="es-ES_tradnl"/>
              </w:rPr>
              <w:t xml:space="preserve"> </w:t>
            </w:r>
            <w:r w:rsidR="009813B8" w:rsidRPr="009813B8">
              <w:rPr>
                <w:rFonts w:ascii="Arial Narrow" w:hAnsi="Arial Narrow" w:cs="Arial"/>
                <w:color w:val="000000" w:themeColor="text1"/>
                <w:sz w:val="16"/>
                <w:szCs w:val="16"/>
                <w:lang w:val="es-ES_tradnl"/>
              </w:rPr>
              <w:t>Estrategia Multisectorial para la Reducción de la Informalidad en el Perú (ENF)</w:t>
            </w:r>
            <w:r w:rsidRPr="00CB4CC5">
              <w:rPr>
                <w:rFonts w:ascii="Arial Narrow" w:hAnsi="Arial Narrow" w:cs="Arial"/>
                <w:color w:val="000000" w:themeColor="text1"/>
                <w:sz w:val="16"/>
                <w:szCs w:val="16"/>
                <w:lang w:val="es-ES_tradnl"/>
              </w:rPr>
              <w:t>.</w:t>
            </w:r>
          </w:p>
        </w:tc>
        <w:tc>
          <w:tcPr>
            <w:tcW w:w="3690" w:type="dxa"/>
            <w:vAlign w:val="center"/>
          </w:tcPr>
          <w:p w14:paraId="783CC22F" w14:textId="42088A24" w:rsidR="00D14F1C" w:rsidRPr="00CB4CC5" w:rsidRDefault="009813B8" w:rsidP="009813B8">
            <w:pPr>
              <w:pStyle w:val="ListParagraph"/>
              <w:spacing w:before="60" w:after="60"/>
              <w:ind w:left="0"/>
              <w:contextualSpacing w:val="0"/>
              <w:jc w:val="both"/>
              <w:rPr>
                <w:rFonts w:ascii="Arial Narrow" w:hAnsi="Arial Narrow" w:cs="Arial"/>
                <w:sz w:val="16"/>
                <w:szCs w:val="16"/>
                <w:lang w:val="es-ES"/>
              </w:rPr>
            </w:pPr>
            <w:r w:rsidRPr="009813B8">
              <w:rPr>
                <w:rFonts w:ascii="Arial Narrow" w:hAnsi="Arial Narrow" w:cs="Arial"/>
                <w:color w:val="000000" w:themeColor="text1"/>
                <w:sz w:val="16"/>
                <w:szCs w:val="16"/>
                <w:lang w:val="es-ES_tradnl"/>
              </w:rPr>
              <w:t>Consultoría dirigida a elaborar el sistema integrado de monitoreo de la implementación de la</w:t>
            </w:r>
            <w:r>
              <w:rPr>
                <w:rFonts w:ascii="Arial Narrow" w:hAnsi="Arial Narrow" w:cs="Arial"/>
                <w:color w:val="000000" w:themeColor="text1"/>
                <w:sz w:val="16"/>
                <w:szCs w:val="16"/>
                <w:lang w:val="es-ES_tradnl"/>
              </w:rPr>
              <w:t xml:space="preserve"> ENF</w:t>
            </w:r>
            <w:r w:rsidRPr="009813B8">
              <w:rPr>
                <w:rFonts w:ascii="Arial Narrow" w:hAnsi="Arial Narrow" w:cs="Arial"/>
                <w:color w:val="000000" w:themeColor="text1"/>
                <w:sz w:val="16"/>
                <w:szCs w:val="16"/>
                <w:lang w:val="es-ES_tradnl"/>
              </w:rPr>
              <w:t>.</w:t>
            </w:r>
          </w:p>
        </w:tc>
        <w:tc>
          <w:tcPr>
            <w:tcW w:w="1450" w:type="dxa"/>
          </w:tcPr>
          <w:p w14:paraId="4DF26E20"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35</w:t>
            </w:r>
            <w:r w:rsidRPr="00CB4CC5">
              <w:rPr>
                <w:rFonts w:ascii="Arial Narrow" w:hAnsi="Arial Narrow" w:cs="Arial"/>
                <w:b/>
                <w:sz w:val="16"/>
                <w:szCs w:val="16"/>
                <w:lang w:val="es-ES"/>
              </w:rPr>
              <w:t>.000</w:t>
            </w:r>
          </w:p>
        </w:tc>
        <w:tc>
          <w:tcPr>
            <w:tcW w:w="890" w:type="dxa"/>
          </w:tcPr>
          <w:p w14:paraId="68778E93" w14:textId="77777777" w:rsidR="00D14F1C"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4DA58C25"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35</w:t>
            </w:r>
            <w:r w:rsidRPr="00CB4CC5">
              <w:rPr>
                <w:rFonts w:ascii="Arial Narrow" w:hAnsi="Arial Narrow" w:cs="Arial"/>
                <w:b/>
                <w:sz w:val="16"/>
                <w:szCs w:val="16"/>
                <w:lang w:val="es-ES"/>
              </w:rPr>
              <w:t>.000</w:t>
            </w:r>
          </w:p>
        </w:tc>
      </w:tr>
      <w:tr w:rsidR="00D14F1C" w:rsidRPr="00CB4CC5" w14:paraId="23648D0A" w14:textId="77777777" w:rsidTr="00D14F1C">
        <w:trPr>
          <w:jc w:val="center"/>
        </w:trPr>
        <w:tc>
          <w:tcPr>
            <w:tcW w:w="1885" w:type="dxa"/>
            <w:vAlign w:val="center"/>
          </w:tcPr>
          <w:p w14:paraId="51C75A0C" w14:textId="77777777" w:rsidR="00D14F1C" w:rsidRPr="00CB4CC5" w:rsidRDefault="00D14F1C" w:rsidP="004F1AF4">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Propuesta y plan de implementación de la Estrategia Nacional de Fiscalización Laboral (ENFIL)</w:t>
            </w:r>
          </w:p>
        </w:tc>
        <w:tc>
          <w:tcPr>
            <w:tcW w:w="3690" w:type="dxa"/>
            <w:vAlign w:val="center"/>
          </w:tcPr>
          <w:p w14:paraId="67D66861" w14:textId="3C378F73" w:rsidR="00D14F1C" w:rsidRPr="00CB4CC5" w:rsidRDefault="00D14F1C" w:rsidP="009813B8">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Consultoría dirigida a elaborar la propuesta y plan de implementación de la ENFIL.</w:t>
            </w:r>
          </w:p>
        </w:tc>
        <w:tc>
          <w:tcPr>
            <w:tcW w:w="1450" w:type="dxa"/>
          </w:tcPr>
          <w:p w14:paraId="276F5244"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50.000</w:t>
            </w:r>
          </w:p>
        </w:tc>
        <w:tc>
          <w:tcPr>
            <w:tcW w:w="890" w:type="dxa"/>
          </w:tcPr>
          <w:p w14:paraId="74B3CC4C"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30B17865"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50.000</w:t>
            </w:r>
          </w:p>
        </w:tc>
      </w:tr>
      <w:tr w:rsidR="00D14F1C" w:rsidRPr="00622573" w14:paraId="4FE0FA3B" w14:textId="77777777" w:rsidTr="00D14F1C">
        <w:trPr>
          <w:jc w:val="center"/>
        </w:trPr>
        <w:tc>
          <w:tcPr>
            <w:tcW w:w="1885" w:type="dxa"/>
            <w:vAlign w:val="center"/>
          </w:tcPr>
          <w:p w14:paraId="63838402" w14:textId="79940EC7" w:rsidR="00D14F1C" w:rsidRPr="00CB4CC5" w:rsidRDefault="00D14F1C" w:rsidP="004F1AF4">
            <w:pPr>
              <w:pStyle w:val="ListParagraph"/>
              <w:spacing w:before="60" w:after="60"/>
              <w:ind w:left="0"/>
              <w:contextualSpacing w:val="0"/>
              <w:jc w:val="both"/>
              <w:rPr>
                <w:rFonts w:ascii="Arial Narrow" w:hAnsi="Arial Narrow" w:cs="Arial"/>
                <w:color w:val="000000" w:themeColor="text1"/>
                <w:sz w:val="16"/>
                <w:szCs w:val="16"/>
                <w:lang w:val="es-ES_tradnl"/>
              </w:rPr>
            </w:pPr>
            <w:r>
              <w:rPr>
                <w:rFonts w:ascii="Arial Narrow" w:hAnsi="Arial Narrow" w:cs="Arial"/>
                <w:color w:val="000000" w:themeColor="text1"/>
                <w:sz w:val="16"/>
                <w:szCs w:val="16"/>
                <w:lang w:val="es-ES_tradnl"/>
              </w:rPr>
              <w:t xml:space="preserve">Modelo de </w:t>
            </w:r>
            <w:r w:rsidR="009813B8" w:rsidRPr="009813B8">
              <w:rPr>
                <w:rFonts w:ascii="Arial Narrow" w:hAnsi="Arial Narrow" w:cs="Arial"/>
                <w:color w:val="000000" w:themeColor="text1"/>
                <w:sz w:val="16"/>
                <w:szCs w:val="16"/>
                <w:lang w:val="es-ES_tradnl"/>
              </w:rPr>
              <w:t>Centros de Desarrollo Empresarial</w:t>
            </w:r>
            <w:r w:rsidR="009813B8">
              <w:rPr>
                <w:rFonts w:ascii="Arial Narrow" w:hAnsi="Arial Narrow" w:cs="Arial"/>
                <w:color w:val="000000" w:themeColor="text1"/>
                <w:sz w:val="16"/>
                <w:szCs w:val="16"/>
                <w:lang w:val="es-ES_tradnl"/>
              </w:rPr>
              <w:t xml:space="preserve"> (</w:t>
            </w:r>
            <w:r>
              <w:rPr>
                <w:rFonts w:ascii="Arial Narrow" w:hAnsi="Arial Narrow" w:cs="Arial"/>
                <w:color w:val="000000" w:themeColor="text1"/>
                <w:sz w:val="16"/>
                <w:szCs w:val="16"/>
                <w:lang w:val="es-ES_tradnl"/>
              </w:rPr>
              <w:t>CDE</w:t>
            </w:r>
            <w:r w:rsidR="009813B8">
              <w:rPr>
                <w:rFonts w:ascii="Arial Narrow" w:hAnsi="Arial Narrow" w:cs="Arial"/>
                <w:color w:val="000000" w:themeColor="text1"/>
                <w:sz w:val="16"/>
                <w:szCs w:val="16"/>
                <w:lang w:val="es-ES_tradnl"/>
              </w:rPr>
              <w:t>)</w:t>
            </w:r>
          </w:p>
        </w:tc>
        <w:tc>
          <w:tcPr>
            <w:tcW w:w="3690" w:type="dxa"/>
            <w:vAlign w:val="center"/>
          </w:tcPr>
          <w:p w14:paraId="476C3697" w14:textId="4007ED24" w:rsidR="00D14F1C" w:rsidRPr="00CB4CC5" w:rsidRDefault="00D14F1C" w:rsidP="004F1AF4">
            <w:pPr>
              <w:pStyle w:val="ListParagraph"/>
              <w:spacing w:before="60" w:after="60"/>
              <w:ind w:left="0"/>
              <w:contextualSpacing w:val="0"/>
              <w:jc w:val="both"/>
              <w:rPr>
                <w:rFonts w:ascii="Arial Narrow" w:hAnsi="Arial Narrow" w:cs="Arial"/>
                <w:color w:val="000000" w:themeColor="text1"/>
                <w:sz w:val="16"/>
                <w:szCs w:val="16"/>
                <w:lang w:val="es-ES_tradnl"/>
              </w:rPr>
            </w:pPr>
            <w:r>
              <w:rPr>
                <w:rFonts w:ascii="Arial Narrow" w:hAnsi="Arial Narrow" w:cs="Arial"/>
                <w:color w:val="000000" w:themeColor="text1"/>
                <w:sz w:val="16"/>
                <w:szCs w:val="16"/>
                <w:lang w:val="es-ES_tradnl"/>
              </w:rPr>
              <w:t xml:space="preserve">Consultoría para </w:t>
            </w:r>
            <w:r w:rsidR="009813B8">
              <w:rPr>
                <w:rFonts w:ascii="Arial Narrow" w:hAnsi="Arial Narrow" w:cs="Arial"/>
                <w:color w:val="000000" w:themeColor="text1"/>
                <w:sz w:val="16"/>
                <w:szCs w:val="16"/>
                <w:lang w:val="es-ES_tradnl"/>
              </w:rPr>
              <w:t xml:space="preserve">el </w:t>
            </w:r>
            <w:r>
              <w:rPr>
                <w:rFonts w:ascii="Arial Narrow" w:hAnsi="Arial Narrow" w:cs="Arial"/>
                <w:color w:val="000000" w:themeColor="text1"/>
                <w:sz w:val="16"/>
                <w:szCs w:val="16"/>
                <w:lang w:val="es-ES_tradnl"/>
              </w:rPr>
              <w:t>diseño del modelo de CDE</w:t>
            </w:r>
          </w:p>
        </w:tc>
        <w:tc>
          <w:tcPr>
            <w:tcW w:w="1450" w:type="dxa"/>
          </w:tcPr>
          <w:p w14:paraId="1D770DFB"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30.000</w:t>
            </w:r>
          </w:p>
        </w:tc>
        <w:tc>
          <w:tcPr>
            <w:tcW w:w="890" w:type="dxa"/>
          </w:tcPr>
          <w:p w14:paraId="7B6028D4" w14:textId="77777777" w:rsidR="00D14F1C"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330B3445"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30.000</w:t>
            </w:r>
          </w:p>
        </w:tc>
      </w:tr>
      <w:tr w:rsidR="00D14F1C" w:rsidRPr="00622573" w14:paraId="6F2F2833" w14:textId="77777777" w:rsidTr="00D14F1C">
        <w:trPr>
          <w:jc w:val="center"/>
        </w:trPr>
        <w:tc>
          <w:tcPr>
            <w:tcW w:w="1885" w:type="dxa"/>
            <w:vAlign w:val="center"/>
          </w:tcPr>
          <w:p w14:paraId="04EC87FF" w14:textId="3A86F283" w:rsidR="00D14F1C" w:rsidRPr="00CB4CC5" w:rsidRDefault="00D14F1C" w:rsidP="004F1AF4">
            <w:pPr>
              <w:pStyle w:val="ListParagraph"/>
              <w:spacing w:before="60" w:after="60"/>
              <w:ind w:left="0"/>
              <w:contextualSpacing w:val="0"/>
              <w:jc w:val="both"/>
              <w:rPr>
                <w:rFonts w:ascii="Arial Narrow" w:hAnsi="Arial Narrow" w:cs="Arial"/>
                <w:color w:val="000000" w:themeColor="text1"/>
                <w:sz w:val="16"/>
                <w:szCs w:val="16"/>
                <w:lang w:val="es-ES_tradnl"/>
              </w:rPr>
            </w:pPr>
            <w:r>
              <w:rPr>
                <w:rFonts w:ascii="Arial Narrow" w:hAnsi="Arial Narrow" w:cs="Arial"/>
                <w:color w:val="000000" w:themeColor="text1"/>
                <w:sz w:val="16"/>
                <w:szCs w:val="16"/>
                <w:lang w:val="es-ES_tradnl"/>
              </w:rPr>
              <w:t>Marco conceptual para modelo de</w:t>
            </w:r>
            <w:r w:rsidR="009813B8">
              <w:t xml:space="preserve"> </w:t>
            </w:r>
            <w:r w:rsidR="009813B8" w:rsidRPr="009813B8">
              <w:rPr>
                <w:rFonts w:ascii="Arial Narrow" w:hAnsi="Arial Narrow" w:cs="Arial"/>
                <w:color w:val="000000" w:themeColor="text1"/>
                <w:sz w:val="16"/>
                <w:szCs w:val="16"/>
                <w:lang w:val="es-ES_tradnl"/>
              </w:rPr>
              <w:t>Institutos de Excelencia</w:t>
            </w:r>
            <w:r w:rsidR="009813B8">
              <w:rPr>
                <w:rFonts w:ascii="Arial Narrow" w:hAnsi="Arial Narrow" w:cs="Arial"/>
                <w:color w:val="000000" w:themeColor="text1"/>
                <w:sz w:val="16"/>
                <w:szCs w:val="16"/>
                <w:lang w:val="es-ES_tradnl"/>
              </w:rPr>
              <w:t xml:space="preserve"> (</w:t>
            </w:r>
            <w:r>
              <w:rPr>
                <w:rFonts w:ascii="Arial Narrow" w:hAnsi="Arial Narrow" w:cs="Arial"/>
                <w:color w:val="000000" w:themeColor="text1"/>
                <w:sz w:val="16"/>
                <w:szCs w:val="16"/>
                <w:lang w:val="es-ES_tradnl"/>
              </w:rPr>
              <w:t>IDEX</w:t>
            </w:r>
            <w:r w:rsidR="009813B8">
              <w:rPr>
                <w:rFonts w:ascii="Arial Narrow" w:hAnsi="Arial Narrow" w:cs="Arial"/>
                <w:color w:val="000000" w:themeColor="text1"/>
                <w:sz w:val="16"/>
                <w:szCs w:val="16"/>
                <w:lang w:val="es-ES_tradnl"/>
              </w:rPr>
              <w:t>)</w:t>
            </w:r>
          </w:p>
        </w:tc>
        <w:tc>
          <w:tcPr>
            <w:tcW w:w="3690" w:type="dxa"/>
            <w:vAlign w:val="center"/>
          </w:tcPr>
          <w:p w14:paraId="0129FDF5" w14:textId="77777777" w:rsidR="00D14F1C" w:rsidRPr="00CB4CC5" w:rsidRDefault="00D14F1C" w:rsidP="004F1AF4">
            <w:pPr>
              <w:pStyle w:val="ListParagraph"/>
              <w:spacing w:before="60" w:after="60"/>
              <w:ind w:left="0"/>
              <w:contextualSpacing w:val="0"/>
              <w:jc w:val="both"/>
              <w:rPr>
                <w:rFonts w:ascii="Arial Narrow" w:hAnsi="Arial Narrow" w:cs="Arial"/>
                <w:color w:val="000000" w:themeColor="text1"/>
                <w:sz w:val="16"/>
                <w:szCs w:val="16"/>
                <w:lang w:val="es-ES_tradnl"/>
              </w:rPr>
            </w:pPr>
            <w:r>
              <w:rPr>
                <w:rFonts w:ascii="Arial Narrow" w:hAnsi="Arial Narrow" w:cs="Arial"/>
                <w:color w:val="000000" w:themeColor="text1"/>
                <w:sz w:val="16"/>
                <w:szCs w:val="16"/>
                <w:lang w:val="es-ES_tradnl"/>
              </w:rPr>
              <w:t>Consultoría para diseño del marco conceptual del modelo de IDEX</w:t>
            </w:r>
          </w:p>
        </w:tc>
        <w:tc>
          <w:tcPr>
            <w:tcW w:w="1450" w:type="dxa"/>
          </w:tcPr>
          <w:p w14:paraId="43005BF2"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30.000</w:t>
            </w:r>
          </w:p>
        </w:tc>
        <w:tc>
          <w:tcPr>
            <w:tcW w:w="890" w:type="dxa"/>
          </w:tcPr>
          <w:p w14:paraId="7FD438BD" w14:textId="77777777" w:rsidR="00D14F1C"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0B91B08F"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30.000</w:t>
            </w:r>
          </w:p>
        </w:tc>
      </w:tr>
      <w:tr w:rsidR="00D14F1C" w:rsidRPr="00CB4CC5" w14:paraId="56ADE3AD" w14:textId="77777777" w:rsidTr="00D14F1C">
        <w:trPr>
          <w:jc w:val="center"/>
        </w:trPr>
        <w:tc>
          <w:tcPr>
            <w:tcW w:w="1885" w:type="dxa"/>
            <w:vAlign w:val="center"/>
          </w:tcPr>
          <w:p w14:paraId="7F262CF3" w14:textId="77777777" w:rsidR="00D14F1C" w:rsidRPr="00CB4CC5" w:rsidRDefault="00D14F1C" w:rsidP="004F1AF4">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Versión mejorada del portal Ponte en Carrera</w:t>
            </w:r>
          </w:p>
        </w:tc>
        <w:tc>
          <w:tcPr>
            <w:tcW w:w="3690" w:type="dxa"/>
            <w:vAlign w:val="center"/>
          </w:tcPr>
          <w:p w14:paraId="7697735D" w14:textId="77777777" w:rsidR="00D14F1C" w:rsidRPr="00CB4CC5" w:rsidRDefault="00D14F1C" w:rsidP="004F1AF4">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Consultoría dirigida a elaborar una versión mejorada del portal Ponte en Carrera</w:t>
            </w:r>
          </w:p>
        </w:tc>
        <w:tc>
          <w:tcPr>
            <w:tcW w:w="1450" w:type="dxa"/>
          </w:tcPr>
          <w:p w14:paraId="2B31B830"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30.000</w:t>
            </w:r>
          </w:p>
        </w:tc>
        <w:tc>
          <w:tcPr>
            <w:tcW w:w="890" w:type="dxa"/>
          </w:tcPr>
          <w:p w14:paraId="2D73D797"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502280A4"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30.0000</w:t>
            </w:r>
          </w:p>
        </w:tc>
      </w:tr>
      <w:tr w:rsidR="00D14F1C" w:rsidRPr="00CB4CC5" w14:paraId="0FC67390" w14:textId="77777777" w:rsidTr="00D14F1C">
        <w:trPr>
          <w:jc w:val="center"/>
        </w:trPr>
        <w:tc>
          <w:tcPr>
            <w:tcW w:w="1885" w:type="dxa"/>
            <w:vAlign w:val="center"/>
          </w:tcPr>
          <w:p w14:paraId="6804445A" w14:textId="66126D38" w:rsidR="00D14F1C" w:rsidRPr="00CB4CC5" w:rsidRDefault="00D14F1C" w:rsidP="009813B8">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color w:val="000000" w:themeColor="text1"/>
                <w:sz w:val="16"/>
                <w:szCs w:val="16"/>
                <w:lang w:val="es-ES_tradnl"/>
              </w:rPr>
              <w:t xml:space="preserve">Lineamientos metodológicos para el desarrollo del </w:t>
            </w:r>
            <w:r w:rsidR="009813B8">
              <w:rPr>
                <w:rFonts w:ascii="Arial Narrow" w:hAnsi="Arial Narrow" w:cs="Arial"/>
                <w:color w:val="000000" w:themeColor="text1"/>
                <w:sz w:val="16"/>
                <w:szCs w:val="16"/>
                <w:lang w:val="es-ES_tradnl"/>
              </w:rPr>
              <w:t xml:space="preserve">Marco </w:t>
            </w:r>
            <w:r w:rsidR="009813B8">
              <w:rPr>
                <w:rFonts w:ascii="Arial Narrow" w:hAnsi="Arial Narrow" w:cs="Arial"/>
                <w:color w:val="000000" w:themeColor="text1"/>
                <w:sz w:val="16"/>
                <w:szCs w:val="16"/>
                <w:lang w:val="es-ES_tradnl"/>
              </w:rPr>
              <w:lastRenderedPageBreak/>
              <w:t>Nacional de Calificaciones (</w:t>
            </w:r>
            <w:r w:rsidRPr="00CB4CC5">
              <w:rPr>
                <w:rFonts w:ascii="Arial Narrow" w:hAnsi="Arial Narrow" w:cs="Arial"/>
                <w:color w:val="000000" w:themeColor="text1"/>
                <w:sz w:val="16"/>
                <w:szCs w:val="16"/>
                <w:lang w:val="es-ES_tradnl"/>
              </w:rPr>
              <w:t>MNC</w:t>
            </w:r>
            <w:r w:rsidR="009813B8">
              <w:rPr>
                <w:rFonts w:ascii="Arial Narrow" w:hAnsi="Arial Narrow" w:cs="Arial"/>
                <w:color w:val="000000" w:themeColor="text1"/>
                <w:sz w:val="16"/>
                <w:szCs w:val="16"/>
                <w:lang w:val="es-ES_tradnl"/>
              </w:rPr>
              <w:t>)</w:t>
            </w:r>
          </w:p>
        </w:tc>
        <w:tc>
          <w:tcPr>
            <w:tcW w:w="3690" w:type="dxa"/>
            <w:vAlign w:val="center"/>
          </w:tcPr>
          <w:p w14:paraId="06BF2F1A" w14:textId="2ED56ADF" w:rsidR="00D14F1C" w:rsidRPr="00CB4CC5" w:rsidRDefault="009813B8" w:rsidP="004F1AF4">
            <w:pPr>
              <w:pStyle w:val="ListParagraph"/>
              <w:spacing w:before="60" w:after="60"/>
              <w:ind w:left="0"/>
              <w:contextualSpacing w:val="0"/>
              <w:jc w:val="both"/>
              <w:rPr>
                <w:rFonts w:ascii="Arial Narrow" w:hAnsi="Arial Narrow" w:cs="Arial"/>
                <w:sz w:val="16"/>
                <w:szCs w:val="16"/>
                <w:lang w:val="es-ES"/>
              </w:rPr>
            </w:pPr>
            <w:r w:rsidRPr="009813B8">
              <w:rPr>
                <w:rFonts w:ascii="Arial Narrow" w:hAnsi="Arial Narrow" w:cs="Arial"/>
                <w:color w:val="000000" w:themeColor="text1"/>
                <w:sz w:val="16"/>
                <w:szCs w:val="16"/>
                <w:lang w:val="es-ES_tradnl"/>
              </w:rPr>
              <w:lastRenderedPageBreak/>
              <w:t>Consultoría dirigida a apoyar la definición de los lineamientos metodológicos para el desarrollo del Marco Nacional de Calificaciones (MNC).</w:t>
            </w:r>
          </w:p>
        </w:tc>
        <w:tc>
          <w:tcPr>
            <w:tcW w:w="1450" w:type="dxa"/>
          </w:tcPr>
          <w:p w14:paraId="6F7EBC54"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w:t>
            </w:r>
            <w:r w:rsidRPr="00CB4CC5">
              <w:rPr>
                <w:rFonts w:ascii="Arial Narrow" w:hAnsi="Arial Narrow" w:cs="Arial"/>
                <w:b/>
                <w:sz w:val="16"/>
                <w:szCs w:val="16"/>
                <w:lang w:val="es-ES"/>
              </w:rPr>
              <w:t>.000</w:t>
            </w:r>
          </w:p>
        </w:tc>
        <w:tc>
          <w:tcPr>
            <w:tcW w:w="890" w:type="dxa"/>
          </w:tcPr>
          <w:p w14:paraId="6C0BD215" w14:textId="77777777" w:rsidR="00D14F1C"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Pr>
          <w:p w14:paraId="1C875B4E" w14:textId="77777777" w:rsidR="00D14F1C" w:rsidRPr="00CB4CC5" w:rsidRDefault="00D14F1C" w:rsidP="004F1AF4">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30</w:t>
            </w:r>
            <w:r w:rsidRPr="00CB4CC5">
              <w:rPr>
                <w:rFonts w:ascii="Arial Narrow" w:hAnsi="Arial Narrow" w:cs="Arial"/>
                <w:b/>
                <w:sz w:val="16"/>
                <w:szCs w:val="16"/>
                <w:lang w:val="es-ES"/>
              </w:rPr>
              <w:t>.000</w:t>
            </w:r>
          </w:p>
        </w:tc>
      </w:tr>
      <w:tr w:rsidR="00D14F1C" w:rsidRPr="00CB4CC5" w14:paraId="61C39CA1" w14:textId="77777777" w:rsidTr="00D14F1C">
        <w:trPr>
          <w:jc w:val="center"/>
        </w:trPr>
        <w:tc>
          <w:tcPr>
            <w:tcW w:w="5575" w:type="dxa"/>
            <w:gridSpan w:val="2"/>
            <w:shd w:val="clear" w:color="auto" w:fill="DDD9C3" w:themeFill="background2" w:themeFillShade="E6"/>
          </w:tcPr>
          <w:p w14:paraId="4B4C25F1" w14:textId="77777777" w:rsidR="00D14F1C" w:rsidRPr="00CB4CC5" w:rsidRDefault="00D14F1C" w:rsidP="00D14F1C">
            <w:pPr>
              <w:pStyle w:val="ListParagraph"/>
              <w:spacing w:before="60" w:after="60"/>
              <w:ind w:left="0" w:right="252"/>
              <w:contextualSpacing w:val="0"/>
              <w:rPr>
                <w:rFonts w:ascii="Arial Narrow" w:hAnsi="Arial Narrow" w:cs="Arial"/>
                <w:b/>
                <w:sz w:val="16"/>
                <w:szCs w:val="16"/>
                <w:lang w:val="es-ES"/>
              </w:rPr>
            </w:pPr>
            <w:r w:rsidRPr="00CB4CC5">
              <w:rPr>
                <w:rFonts w:ascii="Arial Narrow" w:hAnsi="Arial Narrow" w:cs="Arial"/>
                <w:b/>
                <w:sz w:val="16"/>
                <w:szCs w:val="16"/>
                <w:lang w:val="es-ES_tradnl"/>
              </w:rPr>
              <w:t>Componente 2: Apoyo a la Comisión de Protección Social</w:t>
            </w:r>
          </w:p>
        </w:tc>
        <w:tc>
          <w:tcPr>
            <w:tcW w:w="1450" w:type="dxa"/>
            <w:shd w:val="clear" w:color="auto" w:fill="DDD9C3" w:themeFill="background2" w:themeFillShade="E6"/>
          </w:tcPr>
          <w:p w14:paraId="43586518" w14:textId="77777777" w:rsidR="00D14F1C" w:rsidRPr="00CB4CC5" w:rsidRDefault="00D14F1C" w:rsidP="00D14F1C">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190.000</w:t>
            </w:r>
          </w:p>
        </w:tc>
        <w:tc>
          <w:tcPr>
            <w:tcW w:w="890" w:type="dxa"/>
            <w:shd w:val="clear" w:color="auto" w:fill="DDD9C3" w:themeFill="background2" w:themeFillShade="E6"/>
          </w:tcPr>
          <w:p w14:paraId="312B1BB1" w14:textId="77777777" w:rsidR="00D14F1C" w:rsidRPr="00CB4CC5" w:rsidRDefault="00E65C08" w:rsidP="00D14F1C">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DDD9C3" w:themeFill="background2" w:themeFillShade="E6"/>
          </w:tcPr>
          <w:p w14:paraId="5DD22433" w14:textId="77777777" w:rsidR="00D14F1C" w:rsidRDefault="00D14F1C" w:rsidP="00D14F1C">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190.000</w:t>
            </w:r>
          </w:p>
        </w:tc>
      </w:tr>
      <w:tr w:rsidR="00857669" w:rsidRPr="00CB4CC5" w14:paraId="6FC988A9" w14:textId="77777777" w:rsidTr="00857669">
        <w:trPr>
          <w:jc w:val="center"/>
        </w:trPr>
        <w:tc>
          <w:tcPr>
            <w:tcW w:w="1885" w:type="dxa"/>
            <w:shd w:val="clear" w:color="auto" w:fill="auto"/>
          </w:tcPr>
          <w:p w14:paraId="285CC01B" w14:textId="04BB94BE" w:rsidR="00857669" w:rsidRPr="00C1643D" w:rsidRDefault="009813B8" w:rsidP="00857669">
            <w:pPr>
              <w:pStyle w:val="ListParagraph"/>
              <w:spacing w:before="60" w:after="60"/>
              <w:ind w:left="0"/>
              <w:contextualSpacing w:val="0"/>
              <w:jc w:val="both"/>
              <w:rPr>
                <w:rFonts w:ascii="Arial Narrow" w:hAnsi="Arial Narrow" w:cs="Arial"/>
                <w:sz w:val="16"/>
                <w:szCs w:val="16"/>
                <w:lang w:val="es-ES_tradnl"/>
              </w:rPr>
            </w:pPr>
            <w:r>
              <w:rPr>
                <w:rFonts w:ascii="Arial Narrow" w:hAnsi="Arial Narrow" w:cs="Arial"/>
                <w:sz w:val="16"/>
                <w:szCs w:val="16"/>
                <w:lang w:val="es-ES_tradnl"/>
              </w:rPr>
              <w:t xml:space="preserve">Talleres de </w:t>
            </w:r>
            <w:r w:rsidR="00F774A5">
              <w:rPr>
                <w:rFonts w:ascii="Arial Narrow" w:hAnsi="Arial Narrow" w:cs="Arial"/>
                <w:sz w:val="16"/>
                <w:szCs w:val="16"/>
                <w:lang w:val="es-ES_tradnl"/>
              </w:rPr>
              <w:t>ap</w:t>
            </w:r>
            <w:r w:rsidR="00F774A5" w:rsidRPr="00C1643D">
              <w:rPr>
                <w:rFonts w:ascii="Arial Narrow" w:hAnsi="Arial Narrow" w:cs="Arial"/>
                <w:sz w:val="16"/>
                <w:szCs w:val="16"/>
                <w:lang w:val="es-ES_tradnl"/>
              </w:rPr>
              <w:t>oyo</w:t>
            </w:r>
            <w:r w:rsidR="00857669" w:rsidRPr="00C1643D">
              <w:rPr>
                <w:rFonts w:ascii="Arial Narrow" w:hAnsi="Arial Narrow" w:cs="Arial"/>
                <w:sz w:val="16"/>
                <w:szCs w:val="16"/>
                <w:lang w:val="es-ES_tradnl"/>
              </w:rPr>
              <w:t xml:space="preserve"> a la Secretaría técnica de la comisión</w:t>
            </w:r>
          </w:p>
        </w:tc>
        <w:tc>
          <w:tcPr>
            <w:tcW w:w="3690" w:type="dxa"/>
            <w:shd w:val="clear" w:color="auto" w:fill="auto"/>
          </w:tcPr>
          <w:p w14:paraId="094289B4" w14:textId="4242BDC0" w:rsidR="00857669" w:rsidRPr="00CB4CC5" w:rsidRDefault="00857669" w:rsidP="009813B8">
            <w:pPr>
              <w:pStyle w:val="ListParagraph"/>
              <w:spacing w:before="60" w:after="60"/>
              <w:ind w:left="0"/>
              <w:contextualSpacing w:val="0"/>
              <w:jc w:val="both"/>
              <w:rPr>
                <w:rFonts w:ascii="Arial Narrow" w:hAnsi="Arial Narrow" w:cs="Arial"/>
                <w:sz w:val="16"/>
                <w:szCs w:val="16"/>
                <w:lang w:val="es-ES"/>
              </w:rPr>
            </w:pPr>
            <w:r w:rsidRPr="00CB4CC5">
              <w:rPr>
                <w:rFonts w:ascii="Arial Narrow" w:hAnsi="Arial Narrow" w:cs="Arial"/>
                <w:sz w:val="16"/>
                <w:szCs w:val="16"/>
                <w:lang w:val="es-ES_tradnl"/>
              </w:rPr>
              <w:t xml:space="preserve">Se organizarán </w:t>
            </w:r>
            <w:r>
              <w:rPr>
                <w:rFonts w:ascii="Arial Narrow" w:hAnsi="Arial Narrow" w:cs="Arial"/>
                <w:sz w:val="16"/>
                <w:szCs w:val="16"/>
                <w:lang w:val="es-ES_tradnl"/>
              </w:rPr>
              <w:t xml:space="preserve">al menos </w:t>
            </w:r>
            <w:r w:rsidR="009813B8">
              <w:rPr>
                <w:rFonts w:ascii="Arial Narrow" w:hAnsi="Arial Narrow" w:cs="Arial"/>
                <w:sz w:val="16"/>
                <w:szCs w:val="16"/>
                <w:lang w:val="es-ES_tradnl"/>
              </w:rPr>
              <w:t>12 talleres</w:t>
            </w:r>
            <w:r>
              <w:rPr>
                <w:rFonts w:ascii="Arial Narrow" w:hAnsi="Arial Narrow" w:cs="Arial"/>
                <w:sz w:val="16"/>
                <w:szCs w:val="16"/>
                <w:lang w:val="es-ES_tradnl"/>
              </w:rPr>
              <w:t xml:space="preserve"> de</w:t>
            </w:r>
            <w:r w:rsidRPr="00CB4CC5">
              <w:rPr>
                <w:rFonts w:ascii="Arial Narrow" w:hAnsi="Arial Narrow" w:cs="Arial"/>
                <w:sz w:val="16"/>
                <w:szCs w:val="16"/>
                <w:lang w:val="es-ES_tradnl"/>
              </w:rPr>
              <w:t xml:space="preserve"> trabajo donde </w:t>
            </w:r>
            <w:r>
              <w:rPr>
                <w:rFonts w:ascii="Arial Narrow" w:hAnsi="Arial Narrow" w:cs="Arial"/>
                <w:sz w:val="16"/>
                <w:szCs w:val="16"/>
                <w:lang w:val="es-ES_tradnl"/>
              </w:rPr>
              <w:t xml:space="preserve">participarán </w:t>
            </w:r>
            <w:r w:rsidRPr="00CB4CC5">
              <w:rPr>
                <w:rFonts w:ascii="Arial Narrow" w:hAnsi="Arial Narrow" w:cs="Arial"/>
                <w:sz w:val="16"/>
                <w:szCs w:val="16"/>
                <w:lang w:val="es-ES_tradnl"/>
              </w:rPr>
              <w:t xml:space="preserve">expertos </w:t>
            </w:r>
            <w:r>
              <w:rPr>
                <w:rFonts w:ascii="Arial Narrow" w:hAnsi="Arial Narrow" w:cs="Arial"/>
                <w:sz w:val="16"/>
                <w:szCs w:val="16"/>
                <w:lang w:val="es-ES_tradnl"/>
              </w:rPr>
              <w:t xml:space="preserve">nacionales e internacionales </w:t>
            </w:r>
            <w:r w:rsidRPr="00CB4CC5">
              <w:rPr>
                <w:rFonts w:ascii="Arial Narrow" w:hAnsi="Arial Narrow" w:cs="Arial"/>
                <w:sz w:val="16"/>
                <w:szCs w:val="16"/>
                <w:lang w:val="es-ES_tradnl"/>
              </w:rPr>
              <w:t xml:space="preserve">de las áreas de pensiones, salud y seguro de desempleo </w:t>
            </w:r>
          </w:p>
        </w:tc>
        <w:tc>
          <w:tcPr>
            <w:tcW w:w="1450" w:type="dxa"/>
            <w:shd w:val="clear" w:color="auto" w:fill="auto"/>
          </w:tcPr>
          <w:p w14:paraId="58A97337"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130</w:t>
            </w:r>
            <w:r w:rsidRPr="00CB4CC5">
              <w:rPr>
                <w:rFonts w:ascii="Arial Narrow" w:hAnsi="Arial Narrow" w:cs="Arial"/>
                <w:b/>
                <w:sz w:val="16"/>
                <w:szCs w:val="16"/>
                <w:lang w:val="es-ES"/>
              </w:rPr>
              <w:t>.000</w:t>
            </w:r>
          </w:p>
        </w:tc>
        <w:tc>
          <w:tcPr>
            <w:tcW w:w="890" w:type="dxa"/>
            <w:shd w:val="clear" w:color="auto" w:fill="auto"/>
          </w:tcPr>
          <w:p w14:paraId="77B5E0FD" w14:textId="77777777" w:rsidR="00857669"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auto"/>
          </w:tcPr>
          <w:p w14:paraId="17854C37"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130</w:t>
            </w:r>
            <w:r w:rsidRPr="00CB4CC5">
              <w:rPr>
                <w:rFonts w:ascii="Arial Narrow" w:hAnsi="Arial Narrow" w:cs="Arial"/>
                <w:b/>
                <w:sz w:val="16"/>
                <w:szCs w:val="16"/>
                <w:lang w:val="es-ES"/>
              </w:rPr>
              <w:t>.000</w:t>
            </w:r>
          </w:p>
        </w:tc>
      </w:tr>
      <w:tr w:rsidR="00857669" w:rsidRPr="00CB4CC5" w14:paraId="5B4B8D86" w14:textId="77777777" w:rsidTr="00857669">
        <w:trPr>
          <w:jc w:val="center"/>
        </w:trPr>
        <w:tc>
          <w:tcPr>
            <w:tcW w:w="1885" w:type="dxa"/>
            <w:shd w:val="clear" w:color="auto" w:fill="auto"/>
          </w:tcPr>
          <w:p w14:paraId="218C9B74" w14:textId="15763C01" w:rsidR="00857669" w:rsidRPr="00C1643D" w:rsidRDefault="00857669" w:rsidP="00857669">
            <w:pPr>
              <w:pStyle w:val="ListParagraph"/>
              <w:spacing w:before="60" w:after="60"/>
              <w:ind w:left="0"/>
              <w:contextualSpacing w:val="0"/>
              <w:jc w:val="both"/>
              <w:rPr>
                <w:rFonts w:ascii="Arial Narrow" w:hAnsi="Arial Narrow" w:cs="Arial"/>
                <w:sz w:val="16"/>
                <w:szCs w:val="16"/>
                <w:lang w:val="es-ES_tradnl"/>
              </w:rPr>
            </w:pPr>
            <w:r w:rsidRPr="00C1643D">
              <w:rPr>
                <w:rFonts w:ascii="Arial Narrow" w:hAnsi="Arial Narrow" w:cs="Arial"/>
                <w:sz w:val="16"/>
                <w:szCs w:val="16"/>
                <w:lang w:val="es-ES_tradnl"/>
              </w:rPr>
              <w:t xml:space="preserve">Definición y costeo del </w:t>
            </w:r>
            <w:r w:rsidR="009813B8" w:rsidRPr="009813B8">
              <w:rPr>
                <w:rFonts w:ascii="Arial Narrow" w:hAnsi="Arial Narrow" w:cs="Arial"/>
                <w:sz w:val="16"/>
                <w:szCs w:val="16"/>
                <w:lang w:val="es-ES_tradnl"/>
              </w:rPr>
              <w:t>Plan Esencial de Aseguramiento de Salud (PEAS)</w:t>
            </w:r>
          </w:p>
        </w:tc>
        <w:tc>
          <w:tcPr>
            <w:tcW w:w="3690" w:type="dxa"/>
            <w:shd w:val="clear" w:color="auto" w:fill="auto"/>
          </w:tcPr>
          <w:p w14:paraId="2A3485E3" w14:textId="77777777" w:rsidR="00857669" w:rsidRPr="00CB4CC5" w:rsidRDefault="00857669" w:rsidP="00857669">
            <w:pPr>
              <w:pStyle w:val="ListParagraph"/>
              <w:spacing w:before="60" w:after="60"/>
              <w:ind w:left="0"/>
              <w:contextualSpacing w:val="0"/>
              <w:jc w:val="both"/>
              <w:rPr>
                <w:rFonts w:ascii="Arial Narrow" w:hAnsi="Arial Narrow" w:cs="Arial"/>
                <w:sz w:val="16"/>
                <w:szCs w:val="16"/>
                <w:lang w:val="es-PE"/>
              </w:rPr>
            </w:pPr>
            <w:r>
              <w:rPr>
                <w:rFonts w:ascii="Arial Narrow" w:hAnsi="Arial Narrow" w:cs="Arial"/>
                <w:sz w:val="16"/>
                <w:szCs w:val="16"/>
                <w:lang w:val="es-ES"/>
              </w:rPr>
              <w:t>Consultoría para mejorar la definición del PEAS y realizar su costeo.</w:t>
            </w:r>
          </w:p>
        </w:tc>
        <w:tc>
          <w:tcPr>
            <w:tcW w:w="1450" w:type="dxa"/>
            <w:shd w:val="clear" w:color="auto" w:fill="auto"/>
          </w:tcPr>
          <w:p w14:paraId="3C0119A6"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50.000</w:t>
            </w:r>
          </w:p>
        </w:tc>
        <w:tc>
          <w:tcPr>
            <w:tcW w:w="890" w:type="dxa"/>
            <w:shd w:val="clear" w:color="auto" w:fill="auto"/>
          </w:tcPr>
          <w:p w14:paraId="1141DA63" w14:textId="77777777" w:rsidR="00857669"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auto"/>
          </w:tcPr>
          <w:p w14:paraId="2663BCB7"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50</w:t>
            </w:r>
            <w:r w:rsidRPr="00CB4CC5">
              <w:rPr>
                <w:rFonts w:ascii="Arial Narrow" w:hAnsi="Arial Narrow" w:cs="Arial"/>
                <w:b/>
                <w:sz w:val="16"/>
                <w:szCs w:val="16"/>
                <w:lang w:val="es-ES"/>
              </w:rPr>
              <w:t>.000</w:t>
            </w:r>
          </w:p>
        </w:tc>
      </w:tr>
      <w:tr w:rsidR="00857669" w:rsidRPr="00CB4CC5" w14:paraId="1B3FB0DF" w14:textId="77777777" w:rsidTr="00857669">
        <w:trPr>
          <w:jc w:val="center"/>
        </w:trPr>
        <w:tc>
          <w:tcPr>
            <w:tcW w:w="1885" w:type="dxa"/>
            <w:shd w:val="clear" w:color="auto" w:fill="auto"/>
          </w:tcPr>
          <w:p w14:paraId="7C812DBC" w14:textId="77777777" w:rsidR="00857669" w:rsidRPr="00C1643D" w:rsidRDefault="00857669" w:rsidP="00857669">
            <w:pPr>
              <w:pStyle w:val="ListParagraph"/>
              <w:spacing w:before="60" w:after="60"/>
              <w:ind w:left="0"/>
              <w:contextualSpacing w:val="0"/>
              <w:jc w:val="both"/>
              <w:rPr>
                <w:rFonts w:ascii="Arial Narrow" w:hAnsi="Arial Narrow" w:cs="Arial"/>
                <w:sz w:val="16"/>
                <w:szCs w:val="16"/>
                <w:lang w:val="es-ES_tradnl"/>
              </w:rPr>
            </w:pPr>
            <w:r w:rsidRPr="00C1643D">
              <w:rPr>
                <w:rFonts w:ascii="Arial Narrow" w:hAnsi="Arial Narrow" w:cs="Arial"/>
                <w:sz w:val="16"/>
                <w:szCs w:val="16"/>
                <w:lang w:val="es-ES_tradnl"/>
              </w:rPr>
              <w:t xml:space="preserve">Encuesta sobre el uso de los fondos pensionales </w:t>
            </w:r>
          </w:p>
        </w:tc>
        <w:tc>
          <w:tcPr>
            <w:tcW w:w="3690" w:type="dxa"/>
            <w:shd w:val="clear" w:color="auto" w:fill="auto"/>
          </w:tcPr>
          <w:p w14:paraId="02C48042" w14:textId="21515185" w:rsidR="00857669" w:rsidRPr="008535CB" w:rsidRDefault="00857669" w:rsidP="00857669">
            <w:pPr>
              <w:pStyle w:val="ListParagraph"/>
              <w:spacing w:before="60" w:after="60"/>
              <w:ind w:left="0"/>
              <w:contextualSpacing w:val="0"/>
              <w:jc w:val="both"/>
              <w:rPr>
                <w:rFonts w:ascii="Arial Narrow" w:hAnsi="Arial Narrow" w:cs="Arial"/>
                <w:sz w:val="16"/>
                <w:szCs w:val="16"/>
                <w:lang w:val="es-ES_tradnl"/>
              </w:rPr>
            </w:pPr>
            <w:r>
              <w:rPr>
                <w:rFonts w:ascii="Arial Narrow" w:hAnsi="Arial Narrow" w:cs="Arial"/>
                <w:sz w:val="16"/>
                <w:szCs w:val="16"/>
                <w:lang w:val="es-ES_tradnl"/>
              </w:rPr>
              <w:t>Consultoría para diseñar una encuesta sobre</w:t>
            </w:r>
            <w:r w:rsidR="009813B8">
              <w:rPr>
                <w:rFonts w:ascii="Arial Narrow" w:hAnsi="Arial Narrow" w:cs="Arial"/>
                <w:sz w:val="16"/>
                <w:szCs w:val="16"/>
                <w:lang w:val="es-ES_tradnl"/>
              </w:rPr>
              <w:t xml:space="preserve"> el</w:t>
            </w:r>
            <w:r>
              <w:rPr>
                <w:rFonts w:ascii="Arial Narrow" w:hAnsi="Arial Narrow" w:cs="Arial"/>
                <w:sz w:val="16"/>
                <w:szCs w:val="16"/>
                <w:lang w:val="es-ES_tradnl"/>
              </w:rPr>
              <w:t xml:space="preserve"> uso de fondos pensionales </w:t>
            </w:r>
          </w:p>
        </w:tc>
        <w:tc>
          <w:tcPr>
            <w:tcW w:w="1450" w:type="dxa"/>
            <w:shd w:val="clear" w:color="auto" w:fill="auto"/>
          </w:tcPr>
          <w:p w14:paraId="47791A4D" w14:textId="77777777" w:rsidR="00857669" w:rsidRPr="008535CB" w:rsidRDefault="00857669" w:rsidP="00857669">
            <w:pPr>
              <w:pStyle w:val="ListParagraph"/>
              <w:spacing w:before="60" w:after="60"/>
              <w:ind w:left="0" w:right="252"/>
              <w:contextualSpacing w:val="0"/>
              <w:jc w:val="right"/>
              <w:rPr>
                <w:rFonts w:ascii="Arial Narrow" w:hAnsi="Arial Narrow" w:cs="Arial"/>
                <w:b/>
                <w:sz w:val="16"/>
                <w:szCs w:val="16"/>
                <w:lang w:val="es-ES_tradnl"/>
              </w:rPr>
            </w:pPr>
            <w:r>
              <w:rPr>
                <w:rFonts w:ascii="Arial Narrow" w:hAnsi="Arial Narrow" w:cs="Arial"/>
                <w:b/>
                <w:sz w:val="16"/>
                <w:szCs w:val="16"/>
                <w:lang w:val="es-ES_tradnl"/>
              </w:rPr>
              <w:t>10.000</w:t>
            </w:r>
          </w:p>
        </w:tc>
        <w:tc>
          <w:tcPr>
            <w:tcW w:w="890" w:type="dxa"/>
            <w:shd w:val="clear" w:color="auto" w:fill="auto"/>
          </w:tcPr>
          <w:p w14:paraId="0BF2C9E7" w14:textId="77777777" w:rsidR="00857669"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auto"/>
          </w:tcPr>
          <w:p w14:paraId="7C3869CC"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10.000</w:t>
            </w:r>
          </w:p>
        </w:tc>
      </w:tr>
      <w:tr w:rsidR="00857669" w:rsidRPr="00CB4CC5" w14:paraId="7E9DC77B" w14:textId="77777777" w:rsidTr="00857669">
        <w:trPr>
          <w:jc w:val="center"/>
        </w:trPr>
        <w:tc>
          <w:tcPr>
            <w:tcW w:w="5575" w:type="dxa"/>
            <w:gridSpan w:val="2"/>
            <w:shd w:val="clear" w:color="auto" w:fill="DDD9C3" w:themeFill="background2" w:themeFillShade="E6"/>
          </w:tcPr>
          <w:p w14:paraId="757114EE" w14:textId="73B42E3D" w:rsidR="00857669" w:rsidRPr="00CB4CC5" w:rsidRDefault="00857669" w:rsidP="00857669">
            <w:pPr>
              <w:pStyle w:val="ListParagraph"/>
              <w:spacing w:before="60" w:after="60"/>
              <w:ind w:left="0" w:right="252"/>
              <w:contextualSpacing w:val="0"/>
              <w:rPr>
                <w:rFonts w:ascii="Arial Narrow" w:hAnsi="Arial Narrow" w:cs="Arial"/>
                <w:b/>
                <w:sz w:val="16"/>
                <w:szCs w:val="16"/>
                <w:lang w:val="es-ES_tradnl"/>
              </w:rPr>
            </w:pPr>
            <w:r w:rsidRPr="00CB4CC5">
              <w:rPr>
                <w:rFonts w:ascii="Arial Narrow" w:hAnsi="Arial Narrow" w:cs="Arial"/>
                <w:b/>
                <w:sz w:val="16"/>
                <w:szCs w:val="16"/>
                <w:lang w:val="es-ES"/>
              </w:rPr>
              <w:t>Componente 3: Publicación</w:t>
            </w:r>
            <w:r>
              <w:rPr>
                <w:rFonts w:ascii="Arial Narrow" w:hAnsi="Arial Narrow" w:cs="Arial"/>
                <w:b/>
                <w:sz w:val="16"/>
                <w:szCs w:val="16"/>
                <w:lang w:val="es-ES"/>
              </w:rPr>
              <w:t xml:space="preserve"> y</w:t>
            </w:r>
            <w:r w:rsidRPr="00CB4CC5">
              <w:rPr>
                <w:rFonts w:ascii="Arial Narrow" w:hAnsi="Arial Narrow" w:cs="Arial"/>
                <w:b/>
                <w:sz w:val="16"/>
                <w:szCs w:val="16"/>
                <w:lang w:val="es-ES"/>
              </w:rPr>
              <w:t xml:space="preserve"> difusión</w:t>
            </w:r>
          </w:p>
        </w:tc>
        <w:tc>
          <w:tcPr>
            <w:tcW w:w="1450" w:type="dxa"/>
            <w:shd w:val="clear" w:color="auto" w:fill="DDD9C3" w:themeFill="background2" w:themeFillShade="E6"/>
          </w:tcPr>
          <w:p w14:paraId="0E3CD7F7"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15</w:t>
            </w:r>
            <w:r w:rsidRPr="00CB4CC5">
              <w:rPr>
                <w:rFonts w:ascii="Arial Narrow" w:hAnsi="Arial Narrow" w:cs="Arial"/>
                <w:b/>
                <w:sz w:val="16"/>
                <w:szCs w:val="16"/>
                <w:lang w:val="es-ES"/>
              </w:rPr>
              <w:t>.000</w:t>
            </w:r>
          </w:p>
        </w:tc>
        <w:tc>
          <w:tcPr>
            <w:tcW w:w="890" w:type="dxa"/>
            <w:shd w:val="clear" w:color="auto" w:fill="DDD9C3" w:themeFill="background2" w:themeFillShade="E6"/>
          </w:tcPr>
          <w:p w14:paraId="4F35C89D" w14:textId="77777777" w:rsidR="00857669" w:rsidRPr="00CB4CC5"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DDD9C3" w:themeFill="background2" w:themeFillShade="E6"/>
          </w:tcPr>
          <w:p w14:paraId="5D5E1D7A"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15</w:t>
            </w:r>
            <w:r w:rsidRPr="00CB4CC5">
              <w:rPr>
                <w:rFonts w:ascii="Arial Narrow" w:hAnsi="Arial Narrow" w:cs="Arial"/>
                <w:b/>
                <w:sz w:val="16"/>
                <w:szCs w:val="16"/>
                <w:lang w:val="es-ES"/>
              </w:rPr>
              <w:t>.000</w:t>
            </w:r>
          </w:p>
        </w:tc>
      </w:tr>
      <w:tr w:rsidR="00857669" w:rsidRPr="00857669" w14:paraId="55C79D6A" w14:textId="77777777" w:rsidTr="00857669">
        <w:trPr>
          <w:jc w:val="center"/>
        </w:trPr>
        <w:tc>
          <w:tcPr>
            <w:tcW w:w="1885" w:type="dxa"/>
            <w:shd w:val="clear" w:color="auto" w:fill="auto"/>
          </w:tcPr>
          <w:p w14:paraId="05FAA4AF" w14:textId="77777777" w:rsidR="00857669" w:rsidRPr="00CB4CC5" w:rsidRDefault="00857669" w:rsidP="00857669">
            <w:pPr>
              <w:pStyle w:val="ListParagraph"/>
              <w:spacing w:before="60" w:after="60"/>
              <w:ind w:left="0" w:right="252"/>
              <w:contextualSpacing w:val="0"/>
              <w:rPr>
                <w:rFonts w:ascii="Arial Narrow" w:hAnsi="Arial Narrow" w:cs="Arial"/>
                <w:b/>
                <w:sz w:val="16"/>
                <w:szCs w:val="16"/>
                <w:lang w:val="es-ES"/>
              </w:rPr>
            </w:pPr>
            <w:r w:rsidRPr="00CB4CC5">
              <w:rPr>
                <w:rFonts w:ascii="Arial Narrow" w:hAnsi="Arial Narrow" w:cs="Arial"/>
                <w:sz w:val="16"/>
                <w:szCs w:val="16"/>
                <w:lang w:val="es-ES"/>
              </w:rPr>
              <w:t>Publicación, difusión</w:t>
            </w:r>
          </w:p>
        </w:tc>
        <w:tc>
          <w:tcPr>
            <w:tcW w:w="3690" w:type="dxa"/>
            <w:shd w:val="clear" w:color="auto" w:fill="auto"/>
          </w:tcPr>
          <w:p w14:paraId="7B8C8FBC" w14:textId="40BE88CD" w:rsidR="00857669" w:rsidRPr="00CB4CC5" w:rsidRDefault="009813B8" w:rsidP="00C91CB1">
            <w:pPr>
              <w:pStyle w:val="ListParagraph"/>
              <w:spacing w:before="60" w:after="60"/>
              <w:ind w:left="0" w:right="252"/>
              <w:contextualSpacing w:val="0"/>
              <w:jc w:val="both"/>
              <w:rPr>
                <w:rFonts w:ascii="Arial Narrow" w:hAnsi="Arial Narrow" w:cs="Arial"/>
                <w:b/>
                <w:sz w:val="16"/>
                <w:szCs w:val="16"/>
                <w:lang w:val="es-ES"/>
              </w:rPr>
            </w:pPr>
            <w:r w:rsidRPr="009813B8">
              <w:rPr>
                <w:rFonts w:ascii="Arial Narrow" w:hAnsi="Arial Narrow" w:cs="Arial"/>
                <w:sz w:val="16"/>
                <w:szCs w:val="16"/>
                <w:lang w:val="es-ES"/>
              </w:rPr>
              <w:t>Publicación y difusión de productos de conocimiento</w:t>
            </w:r>
          </w:p>
        </w:tc>
        <w:tc>
          <w:tcPr>
            <w:tcW w:w="1450" w:type="dxa"/>
            <w:shd w:val="clear" w:color="auto" w:fill="auto"/>
          </w:tcPr>
          <w:p w14:paraId="5A73080C" w14:textId="77777777" w:rsidR="00857669"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15</w:t>
            </w:r>
            <w:r w:rsidRPr="00CB4CC5">
              <w:rPr>
                <w:rFonts w:ascii="Arial Narrow" w:hAnsi="Arial Narrow" w:cs="Arial"/>
                <w:b/>
                <w:sz w:val="16"/>
                <w:szCs w:val="16"/>
                <w:lang w:val="es-ES"/>
              </w:rPr>
              <w:t>.000</w:t>
            </w:r>
          </w:p>
        </w:tc>
        <w:tc>
          <w:tcPr>
            <w:tcW w:w="890" w:type="dxa"/>
            <w:shd w:val="clear" w:color="auto" w:fill="auto"/>
          </w:tcPr>
          <w:p w14:paraId="0A088BCE" w14:textId="77777777" w:rsidR="00857669" w:rsidRPr="00CB4CC5"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auto"/>
          </w:tcPr>
          <w:p w14:paraId="04E81057" w14:textId="6CC42357" w:rsidR="00857669" w:rsidRDefault="00857669"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15</w:t>
            </w:r>
            <w:r w:rsidRPr="00CB4CC5">
              <w:rPr>
                <w:rFonts w:ascii="Arial Narrow" w:hAnsi="Arial Narrow" w:cs="Arial"/>
                <w:b/>
                <w:sz w:val="16"/>
                <w:szCs w:val="16"/>
                <w:lang w:val="es-ES"/>
              </w:rPr>
              <w:t>.000</w:t>
            </w:r>
          </w:p>
        </w:tc>
      </w:tr>
      <w:tr w:rsidR="00857669" w:rsidRPr="00857669" w14:paraId="068860D8" w14:textId="77777777" w:rsidTr="00EB01EA">
        <w:trPr>
          <w:jc w:val="center"/>
        </w:trPr>
        <w:tc>
          <w:tcPr>
            <w:tcW w:w="1885" w:type="dxa"/>
            <w:shd w:val="clear" w:color="auto" w:fill="DDD9C3" w:themeFill="background2" w:themeFillShade="E6"/>
          </w:tcPr>
          <w:p w14:paraId="65EED41B" w14:textId="77777777" w:rsidR="00857669" w:rsidRPr="00CB4CC5" w:rsidRDefault="00857669" w:rsidP="00857669">
            <w:pPr>
              <w:pStyle w:val="ListParagraph"/>
              <w:spacing w:before="60" w:after="60"/>
              <w:ind w:left="0"/>
              <w:contextualSpacing w:val="0"/>
              <w:rPr>
                <w:rFonts w:ascii="Arial Narrow" w:hAnsi="Arial Narrow" w:cs="Arial"/>
                <w:b/>
                <w:sz w:val="16"/>
                <w:szCs w:val="16"/>
                <w:lang w:val="es-ES"/>
              </w:rPr>
            </w:pPr>
            <w:r w:rsidRPr="00CB4CC5">
              <w:rPr>
                <w:rFonts w:ascii="Arial Narrow" w:hAnsi="Arial Narrow" w:cs="Arial"/>
                <w:sz w:val="16"/>
                <w:szCs w:val="16"/>
                <w:lang w:val="es-ES"/>
              </w:rPr>
              <w:t xml:space="preserve">Imprevistos </w:t>
            </w:r>
          </w:p>
        </w:tc>
        <w:tc>
          <w:tcPr>
            <w:tcW w:w="3690" w:type="dxa"/>
            <w:shd w:val="clear" w:color="auto" w:fill="DDD9C3" w:themeFill="background2" w:themeFillShade="E6"/>
          </w:tcPr>
          <w:p w14:paraId="164BFF88" w14:textId="6892FC8F" w:rsidR="00857669" w:rsidRPr="00CB4CC5" w:rsidRDefault="00857669" w:rsidP="00857669">
            <w:pPr>
              <w:pStyle w:val="ListParagraph"/>
              <w:spacing w:before="60" w:after="60"/>
              <w:ind w:left="0"/>
              <w:contextualSpacing w:val="0"/>
              <w:rPr>
                <w:rFonts w:ascii="Arial Narrow" w:hAnsi="Arial Narrow" w:cs="Arial"/>
                <w:b/>
                <w:sz w:val="16"/>
                <w:szCs w:val="16"/>
                <w:lang w:val="es-ES"/>
              </w:rPr>
            </w:pPr>
            <w:r w:rsidRPr="00CB4CC5">
              <w:rPr>
                <w:rFonts w:ascii="Arial Narrow" w:hAnsi="Arial Narrow" w:cs="Arial"/>
                <w:sz w:val="16"/>
                <w:szCs w:val="16"/>
                <w:lang w:val="es-ES"/>
              </w:rPr>
              <w:t xml:space="preserve">Imprevistos </w:t>
            </w:r>
          </w:p>
        </w:tc>
        <w:tc>
          <w:tcPr>
            <w:tcW w:w="1450" w:type="dxa"/>
            <w:shd w:val="clear" w:color="auto" w:fill="DDD9C3" w:themeFill="background2" w:themeFillShade="E6"/>
          </w:tcPr>
          <w:p w14:paraId="7C96B136"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40.000</w:t>
            </w:r>
          </w:p>
        </w:tc>
        <w:tc>
          <w:tcPr>
            <w:tcW w:w="890" w:type="dxa"/>
            <w:shd w:val="clear" w:color="auto" w:fill="DDD9C3" w:themeFill="background2" w:themeFillShade="E6"/>
          </w:tcPr>
          <w:p w14:paraId="3C195649" w14:textId="77777777" w:rsidR="00857669" w:rsidRPr="00CB4CC5"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shd w:val="clear" w:color="auto" w:fill="DDD9C3" w:themeFill="background2" w:themeFillShade="E6"/>
          </w:tcPr>
          <w:p w14:paraId="330FF720"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40.000</w:t>
            </w:r>
          </w:p>
        </w:tc>
      </w:tr>
      <w:tr w:rsidR="00857669" w:rsidRPr="00857669" w14:paraId="76BFE4A3" w14:textId="77777777" w:rsidTr="00EB01EA">
        <w:trPr>
          <w:jc w:val="center"/>
        </w:trPr>
        <w:tc>
          <w:tcPr>
            <w:tcW w:w="1885" w:type="dxa"/>
            <w:tcBorders>
              <w:bottom w:val="single" w:sz="4" w:space="0" w:color="auto"/>
            </w:tcBorders>
            <w:shd w:val="clear" w:color="auto" w:fill="DDD9C3" w:themeFill="background2" w:themeFillShade="E6"/>
          </w:tcPr>
          <w:p w14:paraId="38F7E642" w14:textId="77777777" w:rsidR="00857669" w:rsidRPr="00CB4CC5" w:rsidRDefault="00857669" w:rsidP="00857669">
            <w:pPr>
              <w:pStyle w:val="ListParagraph"/>
              <w:spacing w:before="60" w:after="60"/>
              <w:ind w:left="0"/>
              <w:contextualSpacing w:val="0"/>
              <w:rPr>
                <w:rFonts w:ascii="Arial Narrow" w:hAnsi="Arial Narrow" w:cs="Arial"/>
                <w:b/>
                <w:sz w:val="16"/>
                <w:szCs w:val="16"/>
                <w:lang w:val="es-ES"/>
              </w:rPr>
            </w:pPr>
            <w:r w:rsidRPr="00CB4CC5">
              <w:rPr>
                <w:rFonts w:ascii="Arial Narrow" w:hAnsi="Arial Narrow" w:cs="Arial"/>
                <w:b/>
                <w:sz w:val="16"/>
                <w:szCs w:val="16"/>
                <w:lang w:val="es-ES"/>
              </w:rPr>
              <w:t>TOTAL</w:t>
            </w:r>
          </w:p>
        </w:tc>
        <w:tc>
          <w:tcPr>
            <w:tcW w:w="3690" w:type="dxa"/>
            <w:tcBorders>
              <w:bottom w:val="single" w:sz="4" w:space="0" w:color="auto"/>
            </w:tcBorders>
            <w:shd w:val="clear" w:color="auto" w:fill="DDD9C3" w:themeFill="background2" w:themeFillShade="E6"/>
          </w:tcPr>
          <w:p w14:paraId="194936C3" w14:textId="77777777" w:rsidR="00857669" w:rsidRPr="00CB4CC5" w:rsidRDefault="00857669" w:rsidP="00857669">
            <w:pPr>
              <w:pStyle w:val="ListParagraph"/>
              <w:spacing w:before="60" w:after="60"/>
              <w:ind w:left="0"/>
              <w:contextualSpacing w:val="0"/>
              <w:rPr>
                <w:rFonts w:ascii="Arial Narrow" w:hAnsi="Arial Narrow" w:cs="Arial"/>
                <w:b/>
                <w:sz w:val="16"/>
                <w:szCs w:val="16"/>
                <w:lang w:val="es-ES"/>
              </w:rPr>
            </w:pPr>
          </w:p>
        </w:tc>
        <w:tc>
          <w:tcPr>
            <w:tcW w:w="1450" w:type="dxa"/>
            <w:tcBorders>
              <w:bottom w:val="single" w:sz="4" w:space="0" w:color="auto"/>
            </w:tcBorders>
            <w:shd w:val="clear" w:color="auto" w:fill="DDD9C3" w:themeFill="background2" w:themeFillShade="E6"/>
          </w:tcPr>
          <w:p w14:paraId="28C6A6F1"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sidRPr="00CB4CC5">
              <w:rPr>
                <w:rFonts w:ascii="Arial Narrow" w:hAnsi="Arial Narrow" w:cs="Arial"/>
                <w:b/>
                <w:sz w:val="16"/>
                <w:szCs w:val="16"/>
                <w:lang w:val="es-ES"/>
              </w:rPr>
              <w:t>450.000</w:t>
            </w:r>
          </w:p>
        </w:tc>
        <w:tc>
          <w:tcPr>
            <w:tcW w:w="890" w:type="dxa"/>
            <w:tcBorders>
              <w:bottom w:val="single" w:sz="4" w:space="0" w:color="auto"/>
            </w:tcBorders>
            <w:shd w:val="clear" w:color="auto" w:fill="DDD9C3" w:themeFill="background2" w:themeFillShade="E6"/>
          </w:tcPr>
          <w:p w14:paraId="67FF25B1" w14:textId="77777777" w:rsidR="00857669" w:rsidRPr="00795DA9" w:rsidRDefault="00E65C08" w:rsidP="00857669">
            <w:pPr>
              <w:pStyle w:val="ListParagraph"/>
              <w:spacing w:before="60" w:after="60"/>
              <w:ind w:left="0" w:right="252"/>
              <w:contextualSpacing w:val="0"/>
              <w:jc w:val="right"/>
              <w:rPr>
                <w:rFonts w:ascii="Arial Narrow" w:hAnsi="Arial Narrow" w:cs="Arial"/>
                <w:b/>
                <w:sz w:val="16"/>
                <w:szCs w:val="16"/>
                <w:lang w:val="es-ES"/>
              </w:rPr>
            </w:pPr>
            <w:r>
              <w:rPr>
                <w:rFonts w:ascii="Arial Narrow" w:hAnsi="Arial Narrow" w:cs="Arial"/>
                <w:b/>
                <w:sz w:val="16"/>
                <w:szCs w:val="16"/>
                <w:lang w:val="es-ES"/>
              </w:rPr>
              <w:t>0</w:t>
            </w:r>
          </w:p>
        </w:tc>
        <w:tc>
          <w:tcPr>
            <w:tcW w:w="1620" w:type="dxa"/>
            <w:tcBorders>
              <w:bottom w:val="single" w:sz="4" w:space="0" w:color="auto"/>
            </w:tcBorders>
            <w:shd w:val="clear" w:color="auto" w:fill="DDD9C3" w:themeFill="background2" w:themeFillShade="E6"/>
          </w:tcPr>
          <w:p w14:paraId="4255F5B4" w14:textId="77777777" w:rsidR="00857669" w:rsidRPr="00CB4CC5" w:rsidRDefault="00857669" w:rsidP="00857669">
            <w:pPr>
              <w:pStyle w:val="ListParagraph"/>
              <w:spacing w:before="60" w:after="60"/>
              <w:ind w:left="0" w:right="252"/>
              <w:contextualSpacing w:val="0"/>
              <w:jc w:val="right"/>
              <w:rPr>
                <w:rFonts w:ascii="Arial Narrow" w:hAnsi="Arial Narrow" w:cs="Arial"/>
                <w:b/>
                <w:sz w:val="16"/>
                <w:szCs w:val="16"/>
                <w:lang w:val="es-ES"/>
              </w:rPr>
            </w:pPr>
            <w:r w:rsidRPr="00795DA9">
              <w:rPr>
                <w:rFonts w:ascii="Arial Narrow" w:hAnsi="Arial Narrow" w:cs="Arial"/>
                <w:b/>
                <w:sz w:val="16"/>
                <w:szCs w:val="16"/>
                <w:lang w:val="es-ES"/>
              </w:rPr>
              <w:t>450.000</w:t>
            </w:r>
          </w:p>
        </w:tc>
      </w:tr>
    </w:tbl>
    <w:p w14:paraId="3AB330C9" w14:textId="77777777" w:rsidR="00D14F1C" w:rsidRDefault="00D14F1C" w:rsidP="00D14F1C">
      <w:pPr>
        <w:spacing w:before="120" w:after="120" w:line="240" w:lineRule="auto"/>
        <w:jc w:val="both"/>
        <w:rPr>
          <w:rFonts w:ascii="Arial" w:hAnsi="Arial" w:cs="Arial"/>
          <w:lang w:val="es-ES"/>
        </w:rPr>
      </w:pPr>
    </w:p>
    <w:p w14:paraId="0812F792" w14:textId="77777777" w:rsidR="00A452A4" w:rsidRPr="00D14F1C" w:rsidRDefault="00D14F1C" w:rsidP="00D14F1C">
      <w:pPr>
        <w:pStyle w:val="ListParagraph"/>
        <w:numPr>
          <w:ilvl w:val="1"/>
          <w:numId w:val="5"/>
        </w:numPr>
        <w:spacing w:before="120" w:after="120" w:line="240" w:lineRule="auto"/>
        <w:ind w:left="360" w:hanging="540"/>
        <w:contextualSpacing w:val="0"/>
        <w:jc w:val="both"/>
        <w:rPr>
          <w:rFonts w:ascii="Arial" w:hAnsi="Arial" w:cs="Arial"/>
          <w:lang w:val="es-ES"/>
        </w:rPr>
      </w:pPr>
      <w:r w:rsidRPr="00D14F1C">
        <w:rPr>
          <w:rFonts w:ascii="Arial" w:hAnsi="Arial" w:cs="Arial"/>
          <w:lang w:val="es-ES"/>
        </w:rPr>
        <w:t>Para fines de supervisión de la CT, David Rosas (SCL/LMK) y Mariano Bosch (SCL/LMK) estarán a cargo del buen desarrollo de los estudios y análisis y de supervisar las actividades para el logro de los resultados previstos.</w:t>
      </w:r>
    </w:p>
    <w:p w14:paraId="5AB05056" w14:textId="03B40401" w:rsidR="0095711B" w:rsidRPr="00D97FAD" w:rsidRDefault="00944D7A" w:rsidP="002340CB">
      <w:pPr>
        <w:pStyle w:val="ListParagraph"/>
        <w:keepNext/>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Agencia Ejecutora y estructura de </w:t>
      </w:r>
      <w:r w:rsidR="00A139E6" w:rsidRPr="00D97FAD">
        <w:rPr>
          <w:rFonts w:ascii="Arial" w:hAnsi="Arial" w:cs="Arial"/>
          <w:b/>
          <w:lang w:val="es-ES"/>
        </w:rPr>
        <w:t>ejecución</w:t>
      </w:r>
    </w:p>
    <w:p w14:paraId="3906EB34" w14:textId="5F54495B" w:rsidR="00797C03" w:rsidRDefault="00F30073" w:rsidP="002340CB">
      <w:pPr>
        <w:pStyle w:val="ListParagraph"/>
        <w:keepNext/>
        <w:numPr>
          <w:ilvl w:val="1"/>
          <w:numId w:val="5"/>
        </w:numPr>
        <w:spacing w:before="120" w:after="120" w:line="240" w:lineRule="auto"/>
        <w:ind w:left="360" w:hanging="540"/>
        <w:contextualSpacing w:val="0"/>
        <w:jc w:val="both"/>
        <w:rPr>
          <w:rFonts w:ascii="Arial" w:hAnsi="Arial" w:cs="Arial"/>
          <w:lang w:val="es-ES"/>
        </w:rPr>
      </w:pPr>
      <w:r>
        <w:rPr>
          <w:rFonts w:ascii="Arial" w:hAnsi="Arial" w:cs="Arial"/>
          <w:lang w:val="es-ES"/>
        </w:rPr>
        <w:t xml:space="preserve">Por solicitud del país (ver </w:t>
      </w:r>
      <w:r w:rsidR="00F774A5">
        <w:rPr>
          <w:rFonts w:ascii="Arial" w:hAnsi="Arial" w:cs="Arial"/>
          <w:lang w:val="es-ES"/>
        </w:rPr>
        <w:t xml:space="preserve">Anexo </w:t>
      </w:r>
      <w:r>
        <w:rPr>
          <w:rFonts w:ascii="Arial" w:hAnsi="Arial" w:cs="Arial"/>
          <w:lang w:val="es-ES"/>
        </w:rPr>
        <w:t>1), e</w:t>
      </w:r>
      <w:r w:rsidR="00797C03" w:rsidRPr="00797C03">
        <w:rPr>
          <w:rFonts w:ascii="Arial" w:hAnsi="Arial" w:cs="Arial"/>
          <w:lang w:val="es-ES"/>
        </w:rPr>
        <w:t xml:space="preserve">l Banco administrará y ejecutará los recursos de la presente CT. Se hará cargo de esta tarea la División de Mercados Laborales y Seguridad Social (SCL/LMK) </w:t>
      </w:r>
      <w:r w:rsidR="0016180C">
        <w:rPr>
          <w:rFonts w:ascii="Arial" w:hAnsi="Arial" w:cs="Arial"/>
          <w:lang w:val="es-ES"/>
        </w:rPr>
        <w:t>a través d</w:t>
      </w:r>
      <w:r w:rsidR="00797C03" w:rsidRPr="00797C03">
        <w:rPr>
          <w:rFonts w:ascii="Arial" w:hAnsi="Arial" w:cs="Arial"/>
          <w:lang w:val="es-ES"/>
        </w:rPr>
        <w:t>el especialista sectorial, David Rosas (</w:t>
      </w:r>
      <w:hyperlink r:id="rId9" w:history="1">
        <w:r w:rsidR="00797C03" w:rsidRPr="00797C03">
          <w:rPr>
            <w:rStyle w:val="Hyperlink"/>
            <w:rFonts w:ascii="Arial" w:hAnsi="Arial" w:cs="Arial"/>
            <w:lang w:val="es-ES"/>
          </w:rPr>
          <w:t>davidro@iadb.org</w:t>
        </w:r>
      </w:hyperlink>
      <w:r w:rsidR="00797C03" w:rsidRPr="00797C03">
        <w:rPr>
          <w:rFonts w:ascii="Arial" w:hAnsi="Arial" w:cs="Arial"/>
          <w:lang w:val="es-ES"/>
        </w:rPr>
        <w:t>). Esta ejecución se justifica por la experiencia del Banco en el desarrollo de los instrumentos operativos y técnicos planteados para este tipo de operaciones, por el conocimiento del ámbito de trabajo de este apoyo operativo y por la orientación de la CT hacia el apoyo al desarrollo de las medidas de política promovidas por la PE-L1223 liderada por SCL/LMK.</w:t>
      </w:r>
    </w:p>
    <w:p w14:paraId="5979FC4F" w14:textId="77777777" w:rsidR="003F5F31" w:rsidRPr="00797C03" w:rsidRDefault="00797C03" w:rsidP="00797C03">
      <w:pPr>
        <w:pStyle w:val="ListParagraph"/>
        <w:numPr>
          <w:ilvl w:val="1"/>
          <w:numId w:val="5"/>
        </w:numPr>
        <w:spacing w:before="120" w:after="120" w:line="240" w:lineRule="auto"/>
        <w:ind w:left="360" w:hanging="540"/>
        <w:contextualSpacing w:val="0"/>
        <w:jc w:val="both"/>
        <w:rPr>
          <w:rFonts w:ascii="Arial" w:hAnsi="Arial" w:cs="Arial"/>
          <w:lang w:val="es-ES"/>
        </w:rPr>
      </w:pPr>
      <w:r w:rsidRPr="00797C03">
        <w:rPr>
          <w:rFonts w:ascii="Arial" w:hAnsi="Arial" w:cs="Arial"/>
          <w:b/>
          <w:lang w:val="es-ES"/>
        </w:rPr>
        <w:t>Adquisiciones.</w:t>
      </w:r>
      <w:r w:rsidRPr="00797C03">
        <w:rPr>
          <w:rFonts w:ascii="Arial" w:hAnsi="Arial" w:cs="Arial"/>
          <w:lang w:val="es-ES"/>
        </w:rPr>
        <w:t xml:space="preserve"> El Banco contratará los servicios de consultores individuales, firmas consultoras y servicios diferentes de consultoría de conformidad con las políticas y procedimientos vigentes en el Banco.</w:t>
      </w:r>
    </w:p>
    <w:p w14:paraId="37D15B69" w14:textId="0F0F1317" w:rsidR="0095711B" w:rsidRPr="00D97FAD" w:rsidRDefault="0023182E"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 xml:space="preserve">Riesgos importantes </w:t>
      </w:r>
    </w:p>
    <w:p w14:paraId="75AC9685" w14:textId="77777777" w:rsidR="0023182E" w:rsidRPr="00797C03" w:rsidRDefault="00797C03" w:rsidP="00797C03">
      <w:pPr>
        <w:pStyle w:val="ListParagraph"/>
        <w:numPr>
          <w:ilvl w:val="1"/>
          <w:numId w:val="5"/>
        </w:numPr>
        <w:spacing w:before="120" w:after="120" w:line="240" w:lineRule="auto"/>
        <w:ind w:left="360" w:hanging="540"/>
        <w:contextualSpacing w:val="0"/>
        <w:jc w:val="both"/>
        <w:rPr>
          <w:rFonts w:ascii="Arial" w:hAnsi="Arial" w:cs="Arial"/>
          <w:lang w:val="es-ES"/>
        </w:rPr>
      </w:pPr>
      <w:r w:rsidRPr="00797C03">
        <w:rPr>
          <w:rFonts w:ascii="Arial" w:hAnsi="Arial" w:cs="Arial"/>
          <w:lang w:val="es-ES"/>
        </w:rPr>
        <w:t>Al tratarse de una CT que produce exclusivamente documentos de informes y estudios, los cuales serán realizados mediante consultorías individuales y firmas contratadas por el Banco, no se identificaron riesgos sustanciales de carácter fiduciario, macroeconómico, de gestión política o rendición de cuentas.</w:t>
      </w:r>
    </w:p>
    <w:p w14:paraId="7917622D" w14:textId="77777777" w:rsidR="00F72899" w:rsidRPr="00D97FAD" w:rsidRDefault="00F72899"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Excep</w:t>
      </w:r>
      <w:r w:rsidR="0023182E" w:rsidRPr="00D97FAD">
        <w:rPr>
          <w:rFonts w:ascii="Arial" w:hAnsi="Arial" w:cs="Arial"/>
          <w:b/>
          <w:lang w:val="es-ES"/>
        </w:rPr>
        <w:t xml:space="preserve">ciones a las políticas del Banco </w:t>
      </w:r>
    </w:p>
    <w:p w14:paraId="111E4DEA" w14:textId="77777777" w:rsidR="00F72899" w:rsidRPr="00797C03" w:rsidRDefault="00797C03" w:rsidP="00797C03">
      <w:pPr>
        <w:pStyle w:val="ListParagraph"/>
        <w:numPr>
          <w:ilvl w:val="1"/>
          <w:numId w:val="5"/>
        </w:numPr>
        <w:spacing w:before="120" w:after="120" w:line="240" w:lineRule="auto"/>
        <w:ind w:left="360" w:hanging="540"/>
        <w:contextualSpacing w:val="0"/>
        <w:jc w:val="both"/>
        <w:rPr>
          <w:rFonts w:ascii="Arial" w:hAnsi="Arial" w:cs="Arial"/>
          <w:lang w:val="es-ES"/>
        </w:rPr>
      </w:pPr>
      <w:r w:rsidRPr="00797C03">
        <w:rPr>
          <w:rFonts w:ascii="Arial" w:hAnsi="Arial" w:cs="Arial"/>
          <w:lang w:val="es-ES"/>
        </w:rPr>
        <w:t>La cooperación técnica no anticipa ninguna excepción a las políticas del Banco.</w:t>
      </w:r>
    </w:p>
    <w:p w14:paraId="529FBD55" w14:textId="77777777" w:rsidR="0095711B" w:rsidRPr="00D97FAD" w:rsidRDefault="000C16F9" w:rsidP="008F4286">
      <w:pPr>
        <w:pStyle w:val="ListParagraph"/>
        <w:numPr>
          <w:ilvl w:val="0"/>
          <w:numId w:val="5"/>
        </w:numPr>
        <w:spacing w:before="120" w:after="120" w:line="240" w:lineRule="auto"/>
        <w:contextualSpacing w:val="0"/>
        <w:rPr>
          <w:rFonts w:ascii="Arial" w:hAnsi="Arial" w:cs="Arial"/>
          <w:b/>
          <w:lang w:val="es-ES"/>
        </w:rPr>
      </w:pPr>
      <w:r w:rsidRPr="00D97FAD">
        <w:rPr>
          <w:rFonts w:ascii="Arial" w:hAnsi="Arial" w:cs="Arial"/>
          <w:b/>
          <w:lang w:val="es-ES"/>
        </w:rPr>
        <w:t>Salvaguardias Ambientales</w:t>
      </w:r>
      <w:r w:rsidR="00531E51" w:rsidRPr="00D97FAD">
        <w:rPr>
          <w:rFonts w:ascii="Arial" w:hAnsi="Arial" w:cs="Arial"/>
          <w:b/>
          <w:lang w:val="es-ES"/>
        </w:rPr>
        <w:t xml:space="preserve"> </w:t>
      </w:r>
    </w:p>
    <w:p w14:paraId="131C0B74" w14:textId="505C2389" w:rsidR="00797C03" w:rsidRPr="0020174E" w:rsidRDefault="00797C03" w:rsidP="00686C06">
      <w:pPr>
        <w:spacing w:before="120" w:after="120" w:line="240" w:lineRule="auto"/>
        <w:jc w:val="both"/>
        <w:rPr>
          <w:rFonts w:ascii="Arial" w:hAnsi="Arial" w:cs="Arial"/>
          <w:lang w:val="es-ES"/>
        </w:rPr>
      </w:pPr>
      <w:r w:rsidRPr="0020174E">
        <w:rPr>
          <w:rFonts w:ascii="Arial" w:hAnsi="Arial" w:cs="Arial"/>
          <w:lang w:val="es-ES"/>
        </w:rPr>
        <w:t xml:space="preserve">Debido a la naturaleza de este proyecto, se estima que no tendrá un impacto ambiental o social negativo significativo, </w:t>
      </w:r>
      <w:r w:rsidRPr="0020174E">
        <w:rPr>
          <w:rFonts w:ascii="Arial" w:hAnsi="Arial" w:cs="Arial"/>
          <w:lang w:val="es-ES_tradnl"/>
        </w:rPr>
        <w:t xml:space="preserve">esta operación se clasifica como categoría “C” </w:t>
      </w:r>
      <w:r w:rsidRPr="0020174E">
        <w:rPr>
          <w:rFonts w:ascii="Arial" w:hAnsi="Arial" w:cs="Arial"/>
          <w:lang w:val="es-ES"/>
        </w:rPr>
        <w:t xml:space="preserve">(Ver </w:t>
      </w:r>
      <w:r w:rsidR="00814353">
        <w:fldChar w:fldCharType="begin"/>
      </w:r>
      <w:r w:rsidR="00814353" w:rsidRPr="000144D6">
        <w:rPr>
          <w:lang w:val="es-ES_tradnl"/>
        </w:rPr>
        <w:instrText xml:space="preserve"> HYPERLINK "https://idbg.sharepoint.com/teams/EZ-PE-TCP/PE-T1366/_layouts/15/DocIdR</w:instrText>
      </w:r>
      <w:r w:rsidR="00814353" w:rsidRPr="000144D6">
        <w:rPr>
          <w:lang w:val="es-ES_tradnl"/>
        </w:rPr>
        <w:instrText xml:space="preserve">edir.aspx?ID=EZSHARE-539030036-18" </w:instrText>
      </w:r>
      <w:r w:rsidR="00814353">
        <w:fldChar w:fldCharType="separate"/>
      </w:r>
      <w:r w:rsidR="0020174E">
        <w:rPr>
          <w:rStyle w:val="Hyperlink"/>
          <w:rFonts w:ascii="Arial" w:hAnsi="Arial" w:cs="Arial"/>
          <w:lang w:val="es-ES"/>
        </w:rPr>
        <w:t>SPF</w:t>
      </w:r>
      <w:r w:rsidR="00814353">
        <w:rPr>
          <w:rStyle w:val="Hyperlink"/>
          <w:rFonts w:ascii="Arial" w:hAnsi="Arial" w:cs="Arial"/>
          <w:lang w:val="es-ES"/>
        </w:rPr>
        <w:fldChar w:fldCharType="end"/>
      </w:r>
      <w:r w:rsidR="002B0301" w:rsidRPr="0020174E">
        <w:rPr>
          <w:rStyle w:val="Hyperlink"/>
          <w:rFonts w:ascii="Arial" w:hAnsi="Arial" w:cs="Arial"/>
          <w:lang w:val="es-ES"/>
        </w:rPr>
        <w:t xml:space="preserve"> </w:t>
      </w:r>
      <w:r w:rsidR="002B0301" w:rsidRPr="0020174E">
        <w:rPr>
          <w:rStyle w:val="Hyperlink"/>
          <w:rFonts w:ascii="Arial" w:hAnsi="Arial" w:cs="Arial"/>
          <w:lang w:val="es-ES"/>
        </w:rPr>
        <w:t xml:space="preserve">y </w:t>
      </w:r>
      <w:hyperlink r:id="rId10" w:history="1">
        <w:r w:rsidR="0020174E">
          <w:rPr>
            <w:rStyle w:val="Hyperlink"/>
            <w:rFonts w:ascii="Arial" w:hAnsi="Arial" w:cs="Arial"/>
            <w:lang w:val="es-ES"/>
          </w:rPr>
          <w:t>S</w:t>
        </w:r>
        <w:r w:rsidR="0020174E">
          <w:rPr>
            <w:rStyle w:val="Hyperlink"/>
            <w:rFonts w:ascii="Arial" w:hAnsi="Arial" w:cs="Arial"/>
            <w:lang w:val="es-ES"/>
          </w:rPr>
          <w:t>SF</w:t>
        </w:r>
      </w:hyperlink>
      <w:r w:rsidRPr="0020174E">
        <w:rPr>
          <w:rFonts w:ascii="Arial" w:hAnsi="Arial" w:cs="Arial"/>
          <w:lang w:val="es-ES"/>
        </w:rPr>
        <w:t>).</w:t>
      </w:r>
      <w:r w:rsidR="00F30073" w:rsidRPr="0020174E">
        <w:rPr>
          <w:rFonts w:ascii="Arial" w:hAnsi="Arial" w:cs="Arial"/>
          <w:lang w:val="es-ES"/>
        </w:rPr>
        <w:t xml:space="preserve"> </w:t>
      </w:r>
    </w:p>
    <w:p w14:paraId="35F02E9E" w14:textId="77777777" w:rsidR="00F72899" w:rsidRPr="00D97FAD" w:rsidRDefault="00C5184A" w:rsidP="00F774A5">
      <w:pPr>
        <w:keepNext/>
        <w:spacing w:before="120" w:after="120" w:line="240" w:lineRule="auto"/>
        <w:jc w:val="both"/>
        <w:rPr>
          <w:rFonts w:ascii="Arial" w:hAnsi="Arial" w:cs="Arial"/>
          <w:b/>
          <w:lang w:val="es-ES"/>
        </w:rPr>
      </w:pPr>
      <w:r w:rsidRPr="00D97FAD">
        <w:rPr>
          <w:rFonts w:ascii="Arial" w:hAnsi="Arial" w:cs="Arial"/>
          <w:b/>
          <w:lang w:val="es-ES"/>
        </w:rPr>
        <w:lastRenderedPageBreak/>
        <w:t>Anexos Requeridos</w:t>
      </w:r>
      <w:r w:rsidR="00F72899" w:rsidRPr="00D97FAD">
        <w:rPr>
          <w:rFonts w:ascii="Arial" w:hAnsi="Arial" w:cs="Arial"/>
          <w:b/>
          <w:lang w:val="es-ES"/>
        </w:rPr>
        <w:t>:</w:t>
      </w:r>
    </w:p>
    <w:p w14:paraId="5A393631" w14:textId="77777777" w:rsidR="00797C03" w:rsidRPr="00213B4D" w:rsidRDefault="00814353" w:rsidP="00F774A5">
      <w:pPr>
        <w:pStyle w:val="ListParagraph"/>
        <w:keepNext/>
        <w:keepLines/>
        <w:numPr>
          <w:ilvl w:val="0"/>
          <w:numId w:val="11"/>
        </w:numPr>
        <w:spacing w:before="120" w:after="120" w:line="240" w:lineRule="auto"/>
        <w:jc w:val="both"/>
        <w:rPr>
          <w:rFonts w:ascii="Arial" w:hAnsi="Arial" w:cs="Arial"/>
          <w:lang w:val="es-ES"/>
        </w:rPr>
      </w:pPr>
      <w:hyperlink r:id="rId11" w:history="1">
        <w:r w:rsidR="00797C03" w:rsidRPr="00213B4D">
          <w:rPr>
            <w:rStyle w:val="Hyperlink"/>
            <w:rFonts w:ascii="Arial" w:hAnsi="Arial" w:cs="Arial"/>
            <w:lang w:val="es-ES"/>
          </w:rPr>
          <w:t>Solicitu</w:t>
        </w:r>
        <w:bookmarkStart w:id="0" w:name="_GoBack"/>
        <w:bookmarkEnd w:id="0"/>
        <w:r w:rsidR="00797C03" w:rsidRPr="00213B4D">
          <w:rPr>
            <w:rStyle w:val="Hyperlink"/>
            <w:rFonts w:ascii="Arial" w:hAnsi="Arial" w:cs="Arial"/>
            <w:lang w:val="es-ES"/>
          </w:rPr>
          <w:t>d del cliente</w:t>
        </w:r>
      </w:hyperlink>
      <w:r w:rsidR="00797C03" w:rsidRPr="00213B4D">
        <w:rPr>
          <w:rFonts w:ascii="Arial" w:hAnsi="Arial" w:cs="Arial"/>
          <w:lang w:val="es-ES"/>
        </w:rPr>
        <w:t xml:space="preserve"> </w:t>
      </w:r>
    </w:p>
    <w:p w14:paraId="5FE0EAFD" w14:textId="48F2686D" w:rsidR="00797C03" w:rsidRPr="000144D6" w:rsidRDefault="00814353" w:rsidP="00F774A5">
      <w:pPr>
        <w:pStyle w:val="ListParagraph"/>
        <w:keepNext/>
        <w:keepLines/>
        <w:numPr>
          <w:ilvl w:val="0"/>
          <w:numId w:val="11"/>
        </w:numPr>
        <w:spacing w:before="120" w:after="120" w:line="240" w:lineRule="auto"/>
        <w:jc w:val="both"/>
        <w:rPr>
          <w:rFonts w:ascii="Arial" w:hAnsi="Arial" w:cs="Arial"/>
          <w:lang w:val="pt-BR"/>
        </w:rPr>
      </w:pPr>
      <w:hyperlink r:id="rId12" w:history="1">
        <w:r w:rsidR="00797C03" w:rsidRPr="000144D6">
          <w:rPr>
            <w:rStyle w:val="Hyperlink"/>
            <w:rFonts w:ascii="Arial" w:hAnsi="Arial" w:cs="Arial"/>
            <w:lang w:val="pt-BR"/>
          </w:rPr>
          <w:t xml:space="preserve">Matriz de </w:t>
        </w:r>
        <w:r w:rsidR="00797C03" w:rsidRPr="000144D6">
          <w:rPr>
            <w:rStyle w:val="Hyperlink"/>
            <w:rFonts w:ascii="Arial" w:hAnsi="Arial" w:cs="Arial"/>
            <w:lang w:val="pt-BR"/>
          </w:rPr>
          <w:t>Resultados</w:t>
        </w:r>
      </w:hyperlink>
      <w:r w:rsidR="00797C03" w:rsidRPr="000144D6">
        <w:rPr>
          <w:rFonts w:ascii="Arial" w:hAnsi="Arial" w:cs="Arial"/>
          <w:lang w:val="pt-BR"/>
        </w:rPr>
        <w:t xml:space="preserve"> </w:t>
      </w:r>
    </w:p>
    <w:p w14:paraId="52A3C90C" w14:textId="1F804E01" w:rsidR="00797C03" w:rsidRPr="00213B4D" w:rsidRDefault="00814353" w:rsidP="00F774A5">
      <w:pPr>
        <w:pStyle w:val="ListParagraph"/>
        <w:keepNext/>
        <w:keepLines/>
        <w:numPr>
          <w:ilvl w:val="0"/>
          <w:numId w:val="11"/>
        </w:numPr>
        <w:spacing w:before="120" w:after="120" w:line="240" w:lineRule="auto"/>
        <w:jc w:val="both"/>
        <w:rPr>
          <w:rFonts w:ascii="Arial" w:hAnsi="Arial" w:cs="Arial"/>
          <w:lang w:val="es-ES"/>
        </w:rPr>
      </w:pPr>
      <w:hyperlink r:id="rId13" w:history="1">
        <w:r w:rsidR="00797C03" w:rsidRPr="00213B4D">
          <w:rPr>
            <w:rStyle w:val="Hyperlink"/>
            <w:rFonts w:ascii="Arial" w:hAnsi="Arial" w:cs="Arial"/>
            <w:lang w:val="es-ES"/>
          </w:rPr>
          <w:t>Términos de</w:t>
        </w:r>
        <w:r w:rsidR="00797C03" w:rsidRPr="00213B4D">
          <w:rPr>
            <w:rStyle w:val="Hyperlink"/>
            <w:rFonts w:ascii="Arial" w:hAnsi="Arial" w:cs="Arial"/>
            <w:lang w:val="es-ES"/>
          </w:rPr>
          <w:t xml:space="preserve"> re</w:t>
        </w:r>
        <w:r w:rsidR="00797C03" w:rsidRPr="00213B4D">
          <w:rPr>
            <w:rStyle w:val="Hyperlink"/>
            <w:rFonts w:ascii="Arial" w:hAnsi="Arial" w:cs="Arial"/>
            <w:lang w:val="es-ES"/>
          </w:rPr>
          <w:t>ferencia</w:t>
        </w:r>
      </w:hyperlink>
      <w:r w:rsidR="00797C03" w:rsidRPr="00213B4D">
        <w:rPr>
          <w:rFonts w:ascii="Arial" w:hAnsi="Arial" w:cs="Arial"/>
          <w:lang w:val="es-ES"/>
        </w:rPr>
        <w:t xml:space="preserve"> </w:t>
      </w:r>
    </w:p>
    <w:p w14:paraId="7064A2BB" w14:textId="3B93EB79" w:rsidR="000F2091" w:rsidRDefault="00814353" w:rsidP="00F774A5">
      <w:pPr>
        <w:pStyle w:val="ListParagraph"/>
        <w:keepNext/>
        <w:keepLines/>
        <w:numPr>
          <w:ilvl w:val="0"/>
          <w:numId w:val="11"/>
        </w:numPr>
        <w:spacing w:before="120" w:after="120" w:line="240" w:lineRule="auto"/>
        <w:jc w:val="both"/>
        <w:rPr>
          <w:rFonts w:ascii="Arial" w:hAnsi="Arial" w:cs="Arial"/>
          <w:lang w:val="es-ES"/>
        </w:rPr>
      </w:pPr>
      <w:hyperlink r:id="rId14" w:history="1">
        <w:r w:rsidR="00797C03" w:rsidRPr="00213B4D">
          <w:rPr>
            <w:rStyle w:val="Hyperlink"/>
            <w:rFonts w:ascii="Arial" w:hAnsi="Arial" w:cs="Arial"/>
            <w:lang w:val="es-ES"/>
          </w:rPr>
          <w:t>Plan de A</w:t>
        </w:r>
        <w:r w:rsidR="00797C03" w:rsidRPr="00213B4D">
          <w:rPr>
            <w:rStyle w:val="Hyperlink"/>
            <w:rFonts w:ascii="Arial" w:hAnsi="Arial" w:cs="Arial"/>
            <w:lang w:val="es-ES"/>
          </w:rPr>
          <w:t>dquisiciones</w:t>
        </w:r>
      </w:hyperlink>
      <w:r w:rsidR="000144D6">
        <w:rPr>
          <w:rStyle w:val="Hyperlink"/>
          <w:rFonts w:ascii="Arial" w:hAnsi="Arial" w:cs="Arial"/>
          <w:lang w:val="es-ES"/>
        </w:rPr>
        <w:t xml:space="preserve"> </w:t>
      </w:r>
    </w:p>
    <w:p w14:paraId="168147E4" w14:textId="2887826A" w:rsidR="00F30073" w:rsidRPr="0020174E" w:rsidRDefault="00814353" w:rsidP="00F774A5">
      <w:pPr>
        <w:pStyle w:val="ListParagraph"/>
        <w:keepNext/>
        <w:keepLines/>
        <w:numPr>
          <w:ilvl w:val="0"/>
          <w:numId w:val="11"/>
        </w:numPr>
        <w:spacing w:before="120" w:after="120" w:line="240" w:lineRule="auto"/>
        <w:jc w:val="both"/>
        <w:rPr>
          <w:rFonts w:ascii="Arial" w:hAnsi="Arial" w:cs="Arial"/>
          <w:lang w:val="pt-BR"/>
        </w:rPr>
      </w:pPr>
      <w:hyperlink r:id="rId15" w:history="1">
        <w:r w:rsidR="002B0301" w:rsidRPr="0020174E">
          <w:rPr>
            <w:rStyle w:val="Hyperlink"/>
            <w:rFonts w:ascii="Arial" w:hAnsi="Arial" w:cs="Arial"/>
            <w:lang w:val="es-ES"/>
          </w:rPr>
          <w:t>Abre</w:t>
        </w:r>
        <w:r w:rsidR="002B0301" w:rsidRPr="0020174E">
          <w:rPr>
            <w:rStyle w:val="Hyperlink"/>
            <w:rFonts w:ascii="Arial" w:hAnsi="Arial" w:cs="Arial"/>
            <w:lang w:val="es-ES"/>
          </w:rPr>
          <w:t>viaturas</w:t>
        </w:r>
      </w:hyperlink>
      <w:r w:rsidR="000144D6">
        <w:rPr>
          <w:rStyle w:val="Hyperlink"/>
          <w:rFonts w:ascii="Arial" w:hAnsi="Arial" w:cs="Arial"/>
          <w:lang w:val="es-ES"/>
        </w:rPr>
        <w:t xml:space="preserve"> </w:t>
      </w:r>
    </w:p>
    <w:p w14:paraId="743BE158" w14:textId="77777777" w:rsidR="00A452A4" w:rsidRPr="00F30073" w:rsidRDefault="00A452A4" w:rsidP="00F774A5">
      <w:pPr>
        <w:keepNext/>
        <w:spacing w:before="120" w:after="120" w:line="240" w:lineRule="auto"/>
        <w:jc w:val="both"/>
        <w:rPr>
          <w:rFonts w:ascii="Arial" w:hAnsi="Arial" w:cs="Arial"/>
          <w:lang w:val="es-ES_tradnl"/>
        </w:rPr>
      </w:pPr>
    </w:p>
    <w:sectPr w:rsidR="00A452A4" w:rsidRPr="00F30073" w:rsidSect="008F4286">
      <w:headerReference w:type="default" r:id="rId16"/>
      <w:footerReference w:type="default" r:id="rId1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C4F40" w14:textId="77777777" w:rsidR="00814353" w:rsidRDefault="00814353" w:rsidP="0095711B">
      <w:pPr>
        <w:spacing w:after="0" w:line="240" w:lineRule="auto"/>
      </w:pPr>
      <w:r>
        <w:separator/>
      </w:r>
    </w:p>
  </w:endnote>
  <w:endnote w:type="continuationSeparator" w:id="0">
    <w:p w14:paraId="2FD318C0" w14:textId="77777777" w:rsidR="00814353" w:rsidRDefault="00814353" w:rsidP="009571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otham Book">
    <w:panose1 w:val="00000000000000000000"/>
    <w:charset w:val="00"/>
    <w:family w:val="modern"/>
    <w:notTrueType/>
    <w:pitch w:val="variable"/>
    <w:sig w:usb0="A10000FF" w:usb1="4000005B" w:usb2="00000000" w:usb3="00000000" w:csb0="0000009B"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0D911B" w14:textId="77777777" w:rsidR="009F3CA2" w:rsidRDefault="009F3CA2">
    <w:pPr>
      <w:pStyle w:val="Footer"/>
      <w:jc w:val="center"/>
    </w:pPr>
  </w:p>
  <w:p w14:paraId="5D847D11" w14:textId="77777777" w:rsidR="009F3CA2" w:rsidRDefault="009F3C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194735" w14:textId="77777777" w:rsidR="00814353" w:rsidRDefault="00814353" w:rsidP="0095711B">
      <w:pPr>
        <w:spacing w:after="0" w:line="240" w:lineRule="auto"/>
      </w:pPr>
      <w:r>
        <w:separator/>
      </w:r>
    </w:p>
  </w:footnote>
  <w:footnote w:type="continuationSeparator" w:id="0">
    <w:p w14:paraId="6EDF381C" w14:textId="77777777" w:rsidR="00814353" w:rsidRDefault="00814353" w:rsidP="0095711B">
      <w:pPr>
        <w:spacing w:after="0" w:line="240" w:lineRule="auto"/>
      </w:pPr>
      <w:r>
        <w:continuationSeparator/>
      </w:r>
    </w:p>
  </w:footnote>
  <w:footnote w:id="1">
    <w:p w14:paraId="30C006BE" w14:textId="39C38B20" w:rsidR="00D50351" w:rsidRPr="00C72B84" w:rsidRDefault="00D50351" w:rsidP="00F30073">
      <w:pPr>
        <w:pStyle w:val="FootnoteText"/>
        <w:ind w:left="360" w:hanging="360"/>
        <w:jc w:val="both"/>
        <w:rPr>
          <w:rFonts w:ascii="Arial" w:hAnsi="Arial" w:cs="Arial"/>
          <w:sz w:val="18"/>
          <w:lang w:val="es-ES_tradnl"/>
        </w:rPr>
      </w:pPr>
      <w:r w:rsidRPr="00C72B84">
        <w:rPr>
          <w:rStyle w:val="FootnoteReference"/>
          <w:rFonts w:ascii="Arial" w:hAnsi="Arial" w:cs="Arial"/>
          <w:sz w:val="18"/>
        </w:rPr>
        <w:footnoteRef/>
      </w:r>
      <w:r w:rsidRPr="00C72B84">
        <w:rPr>
          <w:rFonts w:ascii="Arial" w:hAnsi="Arial" w:cs="Arial"/>
          <w:sz w:val="18"/>
          <w:lang w:val="es-ES_tradnl"/>
        </w:rPr>
        <w:t xml:space="preserve"> </w:t>
      </w:r>
      <w:r w:rsidR="00F30073">
        <w:rPr>
          <w:rFonts w:ascii="Arial" w:hAnsi="Arial" w:cs="Arial"/>
          <w:sz w:val="18"/>
          <w:lang w:val="es-ES_tradnl"/>
        </w:rPr>
        <w:tab/>
      </w:r>
      <w:r w:rsidRPr="00C72B84">
        <w:rPr>
          <w:rFonts w:ascii="Arial" w:hAnsi="Arial" w:cs="Arial"/>
          <w:sz w:val="18"/>
          <w:lang w:val="es-ES_tradnl"/>
        </w:rPr>
        <w:t xml:space="preserve">El objetivo de la operación PE-L1223 es el incremento de la formalidad empresarial y laboral, para lo cual se contemplan los siguientes componentes: (1) </w:t>
      </w:r>
      <w:r w:rsidR="0016180C">
        <w:rPr>
          <w:rFonts w:ascii="Arial" w:hAnsi="Arial" w:cs="Arial"/>
          <w:sz w:val="18"/>
          <w:lang w:val="es-ES_tradnl"/>
        </w:rPr>
        <w:t>e</w:t>
      </w:r>
      <w:r w:rsidRPr="00C72B84">
        <w:rPr>
          <w:rFonts w:ascii="Arial" w:hAnsi="Arial" w:cs="Arial"/>
          <w:sz w:val="18"/>
          <w:lang w:val="es-ES_tradnl"/>
        </w:rPr>
        <w:t xml:space="preserve">stabilidad Macroeconómica; (2) </w:t>
      </w:r>
      <w:r w:rsidR="0016180C">
        <w:rPr>
          <w:rFonts w:ascii="Arial" w:hAnsi="Arial" w:cs="Arial"/>
          <w:sz w:val="18"/>
          <w:lang w:val="es-ES_tradnl"/>
        </w:rPr>
        <w:t>a</w:t>
      </w:r>
      <w:r w:rsidRPr="00C72B84">
        <w:rPr>
          <w:rFonts w:ascii="Arial" w:hAnsi="Arial" w:cs="Arial"/>
          <w:sz w:val="18"/>
          <w:lang w:val="es-ES_tradnl"/>
        </w:rPr>
        <w:t>segura</w:t>
      </w:r>
      <w:r w:rsidR="0016180C">
        <w:rPr>
          <w:rFonts w:ascii="Arial" w:hAnsi="Arial" w:cs="Arial"/>
          <w:sz w:val="18"/>
          <w:lang w:val="es-ES_tradnl"/>
        </w:rPr>
        <w:t>miento de</w:t>
      </w:r>
      <w:r w:rsidRPr="00C72B84">
        <w:rPr>
          <w:rFonts w:ascii="Arial" w:hAnsi="Arial" w:cs="Arial"/>
          <w:sz w:val="18"/>
          <w:lang w:val="es-ES_tradnl"/>
        </w:rPr>
        <w:t xml:space="preserve"> la coordinación interinstitucional para la formalización; (3) </w:t>
      </w:r>
      <w:r w:rsidR="0016180C">
        <w:rPr>
          <w:rFonts w:ascii="Arial" w:hAnsi="Arial" w:cs="Arial"/>
          <w:sz w:val="18"/>
          <w:lang w:val="es-ES_tradnl"/>
        </w:rPr>
        <w:t>p</w:t>
      </w:r>
      <w:r w:rsidRPr="00C72B84">
        <w:rPr>
          <w:rFonts w:ascii="Arial" w:hAnsi="Arial" w:cs="Arial"/>
          <w:sz w:val="18"/>
          <w:lang w:val="es-ES_tradnl"/>
        </w:rPr>
        <w:t>romo</w:t>
      </w:r>
      <w:r w:rsidR="0016180C">
        <w:rPr>
          <w:rFonts w:ascii="Arial" w:hAnsi="Arial" w:cs="Arial"/>
          <w:sz w:val="18"/>
          <w:lang w:val="es-ES_tradnl"/>
        </w:rPr>
        <w:t>ción de</w:t>
      </w:r>
      <w:r w:rsidRPr="00C72B84">
        <w:rPr>
          <w:rFonts w:ascii="Arial" w:hAnsi="Arial" w:cs="Arial"/>
          <w:sz w:val="18"/>
          <w:lang w:val="es-ES_tradnl"/>
        </w:rPr>
        <w:t xml:space="preserve"> la formalización empresarial y laboral; y (4) </w:t>
      </w:r>
      <w:r w:rsidR="0016180C">
        <w:rPr>
          <w:rFonts w:ascii="Arial" w:hAnsi="Arial" w:cs="Arial"/>
          <w:sz w:val="18"/>
          <w:lang w:val="es-ES_tradnl"/>
        </w:rPr>
        <w:t>m</w:t>
      </w:r>
      <w:r w:rsidRPr="00C72B84">
        <w:rPr>
          <w:rFonts w:ascii="Arial" w:hAnsi="Arial" w:cs="Arial"/>
          <w:sz w:val="18"/>
          <w:lang w:val="es-ES_tradnl"/>
        </w:rPr>
        <w:t>ejora</w:t>
      </w:r>
      <w:r w:rsidR="0016180C">
        <w:rPr>
          <w:rFonts w:ascii="Arial" w:hAnsi="Arial" w:cs="Arial"/>
          <w:sz w:val="18"/>
          <w:lang w:val="es-ES_tradnl"/>
        </w:rPr>
        <w:t>miento de</w:t>
      </w:r>
      <w:r w:rsidRPr="00C72B84">
        <w:rPr>
          <w:rFonts w:ascii="Arial" w:hAnsi="Arial" w:cs="Arial"/>
          <w:sz w:val="18"/>
          <w:lang w:val="es-ES_tradnl"/>
        </w:rPr>
        <w:t xml:space="preserve"> las habilidades de los trabajadores.</w:t>
      </w:r>
    </w:p>
  </w:footnote>
  <w:footnote w:id="2">
    <w:p w14:paraId="51CF8462" w14:textId="1DBD14BB" w:rsidR="00D50351" w:rsidRPr="00C72B84" w:rsidRDefault="00D50351" w:rsidP="00F30073">
      <w:pPr>
        <w:pStyle w:val="FootnoteText"/>
        <w:ind w:left="360" w:hanging="360"/>
        <w:jc w:val="both"/>
        <w:rPr>
          <w:rFonts w:ascii="Arial" w:hAnsi="Arial" w:cs="Arial"/>
          <w:sz w:val="18"/>
          <w:lang w:val="es-ES_tradnl"/>
        </w:rPr>
      </w:pPr>
      <w:r w:rsidRPr="00C72B84">
        <w:rPr>
          <w:rStyle w:val="FootnoteReference"/>
          <w:rFonts w:ascii="Arial" w:hAnsi="Arial" w:cs="Arial"/>
          <w:sz w:val="18"/>
        </w:rPr>
        <w:footnoteRef/>
      </w:r>
      <w:r w:rsidRPr="00C72B84">
        <w:rPr>
          <w:rFonts w:ascii="Arial" w:hAnsi="Arial" w:cs="Arial"/>
          <w:sz w:val="18"/>
          <w:lang w:val="es-ES_tradnl"/>
        </w:rPr>
        <w:t xml:space="preserve"> </w:t>
      </w:r>
      <w:r w:rsidR="00F30073">
        <w:rPr>
          <w:rFonts w:ascii="Arial" w:hAnsi="Arial" w:cs="Arial"/>
          <w:sz w:val="18"/>
          <w:lang w:val="es-ES_tradnl"/>
        </w:rPr>
        <w:tab/>
      </w:r>
      <w:r w:rsidRPr="00C72B84">
        <w:rPr>
          <w:rFonts w:ascii="Arial" w:hAnsi="Arial" w:cs="Arial"/>
          <w:sz w:val="18"/>
          <w:lang w:val="es-ES_tradnl"/>
        </w:rPr>
        <w:t>La Ley Nº 30425, que fue aprobada recientemente por el congreso peruano, amplía el régimen de jubilación anticipada y agrega entre otros, la opción para que el afiliado de, a partir de los 65 años de edad, solicitar a la Administradora de Fondos de Pensión (AFP) la entrega de hasta el 95</w:t>
      </w:r>
      <w:r w:rsidR="003D1E75">
        <w:rPr>
          <w:rFonts w:ascii="Arial" w:hAnsi="Arial" w:cs="Arial"/>
          <w:sz w:val="18"/>
          <w:lang w:val="es-ES_tradnl"/>
        </w:rPr>
        <w:t>,</w:t>
      </w:r>
      <w:r w:rsidRPr="00C72B84">
        <w:rPr>
          <w:rFonts w:ascii="Arial" w:hAnsi="Arial" w:cs="Arial"/>
          <w:sz w:val="18"/>
          <w:lang w:val="es-ES_tradnl"/>
        </w:rPr>
        <w:t>5% del total del fondo disponible en su Cuenta Individual de Capitalización (CIC) en las armadas que considere necesarias. La introducción de la opción ha generado controversia, pues no existe evidencia empírica que permita avizorar impactos potenciales en la población afiliada de medidas de este tipo. La encuesta propuesta busca generar esta evidencia.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4664737"/>
      <w:docPartObj>
        <w:docPartGallery w:val="Page Numbers (Top of Page)"/>
        <w:docPartUnique/>
      </w:docPartObj>
    </w:sdtPr>
    <w:sdtEndPr>
      <w:rPr>
        <w:rFonts w:ascii="Gotham Book" w:hAnsi="Gotham Book"/>
        <w:noProof/>
        <w:sz w:val="18"/>
        <w:szCs w:val="18"/>
      </w:rPr>
    </w:sdtEndPr>
    <w:sdtContent>
      <w:p w14:paraId="76618457" w14:textId="6CDFB6A5" w:rsidR="007C6B4B" w:rsidRPr="007C6B4B" w:rsidRDefault="007C6B4B">
        <w:pPr>
          <w:pStyle w:val="Header"/>
          <w:jc w:val="center"/>
          <w:rPr>
            <w:rFonts w:ascii="Gotham Book" w:hAnsi="Gotham Book"/>
            <w:sz w:val="18"/>
            <w:szCs w:val="18"/>
          </w:rPr>
        </w:pPr>
        <w:r>
          <w:t>- </w:t>
        </w:r>
        <w:r w:rsidRPr="007C6B4B">
          <w:rPr>
            <w:rFonts w:ascii="Gotham Book" w:hAnsi="Gotham Book"/>
            <w:sz w:val="18"/>
            <w:szCs w:val="18"/>
          </w:rPr>
          <w:fldChar w:fldCharType="begin"/>
        </w:r>
        <w:r w:rsidRPr="007C6B4B">
          <w:rPr>
            <w:rFonts w:ascii="Gotham Book" w:hAnsi="Gotham Book"/>
            <w:sz w:val="18"/>
            <w:szCs w:val="18"/>
          </w:rPr>
          <w:instrText xml:space="preserve"> PAGE   \* MERGEFORMAT </w:instrText>
        </w:r>
        <w:r w:rsidRPr="007C6B4B">
          <w:rPr>
            <w:rFonts w:ascii="Gotham Book" w:hAnsi="Gotham Book"/>
            <w:sz w:val="18"/>
            <w:szCs w:val="18"/>
          </w:rPr>
          <w:fldChar w:fldCharType="separate"/>
        </w:r>
        <w:r w:rsidR="009823EB">
          <w:rPr>
            <w:rFonts w:ascii="Gotham Book" w:hAnsi="Gotham Book"/>
            <w:noProof/>
            <w:sz w:val="18"/>
            <w:szCs w:val="18"/>
          </w:rPr>
          <w:t>1</w:t>
        </w:r>
        <w:r w:rsidRPr="007C6B4B">
          <w:rPr>
            <w:rFonts w:ascii="Gotham Book" w:hAnsi="Gotham Book"/>
            <w:noProof/>
            <w:sz w:val="18"/>
            <w:szCs w:val="18"/>
          </w:rPr>
          <w:fldChar w:fldCharType="end"/>
        </w:r>
        <w:r>
          <w:rPr>
            <w:rFonts w:ascii="Gotham Book" w:hAnsi="Gotham Book"/>
            <w:noProof/>
            <w:sz w:val="18"/>
            <w:szCs w:val="18"/>
          </w:rPr>
          <w:t> -</w:t>
        </w:r>
      </w:p>
    </w:sdtContent>
  </w:sdt>
  <w:p w14:paraId="161EE576" w14:textId="77777777" w:rsidR="007C6B4B" w:rsidRDefault="007C6B4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2564E0"/>
    <w:multiLevelType w:val="hybridMultilevel"/>
    <w:tmpl w:val="48FE8DA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E65187"/>
    <w:multiLevelType w:val="hybridMultilevel"/>
    <w:tmpl w:val="BE28976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665631"/>
    <w:multiLevelType w:val="hybridMultilevel"/>
    <w:tmpl w:val="BC78F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8A0E03"/>
    <w:multiLevelType w:val="hybridMultilevel"/>
    <w:tmpl w:val="B394B99C"/>
    <w:lvl w:ilvl="0" w:tplc="7526C6D0">
      <w:start w:val="1"/>
      <w:numFmt w:val="lowerLetter"/>
      <w:lvlText w:val="%1."/>
      <w:lvlJc w:val="left"/>
      <w:pPr>
        <w:ind w:left="720" w:hanging="360"/>
      </w:pPr>
      <w:rPr>
        <w:rFonts w:hint="default"/>
        <w:color w:val="33333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7354963"/>
    <w:multiLevelType w:val="hybridMultilevel"/>
    <w:tmpl w:val="95EAD726"/>
    <w:lvl w:ilvl="0" w:tplc="AC6C38C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5" w15:restartNumberingAfterBreak="0">
    <w:nsid w:val="28D36D92"/>
    <w:multiLevelType w:val="multilevel"/>
    <w:tmpl w:val="D98426A8"/>
    <w:lvl w:ilvl="0">
      <w:start w:val="2"/>
      <w:numFmt w:val="upperRoman"/>
      <w:lvlText w:val="%1."/>
      <w:lvlJc w:val="right"/>
      <w:pPr>
        <w:ind w:left="360" w:hanging="360"/>
      </w:pPr>
      <w:rPr>
        <w:rFonts w:hint="default"/>
        <w:b/>
        <w:color w:val="auto"/>
      </w:rPr>
    </w:lvl>
    <w:lvl w:ilvl="1">
      <w:start w:val="1"/>
      <w:numFmt w:val="decimal"/>
      <w:isLgl/>
      <w:lvlText w:val="%1.%2"/>
      <w:lvlJc w:val="left"/>
      <w:pPr>
        <w:ind w:left="36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6" w15:restartNumberingAfterBreak="0">
    <w:nsid w:val="292E025C"/>
    <w:multiLevelType w:val="hybridMultilevel"/>
    <w:tmpl w:val="B2248766"/>
    <w:lvl w:ilvl="0" w:tplc="C700CC4A">
      <w:numFmt w:val="bullet"/>
      <w:lvlText w:val=""/>
      <w:lvlJc w:val="left"/>
      <w:pPr>
        <w:ind w:left="750" w:hanging="360"/>
      </w:pPr>
      <w:rPr>
        <w:rFonts w:ascii="Symbol" w:eastAsiaTheme="minorHAnsi" w:hAnsi="Symbol" w:cstheme="minorBidi"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15:restartNumberingAfterBreak="0">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22391F"/>
    <w:multiLevelType w:val="multilevel"/>
    <w:tmpl w:val="1428BF4C"/>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ACB180A"/>
    <w:multiLevelType w:val="hybridMultilevel"/>
    <w:tmpl w:val="CAD25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065662"/>
    <w:multiLevelType w:val="hybridMultilevel"/>
    <w:tmpl w:val="49304134"/>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69905A8"/>
    <w:multiLevelType w:val="multilevel"/>
    <w:tmpl w:val="606EDE02"/>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b w:val="0"/>
        <w:i w:val="0"/>
        <w:color w:val="auto"/>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5" w15:restartNumberingAfterBreak="0">
    <w:nsid w:val="5C0747DB"/>
    <w:multiLevelType w:val="hybridMultilevel"/>
    <w:tmpl w:val="E130B1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DA472B"/>
    <w:multiLevelType w:val="multilevel"/>
    <w:tmpl w:val="72EE7700"/>
    <w:lvl w:ilvl="0">
      <w:start w:val="1"/>
      <w:numFmt w:val="upperRoman"/>
      <w:lvlText w:val="%1."/>
      <w:lvlJc w:val="right"/>
      <w:pPr>
        <w:ind w:left="360" w:hanging="360"/>
      </w:pPr>
      <w:rPr>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8" w15:restartNumberingAfterBreak="0">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F91350D"/>
    <w:multiLevelType w:val="multilevel"/>
    <w:tmpl w:val="C826F82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9"/>
  </w:num>
  <w:num w:numId="3">
    <w:abstractNumId w:val="12"/>
  </w:num>
  <w:num w:numId="4">
    <w:abstractNumId w:val="18"/>
  </w:num>
  <w:num w:numId="5">
    <w:abstractNumId w:val="17"/>
  </w:num>
  <w:num w:numId="6">
    <w:abstractNumId w:val="4"/>
  </w:num>
  <w:num w:numId="7">
    <w:abstractNumId w:val="6"/>
  </w:num>
  <w:num w:numId="8">
    <w:abstractNumId w:val="8"/>
  </w:num>
  <w:num w:numId="9">
    <w:abstractNumId w:val="15"/>
  </w:num>
  <w:num w:numId="10">
    <w:abstractNumId w:val="16"/>
  </w:num>
  <w:num w:numId="11">
    <w:abstractNumId w:val="2"/>
  </w:num>
  <w:num w:numId="12">
    <w:abstractNumId w:val="7"/>
  </w:num>
  <w:num w:numId="13">
    <w:abstractNumId w:val="13"/>
  </w:num>
  <w:num w:numId="14">
    <w:abstractNumId w:val="1"/>
  </w:num>
  <w:num w:numId="15">
    <w:abstractNumId w:val="0"/>
  </w:num>
  <w:num w:numId="16">
    <w:abstractNumId w:val="3"/>
  </w:num>
  <w:num w:numId="17">
    <w:abstractNumId w:val="14"/>
  </w:num>
  <w:num w:numId="18">
    <w:abstractNumId w:val="5"/>
  </w:num>
  <w:num w:numId="19">
    <w:abstractNumId w:val="10"/>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Formatting/>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11B"/>
    <w:rsid w:val="000144D6"/>
    <w:rsid w:val="00017B41"/>
    <w:rsid w:val="000269F9"/>
    <w:rsid w:val="00075F42"/>
    <w:rsid w:val="00086CFF"/>
    <w:rsid w:val="000C16F9"/>
    <w:rsid w:val="000D15D5"/>
    <w:rsid w:val="000F2091"/>
    <w:rsid w:val="000F39D2"/>
    <w:rsid w:val="00102DAE"/>
    <w:rsid w:val="00124040"/>
    <w:rsid w:val="001316E2"/>
    <w:rsid w:val="0016180C"/>
    <w:rsid w:val="0017216B"/>
    <w:rsid w:val="001968B7"/>
    <w:rsid w:val="001B2721"/>
    <w:rsid w:val="001C1143"/>
    <w:rsid w:val="001C18FD"/>
    <w:rsid w:val="001D3ECA"/>
    <w:rsid w:val="001E7981"/>
    <w:rsid w:val="001F41E2"/>
    <w:rsid w:val="001F7559"/>
    <w:rsid w:val="0020174E"/>
    <w:rsid w:val="00210317"/>
    <w:rsid w:val="002150E9"/>
    <w:rsid w:val="00225B5A"/>
    <w:rsid w:val="00231773"/>
    <w:rsid w:val="0023182E"/>
    <w:rsid w:val="0023302F"/>
    <w:rsid w:val="002340CB"/>
    <w:rsid w:val="00236249"/>
    <w:rsid w:val="00244A9D"/>
    <w:rsid w:val="0026716B"/>
    <w:rsid w:val="0028127C"/>
    <w:rsid w:val="00283316"/>
    <w:rsid w:val="002A561E"/>
    <w:rsid w:val="002B0301"/>
    <w:rsid w:val="002D4B50"/>
    <w:rsid w:val="00302426"/>
    <w:rsid w:val="00335B4C"/>
    <w:rsid w:val="00340BC1"/>
    <w:rsid w:val="00342587"/>
    <w:rsid w:val="00346E79"/>
    <w:rsid w:val="00347B87"/>
    <w:rsid w:val="00355449"/>
    <w:rsid w:val="003622D9"/>
    <w:rsid w:val="003835F0"/>
    <w:rsid w:val="00395A99"/>
    <w:rsid w:val="003D1E75"/>
    <w:rsid w:val="003D2892"/>
    <w:rsid w:val="003D609D"/>
    <w:rsid w:val="003F5F31"/>
    <w:rsid w:val="00416432"/>
    <w:rsid w:val="00417FB9"/>
    <w:rsid w:val="004311D4"/>
    <w:rsid w:val="00433246"/>
    <w:rsid w:val="0045509F"/>
    <w:rsid w:val="00466C7E"/>
    <w:rsid w:val="00482240"/>
    <w:rsid w:val="004905D7"/>
    <w:rsid w:val="004979FF"/>
    <w:rsid w:val="004D5823"/>
    <w:rsid w:val="004D7049"/>
    <w:rsid w:val="004E0EED"/>
    <w:rsid w:val="004E6638"/>
    <w:rsid w:val="004F386F"/>
    <w:rsid w:val="0050104A"/>
    <w:rsid w:val="00512024"/>
    <w:rsid w:val="005140D4"/>
    <w:rsid w:val="00520F58"/>
    <w:rsid w:val="00531E51"/>
    <w:rsid w:val="005358DE"/>
    <w:rsid w:val="005364CE"/>
    <w:rsid w:val="00544613"/>
    <w:rsid w:val="00555B9A"/>
    <w:rsid w:val="0058137A"/>
    <w:rsid w:val="005833C9"/>
    <w:rsid w:val="00590599"/>
    <w:rsid w:val="005913C3"/>
    <w:rsid w:val="005A1056"/>
    <w:rsid w:val="005D330B"/>
    <w:rsid w:val="005D7056"/>
    <w:rsid w:val="0062725A"/>
    <w:rsid w:val="00641ED4"/>
    <w:rsid w:val="00675E7A"/>
    <w:rsid w:val="006A1798"/>
    <w:rsid w:val="006C6059"/>
    <w:rsid w:val="00702A56"/>
    <w:rsid w:val="00725899"/>
    <w:rsid w:val="00746260"/>
    <w:rsid w:val="007830D3"/>
    <w:rsid w:val="00797C03"/>
    <w:rsid w:val="007B0420"/>
    <w:rsid w:val="007B500B"/>
    <w:rsid w:val="007B6B61"/>
    <w:rsid w:val="007B7359"/>
    <w:rsid w:val="007C3374"/>
    <w:rsid w:val="007C6B4B"/>
    <w:rsid w:val="00801D9C"/>
    <w:rsid w:val="008052A0"/>
    <w:rsid w:val="00807C07"/>
    <w:rsid w:val="00814353"/>
    <w:rsid w:val="00833D18"/>
    <w:rsid w:val="00841608"/>
    <w:rsid w:val="00857669"/>
    <w:rsid w:val="00865A6F"/>
    <w:rsid w:val="0087190C"/>
    <w:rsid w:val="008739E3"/>
    <w:rsid w:val="008813B9"/>
    <w:rsid w:val="008902BA"/>
    <w:rsid w:val="008A6D87"/>
    <w:rsid w:val="008F4286"/>
    <w:rsid w:val="0091508A"/>
    <w:rsid w:val="00915206"/>
    <w:rsid w:val="00925C27"/>
    <w:rsid w:val="00933A84"/>
    <w:rsid w:val="00944D7A"/>
    <w:rsid w:val="0095122E"/>
    <w:rsid w:val="00953879"/>
    <w:rsid w:val="0095711B"/>
    <w:rsid w:val="009813B8"/>
    <w:rsid w:val="009823EB"/>
    <w:rsid w:val="009C5C06"/>
    <w:rsid w:val="009F33FF"/>
    <w:rsid w:val="009F3CA2"/>
    <w:rsid w:val="00A067E6"/>
    <w:rsid w:val="00A10CD5"/>
    <w:rsid w:val="00A12C27"/>
    <w:rsid w:val="00A139E6"/>
    <w:rsid w:val="00A13EE1"/>
    <w:rsid w:val="00A20379"/>
    <w:rsid w:val="00A2474F"/>
    <w:rsid w:val="00A34490"/>
    <w:rsid w:val="00A357F7"/>
    <w:rsid w:val="00A37C9C"/>
    <w:rsid w:val="00A4475E"/>
    <w:rsid w:val="00A452A4"/>
    <w:rsid w:val="00A550B0"/>
    <w:rsid w:val="00A57185"/>
    <w:rsid w:val="00A876E7"/>
    <w:rsid w:val="00A9761C"/>
    <w:rsid w:val="00AA1424"/>
    <w:rsid w:val="00AC081B"/>
    <w:rsid w:val="00AD3653"/>
    <w:rsid w:val="00AE4812"/>
    <w:rsid w:val="00AF2F55"/>
    <w:rsid w:val="00AF5C75"/>
    <w:rsid w:val="00B13125"/>
    <w:rsid w:val="00B307EC"/>
    <w:rsid w:val="00B33130"/>
    <w:rsid w:val="00B347ED"/>
    <w:rsid w:val="00B50AC9"/>
    <w:rsid w:val="00B56CDC"/>
    <w:rsid w:val="00BB2778"/>
    <w:rsid w:val="00BB5D42"/>
    <w:rsid w:val="00BB612A"/>
    <w:rsid w:val="00BC29E8"/>
    <w:rsid w:val="00C17AAA"/>
    <w:rsid w:val="00C3492D"/>
    <w:rsid w:val="00C4354B"/>
    <w:rsid w:val="00C43E24"/>
    <w:rsid w:val="00C5184A"/>
    <w:rsid w:val="00C5730B"/>
    <w:rsid w:val="00C760EB"/>
    <w:rsid w:val="00C91CB1"/>
    <w:rsid w:val="00CC0539"/>
    <w:rsid w:val="00CC716E"/>
    <w:rsid w:val="00CD109E"/>
    <w:rsid w:val="00CE0643"/>
    <w:rsid w:val="00CE4BFA"/>
    <w:rsid w:val="00D07EB4"/>
    <w:rsid w:val="00D14F1C"/>
    <w:rsid w:val="00D2491C"/>
    <w:rsid w:val="00D50351"/>
    <w:rsid w:val="00D55EA9"/>
    <w:rsid w:val="00D707BB"/>
    <w:rsid w:val="00D93016"/>
    <w:rsid w:val="00D9475D"/>
    <w:rsid w:val="00D95606"/>
    <w:rsid w:val="00D97FAD"/>
    <w:rsid w:val="00DA0911"/>
    <w:rsid w:val="00DA0A39"/>
    <w:rsid w:val="00DA18A5"/>
    <w:rsid w:val="00DC16F5"/>
    <w:rsid w:val="00DC1E68"/>
    <w:rsid w:val="00DD4AF3"/>
    <w:rsid w:val="00DD5ABA"/>
    <w:rsid w:val="00DF475D"/>
    <w:rsid w:val="00E20EBD"/>
    <w:rsid w:val="00E33333"/>
    <w:rsid w:val="00E46A59"/>
    <w:rsid w:val="00E52408"/>
    <w:rsid w:val="00E5259A"/>
    <w:rsid w:val="00E65098"/>
    <w:rsid w:val="00E65C08"/>
    <w:rsid w:val="00E6675A"/>
    <w:rsid w:val="00E75CB3"/>
    <w:rsid w:val="00EA3919"/>
    <w:rsid w:val="00EB01EA"/>
    <w:rsid w:val="00EB435F"/>
    <w:rsid w:val="00EC4075"/>
    <w:rsid w:val="00ED70D1"/>
    <w:rsid w:val="00EE0122"/>
    <w:rsid w:val="00EF41CE"/>
    <w:rsid w:val="00F00960"/>
    <w:rsid w:val="00F16677"/>
    <w:rsid w:val="00F30073"/>
    <w:rsid w:val="00F373D0"/>
    <w:rsid w:val="00F41A0F"/>
    <w:rsid w:val="00F455F8"/>
    <w:rsid w:val="00F50742"/>
    <w:rsid w:val="00F6363D"/>
    <w:rsid w:val="00F72899"/>
    <w:rsid w:val="00F774A5"/>
    <w:rsid w:val="00F837EB"/>
    <w:rsid w:val="00F867A1"/>
    <w:rsid w:val="00F93AA3"/>
    <w:rsid w:val="00FA4A1D"/>
    <w:rsid w:val="00FA6D54"/>
    <w:rsid w:val="00FE14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12173"/>
  <w15:docId w15:val="{4E5E1BF8-1177-463A-8F14-680F76A10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semiHidden/>
    <w:unhideWhenUsed/>
    <w:rsid w:val="00A13EE1"/>
    <w:pPr>
      <w:spacing w:line="240" w:lineRule="auto"/>
    </w:pPr>
    <w:rPr>
      <w:sz w:val="20"/>
      <w:szCs w:val="20"/>
    </w:rPr>
  </w:style>
  <w:style w:type="character" w:customStyle="1" w:styleId="CommentTextChar">
    <w:name w:val="Comment Text Char"/>
    <w:basedOn w:val="DefaultParagraphFont"/>
    <w:link w:val="CommentText"/>
    <w:uiPriority w:val="99"/>
    <w:semiHidden/>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customStyle="1" w:styleId="CommentSubjectChar">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rsid w:val="0023182E"/>
  </w:style>
  <w:style w:type="character" w:styleId="Hyperlink">
    <w:name w:val="Hyperlink"/>
    <w:basedOn w:val="DefaultParagraphFont"/>
    <w:uiPriority w:val="99"/>
    <w:unhideWhenUsed/>
    <w:rsid w:val="00DA0A39"/>
    <w:rPr>
      <w:color w:val="0000FF" w:themeColor="hyperlink"/>
      <w:u w:val="single"/>
    </w:rPr>
  </w:style>
  <w:style w:type="paragraph" w:styleId="FootnoteText">
    <w:name w:val="footnote text"/>
    <w:aliases w:val="fn,ft,footnote,texto de nota al pie,Texto nota pie Car Car Car Car Car Car Car Car,Texto nota pie Car Car Car,Footnote Text Char Char Char Char Char Char,Texto nota pie Car Car Car Car Car,Texto nota pie Car1,Texto nota pie Car Car,Texto"/>
    <w:basedOn w:val="Normal"/>
    <w:link w:val="FootnoteTextChar"/>
    <w:unhideWhenUsed/>
    <w:qFormat/>
    <w:rsid w:val="00D50351"/>
    <w:pPr>
      <w:spacing w:after="0" w:line="240" w:lineRule="auto"/>
    </w:pPr>
    <w:rPr>
      <w:sz w:val="20"/>
      <w:szCs w:val="20"/>
    </w:rPr>
  </w:style>
  <w:style w:type="character" w:customStyle="1" w:styleId="FootnoteTextChar">
    <w:name w:val="Footnote Text Char"/>
    <w:aliases w:val="fn Char,ft Char,footnote Char,texto de nota al pie Char,Texto nota pie Car Car Car Car Car Car Car Car Char,Texto nota pie Car Car Car Char,Footnote Text Char Char Char Char Char Char Char,Texto nota pie Car Car Car Car Car Char"/>
    <w:basedOn w:val="DefaultParagraphFont"/>
    <w:link w:val="FootnoteText"/>
    <w:rsid w:val="00D50351"/>
    <w:rPr>
      <w:sz w:val="20"/>
      <w:szCs w:val="20"/>
    </w:rPr>
  </w:style>
  <w:style w:type="character" w:styleId="FootnoteReference">
    <w:name w:val="footnote reference"/>
    <w:aliases w:val="Stinking Styles11,titulo 2,FC,referencia nota al pie,Texto de nota al pie,Footnote symbol,Footnote,BVI fnr,ftref,16 Point,Superscript 6 Point,Ref,de nota al pie,Style 24,pie pddes,Footnote Reference.SES,Fußnotenzeichen DISS,fr,SUPERS"/>
    <w:basedOn w:val="DefaultParagraphFont"/>
    <w:unhideWhenUsed/>
    <w:qFormat/>
    <w:rsid w:val="00D50351"/>
    <w:rPr>
      <w:vertAlign w:val="superscript"/>
    </w:rPr>
  </w:style>
  <w:style w:type="paragraph" w:customStyle="1" w:styleId="Chapter">
    <w:name w:val="Chapter"/>
    <w:basedOn w:val="Normal"/>
    <w:next w:val="Normal"/>
    <w:rsid w:val="00D50351"/>
    <w:pPr>
      <w:numPr>
        <w:numId w:val="17"/>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qFormat/>
    <w:rsid w:val="00D50351"/>
    <w:pPr>
      <w:numPr>
        <w:ilvl w:val="1"/>
        <w:numId w:val="17"/>
      </w:numPr>
      <w:tabs>
        <w:tab w:val="clear" w:pos="2448"/>
        <w:tab w:val="num" w:pos="360"/>
      </w:tabs>
      <w:spacing w:before="120" w:line="240" w:lineRule="auto"/>
      <w:ind w:left="360" w:firstLine="0"/>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rsid w:val="00D50351"/>
    <w:pPr>
      <w:numPr>
        <w:ilvl w:val="2"/>
        <w:numId w:val="17"/>
      </w:numPr>
      <w:tabs>
        <w:tab w:val="clear" w:pos="2304"/>
        <w:tab w:val="num" w:pos="360"/>
      </w:tabs>
      <w:spacing w:before="120" w:line="240" w:lineRule="auto"/>
      <w:ind w:left="864" w:hanging="72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rsid w:val="00D50351"/>
    <w:pPr>
      <w:numPr>
        <w:ilvl w:val="3"/>
      </w:numPr>
      <w:tabs>
        <w:tab w:val="clear" w:pos="2736"/>
        <w:tab w:val="left" w:pos="0"/>
        <w:tab w:val="num" w:pos="360"/>
        <w:tab w:val="num" w:pos="1296"/>
      </w:tabs>
      <w:ind w:left="1296" w:hanging="720"/>
    </w:pPr>
  </w:style>
  <w:style w:type="paragraph" w:styleId="BodyTextIndent">
    <w:name w:val="Body Text Indent"/>
    <w:basedOn w:val="Normal"/>
    <w:link w:val="BodyTextIndentChar"/>
    <w:uiPriority w:val="99"/>
    <w:semiHidden/>
    <w:unhideWhenUsed/>
    <w:rsid w:val="00D50351"/>
    <w:pPr>
      <w:spacing w:after="120"/>
      <w:ind w:left="360"/>
    </w:pPr>
  </w:style>
  <w:style w:type="character" w:customStyle="1" w:styleId="BodyTextIndentChar">
    <w:name w:val="Body Text Indent Char"/>
    <w:basedOn w:val="DefaultParagraphFont"/>
    <w:link w:val="BodyTextIndent"/>
    <w:uiPriority w:val="99"/>
    <w:semiHidden/>
    <w:rsid w:val="00D50351"/>
  </w:style>
  <w:style w:type="paragraph" w:styleId="BodyTextIndent3">
    <w:name w:val="Body Text Indent 3"/>
    <w:basedOn w:val="Normal"/>
    <w:link w:val="BodyTextIndent3Char"/>
    <w:uiPriority w:val="99"/>
    <w:semiHidden/>
    <w:unhideWhenUsed/>
    <w:rsid w:val="00D5035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50351"/>
    <w:rPr>
      <w:sz w:val="16"/>
      <w:szCs w:val="16"/>
    </w:rPr>
  </w:style>
  <w:style w:type="character" w:customStyle="1" w:styleId="ListParagraphChar">
    <w:name w:val="List Paragraph Char"/>
    <w:basedOn w:val="DefaultParagraphFont"/>
    <w:link w:val="ListParagraph"/>
    <w:uiPriority w:val="34"/>
    <w:locked/>
    <w:rsid w:val="00D50351"/>
  </w:style>
  <w:style w:type="character" w:styleId="FollowedHyperlink">
    <w:name w:val="FollowedHyperlink"/>
    <w:basedOn w:val="DefaultParagraphFont"/>
    <w:uiPriority w:val="99"/>
    <w:semiHidden/>
    <w:unhideWhenUsed/>
    <w:rsid w:val="000144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0627084">
      <w:bodyDiv w:val="1"/>
      <w:marLeft w:val="0"/>
      <w:marRight w:val="0"/>
      <w:marTop w:val="0"/>
      <w:marBottom w:val="0"/>
      <w:divBdr>
        <w:top w:val="none" w:sz="0" w:space="0" w:color="auto"/>
        <w:left w:val="none" w:sz="0" w:space="0" w:color="auto"/>
        <w:bottom w:val="none" w:sz="0" w:space="0" w:color="auto"/>
        <w:right w:val="none" w:sz="0" w:space="0" w:color="auto"/>
      </w:divBdr>
    </w:div>
    <w:div w:id="590699546">
      <w:bodyDiv w:val="1"/>
      <w:marLeft w:val="0"/>
      <w:marRight w:val="0"/>
      <w:marTop w:val="0"/>
      <w:marBottom w:val="0"/>
      <w:divBdr>
        <w:top w:val="none" w:sz="0" w:space="0" w:color="auto"/>
        <w:left w:val="none" w:sz="0" w:space="0" w:color="auto"/>
        <w:bottom w:val="none" w:sz="0" w:space="0" w:color="auto"/>
        <w:right w:val="none" w:sz="0" w:space="0" w:color="auto"/>
      </w:divBdr>
    </w:div>
    <w:div w:id="605309512">
      <w:bodyDiv w:val="1"/>
      <w:marLeft w:val="0"/>
      <w:marRight w:val="0"/>
      <w:marTop w:val="0"/>
      <w:marBottom w:val="0"/>
      <w:divBdr>
        <w:top w:val="none" w:sz="0" w:space="0" w:color="auto"/>
        <w:left w:val="none" w:sz="0" w:space="0" w:color="auto"/>
        <w:bottom w:val="none" w:sz="0" w:space="0" w:color="auto"/>
        <w:right w:val="none" w:sz="0" w:space="0" w:color="auto"/>
      </w:divBdr>
    </w:div>
    <w:div w:id="1560167570">
      <w:bodyDiv w:val="1"/>
      <w:marLeft w:val="0"/>
      <w:marRight w:val="0"/>
      <w:marTop w:val="0"/>
      <w:marBottom w:val="0"/>
      <w:divBdr>
        <w:top w:val="none" w:sz="0" w:space="0" w:color="auto"/>
        <w:left w:val="none" w:sz="0" w:space="0" w:color="auto"/>
        <w:bottom w:val="none" w:sz="0" w:space="0" w:color="auto"/>
        <w:right w:val="none" w:sz="0" w:space="0" w:color="auto"/>
      </w:divBdr>
      <w:divsChild>
        <w:div w:id="1104231864">
          <w:marLeft w:val="0"/>
          <w:marRight w:val="0"/>
          <w:marTop w:val="0"/>
          <w:marBottom w:val="0"/>
          <w:divBdr>
            <w:top w:val="none" w:sz="0" w:space="0" w:color="auto"/>
            <w:left w:val="none" w:sz="0" w:space="0" w:color="auto"/>
            <w:bottom w:val="none" w:sz="0" w:space="0" w:color="auto"/>
            <w:right w:val="none" w:sz="0" w:space="0" w:color="auto"/>
          </w:divBdr>
          <w:divsChild>
            <w:div w:id="1858615185">
              <w:marLeft w:val="0"/>
              <w:marRight w:val="0"/>
              <w:marTop w:val="0"/>
              <w:marBottom w:val="0"/>
              <w:divBdr>
                <w:top w:val="none" w:sz="0" w:space="0" w:color="auto"/>
                <w:left w:val="none" w:sz="0" w:space="0" w:color="auto"/>
                <w:bottom w:val="none" w:sz="0" w:space="0" w:color="auto"/>
                <w:right w:val="none" w:sz="0" w:space="0" w:color="auto"/>
              </w:divBdr>
              <w:divsChild>
                <w:div w:id="1709796132">
                  <w:marLeft w:val="0"/>
                  <w:marRight w:val="0"/>
                  <w:marTop w:val="0"/>
                  <w:marBottom w:val="0"/>
                  <w:divBdr>
                    <w:top w:val="none" w:sz="0" w:space="0" w:color="auto"/>
                    <w:left w:val="none" w:sz="0" w:space="0" w:color="auto"/>
                    <w:bottom w:val="none" w:sz="0" w:space="0" w:color="auto"/>
                    <w:right w:val="none" w:sz="0" w:space="0" w:color="auto"/>
                  </w:divBdr>
                  <w:divsChild>
                    <w:div w:id="655840778">
                      <w:marLeft w:val="0"/>
                      <w:marRight w:val="0"/>
                      <w:marTop w:val="0"/>
                      <w:marBottom w:val="0"/>
                      <w:divBdr>
                        <w:top w:val="none" w:sz="0" w:space="0" w:color="auto"/>
                        <w:left w:val="none" w:sz="0" w:space="0" w:color="auto"/>
                        <w:bottom w:val="none" w:sz="0" w:space="0" w:color="auto"/>
                        <w:right w:val="none" w:sz="0" w:space="0" w:color="auto"/>
                      </w:divBdr>
                      <w:divsChild>
                        <w:div w:id="173350038">
                          <w:marLeft w:val="0"/>
                          <w:marRight w:val="0"/>
                          <w:marTop w:val="0"/>
                          <w:marBottom w:val="0"/>
                          <w:divBdr>
                            <w:top w:val="none" w:sz="0" w:space="0" w:color="auto"/>
                            <w:left w:val="none" w:sz="0" w:space="0" w:color="auto"/>
                            <w:bottom w:val="none" w:sz="0" w:space="0" w:color="auto"/>
                            <w:right w:val="none" w:sz="0" w:space="0" w:color="auto"/>
                          </w:divBdr>
                          <w:divsChild>
                            <w:div w:id="556092188">
                              <w:marLeft w:val="0"/>
                              <w:marRight w:val="0"/>
                              <w:marTop w:val="0"/>
                              <w:marBottom w:val="0"/>
                              <w:divBdr>
                                <w:top w:val="none" w:sz="0" w:space="0" w:color="auto"/>
                                <w:left w:val="none" w:sz="0" w:space="0" w:color="auto"/>
                                <w:bottom w:val="none" w:sz="0" w:space="0" w:color="auto"/>
                                <w:right w:val="none" w:sz="0" w:space="0" w:color="auto"/>
                              </w:divBdr>
                              <w:divsChild>
                                <w:div w:id="1455520701">
                                  <w:marLeft w:val="0"/>
                                  <w:marRight w:val="0"/>
                                  <w:marTop w:val="0"/>
                                  <w:marBottom w:val="0"/>
                                  <w:divBdr>
                                    <w:top w:val="none" w:sz="0" w:space="0" w:color="auto"/>
                                    <w:left w:val="none" w:sz="0" w:space="0" w:color="auto"/>
                                    <w:bottom w:val="none" w:sz="0" w:space="0" w:color="auto"/>
                                    <w:right w:val="none" w:sz="0" w:space="0" w:color="auto"/>
                                  </w:divBdr>
                                  <w:divsChild>
                                    <w:div w:id="1685747993">
                                      <w:marLeft w:val="0"/>
                                      <w:marRight w:val="0"/>
                                      <w:marTop w:val="0"/>
                                      <w:marBottom w:val="0"/>
                                      <w:divBdr>
                                        <w:top w:val="single" w:sz="6" w:space="0" w:color="F5F5F5"/>
                                        <w:left w:val="single" w:sz="6" w:space="0" w:color="F5F5F5"/>
                                        <w:bottom w:val="single" w:sz="6" w:space="0" w:color="F5F5F5"/>
                                        <w:right w:val="single" w:sz="6" w:space="0" w:color="F5F5F5"/>
                                      </w:divBdr>
                                      <w:divsChild>
                                        <w:div w:id="1503815793">
                                          <w:marLeft w:val="0"/>
                                          <w:marRight w:val="0"/>
                                          <w:marTop w:val="0"/>
                                          <w:marBottom w:val="0"/>
                                          <w:divBdr>
                                            <w:top w:val="none" w:sz="0" w:space="0" w:color="auto"/>
                                            <w:left w:val="none" w:sz="0" w:space="0" w:color="auto"/>
                                            <w:bottom w:val="none" w:sz="0" w:space="0" w:color="auto"/>
                                            <w:right w:val="none" w:sz="0" w:space="0" w:color="auto"/>
                                          </w:divBdr>
                                          <w:divsChild>
                                            <w:div w:id="122506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6323899">
      <w:bodyDiv w:val="1"/>
      <w:marLeft w:val="0"/>
      <w:marRight w:val="0"/>
      <w:marTop w:val="0"/>
      <w:marBottom w:val="0"/>
      <w:divBdr>
        <w:top w:val="none" w:sz="0" w:space="0" w:color="auto"/>
        <w:left w:val="none" w:sz="0" w:space="0" w:color="auto"/>
        <w:bottom w:val="none" w:sz="0" w:space="0" w:color="auto"/>
        <w:right w:val="none" w:sz="0" w:space="0" w:color="auto"/>
      </w:divBdr>
      <w:divsChild>
        <w:div w:id="50230663">
          <w:marLeft w:val="0"/>
          <w:marRight w:val="0"/>
          <w:marTop w:val="0"/>
          <w:marBottom w:val="0"/>
          <w:divBdr>
            <w:top w:val="none" w:sz="0" w:space="0" w:color="auto"/>
            <w:left w:val="none" w:sz="0" w:space="0" w:color="auto"/>
            <w:bottom w:val="none" w:sz="0" w:space="0" w:color="auto"/>
            <w:right w:val="none" w:sz="0" w:space="0" w:color="auto"/>
          </w:divBdr>
          <w:divsChild>
            <w:div w:id="35860597">
              <w:marLeft w:val="0"/>
              <w:marRight w:val="0"/>
              <w:marTop w:val="0"/>
              <w:marBottom w:val="0"/>
              <w:divBdr>
                <w:top w:val="none" w:sz="0" w:space="0" w:color="auto"/>
                <w:left w:val="none" w:sz="0" w:space="0" w:color="auto"/>
                <w:bottom w:val="none" w:sz="0" w:space="0" w:color="auto"/>
                <w:right w:val="none" w:sz="0" w:space="0" w:color="auto"/>
              </w:divBdr>
              <w:divsChild>
                <w:div w:id="33240882">
                  <w:marLeft w:val="0"/>
                  <w:marRight w:val="0"/>
                  <w:marTop w:val="0"/>
                  <w:marBottom w:val="0"/>
                  <w:divBdr>
                    <w:top w:val="none" w:sz="0" w:space="0" w:color="auto"/>
                    <w:left w:val="none" w:sz="0" w:space="0" w:color="auto"/>
                    <w:bottom w:val="none" w:sz="0" w:space="0" w:color="auto"/>
                    <w:right w:val="none" w:sz="0" w:space="0" w:color="auto"/>
                  </w:divBdr>
                  <w:divsChild>
                    <w:div w:id="1862938260">
                      <w:marLeft w:val="0"/>
                      <w:marRight w:val="0"/>
                      <w:marTop w:val="0"/>
                      <w:marBottom w:val="0"/>
                      <w:divBdr>
                        <w:top w:val="none" w:sz="0" w:space="0" w:color="auto"/>
                        <w:left w:val="none" w:sz="0" w:space="0" w:color="auto"/>
                        <w:bottom w:val="none" w:sz="0" w:space="0" w:color="auto"/>
                        <w:right w:val="none" w:sz="0" w:space="0" w:color="auto"/>
                      </w:divBdr>
                      <w:divsChild>
                        <w:div w:id="223373652">
                          <w:marLeft w:val="0"/>
                          <w:marRight w:val="0"/>
                          <w:marTop w:val="0"/>
                          <w:marBottom w:val="0"/>
                          <w:divBdr>
                            <w:top w:val="none" w:sz="0" w:space="0" w:color="auto"/>
                            <w:left w:val="none" w:sz="0" w:space="0" w:color="auto"/>
                            <w:bottom w:val="none" w:sz="0" w:space="0" w:color="auto"/>
                            <w:right w:val="none" w:sz="0" w:space="0" w:color="auto"/>
                          </w:divBdr>
                          <w:divsChild>
                            <w:div w:id="2139445057">
                              <w:marLeft w:val="0"/>
                              <w:marRight w:val="0"/>
                              <w:marTop w:val="0"/>
                              <w:marBottom w:val="0"/>
                              <w:divBdr>
                                <w:top w:val="none" w:sz="0" w:space="0" w:color="auto"/>
                                <w:left w:val="none" w:sz="0" w:space="0" w:color="auto"/>
                                <w:bottom w:val="none" w:sz="0" w:space="0" w:color="auto"/>
                                <w:right w:val="none" w:sz="0" w:space="0" w:color="auto"/>
                              </w:divBdr>
                              <w:divsChild>
                                <w:div w:id="2048329628">
                                  <w:marLeft w:val="0"/>
                                  <w:marRight w:val="0"/>
                                  <w:marTop w:val="0"/>
                                  <w:marBottom w:val="0"/>
                                  <w:divBdr>
                                    <w:top w:val="none" w:sz="0" w:space="0" w:color="auto"/>
                                    <w:left w:val="none" w:sz="0" w:space="0" w:color="auto"/>
                                    <w:bottom w:val="none" w:sz="0" w:space="0" w:color="auto"/>
                                    <w:right w:val="none" w:sz="0" w:space="0" w:color="auto"/>
                                  </w:divBdr>
                                  <w:divsChild>
                                    <w:div w:id="1491797356">
                                      <w:marLeft w:val="0"/>
                                      <w:marRight w:val="0"/>
                                      <w:marTop w:val="0"/>
                                      <w:marBottom w:val="0"/>
                                      <w:divBdr>
                                        <w:top w:val="single" w:sz="6" w:space="0" w:color="F5F5F5"/>
                                        <w:left w:val="single" w:sz="6" w:space="0" w:color="F5F5F5"/>
                                        <w:bottom w:val="single" w:sz="6" w:space="0" w:color="F5F5F5"/>
                                        <w:right w:val="single" w:sz="6" w:space="0" w:color="F5F5F5"/>
                                      </w:divBdr>
                                      <w:divsChild>
                                        <w:div w:id="642463900">
                                          <w:marLeft w:val="0"/>
                                          <w:marRight w:val="0"/>
                                          <w:marTop w:val="0"/>
                                          <w:marBottom w:val="0"/>
                                          <w:divBdr>
                                            <w:top w:val="none" w:sz="0" w:space="0" w:color="auto"/>
                                            <w:left w:val="none" w:sz="0" w:space="0" w:color="auto"/>
                                            <w:bottom w:val="none" w:sz="0" w:space="0" w:color="auto"/>
                                            <w:right w:val="none" w:sz="0" w:space="0" w:color="auto"/>
                                          </w:divBdr>
                                          <w:divsChild>
                                            <w:div w:id="1108543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53231941">
      <w:bodyDiv w:val="1"/>
      <w:marLeft w:val="0"/>
      <w:marRight w:val="0"/>
      <w:marTop w:val="0"/>
      <w:marBottom w:val="0"/>
      <w:divBdr>
        <w:top w:val="none" w:sz="0" w:space="0" w:color="auto"/>
        <w:left w:val="none" w:sz="0" w:space="0" w:color="auto"/>
        <w:bottom w:val="none" w:sz="0" w:space="0" w:color="auto"/>
        <w:right w:val="none" w:sz="0" w:space="0" w:color="auto"/>
      </w:divBdr>
      <w:divsChild>
        <w:div w:id="1339429995">
          <w:marLeft w:val="0"/>
          <w:marRight w:val="0"/>
          <w:marTop w:val="0"/>
          <w:marBottom w:val="0"/>
          <w:divBdr>
            <w:top w:val="none" w:sz="0" w:space="0" w:color="auto"/>
            <w:left w:val="none" w:sz="0" w:space="0" w:color="auto"/>
            <w:bottom w:val="none" w:sz="0" w:space="0" w:color="auto"/>
            <w:right w:val="none" w:sz="0" w:space="0" w:color="auto"/>
          </w:divBdr>
          <w:divsChild>
            <w:div w:id="526069355">
              <w:marLeft w:val="0"/>
              <w:marRight w:val="0"/>
              <w:marTop w:val="0"/>
              <w:marBottom w:val="0"/>
              <w:divBdr>
                <w:top w:val="none" w:sz="0" w:space="0" w:color="auto"/>
                <w:left w:val="none" w:sz="0" w:space="0" w:color="auto"/>
                <w:bottom w:val="none" w:sz="0" w:space="0" w:color="auto"/>
                <w:right w:val="none" w:sz="0" w:space="0" w:color="auto"/>
              </w:divBdr>
              <w:divsChild>
                <w:div w:id="1417284453">
                  <w:marLeft w:val="0"/>
                  <w:marRight w:val="0"/>
                  <w:marTop w:val="0"/>
                  <w:marBottom w:val="0"/>
                  <w:divBdr>
                    <w:top w:val="none" w:sz="0" w:space="0" w:color="auto"/>
                    <w:left w:val="none" w:sz="0" w:space="0" w:color="auto"/>
                    <w:bottom w:val="none" w:sz="0" w:space="0" w:color="auto"/>
                    <w:right w:val="none" w:sz="0" w:space="0" w:color="auto"/>
                  </w:divBdr>
                  <w:divsChild>
                    <w:div w:id="2001880685">
                      <w:marLeft w:val="0"/>
                      <w:marRight w:val="0"/>
                      <w:marTop w:val="0"/>
                      <w:marBottom w:val="0"/>
                      <w:divBdr>
                        <w:top w:val="none" w:sz="0" w:space="0" w:color="auto"/>
                        <w:left w:val="none" w:sz="0" w:space="0" w:color="auto"/>
                        <w:bottom w:val="none" w:sz="0" w:space="0" w:color="auto"/>
                        <w:right w:val="none" w:sz="0" w:space="0" w:color="auto"/>
                      </w:divBdr>
                      <w:divsChild>
                        <w:div w:id="1186485974">
                          <w:marLeft w:val="0"/>
                          <w:marRight w:val="0"/>
                          <w:marTop w:val="0"/>
                          <w:marBottom w:val="0"/>
                          <w:divBdr>
                            <w:top w:val="none" w:sz="0" w:space="0" w:color="auto"/>
                            <w:left w:val="none" w:sz="0" w:space="0" w:color="auto"/>
                            <w:bottom w:val="none" w:sz="0" w:space="0" w:color="auto"/>
                            <w:right w:val="none" w:sz="0" w:space="0" w:color="auto"/>
                          </w:divBdr>
                          <w:divsChild>
                            <w:div w:id="1841002369">
                              <w:marLeft w:val="0"/>
                              <w:marRight w:val="0"/>
                              <w:marTop w:val="0"/>
                              <w:marBottom w:val="0"/>
                              <w:divBdr>
                                <w:top w:val="none" w:sz="0" w:space="0" w:color="auto"/>
                                <w:left w:val="none" w:sz="0" w:space="0" w:color="auto"/>
                                <w:bottom w:val="none" w:sz="0" w:space="0" w:color="auto"/>
                                <w:right w:val="none" w:sz="0" w:space="0" w:color="auto"/>
                              </w:divBdr>
                              <w:divsChild>
                                <w:div w:id="1761171668">
                                  <w:marLeft w:val="0"/>
                                  <w:marRight w:val="0"/>
                                  <w:marTop w:val="0"/>
                                  <w:marBottom w:val="0"/>
                                  <w:divBdr>
                                    <w:top w:val="none" w:sz="0" w:space="0" w:color="auto"/>
                                    <w:left w:val="none" w:sz="0" w:space="0" w:color="auto"/>
                                    <w:bottom w:val="none" w:sz="0" w:space="0" w:color="auto"/>
                                    <w:right w:val="none" w:sz="0" w:space="0" w:color="auto"/>
                                  </w:divBdr>
                                  <w:divsChild>
                                    <w:div w:id="1250237194">
                                      <w:marLeft w:val="0"/>
                                      <w:marRight w:val="0"/>
                                      <w:marTop w:val="0"/>
                                      <w:marBottom w:val="0"/>
                                      <w:divBdr>
                                        <w:top w:val="single" w:sz="6" w:space="0" w:color="F5F5F5"/>
                                        <w:left w:val="single" w:sz="6" w:space="0" w:color="F5F5F5"/>
                                        <w:bottom w:val="single" w:sz="6" w:space="0" w:color="F5F5F5"/>
                                        <w:right w:val="single" w:sz="6" w:space="0" w:color="F5F5F5"/>
                                      </w:divBdr>
                                      <w:divsChild>
                                        <w:div w:id="1520971885">
                                          <w:marLeft w:val="0"/>
                                          <w:marRight w:val="0"/>
                                          <w:marTop w:val="0"/>
                                          <w:marBottom w:val="0"/>
                                          <w:divBdr>
                                            <w:top w:val="none" w:sz="0" w:space="0" w:color="auto"/>
                                            <w:left w:val="none" w:sz="0" w:space="0" w:color="auto"/>
                                            <w:bottom w:val="none" w:sz="0" w:space="0" w:color="auto"/>
                                            <w:right w:val="none" w:sz="0" w:space="0" w:color="auto"/>
                                          </w:divBdr>
                                          <w:divsChild>
                                            <w:div w:id="185991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anuelu@iadb.org" TargetMode="External"/><Relationship Id="rId13" Type="http://schemas.openxmlformats.org/officeDocument/2006/relationships/hyperlink" Target="https://idbg.sharepoint.com/teams/EZ-PE-TCP/PE-T1366/_layouts/15/DocIdRedir.aspx?ID=EZSHARE-539030036-2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dbg.sharepoint.com/teams/EZ-PE-TCP/PE-T1366/_layouts/15/DocIdRedir.aspx?ID=EZSHARE-539030036-25"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dbg.sharepoint.com/teams/EZ-PE-TCP/PE-T1366/_layouts/15/DocIdRedir.aspx?ID=EZSHARE-539030036-10" TargetMode="External"/><Relationship Id="rId5" Type="http://schemas.openxmlformats.org/officeDocument/2006/relationships/webSettings" Target="webSettings.xml"/><Relationship Id="rId15" Type="http://schemas.openxmlformats.org/officeDocument/2006/relationships/hyperlink" Target="https://idbg.sharepoint.com/teams/EZ-PE-TCP/PE-T1366/_layouts/15/DocIdRedir.aspx?ID=EZSHARE-539030036-28" TargetMode="External"/><Relationship Id="rId10" Type="http://schemas.openxmlformats.org/officeDocument/2006/relationships/hyperlink" Target="https://idbg.sharepoint.com/teams/EZ-PE-TCP/PE-T1366/_layouts/15/DocIdRedir.aspx?ID=EZSHARE-539030036-1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avidro@iadb.org" TargetMode="External"/><Relationship Id="rId14" Type="http://schemas.openxmlformats.org/officeDocument/2006/relationships/hyperlink" Target="https://idbg.sharepoint.com/teams/EZ-PE-TCP/PE-T1366/_layouts/15/DocIdRedir.aspx?ID=EZSHARE-539030036-2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0F53A-8D55-4DF6-A2B2-E818D2571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7</Pages>
  <Words>2948</Words>
  <Characters>16809</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19718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Yolanda Strachan</dc:creator>
  <cp:lastModifiedBy>Muhlstein, Ethel Rosa</cp:lastModifiedBy>
  <cp:revision>4</cp:revision>
  <cp:lastPrinted>2017-05-11T17:04:00Z</cp:lastPrinted>
  <dcterms:created xsi:type="dcterms:W3CDTF">2017-05-18T00:13:00Z</dcterms:created>
  <dcterms:modified xsi:type="dcterms:W3CDTF">2017-05-22T19:02:00Z</dcterms:modified>
</cp:coreProperties>
</file>