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5DB" w:rsidRDefault="00A72579">
      <w:pPr>
        <w:spacing w:before="200" w:after="200"/>
        <w:jc w:val="center"/>
      </w:pPr>
      <w:r>
        <w:rPr>
          <w:rFonts w:ascii="Arial" w:hAnsi="Arial" w:cs="Arial"/>
          <w:b/>
        </w:rPr>
        <w:t>TC ABSTRACT</w:t>
      </w:r>
    </w:p>
    <w:p w:rsidR="000D65DB" w:rsidRDefault="00A72579">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55"/>
        <w:gridCol w:w="4965"/>
      </w:tblGrid>
      <w:tr w:rsidR="000D65DB">
        <w:trPr>
          <w:jc w:val="center"/>
        </w:trPr>
        <w:tc>
          <w:tcPr>
            <w:tcW w:w="5250" w:type="dxa"/>
          </w:tcPr>
          <w:p w:rsidR="000D65DB" w:rsidRDefault="00A72579">
            <w:pPr>
              <w:spacing w:before="40" w:after="40"/>
              <w:ind w:left="115" w:hanging="115"/>
            </w:pPr>
            <w:r>
              <w:rPr>
                <w:rFonts w:ascii="Arial" w:hAnsi="Arial" w:cs="Arial"/>
                <w:sz w:val="18"/>
                <w:szCs w:val="18"/>
              </w:rPr>
              <w:t>▪ Country/Region:</w:t>
            </w:r>
          </w:p>
        </w:tc>
        <w:tc>
          <w:tcPr>
            <w:tcW w:w="6750" w:type="dxa"/>
          </w:tcPr>
          <w:p w:rsidR="000D65DB" w:rsidRDefault="00A72579">
            <w:pPr>
              <w:spacing w:before="40" w:after="40"/>
            </w:pPr>
            <w:r>
              <w:rPr>
                <w:rFonts w:ascii="Arial" w:hAnsi="Arial" w:cs="Arial"/>
                <w:sz w:val="18"/>
                <w:szCs w:val="18"/>
              </w:rPr>
              <w:t>REGIONAL/CID - Isthmus &amp; DR</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TC Name:</w:t>
            </w:r>
          </w:p>
        </w:tc>
        <w:tc>
          <w:tcPr>
            <w:tcW w:w="6750" w:type="dxa"/>
          </w:tcPr>
          <w:p w:rsidR="000D65DB" w:rsidRDefault="00A72579">
            <w:pPr>
              <w:spacing w:before="40" w:after="40"/>
            </w:pPr>
            <w:r>
              <w:rPr>
                <w:rFonts w:ascii="Arial" w:hAnsi="Arial" w:cs="Arial"/>
                <w:sz w:val="18"/>
                <w:szCs w:val="18"/>
              </w:rPr>
              <w:t>Skills for labor productivity: Enhancing Private Sector Engagement for Employability and Productivity in Urban and Rural Areas</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TC Number:</w:t>
            </w:r>
          </w:p>
        </w:tc>
        <w:tc>
          <w:tcPr>
            <w:tcW w:w="6750" w:type="dxa"/>
          </w:tcPr>
          <w:p w:rsidR="000D65DB" w:rsidRDefault="00A72579">
            <w:pPr>
              <w:spacing w:before="40" w:after="40"/>
            </w:pPr>
            <w:r>
              <w:rPr>
                <w:rFonts w:ascii="Arial" w:hAnsi="Arial" w:cs="Arial"/>
                <w:sz w:val="18"/>
                <w:szCs w:val="18"/>
              </w:rPr>
              <w:t>RG-T3152</w:t>
            </w:r>
          </w:p>
        </w:tc>
      </w:tr>
      <w:tr w:rsidR="000D65DB" w:rsidRPr="000E4097">
        <w:trPr>
          <w:jc w:val="center"/>
        </w:trPr>
        <w:tc>
          <w:tcPr>
            <w:tcW w:w="5250" w:type="dxa"/>
          </w:tcPr>
          <w:p w:rsidR="000D65DB" w:rsidRDefault="00A72579">
            <w:pPr>
              <w:spacing w:before="40" w:after="40"/>
              <w:ind w:left="115" w:hanging="115"/>
            </w:pPr>
            <w:r>
              <w:rPr>
                <w:rFonts w:ascii="Arial" w:hAnsi="Arial" w:cs="Arial"/>
                <w:sz w:val="18"/>
                <w:szCs w:val="18"/>
              </w:rPr>
              <w:t>▪ Team Leader/Members:</w:t>
            </w:r>
          </w:p>
        </w:tc>
        <w:tc>
          <w:tcPr>
            <w:tcW w:w="6750" w:type="dxa"/>
          </w:tcPr>
          <w:p w:rsidR="000D65DB" w:rsidRPr="000E4097" w:rsidRDefault="000E4097" w:rsidP="000E4097">
            <w:pPr>
              <w:spacing w:before="40" w:after="40"/>
              <w:jc w:val="both"/>
            </w:pPr>
            <w:r w:rsidRPr="000E4097">
              <w:rPr>
                <w:rFonts w:ascii="Arial" w:hAnsi="Arial" w:cs="Arial"/>
                <w:sz w:val="18"/>
                <w:szCs w:val="18"/>
                <w:lang w:val="pt-BR"/>
              </w:rPr>
              <w:t>Maria Victoria Fazio</w:t>
            </w:r>
            <w:r w:rsidR="00A72579" w:rsidRPr="000E4097">
              <w:rPr>
                <w:rFonts w:ascii="Arial" w:hAnsi="Arial" w:cs="Arial"/>
                <w:sz w:val="18"/>
                <w:szCs w:val="18"/>
                <w:lang w:val="pt-BR"/>
              </w:rPr>
              <w:t xml:space="preserve"> (SCL/LMK) Team </w:t>
            </w:r>
            <w:proofErr w:type="spellStart"/>
            <w:r w:rsidR="00A72579" w:rsidRPr="000E4097">
              <w:rPr>
                <w:rFonts w:ascii="Arial" w:hAnsi="Arial" w:cs="Arial"/>
                <w:sz w:val="18"/>
                <w:szCs w:val="18"/>
                <w:lang w:val="pt-BR"/>
              </w:rPr>
              <w:t>Leader</w:t>
            </w:r>
            <w:proofErr w:type="spellEnd"/>
            <w:r w:rsidR="00A72579" w:rsidRPr="000E4097">
              <w:rPr>
                <w:rFonts w:ascii="Arial" w:hAnsi="Arial" w:cs="Arial"/>
                <w:sz w:val="18"/>
                <w:szCs w:val="18"/>
                <w:lang w:val="pt-BR"/>
              </w:rPr>
              <w:t xml:space="preserve">; </w:t>
            </w:r>
            <w:r w:rsidRPr="000E4097">
              <w:rPr>
                <w:rFonts w:ascii="Arial" w:hAnsi="Arial" w:cs="Arial"/>
                <w:sz w:val="18"/>
                <w:szCs w:val="18"/>
                <w:lang w:val="pt-BR"/>
              </w:rPr>
              <w:t>Laura Ripani</w:t>
            </w:r>
            <w:r w:rsidR="00A72579" w:rsidRPr="000E4097">
              <w:rPr>
                <w:rFonts w:ascii="Arial" w:hAnsi="Arial" w:cs="Arial"/>
                <w:sz w:val="18"/>
                <w:szCs w:val="18"/>
                <w:lang w:val="pt-BR"/>
              </w:rPr>
              <w:t xml:space="preserve">. </w:t>
            </w:r>
            <w:r w:rsidR="00A72579" w:rsidRPr="000E4097">
              <w:rPr>
                <w:rFonts w:ascii="Arial" w:hAnsi="Arial" w:cs="Arial"/>
                <w:sz w:val="18"/>
                <w:szCs w:val="18"/>
              </w:rPr>
              <w:t xml:space="preserve">(SCL/LMK) Alternate </w:t>
            </w:r>
            <w:bookmarkStart w:id="0" w:name="_GoBack"/>
            <w:bookmarkEnd w:id="0"/>
            <w:r w:rsidR="00A72579" w:rsidRPr="000E4097">
              <w:rPr>
                <w:rFonts w:ascii="Arial" w:hAnsi="Arial" w:cs="Arial"/>
                <w:sz w:val="18"/>
                <w:szCs w:val="18"/>
              </w:rPr>
              <w:t xml:space="preserve">Team Leader; </w:t>
            </w:r>
            <w:r w:rsidRPr="000E4097">
              <w:rPr>
                <w:rFonts w:ascii="Arial" w:hAnsi="Arial" w:cs="Arial"/>
                <w:sz w:val="18"/>
                <w:szCs w:val="18"/>
              </w:rPr>
              <w:t>Ethel Muhlstein</w:t>
            </w:r>
            <w:r w:rsidR="00A72579" w:rsidRPr="000E4097">
              <w:rPr>
                <w:rFonts w:ascii="Arial" w:hAnsi="Arial" w:cs="Arial"/>
                <w:sz w:val="18"/>
                <w:szCs w:val="18"/>
              </w:rPr>
              <w:t xml:space="preserve"> (SCL/LMK); </w:t>
            </w:r>
            <w:r w:rsidRPr="000E4097">
              <w:rPr>
                <w:rFonts w:ascii="Arial" w:hAnsi="Arial" w:cs="Arial"/>
                <w:sz w:val="18"/>
                <w:szCs w:val="18"/>
              </w:rPr>
              <w:t>and Tania Gaona</w:t>
            </w:r>
            <w:r w:rsidR="00A72579" w:rsidRPr="000E4097">
              <w:rPr>
                <w:rFonts w:ascii="Arial" w:hAnsi="Arial" w:cs="Arial"/>
                <w:sz w:val="18"/>
                <w:szCs w:val="18"/>
              </w:rPr>
              <w:t xml:space="preserve"> (SCL/LMK)</w:t>
            </w:r>
            <w:r w:rsidRPr="000E4097">
              <w:rPr>
                <w:rFonts w:ascii="Arial" w:hAnsi="Arial" w:cs="Arial"/>
                <w:sz w:val="18"/>
                <w:szCs w:val="18"/>
              </w:rPr>
              <w:t>.</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Taxonomy:</w:t>
            </w:r>
          </w:p>
        </w:tc>
        <w:tc>
          <w:tcPr>
            <w:tcW w:w="6750" w:type="dxa"/>
          </w:tcPr>
          <w:p w:rsidR="000D65DB" w:rsidRDefault="00A72579">
            <w:pPr>
              <w:spacing w:before="40" w:after="40"/>
            </w:pPr>
            <w:r w:rsidRPr="00F75FC8">
              <w:rPr>
                <w:rFonts w:ascii="Arial" w:hAnsi="Arial" w:cs="Arial"/>
                <w:sz w:val="18"/>
                <w:szCs w:val="18"/>
              </w:rPr>
              <w:t>Client Support</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Number and name of operation supported by the TC:</w:t>
            </w:r>
          </w:p>
        </w:tc>
        <w:tc>
          <w:tcPr>
            <w:tcW w:w="6750" w:type="dxa"/>
          </w:tcPr>
          <w:p w:rsidR="000D65DB" w:rsidRDefault="00A72579">
            <w:pPr>
              <w:spacing w:before="40" w:after="40"/>
            </w:pPr>
            <w:r>
              <w:rPr>
                <w:rFonts w:ascii="Arial" w:hAnsi="Arial" w:cs="Arial"/>
                <w:sz w:val="18"/>
                <w:szCs w:val="18"/>
              </w:rPr>
              <w:t>N/A</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Date of TC Abstract:</w:t>
            </w:r>
          </w:p>
        </w:tc>
        <w:tc>
          <w:tcPr>
            <w:tcW w:w="6750" w:type="dxa"/>
          </w:tcPr>
          <w:p w:rsidR="000D65DB" w:rsidRDefault="00A72579">
            <w:pPr>
              <w:spacing w:before="40" w:after="40"/>
            </w:pPr>
            <w:r>
              <w:rPr>
                <w:rFonts w:ascii="Arial" w:hAnsi="Arial" w:cs="Arial"/>
                <w:sz w:val="18"/>
                <w:szCs w:val="18"/>
              </w:rPr>
              <w:t>03 Jul 2018</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Beneficiary:</w:t>
            </w:r>
          </w:p>
        </w:tc>
        <w:tc>
          <w:tcPr>
            <w:tcW w:w="6750" w:type="dxa"/>
          </w:tcPr>
          <w:p w:rsidR="000D65DB" w:rsidRDefault="00F75FC8">
            <w:pPr>
              <w:spacing w:before="40" w:after="40"/>
            </w:pPr>
            <w:r>
              <w:rPr>
                <w:rFonts w:ascii="Arial" w:hAnsi="Arial" w:cs="Arial"/>
                <w:sz w:val="18"/>
                <w:szCs w:val="18"/>
              </w:rPr>
              <w:t>Participating countries</w:t>
            </w:r>
            <w:r w:rsidR="00A72579">
              <w:rPr>
                <w:rFonts w:ascii="Arial" w:hAnsi="Arial" w:cs="Arial"/>
                <w:sz w:val="18"/>
                <w:szCs w:val="18"/>
              </w:rPr>
              <w:t>, ES, HO, NI</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Executing Agency:</w:t>
            </w:r>
          </w:p>
        </w:tc>
        <w:tc>
          <w:tcPr>
            <w:tcW w:w="6750" w:type="dxa"/>
          </w:tcPr>
          <w:p w:rsidR="000D65DB" w:rsidRDefault="00A72579">
            <w:pPr>
              <w:spacing w:before="40" w:after="40"/>
            </w:pPr>
            <w:r>
              <w:rPr>
                <w:rFonts w:ascii="Arial" w:hAnsi="Arial" w:cs="Arial"/>
                <w:sz w:val="18"/>
                <w:szCs w:val="18"/>
              </w:rPr>
              <w:t>I</w:t>
            </w:r>
            <w:r w:rsidR="000E4097">
              <w:rPr>
                <w:rFonts w:ascii="Arial" w:hAnsi="Arial" w:cs="Arial"/>
                <w:sz w:val="18"/>
                <w:szCs w:val="18"/>
              </w:rPr>
              <w:t>nter-American Development Bank, Social Sector, Labor Markets Division (SCL/LMK)</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IDB funding requested:</w:t>
            </w:r>
          </w:p>
        </w:tc>
        <w:tc>
          <w:tcPr>
            <w:tcW w:w="6750" w:type="dxa"/>
          </w:tcPr>
          <w:p w:rsidR="000D65DB" w:rsidRDefault="00A72579">
            <w:pPr>
              <w:bidi/>
              <w:spacing w:before="40" w:after="40"/>
            </w:pPr>
            <w:r>
              <w:rPr>
                <w:rFonts w:ascii="Arial" w:hAnsi="Arial" w:cs="Arial"/>
                <w:sz w:val="18"/>
                <w:szCs w:val="18"/>
              </w:rPr>
              <w:t>$ 175,000</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Local counterpart funding:</w:t>
            </w:r>
          </w:p>
        </w:tc>
        <w:tc>
          <w:tcPr>
            <w:tcW w:w="6750" w:type="dxa"/>
          </w:tcPr>
          <w:p w:rsidR="000D65DB" w:rsidRDefault="00A72579">
            <w:pPr>
              <w:bidi/>
              <w:spacing w:before="40" w:after="40"/>
            </w:pPr>
            <w:r>
              <w:rPr>
                <w:rFonts w:ascii="Arial" w:hAnsi="Arial" w:cs="Arial"/>
                <w:sz w:val="18"/>
                <w:szCs w:val="18"/>
              </w:rPr>
              <w:t>$ 0</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Disbursement period:</w:t>
            </w:r>
          </w:p>
        </w:tc>
        <w:tc>
          <w:tcPr>
            <w:tcW w:w="6750" w:type="dxa"/>
          </w:tcPr>
          <w:p w:rsidR="000D65DB" w:rsidRDefault="00A72579">
            <w:pPr>
              <w:bidi/>
              <w:spacing w:before="40" w:after="40"/>
            </w:pPr>
            <w:r>
              <w:rPr>
                <w:rFonts w:ascii="Arial" w:hAnsi="Arial" w:cs="Arial"/>
                <w:sz w:val="18"/>
                <w:szCs w:val="18"/>
              </w:rPr>
              <w:t>36 months</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Types of consultants:</w:t>
            </w:r>
          </w:p>
        </w:tc>
        <w:tc>
          <w:tcPr>
            <w:tcW w:w="6750" w:type="dxa"/>
          </w:tcPr>
          <w:p w:rsidR="000D65DB" w:rsidRDefault="00A72579">
            <w:pPr>
              <w:spacing w:before="40" w:after="40"/>
            </w:pPr>
            <w:r>
              <w:rPr>
                <w:rFonts w:ascii="Arial" w:hAnsi="Arial" w:cs="Arial"/>
                <w:sz w:val="18"/>
                <w:szCs w:val="18"/>
              </w:rPr>
              <w:t>Individual</w:t>
            </w:r>
            <w:r w:rsidR="000E4097">
              <w:rPr>
                <w:rFonts w:ascii="Arial" w:hAnsi="Arial" w:cs="Arial"/>
                <w:sz w:val="18"/>
                <w:szCs w:val="18"/>
              </w:rPr>
              <w:t xml:space="preserve"> consultants</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Prepared by Unit:</w:t>
            </w:r>
          </w:p>
        </w:tc>
        <w:tc>
          <w:tcPr>
            <w:tcW w:w="6750" w:type="dxa"/>
          </w:tcPr>
          <w:p w:rsidR="000D65DB" w:rsidRDefault="00A72579">
            <w:pPr>
              <w:spacing w:before="40" w:after="40"/>
            </w:pPr>
            <w:r>
              <w:rPr>
                <w:rFonts w:ascii="Arial" w:hAnsi="Arial" w:cs="Arial"/>
                <w:sz w:val="18"/>
                <w:szCs w:val="18"/>
              </w:rPr>
              <w:t>Labor Markets</w:t>
            </w:r>
            <w:r w:rsidR="000E4097">
              <w:rPr>
                <w:rFonts w:ascii="Arial" w:hAnsi="Arial" w:cs="Arial"/>
                <w:sz w:val="18"/>
                <w:szCs w:val="18"/>
              </w:rPr>
              <w:t xml:space="preserve"> Division (SCL/LMK)</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Unit of Disbursement Responsibility:</w:t>
            </w:r>
          </w:p>
        </w:tc>
        <w:tc>
          <w:tcPr>
            <w:tcW w:w="6750" w:type="dxa"/>
          </w:tcPr>
          <w:p w:rsidR="000D65DB" w:rsidRDefault="00A72579">
            <w:pPr>
              <w:spacing w:before="40" w:after="40"/>
            </w:pPr>
            <w:r>
              <w:rPr>
                <w:rFonts w:ascii="Arial" w:hAnsi="Arial" w:cs="Arial"/>
                <w:sz w:val="18"/>
                <w:szCs w:val="18"/>
              </w:rPr>
              <w:t>Social Sector</w:t>
            </w:r>
          </w:p>
        </w:tc>
      </w:tr>
      <w:tr w:rsidR="000D65DB">
        <w:trPr>
          <w:jc w:val="center"/>
        </w:trPr>
        <w:tc>
          <w:tcPr>
            <w:tcW w:w="5250" w:type="dxa"/>
          </w:tcPr>
          <w:p w:rsidR="000E4097" w:rsidRDefault="00A72579">
            <w:pPr>
              <w:spacing w:before="40" w:after="40"/>
              <w:rPr>
                <w:rFonts w:ascii="Arial" w:hAnsi="Arial" w:cs="Arial"/>
                <w:sz w:val="18"/>
                <w:szCs w:val="18"/>
              </w:rPr>
            </w:pPr>
            <w:r>
              <w:rPr>
                <w:rFonts w:ascii="Arial" w:hAnsi="Arial" w:cs="Arial"/>
                <w:sz w:val="18"/>
                <w:szCs w:val="18"/>
              </w:rPr>
              <w:t>▪ TC included in Country Strategy (y/n):</w:t>
            </w:r>
          </w:p>
          <w:p w:rsidR="000D65DB" w:rsidRDefault="00A72579">
            <w:pPr>
              <w:spacing w:before="40" w:after="40"/>
            </w:pPr>
            <w:r>
              <w:rPr>
                <w:rFonts w:ascii="Arial" w:hAnsi="Arial" w:cs="Arial"/>
                <w:sz w:val="18"/>
                <w:szCs w:val="18"/>
              </w:rPr>
              <w:t>▪ TC included in CPD (y/n):</w:t>
            </w:r>
          </w:p>
        </w:tc>
        <w:tc>
          <w:tcPr>
            <w:tcW w:w="6750" w:type="dxa"/>
          </w:tcPr>
          <w:p w:rsidR="000E4097" w:rsidRDefault="00A72579">
            <w:pPr>
              <w:spacing w:before="40" w:after="40"/>
              <w:rPr>
                <w:rFonts w:ascii="Arial" w:hAnsi="Arial" w:cs="Arial"/>
                <w:sz w:val="18"/>
                <w:szCs w:val="18"/>
              </w:rPr>
            </w:pPr>
            <w:r>
              <w:rPr>
                <w:rFonts w:ascii="Arial" w:hAnsi="Arial" w:cs="Arial"/>
                <w:sz w:val="18"/>
                <w:szCs w:val="18"/>
              </w:rPr>
              <w:t>No</w:t>
            </w:r>
          </w:p>
          <w:p w:rsidR="000D65DB" w:rsidRDefault="00A72579">
            <w:pPr>
              <w:spacing w:before="40" w:after="40"/>
            </w:pPr>
            <w:r>
              <w:rPr>
                <w:rFonts w:ascii="Arial" w:hAnsi="Arial" w:cs="Arial"/>
                <w:sz w:val="18"/>
                <w:szCs w:val="18"/>
              </w:rPr>
              <w:t>No</w:t>
            </w:r>
          </w:p>
        </w:tc>
      </w:tr>
      <w:tr w:rsidR="000D65DB">
        <w:trPr>
          <w:jc w:val="center"/>
        </w:trPr>
        <w:tc>
          <w:tcPr>
            <w:tcW w:w="5250" w:type="dxa"/>
          </w:tcPr>
          <w:p w:rsidR="000D65DB" w:rsidRDefault="00A72579">
            <w:pPr>
              <w:spacing w:before="40" w:after="40"/>
              <w:ind w:left="115" w:hanging="115"/>
            </w:pPr>
            <w:r>
              <w:rPr>
                <w:rFonts w:ascii="Arial" w:hAnsi="Arial" w:cs="Arial"/>
                <w:sz w:val="18"/>
                <w:szCs w:val="18"/>
              </w:rPr>
              <w:t>▪ Alignment to the Update to the Institutional Strategy 2010-2020:</w:t>
            </w:r>
          </w:p>
        </w:tc>
        <w:tc>
          <w:tcPr>
            <w:tcW w:w="6750" w:type="dxa"/>
          </w:tcPr>
          <w:p w:rsidR="000D65DB" w:rsidRDefault="00A72579">
            <w:pPr>
              <w:spacing w:before="40" w:after="40"/>
            </w:pPr>
            <w:r>
              <w:rPr>
                <w:rFonts w:ascii="Arial" w:hAnsi="Arial" w:cs="Arial"/>
                <w:sz w:val="18"/>
                <w:szCs w:val="18"/>
              </w:rPr>
              <w:t xml:space="preserve">Social inclusion and equality; </w:t>
            </w:r>
            <w:r w:rsidR="000E4097">
              <w:rPr>
                <w:rFonts w:ascii="Arial" w:hAnsi="Arial" w:cs="Arial"/>
                <w:sz w:val="18"/>
                <w:szCs w:val="18"/>
              </w:rPr>
              <w:t>and p</w:t>
            </w:r>
            <w:r>
              <w:rPr>
                <w:rFonts w:ascii="Arial" w:hAnsi="Arial" w:cs="Arial"/>
                <w:sz w:val="18"/>
                <w:szCs w:val="18"/>
              </w:rPr>
              <w:t>roductivity and innovation</w:t>
            </w:r>
            <w:r w:rsidR="000E4097">
              <w:rPr>
                <w:rFonts w:ascii="Arial" w:hAnsi="Arial" w:cs="Arial"/>
                <w:sz w:val="18"/>
                <w:szCs w:val="18"/>
              </w:rPr>
              <w:t>.</w:t>
            </w:r>
          </w:p>
        </w:tc>
      </w:tr>
    </w:tbl>
    <w:p w:rsidR="000D65DB" w:rsidRDefault="00A72579">
      <w:pPr>
        <w:spacing w:before="120" w:after="120"/>
        <w:ind w:left="579" w:hanging="579"/>
      </w:pPr>
      <w:r>
        <w:rPr>
          <w:rFonts w:ascii="Arial" w:hAnsi="Arial" w:cs="Arial"/>
          <w:b/>
        </w:rPr>
        <w:t>II.</w:t>
      </w:r>
      <w:r>
        <w:rPr>
          <w:rFonts w:ascii="Arial" w:hAnsi="Arial" w:cs="Arial"/>
          <w:b/>
        </w:rPr>
        <w:tab/>
        <w:t>Objective and Justification</w:t>
      </w:r>
    </w:p>
    <w:p w:rsidR="000D65DB" w:rsidRDefault="00A72579">
      <w:pPr>
        <w:spacing w:before="120" w:after="120"/>
        <w:ind w:left="579" w:hanging="579"/>
        <w:jc w:val="both"/>
      </w:pPr>
      <w:r>
        <w:rPr>
          <w:rFonts w:ascii="Arial" w:hAnsi="Arial" w:cs="Arial"/>
        </w:rPr>
        <w:t>2.1</w:t>
      </w:r>
      <w:r>
        <w:rPr>
          <w:rFonts w:ascii="Arial" w:hAnsi="Arial" w:cs="Arial"/>
        </w:rPr>
        <w:tab/>
        <w:t xml:space="preserve">The objective of this </w:t>
      </w:r>
      <w:r w:rsidR="000E4097">
        <w:rPr>
          <w:rFonts w:ascii="Arial" w:hAnsi="Arial" w:cs="Arial"/>
        </w:rPr>
        <w:t>t</w:t>
      </w:r>
      <w:r>
        <w:rPr>
          <w:rFonts w:ascii="Arial" w:hAnsi="Arial" w:cs="Arial"/>
        </w:rPr>
        <w:t>echnical cooperation is to provide relevant tools to the countries of El Salvador, Honduras</w:t>
      </w:r>
      <w:r w:rsidR="00CE1120">
        <w:rPr>
          <w:rFonts w:ascii="Arial" w:hAnsi="Arial" w:cs="Arial"/>
        </w:rPr>
        <w:t xml:space="preserve"> and</w:t>
      </w:r>
      <w:r w:rsidR="00CE1120" w:rsidRPr="00CE1120">
        <w:rPr>
          <w:rFonts w:ascii="Arial" w:hAnsi="Arial" w:cs="Arial"/>
        </w:rPr>
        <w:t xml:space="preserve"> </w:t>
      </w:r>
      <w:r w:rsidR="00CE1120">
        <w:rPr>
          <w:rFonts w:ascii="Arial" w:hAnsi="Arial" w:cs="Arial"/>
        </w:rPr>
        <w:t>Nicaragua</w:t>
      </w:r>
      <w:r w:rsidR="000E4097">
        <w:rPr>
          <w:rFonts w:ascii="Arial" w:hAnsi="Arial" w:cs="Arial"/>
        </w:rPr>
        <w:t xml:space="preserve"> </w:t>
      </w:r>
      <w:r>
        <w:rPr>
          <w:rFonts w:ascii="Arial" w:hAnsi="Arial" w:cs="Arial"/>
        </w:rPr>
        <w:t>to improve the economic and employment opportunities by strengthening the public-private relationship in sectors that are drivers of growth and employment, and to foster partnerships for workforce development that includes: private sector engagement strategies, analysis of potential synergies for the development of curriculums of a more demand-driven skills training and a skills roadmap to guarantee a sustainable workforce development strategy</w:t>
      </w:r>
      <w:r w:rsidR="000E4097">
        <w:rPr>
          <w:rFonts w:ascii="Arial" w:hAnsi="Arial" w:cs="Arial"/>
        </w:rPr>
        <w:t>.</w:t>
      </w:r>
    </w:p>
    <w:p w:rsidR="000D65DB" w:rsidRDefault="00A72579">
      <w:pPr>
        <w:spacing w:before="120" w:after="120"/>
        <w:ind w:left="579" w:hanging="579"/>
        <w:jc w:val="both"/>
      </w:pPr>
      <w:r>
        <w:rPr>
          <w:rFonts w:ascii="Arial" w:hAnsi="Arial" w:cs="Arial"/>
        </w:rPr>
        <w:t>2.2</w:t>
      </w:r>
      <w:r>
        <w:rPr>
          <w:rFonts w:ascii="Arial" w:hAnsi="Arial" w:cs="Arial"/>
        </w:rPr>
        <w:tab/>
        <w:t>Most countries in Central America share similarities in their economic and labor markets outlook. The economies are vulnerable to shocks, and most job creation occurs in low-productivity or informal sectors of the economy, particularly especially in rural areas. And despite recent improvements in economic growth prospects, the countries still face challenges in terms of insecurity, economic diversification, quality job creation, competitiveness and inclusive labor markets. The outlook in terms of the future pose</w:t>
      </w:r>
      <w:r w:rsidR="000E4097">
        <w:rPr>
          <w:rFonts w:ascii="Arial" w:hAnsi="Arial" w:cs="Arial"/>
        </w:rPr>
        <w:t>s</w:t>
      </w:r>
      <w:r>
        <w:rPr>
          <w:rFonts w:ascii="Arial" w:hAnsi="Arial" w:cs="Arial"/>
        </w:rPr>
        <w:t xml:space="preserve"> even more challenges, given that the trends of the future of work and the 4th industrial revolution show that the economic sectors that usually generate most jobs in Central American countries (i.e. retail</w:t>
      </w:r>
      <w:r w:rsidR="000E4097">
        <w:rPr>
          <w:rFonts w:ascii="Arial" w:hAnsi="Arial" w:cs="Arial"/>
        </w:rPr>
        <w:t xml:space="preserve"> and </w:t>
      </w:r>
      <w:r>
        <w:rPr>
          <w:rFonts w:ascii="Arial" w:hAnsi="Arial" w:cs="Arial"/>
        </w:rPr>
        <w:t>services) are already being automatized in advanced countries.</w:t>
      </w:r>
    </w:p>
    <w:p w:rsidR="000D65DB" w:rsidRDefault="00A72579">
      <w:pPr>
        <w:spacing w:before="120" w:after="120"/>
        <w:ind w:left="579" w:hanging="579"/>
      </w:pPr>
      <w:r>
        <w:rPr>
          <w:rFonts w:ascii="Arial" w:hAnsi="Arial" w:cs="Arial"/>
          <w:b/>
        </w:rPr>
        <w:t>III.</w:t>
      </w:r>
      <w:r>
        <w:rPr>
          <w:rFonts w:ascii="Arial" w:hAnsi="Arial" w:cs="Arial"/>
          <w:b/>
        </w:rPr>
        <w:tab/>
        <w:t>Description of Activities and Outputs</w:t>
      </w:r>
    </w:p>
    <w:p w:rsidR="000D65DB" w:rsidRDefault="00A72579">
      <w:pPr>
        <w:spacing w:before="120" w:after="120"/>
        <w:ind w:left="579" w:hanging="579"/>
        <w:jc w:val="both"/>
      </w:pPr>
      <w:r>
        <w:rPr>
          <w:rFonts w:ascii="Arial" w:hAnsi="Arial" w:cs="Arial"/>
        </w:rPr>
        <w:t>3.1</w:t>
      </w:r>
      <w:r>
        <w:rPr>
          <w:rFonts w:ascii="Arial" w:hAnsi="Arial" w:cs="Arial"/>
        </w:rPr>
        <w:tab/>
        <w:t>The TC aims to provide:</w:t>
      </w:r>
      <w:r w:rsidR="000E4097">
        <w:rPr>
          <w:rFonts w:ascii="Arial" w:hAnsi="Arial" w:cs="Arial"/>
        </w:rPr>
        <w:t xml:space="preserve"> a </w:t>
      </w:r>
      <w:r>
        <w:rPr>
          <w:rFonts w:ascii="Arial" w:hAnsi="Arial" w:cs="Arial"/>
        </w:rPr>
        <w:t>sector economic analysis on prioritized sectors for income and employment generation, including economic sectors of the future</w:t>
      </w:r>
      <w:r w:rsidR="000E4097">
        <w:rPr>
          <w:rFonts w:ascii="Arial" w:hAnsi="Arial" w:cs="Arial"/>
        </w:rPr>
        <w:t>; t</w:t>
      </w:r>
      <w:r>
        <w:rPr>
          <w:rFonts w:ascii="Arial" w:hAnsi="Arial" w:cs="Arial"/>
        </w:rPr>
        <w:t>ools for anticipating skills needs</w:t>
      </w:r>
      <w:r w:rsidR="000E4097">
        <w:rPr>
          <w:rFonts w:ascii="Arial" w:hAnsi="Arial" w:cs="Arial"/>
        </w:rPr>
        <w:t>;</w:t>
      </w:r>
      <w:r>
        <w:rPr>
          <w:rFonts w:ascii="Arial" w:hAnsi="Arial" w:cs="Arial"/>
        </w:rPr>
        <w:t xml:space="preserve"> and new data for developing</w:t>
      </w:r>
      <w:r w:rsidR="000E4097">
        <w:rPr>
          <w:rFonts w:ascii="Arial" w:hAnsi="Arial" w:cs="Arial"/>
        </w:rPr>
        <w:t xml:space="preserve"> a s</w:t>
      </w:r>
      <w:r>
        <w:rPr>
          <w:rFonts w:ascii="Arial" w:hAnsi="Arial" w:cs="Arial"/>
        </w:rPr>
        <w:t xml:space="preserve">kills road map with pilots to </w:t>
      </w:r>
      <w:r>
        <w:rPr>
          <w:rFonts w:ascii="Arial" w:hAnsi="Arial" w:cs="Arial"/>
        </w:rPr>
        <w:lastRenderedPageBreak/>
        <w:t>test best experiences of public-private partnership for developing new training opportunities for the labor force.</w:t>
      </w:r>
    </w:p>
    <w:p w:rsidR="000D65DB" w:rsidRDefault="00A72579">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 Identification of three priority economic sectors per country. </w:t>
      </w:r>
      <w:r>
        <w:rPr>
          <w:rFonts w:ascii="Arial" w:hAnsi="Arial" w:cs="Arial"/>
        </w:rPr>
        <w:t>This component will select main economic sectors associated with the training strategy for workers, based on criteria such as growth potential, future employment generation, potential value chains in each sector, among others.</w:t>
      </w:r>
    </w:p>
    <w:p w:rsidR="000D65DB" w:rsidRDefault="00A72579">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 Analysis of current and future skill demand with a focus on productivity growth. </w:t>
      </w:r>
      <w:r>
        <w:rPr>
          <w:rFonts w:ascii="Arial" w:hAnsi="Arial" w:cs="Arial"/>
        </w:rPr>
        <w:t xml:space="preserve">The analysis will be conducted through the collection of secondary data from employers, and web scrapping of job board sites as well as interviews with training providers, HR departments, head of associations and export/investment-promoting agencies. </w:t>
      </w:r>
    </w:p>
    <w:p w:rsidR="000D65DB" w:rsidRDefault="00A72579">
      <w:pPr>
        <w:spacing w:before="120" w:after="120"/>
        <w:ind w:left="579" w:hanging="579"/>
        <w:jc w:val="both"/>
      </w:pPr>
      <w:r>
        <w:rPr>
          <w:rFonts w:ascii="Arial" w:hAnsi="Arial" w:cs="Arial"/>
        </w:rPr>
        <w:t>3.4</w:t>
      </w:r>
      <w:r>
        <w:rPr>
          <w:rFonts w:ascii="Arial" w:hAnsi="Arial" w:cs="Arial"/>
        </w:rPr>
        <w:tab/>
      </w:r>
      <w:r>
        <w:rPr>
          <w:rFonts w:ascii="Arial" w:hAnsi="Arial" w:cs="Arial"/>
          <w:b/>
        </w:rPr>
        <w:t xml:space="preserve">Component III: Roadmap for skills development. </w:t>
      </w:r>
      <w:r>
        <w:rPr>
          <w:rFonts w:ascii="Arial" w:hAnsi="Arial" w:cs="Arial"/>
        </w:rPr>
        <w:t>The skills roadmap will focus on how to develop productive private-public partnerships for workforce development and build an action plan with them that will include: setting structure to the partnerships within sectors and in articulation with public sector, understanding the employers needs and transferability to the curriculum development process</w:t>
      </w:r>
      <w:r w:rsidR="000E4097">
        <w:rPr>
          <w:rFonts w:ascii="Arial" w:hAnsi="Arial" w:cs="Arial"/>
        </w:rPr>
        <w:t>.</w:t>
      </w:r>
    </w:p>
    <w:p w:rsidR="000D65DB" w:rsidRDefault="00A72579">
      <w:pPr>
        <w:spacing w:before="120" w:after="120"/>
        <w:ind w:left="579" w:hanging="579"/>
        <w:jc w:val="both"/>
      </w:pPr>
      <w:r>
        <w:rPr>
          <w:rFonts w:ascii="Arial" w:hAnsi="Arial" w:cs="Arial"/>
        </w:rPr>
        <w:t>3.5</w:t>
      </w:r>
      <w:r>
        <w:rPr>
          <w:rFonts w:ascii="Arial" w:hAnsi="Arial" w:cs="Arial"/>
        </w:rPr>
        <w:tab/>
      </w:r>
      <w:r>
        <w:rPr>
          <w:rFonts w:ascii="Arial" w:hAnsi="Arial" w:cs="Arial"/>
          <w:b/>
        </w:rPr>
        <w:t xml:space="preserve">Component IV: Monitoring and dissemination strategy. </w:t>
      </w:r>
      <w:r>
        <w:rPr>
          <w:rFonts w:ascii="Arial" w:hAnsi="Arial" w:cs="Arial"/>
        </w:rPr>
        <w:t>This component will finance activities to ensure the monitoring of the result indicators of this TC and different dissemination activities for the socialization of the results of this TC with key stakeholders</w:t>
      </w:r>
      <w:r w:rsidR="004D33EA">
        <w:rPr>
          <w:rFonts w:ascii="Arial" w:hAnsi="Arial" w:cs="Arial"/>
        </w:rPr>
        <w:t>.</w:t>
      </w:r>
    </w:p>
    <w:p w:rsidR="000D65DB" w:rsidRDefault="00A72579">
      <w:pPr>
        <w:spacing w:before="120" w:after="120"/>
        <w:ind w:left="579" w:hanging="579"/>
      </w:pPr>
      <w:r>
        <w:rPr>
          <w:rFonts w:ascii="Arial" w:hAnsi="Arial" w:cs="Arial"/>
          <w:b/>
        </w:rPr>
        <w:t>IV.</w:t>
      </w:r>
      <w:r>
        <w:rPr>
          <w:rFonts w:ascii="Arial" w:hAnsi="Arial" w:cs="Arial"/>
          <w:b/>
        </w:rPr>
        <w:tab/>
        <w:t>Budget</w:t>
      </w:r>
    </w:p>
    <w:p w:rsidR="000D65DB" w:rsidRDefault="00A72579">
      <w:pPr>
        <w:spacing w:before="240" w:after="120"/>
        <w:jc w:val="center"/>
      </w:pPr>
      <w:r>
        <w:rPr>
          <w:rFonts w:ascii="Arial" w:hAnsi="Arial" w:cs="Arial"/>
          <w:b/>
          <w:sz w:val="18"/>
          <w:szCs w:val="18"/>
        </w:rPr>
        <w:t>Indicative Budget</w:t>
      </w:r>
      <w:r w:rsidR="004D33EA">
        <w:rPr>
          <w:rFonts w:ascii="Arial" w:hAnsi="Arial" w:cs="Arial"/>
          <w:b/>
          <w:sz w:val="18"/>
          <w:szCs w:val="18"/>
        </w:rPr>
        <w:t xml:space="preserve"> (US$)</w:t>
      </w:r>
    </w:p>
    <w:tbl>
      <w:tblPr>
        <w:tblStyle w:val="TableGrid"/>
        <w:tblW w:w="8640" w:type="dxa"/>
        <w:tblInd w:w="378" w:type="dxa"/>
        <w:tblLook w:val="04A0" w:firstRow="1" w:lastRow="0" w:firstColumn="1" w:lastColumn="0" w:noHBand="0" w:noVBand="1"/>
      </w:tblPr>
      <w:tblGrid>
        <w:gridCol w:w="4338"/>
        <w:gridCol w:w="2052"/>
        <w:gridCol w:w="2250"/>
      </w:tblGrid>
      <w:tr w:rsidR="004D33EA" w:rsidTr="00F75FC8">
        <w:tc>
          <w:tcPr>
            <w:tcW w:w="4338" w:type="dxa"/>
            <w:shd w:val="clear" w:color="auto" w:fill="B4C6E7" w:themeFill="accent1" w:themeFillTint="66"/>
            <w:vAlign w:val="center"/>
          </w:tcPr>
          <w:p w:rsidR="004D33EA" w:rsidRDefault="004D33EA">
            <w:pPr>
              <w:spacing w:before="40" w:after="40"/>
              <w:jc w:val="center"/>
            </w:pPr>
            <w:r>
              <w:rPr>
                <w:rFonts w:ascii="Arial" w:hAnsi="Arial" w:cs="Arial"/>
                <w:b/>
                <w:sz w:val="18"/>
                <w:szCs w:val="18"/>
              </w:rPr>
              <w:t>Activity/Component</w:t>
            </w:r>
          </w:p>
        </w:tc>
        <w:tc>
          <w:tcPr>
            <w:tcW w:w="2052" w:type="dxa"/>
            <w:shd w:val="clear" w:color="auto" w:fill="B4C6E7" w:themeFill="accent1" w:themeFillTint="66"/>
          </w:tcPr>
          <w:p w:rsidR="004D33EA" w:rsidRDefault="004D33EA">
            <w:pPr>
              <w:spacing w:before="40" w:after="40"/>
              <w:jc w:val="center"/>
              <w:rPr>
                <w:rFonts w:ascii="Arial" w:hAnsi="Arial" w:cs="Arial"/>
                <w:b/>
                <w:sz w:val="18"/>
                <w:szCs w:val="18"/>
              </w:rPr>
            </w:pPr>
            <w:r>
              <w:rPr>
                <w:rFonts w:ascii="Arial" w:hAnsi="Arial" w:cs="Arial"/>
                <w:b/>
                <w:sz w:val="18"/>
                <w:szCs w:val="18"/>
              </w:rPr>
              <w:t xml:space="preserve">IDB/Fund </w:t>
            </w:r>
          </w:p>
          <w:p w:rsidR="004D33EA" w:rsidRDefault="004D33EA">
            <w:pPr>
              <w:spacing w:before="40" w:after="40"/>
              <w:jc w:val="center"/>
            </w:pPr>
            <w:r>
              <w:rPr>
                <w:rFonts w:ascii="Arial" w:hAnsi="Arial" w:cs="Arial"/>
                <w:b/>
                <w:sz w:val="18"/>
                <w:szCs w:val="18"/>
              </w:rPr>
              <w:t>Funding</w:t>
            </w:r>
          </w:p>
        </w:tc>
        <w:tc>
          <w:tcPr>
            <w:tcW w:w="2250" w:type="dxa"/>
            <w:shd w:val="clear" w:color="auto" w:fill="B4C6E7" w:themeFill="accent1" w:themeFillTint="66"/>
          </w:tcPr>
          <w:p w:rsidR="004D33EA" w:rsidRDefault="004D33EA">
            <w:pPr>
              <w:spacing w:before="40" w:after="40"/>
              <w:jc w:val="center"/>
            </w:pPr>
            <w:r>
              <w:rPr>
                <w:rFonts w:ascii="Arial" w:hAnsi="Arial" w:cs="Arial"/>
                <w:b/>
                <w:sz w:val="18"/>
                <w:szCs w:val="18"/>
              </w:rPr>
              <w:t>Total Funding</w:t>
            </w:r>
          </w:p>
        </w:tc>
      </w:tr>
      <w:tr w:rsidR="004D33EA" w:rsidTr="00F75FC8">
        <w:tc>
          <w:tcPr>
            <w:tcW w:w="4338" w:type="dxa"/>
            <w:vAlign w:val="center"/>
          </w:tcPr>
          <w:p w:rsidR="004D33EA" w:rsidRDefault="004D33EA">
            <w:pPr>
              <w:spacing w:before="40" w:after="40"/>
            </w:pPr>
            <w:r>
              <w:rPr>
                <w:rFonts w:ascii="Arial" w:hAnsi="Arial" w:cs="Arial"/>
                <w:sz w:val="18"/>
                <w:szCs w:val="18"/>
              </w:rPr>
              <w:t xml:space="preserve">Identification of three priority economic sectors per country </w:t>
            </w:r>
          </w:p>
        </w:tc>
        <w:tc>
          <w:tcPr>
            <w:tcW w:w="2052" w:type="dxa"/>
            <w:vAlign w:val="center"/>
          </w:tcPr>
          <w:p w:rsidR="004D33EA" w:rsidRDefault="004D33EA">
            <w:pPr>
              <w:spacing w:before="40" w:after="40"/>
              <w:jc w:val="right"/>
            </w:pPr>
            <w:r>
              <w:rPr>
                <w:rFonts w:ascii="Arial" w:hAnsi="Arial" w:cs="Arial"/>
                <w:sz w:val="18"/>
                <w:szCs w:val="18"/>
              </w:rPr>
              <w:t>$ 35,000</w:t>
            </w:r>
          </w:p>
        </w:tc>
        <w:tc>
          <w:tcPr>
            <w:tcW w:w="2250" w:type="dxa"/>
            <w:vAlign w:val="center"/>
          </w:tcPr>
          <w:p w:rsidR="004D33EA" w:rsidRDefault="004D33EA">
            <w:pPr>
              <w:spacing w:before="40" w:after="40"/>
              <w:jc w:val="right"/>
            </w:pPr>
            <w:r>
              <w:rPr>
                <w:rFonts w:ascii="Arial" w:hAnsi="Arial" w:cs="Arial"/>
                <w:sz w:val="18"/>
                <w:szCs w:val="18"/>
              </w:rPr>
              <w:t>$ 35,000</w:t>
            </w:r>
          </w:p>
        </w:tc>
      </w:tr>
      <w:tr w:rsidR="004D33EA" w:rsidTr="00F75FC8">
        <w:tc>
          <w:tcPr>
            <w:tcW w:w="4338" w:type="dxa"/>
            <w:vAlign w:val="center"/>
          </w:tcPr>
          <w:p w:rsidR="004D33EA" w:rsidRDefault="004D33EA">
            <w:pPr>
              <w:spacing w:before="40" w:after="40"/>
            </w:pPr>
            <w:r>
              <w:rPr>
                <w:rFonts w:ascii="Arial" w:hAnsi="Arial" w:cs="Arial"/>
                <w:sz w:val="18"/>
                <w:szCs w:val="18"/>
              </w:rPr>
              <w:t xml:space="preserve">Analysis of current and future skill demand with a focus on productivity growth. </w:t>
            </w:r>
          </w:p>
        </w:tc>
        <w:tc>
          <w:tcPr>
            <w:tcW w:w="2052" w:type="dxa"/>
            <w:vAlign w:val="center"/>
          </w:tcPr>
          <w:p w:rsidR="004D33EA" w:rsidRDefault="004D33EA">
            <w:pPr>
              <w:spacing w:before="40" w:after="40"/>
              <w:jc w:val="right"/>
            </w:pPr>
            <w:r>
              <w:rPr>
                <w:rFonts w:ascii="Arial" w:hAnsi="Arial" w:cs="Arial"/>
                <w:sz w:val="18"/>
                <w:szCs w:val="18"/>
              </w:rPr>
              <w:t>$ 60,000</w:t>
            </w:r>
          </w:p>
        </w:tc>
        <w:tc>
          <w:tcPr>
            <w:tcW w:w="2250" w:type="dxa"/>
            <w:vAlign w:val="center"/>
          </w:tcPr>
          <w:p w:rsidR="004D33EA" w:rsidRDefault="004D33EA">
            <w:pPr>
              <w:spacing w:before="40" w:after="40"/>
              <w:jc w:val="right"/>
            </w:pPr>
            <w:r>
              <w:rPr>
                <w:rFonts w:ascii="Arial" w:hAnsi="Arial" w:cs="Arial"/>
                <w:sz w:val="18"/>
                <w:szCs w:val="18"/>
              </w:rPr>
              <w:t>$ 60,000</w:t>
            </w:r>
          </w:p>
        </w:tc>
      </w:tr>
      <w:tr w:rsidR="004D33EA" w:rsidTr="00F75FC8">
        <w:tc>
          <w:tcPr>
            <w:tcW w:w="4338" w:type="dxa"/>
            <w:vAlign w:val="center"/>
          </w:tcPr>
          <w:p w:rsidR="004D33EA" w:rsidRDefault="004D33EA">
            <w:pPr>
              <w:spacing w:before="40" w:after="40"/>
            </w:pPr>
            <w:r>
              <w:rPr>
                <w:rFonts w:ascii="Arial" w:hAnsi="Arial" w:cs="Arial"/>
                <w:sz w:val="18"/>
                <w:szCs w:val="18"/>
              </w:rPr>
              <w:t xml:space="preserve">Roadmap for skills development </w:t>
            </w:r>
          </w:p>
        </w:tc>
        <w:tc>
          <w:tcPr>
            <w:tcW w:w="2052" w:type="dxa"/>
            <w:vAlign w:val="center"/>
          </w:tcPr>
          <w:p w:rsidR="004D33EA" w:rsidRDefault="004D33EA">
            <w:pPr>
              <w:spacing w:before="40" w:after="40"/>
              <w:jc w:val="right"/>
            </w:pPr>
            <w:r>
              <w:rPr>
                <w:rFonts w:ascii="Arial" w:hAnsi="Arial" w:cs="Arial"/>
                <w:sz w:val="18"/>
                <w:szCs w:val="18"/>
              </w:rPr>
              <w:t>$ 60,000</w:t>
            </w:r>
          </w:p>
        </w:tc>
        <w:tc>
          <w:tcPr>
            <w:tcW w:w="2250" w:type="dxa"/>
            <w:vAlign w:val="center"/>
          </w:tcPr>
          <w:p w:rsidR="004D33EA" w:rsidRDefault="004D33EA">
            <w:pPr>
              <w:spacing w:before="40" w:after="40"/>
              <w:jc w:val="right"/>
            </w:pPr>
            <w:r>
              <w:rPr>
                <w:rFonts w:ascii="Arial" w:hAnsi="Arial" w:cs="Arial"/>
                <w:sz w:val="18"/>
                <w:szCs w:val="18"/>
              </w:rPr>
              <w:t>$ 60,000</w:t>
            </w:r>
          </w:p>
        </w:tc>
      </w:tr>
      <w:tr w:rsidR="004D33EA" w:rsidTr="00F75FC8">
        <w:tc>
          <w:tcPr>
            <w:tcW w:w="4338" w:type="dxa"/>
            <w:vAlign w:val="center"/>
          </w:tcPr>
          <w:p w:rsidR="004D33EA" w:rsidRDefault="004D33EA">
            <w:pPr>
              <w:spacing w:before="40" w:after="40"/>
            </w:pPr>
            <w:r>
              <w:rPr>
                <w:rFonts w:ascii="Arial" w:hAnsi="Arial" w:cs="Arial"/>
                <w:sz w:val="18"/>
                <w:szCs w:val="18"/>
              </w:rPr>
              <w:t>Monitoring and dissemination strategy</w:t>
            </w:r>
          </w:p>
        </w:tc>
        <w:tc>
          <w:tcPr>
            <w:tcW w:w="2052" w:type="dxa"/>
            <w:vAlign w:val="center"/>
          </w:tcPr>
          <w:p w:rsidR="004D33EA" w:rsidRDefault="004D33EA">
            <w:pPr>
              <w:spacing w:before="40" w:after="40"/>
              <w:jc w:val="right"/>
            </w:pPr>
            <w:r>
              <w:rPr>
                <w:rFonts w:ascii="Arial" w:hAnsi="Arial" w:cs="Arial"/>
                <w:sz w:val="18"/>
                <w:szCs w:val="18"/>
              </w:rPr>
              <w:t>$ 20,000</w:t>
            </w:r>
          </w:p>
        </w:tc>
        <w:tc>
          <w:tcPr>
            <w:tcW w:w="2250" w:type="dxa"/>
            <w:vAlign w:val="center"/>
          </w:tcPr>
          <w:p w:rsidR="004D33EA" w:rsidRDefault="004D33EA">
            <w:pPr>
              <w:spacing w:before="40" w:after="40"/>
              <w:jc w:val="right"/>
            </w:pPr>
            <w:r>
              <w:rPr>
                <w:rFonts w:ascii="Arial" w:hAnsi="Arial" w:cs="Arial"/>
                <w:sz w:val="18"/>
                <w:szCs w:val="18"/>
              </w:rPr>
              <w:t>$ 20,000</w:t>
            </w:r>
          </w:p>
        </w:tc>
      </w:tr>
    </w:tbl>
    <w:p w:rsidR="000D65DB" w:rsidRDefault="00A72579" w:rsidP="00043C44">
      <w:pPr>
        <w:spacing w:before="240" w:after="120"/>
        <w:ind w:left="579" w:hanging="579"/>
      </w:pPr>
      <w:r>
        <w:rPr>
          <w:rFonts w:ascii="Arial" w:hAnsi="Arial" w:cs="Arial"/>
          <w:b/>
        </w:rPr>
        <w:t>V.</w:t>
      </w:r>
      <w:r>
        <w:rPr>
          <w:rFonts w:ascii="Arial" w:hAnsi="Arial" w:cs="Arial"/>
          <w:b/>
        </w:rPr>
        <w:tab/>
        <w:t>Executing Agency and Execution Structure</w:t>
      </w:r>
    </w:p>
    <w:p w:rsidR="000D65DB" w:rsidRDefault="00A72579">
      <w:pPr>
        <w:spacing w:before="200" w:after="200"/>
        <w:ind w:left="579" w:hanging="579"/>
        <w:jc w:val="both"/>
      </w:pPr>
      <w:r>
        <w:rPr>
          <w:rFonts w:ascii="Arial" w:hAnsi="Arial" w:cs="Arial"/>
        </w:rPr>
        <w:t>5.1</w:t>
      </w:r>
      <w:r>
        <w:rPr>
          <w:rFonts w:ascii="Arial" w:hAnsi="Arial" w:cs="Arial"/>
        </w:rPr>
        <w:tab/>
        <w:t>The Labor Markets and Social Security Division (SCL/LMK) of the Inter-American Development Bank (</w:t>
      </w:r>
      <w:r w:rsidR="004D33EA">
        <w:rPr>
          <w:rFonts w:ascii="Arial" w:hAnsi="Arial" w:cs="Arial"/>
        </w:rPr>
        <w:t>IDB</w:t>
      </w:r>
      <w:r>
        <w:rPr>
          <w:rFonts w:ascii="Arial" w:hAnsi="Arial" w:cs="Arial"/>
        </w:rPr>
        <w:t>) will be responsible for the management, supervision, coordination and evaluation of the Technical Cooperation.</w:t>
      </w:r>
    </w:p>
    <w:p w:rsidR="000D65DB" w:rsidRDefault="00A72579">
      <w:pPr>
        <w:spacing w:before="200" w:after="200"/>
        <w:ind w:left="579" w:hanging="579"/>
        <w:jc w:val="both"/>
      </w:pPr>
      <w:r>
        <w:rPr>
          <w:rFonts w:ascii="Arial" w:hAnsi="Arial" w:cs="Arial"/>
        </w:rPr>
        <w:t>5.2</w:t>
      </w:r>
      <w:r>
        <w:rPr>
          <w:rFonts w:ascii="Arial" w:hAnsi="Arial" w:cs="Arial"/>
        </w:rPr>
        <w:tab/>
        <w:t>SCL/LMK has the relevant technical knowledge of labor market issues in Central</w:t>
      </w:r>
      <w:r w:rsidR="004D33EA">
        <w:rPr>
          <w:rFonts w:ascii="Arial" w:hAnsi="Arial" w:cs="Arial"/>
        </w:rPr>
        <w:t> </w:t>
      </w:r>
      <w:r>
        <w:rPr>
          <w:rFonts w:ascii="Arial" w:hAnsi="Arial" w:cs="Arial"/>
        </w:rPr>
        <w:t>America and has developed a close relationship with stakeholders in El</w:t>
      </w:r>
      <w:r w:rsidR="004D33EA">
        <w:rPr>
          <w:rFonts w:ascii="Arial" w:hAnsi="Arial" w:cs="Arial"/>
        </w:rPr>
        <w:t> </w:t>
      </w:r>
      <w:r>
        <w:rPr>
          <w:rFonts w:ascii="Arial" w:hAnsi="Arial" w:cs="Arial"/>
        </w:rPr>
        <w:t>Salvador, Honduras</w:t>
      </w:r>
      <w:r w:rsidR="00CE1120" w:rsidRPr="00CE1120">
        <w:rPr>
          <w:rFonts w:ascii="Arial" w:hAnsi="Arial" w:cs="Arial"/>
        </w:rPr>
        <w:t xml:space="preserve"> </w:t>
      </w:r>
      <w:r w:rsidR="00CE1120">
        <w:rPr>
          <w:rFonts w:ascii="Arial" w:hAnsi="Arial" w:cs="Arial"/>
        </w:rPr>
        <w:t xml:space="preserve">and Nicaragua, </w:t>
      </w:r>
      <w:r>
        <w:rPr>
          <w:rFonts w:ascii="Arial" w:hAnsi="Arial" w:cs="Arial"/>
        </w:rPr>
        <w:t>which allows the Bank to execute the TC in collaboration with them.</w:t>
      </w:r>
    </w:p>
    <w:p w:rsidR="000D65DB" w:rsidRDefault="00A72579">
      <w:pPr>
        <w:spacing w:before="120" w:after="120"/>
        <w:ind w:left="579" w:hanging="579"/>
      </w:pPr>
      <w:r>
        <w:rPr>
          <w:rFonts w:ascii="Arial" w:hAnsi="Arial" w:cs="Arial"/>
          <w:b/>
        </w:rPr>
        <w:t>VI.</w:t>
      </w:r>
      <w:r>
        <w:rPr>
          <w:rFonts w:ascii="Arial" w:hAnsi="Arial" w:cs="Arial"/>
          <w:b/>
        </w:rPr>
        <w:tab/>
        <w:t>Project Risks and Issues</w:t>
      </w:r>
    </w:p>
    <w:p w:rsidR="000D65DB" w:rsidRDefault="00A72579">
      <w:pPr>
        <w:spacing w:before="200" w:after="200"/>
        <w:ind w:left="579" w:hanging="579"/>
        <w:jc w:val="both"/>
      </w:pPr>
      <w:r>
        <w:rPr>
          <w:rFonts w:ascii="Arial" w:hAnsi="Arial" w:cs="Arial"/>
        </w:rPr>
        <w:t>6.1</w:t>
      </w:r>
      <w:r>
        <w:rPr>
          <w:rFonts w:ascii="Arial" w:hAnsi="Arial" w:cs="Arial"/>
        </w:rPr>
        <w:tab/>
        <w:t xml:space="preserve">There are no expected difficulties in the execution of the TC. A strategy for the execution is designed in line with the objectives and components of the TC. Nevertheless, there </w:t>
      </w:r>
      <w:r w:rsidR="004D33EA">
        <w:rPr>
          <w:rFonts w:ascii="Arial" w:hAnsi="Arial" w:cs="Arial"/>
        </w:rPr>
        <w:t>are</w:t>
      </w:r>
      <w:r>
        <w:rPr>
          <w:rFonts w:ascii="Arial" w:hAnsi="Arial" w:cs="Arial"/>
        </w:rPr>
        <w:t xml:space="preserve"> perceived risks related to political instability (e.g. changes in the structure and strategies of the ministr</w:t>
      </w:r>
      <w:r w:rsidR="004D33EA">
        <w:rPr>
          <w:rFonts w:ascii="Arial" w:hAnsi="Arial" w:cs="Arial"/>
        </w:rPr>
        <w:t>ies</w:t>
      </w:r>
      <w:r>
        <w:rPr>
          <w:rFonts w:ascii="Arial" w:hAnsi="Arial" w:cs="Arial"/>
        </w:rPr>
        <w:t>) and staff rotation in the beneficiary institutions.</w:t>
      </w:r>
    </w:p>
    <w:p w:rsidR="000D65DB" w:rsidRDefault="00A72579" w:rsidP="00043C44">
      <w:pPr>
        <w:keepNext/>
        <w:spacing w:before="120" w:after="120"/>
        <w:ind w:left="576" w:hanging="576"/>
      </w:pPr>
      <w:r>
        <w:rPr>
          <w:rFonts w:ascii="Arial" w:hAnsi="Arial" w:cs="Arial"/>
          <w:b/>
        </w:rPr>
        <w:t>VII.</w:t>
      </w:r>
      <w:r>
        <w:rPr>
          <w:rFonts w:ascii="Arial" w:hAnsi="Arial" w:cs="Arial"/>
          <w:b/>
        </w:rPr>
        <w:tab/>
        <w:t>Environmental and Social Classification</w:t>
      </w:r>
    </w:p>
    <w:p w:rsidR="000D65DB" w:rsidRDefault="00A72579" w:rsidP="00043C44">
      <w:pPr>
        <w:keepNext/>
        <w:spacing w:before="240" w:after="120"/>
        <w:ind w:left="576" w:hanging="576"/>
        <w:jc w:val="both"/>
      </w:pPr>
      <w:r>
        <w:rPr>
          <w:rFonts w:ascii="Arial" w:hAnsi="Arial" w:cs="Arial"/>
        </w:rPr>
        <w:t>7.1</w:t>
      </w:r>
      <w:r>
        <w:rPr>
          <w:rFonts w:ascii="Arial" w:hAnsi="Arial" w:cs="Arial"/>
        </w:rPr>
        <w:tab/>
        <w:t>The ESG classification for this operation is "</w:t>
      </w:r>
      <w:r w:rsidR="004D33EA">
        <w:rPr>
          <w:rFonts w:ascii="Arial" w:hAnsi="Arial" w:cs="Arial"/>
        </w:rPr>
        <w:t>C</w:t>
      </w:r>
      <w:r>
        <w:rPr>
          <w:rFonts w:ascii="Arial" w:hAnsi="Arial" w:cs="Arial"/>
        </w:rPr>
        <w:t>".</w:t>
      </w:r>
    </w:p>
    <w:sectPr w:rsidR="000D65DB"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14C" w:rsidRDefault="0087614C">
      <w:r>
        <w:separator/>
      </w:r>
    </w:p>
  </w:endnote>
  <w:endnote w:type="continuationSeparator" w:id="0">
    <w:p w:rsidR="0087614C" w:rsidRDefault="00876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87614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87614C"/>
  <w:p w:rsidR="000D65DB" w:rsidRDefault="00A72579">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8761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14C" w:rsidRDefault="0087614C">
      <w:r>
        <w:separator/>
      </w:r>
    </w:p>
  </w:footnote>
  <w:footnote w:type="continuationSeparator" w:id="0">
    <w:p w:rsidR="0087614C" w:rsidRDefault="00876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43C44"/>
    <w:rsid w:val="000D65DB"/>
    <w:rsid w:val="000E4097"/>
    <w:rsid w:val="001915A3"/>
    <w:rsid w:val="00217F62"/>
    <w:rsid w:val="004D33EA"/>
    <w:rsid w:val="0087614C"/>
    <w:rsid w:val="00A72579"/>
    <w:rsid w:val="00A906D8"/>
    <w:rsid w:val="00AB5A74"/>
    <w:rsid w:val="00B145BB"/>
    <w:rsid w:val="00B6739B"/>
    <w:rsid w:val="00BE3502"/>
    <w:rsid w:val="00BE77A7"/>
    <w:rsid w:val="00CE1120"/>
    <w:rsid w:val="00F071AE"/>
    <w:rsid w:val="00F75F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8C79"/>
  <w15:docId w15:val="{C86D295B-9952-48FF-8AAC-FEA2E1BC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D33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3EA"/>
    <w:rPr>
      <w:rFonts w:ascii="Segoe UI" w:hAnsi="Segoe UI" w:cs="Segoe UI"/>
      <w:sz w:val="18"/>
      <w:szCs w:val="18"/>
    </w:rPr>
  </w:style>
  <w:style w:type="character" w:styleId="CommentReference">
    <w:name w:val="annotation reference"/>
    <w:basedOn w:val="DefaultParagraphFont"/>
    <w:uiPriority w:val="99"/>
    <w:semiHidden/>
    <w:unhideWhenUsed/>
    <w:rsid w:val="00B145BB"/>
    <w:rPr>
      <w:sz w:val="16"/>
      <w:szCs w:val="16"/>
    </w:rPr>
  </w:style>
  <w:style w:type="paragraph" w:styleId="CommentText">
    <w:name w:val="annotation text"/>
    <w:basedOn w:val="Normal"/>
    <w:link w:val="CommentTextChar"/>
    <w:uiPriority w:val="99"/>
    <w:semiHidden/>
    <w:unhideWhenUsed/>
    <w:rsid w:val="00B145BB"/>
    <w:rPr>
      <w:sz w:val="20"/>
      <w:szCs w:val="20"/>
    </w:rPr>
  </w:style>
  <w:style w:type="character" w:customStyle="1" w:styleId="CommentTextChar">
    <w:name w:val="Comment Text Char"/>
    <w:basedOn w:val="DefaultParagraphFont"/>
    <w:link w:val="CommentText"/>
    <w:uiPriority w:val="99"/>
    <w:semiHidden/>
    <w:rsid w:val="00B145BB"/>
    <w:rPr>
      <w:sz w:val="20"/>
      <w:szCs w:val="20"/>
    </w:rPr>
  </w:style>
  <w:style w:type="paragraph" w:styleId="CommentSubject">
    <w:name w:val="annotation subject"/>
    <w:basedOn w:val="CommentText"/>
    <w:next w:val="CommentText"/>
    <w:link w:val="CommentSubjectChar"/>
    <w:uiPriority w:val="99"/>
    <w:semiHidden/>
    <w:unhideWhenUsed/>
    <w:rsid w:val="00B145BB"/>
    <w:rPr>
      <w:b/>
      <w:bCs/>
    </w:rPr>
  </w:style>
  <w:style w:type="character" w:customStyle="1" w:styleId="CommentSubjectChar">
    <w:name w:val="Comment Subject Char"/>
    <w:basedOn w:val="CommentTextChar"/>
    <w:link w:val="CommentSubject"/>
    <w:uiPriority w:val="99"/>
    <w:semiHidden/>
    <w:rsid w:val="00B145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63EB431CD2F142902156F0E61C8E57" ma:contentTypeVersion="1251" ma:contentTypeDescription="A content type to manage public (operations) IDB documents" ma:contentTypeScope="" ma:versionID="104695e631391e5c41d33077b29ccbff">
  <xsd:schema xmlns:xsd="http://www.w3.org/2001/XMLSchema" xmlns:xs="http://www.w3.org/2001/XMLSchema" xmlns:p="http://schemas.microsoft.com/office/2006/metadata/properties" xmlns:ns2="cdc7663a-08f0-4737-9e8c-148ce897a09c" targetNamespace="http://schemas.microsoft.com/office/2006/metadata/properties" ma:root="true" ma:fieldsID="7cf97d1614556b5e278db3e4cb4357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1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Fazio, Maria Victoria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343</Value>
      <Value>44</Value>
      <Value>79</Value>
      <Value>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RG-T3152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EZSHARE-546805811-3</_dlc_DocId>
    <_dlc_DocIdUrl xmlns="cdc7663a-08f0-4737-9e8c-148ce897a09c">
      <Url>https://idbg.sharepoint.com/teams/EZ-RG-TCP/RG-T3152/_layouts/15/DocIdRedir.aspx?ID=EZSHARE-546805811-3</Url>
      <Description>EZSHARE-546805811-3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Training;Labor and Training;;</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376077A-1742-4CAF-B434-6A2A5CEC5168}"/>
</file>

<file path=customXml/itemProps2.xml><?xml version="1.0" encoding="utf-8"?>
<ds:datastoreItem xmlns:ds="http://schemas.openxmlformats.org/officeDocument/2006/customXml" ds:itemID="{95806DFE-0EF4-4275-8ED6-D07B6238E2B3}"/>
</file>

<file path=customXml/itemProps3.xml><?xml version="1.0" encoding="utf-8"?>
<ds:datastoreItem xmlns:ds="http://schemas.openxmlformats.org/officeDocument/2006/customXml" ds:itemID="{9E6D4D82-8304-4BF9-81EC-A78F930591BA}"/>
</file>

<file path=customXml/itemProps4.xml><?xml version="1.0" encoding="utf-8"?>
<ds:datastoreItem xmlns:ds="http://schemas.openxmlformats.org/officeDocument/2006/customXml" ds:itemID="{B7AFA8BE-DFBB-4083-B4EB-EA91E9611AEE}"/>
</file>

<file path=customXml/itemProps5.xml><?xml version="1.0" encoding="utf-8"?>
<ds:datastoreItem xmlns:ds="http://schemas.openxmlformats.org/officeDocument/2006/customXml" ds:itemID="{1EDC046D-727E-4BC5-AE13-B394B384EFC2}"/>
</file>

<file path=customXml/itemProps6.xml><?xml version="1.0" encoding="utf-8"?>
<ds:datastoreItem xmlns:ds="http://schemas.openxmlformats.org/officeDocument/2006/customXml" ds:itemID="{6CE02BA1-F120-44CA-9A42-244CC03F938E}"/>
</file>

<file path=docProps/app.xml><?xml version="1.0" encoding="utf-8"?>
<Properties xmlns="http://schemas.openxmlformats.org/officeDocument/2006/extended-properties" xmlns:vt="http://schemas.openxmlformats.org/officeDocument/2006/docPropsVTypes">
  <Template>Normal.dotm</Template>
  <TotalTime>1</TotalTime>
  <Pages>3</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Fazio, Maria Victoria</dc:creator>
  <cp:keywords/>
  <cp:lastModifiedBy>Muhlstein, Ethel Rosa</cp:lastModifiedBy>
  <cp:revision>2</cp:revision>
  <dcterms:created xsi:type="dcterms:W3CDTF">2018-11-19T20:20:00Z</dcterms:created>
  <dcterms:modified xsi:type="dcterms:W3CDTF">2018-11-19T20:20:00Z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343;#LABOR INTERMEDIATION SYSTEMS|72d0edb0-5336-43b6-bb2f-05b457738b24</vt:lpwstr>
  </property>
  <property fmtid="{D5CDD505-2E9C-101B-9397-08002B2CF9AE}" pid="7" name="Fund IDB">
    <vt:lpwstr/>
  </property>
  <property fmtid="{D5CDD505-2E9C-101B-9397-08002B2CF9AE}" pid="8" name="Country">
    <vt:lpwstr>44;#Regional|2537a5b7-6d8e-482c-94dc-32c3cc44ff65</vt:lpwstr>
  </property>
  <property fmtid="{D5CDD505-2E9C-101B-9397-08002B2CF9AE}" pid="9" name="Sector IDB">
    <vt:lpwstr>79;#SOCIAL INVESTMENT|3f908695-d5b5-49f6-941f-76876b39564f</vt:lpwstr>
  </property>
  <property fmtid="{D5CDD505-2E9C-101B-9397-08002B2CF9AE}" pid="10" name="Function Operations IDB">
    <vt:lpwstr>2;#Monitoring and Reporting|df3c2aa1-d63e-41aa-b1f5-bb15dee691ca</vt:lpwstr>
  </property>
  <property fmtid="{D5CDD505-2E9C-101B-9397-08002B2CF9AE}" pid="11" name="_dlc_DocIdItemGuid">
    <vt:lpwstr>66216732-99b6-48fc-a154-eb28373af209</vt:lpwstr>
  </property>
  <property fmtid="{D5CDD505-2E9C-101B-9397-08002B2CF9AE}" pid="12" name="ContentTypeId">
    <vt:lpwstr>0x0101001A458A224826124E8B45B1D613300CFC009C63EB431CD2F142902156F0E61C8E57</vt:lpwstr>
  </property>
</Properties>
</file>