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8F44C" w14:textId="77777777" w:rsidR="00A82CE1" w:rsidRPr="00275ACD" w:rsidRDefault="00A82CE1" w:rsidP="00F44CBA">
      <w:pPr>
        <w:jc w:val="both"/>
        <w:rPr>
          <w:b/>
          <w:sz w:val="22"/>
          <w:szCs w:val="22"/>
        </w:rPr>
      </w:pPr>
      <w:r w:rsidRPr="00275ACD">
        <w:rPr>
          <w:b/>
          <w:sz w:val="22"/>
          <w:szCs w:val="22"/>
        </w:rPr>
        <w:t>Saint Lucia</w:t>
      </w:r>
    </w:p>
    <w:p w14:paraId="73A9859F" w14:textId="7D3D2DB3" w:rsidR="00686A2D" w:rsidRPr="00275ACD" w:rsidRDefault="00686A2D">
      <w:pPr>
        <w:jc w:val="both"/>
        <w:rPr>
          <w:b/>
          <w:sz w:val="22"/>
          <w:szCs w:val="22"/>
        </w:rPr>
      </w:pPr>
      <w:r>
        <w:rPr>
          <w:b/>
          <w:sz w:val="22"/>
          <w:szCs w:val="22"/>
        </w:rPr>
        <w:t>RG-T3243</w:t>
      </w:r>
      <w:r w:rsidR="00A82CE1" w:rsidRPr="00275ACD">
        <w:rPr>
          <w:b/>
          <w:sz w:val="22"/>
          <w:szCs w:val="22"/>
        </w:rPr>
        <w:t xml:space="preserve"> </w:t>
      </w:r>
      <w:r>
        <w:rPr>
          <w:b/>
          <w:sz w:val="22"/>
          <w:szCs w:val="22"/>
        </w:rPr>
        <w:t xml:space="preserve">- </w:t>
      </w:r>
      <w:r w:rsidRPr="00686A2D">
        <w:rPr>
          <w:b/>
          <w:sz w:val="22"/>
          <w:szCs w:val="22"/>
        </w:rPr>
        <w:t>Saint Lucia Competitiveness Agenda &amp; Action Plan</w:t>
      </w:r>
    </w:p>
    <w:p w14:paraId="06BAE42D" w14:textId="241ABEFF" w:rsidR="0098255A" w:rsidRPr="00275ACD" w:rsidRDefault="00A82CE1">
      <w:pPr>
        <w:jc w:val="both"/>
        <w:rPr>
          <w:b/>
          <w:sz w:val="22"/>
          <w:szCs w:val="22"/>
        </w:rPr>
      </w:pPr>
      <w:r w:rsidRPr="00275ACD">
        <w:rPr>
          <w:b/>
          <w:sz w:val="22"/>
          <w:szCs w:val="22"/>
        </w:rPr>
        <w:t xml:space="preserve">Technical Assistance to </w:t>
      </w:r>
      <w:r w:rsidR="0098255A" w:rsidRPr="00275ACD">
        <w:rPr>
          <w:b/>
          <w:sz w:val="22"/>
          <w:szCs w:val="22"/>
        </w:rPr>
        <w:t>Implement Priority Competitiveness Reforms in Saint Lucia</w:t>
      </w:r>
    </w:p>
    <w:p w14:paraId="2F98B624" w14:textId="4AD04167" w:rsidR="0098255A" w:rsidRPr="00275ACD" w:rsidRDefault="0098255A">
      <w:pPr>
        <w:jc w:val="both"/>
        <w:rPr>
          <w:rFonts w:eastAsiaTheme="minorHAnsi"/>
          <w:b/>
          <w:sz w:val="22"/>
          <w:szCs w:val="22"/>
          <w:u w:val="single"/>
        </w:rPr>
      </w:pPr>
      <w:r w:rsidRPr="00275ACD">
        <w:rPr>
          <w:rFonts w:eastAsiaTheme="minorHAnsi"/>
          <w:b/>
          <w:sz w:val="22"/>
          <w:szCs w:val="22"/>
          <w:u w:val="single"/>
        </w:rPr>
        <w:t xml:space="preserve"> </w:t>
      </w:r>
    </w:p>
    <w:p w14:paraId="2C5FA845" w14:textId="10905700" w:rsidR="00A82CE1" w:rsidRPr="00275ACD" w:rsidRDefault="00A82CE1">
      <w:pPr>
        <w:jc w:val="both"/>
        <w:rPr>
          <w:rFonts w:eastAsiaTheme="minorHAnsi"/>
          <w:b/>
          <w:sz w:val="22"/>
          <w:szCs w:val="22"/>
          <w:u w:val="single"/>
        </w:rPr>
      </w:pPr>
      <w:r w:rsidRPr="00275ACD">
        <w:rPr>
          <w:rFonts w:eastAsiaTheme="minorHAnsi"/>
          <w:b/>
          <w:sz w:val="22"/>
          <w:szCs w:val="22"/>
          <w:u w:val="single"/>
        </w:rPr>
        <w:t>Background and Justification</w:t>
      </w:r>
    </w:p>
    <w:p w14:paraId="6CC71C81" w14:textId="77777777" w:rsidR="00A82CE1" w:rsidRPr="00275ACD" w:rsidRDefault="00A82CE1">
      <w:pPr>
        <w:widowControl w:val="0"/>
        <w:numPr>
          <w:ilvl w:val="1"/>
          <w:numId w:val="1"/>
        </w:numPr>
        <w:ind w:left="545"/>
        <w:contextualSpacing/>
        <w:jc w:val="both"/>
        <w:rPr>
          <w:rFonts w:eastAsiaTheme="minorHAnsi"/>
          <w:i/>
          <w:sz w:val="22"/>
          <w:szCs w:val="22"/>
        </w:rPr>
      </w:pPr>
      <w:r w:rsidRPr="00275ACD">
        <w:rPr>
          <w:sz w:val="22"/>
          <w:szCs w:val="22"/>
        </w:rPr>
        <w:t>Saint Lucia is an upper-middle income small island developing state and currently the largest economy in the Eastern Caribbean Currency Union (ECCU) with gross domestic product (GDP) of US$1.4 billion in 2016.</w:t>
      </w:r>
      <w:r w:rsidRPr="00275ACD">
        <w:rPr>
          <w:sz w:val="22"/>
          <w:szCs w:val="22"/>
          <w:vertAlign w:val="superscript"/>
        </w:rPr>
        <w:footnoteReference w:id="1"/>
      </w:r>
      <w:r w:rsidRPr="00275ACD">
        <w:rPr>
          <w:sz w:val="22"/>
          <w:szCs w:val="22"/>
        </w:rPr>
        <w:t xml:space="preserve"> Nevertheless, the economic performance of the country has been severely impacted by the global financial crisis of 2007/2008 and the significant damage caused by hurricane Tomas in 2010, the Christmas Trough of 2013 and Hurricane Matthew in 2015</w:t>
      </w:r>
      <w:r w:rsidRPr="00275ACD">
        <w:rPr>
          <w:sz w:val="22"/>
          <w:szCs w:val="22"/>
          <w:vertAlign w:val="superscript"/>
        </w:rPr>
        <w:footnoteReference w:id="2"/>
      </w:r>
      <w:r w:rsidRPr="00275ACD">
        <w:rPr>
          <w:sz w:val="22"/>
          <w:szCs w:val="22"/>
        </w:rPr>
        <w:t xml:space="preserve">. These shocks to the economy have highlighted some structural weaknesses that present great challenges for sustainable development in the near to medium term. In particular, the economy is highly concentrated with the services sector accounting for over 80% of GDP, low productivity stagnates the country’s development prospect and innovation </w:t>
      </w:r>
      <w:proofErr w:type="gramStart"/>
      <w:r w:rsidRPr="00275ACD">
        <w:rPr>
          <w:sz w:val="22"/>
          <w:szCs w:val="22"/>
        </w:rPr>
        <w:t>is</w:t>
      </w:r>
      <w:proofErr w:type="gramEnd"/>
      <w:r w:rsidRPr="00275ACD">
        <w:rPr>
          <w:sz w:val="22"/>
          <w:szCs w:val="22"/>
        </w:rPr>
        <w:t xml:space="preserve"> limited and fractured. Despite several attempts at </w:t>
      </w:r>
      <w:proofErr w:type="spellStart"/>
      <w:r w:rsidRPr="00275ACD">
        <w:rPr>
          <w:sz w:val="22"/>
          <w:szCs w:val="22"/>
        </w:rPr>
        <w:t>analyzing</w:t>
      </w:r>
      <w:proofErr w:type="spellEnd"/>
      <w:r w:rsidRPr="00275ACD">
        <w:rPr>
          <w:sz w:val="22"/>
          <w:szCs w:val="22"/>
        </w:rPr>
        <w:t xml:space="preserve"> the economy, Saint Lucia does not have a clear roadmap to enhance its competitiveness. </w:t>
      </w:r>
    </w:p>
    <w:p w14:paraId="27ABD4FE" w14:textId="77777777" w:rsidR="00D52DB6" w:rsidRPr="00275ACD" w:rsidRDefault="00D52DB6">
      <w:pPr>
        <w:widowControl w:val="0"/>
        <w:jc w:val="both"/>
        <w:rPr>
          <w:sz w:val="22"/>
          <w:szCs w:val="22"/>
        </w:rPr>
      </w:pPr>
    </w:p>
    <w:p w14:paraId="0616E20E" w14:textId="77777777" w:rsidR="00D52DB6" w:rsidRPr="002E612D" w:rsidRDefault="00D52DB6" w:rsidP="00275ACD">
      <w:pPr>
        <w:widowControl w:val="0"/>
        <w:numPr>
          <w:ilvl w:val="1"/>
          <w:numId w:val="1"/>
        </w:numPr>
        <w:ind w:left="545"/>
        <w:contextualSpacing/>
        <w:jc w:val="both"/>
      </w:pPr>
      <w:r w:rsidRPr="00275ACD">
        <w:rPr>
          <w:sz w:val="22"/>
          <w:szCs w:val="22"/>
        </w:rPr>
        <w:t xml:space="preserve">In this regard, the Compete Caribbean Partnership Facility is supporting the implementation of a project titled </w:t>
      </w:r>
      <w:bookmarkStart w:id="0" w:name="_Hlk512867942"/>
      <w:r w:rsidRPr="00275ACD">
        <w:rPr>
          <w:i/>
          <w:sz w:val="22"/>
          <w:szCs w:val="22"/>
        </w:rPr>
        <w:t>Saint Lucia Competitiveness Agenda &amp; Action Plan</w:t>
      </w:r>
      <w:bookmarkEnd w:id="0"/>
      <w:r w:rsidRPr="00275ACD">
        <w:rPr>
          <w:sz w:val="22"/>
          <w:szCs w:val="22"/>
        </w:rPr>
        <w:t xml:space="preserve">.  The </w:t>
      </w:r>
      <w:proofErr w:type="gramStart"/>
      <w:r w:rsidRPr="00275ACD">
        <w:rPr>
          <w:sz w:val="22"/>
          <w:szCs w:val="22"/>
        </w:rPr>
        <w:t>ultimate goal</w:t>
      </w:r>
      <w:proofErr w:type="gramEnd"/>
      <w:r w:rsidRPr="00275ACD">
        <w:rPr>
          <w:sz w:val="22"/>
          <w:szCs w:val="22"/>
        </w:rPr>
        <w:t xml:space="preserve"> of this project is to enhance innovation, productivity and competitiveness and foster sustainable economic growth in Saint Lucia. The specific objectives are to: (</w:t>
      </w:r>
      <w:proofErr w:type="spellStart"/>
      <w:r w:rsidRPr="00275ACD">
        <w:rPr>
          <w:sz w:val="22"/>
          <w:szCs w:val="22"/>
        </w:rPr>
        <w:t>i</w:t>
      </w:r>
      <w:proofErr w:type="spellEnd"/>
      <w:r w:rsidRPr="00275ACD">
        <w:rPr>
          <w:sz w:val="22"/>
          <w:szCs w:val="22"/>
        </w:rPr>
        <w:t>) define a Competitiveness Agenda for the country that reflects public sector, private sector and civil society consensus and focuses on strategic interventions that promote private sector development; (ii) strengthen key institutions that facilitate innovation, productivity and competitiveness and, which will have lead roles in developing and implementing the agenda, in particular the National Completeness and Productivity Council (NCPC) and the Department of Innovation (DOI)</w:t>
      </w:r>
      <w:r w:rsidRPr="00275ACD">
        <w:footnoteReference w:id="3"/>
      </w:r>
      <w:r w:rsidRPr="00275ACD">
        <w:rPr>
          <w:sz w:val="22"/>
          <w:szCs w:val="22"/>
        </w:rPr>
        <w:t>; (iii) increase awareness and understanding of  innovation, productivity and competitiveness among key stakeholders to increase ownership of and capacity to participate in the development and implementation of the Agenda; and (iv) support the implementation of priority vertical reforms detailed in the Agenda.</w:t>
      </w:r>
    </w:p>
    <w:p w14:paraId="36EAD508" w14:textId="77777777" w:rsidR="00D52DB6" w:rsidRPr="00275ACD" w:rsidRDefault="00D52DB6">
      <w:pPr>
        <w:jc w:val="both"/>
        <w:rPr>
          <w:sz w:val="22"/>
          <w:szCs w:val="22"/>
        </w:rPr>
      </w:pPr>
    </w:p>
    <w:p w14:paraId="0606AD26" w14:textId="77777777" w:rsidR="00A82CE1" w:rsidRPr="00275ACD" w:rsidRDefault="00A82CE1">
      <w:pPr>
        <w:widowControl w:val="0"/>
        <w:numPr>
          <w:ilvl w:val="0"/>
          <w:numId w:val="1"/>
        </w:numPr>
        <w:contextualSpacing/>
        <w:jc w:val="both"/>
        <w:rPr>
          <w:rFonts w:eastAsiaTheme="minorHAnsi"/>
          <w:b/>
          <w:sz w:val="22"/>
          <w:szCs w:val="22"/>
          <w:u w:val="single"/>
        </w:rPr>
      </w:pPr>
      <w:r w:rsidRPr="00275ACD">
        <w:rPr>
          <w:rFonts w:eastAsiaTheme="minorHAnsi"/>
          <w:b/>
          <w:sz w:val="22"/>
          <w:szCs w:val="22"/>
          <w:u w:val="single"/>
        </w:rPr>
        <w:t>Objectives</w:t>
      </w:r>
    </w:p>
    <w:p w14:paraId="492D4686" w14:textId="77777777" w:rsidR="00A82CE1" w:rsidRPr="00275ACD" w:rsidRDefault="00A82CE1">
      <w:pPr>
        <w:ind w:left="360"/>
        <w:contextualSpacing/>
        <w:jc w:val="both"/>
        <w:rPr>
          <w:rFonts w:eastAsiaTheme="minorHAnsi"/>
          <w:b/>
          <w:sz w:val="22"/>
          <w:szCs w:val="22"/>
          <w:u w:val="single"/>
        </w:rPr>
      </w:pPr>
      <w:r w:rsidRPr="00275ACD">
        <w:rPr>
          <w:rFonts w:eastAsiaTheme="minorHAnsi"/>
          <w:b/>
          <w:sz w:val="22"/>
          <w:szCs w:val="22"/>
          <w:u w:val="single"/>
        </w:rPr>
        <w:t xml:space="preserve"> </w:t>
      </w:r>
    </w:p>
    <w:p w14:paraId="68F7539A" w14:textId="343E9D9A" w:rsidR="00A82CE1" w:rsidRPr="00275ACD" w:rsidRDefault="00A82CE1">
      <w:pPr>
        <w:widowControl w:val="0"/>
        <w:numPr>
          <w:ilvl w:val="1"/>
          <w:numId w:val="1"/>
        </w:numPr>
        <w:ind w:left="545"/>
        <w:contextualSpacing/>
        <w:jc w:val="both"/>
        <w:rPr>
          <w:rFonts w:eastAsiaTheme="minorHAnsi"/>
          <w:i/>
          <w:sz w:val="22"/>
          <w:szCs w:val="22"/>
        </w:rPr>
      </w:pPr>
      <w:r w:rsidRPr="00275ACD">
        <w:rPr>
          <w:sz w:val="22"/>
          <w:szCs w:val="22"/>
        </w:rPr>
        <w:t xml:space="preserve">The objective of this consultancy is </w:t>
      </w:r>
      <w:r w:rsidR="00D52DB6" w:rsidRPr="00275ACD">
        <w:rPr>
          <w:sz w:val="22"/>
          <w:szCs w:val="22"/>
        </w:rPr>
        <w:t xml:space="preserve">to </w:t>
      </w:r>
      <w:r w:rsidR="00175473" w:rsidRPr="00275ACD">
        <w:rPr>
          <w:sz w:val="22"/>
          <w:szCs w:val="22"/>
        </w:rPr>
        <w:t xml:space="preserve">support </w:t>
      </w:r>
      <w:r w:rsidR="00D52DB6" w:rsidRPr="00275ACD">
        <w:rPr>
          <w:sz w:val="22"/>
          <w:szCs w:val="22"/>
        </w:rPr>
        <w:t xml:space="preserve">the implementation of priority </w:t>
      </w:r>
      <w:r w:rsidR="00175473" w:rsidRPr="00275ACD">
        <w:rPr>
          <w:sz w:val="22"/>
          <w:szCs w:val="22"/>
        </w:rPr>
        <w:t xml:space="preserve">business climate reforms </w:t>
      </w:r>
      <w:r w:rsidR="00D52DB6" w:rsidRPr="00275ACD">
        <w:rPr>
          <w:sz w:val="22"/>
          <w:szCs w:val="22"/>
        </w:rPr>
        <w:t xml:space="preserve">detailed </w:t>
      </w:r>
      <w:r w:rsidR="00175473" w:rsidRPr="00275ACD">
        <w:rPr>
          <w:sz w:val="22"/>
          <w:szCs w:val="22"/>
        </w:rPr>
        <w:t>in Saint Lucia</w:t>
      </w:r>
      <w:r w:rsidR="00D52DB6" w:rsidRPr="00275ACD">
        <w:rPr>
          <w:sz w:val="22"/>
          <w:szCs w:val="22"/>
        </w:rPr>
        <w:t>’s Competitiveness Agenda. More specifically, it is to draft policies, legislation and/or regulations to support improvements in the business and innovation climate.</w:t>
      </w:r>
    </w:p>
    <w:p w14:paraId="734F1B60" w14:textId="77777777" w:rsidR="00A82CE1" w:rsidRPr="00275ACD" w:rsidRDefault="00A82CE1">
      <w:pPr>
        <w:ind w:left="360"/>
        <w:contextualSpacing/>
        <w:jc w:val="both"/>
        <w:rPr>
          <w:rFonts w:eastAsiaTheme="minorHAnsi"/>
          <w:b/>
          <w:sz w:val="22"/>
          <w:szCs w:val="22"/>
          <w:u w:val="single"/>
        </w:rPr>
      </w:pPr>
    </w:p>
    <w:p w14:paraId="16237681" w14:textId="0EDB9882" w:rsidR="00A82CE1" w:rsidRPr="00275ACD" w:rsidRDefault="00B7173A">
      <w:pPr>
        <w:widowControl w:val="0"/>
        <w:numPr>
          <w:ilvl w:val="0"/>
          <w:numId w:val="1"/>
        </w:numPr>
        <w:contextualSpacing/>
        <w:jc w:val="both"/>
        <w:rPr>
          <w:rFonts w:eastAsiaTheme="minorHAnsi"/>
          <w:b/>
          <w:sz w:val="22"/>
          <w:szCs w:val="22"/>
          <w:u w:val="single"/>
        </w:rPr>
      </w:pPr>
      <w:r w:rsidRPr="00275ACD">
        <w:rPr>
          <w:rFonts w:eastAsiaTheme="minorHAnsi"/>
          <w:b/>
          <w:sz w:val="22"/>
          <w:szCs w:val="22"/>
          <w:u w:val="single"/>
        </w:rPr>
        <w:t>Scope of Services</w:t>
      </w:r>
    </w:p>
    <w:p w14:paraId="3A891EE8" w14:textId="77777777" w:rsidR="00A82CE1" w:rsidRPr="00275ACD" w:rsidRDefault="00A82CE1">
      <w:pPr>
        <w:widowControl w:val="0"/>
        <w:contextualSpacing/>
        <w:jc w:val="both"/>
        <w:rPr>
          <w:rFonts w:eastAsia="Times New Roman"/>
          <w:sz w:val="22"/>
          <w:szCs w:val="22"/>
        </w:rPr>
      </w:pPr>
    </w:p>
    <w:p w14:paraId="602BA815" w14:textId="6617C8DB" w:rsidR="00D52DB6" w:rsidRPr="00275ACD" w:rsidRDefault="00175473" w:rsidP="00275ACD">
      <w:pPr>
        <w:widowControl w:val="0"/>
        <w:numPr>
          <w:ilvl w:val="1"/>
          <w:numId w:val="1"/>
        </w:numPr>
        <w:ind w:left="545" w:hanging="545"/>
        <w:contextualSpacing/>
        <w:jc w:val="both"/>
        <w:rPr>
          <w:sz w:val="22"/>
          <w:szCs w:val="22"/>
        </w:rPr>
      </w:pPr>
      <w:r w:rsidRPr="00275ACD">
        <w:rPr>
          <w:sz w:val="22"/>
          <w:szCs w:val="22"/>
        </w:rPr>
        <w:t xml:space="preserve">The consultant(s) working on this assignment will support the </w:t>
      </w:r>
      <w:r w:rsidR="00D52DB6" w:rsidRPr="00275ACD">
        <w:rPr>
          <w:sz w:val="22"/>
          <w:szCs w:val="22"/>
        </w:rPr>
        <w:t xml:space="preserve">Government of Saint Lucia with kick-starting the implementation of the Competitiveness Agenda developed under the Compete Caribbean supported project </w:t>
      </w:r>
      <w:r w:rsidR="00D52DB6" w:rsidRPr="00275ACD">
        <w:rPr>
          <w:i/>
          <w:sz w:val="22"/>
          <w:szCs w:val="22"/>
        </w:rPr>
        <w:t>Saint Lucia Competitiveness Agenda &amp; Action Plan.</w:t>
      </w:r>
      <w:r w:rsidR="00D52DB6" w:rsidRPr="00275ACD">
        <w:rPr>
          <w:sz w:val="22"/>
          <w:szCs w:val="22"/>
        </w:rPr>
        <w:t xml:space="preserve">  The assignment will focus on implementing priority vertical business climate reforms</w:t>
      </w:r>
      <w:r w:rsidR="00F83EE4" w:rsidRPr="00275ACD">
        <w:rPr>
          <w:sz w:val="22"/>
          <w:szCs w:val="22"/>
        </w:rPr>
        <w:t>, building on ongoing efforts to address horizontal reforms</w:t>
      </w:r>
      <w:r w:rsidR="003955AA" w:rsidRPr="00275ACD">
        <w:rPr>
          <w:sz w:val="22"/>
          <w:szCs w:val="22"/>
        </w:rPr>
        <w:t xml:space="preserve"> supported by Compete Caribbean and other development partners</w:t>
      </w:r>
      <w:r w:rsidR="00F83EE4" w:rsidRPr="00275ACD">
        <w:rPr>
          <w:sz w:val="22"/>
          <w:szCs w:val="22"/>
        </w:rPr>
        <w:t>.</w:t>
      </w:r>
    </w:p>
    <w:p w14:paraId="6633EB76" w14:textId="77777777" w:rsidR="00D52DB6" w:rsidRPr="00275ACD" w:rsidRDefault="00D52DB6" w:rsidP="00275ACD">
      <w:pPr>
        <w:widowControl w:val="0"/>
        <w:contextualSpacing/>
        <w:jc w:val="both"/>
        <w:rPr>
          <w:sz w:val="22"/>
          <w:szCs w:val="22"/>
        </w:rPr>
      </w:pPr>
    </w:p>
    <w:p w14:paraId="5AF37B3D" w14:textId="291D799D" w:rsidR="00175473" w:rsidRPr="00275ACD" w:rsidRDefault="00F83EE4" w:rsidP="00275ACD">
      <w:pPr>
        <w:widowControl w:val="0"/>
        <w:numPr>
          <w:ilvl w:val="1"/>
          <w:numId w:val="1"/>
        </w:numPr>
        <w:ind w:left="545" w:hanging="545"/>
        <w:contextualSpacing/>
        <w:jc w:val="both"/>
        <w:rPr>
          <w:sz w:val="22"/>
          <w:szCs w:val="22"/>
        </w:rPr>
      </w:pPr>
      <w:r w:rsidRPr="00275ACD">
        <w:rPr>
          <w:sz w:val="22"/>
          <w:szCs w:val="22"/>
        </w:rPr>
        <w:t>The specific reforms to be undertaken will be determined by the Competitive Agenda.  Key activities</w:t>
      </w:r>
      <w:r w:rsidR="003955AA" w:rsidRPr="00275ACD">
        <w:rPr>
          <w:sz w:val="22"/>
          <w:szCs w:val="22"/>
        </w:rPr>
        <w:t xml:space="preserve">, will be conducted using a very participatory approach, and </w:t>
      </w:r>
      <w:r w:rsidRPr="00275ACD">
        <w:rPr>
          <w:sz w:val="22"/>
          <w:szCs w:val="22"/>
        </w:rPr>
        <w:t xml:space="preserve">are likely to include (a) a review of the Competitiveness Agenda; (b) liaising with key stakeholders and review of existing sector data to understand </w:t>
      </w:r>
      <w:r w:rsidR="003955AA" w:rsidRPr="00275ACD">
        <w:rPr>
          <w:sz w:val="22"/>
          <w:szCs w:val="22"/>
        </w:rPr>
        <w:t xml:space="preserve">the </w:t>
      </w:r>
      <w:r w:rsidRPr="00275ACD">
        <w:rPr>
          <w:sz w:val="22"/>
          <w:szCs w:val="22"/>
        </w:rPr>
        <w:t xml:space="preserve">existing body of knowledge and identify data gaps; (c)  development of a Work Plan; (d) comprehensive sector analysis and </w:t>
      </w:r>
      <w:bookmarkStart w:id="2" w:name="_Hlk513114731"/>
      <w:r w:rsidRPr="00275ACD">
        <w:rPr>
          <w:sz w:val="22"/>
          <w:szCs w:val="22"/>
        </w:rPr>
        <w:t>formulation of recommendations for reform of the policy, legislative, regulatory and institutional framework</w:t>
      </w:r>
      <w:bookmarkEnd w:id="2"/>
      <w:r w:rsidRPr="00275ACD">
        <w:rPr>
          <w:sz w:val="22"/>
          <w:szCs w:val="22"/>
        </w:rPr>
        <w:t xml:space="preserve">; </w:t>
      </w:r>
      <w:r w:rsidR="003955AA" w:rsidRPr="00275ACD">
        <w:rPr>
          <w:sz w:val="22"/>
          <w:szCs w:val="22"/>
        </w:rPr>
        <w:t xml:space="preserve">and </w:t>
      </w:r>
      <w:r w:rsidRPr="00275ACD">
        <w:rPr>
          <w:sz w:val="22"/>
          <w:szCs w:val="22"/>
        </w:rPr>
        <w:t>(e) drafting</w:t>
      </w:r>
      <w:r w:rsidR="003955AA" w:rsidRPr="00275ACD">
        <w:rPr>
          <w:sz w:val="22"/>
          <w:szCs w:val="22"/>
        </w:rPr>
        <w:t xml:space="preserve"> of </w:t>
      </w:r>
      <w:bookmarkStart w:id="3" w:name="_Hlk513114923"/>
      <w:r w:rsidR="003955AA" w:rsidRPr="00275ACD">
        <w:rPr>
          <w:sz w:val="22"/>
          <w:szCs w:val="22"/>
        </w:rPr>
        <w:t>policies, legislation, regulations and/or the design of improved institutional arrangements</w:t>
      </w:r>
      <w:bookmarkEnd w:id="3"/>
      <w:r w:rsidR="003955AA" w:rsidRPr="00275ACD">
        <w:rPr>
          <w:sz w:val="22"/>
          <w:szCs w:val="22"/>
        </w:rPr>
        <w:t>.</w:t>
      </w:r>
    </w:p>
    <w:p w14:paraId="1F195104" w14:textId="77777777" w:rsidR="00A82CE1" w:rsidRPr="00275ACD" w:rsidRDefault="00A82CE1">
      <w:pPr>
        <w:widowControl w:val="0"/>
        <w:ind w:left="792"/>
        <w:contextualSpacing/>
        <w:jc w:val="both"/>
        <w:rPr>
          <w:rFonts w:eastAsiaTheme="minorHAnsi"/>
          <w:b/>
          <w:i/>
          <w:sz w:val="22"/>
          <w:szCs w:val="22"/>
        </w:rPr>
      </w:pPr>
    </w:p>
    <w:p w14:paraId="73EE707C" w14:textId="77777777" w:rsidR="00F44CBA" w:rsidRPr="00F44CBA" w:rsidRDefault="00F44CBA">
      <w:pPr>
        <w:contextualSpacing/>
        <w:jc w:val="both"/>
        <w:rPr>
          <w:rFonts w:eastAsiaTheme="minorHAnsi"/>
          <w:sz w:val="22"/>
          <w:szCs w:val="22"/>
        </w:rPr>
      </w:pPr>
    </w:p>
    <w:p w14:paraId="1D5E3DC2" w14:textId="77777777" w:rsidR="00F44CBA" w:rsidRPr="00F44CBA" w:rsidRDefault="00F44CBA">
      <w:pPr>
        <w:widowControl w:val="0"/>
        <w:numPr>
          <w:ilvl w:val="0"/>
          <w:numId w:val="1"/>
        </w:numPr>
        <w:ind w:left="720" w:hanging="720"/>
        <w:contextualSpacing/>
        <w:rPr>
          <w:rFonts w:eastAsiaTheme="minorHAnsi"/>
          <w:b/>
          <w:sz w:val="22"/>
          <w:szCs w:val="22"/>
          <w:u w:val="single"/>
        </w:rPr>
      </w:pPr>
      <w:r w:rsidRPr="00F44CBA">
        <w:rPr>
          <w:rFonts w:eastAsiaTheme="minorHAnsi"/>
          <w:b/>
          <w:sz w:val="22"/>
          <w:szCs w:val="22"/>
          <w:u w:val="single"/>
        </w:rPr>
        <w:t>Key Activities</w:t>
      </w:r>
    </w:p>
    <w:p w14:paraId="437406EE" w14:textId="77777777" w:rsidR="00F44CBA" w:rsidRPr="00F44CBA" w:rsidRDefault="00F44CBA">
      <w:pPr>
        <w:jc w:val="both"/>
        <w:rPr>
          <w:rFonts w:eastAsiaTheme="minorHAnsi"/>
          <w:sz w:val="22"/>
          <w:szCs w:val="22"/>
        </w:rPr>
      </w:pPr>
    </w:p>
    <w:p w14:paraId="553AAEED" w14:textId="77777777" w:rsidR="00F44CBA" w:rsidRPr="00F44CBA" w:rsidRDefault="00F44CBA">
      <w:pPr>
        <w:jc w:val="both"/>
        <w:rPr>
          <w:rFonts w:eastAsiaTheme="minorHAnsi"/>
          <w:sz w:val="22"/>
          <w:szCs w:val="22"/>
        </w:rPr>
      </w:pPr>
      <w:r w:rsidRPr="00F44CBA">
        <w:rPr>
          <w:rFonts w:eastAsiaTheme="minorHAnsi"/>
          <w:sz w:val="22"/>
          <w:szCs w:val="22"/>
        </w:rPr>
        <w:t>The contractual will carry out the following key activities that will facilitate the achievement of the objective:</w:t>
      </w:r>
    </w:p>
    <w:p w14:paraId="4755AB77" w14:textId="77777777" w:rsidR="00F44CBA" w:rsidRPr="00F44CBA" w:rsidRDefault="00F44CBA">
      <w:pPr>
        <w:jc w:val="both"/>
        <w:rPr>
          <w:rFonts w:eastAsiaTheme="minorHAnsi"/>
          <w:sz w:val="22"/>
          <w:szCs w:val="22"/>
        </w:rPr>
      </w:pPr>
    </w:p>
    <w:p w14:paraId="3C9FC740"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Liaise with Compete Caribbean and the Government of </w:t>
      </w:r>
      <w:r w:rsidRPr="00275ACD">
        <w:rPr>
          <w:rFonts w:eastAsiaTheme="minorHAnsi"/>
          <w:sz w:val="22"/>
          <w:szCs w:val="22"/>
        </w:rPr>
        <w:t>Saint Lucia</w:t>
      </w:r>
      <w:r w:rsidRPr="00F44CBA">
        <w:rPr>
          <w:rFonts w:eastAsiaTheme="minorHAnsi"/>
          <w:sz w:val="22"/>
          <w:szCs w:val="22"/>
        </w:rPr>
        <w:t xml:space="preserve">, through the </w:t>
      </w:r>
      <w:r w:rsidRPr="00275ACD">
        <w:rPr>
          <w:rFonts w:eastAsiaTheme="minorHAnsi"/>
          <w:sz w:val="22"/>
          <w:szCs w:val="22"/>
        </w:rPr>
        <w:t>NCPC</w:t>
      </w:r>
      <w:r w:rsidRPr="00F44CBA">
        <w:rPr>
          <w:rFonts w:eastAsiaTheme="minorHAnsi"/>
          <w:sz w:val="22"/>
          <w:szCs w:val="22"/>
        </w:rPr>
        <w:t xml:space="preserve"> and other local stakeholders to develop a more in-depth understanding of the assignment.</w:t>
      </w:r>
    </w:p>
    <w:p w14:paraId="58ABC5FA" w14:textId="77777777" w:rsidR="00F44CBA" w:rsidRPr="00F44CBA" w:rsidRDefault="00F44CBA">
      <w:pPr>
        <w:widowControl w:val="0"/>
        <w:contextualSpacing/>
        <w:jc w:val="both"/>
        <w:rPr>
          <w:rFonts w:eastAsiaTheme="minorHAnsi"/>
          <w:sz w:val="22"/>
          <w:szCs w:val="22"/>
        </w:rPr>
      </w:pPr>
    </w:p>
    <w:p w14:paraId="50D6FEF5"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Review background documents and liaise with sector stakeholders to identify </w:t>
      </w:r>
      <w:r w:rsidRPr="00275ACD">
        <w:rPr>
          <w:rFonts w:eastAsiaTheme="minorHAnsi"/>
          <w:sz w:val="22"/>
          <w:szCs w:val="22"/>
        </w:rPr>
        <w:t>existing and data gaps</w:t>
      </w:r>
      <w:r w:rsidRPr="00F44CBA">
        <w:rPr>
          <w:rFonts w:eastAsiaTheme="minorHAnsi"/>
          <w:sz w:val="22"/>
          <w:szCs w:val="22"/>
        </w:rPr>
        <w:t xml:space="preserve">. </w:t>
      </w:r>
    </w:p>
    <w:p w14:paraId="62FFCF80"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0AC83AD1"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Prepare a detailed Work Plan including a data collection plan and data collection instruments.</w:t>
      </w:r>
    </w:p>
    <w:p w14:paraId="3E852B2F"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15D679F3" w14:textId="5E4AF5FF"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Collect and </w:t>
      </w:r>
      <w:proofErr w:type="spellStart"/>
      <w:r w:rsidRPr="00F44CBA">
        <w:rPr>
          <w:rFonts w:eastAsiaTheme="minorHAnsi"/>
          <w:sz w:val="22"/>
          <w:szCs w:val="22"/>
        </w:rPr>
        <w:t>analyze</w:t>
      </w:r>
      <w:proofErr w:type="spellEnd"/>
      <w:r w:rsidRPr="00F44CBA">
        <w:rPr>
          <w:rFonts w:eastAsiaTheme="minorHAnsi"/>
          <w:sz w:val="22"/>
          <w:szCs w:val="22"/>
        </w:rPr>
        <w:t xml:space="preserve"> data</w:t>
      </w:r>
      <w:r w:rsidRPr="00275ACD">
        <w:rPr>
          <w:rFonts w:eastAsiaTheme="minorHAnsi"/>
          <w:sz w:val="22"/>
          <w:szCs w:val="22"/>
        </w:rPr>
        <w:t>,</w:t>
      </w:r>
      <w:r w:rsidRPr="00F44CBA">
        <w:rPr>
          <w:rFonts w:eastAsiaTheme="minorHAnsi"/>
          <w:sz w:val="22"/>
          <w:szCs w:val="22"/>
        </w:rPr>
        <w:t xml:space="preserve"> and prepare a draft </w:t>
      </w:r>
      <w:r w:rsidRPr="00275ACD">
        <w:rPr>
          <w:rFonts w:eastAsiaTheme="minorHAnsi"/>
          <w:sz w:val="22"/>
          <w:szCs w:val="22"/>
        </w:rPr>
        <w:t xml:space="preserve">Situational Analysis that </w:t>
      </w:r>
      <w:r w:rsidR="002E612D" w:rsidRPr="00275ACD">
        <w:rPr>
          <w:rFonts w:eastAsiaTheme="minorHAnsi"/>
          <w:sz w:val="22"/>
          <w:szCs w:val="22"/>
        </w:rPr>
        <w:t>includes</w:t>
      </w:r>
      <w:r w:rsidRPr="00275ACD">
        <w:rPr>
          <w:sz w:val="22"/>
          <w:szCs w:val="22"/>
        </w:rPr>
        <w:t xml:space="preserve"> recommendations for reform of the policy, legislative, regulatory and institutional </w:t>
      </w:r>
      <w:proofErr w:type="gramStart"/>
      <w:r w:rsidRPr="00275ACD">
        <w:rPr>
          <w:sz w:val="22"/>
          <w:szCs w:val="22"/>
        </w:rPr>
        <w:t>framework</w:t>
      </w:r>
      <w:r w:rsidRPr="00275ACD" w:rsidDel="006A1C86">
        <w:rPr>
          <w:rFonts w:eastAsiaTheme="minorHAnsi"/>
          <w:sz w:val="22"/>
          <w:szCs w:val="22"/>
        </w:rPr>
        <w:t xml:space="preserve"> </w:t>
      </w:r>
      <w:r w:rsidRPr="00275ACD">
        <w:rPr>
          <w:rFonts w:eastAsiaTheme="minorHAnsi"/>
          <w:sz w:val="22"/>
          <w:szCs w:val="22"/>
        </w:rPr>
        <w:t>.</w:t>
      </w:r>
      <w:proofErr w:type="gramEnd"/>
    </w:p>
    <w:p w14:paraId="60112AE1"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0DA6DE25"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Design and facilitate a stakeholder workshop to validate the data collected</w:t>
      </w:r>
      <w:r w:rsidRPr="00275ACD">
        <w:rPr>
          <w:rFonts w:eastAsiaTheme="minorHAnsi"/>
          <w:sz w:val="22"/>
          <w:szCs w:val="22"/>
        </w:rPr>
        <w:t>,</w:t>
      </w:r>
      <w:r w:rsidRPr="00F44CBA">
        <w:rPr>
          <w:rFonts w:eastAsiaTheme="minorHAnsi"/>
          <w:sz w:val="22"/>
          <w:szCs w:val="22"/>
        </w:rPr>
        <w:t xml:space="preserve"> discuss and provide feedback on </w:t>
      </w:r>
      <w:r w:rsidRPr="00275ACD">
        <w:rPr>
          <w:rFonts w:eastAsiaTheme="minorHAnsi"/>
          <w:sz w:val="22"/>
          <w:szCs w:val="22"/>
        </w:rPr>
        <w:t xml:space="preserve">the </w:t>
      </w:r>
      <w:r w:rsidRPr="00F44CBA">
        <w:rPr>
          <w:rFonts w:eastAsiaTheme="minorHAnsi"/>
          <w:sz w:val="22"/>
          <w:szCs w:val="22"/>
        </w:rPr>
        <w:t>recommendations</w:t>
      </w:r>
      <w:r w:rsidRPr="00275ACD">
        <w:rPr>
          <w:rFonts w:eastAsiaTheme="minorHAnsi"/>
          <w:sz w:val="22"/>
          <w:szCs w:val="22"/>
        </w:rPr>
        <w:t>.</w:t>
      </w:r>
    </w:p>
    <w:p w14:paraId="55A4F434" w14:textId="77777777" w:rsidR="00F44CBA" w:rsidRPr="00F44CBA" w:rsidRDefault="00F44CBA">
      <w:pPr>
        <w:widowControl w:val="0"/>
        <w:ind w:left="-360"/>
        <w:contextualSpacing/>
        <w:jc w:val="both"/>
        <w:rPr>
          <w:rFonts w:eastAsiaTheme="minorHAnsi"/>
          <w:sz w:val="22"/>
          <w:szCs w:val="22"/>
        </w:rPr>
      </w:pPr>
    </w:p>
    <w:p w14:paraId="343942A9"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Revise the draft </w:t>
      </w:r>
      <w:r w:rsidRPr="00275ACD">
        <w:rPr>
          <w:rFonts w:eastAsiaTheme="minorHAnsi"/>
          <w:sz w:val="22"/>
          <w:szCs w:val="22"/>
        </w:rPr>
        <w:t>Situational Analysis</w:t>
      </w:r>
      <w:r w:rsidRPr="00F44CBA">
        <w:rPr>
          <w:rFonts w:eastAsiaTheme="minorHAnsi"/>
          <w:sz w:val="22"/>
          <w:szCs w:val="22"/>
        </w:rPr>
        <w:t xml:space="preserve"> based on feedback from the stakeholder workshop, </w:t>
      </w:r>
      <w:r w:rsidRPr="00275ACD">
        <w:rPr>
          <w:rFonts w:eastAsiaTheme="minorHAnsi"/>
          <w:sz w:val="22"/>
          <w:szCs w:val="22"/>
        </w:rPr>
        <w:t>NCPC</w:t>
      </w:r>
      <w:r w:rsidRPr="00F44CBA">
        <w:rPr>
          <w:rFonts w:eastAsiaTheme="minorHAnsi"/>
          <w:sz w:val="22"/>
          <w:szCs w:val="22"/>
        </w:rPr>
        <w:t xml:space="preserve"> and Compete Caribbean.</w:t>
      </w:r>
    </w:p>
    <w:p w14:paraId="13BF2A15" w14:textId="77777777" w:rsidR="00F44CBA" w:rsidRPr="00F44CBA" w:rsidRDefault="00F44CBA">
      <w:pPr>
        <w:widowControl w:val="0"/>
        <w:ind w:left="-360"/>
        <w:contextualSpacing/>
        <w:jc w:val="both"/>
        <w:rPr>
          <w:rFonts w:eastAsiaTheme="minorHAnsi"/>
          <w:sz w:val="22"/>
          <w:szCs w:val="22"/>
        </w:rPr>
      </w:pPr>
    </w:p>
    <w:p w14:paraId="27BE358E"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Working closely with </w:t>
      </w:r>
      <w:r w:rsidRPr="00275ACD">
        <w:rPr>
          <w:rFonts w:eastAsiaTheme="minorHAnsi"/>
          <w:sz w:val="22"/>
          <w:szCs w:val="22"/>
        </w:rPr>
        <w:t>teams of stakeholder</w:t>
      </w:r>
      <w:r w:rsidRPr="00F44CBA">
        <w:rPr>
          <w:rFonts w:eastAsiaTheme="minorHAnsi"/>
          <w:sz w:val="22"/>
          <w:szCs w:val="22"/>
        </w:rPr>
        <w:t xml:space="preserve">, prepare a </w:t>
      </w:r>
      <w:proofErr w:type="gramStart"/>
      <w:r w:rsidRPr="00F44CBA">
        <w:rPr>
          <w:rFonts w:eastAsiaTheme="minorHAnsi"/>
          <w:sz w:val="22"/>
          <w:szCs w:val="22"/>
        </w:rPr>
        <w:t xml:space="preserve">draft </w:t>
      </w:r>
      <w:r w:rsidRPr="00275ACD">
        <w:rPr>
          <w:rFonts w:eastAsiaTheme="minorHAnsi"/>
          <w:sz w:val="22"/>
          <w:szCs w:val="22"/>
        </w:rPr>
        <w:t xml:space="preserve"> versions</w:t>
      </w:r>
      <w:proofErr w:type="gramEnd"/>
      <w:r w:rsidRPr="00275ACD">
        <w:rPr>
          <w:rFonts w:eastAsiaTheme="minorHAnsi"/>
          <w:sz w:val="22"/>
          <w:szCs w:val="22"/>
        </w:rPr>
        <w:t xml:space="preserve"> of the </w:t>
      </w:r>
      <w:r w:rsidRPr="00275ACD">
        <w:rPr>
          <w:sz w:val="22"/>
          <w:szCs w:val="22"/>
        </w:rPr>
        <w:t>policies, legislation, regulations and/or the design of improved institutional arrangements</w:t>
      </w:r>
      <w:r w:rsidRPr="00F44CBA">
        <w:rPr>
          <w:rFonts w:eastAsiaTheme="minorHAnsi"/>
          <w:sz w:val="22"/>
          <w:szCs w:val="22"/>
        </w:rPr>
        <w:t>.</w:t>
      </w:r>
    </w:p>
    <w:p w14:paraId="47195ED4"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3357C77A"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Design and facilitate a stakeholder </w:t>
      </w:r>
      <w:r w:rsidRPr="00275ACD">
        <w:rPr>
          <w:rFonts w:eastAsiaTheme="minorHAnsi"/>
          <w:sz w:val="22"/>
          <w:szCs w:val="22"/>
        </w:rPr>
        <w:t>meeting</w:t>
      </w:r>
      <w:r w:rsidRPr="00F44CBA">
        <w:rPr>
          <w:rFonts w:eastAsiaTheme="minorHAnsi"/>
          <w:sz w:val="22"/>
          <w:szCs w:val="22"/>
        </w:rPr>
        <w:t xml:space="preserve"> to discuss and obtain feedback on the </w:t>
      </w:r>
      <w:r w:rsidRPr="00275ACD">
        <w:rPr>
          <w:rFonts w:eastAsiaTheme="minorHAnsi"/>
          <w:sz w:val="22"/>
          <w:szCs w:val="22"/>
        </w:rPr>
        <w:t>draft outputs</w:t>
      </w:r>
      <w:r w:rsidRPr="00F44CBA">
        <w:rPr>
          <w:rFonts w:eastAsiaTheme="minorHAnsi"/>
          <w:sz w:val="22"/>
          <w:szCs w:val="22"/>
        </w:rPr>
        <w:t>.</w:t>
      </w:r>
    </w:p>
    <w:p w14:paraId="498C72B4"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2C1945FF" w14:textId="77777777" w:rsidR="00F44CBA" w:rsidRPr="00F44CBA" w:rsidRDefault="00F44CBA">
      <w:pPr>
        <w:widowControl w:val="0"/>
        <w:numPr>
          <w:ilvl w:val="1"/>
          <w:numId w:val="10"/>
        </w:numPr>
        <w:ind w:left="720" w:hanging="720"/>
        <w:contextualSpacing/>
        <w:jc w:val="both"/>
        <w:rPr>
          <w:rFonts w:eastAsiaTheme="minorHAnsi"/>
          <w:sz w:val="22"/>
          <w:szCs w:val="22"/>
        </w:rPr>
      </w:pPr>
      <w:r w:rsidRPr="00F44CBA">
        <w:rPr>
          <w:rFonts w:eastAsiaTheme="minorHAnsi"/>
          <w:sz w:val="22"/>
          <w:szCs w:val="22"/>
        </w:rPr>
        <w:t xml:space="preserve">Finalize </w:t>
      </w:r>
      <w:r w:rsidRPr="00275ACD">
        <w:rPr>
          <w:sz w:val="22"/>
          <w:szCs w:val="22"/>
        </w:rPr>
        <w:t xml:space="preserve">policies, legislation, regulations and/or the design of improved institutional </w:t>
      </w:r>
      <w:proofErr w:type="gramStart"/>
      <w:r w:rsidRPr="00275ACD">
        <w:rPr>
          <w:sz w:val="22"/>
          <w:szCs w:val="22"/>
        </w:rPr>
        <w:t>arrangements</w:t>
      </w:r>
      <w:r w:rsidRPr="00275ACD" w:rsidDel="00AE3A0C">
        <w:rPr>
          <w:rFonts w:eastAsiaTheme="minorHAnsi"/>
          <w:sz w:val="22"/>
          <w:szCs w:val="22"/>
        </w:rPr>
        <w:t xml:space="preserve"> </w:t>
      </w:r>
      <w:r w:rsidRPr="00275ACD">
        <w:rPr>
          <w:rFonts w:eastAsiaTheme="minorHAnsi"/>
          <w:sz w:val="22"/>
          <w:szCs w:val="22"/>
        </w:rPr>
        <w:t xml:space="preserve"> based</w:t>
      </w:r>
      <w:proofErr w:type="gramEnd"/>
      <w:r w:rsidRPr="00275ACD">
        <w:rPr>
          <w:rFonts w:eastAsiaTheme="minorHAnsi"/>
          <w:sz w:val="22"/>
          <w:szCs w:val="22"/>
        </w:rPr>
        <w:t xml:space="preserve"> on </w:t>
      </w:r>
      <w:r w:rsidRPr="00F44CBA">
        <w:rPr>
          <w:rFonts w:eastAsiaTheme="minorHAnsi"/>
          <w:sz w:val="22"/>
          <w:szCs w:val="22"/>
        </w:rPr>
        <w:t xml:space="preserve">feedback from the stakeholder workshop, </w:t>
      </w:r>
      <w:r w:rsidRPr="00275ACD">
        <w:rPr>
          <w:rFonts w:eastAsiaTheme="minorHAnsi"/>
          <w:sz w:val="22"/>
          <w:szCs w:val="22"/>
        </w:rPr>
        <w:t>NCPC</w:t>
      </w:r>
      <w:r w:rsidRPr="00F44CBA">
        <w:rPr>
          <w:rFonts w:eastAsiaTheme="minorHAnsi"/>
          <w:sz w:val="22"/>
          <w:szCs w:val="22"/>
        </w:rPr>
        <w:t xml:space="preserve"> and Compete Caribbean. </w:t>
      </w:r>
    </w:p>
    <w:p w14:paraId="609F22F9" w14:textId="77777777" w:rsidR="00F44CBA" w:rsidRPr="00F44CBA" w:rsidRDefault="00F44CBA">
      <w:pPr>
        <w:widowControl w:val="0"/>
        <w:contextualSpacing/>
        <w:jc w:val="both"/>
        <w:rPr>
          <w:rFonts w:eastAsiaTheme="minorHAnsi"/>
          <w:sz w:val="22"/>
          <w:szCs w:val="22"/>
        </w:rPr>
      </w:pPr>
    </w:p>
    <w:p w14:paraId="540D9468" w14:textId="77777777" w:rsidR="00F44CBA" w:rsidRPr="00F44CBA" w:rsidRDefault="00F44CBA">
      <w:pPr>
        <w:widowControl w:val="0"/>
        <w:jc w:val="both"/>
        <w:rPr>
          <w:rFonts w:eastAsiaTheme="minorHAnsi"/>
          <w:sz w:val="22"/>
          <w:szCs w:val="22"/>
        </w:rPr>
      </w:pPr>
    </w:p>
    <w:p w14:paraId="28032D7A" w14:textId="77777777" w:rsidR="00F44CBA" w:rsidRPr="00F44CBA" w:rsidRDefault="00F44CBA">
      <w:pPr>
        <w:widowControl w:val="0"/>
        <w:numPr>
          <w:ilvl w:val="0"/>
          <w:numId w:val="1"/>
        </w:numPr>
        <w:ind w:left="720" w:hanging="720"/>
        <w:contextualSpacing/>
        <w:rPr>
          <w:rFonts w:eastAsiaTheme="minorHAnsi"/>
          <w:b/>
          <w:sz w:val="22"/>
          <w:szCs w:val="22"/>
          <w:u w:val="single"/>
        </w:rPr>
      </w:pPr>
      <w:r w:rsidRPr="00F44CBA">
        <w:rPr>
          <w:rFonts w:eastAsiaTheme="minorHAnsi"/>
          <w:b/>
          <w:sz w:val="22"/>
          <w:szCs w:val="22"/>
          <w:u w:val="single"/>
        </w:rPr>
        <w:t>Expected Outcome and Deliverables</w:t>
      </w:r>
    </w:p>
    <w:p w14:paraId="1CF4770A" w14:textId="77777777" w:rsidR="00F44CBA" w:rsidRPr="00F44CBA" w:rsidRDefault="00F44CBA">
      <w:pPr>
        <w:widowControl w:val="0"/>
        <w:ind w:left="360"/>
        <w:contextualSpacing/>
        <w:jc w:val="both"/>
        <w:rPr>
          <w:rFonts w:eastAsiaTheme="minorHAnsi"/>
          <w:sz w:val="22"/>
          <w:szCs w:val="22"/>
        </w:rPr>
      </w:pPr>
    </w:p>
    <w:p w14:paraId="69878CAD" w14:textId="77777777" w:rsidR="00F44CBA" w:rsidRPr="00F44CBA" w:rsidRDefault="00F44CBA">
      <w:pPr>
        <w:ind w:left="360" w:hanging="360"/>
        <w:contextualSpacing/>
        <w:jc w:val="both"/>
        <w:rPr>
          <w:rFonts w:eastAsiaTheme="minorHAnsi"/>
          <w:sz w:val="22"/>
          <w:szCs w:val="22"/>
        </w:rPr>
      </w:pPr>
      <w:r w:rsidRPr="00F44CBA">
        <w:rPr>
          <w:rFonts w:eastAsiaTheme="minorHAnsi"/>
          <w:sz w:val="22"/>
          <w:szCs w:val="22"/>
        </w:rPr>
        <w:t>The expected deliverables from this project are;</w:t>
      </w:r>
    </w:p>
    <w:p w14:paraId="102CC515" w14:textId="77777777" w:rsidR="00F44CBA" w:rsidRPr="00F44CBA" w:rsidRDefault="00F44CBA">
      <w:pPr>
        <w:jc w:val="both"/>
        <w:rPr>
          <w:rFonts w:eastAsiaTheme="minorHAnsi"/>
          <w:sz w:val="22"/>
          <w:szCs w:val="22"/>
        </w:rPr>
      </w:pPr>
    </w:p>
    <w:p w14:paraId="20917040" w14:textId="77777777" w:rsidR="00F44CBA" w:rsidRPr="00F44CBA" w:rsidRDefault="00F44CBA">
      <w:pPr>
        <w:widowControl w:val="0"/>
        <w:numPr>
          <w:ilvl w:val="1"/>
          <w:numId w:val="11"/>
        </w:numPr>
        <w:ind w:left="720" w:hanging="720"/>
        <w:contextualSpacing/>
        <w:jc w:val="both"/>
        <w:rPr>
          <w:rFonts w:eastAsiaTheme="minorHAnsi"/>
          <w:sz w:val="22"/>
          <w:szCs w:val="22"/>
        </w:rPr>
      </w:pPr>
      <w:r w:rsidRPr="00F44CBA">
        <w:rPr>
          <w:rFonts w:eastAsiaTheme="minorHAnsi"/>
          <w:sz w:val="22"/>
          <w:szCs w:val="22"/>
        </w:rPr>
        <w:t xml:space="preserve">A detailed Work Plan within </w:t>
      </w:r>
      <w:r w:rsidRPr="00275ACD">
        <w:rPr>
          <w:rFonts w:eastAsiaTheme="minorHAnsi"/>
          <w:sz w:val="22"/>
          <w:szCs w:val="22"/>
        </w:rPr>
        <w:t>3</w:t>
      </w:r>
      <w:r w:rsidRPr="00F44CBA">
        <w:rPr>
          <w:rFonts w:eastAsiaTheme="minorHAnsi"/>
          <w:sz w:val="22"/>
          <w:szCs w:val="22"/>
        </w:rPr>
        <w:t xml:space="preserve"> weeks of contract signing.</w:t>
      </w:r>
    </w:p>
    <w:p w14:paraId="068C14E1"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4709B61B" w14:textId="77777777" w:rsidR="00F44CBA" w:rsidRPr="00F44CBA" w:rsidRDefault="00F44CBA">
      <w:pPr>
        <w:widowControl w:val="0"/>
        <w:numPr>
          <w:ilvl w:val="1"/>
          <w:numId w:val="11"/>
        </w:numPr>
        <w:ind w:left="720" w:hanging="720"/>
        <w:contextualSpacing/>
        <w:jc w:val="both"/>
        <w:rPr>
          <w:rFonts w:eastAsiaTheme="minorHAnsi"/>
          <w:sz w:val="22"/>
          <w:szCs w:val="22"/>
        </w:rPr>
      </w:pPr>
      <w:r w:rsidRPr="00275ACD">
        <w:rPr>
          <w:rFonts w:eastAsiaTheme="minorHAnsi"/>
          <w:sz w:val="22"/>
          <w:szCs w:val="22"/>
        </w:rPr>
        <w:t>D</w:t>
      </w:r>
      <w:r w:rsidRPr="00F44CBA">
        <w:rPr>
          <w:rFonts w:eastAsiaTheme="minorHAnsi"/>
          <w:sz w:val="22"/>
          <w:szCs w:val="22"/>
        </w:rPr>
        <w:t xml:space="preserve">raft </w:t>
      </w:r>
      <w:r w:rsidRPr="00275ACD">
        <w:rPr>
          <w:rFonts w:eastAsiaTheme="minorHAnsi"/>
          <w:sz w:val="22"/>
          <w:szCs w:val="22"/>
        </w:rPr>
        <w:t xml:space="preserve">Situational Analysis </w:t>
      </w:r>
      <w:r w:rsidRPr="00F44CBA">
        <w:rPr>
          <w:rFonts w:eastAsiaTheme="minorHAnsi"/>
          <w:sz w:val="22"/>
          <w:szCs w:val="22"/>
        </w:rPr>
        <w:t>within 6 weeks of acceptance of the Work Plan.</w:t>
      </w:r>
    </w:p>
    <w:p w14:paraId="5A9C16C1"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3121C800" w14:textId="77777777" w:rsidR="00F44CBA" w:rsidRPr="00F44CBA" w:rsidRDefault="00F44CBA">
      <w:pPr>
        <w:widowControl w:val="0"/>
        <w:numPr>
          <w:ilvl w:val="1"/>
          <w:numId w:val="11"/>
        </w:numPr>
        <w:ind w:left="720" w:hanging="720"/>
        <w:contextualSpacing/>
        <w:jc w:val="both"/>
        <w:rPr>
          <w:rFonts w:eastAsiaTheme="minorHAnsi"/>
          <w:sz w:val="22"/>
          <w:szCs w:val="22"/>
        </w:rPr>
      </w:pPr>
      <w:r w:rsidRPr="00F44CBA">
        <w:rPr>
          <w:rFonts w:eastAsiaTheme="minorHAnsi"/>
          <w:sz w:val="22"/>
          <w:szCs w:val="22"/>
        </w:rPr>
        <w:t xml:space="preserve">Design and facilitation of a stakeholder workshop within 2 weeks of the acceptance of the draft </w:t>
      </w:r>
      <w:r w:rsidRPr="00275ACD">
        <w:rPr>
          <w:rFonts w:eastAsiaTheme="minorHAnsi"/>
          <w:sz w:val="22"/>
          <w:szCs w:val="22"/>
        </w:rPr>
        <w:t>Situational Analysis</w:t>
      </w:r>
      <w:r w:rsidRPr="00F44CBA">
        <w:rPr>
          <w:rFonts w:eastAsiaTheme="minorHAnsi"/>
          <w:sz w:val="22"/>
          <w:szCs w:val="22"/>
        </w:rPr>
        <w:t>.</w:t>
      </w:r>
    </w:p>
    <w:p w14:paraId="78027253"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10E8E18D" w14:textId="77777777" w:rsidR="00F44CBA" w:rsidRPr="00F44CBA" w:rsidRDefault="00F44CBA">
      <w:pPr>
        <w:widowControl w:val="0"/>
        <w:numPr>
          <w:ilvl w:val="1"/>
          <w:numId w:val="11"/>
        </w:numPr>
        <w:ind w:left="720" w:hanging="720"/>
        <w:contextualSpacing/>
        <w:jc w:val="both"/>
        <w:rPr>
          <w:rFonts w:eastAsiaTheme="minorHAnsi"/>
          <w:sz w:val="22"/>
          <w:szCs w:val="22"/>
        </w:rPr>
      </w:pPr>
      <w:r w:rsidRPr="00F44CBA">
        <w:rPr>
          <w:rFonts w:eastAsiaTheme="minorHAnsi"/>
          <w:sz w:val="22"/>
          <w:szCs w:val="22"/>
        </w:rPr>
        <w:t xml:space="preserve">Finalized </w:t>
      </w:r>
      <w:r w:rsidRPr="00275ACD">
        <w:rPr>
          <w:rFonts w:eastAsiaTheme="minorHAnsi"/>
          <w:sz w:val="22"/>
          <w:szCs w:val="22"/>
        </w:rPr>
        <w:t>Situational Analysis</w:t>
      </w:r>
      <w:r w:rsidRPr="00F44CBA">
        <w:rPr>
          <w:rFonts w:eastAsiaTheme="minorHAnsi"/>
          <w:sz w:val="22"/>
          <w:szCs w:val="22"/>
        </w:rPr>
        <w:t xml:space="preserve"> </w:t>
      </w:r>
      <w:bookmarkStart w:id="4" w:name="_Hlk512516445"/>
      <w:r w:rsidRPr="00F44CBA">
        <w:rPr>
          <w:rFonts w:eastAsiaTheme="minorHAnsi"/>
          <w:sz w:val="22"/>
          <w:szCs w:val="22"/>
        </w:rPr>
        <w:t xml:space="preserve">within </w:t>
      </w:r>
      <w:proofErr w:type="gramStart"/>
      <w:r w:rsidRPr="00275ACD">
        <w:rPr>
          <w:rFonts w:eastAsiaTheme="minorHAnsi"/>
          <w:sz w:val="22"/>
          <w:szCs w:val="22"/>
        </w:rPr>
        <w:t>1 week</w:t>
      </w:r>
      <w:proofErr w:type="gramEnd"/>
      <w:r w:rsidRPr="00F44CBA">
        <w:rPr>
          <w:rFonts w:eastAsiaTheme="minorHAnsi"/>
          <w:sz w:val="22"/>
          <w:szCs w:val="22"/>
        </w:rPr>
        <w:t xml:space="preserve"> completion of </w:t>
      </w:r>
      <w:r w:rsidRPr="00275ACD">
        <w:rPr>
          <w:rFonts w:eastAsiaTheme="minorHAnsi"/>
          <w:sz w:val="22"/>
          <w:szCs w:val="22"/>
        </w:rPr>
        <w:t xml:space="preserve">the </w:t>
      </w:r>
      <w:r w:rsidRPr="00F44CBA">
        <w:rPr>
          <w:rFonts w:eastAsiaTheme="minorHAnsi"/>
          <w:sz w:val="22"/>
          <w:szCs w:val="22"/>
        </w:rPr>
        <w:t xml:space="preserve">stakeholder workshop at item 5.3 and receipt </w:t>
      </w:r>
      <w:r w:rsidRPr="00275ACD">
        <w:rPr>
          <w:rFonts w:eastAsiaTheme="minorHAnsi"/>
          <w:sz w:val="22"/>
          <w:szCs w:val="22"/>
        </w:rPr>
        <w:t>o</w:t>
      </w:r>
      <w:r w:rsidRPr="00F44CBA">
        <w:rPr>
          <w:rFonts w:eastAsiaTheme="minorHAnsi"/>
          <w:sz w:val="22"/>
          <w:szCs w:val="22"/>
        </w:rPr>
        <w:t xml:space="preserve">f comments from </w:t>
      </w:r>
      <w:r w:rsidRPr="00275ACD">
        <w:rPr>
          <w:rFonts w:eastAsiaTheme="minorHAnsi"/>
          <w:sz w:val="22"/>
          <w:szCs w:val="22"/>
        </w:rPr>
        <w:t>NCPC</w:t>
      </w:r>
      <w:r w:rsidRPr="00F44CBA">
        <w:rPr>
          <w:rFonts w:eastAsiaTheme="minorHAnsi"/>
          <w:sz w:val="22"/>
          <w:szCs w:val="22"/>
        </w:rPr>
        <w:t xml:space="preserve"> and Compete Caribbean</w:t>
      </w:r>
      <w:bookmarkEnd w:id="4"/>
      <w:r w:rsidRPr="00F44CBA">
        <w:rPr>
          <w:rFonts w:eastAsiaTheme="minorHAnsi"/>
          <w:sz w:val="22"/>
          <w:szCs w:val="22"/>
        </w:rPr>
        <w:t>.</w:t>
      </w:r>
    </w:p>
    <w:p w14:paraId="51219A64"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112CC2B3" w14:textId="26461CCC" w:rsidR="00F44CBA" w:rsidRPr="00F44CBA" w:rsidRDefault="00686A2D">
      <w:pPr>
        <w:widowControl w:val="0"/>
        <w:numPr>
          <w:ilvl w:val="1"/>
          <w:numId w:val="11"/>
        </w:numPr>
        <w:ind w:left="720" w:hanging="720"/>
        <w:contextualSpacing/>
        <w:jc w:val="both"/>
        <w:rPr>
          <w:rFonts w:eastAsiaTheme="minorHAnsi"/>
          <w:sz w:val="22"/>
          <w:szCs w:val="22"/>
        </w:rPr>
      </w:pPr>
      <w:r w:rsidRPr="00275ACD">
        <w:rPr>
          <w:rFonts w:eastAsiaTheme="minorHAnsi"/>
          <w:sz w:val="22"/>
          <w:szCs w:val="22"/>
        </w:rPr>
        <w:t>D</w:t>
      </w:r>
      <w:r w:rsidRPr="00F44CBA">
        <w:rPr>
          <w:rFonts w:eastAsiaTheme="minorHAnsi"/>
          <w:sz w:val="22"/>
          <w:szCs w:val="22"/>
        </w:rPr>
        <w:t xml:space="preserve">raft </w:t>
      </w:r>
      <w:r w:rsidRPr="00275ACD">
        <w:rPr>
          <w:rFonts w:eastAsiaTheme="minorHAnsi"/>
          <w:sz w:val="22"/>
          <w:szCs w:val="22"/>
        </w:rPr>
        <w:t>versions</w:t>
      </w:r>
      <w:r w:rsidR="00F44CBA" w:rsidRPr="00275ACD">
        <w:rPr>
          <w:rFonts w:eastAsiaTheme="minorHAnsi"/>
          <w:sz w:val="22"/>
          <w:szCs w:val="22"/>
        </w:rPr>
        <w:t xml:space="preserve"> of the </w:t>
      </w:r>
      <w:r w:rsidR="00F44CBA" w:rsidRPr="00275ACD">
        <w:rPr>
          <w:sz w:val="22"/>
          <w:szCs w:val="22"/>
        </w:rPr>
        <w:t>policies, legislation, regulations and/or the design of improved institutional arrangements</w:t>
      </w:r>
      <w:r w:rsidR="00F44CBA" w:rsidRPr="00F44CBA">
        <w:rPr>
          <w:rFonts w:eastAsiaTheme="minorHAnsi"/>
          <w:sz w:val="22"/>
          <w:szCs w:val="22"/>
        </w:rPr>
        <w:t xml:space="preserve">, within </w:t>
      </w:r>
      <w:r w:rsidR="00F44CBA" w:rsidRPr="00275ACD">
        <w:rPr>
          <w:rFonts w:eastAsiaTheme="minorHAnsi"/>
          <w:sz w:val="22"/>
          <w:szCs w:val="22"/>
        </w:rPr>
        <w:t>8</w:t>
      </w:r>
      <w:r w:rsidR="00F44CBA" w:rsidRPr="00F44CBA">
        <w:rPr>
          <w:rFonts w:eastAsiaTheme="minorHAnsi"/>
          <w:sz w:val="22"/>
          <w:szCs w:val="22"/>
        </w:rPr>
        <w:t xml:space="preserve"> weeks of completion of the stakeholder workshop at item 5.3.</w:t>
      </w:r>
    </w:p>
    <w:p w14:paraId="7D3614BB" w14:textId="77777777" w:rsidR="00F44CBA" w:rsidRPr="00F44CBA" w:rsidRDefault="00F44CBA" w:rsidP="00275ACD">
      <w:pPr>
        <w:pStyle w:val="ListParagraph"/>
        <w:spacing w:after="0" w:line="240" w:lineRule="auto"/>
        <w:rPr>
          <w:rFonts w:ascii="Times New Roman" w:eastAsiaTheme="minorHAnsi" w:hAnsi="Times New Roman" w:cs="Times New Roman"/>
        </w:rPr>
      </w:pPr>
    </w:p>
    <w:p w14:paraId="1EC6439F" w14:textId="77777777" w:rsidR="00F44CBA" w:rsidRPr="00F44CBA" w:rsidRDefault="00F44CBA">
      <w:pPr>
        <w:widowControl w:val="0"/>
        <w:numPr>
          <w:ilvl w:val="1"/>
          <w:numId w:val="11"/>
        </w:numPr>
        <w:ind w:left="720" w:hanging="720"/>
        <w:contextualSpacing/>
        <w:jc w:val="both"/>
        <w:rPr>
          <w:rFonts w:eastAsiaTheme="minorHAnsi"/>
          <w:sz w:val="22"/>
          <w:szCs w:val="22"/>
        </w:rPr>
      </w:pPr>
      <w:r w:rsidRPr="00F44CBA">
        <w:rPr>
          <w:rFonts w:eastAsiaTheme="minorHAnsi"/>
          <w:sz w:val="22"/>
          <w:szCs w:val="22"/>
        </w:rPr>
        <w:t xml:space="preserve">Design and facilitation of a stakeholder workshop within 2 weeks of the acceptance of the draft </w:t>
      </w:r>
      <w:r w:rsidRPr="00275ACD">
        <w:rPr>
          <w:rFonts w:eastAsiaTheme="minorHAnsi"/>
          <w:sz w:val="22"/>
          <w:szCs w:val="22"/>
        </w:rPr>
        <w:t>outputs</w:t>
      </w:r>
      <w:r w:rsidRPr="00F44CBA">
        <w:rPr>
          <w:rFonts w:eastAsiaTheme="minorHAnsi"/>
          <w:sz w:val="22"/>
          <w:szCs w:val="22"/>
        </w:rPr>
        <w:t>.</w:t>
      </w:r>
    </w:p>
    <w:p w14:paraId="371CDDA4" w14:textId="77777777" w:rsidR="00F44CBA" w:rsidRPr="00F44CBA" w:rsidRDefault="00F44CBA">
      <w:pPr>
        <w:widowControl w:val="0"/>
        <w:ind w:left="720"/>
        <w:contextualSpacing/>
        <w:jc w:val="both"/>
        <w:rPr>
          <w:rFonts w:eastAsiaTheme="minorHAnsi"/>
          <w:sz w:val="22"/>
          <w:szCs w:val="22"/>
        </w:rPr>
      </w:pPr>
    </w:p>
    <w:p w14:paraId="696F9CDD" w14:textId="14C834DA" w:rsidR="00F44CBA" w:rsidRPr="00F44CBA" w:rsidRDefault="00F44CBA">
      <w:pPr>
        <w:widowControl w:val="0"/>
        <w:numPr>
          <w:ilvl w:val="1"/>
          <w:numId w:val="11"/>
        </w:numPr>
        <w:ind w:left="720" w:hanging="720"/>
        <w:contextualSpacing/>
        <w:jc w:val="both"/>
        <w:rPr>
          <w:rFonts w:eastAsiaTheme="minorHAnsi"/>
          <w:sz w:val="22"/>
          <w:szCs w:val="22"/>
        </w:rPr>
      </w:pPr>
      <w:r w:rsidRPr="00F44CBA">
        <w:rPr>
          <w:rFonts w:eastAsiaTheme="minorHAnsi"/>
          <w:sz w:val="22"/>
          <w:szCs w:val="22"/>
        </w:rPr>
        <w:t xml:space="preserve">Finalized </w:t>
      </w:r>
      <w:r w:rsidRPr="00275ACD">
        <w:rPr>
          <w:sz w:val="22"/>
          <w:szCs w:val="22"/>
        </w:rPr>
        <w:t xml:space="preserve">policies, legislation, regulations and/or the design of improved institutional </w:t>
      </w:r>
      <w:r w:rsidR="00686A2D" w:rsidRPr="00275ACD">
        <w:rPr>
          <w:sz w:val="22"/>
          <w:szCs w:val="22"/>
        </w:rPr>
        <w:t>arrangements</w:t>
      </w:r>
      <w:r w:rsidR="00686A2D" w:rsidRPr="00275ACD" w:rsidDel="00AE3A0C">
        <w:rPr>
          <w:rFonts w:eastAsiaTheme="minorHAnsi"/>
          <w:sz w:val="22"/>
          <w:szCs w:val="22"/>
        </w:rPr>
        <w:t xml:space="preserve"> </w:t>
      </w:r>
      <w:r w:rsidR="00686A2D" w:rsidRPr="00F44CBA">
        <w:rPr>
          <w:rFonts w:eastAsiaTheme="minorHAnsi"/>
          <w:sz w:val="22"/>
          <w:szCs w:val="22"/>
        </w:rPr>
        <w:t>2</w:t>
      </w:r>
      <w:r w:rsidRPr="00F44CBA">
        <w:rPr>
          <w:rFonts w:eastAsiaTheme="minorHAnsi"/>
          <w:sz w:val="22"/>
          <w:szCs w:val="22"/>
        </w:rPr>
        <w:t xml:space="preserve"> </w:t>
      </w:r>
      <w:r w:rsidRPr="00275ACD">
        <w:rPr>
          <w:rFonts w:eastAsiaTheme="minorHAnsi"/>
          <w:sz w:val="22"/>
          <w:szCs w:val="22"/>
        </w:rPr>
        <w:t>weeks</w:t>
      </w:r>
      <w:r w:rsidRPr="00F44CBA">
        <w:rPr>
          <w:rFonts w:eastAsiaTheme="minorHAnsi"/>
          <w:sz w:val="22"/>
          <w:szCs w:val="22"/>
        </w:rPr>
        <w:t xml:space="preserve"> of completion of the stakeholder workshop at item 5.6 and receipt </w:t>
      </w:r>
      <w:r w:rsidRPr="00275ACD">
        <w:rPr>
          <w:rFonts w:eastAsiaTheme="minorHAnsi"/>
          <w:sz w:val="22"/>
          <w:szCs w:val="22"/>
        </w:rPr>
        <w:t>o</w:t>
      </w:r>
      <w:r w:rsidRPr="00F44CBA">
        <w:rPr>
          <w:rFonts w:eastAsiaTheme="minorHAnsi"/>
          <w:sz w:val="22"/>
          <w:szCs w:val="22"/>
        </w:rPr>
        <w:t xml:space="preserve">f comments from </w:t>
      </w:r>
      <w:r w:rsidRPr="00275ACD">
        <w:rPr>
          <w:rFonts w:eastAsiaTheme="minorHAnsi"/>
          <w:sz w:val="22"/>
          <w:szCs w:val="22"/>
        </w:rPr>
        <w:t>NCPC</w:t>
      </w:r>
      <w:r w:rsidRPr="00F44CBA">
        <w:rPr>
          <w:rFonts w:eastAsiaTheme="minorHAnsi"/>
          <w:sz w:val="22"/>
          <w:szCs w:val="22"/>
        </w:rPr>
        <w:t xml:space="preserve"> and Compete Caribbean</w:t>
      </w:r>
    </w:p>
    <w:p w14:paraId="79E1C4A4" w14:textId="77777777" w:rsidR="00F44CBA" w:rsidRPr="00275ACD" w:rsidRDefault="00F44CBA">
      <w:pPr>
        <w:rPr>
          <w:rFonts w:eastAsiaTheme="minorHAnsi"/>
          <w:sz w:val="22"/>
          <w:szCs w:val="22"/>
        </w:rPr>
      </w:pPr>
    </w:p>
    <w:p w14:paraId="6541B92B" w14:textId="77777777" w:rsidR="00F44CBA" w:rsidRPr="00F44CBA" w:rsidRDefault="00F44CBA">
      <w:pPr>
        <w:widowControl w:val="0"/>
        <w:contextualSpacing/>
        <w:jc w:val="both"/>
        <w:rPr>
          <w:rFonts w:eastAsiaTheme="minorHAnsi"/>
          <w:sz w:val="22"/>
          <w:szCs w:val="22"/>
        </w:rPr>
      </w:pPr>
    </w:p>
    <w:p w14:paraId="25698E8C" w14:textId="77777777" w:rsidR="00F44CBA" w:rsidRPr="00F44CBA" w:rsidRDefault="00F44CBA">
      <w:pPr>
        <w:widowControl w:val="0"/>
        <w:numPr>
          <w:ilvl w:val="0"/>
          <w:numId w:val="1"/>
        </w:numPr>
        <w:ind w:left="720" w:hanging="720"/>
        <w:contextualSpacing/>
        <w:rPr>
          <w:rFonts w:eastAsiaTheme="minorHAnsi"/>
          <w:b/>
          <w:sz w:val="22"/>
          <w:szCs w:val="22"/>
          <w:u w:val="single"/>
        </w:rPr>
      </w:pPr>
      <w:r w:rsidRPr="00F44CBA">
        <w:rPr>
          <w:rFonts w:eastAsiaTheme="minorHAnsi"/>
          <w:b/>
          <w:sz w:val="22"/>
          <w:szCs w:val="22"/>
          <w:u w:val="single"/>
        </w:rPr>
        <w:t>Supervision and Reporting</w:t>
      </w:r>
    </w:p>
    <w:p w14:paraId="5D8E6839" w14:textId="77777777" w:rsidR="00F44CBA" w:rsidRPr="00F44CBA" w:rsidRDefault="00F44CBA">
      <w:pPr>
        <w:jc w:val="both"/>
        <w:rPr>
          <w:rFonts w:eastAsiaTheme="minorHAnsi"/>
          <w:sz w:val="22"/>
          <w:szCs w:val="22"/>
        </w:rPr>
      </w:pPr>
    </w:p>
    <w:p w14:paraId="3B414AF8" w14:textId="77777777" w:rsidR="00F44CBA" w:rsidRPr="00F44CBA" w:rsidRDefault="00F44CBA" w:rsidP="00275ACD">
      <w:pPr>
        <w:pStyle w:val="ListParagraph"/>
        <w:numPr>
          <w:ilvl w:val="1"/>
          <w:numId w:val="13"/>
        </w:numPr>
        <w:spacing w:after="0" w:line="240" w:lineRule="auto"/>
        <w:ind w:left="720" w:hanging="720"/>
        <w:jc w:val="both"/>
        <w:rPr>
          <w:rFonts w:ascii="Times New Roman" w:eastAsiaTheme="minorHAnsi" w:hAnsi="Times New Roman" w:cs="Times New Roman"/>
          <w:b/>
          <w:u w:val="single"/>
        </w:rPr>
      </w:pPr>
      <w:r w:rsidRPr="00F44CBA">
        <w:rPr>
          <w:rFonts w:ascii="Times New Roman" w:eastAsiaTheme="minorHAnsi" w:hAnsi="Times New Roman" w:cs="Times New Roman"/>
        </w:rPr>
        <w:t>The technical and administrative responsibilities of this consultancy will be coordinated by</w:t>
      </w:r>
      <w:r w:rsidRPr="00F44CBA">
        <w:rPr>
          <w:rFonts w:ascii="Times New Roman" w:hAnsi="Times New Roman" w:cs="Times New Roman"/>
        </w:rPr>
        <w:t xml:space="preserve"> Stevenson, Claudia (IFD/CTI), Team Leader.</w:t>
      </w:r>
    </w:p>
    <w:p w14:paraId="52E5D406" w14:textId="77777777" w:rsidR="00F44CBA" w:rsidRPr="00F44CBA" w:rsidRDefault="00F44CBA">
      <w:pPr>
        <w:ind w:right="-10"/>
        <w:jc w:val="both"/>
        <w:rPr>
          <w:sz w:val="22"/>
          <w:szCs w:val="22"/>
        </w:rPr>
      </w:pPr>
    </w:p>
    <w:p w14:paraId="5603D267" w14:textId="77777777" w:rsidR="00F44CBA" w:rsidRPr="00F44CBA" w:rsidRDefault="00F44CBA">
      <w:pPr>
        <w:ind w:right="-10"/>
        <w:jc w:val="both"/>
        <w:rPr>
          <w:sz w:val="22"/>
          <w:szCs w:val="22"/>
        </w:rPr>
      </w:pPr>
    </w:p>
    <w:p w14:paraId="6BABACA8" w14:textId="77777777" w:rsidR="00F44CBA" w:rsidRPr="00F44CBA" w:rsidRDefault="00F44CBA">
      <w:pPr>
        <w:widowControl w:val="0"/>
        <w:numPr>
          <w:ilvl w:val="0"/>
          <w:numId w:val="1"/>
        </w:numPr>
        <w:ind w:left="720" w:hanging="720"/>
        <w:contextualSpacing/>
        <w:rPr>
          <w:rFonts w:eastAsiaTheme="minorHAnsi"/>
          <w:b/>
          <w:sz w:val="22"/>
          <w:szCs w:val="22"/>
          <w:u w:val="single"/>
        </w:rPr>
      </w:pPr>
      <w:r w:rsidRPr="00F44CBA">
        <w:rPr>
          <w:rFonts w:eastAsiaTheme="minorHAnsi"/>
          <w:b/>
          <w:sz w:val="22"/>
          <w:szCs w:val="22"/>
          <w:u w:val="single"/>
        </w:rPr>
        <w:t>Schedule of Payments &amp; Qualifications</w:t>
      </w:r>
    </w:p>
    <w:p w14:paraId="340B90CF" w14:textId="77777777" w:rsidR="00F44CBA" w:rsidRPr="00F44CBA" w:rsidRDefault="00F44CBA">
      <w:pPr>
        <w:ind w:left="360" w:right="-10" w:hanging="360"/>
        <w:jc w:val="both"/>
        <w:rPr>
          <w:sz w:val="22"/>
          <w:szCs w:val="22"/>
        </w:rPr>
      </w:pPr>
    </w:p>
    <w:p w14:paraId="3ABF1EB4" w14:textId="77777777" w:rsidR="00F44CBA" w:rsidRPr="00F44CBA" w:rsidRDefault="00F44CBA">
      <w:pPr>
        <w:pStyle w:val="ListParagraph"/>
        <w:numPr>
          <w:ilvl w:val="0"/>
          <w:numId w:val="12"/>
        </w:numPr>
        <w:spacing w:after="0" w:line="240" w:lineRule="auto"/>
        <w:ind w:right="-10" w:hanging="720"/>
        <w:jc w:val="both"/>
        <w:rPr>
          <w:rFonts w:ascii="Times New Roman" w:hAnsi="Times New Roman" w:cs="Times New Roman"/>
          <w:b/>
        </w:rPr>
      </w:pPr>
      <w:r w:rsidRPr="00F44CBA">
        <w:rPr>
          <w:rFonts w:ascii="Times New Roman" w:hAnsi="Times New Roman" w:cs="Times New Roman"/>
        </w:rPr>
        <w:t xml:space="preserve">Payment terms will be based on project milestones or deliverables. The Bank does not expect to make advance payments under consulting contracts unless a significant amount of travel is required. </w:t>
      </w:r>
    </w:p>
    <w:p w14:paraId="5109C07F" w14:textId="77777777" w:rsidR="00F44CBA" w:rsidRPr="00F44CBA" w:rsidRDefault="00F44CBA">
      <w:pPr>
        <w:rPr>
          <w:rFonts w:eastAsiaTheme="minorHAnsi"/>
          <w:sz w:val="22"/>
          <w:szCs w:val="22"/>
        </w:rPr>
      </w:pPr>
    </w:p>
    <w:tbl>
      <w:tblPr>
        <w:tblStyle w:val="TableGrid"/>
        <w:tblW w:w="0" w:type="auto"/>
        <w:tblInd w:w="720" w:type="dxa"/>
        <w:tblLook w:val="04A0" w:firstRow="1" w:lastRow="0" w:firstColumn="1" w:lastColumn="0" w:noHBand="0" w:noVBand="1"/>
      </w:tblPr>
      <w:tblGrid>
        <w:gridCol w:w="6408"/>
        <w:gridCol w:w="1350"/>
      </w:tblGrid>
      <w:tr w:rsidR="00F44CBA" w:rsidRPr="00F44CBA" w14:paraId="46EAAA98" w14:textId="77777777" w:rsidTr="003A425F">
        <w:trPr>
          <w:trHeight w:val="218"/>
        </w:trPr>
        <w:tc>
          <w:tcPr>
            <w:tcW w:w="7758" w:type="dxa"/>
            <w:gridSpan w:val="2"/>
          </w:tcPr>
          <w:p w14:paraId="7E2AB18F" w14:textId="77777777" w:rsidR="00F44CBA" w:rsidRPr="00F44CBA" w:rsidRDefault="00F44CBA" w:rsidP="00275ACD">
            <w:pPr>
              <w:pStyle w:val="ListParagraph"/>
              <w:spacing w:after="0" w:line="240" w:lineRule="auto"/>
              <w:ind w:left="0" w:right="-10"/>
              <w:jc w:val="center"/>
              <w:rPr>
                <w:rFonts w:ascii="Times New Roman" w:hAnsi="Times New Roman" w:cs="Times New Roman"/>
                <w:b/>
              </w:rPr>
            </w:pPr>
            <w:r w:rsidRPr="00F44CBA">
              <w:rPr>
                <w:rFonts w:ascii="Times New Roman" w:hAnsi="Times New Roman" w:cs="Times New Roman"/>
                <w:b/>
              </w:rPr>
              <w:t>Payment Schedule</w:t>
            </w:r>
          </w:p>
        </w:tc>
      </w:tr>
      <w:tr w:rsidR="00F44CBA" w:rsidRPr="00F44CBA" w14:paraId="33C9F255" w14:textId="77777777" w:rsidTr="003A425F">
        <w:trPr>
          <w:trHeight w:val="149"/>
        </w:trPr>
        <w:tc>
          <w:tcPr>
            <w:tcW w:w="6408" w:type="dxa"/>
          </w:tcPr>
          <w:p w14:paraId="339F5592" w14:textId="77777777" w:rsidR="00F44CBA" w:rsidRPr="00F44CBA" w:rsidRDefault="00F44CBA" w:rsidP="00275ACD">
            <w:pPr>
              <w:pStyle w:val="ListParagraph"/>
              <w:spacing w:after="0" w:line="240" w:lineRule="auto"/>
              <w:ind w:right="-10"/>
              <w:jc w:val="center"/>
              <w:rPr>
                <w:rFonts w:ascii="Times New Roman" w:hAnsi="Times New Roman" w:cs="Times New Roman"/>
                <w:b/>
              </w:rPr>
            </w:pPr>
            <w:r w:rsidRPr="00F44CBA">
              <w:rPr>
                <w:rFonts w:ascii="Times New Roman" w:hAnsi="Times New Roman" w:cs="Times New Roman"/>
                <w:b/>
                <w:i/>
              </w:rPr>
              <w:t>Deliverable</w:t>
            </w:r>
          </w:p>
        </w:tc>
        <w:tc>
          <w:tcPr>
            <w:tcW w:w="1350" w:type="dxa"/>
          </w:tcPr>
          <w:p w14:paraId="02A29F67" w14:textId="77777777" w:rsidR="00F44CBA" w:rsidRPr="00F44CBA" w:rsidRDefault="00F44CBA" w:rsidP="00275ACD">
            <w:pPr>
              <w:pStyle w:val="ListParagraph"/>
              <w:spacing w:after="0" w:line="240" w:lineRule="auto"/>
              <w:ind w:left="0" w:right="-10"/>
              <w:jc w:val="center"/>
              <w:rPr>
                <w:rFonts w:ascii="Times New Roman" w:hAnsi="Times New Roman" w:cs="Times New Roman"/>
                <w:b/>
              </w:rPr>
            </w:pPr>
            <w:r w:rsidRPr="00F44CBA">
              <w:rPr>
                <w:rFonts w:ascii="Times New Roman" w:hAnsi="Times New Roman" w:cs="Times New Roman"/>
                <w:b/>
              </w:rPr>
              <w:t>%</w:t>
            </w:r>
          </w:p>
        </w:tc>
      </w:tr>
      <w:tr w:rsidR="00F44CBA" w:rsidRPr="00F44CBA" w14:paraId="73671B07" w14:textId="77777777" w:rsidTr="003A425F">
        <w:trPr>
          <w:trHeight w:val="308"/>
        </w:trPr>
        <w:tc>
          <w:tcPr>
            <w:tcW w:w="6408" w:type="dxa"/>
            <w:vAlign w:val="center"/>
          </w:tcPr>
          <w:p w14:paraId="65627E65" w14:textId="77777777" w:rsidR="00F44CBA" w:rsidRPr="00F44CBA" w:rsidRDefault="00F44CBA">
            <w:pPr>
              <w:pStyle w:val="ListParagraph"/>
              <w:numPr>
                <w:ilvl w:val="0"/>
                <w:numId w:val="7"/>
              </w:numPr>
              <w:spacing w:after="0" w:line="240" w:lineRule="auto"/>
              <w:ind w:right="-10"/>
              <w:jc w:val="both"/>
              <w:rPr>
                <w:rFonts w:ascii="Times New Roman" w:hAnsi="Times New Roman" w:cs="Times New Roman"/>
              </w:rPr>
            </w:pPr>
            <w:r w:rsidRPr="00F44CBA">
              <w:rPr>
                <w:rFonts w:ascii="Times New Roman" w:hAnsi="Times New Roman" w:cs="Times New Roman"/>
              </w:rPr>
              <w:t xml:space="preserve">Work Plan </w:t>
            </w:r>
          </w:p>
        </w:tc>
        <w:tc>
          <w:tcPr>
            <w:tcW w:w="1350" w:type="dxa"/>
            <w:vAlign w:val="center"/>
          </w:tcPr>
          <w:p w14:paraId="0E97DF88" w14:textId="77777777" w:rsidR="00F44CBA" w:rsidRPr="00F44CBA" w:rsidRDefault="00F44CBA" w:rsidP="00275ACD">
            <w:pPr>
              <w:pStyle w:val="ListParagraph"/>
              <w:spacing w:after="0" w:line="240" w:lineRule="auto"/>
              <w:ind w:left="0" w:right="-10"/>
              <w:jc w:val="center"/>
              <w:rPr>
                <w:rFonts w:ascii="Times New Roman" w:hAnsi="Times New Roman" w:cs="Times New Roman"/>
              </w:rPr>
            </w:pPr>
            <w:r w:rsidRPr="00F44CBA">
              <w:rPr>
                <w:rFonts w:ascii="Times New Roman" w:hAnsi="Times New Roman" w:cs="Times New Roman"/>
              </w:rPr>
              <w:t>10%</w:t>
            </w:r>
          </w:p>
        </w:tc>
      </w:tr>
      <w:tr w:rsidR="00F44CBA" w:rsidRPr="00F44CBA" w14:paraId="73A46B87" w14:textId="77777777" w:rsidTr="003A425F">
        <w:trPr>
          <w:trHeight w:val="298"/>
        </w:trPr>
        <w:tc>
          <w:tcPr>
            <w:tcW w:w="6408" w:type="dxa"/>
            <w:vAlign w:val="center"/>
          </w:tcPr>
          <w:p w14:paraId="5584C557" w14:textId="77777777" w:rsidR="00F44CBA" w:rsidRPr="00F44CBA" w:rsidRDefault="00F44CBA">
            <w:pPr>
              <w:pStyle w:val="ListParagraph"/>
              <w:numPr>
                <w:ilvl w:val="0"/>
                <w:numId w:val="7"/>
              </w:numPr>
              <w:spacing w:after="0" w:line="240" w:lineRule="auto"/>
              <w:ind w:right="-10"/>
              <w:rPr>
                <w:rFonts w:ascii="Times New Roman" w:hAnsi="Times New Roman" w:cs="Times New Roman"/>
              </w:rPr>
            </w:pPr>
            <w:r w:rsidRPr="00F44CBA">
              <w:rPr>
                <w:rFonts w:ascii="Times New Roman" w:hAnsi="Times New Roman" w:cs="Times New Roman"/>
              </w:rPr>
              <w:t xml:space="preserve">Finalized </w:t>
            </w:r>
            <w:r w:rsidRPr="00F44CBA">
              <w:rPr>
                <w:rFonts w:ascii="Times New Roman" w:eastAsiaTheme="minorHAnsi" w:hAnsi="Times New Roman" w:cs="Times New Roman"/>
              </w:rPr>
              <w:t>Situational Analysis</w:t>
            </w:r>
          </w:p>
        </w:tc>
        <w:tc>
          <w:tcPr>
            <w:tcW w:w="1350" w:type="dxa"/>
            <w:vAlign w:val="center"/>
          </w:tcPr>
          <w:p w14:paraId="619386BA" w14:textId="77777777" w:rsidR="00F44CBA" w:rsidRPr="00F44CBA" w:rsidRDefault="00F44CBA" w:rsidP="00275ACD">
            <w:pPr>
              <w:pStyle w:val="ListParagraph"/>
              <w:spacing w:after="0" w:line="240" w:lineRule="auto"/>
              <w:ind w:left="0" w:right="-10"/>
              <w:jc w:val="center"/>
              <w:rPr>
                <w:rFonts w:ascii="Times New Roman" w:hAnsi="Times New Roman" w:cs="Times New Roman"/>
              </w:rPr>
            </w:pPr>
            <w:r w:rsidRPr="00F44CBA">
              <w:rPr>
                <w:rFonts w:ascii="Times New Roman" w:hAnsi="Times New Roman" w:cs="Times New Roman"/>
              </w:rPr>
              <w:t>20%</w:t>
            </w:r>
          </w:p>
        </w:tc>
      </w:tr>
      <w:tr w:rsidR="00F44CBA" w:rsidRPr="00F44CBA" w14:paraId="662063AC" w14:textId="77777777" w:rsidTr="003A425F">
        <w:trPr>
          <w:trHeight w:val="298"/>
        </w:trPr>
        <w:tc>
          <w:tcPr>
            <w:tcW w:w="6408" w:type="dxa"/>
            <w:vAlign w:val="center"/>
          </w:tcPr>
          <w:p w14:paraId="05BE11B5" w14:textId="77777777" w:rsidR="00F44CBA" w:rsidRPr="00F44CBA" w:rsidRDefault="00F44CBA">
            <w:pPr>
              <w:pStyle w:val="ListParagraph"/>
              <w:numPr>
                <w:ilvl w:val="0"/>
                <w:numId w:val="7"/>
              </w:numPr>
              <w:spacing w:after="0" w:line="240" w:lineRule="auto"/>
              <w:ind w:right="-10"/>
              <w:rPr>
                <w:rFonts w:ascii="Times New Roman" w:hAnsi="Times New Roman" w:cs="Times New Roman"/>
              </w:rPr>
            </w:pPr>
            <w:r w:rsidRPr="00F44CBA">
              <w:rPr>
                <w:rFonts w:ascii="Times New Roman" w:eastAsiaTheme="minorHAnsi" w:hAnsi="Times New Roman" w:cs="Times New Roman"/>
              </w:rPr>
              <w:t xml:space="preserve">Draft version of the </w:t>
            </w:r>
            <w:r w:rsidRPr="00275ACD">
              <w:rPr>
                <w:rFonts w:ascii="Times New Roman" w:hAnsi="Times New Roman" w:cs="Times New Roman"/>
              </w:rPr>
              <w:t>policies, legislation, regulations and/or the design of improved institutional arrangements</w:t>
            </w:r>
          </w:p>
        </w:tc>
        <w:tc>
          <w:tcPr>
            <w:tcW w:w="1350" w:type="dxa"/>
            <w:vAlign w:val="center"/>
          </w:tcPr>
          <w:p w14:paraId="67BA0360" w14:textId="77777777" w:rsidR="00F44CBA" w:rsidRPr="00F44CBA" w:rsidRDefault="00F44CBA">
            <w:pPr>
              <w:pStyle w:val="ListParagraph"/>
              <w:spacing w:after="0" w:line="240" w:lineRule="auto"/>
              <w:ind w:left="0" w:right="-10"/>
              <w:jc w:val="center"/>
              <w:rPr>
                <w:rFonts w:ascii="Times New Roman" w:hAnsi="Times New Roman" w:cs="Times New Roman"/>
              </w:rPr>
            </w:pPr>
            <w:r w:rsidRPr="00F44CBA">
              <w:rPr>
                <w:rFonts w:ascii="Times New Roman" w:hAnsi="Times New Roman" w:cs="Times New Roman"/>
              </w:rPr>
              <w:t>40%</w:t>
            </w:r>
          </w:p>
        </w:tc>
      </w:tr>
      <w:tr w:rsidR="00F44CBA" w:rsidRPr="00F44CBA" w14:paraId="6889915D" w14:textId="77777777" w:rsidTr="003A425F">
        <w:trPr>
          <w:trHeight w:val="298"/>
        </w:trPr>
        <w:tc>
          <w:tcPr>
            <w:tcW w:w="6408" w:type="dxa"/>
            <w:vAlign w:val="center"/>
          </w:tcPr>
          <w:p w14:paraId="039CA99C" w14:textId="77777777" w:rsidR="00F44CBA" w:rsidRPr="00F44CBA" w:rsidRDefault="00F44CBA">
            <w:pPr>
              <w:pStyle w:val="ListParagraph"/>
              <w:numPr>
                <w:ilvl w:val="0"/>
                <w:numId w:val="7"/>
              </w:numPr>
              <w:spacing w:after="0" w:line="240" w:lineRule="auto"/>
              <w:ind w:right="-10"/>
              <w:rPr>
                <w:rFonts w:ascii="Times New Roman" w:hAnsi="Times New Roman" w:cs="Times New Roman"/>
              </w:rPr>
            </w:pPr>
            <w:proofErr w:type="spellStart"/>
            <w:r w:rsidRPr="00F44CBA">
              <w:rPr>
                <w:rFonts w:ascii="Times New Roman" w:eastAsiaTheme="minorHAnsi" w:hAnsi="Times New Roman" w:cs="Times New Roman"/>
              </w:rPr>
              <w:t>Finalised</w:t>
            </w:r>
            <w:proofErr w:type="spellEnd"/>
            <w:r w:rsidRPr="00F44CBA">
              <w:rPr>
                <w:rFonts w:ascii="Times New Roman" w:eastAsiaTheme="minorHAnsi" w:hAnsi="Times New Roman" w:cs="Times New Roman"/>
              </w:rPr>
              <w:t xml:space="preserve"> </w:t>
            </w:r>
            <w:r w:rsidRPr="00275ACD">
              <w:rPr>
                <w:rFonts w:ascii="Times New Roman" w:hAnsi="Times New Roman" w:cs="Times New Roman"/>
              </w:rPr>
              <w:t>policies, legislation, regulations and/or the design of improved institutional arrangements</w:t>
            </w:r>
          </w:p>
        </w:tc>
        <w:tc>
          <w:tcPr>
            <w:tcW w:w="1350" w:type="dxa"/>
            <w:vAlign w:val="center"/>
          </w:tcPr>
          <w:p w14:paraId="2C237D45" w14:textId="77777777" w:rsidR="00F44CBA" w:rsidRPr="00F44CBA" w:rsidRDefault="00F44CBA">
            <w:pPr>
              <w:pStyle w:val="ListParagraph"/>
              <w:spacing w:after="0" w:line="240" w:lineRule="auto"/>
              <w:ind w:left="0" w:right="-10"/>
              <w:jc w:val="center"/>
              <w:rPr>
                <w:rFonts w:ascii="Times New Roman" w:hAnsi="Times New Roman" w:cs="Times New Roman"/>
              </w:rPr>
            </w:pPr>
            <w:r w:rsidRPr="00F44CBA">
              <w:rPr>
                <w:rFonts w:ascii="Times New Roman" w:hAnsi="Times New Roman" w:cs="Times New Roman"/>
              </w:rPr>
              <w:t>30%</w:t>
            </w:r>
          </w:p>
        </w:tc>
      </w:tr>
      <w:tr w:rsidR="00F44CBA" w:rsidRPr="00F44CBA" w14:paraId="2356C605" w14:textId="77777777" w:rsidTr="003A425F">
        <w:trPr>
          <w:trHeight w:val="158"/>
        </w:trPr>
        <w:tc>
          <w:tcPr>
            <w:tcW w:w="6408" w:type="dxa"/>
          </w:tcPr>
          <w:p w14:paraId="009A79B3" w14:textId="77777777" w:rsidR="00F44CBA" w:rsidRPr="00F44CBA" w:rsidRDefault="00F44CBA" w:rsidP="00275ACD">
            <w:pPr>
              <w:pStyle w:val="ListParagraph"/>
              <w:spacing w:after="0" w:line="240" w:lineRule="auto"/>
              <w:ind w:left="0" w:right="-10"/>
              <w:jc w:val="right"/>
              <w:rPr>
                <w:rFonts w:ascii="Times New Roman" w:hAnsi="Times New Roman" w:cs="Times New Roman"/>
                <w:b/>
              </w:rPr>
            </w:pPr>
            <w:r w:rsidRPr="00F44CBA">
              <w:rPr>
                <w:rFonts w:ascii="Times New Roman" w:hAnsi="Times New Roman" w:cs="Times New Roman"/>
                <w:b/>
              </w:rPr>
              <w:t>TOTAL</w:t>
            </w:r>
          </w:p>
        </w:tc>
        <w:tc>
          <w:tcPr>
            <w:tcW w:w="1350" w:type="dxa"/>
            <w:vAlign w:val="center"/>
          </w:tcPr>
          <w:p w14:paraId="413B847F" w14:textId="77777777" w:rsidR="00F44CBA" w:rsidRPr="00F44CBA" w:rsidRDefault="00F44CBA" w:rsidP="00275ACD">
            <w:pPr>
              <w:pStyle w:val="ListParagraph"/>
              <w:spacing w:after="0" w:line="240" w:lineRule="auto"/>
              <w:ind w:left="0" w:right="-10"/>
              <w:jc w:val="center"/>
              <w:rPr>
                <w:rFonts w:ascii="Times New Roman" w:hAnsi="Times New Roman" w:cs="Times New Roman"/>
                <w:b/>
              </w:rPr>
            </w:pPr>
            <w:r w:rsidRPr="00F44CBA">
              <w:rPr>
                <w:rFonts w:ascii="Times New Roman" w:hAnsi="Times New Roman" w:cs="Times New Roman"/>
              </w:rPr>
              <w:t>100%</w:t>
            </w:r>
          </w:p>
        </w:tc>
      </w:tr>
    </w:tbl>
    <w:p w14:paraId="52F77080" w14:textId="77777777" w:rsidR="00F44CBA" w:rsidRPr="00275ACD" w:rsidRDefault="00F44CBA">
      <w:pPr>
        <w:rPr>
          <w:sz w:val="22"/>
          <w:szCs w:val="22"/>
        </w:rPr>
      </w:pPr>
    </w:p>
    <w:p w14:paraId="79A3D1A9" w14:textId="77777777" w:rsidR="00F44CBA" w:rsidRPr="00275ACD" w:rsidRDefault="00F44CBA">
      <w:pPr>
        <w:ind w:firstLine="720"/>
        <w:rPr>
          <w:b/>
          <w:sz w:val="22"/>
          <w:szCs w:val="22"/>
          <w:u w:val="single"/>
        </w:rPr>
      </w:pPr>
      <w:r w:rsidRPr="00275ACD">
        <w:rPr>
          <w:b/>
          <w:sz w:val="22"/>
          <w:szCs w:val="22"/>
          <w:u w:val="single"/>
        </w:rPr>
        <w:t>Qualifications</w:t>
      </w:r>
    </w:p>
    <w:p w14:paraId="1CAF4791" w14:textId="77777777" w:rsidR="00F44CBA" w:rsidRPr="00275ACD" w:rsidRDefault="00F44CBA">
      <w:pPr>
        <w:ind w:firstLine="720"/>
        <w:jc w:val="both"/>
        <w:rPr>
          <w:rFonts w:eastAsia="MS Mincho"/>
          <w:sz w:val="22"/>
          <w:szCs w:val="22"/>
          <w:u w:val="single"/>
        </w:rPr>
      </w:pPr>
    </w:p>
    <w:p w14:paraId="0B59533B" w14:textId="77777777" w:rsidR="00F44CBA" w:rsidRPr="00275ACD" w:rsidRDefault="00F44CBA">
      <w:pPr>
        <w:ind w:firstLine="720"/>
        <w:jc w:val="both"/>
        <w:rPr>
          <w:rFonts w:eastAsia="MS Mincho"/>
          <w:sz w:val="22"/>
          <w:szCs w:val="22"/>
          <w:u w:val="single"/>
        </w:rPr>
      </w:pPr>
      <w:r w:rsidRPr="00275ACD">
        <w:rPr>
          <w:rFonts w:eastAsia="MS Mincho"/>
          <w:sz w:val="22"/>
          <w:szCs w:val="22"/>
          <w:u w:val="single"/>
        </w:rPr>
        <w:t>Academic Degree / Level &amp; Years of Professional Work Experience:</w:t>
      </w:r>
    </w:p>
    <w:p w14:paraId="7CDAB1D5" w14:textId="77777777" w:rsidR="00F44CBA" w:rsidRPr="00275ACD" w:rsidRDefault="00F44CBA">
      <w:pPr>
        <w:ind w:firstLine="720"/>
        <w:jc w:val="both"/>
        <w:rPr>
          <w:rFonts w:eastAsia="MS Mincho"/>
          <w:sz w:val="22"/>
          <w:szCs w:val="22"/>
          <w:u w:val="single"/>
        </w:rPr>
      </w:pPr>
    </w:p>
    <w:p w14:paraId="6CE52971" w14:textId="6E6A29D0" w:rsidR="00F44CBA" w:rsidRPr="00F44CBA" w:rsidRDefault="00F44CBA">
      <w:pPr>
        <w:pStyle w:val="ListParagraph"/>
        <w:numPr>
          <w:ilvl w:val="0"/>
          <w:numId w:val="9"/>
        </w:numPr>
        <w:spacing w:after="0" w:line="240" w:lineRule="auto"/>
        <w:jc w:val="both"/>
        <w:rPr>
          <w:rFonts w:ascii="Times New Roman" w:hAnsi="Times New Roman" w:cs="Times New Roman"/>
        </w:rPr>
      </w:pPr>
      <w:r w:rsidRPr="00F44CBA">
        <w:rPr>
          <w:rFonts w:ascii="Times New Roman" w:eastAsia="MS Mincho" w:hAnsi="Times New Roman" w:cs="Times New Roman"/>
        </w:rPr>
        <w:t>Advanced d</w:t>
      </w:r>
      <w:r w:rsidRPr="00F44CBA">
        <w:rPr>
          <w:rFonts w:ascii="Times New Roman" w:hAnsi="Times New Roman" w:cs="Times New Roman"/>
        </w:rPr>
        <w:t xml:space="preserve">egree or equivalent professional designation in the field of Economics, Business Administration, Public </w:t>
      </w:r>
      <w:r w:rsidR="00686A2D" w:rsidRPr="00F44CBA">
        <w:rPr>
          <w:rFonts w:ascii="Times New Roman" w:hAnsi="Times New Roman" w:cs="Times New Roman"/>
        </w:rPr>
        <w:t>Policy or</w:t>
      </w:r>
      <w:r w:rsidRPr="00F44CBA">
        <w:rPr>
          <w:rFonts w:ascii="Times New Roman" w:hAnsi="Times New Roman" w:cs="Times New Roman"/>
        </w:rPr>
        <w:t xml:space="preserve"> a related field as required.</w:t>
      </w:r>
    </w:p>
    <w:p w14:paraId="2E73D800" w14:textId="77777777" w:rsidR="00F44CBA" w:rsidRPr="00275ACD" w:rsidRDefault="00F44CBA">
      <w:pPr>
        <w:ind w:left="1080"/>
        <w:contextualSpacing/>
        <w:jc w:val="both"/>
        <w:rPr>
          <w:rFonts w:eastAsia="MS Mincho"/>
          <w:sz w:val="22"/>
          <w:szCs w:val="22"/>
        </w:rPr>
      </w:pPr>
    </w:p>
    <w:p w14:paraId="2D324CE5" w14:textId="77777777" w:rsidR="00F44CBA" w:rsidRPr="00275ACD" w:rsidRDefault="00F44CBA">
      <w:pPr>
        <w:ind w:left="720"/>
        <w:contextualSpacing/>
        <w:jc w:val="both"/>
        <w:rPr>
          <w:rFonts w:eastAsia="MS Mincho"/>
          <w:sz w:val="22"/>
          <w:szCs w:val="22"/>
          <w:u w:val="single"/>
        </w:rPr>
      </w:pPr>
      <w:r w:rsidRPr="00275ACD">
        <w:rPr>
          <w:rFonts w:eastAsia="MS Mincho"/>
          <w:sz w:val="22"/>
          <w:szCs w:val="22"/>
          <w:u w:val="single"/>
        </w:rPr>
        <w:t>Experience</w:t>
      </w:r>
    </w:p>
    <w:p w14:paraId="7DBCBF4F" w14:textId="77777777" w:rsidR="00F44CBA" w:rsidRPr="00275ACD" w:rsidRDefault="00F44CBA">
      <w:pPr>
        <w:ind w:left="720"/>
        <w:contextualSpacing/>
        <w:jc w:val="both"/>
        <w:rPr>
          <w:rFonts w:eastAsia="MS Mincho"/>
          <w:sz w:val="22"/>
          <w:szCs w:val="22"/>
          <w:u w:val="single"/>
        </w:rPr>
      </w:pPr>
    </w:p>
    <w:p w14:paraId="4D043CE6" w14:textId="77777777" w:rsidR="00F44CBA" w:rsidRPr="00F44CBA" w:rsidRDefault="00F44CBA">
      <w:pPr>
        <w:pStyle w:val="ListParagraph"/>
        <w:numPr>
          <w:ilvl w:val="0"/>
          <w:numId w:val="14"/>
        </w:numPr>
        <w:spacing w:after="0" w:line="240" w:lineRule="auto"/>
        <w:jc w:val="both"/>
        <w:rPr>
          <w:rFonts w:ascii="Times New Roman" w:hAnsi="Times New Roman" w:cs="Times New Roman"/>
        </w:rPr>
      </w:pPr>
      <w:r w:rsidRPr="00F44CBA">
        <w:rPr>
          <w:rFonts w:ascii="Times New Roman" w:hAnsi="Times New Roman" w:cs="Times New Roman"/>
        </w:rPr>
        <w:t>A minimum of 10 years, at a senior level, in designing economic reforms within a developing country context.  Specific experience in leading business climate reform initiatives and drafting sector level policies, strategies and action plans aimed at improving the business environment and promoting improved competitiveness</w:t>
      </w:r>
    </w:p>
    <w:p w14:paraId="36A11F7E" w14:textId="77777777" w:rsidR="00F44CBA" w:rsidRPr="00275ACD" w:rsidRDefault="00F44CBA">
      <w:pPr>
        <w:contextualSpacing/>
        <w:jc w:val="both"/>
        <w:rPr>
          <w:rFonts w:eastAsia="MS Mincho"/>
          <w:sz w:val="22"/>
          <w:szCs w:val="22"/>
        </w:rPr>
      </w:pPr>
    </w:p>
    <w:p w14:paraId="5E41F9BE" w14:textId="77777777" w:rsidR="00F44CBA" w:rsidRPr="00275ACD" w:rsidRDefault="00F44CBA">
      <w:pPr>
        <w:contextualSpacing/>
        <w:jc w:val="both"/>
        <w:rPr>
          <w:rFonts w:eastAsia="MS Mincho"/>
          <w:sz w:val="22"/>
          <w:szCs w:val="22"/>
        </w:rPr>
      </w:pPr>
      <w:r w:rsidRPr="00275ACD">
        <w:rPr>
          <w:rFonts w:eastAsia="MS Mincho"/>
          <w:sz w:val="22"/>
          <w:szCs w:val="22"/>
          <w:u w:val="single"/>
        </w:rPr>
        <w:t>Other Skills</w:t>
      </w:r>
    </w:p>
    <w:p w14:paraId="2416C71D" w14:textId="77777777" w:rsidR="00F44CBA" w:rsidRPr="00F44CBA" w:rsidRDefault="00F44CBA">
      <w:pPr>
        <w:pStyle w:val="ListParagraph"/>
        <w:numPr>
          <w:ilvl w:val="0"/>
          <w:numId w:val="15"/>
        </w:numPr>
        <w:spacing w:after="0" w:line="240" w:lineRule="auto"/>
        <w:contextualSpacing w:val="0"/>
        <w:jc w:val="both"/>
        <w:rPr>
          <w:rFonts w:ascii="Times New Roman" w:hAnsi="Times New Roman" w:cs="Times New Roman"/>
        </w:rPr>
      </w:pPr>
      <w:r w:rsidRPr="00F44CBA">
        <w:rPr>
          <w:rFonts w:ascii="Times New Roman" w:hAnsi="Times New Roman" w:cs="Times New Roman"/>
        </w:rPr>
        <w:t>Research</w:t>
      </w:r>
    </w:p>
    <w:p w14:paraId="18E17C41" w14:textId="77777777" w:rsidR="00F44CBA" w:rsidRPr="00F44CBA" w:rsidRDefault="00F44CBA">
      <w:pPr>
        <w:pStyle w:val="ListParagraph"/>
        <w:numPr>
          <w:ilvl w:val="0"/>
          <w:numId w:val="15"/>
        </w:numPr>
        <w:spacing w:after="0" w:line="240" w:lineRule="auto"/>
        <w:contextualSpacing w:val="0"/>
        <w:jc w:val="both"/>
        <w:rPr>
          <w:rFonts w:ascii="Times New Roman" w:hAnsi="Times New Roman" w:cs="Times New Roman"/>
        </w:rPr>
      </w:pPr>
      <w:r w:rsidRPr="00F44CBA">
        <w:rPr>
          <w:rFonts w:ascii="Times New Roman" w:hAnsi="Times New Roman" w:cs="Times New Roman"/>
        </w:rPr>
        <w:t xml:space="preserve">Training/facilitation </w:t>
      </w:r>
    </w:p>
    <w:p w14:paraId="1D687F7D" w14:textId="77777777" w:rsidR="00F44CBA" w:rsidRPr="00F44CBA" w:rsidRDefault="00F44CBA">
      <w:pPr>
        <w:pStyle w:val="ListParagraph"/>
        <w:numPr>
          <w:ilvl w:val="0"/>
          <w:numId w:val="15"/>
        </w:numPr>
        <w:spacing w:after="0" w:line="240" w:lineRule="auto"/>
        <w:contextualSpacing w:val="0"/>
        <w:jc w:val="both"/>
        <w:rPr>
          <w:rFonts w:ascii="Times New Roman" w:hAnsi="Times New Roman" w:cs="Times New Roman"/>
        </w:rPr>
      </w:pPr>
      <w:r w:rsidRPr="00F44CBA">
        <w:rPr>
          <w:rFonts w:ascii="Times New Roman" w:hAnsi="Times New Roman" w:cs="Times New Roman"/>
        </w:rPr>
        <w:t>Strong interpersonal skills and demonstrated ability to engage with and stimulate coordination between multiple stakeholders from wide-ranging sectors</w:t>
      </w:r>
    </w:p>
    <w:p w14:paraId="4CEFA8E3" w14:textId="77777777" w:rsidR="00F44CBA" w:rsidRPr="00275ACD" w:rsidRDefault="00F44CBA">
      <w:pPr>
        <w:numPr>
          <w:ilvl w:val="0"/>
          <w:numId w:val="8"/>
        </w:numPr>
        <w:contextualSpacing/>
        <w:jc w:val="both"/>
        <w:rPr>
          <w:sz w:val="22"/>
          <w:szCs w:val="22"/>
        </w:rPr>
      </w:pPr>
      <w:r w:rsidRPr="00275ACD">
        <w:rPr>
          <w:rFonts w:eastAsia="MS Mincho"/>
          <w:sz w:val="22"/>
          <w:szCs w:val="22"/>
        </w:rPr>
        <w:lastRenderedPageBreak/>
        <w:t xml:space="preserve">Fluency in oral </w:t>
      </w:r>
      <w:r w:rsidRPr="00275ACD">
        <w:rPr>
          <w:sz w:val="22"/>
          <w:szCs w:val="22"/>
        </w:rPr>
        <w:t>and written English.</w:t>
      </w:r>
    </w:p>
    <w:p w14:paraId="212EFB70" w14:textId="77777777" w:rsidR="00F44CBA" w:rsidRPr="00275ACD" w:rsidRDefault="00F44CBA">
      <w:pPr>
        <w:contextualSpacing/>
        <w:jc w:val="both"/>
        <w:rPr>
          <w:rFonts w:eastAsia="MS Mincho"/>
          <w:sz w:val="22"/>
          <w:szCs w:val="22"/>
        </w:rPr>
      </w:pPr>
    </w:p>
    <w:p w14:paraId="2270AB8A" w14:textId="77777777" w:rsidR="00F44CBA" w:rsidRPr="00275ACD" w:rsidRDefault="00F44CBA">
      <w:pPr>
        <w:jc w:val="both"/>
        <w:rPr>
          <w:rFonts w:eastAsia="MS Mincho"/>
          <w:sz w:val="22"/>
          <w:szCs w:val="22"/>
        </w:rPr>
      </w:pPr>
    </w:p>
    <w:p w14:paraId="57719B48" w14:textId="77777777" w:rsidR="00F44CBA" w:rsidRPr="00275ACD" w:rsidRDefault="00F44CBA">
      <w:pPr>
        <w:jc w:val="both"/>
        <w:rPr>
          <w:rFonts w:eastAsia="MS Mincho"/>
          <w:b/>
          <w:sz w:val="22"/>
          <w:szCs w:val="22"/>
        </w:rPr>
      </w:pPr>
      <w:r w:rsidRPr="00275ACD">
        <w:rPr>
          <w:rFonts w:eastAsia="MS Mincho"/>
          <w:b/>
          <w:sz w:val="22"/>
          <w:szCs w:val="22"/>
        </w:rPr>
        <w:t>Characteristics of the Consultancy</w:t>
      </w:r>
    </w:p>
    <w:p w14:paraId="3C5F044E" w14:textId="77777777" w:rsidR="00F44CBA" w:rsidRPr="00275ACD" w:rsidRDefault="00F44CBA">
      <w:pPr>
        <w:jc w:val="both"/>
        <w:rPr>
          <w:rFonts w:eastAsia="MS Mincho"/>
          <w:color w:val="000000"/>
          <w:sz w:val="22"/>
          <w:szCs w:val="22"/>
        </w:rPr>
      </w:pPr>
    </w:p>
    <w:p w14:paraId="2434F470" w14:textId="77777777" w:rsidR="00F44CBA" w:rsidRPr="00275ACD" w:rsidRDefault="00F44CBA">
      <w:pPr>
        <w:jc w:val="both"/>
        <w:rPr>
          <w:rFonts w:eastAsia="Times New Roman"/>
          <w:color w:val="000000"/>
          <w:sz w:val="22"/>
          <w:szCs w:val="22"/>
        </w:rPr>
      </w:pPr>
      <w:r w:rsidRPr="00275ACD">
        <w:rPr>
          <w:rFonts w:eastAsia="MS Mincho"/>
          <w:color w:val="000000"/>
          <w:sz w:val="22"/>
          <w:szCs w:val="22"/>
        </w:rPr>
        <w:t>Consultancy category and modality: Individual, Product and External Services Contractual (PEC)</w:t>
      </w:r>
    </w:p>
    <w:p w14:paraId="1E9226D6" w14:textId="77777777" w:rsidR="00F44CBA" w:rsidRPr="00275ACD" w:rsidRDefault="00F44CBA">
      <w:pPr>
        <w:jc w:val="both"/>
        <w:rPr>
          <w:rFonts w:eastAsia="MS Mincho"/>
          <w:sz w:val="22"/>
          <w:szCs w:val="22"/>
        </w:rPr>
      </w:pPr>
    </w:p>
    <w:p w14:paraId="67E8916B" w14:textId="77777777" w:rsidR="00F44CBA" w:rsidRPr="00275ACD" w:rsidRDefault="00F44CBA">
      <w:pPr>
        <w:jc w:val="both"/>
        <w:rPr>
          <w:rFonts w:eastAsia="MS Mincho"/>
          <w:sz w:val="22"/>
          <w:szCs w:val="22"/>
        </w:rPr>
      </w:pPr>
      <w:r w:rsidRPr="00275ACD">
        <w:rPr>
          <w:rFonts w:eastAsia="MS Mincho"/>
          <w:sz w:val="22"/>
          <w:szCs w:val="22"/>
        </w:rPr>
        <w:t>Contract duration:  6 months from the start date.</w:t>
      </w:r>
    </w:p>
    <w:p w14:paraId="601FA01E" w14:textId="77777777" w:rsidR="00F44CBA" w:rsidRPr="00275ACD" w:rsidRDefault="00F44CBA">
      <w:pPr>
        <w:jc w:val="both"/>
        <w:rPr>
          <w:rFonts w:eastAsia="MS Mincho"/>
          <w:sz w:val="22"/>
          <w:szCs w:val="22"/>
        </w:rPr>
      </w:pPr>
    </w:p>
    <w:p w14:paraId="38BC56D4" w14:textId="5E0CD9D5" w:rsidR="00F44CBA" w:rsidRPr="00275ACD" w:rsidRDefault="00F44CBA" w:rsidP="00393BD9">
      <w:pPr>
        <w:jc w:val="both"/>
        <w:rPr>
          <w:rFonts w:eastAsia="MS Mincho"/>
          <w:sz w:val="22"/>
          <w:szCs w:val="22"/>
        </w:rPr>
      </w:pPr>
      <w:r w:rsidRPr="00686A2D">
        <w:rPr>
          <w:rFonts w:eastAsia="MS Mincho"/>
          <w:sz w:val="22"/>
          <w:szCs w:val="22"/>
        </w:rPr>
        <w:t>Place(s) of work:</w:t>
      </w:r>
      <w:r w:rsidRPr="00275ACD">
        <w:rPr>
          <w:rFonts w:eastAsia="MS Mincho"/>
          <w:sz w:val="22"/>
          <w:szCs w:val="22"/>
        </w:rPr>
        <w:t xml:space="preserve"> </w:t>
      </w:r>
      <w:r w:rsidR="00686A2D">
        <w:rPr>
          <w:rFonts w:eastAsia="MS Mincho"/>
          <w:sz w:val="22"/>
          <w:szCs w:val="22"/>
        </w:rPr>
        <w:t>Contractual’s place of residence</w:t>
      </w:r>
    </w:p>
    <w:p w14:paraId="2C5BD690" w14:textId="77777777" w:rsidR="00F44CBA" w:rsidRPr="00275ACD" w:rsidRDefault="00F44CBA">
      <w:pPr>
        <w:jc w:val="both"/>
        <w:rPr>
          <w:rFonts w:eastAsia="MS Mincho"/>
          <w:sz w:val="22"/>
          <w:szCs w:val="22"/>
        </w:rPr>
      </w:pPr>
    </w:p>
    <w:p w14:paraId="5A431A18" w14:textId="77777777" w:rsidR="00F44CBA" w:rsidRPr="00F44CBA" w:rsidRDefault="00F44CBA" w:rsidP="00275ACD">
      <w:pPr>
        <w:pStyle w:val="ListParagraph"/>
        <w:numPr>
          <w:ilvl w:val="0"/>
          <w:numId w:val="1"/>
        </w:numPr>
        <w:spacing w:after="0" w:line="240" w:lineRule="auto"/>
        <w:ind w:left="720" w:hanging="720"/>
        <w:jc w:val="both"/>
        <w:rPr>
          <w:rFonts w:ascii="Times New Roman" w:hAnsi="Times New Roman" w:cs="Times New Roman"/>
          <w:bCs/>
        </w:rPr>
      </w:pPr>
      <w:r w:rsidRPr="00F44CBA">
        <w:rPr>
          <w:rFonts w:ascii="Times New Roman" w:hAnsi="Times New Roman" w:cs="Times New Roman"/>
          <w:b/>
          <w:bCs/>
        </w:rPr>
        <w:t>Payment and Conditions of Employment:</w:t>
      </w:r>
      <w:r w:rsidRPr="00F44CBA">
        <w:rPr>
          <w:rFonts w:ascii="Times New Roman" w:hAnsi="Times New Roman" w:cs="Times New Roman"/>
          <w:bCs/>
          <w:color w:val="000000"/>
        </w:rPr>
        <w:t xml:space="preserve"> Remuneration will be determined in accordance with Bank regulations and criteria</w:t>
      </w:r>
      <w:r w:rsidRPr="00F44CBA">
        <w:rPr>
          <w:rFonts w:ascii="Times New Roman" w:hAnsi="Times New Roman" w:cs="Times New Roman"/>
          <w:bCs/>
        </w:rPr>
        <w:t xml:space="preserve">. </w:t>
      </w:r>
    </w:p>
    <w:p w14:paraId="5B4CE502" w14:textId="77777777" w:rsidR="00F44CBA" w:rsidRPr="00F44CBA" w:rsidRDefault="00F44CBA">
      <w:pPr>
        <w:pStyle w:val="ListParagraph"/>
        <w:spacing w:after="0" w:line="240" w:lineRule="auto"/>
        <w:ind w:left="360"/>
        <w:jc w:val="both"/>
        <w:rPr>
          <w:rFonts w:ascii="Times New Roman" w:hAnsi="Times New Roman" w:cs="Times New Roman"/>
          <w:bCs/>
        </w:rPr>
      </w:pPr>
    </w:p>
    <w:p w14:paraId="2FFA52D9" w14:textId="127EA9D7" w:rsidR="00F44CBA" w:rsidRPr="00F44CBA" w:rsidRDefault="00F44CBA" w:rsidP="00275ACD">
      <w:pPr>
        <w:pStyle w:val="ListParagraph"/>
        <w:numPr>
          <w:ilvl w:val="0"/>
          <w:numId w:val="1"/>
        </w:numPr>
        <w:spacing w:after="0" w:line="240" w:lineRule="auto"/>
        <w:ind w:left="720" w:hanging="720"/>
        <w:jc w:val="both"/>
        <w:rPr>
          <w:rFonts w:ascii="Times New Roman" w:hAnsi="Times New Roman" w:cs="Times New Roman"/>
          <w:bCs/>
        </w:rPr>
      </w:pPr>
      <w:r w:rsidRPr="00F44CBA">
        <w:rPr>
          <w:rFonts w:ascii="Times New Roman" w:hAnsi="Times New Roman" w:cs="Times New Roman"/>
          <w:b/>
          <w:bCs/>
        </w:rPr>
        <w:t>Consanguinity:</w:t>
      </w:r>
      <w:r w:rsidRPr="00F44CBA">
        <w:rPr>
          <w:rFonts w:ascii="Times New Roman" w:hAnsi="Times New Roman" w:cs="Times New Roman"/>
          <w:bCs/>
        </w:rPr>
        <w:t xml:space="preserve"> Individuals with relatives working for the IDB </w:t>
      </w:r>
      <w:r w:rsidR="00686A2D" w:rsidRPr="00F44CBA">
        <w:rPr>
          <w:rFonts w:ascii="Times New Roman" w:hAnsi="Times New Roman" w:cs="Times New Roman"/>
          <w:bCs/>
        </w:rPr>
        <w:t>within and</w:t>
      </w:r>
      <w:r w:rsidRPr="00F44CBA">
        <w:rPr>
          <w:rFonts w:ascii="Times New Roman" w:hAnsi="Times New Roman" w:cs="Times New Roman"/>
          <w:bCs/>
        </w:rPr>
        <w:t xml:space="preserve"> including the fourth degree of consanguinity and the second degree of affinity are not eligible for employment as staff or contractual. </w:t>
      </w:r>
      <w:bookmarkStart w:id="5" w:name="_Hlk514769755"/>
      <w:r w:rsidR="00A50FF9">
        <w:rPr>
          <w:rFonts w:ascii="Times New Roman" w:hAnsi="Times New Roman" w:cs="Times New Roman"/>
          <w:bCs/>
          <w:lang w:val="en-GB"/>
        </w:rPr>
        <w:t>C</w:t>
      </w:r>
      <w:bookmarkStart w:id="6" w:name="_GoBack"/>
      <w:bookmarkEnd w:id="6"/>
      <w:r w:rsidR="00A50FF9" w:rsidRPr="00A50FF9">
        <w:rPr>
          <w:rFonts w:ascii="Times New Roman" w:hAnsi="Times New Roman" w:cs="Times New Roman"/>
          <w:bCs/>
          <w:lang w:val="en-GB"/>
        </w:rPr>
        <w:t>andidates must be individuals from any IDB member country and non-IDB member countries recognized by the Donors of the Compete Caribbean Partnership Facility as eligible</w:t>
      </w:r>
      <w:bookmarkEnd w:id="5"/>
    </w:p>
    <w:p w14:paraId="31490F7F" w14:textId="77777777" w:rsidR="00F44CBA" w:rsidRPr="00F44CBA" w:rsidRDefault="00F44CBA" w:rsidP="00275ACD">
      <w:pPr>
        <w:pStyle w:val="ListParagraph"/>
        <w:spacing w:after="0" w:line="240" w:lineRule="auto"/>
        <w:jc w:val="both"/>
        <w:rPr>
          <w:rFonts w:ascii="Times New Roman" w:hAnsi="Times New Roman" w:cs="Times New Roman"/>
          <w:bCs/>
        </w:rPr>
      </w:pPr>
    </w:p>
    <w:p w14:paraId="5AE44B9C" w14:textId="77777777" w:rsidR="00F44CBA" w:rsidRPr="00F44CBA" w:rsidRDefault="00F44CBA" w:rsidP="00275ACD">
      <w:pPr>
        <w:pStyle w:val="ListParagraph"/>
        <w:numPr>
          <w:ilvl w:val="0"/>
          <w:numId w:val="1"/>
        </w:numPr>
        <w:spacing w:after="0" w:line="240" w:lineRule="auto"/>
        <w:ind w:left="720" w:hanging="720"/>
        <w:jc w:val="both"/>
        <w:rPr>
          <w:rFonts w:ascii="Times New Roman" w:hAnsi="Times New Roman" w:cs="Times New Roman"/>
          <w:bCs/>
        </w:rPr>
      </w:pPr>
      <w:r w:rsidRPr="00F44CBA">
        <w:rPr>
          <w:rFonts w:ascii="Times New Roman" w:hAnsi="Times New Roman" w:cs="Times New Roman"/>
          <w:b/>
          <w:bCs/>
        </w:rPr>
        <w:t>Diversity:</w:t>
      </w:r>
      <w:r w:rsidRPr="00F44CBA">
        <w:rPr>
          <w:rFonts w:ascii="Times New Roman" w:hAnsi="Times New Roman" w:cs="Times New Roman"/>
          <w:bCs/>
        </w:rPr>
        <w:t xml:space="preserve"> The IDB is committed to diversity and inclusion and to providing equal opportunities in employment. We embrace diversity </w:t>
      </w:r>
      <w:proofErr w:type="gramStart"/>
      <w:r w:rsidRPr="00F44CBA">
        <w:rPr>
          <w:rFonts w:ascii="Times New Roman" w:hAnsi="Times New Roman" w:cs="Times New Roman"/>
          <w:bCs/>
        </w:rPr>
        <w:t>on the basis of</w:t>
      </w:r>
      <w:proofErr w:type="gramEnd"/>
      <w:r w:rsidRPr="00F44CBA">
        <w:rPr>
          <w:rFonts w:ascii="Times New Roman" w:hAnsi="Times New Roman" w:cs="Times New Roman"/>
          <w:bCs/>
        </w:rPr>
        <w:t xml:space="preserve"> gender, age, education, national origin, ethnic origin, race, disability, sexual orientation, religion, and HIV/AIDs status. We encourage women, Afro descendants and persons of indigenous origins to apply.</w:t>
      </w:r>
    </w:p>
    <w:p w14:paraId="03357CA9" w14:textId="77777777" w:rsidR="00F44CBA" w:rsidRPr="00275ACD" w:rsidRDefault="00F44CBA">
      <w:pPr>
        <w:jc w:val="both"/>
        <w:rPr>
          <w:bCs/>
          <w:sz w:val="22"/>
          <w:szCs w:val="22"/>
        </w:rPr>
      </w:pPr>
    </w:p>
    <w:p w14:paraId="35FC22D5" w14:textId="77777777" w:rsidR="00F44CBA" w:rsidRPr="00F44CBA" w:rsidRDefault="00F44CBA">
      <w:pPr>
        <w:rPr>
          <w:sz w:val="22"/>
          <w:szCs w:val="22"/>
        </w:rPr>
      </w:pPr>
    </w:p>
    <w:p w14:paraId="5BFC884D" w14:textId="77777777" w:rsidR="00531DB5" w:rsidRPr="00275ACD" w:rsidRDefault="00A50FF9" w:rsidP="00275ACD">
      <w:pPr>
        <w:ind w:left="792"/>
        <w:contextualSpacing/>
        <w:jc w:val="both"/>
        <w:rPr>
          <w:sz w:val="22"/>
          <w:szCs w:val="22"/>
        </w:rPr>
      </w:pPr>
    </w:p>
    <w:sectPr w:rsidR="00531DB5" w:rsidRPr="00275ACD" w:rsidSect="002578F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5236A" w14:textId="77777777" w:rsidR="0003512B" w:rsidRDefault="0003512B" w:rsidP="00A82CE1">
      <w:r>
        <w:separator/>
      </w:r>
    </w:p>
  </w:endnote>
  <w:endnote w:type="continuationSeparator" w:id="0">
    <w:p w14:paraId="4D13EAEC" w14:textId="77777777" w:rsidR="0003512B" w:rsidRDefault="0003512B" w:rsidP="00A8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69F9C" w14:textId="77777777" w:rsidR="0003512B" w:rsidRDefault="0003512B" w:rsidP="00A82CE1">
      <w:r>
        <w:separator/>
      </w:r>
    </w:p>
  </w:footnote>
  <w:footnote w:type="continuationSeparator" w:id="0">
    <w:p w14:paraId="782831AC" w14:textId="77777777" w:rsidR="0003512B" w:rsidRDefault="0003512B" w:rsidP="00A82CE1">
      <w:r>
        <w:continuationSeparator/>
      </w:r>
    </w:p>
  </w:footnote>
  <w:footnote w:id="1">
    <w:p w14:paraId="1E1CB92B" w14:textId="77777777" w:rsidR="00A82CE1" w:rsidRPr="005618F1" w:rsidRDefault="00A82CE1" w:rsidP="00A82CE1">
      <w:pPr>
        <w:pStyle w:val="FootnoteText"/>
        <w:jc w:val="both"/>
        <w:rPr>
          <w:rFonts w:ascii="Times New Roman" w:hAnsi="Times New Roman"/>
          <w:sz w:val="18"/>
          <w:szCs w:val="18"/>
        </w:rPr>
      </w:pPr>
      <w:r w:rsidRPr="005618F1">
        <w:rPr>
          <w:rStyle w:val="FootnoteReference"/>
          <w:sz w:val="18"/>
          <w:szCs w:val="18"/>
        </w:rPr>
        <w:footnoteRef/>
      </w:r>
      <w:r w:rsidRPr="005618F1">
        <w:rPr>
          <w:rFonts w:ascii="Times New Roman" w:hAnsi="Times New Roman"/>
          <w:sz w:val="18"/>
          <w:szCs w:val="18"/>
        </w:rPr>
        <w:t xml:space="preserve">Data from the World Bank’s World Development Indicators. </w:t>
      </w:r>
    </w:p>
  </w:footnote>
  <w:footnote w:id="2">
    <w:p w14:paraId="4EF85E11" w14:textId="77777777" w:rsidR="00A82CE1" w:rsidRPr="005618F1" w:rsidRDefault="00A82CE1" w:rsidP="00A82CE1">
      <w:pPr>
        <w:pStyle w:val="FootnoteText"/>
        <w:jc w:val="both"/>
        <w:rPr>
          <w:rFonts w:ascii="Times New Roman" w:hAnsi="Times New Roman"/>
          <w:sz w:val="18"/>
          <w:szCs w:val="18"/>
        </w:rPr>
      </w:pPr>
      <w:r w:rsidRPr="005618F1">
        <w:rPr>
          <w:rFonts w:ascii="Times New Roman" w:hAnsi="Times New Roman"/>
          <w:sz w:val="18"/>
          <w:szCs w:val="18"/>
          <w:vertAlign w:val="superscript"/>
        </w:rPr>
        <w:footnoteRef/>
      </w:r>
      <w:r w:rsidRPr="005618F1">
        <w:rPr>
          <w:rFonts w:ascii="Times New Roman" w:hAnsi="Times New Roman"/>
          <w:sz w:val="18"/>
          <w:szCs w:val="18"/>
        </w:rPr>
        <w:t xml:space="preserve">GDP growth is estimated to have reached 0.8% in 2016, down from 1.8% in 2015 GDP is estimated to grow at 0.5% in 2017 and 1.5% in 2018, driven mostly by continued strong performance in construction and agriculture. </w:t>
      </w:r>
    </w:p>
  </w:footnote>
  <w:footnote w:id="3">
    <w:p w14:paraId="69FB523F" w14:textId="77777777" w:rsidR="00D52DB6" w:rsidRDefault="00D52DB6" w:rsidP="00D52DB6">
      <w:pPr>
        <w:pStyle w:val="FootnoteText"/>
        <w:jc w:val="both"/>
      </w:pPr>
      <w:r w:rsidRPr="007C7560">
        <w:rPr>
          <w:rStyle w:val="FootnoteReference"/>
          <w:rFonts w:ascii="Times New Roman" w:hAnsi="Times New Roman"/>
        </w:rPr>
        <w:footnoteRef/>
      </w:r>
      <w:r w:rsidRPr="007C7560">
        <w:rPr>
          <w:rFonts w:ascii="Times New Roman" w:hAnsi="Times New Roman"/>
        </w:rPr>
        <w:t xml:space="preserve"> </w:t>
      </w:r>
      <w:r w:rsidRPr="00E267F8">
        <w:rPr>
          <w:rFonts w:ascii="Times New Roman" w:hAnsi="Times New Roman"/>
        </w:rPr>
        <w:t xml:space="preserve">In 2013, with the assistance of the Compete Caribbean Program, the Government established the National Competitiveness and Productivity Council (NCPC) and an accompanying Technical Unit. The mandate of the NCPC is to </w:t>
      </w:r>
      <w:bookmarkStart w:id="1" w:name="_Hlk502055237"/>
      <w:r w:rsidRPr="00E267F8">
        <w:rPr>
          <w:rFonts w:ascii="Times New Roman" w:hAnsi="Times New Roman"/>
        </w:rPr>
        <w:t>raise awareness on issues of productivity and competitiveness and to undertake and recommend key reforms for the improvement of the business environment and the country’s competitiveness</w:t>
      </w:r>
      <w:bookmarkEnd w:id="1"/>
      <w:r w:rsidRPr="00E267F8">
        <w:rPr>
          <w:rFonts w:ascii="Times New Roman" w:hAnsi="Times New Roman"/>
        </w:rPr>
        <w:t>. In 2017, the Government established a Department of Innovation (DOI), which has a critical role to play in furthering innovation, productivity and competitiveness in Saint Lucia.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DBB0246"/>
    <w:multiLevelType w:val="multilevel"/>
    <w:tmpl w:val="0C86CA36"/>
    <w:lvl w:ilvl="0">
      <w:start w:val="1"/>
      <w:numFmt w:val="decimal"/>
      <w:lvlText w:val="%1"/>
      <w:lvlJc w:val="left"/>
      <w:pPr>
        <w:ind w:left="360" w:hanging="360"/>
      </w:pPr>
      <w:rPr>
        <w:rFonts w:eastAsiaTheme="minorEastAsia" w:hint="default"/>
        <w:b w:val="0"/>
        <w:u w:val="none"/>
      </w:rPr>
    </w:lvl>
    <w:lvl w:ilvl="1">
      <w:start w:val="1"/>
      <w:numFmt w:val="decimal"/>
      <w:lvlText w:val="6.%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2" w15:restartNumberingAfterBreak="0">
    <w:nsid w:val="30BF4CEA"/>
    <w:multiLevelType w:val="hybridMultilevel"/>
    <w:tmpl w:val="E8908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CB406A"/>
    <w:multiLevelType w:val="hybridMultilevel"/>
    <w:tmpl w:val="99A01870"/>
    <w:lvl w:ilvl="0" w:tplc="6074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046D0B"/>
    <w:multiLevelType w:val="hybridMultilevel"/>
    <w:tmpl w:val="1D64EEF0"/>
    <w:lvl w:ilvl="0" w:tplc="0C568B8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013B6B"/>
    <w:multiLevelType w:val="hybridMultilevel"/>
    <w:tmpl w:val="793A0A40"/>
    <w:lvl w:ilvl="0" w:tplc="0809001B">
      <w:start w:val="1"/>
      <w:numFmt w:val="low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5863FF5"/>
    <w:multiLevelType w:val="multilevel"/>
    <w:tmpl w:val="F59861F6"/>
    <w:lvl w:ilvl="0">
      <w:start w:val="1"/>
      <w:numFmt w:val="decimal"/>
      <w:lvlText w:val="%1"/>
      <w:lvlJc w:val="left"/>
      <w:pPr>
        <w:ind w:left="360" w:hanging="360"/>
      </w:pPr>
      <w:rPr>
        <w:rFonts w:eastAsiaTheme="minorEastAsia" w:hint="default"/>
        <w:b w:val="0"/>
        <w:u w:val="none"/>
      </w:rPr>
    </w:lvl>
    <w:lvl w:ilvl="1">
      <w:start w:val="1"/>
      <w:numFmt w:val="decimal"/>
      <w:lvlText w:val="5.%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7" w15:restartNumberingAfterBreak="0">
    <w:nsid w:val="60F970CB"/>
    <w:multiLevelType w:val="hybridMultilevel"/>
    <w:tmpl w:val="C37E3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33648EF"/>
    <w:multiLevelType w:val="hybridMultilevel"/>
    <w:tmpl w:val="8AEE62A2"/>
    <w:lvl w:ilvl="0" w:tplc="08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C65F78"/>
    <w:multiLevelType w:val="multilevel"/>
    <w:tmpl w:val="8F088EDC"/>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363B93"/>
    <w:multiLevelType w:val="hybridMultilevel"/>
    <w:tmpl w:val="576EB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BCF2221"/>
    <w:multiLevelType w:val="hybridMultilevel"/>
    <w:tmpl w:val="8A100070"/>
    <w:lvl w:ilvl="0" w:tplc="2A8C9B7E">
      <w:start w:val="1"/>
      <w:numFmt w:val="decimal"/>
      <w:lvlText w:val="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DA472B"/>
    <w:multiLevelType w:val="multilevel"/>
    <w:tmpl w:val="0880569C"/>
    <w:lvl w:ilvl="0">
      <w:start w:val="1"/>
      <w:numFmt w:val="upperRoman"/>
      <w:lvlText w:val="%1."/>
      <w:lvlJc w:val="right"/>
      <w:pPr>
        <w:ind w:left="36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7991131B"/>
    <w:multiLevelType w:val="hybridMultilevel"/>
    <w:tmpl w:val="DD42C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4231B9"/>
    <w:multiLevelType w:val="multilevel"/>
    <w:tmpl w:val="88D49274"/>
    <w:lvl w:ilvl="0">
      <w:start w:val="1"/>
      <w:numFmt w:val="decimal"/>
      <w:lvlText w:val="%1"/>
      <w:lvlJc w:val="left"/>
      <w:pPr>
        <w:ind w:left="360" w:hanging="360"/>
      </w:pPr>
      <w:rPr>
        <w:rFonts w:eastAsiaTheme="minorEastAsia" w:hint="default"/>
        <w:b w:val="0"/>
        <w:u w:val="none"/>
      </w:rPr>
    </w:lvl>
    <w:lvl w:ilvl="1">
      <w:start w:val="1"/>
      <w:numFmt w:val="decimal"/>
      <w:lvlText w:val="4.%2"/>
      <w:lvlJc w:val="left"/>
      <w:pPr>
        <w:ind w:left="360" w:hanging="360"/>
      </w:pPr>
      <w:rPr>
        <w:rFonts w:hint="default"/>
        <w:b w:val="0"/>
        <w:u w:val="none"/>
      </w:rPr>
    </w:lvl>
    <w:lvl w:ilvl="2">
      <w:start w:val="1"/>
      <w:numFmt w:val="decimal"/>
      <w:lvlText w:val="%1.%2.%3"/>
      <w:lvlJc w:val="left"/>
      <w:pPr>
        <w:ind w:left="720" w:hanging="720"/>
      </w:pPr>
      <w:rPr>
        <w:rFonts w:eastAsiaTheme="minorEastAsia"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num w:numId="1">
    <w:abstractNumId w:val="9"/>
  </w:num>
  <w:num w:numId="2">
    <w:abstractNumId w:val="8"/>
  </w:num>
  <w:num w:numId="3">
    <w:abstractNumId w:val="5"/>
  </w:num>
  <w:num w:numId="4">
    <w:abstractNumId w:val="3"/>
  </w:num>
  <w:num w:numId="5">
    <w:abstractNumId w:val="12"/>
  </w:num>
  <w:num w:numId="6">
    <w:abstractNumId w:val="4"/>
  </w:num>
  <w:num w:numId="7">
    <w:abstractNumId w:val="0"/>
  </w:num>
  <w:num w:numId="8">
    <w:abstractNumId w:val="10"/>
  </w:num>
  <w:num w:numId="9">
    <w:abstractNumId w:val="13"/>
  </w:num>
  <w:num w:numId="10">
    <w:abstractNumId w:val="14"/>
  </w:num>
  <w:num w:numId="11">
    <w:abstractNumId w:val="6"/>
  </w:num>
  <w:num w:numId="12">
    <w:abstractNumId w:val="11"/>
  </w:num>
  <w:num w:numId="13">
    <w:abstractNumId w:val="1"/>
  </w:num>
  <w:num w:numId="14">
    <w:abstractNumId w:val="2"/>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CE1"/>
    <w:rsid w:val="0003512B"/>
    <w:rsid w:val="000B19E4"/>
    <w:rsid w:val="00175473"/>
    <w:rsid w:val="002578FC"/>
    <w:rsid w:val="00275ACD"/>
    <w:rsid w:val="002E612D"/>
    <w:rsid w:val="00393BD9"/>
    <w:rsid w:val="003955AA"/>
    <w:rsid w:val="003D2C1F"/>
    <w:rsid w:val="00443AE0"/>
    <w:rsid w:val="004737D9"/>
    <w:rsid w:val="00576A3A"/>
    <w:rsid w:val="00686A2D"/>
    <w:rsid w:val="00735B70"/>
    <w:rsid w:val="0098255A"/>
    <w:rsid w:val="00A50FF9"/>
    <w:rsid w:val="00A82CE1"/>
    <w:rsid w:val="00AB08F2"/>
    <w:rsid w:val="00B7173A"/>
    <w:rsid w:val="00C30BAA"/>
    <w:rsid w:val="00C67C63"/>
    <w:rsid w:val="00D52DB6"/>
    <w:rsid w:val="00EA2020"/>
    <w:rsid w:val="00ED1077"/>
    <w:rsid w:val="00EF6C05"/>
    <w:rsid w:val="00F44CBA"/>
    <w:rsid w:val="00F83EE4"/>
    <w:rsid w:val="00F856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BBB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82CE1"/>
    <w:rPr>
      <w:rFonts w:ascii="Times New Roman" w:eastAsiaTheme="minorEastAsia" w:hAnsi="Times New Roman"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82CE1"/>
    <w:pPr>
      <w:spacing w:after="200" w:line="276" w:lineRule="auto"/>
      <w:ind w:left="720"/>
      <w:contextualSpacing/>
    </w:pPr>
    <w:rPr>
      <w:rFonts w:asciiTheme="minorHAnsi" w:hAnsiTheme="minorHAnsi" w:cstheme="minorBidi"/>
      <w:sz w:val="22"/>
      <w:szCs w:val="22"/>
      <w:lang w:val="en-US" w:eastAsia="en-US"/>
    </w:rPr>
  </w:style>
  <w:style w:type="paragraph" w:styleId="BodyTextIndent3">
    <w:name w:val="Body Text Indent 3"/>
    <w:basedOn w:val="Normal"/>
    <w:link w:val="BodyTextIndent3Char"/>
    <w:unhideWhenUsed/>
    <w:rsid w:val="00A82CE1"/>
    <w:pPr>
      <w:widowControl w:val="0"/>
      <w:autoSpaceDE w:val="0"/>
      <w:autoSpaceDN w:val="0"/>
      <w:adjustRightInd w:val="0"/>
      <w:spacing w:after="120"/>
      <w:ind w:left="360"/>
    </w:pPr>
    <w:rPr>
      <w:rFonts w:ascii="Arial" w:hAnsi="Arial" w:cs="Arial"/>
      <w:color w:val="000000"/>
      <w:sz w:val="16"/>
      <w:szCs w:val="16"/>
      <w:lang w:val="es-AR" w:eastAsia="es-AR"/>
    </w:rPr>
  </w:style>
  <w:style w:type="character" w:customStyle="1" w:styleId="BodyTextIndent3Char">
    <w:name w:val="Body Text Indent 3 Char"/>
    <w:basedOn w:val="DefaultParagraphFont"/>
    <w:link w:val="BodyTextIndent3"/>
    <w:rsid w:val="00A82CE1"/>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A82CE1"/>
    <w:pPr>
      <w:spacing w:after="120"/>
    </w:pPr>
    <w:rPr>
      <w:rFonts w:ascii="Arial" w:eastAsia="Times New Roman" w:hAnsi="Arial"/>
      <w:sz w:val="20"/>
      <w:szCs w:val="20"/>
      <w:lang w:val="en-US" w:eastAsia="en-US"/>
    </w:rPr>
  </w:style>
  <w:style w:type="character" w:customStyle="1" w:styleId="BodyTextChar">
    <w:name w:val="Body Text Char"/>
    <w:basedOn w:val="DefaultParagraphFont"/>
    <w:link w:val="BodyText"/>
    <w:uiPriority w:val="99"/>
    <w:rsid w:val="00A82CE1"/>
    <w:rPr>
      <w:rFonts w:ascii="Arial" w:eastAsia="Times New Roman" w:hAnsi="Arial" w:cs="Times New Roman"/>
      <w:sz w:val="20"/>
      <w:szCs w:val="20"/>
      <w:lang w:val="en-US"/>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A82CE1"/>
    <w:rPr>
      <w:rFonts w:eastAsiaTheme="minorEastAsia"/>
      <w:sz w:val="22"/>
      <w:szCs w:val="22"/>
      <w:lang w:val="en-US"/>
    </w:rPr>
  </w:style>
  <w:style w:type="paragraph" w:styleId="FootnoteText">
    <w:name w:val="footnote text"/>
    <w:basedOn w:val="Normal"/>
    <w:link w:val="FootnoteTextChar"/>
    <w:uiPriority w:val="99"/>
    <w:unhideWhenUsed/>
    <w:rsid w:val="00A82CE1"/>
    <w:rPr>
      <w:rFonts w:ascii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A82CE1"/>
    <w:rPr>
      <w:rFonts w:eastAsiaTheme="minorEastAsia"/>
      <w:sz w:val="20"/>
      <w:szCs w:val="20"/>
      <w:lang w:val="en-US"/>
    </w:rPr>
  </w:style>
  <w:style w:type="character" w:styleId="FootnoteReference">
    <w:name w:val="footnote reference"/>
    <w:basedOn w:val="DefaultParagraphFont"/>
    <w:uiPriority w:val="99"/>
    <w:unhideWhenUsed/>
    <w:rsid w:val="00A82CE1"/>
    <w:rPr>
      <w:vertAlign w:val="superscript"/>
    </w:rPr>
  </w:style>
  <w:style w:type="character" w:styleId="CommentReference">
    <w:name w:val="annotation reference"/>
    <w:basedOn w:val="DefaultParagraphFont"/>
    <w:uiPriority w:val="99"/>
    <w:semiHidden/>
    <w:unhideWhenUsed/>
    <w:rsid w:val="00175473"/>
    <w:rPr>
      <w:sz w:val="18"/>
      <w:szCs w:val="18"/>
    </w:rPr>
  </w:style>
  <w:style w:type="paragraph" w:styleId="CommentText">
    <w:name w:val="annotation text"/>
    <w:basedOn w:val="Normal"/>
    <w:link w:val="CommentTextChar"/>
    <w:uiPriority w:val="99"/>
    <w:semiHidden/>
    <w:unhideWhenUsed/>
    <w:rsid w:val="00175473"/>
  </w:style>
  <w:style w:type="character" w:customStyle="1" w:styleId="CommentTextChar">
    <w:name w:val="Comment Text Char"/>
    <w:basedOn w:val="DefaultParagraphFont"/>
    <w:link w:val="CommentText"/>
    <w:uiPriority w:val="99"/>
    <w:semiHidden/>
    <w:rsid w:val="00175473"/>
    <w:rPr>
      <w:rFonts w:ascii="Times New Roman" w:eastAsiaTheme="minorEastAsia"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175473"/>
    <w:rPr>
      <w:b/>
      <w:bCs/>
      <w:sz w:val="20"/>
      <w:szCs w:val="20"/>
    </w:rPr>
  </w:style>
  <w:style w:type="character" w:customStyle="1" w:styleId="CommentSubjectChar">
    <w:name w:val="Comment Subject Char"/>
    <w:basedOn w:val="CommentTextChar"/>
    <w:link w:val="CommentSubject"/>
    <w:uiPriority w:val="99"/>
    <w:semiHidden/>
    <w:rsid w:val="00175473"/>
    <w:rPr>
      <w:rFonts w:ascii="Times New Roman" w:eastAsiaTheme="minorEastAsia" w:hAnsi="Times New Roman" w:cs="Times New Roman"/>
      <w:b/>
      <w:bCs/>
      <w:sz w:val="20"/>
      <w:szCs w:val="20"/>
      <w:lang w:eastAsia="en-GB"/>
    </w:rPr>
  </w:style>
  <w:style w:type="paragraph" w:styleId="BalloonText">
    <w:name w:val="Balloon Text"/>
    <w:basedOn w:val="Normal"/>
    <w:link w:val="BalloonTextChar"/>
    <w:uiPriority w:val="99"/>
    <w:semiHidden/>
    <w:unhideWhenUsed/>
    <w:rsid w:val="00175473"/>
    <w:rPr>
      <w:sz w:val="18"/>
      <w:szCs w:val="18"/>
    </w:rPr>
  </w:style>
  <w:style w:type="character" w:customStyle="1" w:styleId="BalloonTextChar">
    <w:name w:val="Balloon Text Char"/>
    <w:basedOn w:val="DefaultParagraphFont"/>
    <w:link w:val="BalloonText"/>
    <w:uiPriority w:val="99"/>
    <w:semiHidden/>
    <w:rsid w:val="00175473"/>
    <w:rPr>
      <w:rFonts w:ascii="Times New Roman" w:eastAsiaTheme="minorEastAsia" w:hAnsi="Times New Roman" w:cs="Times New Roman"/>
      <w:sz w:val="18"/>
      <w:szCs w:val="18"/>
      <w:lang w:eastAsia="en-GB"/>
    </w:rPr>
  </w:style>
  <w:style w:type="table" w:styleId="TableGrid">
    <w:name w:val="Table Grid"/>
    <w:basedOn w:val="TableNormal"/>
    <w:uiPriority w:val="59"/>
    <w:rsid w:val="00F44CBA"/>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ATN/CO-16753-RG;</Approval_x0020_Number>
    <Phase xmlns="cdc7663a-08f0-4737-9e8c-148ce897a09c" xsi:nil="tru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216</Value>
      <Value>95</Value>
      <Value>44</Value>
      <Value>372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EZSHARE-5606946-5</_dlc_DocId>
    <_dlc_DocIdUrl xmlns="cdc7663a-08f0-4737-9e8c-148ce897a09c">
      <Url>https://idbg.sharepoint.com/teams/EZ-RG-TCP/RG-T3243/_layouts/15/DocIdRedir.aspx?ID=EZSHARE-5606946-5</Url>
      <Description>EZSHARE-5606946-5</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3C5A2C84F60F46B8F30B247F6A9FE4" ma:contentTypeVersion="106" ma:contentTypeDescription="A content type to manage public (operations) IDB documents" ma:contentTypeScope="" ma:versionID="b918acf9d2cfa67a441c5266e7b7f356">
  <xsd:schema xmlns:xsd="http://www.w3.org/2001/XMLSchema" xmlns:xs="http://www.w3.org/2001/XMLSchema" xmlns:p="http://schemas.microsoft.com/office/2006/metadata/properties" xmlns:ns2="cdc7663a-08f0-4737-9e8c-148ce897a09c" targetNamespace="http://schemas.microsoft.com/office/2006/metadata/properties" ma:root="true" ma:fieldsID="a456116f92b3cc1cac16b7cff38f8b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695E229-8F45-43D6-87C5-41EF227DA057}">
  <ds:schemaRefs>
    <ds:schemaRef ds:uri="http://schemas.microsoft.com/office/2006/metadata/properties"/>
    <ds:schemaRef ds:uri="http://purl.org/dc/dcmitype/"/>
    <ds:schemaRef ds:uri="http://schemas.microsoft.com/office/2006/documentManagement/types"/>
    <ds:schemaRef ds:uri="cdc7663a-08f0-4737-9e8c-148ce897a09c"/>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E9B5D695-575B-41E9-BD1F-6C6920EE4E80}"/>
</file>

<file path=customXml/itemProps3.xml><?xml version="1.0" encoding="utf-8"?>
<ds:datastoreItem xmlns:ds="http://schemas.openxmlformats.org/officeDocument/2006/customXml" ds:itemID="{C95676FC-8DD8-4B2D-8D27-772DA92CC720}">
  <ds:schemaRefs>
    <ds:schemaRef ds:uri="http://schemas.microsoft.com/sharepoint/v3/contenttype/forms"/>
  </ds:schemaRefs>
</ds:datastoreItem>
</file>

<file path=customXml/itemProps4.xml><?xml version="1.0" encoding="utf-8"?>
<ds:datastoreItem xmlns:ds="http://schemas.openxmlformats.org/officeDocument/2006/customXml" ds:itemID="{081A2B31-92B9-457D-B2E6-86837D840CCE}">
  <ds:schemaRefs>
    <ds:schemaRef ds:uri="http://schemas.microsoft.com/sharepoint/events"/>
  </ds:schemaRefs>
</ds:datastoreItem>
</file>

<file path=customXml/itemProps5.xml><?xml version="1.0" encoding="utf-8"?>
<ds:datastoreItem xmlns:ds="http://schemas.openxmlformats.org/officeDocument/2006/customXml" ds:itemID="{90901E30-5648-4A25-B846-05FEFCB48020}"/>
</file>

<file path=customXml/itemProps6.xml><?xml version="1.0" encoding="utf-8"?>
<ds:datastoreItem xmlns:ds="http://schemas.openxmlformats.org/officeDocument/2006/customXml" ds:itemID="{DAED45E5-C2D9-4EB3-AB57-ADCFDB3FCF9A}"/>
</file>

<file path=docProps/app.xml><?xml version="1.0" encoding="utf-8"?>
<Properties xmlns="http://schemas.openxmlformats.org/officeDocument/2006/extended-properties" xmlns:vt="http://schemas.openxmlformats.org/officeDocument/2006/docPropsVTypes">
  <Template>Normal.dotm</Template>
  <TotalTime>14</TotalTime>
  <Pages>4</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Morris</dc:creator>
  <cp:keywords/>
  <dc:description/>
  <cp:lastModifiedBy>Pereira, Stefano</cp:lastModifiedBy>
  <cp:revision>9</cp:revision>
  <dcterms:created xsi:type="dcterms:W3CDTF">2018-05-03T15:54:00Z</dcterms:created>
  <dcterms:modified xsi:type="dcterms:W3CDTF">2018-05-23T19:58:00Z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Fund IDB">
    <vt:lpwstr>372;#CCP|61cb5ab4-c090-4d7d-aa96-784b018822a5</vt:lpwstr>
  </property>
  <property fmtid="{D5CDD505-2E9C-101B-9397-08002B2CF9AE}" pid="8" name="Country">
    <vt:lpwstr>44;#Regional|2537a5b7-6d8e-482c-94dc-32c3cc44ff65</vt:lpwstr>
  </property>
  <property fmtid="{D5CDD505-2E9C-101B-9397-08002B2CF9AE}" pid="9" name="Sector IDB">
    <vt:lpwstr>95;#PRIVATE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ede56599-f193-4b57-bafb-39acad814d73</vt:lpwstr>
  </property>
  <property fmtid="{D5CDD505-2E9C-101B-9397-08002B2CF9AE}" pid="12" name="RecordPoint_ActiveItemMoved">
    <vt:lpwstr>/teams/EZ-RG-TCP/RG-T3243/05 Basic Data/RG-T3243 TOR - Supporting Implementation of Priority Vertical Reforms.docx</vt:lpwstr>
  </property>
  <property fmtid="{D5CDD505-2E9C-101B-9397-08002B2CF9AE}" pid="13" name="Disclosure Activity">
    <vt:lpwstr>Approved TC document</vt:lpwstr>
  </property>
  <property fmtid="{D5CDD505-2E9C-101B-9397-08002B2CF9AE}" pid="14" name="ContentTypeId">
    <vt:lpwstr>0x0101001A458A224826124E8B45B1D613300CFC000F3C5A2C84F60F46B8F30B247F6A9FE4</vt:lpwstr>
  </property>
</Properties>
</file>