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2C1" w:rsidRPr="004B766B" w:rsidRDefault="004B766B" w:rsidP="00E101E7">
      <w:pPr>
        <w:spacing w:after="0"/>
        <w:jc w:val="center"/>
        <w:rPr>
          <w:rFonts w:ascii="Times New Roman" w:hAnsi="Times New Roman" w:cs="Times New Roman"/>
        </w:rPr>
      </w:pPr>
      <w:r w:rsidRPr="004B766B">
        <w:rPr>
          <w:rFonts w:ascii="Times New Roman" w:hAnsi="Times New Roman" w:cs="Times New Roman"/>
        </w:rPr>
        <w:t>GY-L1043</w:t>
      </w:r>
    </w:p>
    <w:p w:rsidR="004B766B" w:rsidRDefault="004B766B" w:rsidP="00511EE6">
      <w:pPr>
        <w:spacing w:after="0"/>
        <w:jc w:val="center"/>
        <w:rPr>
          <w:rFonts w:ascii="Times New Roman" w:hAnsi="Times New Roman" w:cs="Times New Roman"/>
        </w:rPr>
      </w:pPr>
      <w:r w:rsidRPr="004B766B">
        <w:rPr>
          <w:rFonts w:ascii="Times New Roman" w:hAnsi="Times New Roman" w:cs="Times New Roman"/>
        </w:rPr>
        <w:t>Description of modifications to triggers presented in Policy Matrix for PBP1 (Loan</w:t>
      </w:r>
      <w:r w:rsidR="00E0486C">
        <w:rPr>
          <w:rFonts w:ascii="Times New Roman" w:hAnsi="Times New Roman" w:cs="Times New Roman"/>
        </w:rPr>
        <w:t xml:space="preserve"> 3106 BL/GY</w:t>
      </w:r>
      <w:r w:rsidRPr="004B766B">
        <w:rPr>
          <w:rFonts w:ascii="Times New Roman" w:hAnsi="Times New Roman" w:cs="Times New Roman"/>
        </w:rPr>
        <w:t>)</w:t>
      </w:r>
    </w:p>
    <w:p w:rsidR="00511EE6" w:rsidRPr="00E101E7" w:rsidRDefault="00511EE6" w:rsidP="00511EE6">
      <w:pPr>
        <w:spacing w:after="0"/>
        <w:jc w:val="center"/>
        <w:rPr>
          <w:rFonts w:ascii="Times New Roman" w:hAnsi="Times New Roman" w:cs="Times New Roman"/>
        </w:rPr>
      </w:pPr>
    </w:p>
    <w:tbl>
      <w:tblPr>
        <w:tblStyle w:val="TableGrid"/>
        <w:tblW w:w="0" w:type="auto"/>
        <w:tblLook w:val="04A0" w:firstRow="1" w:lastRow="0" w:firstColumn="1" w:lastColumn="0" w:noHBand="0" w:noVBand="1"/>
      </w:tblPr>
      <w:tblGrid>
        <w:gridCol w:w="1484"/>
        <w:gridCol w:w="2702"/>
        <w:gridCol w:w="2699"/>
        <w:gridCol w:w="2691"/>
      </w:tblGrid>
      <w:tr w:rsidR="004B766B" w:rsidRPr="004B766B" w:rsidTr="00EE0F2E">
        <w:trPr>
          <w:tblHeader/>
        </w:trPr>
        <w:tc>
          <w:tcPr>
            <w:tcW w:w="1484" w:type="dxa"/>
            <w:vAlign w:val="center"/>
          </w:tcPr>
          <w:p w:rsidR="004B766B" w:rsidRPr="004B766B" w:rsidRDefault="009E37DA" w:rsidP="00EE0F2E">
            <w:pPr>
              <w:jc w:val="center"/>
              <w:rPr>
                <w:rFonts w:ascii="Times New Roman" w:hAnsi="Times New Roman" w:cs="Times New Roman"/>
                <w:b/>
                <w:sz w:val="20"/>
                <w:szCs w:val="20"/>
              </w:rPr>
            </w:pPr>
            <w:r>
              <w:rPr>
                <w:rFonts w:ascii="Times New Roman" w:hAnsi="Times New Roman" w:cs="Times New Roman"/>
                <w:b/>
                <w:sz w:val="20"/>
                <w:szCs w:val="20"/>
              </w:rPr>
              <w:t>Objectives</w:t>
            </w:r>
          </w:p>
        </w:tc>
        <w:tc>
          <w:tcPr>
            <w:tcW w:w="2702" w:type="dxa"/>
            <w:vAlign w:val="center"/>
          </w:tcPr>
          <w:p w:rsidR="00EE0F2E" w:rsidRDefault="004B766B" w:rsidP="00EE0F2E">
            <w:pPr>
              <w:jc w:val="center"/>
              <w:rPr>
                <w:rFonts w:ascii="Times New Roman" w:hAnsi="Times New Roman" w:cs="Times New Roman"/>
                <w:b/>
                <w:sz w:val="20"/>
                <w:szCs w:val="20"/>
              </w:rPr>
            </w:pPr>
            <w:r w:rsidRPr="004B766B">
              <w:rPr>
                <w:rFonts w:ascii="Times New Roman" w:hAnsi="Times New Roman" w:cs="Times New Roman"/>
                <w:b/>
                <w:sz w:val="20"/>
                <w:szCs w:val="20"/>
              </w:rPr>
              <w:t>Original Trigger</w:t>
            </w:r>
          </w:p>
          <w:p w:rsidR="004B766B" w:rsidRPr="004B766B" w:rsidRDefault="00EE0F2E" w:rsidP="00EE0F2E">
            <w:pPr>
              <w:jc w:val="center"/>
              <w:rPr>
                <w:rFonts w:ascii="Times New Roman" w:hAnsi="Times New Roman" w:cs="Times New Roman"/>
                <w:b/>
                <w:sz w:val="20"/>
                <w:szCs w:val="20"/>
              </w:rPr>
            </w:pPr>
            <w:r>
              <w:rPr>
                <w:rFonts w:ascii="Times New Roman" w:hAnsi="Times New Roman" w:cs="Times New Roman"/>
                <w:b/>
                <w:sz w:val="20"/>
                <w:szCs w:val="20"/>
              </w:rPr>
              <w:t>(Policy Matrix PBP1)</w:t>
            </w:r>
          </w:p>
        </w:tc>
        <w:tc>
          <w:tcPr>
            <w:tcW w:w="2699" w:type="dxa"/>
            <w:vAlign w:val="center"/>
          </w:tcPr>
          <w:p w:rsidR="004B766B" w:rsidRPr="004B766B" w:rsidRDefault="004B766B" w:rsidP="006F67B3">
            <w:pPr>
              <w:jc w:val="center"/>
              <w:rPr>
                <w:rFonts w:ascii="Times New Roman" w:hAnsi="Times New Roman" w:cs="Times New Roman"/>
                <w:b/>
                <w:sz w:val="20"/>
                <w:szCs w:val="20"/>
              </w:rPr>
            </w:pPr>
            <w:r w:rsidRPr="004B766B">
              <w:rPr>
                <w:rFonts w:ascii="Times New Roman" w:hAnsi="Times New Roman" w:cs="Times New Roman"/>
                <w:b/>
                <w:sz w:val="20"/>
                <w:szCs w:val="20"/>
              </w:rPr>
              <w:t>Proposed Condition</w:t>
            </w:r>
            <w:r w:rsidR="00F011CC">
              <w:rPr>
                <w:rFonts w:ascii="Times New Roman" w:hAnsi="Times New Roman" w:cs="Times New Roman"/>
                <w:b/>
                <w:sz w:val="20"/>
                <w:szCs w:val="20"/>
              </w:rPr>
              <w:t xml:space="preserve"> </w:t>
            </w:r>
            <w:r w:rsidR="00F55067">
              <w:rPr>
                <w:rFonts w:ascii="Times New Roman" w:hAnsi="Times New Roman" w:cs="Times New Roman"/>
                <w:b/>
                <w:sz w:val="20"/>
                <w:szCs w:val="20"/>
              </w:rPr>
              <w:t xml:space="preserve">(Policy Matrix PBP2) </w:t>
            </w:r>
          </w:p>
        </w:tc>
        <w:tc>
          <w:tcPr>
            <w:tcW w:w="2691" w:type="dxa"/>
            <w:vAlign w:val="center"/>
          </w:tcPr>
          <w:p w:rsidR="004B766B" w:rsidRPr="004B766B" w:rsidRDefault="004B766B" w:rsidP="00EE0F2E">
            <w:pPr>
              <w:jc w:val="center"/>
              <w:rPr>
                <w:rFonts w:ascii="Times New Roman" w:hAnsi="Times New Roman" w:cs="Times New Roman"/>
                <w:b/>
                <w:sz w:val="20"/>
                <w:szCs w:val="20"/>
              </w:rPr>
            </w:pPr>
            <w:r w:rsidRPr="004B766B">
              <w:rPr>
                <w:rFonts w:ascii="Times New Roman" w:hAnsi="Times New Roman" w:cs="Times New Roman"/>
                <w:b/>
                <w:sz w:val="20"/>
                <w:szCs w:val="20"/>
              </w:rPr>
              <w:t>Explanation of modification</w:t>
            </w:r>
          </w:p>
        </w:tc>
      </w:tr>
      <w:tr w:rsidR="009E37DA" w:rsidRPr="004B766B" w:rsidTr="00B45A23">
        <w:tc>
          <w:tcPr>
            <w:tcW w:w="9576" w:type="dxa"/>
            <w:gridSpan w:val="4"/>
          </w:tcPr>
          <w:p w:rsidR="009E37DA" w:rsidRDefault="009E37DA" w:rsidP="00AB5F53">
            <w:pPr>
              <w:spacing w:before="120" w:after="120"/>
              <w:jc w:val="center"/>
              <w:rPr>
                <w:rFonts w:ascii="Times New Roman" w:hAnsi="Times New Roman" w:cs="Times New Roman"/>
                <w:sz w:val="20"/>
                <w:szCs w:val="20"/>
              </w:rPr>
            </w:pPr>
            <w:r w:rsidRPr="009E37DA">
              <w:rPr>
                <w:rFonts w:ascii="Times New Roman" w:hAnsi="Times New Roman" w:cs="Times New Roman"/>
                <w:b/>
                <w:sz w:val="20"/>
                <w:szCs w:val="20"/>
              </w:rPr>
              <w:t>COMPONENT 1: MACROECONOMIC STABILITY</w:t>
            </w:r>
          </w:p>
        </w:tc>
      </w:tr>
      <w:tr w:rsidR="004B766B" w:rsidRPr="004B766B" w:rsidTr="009E37DA">
        <w:tc>
          <w:tcPr>
            <w:tcW w:w="1484" w:type="dxa"/>
          </w:tcPr>
          <w:p w:rsidR="004B766B" w:rsidRPr="004B766B" w:rsidRDefault="009E37DA">
            <w:pPr>
              <w:rPr>
                <w:rFonts w:ascii="Times New Roman" w:hAnsi="Times New Roman" w:cs="Times New Roman"/>
                <w:sz w:val="20"/>
                <w:szCs w:val="20"/>
              </w:rPr>
            </w:pPr>
            <w:r>
              <w:rPr>
                <w:rFonts w:ascii="Times New Roman" w:hAnsi="Times New Roman" w:cs="Times New Roman"/>
                <w:sz w:val="20"/>
                <w:szCs w:val="20"/>
              </w:rPr>
              <w:t xml:space="preserve">Enhanced </w:t>
            </w:r>
            <w:r w:rsidR="004B766B">
              <w:rPr>
                <w:rFonts w:ascii="Times New Roman" w:hAnsi="Times New Roman" w:cs="Times New Roman"/>
                <w:sz w:val="20"/>
                <w:szCs w:val="20"/>
              </w:rPr>
              <w:t>Macro-economic stability</w:t>
            </w:r>
          </w:p>
        </w:tc>
        <w:tc>
          <w:tcPr>
            <w:tcW w:w="2702" w:type="dxa"/>
          </w:tcPr>
          <w:p w:rsidR="004B766B" w:rsidRPr="004B766B" w:rsidRDefault="004B766B" w:rsidP="004B766B">
            <w:pPr>
              <w:rPr>
                <w:rFonts w:ascii="Times New Roman" w:hAnsi="Times New Roman" w:cs="Times New Roman"/>
                <w:sz w:val="20"/>
                <w:szCs w:val="20"/>
              </w:rPr>
            </w:pPr>
            <w:r w:rsidRPr="004B766B">
              <w:rPr>
                <w:rFonts w:ascii="Times New Roman" w:hAnsi="Times New Roman" w:cs="Times New Roman"/>
                <w:sz w:val="20"/>
                <w:szCs w:val="20"/>
              </w:rPr>
              <w:t>The borrower maintains a macroeconomic framework consistent with the program objectives</w:t>
            </w:r>
          </w:p>
          <w:p w:rsidR="004B766B" w:rsidRPr="004B766B" w:rsidRDefault="004B766B" w:rsidP="004B766B">
            <w:pPr>
              <w:pStyle w:val="ListParagraph"/>
              <w:ind w:left="252"/>
              <w:rPr>
                <w:rFonts w:ascii="Times New Roman" w:hAnsi="Times New Roman" w:cs="Times New Roman"/>
                <w:sz w:val="20"/>
                <w:szCs w:val="20"/>
              </w:rPr>
            </w:pPr>
          </w:p>
        </w:tc>
        <w:tc>
          <w:tcPr>
            <w:tcW w:w="2699" w:type="dxa"/>
          </w:tcPr>
          <w:p w:rsidR="004B766B" w:rsidRPr="004B766B" w:rsidRDefault="004B766B" w:rsidP="004B766B">
            <w:pPr>
              <w:rPr>
                <w:rFonts w:ascii="Times New Roman" w:hAnsi="Times New Roman" w:cs="Times New Roman"/>
                <w:sz w:val="20"/>
                <w:szCs w:val="20"/>
              </w:rPr>
            </w:pPr>
            <w:r w:rsidRPr="004B766B">
              <w:rPr>
                <w:rFonts w:ascii="Times New Roman" w:hAnsi="Times New Roman" w:cs="Times New Roman"/>
                <w:sz w:val="20"/>
                <w:szCs w:val="20"/>
              </w:rPr>
              <w:t>The borrower maintains a macroeconomic framework consistent with the program objectives</w:t>
            </w:r>
          </w:p>
          <w:p w:rsidR="004B766B" w:rsidRPr="004B766B" w:rsidRDefault="004B766B" w:rsidP="004B766B">
            <w:pPr>
              <w:pStyle w:val="ListParagraph"/>
              <w:ind w:left="216"/>
              <w:rPr>
                <w:rFonts w:ascii="Times New Roman" w:hAnsi="Times New Roman" w:cs="Times New Roman"/>
                <w:sz w:val="20"/>
                <w:szCs w:val="20"/>
              </w:rPr>
            </w:pPr>
          </w:p>
        </w:tc>
        <w:tc>
          <w:tcPr>
            <w:tcW w:w="2691" w:type="dxa"/>
          </w:tcPr>
          <w:p w:rsidR="004B766B" w:rsidRPr="004B766B" w:rsidRDefault="004B766B">
            <w:pPr>
              <w:rPr>
                <w:rFonts w:ascii="Times New Roman" w:hAnsi="Times New Roman" w:cs="Times New Roman"/>
                <w:sz w:val="20"/>
                <w:szCs w:val="20"/>
              </w:rPr>
            </w:pPr>
            <w:r>
              <w:rPr>
                <w:rFonts w:ascii="Times New Roman" w:hAnsi="Times New Roman" w:cs="Times New Roman"/>
                <w:sz w:val="20"/>
                <w:szCs w:val="20"/>
              </w:rPr>
              <w:t>No change</w:t>
            </w:r>
          </w:p>
        </w:tc>
      </w:tr>
      <w:tr w:rsidR="009E37DA" w:rsidRPr="004B766B" w:rsidTr="0046008B">
        <w:tc>
          <w:tcPr>
            <w:tcW w:w="9576" w:type="dxa"/>
            <w:gridSpan w:val="4"/>
          </w:tcPr>
          <w:p w:rsidR="009E37DA" w:rsidRDefault="009E37DA" w:rsidP="00AB5F53">
            <w:pPr>
              <w:spacing w:before="120" w:after="120"/>
              <w:jc w:val="center"/>
              <w:rPr>
                <w:rFonts w:ascii="Times New Roman" w:hAnsi="Times New Roman" w:cs="Times New Roman"/>
                <w:sz w:val="20"/>
                <w:szCs w:val="20"/>
              </w:rPr>
            </w:pPr>
            <w:r w:rsidRPr="009E37DA">
              <w:rPr>
                <w:rFonts w:ascii="Times New Roman" w:hAnsi="Times New Roman" w:cs="Times New Roman"/>
                <w:b/>
                <w:sz w:val="20"/>
                <w:szCs w:val="20"/>
              </w:rPr>
              <w:t>COMPONENT 2: REGULATORY FRAMEWORK</w:t>
            </w:r>
          </w:p>
        </w:tc>
      </w:tr>
      <w:tr w:rsidR="00EF12D7" w:rsidRPr="004B766B" w:rsidTr="009E37DA">
        <w:tc>
          <w:tcPr>
            <w:tcW w:w="1484" w:type="dxa"/>
            <w:vMerge w:val="restart"/>
          </w:tcPr>
          <w:p w:rsidR="00EF12D7" w:rsidRPr="009E37DA" w:rsidRDefault="00EF12D7">
            <w:pPr>
              <w:rPr>
                <w:rFonts w:ascii="Times New Roman" w:hAnsi="Times New Roman" w:cs="Times New Roman"/>
                <w:sz w:val="20"/>
                <w:szCs w:val="20"/>
              </w:rPr>
            </w:pPr>
            <w:r w:rsidRPr="009E37DA">
              <w:rPr>
                <w:rFonts w:ascii="Times New Roman" w:hAnsi="Times New Roman" w:cs="Times New Roman"/>
                <w:sz w:val="20"/>
                <w:szCs w:val="20"/>
              </w:rPr>
              <w:t>Implementation of Low Carbon Development Strategies (LCDS)</w:t>
            </w: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A87AE0">
              <w:rPr>
                <w:rFonts w:ascii="Times New Roman" w:hAnsi="Times New Roman" w:cs="Times New Roman"/>
                <w:sz w:val="20"/>
                <w:szCs w:val="20"/>
              </w:rPr>
              <w:t>That the LCDS Update is implemented, and particularly that at least two new projects in the areas of  (i) supporting land tenure for Amerindian villages; and (ii) creating low carbon livelihood opportunities for small and micro enterprises and Amerindian villages have been defined and have started preparation or been approved</w:t>
            </w:r>
            <w:r>
              <w:rPr>
                <w:rFonts w:ascii="Times New Roman" w:hAnsi="Times New Roman" w:cs="Times New Roman"/>
                <w:sz w:val="20"/>
                <w:szCs w:val="20"/>
              </w:rPr>
              <w:t>.</w:t>
            </w:r>
          </w:p>
        </w:tc>
        <w:tc>
          <w:tcPr>
            <w:tcW w:w="2699" w:type="dxa"/>
          </w:tcPr>
          <w:p w:rsidR="00EF12D7" w:rsidRPr="00967A95" w:rsidRDefault="00EF12D7" w:rsidP="00967A95">
            <w:pPr>
              <w:pStyle w:val="ListParagraph"/>
              <w:numPr>
                <w:ilvl w:val="0"/>
                <w:numId w:val="2"/>
              </w:numPr>
              <w:ind w:left="216" w:hanging="270"/>
              <w:rPr>
                <w:rFonts w:ascii="Times New Roman" w:hAnsi="Times New Roman" w:cs="Times New Roman"/>
                <w:sz w:val="20"/>
                <w:szCs w:val="20"/>
              </w:rPr>
            </w:pPr>
            <w:r w:rsidRPr="00FB05D5">
              <w:rPr>
                <w:rFonts w:ascii="Times New Roman" w:hAnsi="Times New Roman" w:cs="Times New Roman"/>
                <w:sz w:val="20"/>
                <w:szCs w:val="20"/>
              </w:rPr>
              <w:t>That the LCDS Update is implemented</w:t>
            </w:r>
            <w:r w:rsidR="004877D7">
              <w:rPr>
                <w:rFonts w:ascii="Times New Roman" w:hAnsi="Times New Roman" w:cs="Times New Roman"/>
                <w:sz w:val="20"/>
                <w:szCs w:val="20"/>
              </w:rPr>
              <w:t>, and particularly</w:t>
            </w:r>
            <w:r>
              <w:rPr>
                <w:rFonts w:ascii="Times New Roman" w:hAnsi="Times New Roman" w:cs="Times New Roman"/>
                <w:sz w:val="20"/>
                <w:szCs w:val="20"/>
              </w:rPr>
              <w:t xml:space="preserve"> at least </w:t>
            </w:r>
            <w:r w:rsidRPr="00FB05D5">
              <w:rPr>
                <w:rFonts w:ascii="Times New Roman" w:hAnsi="Times New Roman" w:cs="Times New Roman"/>
                <w:sz w:val="20"/>
                <w:szCs w:val="20"/>
              </w:rPr>
              <w:t>two new projects in the areas of institutional strengthening and support for community development plans by Amerindian Communities</w:t>
            </w:r>
            <w:r w:rsidR="00967A95">
              <w:rPr>
                <w:rFonts w:ascii="Times New Roman" w:hAnsi="Times New Roman" w:cs="Times New Roman"/>
                <w:sz w:val="20"/>
                <w:szCs w:val="20"/>
              </w:rPr>
              <w:t xml:space="preserve">, </w:t>
            </w:r>
            <w:r w:rsidRPr="00FB05D5">
              <w:rPr>
                <w:rFonts w:ascii="Times New Roman" w:hAnsi="Times New Roman" w:cs="Times New Roman"/>
                <w:sz w:val="20"/>
                <w:szCs w:val="20"/>
              </w:rPr>
              <w:t>have been defined and have started preparation or been approved</w:t>
            </w:r>
            <w:r w:rsidR="00967A95">
              <w:rPr>
                <w:rFonts w:ascii="Times New Roman" w:hAnsi="Times New Roman" w:cs="Times New Roman"/>
                <w:sz w:val="20"/>
                <w:szCs w:val="20"/>
              </w:rPr>
              <w:t>.</w:t>
            </w:r>
            <w:bookmarkStart w:id="0" w:name="_GoBack"/>
            <w:bookmarkEnd w:id="0"/>
          </w:p>
        </w:tc>
        <w:tc>
          <w:tcPr>
            <w:tcW w:w="2691" w:type="dxa"/>
          </w:tcPr>
          <w:p w:rsidR="00EF12D7" w:rsidRPr="003C1467" w:rsidRDefault="00EF12D7" w:rsidP="00A87AE0">
            <w:pPr>
              <w:rPr>
                <w:rFonts w:ascii="Times New Roman" w:hAnsi="Times New Roman" w:cs="Times New Roman"/>
                <w:sz w:val="20"/>
                <w:szCs w:val="20"/>
              </w:rPr>
            </w:pPr>
            <w:r w:rsidRPr="003C1467">
              <w:rPr>
                <w:rFonts w:ascii="Times New Roman" w:hAnsi="Times New Roman" w:cs="Times New Roman"/>
                <w:sz w:val="20"/>
                <w:szCs w:val="20"/>
              </w:rPr>
              <w:t>Condition remains unchanged, but the areas and the two projects selected as conditions in PBP2 are greater accomplishments with the potential to generate further reaching impacts on the treatment of the land tenure issues and the support for the livelihood in Amerindian villages.</w:t>
            </w:r>
          </w:p>
          <w:p w:rsidR="00EF12D7" w:rsidRPr="003C1467" w:rsidRDefault="00EF12D7" w:rsidP="006564A2">
            <w:pPr>
              <w:rPr>
                <w:rFonts w:ascii="Times New Roman" w:hAnsi="Times New Roman" w:cs="Times New Roman"/>
                <w:sz w:val="20"/>
                <w:szCs w:val="20"/>
              </w:rPr>
            </w:pPr>
            <w:r w:rsidRPr="003C1467">
              <w:rPr>
                <w:rFonts w:ascii="Times New Roman" w:hAnsi="Times New Roman" w:cs="Times New Roman"/>
                <w:sz w:val="20"/>
                <w:szCs w:val="20"/>
              </w:rPr>
              <w:t>.</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vMerge w:val="restart"/>
          </w:tcPr>
          <w:p w:rsidR="00EF12D7" w:rsidRPr="00E101E7" w:rsidRDefault="00EF12D7" w:rsidP="00E101E7">
            <w:pPr>
              <w:pStyle w:val="ListParagraph"/>
              <w:numPr>
                <w:ilvl w:val="0"/>
                <w:numId w:val="1"/>
              </w:numPr>
              <w:ind w:left="252" w:hanging="270"/>
              <w:rPr>
                <w:rFonts w:ascii="Times New Roman" w:hAnsi="Times New Roman" w:cs="Times New Roman"/>
                <w:sz w:val="20"/>
                <w:szCs w:val="20"/>
              </w:rPr>
            </w:pPr>
            <w:r w:rsidRPr="00A87AE0">
              <w:rPr>
                <w:rFonts w:ascii="Times New Roman" w:hAnsi="Times New Roman" w:cs="Times New Roman"/>
                <w:sz w:val="20"/>
                <w:szCs w:val="20"/>
              </w:rPr>
              <w:t>That consultations with affected groups on the LCDS and REDD+ continue and that they facilitate the ongoing participation of indigenous peoples in the development of the REDD+ program, based on the MSSC approved Stakeholder Awareness Plan</w:t>
            </w:r>
          </w:p>
        </w:tc>
        <w:tc>
          <w:tcPr>
            <w:tcW w:w="2699" w:type="dxa"/>
          </w:tcPr>
          <w:p w:rsidR="00EF12D7" w:rsidRPr="004B766B" w:rsidRDefault="00EF12D7" w:rsidP="004B766B">
            <w:pPr>
              <w:pStyle w:val="ListParagraph"/>
              <w:numPr>
                <w:ilvl w:val="0"/>
                <w:numId w:val="2"/>
              </w:numPr>
              <w:ind w:left="216" w:hanging="270"/>
              <w:rPr>
                <w:rFonts w:ascii="Times New Roman" w:hAnsi="Times New Roman" w:cs="Times New Roman"/>
                <w:sz w:val="20"/>
                <w:szCs w:val="20"/>
              </w:rPr>
            </w:pPr>
            <w:r w:rsidRPr="00384558">
              <w:rPr>
                <w:rFonts w:ascii="Times New Roman" w:hAnsi="Times New Roman" w:cs="Times New Roman"/>
                <w:sz w:val="20"/>
                <w:szCs w:val="20"/>
              </w:rPr>
              <w:t>That consultations with affected indigenous groups concerning the following processes continue and that their participation is facilitated</w:t>
            </w:r>
            <w:r>
              <w:rPr>
                <w:rFonts w:ascii="Times New Roman" w:hAnsi="Times New Roman" w:cs="Times New Roman"/>
                <w:sz w:val="20"/>
                <w:szCs w:val="20"/>
              </w:rPr>
              <w:t>:</w:t>
            </w: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 xml:space="preserve">Condition was broken into two separate items at the request of </w:t>
            </w:r>
            <w:proofErr w:type="spellStart"/>
            <w:r w:rsidRPr="003C1467">
              <w:rPr>
                <w:rFonts w:ascii="Times New Roman" w:hAnsi="Times New Roman" w:cs="Times New Roman"/>
                <w:sz w:val="20"/>
                <w:szCs w:val="20"/>
              </w:rPr>
              <w:t>GoG</w:t>
            </w:r>
            <w:proofErr w:type="spellEnd"/>
            <w:r w:rsidRPr="003C1467">
              <w:rPr>
                <w:rFonts w:ascii="Times New Roman" w:hAnsi="Times New Roman" w:cs="Times New Roman"/>
                <w:sz w:val="20"/>
                <w:szCs w:val="20"/>
              </w:rPr>
              <w:t>, to better reflect the distribution of institutional responsibility for the fulfillment of the condition (LCDS is responsibility of OCC; while REDD+ is responsibility of GFC)</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vMerge/>
          </w:tcPr>
          <w:p w:rsidR="00EF12D7" w:rsidRPr="004B766B" w:rsidRDefault="00EF12D7" w:rsidP="00384558">
            <w:pPr>
              <w:pStyle w:val="ListParagraph"/>
              <w:ind w:left="252"/>
              <w:rPr>
                <w:rFonts w:ascii="Times New Roman" w:hAnsi="Times New Roman" w:cs="Times New Roman"/>
                <w:sz w:val="20"/>
                <w:szCs w:val="20"/>
              </w:rPr>
            </w:pPr>
          </w:p>
        </w:tc>
        <w:tc>
          <w:tcPr>
            <w:tcW w:w="2699" w:type="dxa"/>
          </w:tcPr>
          <w:p w:rsidR="00EF12D7" w:rsidRDefault="00EF12D7" w:rsidP="00384558">
            <w:pPr>
              <w:pStyle w:val="ListParagraph"/>
              <w:numPr>
                <w:ilvl w:val="1"/>
                <w:numId w:val="1"/>
              </w:numPr>
              <w:ind w:left="486" w:hanging="270"/>
              <w:rPr>
                <w:rFonts w:ascii="Times New Roman" w:hAnsi="Times New Roman" w:cs="Times New Roman"/>
                <w:sz w:val="20"/>
                <w:szCs w:val="20"/>
              </w:rPr>
            </w:pPr>
            <w:r>
              <w:rPr>
                <w:rFonts w:ascii="Times New Roman" w:hAnsi="Times New Roman" w:cs="Times New Roman"/>
                <w:sz w:val="20"/>
                <w:szCs w:val="20"/>
              </w:rPr>
              <w:t>LCDS</w:t>
            </w:r>
          </w:p>
          <w:p w:rsidR="00EF12D7" w:rsidRPr="00384558" w:rsidRDefault="00EF12D7" w:rsidP="00384558">
            <w:pPr>
              <w:rPr>
                <w:rFonts w:ascii="Times New Roman" w:hAnsi="Times New Roman" w:cs="Times New Roman"/>
                <w:sz w:val="20"/>
                <w:szCs w:val="20"/>
              </w:rPr>
            </w:pPr>
          </w:p>
        </w:tc>
        <w:tc>
          <w:tcPr>
            <w:tcW w:w="2691" w:type="dxa"/>
          </w:tcPr>
          <w:p w:rsidR="00EF12D7" w:rsidRPr="00140465" w:rsidRDefault="00EF12D7">
            <w:pPr>
              <w:rPr>
                <w:rFonts w:ascii="Times New Roman" w:hAnsi="Times New Roman" w:cs="Times New Roman"/>
                <w:sz w:val="20"/>
                <w:szCs w:val="20"/>
              </w:rPr>
            </w:pPr>
            <w:r w:rsidRPr="00140465">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vMerge/>
          </w:tcPr>
          <w:p w:rsidR="00EF12D7" w:rsidRPr="004B766B" w:rsidRDefault="00EF12D7" w:rsidP="00384558">
            <w:pPr>
              <w:pStyle w:val="ListParagraph"/>
              <w:ind w:left="252"/>
              <w:rPr>
                <w:rFonts w:ascii="Times New Roman" w:hAnsi="Times New Roman" w:cs="Times New Roman"/>
                <w:sz w:val="20"/>
                <w:szCs w:val="20"/>
              </w:rPr>
            </w:pPr>
          </w:p>
        </w:tc>
        <w:tc>
          <w:tcPr>
            <w:tcW w:w="2699" w:type="dxa"/>
          </w:tcPr>
          <w:p w:rsidR="00EF12D7" w:rsidRDefault="00EF12D7" w:rsidP="00384558">
            <w:pPr>
              <w:pStyle w:val="ListParagraph"/>
              <w:numPr>
                <w:ilvl w:val="1"/>
                <w:numId w:val="1"/>
              </w:numPr>
              <w:ind w:left="486" w:hanging="270"/>
              <w:rPr>
                <w:rFonts w:ascii="Times New Roman" w:hAnsi="Times New Roman" w:cs="Times New Roman"/>
                <w:sz w:val="20"/>
                <w:szCs w:val="20"/>
              </w:rPr>
            </w:pPr>
            <w:r w:rsidRPr="00384558">
              <w:rPr>
                <w:rFonts w:ascii="Times New Roman" w:hAnsi="Times New Roman" w:cs="Times New Roman"/>
                <w:sz w:val="20"/>
                <w:szCs w:val="20"/>
              </w:rPr>
              <w:t>REDD+ Stakeholders Awareness Plan</w:t>
            </w:r>
          </w:p>
        </w:tc>
        <w:tc>
          <w:tcPr>
            <w:tcW w:w="2691" w:type="dxa"/>
          </w:tcPr>
          <w:p w:rsidR="00EF12D7" w:rsidRPr="00140465" w:rsidRDefault="00EF12D7">
            <w:pPr>
              <w:rPr>
                <w:rFonts w:ascii="Times New Roman" w:hAnsi="Times New Roman" w:cs="Times New Roman"/>
                <w:sz w:val="20"/>
                <w:szCs w:val="20"/>
              </w:rPr>
            </w:pPr>
            <w:r w:rsidRPr="00140465">
              <w:rPr>
                <w:rFonts w:ascii="Times New Roman" w:hAnsi="Times New Roman" w:cs="Times New Roman"/>
                <w:sz w:val="20"/>
                <w:szCs w:val="20"/>
              </w:rPr>
              <w:t>Unchanged</w:t>
            </w:r>
          </w:p>
        </w:tc>
      </w:tr>
      <w:tr w:rsidR="00EF12D7" w:rsidRPr="004B766B" w:rsidTr="009E37DA">
        <w:tc>
          <w:tcPr>
            <w:tcW w:w="1484" w:type="dxa"/>
            <w:vMerge w:val="restart"/>
          </w:tcPr>
          <w:p w:rsidR="00EF12D7" w:rsidRPr="009E37DA" w:rsidRDefault="00EF12D7">
            <w:pPr>
              <w:rPr>
                <w:rFonts w:ascii="Times New Roman" w:hAnsi="Times New Roman" w:cs="Times New Roman"/>
                <w:sz w:val="20"/>
                <w:szCs w:val="20"/>
              </w:rPr>
            </w:pPr>
            <w:r w:rsidRPr="009E37DA">
              <w:rPr>
                <w:rFonts w:ascii="Times New Roman" w:hAnsi="Times New Roman" w:cs="Times New Roman"/>
                <w:sz w:val="20"/>
                <w:szCs w:val="20"/>
              </w:rPr>
              <w:t>Regulatory framework to support reform of forest-based sectors, and for disaster risk management</w:t>
            </w:r>
          </w:p>
        </w:tc>
        <w:tc>
          <w:tcPr>
            <w:tcW w:w="2702" w:type="dxa"/>
          </w:tcPr>
          <w:p w:rsidR="00EF12D7" w:rsidRPr="00384558" w:rsidRDefault="00EF12D7" w:rsidP="00384558">
            <w:pPr>
              <w:pStyle w:val="ListParagraph"/>
              <w:numPr>
                <w:ilvl w:val="0"/>
                <w:numId w:val="1"/>
              </w:numPr>
              <w:ind w:left="252" w:hanging="270"/>
              <w:rPr>
                <w:rFonts w:ascii="Times New Roman" w:hAnsi="Times New Roman" w:cs="Times New Roman"/>
                <w:sz w:val="20"/>
                <w:szCs w:val="20"/>
              </w:rPr>
            </w:pPr>
            <w:r w:rsidRPr="004B766B">
              <w:rPr>
                <w:rFonts w:ascii="Times New Roman" w:hAnsi="Times New Roman" w:cs="Times New Roman"/>
                <w:sz w:val="20"/>
                <w:szCs w:val="20"/>
              </w:rPr>
              <w:t>That a review of the Environmental Protection Agency’s regulations and guidelines is completed. This review must include at least recommendations in the following areas</w:t>
            </w:r>
            <w:r>
              <w:rPr>
                <w:rFonts w:ascii="Times New Roman" w:hAnsi="Times New Roman" w:cs="Times New Roman"/>
                <w:sz w:val="20"/>
                <w:szCs w:val="20"/>
              </w:rPr>
              <w:t>:</w:t>
            </w:r>
          </w:p>
          <w:p w:rsidR="00EF12D7" w:rsidRPr="004B766B" w:rsidRDefault="00EF12D7" w:rsidP="004B766B">
            <w:pPr>
              <w:pStyle w:val="ListParagraph"/>
              <w:ind w:left="252"/>
              <w:rPr>
                <w:rFonts w:ascii="Times New Roman" w:hAnsi="Times New Roman" w:cs="Times New Roman"/>
                <w:sz w:val="20"/>
                <w:szCs w:val="20"/>
              </w:rPr>
            </w:pPr>
          </w:p>
        </w:tc>
        <w:tc>
          <w:tcPr>
            <w:tcW w:w="2699" w:type="dxa"/>
          </w:tcPr>
          <w:p w:rsidR="00EF12D7" w:rsidRDefault="00EF12D7" w:rsidP="004B766B">
            <w:pPr>
              <w:pStyle w:val="ListParagraph"/>
              <w:numPr>
                <w:ilvl w:val="0"/>
                <w:numId w:val="2"/>
              </w:numPr>
              <w:ind w:left="216" w:hanging="270"/>
              <w:rPr>
                <w:rFonts w:ascii="Times New Roman" w:hAnsi="Times New Roman" w:cs="Times New Roman"/>
                <w:sz w:val="20"/>
                <w:szCs w:val="20"/>
              </w:rPr>
            </w:pPr>
            <w:r w:rsidRPr="00384558">
              <w:rPr>
                <w:rFonts w:ascii="Times New Roman" w:hAnsi="Times New Roman" w:cs="Times New Roman"/>
                <w:sz w:val="20"/>
                <w:szCs w:val="20"/>
              </w:rPr>
              <w:t>That a review of the Environmental Protection Agency’s regulations and guidelines is completed. This review must include at least recommendations in the following areas</w:t>
            </w:r>
            <w:r>
              <w:rPr>
                <w:rFonts w:ascii="Times New Roman" w:hAnsi="Times New Roman" w:cs="Times New Roman"/>
                <w:sz w:val="20"/>
                <w:szCs w:val="20"/>
              </w:rPr>
              <w:t>:</w:t>
            </w:r>
          </w:p>
          <w:p w:rsidR="00EF12D7" w:rsidRPr="004B766B" w:rsidRDefault="00EF12D7" w:rsidP="00384558">
            <w:pPr>
              <w:pStyle w:val="ListParagraph"/>
              <w:ind w:left="216"/>
              <w:rPr>
                <w:rFonts w:ascii="Times New Roman" w:hAnsi="Times New Roman" w:cs="Times New Roman"/>
                <w:sz w:val="20"/>
                <w:szCs w:val="20"/>
              </w:rPr>
            </w:pPr>
          </w:p>
        </w:tc>
        <w:tc>
          <w:tcPr>
            <w:tcW w:w="2691" w:type="dxa"/>
          </w:tcPr>
          <w:p w:rsidR="00EF12D7" w:rsidRPr="00140465" w:rsidRDefault="00EF12D7">
            <w:pPr>
              <w:rPr>
                <w:rFonts w:ascii="Times New Roman" w:hAnsi="Times New Roman" w:cs="Times New Roman"/>
                <w:sz w:val="20"/>
                <w:szCs w:val="20"/>
              </w:rPr>
            </w:pPr>
            <w:r w:rsidRPr="00140465">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384558" w:rsidRDefault="00EF12D7" w:rsidP="00384558">
            <w:pPr>
              <w:ind w:left="432" w:hanging="180"/>
              <w:rPr>
                <w:rFonts w:ascii="Times New Roman" w:hAnsi="Times New Roman" w:cs="Times New Roman"/>
                <w:sz w:val="20"/>
                <w:szCs w:val="20"/>
              </w:rPr>
            </w:pPr>
            <w:r w:rsidRPr="00384558">
              <w:rPr>
                <w:rFonts w:ascii="Times New Roman" w:hAnsi="Times New Roman" w:cs="Times New Roman"/>
                <w:sz w:val="20"/>
                <w:szCs w:val="20"/>
              </w:rPr>
              <w:t>a.</w:t>
            </w:r>
            <w:r w:rsidRPr="00384558">
              <w:rPr>
                <w:rFonts w:ascii="Times New Roman" w:hAnsi="Times New Roman" w:cs="Times New Roman"/>
                <w:sz w:val="20"/>
                <w:szCs w:val="20"/>
              </w:rPr>
              <w:tab/>
              <w:t>Strategic Environmental Assessment (SEA);  and</w:t>
            </w:r>
          </w:p>
        </w:tc>
        <w:tc>
          <w:tcPr>
            <w:tcW w:w="2699" w:type="dxa"/>
          </w:tcPr>
          <w:p w:rsidR="00EF12D7" w:rsidRPr="00384558" w:rsidRDefault="00EF12D7" w:rsidP="00384558">
            <w:pPr>
              <w:ind w:left="486" w:hanging="27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r>
            <w:r w:rsidRPr="00384558">
              <w:rPr>
                <w:rFonts w:ascii="Times New Roman" w:hAnsi="Times New Roman" w:cs="Times New Roman"/>
                <w:sz w:val="20"/>
                <w:szCs w:val="20"/>
              </w:rPr>
              <w:t>Strengthen the EPA to have overarching responsibilities for en</w:t>
            </w:r>
            <w:r>
              <w:rPr>
                <w:rFonts w:ascii="Times New Roman" w:hAnsi="Times New Roman" w:cs="Times New Roman"/>
                <w:sz w:val="20"/>
                <w:szCs w:val="20"/>
              </w:rPr>
              <w:t>vironmental compliance in Guyana</w:t>
            </w: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Condition was changed to make it more encompassing, and avoid restricting it to a single environmental management instrument as is the SEA</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384558" w:rsidRDefault="00EF12D7" w:rsidP="00384558">
            <w:pPr>
              <w:pStyle w:val="ListParagraph"/>
              <w:numPr>
                <w:ilvl w:val="0"/>
                <w:numId w:val="9"/>
              </w:numPr>
              <w:ind w:left="432" w:hanging="180"/>
              <w:rPr>
                <w:rFonts w:ascii="Times New Roman" w:hAnsi="Times New Roman" w:cs="Times New Roman"/>
                <w:sz w:val="20"/>
                <w:szCs w:val="20"/>
              </w:rPr>
            </w:pPr>
            <w:r w:rsidRPr="00384558">
              <w:rPr>
                <w:rFonts w:ascii="Times New Roman" w:hAnsi="Times New Roman" w:cs="Times New Roman"/>
                <w:sz w:val="20"/>
                <w:szCs w:val="20"/>
              </w:rPr>
              <w:t>Reduction of asymmetries between regulatory compliance between large scale and small scale operations, in particular as related to environmental impact assessments preceding operations</w:t>
            </w:r>
          </w:p>
        </w:tc>
        <w:tc>
          <w:tcPr>
            <w:tcW w:w="2699" w:type="dxa"/>
          </w:tcPr>
          <w:p w:rsidR="00EF12D7" w:rsidRPr="00384558" w:rsidRDefault="00EF12D7" w:rsidP="00384558">
            <w:pPr>
              <w:ind w:left="486" w:hanging="27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r>
            <w:r w:rsidRPr="00384558">
              <w:rPr>
                <w:rFonts w:ascii="Times New Roman" w:hAnsi="Times New Roman" w:cs="Times New Roman"/>
                <w:sz w:val="20"/>
                <w:szCs w:val="20"/>
              </w:rPr>
              <w:t>Enhance EPA’s capacity to manage environmental and social impacts of development activities in all sectors of the country through institutional and policy strengthening</w:t>
            </w:r>
          </w:p>
        </w:tc>
        <w:tc>
          <w:tcPr>
            <w:tcW w:w="2691" w:type="dxa"/>
          </w:tcPr>
          <w:p w:rsidR="00EF12D7" w:rsidRPr="003C1467" w:rsidRDefault="00EF12D7" w:rsidP="008C06C7">
            <w:pPr>
              <w:rPr>
                <w:rFonts w:ascii="Times New Roman" w:hAnsi="Times New Roman" w:cs="Times New Roman"/>
                <w:sz w:val="20"/>
                <w:szCs w:val="20"/>
              </w:rPr>
            </w:pPr>
            <w:r w:rsidRPr="003C1467">
              <w:rPr>
                <w:rFonts w:ascii="Times New Roman" w:hAnsi="Times New Roman" w:cs="Times New Roman"/>
                <w:sz w:val="20"/>
                <w:szCs w:val="20"/>
              </w:rPr>
              <w:t>Condition was changed to better reflect EPA’s realm of responsibility in terms of managing environmental and social impacts, and to avoid restricting it to small and large scale operations of the extractive sectors, which are also dealt with under other conditions of the matrix</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4B766B">
              <w:rPr>
                <w:rFonts w:ascii="Times New Roman" w:hAnsi="Times New Roman" w:cs="Times New Roman"/>
                <w:sz w:val="20"/>
                <w:szCs w:val="20"/>
              </w:rPr>
              <w:t>That amendments and/or regulations that are related to the following Acts are revised in order to ensure consistency with MNRE’s mandate:</w:t>
            </w:r>
          </w:p>
          <w:p w:rsidR="00EF12D7" w:rsidRPr="00DB4801" w:rsidRDefault="00EF12D7" w:rsidP="00DB4801">
            <w:pPr>
              <w:rPr>
                <w:rFonts w:ascii="Times New Roman" w:hAnsi="Times New Roman" w:cs="Times New Roman"/>
                <w:sz w:val="20"/>
                <w:szCs w:val="20"/>
              </w:rPr>
            </w:pPr>
          </w:p>
        </w:tc>
        <w:tc>
          <w:tcPr>
            <w:tcW w:w="2699" w:type="dxa"/>
          </w:tcPr>
          <w:p w:rsidR="00EF12D7"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amendments and/or regulations are drafted in order to ensure consistency with MNRE’s mandate, in the context of the following Acts</w:t>
            </w:r>
            <w:r>
              <w:rPr>
                <w:rFonts w:ascii="Times New Roman" w:hAnsi="Times New Roman" w:cs="Times New Roman"/>
                <w:sz w:val="20"/>
                <w:szCs w:val="20"/>
              </w:rPr>
              <w:t>:</w:t>
            </w:r>
          </w:p>
          <w:p w:rsidR="00EF12D7" w:rsidRPr="00384558" w:rsidRDefault="00EF12D7" w:rsidP="00384558">
            <w:pPr>
              <w:ind w:left="-54"/>
              <w:rPr>
                <w:rFonts w:ascii="Times New Roman" w:hAnsi="Times New Roman" w:cs="Times New Roman"/>
                <w:sz w:val="20"/>
                <w:szCs w:val="20"/>
              </w:rPr>
            </w:pP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Change in wording</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384558" w:rsidRDefault="00EF12D7" w:rsidP="00384558">
            <w:pPr>
              <w:pStyle w:val="ListParagraph"/>
              <w:ind w:left="522" w:hanging="27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Mining Act;</w:t>
            </w:r>
          </w:p>
        </w:tc>
        <w:tc>
          <w:tcPr>
            <w:tcW w:w="2699" w:type="dxa"/>
          </w:tcPr>
          <w:p w:rsidR="00EF12D7" w:rsidRPr="00384558" w:rsidRDefault="00EF12D7" w:rsidP="0086026F">
            <w:pPr>
              <w:pStyle w:val="ListParagraph"/>
              <w:ind w:left="522" w:hanging="27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Mining Act;</w:t>
            </w:r>
          </w:p>
        </w:tc>
        <w:tc>
          <w:tcPr>
            <w:tcW w:w="2691" w:type="dxa"/>
          </w:tcPr>
          <w:p w:rsidR="00EF12D7" w:rsidRPr="004B766B" w:rsidRDefault="00EF12D7">
            <w:pPr>
              <w:rPr>
                <w:rFonts w:ascii="Times New Roman" w:hAnsi="Times New Roman" w:cs="Times New Roman"/>
                <w:sz w:val="20"/>
                <w:szCs w:val="20"/>
              </w:rPr>
            </w:pPr>
            <w:r>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384558" w:rsidRDefault="00EF12D7" w:rsidP="00384558">
            <w:pPr>
              <w:pStyle w:val="ListParagraph"/>
              <w:ind w:left="522" w:hanging="270"/>
              <w:rPr>
                <w:rFonts w:ascii="Times New Roman" w:hAnsi="Times New Roman" w:cs="Times New Roman"/>
                <w:sz w:val="20"/>
                <w:szCs w:val="20"/>
              </w:rPr>
            </w:pPr>
            <w:r w:rsidRPr="00384558">
              <w:rPr>
                <w:rFonts w:ascii="Times New Roman" w:hAnsi="Times New Roman" w:cs="Times New Roman"/>
                <w:sz w:val="20"/>
                <w:szCs w:val="20"/>
              </w:rPr>
              <w:t>b.</w:t>
            </w:r>
            <w:r w:rsidRPr="00384558">
              <w:rPr>
                <w:rFonts w:ascii="Times New Roman" w:hAnsi="Times New Roman" w:cs="Times New Roman"/>
                <w:sz w:val="20"/>
                <w:szCs w:val="20"/>
              </w:rPr>
              <w:tab/>
              <w:t>Guyana Lands</w:t>
            </w:r>
            <w:r>
              <w:rPr>
                <w:rFonts w:ascii="Times New Roman" w:hAnsi="Times New Roman" w:cs="Times New Roman"/>
                <w:sz w:val="20"/>
                <w:szCs w:val="20"/>
              </w:rPr>
              <w:t xml:space="preserve"> &amp; Surveys  Commission Act; and</w:t>
            </w:r>
          </w:p>
        </w:tc>
        <w:tc>
          <w:tcPr>
            <w:tcW w:w="2699" w:type="dxa"/>
          </w:tcPr>
          <w:p w:rsidR="00EF12D7" w:rsidRPr="00384558" w:rsidRDefault="00EF12D7" w:rsidP="0086026F">
            <w:pPr>
              <w:pStyle w:val="ListParagraph"/>
              <w:ind w:left="522" w:hanging="270"/>
              <w:rPr>
                <w:rFonts w:ascii="Times New Roman" w:hAnsi="Times New Roman" w:cs="Times New Roman"/>
                <w:sz w:val="20"/>
                <w:szCs w:val="20"/>
              </w:rPr>
            </w:pPr>
            <w:r w:rsidRPr="00384558">
              <w:rPr>
                <w:rFonts w:ascii="Times New Roman" w:hAnsi="Times New Roman" w:cs="Times New Roman"/>
                <w:sz w:val="20"/>
                <w:szCs w:val="20"/>
              </w:rPr>
              <w:t>b.</w:t>
            </w:r>
            <w:r w:rsidRPr="00384558">
              <w:rPr>
                <w:rFonts w:ascii="Times New Roman" w:hAnsi="Times New Roman" w:cs="Times New Roman"/>
                <w:sz w:val="20"/>
                <w:szCs w:val="20"/>
              </w:rPr>
              <w:tab/>
              <w:t>Guyana Lands</w:t>
            </w:r>
            <w:r>
              <w:rPr>
                <w:rFonts w:ascii="Times New Roman" w:hAnsi="Times New Roman" w:cs="Times New Roman"/>
                <w:sz w:val="20"/>
                <w:szCs w:val="20"/>
              </w:rPr>
              <w:t xml:space="preserve"> &amp; Surveys  Commission Act; and</w:t>
            </w:r>
          </w:p>
        </w:tc>
        <w:tc>
          <w:tcPr>
            <w:tcW w:w="2691" w:type="dxa"/>
          </w:tcPr>
          <w:p w:rsidR="00EF12D7" w:rsidRPr="004B766B" w:rsidRDefault="00EF12D7">
            <w:pPr>
              <w:rPr>
                <w:rFonts w:ascii="Times New Roman" w:hAnsi="Times New Roman" w:cs="Times New Roman"/>
                <w:sz w:val="20"/>
                <w:szCs w:val="20"/>
              </w:rPr>
            </w:pPr>
            <w:r>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384558">
            <w:pPr>
              <w:pStyle w:val="ListParagraph"/>
              <w:ind w:left="522" w:hanging="270"/>
              <w:rPr>
                <w:rFonts w:ascii="Times New Roman" w:hAnsi="Times New Roman" w:cs="Times New Roman"/>
                <w:sz w:val="20"/>
                <w:szCs w:val="20"/>
              </w:rPr>
            </w:pPr>
            <w:r w:rsidRPr="00384558">
              <w:rPr>
                <w:rFonts w:ascii="Times New Roman" w:hAnsi="Times New Roman" w:cs="Times New Roman"/>
                <w:sz w:val="20"/>
                <w:szCs w:val="20"/>
              </w:rPr>
              <w:t>c.</w:t>
            </w:r>
            <w:r w:rsidRPr="00384558">
              <w:rPr>
                <w:rFonts w:ascii="Times New Roman" w:hAnsi="Times New Roman" w:cs="Times New Roman"/>
                <w:sz w:val="20"/>
                <w:szCs w:val="20"/>
              </w:rPr>
              <w:tab/>
              <w:t>Protected Areas Act.</w:t>
            </w:r>
          </w:p>
        </w:tc>
        <w:tc>
          <w:tcPr>
            <w:tcW w:w="2699" w:type="dxa"/>
          </w:tcPr>
          <w:p w:rsidR="00EF12D7" w:rsidRPr="004B766B" w:rsidRDefault="00EF12D7" w:rsidP="0086026F">
            <w:pPr>
              <w:pStyle w:val="ListParagraph"/>
              <w:ind w:left="522" w:hanging="270"/>
              <w:rPr>
                <w:rFonts w:ascii="Times New Roman" w:hAnsi="Times New Roman" w:cs="Times New Roman"/>
                <w:sz w:val="20"/>
                <w:szCs w:val="20"/>
              </w:rPr>
            </w:pPr>
            <w:r w:rsidRPr="00384558">
              <w:rPr>
                <w:rFonts w:ascii="Times New Roman" w:hAnsi="Times New Roman" w:cs="Times New Roman"/>
                <w:sz w:val="20"/>
                <w:szCs w:val="20"/>
              </w:rPr>
              <w:t>c.</w:t>
            </w:r>
            <w:r w:rsidRPr="00384558">
              <w:rPr>
                <w:rFonts w:ascii="Times New Roman" w:hAnsi="Times New Roman" w:cs="Times New Roman"/>
                <w:sz w:val="20"/>
                <w:szCs w:val="20"/>
              </w:rPr>
              <w:tab/>
              <w:t>Protected Areas Act.</w:t>
            </w:r>
          </w:p>
        </w:tc>
        <w:tc>
          <w:tcPr>
            <w:tcW w:w="2691" w:type="dxa"/>
          </w:tcPr>
          <w:p w:rsidR="00EF12D7" w:rsidRPr="004B766B" w:rsidRDefault="00EF12D7">
            <w:pPr>
              <w:rPr>
                <w:rFonts w:ascii="Times New Roman" w:hAnsi="Times New Roman" w:cs="Times New Roman"/>
                <w:sz w:val="20"/>
                <w:szCs w:val="20"/>
              </w:rPr>
            </w:pPr>
            <w:r>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A87AE0">
              <w:rPr>
                <w:rFonts w:ascii="Times New Roman" w:hAnsi="Times New Roman" w:cs="Times New Roman"/>
                <w:sz w:val="20"/>
                <w:szCs w:val="20"/>
              </w:rPr>
              <w:t>That a review of the environmental protection regulations in the mining sector is completed, including regulations for small-scale operators based on an assessment of mining tailings management practices</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draft amendments to guidelines in the forestry sector are prepared, in particular a code of practice for small and large operators</w:t>
            </w:r>
          </w:p>
        </w:tc>
        <w:tc>
          <w:tcPr>
            <w:tcW w:w="2691" w:type="dxa"/>
          </w:tcPr>
          <w:p w:rsidR="00EF12D7" w:rsidRPr="00140465" w:rsidRDefault="00EF12D7" w:rsidP="002D6E19">
            <w:pPr>
              <w:rPr>
                <w:rFonts w:ascii="Times New Roman" w:hAnsi="Times New Roman" w:cs="Times New Roman"/>
                <w:sz w:val="20"/>
                <w:szCs w:val="20"/>
              </w:rPr>
            </w:pPr>
            <w:r w:rsidRPr="003C1467">
              <w:rPr>
                <w:rFonts w:ascii="Times New Roman" w:hAnsi="Times New Roman" w:cs="Times New Roman"/>
                <w:sz w:val="20"/>
                <w:szCs w:val="20"/>
              </w:rPr>
              <w:t>Condition was changed to cover the forestry sector only, as improvements in the “mining” sector are included in condition #10.</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2D6E19">
              <w:rPr>
                <w:rFonts w:ascii="Times New Roman" w:hAnsi="Times New Roman" w:cs="Times New Roman"/>
                <w:sz w:val="20"/>
                <w:szCs w:val="20"/>
              </w:rPr>
              <w:t>That EUFLEGT Negotiation advances between Guyana and the EU in the development of: Scope of the Guyana EU VPA, Regulatory Framework for the Guyana EU VPA and Guidelines for the Guyana EU VPA Process</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the second definition of the legality of the agreement within the context of the Voluntary Partnership Agreement is approved</w:t>
            </w:r>
          </w:p>
        </w:tc>
        <w:tc>
          <w:tcPr>
            <w:tcW w:w="2691" w:type="dxa"/>
          </w:tcPr>
          <w:p w:rsidR="00EF12D7" w:rsidRPr="003C1467" w:rsidRDefault="00DB7E84" w:rsidP="00DB7E84">
            <w:pPr>
              <w:rPr>
                <w:rFonts w:ascii="Times New Roman" w:hAnsi="Times New Roman" w:cs="Times New Roman"/>
                <w:sz w:val="20"/>
                <w:szCs w:val="20"/>
                <w:highlight w:val="green"/>
              </w:rPr>
            </w:pPr>
            <w:r>
              <w:rPr>
                <w:rFonts w:ascii="Times New Roman" w:hAnsi="Times New Roman" w:cs="Times New Roman"/>
                <w:sz w:val="20"/>
                <w:szCs w:val="20"/>
              </w:rPr>
              <w:t>This condition was changed to avoid presenting a non-exhaustive list of commitments, when the</w:t>
            </w:r>
            <w:r w:rsidRPr="00DB7E84">
              <w:rPr>
                <w:rFonts w:ascii="Times New Roman" w:hAnsi="Times New Roman" w:cs="Times New Roman"/>
                <w:sz w:val="20"/>
                <w:szCs w:val="20"/>
              </w:rPr>
              <w:t xml:space="preserve"> Legality Definition for EU – Guyana VPA </w:t>
            </w:r>
            <w:r>
              <w:rPr>
                <w:rFonts w:ascii="Times New Roman" w:hAnsi="Times New Roman" w:cs="Times New Roman"/>
                <w:sz w:val="20"/>
                <w:szCs w:val="20"/>
              </w:rPr>
              <w:t xml:space="preserve">comprises </w:t>
            </w:r>
            <w:r w:rsidRPr="00DB7E84">
              <w:rPr>
                <w:rFonts w:ascii="Times New Roman" w:hAnsi="Times New Roman" w:cs="Times New Roman"/>
                <w:sz w:val="20"/>
                <w:szCs w:val="20"/>
              </w:rPr>
              <w:t xml:space="preserve">the various parameters to which the Forest Management Organizations (FMO) in Guyana shall adhere to for timber </w:t>
            </w:r>
            <w:r>
              <w:rPr>
                <w:rFonts w:ascii="Times New Roman" w:hAnsi="Times New Roman" w:cs="Times New Roman"/>
                <w:sz w:val="20"/>
                <w:szCs w:val="20"/>
              </w:rPr>
              <w:t>products to be covered under EU–</w:t>
            </w:r>
            <w:r w:rsidRPr="00DB7E84">
              <w:rPr>
                <w:rFonts w:ascii="Times New Roman" w:hAnsi="Times New Roman" w:cs="Times New Roman"/>
                <w:sz w:val="20"/>
                <w:szCs w:val="20"/>
              </w:rPr>
              <w:t>Guyana VPA Licenses:</w:t>
            </w:r>
            <w:r>
              <w:rPr>
                <w:rFonts w:ascii="Times New Roman" w:hAnsi="Times New Roman" w:cs="Times New Roman"/>
                <w:sz w:val="20"/>
                <w:szCs w:val="20"/>
              </w:rPr>
              <w:t xml:space="preserve"> (</w:t>
            </w:r>
            <w:r w:rsidRPr="00DB7E84">
              <w:rPr>
                <w:rFonts w:ascii="Times New Roman" w:hAnsi="Times New Roman" w:cs="Times New Roman"/>
                <w:sz w:val="20"/>
                <w:szCs w:val="20"/>
              </w:rPr>
              <w:t>i</w:t>
            </w:r>
            <w:r>
              <w:rPr>
                <w:rFonts w:ascii="Times New Roman" w:hAnsi="Times New Roman" w:cs="Times New Roman"/>
                <w:sz w:val="20"/>
                <w:szCs w:val="20"/>
              </w:rPr>
              <w:t>) g</w:t>
            </w:r>
            <w:r w:rsidRPr="00DB7E84">
              <w:rPr>
                <w:rFonts w:ascii="Times New Roman" w:hAnsi="Times New Roman" w:cs="Times New Roman"/>
                <w:sz w:val="20"/>
                <w:szCs w:val="20"/>
              </w:rPr>
              <w:t xml:space="preserve">ranting of and compliance with rights to harvest timber within legally authorized boundaries; </w:t>
            </w:r>
            <w:r>
              <w:rPr>
                <w:rFonts w:ascii="Times New Roman" w:hAnsi="Times New Roman" w:cs="Times New Roman"/>
                <w:sz w:val="20"/>
                <w:szCs w:val="20"/>
              </w:rPr>
              <w:t>(</w:t>
            </w:r>
            <w:r w:rsidRPr="00DB7E84">
              <w:rPr>
                <w:rFonts w:ascii="Times New Roman" w:hAnsi="Times New Roman" w:cs="Times New Roman"/>
                <w:sz w:val="20"/>
                <w:szCs w:val="20"/>
              </w:rPr>
              <w:t>ii</w:t>
            </w:r>
            <w:r>
              <w:rPr>
                <w:rFonts w:ascii="Times New Roman" w:hAnsi="Times New Roman" w:cs="Times New Roman"/>
                <w:sz w:val="20"/>
                <w:szCs w:val="20"/>
              </w:rPr>
              <w:t>) c</w:t>
            </w:r>
            <w:r w:rsidRPr="00DB7E84">
              <w:rPr>
                <w:rFonts w:ascii="Times New Roman" w:hAnsi="Times New Roman" w:cs="Times New Roman"/>
                <w:sz w:val="20"/>
                <w:szCs w:val="20"/>
              </w:rPr>
              <w:t>ompliance with requirements regarding forest management, including compliance wi</w:t>
            </w:r>
            <w:r>
              <w:rPr>
                <w:rFonts w:ascii="Times New Roman" w:hAnsi="Times New Roman" w:cs="Times New Roman"/>
                <w:sz w:val="20"/>
                <w:szCs w:val="20"/>
              </w:rPr>
              <w:t>th relevant environmental, labo</w:t>
            </w:r>
            <w:r w:rsidRPr="00DB7E84">
              <w:rPr>
                <w:rFonts w:ascii="Times New Roman" w:hAnsi="Times New Roman" w:cs="Times New Roman"/>
                <w:sz w:val="20"/>
                <w:szCs w:val="20"/>
              </w:rPr>
              <w:t>r and commu</w:t>
            </w:r>
            <w:r>
              <w:rPr>
                <w:rFonts w:ascii="Times New Roman" w:hAnsi="Times New Roman" w:cs="Times New Roman"/>
                <w:sz w:val="20"/>
                <w:szCs w:val="20"/>
              </w:rPr>
              <w:t>nity welfare legislation; (iii) c</w:t>
            </w:r>
            <w:r w:rsidRPr="00DB7E84">
              <w:rPr>
                <w:rFonts w:ascii="Times New Roman" w:hAnsi="Times New Roman" w:cs="Times New Roman"/>
                <w:sz w:val="20"/>
                <w:szCs w:val="20"/>
              </w:rPr>
              <w:t xml:space="preserve">ompliance </w:t>
            </w:r>
            <w:r w:rsidRPr="00DB7E84">
              <w:rPr>
                <w:rFonts w:ascii="Times New Roman" w:hAnsi="Times New Roman" w:cs="Times New Roman"/>
                <w:sz w:val="20"/>
                <w:szCs w:val="20"/>
              </w:rPr>
              <w:lastRenderedPageBreak/>
              <w:t xml:space="preserve">with requirements concerning taxes, import and export duties, royalties and fees directly related to timber harvesting and timber trade; </w:t>
            </w:r>
            <w:r>
              <w:rPr>
                <w:rFonts w:ascii="Times New Roman" w:hAnsi="Times New Roman" w:cs="Times New Roman"/>
                <w:sz w:val="20"/>
                <w:szCs w:val="20"/>
              </w:rPr>
              <w:t>(</w:t>
            </w:r>
            <w:r w:rsidRPr="00DB7E84">
              <w:rPr>
                <w:rFonts w:ascii="Times New Roman" w:hAnsi="Times New Roman" w:cs="Times New Roman"/>
                <w:sz w:val="20"/>
                <w:szCs w:val="20"/>
              </w:rPr>
              <w:t>iv</w:t>
            </w:r>
            <w:r>
              <w:rPr>
                <w:rFonts w:ascii="Times New Roman" w:hAnsi="Times New Roman" w:cs="Times New Roman"/>
                <w:sz w:val="20"/>
                <w:szCs w:val="20"/>
              </w:rPr>
              <w:t>) r</w:t>
            </w:r>
            <w:r w:rsidRPr="00DB7E84">
              <w:rPr>
                <w:rFonts w:ascii="Times New Roman" w:hAnsi="Times New Roman" w:cs="Times New Roman"/>
                <w:sz w:val="20"/>
                <w:szCs w:val="20"/>
              </w:rPr>
              <w:t xml:space="preserve">espect for tenure or land use and resource rights that may be affected by timber harvest rights, where such rights exist; </w:t>
            </w:r>
            <w:r>
              <w:rPr>
                <w:rFonts w:ascii="Times New Roman" w:hAnsi="Times New Roman" w:cs="Times New Roman"/>
                <w:sz w:val="20"/>
                <w:szCs w:val="20"/>
              </w:rPr>
              <w:t>(v) c</w:t>
            </w:r>
            <w:r w:rsidRPr="00DB7E84">
              <w:rPr>
                <w:rFonts w:ascii="Times New Roman" w:hAnsi="Times New Roman" w:cs="Times New Roman"/>
                <w:sz w:val="20"/>
                <w:szCs w:val="20"/>
              </w:rPr>
              <w:t>ompliance with requirements for trade and export procedures.</w:t>
            </w:r>
          </w:p>
        </w:tc>
      </w:tr>
      <w:tr w:rsidR="00EF12D7" w:rsidRPr="003040A5"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3040A5" w:rsidRDefault="00EF12D7" w:rsidP="004B766B">
            <w:pPr>
              <w:pStyle w:val="ListParagraph"/>
              <w:numPr>
                <w:ilvl w:val="0"/>
                <w:numId w:val="1"/>
              </w:numPr>
              <w:ind w:left="252" w:hanging="270"/>
              <w:rPr>
                <w:rFonts w:ascii="Times New Roman" w:hAnsi="Times New Roman" w:cs="Times New Roman"/>
                <w:sz w:val="20"/>
                <w:szCs w:val="20"/>
              </w:rPr>
            </w:pPr>
            <w:r w:rsidRPr="002D6E19">
              <w:rPr>
                <w:rFonts w:ascii="Times New Roman" w:hAnsi="Times New Roman" w:cs="Times New Roman"/>
                <w:sz w:val="20"/>
                <w:szCs w:val="20"/>
              </w:rPr>
              <w:t>That a proposal on implementation of the Opt In Mechanism, which is the benefit sharing mechanism in accordance with the LCDS, is developed and consulted with relevant stakeholders</w:t>
            </w:r>
            <w:r>
              <w:rPr>
                <w:rFonts w:ascii="Times New Roman" w:hAnsi="Times New Roman" w:cs="Times New Roman"/>
                <w:sz w:val="20"/>
                <w:szCs w:val="20"/>
              </w:rPr>
              <w:t>.</w:t>
            </w:r>
          </w:p>
        </w:tc>
        <w:tc>
          <w:tcPr>
            <w:tcW w:w="2699" w:type="dxa"/>
          </w:tcPr>
          <w:p w:rsidR="00EF12D7" w:rsidRPr="003040A5" w:rsidRDefault="00EF12D7" w:rsidP="00384558">
            <w:pPr>
              <w:pStyle w:val="ListParagraph"/>
              <w:numPr>
                <w:ilvl w:val="0"/>
                <w:numId w:val="2"/>
              </w:numPr>
              <w:ind w:left="216" w:hanging="270"/>
              <w:rPr>
                <w:rFonts w:ascii="Times New Roman" w:hAnsi="Times New Roman" w:cs="Times New Roman"/>
                <w:sz w:val="20"/>
                <w:szCs w:val="20"/>
              </w:rPr>
            </w:pPr>
            <w:r w:rsidRPr="003040A5">
              <w:rPr>
                <w:rFonts w:ascii="Times New Roman" w:hAnsi="Times New Roman" w:cs="Times New Roman"/>
                <w:sz w:val="20"/>
                <w:szCs w:val="20"/>
              </w:rPr>
              <w:t>That a draft Opt In Mechanism Strategy is prepared for review by the relevant stakeholders</w:t>
            </w:r>
          </w:p>
        </w:tc>
        <w:tc>
          <w:tcPr>
            <w:tcW w:w="2691" w:type="dxa"/>
          </w:tcPr>
          <w:p w:rsidR="00EF12D7" w:rsidRPr="003C1467" w:rsidRDefault="00EF12D7" w:rsidP="00297CE3">
            <w:pPr>
              <w:rPr>
                <w:rFonts w:ascii="Times New Roman" w:hAnsi="Times New Roman" w:cs="Times New Roman"/>
                <w:sz w:val="20"/>
                <w:szCs w:val="20"/>
              </w:rPr>
            </w:pPr>
            <w:r w:rsidRPr="003C1467">
              <w:rPr>
                <w:rFonts w:ascii="Times New Roman" w:hAnsi="Times New Roman" w:cs="Times New Roman"/>
                <w:sz w:val="20"/>
                <w:szCs w:val="20"/>
              </w:rPr>
              <w:t>Condition was enhanced to include a more substantive step towards achieving an agreed upon Opt-In mechanism, through the generation of a strategy document open to review by relevant stakeholders.</w:t>
            </w:r>
          </w:p>
        </w:tc>
      </w:tr>
      <w:tr w:rsidR="00EF12D7" w:rsidRPr="004B766B" w:rsidTr="009E37DA">
        <w:tc>
          <w:tcPr>
            <w:tcW w:w="1484" w:type="dxa"/>
            <w:vMerge/>
          </w:tcPr>
          <w:p w:rsidR="00EF12D7" w:rsidRPr="003040A5"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2D6E19">
              <w:rPr>
                <w:rFonts w:ascii="Times New Roman" w:hAnsi="Times New Roman" w:cs="Times New Roman"/>
                <w:sz w:val="20"/>
                <w:szCs w:val="20"/>
              </w:rPr>
              <w:t>That the National Land Use Plan is approved and in force</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the National Land Use Plan is approved and a public awareness mechanism is adopted and regional plans are developed stemming from the recommendations of the Plan</w:t>
            </w:r>
          </w:p>
        </w:tc>
        <w:tc>
          <w:tcPr>
            <w:tcW w:w="2691" w:type="dxa"/>
          </w:tcPr>
          <w:p w:rsidR="00EF12D7" w:rsidRDefault="00EF12D7" w:rsidP="002D6E19">
            <w:pPr>
              <w:rPr>
                <w:rFonts w:ascii="Times New Roman" w:hAnsi="Times New Roman" w:cs="Times New Roman"/>
                <w:iCs/>
                <w:sz w:val="20"/>
                <w:szCs w:val="20"/>
              </w:rPr>
            </w:pPr>
            <w:r w:rsidRPr="003C1467">
              <w:rPr>
                <w:rFonts w:ascii="Times New Roman" w:hAnsi="Times New Roman" w:cs="Times New Roman"/>
                <w:sz w:val="20"/>
                <w:szCs w:val="20"/>
              </w:rPr>
              <w:t>Condition was enhanced to include public awareness mechanisms, and an extension to regional plans</w:t>
            </w:r>
            <w:proofErr w:type="gramStart"/>
            <w:r>
              <w:rPr>
                <w:rFonts w:ascii="Times New Roman" w:hAnsi="Times New Roman" w:cs="Times New Roman"/>
                <w:sz w:val="20"/>
                <w:szCs w:val="20"/>
              </w:rPr>
              <w:t xml:space="preserve">, </w:t>
            </w:r>
            <w:r w:rsidRPr="00D805D1">
              <w:rPr>
                <w:color w:val="1F497D"/>
              </w:rPr>
              <w:t xml:space="preserve"> </w:t>
            </w:r>
            <w:r w:rsidRPr="00D805D1">
              <w:rPr>
                <w:rFonts w:ascii="Times New Roman" w:hAnsi="Times New Roman" w:cs="Times New Roman"/>
                <w:sz w:val="20"/>
                <w:szCs w:val="20"/>
              </w:rPr>
              <w:t>to</w:t>
            </w:r>
            <w:proofErr w:type="gramEnd"/>
            <w:r w:rsidRPr="00D805D1">
              <w:rPr>
                <w:rFonts w:ascii="Times New Roman" w:hAnsi="Times New Roman" w:cs="Times New Roman"/>
                <w:sz w:val="20"/>
                <w:szCs w:val="20"/>
              </w:rPr>
              <w:t xml:space="preserve"> acknowledge the importance of environmentally-conscious, widely socialized, national and regional land use plans, </w:t>
            </w:r>
            <w:r w:rsidRPr="00D805D1">
              <w:rPr>
                <w:rFonts w:ascii="Times New Roman" w:hAnsi="Times New Roman" w:cs="Times New Roman"/>
                <w:iCs/>
                <w:sz w:val="20"/>
                <w:szCs w:val="20"/>
              </w:rPr>
              <w:t>an important prerequisite for sustainability in forest based sectors</w:t>
            </w:r>
            <w:r>
              <w:rPr>
                <w:rFonts w:ascii="Times New Roman" w:hAnsi="Times New Roman" w:cs="Times New Roman"/>
                <w:iCs/>
                <w:sz w:val="20"/>
                <w:szCs w:val="20"/>
              </w:rPr>
              <w:t>.</w:t>
            </w:r>
          </w:p>
          <w:p w:rsidR="00511EE6" w:rsidRPr="003C1467" w:rsidRDefault="00511EE6" w:rsidP="002D6E19">
            <w:pPr>
              <w:rPr>
                <w:rFonts w:ascii="Times New Roman" w:hAnsi="Times New Roman" w:cs="Times New Roman"/>
                <w:sz w:val="20"/>
                <w:szCs w:val="20"/>
              </w:rPr>
            </w:pPr>
          </w:p>
        </w:tc>
      </w:tr>
      <w:tr w:rsidR="009E37DA" w:rsidRPr="004B766B" w:rsidTr="00DE4CA8">
        <w:tc>
          <w:tcPr>
            <w:tcW w:w="9576" w:type="dxa"/>
            <w:gridSpan w:val="4"/>
          </w:tcPr>
          <w:p w:rsidR="009E37DA" w:rsidRDefault="009E37DA" w:rsidP="00AB5F53">
            <w:pPr>
              <w:spacing w:before="120" w:after="120"/>
              <w:jc w:val="center"/>
              <w:rPr>
                <w:rFonts w:ascii="Times New Roman" w:hAnsi="Times New Roman" w:cs="Times New Roman"/>
                <w:sz w:val="20"/>
                <w:szCs w:val="20"/>
              </w:rPr>
            </w:pPr>
            <w:r w:rsidRPr="009E37DA">
              <w:rPr>
                <w:rFonts w:ascii="Times New Roman" w:hAnsi="Times New Roman" w:cs="Times New Roman"/>
                <w:b/>
                <w:sz w:val="20"/>
                <w:szCs w:val="20"/>
              </w:rPr>
              <w:t>COMPONENT 3: INSTITUTIONAL STRENGTHENING</w:t>
            </w:r>
          </w:p>
        </w:tc>
      </w:tr>
      <w:tr w:rsidR="00EF12D7" w:rsidRPr="004B766B" w:rsidTr="009E37DA">
        <w:tc>
          <w:tcPr>
            <w:tcW w:w="1484" w:type="dxa"/>
            <w:vMerge w:val="restart"/>
          </w:tcPr>
          <w:p w:rsidR="00EF12D7" w:rsidRPr="009E37DA" w:rsidRDefault="00EF12D7">
            <w:pPr>
              <w:rPr>
                <w:rFonts w:ascii="Times New Roman" w:hAnsi="Times New Roman" w:cs="Times New Roman"/>
                <w:sz w:val="20"/>
                <w:szCs w:val="20"/>
              </w:rPr>
            </w:pPr>
            <w:r w:rsidRPr="009E37DA">
              <w:rPr>
                <w:rFonts w:ascii="Times New Roman" w:hAnsi="Times New Roman" w:cs="Times New Roman"/>
                <w:sz w:val="20"/>
                <w:szCs w:val="20"/>
              </w:rPr>
              <w:t>Institutional structuring of MNRE to comply with its Strategic Plan</w:t>
            </w: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4B766B">
              <w:rPr>
                <w:rFonts w:ascii="Times New Roman" w:hAnsi="Times New Roman" w:cs="Times New Roman"/>
                <w:sz w:val="20"/>
                <w:szCs w:val="20"/>
              </w:rPr>
              <w:t>That the MNRE’s institutional structure is readjusted according to the MNRE Strategic Plan; particularly, that the MNRE:</w:t>
            </w:r>
          </w:p>
          <w:p w:rsidR="00EF12D7" w:rsidRPr="00384558" w:rsidRDefault="00EF12D7" w:rsidP="00384558">
            <w:pPr>
              <w:rPr>
                <w:rFonts w:ascii="Times New Roman" w:hAnsi="Times New Roman" w:cs="Times New Roman"/>
                <w:sz w:val="20"/>
                <w:szCs w:val="20"/>
              </w:rPr>
            </w:pP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the MNRE’s institutional structure is strengthened and enhanced according to the MNRE Strategic Plan; particularly, that the MNRE</w:t>
            </w:r>
            <w:r>
              <w:rPr>
                <w:rFonts w:ascii="Times New Roman" w:hAnsi="Times New Roman" w:cs="Times New Roman"/>
                <w:sz w:val="20"/>
                <w:szCs w:val="20"/>
              </w:rPr>
              <w:t>:</w:t>
            </w:r>
          </w:p>
        </w:tc>
        <w:tc>
          <w:tcPr>
            <w:tcW w:w="2691" w:type="dxa"/>
          </w:tcPr>
          <w:p w:rsidR="00EF12D7" w:rsidRPr="004B766B" w:rsidRDefault="00EF12D7">
            <w:pPr>
              <w:rPr>
                <w:rFonts w:ascii="Times New Roman" w:hAnsi="Times New Roman" w:cs="Times New Roman"/>
                <w:sz w:val="20"/>
                <w:szCs w:val="20"/>
              </w:rPr>
            </w:pPr>
            <w:r>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C6013B" w:rsidRDefault="00EF12D7" w:rsidP="00896C79">
            <w:pPr>
              <w:pStyle w:val="ListParagraph"/>
              <w:numPr>
                <w:ilvl w:val="1"/>
                <w:numId w:val="1"/>
              </w:numPr>
              <w:ind w:left="522" w:hanging="254"/>
              <w:rPr>
                <w:rFonts w:ascii="Times New Roman" w:hAnsi="Times New Roman" w:cs="Times New Roman"/>
                <w:sz w:val="20"/>
                <w:szCs w:val="20"/>
              </w:rPr>
            </w:pPr>
            <w:r w:rsidRPr="00C6013B">
              <w:rPr>
                <w:rFonts w:ascii="Times New Roman" w:hAnsi="Times New Roman" w:cs="Times New Roman"/>
                <w:sz w:val="20"/>
                <w:szCs w:val="20"/>
              </w:rPr>
              <w:t>Has developed a “communications protocol” between GGMC and GFC to coordinate allocation of concession areas;</w:t>
            </w:r>
          </w:p>
        </w:tc>
        <w:tc>
          <w:tcPr>
            <w:tcW w:w="2699" w:type="dxa"/>
          </w:tcPr>
          <w:p w:rsidR="00EF12D7" w:rsidRPr="00DB4801" w:rsidRDefault="00EF12D7" w:rsidP="00DB4801">
            <w:pPr>
              <w:pStyle w:val="ListParagraph"/>
              <w:numPr>
                <w:ilvl w:val="0"/>
                <w:numId w:val="10"/>
              </w:numPr>
              <w:ind w:left="576"/>
              <w:rPr>
                <w:rFonts w:ascii="Times New Roman" w:hAnsi="Times New Roman" w:cs="Times New Roman"/>
                <w:sz w:val="20"/>
                <w:szCs w:val="20"/>
              </w:rPr>
            </w:pPr>
            <w:r w:rsidRPr="00DB4801">
              <w:rPr>
                <w:rFonts w:ascii="Times New Roman" w:hAnsi="Times New Roman" w:cs="Times New Roman"/>
                <w:sz w:val="20"/>
                <w:szCs w:val="20"/>
              </w:rPr>
              <w:t>Has developed a M&amp;E Framework to complement the MNRE’s Strategic Plan while appropriately staffed to carry out its mandate</w:t>
            </w:r>
          </w:p>
        </w:tc>
        <w:tc>
          <w:tcPr>
            <w:tcW w:w="2691" w:type="dxa"/>
          </w:tcPr>
          <w:p w:rsidR="00EF12D7" w:rsidRPr="003C1467" w:rsidRDefault="00EF12D7" w:rsidP="00175A21">
            <w:pPr>
              <w:rPr>
                <w:rFonts w:ascii="Times New Roman" w:hAnsi="Times New Roman" w:cs="Times New Roman"/>
                <w:sz w:val="20"/>
                <w:szCs w:val="20"/>
              </w:rPr>
            </w:pPr>
            <w:r w:rsidRPr="003C1467">
              <w:rPr>
                <w:rFonts w:ascii="Times New Roman" w:hAnsi="Times New Roman" w:cs="Times New Roman"/>
                <w:sz w:val="20"/>
                <w:szCs w:val="20"/>
              </w:rPr>
              <w:t xml:space="preserve">Condition was upgraded to a more structured, specific and operational commitment: a “monitoring and evaluation framework”, in place of a simple “communications protocol” </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C6013B" w:rsidRDefault="00EF12D7" w:rsidP="00896C79">
            <w:pPr>
              <w:pStyle w:val="ListParagraph"/>
              <w:numPr>
                <w:ilvl w:val="1"/>
                <w:numId w:val="1"/>
              </w:numPr>
              <w:ind w:left="522" w:hanging="254"/>
              <w:rPr>
                <w:rFonts w:ascii="Times New Roman" w:hAnsi="Times New Roman" w:cs="Times New Roman"/>
                <w:sz w:val="20"/>
                <w:szCs w:val="20"/>
              </w:rPr>
            </w:pPr>
            <w:r w:rsidRPr="00C6013B">
              <w:rPr>
                <w:rFonts w:ascii="Times New Roman" w:hAnsi="Times New Roman" w:cs="Times New Roman"/>
                <w:sz w:val="20"/>
                <w:szCs w:val="20"/>
              </w:rPr>
              <w:t>Has been appropriately staffed to carry out its mandate; and</w:t>
            </w:r>
          </w:p>
        </w:tc>
        <w:tc>
          <w:tcPr>
            <w:tcW w:w="2699" w:type="dxa"/>
          </w:tcPr>
          <w:p w:rsidR="00EF12D7" w:rsidRPr="00384558" w:rsidRDefault="00EF12D7" w:rsidP="00DB4801">
            <w:pPr>
              <w:pStyle w:val="ListParagraph"/>
              <w:numPr>
                <w:ilvl w:val="0"/>
                <w:numId w:val="10"/>
              </w:numPr>
              <w:ind w:left="576"/>
              <w:rPr>
                <w:rFonts w:ascii="Times New Roman" w:hAnsi="Times New Roman" w:cs="Times New Roman"/>
                <w:sz w:val="20"/>
                <w:szCs w:val="20"/>
              </w:rPr>
            </w:pPr>
            <w:r w:rsidRPr="00DB4801">
              <w:rPr>
                <w:rFonts w:ascii="Times New Roman" w:hAnsi="Times New Roman" w:cs="Times New Roman"/>
                <w:sz w:val="20"/>
                <w:szCs w:val="20"/>
              </w:rPr>
              <w:t>Has strengthened the Land Use Planning and Coordination to ensure effective planning, management and monitoring of natural resources; and</w:t>
            </w: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Condition was improved as the original was considered too broad. New conditions focuses on the land use planning and coordination function, which was singled-out as critical link in the period intervening between PBP1 &amp; PBP2</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C6013B" w:rsidRDefault="00EF12D7" w:rsidP="00896C79">
            <w:pPr>
              <w:pStyle w:val="ListParagraph"/>
              <w:numPr>
                <w:ilvl w:val="1"/>
                <w:numId w:val="1"/>
              </w:numPr>
              <w:ind w:left="522" w:hanging="254"/>
              <w:rPr>
                <w:rFonts w:ascii="Times New Roman" w:hAnsi="Times New Roman" w:cs="Times New Roman"/>
                <w:sz w:val="20"/>
                <w:szCs w:val="20"/>
              </w:rPr>
            </w:pPr>
            <w:r w:rsidRPr="00C6013B">
              <w:rPr>
                <w:rFonts w:ascii="Times New Roman" w:hAnsi="Times New Roman" w:cs="Times New Roman"/>
                <w:sz w:val="20"/>
                <w:szCs w:val="20"/>
              </w:rPr>
              <w:t>Has an adapted organizational chart that allows greater coordination with relevant actors to ensure effective planning, management and monito</w:t>
            </w:r>
            <w:r>
              <w:rPr>
                <w:rFonts w:ascii="Times New Roman" w:hAnsi="Times New Roman" w:cs="Times New Roman"/>
                <w:sz w:val="20"/>
                <w:szCs w:val="20"/>
              </w:rPr>
              <w:t xml:space="preserve">ring of natural resources; and </w:t>
            </w:r>
            <w:r w:rsidRPr="00C6013B">
              <w:rPr>
                <w:rFonts w:ascii="Times New Roman" w:hAnsi="Times New Roman" w:cs="Times New Roman"/>
                <w:sz w:val="20"/>
                <w:szCs w:val="20"/>
              </w:rPr>
              <w:t>that the Special Land Use Committee (SLUC) is strengthened through institutional and procedural mechanisms to improve co</w:t>
            </w:r>
            <w:r>
              <w:rPr>
                <w:rFonts w:ascii="Times New Roman" w:hAnsi="Times New Roman" w:cs="Times New Roman"/>
                <w:sz w:val="20"/>
                <w:szCs w:val="20"/>
              </w:rPr>
              <w:t>ordination between GGMC and GFC</w:t>
            </w:r>
            <w:r w:rsidRPr="00C6013B">
              <w:rPr>
                <w:rFonts w:ascii="Times New Roman" w:hAnsi="Times New Roman" w:cs="Times New Roman"/>
                <w:sz w:val="20"/>
                <w:szCs w:val="20"/>
              </w:rPr>
              <w:t>.</w:t>
            </w:r>
          </w:p>
        </w:tc>
        <w:tc>
          <w:tcPr>
            <w:tcW w:w="2699" w:type="dxa"/>
          </w:tcPr>
          <w:p w:rsidR="00EF12D7" w:rsidRPr="00384558" w:rsidRDefault="00EF12D7" w:rsidP="00DB4801">
            <w:pPr>
              <w:pStyle w:val="ListParagraph"/>
              <w:numPr>
                <w:ilvl w:val="0"/>
                <w:numId w:val="10"/>
              </w:numPr>
              <w:ind w:left="576"/>
              <w:rPr>
                <w:rFonts w:ascii="Times New Roman" w:hAnsi="Times New Roman" w:cs="Times New Roman"/>
                <w:sz w:val="20"/>
                <w:szCs w:val="20"/>
              </w:rPr>
            </w:pPr>
            <w:r w:rsidRPr="00DB4801">
              <w:rPr>
                <w:rFonts w:ascii="Times New Roman" w:hAnsi="Times New Roman" w:cs="Times New Roman"/>
                <w:sz w:val="20"/>
                <w:szCs w:val="20"/>
              </w:rPr>
              <w:t>Has strengthened the Land Reclamation Committee through institutional and procedural mechanism</w:t>
            </w:r>
          </w:p>
        </w:tc>
        <w:tc>
          <w:tcPr>
            <w:tcW w:w="2691" w:type="dxa"/>
          </w:tcPr>
          <w:p w:rsidR="00EF12D7" w:rsidRPr="003C1467" w:rsidRDefault="00EF12D7" w:rsidP="009D6F86">
            <w:pPr>
              <w:rPr>
                <w:rFonts w:ascii="Times New Roman" w:hAnsi="Times New Roman" w:cs="Times New Roman"/>
                <w:sz w:val="20"/>
                <w:szCs w:val="20"/>
              </w:rPr>
            </w:pPr>
            <w:r w:rsidRPr="003C1467">
              <w:rPr>
                <w:rFonts w:ascii="Times New Roman" w:hAnsi="Times New Roman" w:cs="Times New Roman"/>
                <w:sz w:val="20"/>
                <w:szCs w:val="20"/>
              </w:rPr>
              <w:t>Condition was modified as follows: (i) the “organizational chart” aspect was left in new conditions #9a and #9b; (ii) replace the Special Land Use Committee (SLUC) for the Land Reclamation Committee, to conform to a change in the internal structure of MNRE that had occurred in the intervening period between PBP1 &amp; PBP2</w:t>
            </w:r>
          </w:p>
        </w:tc>
      </w:tr>
      <w:tr w:rsidR="00EF12D7" w:rsidRPr="003C1467"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2D6E19">
            <w:pPr>
              <w:pStyle w:val="ListParagraph"/>
              <w:numPr>
                <w:ilvl w:val="0"/>
                <w:numId w:val="1"/>
              </w:numPr>
              <w:ind w:left="252" w:hanging="270"/>
              <w:rPr>
                <w:rFonts w:ascii="Times New Roman" w:hAnsi="Times New Roman" w:cs="Times New Roman"/>
                <w:sz w:val="20"/>
                <w:szCs w:val="20"/>
              </w:rPr>
            </w:pPr>
            <w:r w:rsidRPr="004B766B">
              <w:rPr>
                <w:rFonts w:ascii="Times New Roman" w:hAnsi="Times New Roman" w:cs="Times New Roman"/>
                <w:sz w:val="20"/>
                <w:szCs w:val="20"/>
              </w:rPr>
              <w:t xml:space="preserve">That MNRE has sufficient capacity to adequately apply social and environmental </w:t>
            </w:r>
            <w:r>
              <w:rPr>
                <w:rFonts w:ascii="Times New Roman" w:hAnsi="Times New Roman" w:cs="Times New Roman"/>
                <w:sz w:val="20"/>
                <w:szCs w:val="20"/>
              </w:rPr>
              <w:t>regulations</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MNRE has sufficient capacity to adequately apply environmental regulations, in particular in the mining sector for improved gold recovery and mercury abatement</w:t>
            </w:r>
          </w:p>
        </w:tc>
        <w:tc>
          <w:tcPr>
            <w:tcW w:w="2691" w:type="dxa"/>
          </w:tcPr>
          <w:p w:rsidR="00EF12D7" w:rsidRDefault="00EF12D7">
            <w:pPr>
              <w:rPr>
                <w:rFonts w:ascii="Times New Roman" w:hAnsi="Times New Roman" w:cs="Times New Roman"/>
                <w:sz w:val="20"/>
                <w:szCs w:val="20"/>
              </w:rPr>
            </w:pPr>
            <w:r w:rsidRPr="003C1467">
              <w:rPr>
                <w:rFonts w:ascii="Times New Roman" w:hAnsi="Times New Roman" w:cs="Times New Roman"/>
                <w:sz w:val="20"/>
                <w:szCs w:val="20"/>
              </w:rPr>
              <w:t>Condition was changed to exclude “social” regulations, as these are not part of MNRE’s mandate. “Environmental” regulations were specified to highlight those areas that had been identified as highest priority in the intervening period between PBP1 &amp; PBP2</w:t>
            </w:r>
          </w:p>
          <w:p w:rsidR="00511EE6" w:rsidRPr="003C1467" w:rsidRDefault="00511EE6">
            <w:pPr>
              <w:rPr>
                <w:rFonts w:ascii="Times New Roman" w:hAnsi="Times New Roman" w:cs="Times New Roman"/>
                <w:sz w:val="20"/>
                <w:szCs w:val="20"/>
              </w:rPr>
            </w:pP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A46BC5">
              <w:rPr>
                <w:rFonts w:ascii="Times New Roman" w:hAnsi="Times New Roman" w:cs="Times New Roman"/>
                <w:sz w:val="20"/>
                <w:szCs w:val="20"/>
              </w:rPr>
              <w:t>That the MNRE creates a communications protocol to harmonize the relations between the ministry and Indigenous groups and agencies</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the MNRE creates an instrument to harmonize the relations between the Ministry and Indigenous groups and agencies</w:t>
            </w: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Change in wording only</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297CE3">
              <w:rPr>
                <w:rFonts w:ascii="Times New Roman" w:hAnsi="Times New Roman" w:cs="Times New Roman"/>
                <w:sz w:val="20"/>
                <w:szCs w:val="20"/>
              </w:rPr>
              <w:t>That the recommendations set out in the Strategic Plan  have been adopted and implementation has commenced in the following institutions: Office of Climate Change (PRE), Guyana Forestry Commission, Guyana Mines and Geology Commission, Protected Areas Commission, and REDD+ Secretariat in the Guyana Forestry Commission (hereinafter, jointly as the “Institutions”)</w:t>
            </w:r>
          </w:p>
        </w:tc>
        <w:tc>
          <w:tcPr>
            <w:tcW w:w="2699" w:type="dxa"/>
          </w:tcPr>
          <w:p w:rsidR="00EF12D7" w:rsidRPr="004B766B" w:rsidRDefault="00EF12D7" w:rsidP="00DB4801">
            <w:pPr>
              <w:pStyle w:val="ListParagraph"/>
              <w:ind w:left="216"/>
              <w:rPr>
                <w:rFonts w:ascii="Times New Roman" w:hAnsi="Times New Roman" w:cs="Times New Roman"/>
                <w:sz w:val="20"/>
                <w:szCs w:val="20"/>
              </w:rPr>
            </w:pP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This condition was considered too general and unnecessary in light of the more specific conditions contained in the rest of Component 3.</w:t>
            </w:r>
          </w:p>
        </w:tc>
      </w:tr>
      <w:tr w:rsidR="00EF12D7" w:rsidRPr="004B766B" w:rsidTr="009E37DA">
        <w:tc>
          <w:tcPr>
            <w:tcW w:w="1484" w:type="dxa"/>
            <w:vMerge w:val="restart"/>
          </w:tcPr>
          <w:p w:rsidR="00EF12D7" w:rsidRPr="009E37DA" w:rsidRDefault="00EF12D7" w:rsidP="009E37DA">
            <w:pPr>
              <w:rPr>
                <w:rFonts w:ascii="Times New Roman" w:hAnsi="Times New Roman" w:cs="Times New Roman"/>
                <w:sz w:val="20"/>
                <w:szCs w:val="20"/>
              </w:rPr>
            </w:pPr>
            <w:r>
              <w:rPr>
                <w:rFonts w:ascii="Times New Roman" w:hAnsi="Times New Roman" w:cs="Times New Roman"/>
                <w:sz w:val="20"/>
                <w:szCs w:val="20"/>
              </w:rPr>
              <w:t>MNRE Thematic Program</w:t>
            </w:r>
            <w:r w:rsidRPr="009E37DA">
              <w:rPr>
                <w:rFonts w:ascii="Times New Roman" w:hAnsi="Times New Roman" w:cs="Times New Roman"/>
                <w:sz w:val="20"/>
                <w:szCs w:val="20"/>
              </w:rPr>
              <w:t xml:space="preserve"> focusing on specific efforts to reform forest-based sectors</w:t>
            </w:r>
          </w:p>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2D6E19">
              <w:rPr>
                <w:rFonts w:ascii="Times New Roman" w:hAnsi="Times New Roman" w:cs="Times New Roman"/>
                <w:sz w:val="20"/>
                <w:szCs w:val="20"/>
              </w:rPr>
              <w:t>That the training programs promoting best practices in the mining sector and courses on environmental impact assessment and management for extractive sectors, designed under the first programmatic operation, are implemented; and that  the training of communities in the code of practice for harvesting and sustainable forest management practices continue to be implemented</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the training programs promoting best practices in the mining sector are identified and delivered, while sustainable forest management practices continue to be implemented within the forestry sector through community training programs</w:t>
            </w:r>
          </w:p>
        </w:tc>
        <w:tc>
          <w:tcPr>
            <w:tcW w:w="2691" w:type="dxa"/>
          </w:tcPr>
          <w:p w:rsidR="00EF12D7" w:rsidRPr="003C1467" w:rsidRDefault="00EF12D7" w:rsidP="00751443">
            <w:pPr>
              <w:rPr>
                <w:rFonts w:ascii="Times New Roman" w:hAnsi="Times New Roman" w:cs="Times New Roman"/>
                <w:sz w:val="20"/>
                <w:szCs w:val="20"/>
              </w:rPr>
            </w:pPr>
            <w:r w:rsidRPr="003C1467">
              <w:rPr>
                <w:rFonts w:ascii="Times New Roman" w:hAnsi="Times New Roman" w:cs="Times New Roman"/>
                <w:sz w:val="20"/>
                <w:szCs w:val="20"/>
              </w:rPr>
              <w:t xml:space="preserve">This condition was altered only as it refers to training for the mining sector (forestry sector remained unchanged).  For the mining sector, the training programs were chosen after PBP1 was approved and were identified in light of GOG’s signing and ratification of the </w:t>
            </w:r>
            <w:proofErr w:type="spellStart"/>
            <w:r w:rsidRPr="003C1467">
              <w:rPr>
                <w:rFonts w:ascii="Times New Roman" w:hAnsi="Times New Roman" w:cs="Times New Roman"/>
                <w:sz w:val="20"/>
                <w:szCs w:val="20"/>
              </w:rPr>
              <w:t>Minamata</w:t>
            </w:r>
            <w:proofErr w:type="spellEnd"/>
            <w:r w:rsidRPr="003C1467">
              <w:rPr>
                <w:rFonts w:ascii="Times New Roman" w:hAnsi="Times New Roman" w:cs="Times New Roman"/>
                <w:sz w:val="20"/>
                <w:szCs w:val="20"/>
              </w:rPr>
              <w:t xml:space="preserve"> Mercury Convention in 2014.  This event placed a focus on courses in “cleaner mining practices and mining management”, for example improved gold recovery and minimizing mercury use. These courses have been identified and are being delivered via the Guyana Mining School and Training Centre.  Environmental impact assessment courses were not chosen.</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2D6E19">
              <w:rPr>
                <w:rFonts w:ascii="Times New Roman" w:hAnsi="Times New Roman" w:cs="Times New Roman"/>
                <w:sz w:val="20"/>
                <w:szCs w:val="20"/>
              </w:rPr>
              <w:t>Completion of the  scoping study and implementation of recommendations commenced to face challenges and opportunities for the implementation of the Extractive Industry Transparence Initiative (EITI)</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 xml:space="preserve">Completion of an Inception Report of the  scoping study </w:t>
            </w:r>
            <w:r w:rsidRPr="00BA34BF">
              <w:rPr>
                <w:rFonts w:ascii="Times New Roman" w:hAnsi="Times New Roman" w:cs="Times New Roman"/>
                <w:sz w:val="20"/>
                <w:szCs w:val="20"/>
              </w:rPr>
              <w:t>on</w:t>
            </w:r>
            <w:r w:rsidRPr="00DB4801">
              <w:rPr>
                <w:rFonts w:ascii="Times New Roman" w:hAnsi="Times New Roman" w:cs="Times New Roman"/>
                <w:sz w:val="20"/>
                <w:szCs w:val="20"/>
              </w:rPr>
              <w:t xml:space="preserve"> implementation of recommendations to face challenges and opportunities for the implementation of the Extractive Industry Transparency Initiative (EITI)</w:t>
            </w: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Condition improved to include actual progress in implementation</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B766B" w:rsidRDefault="00EF12D7" w:rsidP="004B766B">
            <w:pPr>
              <w:pStyle w:val="ListParagraph"/>
              <w:numPr>
                <w:ilvl w:val="0"/>
                <w:numId w:val="1"/>
              </w:numPr>
              <w:ind w:left="252" w:hanging="270"/>
              <w:rPr>
                <w:rFonts w:ascii="Times New Roman" w:hAnsi="Times New Roman" w:cs="Times New Roman"/>
                <w:sz w:val="20"/>
                <w:szCs w:val="20"/>
              </w:rPr>
            </w:pPr>
            <w:r w:rsidRPr="00A46BC5">
              <w:rPr>
                <w:rFonts w:ascii="Times New Roman" w:hAnsi="Times New Roman" w:cs="Times New Roman"/>
                <w:sz w:val="20"/>
                <w:szCs w:val="20"/>
              </w:rPr>
              <w:t>That new technologies and recognized best practices are adopted to improve the technical and enforcement capacity of the agencies in charge of environmental governance for mining</w:t>
            </w:r>
          </w:p>
        </w:tc>
        <w:tc>
          <w:tcPr>
            <w:tcW w:w="2699" w:type="dxa"/>
          </w:tcPr>
          <w:p w:rsidR="00EF12D7" w:rsidRPr="004B766B" w:rsidRDefault="00EF12D7" w:rsidP="00384558">
            <w:pPr>
              <w:pStyle w:val="ListParagraph"/>
              <w:numPr>
                <w:ilvl w:val="0"/>
                <w:numId w:val="2"/>
              </w:numPr>
              <w:ind w:left="216" w:hanging="270"/>
              <w:rPr>
                <w:rFonts w:ascii="Times New Roman" w:hAnsi="Times New Roman" w:cs="Times New Roman"/>
                <w:sz w:val="20"/>
                <w:szCs w:val="20"/>
              </w:rPr>
            </w:pPr>
            <w:r w:rsidRPr="00DB4801">
              <w:rPr>
                <w:rFonts w:ascii="Times New Roman" w:hAnsi="Times New Roman" w:cs="Times New Roman"/>
                <w:sz w:val="20"/>
                <w:szCs w:val="20"/>
              </w:rPr>
              <w:t>That new technologies and recognized best practices are adopted to improve the technical and enforcement capacity of the agencies in charge of environmental governance for mining</w:t>
            </w:r>
          </w:p>
        </w:tc>
        <w:tc>
          <w:tcPr>
            <w:tcW w:w="2691" w:type="dxa"/>
          </w:tcPr>
          <w:p w:rsidR="00EF12D7" w:rsidRPr="003C1467" w:rsidRDefault="00EF12D7">
            <w:pPr>
              <w:rPr>
                <w:rFonts w:ascii="Times New Roman" w:hAnsi="Times New Roman" w:cs="Times New Roman"/>
                <w:sz w:val="20"/>
                <w:szCs w:val="20"/>
              </w:rPr>
            </w:pPr>
            <w:r w:rsidRPr="003C1467">
              <w:rPr>
                <w:rFonts w:ascii="Times New Roman" w:hAnsi="Times New Roman" w:cs="Times New Roman"/>
                <w:sz w:val="20"/>
                <w:szCs w:val="20"/>
              </w:rPr>
              <w:t>Unchanged</w:t>
            </w:r>
          </w:p>
        </w:tc>
      </w:tr>
      <w:tr w:rsidR="00EF12D7" w:rsidRPr="004B766B" w:rsidTr="009E37DA">
        <w:tc>
          <w:tcPr>
            <w:tcW w:w="1484" w:type="dxa"/>
            <w:vMerge/>
          </w:tcPr>
          <w:p w:rsidR="00EF12D7" w:rsidRPr="004B766B" w:rsidRDefault="00EF12D7">
            <w:pPr>
              <w:rPr>
                <w:rFonts w:ascii="Times New Roman" w:hAnsi="Times New Roman" w:cs="Times New Roman"/>
                <w:sz w:val="20"/>
                <w:szCs w:val="20"/>
              </w:rPr>
            </w:pPr>
          </w:p>
        </w:tc>
        <w:tc>
          <w:tcPr>
            <w:tcW w:w="2702" w:type="dxa"/>
          </w:tcPr>
          <w:p w:rsidR="00EF12D7" w:rsidRPr="00450AE6" w:rsidRDefault="00EF12D7" w:rsidP="00450AE6">
            <w:pPr>
              <w:ind w:left="252" w:hanging="252"/>
              <w:rPr>
                <w:rFonts w:ascii="Times New Roman" w:hAnsi="Times New Roman" w:cs="Times New Roman"/>
                <w:sz w:val="20"/>
                <w:szCs w:val="20"/>
              </w:rPr>
            </w:pPr>
            <w:r>
              <w:rPr>
                <w:rFonts w:ascii="Times New Roman" w:hAnsi="Times New Roman" w:cs="Times New Roman"/>
                <w:sz w:val="20"/>
                <w:szCs w:val="20"/>
              </w:rPr>
              <w:t xml:space="preserve">17. </w:t>
            </w:r>
            <w:r w:rsidRPr="00450AE6">
              <w:rPr>
                <w:rFonts w:ascii="Times New Roman" w:hAnsi="Times New Roman" w:cs="Times New Roman"/>
                <w:sz w:val="20"/>
                <w:szCs w:val="20"/>
              </w:rPr>
              <w:t>That a National Log Tracking System is implemented</w:t>
            </w:r>
          </w:p>
          <w:p w:rsidR="00EF12D7" w:rsidRPr="00450AE6" w:rsidRDefault="00EF12D7" w:rsidP="00450AE6">
            <w:pPr>
              <w:rPr>
                <w:rFonts w:ascii="Times New Roman" w:hAnsi="Times New Roman" w:cs="Times New Roman"/>
                <w:sz w:val="20"/>
                <w:szCs w:val="20"/>
              </w:rPr>
            </w:pPr>
          </w:p>
        </w:tc>
        <w:tc>
          <w:tcPr>
            <w:tcW w:w="2699" w:type="dxa"/>
          </w:tcPr>
          <w:p w:rsidR="00EF12D7" w:rsidRPr="004B766B" w:rsidRDefault="00EF12D7" w:rsidP="00450AE6">
            <w:pPr>
              <w:pStyle w:val="ListParagraph"/>
              <w:numPr>
                <w:ilvl w:val="0"/>
                <w:numId w:val="2"/>
              </w:numPr>
              <w:ind w:left="216" w:hanging="270"/>
              <w:rPr>
                <w:rFonts w:ascii="Times New Roman" w:hAnsi="Times New Roman" w:cs="Times New Roman"/>
                <w:sz w:val="20"/>
                <w:szCs w:val="20"/>
              </w:rPr>
            </w:pPr>
            <w:r w:rsidRPr="00450AE6">
              <w:rPr>
                <w:rFonts w:ascii="Times New Roman" w:hAnsi="Times New Roman" w:cs="Times New Roman"/>
                <w:sz w:val="20"/>
                <w:szCs w:val="20"/>
              </w:rPr>
              <w:t xml:space="preserve">That a National Log Tracking System is implemented </w:t>
            </w:r>
          </w:p>
        </w:tc>
        <w:tc>
          <w:tcPr>
            <w:tcW w:w="2691" w:type="dxa"/>
          </w:tcPr>
          <w:p w:rsidR="00EF12D7" w:rsidRPr="003C1467" w:rsidRDefault="00EF12D7" w:rsidP="009E37DA">
            <w:pPr>
              <w:rPr>
                <w:rFonts w:ascii="Times New Roman" w:hAnsi="Times New Roman" w:cs="Times New Roman"/>
                <w:sz w:val="20"/>
                <w:szCs w:val="20"/>
              </w:rPr>
            </w:pPr>
            <w:r w:rsidRPr="003C1467">
              <w:rPr>
                <w:rFonts w:ascii="Times New Roman" w:hAnsi="Times New Roman" w:cs="Times New Roman"/>
                <w:sz w:val="20"/>
                <w:szCs w:val="20"/>
              </w:rPr>
              <w:t>Conditions unchanged. Switched position with integrated access system, when the latter was moved to Component 4 (see explanation below).</w:t>
            </w:r>
          </w:p>
        </w:tc>
      </w:tr>
      <w:tr w:rsidR="009E37DA" w:rsidRPr="004B766B" w:rsidTr="00DC54E2">
        <w:tc>
          <w:tcPr>
            <w:tcW w:w="9576" w:type="dxa"/>
            <w:gridSpan w:val="4"/>
          </w:tcPr>
          <w:p w:rsidR="009E37DA" w:rsidRPr="003C1467" w:rsidRDefault="009E37DA" w:rsidP="00AB5F53">
            <w:pPr>
              <w:spacing w:before="120" w:after="120"/>
              <w:jc w:val="center"/>
              <w:rPr>
                <w:rFonts w:ascii="Times New Roman" w:hAnsi="Times New Roman" w:cs="Times New Roman"/>
                <w:sz w:val="20"/>
                <w:szCs w:val="20"/>
              </w:rPr>
            </w:pPr>
            <w:r w:rsidRPr="003C1467">
              <w:rPr>
                <w:rFonts w:ascii="Times New Roman" w:hAnsi="Times New Roman" w:cs="Times New Roman"/>
                <w:b/>
                <w:sz w:val="20"/>
                <w:szCs w:val="20"/>
              </w:rPr>
              <w:t>COMPONENT 4: MONITORING &amp; EVALUATION</w:t>
            </w:r>
          </w:p>
        </w:tc>
      </w:tr>
      <w:tr w:rsidR="00450AE6" w:rsidRPr="004B766B" w:rsidTr="009E37DA">
        <w:tc>
          <w:tcPr>
            <w:tcW w:w="1484" w:type="dxa"/>
          </w:tcPr>
          <w:p w:rsidR="00450AE6" w:rsidRPr="004B766B" w:rsidRDefault="009E37DA">
            <w:pPr>
              <w:rPr>
                <w:rFonts w:ascii="Times New Roman" w:hAnsi="Times New Roman" w:cs="Times New Roman"/>
                <w:sz w:val="20"/>
                <w:szCs w:val="20"/>
              </w:rPr>
            </w:pPr>
            <w:r>
              <w:rPr>
                <w:rFonts w:ascii="Times New Roman" w:hAnsi="Times New Roman" w:cs="Times New Roman"/>
                <w:sz w:val="20"/>
                <w:szCs w:val="20"/>
              </w:rPr>
              <w:t>Basic MRVS instruments developed</w:t>
            </w:r>
          </w:p>
        </w:tc>
        <w:tc>
          <w:tcPr>
            <w:tcW w:w="2702" w:type="dxa"/>
          </w:tcPr>
          <w:p w:rsidR="00450AE6" w:rsidRPr="00450AE6" w:rsidRDefault="00450AE6" w:rsidP="009E37DA">
            <w:pPr>
              <w:ind w:left="252" w:hanging="252"/>
              <w:rPr>
                <w:rFonts w:ascii="Times New Roman" w:hAnsi="Times New Roman" w:cs="Times New Roman"/>
                <w:sz w:val="20"/>
                <w:szCs w:val="20"/>
              </w:rPr>
            </w:pPr>
            <w:r>
              <w:rPr>
                <w:rFonts w:ascii="Times New Roman" w:hAnsi="Times New Roman" w:cs="Times New Roman"/>
                <w:sz w:val="20"/>
                <w:szCs w:val="20"/>
              </w:rPr>
              <w:t>16.</w:t>
            </w:r>
            <w:r w:rsidRPr="00450AE6">
              <w:rPr>
                <w:rFonts w:ascii="Times New Roman" w:hAnsi="Times New Roman" w:cs="Times New Roman"/>
                <w:sz w:val="20"/>
                <w:szCs w:val="20"/>
              </w:rPr>
              <w:t>That an integrated access system for planning, mapping and management is formalized, highlighting planned concessions and reconnaissance areas for industrial agriculture, forestry and mining, titles Amerindian lands, areas under protection, and priority areas for biodiversity</w:t>
            </w:r>
          </w:p>
        </w:tc>
        <w:tc>
          <w:tcPr>
            <w:tcW w:w="2699" w:type="dxa"/>
            <w:vMerge w:val="restart"/>
          </w:tcPr>
          <w:p w:rsidR="00450AE6" w:rsidRPr="004B766B" w:rsidRDefault="00450AE6" w:rsidP="00384558">
            <w:pPr>
              <w:pStyle w:val="ListParagraph"/>
              <w:numPr>
                <w:ilvl w:val="0"/>
                <w:numId w:val="2"/>
              </w:numPr>
              <w:ind w:left="216" w:hanging="270"/>
              <w:rPr>
                <w:rFonts w:ascii="Times New Roman" w:hAnsi="Times New Roman" w:cs="Times New Roman"/>
                <w:sz w:val="20"/>
                <w:szCs w:val="20"/>
              </w:rPr>
            </w:pPr>
            <w:r w:rsidRPr="00450AE6">
              <w:rPr>
                <w:rFonts w:ascii="Times New Roman" w:hAnsi="Times New Roman" w:cs="Times New Roman"/>
                <w:sz w:val="20"/>
                <w:szCs w:val="20"/>
              </w:rPr>
              <w:t>That an integrated access system for planning, mapping, management and monitoring of forest cover data is formalized between all agencies and coordinated by the MNRE</w:t>
            </w:r>
          </w:p>
          <w:p w:rsidR="00450AE6" w:rsidRPr="00450AE6" w:rsidRDefault="00450AE6" w:rsidP="00450AE6">
            <w:pPr>
              <w:rPr>
                <w:rFonts w:ascii="Times New Roman" w:hAnsi="Times New Roman" w:cs="Times New Roman"/>
                <w:sz w:val="20"/>
                <w:szCs w:val="20"/>
              </w:rPr>
            </w:pPr>
          </w:p>
          <w:p w:rsidR="00450AE6" w:rsidRPr="004B766B" w:rsidRDefault="00450AE6" w:rsidP="00450AE6">
            <w:pPr>
              <w:ind w:left="-54"/>
              <w:rPr>
                <w:rFonts w:ascii="Times New Roman" w:hAnsi="Times New Roman" w:cs="Times New Roman"/>
                <w:sz w:val="20"/>
                <w:szCs w:val="20"/>
              </w:rPr>
            </w:pPr>
          </w:p>
        </w:tc>
        <w:tc>
          <w:tcPr>
            <w:tcW w:w="2691" w:type="dxa"/>
          </w:tcPr>
          <w:p w:rsidR="00450AE6" w:rsidRPr="003C1467" w:rsidRDefault="00450AE6">
            <w:pPr>
              <w:rPr>
                <w:rFonts w:ascii="Times New Roman" w:hAnsi="Times New Roman" w:cs="Times New Roman"/>
                <w:sz w:val="20"/>
                <w:szCs w:val="20"/>
              </w:rPr>
            </w:pPr>
            <w:r w:rsidRPr="003C1467">
              <w:rPr>
                <w:rFonts w:ascii="Times New Roman" w:hAnsi="Times New Roman" w:cs="Times New Roman"/>
                <w:sz w:val="20"/>
                <w:szCs w:val="20"/>
              </w:rPr>
              <w:t>Moved from Component 3 (Institutional Strengthening) to Component 4 (MRVS). The design and operation of the MRVS had evolved to permit this function to operate within the system.</w:t>
            </w:r>
            <w:r w:rsidR="00A800DB" w:rsidRPr="003C1467">
              <w:rPr>
                <w:rFonts w:ascii="Times New Roman" w:hAnsi="Times New Roman" w:cs="Times New Roman"/>
                <w:sz w:val="20"/>
                <w:szCs w:val="20"/>
              </w:rPr>
              <w:t xml:space="preserve"> Detail of specific outputs (planned concessions, reconnaissance areas for agriculture, etc.) was deleted, as the list was not exhaustive, while the integrated system convers those and several other outputs aimed at the same objective.</w:t>
            </w:r>
          </w:p>
          <w:p w:rsidR="00297CE3" w:rsidRPr="003C1467" w:rsidRDefault="00297CE3">
            <w:pPr>
              <w:rPr>
                <w:rFonts w:ascii="Times New Roman" w:hAnsi="Times New Roman" w:cs="Times New Roman"/>
                <w:sz w:val="20"/>
                <w:szCs w:val="20"/>
              </w:rPr>
            </w:pPr>
          </w:p>
        </w:tc>
      </w:tr>
      <w:tr w:rsidR="00450AE6" w:rsidRPr="004B766B" w:rsidTr="009E37DA">
        <w:tc>
          <w:tcPr>
            <w:tcW w:w="1484" w:type="dxa"/>
          </w:tcPr>
          <w:p w:rsidR="00450AE6" w:rsidRPr="004B766B" w:rsidRDefault="00450AE6">
            <w:pPr>
              <w:rPr>
                <w:rFonts w:ascii="Times New Roman" w:hAnsi="Times New Roman" w:cs="Times New Roman"/>
                <w:sz w:val="20"/>
                <w:szCs w:val="20"/>
              </w:rPr>
            </w:pPr>
          </w:p>
        </w:tc>
        <w:tc>
          <w:tcPr>
            <w:tcW w:w="2702" w:type="dxa"/>
          </w:tcPr>
          <w:p w:rsidR="00450AE6" w:rsidRPr="00450AE6" w:rsidRDefault="00450AE6" w:rsidP="009E37DA">
            <w:pPr>
              <w:ind w:left="252" w:hanging="252"/>
              <w:rPr>
                <w:rFonts w:ascii="Times New Roman" w:hAnsi="Times New Roman" w:cs="Times New Roman"/>
                <w:sz w:val="20"/>
                <w:szCs w:val="20"/>
              </w:rPr>
            </w:pPr>
            <w:r>
              <w:rPr>
                <w:rFonts w:ascii="Times New Roman" w:hAnsi="Times New Roman" w:cs="Times New Roman"/>
                <w:sz w:val="20"/>
                <w:szCs w:val="20"/>
              </w:rPr>
              <w:t>18.</w:t>
            </w:r>
            <w:r w:rsidRPr="00450AE6">
              <w:rPr>
                <w:rFonts w:ascii="Times New Roman" w:hAnsi="Times New Roman" w:cs="Times New Roman"/>
                <w:sz w:val="20"/>
                <w:szCs w:val="20"/>
              </w:rPr>
              <w:t>That monitoring forest cover data from all agencies are integrated and coordinated by the MNRE</w:t>
            </w:r>
          </w:p>
        </w:tc>
        <w:tc>
          <w:tcPr>
            <w:tcW w:w="2699" w:type="dxa"/>
            <w:vMerge/>
          </w:tcPr>
          <w:p w:rsidR="00450AE6" w:rsidRPr="00450AE6" w:rsidRDefault="00450AE6" w:rsidP="00450AE6">
            <w:pPr>
              <w:ind w:left="-54"/>
              <w:rPr>
                <w:rFonts w:ascii="Times New Roman" w:hAnsi="Times New Roman" w:cs="Times New Roman"/>
                <w:sz w:val="20"/>
                <w:szCs w:val="20"/>
              </w:rPr>
            </w:pPr>
          </w:p>
        </w:tc>
        <w:tc>
          <w:tcPr>
            <w:tcW w:w="2691" w:type="dxa"/>
          </w:tcPr>
          <w:p w:rsidR="00450AE6" w:rsidRPr="004B766B" w:rsidRDefault="002D6E19" w:rsidP="003C1467">
            <w:pPr>
              <w:rPr>
                <w:rFonts w:ascii="Times New Roman" w:hAnsi="Times New Roman" w:cs="Times New Roman"/>
                <w:sz w:val="20"/>
                <w:szCs w:val="20"/>
              </w:rPr>
            </w:pPr>
            <w:r w:rsidRPr="003C1467">
              <w:rPr>
                <w:rFonts w:ascii="Times New Roman" w:hAnsi="Times New Roman" w:cs="Times New Roman"/>
                <w:sz w:val="20"/>
                <w:szCs w:val="20"/>
              </w:rPr>
              <w:t xml:space="preserve">Condition was </w:t>
            </w:r>
            <w:r w:rsidR="003C1467" w:rsidRPr="003C1467">
              <w:rPr>
                <w:rFonts w:ascii="Times New Roman" w:hAnsi="Times New Roman" w:cs="Times New Roman"/>
                <w:sz w:val="20"/>
                <w:szCs w:val="20"/>
              </w:rPr>
              <w:t>i</w:t>
            </w:r>
            <w:r w:rsidR="00450AE6" w:rsidRPr="003C1467">
              <w:rPr>
                <w:rFonts w:ascii="Times New Roman" w:hAnsi="Times New Roman" w:cs="Times New Roman"/>
                <w:sz w:val="20"/>
                <w:szCs w:val="20"/>
              </w:rPr>
              <w:t>ntegrated in</w:t>
            </w:r>
            <w:r w:rsidR="009E37DA" w:rsidRPr="003C1467">
              <w:rPr>
                <w:rFonts w:ascii="Times New Roman" w:hAnsi="Times New Roman" w:cs="Times New Roman"/>
                <w:sz w:val="20"/>
                <w:szCs w:val="20"/>
              </w:rPr>
              <w:t>to</w:t>
            </w:r>
            <w:r w:rsidR="00450AE6" w:rsidRPr="003C1467">
              <w:rPr>
                <w:rFonts w:ascii="Times New Roman" w:hAnsi="Times New Roman" w:cs="Times New Roman"/>
                <w:sz w:val="20"/>
                <w:szCs w:val="20"/>
              </w:rPr>
              <w:t xml:space="preserve"> new </w:t>
            </w:r>
            <w:r w:rsidR="003172BC" w:rsidRPr="003C1467">
              <w:rPr>
                <w:rFonts w:ascii="Times New Roman" w:hAnsi="Times New Roman" w:cs="Times New Roman"/>
                <w:sz w:val="20"/>
                <w:szCs w:val="20"/>
              </w:rPr>
              <w:t>#</w:t>
            </w:r>
            <w:r w:rsidR="00450AE6" w:rsidRPr="003C1467">
              <w:rPr>
                <w:rFonts w:ascii="Times New Roman" w:hAnsi="Times New Roman" w:cs="Times New Roman"/>
                <w:sz w:val="20"/>
                <w:szCs w:val="20"/>
              </w:rPr>
              <w:t>16</w:t>
            </w:r>
          </w:p>
        </w:tc>
      </w:tr>
      <w:tr w:rsidR="004B766B" w:rsidRPr="004B766B" w:rsidTr="009E37DA">
        <w:tc>
          <w:tcPr>
            <w:tcW w:w="1484" w:type="dxa"/>
          </w:tcPr>
          <w:p w:rsidR="004B766B" w:rsidRPr="004B766B" w:rsidRDefault="004B766B">
            <w:pPr>
              <w:rPr>
                <w:rFonts w:ascii="Times New Roman" w:hAnsi="Times New Roman" w:cs="Times New Roman"/>
                <w:sz w:val="20"/>
                <w:szCs w:val="20"/>
              </w:rPr>
            </w:pPr>
          </w:p>
        </w:tc>
        <w:tc>
          <w:tcPr>
            <w:tcW w:w="2702" w:type="dxa"/>
          </w:tcPr>
          <w:p w:rsidR="00A46BC5" w:rsidRPr="00450AE6" w:rsidRDefault="00450AE6" w:rsidP="009E37DA">
            <w:pPr>
              <w:ind w:left="226" w:hanging="226"/>
              <w:rPr>
                <w:rFonts w:ascii="Times New Roman" w:hAnsi="Times New Roman" w:cs="Times New Roman"/>
                <w:sz w:val="20"/>
                <w:szCs w:val="20"/>
              </w:rPr>
            </w:pPr>
            <w:r>
              <w:rPr>
                <w:rFonts w:ascii="Times New Roman" w:hAnsi="Times New Roman" w:cs="Times New Roman"/>
                <w:sz w:val="20"/>
                <w:szCs w:val="20"/>
              </w:rPr>
              <w:t>19.</w:t>
            </w:r>
            <w:r w:rsidR="00A46BC5" w:rsidRPr="00450AE6">
              <w:rPr>
                <w:rFonts w:ascii="Times New Roman" w:hAnsi="Times New Roman" w:cs="Times New Roman"/>
                <w:sz w:val="20"/>
                <w:szCs w:val="20"/>
              </w:rPr>
              <w:t xml:space="preserve">That the following reports from the MRVS are completed: </w:t>
            </w:r>
          </w:p>
          <w:p w:rsidR="004B766B" w:rsidRPr="00384558" w:rsidRDefault="004B766B" w:rsidP="00384558">
            <w:pPr>
              <w:rPr>
                <w:rFonts w:ascii="Times New Roman" w:hAnsi="Times New Roman" w:cs="Times New Roman"/>
                <w:bCs/>
                <w:sz w:val="20"/>
                <w:szCs w:val="20"/>
              </w:rPr>
            </w:pPr>
          </w:p>
        </w:tc>
        <w:tc>
          <w:tcPr>
            <w:tcW w:w="2699" w:type="dxa"/>
          </w:tcPr>
          <w:p w:rsidR="004B766B" w:rsidRPr="004B766B" w:rsidRDefault="00450AE6" w:rsidP="00384558">
            <w:pPr>
              <w:pStyle w:val="ListParagraph"/>
              <w:numPr>
                <w:ilvl w:val="0"/>
                <w:numId w:val="2"/>
              </w:numPr>
              <w:ind w:left="216" w:hanging="270"/>
              <w:rPr>
                <w:rFonts w:ascii="Times New Roman" w:hAnsi="Times New Roman" w:cs="Times New Roman"/>
                <w:sz w:val="20"/>
                <w:szCs w:val="20"/>
              </w:rPr>
            </w:pPr>
            <w:r w:rsidRPr="00450AE6">
              <w:rPr>
                <w:rFonts w:ascii="Times New Roman" w:hAnsi="Times New Roman" w:cs="Times New Roman"/>
                <w:sz w:val="20"/>
                <w:szCs w:val="20"/>
              </w:rPr>
              <w:t>That the following reports from the MRVS are completed</w:t>
            </w:r>
          </w:p>
        </w:tc>
        <w:tc>
          <w:tcPr>
            <w:tcW w:w="2691" w:type="dxa"/>
          </w:tcPr>
          <w:p w:rsidR="004B766B" w:rsidRPr="004B766B" w:rsidRDefault="00450AE6">
            <w:pPr>
              <w:rPr>
                <w:rFonts w:ascii="Times New Roman" w:hAnsi="Times New Roman" w:cs="Times New Roman"/>
                <w:sz w:val="20"/>
                <w:szCs w:val="20"/>
              </w:rPr>
            </w:pPr>
            <w:r>
              <w:rPr>
                <w:rFonts w:ascii="Times New Roman" w:hAnsi="Times New Roman" w:cs="Times New Roman"/>
                <w:sz w:val="20"/>
                <w:szCs w:val="20"/>
              </w:rPr>
              <w:t>Unchanged</w:t>
            </w:r>
          </w:p>
        </w:tc>
      </w:tr>
      <w:tr w:rsidR="00384558" w:rsidRPr="004B766B" w:rsidTr="009E37DA">
        <w:tc>
          <w:tcPr>
            <w:tcW w:w="1484" w:type="dxa"/>
          </w:tcPr>
          <w:p w:rsidR="00384558" w:rsidRPr="004B766B" w:rsidRDefault="00384558">
            <w:pPr>
              <w:rPr>
                <w:rFonts w:ascii="Times New Roman" w:hAnsi="Times New Roman" w:cs="Times New Roman"/>
                <w:sz w:val="20"/>
                <w:szCs w:val="20"/>
              </w:rPr>
            </w:pPr>
          </w:p>
        </w:tc>
        <w:tc>
          <w:tcPr>
            <w:tcW w:w="2702" w:type="dxa"/>
          </w:tcPr>
          <w:p w:rsidR="00384558" w:rsidRPr="00384558" w:rsidRDefault="00384558" w:rsidP="00450AE6">
            <w:pPr>
              <w:pStyle w:val="ListParagraph"/>
              <w:numPr>
                <w:ilvl w:val="1"/>
                <w:numId w:val="2"/>
              </w:numPr>
              <w:ind w:left="522" w:hanging="241"/>
              <w:rPr>
                <w:rFonts w:ascii="Times New Roman" w:hAnsi="Times New Roman" w:cs="Times New Roman"/>
                <w:bCs/>
                <w:sz w:val="20"/>
                <w:szCs w:val="20"/>
              </w:rPr>
            </w:pPr>
            <w:r w:rsidRPr="001671D8">
              <w:rPr>
                <w:rFonts w:ascii="Times New Roman" w:hAnsi="Times New Roman" w:cs="Times New Roman"/>
                <w:sz w:val="20"/>
                <w:szCs w:val="20"/>
              </w:rPr>
              <w:t>Report on Forest Carbon Emissions and Removals following IPCC Guidance</w:t>
            </w:r>
          </w:p>
          <w:p w:rsidR="00384558" w:rsidRPr="00384558" w:rsidRDefault="00384558" w:rsidP="00384558">
            <w:pPr>
              <w:rPr>
                <w:rFonts w:ascii="Times New Roman" w:hAnsi="Times New Roman" w:cs="Times New Roman"/>
                <w:bCs/>
                <w:sz w:val="20"/>
                <w:szCs w:val="20"/>
              </w:rPr>
            </w:pPr>
          </w:p>
        </w:tc>
        <w:tc>
          <w:tcPr>
            <w:tcW w:w="2699" w:type="dxa"/>
          </w:tcPr>
          <w:p w:rsidR="00450AE6" w:rsidRPr="00450AE6" w:rsidRDefault="00450AE6" w:rsidP="00450AE6">
            <w:pPr>
              <w:pStyle w:val="ListParagraph"/>
              <w:numPr>
                <w:ilvl w:val="1"/>
                <w:numId w:val="1"/>
              </w:numPr>
              <w:ind w:left="486" w:hanging="270"/>
              <w:rPr>
                <w:rFonts w:ascii="Times New Roman" w:hAnsi="Times New Roman" w:cs="Times New Roman"/>
                <w:sz w:val="20"/>
                <w:szCs w:val="20"/>
              </w:rPr>
            </w:pPr>
            <w:r w:rsidRPr="00450AE6">
              <w:rPr>
                <w:rFonts w:ascii="Times New Roman" w:hAnsi="Times New Roman" w:cs="Times New Roman"/>
                <w:sz w:val="20"/>
                <w:szCs w:val="20"/>
              </w:rPr>
              <w:t>Report on Forest Carbon Emissions and Removals following IPCC Guidanc</w:t>
            </w:r>
            <w:r>
              <w:rPr>
                <w:rFonts w:ascii="Times New Roman" w:hAnsi="Times New Roman" w:cs="Times New Roman"/>
                <w:sz w:val="20"/>
                <w:szCs w:val="20"/>
              </w:rPr>
              <w:t>e</w:t>
            </w:r>
          </w:p>
        </w:tc>
        <w:tc>
          <w:tcPr>
            <w:tcW w:w="2691" w:type="dxa"/>
          </w:tcPr>
          <w:p w:rsidR="00384558" w:rsidRPr="004B766B" w:rsidRDefault="00450AE6">
            <w:pPr>
              <w:rPr>
                <w:rFonts w:ascii="Times New Roman" w:hAnsi="Times New Roman" w:cs="Times New Roman"/>
                <w:sz w:val="20"/>
                <w:szCs w:val="20"/>
              </w:rPr>
            </w:pPr>
            <w:r>
              <w:rPr>
                <w:rFonts w:ascii="Times New Roman" w:hAnsi="Times New Roman" w:cs="Times New Roman"/>
                <w:sz w:val="20"/>
                <w:szCs w:val="20"/>
              </w:rPr>
              <w:t>Unchanged</w:t>
            </w:r>
          </w:p>
        </w:tc>
      </w:tr>
      <w:tr w:rsidR="00384558" w:rsidRPr="004B766B" w:rsidTr="009E37DA">
        <w:tc>
          <w:tcPr>
            <w:tcW w:w="1484" w:type="dxa"/>
          </w:tcPr>
          <w:p w:rsidR="00384558" w:rsidRPr="004B766B" w:rsidRDefault="00384558">
            <w:pPr>
              <w:rPr>
                <w:rFonts w:ascii="Times New Roman" w:hAnsi="Times New Roman" w:cs="Times New Roman"/>
                <w:sz w:val="20"/>
                <w:szCs w:val="20"/>
              </w:rPr>
            </w:pPr>
          </w:p>
        </w:tc>
        <w:tc>
          <w:tcPr>
            <w:tcW w:w="2702" w:type="dxa"/>
          </w:tcPr>
          <w:p w:rsidR="00384558" w:rsidRDefault="00384558" w:rsidP="00450AE6">
            <w:pPr>
              <w:pStyle w:val="ListParagraph"/>
              <w:numPr>
                <w:ilvl w:val="1"/>
                <w:numId w:val="2"/>
              </w:numPr>
              <w:ind w:left="522" w:hanging="241"/>
            </w:pPr>
            <w:r w:rsidRPr="00384558">
              <w:rPr>
                <w:rFonts w:ascii="Times New Roman" w:hAnsi="Times New Roman" w:cs="Times New Roman"/>
                <w:bCs/>
                <w:sz w:val="20"/>
                <w:szCs w:val="20"/>
              </w:rPr>
              <w:t>Report</w:t>
            </w:r>
            <w:r w:rsidRPr="001671D8">
              <w:rPr>
                <w:rFonts w:ascii="Times New Roman" w:hAnsi="Times New Roman" w:cs="Times New Roman"/>
                <w:sz w:val="20"/>
                <w:szCs w:val="20"/>
              </w:rPr>
              <w:t xml:space="preserve"> on Forest Degradation integrated within MRVS Interim Measures Reporting.</w:t>
            </w:r>
          </w:p>
        </w:tc>
        <w:tc>
          <w:tcPr>
            <w:tcW w:w="2699" w:type="dxa"/>
          </w:tcPr>
          <w:p w:rsidR="00384558" w:rsidRPr="00450AE6" w:rsidRDefault="00450AE6" w:rsidP="00450AE6">
            <w:pPr>
              <w:pStyle w:val="ListParagraph"/>
              <w:numPr>
                <w:ilvl w:val="1"/>
                <w:numId w:val="1"/>
              </w:numPr>
              <w:ind w:left="486" w:hanging="270"/>
              <w:rPr>
                <w:rFonts w:ascii="Times New Roman" w:hAnsi="Times New Roman" w:cs="Times New Roman"/>
                <w:sz w:val="20"/>
                <w:szCs w:val="20"/>
              </w:rPr>
            </w:pPr>
            <w:r w:rsidRPr="00450AE6">
              <w:rPr>
                <w:rFonts w:ascii="Times New Roman" w:hAnsi="Times New Roman" w:cs="Times New Roman"/>
                <w:sz w:val="20"/>
                <w:szCs w:val="20"/>
              </w:rPr>
              <w:t>Report on Forest Degradation integrated within MRVS Interim Measures Reporting</w:t>
            </w:r>
          </w:p>
        </w:tc>
        <w:tc>
          <w:tcPr>
            <w:tcW w:w="2691" w:type="dxa"/>
          </w:tcPr>
          <w:p w:rsidR="00384558" w:rsidRPr="004B766B" w:rsidRDefault="00450AE6">
            <w:pPr>
              <w:rPr>
                <w:rFonts w:ascii="Times New Roman" w:hAnsi="Times New Roman" w:cs="Times New Roman"/>
                <w:sz w:val="20"/>
                <w:szCs w:val="20"/>
              </w:rPr>
            </w:pPr>
            <w:r>
              <w:rPr>
                <w:rFonts w:ascii="Times New Roman" w:hAnsi="Times New Roman" w:cs="Times New Roman"/>
                <w:sz w:val="20"/>
                <w:szCs w:val="20"/>
              </w:rPr>
              <w:t>Unchanged</w:t>
            </w:r>
          </w:p>
        </w:tc>
      </w:tr>
    </w:tbl>
    <w:p w:rsidR="004B766B" w:rsidRDefault="004B766B"/>
    <w:sectPr w:rsidR="004B766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A3C" w:rsidRDefault="004A0A3C" w:rsidP="004A0A3C">
      <w:pPr>
        <w:spacing w:after="0" w:line="240" w:lineRule="auto"/>
      </w:pPr>
      <w:r>
        <w:separator/>
      </w:r>
    </w:p>
  </w:endnote>
  <w:endnote w:type="continuationSeparator" w:id="0">
    <w:p w:rsidR="004A0A3C" w:rsidRDefault="004A0A3C" w:rsidP="004A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A3C" w:rsidRDefault="004A0A3C" w:rsidP="004A0A3C">
      <w:pPr>
        <w:spacing w:after="0" w:line="240" w:lineRule="auto"/>
      </w:pPr>
      <w:r>
        <w:separator/>
      </w:r>
    </w:p>
  </w:footnote>
  <w:footnote w:type="continuationSeparator" w:id="0">
    <w:p w:rsidR="004A0A3C" w:rsidRDefault="004A0A3C" w:rsidP="004A0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168209085"/>
      <w:docPartObj>
        <w:docPartGallery w:val="Page Numbers (Top of Page)"/>
        <w:docPartUnique/>
      </w:docPartObj>
    </w:sdtPr>
    <w:sdtEndPr/>
    <w:sdtContent>
      <w:p w:rsidR="004A0A3C" w:rsidRPr="004A0A3C" w:rsidRDefault="004A0A3C" w:rsidP="004A0A3C">
        <w:pPr>
          <w:pStyle w:val="Header"/>
          <w:jc w:val="right"/>
          <w:rPr>
            <w:rFonts w:ascii="Times New Roman" w:hAnsi="Times New Roman" w:cs="Times New Roman"/>
            <w:sz w:val="20"/>
            <w:szCs w:val="20"/>
          </w:rPr>
        </w:pPr>
        <w:r w:rsidRPr="004A0A3C">
          <w:rPr>
            <w:rFonts w:ascii="Times New Roman" w:hAnsi="Times New Roman" w:cs="Times New Roman"/>
            <w:sz w:val="20"/>
            <w:szCs w:val="20"/>
          </w:rPr>
          <w:t xml:space="preserve">Page </w:t>
        </w:r>
        <w:r w:rsidRPr="004A0A3C">
          <w:rPr>
            <w:rFonts w:ascii="Times New Roman" w:hAnsi="Times New Roman" w:cs="Times New Roman"/>
            <w:b/>
            <w:bCs/>
            <w:sz w:val="20"/>
            <w:szCs w:val="20"/>
          </w:rPr>
          <w:fldChar w:fldCharType="begin"/>
        </w:r>
        <w:r w:rsidRPr="004A0A3C">
          <w:rPr>
            <w:rFonts w:ascii="Times New Roman" w:hAnsi="Times New Roman" w:cs="Times New Roman"/>
            <w:b/>
            <w:bCs/>
            <w:sz w:val="20"/>
            <w:szCs w:val="20"/>
          </w:rPr>
          <w:instrText xml:space="preserve"> PAGE </w:instrText>
        </w:r>
        <w:r w:rsidRPr="004A0A3C">
          <w:rPr>
            <w:rFonts w:ascii="Times New Roman" w:hAnsi="Times New Roman" w:cs="Times New Roman"/>
            <w:b/>
            <w:bCs/>
            <w:sz w:val="20"/>
            <w:szCs w:val="20"/>
          </w:rPr>
          <w:fldChar w:fldCharType="separate"/>
        </w:r>
        <w:r w:rsidR="00967A95">
          <w:rPr>
            <w:rFonts w:ascii="Times New Roman" w:hAnsi="Times New Roman" w:cs="Times New Roman"/>
            <w:b/>
            <w:bCs/>
            <w:noProof/>
            <w:sz w:val="20"/>
            <w:szCs w:val="20"/>
          </w:rPr>
          <w:t>1</w:t>
        </w:r>
        <w:r w:rsidRPr="004A0A3C">
          <w:rPr>
            <w:rFonts w:ascii="Times New Roman" w:hAnsi="Times New Roman" w:cs="Times New Roman"/>
            <w:b/>
            <w:bCs/>
            <w:sz w:val="20"/>
            <w:szCs w:val="20"/>
          </w:rPr>
          <w:fldChar w:fldCharType="end"/>
        </w:r>
        <w:r w:rsidRPr="004A0A3C">
          <w:rPr>
            <w:rFonts w:ascii="Times New Roman" w:hAnsi="Times New Roman" w:cs="Times New Roman"/>
            <w:sz w:val="20"/>
            <w:szCs w:val="20"/>
          </w:rPr>
          <w:t xml:space="preserve"> of </w:t>
        </w:r>
        <w:r w:rsidRPr="004A0A3C">
          <w:rPr>
            <w:rFonts w:ascii="Times New Roman" w:hAnsi="Times New Roman" w:cs="Times New Roman"/>
            <w:b/>
            <w:bCs/>
            <w:sz w:val="20"/>
            <w:szCs w:val="20"/>
          </w:rPr>
          <w:fldChar w:fldCharType="begin"/>
        </w:r>
        <w:r w:rsidRPr="004A0A3C">
          <w:rPr>
            <w:rFonts w:ascii="Times New Roman" w:hAnsi="Times New Roman" w:cs="Times New Roman"/>
            <w:b/>
            <w:bCs/>
            <w:sz w:val="20"/>
            <w:szCs w:val="20"/>
          </w:rPr>
          <w:instrText xml:space="preserve"> NUMPAGES  </w:instrText>
        </w:r>
        <w:r w:rsidRPr="004A0A3C">
          <w:rPr>
            <w:rFonts w:ascii="Times New Roman" w:hAnsi="Times New Roman" w:cs="Times New Roman"/>
            <w:b/>
            <w:bCs/>
            <w:sz w:val="20"/>
            <w:szCs w:val="20"/>
          </w:rPr>
          <w:fldChar w:fldCharType="separate"/>
        </w:r>
        <w:r w:rsidR="00967A95">
          <w:rPr>
            <w:rFonts w:ascii="Times New Roman" w:hAnsi="Times New Roman" w:cs="Times New Roman"/>
            <w:b/>
            <w:bCs/>
            <w:noProof/>
            <w:sz w:val="20"/>
            <w:szCs w:val="20"/>
          </w:rPr>
          <w:t>6</w:t>
        </w:r>
        <w:r w:rsidRPr="004A0A3C">
          <w:rPr>
            <w:rFonts w:ascii="Times New Roman" w:hAnsi="Times New Roman" w:cs="Times New Roman"/>
            <w:b/>
            <w:bCs/>
            <w:sz w:val="20"/>
            <w:szCs w:val="20"/>
          </w:rPr>
          <w:fldChar w:fldCharType="end"/>
        </w:r>
      </w:p>
    </w:sdtContent>
  </w:sdt>
  <w:p w:rsidR="004A0A3C" w:rsidRDefault="004A0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C7EE7"/>
    <w:multiLevelType w:val="hybridMultilevel"/>
    <w:tmpl w:val="41CC8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C54EB1"/>
    <w:multiLevelType w:val="hybridMultilevel"/>
    <w:tmpl w:val="60144DBA"/>
    <w:lvl w:ilvl="0" w:tplc="0409000F">
      <w:start w:val="1"/>
      <w:numFmt w:val="decimal"/>
      <w:lvlText w:val="%1."/>
      <w:lvlJc w:val="left"/>
      <w:pPr>
        <w:ind w:left="720" w:hanging="360"/>
      </w:pPr>
      <w:rPr>
        <w:rFonts w:hint="default"/>
      </w:rPr>
    </w:lvl>
    <w:lvl w:ilvl="1" w:tplc="9B9AFDD4">
      <w:start w:val="1"/>
      <w:numFmt w:val="lowerLetter"/>
      <w:lvlText w:val="%2."/>
      <w:lvlJc w:val="left"/>
      <w:pPr>
        <w:ind w:left="893" w:hanging="360"/>
      </w:pPr>
      <w:rPr>
        <w:rFonts w:asciiTheme="minorHAnsi" w:eastAsiaTheme="minorEastAsia" w:hAnsiTheme="minorHAnsi" w:cs="Arial" w:hint="default"/>
      </w:rPr>
    </w:lvl>
    <w:lvl w:ilvl="2" w:tplc="0409001B">
      <w:start w:val="1"/>
      <w:numFmt w:val="lowerRoman"/>
      <w:lvlText w:val="%3."/>
      <w:lvlJc w:val="right"/>
      <w:pPr>
        <w:ind w:left="2160" w:hanging="180"/>
      </w:pPr>
    </w:lvl>
    <w:lvl w:ilvl="3" w:tplc="37504AC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B33593"/>
    <w:multiLevelType w:val="hybridMultilevel"/>
    <w:tmpl w:val="84A63B48"/>
    <w:lvl w:ilvl="0" w:tplc="55CCDE08">
      <w:numFmt w:val="bullet"/>
      <w:lvlText w:val="-"/>
      <w:lvlJc w:val="left"/>
      <w:pPr>
        <w:ind w:left="1560" w:hanging="360"/>
      </w:pPr>
      <w:rPr>
        <w:rFonts w:ascii="Calibri" w:eastAsiaTheme="minorEastAsia" w:hAnsi="Calibri" w:cs="Calibri"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3">
    <w:nsid w:val="2CD35F3D"/>
    <w:multiLevelType w:val="hybridMultilevel"/>
    <w:tmpl w:val="D4D69C0E"/>
    <w:lvl w:ilvl="0" w:tplc="9B9AFDD4">
      <w:start w:val="1"/>
      <w:numFmt w:val="lowerLetter"/>
      <w:lvlText w:val="%1."/>
      <w:lvlJc w:val="left"/>
      <w:pPr>
        <w:ind w:left="720" w:hanging="360"/>
      </w:pPr>
      <w:rPr>
        <w:rFonts w:asciiTheme="minorHAnsi" w:eastAsiaTheme="minorEastAsia" w:hAnsiTheme="minorHAns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0C494F"/>
    <w:multiLevelType w:val="hybridMultilevel"/>
    <w:tmpl w:val="2034DEF8"/>
    <w:lvl w:ilvl="0" w:tplc="4E64C578">
      <w:start w:val="2"/>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nsid w:val="47637582"/>
    <w:multiLevelType w:val="hybridMultilevel"/>
    <w:tmpl w:val="DFDE0880"/>
    <w:lvl w:ilvl="0" w:tplc="0409000F">
      <w:start w:val="1"/>
      <w:numFmt w:val="decimal"/>
      <w:lvlText w:val="%1."/>
      <w:lvlJc w:val="left"/>
      <w:pPr>
        <w:ind w:left="720" w:hanging="360"/>
      </w:pPr>
      <w:rPr>
        <w:rFonts w:hint="default"/>
      </w:rPr>
    </w:lvl>
    <w:lvl w:ilvl="1" w:tplc="57860796">
      <w:start w:val="1"/>
      <w:numFmt w:val="lowerLetter"/>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B63FE7"/>
    <w:multiLevelType w:val="hybridMultilevel"/>
    <w:tmpl w:val="9600007C"/>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7">
    <w:nsid w:val="63C53AF4"/>
    <w:multiLevelType w:val="hybridMultilevel"/>
    <w:tmpl w:val="DFDE0880"/>
    <w:lvl w:ilvl="0" w:tplc="0409000F">
      <w:start w:val="1"/>
      <w:numFmt w:val="decimal"/>
      <w:lvlText w:val="%1."/>
      <w:lvlJc w:val="left"/>
      <w:pPr>
        <w:ind w:left="720" w:hanging="360"/>
      </w:pPr>
      <w:rPr>
        <w:rFonts w:hint="default"/>
      </w:rPr>
    </w:lvl>
    <w:lvl w:ilvl="1" w:tplc="57860796">
      <w:start w:val="1"/>
      <w:numFmt w:val="lowerLetter"/>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C81509"/>
    <w:multiLevelType w:val="hybridMultilevel"/>
    <w:tmpl w:val="B226F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A01A24"/>
    <w:multiLevelType w:val="hybridMultilevel"/>
    <w:tmpl w:val="13EA6C20"/>
    <w:lvl w:ilvl="0" w:tplc="0409000F">
      <w:start w:val="1"/>
      <w:numFmt w:val="decimal"/>
      <w:lvlText w:val="%1."/>
      <w:lvlJc w:val="left"/>
      <w:pPr>
        <w:ind w:left="720" w:hanging="360"/>
      </w:pPr>
      <w:rPr>
        <w:rFonts w:hint="default"/>
      </w:rPr>
    </w:lvl>
    <w:lvl w:ilvl="1" w:tplc="64EE8D2C">
      <w:start w:val="1"/>
      <w:numFmt w:val="lowerLetter"/>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D07A91"/>
    <w:multiLevelType w:val="hybridMultilevel"/>
    <w:tmpl w:val="831E9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
  </w:num>
  <w:num w:numId="4">
    <w:abstractNumId w:val="8"/>
  </w:num>
  <w:num w:numId="5">
    <w:abstractNumId w:val="3"/>
  </w:num>
  <w:num w:numId="6">
    <w:abstractNumId w:val="0"/>
  </w:num>
  <w:num w:numId="7">
    <w:abstractNumId w:val="2"/>
  </w:num>
  <w:num w:numId="8">
    <w:abstractNumId w:val="6"/>
  </w:num>
  <w:num w:numId="9">
    <w:abstractNumId w:val="4"/>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66B"/>
    <w:rsid w:val="000034F6"/>
    <w:rsid w:val="00140465"/>
    <w:rsid w:val="00175A21"/>
    <w:rsid w:val="001A3BB1"/>
    <w:rsid w:val="00223B47"/>
    <w:rsid w:val="00263355"/>
    <w:rsid w:val="0029113B"/>
    <w:rsid w:val="00297CE3"/>
    <w:rsid w:val="002D6E19"/>
    <w:rsid w:val="003040A5"/>
    <w:rsid w:val="003172BC"/>
    <w:rsid w:val="00384558"/>
    <w:rsid w:val="003C1467"/>
    <w:rsid w:val="003F511A"/>
    <w:rsid w:val="00450AE6"/>
    <w:rsid w:val="004877D7"/>
    <w:rsid w:val="004A0A3C"/>
    <w:rsid w:val="004B766B"/>
    <w:rsid w:val="00511EE6"/>
    <w:rsid w:val="005161CB"/>
    <w:rsid w:val="00541C59"/>
    <w:rsid w:val="005B6F80"/>
    <w:rsid w:val="0063437F"/>
    <w:rsid w:val="00651DC8"/>
    <w:rsid w:val="006564A2"/>
    <w:rsid w:val="006E47E9"/>
    <w:rsid w:val="006F67B3"/>
    <w:rsid w:val="0073175A"/>
    <w:rsid w:val="00747FB1"/>
    <w:rsid w:val="00751443"/>
    <w:rsid w:val="0077223F"/>
    <w:rsid w:val="00853C8B"/>
    <w:rsid w:val="008A13BF"/>
    <w:rsid w:val="008C06C7"/>
    <w:rsid w:val="00967A95"/>
    <w:rsid w:val="009D6F86"/>
    <w:rsid w:val="009E37DA"/>
    <w:rsid w:val="00A46BC5"/>
    <w:rsid w:val="00A800DB"/>
    <w:rsid w:val="00A87AE0"/>
    <w:rsid w:val="00AB5F53"/>
    <w:rsid w:val="00B51004"/>
    <w:rsid w:val="00B73534"/>
    <w:rsid w:val="00BA34BF"/>
    <w:rsid w:val="00BA56DE"/>
    <w:rsid w:val="00D237B6"/>
    <w:rsid w:val="00D805D1"/>
    <w:rsid w:val="00DA65EB"/>
    <w:rsid w:val="00DA6D21"/>
    <w:rsid w:val="00DB4801"/>
    <w:rsid w:val="00DB7E84"/>
    <w:rsid w:val="00E0486C"/>
    <w:rsid w:val="00E101E7"/>
    <w:rsid w:val="00E15494"/>
    <w:rsid w:val="00E33CCC"/>
    <w:rsid w:val="00E622C1"/>
    <w:rsid w:val="00EE0F2E"/>
    <w:rsid w:val="00EF12D7"/>
    <w:rsid w:val="00F011CC"/>
    <w:rsid w:val="00F55067"/>
    <w:rsid w:val="00F7048A"/>
    <w:rsid w:val="00FB05D5"/>
    <w:rsid w:val="00FC7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766B"/>
    <w:pPr>
      <w:ind w:left="720"/>
      <w:contextualSpacing/>
    </w:pPr>
  </w:style>
  <w:style w:type="character" w:styleId="CommentReference">
    <w:name w:val="annotation reference"/>
    <w:basedOn w:val="DefaultParagraphFont"/>
    <w:uiPriority w:val="99"/>
    <w:semiHidden/>
    <w:unhideWhenUsed/>
    <w:rsid w:val="00FC7BAA"/>
    <w:rPr>
      <w:sz w:val="16"/>
      <w:szCs w:val="16"/>
    </w:rPr>
  </w:style>
  <w:style w:type="paragraph" w:styleId="CommentText">
    <w:name w:val="annotation text"/>
    <w:basedOn w:val="Normal"/>
    <w:link w:val="CommentTextChar"/>
    <w:uiPriority w:val="99"/>
    <w:unhideWhenUsed/>
    <w:rsid w:val="00FC7BAA"/>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FC7BAA"/>
    <w:rPr>
      <w:rFonts w:eastAsiaTheme="minorEastAsia"/>
      <w:sz w:val="20"/>
      <w:szCs w:val="20"/>
    </w:rPr>
  </w:style>
  <w:style w:type="paragraph" w:styleId="BalloonText">
    <w:name w:val="Balloon Text"/>
    <w:basedOn w:val="Normal"/>
    <w:link w:val="BalloonTextChar"/>
    <w:uiPriority w:val="99"/>
    <w:semiHidden/>
    <w:unhideWhenUsed/>
    <w:rsid w:val="00FC7B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BAA"/>
    <w:rPr>
      <w:rFonts w:ascii="Tahoma" w:hAnsi="Tahoma" w:cs="Tahoma"/>
      <w:sz w:val="16"/>
      <w:szCs w:val="16"/>
    </w:rPr>
  </w:style>
  <w:style w:type="paragraph" w:styleId="Header">
    <w:name w:val="header"/>
    <w:basedOn w:val="Normal"/>
    <w:link w:val="HeaderChar"/>
    <w:uiPriority w:val="99"/>
    <w:unhideWhenUsed/>
    <w:rsid w:val="004A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A3C"/>
  </w:style>
  <w:style w:type="paragraph" w:styleId="Footer">
    <w:name w:val="footer"/>
    <w:basedOn w:val="Normal"/>
    <w:link w:val="FooterChar"/>
    <w:uiPriority w:val="99"/>
    <w:unhideWhenUsed/>
    <w:rsid w:val="004A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A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766B"/>
    <w:pPr>
      <w:ind w:left="720"/>
      <w:contextualSpacing/>
    </w:pPr>
  </w:style>
  <w:style w:type="character" w:styleId="CommentReference">
    <w:name w:val="annotation reference"/>
    <w:basedOn w:val="DefaultParagraphFont"/>
    <w:uiPriority w:val="99"/>
    <w:semiHidden/>
    <w:unhideWhenUsed/>
    <w:rsid w:val="00FC7BAA"/>
    <w:rPr>
      <w:sz w:val="16"/>
      <w:szCs w:val="16"/>
    </w:rPr>
  </w:style>
  <w:style w:type="paragraph" w:styleId="CommentText">
    <w:name w:val="annotation text"/>
    <w:basedOn w:val="Normal"/>
    <w:link w:val="CommentTextChar"/>
    <w:uiPriority w:val="99"/>
    <w:unhideWhenUsed/>
    <w:rsid w:val="00FC7BAA"/>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FC7BAA"/>
    <w:rPr>
      <w:rFonts w:eastAsiaTheme="minorEastAsia"/>
      <w:sz w:val="20"/>
      <w:szCs w:val="20"/>
    </w:rPr>
  </w:style>
  <w:style w:type="paragraph" w:styleId="BalloonText">
    <w:name w:val="Balloon Text"/>
    <w:basedOn w:val="Normal"/>
    <w:link w:val="BalloonTextChar"/>
    <w:uiPriority w:val="99"/>
    <w:semiHidden/>
    <w:unhideWhenUsed/>
    <w:rsid w:val="00FC7B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BAA"/>
    <w:rPr>
      <w:rFonts w:ascii="Tahoma" w:hAnsi="Tahoma" w:cs="Tahoma"/>
      <w:sz w:val="16"/>
      <w:szCs w:val="16"/>
    </w:rPr>
  </w:style>
  <w:style w:type="paragraph" w:styleId="Header">
    <w:name w:val="header"/>
    <w:basedOn w:val="Normal"/>
    <w:link w:val="HeaderChar"/>
    <w:uiPriority w:val="99"/>
    <w:unhideWhenUsed/>
    <w:rsid w:val="004A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A3C"/>
  </w:style>
  <w:style w:type="paragraph" w:styleId="Footer">
    <w:name w:val="footer"/>
    <w:basedOn w:val="Normal"/>
    <w:link w:val="FooterChar"/>
    <w:uiPriority w:val="99"/>
    <w:unhideWhenUsed/>
    <w:rsid w:val="004A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39193980</IDBDocs_x0020_Number>
    <Document_x0020_Author xmlns="cdc7663a-08f0-4737-9e8c-148ce897a09c">Landazuri, Helena</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GY-L1043</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Link-PIC TECFILE</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EZSHARE-561281106-55</_dlc_DocId>
    <From_x003a_ xmlns="cdc7663a-08f0-4737-9e8c-148ce897a09c" xsi:nil="true"/>
    <To_x003a_ xmlns="cdc7663a-08f0-4737-9e8c-148ce897a09c" xsi:nil="true"/>
    <_dlc_DocIdUrl xmlns="cdc7663a-08f0-4737-9e8c-148ce897a09c">
      <Url>https://idbg.sharepoint.com/teams/EZ-GY-LON/GY-L1043/_layouts/15/DocIdRedir.aspx?ID=EZSHARE-561281106-55</Url>
      <Description>EZSHARE-561281106-55</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2ECB971B-A93D-42A8-A8B7-615320692EBB}"/>
</file>

<file path=customXml/itemProps2.xml><?xml version="1.0" encoding="utf-8"?>
<ds:datastoreItem xmlns:ds="http://schemas.openxmlformats.org/officeDocument/2006/customXml" ds:itemID="{D3EFA239-8B6B-45B2-A394-BCC03565BE56}"/>
</file>

<file path=customXml/itemProps3.xml><?xml version="1.0" encoding="utf-8"?>
<ds:datastoreItem xmlns:ds="http://schemas.openxmlformats.org/officeDocument/2006/customXml" ds:itemID="{F5B4BF07-F2C1-4746-A9B4-D13C57BC6674}"/>
</file>

<file path=customXml/itemProps4.xml><?xml version="1.0" encoding="utf-8"?>
<ds:datastoreItem xmlns:ds="http://schemas.openxmlformats.org/officeDocument/2006/customXml" ds:itemID="{AB5C2600-E088-4162-8FBA-16CC50F75921}"/>
</file>

<file path=customXml/itemProps5.xml><?xml version="1.0" encoding="utf-8"?>
<ds:datastoreItem xmlns:ds="http://schemas.openxmlformats.org/officeDocument/2006/customXml" ds:itemID="{4CC548A8-0086-4257-B3A8-AFC8F38AAA66}"/>
</file>

<file path=customXml/itemProps6.xml><?xml version="1.0" encoding="utf-8"?>
<ds:datastoreItem xmlns:ds="http://schemas.openxmlformats.org/officeDocument/2006/customXml" ds:itemID="{3C14CDB0-6168-40AE-8CB4-D4129E9957CF}"/>
</file>

<file path=customXml/itemProps7.xml><?xml version="1.0" encoding="utf-8"?>
<ds:datastoreItem xmlns:ds="http://schemas.openxmlformats.org/officeDocument/2006/customXml" ds:itemID="{3D4A6077-9BFD-49F1-8578-3BE3522750E0}"/>
</file>

<file path=docProps/app.xml><?xml version="1.0" encoding="utf-8"?>
<Properties xmlns="http://schemas.openxmlformats.org/officeDocument/2006/extended-properties" xmlns:vt="http://schemas.openxmlformats.org/officeDocument/2006/docPropsVTypes">
  <Template>Normal</Template>
  <TotalTime>8</TotalTime>
  <Pages>6</Pages>
  <Words>2075</Words>
  <Characters>11833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Modification to original triggers for PBP2</dc:title>
  <dc:creator>HELENAL</dc:creator>
  <cp:lastModifiedBy>HELENAL</cp:lastModifiedBy>
  <cp:revision>5</cp:revision>
  <cp:lastPrinted>2014-10-31T16:21:00Z</cp:lastPrinted>
  <dcterms:created xsi:type="dcterms:W3CDTF">2014-11-26T15:51:00Z</dcterms:created>
  <dcterms:modified xsi:type="dcterms:W3CDTF">2014-12-03T14:46:00Z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0x010100ACF722E9F6B0B149B0CD8BE2560A667200C4C4F97E30E1BB40B353D12FA1CD7E9A</vt:lpwstr>
  </property>
  <property fmtid="{D5CDD505-2E9C-101B-9397-08002B2CF9AE}" pid="5" name="TaxKeywordTaxHTField">
    <vt:lpwstr/>
  </property>
  <property fmtid="{D5CDD505-2E9C-101B-9397-08002B2CF9AE}" pid="6" name="Series Operations IDB">
    <vt:lpwstr>21;#Loan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Environmental Programs and Institutions</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0e199ffb-daf6-4c01-b6c1-eb5d93eb8f9a</vt:lpwstr>
  </property>
</Properties>
</file>