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997F36" w14:textId="64346834" w:rsidR="00915C0D" w:rsidRPr="00017F75" w:rsidRDefault="003C3FD6" w:rsidP="00915C0D">
      <w:pPr>
        <w:jc w:val="center"/>
        <w:rPr>
          <w:rFonts w:ascii="Times New Roman" w:hAnsi="Times New Roman"/>
          <w:b/>
          <w:sz w:val="28"/>
          <w:szCs w:val="28"/>
        </w:rPr>
      </w:pPr>
      <w:proofErr w:type="spellStart"/>
      <w:proofErr w:type="gramStart"/>
      <w:r w:rsidRPr="00017F75">
        <w:rPr>
          <w:rFonts w:ascii="Times New Roman" w:hAnsi="Times New Roman"/>
          <w:b/>
          <w:sz w:val="28"/>
          <w:szCs w:val="28"/>
        </w:rPr>
        <w:t>ueiro</w:t>
      </w:r>
      <w:proofErr w:type="spellEnd"/>
      <w:proofErr w:type="gramEnd"/>
      <w:r w:rsidRPr="00017F75">
        <w:rPr>
          <w:rFonts w:ascii="Times New Roman" w:hAnsi="Times New Roman"/>
          <w:b/>
          <w:sz w:val="28"/>
          <w:szCs w:val="28"/>
        </w:rPr>
        <w:t xml:space="preserve"> </w:t>
      </w:r>
    </w:p>
    <w:p w14:paraId="1DB21E46" w14:textId="77777777" w:rsidR="00915C0D" w:rsidRPr="00915C0D" w:rsidRDefault="00915C0D" w:rsidP="00915C0D">
      <w:pPr>
        <w:jc w:val="center"/>
        <w:rPr>
          <w:rFonts w:ascii="Times New Roman" w:hAnsi="Times New Roman"/>
          <w:b/>
          <w:bCs/>
          <w:sz w:val="28"/>
          <w:szCs w:val="24"/>
        </w:rPr>
      </w:pPr>
      <w:r w:rsidRPr="00915C0D">
        <w:rPr>
          <w:rFonts w:ascii="Times New Roman" w:hAnsi="Times New Roman"/>
          <w:b/>
          <w:sz w:val="28"/>
          <w:szCs w:val="28"/>
        </w:rPr>
        <w:t>INTER- AMERICAN DEVELOPMENT BANK</w:t>
      </w:r>
    </w:p>
    <w:p w14:paraId="55402D3C" w14:textId="77777777" w:rsidR="00915C0D" w:rsidRPr="00915C0D" w:rsidRDefault="00915C0D" w:rsidP="00915C0D">
      <w:pPr>
        <w:jc w:val="center"/>
        <w:rPr>
          <w:rFonts w:ascii="Trajan Pro" w:hAnsi="Trajan Pro"/>
          <w:b/>
          <w:bCs/>
          <w:sz w:val="28"/>
        </w:rPr>
      </w:pPr>
    </w:p>
    <w:p w14:paraId="1A142D6B" w14:textId="77777777" w:rsidR="00915C0D" w:rsidRPr="00915C0D" w:rsidRDefault="00915C0D" w:rsidP="00915C0D">
      <w:pPr>
        <w:jc w:val="center"/>
        <w:rPr>
          <w:rFonts w:ascii="Trajan Pro" w:hAnsi="Trajan Pro"/>
          <w:b/>
          <w:bCs/>
          <w:sz w:val="28"/>
        </w:rPr>
      </w:pPr>
    </w:p>
    <w:p w14:paraId="131F1473" w14:textId="77777777" w:rsidR="00915C0D" w:rsidRPr="00915C0D" w:rsidRDefault="00915C0D" w:rsidP="00915C0D">
      <w:pPr>
        <w:jc w:val="center"/>
        <w:rPr>
          <w:rFonts w:ascii="Trajan Pro" w:hAnsi="Trajan Pro"/>
          <w:b/>
          <w:bCs/>
          <w:sz w:val="28"/>
        </w:rPr>
      </w:pPr>
    </w:p>
    <w:p w14:paraId="2A604A8F" w14:textId="77777777" w:rsidR="00915C0D" w:rsidRPr="00915C0D" w:rsidRDefault="00915C0D" w:rsidP="00915C0D">
      <w:pPr>
        <w:jc w:val="center"/>
        <w:rPr>
          <w:rFonts w:ascii="Trajan Pro" w:hAnsi="Trajan Pro"/>
          <w:b/>
          <w:bCs/>
          <w:sz w:val="28"/>
        </w:rPr>
      </w:pPr>
    </w:p>
    <w:p w14:paraId="4B190E10" w14:textId="77777777" w:rsidR="00915C0D" w:rsidRPr="00915C0D" w:rsidRDefault="00915C0D" w:rsidP="00915C0D">
      <w:pPr>
        <w:jc w:val="center"/>
        <w:rPr>
          <w:rFonts w:ascii="Trajan Pro" w:hAnsi="Trajan Pro"/>
          <w:b/>
          <w:bCs/>
          <w:sz w:val="28"/>
        </w:rPr>
      </w:pPr>
    </w:p>
    <w:p w14:paraId="1B3D6BE8" w14:textId="77777777" w:rsidR="00915C0D" w:rsidRPr="00915C0D" w:rsidRDefault="00915C0D" w:rsidP="00915C0D">
      <w:pPr>
        <w:jc w:val="center"/>
        <w:rPr>
          <w:rFonts w:ascii="Trajan Pro" w:hAnsi="Trajan Pro"/>
          <w:b/>
          <w:bCs/>
          <w:sz w:val="28"/>
        </w:rPr>
      </w:pPr>
    </w:p>
    <w:p w14:paraId="1E6172EF" w14:textId="77777777" w:rsidR="00915C0D" w:rsidRPr="00915C0D" w:rsidRDefault="00915C0D" w:rsidP="00915C0D">
      <w:pPr>
        <w:jc w:val="center"/>
        <w:rPr>
          <w:rFonts w:ascii="Trajan Pro" w:hAnsi="Trajan Pro"/>
          <w:b/>
          <w:bCs/>
          <w:sz w:val="28"/>
        </w:rPr>
      </w:pPr>
    </w:p>
    <w:p w14:paraId="1B82F186" w14:textId="77777777" w:rsidR="00915C0D" w:rsidRPr="00915C0D" w:rsidRDefault="00915C0D" w:rsidP="00915C0D">
      <w:pPr>
        <w:jc w:val="center"/>
        <w:rPr>
          <w:rFonts w:ascii="Times New Roman" w:hAnsi="Times New Roman"/>
          <w:b/>
          <w:bCs/>
          <w:sz w:val="28"/>
        </w:rPr>
      </w:pPr>
      <w:r w:rsidRPr="00915C0D">
        <w:rPr>
          <w:rFonts w:ascii="Times New Roman" w:hAnsi="Times New Roman"/>
          <w:b/>
          <w:bCs/>
          <w:sz w:val="28"/>
        </w:rPr>
        <w:t>GUYANA</w:t>
      </w:r>
    </w:p>
    <w:p w14:paraId="09786C16" w14:textId="77777777" w:rsidR="00915C0D" w:rsidRPr="00915C0D" w:rsidRDefault="00915C0D" w:rsidP="00915C0D">
      <w:pPr>
        <w:jc w:val="center"/>
        <w:rPr>
          <w:rFonts w:ascii="Times New Roman" w:hAnsi="Times New Roman"/>
          <w:b/>
          <w:bCs/>
          <w:sz w:val="28"/>
        </w:rPr>
      </w:pPr>
    </w:p>
    <w:p w14:paraId="6BD749A1" w14:textId="77777777" w:rsidR="00915C0D" w:rsidRPr="00915C0D" w:rsidRDefault="00915C0D">
      <w:pPr>
        <w:jc w:val="center"/>
        <w:rPr>
          <w:rFonts w:ascii="Times New Roman" w:hAnsi="Times New Roman"/>
          <w:b/>
          <w:bCs/>
          <w:sz w:val="28"/>
        </w:rPr>
      </w:pPr>
      <w:r w:rsidRPr="00915C0D">
        <w:rPr>
          <w:rFonts w:ascii="Times New Roman" w:hAnsi="Times New Roman"/>
          <w:b/>
          <w:bCs/>
          <w:sz w:val="28"/>
        </w:rPr>
        <w:t>ENVIRONMENT SECTOR STRENGTHENING – II</w:t>
      </w:r>
    </w:p>
    <w:p w14:paraId="3D3083D3" w14:textId="77777777" w:rsidR="00915C0D" w:rsidRPr="00915C0D" w:rsidRDefault="00915C0D">
      <w:pPr>
        <w:jc w:val="center"/>
        <w:rPr>
          <w:rFonts w:ascii="Times New Roman" w:hAnsi="Times New Roman"/>
          <w:b/>
          <w:bCs/>
          <w:sz w:val="28"/>
        </w:rPr>
      </w:pPr>
    </w:p>
    <w:p w14:paraId="093E0382" w14:textId="77777777" w:rsidR="00915C0D" w:rsidRPr="00915C0D" w:rsidRDefault="00915C0D" w:rsidP="00915C0D">
      <w:pPr>
        <w:jc w:val="center"/>
        <w:rPr>
          <w:rFonts w:ascii="Times New Roman" w:hAnsi="Times New Roman"/>
          <w:b/>
          <w:bCs/>
          <w:sz w:val="28"/>
        </w:rPr>
      </w:pPr>
      <w:r w:rsidRPr="00915C0D">
        <w:rPr>
          <w:rFonts w:ascii="Times New Roman" w:hAnsi="Times New Roman"/>
          <w:b/>
          <w:bCs/>
          <w:sz w:val="28"/>
        </w:rPr>
        <w:t>GY-L1043</w:t>
      </w:r>
    </w:p>
    <w:p w14:paraId="2B193B24" w14:textId="77777777" w:rsidR="00915C0D" w:rsidRPr="00915C0D" w:rsidRDefault="00915C0D" w:rsidP="00915C0D">
      <w:pPr>
        <w:jc w:val="center"/>
        <w:rPr>
          <w:rFonts w:ascii="Times New Roman" w:hAnsi="Times New Roman"/>
          <w:b/>
          <w:bCs/>
          <w:sz w:val="28"/>
        </w:rPr>
      </w:pPr>
    </w:p>
    <w:p w14:paraId="01FE8E4D" w14:textId="77777777" w:rsidR="00915C0D" w:rsidRPr="00915C0D" w:rsidRDefault="00915C0D" w:rsidP="00915C0D">
      <w:pPr>
        <w:jc w:val="center"/>
        <w:rPr>
          <w:rFonts w:ascii="Times New Roman" w:hAnsi="Times New Roman"/>
          <w:b/>
          <w:bCs/>
          <w:sz w:val="28"/>
          <w:szCs w:val="28"/>
        </w:rPr>
      </w:pPr>
    </w:p>
    <w:p w14:paraId="1DA5D89F" w14:textId="77777777" w:rsidR="00915C0D" w:rsidRPr="00915C0D" w:rsidRDefault="00915C0D" w:rsidP="00915C0D">
      <w:pPr>
        <w:jc w:val="center"/>
        <w:rPr>
          <w:rFonts w:ascii="Times New Roman" w:hAnsi="Times New Roman"/>
          <w:b/>
          <w:bCs/>
          <w:sz w:val="28"/>
          <w:szCs w:val="28"/>
        </w:rPr>
      </w:pPr>
    </w:p>
    <w:p w14:paraId="7E740B86" w14:textId="77777777" w:rsidR="00915C0D" w:rsidRPr="00915C0D" w:rsidRDefault="00915C0D" w:rsidP="00915C0D">
      <w:pPr>
        <w:jc w:val="center"/>
        <w:rPr>
          <w:rFonts w:ascii="Times New Roman" w:hAnsi="Times New Roman"/>
          <w:b/>
          <w:bCs/>
          <w:sz w:val="28"/>
          <w:szCs w:val="28"/>
        </w:rPr>
      </w:pPr>
    </w:p>
    <w:p w14:paraId="44EB1AA0" w14:textId="77777777" w:rsidR="00915C0D" w:rsidRPr="00915C0D" w:rsidRDefault="00915C0D" w:rsidP="00915C0D">
      <w:pPr>
        <w:jc w:val="center"/>
        <w:rPr>
          <w:rFonts w:ascii="Times New Roman" w:hAnsi="Times New Roman"/>
          <w:b/>
          <w:bCs/>
          <w:sz w:val="28"/>
          <w:szCs w:val="28"/>
        </w:rPr>
      </w:pPr>
      <w:r w:rsidRPr="00915C0D">
        <w:rPr>
          <w:rFonts w:ascii="Times New Roman" w:hAnsi="Times New Roman"/>
          <w:b/>
          <w:bCs/>
          <w:sz w:val="28"/>
          <w:szCs w:val="28"/>
        </w:rPr>
        <w:t>PBP Economic Evaluation</w:t>
      </w:r>
    </w:p>
    <w:p w14:paraId="0A694B36" w14:textId="77777777" w:rsidR="00915C0D" w:rsidRPr="00915C0D" w:rsidRDefault="00915C0D" w:rsidP="00915C0D">
      <w:pPr>
        <w:jc w:val="center"/>
        <w:rPr>
          <w:rFonts w:ascii="Times New Roman" w:hAnsi="Times New Roman"/>
          <w:b/>
          <w:bCs/>
          <w:sz w:val="28"/>
          <w:szCs w:val="28"/>
        </w:rPr>
      </w:pPr>
    </w:p>
    <w:p w14:paraId="04771D5A" w14:textId="77777777" w:rsidR="00915C0D" w:rsidRPr="00915C0D" w:rsidRDefault="00915C0D" w:rsidP="00915C0D">
      <w:pPr>
        <w:jc w:val="center"/>
        <w:rPr>
          <w:b/>
          <w:bCs/>
          <w:sz w:val="28"/>
          <w:szCs w:val="19"/>
        </w:rPr>
      </w:pPr>
    </w:p>
    <w:p w14:paraId="68ADCB27" w14:textId="77777777" w:rsidR="00915C0D" w:rsidRPr="00915C0D" w:rsidRDefault="00915C0D" w:rsidP="00915C0D">
      <w:pPr>
        <w:jc w:val="center"/>
        <w:rPr>
          <w:b/>
          <w:bCs/>
          <w:sz w:val="28"/>
        </w:rPr>
      </w:pPr>
    </w:p>
    <w:p w14:paraId="6E577F9E" w14:textId="77777777" w:rsidR="00915C0D" w:rsidRPr="00915C0D" w:rsidRDefault="00915C0D" w:rsidP="00915C0D">
      <w:pPr>
        <w:jc w:val="center"/>
        <w:rPr>
          <w:b/>
          <w:bCs/>
          <w:sz w:val="28"/>
        </w:rPr>
      </w:pPr>
    </w:p>
    <w:p w14:paraId="2DC7B22E" w14:textId="77777777" w:rsidR="00915C0D" w:rsidRPr="00915C0D" w:rsidRDefault="00915C0D" w:rsidP="00915C0D">
      <w:pPr>
        <w:jc w:val="center"/>
        <w:rPr>
          <w:b/>
          <w:bCs/>
          <w:sz w:val="28"/>
        </w:rPr>
      </w:pPr>
    </w:p>
    <w:p w14:paraId="610B6A32" w14:textId="77777777" w:rsidR="00915C0D" w:rsidRPr="00915C0D" w:rsidRDefault="00915C0D" w:rsidP="00915C0D">
      <w:pPr>
        <w:jc w:val="center"/>
        <w:rPr>
          <w:b/>
          <w:bCs/>
          <w:sz w:val="28"/>
        </w:rPr>
      </w:pPr>
    </w:p>
    <w:p w14:paraId="0DF5F80D" w14:textId="77777777" w:rsidR="00915C0D" w:rsidRPr="00915C0D" w:rsidRDefault="00915C0D" w:rsidP="00915C0D">
      <w:pPr>
        <w:jc w:val="center"/>
        <w:rPr>
          <w:b/>
          <w:bCs/>
          <w:sz w:val="28"/>
        </w:rPr>
      </w:pPr>
    </w:p>
    <w:p w14:paraId="3039D62D" w14:textId="77777777" w:rsidR="00915C0D" w:rsidRPr="00915C0D" w:rsidRDefault="00915C0D" w:rsidP="00915C0D">
      <w:pPr>
        <w:jc w:val="center"/>
        <w:rPr>
          <w:b/>
          <w:bCs/>
          <w:sz w:val="28"/>
        </w:rPr>
      </w:pPr>
    </w:p>
    <w:p w14:paraId="35DA52D1" w14:textId="77777777" w:rsidR="00915C0D" w:rsidRPr="00915C0D" w:rsidRDefault="00915C0D" w:rsidP="00915C0D">
      <w:pPr>
        <w:jc w:val="center"/>
        <w:rPr>
          <w:b/>
          <w:bCs/>
          <w:sz w:val="28"/>
        </w:rPr>
      </w:pPr>
    </w:p>
    <w:p w14:paraId="13A7E6EF" w14:textId="77777777" w:rsidR="00915C0D" w:rsidRPr="00915C0D" w:rsidRDefault="00915C0D" w:rsidP="00915C0D">
      <w:pPr>
        <w:jc w:val="center"/>
        <w:rPr>
          <w:b/>
          <w:bCs/>
          <w:sz w:val="28"/>
        </w:rPr>
      </w:pPr>
    </w:p>
    <w:p w14:paraId="2B530B7C" w14:textId="77777777" w:rsidR="00915C0D" w:rsidRPr="00915C0D" w:rsidRDefault="00915C0D" w:rsidP="00915C0D">
      <w:pPr>
        <w:jc w:val="center"/>
        <w:rPr>
          <w:b/>
          <w:bCs/>
          <w:sz w:val="28"/>
        </w:rPr>
      </w:pPr>
    </w:p>
    <w:p w14:paraId="2BEC516A" w14:textId="77777777" w:rsidR="00915C0D" w:rsidRPr="00915C0D" w:rsidRDefault="00915C0D" w:rsidP="00915C0D">
      <w:pPr>
        <w:jc w:val="center"/>
        <w:rPr>
          <w:b/>
          <w:bCs/>
          <w:sz w:val="28"/>
        </w:rPr>
      </w:pPr>
    </w:p>
    <w:p w14:paraId="23FC2048" w14:textId="77777777" w:rsidR="00915C0D" w:rsidRPr="00915C0D" w:rsidRDefault="00915C0D" w:rsidP="00915C0D">
      <w:pPr>
        <w:jc w:val="center"/>
        <w:rPr>
          <w:b/>
          <w:bCs/>
          <w:sz w:val="28"/>
        </w:rPr>
      </w:pPr>
    </w:p>
    <w:p w14:paraId="1A6F3CA8" w14:textId="77777777" w:rsidR="00915C0D" w:rsidRPr="00915C0D" w:rsidRDefault="00915C0D" w:rsidP="00915C0D">
      <w:pPr>
        <w:jc w:val="center"/>
        <w:rPr>
          <w:b/>
          <w:bCs/>
          <w:sz w:val="28"/>
        </w:rPr>
      </w:pPr>
    </w:p>
    <w:p w14:paraId="3876ABFC" w14:textId="77777777" w:rsidR="00915C0D" w:rsidRPr="00017F75" w:rsidRDefault="00915C0D" w:rsidP="00915C0D">
      <w:pPr>
        <w:jc w:val="center"/>
        <w:rPr>
          <w:rFonts w:ascii="Times New Roman" w:hAnsi="Times New Roman"/>
          <w:b/>
          <w:bCs/>
          <w:noProof/>
          <w:sz w:val="24"/>
          <w:szCs w:val="24"/>
        </w:rPr>
      </w:pPr>
      <w:r w:rsidRPr="00017F75">
        <w:rPr>
          <w:rFonts w:ascii="Times New Roman" w:hAnsi="Times New Roman"/>
          <w:b/>
          <w:bCs/>
          <w:noProof/>
          <w:sz w:val="24"/>
          <w:szCs w:val="24"/>
        </w:rPr>
        <w:t>Georgetown, October 2014</w:t>
      </w:r>
    </w:p>
    <w:p w14:paraId="3BB0A9CE" w14:textId="77777777" w:rsidR="00915C0D" w:rsidRPr="00017F75" w:rsidRDefault="00915C0D" w:rsidP="00915C0D">
      <w:pPr>
        <w:jc w:val="center"/>
        <w:rPr>
          <w:b/>
          <w:bCs/>
          <w:sz w:val="28"/>
        </w:rPr>
      </w:pPr>
    </w:p>
    <w:p w14:paraId="036F13B7" w14:textId="77777777" w:rsidR="00915C0D" w:rsidRPr="00915C0D" w:rsidRDefault="00915C0D" w:rsidP="00915C0D">
      <w:pPr>
        <w:pStyle w:val="TOCHeading1"/>
        <w:ind w:left="360"/>
        <w:rPr>
          <w:rStyle w:val="Hyperlink"/>
          <w:rFonts w:ascii="Times New Roman" w:hAnsi="Times New Roman"/>
          <w:i w:val="0"/>
          <w:iCs w:val="0"/>
          <w:caps/>
          <w:noProof/>
          <w:color w:val="000000"/>
          <w:sz w:val="20"/>
          <w:szCs w:val="20"/>
          <w:u w:val="none"/>
          <w:lang w:val="pt-BR"/>
        </w:rPr>
      </w:pPr>
      <w:r w:rsidRPr="00017F75">
        <w:rPr>
          <w:rFonts w:eastAsia="Cambria" w:cs="Cambria"/>
          <w:lang w:val="en-US"/>
        </w:rPr>
        <w:br w:type="page"/>
      </w:r>
      <w:r w:rsidRPr="00915C0D">
        <w:rPr>
          <w:rFonts w:ascii="Times New Roman" w:hAnsi="Times New Roman"/>
          <w:i w:val="0"/>
          <w:iCs w:val="0"/>
          <w:caps/>
          <w:color w:val="000000"/>
          <w:sz w:val="20"/>
          <w:szCs w:val="20"/>
        </w:rPr>
        <w:lastRenderedPageBreak/>
        <w:t>TABLE OF CONTENTS</w:t>
      </w:r>
    </w:p>
    <w:p w14:paraId="5753F8B8" w14:textId="77777777" w:rsidR="00915C0D" w:rsidRPr="00915C0D" w:rsidRDefault="00915C0D" w:rsidP="00915C0D">
      <w:pPr>
        <w:rPr>
          <w:lang w:val="pt-BR"/>
        </w:rPr>
      </w:pPr>
    </w:p>
    <w:p w14:paraId="1409EA70" w14:textId="3C4E77B5" w:rsidR="00210434" w:rsidRDefault="00915C0D">
      <w:pPr>
        <w:pStyle w:val="TOC1"/>
        <w:tabs>
          <w:tab w:val="right" w:leader="dot" w:pos="8303"/>
        </w:tabs>
        <w:rPr>
          <w:rFonts w:asciiTheme="minorHAnsi" w:eastAsiaTheme="minorEastAsia" w:hAnsiTheme="minorHAnsi" w:cstheme="minorBidi"/>
          <w:b w:val="0"/>
          <w:bCs w:val="0"/>
          <w:caps w:val="0"/>
          <w:noProof/>
          <w:sz w:val="22"/>
          <w:szCs w:val="22"/>
        </w:rPr>
      </w:pPr>
      <w:r w:rsidRPr="00915C0D">
        <w:rPr>
          <w:b w:val="0"/>
          <w:i/>
          <w:iCs/>
          <w:noProof/>
          <w:lang w:val="es-ES"/>
        </w:rPr>
        <w:fldChar w:fldCharType="begin"/>
      </w:r>
      <w:r w:rsidRPr="00915C0D">
        <w:rPr>
          <w:b w:val="0"/>
          <w:i/>
          <w:iCs/>
          <w:noProof/>
          <w:lang w:val="es-ES"/>
        </w:rPr>
        <w:instrText xml:space="preserve"> TOC \o "1-4" \h \z \t "Título,1" </w:instrText>
      </w:r>
      <w:r w:rsidRPr="00915C0D">
        <w:rPr>
          <w:b w:val="0"/>
          <w:i/>
          <w:iCs/>
          <w:noProof/>
          <w:lang w:val="es-ES"/>
        </w:rPr>
        <w:fldChar w:fldCharType="separate"/>
      </w:r>
      <w:hyperlink w:anchor="_Toc403028378" w:history="1">
        <w:r w:rsidR="00210434" w:rsidRPr="005D5410">
          <w:rPr>
            <w:rStyle w:val="Hyperlink"/>
            <w:noProof/>
          </w:rPr>
          <w:t>Summary</w:t>
        </w:r>
        <w:r w:rsidR="00210434">
          <w:rPr>
            <w:noProof/>
            <w:webHidden/>
          </w:rPr>
          <w:tab/>
        </w:r>
        <w:r w:rsidR="00210434">
          <w:rPr>
            <w:noProof/>
            <w:webHidden/>
          </w:rPr>
          <w:fldChar w:fldCharType="begin"/>
        </w:r>
        <w:r w:rsidR="00210434">
          <w:rPr>
            <w:noProof/>
            <w:webHidden/>
          </w:rPr>
          <w:instrText xml:space="preserve"> PAGEREF _Toc403028378 \h </w:instrText>
        </w:r>
        <w:r w:rsidR="00210434">
          <w:rPr>
            <w:noProof/>
            <w:webHidden/>
          </w:rPr>
        </w:r>
        <w:r w:rsidR="00210434">
          <w:rPr>
            <w:noProof/>
            <w:webHidden/>
          </w:rPr>
          <w:fldChar w:fldCharType="separate"/>
        </w:r>
        <w:r w:rsidR="00210434">
          <w:rPr>
            <w:noProof/>
            <w:webHidden/>
          </w:rPr>
          <w:t>4</w:t>
        </w:r>
        <w:r w:rsidR="00210434">
          <w:rPr>
            <w:noProof/>
            <w:webHidden/>
          </w:rPr>
          <w:fldChar w:fldCharType="end"/>
        </w:r>
      </w:hyperlink>
    </w:p>
    <w:p w14:paraId="5B73940A" w14:textId="29531C3E" w:rsidR="00210434" w:rsidRDefault="00017F75">
      <w:pPr>
        <w:pStyle w:val="TOC1"/>
        <w:tabs>
          <w:tab w:val="left" w:pos="400"/>
          <w:tab w:val="right" w:leader="dot" w:pos="8303"/>
        </w:tabs>
        <w:rPr>
          <w:rFonts w:asciiTheme="minorHAnsi" w:eastAsiaTheme="minorEastAsia" w:hAnsiTheme="minorHAnsi" w:cstheme="minorBidi"/>
          <w:b w:val="0"/>
          <w:bCs w:val="0"/>
          <w:caps w:val="0"/>
          <w:noProof/>
          <w:sz w:val="22"/>
          <w:szCs w:val="22"/>
        </w:rPr>
      </w:pPr>
      <w:hyperlink w:anchor="_Toc403028379" w:history="1">
        <w:r w:rsidR="00210434" w:rsidRPr="005D5410">
          <w:rPr>
            <w:rStyle w:val="Hyperlink"/>
            <w:noProof/>
          </w:rPr>
          <w:t>1</w:t>
        </w:r>
        <w:r w:rsidR="00210434">
          <w:rPr>
            <w:rFonts w:asciiTheme="minorHAnsi" w:eastAsiaTheme="minorEastAsia" w:hAnsiTheme="minorHAnsi" w:cstheme="minorBidi"/>
            <w:b w:val="0"/>
            <w:bCs w:val="0"/>
            <w:caps w:val="0"/>
            <w:noProof/>
            <w:sz w:val="22"/>
            <w:szCs w:val="22"/>
          </w:rPr>
          <w:tab/>
        </w:r>
        <w:r w:rsidR="00210434" w:rsidRPr="005D5410">
          <w:rPr>
            <w:rStyle w:val="Hyperlink"/>
            <w:noProof/>
          </w:rPr>
          <w:t>Introduction.</w:t>
        </w:r>
        <w:r w:rsidR="00210434">
          <w:rPr>
            <w:noProof/>
            <w:webHidden/>
          </w:rPr>
          <w:tab/>
        </w:r>
        <w:r w:rsidR="00210434">
          <w:rPr>
            <w:noProof/>
            <w:webHidden/>
          </w:rPr>
          <w:fldChar w:fldCharType="begin"/>
        </w:r>
        <w:r w:rsidR="00210434">
          <w:rPr>
            <w:noProof/>
            <w:webHidden/>
          </w:rPr>
          <w:instrText xml:space="preserve"> PAGEREF _Toc403028379 \h </w:instrText>
        </w:r>
        <w:r w:rsidR="00210434">
          <w:rPr>
            <w:noProof/>
            <w:webHidden/>
          </w:rPr>
        </w:r>
        <w:r w:rsidR="00210434">
          <w:rPr>
            <w:noProof/>
            <w:webHidden/>
          </w:rPr>
          <w:fldChar w:fldCharType="separate"/>
        </w:r>
        <w:r w:rsidR="00210434">
          <w:rPr>
            <w:noProof/>
            <w:webHidden/>
          </w:rPr>
          <w:t>5</w:t>
        </w:r>
        <w:r w:rsidR="00210434">
          <w:rPr>
            <w:noProof/>
            <w:webHidden/>
          </w:rPr>
          <w:fldChar w:fldCharType="end"/>
        </w:r>
      </w:hyperlink>
    </w:p>
    <w:p w14:paraId="7C033D2A" w14:textId="746F46EB" w:rsidR="00210434" w:rsidRDefault="00017F75">
      <w:pPr>
        <w:pStyle w:val="TOC3"/>
        <w:rPr>
          <w:rFonts w:asciiTheme="minorHAnsi" w:eastAsiaTheme="minorEastAsia" w:hAnsiTheme="minorHAnsi" w:cstheme="minorBidi"/>
          <w:i w:val="0"/>
          <w:iCs w:val="0"/>
          <w:sz w:val="22"/>
          <w:szCs w:val="22"/>
          <w:lang w:val="en-US"/>
        </w:rPr>
      </w:pPr>
      <w:hyperlink w:anchor="_Toc403028380" w:history="1">
        <w:r w:rsidR="00210434" w:rsidRPr="005D5410">
          <w:rPr>
            <w:rStyle w:val="Hyperlink"/>
          </w:rPr>
          <w:t>Program Framework and Progress.</w:t>
        </w:r>
        <w:r w:rsidR="00210434">
          <w:rPr>
            <w:webHidden/>
          </w:rPr>
          <w:tab/>
        </w:r>
        <w:r w:rsidR="00210434">
          <w:rPr>
            <w:webHidden/>
          </w:rPr>
          <w:fldChar w:fldCharType="begin"/>
        </w:r>
        <w:r w:rsidR="00210434">
          <w:rPr>
            <w:webHidden/>
          </w:rPr>
          <w:instrText xml:space="preserve"> PAGEREF _Toc403028380 \h </w:instrText>
        </w:r>
        <w:r w:rsidR="00210434">
          <w:rPr>
            <w:webHidden/>
          </w:rPr>
        </w:r>
        <w:r w:rsidR="00210434">
          <w:rPr>
            <w:webHidden/>
          </w:rPr>
          <w:fldChar w:fldCharType="separate"/>
        </w:r>
        <w:r w:rsidR="00210434">
          <w:rPr>
            <w:webHidden/>
          </w:rPr>
          <w:t>5</w:t>
        </w:r>
        <w:r w:rsidR="00210434">
          <w:rPr>
            <w:webHidden/>
          </w:rPr>
          <w:fldChar w:fldCharType="end"/>
        </w:r>
      </w:hyperlink>
    </w:p>
    <w:p w14:paraId="234E65ED" w14:textId="6C00A1C0" w:rsidR="00210434" w:rsidRDefault="00017F75">
      <w:pPr>
        <w:pStyle w:val="TOC1"/>
        <w:tabs>
          <w:tab w:val="left" w:pos="400"/>
          <w:tab w:val="right" w:leader="dot" w:pos="8303"/>
        </w:tabs>
        <w:rPr>
          <w:rFonts w:asciiTheme="minorHAnsi" w:eastAsiaTheme="minorEastAsia" w:hAnsiTheme="minorHAnsi" w:cstheme="minorBidi"/>
          <w:b w:val="0"/>
          <w:bCs w:val="0"/>
          <w:caps w:val="0"/>
          <w:noProof/>
          <w:sz w:val="22"/>
          <w:szCs w:val="22"/>
        </w:rPr>
      </w:pPr>
      <w:hyperlink w:anchor="_Toc403028381" w:history="1">
        <w:r w:rsidR="00210434" w:rsidRPr="005D5410">
          <w:rPr>
            <w:rStyle w:val="Hyperlink"/>
            <w:noProof/>
          </w:rPr>
          <w:t>2</w:t>
        </w:r>
        <w:r w:rsidR="00210434">
          <w:rPr>
            <w:rFonts w:asciiTheme="minorHAnsi" w:eastAsiaTheme="minorEastAsia" w:hAnsiTheme="minorHAnsi" w:cstheme="minorBidi"/>
            <w:b w:val="0"/>
            <w:bCs w:val="0"/>
            <w:caps w:val="0"/>
            <w:noProof/>
            <w:sz w:val="22"/>
            <w:szCs w:val="22"/>
          </w:rPr>
          <w:tab/>
        </w:r>
        <w:r w:rsidR="00210434" w:rsidRPr="005D5410">
          <w:rPr>
            <w:rStyle w:val="Hyperlink"/>
            <w:noProof/>
          </w:rPr>
          <w:t>Evaluation assumptions and methodology</w:t>
        </w:r>
        <w:r w:rsidR="00210434">
          <w:rPr>
            <w:noProof/>
            <w:webHidden/>
          </w:rPr>
          <w:tab/>
        </w:r>
        <w:r w:rsidR="00210434">
          <w:rPr>
            <w:noProof/>
            <w:webHidden/>
          </w:rPr>
          <w:fldChar w:fldCharType="begin"/>
        </w:r>
        <w:r w:rsidR="00210434">
          <w:rPr>
            <w:noProof/>
            <w:webHidden/>
          </w:rPr>
          <w:instrText xml:space="preserve"> PAGEREF _Toc403028381 \h </w:instrText>
        </w:r>
        <w:r w:rsidR="00210434">
          <w:rPr>
            <w:noProof/>
            <w:webHidden/>
          </w:rPr>
        </w:r>
        <w:r w:rsidR="00210434">
          <w:rPr>
            <w:noProof/>
            <w:webHidden/>
          </w:rPr>
          <w:fldChar w:fldCharType="separate"/>
        </w:r>
        <w:r w:rsidR="00210434">
          <w:rPr>
            <w:noProof/>
            <w:webHidden/>
          </w:rPr>
          <w:t>6</w:t>
        </w:r>
        <w:r w:rsidR="00210434">
          <w:rPr>
            <w:noProof/>
            <w:webHidden/>
          </w:rPr>
          <w:fldChar w:fldCharType="end"/>
        </w:r>
      </w:hyperlink>
    </w:p>
    <w:p w14:paraId="11A8FDB5" w14:textId="6F4A30AB" w:rsidR="00210434" w:rsidRDefault="00017F75">
      <w:pPr>
        <w:pStyle w:val="TOC3"/>
        <w:rPr>
          <w:rFonts w:asciiTheme="minorHAnsi" w:eastAsiaTheme="minorEastAsia" w:hAnsiTheme="minorHAnsi" w:cstheme="minorBidi"/>
          <w:i w:val="0"/>
          <w:iCs w:val="0"/>
          <w:sz w:val="22"/>
          <w:szCs w:val="22"/>
          <w:lang w:val="en-US"/>
        </w:rPr>
      </w:pPr>
      <w:hyperlink w:anchor="_Toc403028382" w:history="1">
        <w:r w:rsidR="00210434" w:rsidRPr="005D5410">
          <w:rPr>
            <w:rStyle w:val="Hyperlink"/>
          </w:rPr>
          <w:t>Conceptual Framework.</w:t>
        </w:r>
        <w:r w:rsidR="00210434">
          <w:rPr>
            <w:webHidden/>
          </w:rPr>
          <w:tab/>
        </w:r>
        <w:r w:rsidR="00210434">
          <w:rPr>
            <w:webHidden/>
          </w:rPr>
          <w:fldChar w:fldCharType="begin"/>
        </w:r>
        <w:r w:rsidR="00210434">
          <w:rPr>
            <w:webHidden/>
          </w:rPr>
          <w:instrText xml:space="preserve"> PAGEREF _Toc403028382 \h </w:instrText>
        </w:r>
        <w:r w:rsidR="00210434">
          <w:rPr>
            <w:webHidden/>
          </w:rPr>
        </w:r>
        <w:r w:rsidR="00210434">
          <w:rPr>
            <w:webHidden/>
          </w:rPr>
          <w:fldChar w:fldCharType="separate"/>
        </w:r>
        <w:r w:rsidR="00210434">
          <w:rPr>
            <w:webHidden/>
          </w:rPr>
          <w:t>6</w:t>
        </w:r>
        <w:r w:rsidR="00210434">
          <w:rPr>
            <w:webHidden/>
          </w:rPr>
          <w:fldChar w:fldCharType="end"/>
        </w:r>
      </w:hyperlink>
    </w:p>
    <w:p w14:paraId="1B19BC9B" w14:textId="0C39FBF2" w:rsidR="00210434" w:rsidRDefault="00017F75">
      <w:pPr>
        <w:pStyle w:val="TOC3"/>
        <w:rPr>
          <w:rFonts w:asciiTheme="minorHAnsi" w:eastAsiaTheme="minorEastAsia" w:hAnsiTheme="minorHAnsi" w:cstheme="minorBidi"/>
          <w:i w:val="0"/>
          <w:iCs w:val="0"/>
          <w:sz w:val="22"/>
          <w:szCs w:val="22"/>
          <w:lang w:val="en-US"/>
        </w:rPr>
      </w:pPr>
      <w:hyperlink w:anchor="_Toc403028383" w:history="1">
        <w:r w:rsidR="00210434" w:rsidRPr="005D5410">
          <w:rPr>
            <w:rStyle w:val="Hyperlink"/>
          </w:rPr>
          <w:t>Programmatic Policy-Based (PBP) Loan Evaluation Criteria.</w:t>
        </w:r>
        <w:r w:rsidR="00210434">
          <w:rPr>
            <w:webHidden/>
          </w:rPr>
          <w:tab/>
        </w:r>
        <w:r w:rsidR="00210434">
          <w:rPr>
            <w:webHidden/>
          </w:rPr>
          <w:fldChar w:fldCharType="begin"/>
        </w:r>
        <w:r w:rsidR="00210434">
          <w:rPr>
            <w:webHidden/>
          </w:rPr>
          <w:instrText xml:space="preserve"> PAGEREF _Toc403028383 \h </w:instrText>
        </w:r>
        <w:r w:rsidR="00210434">
          <w:rPr>
            <w:webHidden/>
          </w:rPr>
        </w:r>
        <w:r w:rsidR="00210434">
          <w:rPr>
            <w:webHidden/>
          </w:rPr>
          <w:fldChar w:fldCharType="separate"/>
        </w:r>
        <w:r w:rsidR="00210434">
          <w:rPr>
            <w:webHidden/>
          </w:rPr>
          <w:t>7</w:t>
        </w:r>
        <w:r w:rsidR="00210434">
          <w:rPr>
            <w:webHidden/>
          </w:rPr>
          <w:fldChar w:fldCharType="end"/>
        </w:r>
      </w:hyperlink>
    </w:p>
    <w:p w14:paraId="45655475" w14:textId="27833514" w:rsidR="00210434" w:rsidRDefault="00017F75">
      <w:pPr>
        <w:pStyle w:val="TOC3"/>
        <w:rPr>
          <w:rFonts w:asciiTheme="minorHAnsi" w:eastAsiaTheme="minorEastAsia" w:hAnsiTheme="minorHAnsi" w:cstheme="minorBidi"/>
          <w:i w:val="0"/>
          <w:iCs w:val="0"/>
          <w:sz w:val="22"/>
          <w:szCs w:val="22"/>
          <w:lang w:val="en-US"/>
        </w:rPr>
      </w:pPr>
      <w:hyperlink w:anchor="_Toc403028384" w:history="1">
        <w:r w:rsidR="00210434" w:rsidRPr="005D5410">
          <w:rPr>
            <w:rStyle w:val="Hyperlink"/>
          </w:rPr>
          <w:t>Strategic relationship of the Programmatic Loan</w:t>
        </w:r>
        <w:r w:rsidR="00210434">
          <w:rPr>
            <w:webHidden/>
          </w:rPr>
          <w:tab/>
        </w:r>
        <w:r w:rsidR="00210434">
          <w:rPr>
            <w:webHidden/>
          </w:rPr>
          <w:fldChar w:fldCharType="begin"/>
        </w:r>
        <w:r w:rsidR="00210434">
          <w:rPr>
            <w:webHidden/>
          </w:rPr>
          <w:instrText xml:space="preserve"> PAGEREF _Toc403028384 \h </w:instrText>
        </w:r>
        <w:r w:rsidR="00210434">
          <w:rPr>
            <w:webHidden/>
          </w:rPr>
        </w:r>
        <w:r w:rsidR="00210434">
          <w:rPr>
            <w:webHidden/>
          </w:rPr>
          <w:fldChar w:fldCharType="separate"/>
        </w:r>
        <w:r w:rsidR="00210434">
          <w:rPr>
            <w:webHidden/>
          </w:rPr>
          <w:t>8</w:t>
        </w:r>
        <w:r w:rsidR="00210434">
          <w:rPr>
            <w:webHidden/>
          </w:rPr>
          <w:fldChar w:fldCharType="end"/>
        </w:r>
      </w:hyperlink>
    </w:p>
    <w:p w14:paraId="5B65F7A6" w14:textId="6F9802A6" w:rsidR="00210434" w:rsidRDefault="00017F75">
      <w:pPr>
        <w:pStyle w:val="TOC3"/>
        <w:rPr>
          <w:rFonts w:asciiTheme="minorHAnsi" w:eastAsiaTheme="minorEastAsia" w:hAnsiTheme="minorHAnsi" w:cstheme="minorBidi"/>
          <w:i w:val="0"/>
          <w:iCs w:val="0"/>
          <w:sz w:val="22"/>
          <w:szCs w:val="22"/>
          <w:lang w:val="en-US"/>
        </w:rPr>
      </w:pPr>
      <w:hyperlink w:anchor="_Toc403028385" w:history="1">
        <w:r w:rsidR="00210434" w:rsidRPr="005D5410">
          <w:rPr>
            <w:rStyle w:val="Hyperlink"/>
          </w:rPr>
          <w:t>A look at the components.</w:t>
        </w:r>
        <w:r w:rsidR="00210434">
          <w:rPr>
            <w:webHidden/>
          </w:rPr>
          <w:tab/>
        </w:r>
        <w:r w:rsidR="00210434">
          <w:rPr>
            <w:webHidden/>
          </w:rPr>
          <w:fldChar w:fldCharType="begin"/>
        </w:r>
        <w:r w:rsidR="00210434">
          <w:rPr>
            <w:webHidden/>
          </w:rPr>
          <w:instrText xml:space="preserve"> PAGEREF _Toc403028385 \h </w:instrText>
        </w:r>
        <w:r w:rsidR="00210434">
          <w:rPr>
            <w:webHidden/>
          </w:rPr>
        </w:r>
        <w:r w:rsidR="00210434">
          <w:rPr>
            <w:webHidden/>
          </w:rPr>
          <w:fldChar w:fldCharType="separate"/>
        </w:r>
        <w:r w:rsidR="00210434">
          <w:rPr>
            <w:webHidden/>
          </w:rPr>
          <w:t>10</w:t>
        </w:r>
        <w:r w:rsidR="00210434">
          <w:rPr>
            <w:webHidden/>
          </w:rPr>
          <w:fldChar w:fldCharType="end"/>
        </w:r>
      </w:hyperlink>
    </w:p>
    <w:p w14:paraId="71DA91C3" w14:textId="35AA97F6" w:rsidR="00210434" w:rsidRDefault="00017F75">
      <w:pPr>
        <w:pStyle w:val="TOC3"/>
        <w:rPr>
          <w:rFonts w:asciiTheme="minorHAnsi" w:eastAsiaTheme="minorEastAsia" w:hAnsiTheme="minorHAnsi" w:cstheme="minorBidi"/>
          <w:i w:val="0"/>
          <w:iCs w:val="0"/>
          <w:sz w:val="22"/>
          <w:szCs w:val="22"/>
          <w:lang w:val="en-US"/>
        </w:rPr>
      </w:pPr>
      <w:hyperlink w:anchor="_Toc403028386" w:history="1">
        <w:r w:rsidR="00210434" w:rsidRPr="005D5410">
          <w:rPr>
            <w:rStyle w:val="Hyperlink"/>
          </w:rPr>
          <w:t>General premises of the analysis.</w:t>
        </w:r>
        <w:r w:rsidR="00210434">
          <w:rPr>
            <w:webHidden/>
          </w:rPr>
          <w:tab/>
        </w:r>
        <w:r w:rsidR="00210434">
          <w:rPr>
            <w:webHidden/>
          </w:rPr>
          <w:fldChar w:fldCharType="begin"/>
        </w:r>
        <w:r w:rsidR="00210434">
          <w:rPr>
            <w:webHidden/>
          </w:rPr>
          <w:instrText xml:space="preserve"> PAGEREF _Toc403028386 \h </w:instrText>
        </w:r>
        <w:r w:rsidR="00210434">
          <w:rPr>
            <w:webHidden/>
          </w:rPr>
        </w:r>
        <w:r w:rsidR="00210434">
          <w:rPr>
            <w:webHidden/>
          </w:rPr>
          <w:fldChar w:fldCharType="separate"/>
        </w:r>
        <w:r w:rsidR="00210434">
          <w:rPr>
            <w:webHidden/>
          </w:rPr>
          <w:t>11</w:t>
        </w:r>
        <w:r w:rsidR="00210434">
          <w:rPr>
            <w:webHidden/>
          </w:rPr>
          <w:fldChar w:fldCharType="end"/>
        </w:r>
      </w:hyperlink>
    </w:p>
    <w:p w14:paraId="6916ECB5" w14:textId="6C94835E" w:rsidR="00210434" w:rsidRDefault="00017F75">
      <w:pPr>
        <w:pStyle w:val="TOC3"/>
        <w:rPr>
          <w:rFonts w:asciiTheme="minorHAnsi" w:eastAsiaTheme="minorEastAsia" w:hAnsiTheme="minorHAnsi" w:cstheme="minorBidi"/>
          <w:i w:val="0"/>
          <w:iCs w:val="0"/>
          <w:sz w:val="22"/>
          <w:szCs w:val="22"/>
          <w:lang w:val="en-US"/>
        </w:rPr>
      </w:pPr>
      <w:hyperlink w:anchor="_Toc403028387" w:history="1">
        <w:r w:rsidR="00210434" w:rsidRPr="005D5410">
          <w:rPr>
            <w:rStyle w:val="Hyperlink"/>
          </w:rPr>
          <w:t>Relationship between identified benefits and evaluation indicators.</w:t>
        </w:r>
        <w:r w:rsidR="00210434">
          <w:rPr>
            <w:webHidden/>
          </w:rPr>
          <w:tab/>
        </w:r>
        <w:r w:rsidR="00210434">
          <w:rPr>
            <w:webHidden/>
          </w:rPr>
          <w:fldChar w:fldCharType="begin"/>
        </w:r>
        <w:r w:rsidR="00210434">
          <w:rPr>
            <w:webHidden/>
          </w:rPr>
          <w:instrText xml:space="preserve"> PAGEREF _Toc403028387 \h </w:instrText>
        </w:r>
        <w:r w:rsidR="00210434">
          <w:rPr>
            <w:webHidden/>
          </w:rPr>
        </w:r>
        <w:r w:rsidR="00210434">
          <w:rPr>
            <w:webHidden/>
          </w:rPr>
          <w:fldChar w:fldCharType="separate"/>
        </w:r>
        <w:r w:rsidR="00210434">
          <w:rPr>
            <w:webHidden/>
          </w:rPr>
          <w:t>12</w:t>
        </w:r>
        <w:r w:rsidR="00210434">
          <w:rPr>
            <w:webHidden/>
          </w:rPr>
          <w:fldChar w:fldCharType="end"/>
        </w:r>
      </w:hyperlink>
    </w:p>
    <w:p w14:paraId="2F83DA29" w14:textId="1880A689" w:rsidR="00210434" w:rsidRDefault="00017F75">
      <w:pPr>
        <w:pStyle w:val="TOC1"/>
        <w:tabs>
          <w:tab w:val="left" w:pos="400"/>
          <w:tab w:val="right" w:leader="dot" w:pos="8303"/>
        </w:tabs>
        <w:rPr>
          <w:rFonts w:asciiTheme="minorHAnsi" w:eastAsiaTheme="minorEastAsia" w:hAnsiTheme="minorHAnsi" w:cstheme="minorBidi"/>
          <w:b w:val="0"/>
          <w:bCs w:val="0"/>
          <w:caps w:val="0"/>
          <w:noProof/>
          <w:sz w:val="22"/>
          <w:szCs w:val="22"/>
        </w:rPr>
      </w:pPr>
      <w:hyperlink w:anchor="_Toc403028388" w:history="1">
        <w:r w:rsidR="00210434" w:rsidRPr="005D5410">
          <w:rPr>
            <w:rStyle w:val="Hyperlink"/>
            <w:noProof/>
          </w:rPr>
          <w:t>3</w:t>
        </w:r>
        <w:r w:rsidR="00210434">
          <w:rPr>
            <w:rFonts w:asciiTheme="minorHAnsi" w:eastAsiaTheme="minorEastAsia" w:hAnsiTheme="minorHAnsi" w:cstheme="minorBidi"/>
            <w:b w:val="0"/>
            <w:bCs w:val="0"/>
            <w:caps w:val="0"/>
            <w:noProof/>
            <w:sz w:val="22"/>
            <w:szCs w:val="22"/>
          </w:rPr>
          <w:tab/>
        </w:r>
        <w:r w:rsidR="00210434" w:rsidRPr="005D5410">
          <w:rPr>
            <w:rStyle w:val="Hyperlink"/>
            <w:noProof/>
          </w:rPr>
          <w:t>Program Evaluation</w:t>
        </w:r>
        <w:r w:rsidR="00210434">
          <w:rPr>
            <w:noProof/>
            <w:webHidden/>
          </w:rPr>
          <w:tab/>
        </w:r>
        <w:r w:rsidR="00210434">
          <w:rPr>
            <w:noProof/>
            <w:webHidden/>
          </w:rPr>
          <w:fldChar w:fldCharType="begin"/>
        </w:r>
        <w:r w:rsidR="00210434">
          <w:rPr>
            <w:noProof/>
            <w:webHidden/>
          </w:rPr>
          <w:instrText xml:space="preserve"> PAGEREF _Toc403028388 \h </w:instrText>
        </w:r>
        <w:r w:rsidR="00210434">
          <w:rPr>
            <w:noProof/>
            <w:webHidden/>
          </w:rPr>
        </w:r>
        <w:r w:rsidR="00210434">
          <w:rPr>
            <w:noProof/>
            <w:webHidden/>
          </w:rPr>
          <w:fldChar w:fldCharType="separate"/>
        </w:r>
        <w:r w:rsidR="00210434">
          <w:rPr>
            <w:noProof/>
            <w:webHidden/>
          </w:rPr>
          <w:t>12</w:t>
        </w:r>
        <w:r w:rsidR="00210434">
          <w:rPr>
            <w:noProof/>
            <w:webHidden/>
          </w:rPr>
          <w:fldChar w:fldCharType="end"/>
        </w:r>
      </w:hyperlink>
    </w:p>
    <w:p w14:paraId="70551AC7" w14:textId="1A819323" w:rsidR="00210434" w:rsidRDefault="00017F75">
      <w:pPr>
        <w:pStyle w:val="TOC2"/>
        <w:rPr>
          <w:rFonts w:asciiTheme="minorHAnsi" w:eastAsiaTheme="minorEastAsia" w:hAnsiTheme="minorHAnsi" w:cstheme="minorBidi"/>
          <w:b w:val="0"/>
          <w:smallCaps w:val="0"/>
          <w:sz w:val="22"/>
          <w:szCs w:val="22"/>
        </w:rPr>
      </w:pPr>
      <w:hyperlink w:anchor="_Toc403028389" w:history="1">
        <w:r w:rsidR="00210434" w:rsidRPr="005D5410">
          <w:rPr>
            <w:rStyle w:val="Hyperlink"/>
          </w:rPr>
          <w:t>Component 1. Macroeconomic Stability</w:t>
        </w:r>
        <w:r w:rsidR="00210434">
          <w:rPr>
            <w:webHidden/>
          </w:rPr>
          <w:tab/>
        </w:r>
        <w:r w:rsidR="00210434">
          <w:rPr>
            <w:webHidden/>
          </w:rPr>
          <w:fldChar w:fldCharType="begin"/>
        </w:r>
        <w:r w:rsidR="00210434">
          <w:rPr>
            <w:webHidden/>
          </w:rPr>
          <w:instrText xml:space="preserve"> PAGEREF _Toc403028389 \h </w:instrText>
        </w:r>
        <w:r w:rsidR="00210434">
          <w:rPr>
            <w:webHidden/>
          </w:rPr>
        </w:r>
        <w:r w:rsidR="00210434">
          <w:rPr>
            <w:webHidden/>
          </w:rPr>
          <w:fldChar w:fldCharType="separate"/>
        </w:r>
        <w:r w:rsidR="00210434">
          <w:rPr>
            <w:webHidden/>
          </w:rPr>
          <w:t>12</w:t>
        </w:r>
        <w:r w:rsidR="00210434">
          <w:rPr>
            <w:webHidden/>
          </w:rPr>
          <w:fldChar w:fldCharType="end"/>
        </w:r>
      </w:hyperlink>
    </w:p>
    <w:p w14:paraId="0BF133DD" w14:textId="77F6767C" w:rsidR="00210434" w:rsidRDefault="00017F75">
      <w:pPr>
        <w:pStyle w:val="TOC3"/>
        <w:rPr>
          <w:rFonts w:asciiTheme="minorHAnsi" w:eastAsiaTheme="minorEastAsia" w:hAnsiTheme="minorHAnsi" w:cstheme="minorBidi"/>
          <w:i w:val="0"/>
          <w:iCs w:val="0"/>
          <w:sz w:val="22"/>
          <w:szCs w:val="22"/>
          <w:lang w:val="en-US"/>
        </w:rPr>
      </w:pPr>
      <w:hyperlink w:anchor="_Toc403028390" w:history="1">
        <w:r w:rsidR="00210434" w:rsidRPr="005D5410">
          <w:rPr>
            <w:rStyle w:val="Hyperlink"/>
          </w:rPr>
          <w:t>Economic Profile – Main figures.</w:t>
        </w:r>
        <w:r w:rsidR="00210434">
          <w:rPr>
            <w:webHidden/>
          </w:rPr>
          <w:tab/>
        </w:r>
        <w:r w:rsidR="00210434">
          <w:rPr>
            <w:webHidden/>
          </w:rPr>
          <w:fldChar w:fldCharType="begin"/>
        </w:r>
        <w:r w:rsidR="00210434">
          <w:rPr>
            <w:webHidden/>
          </w:rPr>
          <w:instrText xml:space="preserve"> PAGEREF _Toc403028390 \h </w:instrText>
        </w:r>
        <w:r w:rsidR="00210434">
          <w:rPr>
            <w:webHidden/>
          </w:rPr>
        </w:r>
        <w:r w:rsidR="00210434">
          <w:rPr>
            <w:webHidden/>
          </w:rPr>
          <w:fldChar w:fldCharType="separate"/>
        </w:r>
        <w:r w:rsidR="00210434">
          <w:rPr>
            <w:webHidden/>
          </w:rPr>
          <w:t>12</w:t>
        </w:r>
        <w:r w:rsidR="00210434">
          <w:rPr>
            <w:webHidden/>
          </w:rPr>
          <w:fldChar w:fldCharType="end"/>
        </w:r>
      </w:hyperlink>
    </w:p>
    <w:p w14:paraId="3F5F6A98" w14:textId="452C6BE8" w:rsidR="00210434" w:rsidRDefault="00017F75">
      <w:pPr>
        <w:pStyle w:val="TOC3"/>
        <w:rPr>
          <w:rFonts w:asciiTheme="minorHAnsi" w:eastAsiaTheme="minorEastAsia" w:hAnsiTheme="minorHAnsi" w:cstheme="minorBidi"/>
          <w:i w:val="0"/>
          <w:iCs w:val="0"/>
          <w:sz w:val="22"/>
          <w:szCs w:val="22"/>
          <w:lang w:val="en-US"/>
        </w:rPr>
      </w:pPr>
      <w:hyperlink w:anchor="_Toc403028391" w:history="1">
        <w:r w:rsidR="00210434" w:rsidRPr="005D5410">
          <w:rPr>
            <w:rStyle w:val="Hyperlink"/>
          </w:rPr>
          <w:t>Benefits of stability on the economy / Financial Support</w:t>
        </w:r>
        <w:r w:rsidR="00210434">
          <w:rPr>
            <w:webHidden/>
          </w:rPr>
          <w:tab/>
        </w:r>
        <w:r w:rsidR="00210434">
          <w:rPr>
            <w:webHidden/>
          </w:rPr>
          <w:fldChar w:fldCharType="begin"/>
        </w:r>
        <w:r w:rsidR="00210434">
          <w:rPr>
            <w:webHidden/>
          </w:rPr>
          <w:instrText xml:space="preserve"> PAGEREF _Toc403028391 \h </w:instrText>
        </w:r>
        <w:r w:rsidR="00210434">
          <w:rPr>
            <w:webHidden/>
          </w:rPr>
        </w:r>
        <w:r w:rsidR="00210434">
          <w:rPr>
            <w:webHidden/>
          </w:rPr>
          <w:fldChar w:fldCharType="separate"/>
        </w:r>
        <w:r w:rsidR="00210434">
          <w:rPr>
            <w:webHidden/>
          </w:rPr>
          <w:t>16</w:t>
        </w:r>
        <w:r w:rsidR="00210434">
          <w:rPr>
            <w:webHidden/>
          </w:rPr>
          <w:fldChar w:fldCharType="end"/>
        </w:r>
      </w:hyperlink>
    </w:p>
    <w:p w14:paraId="4A8923BB" w14:textId="54347CAB" w:rsidR="00210434" w:rsidRDefault="00017F75">
      <w:pPr>
        <w:pStyle w:val="TOC2"/>
        <w:rPr>
          <w:rFonts w:asciiTheme="minorHAnsi" w:eastAsiaTheme="minorEastAsia" w:hAnsiTheme="minorHAnsi" w:cstheme="minorBidi"/>
          <w:b w:val="0"/>
          <w:smallCaps w:val="0"/>
          <w:sz w:val="22"/>
          <w:szCs w:val="22"/>
        </w:rPr>
      </w:pPr>
      <w:hyperlink w:anchor="_Toc403028392" w:history="1">
        <w:r w:rsidR="00210434" w:rsidRPr="005D5410">
          <w:rPr>
            <w:rStyle w:val="Hyperlink"/>
          </w:rPr>
          <w:t>Component 2. Regulatory Framework</w:t>
        </w:r>
        <w:r w:rsidR="00210434">
          <w:rPr>
            <w:webHidden/>
          </w:rPr>
          <w:tab/>
        </w:r>
        <w:r w:rsidR="00210434">
          <w:rPr>
            <w:webHidden/>
          </w:rPr>
          <w:fldChar w:fldCharType="begin"/>
        </w:r>
        <w:r w:rsidR="00210434">
          <w:rPr>
            <w:webHidden/>
          </w:rPr>
          <w:instrText xml:space="preserve"> PAGEREF _Toc403028392 \h </w:instrText>
        </w:r>
        <w:r w:rsidR="00210434">
          <w:rPr>
            <w:webHidden/>
          </w:rPr>
        </w:r>
        <w:r w:rsidR="00210434">
          <w:rPr>
            <w:webHidden/>
          </w:rPr>
          <w:fldChar w:fldCharType="separate"/>
        </w:r>
        <w:r w:rsidR="00210434">
          <w:rPr>
            <w:webHidden/>
          </w:rPr>
          <w:t>16</w:t>
        </w:r>
        <w:r w:rsidR="00210434">
          <w:rPr>
            <w:webHidden/>
          </w:rPr>
          <w:fldChar w:fldCharType="end"/>
        </w:r>
      </w:hyperlink>
    </w:p>
    <w:p w14:paraId="0A2CA6F6" w14:textId="7C9FA0B5" w:rsidR="00210434" w:rsidRDefault="00017F75">
      <w:pPr>
        <w:pStyle w:val="TOC3"/>
        <w:rPr>
          <w:rFonts w:asciiTheme="minorHAnsi" w:eastAsiaTheme="minorEastAsia" w:hAnsiTheme="minorHAnsi" w:cstheme="minorBidi"/>
          <w:i w:val="0"/>
          <w:iCs w:val="0"/>
          <w:sz w:val="22"/>
          <w:szCs w:val="22"/>
          <w:lang w:val="en-US"/>
        </w:rPr>
      </w:pPr>
      <w:hyperlink w:anchor="_Toc403028393" w:history="1">
        <w:r w:rsidR="00210434" w:rsidRPr="005D5410">
          <w:rPr>
            <w:rStyle w:val="Hyperlink"/>
            <w:lang w:val="es-ES"/>
          </w:rPr>
          <w:t>Global challenges.</w:t>
        </w:r>
        <w:r w:rsidR="00210434">
          <w:rPr>
            <w:webHidden/>
          </w:rPr>
          <w:tab/>
        </w:r>
        <w:r w:rsidR="00210434">
          <w:rPr>
            <w:webHidden/>
          </w:rPr>
          <w:fldChar w:fldCharType="begin"/>
        </w:r>
        <w:r w:rsidR="00210434">
          <w:rPr>
            <w:webHidden/>
          </w:rPr>
          <w:instrText xml:space="preserve"> PAGEREF _Toc403028393 \h </w:instrText>
        </w:r>
        <w:r w:rsidR="00210434">
          <w:rPr>
            <w:webHidden/>
          </w:rPr>
        </w:r>
        <w:r w:rsidR="00210434">
          <w:rPr>
            <w:webHidden/>
          </w:rPr>
          <w:fldChar w:fldCharType="separate"/>
        </w:r>
        <w:r w:rsidR="00210434">
          <w:rPr>
            <w:webHidden/>
          </w:rPr>
          <w:t>16</w:t>
        </w:r>
        <w:r w:rsidR="00210434">
          <w:rPr>
            <w:webHidden/>
          </w:rPr>
          <w:fldChar w:fldCharType="end"/>
        </w:r>
      </w:hyperlink>
    </w:p>
    <w:p w14:paraId="6E0DDFAA" w14:textId="12E531DF" w:rsidR="00210434" w:rsidRDefault="00017F75">
      <w:pPr>
        <w:pStyle w:val="TOC3"/>
        <w:rPr>
          <w:rFonts w:asciiTheme="minorHAnsi" w:eastAsiaTheme="minorEastAsia" w:hAnsiTheme="minorHAnsi" w:cstheme="minorBidi"/>
          <w:i w:val="0"/>
          <w:iCs w:val="0"/>
          <w:sz w:val="22"/>
          <w:szCs w:val="22"/>
          <w:lang w:val="en-US"/>
        </w:rPr>
      </w:pPr>
      <w:hyperlink w:anchor="_Toc403028394" w:history="1">
        <w:r w:rsidR="00210434" w:rsidRPr="005D5410">
          <w:rPr>
            <w:rStyle w:val="Hyperlink"/>
          </w:rPr>
          <w:t>Main challenges in mining.</w:t>
        </w:r>
        <w:r w:rsidR="00210434">
          <w:rPr>
            <w:webHidden/>
          </w:rPr>
          <w:tab/>
        </w:r>
        <w:r w:rsidR="00210434">
          <w:rPr>
            <w:webHidden/>
          </w:rPr>
          <w:fldChar w:fldCharType="begin"/>
        </w:r>
        <w:r w:rsidR="00210434">
          <w:rPr>
            <w:webHidden/>
          </w:rPr>
          <w:instrText xml:space="preserve"> PAGEREF _Toc403028394 \h </w:instrText>
        </w:r>
        <w:r w:rsidR="00210434">
          <w:rPr>
            <w:webHidden/>
          </w:rPr>
        </w:r>
        <w:r w:rsidR="00210434">
          <w:rPr>
            <w:webHidden/>
          </w:rPr>
          <w:fldChar w:fldCharType="separate"/>
        </w:r>
        <w:r w:rsidR="00210434">
          <w:rPr>
            <w:webHidden/>
          </w:rPr>
          <w:t>20</w:t>
        </w:r>
        <w:r w:rsidR="00210434">
          <w:rPr>
            <w:webHidden/>
          </w:rPr>
          <w:fldChar w:fldCharType="end"/>
        </w:r>
      </w:hyperlink>
    </w:p>
    <w:p w14:paraId="254A74B8" w14:textId="7DB7040F" w:rsidR="00210434" w:rsidRDefault="00017F75">
      <w:pPr>
        <w:pStyle w:val="TOC3"/>
        <w:rPr>
          <w:rFonts w:asciiTheme="minorHAnsi" w:eastAsiaTheme="minorEastAsia" w:hAnsiTheme="minorHAnsi" w:cstheme="minorBidi"/>
          <w:i w:val="0"/>
          <w:iCs w:val="0"/>
          <w:sz w:val="22"/>
          <w:szCs w:val="22"/>
          <w:lang w:val="en-US"/>
        </w:rPr>
      </w:pPr>
      <w:hyperlink w:anchor="_Toc403028395" w:history="1">
        <w:r w:rsidR="00210434" w:rsidRPr="005D5410">
          <w:rPr>
            <w:rStyle w:val="Hyperlink"/>
            <w:lang w:val="es-ES"/>
          </w:rPr>
          <w:t>Main challenges in forestry.</w:t>
        </w:r>
        <w:r w:rsidR="00210434">
          <w:rPr>
            <w:webHidden/>
          </w:rPr>
          <w:tab/>
        </w:r>
        <w:r w:rsidR="00210434">
          <w:rPr>
            <w:webHidden/>
          </w:rPr>
          <w:fldChar w:fldCharType="begin"/>
        </w:r>
        <w:r w:rsidR="00210434">
          <w:rPr>
            <w:webHidden/>
          </w:rPr>
          <w:instrText xml:space="preserve"> PAGEREF _Toc403028395 \h </w:instrText>
        </w:r>
        <w:r w:rsidR="00210434">
          <w:rPr>
            <w:webHidden/>
          </w:rPr>
        </w:r>
        <w:r w:rsidR="00210434">
          <w:rPr>
            <w:webHidden/>
          </w:rPr>
          <w:fldChar w:fldCharType="separate"/>
        </w:r>
        <w:r w:rsidR="00210434">
          <w:rPr>
            <w:webHidden/>
          </w:rPr>
          <w:t>21</w:t>
        </w:r>
        <w:r w:rsidR="00210434">
          <w:rPr>
            <w:webHidden/>
          </w:rPr>
          <w:fldChar w:fldCharType="end"/>
        </w:r>
      </w:hyperlink>
    </w:p>
    <w:p w14:paraId="346C8957" w14:textId="7123C1A9" w:rsidR="00210434" w:rsidRDefault="00017F75">
      <w:pPr>
        <w:pStyle w:val="TOC3"/>
        <w:rPr>
          <w:rFonts w:asciiTheme="minorHAnsi" w:eastAsiaTheme="minorEastAsia" w:hAnsiTheme="minorHAnsi" w:cstheme="minorBidi"/>
          <w:i w:val="0"/>
          <w:iCs w:val="0"/>
          <w:sz w:val="22"/>
          <w:szCs w:val="22"/>
          <w:lang w:val="en-US"/>
        </w:rPr>
      </w:pPr>
      <w:hyperlink w:anchor="_Toc403028396" w:history="1">
        <w:r w:rsidR="00210434" w:rsidRPr="005D5410">
          <w:rPr>
            <w:rStyle w:val="Hyperlink"/>
            <w:lang w:val="es-AR" w:eastAsia="es-MX"/>
          </w:rPr>
          <w:t>Program Objectives</w:t>
        </w:r>
        <w:r w:rsidR="00210434">
          <w:rPr>
            <w:webHidden/>
          </w:rPr>
          <w:tab/>
        </w:r>
        <w:r w:rsidR="00210434">
          <w:rPr>
            <w:webHidden/>
          </w:rPr>
          <w:fldChar w:fldCharType="begin"/>
        </w:r>
        <w:r w:rsidR="00210434">
          <w:rPr>
            <w:webHidden/>
          </w:rPr>
          <w:instrText xml:space="preserve"> PAGEREF _Toc403028396 \h </w:instrText>
        </w:r>
        <w:r w:rsidR="00210434">
          <w:rPr>
            <w:webHidden/>
          </w:rPr>
        </w:r>
        <w:r w:rsidR="00210434">
          <w:rPr>
            <w:webHidden/>
          </w:rPr>
          <w:fldChar w:fldCharType="separate"/>
        </w:r>
        <w:r w:rsidR="00210434">
          <w:rPr>
            <w:webHidden/>
          </w:rPr>
          <w:t>24</w:t>
        </w:r>
        <w:r w:rsidR="00210434">
          <w:rPr>
            <w:webHidden/>
          </w:rPr>
          <w:fldChar w:fldCharType="end"/>
        </w:r>
      </w:hyperlink>
    </w:p>
    <w:p w14:paraId="42DDA7EC" w14:textId="03C9674F" w:rsidR="00210434" w:rsidRDefault="00017F75">
      <w:pPr>
        <w:pStyle w:val="TOC3"/>
        <w:rPr>
          <w:rFonts w:asciiTheme="minorHAnsi" w:eastAsiaTheme="minorEastAsia" w:hAnsiTheme="minorHAnsi" w:cstheme="minorBidi"/>
          <w:i w:val="0"/>
          <w:iCs w:val="0"/>
          <w:sz w:val="22"/>
          <w:szCs w:val="22"/>
          <w:lang w:val="en-US"/>
        </w:rPr>
      </w:pPr>
      <w:hyperlink w:anchor="_Toc403028397" w:history="1">
        <w:r w:rsidR="00210434" w:rsidRPr="005D5410">
          <w:rPr>
            <w:rStyle w:val="Hyperlink"/>
          </w:rPr>
          <w:t>Concept and estimation of expected benefits.</w:t>
        </w:r>
        <w:r w:rsidR="00210434">
          <w:rPr>
            <w:webHidden/>
          </w:rPr>
          <w:tab/>
        </w:r>
        <w:r w:rsidR="00210434">
          <w:rPr>
            <w:webHidden/>
          </w:rPr>
          <w:fldChar w:fldCharType="begin"/>
        </w:r>
        <w:r w:rsidR="00210434">
          <w:rPr>
            <w:webHidden/>
          </w:rPr>
          <w:instrText xml:space="preserve"> PAGEREF _Toc403028397 \h </w:instrText>
        </w:r>
        <w:r w:rsidR="00210434">
          <w:rPr>
            <w:webHidden/>
          </w:rPr>
        </w:r>
        <w:r w:rsidR="00210434">
          <w:rPr>
            <w:webHidden/>
          </w:rPr>
          <w:fldChar w:fldCharType="separate"/>
        </w:r>
        <w:r w:rsidR="00210434">
          <w:rPr>
            <w:webHidden/>
          </w:rPr>
          <w:t>24</w:t>
        </w:r>
        <w:r w:rsidR="00210434">
          <w:rPr>
            <w:webHidden/>
          </w:rPr>
          <w:fldChar w:fldCharType="end"/>
        </w:r>
      </w:hyperlink>
    </w:p>
    <w:p w14:paraId="4C7FCFFE" w14:textId="608CFF5D" w:rsidR="00210434" w:rsidRDefault="00017F75">
      <w:pPr>
        <w:pStyle w:val="TOC2"/>
        <w:rPr>
          <w:rFonts w:asciiTheme="minorHAnsi" w:eastAsiaTheme="minorEastAsia" w:hAnsiTheme="minorHAnsi" w:cstheme="minorBidi"/>
          <w:b w:val="0"/>
          <w:smallCaps w:val="0"/>
          <w:sz w:val="22"/>
          <w:szCs w:val="22"/>
        </w:rPr>
      </w:pPr>
      <w:hyperlink w:anchor="_Toc403028398" w:history="1">
        <w:r w:rsidR="00210434" w:rsidRPr="005D5410">
          <w:rPr>
            <w:rStyle w:val="Hyperlink"/>
          </w:rPr>
          <w:t>Component 3. Institutional Strengthening.</w:t>
        </w:r>
        <w:r w:rsidR="00210434">
          <w:rPr>
            <w:webHidden/>
          </w:rPr>
          <w:tab/>
        </w:r>
        <w:r w:rsidR="00210434">
          <w:rPr>
            <w:webHidden/>
          </w:rPr>
          <w:fldChar w:fldCharType="begin"/>
        </w:r>
        <w:r w:rsidR="00210434">
          <w:rPr>
            <w:webHidden/>
          </w:rPr>
          <w:instrText xml:space="preserve"> PAGEREF _Toc403028398 \h </w:instrText>
        </w:r>
        <w:r w:rsidR="00210434">
          <w:rPr>
            <w:webHidden/>
          </w:rPr>
        </w:r>
        <w:r w:rsidR="00210434">
          <w:rPr>
            <w:webHidden/>
          </w:rPr>
          <w:fldChar w:fldCharType="separate"/>
        </w:r>
        <w:r w:rsidR="00210434">
          <w:rPr>
            <w:webHidden/>
          </w:rPr>
          <w:t>28</w:t>
        </w:r>
        <w:r w:rsidR="00210434">
          <w:rPr>
            <w:webHidden/>
          </w:rPr>
          <w:fldChar w:fldCharType="end"/>
        </w:r>
      </w:hyperlink>
    </w:p>
    <w:p w14:paraId="5E5B1325" w14:textId="1C2D7F6F" w:rsidR="00210434" w:rsidRDefault="00017F75">
      <w:pPr>
        <w:pStyle w:val="TOC2"/>
        <w:rPr>
          <w:rFonts w:asciiTheme="minorHAnsi" w:eastAsiaTheme="minorEastAsia" w:hAnsiTheme="minorHAnsi" w:cstheme="minorBidi"/>
          <w:b w:val="0"/>
          <w:smallCaps w:val="0"/>
          <w:sz w:val="22"/>
          <w:szCs w:val="22"/>
        </w:rPr>
      </w:pPr>
      <w:hyperlink w:anchor="_Toc403028399" w:history="1">
        <w:r w:rsidR="00210434" w:rsidRPr="005D5410">
          <w:rPr>
            <w:rStyle w:val="Hyperlink"/>
          </w:rPr>
          <w:t>Component 4. MRV System.</w:t>
        </w:r>
        <w:r w:rsidR="00210434">
          <w:rPr>
            <w:webHidden/>
          </w:rPr>
          <w:tab/>
        </w:r>
        <w:r w:rsidR="00210434">
          <w:rPr>
            <w:webHidden/>
          </w:rPr>
          <w:fldChar w:fldCharType="begin"/>
        </w:r>
        <w:r w:rsidR="00210434">
          <w:rPr>
            <w:webHidden/>
          </w:rPr>
          <w:instrText xml:space="preserve"> PAGEREF _Toc403028399 \h </w:instrText>
        </w:r>
        <w:r w:rsidR="00210434">
          <w:rPr>
            <w:webHidden/>
          </w:rPr>
        </w:r>
        <w:r w:rsidR="00210434">
          <w:rPr>
            <w:webHidden/>
          </w:rPr>
          <w:fldChar w:fldCharType="separate"/>
        </w:r>
        <w:r w:rsidR="00210434">
          <w:rPr>
            <w:webHidden/>
          </w:rPr>
          <w:t>29</w:t>
        </w:r>
        <w:r w:rsidR="00210434">
          <w:rPr>
            <w:webHidden/>
          </w:rPr>
          <w:fldChar w:fldCharType="end"/>
        </w:r>
      </w:hyperlink>
    </w:p>
    <w:p w14:paraId="66FA6468" w14:textId="187E8757" w:rsidR="00210434" w:rsidRDefault="00017F75">
      <w:pPr>
        <w:pStyle w:val="TOC1"/>
        <w:tabs>
          <w:tab w:val="left" w:pos="400"/>
          <w:tab w:val="right" w:leader="dot" w:pos="8303"/>
        </w:tabs>
        <w:rPr>
          <w:rFonts w:asciiTheme="minorHAnsi" w:eastAsiaTheme="minorEastAsia" w:hAnsiTheme="minorHAnsi" w:cstheme="minorBidi"/>
          <w:b w:val="0"/>
          <w:bCs w:val="0"/>
          <w:caps w:val="0"/>
          <w:noProof/>
          <w:sz w:val="22"/>
          <w:szCs w:val="22"/>
        </w:rPr>
      </w:pPr>
      <w:hyperlink w:anchor="_Toc403028400" w:history="1">
        <w:r w:rsidR="00210434" w:rsidRPr="005D5410">
          <w:rPr>
            <w:rStyle w:val="Hyperlink"/>
            <w:noProof/>
          </w:rPr>
          <w:t>4</w:t>
        </w:r>
        <w:r w:rsidR="00210434">
          <w:rPr>
            <w:rFonts w:asciiTheme="minorHAnsi" w:eastAsiaTheme="minorEastAsia" w:hAnsiTheme="minorHAnsi" w:cstheme="minorBidi"/>
            <w:b w:val="0"/>
            <w:bCs w:val="0"/>
            <w:caps w:val="0"/>
            <w:noProof/>
            <w:sz w:val="22"/>
            <w:szCs w:val="22"/>
          </w:rPr>
          <w:tab/>
        </w:r>
        <w:r w:rsidR="00210434" w:rsidRPr="005D5410">
          <w:rPr>
            <w:rStyle w:val="Hyperlink"/>
            <w:noProof/>
          </w:rPr>
          <w:t>PBP Costs.</w:t>
        </w:r>
        <w:r w:rsidR="00210434">
          <w:rPr>
            <w:noProof/>
            <w:webHidden/>
          </w:rPr>
          <w:tab/>
        </w:r>
        <w:r w:rsidR="00210434">
          <w:rPr>
            <w:noProof/>
            <w:webHidden/>
          </w:rPr>
          <w:fldChar w:fldCharType="begin"/>
        </w:r>
        <w:r w:rsidR="00210434">
          <w:rPr>
            <w:noProof/>
            <w:webHidden/>
          </w:rPr>
          <w:instrText xml:space="preserve"> PAGEREF _Toc403028400 \h </w:instrText>
        </w:r>
        <w:r w:rsidR="00210434">
          <w:rPr>
            <w:noProof/>
            <w:webHidden/>
          </w:rPr>
        </w:r>
        <w:r w:rsidR="00210434">
          <w:rPr>
            <w:noProof/>
            <w:webHidden/>
          </w:rPr>
          <w:fldChar w:fldCharType="separate"/>
        </w:r>
        <w:r w:rsidR="00210434">
          <w:rPr>
            <w:noProof/>
            <w:webHidden/>
          </w:rPr>
          <w:t>30</w:t>
        </w:r>
        <w:r w:rsidR="00210434">
          <w:rPr>
            <w:noProof/>
            <w:webHidden/>
          </w:rPr>
          <w:fldChar w:fldCharType="end"/>
        </w:r>
      </w:hyperlink>
    </w:p>
    <w:p w14:paraId="2EEACE30" w14:textId="491AC90E" w:rsidR="00210434" w:rsidRDefault="00017F75">
      <w:pPr>
        <w:pStyle w:val="TOC1"/>
        <w:tabs>
          <w:tab w:val="left" w:pos="400"/>
          <w:tab w:val="right" w:leader="dot" w:pos="8303"/>
        </w:tabs>
        <w:rPr>
          <w:rFonts w:asciiTheme="minorHAnsi" w:eastAsiaTheme="minorEastAsia" w:hAnsiTheme="minorHAnsi" w:cstheme="minorBidi"/>
          <w:b w:val="0"/>
          <w:bCs w:val="0"/>
          <w:caps w:val="0"/>
          <w:noProof/>
          <w:sz w:val="22"/>
          <w:szCs w:val="22"/>
        </w:rPr>
      </w:pPr>
      <w:hyperlink w:anchor="_Toc403028401" w:history="1">
        <w:r w:rsidR="00210434" w:rsidRPr="005D5410">
          <w:rPr>
            <w:rStyle w:val="Hyperlink"/>
            <w:noProof/>
            <w:lang w:val="en-AU"/>
          </w:rPr>
          <w:t>5</w:t>
        </w:r>
        <w:r w:rsidR="00210434">
          <w:rPr>
            <w:rFonts w:asciiTheme="minorHAnsi" w:eastAsiaTheme="minorEastAsia" w:hAnsiTheme="minorHAnsi" w:cstheme="minorBidi"/>
            <w:b w:val="0"/>
            <w:bCs w:val="0"/>
            <w:caps w:val="0"/>
            <w:noProof/>
            <w:sz w:val="22"/>
            <w:szCs w:val="22"/>
          </w:rPr>
          <w:tab/>
        </w:r>
        <w:r w:rsidR="00210434" w:rsidRPr="005D5410">
          <w:rPr>
            <w:rStyle w:val="Hyperlink"/>
            <w:noProof/>
            <w:lang w:val="en-AU"/>
          </w:rPr>
          <w:t>Economic Justification of the Program.</w:t>
        </w:r>
        <w:r w:rsidR="00210434">
          <w:rPr>
            <w:noProof/>
            <w:webHidden/>
          </w:rPr>
          <w:tab/>
        </w:r>
        <w:r w:rsidR="00210434">
          <w:rPr>
            <w:noProof/>
            <w:webHidden/>
          </w:rPr>
          <w:fldChar w:fldCharType="begin"/>
        </w:r>
        <w:r w:rsidR="00210434">
          <w:rPr>
            <w:noProof/>
            <w:webHidden/>
          </w:rPr>
          <w:instrText xml:space="preserve"> PAGEREF _Toc403028401 \h </w:instrText>
        </w:r>
        <w:r w:rsidR="00210434">
          <w:rPr>
            <w:noProof/>
            <w:webHidden/>
          </w:rPr>
        </w:r>
        <w:r w:rsidR="00210434">
          <w:rPr>
            <w:noProof/>
            <w:webHidden/>
          </w:rPr>
          <w:fldChar w:fldCharType="separate"/>
        </w:r>
        <w:r w:rsidR="00210434">
          <w:rPr>
            <w:noProof/>
            <w:webHidden/>
          </w:rPr>
          <w:t>30</w:t>
        </w:r>
        <w:r w:rsidR="00210434">
          <w:rPr>
            <w:noProof/>
            <w:webHidden/>
          </w:rPr>
          <w:fldChar w:fldCharType="end"/>
        </w:r>
      </w:hyperlink>
    </w:p>
    <w:p w14:paraId="00F4CA34" w14:textId="239FFD9F" w:rsidR="00210434" w:rsidRDefault="00017F75">
      <w:pPr>
        <w:pStyle w:val="TOC1"/>
        <w:tabs>
          <w:tab w:val="left" w:pos="400"/>
          <w:tab w:val="right" w:leader="dot" w:pos="8303"/>
        </w:tabs>
        <w:rPr>
          <w:rFonts w:asciiTheme="minorHAnsi" w:eastAsiaTheme="minorEastAsia" w:hAnsiTheme="minorHAnsi" w:cstheme="minorBidi"/>
          <w:b w:val="0"/>
          <w:bCs w:val="0"/>
          <w:caps w:val="0"/>
          <w:noProof/>
          <w:sz w:val="22"/>
          <w:szCs w:val="22"/>
        </w:rPr>
      </w:pPr>
      <w:hyperlink w:anchor="_Toc403028402" w:history="1">
        <w:r w:rsidR="00210434" w:rsidRPr="005D5410">
          <w:rPr>
            <w:rStyle w:val="Hyperlink"/>
            <w:noProof/>
          </w:rPr>
          <w:t>6</w:t>
        </w:r>
        <w:r w:rsidR="00210434">
          <w:rPr>
            <w:rFonts w:asciiTheme="minorHAnsi" w:eastAsiaTheme="minorEastAsia" w:hAnsiTheme="minorHAnsi" w:cstheme="minorBidi"/>
            <w:b w:val="0"/>
            <w:bCs w:val="0"/>
            <w:caps w:val="0"/>
            <w:noProof/>
            <w:sz w:val="22"/>
            <w:szCs w:val="22"/>
          </w:rPr>
          <w:tab/>
        </w:r>
        <w:r w:rsidR="00210434" w:rsidRPr="005D5410">
          <w:rPr>
            <w:rStyle w:val="Hyperlink"/>
            <w:noProof/>
          </w:rPr>
          <w:t>Sensitivity Analysis.</w:t>
        </w:r>
        <w:r w:rsidR="00210434">
          <w:rPr>
            <w:noProof/>
            <w:webHidden/>
          </w:rPr>
          <w:tab/>
        </w:r>
        <w:r w:rsidR="00210434">
          <w:rPr>
            <w:noProof/>
            <w:webHidden/>
          </w:rPr>
          <w:fldChar w:fldCharType="begin"/>
        </w:r>
        <w:r w:rsidR="00210434">
          <w:rPr>
            <w:noProof/>
            <w:webHidden/>
          </w:rPr>
          <w:instrText xml:space="preserve"> PAGEREF _Toc403028402 \h </w:instrText>
        </w:r>
        <w:r w:rsidR="00210434">
          <w:rPr>
            <w:noProof/>
            <w:webHidden/>
          </w:rPr>
        </w:r>
        <w:r w:rsidR="00210434">
          <w:rPr>
            <w:noProof/>
            <w:webHidden/>
          </w:rPr>
          <w:fldChar w:fldCharType="separate"/>
        </w:r>
        <w:r w:rsidR="00210434">
          <w:rPr>
            <w:noProof/>
            <w:webHidden/>
          </w:rPr>
          <w:t>32</w:t>
        </w:r>
        <w:r w:rsidR="00210434">
          <w:rPr>
            <w:noProof/>
            <w:webHidden/>
          </w:rPr>
          <w:fldChar w:fldCharType="end"/>
        </w:r>
      </w:hyperlink>
    </w:p>
    <w:p w14:paraId="49FDDA4C" w14:textId="4BD186F1" w:rsidR="00210434" w:rsidRDefault="00017F75">
      <w:pPr>
        <w:pStyle w:val="TOC1"/>
        <w:tabs>
          <w:tab w:val="right" w:leader="dot" w:pos="8303"/>
        </w:tabs>
        <w:rPr>
          <w:rFonts w:asciiTheme="minorHAnsi" w:eastAsiaTheme="minorEastAsia" w:hAnsiTheme="minorHAnsi" w:cstheme="minorBidi"/>
          <w:b w:val="0"/>
          <w:bCs w:val="0"/>
          <w:caps w:val="0"/>
          <w:noProof/>
          <w:sz w:val="22"/>
          <w:szCs w:val="22"/>
        </w:rPr>
      </w:pPr>
      <w:hyperlink w:anchor="_Toc403028403" w:history="1">
        <w:r w:rsidR="00210434" w:rsidRPr="005D5410">
          <w:rPr>
            <w:rStyle w:val="Hyperlink"/>
            <w:noProof/>
          </w:rPr>
          <w:t>Annex I: Joint concept Note</w:t>
        </w:r>
        <w:r w:rsidR="00210434">
          <w:rPr>
            <w:noProof/>
            <w:webHidden/>
          </w:rPr>
          <w:tab/>
        </w:r>
        <w:r w:rsidR="00210434">
          <w:rPr>
            <w:noProof/>
            <w:webHidden/>
          </w:rPr>
          <w:fldChar w:fldCharType="begin"/>
        </w:r>
        <w:r w:rsidR="00210434">
          <w:rPr>
            <w:noProof/>
            <w:webHidden/>
          </w:rPr>
          <w:instrText xml:space="preserve"> PAGEREF _Toc403028403 \h </w:instrText>
        </w:r>
        <w:r w:rsidR="00210434">
          <w:rPr>
            <w:noProof/>
            <w:webHidden/>
          </w:rPr>
        </w:r>
        <w:r w:rsidR="00210434">
          <w:rPr>
            <w:noProof/>
            <w:webHidden/>
          </w:rPr>
          <w:fldChar w:fldCharType="separate"/>
        </w:r>
        <w:r w:rsidR="00210434">
          <w:rPr>
            <w:noProof/>
            <w:webHidden/>
          </w:rPr>
          <w:t>34</w:t>
        </w:r>
        <w:r w:rsidR="00210434">
          <w:rPr>
            <w:noProof/>
            <w:webHidden/>
          </w:rPr>
          <w:fldChar w:fldCharType="end"/>
        </w:r>
      </w:hyperlink>
    </w:p>
    <w:p w14:paraId="2AAC724C" w14:textId="40329EA6" w:rsidR="00210434" w:rsidRDefault="00017F75">
      <w:pPr>
        <w:pStyle w:val="TOC1"/>
        <w:tabs>
          <w:tab w:val="right" w:leader="dot" w:pos="8303"/>
        </w:tabs>
        <w:rPr>
          <w:rFonts w:asciiTheme="minorHAnsi" w:eastAsiaTheme="minorEastAsia" w:hAnsiTheme="minorHAnsi" w:cstheme="minorBidi"/>
          <w:b w:val="0"/>
          <w:bCs w:val="0"/>
          <w:caps w:val="0"/>
          <w:noProof/>
          <w:sz w:val="22"/>
          <w:szCs w:val="22"/>
        </w:rPr>
      </w:pPr>
      <w:hyperlink w:anchor="_Toc403028404" w:history="1">
        <w:r w:rsidR="00210434" w:rsidRPr="005D5410">
          <w:rPr>
            <w:rStyle w:val="Hyperlink"/>
            <w:noProof/>
          </w:rPr>
          <w:t>Annex II: LCDE.</w:t>
        </w:r>
        <w:r w:rsidR="00210434">
          <w:rPr>
            <w:noProof/>
            <w:webHidden/>
          </w:rPr>
          <w:tab/>
        </w:r>
        <w:r w:rsidR="00210434">
          <w:rPr>
            <w:noProof/>
            <w:webHidden/>
          </w:rPr>
          <w:fldChar w:fldCharType="begin"/>
        </w:r>
        <w:r w:rsidR="00210434">
          <w:rPr>
            <w:noProof/>
            <w:webHidden/>
          </w:rPr>
          <w:instrText xml:space="preserve"> PAGEREF _Toc403028404 \h </w:instrText>
        </w:r>
        <w:r w:rsidR="00210434">
          <w:rPr>
            <w:noProof/>
            <w:webHidden/>
          </w:rPr>
        </w:r>
        <w:r w:rsidR="00210434">
          <w:rPr>
            <w:noProof/>
            <w:webHidden/>
          </w:rPr>
          <w:fldChar w:fldCharType="separate"/>
        </w:r>
        <w:r w:rsidR="00210434">
          <w:rPr>
            <w:noProof/>
            <w:webHidden/>
          </w:rPr>
          <w:t>38</w:t>
        </w:r>
        <w:r w:rsidR="00210434">
          <w:rPr>
            <w:noProof/>
            <w:webHidden/>
          </w:rPr>
          <w:fldChar w:fldCharType="end"/>
        </w:r>
      </w:hyperlink>
    </w:p>
    <w:p w14:paraId="34A9A700" w14:textId="70FD0AA3" w:rsidR="00210434" w:rsidRDefault="00017F75">
      <w:pPr>
        <w:pStyle w:val="TOC1"/>
        <w:tabs>
          <w:tab w:val="right" w:leader="dot" w:pos="8303"/>
        </w:tabs>
        <w:rPr>
          <w:rFonts w:asciiTheme="minorHAnsi" w:eastAsiaTheme="minorEastAsia" w:hAnsiTheme="minorHAnsi" w:cstheme="minorBidi"/>
          <w:b w:val="0"/>
          <w:bCs w:val="0"/>
          <w:caps w:val="0"/>
          <w:noProof/>
          <w:sz w:val="22"/>
          <w:szCs w:val="22"/>
        </w:rPr>
      </w:pPr>
      <w:hyperlink w:anchor="_Toc403028405" w:history="1">
        <w:r w:rsidR="00210434" w:rsidRPr="005D5410">
          <w:rPr>
            <w:rStyle w:val="Hyperlink"/>
            <w:noProof/>
          </w:rPr>
          <w:t>Annex III: Guyana Forestry Commission.</w:t>
        </w:r>
        <w:r w:rsidR="00210434">
          <w:rPr>
            <w:noProof/>
            <w:webHidden/>
          </w:rPr>
          <w:tab/>
        </w:r>
        <w:r w:rsidR="00210434">
          <w:rPr>
            <w:noProof/>
            <w:webHidden/>
          </w:rPr>
          <w:fldChar w:fldCharType="begin"/>
        </w:r>
        <w:r w:rsidR="00210434">
          <w:rPr>
            <w:noProof/>
            <w:webHidden/>
          </w:rPr>
          <w:instrText xml:space="preserve"> PAGEREF _Toc403028405 \h </w:instrText>
        </w:r>
        <w:r w:rsidR="00210434">
          <w:rPr>
            <w:noProof/>
            <w:webHidden/>
          </w:rPr>
        </w:r>
        <w:r w:rsidR="00210434">
          <w:rPr>
            <w:noProof/>
            <w:webHidden/>
          </w:rPr>
          <w:fldChar w:fldCharType="separate"/>
        </w:r>
        <w:r w:rsidR="00210434">
          <w:rPr>
            <w:noProof/>
            <w:webHidden/>
          </w:rPr>
          <w:t>42</w:t>
        </w:r>
        <w:r w:rsidR="00210434">
          <w:rPr>
            <w:noProof/>
            <w:webHidden/>
          </w:rPr>
          <w:fldChar w:fldCharType="end"/>
        </w:r>
      </w:hyperlink>
    </w:p>
    <w:p w14:paraId="6B787939" w14:textId="368E023B" w:rsidR="00210434" w:rsidRDefault="00017F75">
      <w:pPr>
        <w:pStyle w:val="TOC1"/>
        <w:tabs>
          <w:tab w:val="right" w:leader="dot" w:pos="8303"/>
        </w:tabs>
        <w:rPr>
          <w:rFonts w:asciiTheme="minorHAnsi" w:eastAsiaTheme="minorEastAsia" w:hAnsiTheme="minorHAnsi" w:cstheme="minorBidi"/>
          <w:b w:val="0"/>
          <w:bCs w:val="0"/>
          <w:caps w:val="0"/>
          <w:noProof/>
          <w:sz w:val="22"/>
          <w:szCs w:val="22"/>
        </w:rPr>
      </w:pPr>
      <w:hyperlink w:anchor="_Toc403028406" w:history="1">
        <w:r w:rsidR="00210434" w:rsidRPr="005D5410">
          <w:rPr>
            <w:rStyle w:val="Hyperlink"/>
            <w:noProof/>
          </w:rPr>
          <w:t>Annex IV. Mining Sector Evolution.</w:t>
        </w:r>
        <w:r w:rsidR="00210434">
          <w:rPr>
            <w:noProof/>
            <w:webHidden/>
          </w:rPr>
          <w:tab/>
        </w:r>
        <w:r w:rsidR="00210434">
          <w:rPr>
            <w:noProof/>
            <w:webHidden/>
          </w:rPr>
          <w:fldChar w:fldCharType="begin"/>
        </w:r>
        <w:r w:rsidR="00210434">
          <w:rPr>
            <w:noProof/>
            <w:webHidden/>
          </w:rPr>
          <w:instrText xml:space="preserve"> PAGEREF _Toc403028406 \h </w:instrText>
        </w:r>
        <w:r w:rsidR="00210434">
          <w:rPr>
            <w:noProof/>
            <w:webHidden/>
          </w:rPr>
        </w:r>
        <w:r w:rsidR="00210434">
          <w:rPr>
            <w:noProof/>
            <w:webHidden/>
          </w:rPr>
          <w:fldChar w:fldCharType="separate"/>
        </w:r>
        <w:r w:rsidR="00210434">
          <w:rPr>
            <w:noProof/>
            <w:webHidden/>
          </w:rPr>
          <w:t>43</w:t>
        </w:r>
        <w:r w:rsidR="00210434">
          <w:rPr>
            <w:noProof/>
            <w:webHidden/>
          </w:rPr>
          <w:fldChar w:fldCharType="end"/>
        </w:r>
      </w:hyperlink>
    </w:p>
    <w:p w14:paraId="07CF71D4" w14:textId="00F86462" w:rsidR="00210434" w:rsidRDefault="00017F75">
      <w:pPr>
        <w:pStyle w:val="TOC1"/>
        <w:tabs>
          <w:tab w:val="right" w:leader="dot" w:pos="8303"/>
        </w:tabs>
        <w:rPr>
          <w:rFonts w:asciiTheme="minorHAnsi" w:eastAsiaTheme="minorEastAsia" w:hAnsiTheme="minorHAnsi" w:cstheme="minorBidi"/>
          <w:b w:val="0"/>
          <w:bCs w:val="0"/>
          <w:caps w:val="0"/>
          <w:noProof/>
          <w:sz w:val="22"/>
          <w:szCs w:val="22"/>
        </w:rPr>
      </w:pPr>
      <w:hyperlink w:anchor="_Toc403028407" w:history="1">
        <w:r w:rsidR="00210434" w:rsidRPr="005D5410">
          <w:rPr>
            <w:rStyle w:val="Hyperlink"/>
            <w:noProof/>
            <w:lang w:val="pt-BR"/>
          </w:rPr>
          <w:t>Anexo V: Results Framework – Matrix of Indicators</w:t>
        </w:r>
        <w:r w:rsidR="00210434">
          <w:rPr>
            <w:noProof/>
            <w:webHidden/>
          </w:rPr>
          <w:tab/>
        </w:r>
        <w:r w:rsidR="00210434">
          <w:rPr>
            <w:noProof/>
            <w:webHidden/>
          </w:rPr>
          <w:fldChar w:fldCharType="begin"/>
        </w:r>
        <w:r w:rsidR="00210434">
          <w:rPr>
            <w:noProof/>
            <w:webHidden/>
          </w:rPr>
          <w:instrText xml:space="preserve"> PAGEREF _Toc403028407 \h </w:instrText>
        </w:r>
        <w:r w:rsidR="00210434">
          <w:rPr>
            <w:noProof/>
            <w:webHidden/>
          </w:rPr>
        </w:r>
        <w:r w:rsidR="00210434">
          <w:rPr>
            <w:noProof/>
            <w:webHidden/>
          </w:rPr>
          <w:fldChar w:fldCharType="separate"/>
        </w:r>
        <w:r w:rsidR="00210434">
          <w:rPr>
            <w:noProof/>
            <w:webHidden/>
          </w:rPr>
          <w:t>47</w:t>
        </w:r>
        <w:r w:rsidR="00210434">
          <w:rPr>
            <w:noProof/>
            <w:webHidden/>
          </w:rPr>
          <w:fldChar w:fldCharType="end"/>
        </w:r>
      </w:hyperlink>
    </w:p>
    <w:p w14:paraId="034B231F" w14:textId="77777777" w:rsidR="00915C0D" w:rsidRPr="00915C0D" w:rsidRDefault="00915C0D" w:rsidP="00915C0D">
      <w:pPr>
        <w:rPr>
          <w:rFonts w:ascii="Times New Roman" w:hAnsi="Times New Roman"/>
          <w:b/>
          <w:bCs/>
          <w:caps/>
        </w:rPr>
      </w:pPr>
      <w:r w:rsidRPr="00915C0D">
        <w:rPr>
          <w:b/>
          <w:i/>
          <w:iCs/>
          <w:noProof/>
          <w:lang w:val="es-ES"/>
        </w:rPr>
        <w:fldChar w:fldCharType="end"/>
      </w:r>
      <w:r w:rsidRPr="00915C0D">
        <w:rPr>
          <w:rFonts w:ascii="Times New Roman" w:hAnsi="Times New Roman"/>
          <w:b/>
          <w:bCs/>
          <w:caps/>
        </w:rPr>
        <w:t xml:space="preserve"> </w:t>
      </w:r>
    </w:p>
    <w:p w14:paraId="748F065E" w14:textId="77777777" w:rsidR="00915C0D" w:rsidRPr="00915C0D" w:rsidRDefault="00915C0D" w:rsidP="00915C0D">
      <w:pPr>
        <w:rPr>
          <w:rFonts w:ascii="Times New Roman" w:hAnsi="Times New Roman"/>
          <w:b/>
          <w:bCs/>
          <w:caps/>
          <w:sz w:val="24"/>
        </w:rPr>
      </w:pPr>
    </w:p>
    <w:p w14:paraId="2DF44780" w14:textId="77777777" w:rsidR="00915C0D" w:rsidRPr="00915C0D" w:rsidRDefault="00915C0D" w:rsidP="00915C0D">
      <w:pPr>
        <w:jc w:val="center"/>
      </w:pPr>
    </w:p>
    <w:p w14:paraId="0F67D3F1" w14:textId="77777777" w:rsidR="00915C0D" w:rsidRPr="00915C0D" w:rsidRDefault="00915C0D" w:rsidP="00915C0D">
      <w:pPr>
        <w:jc w:val="center"/>
      </w:pPr>
    </w:p>
    <w:p w14:paraId="1D3A813F" w14:textId="77777777" w:rsidR="00915C0D" w:rsidRPr="00915C0D" w:rsidRDefault="00915C0D" w:rsidP="00915C0D">
      <w:pPr>
        <w:jc w:val="center"/>
      </w:pPr>
    </w:p>
    <w:p w14:paraId="687D064E" w14:textId="77777777" w:rsidR="00915C0D" w:rsidRPr="00915C0D" w:rsidRDefault="00915C0D" w:rsidP="00915C0D">
      <w:pPr>
        <w:jc w:val="center"/>
      </w:pPr>
    </w:p>
    <w:p w14:paraId="1F67D5EC" w14:textId="77777777" w:rsidR="00915C0D" w:rsidRPr="00915C0D" w:rsidRDefault="00915C0D" w:rsidP="00915C0D">
      <w:pPr>
        <w:jc w:val="center"/>
      </w:pPr>
    </w:p>
    <w:p w14:paraId="6D8694AD" w14:textId="77777777" w:rsidR="00915C0D" w:rsidRPr="00915C0D" w:rsidRDefault="00915C0D" w:rsidP="00915C0D">
      <w:pPr>
        <w:jc w:val="center"/>
      </w:pPr>
    </w:p>
    <w:p w14:paraId="5F0297CC" w14:textId="77777777" w:rsidR="00915C0D" w:rsidRPr="00915C0D" w:rsidRDefault="00915C0D" w:rsidP="00915C0D">
      <w:pPr>
        <w:jc w:val="center"/>
      </w:pPr>
    </w:p>
    <w:p w14:paraId="01865D22" w14:textId="77777777" w:rsidR="00915C0D" w:rsidRPr="00915C0D" w:rsidRDefault="00915C0D" w:rsidP="00915C0D">
      <w:pPr>
        <w:jc w:val="center"/>
      </w:pPr>
    </w:p>
    <w:p w14:paraId="1AAF83AC" w14:textId="77777777" w:rsidR="00915C0D" w:rsidRPr="00915C0D" w:rsidRDefault="00915C0D" w:rsidP="00915C0D">
      <w:pPr>
        <w:jc w:val="center"/>
      </w:pPr>
    </w:p>
    <w:p w14:paraId="5A5B184E" w14:textId="77777777" w:rsidR="00915C0D" w:rsidRPr="00915C0D" w:rsidRDefault="00915C0D" w:rsidP="00915C0D">
      <w:pPr>
        <w:jc w:val="center"/>
      </w:pPr>
    </w:p>
    <w:p w14:paraId="73C03DDD" w14:textId="77777777" w:rsidR="00915C0D" w:rsidRPr="00915C0D" w:rsidRDefault="00915C0D" w:rsidP="00915C0D">
      <w:pPr>
        <w:jc w:val="center"/>
      </w:pPr>
    </w:p>
    <w:p w14:paraId="3112416B" w14:textId="77777777" w:rsidR="00915C0D" w:rsidRPr="00915C0D" w:rsidRDefault="00915C0D" w:rsidP="00915C0D">
      <w:pPr>
        <w:jc w:val="center"/>
      </w:pPr>
    </w:p>
    <w:p w14:paraId="246482B6" w14:textId="77777777" w:rsidR="00915C0D" w:rsidRPr="00915C0D" w:rsidRDefault="00915C0D" w:rsidP="00915C0D">
      <w:pPr>
        <w:jc w:val="center"/>
      </w:pPr>
    </w:p>
    <w:p w14:paraId="3EF7359E" w14:textId="77777777" w:rsidR="00915C0D" w:rsidRPr="00915C0D" w:rsidRDefault="00915C0D">
      <w:r w:rsidRPr="00915C0D">
        <w:br w:type="page"/>
      </w:r>
    </w:p>
    <w:p w14:paraId="2CD0BC66"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lastRenderedPageBreak/>
        <w:t>ABBREVIATIONS</w:t>
      </w:r>
    </w:p>
    <w:p w14:paraId="5ED87244" w14:textId="77777777" w:rsidR="00915C0D" w:rsidRPr="00915C0D" w:rsidRDefault="00915C0D" w:rsidP="00915C0D">
      <w:pPr>
        <w:rPr>
          <w:rFonts w:ascii="Times New Roman" w:hAnsi="Times New Roman"/>
          <w:sz w:val="22"/>
          <w:szCs w:val="22"/>
        </w:rPr>
      </w:pPr>
    </w:p>
    <w:p w14:paraId="30A4730B" w14:textId="77777777" w:rsidR="00915C0D" w:rsidRPr="00915C0D" w:rsidRDefault="00915C0D" w:rsidP="00915C0D">
      <w:pPr>
        <w:rPr>
          <w:rFonts w:ascii="Times New Roman" w:hAnsi="Times New Roman"/>
          <w:sz w:val="22"/>
          <w:szCs w:val="22"/>
        </w:rPr>
      </w:pPr>
    </w:p>
    <w:p w14:paraId="2FDE4CC1"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 xml:space="preserve">ASM </w:t>
      </w:r>
      <w:r w:rsidRPr="00915C0D">
        <w:rPr>
          <w:rFonts w:ascii="Times New Roman" w:hAnsi="Times New Roman"/>
          <w:sz w:val="22"/>
          <w:szCs w:val="22"/>
        </w:rPr>
        <w:tab/>
      </w:r>
      <w:r w:rsidRPr="00915C0D">
        <w:rPr>
          <w:rFonts w:ascii="Times New Roman" w:hAnsi="Times New Roman"/>
          <w:sz w:val="22"/>
          <w:szCs w:val="22"/>
        </w:rPr>
        <w:tab/>
        <w:t>Artisanal and Small-scale gold Mining</w:t>
      </w:r>
    </w:p>
    <w:p w14:paraId="7E336732"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EITI</w:t>
      </w:r>
      <w:r w:rsidRPr="00915C0D">
        <w:rPr>
          <w:rFonts w:ascii="Times New Roman" w:hAnsi="Times New Roman"/>
          <w:sz w:val="22"/>
          <w:szCs w:val="22"/>
        </w:rPr>
        <w:tab/>
      </w:r>
      <w:r w:rsidRPr="00915C0D">
        <w:rPr>
          <w:rFonts w:ascii="Times New Roman" w:hAnsi="Times New Roman"/>
          <w:sz w:val="22"/>
          <w:szCs w:val="22"/>
        </w:rPr>
        <w:tab/>
        <w:t>Extractive Industry Transparency Initiative</w:t>
      </w:r>
    </w:p>
    <w:p w14:paraId="150AD643"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EPA</w:t>
      </w:r>
      <w:r w:rsidRPr="00915C0D">
        <w:rPr>
          <w:rFonts w:ascii="Times New Roman" w:hAnsi="Times New Roman"/>
          <w:sz w:val="22"/>
          <w:szCs w:val="22"/>
        </w:rPr>
        <w:tab/>
      </w:r>
      <w:r w:rsidRPr="00915C0D">
        <w:rPr>
          <w:rFonts w:ascii="Times New Roman" w:hAnsi="Times New Roman"/>
          <w:sz w:val="22"/>
          <w:szCs w:val="22"/>
        </w:rPr>
        <w:tab/>
        <w:t>Environmental Protection Agency</w:t>
      </w:r>
    </w:p>
    <w:p w14:paraId="5BCA8DCC"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EU-FLEGT</w:t>
      </w:r>
      <w:r w:rsidRPr="00915C0D">
        <w:rPr>
          <w:rFonts w:ascii="Times New Roman" w:hAnsi="Times New Roman"/>
          <w:sz w:val="22"/>
          <w:szCs w:val="22"/>
        </w:rPr>
        <w:tab/>
        <w:t xml:space="preserve">European Union Forest Law Enforcement, Governance and Trade </w:t>
      </w:r>
    </w:p>
    <w:p w14:paraId="04AEB390"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EVN</w:t>
      </w:r>
      <w:r w:rsidRPr="00915C0D">
        <w:rPr>
          <w:rFonts w:ascii="Times New Roman" w:hAnsi="Times New Roman"/>
          <w:sz w:val="22"/>
          <w:szCs w:val="22"/>
        </w:rPr>
        <w:tab/>
      </w:r>
      <w:r w:rsidRPr="00915C0D">
        <w:rPr>
          <w:rFonts w:ascii="Times New Roman" w:hAnsi="Times New Roman"/>
          <w:sz w:val="22"/>
          <w:szCs w:val="22"/>
        </w:rPr>
        <w:tab/>
        <w:t>Economic Value to the Nation</w:t>
      </w:r>
    </w:p>
    <w:p w14:paraId="3D2B56BB"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EVW</w:t>
      </w:r>
      <w:r w:rsidRPr="00915C0D">
        <w:rPr>
          <w:rFonts w:ascii="Times New Roman" w:hAnsi="Times New Roman"/>
          <w:sz w:val="22"/>
          <w:szCs w:val="22"/>
        </w:rPr>
        <w:tab/>
      </w:r>
      <w:r w:rsidRPr="00915C0D">
        <w:rPr>
          <w:rFonts w:ascii="Times New Roman" w:hAnsi="Times New Roman"/>
          <w:sz w:val="22"/>
          <w:szCs w:val="22"/>
        </w:rPr>
        <w:tab/>
        <w:t xml:space="preserve">Economic Value to the World </w:t>
      </w:r>
    </w:p>
    <w:p w14:paraId="42AB1F59"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FAO</w:t>
      </w:r>
      <w:r w:rsidRPr="00915C0D">
        <w:rPr>
          <w:rFonts w:ascii="Times New Roman" w:hAnsi="Times New Roman"/>
          <w:sz w:val="22"/>
          <w:szCs w:val="22"/>
        </w:rPr>
        <w:tab/>
      </w:r>
      <w:r w:rsidRPr="00915C0D">
        <w:rPr>
          <w:rFonts w:ascii="Times New Roman" w:hAnsi="Times New Roman"/>
          <w:sz w:val="22"/>
          <w:szCs w:val="22"/>
        </w:rPr>
        <w:tab/>
        <w:t>Food Agriculture Organization</w:t>
      </w:r>
    </w:p>
    <w:p w14:paraId="39DE63E3"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FCPF</w:t>
      </w:r>
      <w:r w:rsidRPr="00915C0D">
        <w:rPr>
          <w:rFonts w:ascii="Times New Roman" w:hAnsi="Times New Roman"/>
          <w:sz w:val="22"/>
          <w:szCs w:val="22"/>
        </w:rPr>
        <w:tab/>
      </w:r>
      <w:r w:rsidRPr="00915C0D">
        <w:rPr>
          <w:rFonts w:ascii="Times New Roman" w:hAnsi="Times New Roman"/>
          <w:sz w:val="22"/>
          <w:szCs w:val="22"/>
        </w:rPr>
        <w:tab/>
        <w:t>Forest Carbon Partnership Facility</w:t>
      </w:r>
    </w:p>
    <w:p w14:paraId="23AACB0A"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FDI</w:t>
      </w:r>
      <w:r w:rsidRPr="00915C0D">
        <w:rPr>
          <w:rFonts w:ascii="Times New Roman" w:hAnsi="Times New Roman"/>
          <w:sz w:val="22"/>
          <w:szCs w:val="22"/>
        </w:rPr>
        <w:tab/>
      </w:r>
      <w:r w:rsidRPr="00915C0D">
        <w:rPr>
          <w:rFonts w:ascii="Times New Roman" w:hAnsi="Times New Roman"/>
          <w:sz w:val="22"/>
          <w:szCs w:val="22"/>
        </w:rPr>
        <w:tab/>
        <w:t>Foreign Direct Investment</w:t>
      </w:r>
    </w:p>
    <w:p w14:paraId="6A3C14B9"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GFC</w:t>
      </w:r>
      <w:r w:rsidRPr="00915C0D">
        <w:rPr>
          <w:rFonts w:ascii="Times New Roman" w:hAnsi="Times New Roman"/>
          <w:sz w:val="22"/>
          <w:szCs w:val="22"/>
        </w:rPr>
        <w:tab/>
      </w:r>
      <w:r w:rsidRPr="00915C0D">
        <w:rPr>
          <w:rFonts w:ascii="Times New Roman" w:hAnsi="Times New Roman"/>
          <w:sz w:val="22"/>
          <w:szCs w:val="22"/>
        </w:rPr>
        <w:tab/>
        <w:t>Guyana Forestry Commission</w:t>
      </w:r>
    </w:p>
    <w:p w14:paraId="1DF3F219"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GGMC</w:t>
      </w:r>
      <w:r w:rsidRPr="00915C0D">
        <w:rPr>
          <w:rFonts w:ascii="Times New Roman" w:hAnsi="Times New Roman"/>
          <w:sz w:val="22"/>
          <w:szCs w:val="22"/>
        </w:rPr>
        <w:tab/>
      </w:r>
      <w:r w:rsidRPr="00915C0D">
        <w:rPr>
          <w:rFonts w:ascii="Times New Roman" w:hAnsi="Times New Roman"/>
          <w:sz w:val="22"/>
          <w:szCs w:val="22"/>
        </w:rPr>
        <w:tab/>
        <w:t xml:space="preserve">Guyana Geology and Mines Commission </w:t>
      </w:r>
    </w:p>
    <w:p w14:paraId="329B6A59"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GLSC</w:t>
      </w:r>
      <w:r w:rsidRPr="00915C0D">
        <w:rPr>
          <w:rFonts w:ascii="Times New Roman" w:hAnsi="Times New Roman"/>
          <w:sz w:val="22"/>
          <w:szCs w:val="22"/>
        </w:rPr>
        <w:tab/>
      </w:r>
      <w:r w:rsidRPr="00915C0D">
        <w:rPr>
          <w:rFonts w:ascii="Times New Roman" w:hAnsi="Times New Roman"/>
          <w:sz w:val="22"/>
          <w:szCs w:val="22"/>
        </w:rPr>
        <w:tab/>
        <w:t>Guyana Lands and Survey Commission</w:t>
      </w:r>
    </w:p>
    <w:p w14:paraId="0F4B93D4" w14:textId="77777777" w:rsidR="00915C0D" w:rsidRPr="00915C0D" w:rsidRDefault="00915C0D" w:rsidP="00915C0D">
      <w:pPr>
        <w:rPr>
          <w:rFonts w:ascii="Times New Roman" w:hAnsi="Times New Roman"/>
          <w:sz w:val="22"/>
          <w:szCs w:val="22"/>
        </w:rPr>
      </w:pPr>
      <w:proofErr w:type="spellStart"/>
      <w:r w:rsidRPr="00915C0D">
        <w:rPr>
          <w:rFonts w:ascii="Times New Roman" w:hAnsi="Times New Roman"/>
          <w:sz w:val="22"/>
          <w:szCs w:val="22"/>
        </w:rPr>
        <w:t>GoG</w:t>
      </w:r>
      <w:proofErr w:type="spellEnd"/>
      <w:r w:rsidRPr="00915C0D">
        <w:rPr>
          <w:rFonts w:ascii="Times New Roman" w:hAnsi="Times New Roman"/>
          <w:sz w:val="22"/>
          <w:szCs w:val="22"/>
        </w:rPr>
        <w:tab/>
      </w:r>
      <w:r w:rsidRPr="00915C0D">
        <w:rPr>
          <w:rFonts w:ascii="Times New Roman" w:hAnsi="Times New Roman"/>
          <w:sz w:val="22"/>
          <w:szCs w:val="22"/>
        </w:rPr>
        <w:tab/>
        <w:t>Government of Guyana</w:t>
      </w:r>
    </w:p>
    <w:p w14:paraId="6172E808"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GRIF</w:t>
      </w:r>
      <w:r w:rsidRPr="00915C0D">
        <w:rPr>
          <w:rFonts w:ascii="Times New Roman" w:hAnsi="Times New Roman"/>
          <w:sz w:val="22"/>
          <w:szCs w:val="22"/>
        </w:rPr>
        <w:tab/>
      </w:r>
      <w:r w:rsidRPr="00915C0D">
        <w:rPr>
          <w:rFonts w:ascii="Times New Roman" w:hAnsi="Times New Roman"/>
          <w:sz w:val="22"/>
          <w:szCs w:val="22"/>
        </w:rPr>
        <w:tab/>
        <w:t xml:space="preserve">Guyana REDD+ Investment Fund </w:t>
      </w:r>
    </w:p>
    <w:p w14:paraId="103C67B5"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HDI</w:t>
      </w:r>
      <w:r w:rsidRPr="00915C0D">
        <w:rPr>
          <w:rFonts w:ascii="Times New Roman" w:hAnsi="Times New Roman"/>
          <w:sz w:val="22"/>
          <w:szCs w:val="22"/>
        </w:rPr>
        <w:tab/>
      </w:r>
      <w:r w:rsidRPr="00915C0D">
        <w:rPr>
          <w:rFonts w:ascii="Times New Roman" w:hAnsi="Times New Roman"/>
          <w:sz w:val="22"/>
          <w:szCs w:val="22"/>
        </w:rPr>
        <w:tab/>
        <w:t xml:space="preserve">Human Development Index </w:t>
      </w:r>
    </w:p>
    <w:p w14:paraId="78633456"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IDB</w:t>
      </w:r>
      <w:r w:rsidRPr="00915C0D">
        <w:rPr>
          <w:rFonts w:ascii="Times New Roman" w:hAnsi="Times New Roman"/>
          <w:sz w:val="22"/>
          <w:szCs w:val="22"/>
        </w:rPr>
        <w:tab/>
      </w:r>
      <w:r w:rsidRPr="00915C0D">
        <w:rPr>
          <w:rFonts w:ascii="Times New Roman" w:hAnsi="Times New Roman"/>
          <w:sz w:val="22"/>
          <w:szCs w:val="22"/>
        </w:rPr>
        <w:tab/>
        <w:t>Inter-American Development Bank</w:t>
      </w:r>
    </w:p>
    <w:p w14:paraId="10DBC02E"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JCN</w:t>
      </w:r>
      <w:r w:rsidRPr="00915C0D">
        <w:rPr>
          <w:rFonts w:ascii="Times New Roman" w:hAnsi="Times New Roman"/>
          <w:sz w:val="22"/>
          <w:szCs w:val="22"/>
        </w:rPr>
        <w:tab/>
      </w:r>
      <w:r w:rsidRPr="00915C0D">
        <w:rPr>
          <w:rFonts w:ascii="Times New Roman" w:hAnsi="Times New Roman"/>
          <w:sz w:val="22"/>
          <w:szCs w:val="22"/>
        </w:rPr>
        <w:tab/>
        <w:t>Joint Concept Note, Government of Norway &amp; Government of Guyana</w:t>
      </w:r>
    </w:p>
    <w:p w14:paraId="59685EC7"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LAC</w:t>
      </w:r>
      <w:r w:rsidRPr="00915C0D">
        <w:rPr>
          <w:rFonts w:ascii="Times New Roman" w:hAnsi="Times New Roman"/>
          <w:sz w:val="22"/>
          <w:szCs w:val="22"/>
        </w:rPr>
        <w:tab/>
      </w:r>
      <w:r w:rsidRPr="00915C0D">
        <w:rPr>
          <w:rFonts w:ascii="Times New Roman" w:hAnsi="Times New Roman"/>
          <w:sz w:val="22"/>
          <w:szCs w:val="22"/>
        </w:rPr>
        <w:tab/>
        <w:t xml:space="preserve">Latin American and the Caribbean </w:t>
      </w:r>
    </w:p>
    <w:p w14:paraId="1408EFBB"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LCDS</w:t>
      </w:r>
      <w:r w:rsidRPr="00915C0D">
        <w:rPr>
          <w:rFonts w:ascii="Times New Roman" w:hAnsi="Times New Roman"/>
          <w:sz w:val="22"/>
          <w:szCs w:val="22"/>
        </w:rPr>
        <w:tab/>
      </w:r>
      <w:r w:rsidRPr="00915C0D">
        <w:rPr>
          <w:rFonts w:ascii="Times New Roman" w:hAnsi="Times New Roman"/>
          <w:sz w:val="22"/>
          <w:szCs w:val="22"/>
        </w:rPr>
        <w:tab/>
        <w:t xml:space="preserve">Low Carbon Development Strategy </w:t>
      </w:r>
    </w:p>
    <w:p w14:paraId="35E1A0F1"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MNRE</w:t>
      </w:r>
      <w:r w:rsidRPr="00915C0D">
        <w:rPr>
          <w:rFonts w:ascii="Times New Roman" w:hAnsi="Times New Roman"/>
          <w:sz w:val="22"/>
          <w:szCs w:val="22"/>
        </w:rPr>
        <w:tab/>
      </w:r>
      <w:r w:rsidRPr="00915C0D">
        <w:rPr>
          <w:rFonts w:ascii="Times New Roman" w:hAnsi="Times New Roman"/>
          <w:sz w:val="22"/>
          <w:szCs w:val="22"/>
        </w:rPr>
        <w:tab/>
        <w:t>Ministry of Natural Resources and Environment</w:t>
      </w:r>
    </w:p>
    <w:p w14:paraId="2BE80662"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MOF</w:t>
      </w:r>
      <w:r w:rsidRPr="00915C0D">
        <w:rPr>
          <w:rFonts w:ascii="Times New Roman" w:hAnsi="Times New Roman"/>
          <w:sz w:val="22"/>
          <w:szCs w:val="22"/>
        </w:rPr>
        <w:tab/>
      </w:r>
      <w:r w:rsidRPr="00915C0D">
        <w:rPr>
          <w:rFonts w:ascii="Times New Roman" w:hAnsi="Times New Roman"/>
          <w:sz w:val="22"/>
          <w:szCs w:val="22"/>
        </w:rPr>
        <w:tab/>
        <w:t>Ministry of Finance</w:t>
      </w:r>
    </w:p>
    <w:p w14:paraId="7F49A65A"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MOU</w:t>
      </w:r>
      <w:r w:rsidRPr="00915C0D">
        <w:rPr>
          <w:rFonts w:ascii="Times New Roman" w:hAnsi="Times New Roman"/>
          <w:sz w:val="22"/>
          <w:szCs w:val="22"/>
        </w:rPr>
        <w:tab/>
      </w:r>
      <w:r w:rsidRPr="00915C0D">
        <w:rPr>
          <w:rFonts w:ascii="Times New Roman" w:hAnsi="Times New Roman"/>
          <w:sz w:val="22"/>
          <w:szCs w:val="22"/>
        </w:rPr>
        <w:tab/>
        <w:t>Memorandum of Understanding</w:t>
      </w:r>
    </w:p>
    <w:p w14:paraId="477FD935"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MRVS</w:t>
      </w:r>
      <w:r w:rsidRPr="00915C0D">
        <w:rPr>
          <w:rFonts w:ascii="Times New Roman" w:hAnsi="Times New Roman"/>
          <w:sz w:val="22"/>
          <w:szCs w:val="22"/>
        </w:rPr>
        <w:tab/>
      </w:r>
      <w:r w:rsidRPr="00915C0D">
        <w:rPr>
          <w:rFonts w:ascii="Times New Roman" w:hAnsi="Times New Roman"/>
          <w:sz w:val="22"/>
          <w:szCs w:val="22"/>
        </w:rPr>
        <w:tab/>
        <w:t xml:space="preserve">Monitoring, Reporting, and Verification System </w:t>
      </w:r>
    </w:p>
    <w:p w14:paraId="0EBCB2AE"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MSSC</w:t>
      </w:r>
      <w:r w:rsidRPr="00915C0D">
        <w:rPr>
          <w:rFonts w:ascii="Times New Roman" w:hAnsi="Times New Roman"/>
          <w:sz w:val="22"/>
          <w:szCs w:val="22"/>
        </w:rPr>
        <w:tab/>
      </w:r>
      <w:r w:rsidRPr="00915C0D">
        <w:rPr>
          <w:rFonts w:ascii="Times New Roman" w:hAnsi="Times New Roman"/>
          <w:sz w:val="22"/>
          <w:szCs w:val="22"/>
        </w:rPr>
        <w:tab/>
        <w:t xml:space="preserve">Multi-Stakeholder Steering Committee </w:t>
      </w:r>
    </w:p>
    <w:p w14:paraId="781F6A51"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OC</w:t>
      </w:r>
      <w:r w:rsidRPr="00915C0D">
        <w:rPr>
          <w:rFonts w:ascii="Times New Roman" w:hAnsi="Times New Roman"/>
          <w:sz w:val="22"/>
          <w:szCs w:val="22"/>
        </w:rPr>
        <w:tab/>
      </w:r>
      <w:r w:rsidRPr="00915C0D">
        <w:rPr>
          <w:rFonts w:ascii="Times New Roman" w:hAnsi="Times New Roman"/>
          <w:sz w:val="22"/>
          <w:szCs w:val="22"/>
        </w:rPr>
        <w:tab/>
        <w:t>Ordinary Capital</w:t>
      </w:r>
    </w:p>
    <w:p w14:paraId="683E8C9A"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PBL</w:t>
      </w:r>
      <w:r w:rsidRPr="00915C0D">
        <w:rPr>
          <w:rFonts w:ascii="Times New Roman" w:hAnsi="Times New Roman"/>
          <w:sz w:val="22"/>
          <w:szCs w:val="22"/>
        </w:rPr>
        <w:tab/>
      </w:r>
      <w:r w:rsidRPr="00915C0D">
        <w:rPr>
          <w:rFonts w:ascii="Times New Roman" w:hAnsi="Times New Roman"/>
          <w:sz w:val="22"/>
          <w:szCs w:val="22"/>
        </w:rPr>
        <w:tab/>
        <w:t>Policy Based Loan</w:t>
      </w:r>
    </w:p>
    <w:p w14:paraId="42A4CE6E"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PBP</w:t>
      </w:r>
      <w:r w:rsidRPr="00915C0D">
        <w:rPr>
          <w:rFonts w:ascii="Times New Roman" w:hAnsi="Times New Roman"/>
          <w:sz w:val="22"/>
          <w:szCs w:val="22"/>
        </w:rPr>
        <w:tab/>
      </w:r>
      <w:r w:rsidRPr="00915C0D">
        <w:rPr>
          <w:rFonts w:ascii="Times New Roman" w:hAnsi="Times New Roman"/>
          <w:sz w:val="22"/>
          <w:szCs w:val="22"/>
        </w:rPr>
        <w:tab/>
        <w:t>Programmatic Policy Based Loan</w:t>
      </w:r>
    </w:p>
    <w:p w14:paraId="47902DAC"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REDD+</w:t>
      </w:r>
      <w:r w:rsidRPr="00915C0D">
        <w:rPr>
          <w:rFonts w:ascii="Times New Roman" w:hAnsi="Times New Roman"/>
          <w:sz w:val="22"/>
          <w:szCs w:val="22"/>
        </w:rPr>
        <w:tab/>
        <w:t xml:space="preserve">Reducing Emissions from Deforestation and Forest Degradation </w:t>
      </w:r>
    </w:p>
    <w:p w14:paraId="013505EA"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UNDP</w:t>
      </w:r>
      <w:r w:rsidRPr="00915C0D">
        <w:rPr>
          <w:rFonts w:ascii="Times New Roman" w:hAnsi="Times New Roman"/>
          <w:sz w:val="22"/>
          <w:szCs w:val="22"/>
        </w:rPr>
        <w:tab/>
      </w:r>
      <w:r w:rsidRPr="00915C0D">
        <w:rPr>
          <w:rFonts w:ascii="Times New Roman" w:hAnsi="Times New Roman"/>
          <w:sz w:val="22"/>
          <w:szCs w:val="22"/>
        </w:rPr>
        <w:tab/>
        <w:t>United Nation for Development Program</w:t>
      </w:r>
    </w:p>
    <w:p w14:paraId="6A30A118"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UNFCCC</w:t>
      </w:r>
      <w:r w:rsidRPr="00915C0D">
        <w:rPr>
          <w:rFonts w:ascii="Times New Roman" w:hAnsi="Times New Roman"/>
          <w:sz w:val="22"/>
          <w:szCs w:val="22"/>
        </w:rPr>
        <w:tab/>
        <w:t>United Nations Framework Convention on Climate Change</w:t>
      </w:r>
    </w:p>
    <w:p w14:paraId="66A113AC"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VPA</w:t>
      </w:r>
      <w:r w:rsidRPr="00915C0D">
        <w:rPr>
          <w:rFonts w:ascii="Times New Roman" w:hAnsi="Times New Roman"/>
          <w:sz w:val="22"/>
          <w:szCs w:val="22"/>
        </w:rPr>
        <w:tab/>
      </w:r>
      <w:r w:rsidRPr="00915C0D">
        <w:rPr>
          <w:rFonts w:ascii="Times New Roman" w:hAnsi="Times New Roman"/>
          <w:sz w:val="22"/>
          <w:szCs w:val="22"/>
        </w:rPr>
        <w:tab/>
        <w:t xml:space="preserve">Voluntary Partnership Agreement </w:t>
      </w:r>
    </w:p>
    <w:p w14:paraId="4C7C9FC0" w14:textId="77777777" w:rsidR="00915C0D" w:rsidRPr="00915C0D" w:rsidRDefault="00915C0D" w:rsidP="00915C0D">
      <w:pPr>
        <w:rPr>
          <w:rFonts w:ascii="Times New Roman" w:hAnsi="Times New Roman"/>
          <w:sz w:val="22"/>
          <w:szCs w:val="22"/>
        </w:rPr>
      </w:pPr>
      <w:r w:rsidRPr="00915C0D">
        <w:rPr>
          <w:rFonts w:ascii="Times New Roman" w:hAnsi="Times New Roman"/>
          <w:sz w:val="22"/>
          <w:szCs w:val="22"/>
        </w:rPr>
        <w:t>WB</w:t>
      </w:r>
      <w:r w:rsidRPr="00915C0D">
        <w:rPr>
          <w:rFonts w:ascii="Times New Roman" w:hAnsi="Times New Roman"/>
          <w:sz w:val="22"/>
          <w:szCs w:val="22"/>
        </w:rPr>
        <w:tab/>
      </w:r>
      <w:r w:rsidRPr="00915C0D">
        <w:rPr>
          <w:rFonts w:ascii="Times New Roman" w:hAnsi="Times New Roman"/>
          <w:sz w:val="22"/>
          <w:szCs w:val="22"/>
        </w:rPr>
        <w:tab/>
        <w:t>World Bank</w:t>
      </w:r>
    </w:p>
    <w:p w14:paraId="640962A9" w14:textId="77777777" w:rsidR="00915C0D" w:rsidRPr="00915C0D" w:rsidRDefault="00915C0D" w:rsidP="00915C0D">
      <w:pPr>
        <w:ind w:left="720" w:hanging="720"/>
        <w:rPr>
          <w:rFonts w:ascii="Times New Roman" w:hAnsi="Times New Roman"/>
          <w:sz w:val="22"/>
          <w:szCs w:val="22"/>
        </w:rPr>
      </w:pPr>
    </w:p>
    <w:p w14:paraId="571AEC66" w14:textId="77777777" w:rsidR="00915C0D" w:rsidRPr="00915C0D" w:rsidRDefault="00915C0D">
      <w:pPr>
        <w:ind w:left="720" w:hanging="720"/>
      </w:pPr>
    </w:p>
    <w:p w14:paraId="3EEBDA53" w14:textId="77777777" w:rsidR="00915C0D" w:rsidRPr="00915C0D" w:rsidRDefault="00915C0D" w:rsidP="00915C0D">
      <w:pPr>
        <w:ind w:left="720" w:hanging="720"/>
        <w:jc w:val="center"/>
        <w:rPr>
          <w:rFonts w:ascii="Times New Roman" w:hAnsi="Times New Roman"/>
          <w:b/>
          <w:bCs/>
          <w:sz w:val="22"/>
          <w:szCs w:val="22"/>
        </w:rPr>
      </w:pPr>
      <w:r w:rsidRPr="00915C0D">
        <w:br w:type="page"/>
      </w:r>
      <w:r w:rsidRPr="00915C0D">
        <w:rPr>
          <w:rFonts w:ascii="Times New Roman" w:hAnsi="Times New Roman"/>
          <w:b/>
          <w:bCs/>
          <w:sz w:val="22"/>
          <w:szCs w:val="22"/>
        </w:rPr>
        <w:t>GUYANA</w:t>
      </w:r>
    </w:p>
    <w:p w14:paraId="792370C0" w14:textId="77777777" w:rsidR="00915C0D" w:rsidRPr="00915C0D" w:rsidRDefault="00915C0D" w:rsidP="00915C0D">
      <w:pPr>
        <w:jc w:val="center"/>
        <w:rPr>
          <w:rFonts w:ascii="Times New Roman" w:hAnsi="Times New Roman"/>
          <w:b/>
          <w:bCs/>
          <w:sz w:val="22"/>
          <w:szCs w:val="22"/>
        </w:rPr>
      </w:pPr>
      <w:r w:rsidRPr="00915C0D">
        <w:rPr>
          <w:rFonts w:ascii="Times New Roman" w:hAnsi="Times New Roman"/>
          <w:b/>
          <w:bCs/>
          <w:sz w:val="22"/>
          <w:szCs w:val="22"/>
        </w:rPr>
        <w:t>ENVIRONMENT SECTOR STRENGTHENING II (GY-L1043)</w:t>
      </w:r>
    </w:p>
    <w:p w14:paraId="5FA96458" w14:textId="77777777" w:rsidR="00915C0D" w:rsidRPr="00915C0D" w:rsidRDefault="00915C0D" w:rsidP="00915C0D">
      <w:pPr>
        <w:jc w:val="center"/>
        <w:rPr>
          <w:lang w:val="es-ES"/>
        </w:rPr>
      </w:pPr>
      <w:r w:rsidRPr="00915C0D">
        <w:rPr>
          <w:rFonts w:ascii="Times New Roman" w:hAnsi="Times New Roman"/>
          <w:b/>
          <w:sz w:val="22"/>
          <w:szCs w:val="22"/>
          <w:lang w:val="es-ES_tradnl"/>
        </w:rPr>
        <w:t xml:space="preserve">PBP </w:t>
      </w:r>
      <w:proofErr w:type="spellStart"/>
      <w:r w:rsidRPr="00915C0D">
        <w:rPr>
          <w:rFonts w:ascii="Times New Roman" w:hAnsi="Times New Roman"/>
          <w:b/>
          <w:sz w:val="22"/>
          <w:szCs w:val="22"/>
          <w:lang w:val="es-ES_tradnl"/>
        </w:rPr>
        <w:t>Economic</w:t>
      </w:r>
      <w:proofErr w:type="spellEnd"/>
      <w:r w:rsidRPr="00915C0D">
        <w:rPr>
          <w:rFonts w:ascii="Times New Roman" w:hAnsi="Times New Roman"/>
          <w:b/>
          <w:sz w:val="22"/>
          <w:szCs w:val="22"/>
          <w:lang w:val="es-ES_tradnl"/>
        </w:rPr>
        <w:t xml:space="preserve"> </w:t>
      </w:r>
      <w:proofErr w:type="spellStart"/>
      <w:r w:rsidRPr="00915C0D">
        <w:rPr>
          <w:rFonts w:ascii="Times New Roman" w:hAnsi="Times New Roman"/>
          <w:b/>
          <w:sz w:val="22"/>
          <w:szCs w:val="22"/>
          <w:lang w:val="es-ES_tradnl"/>
        </w:rPr>
        <w:t>Evaluation</w:t>
      </w:r>
      <w:proofErr w:type="spellEnd"/>
    </w:p>
    <w:p w14:paraId="007B61B5" w14:textId="77777777" w:rsidR="00915C0D" w:rsidRPr="00915C0D" w:rsidRDefault="00915C0D" w:rsidP="00915C0D">
      <w:pPr>
        <w:rPr>
          <w:i/>
          <w:sz w:val="22"/>
          <w:szCs w:val="22"/>
          <w:lang w:val="es-AR"/>
        </w:rPr>
      </w:pPr>
    </w:p>
    <w:p w14:paraId="18601926" w14:textId="77777777" w:rsidR="00915C0D" w:rsidRPr="00915C0D" w:rsidRDefault="00915C0D">
      <w:pPr>
        <w:pStyle w:val="Heading1"/>
        <w:jc w:val="left"/>
      </w:pPr>
    </w:p>
    <w:p w14:paraId="39B189B8" w14:textId="77777777" w:rsidR="00915C0D" w:rsidRPr="00915C0D" w:rsidRDefault="00915C0D" w:rsidP="00915C0D">
      <w:pPr>
        <w:pStyle w:val="Heading1"/>
        <w:ind w:left="720"/>
        <w:rPr>
          <w:lang w:val="en-US"/>
        </w:rPr>
      </w:pPr>
      <w:bookmarkStart w:id="0" w:name="_Toc403028378"/>
      <w:r w:rsidRPr="00915C0D">
        <w:rPr>
          <w:lang w:val="en-US"/>
        </w:rPr>
        <w:t>Summary</w:t>
      </w:r>
      <w:bookmarkEnd w:id="0"/>
    </w:p>
    <w:p w14:paraId="6AFD1EB0" w14:textId="77777777" w:rsidR="00915C0D" w:rsidRPr="00915C0D" w:rsidRDefault="00915C0D" w:rsidP="00915C0D">
      <w:pPr>
        <w:rPr>
          <w:lang w:val="es-ES_tradnl"/>
        </w:rPr>
      </w:pPr>
    </w:p>
    <w:p w14:paraId="0B8F28FF" w14:textId="77777777" w:rsidR="00915C0D" w:rsidRPr="00915C0D" w:rsidRDefault="00915C0D" w:rsidP="00915C0D">
      <w:pPr>
        <w:ind w:left="720"/>
        <w:jc w:val="both"/>
        <w:rPr>
          <w:rFonts w:ascii="Times New Roman" w:hAnsi="Times New Roman"/>
          <w:sz w:val="22"/>
          <w:szCs w:val="22"/>
        </w:rPr>
      </w:pPr>
      <w:r w:rsidRPr="00915C0D">
        <w:rPr>
          <w:rFonts w:ascii="Times New Roman" w:hAnsi="Times New Roman"/>
          <w:sz w:val="22"/>
          <w:szCs w:val="22"/>
        </w:rPr>
        <w:t>The economic evaluation is intended to verify the economic viability of the proposed PBP through the anticipated results and impacts. The estimate of the benefits generated in the economy of Guyana and forest-based exploitation sectors is the result of the comparison of the following two scenarios: (a) what emerges from the interventions linked to the political commitments agreed upon in the PBP (defined as the with-project scenario),; and (b) in relation to the expected economic situation in the absence of the policies (defined as the without-project scenario).</w:t>
      </w:r>
    </w:p>
    <w:p w14:paraId="0E247736" w14:textId="77777777" w:rsidR="00915C0D" w:rsidRPr="00915C0D" w:rsidRDefault="00915C0D" w:rsidP="00915C0D">
      <w:pPr>
        <w:ind w:left="720"/>
        <w:jc w:val="both"/>
        <w:rPr>
          <w:rFonts w:ascii="Times New Roman" w:hAnsi="Times New Roman"/>
          <w:sz w:val="22"/>
          <w:szCs w:val="22"/>
        </w:rPr>
      </w:pPr>
    </w:p>
    <w:p w14:paraId="27FE0B6A" w14:textId="77777777" w:rsidR="00915C0D" w:rsidRPr="00915C0D" w:rsidRDefault="00915C0D" w:rsidP="00915C0D">
      <w:pPr>
        <w:ind w:left="720"/>
        <w:jc w:val="both"/>
        <w:rPr>
          <w:rFonts w:ascii="Times New Roman" w:hAnsi="Times New Roman"/>
          <w:sz w:val="22"/>
          <w:szCs w:val="22"/>
        </w:rPr>
      </w:pPr>
      <w:r w:rsidRPr="00915C0D">
        <w:rPr>
          <w:rFonts w:ascii="Times New Roman" w:hAnsi="Times New Roman"/>
          <w:sz w:val="22"/>
          <w:szCs w:val="22"/>
        </w:rPr>
        <w:t xml:space="preserve">The policy changes implemented through this PBP will strengthen the governance and policy framework that supports the implementation of the LCDS. Most of the reforms considered focus on improving environmental institutional performance; policy commitments encompass laws, regulations, and norms that aim at improving coordination among actors, increasing efficiency, and broadening access to better environmental and natural resources management in priority sectors. </w:t>
      </w:r>
    </w:p>
    <w:p w14:paraId="5808AF35" w14:textId="77777777" w:rsidR="00915C0D" w:rsidRPr="00915C0D" w:rsidRDefault="00915C0D" w:rsidP="00915C0D">
      <w:pPr>
        <w:ind w:left="720"/>
        <w:jc w:val="both"/>
        <w:rPr>
          <w:rFonts w:ascii="Times New Roman" w:hAnsi="Times New Roman"/>
          <w:sz w:val="22"/>
          <w:szCs w:val="22"/>
        </w:rPr>
      </w:pPr>
    </w:p>
    <w:p w14:paraId="60366BF4" w14:textId="77777777" w:rsidR="00915C0D" w:rsidRPr="00915C0D" w:rsidRDefault="00915C0D" w:rsidP="00915C0D">
      <w:pPr>
        <w:ind w:left="720"/>
        <w:jc w:val="both"/>
        <w:rPr>
          <w:rFonts w:ascii="Times New Roman" w:hAnsi="Times New Roman"/>
          <w:sz w:val="22"/>
          <w:szCs w:val="22"/>
        </w:rPr>
      </w:pPr>
      <w:r w:rsidRPr="00915C0D">
        <w:rPr>
          <w:rFonts w:ascii="Times New Roman" w:hAnsi="Times New Roman"/>
          <w:sz w:val="22"/>
          <w:szCs w:val="22"/>
        </w:rPr>
        <w:t xml:space="preserve">From a global perspective, each one of the 4 components that comprise the PBL contributes to sustaining the political drive aligned with the objectives set forth in the </w:t>
      </w:r>
      <w:proofErr w:type="spellStart"/>
      <w:r w:rsidRPr="00915C0D">
        <w:rPr>
          <w:rFonts w:ascii="Times New Roman" w:hAnsi="Times New Roman"/>
          <w:sz w:val="22"/>
          <w:szCs w:val="22"/>
        </w:rPr>
        <w:t>MoU</w:t>
      </w:r>
      <w:proofErr w:type="spellEnd"/>
      <w:r w:rsidRPr="00915C0D">
        <w:rPr>
          <w:rFonts w:ascii="Times New Roman" w:hAnsi="Times New Roman"/>
          <w:sz w:val="22"/>
          <w:szCs w:val="22"/>
        </w:rPr>
        <w:t xml:space="preserve">, the REDD+ and the LCDS. Maintaining a stable macroeconomic framework (Component 1) will contribute to sustaining an atmosphere that encourages private investment and will facilitate access to new sources of financing; progress with regard to the regulatory framework (Component 2), institutional strengthening (Component 3) and verification tools (Component 4) will define the strategy and maintain alignment with the goals defined by 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w:t>
      </w:r>
    </w:p>
    <w:p w14:paraId="22D85878" w14:textId="77777777" w:rsidR="00915C0D" w:rsidRPr="00915C0D" w:rsidRDefault="00915C0D" w:rsidP="00915C0D">
      <w:pPr>
        <w:ind w:left="720"/>
        <w:jc w:val="both"/>
        <w:rPr>
          <w:rFonts w:ascii="Times New Roman" w:hAnsi="Times New Roman"/>
          <w:sz w:val="22"/>
          <w:szCs w:val="22"/>
        </w:rPr>
      </w:pPr>
    </w:p>
    <w:p w14:paraId="60C6AB7D" w14:textId="77777777" w:rsidR="00915C0D" w:rsidRPr="00915C0D" w:rsidRDefault="00915C0D" w:rsidP="00915C0D">
      <w:pPr>
        <w:ind w:left="720"/>
        <w:jc w:val="both"/>
        <w:rPr>
          <w:rFonts w:ascii="Times New Roman" w:hAnsi="Times New Roman"/>
          <w:sz w:val="22"/>
          <w:szCs w:val="22"/>
        </w:rPr>
      </w:pPr>
      <w:r w:rsidRPr="00915C0D">
        <w:rPr>
          <w:rFonts w:ascii="Times New Roman" w:hAnsi="Times New Roman"/>
          <w:sz w:val="22"/>
          <w:szCs w:val="22"/>
        </w:rPr>
        <w:t xml:space="preserve"> It is thought that this intervention, will contribute to the following achievements in the sectors in which, according to the intervention logic, the main initiatives are addressed (in this case forest and mining segments):</w:t>
      </w:r>
    </w:p>
    <w:p w14:paraId="40ADC795" w14:textId="77777777" w:rsidR="00915C0D" w:rsidRPr="00915C0D" w:rsidRDefault="00915C0D" w:rsidP="00915C0D">
      <w:pPr>
        <w:ind w:left="720"/>
        <w:jc w:val="both"/>
        <w:rPr>
          <w:rFonts w:ascii="Times New Roman" w:hAnsi="Times New Roman"/>
          <w:sz w:val="22"/>
          <w:szCs w:val="22"/>
        </w:rPr>
      </w:pPr>
    </w:p>
    <w:p w14:paraId="65CE6B8E" w14:textId="77777777" w:rsidR="00915C0D" w:rsidRPr="00915C0D" w:rsidRDefault="00915C0D" w:rsidP="00CE5909">
      <w:pPr>
        <w:pStyle w:val="ListParagraph"/>
        <w:numPr>
          <w:ilvl w:val="0"/>
          <w:numId w:val="35"/>
        </w:numPr>
        <w:jc w:val="both"/>
        <w:rPr>
          <w:rFonts w:ascii="Times New Roman" w:hAnsi="Times New Roman"/>
          <w:sz w:val="22"/>
          <w:szCs w:val="22"/>
        </w:rPr>
      </w:pPr>
      <w:r w:rsidRPr="00915C0D">
        <w:rPr>
          <w:rFonts w:ascii="Times New Roman" w:hAnsi="Times New Roman"/>
          <w:sz w:val="22"/>
          <w:szCs w:val="22"/>
          <w:u w:val="single"/>
        </w:rPr>
        <w:t>Gold Mining</w:t>
      </w:r>
      <w:r w:rsidRPr="00915C0D">
        <w:rPr>
          <w:rFonts w:ascii="Times New Roman" w:hAnsi="Times New Roman"/>
          <w:sz w:val="22"/>
          <w:szCs w:val="22"/>
        </w:rPr>
        <w:t>. The continued growth of gold mining along the current trajectory of increased activity and areal coverage, reduced efficiency, and increasing impacts could result in great challenges to meeting Guyana’s commitments under the LCDS and Norway Agreement, and jeopardize realization of potentials for non-extractive uses.</w:t>
      </w:r>
    </w:p>
    <w:p w14:paraId="3B010AEA" w14:textId="77777777" w:rsidR="00915C0D" w:rsidRPr="00915C0D" w:rsidRDefault="00915C0D" w:rsidP="00915C0D">
      <w:pPr>
        <w:pStyle w:val="ListParagraph"/>
        <w:ind w:left="1440"/>
        <w:jc w:val="both"/>
        <w:rPr>
          <w:rFonts w:ascii="Times New Roman" w:hAnsi="Times New Roman"/>
          <w:sz w:val="22"/>
          <w:szCs w:val="22"/>
        </w:rPr>
      </w:pPr>
      <w:r w:rsidRPr="00915C0D">
        <w:rPr>
          <w:rFonts w:ascii="Times New Roman" w:hAnsi="Times New Roman"/>
          <w:sz w:val="22"/>
          <w:szCs w:val="22"/>
        </w:rPr>
        <w:t xml:space="preserve">According to experiences in exploitations in other locations, productivity in terms of area unit could be increased from the adaptation of more efficient clean technologies on this matter.  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supported by the current PBP, has predicted funding for the studies enabling to structure the aforementioned adaptation, by verifying the consistency of economic feasibility of these initiatives in low and medium-scale mining operations.</w:t>
      </w:r>
    </w:p>
    <w:p w14:paraId="320C952A" w14:textId="77777777" w:rsidR="00915C0D" w:rsidRPr="00915C0D" w:rsidRDefault="00915C0D" w:rsidP="00915C0D">
      <w:pPr>
        <w:pStyle w:val="ListParagraph"/>
        <w:ind w:left="1440"/>
        <w:jc w:val="both"/>
        <w:rPr>
          <w:rFonts w:ascii="Times New Roman" w:hAnsi="Times New Roman"/>
          <w:sz w:val="22"/>
          <w:szCs w:val="22"/>
        </w:rPr>
      </w:pPr>
      <w:r w:rsidRPr="00915C0D">
        <w:rPr>
          <w:rFonts w:ascii="Times New Roman" w:hAnsi="Times New Roman"/>
          <w:sz w:val="22"/>
          <w:szCs w:val="22"/>
        </w:rPr>
        <w:t xml:space="preserve">Pessimistic scenario considering adoption levels in 25% of miners to be met 5 years after the adaptation and the net effects have been technically validated in terms of 12.5% increased productivity, the potential benefit estimated is in the amount of </w:t>
      </w:r>
      <w:r>
        <w:rPr>
          <w:rFonts w:ascii="Times New Roman" w:hAnsi="Times New Roman"/>
          <w:sz w:val="22"/>
          <w:szCs w:val="22"/>
        </w:rPr>
        <w:t>US$</w:t>
      </w:r>
      <w:r w:rsidRPr="00915C0D">
        <w:rPr>
          <w:rFonts w:ascii="Times New Roman" w:hAnsi="Times New Roman"/>
          <w:sz w:val="22"/>
          <w:szCs w:val="22"/>
        </w:rPr>
        <w:t xml:space="preserve"> 5.8 million per year. Optimistic scenario  considering adoption levels in 50% of miners to be met 5 years after the adaptation and the net effects have been technically validated in terms of  25.0% increased productivity, the potential benefit estimated is in the amount of </w:t>
      </w:r>
      <w:r>
        <w:rPr>
          <w:rFonts w:ascii="Times New Roman" w:hAnsi="Times New Roman"/>
          <w:sz w:val="22"/>
          <w:szCs w:val="22"/>
        </w:rPr>
        <w:t>US$</w:t>
      </w:r>
      <w:r w:rsidRPr="00915C0D">
        <w:rPr>
          <w:rFonts w:ascii="Times New Roman" w:hAnsi="Times New Roman"/>
          <w:sz w:val="22"/>
          <w:szCs w:val="22"/>
        </w:rPr>
        <w:t xml:space="preserve"> 23.3 million per year</w:t>
      </w:r>
      <w:r w:rsidRPr="00915C0D">
        <w:rPr>
          <w:rStyle w:val="FootnoteReference"/>
          <w:rFonts w:ascii="Times New Roman" w:hAnsi="Times New Roman"/>
          <w:sz w:val="22"/>
          <w:szCs w:val="22"/>
        </w:rPr>
        <w:footnoteReference w:id="2"/>
      </w:r>
      <w:r w:rsidRPr="00915C0D">
        <w:rPr>
          <w:rFonts w:ascii="Times New Roman" w:hAnsi="Times New Roman"/>
          <w:sz w:val="22"/>
          <w:szCs w:val="22"/>
        </w:rPr>
        <w:t xml:space="preserve">.  </w:t>
      </w:r>
    </w:p>
    <w:p w14:paraId="27C34427" w14:textId="77777777" w:rsidR="00915C0D" w:rsidRPr="00915C0D" w:rsidRDefault="00915C0D" w:rsidP="00915C0D">
      <w:pPr>
        <w:pStyle w:val="ListParagraph"/>
        <w:ind w:left="1440"/>
        <w:jc w:val="both"/>
        <w:rPr>
          <w:rFonts w:ascii="Times New Roman" w:hAnsi="Times New Roman"/>
          <w:sz w:val="22"/>
          <w:szCs w:val="22"/>
        </w:rPr>
      </w:pPr>
      <w:r w:rsidRPr="00915C0D">
        <w:rPr>
          <w:rFonts w:ascii="Times New Roman" w:hAnsi="Times New Roman"/>
          <w:sz w:val="22"/>
          <w:szCs w:val="22"/>
        </w:rPr>
        <w:t>Eliminating use of mercury implies a reduction in terms of Environmental liabilities. According to current production level and operational condition, remediation cost of environmental impact would represent a cost of US$ 56.4 Millions.</w:t>
      </w:r>
    </w:p>
    <w:p w14:paraId="091A421F" w14:textId="77777777" w:rsidR="00915C0D" w:rsidRPr="00915C0D" w:rsidRDefault="00915C0D" w:rsidP="00915C0D">
      <w:pPr>
        <w:ind w:left="720"/>
        <w:jc w:val="both"/>
        <w:rPr>
          <w:rFonts w:ascii="Times New Roman" w:hAnsi="Times New Roman"/>
          <w:sz w:val="22"/>
          <w:szCs w:val="22"/>
        </w:rPr>
      </w:pPr>
    </w:p>
    <w:p w14:paraId="4F674A58" w14:textId="77777777" w:rsidR="00915C0D" w:rsidRPr="00915C0D" w:rsidRDefault="00915C0D" w:rsidP="00CE5909">
      <w:pPr>
        <w:pStyle w:val="ListParagraph"/>
        <w:numPr>
          <w:ilvl w:val="0"/>
          <w:numId w:val="35"/>
        </w:numPr>
        <w:jc w:val="both"/>
        <w:rPr>
          <w:rFonts w:ascii="Times New Roman" w:hAnsi="Times New Roman"/>
          <w:sz w:val="22"/>
          <w:szCs w:val="22"/>
        </w:rPr>
      </w:pPr>
      <w:r w:rsidRPr="00915C0D">
        <w:rPr>
          <w:rFonts w:ascii="Times New Roman" w:hAnsi="Times New Roman"/>
          <w:sz w:val="22"/>
          <w:szCs w:val="22"/>
          <w:u w:val="single"/>
        </w:rPr>
        <w:t>Forestry</w:t>
      </w:r>
      <w:r w:rsidRPr="00915C0D">
        <w:rPr>
          <w:rFonts w:ascii="Times New Roman" w:hAnsi="Times New Roman"/>
          <w:sz w:val="22"/>
          <w:szCs w:val="22"/>
        </w:rPr>
        <w:t xml:space="preserve">.  Conceptually, the incorporation of Guyana into the international marketing systems that rely on legally sourced and environmentally sustainable timber is critical, since the future of the sector foresees, not just a price differential, but the disappearance of non-certified product buyers. 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strategy as regards origin certification and legality of wood will operate in the general protection framework defined by the agreement with the European Union, under FLEGT terms. Thereafter, the aim is to foster development of the different internationally valid certification systems. </w:t>
      </w:r>
    </w:p>
    <w:p w14:paraId="489BFCD1" w14:textId="77777777" w:rsidR="00915C0D" w:rsidRPr="00915C0D" w:rsidRDefault="00915C0D" w:rsidP="00915C0D">
      <w:pPr>
        <w:pStyle w:val="ListParagraph"/>
        <w:ind w:left="1440"/>
        <w:jc w:val="both"/>
        <w:rPr>
          <w:rFonts w:ascii="Times New Roman" w:hAnsi="Times New Roman"/>
          <w:sz w:val="22"/>
          <w:szCs w:val="22"/>
        </w:rPr>
      </w:pPr>
      <w:r w:rsidRPr="00915C0D">
        <w:rPr>
          <w:rFonts w:ascii="Times New Roman" w:hAnsi="Times New Roman"/>
          <w:sz w:val="22"/>
          <w:szCs w:val="22"/>
        </w:rPr>
        <w:t xml:space="preserve">According to references, it can be concluded that the market assigned value differential between certified and non-certified products is around 20% of the price. </w:t>
      </w:r>
      <w:r w:rsidRPr="00915C0D">
        <w:rPr>
          <w:rFonts w:ascii="Times New Roman" w:hAnsi="Times New Roman"/>
          <w:i/>
          <w:sz w:val="22"/>
          <w:szCs w:val="22"/>
        </w:rPr>
        <w:t>Pessimistic Scenario.</w:t>
      </w:r>
      <w:r w:rsidRPr="00915C0D">
        <w:rPr>
          <w:rFonts w:ascii="Times New Roman" w:hAnsi="Times New Roman"/>
          <w:sz w:val="22"/>
          <w:szCs w:val="22"/>
        </w:rPr>
        <w:t xml:space="preserve"> It is estimated that through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intervention aimed at supporting the legal trade of forest products, at the current levels of activity, there could be additional income in the amount of </w:t>
      </w:r>
      <w:r>
        <w:rPr>
          <w:rFonts w:ascii="Times New Roman" w:hAnsi="Times New Roman"/>
          <w:sz w:val="22"/>
          <w:szCs w:val="22"/>
        </w:rPr>
        <w:t>US$</w:t>
      </w:r>
      <w:r w:rsidRPr="00915C0D">
        <w:rPr>
          <w:rFonts w:ascii="Times New Roman" w:hAnsi="Times New Roman"/>
          <w:sz w:val="22"/>
          <w:szCs w:val="22"/>
        </w:rPr>
        <w:t xml:space="preserve"> 4,3 million annually in the primary and added value production (considering 25% of the primary producers adopting this mechanism). Optimistic Scenario.  In addition, this represents a significant move towards the expansion of the value chain, enhancing the opportunities for forest-based manufactures, where a potential of additional profits is detected in the amount of </w:t>
      </w:r>
      <w:r>
        <w:rPr>
          <w:rFonts w:ascii="Times New Roman" w:hAnsi="Times New Roman"/>
          <w:sz w:val="22"/>
          <w:szCs w:val="22"/>
        </w:rPr>
        <w:t>US$</w:t>
      </w:r>
      <w:r w:rsidRPr="00915C0D">
        <w:rPr>
          <w:rFonts w:ascii="Times New Roman" w:hAnsi="Times New Roman"/>
          <w:sz w:val="22"/>
          <w:szCs w:val="22"/>
        </w:rPr>
        <w:t xml:space="preserve"> 3.0 million per year (total expected benefit </w:t>
      </w:r>
      <w:r>
        <w:rPr>
          <w:rFonts w:ascii="Times New Roman" w:hAnsi="Times New Roman"/>
          <w:sz w:val="22"/>
          <w:szCs w:val="22"/>
        </w:rPr>
        <w:t>US$</w:t>
      </w:r>
      <w:r w:rsidRPr="00915C0D">
        <w:rPr>
          <w:rFonts w:ascii="Times New Roman" w:hAnsi="Times New Roman"/>
          <w:sz w:val="22"/>
          <w:szCs w:val="22"/>
        </w:rPr>
        <w:t xml:space="preserve"> 7,3 Million).</w:t>
      </w:r>
    </w:p>
    <w:p w14:paraId="233EB884" w14:textId="77777777" w:rsidR="00915C0D" w:rsidRPr="00915C0D" w:rsidRDefault="00915C0D" w:rsidP="00915C0D">
      <w:pPr>
        <w:ind w:left="720"/>
        <w:jc w:val="both"/>
        <w:rPr>
          <w:rFonts w:ascii="Times New Roman" w:hAnsi="Times New Roman"/>
          <w:sz w:val="22"/>
          <w:szCs w:val="22"/>
        </w:rPr>
      </w:pPr>
    </w:p>
    <w:p w14:paraId="38396A95" w14:textId="77777777" w:rsidR="00915C0D" w:rsidRPr="00915C0D" w:rsidRDefault="00915C0D" w:rsidP="00915C0D">
      <w:pPr>
        <w:ind w:left="720"/>
        <w:jc w:val="both"/>
        <w:rPr>
          <w:rFonts w:ascii="Times New Roman" w:hAnsi="Times New Roman"/>
          <w:sz w:val="22"/>
          <w:szCs w:val="22"/>
        </w:rPr>
      </w:pPr>
      <w:r w:rsidRPr="00915C0D">
        <w:rPr>
          <w:rFonts w:ascii="Times New Roman" w:hAnsi="Times New Roman"/>
          <w:sz w:val="22"/>
          <w:szCs w:val="22"/>
        </w:rPr>
        <w:t>As a final reference, a Cost/Benefit relationship of 5.4 (Pessimistic Scenario) and 7.9 (Optimistic Scenario) may be established, taking into account the funds disbursed in both parts of the present PBP (US$ 34.1 Million) and the estimate of benefits provided by the present intervention (both values deducted at the Program's start date).</w:t>
      </w:r>
      <w:r w:rsidRPr="00915C0D">
        <w:rPr>
          <w:rStyle w:val="FootnoteReference"/>
          <w:rFonts w:ascii="Times New Roman" w:hAnsi="Times New Roman"/>
          <w:sz w:val="22"/>
          <w:szCs w:val="22"/>
        </w:rPr>
        <w:footnoteReference w:id="3"/>
      </w:r>
    </w:p>
    <w:p w14:paraId="0DBAACAD" w14:textId="77777777" w:rsidR="00915C0D" w:rsidRPr="00017F75" w:rsidRDefault="00915C0D" w:rsidP="00915C0D"/>
    <w:p w14:paraId="4D7F1475" w14:textId="77777777" w:rsidR="00915C0D" w:rsidRPr="00017F75" w:rsidRDefault="00915C0D" w:rsidP="00915C0D"/>
    <w:p w14:paraId="1F409B68" w14:textId="77777777" w:rsidR="00915C0D" w:rsidRPr="00915C0D" w:rsidRDefault="00915C0D" w:rsidP="00CE5909">
      <w:pPr>
        <w:pStyle w:val="Heading1"/>
        <w:numPr>
          <w:ilvl w:val="0"/>
          <w:numId w:val="7"/>
        </w:numPr>
        <w:rPr>
          <w:lang w:val="en-US"/>
        </w:rPr>
      </w:pPr>
      <w:bookmarkStart w:id="1" w:name="_Toc403028379"/>
      <w:proofErr w:type="spellStart"/>
      <w:r w:rsidRPr="00915C0D">
        <w:t>Introduction</w:t>
      </w:r>
      <w:proofErr w:type="spellEnd"/>
      <w:r w:rsidRPr="00915C0D">
        <w:t>.</w:t>
      </w:r>
      <w:bookmarkEnd w:id="1"/>
    </w:p>
    <w:p w14:paraId="0C96A287" w14:textId="77777777" w:rsidR="00915C0D" w:rsidRPr="00915C0D" w:rsidRDefault="00915C0D" w:rsidP="00915C0D">
      <w:pPr>
        <w:pStyle w:val="Heading3"/>
        <w:spacing w:before="120"/>
        <w:rPr>
          <w:sz w:val="22"/>
          <w:szCs w:val="22"/>
          <w:lang w:val="es-AR"/>
        </w:rPr>
      </w:pPr>
      <w:bookmarkStart w:id="2" w:name="_Toc403028380"/>
      <w:r w:rsidRPr="00915C0D">
        <w:rPr>
          <w:iCs/>
          <w:sz w:val="22"/>
          <w:szCs w:val="22"/>
        </w:rPr>
        <w:t>Program Framework and Progress.</w:t>
      </w:r>
      <w:bookmarkEnd w:id="2"/>
    </w:p>
    <w:p w14:paraId="09E5BBEF" w14:textId="77777777" w:rsidR="00915C0D" w:rsidRPr="00915C0D" w:rsidRDefault="00915C0D" w:rsidP="00915C0D">
      <w:pPr>
        <w:ind w:left="142"/>
        <w:jc w:val="both"/>
        <w:rPr>
          <w:rFonts w:ascii="Times New Roman" w:hAnsi="Times New Roman"/>
          <w:bCs/>
          <w:sz w:val="22"/>
          <w:lang w:val="es-AR"/>
        </w:rPr>
      </w:pPr>
    </w:p>
    <w:p w14:paraId="4D677DB7" w14:textId="77777777" w:rsidR="00915C0D" w:rsidRPr="00017F75" w:rsidRDefault="00915C0D" w:rsidP="00915C0D">
      <w:pPr>
        <w:numPr>
          <w:ilvl w:val="1"/>
          <w:numId w:val="1"/>
        </w:numPr>
        <w:tabs>
          <w:tab w:val="num" w:pos="958"/>
        </w:tabs>
        <w:jc w:val="both"/>
        <w:rPr>
          <w:rFonts w:ascii="Times New Roman" w:hAnsi="Times New Roman"/>
          <w:bCs/>
          <w:sz w:val="22"/>
          <w:szCs w:val="22"/>
        </w:rPr>
      </w:pPr>
      <w:r w:rsidRPr="00915C0D">
        <w:rPr>
          <w:rFonts w:ascii="Times New Roman" w:hAnsi="Times New Roman"/>
          <w:i/>
          <w:iCs/>
          <w:sz w:val="22"/>
          <w:szCs w:val="22"/>
        </w:rPr>
        <w:t>Background.</w:t>
      </w:r>
      <w:r w:rsidRPr="00915C0D">
        <w:rPr>
          <w:rFonts w:ascii="Times New Roman" w:hAnsi="Times New Roman"/>
          <w:sz w:val="22"/>
          <w:szCs w:val="22"/>
        </w:rPr>
        <w:t xml:space="preserve"> As part of the Low Carbon Development Strategy (LCDS), approved in 2009 and amended in 2013, the Government of Guyana (hereafter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is emphasizing the importance of environmental protection for long-term sustainable development.  This initiative has three fundamental components: (</w:t>
      </w:r>
      <w:proofErr w:type="spellStart"/>
      <w:r w:rsidRPr="00915C0D">
        <w:rPr>
          <w:rFonts w:ascii="Times New Roman" w:hAnsi="Times New Roman"/>
          <w:sz w:val="22"/>
          <w:szCs w:val="22"/>
        </w:rPr>
        <w:t>i</w:t>
      </w:r>
      <w:proofErr w:type="spellEnd"/>
      <w:r w:rsidRPr="00915C0D">
        <w:rPr>
          <w:rFonts w:ascii="Times New Roman" w:hAnsi="Times New Roman"/>
          <w:sz w:val="22"/>
          <w:szCs w:val="22"/>
        </w:rPr>
        <w:t>) creating a low-carbon emissions economy, for which reforms are planned in the mining and forestry sectors; (ii) developing an economy that is resistant to the effects of climate change through investment in priority infrastructure; and (iii) procuring financing, where the bulk of resources come from a Memorandum of Understanding signed by the governments of Norway and Guyana (</w:t>
      </w:r>
      <w:proofErr w:type="spellStart"/>
      <w:r w:rsidRPr="00915C0D">
        <w:rPr>
          <w:rFonts w:ascii="Times New Roman" w:hAnsi="Times New Roman"/>
          <w:sz w:val="22"/>
          <w:szCs w:val="22"/>
        </w:rPr>
        <w:t>MoU</w:t>
      </w:r>
      <w:proofErr w:type="spellEnd"/>
      <w:r w:rsidRPr="00915C0D">
        <w:rPr>
          <w:rFonts w:ascii="Times New Roman" w:hAnsi="Times New Roman"/>
          <w:sz w:val="22"/>
          <w:szCs w:val="22"/>
        </w:rPr>
        <w:t>), and are managed in the framework of the Guyana REDD+ Investment Fund.</w:t>
      </w:r>
    </w:p>
    <w:p w14:paraId="164EB0AC" w14:textId="77777777" w:rsidR="00915C0D" w:rsidRPr="00017F75" w:rsidRDefault="00915C0D" w:rsidP="00915C0D">
      <w:pPr>
        <w:tabs>
          <w:tab w:val="num" w:pos="958"/>
        </w:tabs>
        <w:ind w:left="718"/>
        <w:jc w:val="both"/>
        <w:rPr>
          <w:rFonts w:ascii="Times New Roman" w:hAnsi="Times New Roman"/>
          <w:bCs/>
          <w:sz w:val="22"/>
          <w:szCs w:val="22"/>
        </w:rPr>
      </w:pPr>
    </w:p>
    <w:p w14:paraId="63DC6C22" w14:textId="77777777" w:rsidR="00915C0D" w:rsidRPr="00017F75" w:rsidRDefault="00915C0D" w:rsidP="00915C0D">
      <w:pPr>
        <w:numPr>
          <w:ilvl w:val="1"/>
          <w:numId w:val="1"/>
        </w:numPr>
        <w:tabs>
          <w:tab w:val="num" w:pos="958"/>
        </w:tabs>
        <w:jc w:val="both"/>
        <w:rPr>
          <w:rFonts w:ascii="Times New Roman" w:hAnsi="Times New Roman"/>
          <w:bCs/>
          <w:sz w:val="22"/>
          <w:szCs w:val="22"/>
        </w:rPr>
      </w:pPr>
      <w:r w:rsidRPr="00915C0D">
        <w:rPr>
          <w:rFonts w:ascii="Times New Roman" w:hAnsi="Times New Roman"/>
          <w:i/>
          <w:iCs/>
          <w:sz w:val="22"/>
          <w:szCs w:val="22"/>
        </w:rPr>
        <w:t>Intervention progress.</w:t>
      </w:r>
      <w:r w:rsidRPr="00915C0D">
        <w:rPr>
          <w:rFonts w:ascii="Times New Roman" w:hAnsi="Times New Roman"/>
          <w:sz w:val="22"/>
          <w:szCs w:val="22"/>
        </w:rPr>
        <w:t xml:space="preserve"> Within this context, the Environment, Rural Development and Disaster Risk Management Division (RND) of the bank is making progress in preparing the second phase of a Policy-Based Loan (GY-L1043), Environment Sector Strengthening II, successor to the PBP approved in 2013. Both stages of the programmatic structure have the same objectives, which consist of promoting: (</w:t>
      </w:r>
      <w:proofErr w:type="spellStart"/>
      <w:r w:rsidRPr="00915C0D">
        <w:rPr>
          <w:rFonts w:ascii="Times New Roman" w:hAnsi="Times New Roman"/>
          <w:sz w:val="22"/>
          <w:szCs w:val="22"/>
        </w:rPr>
        <w:t>i</w:t>
      </w:r>
      <w:proofErr w:type="spellEnd"/>
      <w:r w:rsidRPr="00915C0D">
        <w:rPr>
          <w:rFonts w:ascii="Times New Roman" w:hAnsi="Times New Roman"/>
          <w:sz w:val="22"/>
          <w:szCs w:val="22"/>
        </w:rPr>
        <w:t xml:space="preserve">) greater macroeconomic stability; (ii) an appropriate regulatory framework that supports the implementation of the LCDS and modernizes the management of sectors that rely on forest resources (principally mining and forestry); (iii) the institutional strengthening of the Government of Guyana's capacity to address environmental concerns; and (iv) efficient monitoring and the development of reporting and verification systems. The first payment (PBP First, GY-L1039, was disbursed in December of 2013) and the second payment (PBP Second) is in the design phase following the same conceptual guidelines.  </w:t>
      </w:r>
    </w:p>
    <w:p w14:paraId="1A2D304B" w14:textId="77777777" w:rsidR="00915C0D" w:rsidRPr="00017F75" w:rsidRDefault="00915C0D" w:rsidP="00915C0D">
      <w:pPr>
        <w:pStyle w:val="ListParagraph"/>
        <w:rPr>
          <w:rFonts w:ascii="Times New Roman" w:hAnsi="Times New Roman"/>
          <w:bCs/>
          <w:sz w:val="22"/>
          <w:szCs w:val="22"/>
          <w:lang w:eastAsia="es-ES_tradnl"/>
        </w:rPr>
      </w:pPr>
    </w:p>
    <w:p w14:paraId="52A25BDA" w14:textId="77777777" w:rsidR="00915C0D" w:rsidRPr="00017F75" w:rsidRDefault="00915C0D" w:rsidP="00915C0D">
      <w:pPr>
        <w:numPr>
          <w:ilvl w:val="1"/>
          <w:numId w:val="1"/>
        </w:numPr>
        <w:tabs>
          <w:tab w:val="num" w:pos="958"/>
        </w:tabs>
        <w:jc w:val="both"/>
        <w:rPr>
          <w:rFonts w:ascii="Times New Roman" w:hAnsi="Times New Roman"/>
          <w:bCs/>
          <w:sz w:val="22"/>
          <w:szCs w:val="22"/>
        </w:rPr>
      </w:pPr>
      <w:r w:rsidRPr="00915C0D">
        <w:rPr>
          <w:rFonts w:ascii="Times New Roman" w:hAnsi="Times New Roman"/>
          <w:i/>
          <w:iCs/>
          <w:sz w:val="22"/>
          <w:szCs w:val="22"/>
        </w:rPr>
        <w:t>Expected results.</w:t>
      </w:r>
      <w:r w:rsidRPr="00915C0D">
        <w:rPr>
          <w:rFonts w:ascii="Times New Roman" w:hAnsi="Times New Roman"/>
          <w:sz w:val="22"/>
          <w:szCs w:val="22"/>
        </w:rPr>
        <w:t xml:space="preserve"> Despite of the economic progress of the last decade, 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still faces a number of vulnerabilities including: (</w:t>
      </w:r>
      <w:proofErr w:type="spellStart"/>
      <w:r w:rsidRPr="00915C0D">
        <w:rPr>
          <w:rFonts w:ascii="Times New Roman" w:hAnsi="Times New Roman"/>
          <w:sz w:val="22"/>
          <w:szCs w:val="22"/>
        </w:rPr>
        <w:t>i</w:t>
      </w:r>
      <w:proofErr w:type="spellEnd"/>
      <w:r w:rsidRPr="00915C0D">
        <w:rPr>
          <w:rFonts w:ascii="Times New Roman" w:hAnsi="Times New Roman"/>
          <w:sz w:val="22"/>
          <w:szCs w:val="22"/>
        </w:rPr>
        <w:t xml:space="preserve">) strengthening the efficiency and effectiveness of the public sector and (ii) reconciling its economic growth with the preservation of natural resources, which are its principal asset. With this in mind, the measures presented by 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and backed by the current Program, are designed to update and modernize its policy framework in order to achieve the following objectives: </w:t>
      </w:r>
    </w:p>
    <w:p w14:paraId="39AA9349" w14:textId="77777777" w:rsidR="00915C0D" w:rsidRPr="00017F75" w:rsidRDefault="00915C0D" w:rsidP="00CE5909">
      <w:pPr>
        <w:numPr>
          <w:ilvl w:val="0"/>
          <w:numId w:val="12"/>
        </w:numPr>
        <w:ind w:left="1134" w:hanging="141"/>
        <w:jc w:val="both"/>
        <w:rPr>
          <w:rFonts w:ascii="Times New Roman" w:hAnsi="Times New Roman"/>
          <w:bCs/>
          <w:sz w:val="22"/>
          <w:szCs w:val="22"/>
        </w:rPr>
      </w:pPr>
      <w:r w:rsidRPr="00915C0D">
        <w:rPr>
          <w:rFonts w:ascii="Times New Roman" w:hAnsi="Times New Roman"/>
          <w:sz w:val="22"/>
          <w:szCs w:val="22"/>
        </w:rPr>
        <w:t>help stimulate growth of Guyana' s economy;</w:t>
      </w:r>
    </w:p>
    <w:p w14:paraId="5FE1303C" w14:textId="77777777" w:rsidR="00915C0D" w:rsidRPr="00017F75" w:rsidRDefault="00915C0D" w:rsidP="00CE5909">
      <w:pPr>
        <w:numPr>
          <w:ilvl w:val="0"/>
          <w:numId w:val="12"/>
        </w:numPr>
        <w:ind w:left="1134" w:hanging="141"/>
        <w:jc w:val="both"/>
        <w:rPr>
          <w:rFonts w:ascii="Times New Roman" w:hAnsi="Times New Roman"/>
          <w:bCs/>
          <w:sz w:val="22"/>
          <w:szCs w:val="22"/>
        </w:rPr>
      </w:pPr>
      <w:proofErr w:type="gramStart"/>
      <w:r w:rsidRPr="00915C0D">
        <w:rPr>
          <w:rFonts w:ascii="Times New Roman" w:hAnsi="Times New Roman"/>
          <w:sz w:val="22"/>
          <w:szCs w:val="22"/>
        </w:rPr>
        <w:t>ensure</w:t>
      </w:r>
      <w:proofErr w:type="gramEnd"/>
      <w:r w:rsidRPr="00915C0D">
        <w:rPr>
          <w:rFonts w:ascii="Times New Roman" w:hAnsi="Times New Roman"/>
          <w:sz w:val="22"/>
          <w:szCs w:val="22"/>
        </w:rPr>
        <w:t xml:space="preserve"> that the commitments established in the </w:t>
      </w:r>
      <w:proofErr w:type="spellStart"/>
      <w:r w:rsidRPr="00915C0D">
        <w:rPr>
          <w:rFonts w:ascii="Times New Roman" w:hAnsi="Times New Roman"/>
          <w:sz w:val="22"/>
          <w:szCs w:val="22"/>
        </w:rPr>
        <w:t>MoU</w:t>
      </w:r>
      <w:proofErr w:type="spellEnd"/>
      <w:r w:rsidRPr="00915C0D">
        <w:rPr>
          <w:rFonts w:ascii="Times New Roman" w:hAnsi="Times New Roman"/>
          <w:sz w:val="22"/>
          <w:szCs w:val="22"/>
        </w:rPr>
        <w:t xml:space="preserve"> between the Government of Guyana and the Government of Norway are fulfilled.</w:t>
      </w:r>
    </w:p>
    <w:p w14:paraId="5D044A08" w14:textId="77777777" w:rsidR="00915C0D" w:rsidRPr="00017F75" w:rsidRDefault="00915C0D" w:rsidP="00CE5909">
      <w:pPr>
        <w:numPr>
          <w:ilvl w:val="0"/>
          <w:numId w:val="12"/>
        </w:numPr>
        <w:ind w:left="1134" w:hanging="141"/>
        <w:jc w:val="both"/>
        <w:rPr>
          <w:rFonts w:ascii="Times New Roman" w:hAnsi="Times New Roman"/>
          <w:bCs/>
          <w:sz w:val="22"/>
          <w:szCs w:val="22"/>
        </w:rPr>
      </w:pPr>
      <w:r w:rsidRPr="00915C0D">
        <w:rPr>
          <w:rFonts w:ascii="Times New Roman" w:hAnsi="Times New Roman"/>
          <w:sz w:val="22"/>
          <w:szCs w:val="22"/>
        </w:rPr>
        <w:t xml:space="preserve">guide the development strategy toward a low carbon emission strategy (LCDS), prioritizing investments for that purpose and encouraging sectors that use that production logic and; </w:t>
      </w:r>
    </w:p>
    <w:p w14:paraId="089905C1" w14:textId="77777777" w:rsidR="00915C0D" w:rsidRPr="00017F75" w:rsidRDefault="00915C0D" w:rsidP="00CE5909">
      <w:pPr>
        <w:numPr>
          <w:ilvl w:val="0"/>
          <w:numId w:val="12"/>
        </w:numPr>
        <w:ind w:left="1134" w:hanging="141"/>
        <w:jc w:val="both"/>
        <w:rPr>
          <w:rFonts w:ascii="Times New Roman" w:hAnsi="Times New Roman"/>
          <w:bCs/>
          <w:sz w:val="22"/>
          <w:szCs w:val="22"/>
        </w:rPr>
      </w:pPr>
      <w:proofErr w:type="gramStart"/>
      <w:r w:rsidRPr="00915C0D">
        <w:rPr>
          <w:rFonts w:ascii="Times New Roman" w:hAnsi="Times New Roman"/>
          <w:sz w:val="22"/>
          <w:szCs w:val="22"/>
        </w:rPr>
        <w:t>expand</w:t>
      </w:r>
      <w:proofErr w:type="gramEnd"/>
      <w:r w:rsidRPr="00915C0D">
        <w:rPr>
          <w:rFonts w:ascii="Times New Roman" w:hAnsi="Times New Roman"/>
          <w:sz w:val="22"/>
          <w:szCs w:val="22"/>
        </w:rPr>
        <w:t xml:space="preserve"> the sustainable management of natural resources, adapting and modernizing the control, monitoring and reporting systems, with a special emphasis on the tracking of the forest and mining sectors.</w:t>
      </w:r>
    </w:p>
    <w:p w14:paraId="717E5F5A" w14:textId="77777777" w:rsidR="00915C0D" w:rsidRPr="00017F75" w:rsidRDefault="00915C0D" w:rsidP="00915C0D">
      <w:pPr>
        <w:ind w:left="1134"/>
        <w:jc w:val="both"/>
        <w:rPr>
          <w:rFonts w:ascii="Times New Roman" w:hAnsi="Times New Roman"/>
          <w:bCs/>
          <w:sz w:val="22"/>
          <w:szCs w:val="22"/>
        </w:rPr>
      </w:pPr>
    </w:p>
    <w:p w14:paraId="181D0046" w14:textId="77777777" w:rsidR="00915C0D" w:rsidRPr="00915C0D" w:rsidRDefault="00915C0D" w:rsidP="00CE5909">
      <w:pPr>
        <w:pStyle w:val="Heading1"/>
        <w:numPr>
          <w:ilvl w:val="0"/>
          <w:numId w:val="7"/>
        </w:numPr>
      </w:pPr>
      <w:bookmarkStart w:id="3" w:name="_Toc299956642"/>
      <w:bookmarkStart w:id="4" w:name="_Toc403028381"/>
      <w:proofErr w:type="spellStart"/>
      <w:r w:rsidRPr="00915C0D">
        <w:t>Evaluation</w:t>
      </w:r>
      <w:proofErr w:type="spellEnd"/>
      <w:r w:rsidRPr="00915C0D">
        <w:t xml:space="preserve"> </w:t>
      </w:r>
      <w:bookmarkEnd w:id="3"/>
      <w:proofErr w:type="spellStart"/>
      <w:r w:rsidRPr="00915C0D">
        <w:t>assumptions</w:t>
      </w:r>
      <w:proofErr w:type="spellEnd"/>
      <w:r w:rsidRPr="00915C0D">
        <w:t xml:space="preserve"> and </w:t>
      </w:r>
      <w:proofErr w:type="spellStart"/>
      <w:r w:rsidRPr="00915C0D">
        <w:t>methodology</w:t>
      </w:r>
      <w:bookmarkEnd w:id="4"/>
      <w:proofErr w:type="spellEnd"/>
    </w:p>
    <w:p w14:paraId="2BA04B95" w14:textId="77777777" w:rsidR="00915C0D" w:rsidRPr="00915C0D" w:rsidRDefault="00915C0D" w:rsidP="00915C0D">
      <w:pPr>
        <w:pStyle w:val="Heading3"/>
        <w:rPr>
          <w:sz w:val="22"/>
          <w:szCs w:val="22"/>
          <w:lang w:val="es-ES_tradnl"/>
        </w:rPr>
      </w:pPr>
      <w:bookmarkStart w:id="5" w:name="_Toc403028382"/>
      <w:r w:rsidRPr="00915C0D">
        <w:rPr>
          <w:iCs/>
          <w:sz w:val="22"/>
          <w:szCs w:val="22"/>
        </w:rPr>
        <w:t>Conceptual Framework.</w:t>
      </w:r>
      <w:bookmarkEnd w:id="5"/>
    </w:p>
    <w:p w14:paraId="3F8057EA" w14:textId="77777777" w:rsidR="00915C0D" w:rsidRPr="00915C0D" w:rsidRDefault="00915C0D" w:rsidP="00915C0D">
      <w:pPr>
        <w:pStyle w:val="ListParagraph1"/>
        <w:tabs>
          <w:tab w:val="num" w:pos="958"/>
        </w:tabs>
        <w:ind w:left="0"/>
        <w:jc w:val="both"/>
        <w:rPr>
          <w:rFonts w:ascii="Times New Roman" w:hAnsi="Times New Roman"/>
          <w:bCs/>
          <w:sz w:val="22"/>
          <w:lang w:val="es-ES_tradnl"/>
        </w:rPr>
      </w:pPr>
    </w:p>
    <w:p w14:paraId="39B97C1B" w14:textId="002ABD3F" w:rsidR="00915C0D" w:rsidRPr="00017F75" w:rsidRDefault="00915C0D" w:rsidP="00D421FA">
      <w:pPr>
        <w:numPr>
          <w:ilvl w:val="1"/>
          <w:numId w:val="36"/>
        </w:numPr>
        <w:tabs>
          <w:tab w:val="num" w:pos="958"/>
        </w:tabs>
        <w:jc w:val="both"/>
        <w:rPr>
          <w:rFonts w:ascii="Times New Roman" w:hAnsi="Times New Roman"/>
          <w:bCs/>
          <w:sz w:val="22"/>
        </w:rPr>
      </w:pPr>
      <w:r w:rsidRPr="00915C0D">
        <w:rPr>
          <w:rFonts w:ascii="Times New Roman" w:hAnsi="Times New Roman"/>
          <w:sz w:val="22"/>
          <w:szCs w:val="22"/>
        </w:rPr>
        <w:t>The economic soundness of the anticipated investments and activities linked to policy commitments included in the Environment Sector Strengthening Program in Guyana requires justification.  To that end</w:t>
      </w:r>
      <w:r w:rsidR="00C97B7B">
        <w:rPr>
          <w:rFonts w:ascii="Times New Roman" w:hAnsi="Times New Roman"/>
          <w:sz w:val="22"/>
          <w:szCs w:val="22"/>
        </w:rPr>
        <w:t xml:space="preserve">, the methodology is </w:t>
      </w:r>
      <w:r w:rsidRPr="00915C0D">
        <w:rPr>
          <w:rFonts w:ascii="Times New Roman" w:hAnsi="Times New Roman"/>
          <w:sz w:val="22"/>
          <w:szCs w:val="22"/>
        </w:rPr>
        <w:t>supported by a general descriptive analysis of the economic reasoning behind it. This includes: (</w:t>
      </w:r>
      <w:proofErr w:type="spellStart"/>
      <w:r w:rsidRPr="00915C0D">
        <w:rPr>
          <w:rFonts w:ascii="Times New Roman" w:hAnsi="Times New Roman"/>
          <w:sz w:val="22"/>
          <w:szCs w:val="22"/>
        </w:rPr>
        <w:t>i</w:t>
      </w:r>
      <w:proofErr w:type="spellEnd"/>
      <w:r w:rsidRPr="00915C0D">
        <w:rPr>
          <w:rFonts w:ascii="Times New Roman" w:hAnsi="Times New Roman"/>
          <w:sz w:val="22"/>
          <w:szCs w:val="22"/>
        </w:rPr>
        <w:t xml:space="preserve">) establishing the principal impacts expected at the general level of the economy; and (ii) adopting the cost-benefit approach to identify and explain the expected results in the sectors toward which the main initiatives are directed (in this case the forestry and mining sectors), based on evidence and/or estimates supported by technical research. </w:t>
      </w:r>
    </w:p>
    <w:p w14:paraId="1BDAF852" w14:textId="77777777" w:rsidR="00915C0D" w:rsidRPr="00017F75" w:rsidRDefault="00915C0D" w:rsidP="00915C0D">
      <w:pPr>
        <w:tabs>
          <w:tab w:val="num" w:pos="958"/>
        </w:tabs>
        <w:ind w:left="792"/>
        <w:jc w:val="both"/>
        <w:rPr>
          <w:rFonts w:ascii="Times New Roman" w:hAnsi="Times New Roman"/>
          <w:bCs/>
          <w:sz w:val="22"/>
        </w:rPr>
      </w:pPr>
    </w:p>
    <w:p w14:paraId="3A751378" w14:textId="77777777" w:rsidR="00915C0D" w:rsidRPr="00017F75" w:rsidRDefault="00915C0D" w:rsidP="00CE5909">
      <w:pPr>
        <w:numPr>
          <w:ilvl w:val="1"/>
          <w:numId w:val="36"/>
        </w:numPr>
        <w:tabs>
          <w:tab w:val="num" w:pos="958"/>
        </w:tabs>
        <w:jc w:val="both"/>
        <w:rPr>
          <w:rFonts w:ascii="Times New Roman" w:hAnsi="Times New Roman"/>
          <w:bCs/>
          <w:sz w:val="22"/>
          <w:szCs w:val="22"/>
        </w:rPr>
      </w:pPr>
      <w:r w:rsidRPr="00915C0D">
        <w:rPr>
          <w:rFonts w:ascii="Times New Roman" w:hAnsi="Times New Roman"/>
          <w:sz w:val="22"/>
          <w:szCs w:val="22"/>
        </w:rPr>
        <w:t>The following diagram shows the basic structure of the Policy-Based Program, consisting of two successive loans. Its components and conditions</w:t>
      </w:r>
      <w:r w:rsidRPr="00915C0D">
        <w:rPr>
          <w:rStyle w:val="FootnoteReference"/>
          <w:rFonts w:ascii="Times New Roman" w:hAnsi="Times New Roman"/>
          <w:bCs/>
          <w:sz w:val="22"/>
          <w:szCs w:val="22"/>
          <w:lang w:val="es-ES_tradnl"/>
        </w:rPr>
        <w:footnoteReference w:id="4"/>
      </w:r>
      <w:r w:rsidRPr="00915C0D">
        <w:rPr>
          <w:rFonts w:ascii="Times New Roman" w:hAnsi="Times New Roman"/>
          <w:sz w:val="22"/>
          <w:szCs w:val="22"/>
        </w:rPr>
        <w:t xml:space="preserve"> work together with graduated objectives and goals</w:t>
      </w:r>
      <w:r w:rsidRPr="00915C0D">
        <w:rPr>
          <w:rStyle w:val="FootnoteReference"/>
          <w:rFonts w:ascii="Times New Roman" w:hAnsi="Times New Roman"/>
          <w:bCs/>
          <w:sz w:val="22"/>
          <w:szCs w:val="22"/>
          <w:lang w:val="es-ES_tradnl"/>
        </w:rPr>
        <w:footnoteReference w:id="5"/>
      </w:r>
      <w:r w:rsidRPr="00915C0D">
        <w:rPr>
          <w:rFonts w:ascii="Times New Roman" w:hAnsi="Times New Roman"/>
          <w:sz w:val="22"/>
          <w:szCs w:val="22"/>
        </w:rPr>
        <w:t xml:space="preserve">. Its common objective is to strengthen the regulatory framework in Guyana in order to support the implementation of the LCDS and modernize the management of sectors that rely on forest resources (principally mining and forestry). At the same time, the intervention seeks to help consolidate the capacity of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institutions to confront environmental challenges, including the tools of monitoring, reporting, and verification systems. The following figure shows the coordination of both transactions as a graphic.</w:t>
      </w:r>
    </w:p>
    <w:p w14:paraId="3878A67B" w14:textId="77777777" w:rsidR="00915C0D" w:rsidRPr="00017F75" w:rsidRDefault="00915C0D" w:rsidP="00915C0D">
      <w:pPr>
        <w:pStyle w:val="ListParagraph"/>
        <w:rPr>
          <w:rFonts w:ascii="Times New Roman" w:hAnsi="Times New Roman"/>
          <w:bCs/>
          <w:sz w:val="22"/>
          <w:szCs w:val="22"/>
        </w:rPr>
      </w:pPr>
    </w:p>
    <w:p w14:paraId="079785E4" w14:textId="77777777" w:rsidR="00915C0D" w:rsidRPr="00017F75" w:rsidRDefault="00915C0D" w:rsidP="00915C0D">
      <w:pPr>
        <w:tabs>
          <w:tab w:val="num" w:pos="958"/>
        </w:tabs>
        <w:jc w:val="center"/>
        <w:rPr>
          <w:rFonts w:ascii="Times New Roman" w:hAnsi="Times New Roman"/>
          <w:bCs/>
          <w:sz w:val="22"/>
          <w:szCs w:val="22"/>
        </w:rPr>
      </w:pPr>
      <w:r w:rsidRPr="00915C0D">
        <w:rPr>
          <w:rFonts w:ascii="Times New Roman" w:hAnsi="Times New Roman"/>
          <w:sz w:val="22"/>
          <w:szCs w:val="22"/>
        </w:rPr>
        <w:t>Figure 1. Basic structure and Objective of the PBP.</w:t>
      </w:r>
    </w:p>
    <w:p w14:paraId="5AF84110" w14:textId="77777777" w:rsidR="00915C0D" w:rsidRPr="00915C0D" w:rsidRDefault="00915C0D" w:rsidP="00915C0D">
      <w:pPr>
        <w:tabs>
          <w:tab w:val="num" w:pos="958"/>
        </w:tabs>
        <w:jc w:val="right"/>
        <w:rPr>
          <w:rFonts w:ascii="Times New Roman" w:hAnsi="Times New Roman"/>
          <w:bCs/>
          <w:sz w:val="22"/>
          <w:szCs w:val="22"/>
          <w:lang w:val="es-ES_tradnl"/>
        </w:rPr>
      </w:pPr>
      <w:r w:rsidRPr="00915C0D">
        <w:rPr>
          <w:noProof/>
          <w:szCs w:val="22"/>
        </w:rPr>
        <w:drawing>
          <wp:inline distT="0" distB="0" distL="0" distR="0" wp14:anchorId="0F4EFF2C" wp14:editId="649FE564">
            <wp:extent cx="5278755" cy="1872362"/>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78755" cy="1872362"/>
                    </a:xfrm>
                    <a:prstGeom prst="rect">
                      <a:avLst/>
                    </a:prstGeom>
                    <a:noFill/>
                    <a:ln w="9525">
                      <a:noFill/>
                      <a:miter lim="800000"/>
                      <a:headEnd/>
                      <a:tailEnd/>
                    </a:ln>
                  </pic:spPr>
                </pic:pic>
              </a:graphicData>
            </a:graphic>
          </wp:inline>
        </w:drawing>
      </w:r>
    </w:p>
    <w:p w14:paraId="00E4D65D" w14:textId="77777777" w:rsidR="00915C0D" w:rsidRPr="00017F75" w:rsidRDefault="00915C0D" w:rsidP="00CE5909">
      <w:pPr>
        <w:numPr>
          <w:ilvl w:val="1"/>
          <w:numId w:val="36"/>
        </w:numPr>
        <w:tabs>
          <w:tab w:val="num" w:pos="958"/>
        </w:tabs>
        <w:jc w:val="both"/>
        <w:rPr>
          <w:rFonts w:ascii="Times New Roman" w:hAnsi="Times New Roman"/>
          <w:bCs/>
          <w:sz w:val="22"/>
          <w:szCs w:val="22"/>
        </w:rPr>
      </w:pPr>
      <w:r w:rsidRPr="00915C0D">
        <w:rPr>
          <w:rFonts w:ascii="Times New Roman" w:hAnsi="Times New Roman"/>
          <w:sz w:val="22"/>
          <w:szCs w:val="22"/>
        </w:rPr>
        <w:t xml:space="preserve">Both phases were designed with an identical structure with four components: (1) Macroeconomic stability, (2) Regulatory framework, (3) Institutional Strengthening and (4) Monitoring, Reporting, and Verification System (MRVS). </w:t>
      </w:r>
    </w:p>
    <w:p w14:paraId="66004F34" w14:textId="77777777" w:rsidR="00915C0D" w:rsidRPr="00017F75" w:rsidRDefault="00915C0D" w:rsidP="00915C0D">
      <w:pPr>
        <w:pStyle w:val="Heading3"/>
        <w:spacing w:before="120"/>
        <w:rPr>
          <w:i w:val="0"/>
          <w:sz w:val="22"/>
          <w:szCs w:val="22"/>
        </w:rPr>
      </w:pPr>
      <w:bookmarkStart w:id="6" w:name="_Toc289764899"/>
      <w:bookmarkStart w:id="7" w:name="_Toc403028383"/>
      <w:r w:rsidRPr="00915C0D">
        <w:rPr>
          <w:iCs/>
          <w:sz w:val="22"/>
          <w:szCs w:val="22"/>
        </w:rPr>
        <w:t>Programmatic Policy-Based (PBP) Loan Evaluation Criteria.</w:t>
      </w:r>
      <w:bookmarkEnd w:id="6"/>
      <w:bookmarkEnd w:id="7"/>
      <w:r w:rsidRPr="00915C0D">
        <w:rPr>
          <w:i w:val="0"/>
          <w:sz w:val="22"/>
          <w:szCs w:val="22"/>
        </w:rPr>
        <w:t xml:space="preserve"> </w:t>
      </w:r>
    </w:p>
    <w:p w14:paraId="34EB582E" w14:textId="77777777" w:rsidR="00915C0D" w:rsidRPr="00017F75" w:rsidRDefault="00915C0D" w:rsidP="00915C0D">
      <w:pPr>
        <w:ind w:left="792"/>
        <w:jc w:val="both"/>
        <w:rPr>
          <w:rFonts w:ascii="Times New Roman" w:hAnsi="Times New Roman"/>
          <w:bCs/>
          <w:sz w:val="22"/>
        </w:rPr>
      </w:pPr>
    </w:p>
    <w:p w14:paraId="43A2BD4B" w14:textId="77777777" w:rsidR="00915C0D" w:rsidRPr="00017F75" w:rsidRDefault="00915C0D" w:rsidP="00CE5909">
      <w:pPr>
        <w:numPr>
          <w:ilvl w:val="1"/>
          <w:numId w:val="36"/>
        </w:numPr>
        <w:tabs>
          <w:tab w:val="num" w:pos="958"/>
        </w:tabs>
        <w:jc w:val="both"/>
        <w:rPr>
          <w:rFonts w:ascii="Times New Roman" w:hAnsi="Times New Roman"/>
          <w:bCs/>
          <w:sz w:val="22"/>
        </w:rPr>
      </w:pPr>
      <w:r w:rsidRPr="00915C0D">
        <w:rPr>
          <w:rFonts w:ascii="Times New Roman" w:hAnsi="Times New Roman"/>
          <w:sz w:val="22"/>
          <w:szCs w:val="22"/>
        </w:rPr>
        <w:t>The LCDS has two congruent elements: (</w:t>
      </w:r>
      <w:proofErr w:type="spellStart"/>
      <w:r w:rsidRPr="00915C0D">
        <w:rPr>
          <w:rFonts w:ascii="Times New Roman" w:hAnsi="Times New Roman"/>
          <w:sz w:val="22"/>
          <w:szCs w:val="22"/>
        </w:rPr>
        <w:t>i</w:t>
      </w:r>
      <w:proofErr w:type="spellEnd"/>
      <w:r w:rsidRPr="00915C0D">
        <w:rPr>
          <w:rFonts w:ascii="Times New Roman" w:hAnsi="Times New Roman"/>
          <w:sz w:val="22"/>
          <w:szCs w:val="22"/>
        </w:rPr>
        <w:t>) a policy whose aim is to strengthen its capacity to provide environmental services, while recognizing structural restrictions to be overcome (education, integration of Amerindian communities, energy matrix), (ii) a set of actions oriented toward development, whose concept is based on the central guidelines and whose implementation is adapted to the social, economic, and political context.</w:t>
      </w:r>
    </w:p>
    <w:p w14:paraId="5544C541" w14:textId="77777777" w:rsidR="00915C0D" w:rsidRPr="00017F75" w:rsidRDefault="00915C0D" w:rsidP="00915C0D">
      <w:pPr>
        <w:tabs>
          <w:tab w:val="num" w:pos="958"/>
        </w:tabs>
        <w:ind w:left="792"/>
        <w:jc w:val="both"/>
        <w:rPr>
          <w:rFonts w:ascii="Times New Roman" w:hAnsi="Times New Roman"/>
          <w:bCs/>
          <w:sz w:val="22"/>
        </w:rPr>
      </w:pPr>
    </w:p>
    <w:p w14:paraId="4A5034BE" w14:textId="77777777" w:rsidR="00915C0D" w:rsidRPr="00017F75" w:rsidRDefault="00915C0D" w:rsidP="00CE5909">
      <w:pPr>
        <w:numPr>
          <w:ilvl w:val="1"/>
          <w:numId w:val="36"/>
        </w:numPr>
        <w:tabs>
          <w:tab w:val="num" w:pos="958"/>
        </w:tabs>
        <w:jc w:val="both"/>
        <w:rPr>
          <w:rFonts w:ascii="Times New Roman" w:hAnsi="Times New Roman"/>
          <w:bCs/>
          <w:sz w:val="22"/>
        </w:rPr>
      </w:pPr>
      <w:r w:rsidRPr="00915C0D">
        <w:rPr>
          <w:rFonts w:ascii="Times New Roman" w:hAnsi="Times New Roman"/>
          <w:sz w:val="22"/>
          <w:szCs w:val="22"/>
        </w:rPr>
        <w:t xml:space="preserve">The PBP intervention focuses principally on those sectors that are reliant on or have an impact on the forests, which are a critical part of the strategy.  This document presents the expected benefits in terms of competitiveness in those sectors. It is estimated that these effects will manifest themselves through </w:t>
      </w:r>
      <w:r w:rsidRPr="00915C0D">
        <w:rPr>
          <w:rFonts w:ascii="Times New Roman" w:hAnsi="Times New Roman"/>
          <w:sz w:val="22"/>
          <w:szCs w:val="22"/>
          <w:u w:val="single"/>
        </w:rPr>
        <w:t>improvements in the general conditions of competitiveness and environmental sustainability in the country</w:t>
      </w:r>
      <w:r w:rsidRPr="00915C0D">
        <w:rPr>
          <w:rFonts w:ascii="Times New Roman" w:hAnsi="Times New Roman"/>
          <w:sz w:val="22"/>
          <w:szCs w:val="22"/>
        </w:rPr>
        <w:t xml:space="preserve"> (as a result of macroeconomic stability and greater financial ability to tackle investments in infrastructure), as well as </w:t>
      </w:r>
      <w:r w:rsidRPr="00915C0D">
        <w:rPr>
          <w:rFonts w:ascii="Times New Roman" w:hAnsi="Times New Roman"/>
          <w:sz w:val="22"/>
          <w:szCs w:val="22"/>
          <w:u w:val="single"/>
        </w:rPr>
        <w:t>increased productivity of the economic agents involved in the mining and forestry sectors, where the PBP is focusing its efforts</w:t>
      </w:r>
      <w:r w:rsidRPr="00915C0D">
        <w:rPr>
          <w:rFonts w:ascii="Times New Roman" w:hAnsi="Times New Roman"/>
          <w:sz w:val="22"/>
          <w:szCs w:val="22"/>
        </w:rPr>
        <w:t xml:space="preserve"> (best practices, laws and regulations of extractive industries, access to forest product certification, adoption of clean technologies in the mining sector). Additionally, advances in climate change adaptation strategies help reduce the risk of extreme events.</w:t>
      </w:r>
    </w:p>
    <w:p w14:paraId="0204269B" w14:textId="77777777" w:rsidR="00915C0D" w:rsidRPr="00017F75" w:rsidRDefault="00915C0D" w:rsidP="00915C0D">
      <w:pPr>
        <w:ind w:left="792"/>
        <w:jc w:val="both"/>
        <w:rPr>
          <w:rFonts w:ascii="Times New Roman" w:hAnsi="Times New Roman"/>
          <w:bCs/>
          <w:sz w:val="22"/>
        </w:rPr>
      </w:pPr>
    </w:p>
    <w:p w14:paraId="7449CA05" w14:textId="77777777" w:rsidR="00915C0D" w:rsidRPr="00915C0D" w:rsidRDefault="00915C0D" w:rsidP="00CE5909">
      <w:pPr>
        <w:numPr>
          <w:ilvl w:val="1"/>
          <w:numId w:val="36"/>
        </w:numPr>
        <w:tabs>
          <w:tab w:val="num" w:pos="958"/>
        </w:tabs>
        <w:jc w:val="both"/>
        <w:rPr>
          <w:rFonts w:ascii="Times New Roman" w:hAnsi="Times New Roman"/>
          <w:bCs/>
          <w:sz w:val="22"/>
          <w:lang w:val="es-ES_tradnl"/>
        </w:rPr>
      </w:pPr>
      <w:r w:rsidRPr="00915C0D">
        <w:rPr>
          <w:rFonts w:ascii="Times New Roman" w:hAnsi="Times New Roman"/>
          <w:sz w:val="22"/>
          <w:szCs w:val="22"/>
        </w:rPr>
        <w:t>Because this is a PBP, there is no explicit connection between the loan disbursements and the implementation of anticipated actions</w:t>
      </w:r>
      <w:r w:rsidRPr="00915C0D">
        <w:rPr>
          <w:rStyle w:val="FootnoteReference"/>
          <w:rFonts w:ascii="Times New Roman" w:hAnsi="Times New Roman"/>
          <w:bCs/>
          <w:sz w:val="22"/>
          <w:lang w:val="es-ES_tradnl"/>
        </w:rPr>
        <w:footnoteReference w:id="6"/>
      </w:r>
      <w:r w:rsidRPr="00915C0D">
        <w:rPr>
          <w:rFonts w:ascii="Times New Roman" w:hAnsi="Times New Roman"/>
          <w:sz w:val="22"/>
          <w:szCs w:val="22"/>
        </w:rPr>
        <w:t xml:space="preserve">. This makes it difficult to accurately define the connection and causality between the resources and the anticipated results, and there are two different theoretical approaches. One maintains that the PBP provides a financial incentive that persuades reluctant governments to implements reforms that they would not have otherwise undertaken for internal policy reasons. The second asserts that these payments help interested governments implement reforms to which they are committed, but for which they lack sufficient resources. This last argument, defined as </w:t>
      </w:r>
      <w:r w:rsidRPr="00915C0D">
        <w:rPr>
          <w:rFonts w:ascii="Times New Roman" w:hAnsi="Times New Roman"/>
          <w:i/>
          <w:iCs/>
          <w:sz w:val="22"/>
          <w:szCs w:val="22"/>
        </w:rPr>
        <w:t>empowerment</w:t>
      </w:r>
      <w:r w:rsidRPr="00915C0D">
        <w:rPr>
          <w:rFonts w:ascii="Times New Roman" w:hAnsi="Times New Roman"/>
          <w:sz w:val="22"/>
          <w:szCs w:val="22"/>
        </w:rPr>
        <w:t>, and generally the most accepted, operates under the premise that distortions caused by some policies could prevent countries from maximizing their growth rate. Therefore, the elimination or mitigation of these restrictions would theoretically produce future benefits in the form of increases in the efficiency of resource allocation</w:t>
      </w:r>
      <w:r w:rsidRPr="00915C0D">
        <w:rPr>
          <w:rFonts w:ascii="Times New Roman" w:hAnsi="Times New Roman"/>
          <w:bCs/>
          <w:sz w:val="22"/>
          <w:vertAlign w:val="superscript"/>
          <w:lang w:val="es-ES_tradnl"/>
        </w:rPr>
        <w:footnoteReference w:id="7"/>
      </w:r>
      <w:r w:rsidRPr="00915C0D">
        <w:rPr>
          <w:rFonts w:ascii="Times New Roman" w:hAnsi="Times New Roman"/>
          <w:sz w:val="22"/>
          <w:szCs w:val="22"/>
        </w:rPr>
        <w:t>. Completing the analysis, it is recognized that the causal effect of a PBP presents complications in terms of attributing expected impacts, given the regular participation of other stakeholders in the initiative and its limited ability to effectively modify the policy preferences on its own. The following diagram reflects this:</w:t>
      </w:r>
    </w:p>
    <w:p w14:paraId="4DD8071F" w14:textId="77777777" w:rsidR="00915C0D" w:rsidRPr="00915C0D" w:rsidRDefault="00915C0D" w:rsidP="00915C0D">
      <w:pPr>
        <w:tabs>
          <w:tab w:val="num" w:pos="958"/>
        </w:tabs>
        <w:ind w:left="792"/>
        <w:jc w:val="both"/>
        <w:rPr>
          <w:rFonts w:ascii="Times New Roman" w:hAnsi="Times New Roman"/>
          <w:bCs/>
          <w:sz w:val="22"/>
          <w:lang w:val="es-ES_tradnl"/>
        </w:rPr>
      </w:pPr>
    </w:p>
    <w:p w14:paraId="739610FE" w14:textId="77777777" w:rsidR="00915C0D" w:rsidRPr="00017F75" w:rsidRDefault="00915C0D" w:rsidP="00915C0D">
      <w:pPr>
        <w:pStyle w:val="ListParagraph1"/>
        <w:jc w:val="center"/>
        <w:rPr>
          <w:rFonts w:ascii="Times New Roman" w:hAnsi="Times New Roman"/>
          <w:bCs/>
          <w:i/>
          <w:sz w:val="22"/>
        </w:rPr>
      </w:pPr>
      <w:r w:rsidRPr="00915C0D">
        <w:rPr>
          <w:rFonts w:ascii="Times New Roman" w:hAnsi="Times New Roman"/>
          <w:i/>
          <w:iCs/>
          <w:sz w:val="22"/>
          <w:szCs w:val="22"/>
        </w:rPr>
        <w:t>Figure 2. Diagram of PBP outflows and results.</w:t>
      </w:r>
    </w:p>
    <w:p w14:paraId="5F16CD38" w14:textId="77777777" w:rsidR="00915C0D" w:rsidRPr="00915C0D" w:rsidRDefault="00915C0D" w:rsidP="00915C0D">
      <w:pPr>
        <w:tabs>
          <w:tab w:val="num" w:pos="958"/>
        </w:tabs>
        <w:jc w:val="right"/>
      </w:pPr>
      <w:r w:rsidRPr="00915C0D">
        <w:rPr>
          <w:noProof/>
        </w:rPr>
        <w:drawing>
          <wp:inline distT="0" distB="0" distL="0" distR="0" wp14:anchorId="6530262F" wp14:editId="0335D8C2">
            <wp:extent cx="4659954" cy="2595054"/>
            <wp:effectExtent l="19050" t="0" r="7296" b="0"/>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4660623" cy="2595427"/>
                    </a:xfrm>
                    <a:prstGeom prst="rect">
                      <a:avLst/>
                    </a:prstGeom>
                    <a:noFill/>
                    <a:ln w="9525">
                      <a:noFill/>
                      <a:miter lim="800000"/>
                      <a:headEnd/>
                      <a:tailEnd/>
                    </a:ln>
                  </pic:spPr>
                </pic:pic>
              </a:graphicData>
            </a:graphic>
          </wp:inline>
        </w:drawing>
      </w:r>
    </w:p>
    <w:p w14:paraId="08CBBB62" w14:textId="77777777" w:rsidR="00915C0D" w:rsidRPr="00915C0D" w:rsidRDefault="00915C0D" w:rsidP="00915C0D">
      <w:pPr>
        <w:tabs>
          <w:tab w:val="num" w:pos="958"/>
        </w:tabs>
        <w:jc w:val="right"/>
        <w:rPr>
          <w:rFonts w:ascii="Times New Roman" w:hAnsi="Times New Roman"/>
          <w:noProof/>
          <w:sz w:val="22"/>
          <w:szCs w:val="22"/>
          <w:lang w:val="es-AR" w:eastAsia="es-AR"/>
        </w:rPr>
      </w:pPr>
    </w:p>
    <w:p w14:paraId="0AE05082" w14:textId="77777777" w:rsidR="00915C0D" w:rsidRPr="00017F75" w:rsidRDefault="00915C0D" w:rsidP="00CE5909">
      <w:pPr>
        <w:numPr>
          <w:ilvl w:val="1"/>
          <w:numId w:val="36"/>
        </w:numPr>
        <w:tabs>
          <w:tab w:val="num" w:pos="958"/>
        </w:tabs>
        <w:jc w:val="both"/>
        <w:rPr>
          <w:rFonts w:ascii="Times New Roman" w:hAnsi="Times New Roman"/>
          <w:bCs/>
          <w:sz w:val="22"/>
        </w:rPr>
      </w:pPr>
      <w:r w:rsidRPr="00915C0D">
        <w:rPr>
          <w:rFonts w:ascii="Times New Roman" w:hAnsi="Times New Roman"/>
          <w:sz w:val="22"/>
          <w:szCs w:val="22"/>
        </w:rPr>
        <w:t xml:space="preserve">While the global resources (agreement with Norway, public budget and/or additional sources under the REDD+ mechanism) for the implementation of investments aimed at sustainable management will exceed those provided by the PBP, its conceptual link is based on aims defined by the LCDS. Thus investments specific to the PBP are a necessary condition for the general development outline set forth by 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to function.</w:t>
      </w:r>
    </w:p>
    <w:p w14:paraId="5A7D3DA7" w14:textId="77777777" w:rsidR="00915C0D" w:rsidRPr="00017F75" w:rsidRDefault="00915C0D" w:rsidP="00915C0D">
      <w:pPr>
        <w:pStyle w:val="Heading3"/>
        <w:rPr>
          <w:sz w:val="22"/>
          <w:szCs w:val="22"/>
        </w:rPr>
      </w:pPr>
      <w:bookmarkStart w:id="8" w:name="_Toc403028384"/>
      <w:r w:rsidRPr="00915C0D">
        <w:rPr>
          <w:iCs/>
          <w:sz w:val="22"/>
          <w:szCs w:val="22"/>
        </w:rPr>
        <w:t>Strategic relationship of the Programmatic Loan</w:t>
      </w:r>
      <w:bookmarkEnd w:id="8"/>
    </w:p>
    <w:p w14:paraId="11B312E0" w14:textId="77777777" w:rsidR="00915C0D" w:rsidRPr="00017F75" w:rsidRDefault="00915C0D" w:rsidP="00915C0D">
      <w:pPr>
        <w:tabs>
          <w:tab w:val="num" w:pos="958"/>
        </w:tabs>
        <w:jc w:val="both"/>
        <w:rPr>
          <w:rFonts w:ascii="Times New Roman" w:hAnsi="Times New Roman"/>
          <w:noProof/>
          <w:sz w:val="22"/>
          <w:szCs w:val="22"/>
          <w:lang w:eastAsia="es-AR"/>
        </w:rPr>
      </w:pPr>
    </w:p>
    <w:p w14:paraId="1DE7E1BC" w14:textId="77777777" w:rsidR="00915C0D" w:rsidRPr="00017F75" w:rsidRDefault="00915C0D" w:rsidP="00CE5909">
      <w:pPr>
        <w:numPr>
          <w:ilvl w:val="1"/>
          <w:numId w:val="36"/>
        </w:numPr>
        <w:ind w:hanging="650"/>
        <w:jc w:val="both"/>
        <w:rPr>
          <w:rFonts w:ascii="Times New Roman" w:hAnsi="Times New Roman"/>
          <w:bCs/>
          <w:sz w:val="22"/>
          <w:szCs w:val="22"/>
        </w:rPr>
      </w:pPr>
      <w:r w:rsidRPr="00915C0D">
        <w:rPr>
          <w:rFonts w:ascii="Times New Roman" w:hAnsi="Times New Roman"/>
          <w:sz w:val="22"/>
          <w:szCs w:val="22"/>
        </w:rPr>
        <w:t>Following the IDB's methodological recommendations</w:t>
      </w:r>
      <w:r w:rsidRPr="00915C0D">
        <w:rPr>
          <w:szCs w:val="22"/>
          <w:vertAlign w:val="superscript"/>
        </w:rPr>
        <w:footnoteReference w:id="8"/>
      </w:r>
      <w:r w:rsidRPr="00915C0D">
        <w:rPr>
          <w:rFonts w:ascii="Times New Roman" w:hAnsi="Times New Roman"/>
          <w:sz w:val="22"/>
          <w:szCs w:val="22"/>
        </w:rPr>
        <w:t>, the economic logic of the intervention is established, placing the present Economic Evaluation of PBP 2 in the framework of the programmatic series, as well as its context and ties to other instruments with common objectives.</w:t>
      </w:r>
    </w:p>
    <w:p w14:paraId="63CBB246" w14:textId="77777777" w:rsidR="00915C0D" w:rsidRPr="00017F75" w:rsidRDefault="00915C0D" w:rsidP="00915C0D">
      <w:pPr>
        <w:ind w:left="792"/>
        <w:jc w:val="both"/>
        <w:rPr>
          <w:rFonts w:ascii="Times New Roman" w:hAnsi="Times New Roman"/>
          <w:bCs/>
          <w:sz w:val="22"/>
          <w:szCs w:val="22"/>
        </w:rPr>
      </w:pPr>
    </w:p>
    <w:p w14:paraId="1883247D" w14:textId="77777777" w:rsidR="00915C0D" w:rsidRPr="00017F75" w:rsidRDefault="00915C0D" w:rsidP="00CE5909">
      <w:pPr>
        <w:numPr>
          <w:ilvl w:val="1"/>
          <w:numId w:val="36"/>
        </w:numPr>
        <w:ind w:hanging="650"/>
        <w:jc w:val="both"/>
        <w:rPr>
          <w:rFonts w:ascii="Times New Roman" w:hAnsi="Times New Roman"/>
          <w:bCs/>
          <w:sz w:val="22"/>
          <w:szCs w:val="22"/>
        </w:rPr>
      </w:pPr>
      <w:r w:rsidRPr="00915C0D">
        <w:rPr>
          <w:rFonts w:ascii="Times New Roman" w:hAnsi="Times New Roman"/>
          <w:sz w:val="22"/>
          <w:szCs w:val="22"/>
        </w:rPr>
        <w:t>Guyana's economy has a production profile based on the exploitation of natural resources, and has low human development</w:t>
      </w:r>
      <w:r w:rsidRPr="00915C0D">
        <w:rPr>
          <w:szCs w:val="22"/>
          <w:vertAlign w:val="superscript"/>
        </w:rPr>
        <w:footnoteReference w:id="9"/>
      </w:r>
      <w:r w:rsidRPr="00915C0D">
        <w:rPr>
          <w:rFonts w:ascii="Times New Roman" w:hAnsi="Times New Roman"/>
          <w:sz w:val="22"/>
          <w:szCs w:val="22"/>
          <w:vertAlign w:val="superscript"/>
        </w:rPr>
        <w:t xml:space="preserve"> </w:t>
      </w:r>
      <w:r w:rsidRPr="00915C0D">
        <w:rPr>
          <w:rFonts w:ascii="Times New Roman" w:hAnsi="Times New Roman"/>
          <w:sz w:val="22"/>
          <w:szCs w:val="22"/>
        </w:rPr>
        <w:t>and competitiveness,</w:t>
      </w:r>
      <w:r w:rsidRPr="00915C0D">
        <w:rPr>
          <w:szCs w:val="22"/>
          <w:vertAlign w:val="superscript"/>
        </w:rPr>
        <w:footnoteReference w:id="10"/>
      </w:r>
      <w:r w:rsidRPr="00915C0D">
        <w:rPr>
          <w:rFonts w:ascii="Times New Roman" w:hAnsi="Times New Roman"/>
          <w:sz w:val="22"/>
          <w:szCs w:val="22"/>
        </w:rPr>
        <w:t xml:space="preserve"> but at the same time has great environmental strength.  After restructuring its sovereign debt in 2006, its access to capital markets increased. However, the magnitude of the investments needed for economic development requires extraordinary resources, in addition to a regular flow of funds.  In that context, 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perceived in the middle of the last decade that conditions created in global forums on the effects of climate change (CC), greenhouse gas emissions</w:t>
      </w:r>
      <w:r w:rsidRPr="00915C0D">
        <w:rPr>
          <w:rFonts w:ascii="Times New Roman" w:hAnsi="Times New Roman"/>
          <w:bCs/>
          <w:sz w:val="22"/>
          <w:szCs w:val="22"/>
          <w:vertAlign w:val="superscript"/>
          <w:lang w:val="es-ES_tradnl"/>
        </w:rPr>
        <w:footnoteReference w:id="11"/>
      </w:r>
      <w:r w:rsidRPr="00915C0D">
        <w:rPr>
          <w:rFonts w:ascii="Times New Roman" w:hAnsi="Times New Roman"/>
          <w:sz w:val="22"/>
          <w:szCs w:val="22"/>
        </w:rPr>
        <w:t>among them, created an opportunity to procure financing for an economic restructuring.</w:t>
      </w:r>
      <w:r w:rsidRPr="00915C0D">
        <w:rPr>
          <w:szCs w:val="22"/>
          <w:vertAlign w:val="superscript"/>
        </w:rPr>
        <w:footnoteReference w:id="12"/>
      </w:r>
      <w:r w:rsidRPr="00915C0D">
        <w:rPr>
          <w:rFonts w:ascii="Times New Roman" w:hAnsi="Times New Roman"/>
          <w:sz w:val="22"/>
          <w:szCs w:val="22"/>
        </w:rPr>
        <w:t xml:space="preserve"> In this framework, the central idea rested on two aspects: (</w:t>
      </w:r>
      <w:proofErr w:type="spellStart"/>
      <w:r w:rsidRPr="00915C0D">
        <w:rPr>
          <w:rFonts w:ascii="Times New Roman" w:hAnsi="Times New Roman"/>
          <w:sz w:val="22"/>
          <w:szCs w:val="22"/>
        </w:rPr>
        <w:t>i</w:t>
      </w:r>
      <w:proofErr w:type="spellEnd"/>
      <w:r w:rsidRPr="00915C0D">
        <w:rPr>
          <w:rFonts w:ascii="Times New Roman" w:hAnsi="Times New Roman"/>
          <w:sz w:val="22"/>
          <w:szCs w:val="22"/>
        </w:rPr>
        <w:t>) making gradual progress in investments that stimulate development, redirecting land use toward activities with greater productivity (thereby increasing economic value to the nation - EVN) and (ii) maintaining forest resources in a way that does not harm the environmental services that Guyana currently provides to the world (maintain stable economic value to the world - EVW). The challenge in question is bringing together both strategies, as illustrated in the following chart.</w:t>
      </w:r>
    </w:p>
    <w:p w14:paraId="7A1B88F4" w14:textId="77777777" w:rsidR="00915C0D" w:rsidRPr="00017F75" w:rsidRDefault="00915C0D" w:rsidP="00915C0D">
      <w:pPr>
        <w:tabs>
          <w:tab w:val="num" w:pos="958"/>
        </w:tabs>
        <w:jc w:val="center"/>
        <w:rPr>
          <w:rFonts w:ascii="Times New Roman" w:hAnsi="Times New Roman"/>
          <w:i/>
          <w:noProof/>
          <w:sz w:val="22"/>
          <w:szCs w:val="22"/>
          <w:lang w:eastAsia="es-AR"/>
        </w:rPr>
      </w:pPr>
    </w:p>
    <w:p w14:paraId="0D61E5AA" w14:textId="77777777" w:rsidR="00915C0D" w:rsidRPr="00017F75" w:rsidRDefault="00915C0D" w:rsidP="00915C0D">
      <w:pPr>
        <w:tabs>
          <w:tab w:val="num" w:pos="958"/>
        </w:tabs>
        <w:jc w:val="center"/>
        <w:rPr>
          <w:rFonts w:ascii="Times New Roman" w:hAnsi="Times New Roman"/>
          <w:i/>
          <w:noProof/>
          <w:sz w:val="22"/>
          <w:szCs w:val="22"/>
          <w:lang w:eastAsia="es-AR"/>
        </w:rPr>
      </w:pPr>
      <w:r w:rsidRPr="00915C0D">
        <w:rPr>
          <w:rFonts w:ascii="Times New Roman" w:hAnsi="Times New Roman"/>
          <w:i/>
          <w:iCs/>
          <w:sz w:val="22"/>
          <w:szCs w:val="22"/>
        </w:rPr>
        <w:t>Figure 3. Development model – Direction, conditions, and tools.</w:t>
      </w:r>
    </w:p>
    <w:p w14:paraId="7FB46952" w14:textId="77777777" w:rsidR="00915C0D" w:rsidRPr="00915C0D" w:rsidRDefault="00915C0D" w:rsidP="00915C0D">
      <w:pPr>
        <w:tabs>
          <w:tab w:val="num" w:pos="958"/>
        </w:tabs>
        <w:jc w:val="center"/>
        <w:rPr>
          <w:rFonts w:ascii="Times New Roman" w:hAnsi="Times New Roman"/>
          <w:noProof/>
          <w:sz w:val="22"/>
          <w:szCs w:val="22"/>
          <w:lang w:val="es-AR" w:eastAsia="es-AR"/>
        </w:rPr>
      </w:pPr>
      <w:r w:rsidRPr="00915C0D">
        <w:rPr>
          <w:noProof/>
        </w:rPr>
        <w:drawing>
          <wp:inline distT="0" distB="0" distL="0" distR="0" wp14:anchorId="43C92B5F" wp14:editId="1791AB64">
            <wp:extent cx="5278755" cy="3373434"/>
            <wp:effectExtent l="19050" t="0" r="0" b="0"/>
            <wp:docPr id="19" name="Imagen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5278755" cy="3373434"/>
                    </a:xfrm>
                    <a:prstGeom prst="rect">
                      <a:avLst/>
                    </a:prstGeom>
                  </pic:spPr>
                </pic:pic>
              </a:graphicData>
            </a:graphic>
          </wp:inline>
        </w:drawing>
      </w:r>
    </w:p>
    <w:p w14:paraId="47396254" w14:textId="77777777" w:rsidR="00915C0D" w:rsidRPr="00915C0D" w:rsidRDefault="00915C0D" w:rsidP="00915C0D">
      <w:pPr>
        <w:tabs>
          <w:tab w:val="num" w:pos="958"/>
        </w:tabs>
        <w:jc w:val="both"/>
        <w:rPr>
          <w:rFonts w:ascii="Times New Roman" w:hAnsi="Times New Roman"/>
          <w:bCs/>
          <w:sz w:val="22"/>
          <w:lang w:val="es-ES_tradnl"/>
        </w:rPr>
      </w:pPr>
    </w:p>
    <w:p w14:paraId="7F7E0DF3" w14:textId="77777777" w:rsidR="00915C0D" w:rsidRPr="00915C0D" w:rsidRDefault="00915C0D" w:rsidP="00CE5909">
      <w:pPr>
        <w:numPr>
          <w:ilvl w:val="1"/>
          <w:numId w:val="36"/>
        </w:numPr>
        <w:tabs>
          <w:tab w:val="num" w:pos="958"/>
        </w:tabs>
        <w:ind w:left="851" w:hanging="709"/>
        <w:jc w:val="both"/>
        <w:rPr>
          <w:rFonts w:ascii="Times New Roman" w:hAnsi="Times New Roman"/>
          <w:bCs/>
          <w:sz w:val="22"/>
          <w:lang w:val="es-ES_tradnl"/>
        </w:rPr>
      </w:pPr>
      <w:r w:rsidRPr="00915C0D">
        <w:rPr>
          <w:rFonts w:ascii="Times New Roman" w:hAnsi="Times New Roman"/>
          <w:sz w:val="22"/>
          <w:szCs w:val="22"/>
        </w:rPr>
        <w:t xml:space="preserve">Faced with this situation, 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has made progress in the design and use of a mix of instruments, which function in a coordinated and integrated way and share basic premises of the process, in order to: (</w:t>
      </w:r>
      <w:proofErr w:type="spellStart"/>
      <w:r w:rsidRPr="00915C0D">
        <w:rPr>
          <w:rFonts w:ascii="Times New Roman" w:hAnsi="Times New Roman"/>
          <w:sz w:val="22"/>
          <w:szCs w:val="22"/>
        </w:rPr>
        <w:t>i</w:t>
      </w:r>
      <w:proofErr w:type="spellEnd"/>
      <w:r w:rsidRPr="00915C0D">
        <w:rPr>
          <w:rFonts w:ascii="Times New Roman" w:hAnsi="Times New Roman"/>
          <w:sz w:val="22"/>
          <w:szCs w:val="22"/>
        </w:rPr>
        <w:t xml:space="preserve">) maintain Guyana's strength as a provider of environmental services to the World, (ii) restructure and modernize the economic development model and (iii) procure financial support from interested counterparts.   The instruments cited are: </w:t>
      </w:r>
    </w:p>
    <w:p w14:paraId="21EA1086" w14:textId="77777777" w:rsidR="00915C0D" w:rsidRPr="00915C0D" w:rsidRDefault="00915C0D" w:rsidP="00CE5909">
      <w:pPr>
        <w:numPr>
          <w:ilvl w:val="0"/>
          <w:numId w:val="13"/>
        </w:numPr>
        <w:jc w:val="both"/>
        <w:rPr>
          <w:rFonts w:ascii="Times New Roman" w:hAnsi="Times New Roman"/>
          <w:sz w:val="22"/>
          <w:szCs w:val="22"/>
          <w:lang w:val="es-AR"/>
        </w:rPr>
      </w:pPr>
      <w:r w:rsidRPr="00915C0D">
        <w:rPr>
          <w:rFonts w:ascii="Times New Roman" w:hAnsi="Times New Roman"/>
          <w:sz w:val="22"/>
          <w:szCs w:val="22"/>
        </w:rPr>
        <w:t>The LCDS supports investments that generate economic growth, while simultaneously helping to maintain control of the forested area (deforestation and degradation) and promoting the reduction of greenhouse gases. The most relevant economic measures include:</w:t>
      </w:r>
    </w:p>
    <w:p w14:paraId="2B88B83A" w14:textId="77777777" w:rsidR="00915C0D" w:rsidRPr="00017F75" w:rsidRDefault="00915C0D" w:rsidP="00915C0D">
      <w:pPr>
        <w:ind w:left="1152"/>
        <w:jc w:val="both"/>
        <w:rPr>
          <w:rFonts w:ascii="Times New Roman" w:hAnsi="Times New Roman"/>
          <w:sz w:val="22"/>
          <w:szCs w:val="22"/>
        </w:rPr>
      </w:pPr>
      <w:r w:rsidRPr="00915C0D">
        <w:rPr>
          <w:rFonts w:ascii="Times New Roman" w:hAnsi="Times New Roman"/>
          <w:sz w:val="22"/>
          <w:szCs w:val="22"/>
        </w:rPr>
        <w:t>• Investing in infrastructure with low carbon emissions, with a focus on hydroelectric generation; facilitating access to non-forested arable land and improvement of fiber optic provision.</w:t>
      </w:r>
    </w:p>
    <w:p w14:paraId="371050DA" w14:textId="77777777" w:rsidR="00915C0D" w:rsidRPr="00017F75" w:rsidRDefault="00915C0D" w:rsidP="00915C0D">
      <w:pPr>
        <w:ind w:left="1152"/>
        <w:jc w:val="both"/>
        <w:rPr>
          <w:rFonts w:ascii="Times New Roman" w:hAnsi="Times New Roman"/>
          <w:sz w:val="22"/>
          <w:szCs w:val="22"/>
        </w:rPr>
      </w:pPr>
      <w:r w:rsidRPr="00915C0D">
        <w:rPr>
          <w:rFonts w:ascii="Times New Roman" w:hAnsi="Times New Roman"/>
          <w:sz w:val="22"/>
          <w:szCs w:val="22"/>
        </w:rPr>
        <w:t>• Promoting private investment in high potential, low carbon emission sectors (fruits and vegetables, aquaculture, eco-tourism and outsourcing).</w:t>
      </w:r>
    </w:p>
    <w:p w14:paraId="07FA957D" w14:textId="77777777" w:rsidR="00915C0D" w:rsidRPr="00017F75" w:rsidRDefault="00915C0D" w:rsidP="00915C0D">
      <w:pPr>
        <w:ind w:left="1152"/>
        <w:jc w:val="both"/>
        <w:rPr>
          <w:rFonts w:ascii="Times New Roman" w:hAnsi="Times New Roman"/>
          <w:sz w:val="22"/>
          <w:szCs w:val="22"/>
        </w:rPr>
      </w:pPr>
      <w:r w:rsidRPr="00915C0D">
        <w:rPr>
          <w:rFonts w:ascii="Times New Roman" w:hAnsi="Times New Roman"/>
          <w:sz w:val="22"/>
          <w:szCs w:val="22"/>
        </w:rPr>
        <w:t>• Reforming forest-dependent sectors (mainly mining and afforestation) so that they operate under strict sustainability models.</w:t>
      </w:r>
    </w:p>
    <w:p w14:paraId="33458B2B" w14:textId="77777777" w:rsidR="00915C0D" w:rsidRPr="00017F75" w:rsidRDefault="00915C0D" w:rsidP="00915C0D">
      <w:pPr>
        <w:ind w:left="1152"/>
        <w:jc w:val="both"/>
        <w:rPr>
          <w:rFonts w:ascii="Times New Roman" w:hAnsi="Times New Roman"/>
          <w:sz w:val="22"/>
          <w:szCs w:val="22"/>
        </w:rPr>
      </w:pPr>
      <w:r w:rsidRPr="00915C0D">
        <w:rPr>
          <w:rFonts w:ascii="Times New Roman" w:hAnsi="Times New Roman"/>
          <w:sz w:val="22"/>
          <w:szCs w:val="22"/>
        </w:rPr>
        <w:t>• Improving the range of services and opportunities for all citizens of Guyana, including encouraging private activity, entrepreneurship and the expansion of basic social services, health and education among them.</w:t>
      </w:r>
    </w:p>
    <w:p w14:paraId="0DF8B14A" w14:textId="77777777" w:rsidR="00915C0D" w:rsidRPr="00017F75" w:rsidRDefault="00915C0D" w:rsidP="00915C0D">
      <w:pPr>
        <w:ind w:left="1152"/>
        <w:jc w:val="both"/>
        <w:rPr>
          <w:rFonts w:ascii="Times New Roman" w:hAnsi="Times New Roman"/>
          <w:sz w:val="22"/>
          <w:szCs w:val="22"/>
        </w:rPr>
      </w:pPr>
      <w:r w:rsidRPr="00915C0D">
        <w:rPr>
          <w:rFonts w:ascii="Times New Roman" w:hAnsi="Times New Roman"/>
          <w:sz w:val="22"/>
          <w:szCs w:val="22"/>
        </w:rPr>
        <w:t xml:space="preserve">• Reducing vulnerability to the effects of climate change.   </w:t>
      </w:r>
    </w:p>
    <w:p w14:paraId="18B60DFF" w14:textId="77777777" w:rsidR="00915C0D" w:rsidRPr="00017F75" w:rsidRDefault="00915C0D" w:rsidP="00CE5909">
      <w:pPr>
        <w:numPr>
          <w:ilvl w:val="0"/>
          <w:numId w:val="13"/>
        </w:numPr>
        <w:jc w:val="both"/>
        <w:rPr>
          <w:rFonts w:ascii="Times New Roman" w:hAnsi="Times New Roman"/>
          <w:bCs/>
          <w:sz w:val="22"/>
        </w:rPr>
      </w:pPr>
      <w:proofErr w:type="gramStart"/>
      <w:r w:rsidRPr="00915C0D">
        <w:rPr>
          <w:rFonts w:ascii="Times New Roman" w:hAnsi="Times New Roman"/>
          <w:sz w:val="22"/>
          <w:szCs w:val="22"/>
        </w:rPr>
        <w:t>the</w:t>
      </w:r>
      <w:proofErr w:type="gramEnd"/>
      <w:r w:rsidRPr="00915C0D">
        <w:rPr>
          <w:rFonts w:ascii="Times New Roman" w:hAnsi="Times New Roman"/>
          <w:sz w:val="22"/>
          <w:szCs w:val="22"/>
        </w:rPr>
        <w:t xml:space="preserve"> </w:t>
      </w:r>
      <w:proofErr w:type="spellStart"/>
      <w:r w:rsidRPr="00915C0D">
        <w:rPr>
          <w:rFonts w:ascii="Times New Roman" w:hAnsi="Times New Roman"/>
          <w:sz w:val="22"/>
          <w:szCs w:val="22"/>
        </w:rPr>
        <w:t>MoU</w:t>
      </w:r>
      <w:proofErr w:type="spellEnd"/>
      <w:r w:rsidRPr="00915C0D">
        <w:rPr>
          <w:rFonts w:ascii="Times New Roman" w:hAnsi="Times New Roman"/>
          <w:sz w:val="22"/>
          <w:szCs w:val="22"/>
        </w:rPr>
        <w:t xml:space="preserve"> establishes commitments concerning deforestation, forest degradation, and carbon emissions and absorption, determining the financial conditions of the payments to be received from Norway. Investments in infrastructure and other initiatives linked to the stimulation of innovation and private activity are accompanied by policies and regulations in sectors with high forest impact, compliance with which is a condition for maintaining the agreement (or avoiding a decrease in the financial flow to Guyana)</w:t>
      </w:r>
      <w:r w:rsidRPr="00915C0D">
        <w:rPr>
          <w:rStyle w:val="FootnoteReference"/>
          <w:rFonts w:ascii="Times New Roman" w:hAnsi="Times New Roman"/>
          <w:bCs/>
          <w:sz w:val="22"/>
          <w:lang w:val="es-AR"/>
        </w:rPr>
        <w:footnoteReference w:id="13"/>
      </w:r>
      <w:r w:rsidRPr="00915C0D">
        <w:rPr>
          <w:rFonts w:ascii="Times New Roman" w:hAnsi="Times New Roman"/>
          <w:sz w:val="22"/>
          <w:szCs w:val="22"/>
        </w:rPr>
        <w:t>.</w:t>
      </w:r>
    </w:p>
    <w:p w14:paraId="1B43A643" w14:textId="77777777" w:rsidR="00915C0D" w:rsidRPr="00017F75" w:rsidRDefault="00915C0D" w:rsidP="00CE5909">
      <w:pPr>
        <w:numPr>
          <w:ilvl w:val="0"/>
          <w:numId w:val="13"/>
        </w:numPr>
        <w:jc w:val="both"/>
        <w:rPr>
          <w:rFonts w:ascii="Times New Roman" w:hAnsi="Times New Roman"/>
          <w:bCs/>
          <w:sz w:val="22"/>
        </w:rPr>
      </w:pPr>
      <w:r w:rsidRPr="00915C0D">
        <w:rPr>
          <w:rFonts w:ascii="Times New Roman" w:hAnsi="Times New Roman"/>
          <w:sz w:val="22"/>
          <w:szCs w:val="22"/>
        </w:rPr>
        <w:t>The resources for the strategy are supported institutionally through REDD+, the third instrument.  The funds provided through the agreement with Norway are then channeled through this mechanism</w:t>
      </w:r>
      <w:r w:rsidRPr="00915C0D">
        <w:rPr>
          <w:rStyle w:val="FootnoteReference"/>
          <w:rFonts w:ascii="Times New Roman" w:hAnsi="Times New Roman"/>
          <w:sz w:val="22"/>
          <w:szCs w:val="22"/>
          <w:lang w:val="es-AR"/>
        </w:rPr>
        <w:footnoteReference w:id="14"/>
      </w:r>
      <w:r w:rsidRPr="00915C0D">
        <w:rPr>
          <w:rFonts w:ascii="Times New Roman" w:hAnsi="Times New Roman"/>
          <w:sz w:val="22"/>
          <w:szCs w:val="22"/>
        </w:rPr>
        <w:t>, through which the following are financed: (</w:t>
      </w:r>
      <w:proofErr w:type="spellStart"/>
      <w:r w:rsidRPr="00915C0D">
        <w:rPr>
          <w:rFonts w:ascii="Times New Roman" w:hAnsi="Times New Roman"/>
          <w:sz w:val="22"/>
          <w:szCs w:val="22"/>
        </w:rPr>
        <w:t>i</w:t>
      </w:r>
      <w:proofErr w:type="spellEnd"/>
      <w:r w:rsidRPr="00915C0D">
        <w:rPr>
          <w:rFonts w:ascii="Times New Roman" w:hAnsi="Times New Roman"/>
          <w:sz w:val="22"/>
          <w:szCs w:val="22"/>
        </w:rPr>
        <w:t xml:space="preserve">) part of the investment needed to implement the LCDS and (ii) the institutional strengthening of areas of 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for the appropriate management of REDD+</w:t>
      </w:r>
      <w:r w:rsidRPr="00915C0D">
        <w:rPr>
          <w:rStyle w:val="FootnoteReference"/>
          <w:rFonts w:ascii="Times New Roman" w:hAnsi="Times New Roman"/>
          <w:sz w:val="22"/>
          <w:szCs w:val="22"/>
          <w:lang w:val="es-AR"/>
        </w:rPr>
        <w:footnoteReference w:id="15"/>
      </w:r>
      <w:r w:rsidRPr="00915C0D">
        <w:rPr>
          <w:rFonts w:ascii="Times New Roman" w:hAnsi="Times New Roman"/>
          <w:sz w:val="22"/>
          <w:szCs w:val="22"/>
        </w:rPr>
        <w:t>. The model allows for additional sources of financing (IDB, World Bank, and UNDP, among others)</w:t>
      </w:r>
      <w:r w:rsidRPr="00915C0D">
        <w:rPr>
          <w:rStyle w:val="FootnoteReference"/>
          <w:rFonts w:ascii="Times New Roman" w:hAnsi="Times New Roman"/>
          <w:sz w:val="22"/>
          <w:szCs w:val="22"/>
          <w:lang w:val="es-AR"/>
        </w:rPr>
        <w:footnoteReference w:id="16"/>
      </w:r>
      <w:r w:rsidRPr="00915C0D">
        <w:rPr>
          <w:rFonts w:ascii="Times New Roman" w:hAnsi="Times New Roman"/>
          <w:sz w:val="22"/>
          <w:szCs w:val="22"/>
        </w:rPr>
        <w:t xml:space="preserve">. </w:t>
      </w:r>
    </w:p>
    <w:p w14:paraId="0D4E1BC7" w14:textId="77777777" w:rsidR="00915C0D" w:rsidRPr="00017F75" w:rsidRDefault="00915C0D" w:rsidP="00915C0D">
      <w:pPr>
        <w:ind w:left="718"/>
        <w:jc w:val="both"/>
        <w:rPr>
          <w:rFonts w:ascii="Times New Roman" w:hAnsi="Times New Roman"/>
          <w:bCs/>
          <w:sz w:val="22"/>
          <w:szCs w:val="22"/>
        </w:rPr>
      </w:pPr>
    </w:p>
    <w:p w14:paraId="088C670E" w14:textId="77777777" w:rsidR="00915C0D" w:rsidRPr="00017F75" w:rsidRDefault="00915C0D" w:rsidP="00CE5909">
      <w:pPr>
        <w:numPr>
          <w:ilvl w:val="1"/>
          <w:numId w:val="36"/>
        </w:numPr>
        <w:tabs>
          <w:tab w:val="num" w:pos="958"/>
        </w:tabs>
        <w:ind w:left="851" w:hanging="709"/>
        <w:jc w:val="both"/>
        <w:rPr>
          <w:rFonts w:ascii="Times New Roman" w:hAnsi="Times New Roman"/>
          <w:bCs/>
          <w:sz w:val="22"/>
          <w:szCs w:val="22"/>
        </w:rPr>
      </w:pPr>
      <w:r w:rsidRPr="00915C0D">
        <w:rPr>
          <w:rFonts w:ascii="Times New Roman" w:hAnsi="Times New Roman"/>
          <w:sz w:val="22"/>
          <w:szCs w:val="22"/>
        </w:rPr>
        <w:t xml:space="preserve">As a result, the resources that finance the restructuring of the development model are created according to the guidelines and conditions of the LCDS. For the purposes of maintaining the conditions of the </w:t>
      </w:r>
      <w:proofErr w:type="spellStart"/>
      <w:r w:rsidRPr="00915C0D">
        <w:rPr>
          <w:rFonts w:ascii="Times New Roman" w:hAnsi="Times New Roman"/>
          <w:sz w:val="22"/>
          <w:szCs w:val="22"/>
        </w:rPr>
        <w:t>MoU</w:t>
      </w:r>
      <w:proofErr w:type="spellEnd"/>
      <w:r w:rsidRPr="00915C0D">
        <w:rPr>
          <w:rFonts w:ascii="Times New Roman" w:hAnsi="Times New Roman"/>
          <w:sz w:val="22"/>
          <w:szCs w:val="22"/>
        </w:rPr>
        <w:t xml:space="preserve"> and its associated instruments in force, a group of sustainable strengthening actions is urgently needed, under which the current PBP is structured. This way, the fulfillment of the Policy Commitments will allow the strategy progress to be consolidated, a necessary requirement to achieve the expected benefits for the country. </w:t>
      </w:r>
    </w:p>
    <w:p w14:paraId="0D5A3BB0" w14:textId="77777777" w:rsidR="00915C0D" w:rsidRPr="00017F75" w:rsidRDefault="00915C0D" w:rsidP="00915C0D">
      <w:pPr>
        <w:pStyle w:val="Heading3"/>
        <w:rPr>
          <w:sz w:val="22"/>
          <w:szCs w:val="22"/>
        </w:rPr>
      </w:pPr>
      <w:bookmarkStart w:id="9" w:name="_Toc403028385"/>
      <w:r w:rsidRPr="00915C0D">
        <w:rPr>
          <w:iCs/>
          <w:sz w:val="22"/>
          <w:szCs w:val="22"/>
        </w:rPr>
        <w:t>A look at the components.</w:t>
      </w:r>
      <w:bookmarkEnd w:id="9"/>
    </w:p>
    <w:p w14:paraId="59B079DF" w14:textId="77777777" w:rsidR="00915C0D" w:rsidRPr="00017F75" w:rsidRDefault="00915C0D" w:rsidP="00915C0D">
      <w:pPr>
        <w:ind w:left="1152"/>
        <w:jc w:val="both"/>
        <w:rPr>
          <w:rFonts w:ascii="Times New Roman" w:hAnsi="Times New Roman"/>
          <w:bCs/>
          <w:sz w:val="22"/>
        </w:rPr>
      </w:pPr>
    </w:p>
    <w:p w14:paraId="62403CEC" w14:textId="77777777" w:rsidR="00915C0D" w:rsidRPr="00017F75" w:rsidRDefault="00915C0D" w:rsidP="00CE5909">
      <w:pPr>
        <w:numPr>
          <w:ilvl w:val="1"/>
          <w:numId w:val="36"/>
        </w:numPr>
        <w:jc w:val="both"/>
        <w:rPr>
          <w:rFonts w:ascii="Times New Roman" w:hAnsi="Times New Roman"/>
          <w:bCs/>
          <w:sz w:val="22"/>
        </w:rPr>
      </w:pPr>
      <w:r w:rsidRPr="00915C0D">
        <w:rPr>
          <w:rFonts w:ascii="Times New Roman" w:hAnsi="Times New Roman"/>
          <w:i/>
          <w:iCs/>
          <w:sz w:val="22"/>
          <w:szCs w:val="22"/>
        </w:rPr>
        <w:t>PBP Components.</w:t>
      </w:r>
      <w:r w:rsidRPr="00915C0D">
        <w:rPr>
          <w:rFonts w:ascii="Times New Roman" w:hAnsi="Times New Roman"/>
          <w:sz w:val="22"/>
          <w:szCs w:val="22"/>
        </w:rPr>
        <w:t xml:space="preserve"> The general approach provides a basis for the initiative, while the different components provide their particular contribution.  </w:t>
      </w:r>
    </w:p>
    <w:p w14:paraId="556E0C90" w14:textId="77777777" w:rsidR="00915C0D" w:rsidRPr="00017F75" w:rsidRDefault="00915C0D" w:rsidP="00CE5909">
      <w:pPr>
        <w:numPr>
          <w:ilvl w:val="0"/>
          <w:numId w:val="14"/>
        </w:numPr>
        <w:jc w:val="both"/>
        <w:rPr>
          <w:rFonts w:ascii="Times New Roman" w:hAnsi="Times New Roman"/>
          <w:bCs/>
          <w:sz w:val="22"/>
        </w:rPr>
      </w:pPr>
      <w:r w:rsidRPr="00915C0D">
        <w:rPr>
          <w:rFonts w:ascii="Times New Roman" w:hAnsi="Times New Roman"/>
          <w:sz w:val="22"/>
          <w:szCs w:val="22"/>
        </w:rPr>
        <w:t>Component 1. Macroeconomic stability. This stability contributes to a general investment framework through the predictability provided to economic stakeholders. It also tends to facilitate the procurement of additional sources of financing for these purposes.</w:t>
      </w:r>
    </w:p>
    <w:p w14:paraId="79E4E08D" w14:textId="77777777" w:rsidR="00915C0D" w:rsidRPr="00017F75" w:rsidRDefault="00915C0D" w:rsidP="00CE5909">
      <w:pPr>
        <w:numPr>
          <w:ilvl w:val="0"/>
          <w:numId w:val="14"/>
        </w:numPr>
        <w:jc w:val="both"/>
        <w:rPr>
          <w:rFonts w:ascii="Times New Roman" w:hAnsi="Times New Roman"/>
          <w:bCs/>
          <w:sz w:val="22"/>
        </w:rPr>
      </w:pPr>
      <w:r w:rsidRPr="00915C0D">
        <w:rPr>
          <w:rFonts w:ascii="Times New Roman" w:hAnsi="Times New Roman"/>
          <w:sz w:val="22"/>
          <w:szCs w:val="22"/>
        </w:rPr>
        <w:t xml:space="preserve">Component 2. Regulatory Framework. The strengthening of legal and regulatory support is a necessary condition to expand the stated objectives. This helps stakeholders in the sectors adapt their practices to more appropriate and efficient environmental standards. </w:t>
      </w:r>
    </w:p>
    <w:p w14:paraId="5C87852C" w14:textId="77777777" w:rsidR="00915C0D" w:rsidRPr="00017F75" w:rsidRDefault="00915C0D" w:rsidP="00CE5909">
      <w:pPr>
        <w:numPr>
          <w:ilvl w:val="0"/>
          <w:numId w:val="14"/>
        </w:numPr>
        <w:jc w:val="both"/>
        <w:rPr>
          <w:rFonts w:ascii="Times New Roman" w:hAnsi="Times New Roman"/>
          <w:bCs/>
          <w:sz w:val="22"/>
        </w:rPr>
      </w:pPr>
      <w:r w:rsidRPr="00915C0D">
        <w:rPr>
          <w:rFonts w:ascii="Times New Roman" w:hAnsi="Times New Roman"/>
          <w:sz w:val="22"/>
          <w:szCs w:val="22"/>
        </w:rPr>
        <w:t xml:space="preserve">Component 3. Institutional Strengthening. This aspect is complementary to the one above. The implementation of superior regulatory frameworks demands reinforcement of the capabilities of state agents that drive and monitor the stated objectives. </w:t>
      </w:r>
    </w:p>
    <w:p w14:paraId="560CBDE1" w14:textId="77777777" w:rsidR="00915C0D" w:rsidRPr="00017F75" w:rsidRDefault="00915C0D" w:rsidP="00CE5909">
      <w:pPr>
        <w:numPr>
          <w:ilvl w:val="0"/>
          <w:numId w:val="14"/>
        </w:numPr>
        <w:jc w:val="both"/>
        <w:rPr>
          <w:rFonts w:ascii="Times New Roman" w:hAnsi="Times New Roman"/>
          <w:bCs/>
          <w:sz w:val="22"/>
        </w:rPr>
      </w:pPr>
      <w:r w:rsidRPr="00915C0D">
        <w:rPr>
          <w:rFonts w:ascii="Times New Roman" w:hAnsi="Times New Roman"/>
          <w:sz w:val="22"/>
          <w:szCs w:val="22"/>
        </w:rPr>
        <w:t xml:space="preserve">Component 4. Monitoring, reporting and verification system. The complexity of tracking the technical aspects involved in the </w:t>
      </w:r>
      <w:proofErr w:type="spellStart"/>
      <w:r w:rsidRPr="00915C0D">
        <w:rPr>
          <w:rFonts w:ascii="Times New Roman" w:hAnsi="Times New Roman"/>
          <w:sz w:val="22"/>
          <w:szCs w:val="22"/>
        </w:rPr>
        <w:t>MoU</w:t>
      </w:r>
      <w:proofErr w:type="spellEnd"/>
      <w:r w:rsidRPr="00915C0D">
        <w:rPr>
          <w:rFonts w:ascii="Times New Roman" w:hAnsi="Times New Roman"/>
          <w:sz w:val="22"/>
          <w:szCs w:val="22"/>
        </w:rPr>
        <w:t xml:space="preserve"> commitments</w:t>
      </w:r>
      <w:r w:rsidRPr="00915C0D">
        <w:rPr>
          <w:rStyle w:val="FootnoteReference"/>
          <w:rFonts w:ascii="Times New Roman" w:hAnsi="Times New Roman"/>
          <w:bCs/>
          <w:sz w:val="22"/>
          <w:lang w:val="es-AR"/>
        </w:rPr>
        <w:footnoteReference w:id="17"/>
      </w:r>
      <w:proofErr w:type="gramStart"/>
      <w:r w:rsidRPr="00915C0D">
        <w:rPr>
          <w:rFonts w:ascii="Times New Roman" w:hAnsi="Times New Roman"/>
          <w:sz w:val="22"/>
          <w:szCs w:val="22"/>
        </w:rPr>
        <w:t>,</w:t>
      </w:r>
      <w:proofErr w:type="gramEnd"/>
      <w:r w:rsidRPr="00915C0D">
        <w:rPr>
          <w:rFonts w:ascii="Times New Roman" w:hAnsi="Times New Roman"/>
          <w:sz w:val="22"/>
          <w:szCs w:val="22"/>
        </w:rPr>
        <w:t xml:space="preserve"> requires specialized studies. Regarding GFC (Guyana Forestry Commission) capacity, scientific knowledge needs to be developed that allows for the evaluation of deforestation and degradation levels (identifying the causes of these conditions in order to reverse the deterioration processes). This condition is so that strategy planning and monitoring will be consistent with the established objectives of the LCDS.</w:t>
      </w:r>
    </w:p>
    <w:p w14:paraId="41DD32DC" w14:textId="77777777" w:rsidR="00915C0D" w:rsidRPr="00017F75" w:rsidRDefault="00915C0D" w:rsidP="00915C0D">
      <w:pPr>
        <w:ind w:left="720"/>
        <w:jc w:val="both"/>
        <w:rPr>
          <w:rFonts w:ascii="Times New Roman" w:hAnsi="Times New Roman"/>
          <w:sz w:val="22"/>
          <w:szCs w:val="22"/>
        </w:rPr>
      </w:pPr>
    </w:p>
    <w:p w14:paraId="5DF4FEC2" w14:textId="77777777" w:rsidR="00915C0D" w:rsidRPr="00017F75" w:rsidRDefault="00915C0D" w:rsidP="00CE5909">
      <w:pPr>
        <w:pStyle w:val="ListParagraph"/>
        <w:numPr>
          <w:ilvl w:val="1"/>
          <w:numId w:val="36"/>
        </w:numPr>
        <w:jc w:val="both"/>
        <w:rPr>
          <w:rFonts w:ascii="Times New Roman" w:hAnsi="Times New Roman"/>
          <w:bCs/>
          <w:sz w:val="22"/>
        </w:rPr>
      </w:pPr>
      <w:r w:rsidRPr="00915C0D">
        <w:rPr>
          <w:rFonts w:ascii="Times New Roman" w:hAnsi="Times New Roman"/>
          <w:sz w:val="22"/>
          <w:szCs w:val="22"/>
        </w:rPr>
        <w:t>As explained previously, the Program components linked to the mining and forestry sectors (fundamentally Institutional Regulatory and Reinforcement Framework) are the most relevant, taking into account their marked influence on the sustainability of natural resources, a critical focus of the outlined framework. Therefore, the approach includes a cost-benefit analysis from the perspective of the forestry and mining sectors, where aspects related to clean technology and forest management regulations will be evaluated</w:t>
      </w:r>
      <w:r w:rsidRPr="00915C0D">
        <w:rPr>
          <w:rStyle w:val="FootnoteReference"/>
          <w:rFonts w:ascii="Times New Roman" w:hAnsi="Times New Roman"/>
          <w:bCs/>
          <w:sz w:val="22"/>
          <w:lang w:val="es-AR"/>
        </w:rPr>
        <w:footnoteReference w:id="18"/>
      </w:r>
      <w:r w:rsidRPr="00915C0D">
        <w:rPr>
          <w:rFonts w:ascii="Times New Roman" w:hAnsi="Times New Roman"/>
          <w:sz w:val="22"/>
          <w:szCs w:val="22"/>
        </w:rPr>
        <w:t xml:space="preserve">. In mining, a plan exists to incorporate clean technologies for reducing pollution (mercury management in gold mines), promoting associative practices and, supplying new technology that allows for increased extraction per hectare, creating conditions for progress in economies of scale in other phases of the activity (productive as well as commercial). The forestry sector is projecting income increases in the sector based on regulatory models (certifications, tracking), that allow access to more attractive export markets, incentivizing an increase in value-added production.  </w:t>
      </w:r>
    </w:p>
    <w:p w14:paraId="1ADE3457" w14:textId="77777777" w:rsidR="00915C0D" w:rsidRPr="00017F75" w:rsidRDefault="00915C0D" w:rsidP="00915C0D">
      <w:pPr>
        <w:pStyle w:val="ListParagraph"/>
        <w:ind w:left="792"/>
        <w:jc w:val="both"/>
        <w:rPr>
          <w:rFonts w:ascii="Times New Roman" w:hAnsi="Times New Roman"/>
          <w:bCs/>
          <w:sz w:val="22"/>
        </w:rPr>
      </w:pPr>
    </w:p>
    <w:p w14:paraId="598ABB9B" w14:textId="77777777" w:rsidR="00915C0D" w:rsidRPr="00017F75" w:rsidRDefault="00915C0D" w:rsidP="00CE5909">
      <w:pPr>
        <w:numPr>
          <w:ilvl w:val="1"/>
          <w:numId w:val="36"/>
        </w:numPr>
        <w:jc w:val="both"/>
        <w:rPr>
          <w:rFonts w:ascii="Times New Roman" w:hAnsi="Times New Roman"/>
          <w:sz w:val="22"/>
          <w:szCs w:val="22"/>
        </w:rPr>
      </w:pPr>
      <w:r w:rsidRPr="00915C0D">
        <w:rPr>
          <w:rFonts w:ascii="Times New Roman" w:hAnsi="Times New Roman"/>
          <w:sz w:val="22"/>
          <w:szCs w:val="22"/>
        </w:rPr>
        <w:t xml:space="preserve">It is essential to reflect on how the resources supplied by this PBP may contribute to the </w:t>
      </w:r>
      <w:proofErr w:type="spellStart"/>
      <w:r w:rsidRPr="00915C0D">
        <w:rPr>
          <w:rFonts w:ascii="Times New Roman" w:hAnsi="Times New Roman"/>
          <w:sz w:val="22"/>
          <w:szCs w:val="22"/>
        </w:rPr>
        <w:t>GoG's</w:t>
      </w:r>
      <w:proofErr w:type="spellEnd"/>
      <w:r w:rsidRPr="00915C0D">
        <w:rPr>
          <w:rFonts w:ascii="Times New Roman" w:hAnsi="Times New Roman"/>
          <w:sz w:val="22"/>
          <w:szCs w:val="22"/>
        </w:rPr>
        <w:t xml:space="preserve"> general strategy. These will undoubtedly be substantial for the purposes of covering the stated requirements for fulfilling the commitments in the </w:t>
      </w:r>
      <w:proofErr w:type="spellStart"/>
      <w:r w:rsidRPr="00915C0D">
        <w:rPr>
          <w:rFonts w:ascii="Times New Roman" w:hAnsi="Times New Roman"/>
          <w:sz w:val="22"/>
          <w:szCs w:val="22"/>
        </w:rPr>
        <w:t>MoU</w:t>
      </w:r>
      <w:proofErr w:type="spellEnd"/>
      <w:r w:rsidRPr="00915C0D">
        <w:rPr>
          <w:rFonts w:ascii="Times New Roman" w:hAnsi="Times New Roman"/>
          <w:sz w:val="22"/>
          <w:szCs w:val="22"/>
        </w:rPr>
        <w:t>. It is also perceived that long-term changes to the production profile will be the result of several elements, among them specific investments through REDD+ as well as those to the private sector that subscribe to the LCDS objectives. From here it can be concluded that the present PBP is not sufficient on its own, but that it is a necessary requirement to achieve the stated aims, being confirmed as an effective contribution to the expected impacts.</w:t>
      </w:r>
    </w:p>
    <w:p w14:paraId="3A4C0685" w14:textId="77777777" w:rsidR="00915C0D" w:rsidRPr="00017F75" w:rsidRDefault="00915C0D" w:rsidP="00C97B7B">
      <w:pPr>
        <w:pStyle w:val="Heading3"/>
        <w:pBdr>
          <w:top w:val="single" w:sz="4" w:space="1" w:color="auto"/>
          <w:left w:val="single" w:sz="4" w:space="4" w:color="auto"/>
          <w:bottom w:val="single" w:sz="4" w:space="0" w:color="auto"/>
          <w:right w:val="single" w:sz="4" w:space="4" w:color="auto"/>
        </w:pBdr>
        <w:rPr>
          <w:sz w:val="22"/>
          <w:szCs w:val="22"/>
        </w:rPr>
      </w:pPr>
      <w:bookmarkStart w:id="10" w:name="_Toc289764900"/>
      <w:bookmarkStart w:id="11" w:name="_Toc403028386"/>
      <w:bookmarkStart w:id="12" w:name="_Toc289764901"/>
      <w:r w:rsidRPr="00915C0D">
        <w:rPr>
          <w:iCs/>
          <w:sz w:val="22"/>
          <w:szCs w:val="22"/>
        </w:rPr>
        <w:t>General premises of the analysis.</w:t>
      </w:r>
      <w:bookmarkEnd w:id="10"/>
      <w:bookmarkEnd w:id="11"/>
      <w:r w:rsidRPr="00915C0D">
        <w:rPr>
          <w:iCs/>
          <w:sz w:val="22"/>
          <w:szCs w:val="22"/>
        </w:rPr>
        <w:t xml:space="preserve"> </w:t>
      </w:r>
    </w:p>
    <w:p w14:paraId="11A2F4A9" w14:textId="77777777" w:rsidR="00915C0D" w:rsidRDefault="00915C0D" w:rsidP="00C97B7B">
      <w:pPr>
        <w:pBdr>
          <w:top w:val="single" w:sz="4" w:space="1" w:color="auto"/>
          <w:left w:val="single" w:sz="4" w:space="4" w:color="auto"/>
          <w:bottom w:val="single" w:sz="4" w:space="0" w:color="auto"/>
          <w:right w:val="single" w:sz="4" w:space="4" w:color="auto"/>
        </w:pBdr>
        <w:jc w:val="both"/>
        <w:rPr>
          <w:rFonts w:ascii="Times New Roman" w:hAnsi="Times New Roman"/>
          <w:sz w:val="22"/>
          <w:szCs w:val="22"/>
        </w:rPr>
      </w:pPr>
      <w:proofErr w:type="spellStart"/>
      <w:r w:rsidRPr="00915C0D">
        <w:rPr>
          <w:rFonts w:ascii="Times New Roman" w:hAnsi="Times New Roman"/>
          <w:i/>
          <w:iCs/>
          <w:sz w:val="22"/>
          <w:szCs w:val="22"/>
        </w:rPr>
        <w:t>Additionality</w:t>
      </w:r>
      <w:proofErr w:type="spellEnd"/>
      <w:r w:rsidRPr="00915C0D">
        <w:rPr>
          <w:rFonts w:ascii="Times New Roman" w:hAnsi="Times New Roman"/>
          <w:i/>
          <w:iCs/>
          <w:sz w:val="22"/>
          <w:szCs w:val="22"/>
        </w:rPr>
        <w:t xml:space="preserve"> - Applied concept</w:t>
      </w:r>
      <w:r w:rsidRPr="00915C0D">
        <w:rPr>
          <w:rFonts w:ascii="Times New Roman" w:hAnsi="Times New Roman"/>
          <w:sz w:val="22"/>
          <w:szCs w:val="22"/>
        </w:rPr>
        <w:t xml:space="preserve">: The estimate of the benefits created for Guyana's economy and forest-based exploitation sectors comes from comparing the following two scenarios: (a) that which comes from the interventions linked to the political commitments agreed upon in the PBP (defined as the with-project scenario), which consequently coincides with the possibility of 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sustaining the </w:t>
      </w:r>
      <w:proofErr w:type="spellStart"/>
      <w:r w:rsidRPr="00915C0D">
        <w:rPr>
          <w:rFonts w:ascii="Times New Roman" w:hAnsi="Times New Roman"/>
          <w:sz w:val="22"/>
          <w:szCs w:val="22"/>
        </w:rPr>
        <w:t>MoU</w:t>
      </w:r>
      <w:proofErr w:type="spellEnd"/>
      <w:r w:rsidRPr="00915C0D">
        <w:rPr>
          <w:rFonts w:ascii="Times New Roman" w:hAnsi="Times New Roman"/>
          <w:sz w:val="22"/>
          <w:szCs w:val="22"/>
        </w:rPr>
        <w:t xml:space="preserve"> commitments and moving forward with the LDS, creating better competitive conditions in the defined sectors; and (b) the economic situation in light of the inability to expand the LCDS advancements, which will be estimated based on historical data and identified trends (defined as the without-project scenario).</w:t>
      </w:r>
    </w:p>
    <w:p w14:paraId="68C9AA84" w14:textId="77777777" w:rsidR="00C97B7B" w:rsidRDefault="00C97B7B" w:rsidP="00C97B7B">
      <w:pPr>
        <w:pBdr>
          <w:top w:val="single" w:sz="4" w:space="1" w:color="auto"/>
          <w:left w:val="single" w:sz="4" w:space="4" w:color="auto"/>
          <w:bottom w:val="single" w:sz="4" w:space="0" w:color="auto"/>
          <w:right w:val="single" w:sz="4" w:space="4" w:color="auto"/>
        </w:pBdr>
        <w:jc w:val="both"/>
        <w:rPr>
          <w:rFonts w:ascii="Times New Roman" w:hAnsi="Times New Roman"/>
          <w:sz w:val="22"/>
          <w:szCs w:val="22"/>
        </w:rPr>
      </w:pPr>
    </w:p>
    <w:p w14:paraId="38FA795F" w14:textId="77777777" w:rsidR="00C97B7B" w:rsidRDefault="00C97B7B" w:rsidP="00C97B7B">
      <w:pPr>
        <w:pBdr>
          <w:top w:val="single" w:sz="4" w:space="1" w:color="auto"/>
          <w:left w:val="single" w:sz="4" w:space="4" w:color="auto"/>
          <w:bottom w:val="single" w:sz="4" w:space="0" w:color="auto"/>
          <w:right w:val="single" w:sz="4" w:space="4" w:color="auto"/>
        </w:pBdr>
        <w:jc w:val="both"/>
        <w:rPr>
          <w:rFonts w:ascii="Times New Roman" w:hAnsi="Times New Roman"/>
          <w:sz w:val="22"/>
          <w:szCs w:val="22"/>
        </w:rPr>
      </w:pPr>
      <w:r w:rsidRPr="00915C0D">
        <w:rPr>
          <w:rFonts w:ascii="Times New Roman" w:hAnsi="Times New Roman"/>
          <w:sz w:val="22"/>
          <w:szCs w:val="22"/>
        </w:rPr>
        <w:tab/>
      </w:r>
    </w:p>
    <w:p w14:paraId="6476186E" w14:textId="77777777" w:rsidR="00C97B7B" w:rsidRDefault="00C97B7B" w:rsidP="00C97B7B">
      <w:pPr>
        <w:pBdr>
          <w:top w:val="single" w:sz="4" w:space="1" w:color="auto"/>
          <w:left w:val="single" w:sz="4" w:space="4" w:color="auto"/>
          <w:bottom w:val="single" w:sz="4" w:space="0" w:color="auto"/>
          <w:right w:val="single" w:sz="4" w:space="4" w:color="auto"/>
        </w:pBdr>
        <w:jc w:val="both"/>
        <w:rPr>
          <w:rFonts w:ascii="Times New Roman" w:hAnsi="Times New Roman"/>
          <w:sz w:val="22"/>
          <w:szCs w:val="22"/>
        </w:rPr>
      </w:pPr>
    </w:p>
    <w:p w14:paraId="4C4350B5" w14:textId="77777777" w:rsidR="00C97B7B" w:rsidRDefault="00C97B7B" w:rsidP="00C97B7B">
      <w:pPr>
        <w:pBdr>
          <w:top w:val="single" w:sz="4" w:space="1" w:color="auto"/>
          <w:left w:val="single" w:sz="4" w:space="4" w:color="auto"/>
          <w:bottom w:val="single" w:sz="4" w:space="0" w:color="auto"/>
          <w:right w:val="single" w:sz="4" w:space="4" w:color="auto"/>
        </w:pBdr>
        <w:jc w:val="both"/>
        <w:rPr>
          <w:rFonts w:ascii="Times New Roman" w:hAnsi="Times New Roman"/>
          <w:sz w:val="22"/>
          <w:szCs w:val="22"/>
        </w:rPr>
      </w:pPr>
    </w:p>
    <w:p w14:paraId="16EB8735" w14:textId="77777777" w:rsidR="00C97B7B" w:rsidRDefault="00C97B7B" w:rsidP="00C97B7B">
      <w:pPr>
        <w:pBdr>
          <w:top w:val="single" w:sz="4" w:space="1" w:color="auto"/>
          <w:left w:val="single" w:sz="4" w:space="4" w:color="auto"/>
          <w:bottom w:val="single" w:sz="4" w:space="0" w:color="auto"/>
          <w:right w:val="single" w:sz="4" w:space="4" w:color="auto"/>
        </w:pBdr>
        <w:jc w:val="both"/>
        <w:rPr>
          <w:rFonts w:ascii="Times New Roman" w:hAnsi="Times New Roman"/>
          <w:sz w:val="22"/>
          <w:szCs w:val="22"/>
        </w:rPr>
      </w:pPr>
    </w:p>
    <w:p w14:paraId="50F7440D" w14:textId="7C0EF265" w:rsidR="00C97B7B" w:rsidRPr="00C97B7B" w:rsidRDefault="00C97B7B" w:rsidP="00C97B7B">
      <w:pPr>
        <w:pBdr>
          <w:top w:val="single" w:sz="4" w:space="1" w:color="auto"/>
          <w:left w:val="single" w:sz="4" w:space="4" w:color="auto"/>
          <w:bottom w:val="single" w:sz="4" w:space="1" w:color="auto"/>
          <w:right w:val="single" w:sz="4" w:space="4" w:color="auto"/>
        </w:pBdr>
        <w:jc w:val="both"/>
        <w:rPr>
          <w:rFonts w:ascii="Times New Roman" w:hAnsi="Times New Roman"/>
          <w:sz w:val="22"/>
          <w:szCs w:val="22"/>
        </w:rPr>
      </w:pPr>
      <w:r w:rsidRPr="00915C0D">
        <w:rPr>
          <w:rFonts w:ascii="Times New Roman" w:hAnsi="Times New Roman"/>
          <w:i/>
          <w:iCs/>
          <w:sz w:val="22"/>
          <w:szCs w:val="22"/>
        </w:rPr>
        <w:t>Figure 4. Incremental approach of PBP</w:t>
      </w:r>
    </w:p>
    <w:p w14:paraId="1B9F7FD1" w14:textId="77777777" w:rsidR="00C97B7B" w:rsidRPr="00915C0D" w:rsidRDefault="00C97B7B" w:rsidP="00915C0D">
      <w:pPr>
        <w:pBdr>
          <w:top w:val="single" w:sz="4" w:space="1" w:color="auto"/>
          <w:left w:val="single" w:sz="4" w:space="4" w:color="auto"/>
          <w:bottom w:val="single" w:sz="4" w:space="1" w:color="auto"/>
          <w:right w:val="single" w:sz="4" w:space="4" w:color="auto"/>
        </w:pBdr>
        <w:jc w:val="both"/>
        <w:rPr>
          <w:rFonts w:ascii="Times New Roman" w:hAnsi="Times New Roman"/>
          <w:sz w:val="22"/>
          <w:szCs w:val="22"/>
          <w:lang w:val="es-AR"/>
        </w:rPr>
      </w:pPr>
    </w:p>
    <w:p w14:paraId="3D07A174" w14:textId="40E69F69" w:rsidR="00C97B7B" w:rsidRDefault="00C97B7B" w:rsidP="00915C0D">
      <w:pPr>
        <w:pBdr>
          <w:top w:val="single" w:sz="4" w:space="1" w:color="auto"/>
          <w:left w:val="single" w:sz="4" w:space="4" w:color="auto"/>
          <w:bottom w:val="single" w:sz="4" w:space="1" w:color="auto"/>
          <w:right w:val="single" w:sz="4" w:space="4" w:color="auto"/>
        </w:pBdr>
        <w:tabs>
          <w:tab w:val="num" w:pos="958"/>
        </w:tabs>
        <w:jc w:val="right"/>
        <w:rPr>
          <w:noProof/>
          <w:szCs w:val="22"/>
        </w:rPr>
      </w:pPr>
      <w:r w:rsidRPr="00915C0D">
        <w:rPr>
          <w:noProof/>
          <w:szCs w:val="22"/>
        </w:rPr>
        <w:drawing>
          <wp:inline distT="0" distB="0" distL="0" distR="0" wp14:anchorId="6A7E4EDE" wp14:editId="0AA47EAE">
            <wp:extent cx="4900295" cy="139128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4900295" cy="1391285"/>
                    </a:xfrm>
                    <a:prstGeom prst="rect">
                      <a:avLst/>
                    </a:prstGeom>
                    <a:noFill/>
                    <a:ln w="9525">
                      <a:noFill/>
                      <a:miter lim="800000"/>
                      <a:headEnd/>
                      <a:tailEnd/>
                    </a:ln>
                  </pic:spPr>
                </pic:pic>
              </a:graphicData>
            </a:graphic>
          </wp:inline>
        </w:drawing>
      </w:r>
    </w:p>
    <w:p w14:paraId="50DB1477" w14:textId="60C65BC3" w:rsidR="00915C0D" w:rsidRPr="00915C0D" w:rsidRDefault="00915C0D" w:rsidP="00915C0D">
      <w:pPr>
        <w:pBdr>
          <w:top w:val="single" w:sz="4" w:space="1" w:color="auto"/>
          <w:left w:val="single" w:sz="4" w:space="4" w:color="auto"/>
          <w:bottom w:val="single" w:sz="4" w:space="1" w:color="auto"/>
          <w:right w:val="single" w:sz="4" w:space="4" w:color="auto"/>
        </w:pBdr>
        <w:tabs>
          <w:tab w:val="num" w:pos="958"/>
        </w:tabs>
        <w:jc w:val="right"/>
        <w:rPr>
          <w:rFonts w:ascii="Times New Roman" w:hAnsi="Times New Roman"/>
          <w:noProof/>
          <w:sz w:val="22"/>
          <w:szCs w:val="22"/>
          <w:lang w:val="es-AR" w:eastAsia="es-AR"/>
        </w:rPr>
      </w:pPr>
    </w:p>
    <w:bookmarkEnd w:id="12"/>
    <w:p w14:paraId="7FAD0653" w14:textId="77777777" w:rsidR="00915C0D" w:rsidRPr="00915C0D" w:rsidRDefault="00915C0D" w:rsidP="00915C0D">
      <w:pPr>
        <w:rPr>
          <w:lang w:val="es-AR"/>
        </w:rPr>
      </w:pPr>
    </w:p>
    <w:p w14:paraId="2BD889FA" w14:textId="77777777" w:rsidR="00915C0D" w:rsidRPr="00017F75" w:rsidRDefault="00915C0D" w:rsidP="00915C0D">
      <w:pPr>
        <w:pStyle w:val="Heading3"/>
        <w:spacing w:before="0" w:after="0"/>
        <w:rPr>
          <w:sz w:val="22"/>
          <w:szCs w:val="22"/>
        </w:rPr>
      </w:pPr>
      <w:bookmarkStart w:id="13" w:name="_Toc403028387"/>
      <w:r w:rsidRPr="00915C0D">
        <w:rPr>
          <w:iCs/>
          <w:sz w:val="22"/>
          <w:szCs w:val="22"/>
        </w:rPr>
        <w:t>Relationship between identified benefits and evaluation indicators.</w:t>
      </w:r>
      <w:bookmarkEnd w:id="13"/>
    </w:p>
    <w:p w14:paraId="2D31FDFC" w14:textId="77777777" w:rsidR="00915C0D" w:rsidRPr="00017F75" w:rsidRDefault="00915C0D" w:rsidP="00915C0D"/>
    <w:p w14:paraId="71E96EEE" w14:textId="77777777" w:rsidR="00915C0D" w:rsidRPr="00017F75" w:rsidRDefault="00915C0D" w:rsidP="00915C0D">
      <w:pPr>
        <w:tabs>
          <w:tab w:val="num" w:pos="958"/>
        </w:tabs>
        <w:ind w:left="360"/>
        <w:jc w:val="both"/>
        <w:rPr>
          <w:rFonts w:ascii="Times New Roman" w:hAnsi="Times New Roman"/>
          <w:bCs/>
          <w:sz w:val="22"/>
        </w:rPr>
      </w:pPr>
      <w:r w:rsidRPr="00915C0D">
        <w:rPr>
          <w:rFonts w:ascii="Times New Roman" w:hAnsi="Times New Roman"/>
          <w:sz w:val="22"/>
          <w:szCs w:val="22"/>
        </w:rPr>
        <w:t>To that end, the development of the identification of benefits supported by this economic evaluation makes reference to those indicators that are part of the Results Matrix. The indicators in the Matrix are listed in Annex V. Results Framework Matrix of Indicators.</w:t>
      </w:r>
    </w:p>
    <w:p w14:paraId="23519E1E" w14:textId="77777777" w:rsidR="00915C0D" w:rsidRPr="00017F75" w:rsidRDefault="00915C0D">
      <w:pPr>
        <w:rPr>
          <w:rFonts w:ascii="Times New Roman" w:hAnsi="Times New Roman"/>
          <w:bCs/>
          <w:sz w:val="22"/>
        </w:rPr>
      </w:pPr>
    </w:p>
    <w:p w14:paraId="0D2BAFE8" w14:textId="77777777" w:rsidR="00915C0D" w:rsidRPr="00915C0D" w:rsidRDefault="00915C0D" w:rsidP="00CE5909">
      <w:pPr>
        <w:pStyle w:val="Heading1"/>
        <w:numPr>
          <w:ilvl w:val="0"/>
          <w:numId w:val="7"/>
        </w:numPr>
      </w:pPr>
      <w:bookmarkStart w:id="14" w:name="_Toc403028388"/>
      <w:proofErr w:type="spellStart"/>
      <w:r w:rsidRPr="00915C0D">
        <w:t>Program</w:t>
      </w:r>
      <w:proofErr w:type="spellEnd"/>
      <w:r w:rsidRPr="00915C0D">
        <w:t xml:space="preserve"> </w:t>
      </w:r>
      <w:proofErr w:type="spellStart"/>
      <w:r w:rsidRPr="00915C0D">
        <w:t>Evaluation</w:t>
      </w:r>
      <w:bookmarkEnd w:id="14"/>
      <w:proofErr w:type="spellEnd"/>
    </w:p>
    <w:p w14:paraId="600803F0" w14:textId="77777777" w:rsidR="00915C0D" w:rsidRPr="00915C0D" w:rsidRDefault="00915C0D" w:rsidP="00915C0D">
      <w:pPr>
        <w:jc w:val="both"/>
        <w:rPr>
          <w:rFonts w:ascii="Times New Roman" w:hAnsi="Times New Roman" w:cs="Arial"/>
          <w:bCs/>
          <w:i/>
          <w:sz w:val="24"/>
          <w:szCs w:val="26"/>
          <w:lang w:val="es-ES_tradnl"/>
        </w:rPr>
      </w:pPr>
    </w:p>
    <w:p w14:paraId="2E8BF1EB" w14:textId="77777777" w:rsidR="00915C0D" w:rsidRPr="00915C0D" w:rsidRDefault="00915C0D" w:rsidP="00915C0D">
      <w:pPr>
        <w:pStyle w:val="Heading2"/>
        <w:jc w:val="left"/>
      </w:pPr>
      <w:bookmarkStart w:id="15" w:name="_Toc403028389"/>
      <w:proofErr w:type="spellStart"/>
      <w:r w:rsidRPr="00915C0D">
        <w:t>Component</w:t>
      </w:r>
      <w:proofErr w:type="spellEnd"/>
      <w:r w:rsidRPr="00915C0D">
        <w:t xml:space="preserve"> 1. </w:t>
      </w:r>
      <w:proofErr w:type="spellStart"/>
      <w:r w:rsidRPr="00915C0D">
        <w:t>Macroeconomic</w:t>
      </w:r>
      <w:proofErr w:type="spellEnd"/>
      <w:r w:rsidRPr="00915C0D">
        <w:t xml:space="preserve"> </w:t>
      </w:r>
      <w:proofErr w:type="spellStart"/>
      <w:r w:rsidRPr="00915C0D">
        <w:t>Stability</w:t>
      </w:r>
      <w:bookmarkEnd w:id="15"/>
      <w:proofErr w:type="spellEnd"/>
    </w:p>
    <w:p w14:paraId="49CC9525" w14:textId="77777777" w:rsidR="00915C0D" w:rsidRPr="00915C0D" w:rsidRDefault="00915C0D" w:rsidP="00915C0D">
      <w:pPr>
        <w:pStyle w:val="Heading3"/>
        <w:rPr>
          <w:sz w:val="22"/>
          <w:szCs w:val="22"/>
          <w:lang w:val="es-ES"/>
        </w:rPr>
      </w:pPr>
      <w:bookmarkStart w:id="16" w:name="_Toc403028390"/>
      <w:r w:rsidRPr="00915C0D">
        <w:rPr>
          <w:iCs/>
          <w:sz w:val="22"/>
          <w:szCs w:val="22"/>
        </w:rPr>
        <w:t>Economic Profile – Main figures.</w:t>
      </w:r>
      <w:bookmarkEnd w:id="16"/>
    </w:p>
    <w:p w14:paraId="7A587551" w14:textId="77777777" w:rsidR="00915C0D" w:rsidRPr="00915C0D" w:rsidRDefault="00915C0D" w:rsidP="00915C0D">
      <w:pPr>
        <w:ind w:left="718"/>
        <w:jc w:val="both"/>
        <w:rPr>
          <w:rFonts w:ascii="Times New Roman" w:hAnsi="Times New Roman"/>
          <w:bCs/>
          <w:sz w:val="22"/>
          <w:lang w:val="es-ES"/>
        </w:rPr>
      </w:pPr>
    </w:p>
    <w:p w14:paraId="2E999FD3" w14:textId="77777777" w:rsidR="00915C0D" w:rsidRPr="00017F75" w:rsidRDefault="00915C0D" w:rsidP="00CE5909">
      <w:pPr>
        <w:numPr>
          <w:ilvl w:val="1"/>
          <w:numId w:val="7"/>
        </w:numPr>
        <w:jc w:val="both"/>
        <w:rPr>
          <w:rFonts w:ascii="Times New Roman" w:hAnsi="Times New Roman"/>
          <w:bCs/>
          <w:sz w:val="22"/>
        </w:rPr>
      </w:pPr>
      <w:r w:rsidRPr="00915C0D">
        <w:rPr>
          <w:rFonts w:ascii="Times New Roman" w:hAnsi="Times New Roman"/>
          <w:sz w:val="22"/>
          <w:szCs w:val="22"/>
        </w:rPr>
        <w:t>Introduction. The majority of the institutional structure linked to the LCDS objectives are the responsibility of the Ministry of Natural Resources and the Environment</w:t>
      </w:r>
      <w:r w:rsidRPr="00915C0D">
        <w:rPr>
          <w:rStyle w:val="FootnoteReference"/>
          <w:rFonts w:ascii="Times New Roman" w:hAnsi="Times New Roman"/>
          <w:bCs/>
          <w:sz w:val="22"/>
          <w:lang w:val="es-ES"/>
        </w:rPr>
        <w:footnoteReference w:id="19"/>
      </w:r>
      <w:r w:rsidRPr="00915C0D">
        <w:rPr>
          <w:rFonts w:ascii="Times New Roman" w:hAnsi="Times New Roman"/>
          <w:sz w:val="22"/>
          <w:szCs w:val="22"/>
        </w:rPr>
        <w:t xml:space="preserve">. However, one of the basic elements that the Matrix of political commitments is based on is macroeconomic aspects. In this way, other institutional stakeholders (principally the Ministry of Finance and Economy) use their policies to help establish the global conditions in which the economy develops, creating what normally would be defined as a favorable climate for investments. In order to understand the framework of this commitment, we think it is necessary to include a brief overview of Guyana's economy. </w:t>
      </w:r>
    </w:p>
    <w:p w14:paraId="56953280" w14:textId="77777777" w:rsidR="00915C0D" w:rsidRPr="00017F75" w:rsidRDefault="00915C0D" w:rsidP="00915C0D">
      <w:pPr>
        <w:pStyle w:val="ListParagraph"/>
        <w:rPr>
          <w:rFonts w:ascii="Times New Roman" w:hAnsi="Times New Roman"/>
          <w:bCs/>
          <w:sz w:val="22"/>
        </w:rPr>
      </w:pPr>
    </w:p>
    <w:p w14:paraId="34BF31F7" w14:textId="77777777" w:rsidR="00915C0D" w:rsidRPr="00017F75" w:rsidRDefault="00915C0D" w:rsidP="00915C0D">
      <w:pPr>
        <w:pBdr>
          <w:top w:val="single" w:sz="4" w:space="1" w:color="auto"/>
          <w:left w:val="single" w:sz="4" w:space="4" w:color="auto"/>
          <w:bottom w:val="single" w:sz="4" w:space="1" w:color="auto"/>
          <w:right w:val="single" w:sz="4" w:space="4" w:color="auto"/>
        </w:pBdr>
        <w:jc w:val="both"/>
        <w:rPr>
          <w:rFonts w:ascii="Times New Roman" w:hAnsi="Times New Roman"/>
          <w:bCs/>
          <w:sz w:val="22"/>
        </w:rPr>
      </w:pPr>
      <w:r w:rsidRPr="00915C0D">
        <w:rPr>
          <w:rFonts w:ascii="Times New Roman" w:hAnsi="Times New Roman"/>
          <w:sz w:val="22"/>
          <w:szCs w:val="22"/>
        </w:rPr>
        <w:t xml:space="preserve">Component 1 Commitment. </w:t>
      </w:r>
      <w:r w:rsidRPr="00915C0D">
        <w:rPr>
          <w:rFonts w:ascii="Times New Roman" w:hAnsi="Times New Roman"/>
          <w:i/>
          <w:iCs/>
          <w:sz w:val="22"/>
          <w:szCs w:val="22"/>
        </w:rPr>
        <w:t xml:space="preserve">The </w:t>
      </w:r>
      <w:proofErr w:type="spellStart"/>
      <w:r w:rsidRPr="00915C0D">
        <w:rPr>
          <w:rFonts w:ascii="Times New Roman" w:hAnsi="Times New Roman"/>
          <w:i/>
          <w:iCs/>
          <w:sz w:val="22"/>
          <w:szCs w:val="22"/>
        </w:rPr>
        <w:t>GoG</w:t>
      </w:r>
      <w:proofErr w:type="spellEnd"/>
      <w:r w:rsidRPr="00915C0D">
        <w:rPr>
          <w:rFonts w:ascii="Times New Roman" w:hAnsi="Times New Roman"/>
          <w:i/>
          <w:iCs/>
          <w:sz w:val="22"/>
          <w:szCs w:val="22"/>
        </w:rPr>
        <w:t xml:space="preserve"> is committed to maintaining an economic framework in accordance with the LCDS policy</w:t>
      </w:r>
      <w:r w:rsidRPr="00915C0D">
        <w:rPr>
          <w:rFonts w:ascii="Times New Roman" w:hAnsi="Times New Roman"/>
          <w:sz w:val="22"/>
          <w:szCs w:val="22"/>
        </w:rPr>
        <w:t xml:space="preserve">. In terms of expected effects, given that based on the progress observed from 2005 to the present, stability has been </w:t>
      </w:r>
      <w:proofErr w:type="gramStart"/>
      <w:r w:rsidRPr="00915C0D">
        <w:rPr>
          <w:rFonts w:ascii="Times New Roman" w:hAnsi="Times New Roman"/>
          <w:sz w:val="22"/>
          <w:szCs w:val="22"/>
        </w:rPr>
        <w:t>achieved,</w:t>
      </w:r>
      <w:proofErr w:type="gramEnd"/>
      <w:r w:rsidRPr="00915C0D">
        <w:rPr>
          <w:rFonts w:ascii="Times New Roman" w:hAnsi="Times New Roman"/>
          <w:sz w:val="22"/>
          <w:szCs w:val="22"/>
        </w:rPr>
        <w:t xml:space="preserve"> the required commitment is to maintain this stability.</w:t>
      </w:r>
    </w:p>
    <w:p w14:paraId="25ECA5ED" w14:textId="77777777" w:rsidR="00915C0D" w:rsidRPr="00017F75" w:rsidRDefault="00915C0D" w:rsidP="00915C0D">
      <w:pPr>
        <w:ind w:left="718"/>
        <w:jc w:val="both"/>
        <w:rPr>
          <w:rFonts w:ascii="Times New Roman" w:hAnsi="Times New Roman"/>
          <w:bCs/>
          <w:sz w:val="22"/>
        </w:rPr>
      </w:pPr>
    </w:p>
    <w:p w14:paraId="02A63CBC" w14:textId="77777777" w:rsidR="00915C0D" w:rsidRPr="00017F75" w:rsidRDefault="00915C0D" w:rsidP="00D421FA">
      <w:pPr>
        <w:numPr>
          <w:ilvl w:val="1"/>
          <w:numId w:val="38"/>
        </w:numPr>
        <w:jc w:val="both"/>
        <w:rPr>
          <w:rFonts w:ascii="Times New Roman" w:hAnsi="Times New Roman"/>
          <w:bCs/>
          <w:sz w:val="22"/>
        </w:rPr>
      </w:pPr>
      <w:r w:rsidRPr="00915C0D">
        <w:rPr>
          <w:rFonts w:ascii="Times New Roman" w:hAnsi="Times New Roman"/>
          <w:i/>
          <w:iCs/>
          <w:sz w:val="22"/>
          <w:szCs w:val="22"/>
        </w:rPr>
        <w:t>Macroeconomic framework</w:t>
      </w:r>
      <w:r w:rsidRPr="00915C0D">
        <w:rPr>
          <w:rFonts w:ascii="Times New Roman" w:hAnsi="Times New Roman"/>
          <w:sz w:val="22"/>
          <w:szCs w:val="22"/>
        </w:rPr>
        <w:t xml:space="preserve">. After restructuring its debt in 2005, the country entered a phase of growth only limited in size during the international financial crisis. As will be explained later, the current context presents satisfactory trends in the relevant variables. The following table shows the main indicators of the Guyanese economy. </w:t>
      </w:r>
    </w:p>
    <w:p w14:paraId="3E749E49" w14:textId="77777777" w:rsidR="00915C0D" w:rsidRPr="00017F75" w:rsidRDefault="00915C0D" w:rsidP="00915C0D">
      <w:pPr>
        <w:ind w:left="432"/>
        <w:jc w:val="both"/>
        <w:rPr>
          <w:rFonts w:ascii="Times New Roman" w:hAnsi="Times New Roman"/>
          <w:bCs/>
          <w:sz w:val="22"/>
        </w:rPr>
      </w:pPr>
    </w:p>
    <w:p w14:paraId="1AE933E3" w14:textId="77777777" w:rsidR="00915C0D" w:rsidRPr="00017F75" w:rsidRDefault="00915C0D" w:rsidP="00915C0D">
      <w:pPr>
        <w:ind w:left="718"/>
        <w:jc w:val="both"/>
        <w:rPr>
          <w:rFonts w:ascii="Times New Roman" w:hAnsi="Times New Roman"/>
          <w:bCs/>
          <w:sz w:val="22"/>
        </w:rPr>
      </w:pPr>
    </w:p>
    <w:p w14:paraId="7F783C04" w14:textId="77777777" w:rsidR="00915C0D" w:rsidRPr="00017F75" w:rsidRDefault="00915C0D" w:rsidP="00915C0D">
      <w:pPr>
        <w:ind w:left="1440"/>
        <w:jc w:val="both"/>
        <w:rPr>
          <w:rFonts w:ascii="Times New Roman" w:hAnsi="Times New Roman"/>
          <w:bCs/>
          <w:i/>
          <w:sz w:val="22"/>
        </w:rPr>
      </w:pPr>
      <w:r w:rsidRPr="00915C0D">
        <w:rPr>
          <w:rFonts w:ascii="Times New Roman" w:hAnsi="Times New Roman"/>
          <w:i/>
          <w:iCs/>
          <w:sz w:val="22"/>
          <w:szCs w:val="22"/>
        </w:rPr>
        <w:t>Table 1 - Principal Economic Indicators in Guyana</w:t>
      </w:r>
    </w:p>
    <w:p w14:paraId="42A35A44" w14:textId="77777777" w:rsidR="00915C0D" w:rsidRPr="00915C0D" w:rsidRDefault="00915C0D" w:rsidP="00915C0D">
      <w:pPr>
        <w:jc w:val="both"/>
      </w:pPr>
      <w:r w:rsidRPr="00915C0D">
        <w:rPr>
          <w:noProof/>
        </w:rPr>
        <w:drawing>
          <wp:inline distT="0" distB="0" distL="0" distR="0" wp14:anchorId="5AAD67D3" wp14:editId="4974DD59">
            <wp:extent cx="5278755" cy="2617164"/>
            <wp:effectExtent l="19050" t="0" r="0" b="0"/>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5278755" cy="2617164"/>
                    </a:xfrm>
                    <a:prstGeom prst="rect">
                      <a:avLst/>
                    </a:prstGeom>
                    <a:noFill/>
                    <a:ln w="9525">
                      <a:noFill/>
                      <a:miter lim="800000"/>
                      <a:headEnd/>
                      <a:tailEnd/>
                    </a:ln>
                  </pic:spPr>
                </pic:pic>
              </a:graphicData>
            </a:graphic>
          </wp:inline>
        </w:drawing>
      </w:r>
    </w:p>
    <w:p w14:paraId="0FCAC370" w14:textId="77777777" w:rsidR="00915C0D" w:rsidRPr="00017F75" w:rsidRDefault="00915C0D" w:rsidP="00915C0D">
      <w:pPr>
        <w:tabs>
          <w:tab w:val="num" w:pos="709"/>
        </w:tabs>
        <w:autoSpaceDE w:val="0"/>
        <w:autoSpaceDN w:val="0"/>
        <w:adjustRightInd w:val="0"/>
        <w:ind w:left="709"/>
        <w:rPr>
          <w:rFonts w:ascii="Times New Roman" w:hAnsi="Times New Roman"/>
          <w:i/>
          <w:noProof/>
          <w:sz w:val="18"/>
          <w:szCs w:val="18"/>
        </w:rPr>
      </w:pPr>
      <w:r w:rsidRPr="00915C0D">
        <w:rPr>
          <w:rFonts w:ascii="Times New Roman" w:hAnsi="Times New Roman"/>
          <w:i/>
          <w:iCs/>
          <w:sz w:val="18"/>
          <w:szCs w:val="18"/>
          <w:u w:val="single"/>
        </w:rPr>
        <w:t>Source:</w:t>
      </w:r>
      <w:r w:rsidRPr="00915C0D">
        <w:rPr>
          <w:rFonts w:ascii="Times New Roman" w:hAnsi="Times New Roman"/>
          <w:i/>
          <w:iCs/>
          <w:sz w:val="18"/>
          <w:szCs w:val="18"/>
        </w:rPr>
        <w:t xml:space="preserve"> Bureau of Statistics of Guyana Historical Information (</w:t>
      </w:r>
      <w:r w:rsidRPr="00915C0D">
        <w:rPr>
          <w:rFonts w:ascii="Times New Roman" w:hAnsi="Times New Roman"/>
          <w:color w:val="0000FF"/>
          <w:sz w:val="18"/>
          <w:szCs w:val="18"/>
          <w:u w:val="single"/>
        </w:rPr>
        <w:t>www.statisticsguyana.gov.gy)</w:t>
      </w:r>
      <w:r w:rsidRPr="00915C0D">
        <w:rPr>
          <w:rFonts w:ascii="Times New Roman" w:hAnsi="Times New Roman"/>
          <w:i/>
          <w:iCs/>
          <w:sz w:val="18"/>
          <w:szCs w:val="18"/>
        </w:rPr>
        <w:t xml:space="preserve"> and </w:t>
      </w:r>
      <w:r w:rsidRPr="00915C0D">
        <w:rPr>
          <w:rFonts w:ascii="Times New Roman" w:hAnsi="Times New Roman"/>
          <w:i/>
          <w:iCs/>
          <w:color w:val="000000"/>
          <w:sz w:val="18"/>
          <w:szCs w:val="18"/>
        </w:rPr>
        <w:t>Bank of Guyana (</w:t>
      </w:r>
      <w:hyperlink r:id="rId14" w:tgtFrame="_blank" w:history="1">
        <w:r w:rsidRPr="00915C0D">
          <w:rPr>
            <w:rFonts w:ascii="Times New Roman" w:hAnsi="Times New Roman"/>
            <w:i/>
            <w:iCs/>
            <w:color w:val="0000FF"/>
            <w:sz w:val="18"/>
            <w:szCs w:val="18"/>
            <w:u w:val="single"/>
          </w:rPr>
          <w:t>www.bankofguyana.org.gy</w:t>
        </w:r>
      </w:hyperlink>
      <w:r w:rsidRPr="00915C0D">
        <w:rPr>
          <w:rFonts w:ascii="Times New Roman" w:hAnsi="Times New Roman"/>
          <w:i/>
          <w:iCs/>
          <w:color w:val="000000"/>
          <w:sz w:val="18"/>
          <w:szCs w:val="18"/>
        </w:rPr>
        <w:t>). Projections based on IMF Reports</w:t>
      </w:r>
      <w:r w:rsidRPr="00915C0D">
        <w:rPr>
          <w:rStyle w:val="FootnoteReference"/>
          <w:rFonts w:ascii="Times New Roman" w:hAnsi="Times New Roman"/>
          <w:i/>
          <w:noProof/>
          <w:color w:val="000000"/>
          <w:sz w:val="18"/>
          <w:szCs w:val="18"/>
          <w:lang w:val="es-AR"/>
        </w:rPr>
        <w:footnoteReference w:id="20"/>
      </w:r>
      <w:r w:rsidRPr="00915C0D">
        <w:rPr>
          <w:rFonts w:ascii="Times New Roman" w:hAnsi="Times New Roman"/>
          <w:i/>
          <w:iCs/>
          <w:color w:val="000000"/>
          <w:sz w:val="18"/>
          <w:szCs w:val="18"/>
        </w:rPr>
        <w:t>.  Monetary baseline according to ECLAC Economic Survey 2014.</w:t>
      </w:r>
    </w:p>
    <w:p w14:paraId="70B86644" w14:textId="77777777" w:rsidR="00915C0D" w:rsidRPr="00017F75" w:rsidRDefault="00915C0D" w:rsidP="00915C0D">
      <w:pPr>
        <w:jc w:val="both"/>
        <w:rPr>
          <w:rFonts w:ascii="Times New Roman" w:hAnsi="Times New Roman"/>
          <w:bCs/>
          <w:sz w:val="22"/>
        </w:rPr>
      </w:pPr>
    </w:p>
    <w:p w14:paraId="6D3842F3" w14:textId="77777777" w:rsidR="00915C0D" w:rsidRPr="00017F75" w:rsidRDefault="00915C0D" w:rsidP="00D421FA">
      <w:pPr>
        <w:numPr>
          <w:ilvl w:val="1"/>
          <w:numId w:val="39"/>
        </w:numPr>
        <w:jc w:val="both"/>
        <w:rPr>
          <w:rFonts w:ascii="Times New Roman" w:hAnsi="Times New Roman"/>
          <w:bCs/>
          <w:sz w:val="22"/>
        </w:rPr>
      </w:pPr>
      <w:r w:rsidRPr="00915C0D">
        <w:rPr>
          <w:rFonts w:ascii="Times New Roman" w:hAnsi="Times New Roman"/>
          <w:sz w:val="22"/>
          <w:szCs w:val="22"/>
        </w:rPr>
        <w:t>The table can be explained according to the description of the indicators, grouped thematically:</w:t>
      </w:r>
    </w:p>
    <w:p w14:paraId="226D550C" w14:textId="77777777" w:rsidR="00915C0D" w:rsidRPr="00017F75" w:rsidRDefault="00915C0D" w:rsidP="00CE5909">
      <w:pPr>
        <w:pStyle w:val="ListParagraph"/>
        <w:numPr>
          <w:ilvl w:val="0"/>
          <w:numId w:val="16"/>
        </w:numPr>
        <w:jc w:val="both"/>
        <w:rPr>
          <w:rFonts w:ascii="Times New Roman" w:hAnsi="Times New Roman"/>
          <w:bCs/>
          <w:sz w:val="22"/>
        </w:rPr>
      </w:pPr>
      <w:r w:rsidRPr="00915C0D">
        <w:rPr>
          <w:rFonts w:ascii="Times New Roman" w:hAnsi="Times New Roman"/>
          <w:sz w:val="22"/>
          <w:szCs w:val="22"/>
          <w:u w:val="single"/>
        </w:rPr>
        <w:t>Real Sector</w:t>
      </w:r>
      <w:r w:rsidRPr="00915C0D">
        <w:rPr>
          <w:rFonts w:ascii="Times New Roman" w:hAnsi="Times New Roman"/>
          <w:sz w:val="22"/>
          <w:szCs w:val="22"/>
        </w:rPr>
        <w:t>. The first group of indicators refers to the real economy, where the 2006-2013 period shows an average annual growth rate of 4.6%, which within a framework of stability has allowed significant improvement of the indicator per capita (between 2006 and 2013 the GDP per capita increased 132% measured in US$). In 2013, growth was 5.2%</w:t>
      </w:r>
      <w:r w:rsidRPr="00915C0D">
        <w:rPr>
          <w:rStyle w:val="FootnoteReference"/>
          <w:rFonts w:ascii="Times New Roman" w:hAnsi="Times New Roman"/>
          <w:bCs/>
          <w:sz w:val="22"/>
          <w:lang w:val="es-ES"/>
        </w:rPr>
        <w:footnoteReference w:id="21"/>
      </w:r>
      <w:r w:rsidRPr="00915C0D">
        <w:rPr>
          <w:rFonts w:ascii="Times New Roman" w:hAnsi="Times New Roman"/>
          <w:sz w:val="22"/>
          <w:szCs w:val="22"/>
        </w:rPr>
        <w:t xml:space="preserve"> and the economy is expected to continue growing vigorously in 2014 (4.3% prediction IMF – 4.5% prediction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w:t>
      </w:r>
    </w:p>
    <w:p w14:paraId="57646F12" w14:textId="77777777" w:rsidR="00915C0D" w:rsidRPr="00017F75" w:rsidRDefault="00915C0D" w:rsidP="00CE5909">
      <w:pPr>
        <w:pStyle w:val="ListParagraph"/>
        <w:numPr>
          <w:ilvl w:val="0"/>
          <w:numId w:val="16"/>
        </w:numPr>
        <w:jc w:val="both"/>
        <w:rPr>
          <w:rFonts w:ascii="Times New Roman" w:hAnsi="Times New Roman"/>
          <w:bCs/>
          <w:sz w:val="22"/>
        </w:rPr>
      </w:pPr>
      <w:r w:rsidRPr="00915C0D">
        <w:rPr>
          <w:rFonts w:ascii="Times New Roman" w:hAnsi="Times New Roman"/>
          <w:sz w:val="22"/>
          <w:szCs w:val="22"/>
          <w:u w:val="single"/>
        </w:rPr>
        <w:t>Monetary Indicators.</w:t>
      </w:r>
      <w:r w:rsidRPr="00915C0D">
        <w:rPr>
          <w:rFonts w:ascii="Times New Roman" w:hAnsi="Times New Roman"/>
          <w:sz w:val="22"/>
          <w:szCs w:val="22"/>
        </w:rPr>
        <w:t xml:space="preserve"> Inflation has been in the 3% to 7% range during the last 5 years, with a value of 0.9% in 2013. The forecasts for the expected 2014 rate vary within a small range, delimited by the estimates from the Bank of Guyana (3.0%, due to expected increases in food and fuel) and the IMF (5.0%). Other sources agree that inflation will continue to be moderate in 2014, although it will exceed 2013 rates as a result of anticipated upward pressures on fuel and food prices</w:t>
      </w:r>
      <w:r w:rsidRPr="00915C0D">
        <w:rPr>
          <w:rStyle w:val="FootnoteReference"/>
          <w:rFonts w:ascii="Times New Roman" w:hAnsi="Times New Roman"/>
          <w:bCs/>
          <w:sz w:val="22"/>
          <w:lang w:val="es-ES"/>
        </w:rPr>
        <w:footnoteReference w:id="22"/>
      </w:r>
      <w:r w:rsidRPr="00915C0D">
        <w:rPr>
          <w:rFonts w:ascii="Times New Roman" w:hAnsi="Times New Roman"/>
          <w:sz w:val="22"/>
          <w:szCs w:val="22"/>
        </w:rPr>
        <w:t>.  In this context, the exchange rate (Guyana Dollar/US Dollar parity) has been stable with minimal variations</w:t>
      </w:r>
      <w:r w:rsidRPr="00915C0D">
        <w:rPr>
          <w:rStyle w:val="FootnoteReference"/>
          <w:rFonts w:ascii="Times New Roman" w:hAnsi="Times New Roman"/>
          <w:bCs/>
          <w:sz w:val="22"/>
          <w:lang w:val="es-ES"/>
        </w:rPr>
        <w:footnoteReference w:id="23"/>
      </w:r>
      <w:r w:rsidRPr="00915C0D">
        <w:rPr>
          <w:rFonts w:ascii="Times New Roman" w:hAnsi="Times New Roman"/>
          <w:sz w:val="22"/>
          <w:szCs w:val="22"/>
        </w:rPr>
        <w:t xml:space="preserve">. </w:t>
      </w:r>
    </w:p>
    <w:p w14:paraId="4305EAD8" w14:textId="77777777" w:rsidR="00915C0D" w:rsidRPr="00017F75" w:rsidRDefault="00915C0D" w:rsidP="00CE5909">
      <w:pPr>
        <w:pStyle w:val="ListParagraph"/>
        <w:numPr>
          <w:ilvl w:val="0"/>
          <w:numId w:val="16"/>
        </w:numPr>
        <w:jc w:val="both"/>
        <w:rPr>
          <w:rFonts w:ascii="Times New Roman" w:hAnsi="Times New Roman"/>
          <w:bCs/>
          <w:sz w:val="22"/>
        </w:rPr>
      </w:pPr>
      <w:r w:rsidRPr="00915C0D">
        <w:rPr>
          <w:rFonts w:ascii="Times New Roman" w:hAnsi="Times New Roman"/>
          <w:sz w:val="22"/>
          <w:szCs w:val="22"/>
          <w:u w:val="single"/>
        </w:rPr>
        <w:t>External Sector</w:t>
      </w:r>
      <w:r w:rsidRPr="00915C0D">
        <w:rPr>
          <w:rFonts w:ascii="Times New Roman" w:hAnsi="Times New Roman"/>
          <w:sz w:val="22"/>
          <w:szCs w:val="22"/>
        </w:rPr>
        <w:t>. The balance of payments deficit remains within the 11-16% range, and was 14.2% of GDP in 2013. Similarly, reserves are at a level in keeping with the evolution of the economy, reaching 23.6% of GDP at the end of 2013</w:t>
      </w:r>
      <w:r w:rsidRPr="00915C0D">
        <w:rPr>
          <w:rStyle w:val="FootnoteReference"/>
          <w:rFonts w:ascii="Times New Roman" w:hAnsi="Times New Roman"/>
          <w:bCs/>
          <w:sz w:val="22"/>
          <w:lang w:val="es-ES"/>
        </w:rPr>
        <w:footnoteReference w:id="24"/>
      </w:r>
      <w:r w:rsidRPr="00915C0D">
        <w:rPr>
          <w:rFonts w:ascii="Times New Roman" w:hAnsi="Times New Roman"/>
          <w:sz w:val="22"/>
          <w:szCs w:val="22"/>
        </w:rPr>
        <w:t>.</w:t>
      </w:r>
    </w:p>
    <w:p w14:paraId="550F2A1F" w14:textId="77777777" w:rsidR="00915C0D" w:rsidRPr="00017F75" w:rsidRDefault="00915C0D" w:rsidP="00CE5909">
      <w:pPr>
        <w:pStyle w:val="ListParagraph"/>
        <w:numPr>
          <w:ilvl w:val="0"/>
          <w:numId w:val="16"/>
        </w:numPr>
        <w:jc w:val="both"/>
        <w:rPr>
          <w:rFonts w:ascii="Times New Roman" w:hAnsi="Times New Roman"/>
          <w:bCs/>
          <w:sz w:val="22"/>
        </w:rPr>
      </w:pPr>
      <w:r w:rsidRPr="00915C0D">
        <w:rPr>
          <w:rFonts w:ascii="Times New Roman" w:hAnsi="Times New Roman"/>
          <w:sz w:val="22"/>
          <w:szCs w:val="22"/>
          <w:u w:val="single"/>
        </w:rPr>
        <w:t>Fiscal situation.</w:t>
      </w:r>
      <w:r w:rsidRPr="00915C0D">
        <w:rPr>
          <w:rFonts w:ascii="Times New Roman" w:hAnsi="Times New Roman"/>
          <w:sz w:val="22"/>
          <w:szCs w:val="22"/>
        </w:rPr>
        <w:t xml:space="preserve"> Management consolidation in this area is reflected in the decrease of the fiscal deficit, which dropped from 11.6% of GDP in 2006 to 4.3% of GDP in 2013. Pressures on spending come principally from state-owned enterprises (sugar and electricity), the external petroleum supply, and salaries of state sector employees</w:t>
      </w:r>
      <w:r w:rsidRPr="00915C0D">
        <w:rPr>
          <w:rStyle w:val="FootnoteReference"/>
          <w:rFonts w:ascii="Times New Roman" w:hAnsi="Times New Roman"/>
          <w:bCs/>
          <w:sz w:val="22"/>
          <w:lang w:val="es-ES"/>
        </w:rPr>
        <w:footnoteReference w:id="25"/>
      </w:r>
      <w:r w:rsidRPr="00915C0D">
        <w:rPr>
          <w:rFonts w:ascii="Times New Roman" w:hAnsi="Times New Roman"/>
          <w:sz w:val="22"/>
          <w:szCs w:val="22"/>
        </w:rPr>
        <w:t>.</w:t>
      </w:r>
    </w:p>
    <w:p w14:paraId="41CFD64E" w14:textId="77777777" w:rsidR="00915C0D" w:rsidRPr="00017F75" w:rsidRDefault="00915C0D" w:rsidP="00915C0D">
      <w:pPr>
        <w:pStyle w:val="ListParagraph"/>
        <w:ind w:left="1080"/>
        <w:jc w:val="both"/>
        <w:rPr>
          <w:rFonts w:ascii="Times New Roman" w:hAnsi="Times New Roman"/>
          <w:bCs/>
          <w:sz w:val="22"/>
        </w:rPr>
      </w:pPr>
    </w:p>
    <w:p w14:paraId="5D5D4F84" w14:textId="77777777" w:rsidR="00915C0D" w:rsidRPr="00017F75" w:rsidRDefault="00915C0D" w:rsidP="00D421FA">
      <w:pPr>
        <w:numPr>
          <w:ilvl w:val="1"/>
          <w:numId w:val="37"/>
        </w:numPr>
        <w:jc w:val="both"/>
        <w:rPr>
          <w:rFonts w:ascii="Times New Roman" w:hAnsi="Times New Roman"/>
          <w:bCs/>
          <w:sz w:val="22"/>
        </w:rPr>
      </w:pPr>
      <w:r w:rsidRPr="00915C0D">
        <w:rPr>
          <w:rFonts w:ascii="Times New Roman" w:hAnsi="Times New Roman"/>
          <w:i/>
          <w:iCs/>
          <w:sz w:val="22"/>
          <w:szCs w:val="22"/>
        </w:rPr>
        <w:t xml:space="preserve">Review of macroeconomic risks. </w:t>
      </w:r>
      <w:r w:rsidRPr="00915C0D">
        <w:rPr>
          <w:rFonts w:ascii="Times New Roman" w:hAnsi="Times New Roman"/>
          <w:sz w:val="22"/>
          <w:szCs w:val="22"/>
        </w:rPr>
        <w:t>The analysis of the following elements allows for a general reflection:</w:t>
      </w:r>
    </w:p>
    <w:p w14:paraId="5FC06B58" w14:textId="77777777" w:rsidR="00915C0D" w:rsidRPr="00017F75" w:rsidRDefault="00915C0D" w:rsidP="00CE5909">
      <w:pPr>
        <w:pStyle w:val="ListParagraph"/>
        <w:numPr>
          <w:ilvl w:val="0"/>
          <w:numId w:val="16"/>
        </w:numPr>
        <w:jc w:val="both"/>
        <w:rPr>
          <w:rFonts w:ascii="Times New Roman" w:hAnsi="Times New Roman"/>
          <w:bCs/>
          <w:sz w:val="22"/>
        </w:rPr>
      </w:pPr>
      <w:r w:rsidRPr="00915C0D">
        <w:rPr>
          <w:rFonts w:ascii="Times New Roman" w:hAnsi="Times New Roman"/>
          <w:sz w:val="22"/>
          <w:szCs w:val="22"/>
        </w:rPr>
        <w:t xml:space="preserve">Public Debt/GDP Ratio: Given that the indicator has reached satisfactory levels (57.7% of GDP), the future management of the debt shows a moderate risk. According to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data, it is estimated that the projected capital investment plan of the public sector, financed with external resources, will rise to US$ 100-120 million per year until 2016.</w:t>
      </w:r>
    </w:p>
    <w:p w14:paraId="73E2FA7D" w14:textId="77777777" w:rsidR="00915C0D" w:rsidRPr="00017F75" w:rsidRDefault="00915C0D" w:rsidP="00CE5909">
      <w:pPr>
        <w:pStyle w:val="ListParagraph"/>
        <w:numPr>
          <w:ilvl w:val="0"/>
          <w:numId w:val="16"/>
        </w:numPr>
        <w:jc w:val="both"/>
        <w:rPr>
          <w:rFonts w:ascii="Times New Roman" w:hAnsi="Times New Roman"/>
          <w:bCs/>
          <w:sz w:val="22"/>
        </w:rPr>
      </w:pPr>
      <w:r w:rsidRPr="00915C0D">
        <w:rPr>
          <w:rFonts w:ascii="Times New Roman" w:hAnsi="Times New Roman"/>
          <w:sz w:val="22"/>
          <w:szCs w:val="22"/>
        </w:rPr>
        <w:t>Production matrix: It is a country with intensive energy use, supplied mainly by external sources. Although diversification measures are expanding production options, the economy continues to be concentrated on a few basic products (natural resources).  As a result, changes in the sector can have considerable macroeconomic effects. The slow speed of the economic diversification process could create misalignments in terms of sustainability, since it would have an effect on growth and the fiscal situation.</w:t>
      </w:r>
    </w:p>
    <w:p w14:paraId="65B08059" w14:textId="77777777" w:rsidR="00915C0D" w:rsidRPr="00017F75" w:rsidRDefault="00915C0D" w:rsidP="00CE5909">
      <w:pPr>
        <w:pStyle w:val="ListParagraph"/>
        <w:numPr>
          <w:ilvl w:val="0"/>
          <w:numId w:val="16"/>
        </w:numPr>
        <w:jc w:val="both"/>
        <w:rPr>
          <w:rFonts w:ascii="Times New Roman" w:hAnsi="Times New Roman"/>
          <w:bCs/>
          <w:sz w:val="22"/>
        </w:rPr>
      </w:pPr>
      <w:r w:rsidRPr="00915C0D">
        <w:rPr>
          <w:rFonts w:ascii="Times New Roman" w:hAnsi="Times New Roman"/>
          <w:sz w:val="22"/>
          <w:szCs w:val="22"/>
        </w:rPr>
        <w:t xml:space="preserve">Current account/external sector. One factor causing undesirable effects is fuel importation, which is projected to decrease through a modification of the energy matrix, providing greater hydroelectric capacity.  </w:t>
      </w:r>
    </w:p>
    <w:p w14:paraId="3F38C8BF" w14:textId="77777777" w:rsidR="00915C0D" w:rsidRPr="00017F75" w:rsidRDefault="00915C0D" w:rsidP="00CE5909">
      <w:pPr>
        <w:pStyle w:val="ListParagraph"/>
        <w:numPr>
          <w:ilvl w:val="0"/>
          <w:numId w:val="16"/>
        </w:numPr>
        <w:jc w:val="both"/>
        <w:rPr>
          <w:rFonts w:ascii="Times New Roman" w:hAnsi="Times New Roman"/>
          <w:bCs/>
          <w:sz w:val="22"/>
        </w:rPr>
      </w:pPr>
      <w:r w:rsidRPr="00915C0D">
        <w:rPr>
          <w:rFonts w:ascii="Times New Roman" w:hAnsi="Times New Roman"/>
          <w:sz w:val="22"/>
          <w:szCs w:val="22"/>
        </w:rPr>
        <w:t>Fiscal balance:   Two factors have limited the consolidation of the fiscal balance: (</w:t>
      </w:r>
      <w:proofErr w:type="spellStart"/>
      <w:r w:rsidRPr="00915C0D">
        <w:rPr>
          <w:rFonts w:ascii="Times New Roman" w:hAnsi="Times New Roman"/>
          <w:sz w:val="22"/>
          <w:szCs w:val="22"/>
        </w:rPr>
        <w:t>i</w:t>
      </w:r>
      <w:proofErr w:type="spellEnd"/>
      <w:r w:rsidRPr="00915C0D">
        <w:rPr>
          <w:rFonts w:ascii="Times New Roman" w:hAnsi="Times New Roman"/>
          <w:sz w:val="22"/>
          <w:szCs w:val="22"/>
        </w:rPr>
        <w:t xml:space="preserve">) persistent losses by GPL, </w:t>
      </w:r>
      <w:r w:rsidRPr="00915C0D">
        <w:rPr>
          <w:rStyle w:val="FootnoteReference"/>
          <w:rFonts w:ascii="Times New Roman" w:hAnsi="Times New Roman"/>
          <w:bCs/>
          <w:sz w:val="22"/>
          <w:lang w:val="es-ES"/>
        </w:rPr>
        <w:footnoteReference w:id="26"/>
      </w:r>
      <w:r w:rsidRPr="00915C0D">
        <w:rPr>
          <w:rFonts w:ascii="Times New Roman" w:hAnsi="Times New Roman"/>
          <w:sz w:val="22"/>
          <w:szCs w:val="22"/>
        </w:rPr>
        <w:t>attributable to the rise in oil prices and/or continued levels of technical and commercial losses, and (ii) infrastructure investment projects needed for development.</w:t>
      </w:r>
    </w:p>
    <w:p w14:paraId="007A2F3E" w14:textId="77777777" w:rsidR="00915C0D" w:rsidRPr="00017F75" w:rsidRDefault="00915C0D" w:rsidP="00CE5909">
      <w:pPr>
        <w:pStyle w:val="ListParagraph"/>
        <w:numPr>
          <w:ilvl w:val="0"/>
          <w:numId w:val="16"/>
        </w:numPr>
        <w:jc w:val="both"/>
        <w:rPr>
          <w:rFonts w:ascii="Times New Roman" w:hAnsi="Times New Roman"/>
          <w:bCs/>
          <w:sz w:val="22"/>
        </w:rPr>
      </w:pPr>
      <w:r w:rsidRPr="00915C0D">
        <w:rPr>
          <w:rFonts w:ascii="Times New Roman" w:hAnsi="Times New Roman"/>
          <w:sz w:val="22"/>
          <w:szCs w:val="22"/>
        </w:rPr>
        <w:t xml:space="preserve">Exposure to natural disasters: The territory is exposed to weather-related and natural threats (floods) that tend to have a significant impact. While Guyana has a relatively low incidence probability (40% compared to 90% for many countries in Central America and the Caribbean), effects on the economy have been significant (damages/GDP ratio of 37.4% as opposed to approximately 1% for other countries). </w:t>
      </w:r>
    </w:p>
    <w:p w14:paraId="6A73078E" w14:textId="77777777" w:rsidR="00915C0D" w:rsidRPr="00017F75" w:rsidRDefault="00915C0D" w:rsidP="00CE5909">
      <w:pPr>
        <w:pStyle w:val="ListParagraph"/>
        <w:numPr>
          <w:ilvl w:val="0"/>
          <w:numId w:val="16"/>
        </w:numPr>
        <w:jc w:val="both"/>
        <w:rPr>
          <w:rFonts w:ascii="Times New Roman" w:hAnsi="Times New Roman"/>
          <w:bCs/>
          <w:sz w:val="22"/>
        </w:rPr>
      </w:pPr>
      <w:r w:rsidRPr="00915C0D">
        <w:rPr>
          <w:rFonts w:ascii="Times New Roman" w:hAnsi="Times New Roman"/>
          <w:sz w:val="22"/>
          <w:szCs w:val="22"/>
        </w:rPr>
        <w:t>Political Risk: After the 2011 elections, the new government assumed power in December of that year without a majority of seats in the National Assembly. This could delay the public investment program and the timely execution of the main projects promoted by the authorities.</w:t>
      </w:r>
    </w:p>
    <w:p w14:paraId="59F5CEF8" w14:textId="77777777" w:rsidR="00915C0D" w:rsidRPr="00017F75" w:rsidRDefault="00915C0D" w:rsidP="00CE5909">
      <w:pPr>
        <w:pStyle w:val="ListParagraph"/>
        <w:numPr>
          <w:ilvl w:val="0"/>
          <w:numId w:val="16"/>
        </w:numPr>
        <w:jc w:val="both"/>
        <w:rPr>
          <w:rFonts w:ascii="Times New Roman" w:hAnsi="Times New Roman"/>
          <w:bCs/>
          <w:sz w:val="22"/>
        </w:rPr>
      </w:pPr>
      <w:r w:rsidRPr="00915C0D">
        <w:rPr>
          <w:rFonts w:ascii="Times New Roman" w:hAnsi="Times New Roman"/>
          <w:sz w:val="22"/>
          <w:szCs w:val="22"/>
        </w:rPr>
        <w:t xml:space="preserve">Relationship with the global financial markets: Given their small scope, the limited ties act as a brake that protects Guyana's financial sector from a potential international crisis. </w:t>
      </w:r>
    </w:p>
    <w:p w14:paraId="4611D31D" w14:textId="77777777" w:rsidR="00915C0D" w:rsidRPr="00017F75" w:rsidRDefault="00915C0D" w:rsidP="00915C0D">
      <w:pPr>
        <w:jc w:val="both"/>
        <w:rPr>
          <w:rFonts w:ascii="Times New Roman" w:hAnsi="Times New Roman"/>
          <w:bCs/>
          <w:sz w:val="22"/>
        </w:rPr>
      </w:pPr>
    </w:p>
    <w:p w14:paraId="34DCE344" w14:textId="77777777" w:rsidR="00915C0D" w:rsidRPr="00017F75" w:rsidRDefault="00915C0D" w:rsidP="00D421FA">
      <w:pPr>
        <w:numPr>
          <w:ilvl w:val="1"/>
          <w:numId w:val="37"/>
        </w:numPr>
        <w:jc w:val="both"/>
        <w:rPr>
          <w:rFonts w:ascii="Times New Roman" w:hAnsi="Times New Roman"/>
          <w:bCs/>
          <w:sz w:val="22"/>
        </w:rPr>
      </w:pPr>
      <w:r w:rsidRPr="00915C0D">
        <w:rPr>
          <w:rFonts w:ascii="Times New Roman" w:hAnsi="Times New Roman"/>
          <w:i/>
          <w:iCs/>
          <w:sz w:val="22"/>
          <w:szCs w:val="22"/>
        </w:rPr>
        <w:t xml:space="preserve">Comparison with Latin America and the Caribbean economies. </w:t>
      </w:r>
      <w:r w:rsidRPr="00915C0D">
        <w:rPr>
          <w:rFonts w:ascii="Times New Roman" w:hAnsi="Times New Roman"/>
          <w:sz w:val="22"/>
          <w:szCs w:val="22"/>
        </w:rPr>
        <w:t>Regional indicators</w:t>
      </w:r>
      <w:r w:rsidRPr="00915C0D">
        <w:rPr>
          <w:rStyle w:val="FootnoteReference"/>
          <w:rFonts w:ascii="Times New Roman" w:hAnsi="Times New Roman"/>
          <w:bCs/>
          <w:sz w:val="22"/>
          <w:lang w:val="es-ES"/>
        </w:rPr>
        <w:footnoteReference w:id="27"/>
      </w:r>
      <w:r w:rsidRPr="00915C0D">
        <w:rPr>
          <w:rFonts w:ascii="Times New Roman" w:hAnsi="Times New Roman"/>
          <w:sz w:val="22"/>
          <w:szCs w:val="22"/>
        </w:rPr>
        <w:t xml:space="preserve"> can be taken from a recent ECLAC study. </w:t>
      </w:r>
    </w:p>
    <w:p w14:paraId="62D92A50" w14:textId="77777777" w:rsidR="00777446" w:rsidRDefault="00777446" w:rsidP="00915C0D">
      <w:pPr>
        <w:pStyle w:val="Header"/>
        <w:jc w:val="center"/>
        <w:rPr>
          <w:rFonts w:ascii="Times New Roman" w:hAnsi="Times New Roman"/>
          <w:i/>
          <w:iCs/>
          <w:sz w:val="22"/>
          <w:szCs w:val="22"/>
        </w:rPr>
      </w:pPr>
    </w:p>
    <w:p w14:paraId="1907787B" w14:textId="77777777" w:rsidR="00915C0D" w:rsidRPr="00017F75" w:rsidRDefault="00915C0D" w:rsidP="00915C0D">
      <w:pPr>
        <w:pStyle w:val="Header"/>
        <w:jc w:val="center"/>
        <w:rPr>
          <w:rFonts w:ascii="Times New Roman" w:hAnsi="Times New Roman"/>
          <w:bCs/>
          <w:sz w:val="22"/>
        </w:rPr>
      </w:pPr>
      <w:r w:rsidRPr="00915C0D">
        <w:rPr>
          <w:rFonts w:ascii="Times New Roman" w:hAnsi="Times New Roman"/>
          <w:i/>
          <w:iCs/>
          <w:sz w:val="22"/>
          <w:szCs w:val="22"/>
        </w:rPr>
        <w:t>Figure 5 – 2012 and 2013 REAL GDP growth rate.  2014 ESTIMATE</w:t>
      </w:r>
      <w:r w:rsidRPr="00915C0D">
        <w:rPr>
          <w:noProof/>
        </w:rPr>
        <w:drawing>
          <wp:inline distT="0" distB="0" distL="0" distR="0" wp14:anchorId="235C750D" wp14:editId="2D0345C5">
            <wp:extent cx="5076702" cy="3543300"/>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5082016" cy="3547009"/>
                    </a:xfrm>
                    <a:prstGeom prst="rect">
                      <a:avLst/>
                    </a:prstGeom>
                    <a:noFill/>
                    <a:ln w="9525">
                      <a:noFill/>
                      <a:miter lim="800000"/>
                      <a:headEnd/>
                      <a:tailEnd/>
                    </a:ln>
                  </pic:spPr>
                </pic:pic>
              </a:graphicData>
            </a:graphic>
          </wp:inline>
        </w:drawing>
      </w:r>
    </w:p>
    <w:p w14:paraId="4EA5B2D1" w14:textId="77777777" w:rsidR="00915C0D" w:rsidRPr="00017F75" w:rsidRDefault="00915C0D" w:rsidP="00915C0D">
      <w:pPr>
        <w:ind w:left="720"/>
        <w:jc w:val="both"/>
        <w:rPr>
          <w:rFonts w:ascii="Times New Roman" w:hAnsi="Times New Roman"/>
          <w:bCs/>
          <w:i/>
          <w:sz w:val="18"/>
          <w:szCs w:val="18"/>
        </w:rPr>
      </w:pPr>
      <w:r w:rsidRPr="00915C0D">
        <w:rPr>
          <w:rFonts w:ascii="Times New Roman" w:hAnsi="Times New Roman"/>
          <w:i/>
          <w:iCs/>
          <w:sz w:val="18"/>
          <w:szCs w:val="18"/>
        </w:rPr>
        <w:t>Source: ECLAC Economic Survey 2012 and 2013.</w:t>
      </w:r>
    </w:p>
    <w:p w14:paraId="45C9D53E" w14:textId="77777777" w:rsidR="00915C0D" w:rsidRPr="00017F75" w:rsidRDefault="00915C0D" w:rsidP="00915C0D">
      <w:pPr>
        <w:ind w:left="720"/>
        <w:jc w:val="both"/>
        <w:rPr>
          <w:rFonts w:ascii="Times New Roman" w:hAnsi="Times New Roman"/>
          <w:bCs/>
          <w:i/>
          <w:sz w:val="18"/>
          <w:szCs w:val="18"/>
        </w:rPr>
      </w:pPr>
    </w:p>
    <w:p w14:paraId="6B0672C7" w14:textId="77777777" w:rsidR="00915C0D" w:rsidRPr="00017F75" w:rsidRDefault="00915C0D" w:rsidP="00D421FA">
      <w:pPr>
        <w:numPr>
          <w:ilvl w:val="1"/>
          <w:numId w:val="37"/>
        </w:numPr>
        <w:jc w:val="both"/>
        <w:rPr>
          <w:rFonts w:ascii="Times New Roman" w:hAnsi="Times New Roman"/>
          <w:bCs/>
          <w:sz w:val="22"/>
        </w:rPr>
      </w:pPr>
      <w:r w:rsidRPr="00915C0D">
        <w:rPr>
          <w:rFonts w:ascii="Times New Roman" w:hAnsi="Times New Roman"/>
          <w:sz w:val="22"/>
          <w:szCs w:val="22"/>
        </w:rPr>
        <w:t>The results of the annual GDP performance confirm the high degree of heterogeneity between countries. In general, a decreased acceleration in the dynamism of internal demand and its contribution to regional growth is evident.  The performance of Panama's mining industry substantially supported its remarkable progress as the benchmark of regional growth (8.4%). Guyana is at a satisfactory level within the group (the average in Latin America and the Caribbean was 2.5%) both historically and in projections (5.2% in 2013 and 4.3% projected for 2014).</w:t>
      </w:r>
    </w:p>
    <w:p w14:paraId="498E7BCA" w14:textId="77777777" w:rsidR="003C3FD6" w:rsidRDefault="003C3FD6" w:rsidP="00915C0D">
      <w:pPr>
        <w:ind w:firstLine="718"/>
        <w:jc w:val="both"/>
        <w:rPr>
          <w:rFonts w:ascii="Times New Roman" w:hAnsi="Times New Roman"/>
          <w:i/>
          <w:iCs/>
          <w:sz w:val="22"/>
          <w:szCs w:val="22"/>
        </w:rPr>
      </w:pPr>
    </w:p>
    <w:p w14:paraId="716E3287" w14:textId="77777777" w:rsidR="00915C0D" w:rsidRPr="00017F75" w:rsidRDefault="00915C0D" w:rsidP="00915C0D">
      <w:pPr>
        <w:ind w:firstLine="718"/>
        <w:jc w:val="both"/>
        <w:rPr>
          <w:rFonts w:ascii="Times New Roman" w:hAnsi="Times New Roman"/>
          <w:bCs/>
          <w:sz w:val="22"/>
        </w:rPr>
      </w:pPr>
      <w:r w:rsidRPr="00915C0D">
        <w:rPr>
          <w:rFonts w:ascii="Times New Roman" w:hAnsi="Times New Roman"/>
          <w:i/>
          <w:iCs/>
          <w:sz w:val="22"/>
          <w:szCs w:val="22"/>
        </w:rPr>
        <w:t>Figure 6 – Inflation in Guyana vs LAC Regional Average - 2011-2012 and 2013 data</w:t>
      </w:r>
    </w:p>
    <w:p w14:paraId="2B955729" w14:textId="77777777" w:rsidR="00915C0D" w:rsidRPr="00915C0D" w:rsidRDefault="00915C0D" w:rsidP="00915C0D">
      <w:pPr>
        <w:jc w:val="center"/>
        <w:rPr>
          <w:rFonts w:ascii="Times New Roman" w:hAnsi="Times New Roman"/>
          <w:bCs/>
          <w:sz w:val="22"/>
          <w:lang w:val="es-ES"/>
        </w:rPr>
      </w:pPr>
      <w:r w:rsidRPr="00915C0D">
        <w:rPr>
          <w:noProof/>
        </w:rPr>
        <w:drawing>
          <wp:inline distT="0" distB="0" distL="0" distR="0" wp14:anchorId="71986C6E" wp14:editId="7F84BE4E">
            <wp:extent cx="3467100" cy="2255963"/>
            <wp:effectExtent l="19050" t="0" r="0" b="0"/>
            <wp:docPr id="2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3474180" cy="2260570"/>
                    </a:xfrm>
                    <a:prstGeom prst="rect">
                      <a:avLst/>
                    </a:prstGeom>
                    <a:noFill/>
                    <a:ln w="9525">
                      <a:noFill/>
                      <a:miter lim="800000"/>
                      <a:headEnd/>
                      <a:tailEnd/>
                    </a:ln>
                  </pic:spPr>
                </pic:pic>
              </a:graphicData>
            </a:graphic>
          </wp:inline>
        </w:drawing>
      </w:r>
    </w:p>
    <w:p w14:paraId="1B3D8BF3" w14:textId="77777777" w:rsidR="00915C0D" w:rsidRPr="00915C0D" w:rsidRDefault="00915C0D" w:rsidP="00915C0D">
      <w:pPr>
        <w:ind w:left="718"/>
        <w:jc w:val="both"/>
        <w:rPr>
          <w:rFonts w:ascii="Times New Roman" w:hAnsi="Times New Roman"/>
          <w:bCs/>
          <w:i/>
          <w:sz w:val="18"/>
          <w:szCs w:val="18"/>
          <w:lang w:val="es-ES"/>
        </w:rPr>
      </w:pPr>
      <w:r w:rsidRPr="00915C0D">
        <w:rPr>
          <w:rFonts w:ascii="Times New Roman" w:hAnsi="Times New Roman"/>
          <w:i/>
          <w:iCs/>
          <w:sz w:val="18"/>
          <w:szCs w:val="18"/>
        </w:rPr>
        <w:t>Source: ECLAC Economic Survey 2013.</w:t>
      </w:r>
    </w:p>
    <w:p w14:paraId="232EAAC4" w14:textId="77777777" w:rsidR="00915C0D" w:rsidRPr="00915C0D" w:rsidRDefault="00915C0D" w:rsidP="00915C0D">
      <w:pPr>
        <w:jc w:val="both"/>
        <w:rPr>
          <w:rFonts w:ascii="Times New Roman" w:hAnsi="Times New Roman"/>
          <w:bCs/>
          <w:sz w:val="22"/>
          <w:lang w:val="es-ES"/>
        </w:rPr>
      </w:pPr>
    </w:p>
    <w:p w14:paraId="5059F19A" w14:textId="77777777" w:rsidR="00915C0D" w:rsidRPr="00017F75" w:rsidRDefault="00915C0D" w:rsidP="00D421FA">
      <w:pPr>
        <w:numPr>
          <w:ilvl w:val="1"/>
          <w:numId w:val="37"/>
        </w:numPr>
        <w:jc w:val="both"/>
        <w:rPr>
          <w:rFonts w:ascii="Times New Roman" w:hAnsi="Times New Roman"/>
          <w:bCs/>
          <w:sz w:val="22"/>
        </w:rPr>
      </w:pPr>
      <w:r w:rsidRPr="00915C0D">
        <w:rPr>
          <w:rFonts w:ascii="Times New Roman" w:hAnsi="Times New Roman"/>
          <w:sz w:val="22"/>
          <w:szCs w:val="22"/>
        </w:rPr>
        <w:t>Looking at the weighted average, the regional inflation rate in 2013 was 7.3%, while in 2011 it was 5.6%</w:t>
      </w:r>
      <w:r w:rsidRPr="00915C0D">
        <w:rPr>
          <w:rStyle w:val="FootnoteReference"/>
          <w:rFonts w:ascii="Times New Roman" w:hAnsi="Times New Roman"/>
          <w:bCs/>
          <w:sz w:val="22"/>
          <w:lang w:val="es-ES"/>
        </w:rPr>
        <w:footnoteReference w:id="28"/>
      </w:r>
      <w:r w:rsidRPr="00915C0D">
        <w:rPr>
          <w:rFonts w:ascii="Times New Roman" w:hAnsi="Times New Roman"/>
          <w:sz w:val="22"/>
          <w:szCs w:val="22"/>
        </w:rPr>
        <w:t>. The highest levels were in Venezuela, and the lowest in Trinidad and Tobago and Jamaica.  While underlying inflation trended upward in most countries throughout the year (rise in food prices), Guyana's position stands out, both in terms of the trend as well as the indicator's absolute value.</w:t>
      </w:r>
    </w:p>
    <w:p w14:paraId="259676F7" w14:textId="77777777" w:rsidR="00915C0D" w:rsidRPr="00017F75" w:rsidRDefault="00915C0D" w:rsidP="00915C0D">
      <w:pPr>
        <w:ind w:left="718"/>
        <w:jc w:val="both"/>
        <w:rPr>
          <w:rFonts w:ascii="Times New Roman" w:hAnsi="Times New Roman"/>
          <w:bCs/>
          <w:sz w:val="22"/>
        </w:rPr>
      </w:pPr>
    </w:p>
    <w:p w14:paraId="185EA94A" w14:textId="77777777" w:rsidR="00915C0D" w:rsidRPr="00017F75" w:rsidRDefault="00915C0D" w:rsidP="00915C0D">
      <w:pPr>
        <w:jc w:val="both"/>
        <w:rPr>
          <w:rFonts w:ascii="Times New Roman" w:hAnsi="Times New Roman"/>
          <w:bCs/>
          <w:i/>
          <w:sz w:val="22"/>
        </w:rPr>
      </w:pPr>
      <w:r w:rsidRPr="00915C0D">
        <w:rPr>
          <w:rFonts w:ascii="Times New Roman" w:hAnsi="Times New Roman"/>
          <w:i/>
          <w:iCs/>
          <w:sz w:val="22"/>
          <w:szCs w:val="22"/>
        </w:rPr>
        <w:t>Figure 7 – Fiscal result and debt/GDP ratio in the Caribbean economies - 2012 data.</w:t>
      </w:r>
    </w:p>
    <w:p w14:paraId="02914145" w14:textId="77777777" w:rsidR="00915C0D" w:rsidRPr="00915C0D" w:rsidRDefault="00915C0D" w:rsidP="00915C0D">
      <w:pPr>
        <w:jc w:val="center"/>
        <w:rPr>
          <w:rFonts w:ascii="Times New Roman" w:hAnsi="Times New Roman"/>
          <w:bCs/>
          <w:sz w:val="22"/>
          <w:lang w:val="es-ES"/>
        </w:rPr>
      </w:pPr>
      <w:r w:rsidRPr="00915C0D">
        <w:rPr>
          <w:noProof/>
        </w:rPr>
        <w:drawing>
          <wp:inline distT="0" distB="0" distL="0" distR="0" wp14:anchorId="2285AA67" wp14:editId="7CE6F2D4">
            <wp:extent cx="5097029" cy="3314700"/>
            <wp:effectExtent l="19050" t="0" r="8371" b="0"/>
            <wp:docPr id="2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5107054" cy="3321219"/>
                    </a:xfrm>
                    <a:prstGeom prst="rect">
                      <a:avLst/>
                    </a:prstGeom>
                    <a:noFill/>
                    <a:ln w="9525">
                      <a:noFill/>
                      <a:miter lim="800000"/>
                      <a:headEnd/>
                      <a:tailEnd/>
                    </a:ln>
                  </pic:spPr>
                </pic:pic>
              </a:graphicData>
            </a:graphic>
          </wp:inline>
        </w:drawing>
      </w:r>
    </w:p>
    <w:p w14:paraId="1981AF30" w14:textId="77777777" w:rsidR="00915C0D" w:rsidRPr="00915C0D" w:rsidRDefault="00915C0D" w:rsidP="00915C0D">
      <w:pPr>
        <w:ind w:left="720"/>
        <w:jc w:val="both"/>
        <w:rPr>
          <w:rFonts w:ascii="Times New Roman" w:hAnsi="Times New Roman"/>
          <w:bCs/>
          <w:i/>
          <w:sz w:val="18"/>
          <w:szCs w:val="18"/>
          <w:lang w:val="es-ES"/>
        </w:rPr>
      </w:pPr>
      <w:r w:rsidRPr="00915C0D">
        <w:rPr>
          <w:rFonts w:ascii="Times New Roman" w:hAnsi="Times New Roman"/>
          <w:i/>
          <w:iCs/>
          <w:sz w:val="18"/>
          <w:szCs w:val="18"/>
        </w:rPr>
        <w:t>Source: ECLAC Economic Survey 2013.</w:t>
      </w:r>
    </w:p>
    <w:p w14:paraId="1F2A83FB" w14:textId="77777777" w:rsidR="00915C0D" w:rsidRPr="00915C0D" w:rsidRDefault="00915C0D" w:rsidP="00915C0D">
      <w:pPr>
        <w:jc w:val="both"/>
        <w:rPr>
          <w:rFonts w:ascii="Times New Roman" w:hAnsi="Times New Roman"/>
          <w:bCs/>
          <w:sz w:val="22"/>
          <w:lang w:val="es-ES"/>
        </w:rPr>
      </w:pPr>
    </w:p>
    <w:p w14:paraId="3D15FFDD" w14:textId="77777777" w:rsidR="00915C0D" w:rsidRPr="00017F75" w:rsidRDefault="00915C0D" w:rsidP="00D421FA">
      <w:pPr>
        <w:numPr>
          <w:ilvl w:val="1"/>
          <w:numId w:val="37"/>
        </w:numPr>
        <w:jc w:val="both"/>
        <w:rPr>
          <w:rFonts w:ascii="Times New Roman" w:hAnsi="Times New Roman"/>
          <w:bCs/>
          <w:sz w:val="22"/>
        </w:rPr>
      </w:pPr>
      <w:r w:rsidRPr="00915C0D">
        <w:rPr>
          <w:rFonts w:ascii="Times New Roman" w:hAnsi="Times New Roman"/>
          <w:sz w:val="22"/>
          <w:szCs w:val="22"/>
        </w:rPr>
        <w:t>In the Caribbean countries, there was an average deficit reduction of 0.2 percentage points of GDP, with a total result of 3.0 GDP percentage points. In terms of gross public debt, the landscape is varied, averaging more than 76% of GDP in 2013, with a low of 40% in Suriname and a high of more than 120% in Jamaica. Regarding Guyana, it should be noted that although the fiscal situation has its weaknesses, its debt to GDP ratio (equal to 57.7%) is at a manageable level.</w:t>
      </w:r>
    </w:p>
    <w:p w14:paraId="1005864C" w14:textId="77777777" w:rsidR="00915C0D" w:rsidRPr="00915C0D" w:rsidRDefault="00915C0D" w:rsidP="00915C0D">
      <w:pPr>
        <w:pStyle w:val="Heading3"/>
        <w:rPr>
          <w:noProof/>
          <w:sz w:val="22"/>
          <w:szCs w:val="22"/>
        </w:rPr>
      </w:pPr>
      <w:bookmarkStart w:id="17" w:name="_Toc403028391"/>
      <w:r w:rsidRPr="00915C0D">
        <w:rPr>
          <w:iCs/>
          <w:sz w:val="22"/>
          <w:szCs w:val="22"/>
        </w:rPr>
        <w:t>Benefits of stability on the economy / Financial Support</w:t>
      </w:r>
      <w:bookmarkEnd w:id="17"/>
    </w:p>
    <w:p w14:paraId="3EFDD040" w14:textId="77777777" w:rsidR="00915C0D" w:rsidRPr="00915C0D" w:rsidRDefault="00915C0D" w:rsidP="00915C0D">
      <w:pPr>
        <w:ind w:left="718"/>
        <w:jc w:val="both"/>
        <w:rPr>
          <w:rFonts w:ascii="Times New Roman" w:hAnsi="Times New Roman"/>
          <w:bCs/>
          <w:sz w:val="22"/>
        </w:rPr>
      </w:pPr>
    </w:p>
    <w:p w14:paraId="2A2AFB65" w14:textId="77777777" w:rsidR="00915C0D" w:rsidRPr="00017F75" w:rsidRDefault="00915C0D" w:rsidP="00D421FA">
      <w:pPr>
        <w:numPr>
          <w:ilvl w:val="1"/>
          <w:numId w:val="37"/>
        </w:numPr>
        <w:jc w:val="both"/>
        <w:rPr>
          <w:rFonts w:ascii="Times New Roman" w:hAnsi="Times New Roman"/>
          <w:bCs/>
          <w:sz w:val="22"/>
        </w:rPr>
      </w:pPr>
      <w:r w:rsidRPr="00915C0D">
        <w:rPr>
          <w:rFonts w:ascii="Times New Roman" w:hAnsi="Times New Roman"/>
          <w:sz w:val="22"/>
          <w:szCs w:val="22"/>
        </w:rPr>
        <w:t>Economic stabilization can be summarized by the presence of the following elements: (</w:t>
      </w:r>
      <w:proofErr w:type="spellStart"/>
      <w:r w:rsidRPr="00915C0D">
        <w:rPr>
          <w:rFonts w:ascii="Times New Roman" w:hAnsi="Times New Roman"/>
          <w:sz w:val="22"/>
          <w:szCs w:val="22"/>
        </w:rPr>
        <w:t>i</w:t>
      </w:r>
      <w:proofErr w:type="spellEnd"/>
      <w:r w:rsidRPr="00915C0D">
        <w:rPr>
          <w:rFonts w:ascii="Times New Roman" w:hAnsi="Times New Roman"/>
          <w:sz w:val="22"/>
          <w:szCs w:val="22"/>
        </w:rPr>
        <w:t>) low inflation (ii) sustained growth and (iii) orientation of investments towards the optimization in the use of the production resources with a long-term focus. The main reason why countries incorporate the objective of stabilizing prices at reduced inflation levels has to do with its contribution to the creation of a climate conducive to economic growth. The opposite situation (high inflation rate and strong volatility in the concerned sector) acts as a strong deterrent to private investment.</w:t>
      </w:r>
    </w:p>
    <w:p w14:paraId="4DFB2ADB" w14:textId="77777777" w:rsidR="00915C0D" w:rsidRPr="00017F75" w:rsidRDefault="00915C0D" w:rsidP="00915C0D">
      <w:pPr>
        <w:pStyle w:val="ListParagraph"/>
        <w:rPr>
          <w:rFonts w:ascii="Times New Roman" w:hAnsi="Times New Roman"/>
          <w:bCs/>
          <w:sz w:val="22"/>
        </w:rPr>
      </w:pPr>
    </w:p>
    <w:p w14:paraId="37A7F33E" w14:textId="77777777" w:rsidR="00915C0D" w:rsidRPr="00017F75" w:rsidRDefault="00915C0D" w:rsidP="00D421FA">
      <w:pPr>
        <w:numPr>
          <w:ilvl w:val="1"/>
          <w:numId w:val="37"/>
        </w:numPr>
        <w:jc w:val="both"/>
        <w:rPr>
          <w:rFonts w:ascii="Times New Roman" w:hAnsi="Times New Roman"/>
          <w:bCs/>
          <w:sz w:val="22"/>
        </w:rPr>
      </w:pPr>
      <w:r w:rsidRPr="00915C0D">
        <w:rPr>
          <w:rFonts w:ascii="Times New Roman" w:hAnsi="Times New Roman"/>
          <w:sz w:val="22"/>
          <w:szCs w:val="22"/>
        </w:rPr>
        <w:t xml:space="preserve">Uncertainty not only affects the potential entrepreneur, but also </w:t>
      </w:r>
      <w:proofErr w:type="gramStart"/>
      <w:r w:rsidRPr="00915C0D">
        <w:rPr>
          <w:rFonts w:ascii="Times New Roman" w:hAnsi="Times New Roman"/>
          <w:sz w:val="22"/>
          <w:szCs w:val="22"/>
        </w:rPr>
        <w:t>limits,</w:t>
      </w:r>
      <w:proofErr w:type="gramEnd"/>
      <w:r w:rsidRPr="00915C0D">
        <w:rPr>
          <w:rFonts w:ascii="Times New Roman" w:hAnsi="Times New Roman"/>
          <w:sz w:val="22"/>
          <w:szCs w:val="22"/>
        </w:rPr>
        <w:t xml:space="preserve"> conditions and/or increases the cost of access to credit. On the other hand, economic stability creates a situation that cultivates a virtuous circle: more savings, greater investment, and therefore, growth. This allows different economic stakeholders to take productive risks, feed economic activity, and the subsequent secondary effects, thereby providing new employment opportunities with higher incomes for families, generating foreign currency, meeting their tax obligations and all other related activities. As a result, the conditions for access to supplier markets improve, which is equivalent to reducing the fiscal cost of public indebtedness. Additionally, the strengthening of the macroeconomic conditions can mitigate the impacts of possible economic and financial crises, whether they are internal or external in nature.</w:t>
      </w:r>
    </w:p>
    <w:p w14:paraId="412B69A4" w14:textId="77777777" w:rsidR="00915C0D" w:rsidRPr="00017F75" w:rsidRDefault="00915C0D">
      <w:pPr>
        <w:pStyle w:val="ListParagraph"/>
        <w:rPr>
          <w:rFonts w:ascii="Times New Roman" w:hAnsi="Times New Roman"/>
          <w:bCs/>
          <w:sz w:val="22"/>
        </w:rPr>
      </w:pPr>
    </w:p>
    <w:p w14:paraId="3980836F" w14:textId="77777777" w:rsidR="00915C0D" w:rsidRPr="00915C0D" w:rsidRDefault="00915C0D" w:rsidP="00D421FA">
      <w:pPr>
        <w:numPr>
          <w:ilvl w:val="1"/>
          <w:numId w:val="37"/>
        </w:numPr>
        <w:jc w:val="both"/>
        <w:rPr>
          <w:rFonts w:ascii="Times New Roman" w:hAnsi="Times New Roman"/>
          <w:bCs/>
          <w:sz w:val="22"/>
        </w:rPr>
      </w:pPr>
      <w:r w:rsidRPr="00915C0D">
        <w:rPr>
          <w:rFonts w:ascii="Times New Roman" w:hAnsi="Times New Roman"/>
          <w:bCs/>
          <w:sz w:val="22"/>
        </w:rPr>
        <w:t xml:space="preserve">As mentioned, Guyana shows a relatively large budget deficit and a relatively high level of public indebtedness. In addition, </w:t>
      </w:r>
      <w:proofErr w:type="spellStart"/>
      <w:r w:rsidRPr="00915C0D">
        <w:rPr>
          <w:rFonts w:ascii="Times New Roman" w:hAnsi="Times New Roman"/>
          <w:bCs/>
          <w:sz w:val="22"/>
        </w:rPr>
        <w:t>GoG</w:t>
      </w:r>
      <w:proofErr w:type="spellEnd"/>
      <w:r w:rsidRPr="00915C0D">
        <w:rPr>
          <w:rFonts w:ascii="Times New Roman" w:hAnsi="Times New Roman"/>
          <w:bCs/>
          <w:sz w:val="22"/>
        </w:rPr>
        <w:t xml:space="preserve"> faces the challenge of maintaining a minimum level of public capital investment to promote growth while simultaneously limiting the risk of debt distress.  As a consequence, regarding spending constraint under current conditions, the resources of the PBP provide some relief on those aspects.</w:t>
      </w:r>
    </w:p>
    <w:p w14:paraId="123EFE69" w14:textId="77777777" w:rsidR="00915C0D" w:rsidRPr="00915C0D" w:rsidRDefault="00915C0D" w:rsidP="00915C0D">
      <w:pPr>
        <w:pStyle w:val="ListParagraph"/>
        <w:rPr>
          <w:rFonts w:ascii="Times New Roman" w:hAnsi="Times New Roman"/>
          <w:bCs/>
          <w:sz w:val="22"/>
        </w:rPr>
      </w:pPr>
    </w:p>
    <w:p w14:paraId="15B2C7C1" w14:textId="77777777" w:rsidR="00915C0D" w:rsidRPr="003C3FD6" w:rsidRDefault="00915C0D" w:rsidP="00915C0D">
      <w:pPr>
        <w:pStyle w:val="Heading2"/>
        <w:jc w:val="left"/>
        <w:rPr>
          <w:lang w:val="en-US"/>
        </w:rPr>
      </w:pPr>
      <w:bookmarkStart w:id="18" w:name="_Toc403028392"/>
      <w:r w:rsidRPr="003C3FD6">
        <w:rPr>
          <w:lang w:val="en-US"/>
        </w:rPr>
        <w:t>Component 2. Regulatory Framework</w:t>
      </w:r>
      <w:bookmarkEnd w:id="18"/>
    </w:p>
    <w:p w14:paraId="06A60724" w14:textId="77777777" w:rsidR="00915C0D" w:rsidRPr="003C3FD6" w:rsidRDefault="00915C0D" w:rsidP="00915C0D">
      <w:pPr>
        <w:jc w:val="both"/>
        <w:rPr>
          <w:rFonts w:ascii="Times New Roman" w:hAnsi="Times New Roman"/>
          <w:bCs/>
          <w:sz w:val="22"/>
        </w:rPr>
      </w:pPr>
    </w:p>
    <w:p w14:paraId="2A6CA341" w14:textId="77777777" w:rsidR="00915C0D" w:rsidRPr="003C3FD6" w:rsidRDefault="00915C0D" w:rsidP="00915C0D">
      <w:pPr>
        <w:pStyle w:val="Heading3"/>
        <w:spacing w:before="0" w:after="0"/>
        <w:rPr>
          <w:sz w:val="22"/>
          <w:szCs w:val="22"/>
        </w:rPr>
      </w:pPr>
      <w:bookmarkStart w:id="19" w:name="_Toc403028393"/>
      <w:r w:rsidRPr="003C3FD6">
        <w:rPr>
          <w:sz w:val="22"/>
          <w:szCs w:val="22"/>
        </w:rPr>
        <w:t>Global challenges.</w:t>
      </w:r>
      <w:bookmarkEnd w:id="19"/>
    </w:p>
    <w:p w14:paraId="24BFD0C7" w14:textId="77777777" w:rsidR="00915C0D" w:rsidRPr="00017F75" w:rsidRDefault="00915C0D" w:rsidP="00915C0D">
      <w:pPr>
        <w:jc w:val="both"/>
        <w:rPr>
          <w:rFonts w:ascii="Times New Roman" w:hAnsi="Times New Roman"/>
          <w:bCs/>
          <w:sz w:val="22"/>
        </w:rPr>
      </w:pPr>
    </w:p>
    <w:p w14:paraId="6DB925CD" w14:textId="77777777" w:rsidR="00915C0D" w:rsidRPr="00017F75" w:rsidRDefault="00915C0D" w:rsidP="00D421FA">
      <w:pPr>
        <w:numPr>
          <w:ilvl w:val="1"/>
          <w:numId w:val="37"/>
        </w:numPr>
        <w:jc w:val="both"/>
        <w:rPr>
          <w:rFonts w:ascii="Times New Roman" w:hAnsi="Times New Roman"/>
          <w:bCs/>
          <w:sz w:val="22"/>
        </w:rPr>
      </w:pPr>
      <w:r w:rsidRPr="00915C0D">
        <w:rPr>
          <w:rFonts w:ascii="Times New Roman" w:hAnsi="Times New Roman"/>
          <w:sz w:val="22"/>
          <w:szCs w:val="22"/>
        </w:rPr>
        <w:t xml:space="preserve">The LCDS is still an important point of reference linked to the control of deforestation levels since this is a critical part of maintaining resource availability for advancing the restructuring of production. As a result, one of the management objectives is reconciling the growth patterns of different sectors and making the necessary investments for development, without damaging the environmental strength of their surroundings. The evolution and characteristics of the deforestation rate puts the economic sectors where the intervention is focused in context. </w:t>
      </w:r>
    </w:p>
    <w:p w14:paraId="72EC1C8F" w14:textId="77777777" w:rsidR="00915C0D" w:rsidRPr="00017F75" w:rsidRDefault="00915C0D" w:rsidP="00915C0D">
      <w:pPr>
        <w:ind w:left="718"/>
        <w:jc w:val="both"/>
        <w:rPr>
          <w:rFonts w:ascii="Times New Roman" w:hAnsi="Times New Roman"/>
          <w:bCs/>
          <w:sz w:val="22"/>
        </w:rPr>
      </w:pPr>
    </w:p>
    <w:p w14:paraId="67109A26" w14:textId="77777777" w:rsidR="00915C0D" w:rsidRPr="00017F75" w:rsidRDefault="00915C0D" w:rsidP="00D421FA">
      <w:pPr>
        <w:numPr>
          <w:ilvl w:val="1"/>
          <w:numId w:val="37"/>
        </w:numPr>
        <w:jc w:val="both"/>
        <w:rPr>
          <w:rFonts w:ascii="Times New Roman" w:hAnsi="Times New Roman"/>
          <w:bCs/>
          <w:sz w:val="22"/>
          <w:szCs w:val="22"/>
        </w:rPr>
      </w:pPr>
      <w:r w:rsidRPr="00915C0D">
        <w:rPr>
          <w:rFonts w:ascii="Times New Roman" w:hAnsi="Times New Roman"/>
          <w:sz w:val="22"/>
          <w:szCs w:val="22"/>
        </w:rPr>
        <w:t>Long-term trends. Over the last decade, Guyana's forests have been under pressure due to the intensification of economic activity, as well as Climate Change. From 1990-2010, the deforestation rate was between 0.01% and 0.06% on average, relatively low compared to most tropical countries. The following graphic allows for analysis of the general trend of the deforestation process, as well as the relative significance of the principal drivers:</w:t>
      </w:r>
    </w:p>
    <w:p w14:paraId="02F69BEB" w14:textId="77777777" w:rsidR="00915C0D" w:rsidRPr="00017F75" w:rsidRDefault="00915C0D" w:rsidP="00915C0D">
      <w:pPr>
        <w:ind w:left="718"/>
        <w:jc w:val="both"/>
        <w:rPr>
          <w:rFonts w:ascii="Times New Roman" w:hAnsi="Times New Roman"/>
          <w:bCs/>
          <w:sz w:val="22"/>
          <w:szCs w:val="22"/>
        </w:rPr>
      </w:pPr>
    </w:p>
    <w:p w14:paraId="49C8405E" w14:textId="77777777" w:rsidR="00915C0D" w:rsidRPr="00017F75" w:rsidRDefault="00915C0D" w:rsidP="00915C0D">
      <w:pPr>
        <w:ind w:firstLine="718"/>
        <w:jc w:val="both"/>
        <w:rPr>
          <w:rFonts w:ascii="Times New Roman" w:hAnsi="Times New Roman"/>
          <w:bCs/>
          <w:sz w:val="22"/>
        </w:rPr>
      </w:pPr>
      <w:r w:rsidRPr="00915C0D">
        <w:rPr>
          <w:rFonts w:ascii="Times New Roman" w:hAnsi="Times New Roman"/>
          <w:i/>
          <w:iCs/>
          <w:sz w:val="22"/>
          <w:szCs w:val="22"/>
        </w:rPr>
        <w:t>Table 2 – Trend and Drivers of deforestation 2001-2013</w:t>
      </w:r>
    </w:p>
    <w:tbl>
      <w:tblPr>
        <w:tblW w:w="8232" w:type="dxa"/>
        <w:tblInd w:w="65" w:type="dxa"/>
        <w:tblCellMar>
          <w:left w:w="70" w:type="dxa"/>
          <w:right w:w="70" w:type="dxa"/>
        </w:tblCellMar>
        <w:tblLook w:val="04A0" w:firstRow="1" w:lastRow="0" w:firstColumn="1" w:lastColumn="0" w:noHBand="0" w:noVBand="1"/>
      </w:tblPr>
      <w:tblGrid>
        <w:gridCol w:w="2096"/>
        <w:gridCol w:w="1208"/>
        <w:gridCol w:w="1012"/>
        <w:gridCol w:w="996"/>
        <w:gridCol w:w="996"/>
        <w:gridCol w:w="996"/>
        <w:gridCol w:w="996"/>
      </w:tblGrid>
      <w:tr w:rsidR="002F21BD" w:rsidRPr="00915C0D" w14:paraId="747A483E" w14:textId="77777777" w:rsidTr="00915C0D">
        <w:trPr>
          <w:trHeight w:val="290"/>
        </w:trPr>
        <w:tc>
          <w:tcPr>
            <w:tcW w:w="209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25A2042" w14:textId="77777777" w:rsidR="00915C0D" w:rsidRPr="00915C0D" w:rsidRDefault="00915C0D" w:rsidP="00915C0D">
            <w:pPr>
              <w:jc w:val="center"/>
              <w:rPr>
                <w:rFonts w:ascii="Times New Roman" w:hAnsi="Times New Roman"/>
                <w:color w:val="000000"/>
                <w:lang w:val="es-AR" w:eastAsia="es-AR"/>
              </w:rPr>
            </w:pPr>
            <w:r w:rsidRPr="00915C0D">
              <w:rPr>
                <w:rFonts w:ascii="Times New Roman" w:hAnsi="Times New Roman"/>
                <w:color w:val="000000"/>
                <w:lang w:val="es-AR" w:eastAsia="es-AR"/>
              </w:rPr>
              <w:t>Driver</w:t>
            </w:r>
          </w:p>
        </w:tc>
        <w:tc>
          <w:tcPr>
            <w:tcW w:w="12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69440BE" w14:textId="77777777" w:rsidR="00915C0D" w:rsidRPr="00915C0D" w:rsidRDefault="00915C0D" w:rsidP="00915C0D">
            <w:pPr>
              <w:jc w:val="center"/>
              <w:rPr>
                <w:rFonts w:ascii="Times New Roman" w:hAnsi="Times New Roman"/>
                <w:color w:val="000000"/>
                <w:lang w:val="es-AR" w:eastAsia="es-AR"/>
              </w:rPr>
            </w:pPr>
            <w:r w:rsidRPr="00915C0D">
              <w:rPr>
                <w:rFonts w:ascii="Times New Roman" w:hAnsi="Times New Roman"/>
                <w:color w:val="000000"/>
                <w:lang w:val="es-AR" w:eastAsia="es-AR"/>
              </w:rPr>
              <w:t>Historical   2001/2005</w:t>
            </w:r>
          </w:p>
        </w:tc>
        <w:tc>
          <w:tcPr>
            <w:tcW w:w="101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0849EC7" w14:textId="77777777" w:rsidR="00915C0D" w:rsidRPr="00915C0D" w:rsidRDefault="00915C0D" w:rsidP="00915C0D">
            <w:pPr>
              <w:jc w:val="center"/>
              <w:rPr>
                <w:rFonts w:ascii="Times New Roman" w:hAnsi="Times New Roman"/>
                <w:color w:val="000000"/>
                <w:lang w:val="es-AR" w:eastAsia="es-AR"/>
              </w:rPr>
            </w:pPr>
            <w:r w:rsidRPr="00915C0D">
              <w:rPr>
                <w:rFonts w:ascii="Times New Roman" w:hAnsi="Times New Roman"/>
                <w:color w:val="000000"/>
                <w:lang w:val="es-AR" w:eastAsia="es-AR"/>
              </w:rPr>
              <w:t>Historical  2006/2009</w:t>
            </w:r>
          </w:p>
        </w:tc>
        <w:tc>
          <w:tcPr>
            <w:tcW w:w="9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ACC058B" w14:textId="77777777" w:rsidR="00915C0D" w:rsidRPr="00915C0D" w:rsidRDefault="00915C0D" w:rsidP="00915C0D">
            <w:pPr>
              <w:jc w:val="center"/>
              <w:rPr>
                <w:rFonts w:ascii="Times New Roman" w:hAnsi="Times New Roman"/>
                <w:color w:val="000000"/>
                <w:lang w:val="es-AR" w:eastAsia="es-AR"/>
              </w:rPr>
            </w:pPr>
            <w:r w:rsidRPr="00915C0D">
              <w:rPr>
                <w:rFonts w:ascii="Times New Roman" w:hAnsi="Times New Roman"/>
                <w:color w:val="000000"/>
                <w:lang w:val="es-AR" w:eastAsia="es-AR"/>
              </w:rPr>
              <w:t>Year 1 2009/2010</w:t>
            </w:r>
          </w:p>
        </w:tc>
        <w:tc>
          <w:tcPr>
            <w:tcW w:w="9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FFD89C0" w14:textId="77777777" w:rsidR="00915C0D" w:rsidRPr="00915C0D" w:rsidRDefault="00915C0D" w:rsidP="00915C0D">
            <w:pPr>
              <w:jc w:val="center"/>
              <w:rPr>
                <w:rFonts w:ascii="Times New Roman" w:hAnsi="Times New Roman"/>
                <w:color w:val="000000"/>
                <w:lang w:val="es-AR" w:eastAsia="es-AR"/>
              </w:rPr>
            </w:pPr>
            <w:r w:rsidRPr="00915C0D">
              <w:rPr>
                <w:rFonts w:ascii="Times New Roman" w:hAnsi="Times New Roman"/>
                <w:color w:val="000000"/>
                <w:lang w:val="es-AR" w:eastAsia="es-AR"/>
              </w:rPr>
              <w:t>Year 2 2010/2011</w:t>
            </w:r>
          </w:p>
        </w:tc>
        <w:tc>
          <w:tcPr>
            <w:tcW w:w="9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C9A6617" w14:textId="77777777" w:rsidR="00915C0D" w:rsidRPr="00915C0D" w:rsidRDefault="00915C0D" w:rsidP="00915C0D">
            <w:pPr>
              <w:jc w:val="center"/>
              <w:rPr>
                <w:rFonts w:ascii="Times New Roman" w:hAnsi="Times New Roman"/>
                <w:color w:val="000000"/>
                <w:lang w:val="es-AR" w:eastAsia="es-AR"/>
              </w:rPr>
            </w:pPr>
            <w:r w:rsidRPr="00915C0D">
              <w:rPr>
                <w:rFonts w:ascii="Times New Roman" w:hAnsi="Times New Roman"/>
                <w:color w:val="000000"/>
                <w:lang w:val="es-AR" w:eastAsia="es-AR"/>
              </w:rPr>
              <w:t>Year 3 2011/2012</w:t>
            </w:r>
          </w:p>
        </w:tc>
        <w:tc>
          <w:tcPr>
            <w:tcW w:w="9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A4B43F1" w14:textId="77777777" w:rsidR="00915C0D" w:rsidRPr="00915C0D" w:rsidRDefault="00915C0D" w:rsidP="00915C0D">
            <w:pPr>
              <w:jc w:val="center"/>
              <w:rPr>
                <w:rFonts w:ascii="Times New Roman" w:hAnsi="Times New Roman"/>
                <w:color w:val="000000"/>
                <w:lang w:val="es-AR" w:eastAsia="es-AR"/>
              </w:rPr>
            </w:pPr>
            <w:r w:rsidRPr="00915C0D">
              <w:rPr>
                <w:rFonts w:ascii="Times New Roman" w:hAnsi="Times New Roman"/>
                <w:color w:val="000000"/>
                <w:lang w:val="es-AR" w:eastAsia="es-AR"/>
              </w:rPr>
              <w:t>Year 4 2012/2013</w:t>
            </w:r>
          </w:p>
        </w:tc>
      </w:tr>
      <w:tr w:rsidR="002F21BD" w:rsidRPr="00915C0D" w14:paraId="701FB5C3" w14:textId="77777777" w:rsidTr="00915C0D">
        <w:trPr>
          <w:trHeight w:val="497"/>
        </w:trPr>
        <w:tc>
          <w:tcPr>
            <w:tcW w:w="2096" w:type="dxa"/>
            <w:vMerge/>
            <w:tcBorders>
              <w:top w:val="single" w:sz="4" w:space="0" w:color="auto"/>
              <w:left w:val="single" w:sz="4" w:space="0" w:color="auto"/>
              <w:bottom w:val="single" w:sz="4" w:space="0" w:color="auto"/>
              <w:right w:val="single" w:sz="4" w:space="0" w:color="auto"/>
            </w:tcBorders>
            <w:vAlign w:val="center"/>
            <w:hideMark/>
          </w:tcPr>
          <w:p w14:paraId="12326E9C" w14:textId="77777777" w:rsidR="00915C0D" w:rsidRPr="00915C0D" w:rsidRDefault="00915C0D" w:rsidP="00915C0D">
            <w:pPr>
              <w:rPr>
                <w:rFonts w:ascii="Times New Roman" w:hAnsi="Times New Roman"/>
                <w:color w:val="000000"/>
                <w:lang w:val="es-AR" w:eastAsia="es-AR"/>
              </w:rPr>
            </w:pPr>
          </w:p>
        </w:tc>
        <w:tc>
          <w:tcPr>
            <w:tcW w:w="1208" w:type="dxa"/>
            <w:vMerge/>
            <w:tcBorders>
              <w:top w:val="single" w:sz="4" w:space="0" w:color="auto"/>
              <w:left w:val="single" w:sz="4" w:space="0" w:color="auto"/>
              <w:bottom w:val="single" w:sz="4" w:space="0" w:color="auto"/>
              <w:right w:val="single" w:sz="4" w:space="0" w:color="auto"/>
            </w:tcBorders>
            <w:vAlign w:val="center"/>
            <w:hideMark/>
          </w:tcPr>
          <w:p w14:paraId="33CA025B" w14:textId="77777777" w:rsidR="00915C0D" w:rsidRPr="00915C0D" w:rsidRDefault="00915C0D" w:rsidP="00915C0D">
            <w:pPr>
              <w:rPr>
                <w:rFonts w:ascii="Times New Roman" w:hAnsi="Times New Roman"/>
                <w:color w:val="000000"/>
                <w:lang w:val="es-AR" w:eastAsia="es-AR"/>
              </w:rPr>
            </w:pPr>
          </w:p>
        </w:tc>
        <w:tc>
          <w:tcPr>
            <w:tcW w:w="1012" w:type="dxa"/>
            <w:vMerge/>
            <w:tcBorders>
              <w:top w:val="single" w:sz="4" w:space="0" w:color="auto"/>
              <w:left w:val="single" w:sz="4" w:space="0" w:color="auto"/>
              <w:bottom w:val="single" w:sz="4" w:space="0" w:color="auto"/>
              <w:right w:val="single" w:sz="4" w:space="0" w:color="auto"/>
            </w:tcBorders>
            <w:vAlign w:val="center"/>
            <w:hideMark/>
          </w:tcPr>
          <w:p w14:paraId="67C932ED" w14:textId="77777777" w:rsidR="00915C0D" w:rsidRPr="00915C0D" w:rsidRDefault="00915C0D" w:rsidP="00915C0D">
            <w:pPr>
              <w:rPr>
                <w:rFonts w:ascii="Times New Roman" w:hAnsi="Times New Roman"/>
                <w:color w:val="000000"/>
                <w:lang w:val="es-AR" w:eastAsia="es-AR"/>
              </w:rPr>
            </w:pPr>
          </w:p>
        </w:tc>
        <w:tc>
          <w:tcPr>
            <w:tcW w:w="979" w:type="dxa"/>
            <w:vMerge/>
            <w:tcBorders>
              <w:top w:val="single" w:sz="4" w:space="0" w:color="auto"/>
              <w:left w:val="single" w:sz="4" w:space="0" w:color="auto"/>
              <w:bottom w:val="single" w:sz="4" w:space="0" w:color="auto"/>
              <w:right w:val="single" w:sz="4" w:space="0" w:color="auto"/>
            </w:tcBorders>
            <w:vAlign w:val="center"/>
            <w:hideMark/>
          </w:tcPr>
          <w:p w14:paraId="2CB38E15" w14:textId="77777777" w:rsidR="00915C0D" w:rsidRPr="00915C0D" w:rsidRDefault="00915C0D" w:rsidP="00915C0D">
            <w:pPr>
              <w:rPr>
                <w:rFonts w:ascii="Times New Roman" w:hAnsi="Times New Roman"/>
                <w:color w:val="000000"/>
                <w:lang w:val="es-AR" w:eastAsia="es-AR"/>
              </w:rPr>
            </w:pPr>
          </w:p>
        </w:tc>
        <w:tc>
          <w:tcPr>
            <w:tcW w:w="979" w:type="dxa"/>
            <w:vMerge/>
            <w:tcBorders>
              <w:top w:val="single" w:sz="4" w:space="0" w:color="auto"/>
              <w:left w:val="single" w:sz="4" w:space="0" w:color="auto"/>
              <w:bottom w:val="single" w:sz="4" w:space="0" w:color="auto"/>
              <w:right w:val="single" w:sz="4" w:space="0" w:color="auto"/>
            </w:tcBorders>
            <w:vAlign w:val="center"/>
            <w:hideMark/>
          </w:tcPr>
          <w:p w14:paraId="7F5E8940" w14:textId="77777777" w:rsidR="00915C0D" w:rsidRPr="00915C0D" w:rsidRDefault="00915C0D" w:rsidP="00915C0D">
            <w:pPr>
              <w:rPr>
                <w:rFonts w:ascii="Times New Roman" w:hAnsi="Times New Roman"/>
                <w:color w:val="000000"/>
                <w:lang w:val="es-AR" w:eastAsia="es-AR"/>
              </w:rPr>
            </w:pPr>
          </w:p>
        </w:tc>
        <w:tc>
          <w:tcPr>
            <w:tcW w:w="979" w:type="dxa"/>
            <w:vMerge/>
            <w:tcBorders>
              <w:top w:val="single" w:sz="4" w:space="0" w:color="auto"/>
              <w:left w:val="single" w:sz="4" w:space="0" w:color="auto"/>
              <w:bottom w:val="single" w:sz="4" w:space="0" w:color="auto"/>
              <w:right w:val="single" w:sz="4" w:space="0" w:color="auto"/>
            </w:tcBorders>
            <w:vAlign w:val="center"/>
            <w:hideMark/>
          </w:tcPr>
          <w:p w14:paraId="68C46358" w14:textId="77777777" w:rsidR="00915C0D" w:rsidRPr="00915C0D" w:rsidRDefault="00915C0D" w:rsidP="00915C0D">
            <w:pPr>
              <w:rPr>
                <w:rFonts w:ascii="Times New Roman" w:hAnsi="Times New Roman"/>
                <w:color w:val="000000"/>
                <w:lang w:val="es-AR" w:eastAsia="es-AR"/>
              </w:rPr>
            </w:pPr>
          </w:p>
        </w:tc>
        <w:tc>
          <w:tcPr>
            <w:tcW w:w="979" w:type="dxa"/>
            <w:vMerge/>
            <w:tcBorders>
              <w:top w:val="single" w:sz="4" w:space="0" w:color="auto"/>
              <w:left w:val="single" w:sz="4" w:space="0" w:color="auto"/>
              <w:bottom w:val="single" w:sz="4" w:space="0" w:color="auto"/>
              <w:right w:val="single" w:sz="4" w:space="0" w:color="auto"/>
            </w:tcBorders>
            <w:vAlign w:val="center"/>
            <w:hideMark/>
          </w:tcPr>
          <w:p w14:paraId="512413FD" w14:textId="77777777" w:rsidR="00915C0D" w:rsidRPr="00915C0D" w:rsidRDefault="00915C0D" w:rsidP="00915C0D">
            <w:pPr>
              <w:rPr>
                <w:rFonts w:ascii="Times New Roman" w:hAnsi="Times New Roman"/>
                <w:color w:val="000000"/>
                <w:lang w:val="es-AR" w:eastAsia="es-AR"/>
              </w:rPr>
            </w:pPr>
          </w:p>
        </w:tc>
      </w:tr>
      <w:tr w:rsidR="002F21BD" w:rsidRPr="00915C0D" w14:paraId="3F33DB9C" w14:textId="77777777" w:rsidTr="00915C0D">
        <w:trPr>
          <w:trHeight w:val="290"/>
        </w:trPr>
        <w:tc>
          <w:tcPr>
            <w:tcW w:w="2096" w:type="dxa"/>
            <w:tcBorders>
              <w:top w:val="nil"/>
              <w:left w:val="nil"/>
              <w:bottom w:val="nil"/>
              <w:right w:val="nil"/>
            </w:tcBorders>
            <w:shd w:val="clear" w:color="000000" w:fill="FFFFFF"/>
            <w:noWrap/>
            <w:vAlign w:val="center"/>
            <w:hideMark/>
          </w:tcPr>
          <w:p w14:paraId="0B8CE66A" w14:textId="77777777" w:rsidR="00915C0D" w:rsidRPr="00915C0D" w:rsidRDefault="00915C0D" w:rsidP="00915C0D">
            <w:pPr>
              <w:rPr>
                <w:rFonts w:ascii="Times New Roman" w:hAnsi="Times New Roman"/>
                <w:color w:val="000000"/>
                <w:lang w:val="es-AR" w:eastAsia="es-AR"/>
              </w:rPr>
            </w:pPr>
            <w:r w:rsidRPr="00915C0D">
              <w:rPr>
                <w:rFonts w:ascii="Times New Roman" w:hAnsi="Times New Roman"/>
                <w:color w:val="000000"/>
                <w:lang w:val="es-AR" w:eastAsia="es-AR"/>
              </w:rPr>
              <w:t>Mining</w:t>
            </w:r>
          </w:p>
        </w:tc>
        <w:tc>
          <w:tcPr>
            <w:tcW w:w="1208" w:type="dxa"/>
            <w:tcBorders>
              <w:top w:val="nil"/>
              <w:left w:val="nil"/>
              <w:bottom w:val="nil"/>
              <w:right w:val="nil"/>
            </w:tcBorders>
            <w:shd w:val="clear" w:color="000000" w:fill="FFFFFF"/>
            <w:noWrap/>
            <w:vAlign w:val="center"/>
            <w:hideMark/>
          </w:tcPr>
          <w:p w14:paraId="37702BA1"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21.438</w:t>
            </w:r>
          </w:p>
        </w:tc>
        <w:tc>
          <w:tcPr>
            <w:tcW w:w="1012" w:type="dxa"/>
            <w:tcBorders>
              <w:top w:val="nil"/>
              <w:left w:val="nil"/>
              <w:bottom w:val="nil"/>
              <w:right w:val="nil"/>
            </w:tcBorders>
            <w:shd w:val="clear" w:color="000000" w:fill="FFFFFF"/>
            <w:noWrap/>
            <w:vAlign w:val="center"/>
            <w:hideMark/>
          </w:tcPr>
          <w:p w14:paraId="65467F07"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12.624</w:t>
            </w:r>
          </w:p>
        </w:tc>
        <w:tc>
          <w:tcPr>
            <w:tcW w:w="979" w:type="dxa"/>
            <w:tcBorders>
              <w:top w:val="nil"/>
              <w:left w:val="nil"/>
              <w:bottom w:val="nil"/>
              <w:right w:val="nil"/>
            </w:tcBorders>
            <w:shd w:val="clear" w:color="000000" w:fill="FFFFFF"/>
            <w:noWrap/>
            <w:vAlign w:val="center"/>
            <w:hideMark/>
          </w:tcPr>
          <w:p w14:paraId="5C840A94"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9.384</w:t>
            </w:r>
          </w:p>
        </w:tc>
        <w:tc>
          <w:tcPr>
            <w:tcW w:w="979" w:type="dxa"/>
            <w:tcBorders>
              <w:top w:val="nil"/>
              <w:left w:val="nil"/>
              <w:bottom w:val="nil"/>
              <w:right w:val="nil"/>
            </w:tcBorders>
            <w:shd w:val="clear" w:color="000000" w:fill="FFFFFF"/>
            <w:noWrap/>
            <w:vAlign w:val="center"/>
            <w:hideMark/>
          </w:tcPr>
          <w:p w14:paraId="5096C434"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9.175</w:t>
            </w:r>
          </w:p>
        </w:tc>
        <w:tc>
          <w:tcPr>
            <w:tcW w:w="979" w:type="dxa"/>
            <w:tcBorders>
              <w:top w:val="nil"/>
              <w:left w:val="nil"/>
              <w:bottom w:val="nil"/>
              <w:right w:val="nil"/>
            </w:tcBorders>
            <w:shd w:val="clear" w:color="000000" w:fill="FFFFFF"/>
            <w:noWrap/>
            <w:vAlign w:val="center"/>
            <w:hideMark/>
          </w:tcPr>
          <w:p w14:paraId="42F1E312"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13.516</w:t>
            </w:r>
          </w:p>
        </w:tc>
        <w:tc>
          <w:tcPr>
            <w:tcW w:w="979" w:type="dxa"/>
            <w:tcBorders>
              <w:top w:val="nil"/>
              <w:left w:val="nil"/>
              <w:bottom w:val="nil"/>
              <w:right w:val="nil"/>
            </w:tcBorders>
            <w:shd w:val="clear" w:color="000000" w:fill="FFFFFF"/>
            <w:noWrap/>
            <w:vAlign w:val="center"/>
            <w:hideMark/>
          </w:tcPr>
          <w:p w14:paraId="54A0FDC2"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11.250</w:t>
            </w:r>
          </w:p>
        </w:tc>
      </w:tr>
      <w:tr w:rsidR="002F21BD" w:rsidRPr="00915C0D" w14:paraId="6044AB62" w14:textId="77777777" w:rsidTr="00915C0D">
        <w:trPr>
          <w:trHeight w:val="290"/>
        </w:trPr>
        <w:tc>
          <w:tcPr>
            <w:tcW w:w="2096" w:type="dxa"/>
            <w:tcBorders>
              <w:top w:val="nil"/>
              <w:left w:val="nil"/>
              <w:bottom w:val="nil"/>
              <w:right w:val="nil"/>
            </w:tcBorders>
            <w:shd w:val="clear" w:color="000000" w:fill="FFFFFF"/>
            <w:noWrap/>
            <w:vAlign w:val="center"/>
            <w:hideMark/>
          </w:tcPr>
          <w:p w14:paraId="437CCB3C" w14:textId="77777777" w:rsidR="00915C0D" w:rsidRPr="00915C0D" w:rsidRDefault="00915C0D" w:rsidP="00915C0D">
            <w:pPr>
              <w:rPr>
                <w:rFonts w:ascii="Times New Roman" w:hAnsi="Times New Roman"/>
                <w:color w:val="000000"/>
                <w:lang w:val="es-AR" w:eastAsia="es-AR"/>
              </w:rPr>
            </w:pPr>
            <w:r w:rsidRPr="00915C0D">
              <w:rPr>
                <w:rFonts w:ascii="Times New Roman" w:hAnsi="Times New Roman"/>
                <w:color w:val="000000"/>
                <w:lang w:val="es-AR" w:eastAsia="es-AR"/>
              </w:rPr>
              <w:t>Forestry</w:t>
            </w:r>
          </w:p>
        </w:tc>
        <w:tc>
          <w:tcPr>
            <w:tcW w:w="1208" w:type="dxa"/>
            <w:tcBorders>
              <w:top w:val="nil"/>
              <w:left w:val="nil"/>
              <w:bottom w:val="nil"/>
              <w:right w:val="nil"/>
            </w:tcBorders>
            <w:shd w:val="clear" w:color="000000" w:fill="FFFFFF"/>
            <w:noWrap/>
            <w:vAlign w:val="center"/>
            <w:hideMark/>
          </w:tcPr>
          <w:p w14:paraId="258D954A"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8.420</w:t>
            </w:r>
          </w:p>
        </w:tc>
        <w:tc>
          <w:tcPr>
            <w:tcW w:w="1012" w:type="dxa"/>
            <w:tcBorders>
              <w:top w:val="nil"/>
              <w:left w:val="nil"/>
              <w:bottom w:val="nil"/>
              <w:right w:val="nil"/>
            </w:tcBorders>
            <w:shd w:val="clear" w:color="000000" w:fill="FFFFFF"/>
            <w:noWrap/>
            <w:vAlign w:val="center"/>
            <w:hideMark/>
          </w:tcPr>
          <w:p w14:paraId="43A4FF37"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4.784</w:t>
            </w:r>
          </w:p>
        </w:tc>
        <w:tc>
          <w:tcPr>
            <w:tcW w:w="979" w:type="dxa"/>
            <w:tcBorders>
              <w:top w:val="nil"/>
              <w:left w:val="nil"/>
              <w:bottom w:val="nil"/>
              <w:right w:val="nil"/>
            </w:tcBorders>
            <w:shd w:val="clear" w:color="000000" w:fill="FFFFFF"/>
            <w:noWrap/>
            <w:vAlign w:val="center"/>
            <w:hideMark/>
          </w:tcPr>
          <w:p w14:paraId="2BDFB7D3"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294</w:t>
            </w:r>
          </w:p>
        </w:tc>
        <w:tc>
          <w:tcPr>
            <w:tcW w:w="979" w:type="dxa"/>
            <w:tcBorders>
              <w:top w:val="nil"/>
              <w:left w:val="nil"/>
              <w:bottom w:val="nil"/>
              <w:right w:val="nil"/>
            </w:tcBorders>
            <w:shd w:val="clear" w:color="000000" w:fill="FFFFFF"/>
            <w:noWrap/>
            <w:vAlign w:val="center"/>
            <w:hideMark/>
          </w:tcPr>
          <w:p w14:paraId="409BE122"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233</w:t>
            </w:r>
          </w:p>
        </w:tc>
        <w:tc>
          <w:tcPr>
            <w:tcW w:w="979" w:type="dxa"/>
            <w:tcBorders>
              <w:top w:val="nil"/>
              <w:left w:val="nil"/>
              <w:bottom w:val="nil"/>
              <w:right w:val="nil"/>
            </w:tcBorders>
            <w:shd w:val="clear" w:color="000000" w:fill="FFFFFF"/>
            <w:noWrap/>
            <w:vAlign w:val="center"/>
            <w:hideMark/>
          </w:tcPr>
          <w:p w14:paraId="3718BA22"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240</w:t>
            </w:r>
          </w:p>
        </w:tc>
        <w:tc>
          <w:tcPr>
            <w:tcW w:w="979" w:type="dxa"/>
            <w:tcBorders>
              <w:top w:val="nil"/>
              <w:left w:val="nil"/>
              <w:bottom w:val="nil"/>
              <w:right w:val="nil"/>
            </w:tcBorders>
            <w:shd w:val="clear" w:color="000000" w:fill="FFFFFF"/>
            <w:noWrap/>
            <w:vAlign w:val="center"/>
            <w:hideMark/>
          </w:tcPr>
          <w:p w14:paraId="4AA96997"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330</w:t>
            </w:r>
          </w:p>
        </w:tc>
      </w:tr>
      <w:tr w:rsidR="002F21BD" w:rsidRPr="00915C0D" w14:paraId="4B6F6BD5" w14:textId="77777777" w:rsidTr="00915C0D">
        <w:trPr>
          <w:trHeight w:val="290"/>
        </w:trPr>
        <w:tc>
          <w:tcPr>
            <w:tcW w:w="2096" w:type="dxa"/>
            <w:tcBorders>
              <w:top w:val="nil"/>
              <w:left w:val="nil"/>
              <w:bottom w:val="nil"/>
              <w:right w:val="nil"/>
            </w:tcBorders>
            <w:shd w:val="clear" w:color="000000" w:fill="FFFFFF"/>
            <w:noWrap/>
            <w:vAlign w:val="center"/>
            <w:hideMark/>
          </w:tcPr>
          <w:p w14:paraId="456FAD29" w14:textId="77777777" w:rsidR="00915C0D" w:rsidRPr="00915C0D" w:rsidRDefault="00915C0D" w:rsidP="00915C0D">
            <w:pPr>
              <w:rPr>
                <w:rFonts w:ascii="Times New Roman" w:hAnsi="Times New Roman"/>
                <w:color w:val="000000"/>
                <w:lang w:val="es-AR" w:eastAsia="es-AR"/>
              </w:rPr>
            </w:pPr>
            <w:r w:rsidRPr="00915C0D">
              <w:rPr>
                <w:rFonts w:ascii="Times New Roman" w:hAnsi="Times New Roman"/>
                <w:color w:val="000000"/>
                <w:lang w:val="es-AR" w:eastAsia="es-AR"/>
              </w:rPr>
              <w:t>Agriculture</w:t>
            </w:r>
          </w:p>
        </w:tc>
        <w:tc>
          <w:tcPr>
            <w:tcW w:w="1208" w:type="dxa"/>
            <w:tcBorders>
              <w:top w:val="nil"/>
              <w:left w:val="nil"/>
              <w:bottom w:val="nil"/>
              <w:right w:val="nil"/>
            </w:tcBorders>
            <w:shd w:val="clear" w:color="000000" w:fill="FFFFFF"/>
            <w:noWrap/>
            <w:vAlign w:val="center"/>
            <w:hideMark/>
          </w:tcPr>
          <w:p w14:paraId="6852E093"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2.852</w:t>
            </w:r>
          </w:p>
        </w:tc>
        <w:tc>
          <w:tcPr>
            <w:tcW w:w="1012" w:type="dxa"/>
            <w:tcBorders>
              <w:top w:val="nil"/>
              <w:left w:val="nil"/>
              <w:bottom w:val="nil"/>
              <w:right w:val="nil"/>
            </w:tcBorders>
            <w:shd w:val="clear" w:color="000000" w:fill="FFFFFF"/>
            <w:noWrap/>
            <w:vAlign w:val="center"/>
            <w:hideMark/>
          </w:tcPr>
          <w:p w14:paraId="4E7E49B5"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1.797</w:t>
            </w:r>
          </w:p>
        </w:tc>
        <w:tc>
          <w:tcPr>
            <w:tcW w:w="979" w:type="dxa"/>
            <w:tcBorders>
              <w:top w:val="nil"/>
              <w:left w:val="nil"/>
              <w:bottom w:val="nil"/>
              <w:right w:val="nil"/>
            </w:tcBorders>
            <w:shd w:val="clear" w:color="000000" w:fill="FFFFFF"/>
            <w:noWrap/>
            <w:vAlign w:val="center"/>
            <w:hideMark/>
          </w:tcPr>
          <w:p w14:paraId="5DDE8A94"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513</w:t>
            </w:r>
          </w:p>
        </w:tc>
        <w:tc>
          <w:tcPr>
            <w:tcW w:w="979" w:type="dxa"/>
            <w:tcBorders>
              <w:top w:val="nil"/>
              <w:left w:val="nil"/>
              <w:bottom w:val="nil"/>
              <w:right w:val="nil"/>
            </w:tcBorders>
            <w:shd w:val="clear" w:color="000000" w:fill="FFFFFF"/>
            <w:noWrap/>
            <w:vAlign w:val="center"/>
            <w:hideMark/>
          </w:tcPr>
          <w:p w14:paraId="3D774A33"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52</w:t>
            </w:r>
          </w:p>
        </w:tc>
        <w:tc>
          <w:tcPr>
            <w:tcW w:w="979" w:type="dxa"/>
            <w:tcBorders>
              <w:top w:val="nil"/>
              <w:left w:val="nil"/>
              <w:bottom w:val="nil"/>
              <w:right w:val="nil"/>
            </w:tcBorders>
            <w:shd w:val="clear" w:color="000000" w:fill="FFFFFF"/>
            <w:noWrap/>
            <w:vAlign w:val="center"/>
            <w:hideMark/>
          </w:tcPr>
          <w:p w14:paraId="246658BA"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440</w:t>
            </w:r>
          </w:p>
        </w:tc>
        <w:tc>
          <w:tcPr>
            <w:tcW w:w="979" w:type="dxa"/>
            <w:tcBorders>
              <w:top w:val="nil"/>
              <w:left w:val="nil"/>
              <w:bottom w:val="nil"/>
              <w:right w:val="nil"/>
            </w:tcBorders>
            <w:shd w:val="clear" w:color="000000" w:fill="FFFFFF"/>
            <w:noWrap/>
            <w:vAlign w:val="center"/>
            <w:hideMark/>
          </w:tcPr>
          <w:p w14:paraId="05669504"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424</w:t>
            </w:r>
          </w:p>
        </w:tc>
      </w:tr>
      <w:tr w:rsidR="002F21BD" w:rsidRPr="00915C0D" w14:paraId="437494C4" w14:textId="77777777" w:rsidTr="00915C0D">
        <w:trPr>
          <w:trHeight w:val="290"/>
        </w:trPr>
        <w:tc>
          <w:tcPr>
            <w:tcW w:w="2096" w:type="dxa"/>
            <w:tcBorders>
              <w:top w:val="nil"/>
              <w:left w:val="nil"/>
              <w:bottom w:val="nil"/>
              <w:right w:val="nil"/>
            </w:tcBorders>
            <w:shd w:val="clear" w:color="000000" w:fill="FFFFFF"/>
            <w:noWrap/>
            <w:vAlign w:val="center"/>
            <w:hideMark/>
          </w:tcPr>
          <w:p w14:paraId="0C8898C2" w14:textId="77777777" w:rsidR="00915C0D" w:rsidRPr="00915C0D" w:rsidRDefault="00915C0D" w:rsidP="00915C0D">
            <w:pPr>
              <w:rPr>
                <w:rFonts w:ascii="Times New Roman" w:hAnsi="Times New Roman"/>
                <w:color w:val="000000"/>
                <w:lang w:val="es-AR" w:eastAsia="es-AR"/>
              </w:rPr>
            </w:pPr>
            <w:r w:rsidRPr="00915C0D">
              <w:rPr>
                <w:rFonts w:ascii="Times New Roman" w:hAnsi="Times New Roman"/>
                <w:color w:val="000000"/>
                <w:lang w:val="es-AR" w:eastAsia="es-AR"/>
              </w:rPr>
              <w:t>Infrastructure</w:t>
            </w:r>
          </w:p>
        </w:tc>
        <w:tc>
          <w:tcPr>
            <w:tcW w:w="1208" w:type="dxa"/>
            <w:tcBorders>
              <w:top w:val="nil"/>
              <w:left w:val="nil"/>
              <w:bottom w:val="nil"/>
              <w:right w:val="nil"/>
            </w:tcBorders>
            <w:shd w:val="clear" w:color="000000" w:fill="FFFFFF"/>
            <w:noWrap/>
            <w:vAlign w:val="center"/>
            <w:hideMark/>
          </w:tcPr>
          <w:p w14:paraId="6F58FDCD"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1.304</w:t>
            </w:r>
          </w:p>
        </w:tc>
        <w:tc>
          <w:tcPr>
            <w:tcW w:w="1012" w:type="dxa"/>
            <w:tcBorders>
              <w:top w:val="nil"/>
              <w:left w:val="nil"/>
              <w:bottom w:val="nil"/>
              <w:right w:val="nil"/>
            </w:tcBorders>
            <w:shd w:val="clear" w:color="000000" w:fill="FFFFFF"/>
            <w:noWrap/>
            <w:vAlign w:val="center"/>
            <w:hideMark/>
          </w:tcPr>
          <w:p w14:paraId="440D8B92"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195</w:t>
            </w:r>
          </w:p>
        </w:tc>
        <w:tc>
          <w:tcPr>
            <w:tcW w:w="979" w:type="dxa"/>
            <w:tcBorders>
              <w:top w:val="nil"/>
              <w:left w:val="nil"/>
              <w:bottom w:val="nil"/>
              <w:right w:val="nil"/>
            </w:tcBorders>
            <w:shd w:val="clear" w:color="000000" w:fill="FFFFFF"/>
            <w:noWrap/>
            <w:vAlign w:val="center"/>
            <w:hideMark/>
          </w:tcPr>
          <w:p w14:paraId="56B041AB"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64</w:t>
            </w:r>
          </w:p>
        </w:tc>
        <w:tc>
          <w:tcPr>
            <w:tcW w:w="979" w:type="dxa"/>
            <w:tcBorders>
              <w:top w:val="nil"/>
              <w:left w:val="nil"/>
              <w:bottom w:val="nil"/>
              <w:right w:val="nil"/>
            </w:tcBorders>
            <w:shd w:val="clear" w:color="000000" w:fill="FFFFFF"/>
            <w:noWrap/>
            <w:vAlign w:val="center"/>
            <w:hideMark/>
          </w:tcPr>
          <w:p w14:paraId="42D430F6"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148</w:t>
            </w:r>
          </w:p>
        </w:tc>
        <w:tc>
          <w:tcPr>
            <w:tcW w:w="979" w:type="dxa"/>
            <w:tcBorders>
              <w:top w:val="nil"/>
              <w:left w:val="nil"/>
              <w:bottom w:val="nil"/>
              <w:right w:val="nil"/>
            </w:tcBorders>
            <w:shd w:val="clear" w:color="000000" w:fill="FFFFFF"/>
            <w:noWrap/>
            <w:vAlign w:val="center"/>
            <w:hideMark/>
          </w:tcPr>
          <w:p w14:paraId="61672029"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127</w:t>
            </w:r>
          </w:p>
        </w:tc>
        <w:tc>
          <w:tcPr>
            <w:tcW w:w="979" w:type="dxa"/>
            <w:tcBorders>
              <w:top w:val="nil"/>
              <w:left w:val="nil"/>
              <w:bottom w:val="nil"/>
              <w:right w:val="nil"/>
            </w:tcBorders>
            <w:shd w:val="clear" w:color="000000" w:fill="FFFFFF"/>
            <w:noWrap/>
            <w:vAlign w:val="center"/>
            <w:hideMark/>
          </w:tcPr>
          <w:p w14:paraId="4C49BA15"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278</w:t>
            </w:r>
          </w:p>
        </w:tc>
      </w:tr>
      <w:tr w:rsidR="002F21BD" w:rsidRPr="00915C0D" w14:paraId="7FC6FFFE" w14:textId="77777777" w:rsidTr="00915C0D">
        <w:trPr>
          <w:trHeight w:val="290"/>
        </w:trPr>
        <w:tc>
          <w:tcPr>
            <w:tcW w:w="2096" w:type="dxa"/>
            <w:tcBorders>
              <w:top w:val="nil"/>
              <w:left w:val="nil"/>
              <w:bottom w:val="nil"/>
              <w:right w:val="nil"/>
            </w:tcBorders>
            <w:shd w:val="clear" w:color="000000" w:fill="FFFFFF"/>
            <w:noWrap/>
            <w:vAlign w:val="center"/>
            <w:hideMark/>
          </w:tcPr>
          <w:p w14:paraId="6A7BF493" w14:textId="77777777" w:rsidR="00915C0D" w:rsidRPr="00915C0D" w:rsidRDefault="00915C0D" w:rsidP="00915C0D">
            <w:pPr>
              <w:rPr>
                <w:rFonts w:ascii="Times New Roman" w:hAnsi="Times New Roman"/>
                <w:color w:val="000000"/>
                <w:lang w:val="es-AR" w:eastAsia="es-AR"/>
              </w:rPr>
            </w:pPr>
            <w:r w:rsidRPr="00915C0D">
              <w:rPr>
                <w:rFonts w:ascii="Times New Roman" w:hAnsi="Times New Roman"/>
                <w:color w:val="000000"/>
                <w:lang w:val="es-AR" w:eastAsia="es-AR"/>
              </w:rPr>
              <w:t>Fire</w:t>
            </w:r>
          </w:p>
        </w:tc>
        <w:tc>
          <w:tcPr>
            <w:tcW w:w="1208" w:type="dxa"/>
            <w:tcBorders>
              <w:top w:val="nil"/>
              <w:left w:val="nil"/>
              <w:bottom w:val="nil"/>
              <w:right w:val="nil"/>
            </w:tcBorders>
            <w:shd w:val="clear" w:color="000000" w:fill="FFFFFF"/>
            <w:noWrap/>
            <w:vAlign w:val="center"/>
            <w:hideMark/>
          </w:tcPr>
          <w:p w14:paraId="30628F48"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235</w:t>
            </w:r>
          </w:p>
        </w:tc>
        <w:tc>
          <w:tcPr>
            <w:tcW w:w="1012" w:type="dxa"/>
            <w:tcBorders>
              <w:top w:val="nil"/>
              <w:left w:val="nil"/>
              <w:bottom w:val="nil"/>
              <w:right w:val="nil"/>
            </w:tcBorders>
            <w:shd w:val="clear" w:color="000000" w:fill="FFFFFF"/>
            <w:noWrap/>
            <w:vAlign w:val="center"/>
            <w:hideMark/>
          </w:tcPr>
          <w:p w14:paraId="501F9BDD"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w:t>
            </w:r>
          </w:p>
        </w:tc>
        <w:tc>
          <w:tcPr>
            <w:tcW w:w="979" w:type="dxa"/>
            <w:tcBorders>
              <w:top w:val="nil"/>
              <w:left w:val="nil"/>
              <w:bottom w:val="nil"/>
              <w:right w:val="nil"/>
            </w:tcBorders>
            <w:shd w:val="clear" w:color="000000" w:fill="FFFFFF"/>
            <w:noWrap/>
            <w:vAlign w:val="center"/>
            <w:hideMark/>
          </w:tcPr>
          <w:p w14:paraId="67AB5DE6"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32</w:t>
            </w:r>
          </w:p>
        </w:tc>
        <w:tc>
          <w:tcPr>
            <w:tcW w:w="979" w:type="dxa"/>
            <w:tcBorders>
              <w:top w:val="nil"/>
              <w:left w:val="nil"/>
              <w:bottom w:val="nil"/>
              <w:right w:val="nil"/>
            </w:tcBorders>
            <w:shd w:val="clear" w:color="000000" w:fill="FFFFFF"/>
            <w:noWrap/>
            <w:vAlign w:val="center"/>
            <w:hideMark/>
          </w:tcPr>
          <w:p w14:paraId="343E40FC"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58</w:t>
            </w:r>
          </w:p>
        </w:tc>
        <w:tc>
          <w:tcPr>
            <w:tcW w:w="979" w:type="dxa"/>
            <w:tcBorders>
              <w:top w:val="nil"/>
              <w:left w:val="nil"/>
              <w:bottom w:val="nil"/>
              <w:right w:val="nil"/>
            </w:tcBorders>
            <w:shd w:val="clear" w:color="000000" w:fill="FFFFFF"/>
            <w:noWrap/>
            <w:vAlign w:val="center"/>
            <w:hideMark/>
          </w:tcPr>
          <w:p w14:paraId="534FC3C2"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184</w:t>
            </w:r>
          </w:p>
        </w:tc>
        <w:tc>
          <w:tcPr>
            <w:tcW w:w="979" w:type="dxa"/>
            <w:tcBorders>
              <w:top w:val="nil"/>
              <w:left w:val="nil"/>
              <w:bottom w:val="nil"/>
              <w:right w:val="nil"/>
            </w:tcBorders>
            <w:shd w:val="clear" w:color="000000" w:fill="FFFFFF"/>
            <w:noWrap/>
            <w:vAlign w:val="center"/>
            <w:hideMark/>
          </w:tcPr>
          <w:p w14:paraId="3615DCDE"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96</w:t>
            </w:r>
          </w:p>
        </w:tc>
      </w:tr>
      <w:tr w:rsidR="002F21BD" w:rsidRPr="00915C0D" w14:paraId="26E2A9A7" w14:textId="77777777" w:rsidTr="00915C0D">
        <w:trPr>
          <w:trHeight w:val="290"/>
        </w:trPr>
        <w:tc>
          <w:tcPr>
            <w:tcW w:w="2096" w:type="dxa"/>
            <w:tcBorders>
              <w:top w:val="nil"/>
              <w:left w:val="nil"/>
              <w:bottom w:val="nil"/>
              <w:right w:val="nil"/>
            </w:tcBorders>
            <w:shd w:val="clear" w:color="000000" w:fill="FFFFFF"/>
            <w:noWrap/>
            <w:vAlign w:val="center"/>
            <w:hideMark/>
          </w:tcPr>
          <w:p w14:paraId="1057C131" w14:textId="77777777" w:rsidR="00915C0D" w:rsidRPr="00915C0D" w:rsidRDefault="00915C0D" w:rsidP="00915C0D">
            <w:pPr>
              <w:rPr>
                <w:rFonts w:ascii="Times New Roman" w:hAnsi="Times New Roman"/>
                <w:color w:val="000000"/>
                <w:lang w:val="es-AR" w:eastAsia="es-AR"/>
              </w:rPr>
            </w:pPr>
            <w:r w:rsidRPr="00915C0D">
              <w:rPr>
                <w:rFonts w:ascii="Times New Roman" w:hAnsi="Times New Roman"/>
                <w:color w:val="000000"/>
                <w:lang w:val="es-AR" w:eastAsia="es-AR"/>
              </w:rPr>
              <w:t>Other</w:t>
            </w:r>
          </w:p>
        </w:tc>
        <w:tc>
          <w:tcPr>
            <w:tcW w:w="1208" w:type="dxa"/>
            <w:tcBorders>
              <w:top w:val="nil"/>
              <w:left w:val="nil"/>
              <w:bottom w:val="nil"/>
              <w:right w:val="nil"/>
            </w:tcBorders>
            <w:shd w:val="clear" w:color="000000" w:fill="FFFFFF"/>
            <w:noWrap/>
            <w:vAlign w:val="center"/>
            <w:hideMark/>
          </w:tcPr>
          <w:p w14:paraId="119B297B" w14:textId="77777777" w:rsidR="00915C0D" w:rsidRPr="00915C0D" w:rsidRDefault="00915C0D" w:rsidP="00915C0D">
            <w:pPr>
              <w:jc w:val="right"/>
              <w:rPr>
                <w:rFonts w:ascii="Times New Roman" w:hAnsi="Times New Roman"/>
                <w:color w:val="000000"/>
                <w:lang w:val="es-AR" w:eastAsia="es-AR"/>
              </w:rPr>
            </w:pPr>
          </w:p>
        </w:tc>
        <w:tc>
          <w:tcPr>
            <w:tcW w:w="1012" w:type="dxa"/>
            <w:tcBorders>
              <w:top w:val="nil"/>
              <w:left w:val="nil"/>
              <w:bottom w:val="nil"/>
              <w:right w:val="nil"/>
            </w:tcBorders>
            <w:shd w:val="clear" w:color="000000" w:fill="FFFFFF"/>
            <w:noWrap/>
            <w:vAlign w:val="center"/>
            <w:hideMark/>
          </w:tcPr>
          <w:p w14:paraId="0892FB66" w14:textId="77777777" w:rsidR="00915C0D" w:rsidRPr="00915C0D" w:rsidRDefault="00915C0D" w:rsidP="00915C0D">
            <w:pPr>
              <w:jc w:val="right"/>
              <w:rPr>
                <w:rFonts w:ascii="Times New Roman" w:hAnsi="Times New Roman"/>
                <w:color w:val="000000"/>
                <w:lang w:val="es-AR" w:eastAsia="es-AR"/>
              </w:rPr>
            </w:pPr>
          </w:p>
        </w:tc>
        <w:tc>
          <w:tcPr>
            <w:tcW w:w="979" w:type="dxa"/>
            <w:tcBorders>
              <w:top w:val="nil"/>
              <w:left w:val="nil"/>
              <w:bottom w:val="nil"/>
              <w:right w:val="nil"/>
            </w:tcBorders>
            <w:shd w:val="clear" w:color="000000" w:fill="FFFFFF"/>
            <w:noWrap/>
            <w:vAlign w:val="center"/>
            <w:hideMark/>
          </w:tcPr>
          <w:p w14:paraId="09C335E0" w14:textId="77777777" w:rsidR="00915C0D" w:rsidRPr="00915C0D" w:rsidRDefault="00915C0D" w:rsidP="00915C0D">
            <w:pPr>
              <w:jc w:val="right"/>
              <w:rPr>
                <w:rFonts w:ascii="Times New Roman" w:hAnsi="Times New Roman"/>
                <w:color w:val="000000"/>
                <w:lang w:val="es-AR" w:eastAsia="es-AR"/>
              </w:rPr>
            </w:pPr>
          </w:p>
        </w:tc>
        <w:tc>
          <w:tcPr>
            <w:tcW w:w="979" w:type="dxa"/>
            <w:tcBorders>
              <w:top w:val="nil"/>
              <w:left w:val="nil"/>
              <w:bottom w:val="nil"/>
              <w:right w:val="nil"/>
            </w:tcBorders>
            <w:shd w:val="clear" w:color="000000" w:fill="FFFFFF"/>
            <w:noWrap/>
            <w:vAlign w:val="center"/>
            <w:hideMark/>
          </w:tcPr>
          <w:p w14:paraId="20F6803C"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225</w:t>
            </w:r>
          </w:p>
        </w:tc>
        <w:tc>
          <w:tcPr>
            <w:tcW w:w="979" w:type="dxa"/>
            <w:tcBorders>
              <w:top w:val="nil"/>
              <w:left w:val="nil"/>
              <w:bottom w:val="nil"/>
              <w:right w:val="nil"/>
            </w:tcBorders>
            <w:shd w:val="clear" w:color="000000" w:fill="FFFFFF"/>
            <w:noWrap/>
            <w:vAlign w:val="center"/>
            <w:hideMark/>
          </w:tcPr>
          <w:p w14:paraId="2BA23791"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148</w:t>
            </w:r>
          </w:p>
        </w:tc>
        <w:tc>
          <w:tcPr>
            <w:tcW w:w="979" w:type="dxa"/>
            <w:tcBorders>
              <w:top w:val="nil"/>
              <w:left w:val="nil"/>
              <w:bottom w:val="nil"/>
              <w:right w:val="nil"/>
            </w:tcBorders>
            <w:shd w:val="clear" w:color="000000" w:fill="FFFFFF"/>
            <w:noWrap/>
            <w:vAlign w:val="center"/>
            <w:hideMark/>
          </w:tcPr>
          <w:p w14:paraId="093A913E"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324</w:t>
            </w:r>
          </w:p>
        </w:tc>
      </w:tr>
      <w:tr w:rsidR="002F21BD" w:rsidRPr="00915C0D" w14:paraId="5F5B06EF" w14:textId="77777777" w:rsidTr="00915C0D">
        <w:trPr>
          <w:trHeight w:val="290"/>
        </w:trPr>
        <w:tc>
          <w:tcPr>
            <w:tcW w:w="20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09332FF" w14:textId="77777777" w:rsidR="00915C0D" w:rsidRPr="00915C0D" w:rsidRDefault="00915C0D" w:rsidP="00915C0D">
            <w:pPr>
              <w:rPr>
                <w:rFonts w:ascii="Times New Roman" w:hAnsi="Times New Roman"/>
                <w:color w:val="000000"/>
                <w:lang w:val="es-AR" w:eastAsia="es-AR"/>
              </w:rPr>
            </w:pPr>
            <w:r w:rsidRPr="00915C0D">
              <w:rPr>
                <w:rFonts w:ascii="Times New Roman" w:hAnsi="Times New Roman"/>
                <w:color w:val="000000"/>
                <w:lang w:val="es-AR" w:eastAsia="es-AR"/>
              </w:rPr>
              <w:t>Area Change</w:t>
            </w:r>
          </w:p>
        </w:tc>
        <w:tc>
          <w:tcPr>
            <w:tcW w:w="1208" w:type="dxa"/>
            <w:tcBorders>
              <w:top w:val="single" w:sz="4" w:space="0" w:color="auto"/>
              <w:left w:val="nil"/>
              <w:bottom w:val="single" w:sz="4" w:space="0" w:color="auto"/>
              <w:right w:val="single" w:sz="4" w:space="0" w:color="auto"/>
            </w:tcBorders>
            <w:shd w:val="clear" w:color="000000" w:fill="FFFFFF"/>
            <w:noWrap/>
            <w:vAlign w:val="center"/>
            <w:hideMark/>
          </w:tcPr>
          <w:p w14:paraId="0A185DD8"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34.249</w:t>
            </w:r>
          </w:p>
        </w:tc>
        <w:tc>
          <w:tcPr>
            <w:tcW w:w="1012" w:type="dxa"/>
            <w:tcBorders>
              <w:top w:val="single" w:sz="4" w:space="0" w:color="auto"/>
              <w:left w:val="nil"/>
              <w:bottom w:val="single" w:sz="4" w:space="0" w:color="auto"/>
              <w:right w:val="single" w:sz="4" w:space="0" w:color="auto"/>
            </w:tcBorders>
            <w:shd w:val="clear" w:color="000000" w:fill="FFFFFF"/>
            <w:noWrap/>
            <w:vAlign w:val="center"/>
            <w:hideMark/>
          </w:tcPr>
          <w:p w14:paraId="63D4EEF3"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19.400</w:t>
            </w:r>
          </w:p>
        </w:tc>
        <w:tc>
          <w:tcPr>
            <w:tcW w:w="979" w:type="dxa"/>
            <w:tcBorders>
              <w:top w:val="single" w:sz="4" w:space="0" w:color="auto"/>
              <w:left w:val="nil"/>
              <w:bottom w:val="single" w:sz="4" w:space="0" w:color="auto"/>
              <w:right w:val="single" w:sz="4" w:space="0" w:color="auto"/>
            </w:tcBorders>
            <w:shd w:val="clear" w:color="000000" w:fill="FFFFFF"/>
            <w:noWrap/>
            <w:vAlign w:val="center"/>
            <w:hideMark/>
          </w:tcPr>
          <w:p w14:paraId="7ADFC50D"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10.287</w:t>
            </w:r>
          </w:p>
        </w:tc>
        <w:tc>
          <w:tcPr>
            <w:tcW w:w="979" w:type="dxa"/>
            <w:tcBorders>
              <w:top w:val="single" w:sz="4" w:space="0" w:color="auto"/>
              <w:left w:val="nil"/>
              <w:bottom w:val="single" w:sz="4" w:space="0" w:color="auto"/>
              <w:right w:val="single" w:sz="4" w:space="0" w:color="auto"/>
            </w:tcBorders>
            <w:shd w:val="clear" w:color="000000" w:fill="FFFFFF"/>
            <w:noWrap/>
            <w:vAlign w:val="center"/>
            <w:hideMark/>
          </w:tcPr>
          <w:p w14:paraId="75978FB0"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9.891</w:t>
            </w:r>
          </w:p>
        </w:tc>
        <w:tc>
          <w:tcPr>
            <w:tcW w:w="979" w:type="dxa"/>
            <w:tcBorders>
              <w:top w:val="single" w:sz="4" w:space="0" w:color="auto"/>
              <w:left w:val="nil"/>
              <w:bottom w:val="single" w:sz="4" w:space="0" w:color="auto"/>
              <w:right w:val="single" w:sz="4" w:space="0" w:color="auto"/>
            </w:tcBorders>
            <w:shd w:val="clear" w:color="000000" w:fill="FFFFFF"/>
            <w:noWrap/>
            <w:vAlign w:val="center"/>
            <w:hideMark/>
          </w:tcPr>
          <w:p w14:paraId="52703877"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14.655</w:t>
            </w:r>
          </w:p>
        </w:tc>
        <w:tc>
          <w:tcPr>
            <w:tcW w:w="979" w:type="dxa"/>
            <w:tcBorders>
              <w:top w:val="single" w:sz="4" w:space="0" w:color="auto"/>
              <w:left w:val="nil"/>
              <w:bottom w:val="single" w:sz="4" w:space="0" w:color="auto"/>
              <w:right w:val="single" w:sz="4" w:space="0" w:color="auto"/>
            </w:tcBorders>
            <w:shd w:val="clear" w:color="000000" w:fill="FFFFFF"/>
            <w:noWrap/>
            <w:vAlign w:val="center"/>
            <w:hideMark/>
          </w:tcPr>
          <w:p w14:paraId="36330BDE"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12.702</w:t>
            </w:r>
          </w:p>
        </w:tc>
      </w:tr>
      <w:tr w:rsidR="002F21BD" w:rsidRPr="00915C0D" w14:paraId="73BB00C7" w14:textId="77777777" w:rsidTr="00915C0D">
        <w:trPr>
          <w:trHeight w:val="290"/>
        </w:trPr>
        <w:tc>
          <w:tcPr>
            <w:tcW w:w="2096" w:type="dxa"/>
            <w:tcBorders>
              <w:top w:val="nil"/>
              <w:left w:val="single" w:sz="4" w:space="0" w:color="auto"/>
              <w:bottom w:val="single" w:sz="4" w:space="0" w:color="auto"/>
              <w:right w:val="single" w:sz="4" w:space="0" w:color="auto"/>
            </w:tcBorders>
            <w:shd w:val="clear" w:color="000000" w:fill="FFFFFF"/>
            <w:noWrap/>
            <w:vAlign w:val="center"/>
            <w:hideMark/>
          </w:tcPr>
          <w:p w14:paraId="4225DD02" w14:textId="77777777" w:rsidR="00915C0D" w:rsidRPr="00915C0D" w:rsidRDefault="00915C0D" w:rsidP="00915C0D">
            <w:pPr>
              <w:rPr>
                <w:rFonts w:ascii="Times New Roman" w:hAnsi="Times New Roman"/>
                <w:color w:val="000000"/>
                <w:lang w:val="es-AR" w:eastAsia="es-AR"/>
              </w:rPr>
            </w:pPr>
            <w:r w:rsidRPr="00915C0D">
              <w:rPr>
                <w:rFonts w:ascii="Times New Roman" w:hAnsi="Times New Roman"/>
                <w:color w:val="000000"/>
                <w:lang w:val="es-AR" w:eastAsia="es-AR"/>
              </w:rPr>
              <w:t>Total Forest Area</w:t>
            </w:r>
          </w:p>
        </w:tc>
        <w:tc>
          <w:tcPr>
            <w:tcW w:w="1208" w:type="dxa"/>
            <w:tcBorders>
              <w:top w:val="nil"/>
              <w:left w:val="nil"/>
              <w:bottom w:val="single" w:sz="4" w:space="0" w:color="auto"/>
              <w:right w:val="single" w:sz="4" w:space="0" w:color="auto"/>
            </w:tcBorders>
            <w:shd w:val="clear" w:color="000000" w:fill="FFFFFF"/>
            <w:noWrap/>
            <w:vAlign w:val="center"/>
            <w:hideMark/>
          </w:tcPr>
          <w:p w14:paraId="419C7BEE" w14:textId="77777777" w:rsidR="00915C0D" w:rsidRPr="00915C0D" w:rsidRDefault="00915C0D" w:rsidP="00915C0D">
            <w:pPr>
              <w:jc w:val="right"/>
              <w:rPr>
                <w:rFonts w:ascii="Times New Roman" w:hAnsi="Times New Roman"/>
                <w:color w:val="000000"/>
                <w:sz w:val="18"/>
                <w:szCs w:val="18"/>
                <w:lang w:val="es-AR" w:eastAsia="es-AR"/>
              </w:rPr>
            </w:pPr>
            <w:r w:rsidRPr="00915C0D">
              <w:rPr>
                <w:rFonts w:ascii="Times New Roman" w:hAnsi="Times New Roman"/>
                <w:color w:val="000000"/>
                <w:sz w:val="18"/>
                <w:szCs w:val="18"/>
                <w:lang w:val="es-AR" w:eastAsia="es-AR"/>
              </w:rPr>
              <w:t>18.452.127</w:t>
            </w:r>
          </w:p>
        </w:tc>
        <w:tc>
          <w:tcPr>
            <w:tcW w:w="1012" w:type="dxa"/>
            <w:tcBorders>
              <w:top w:val="nil"/>
              <w:left w:val="nil"/>
              <w:bottom w:val="single" w:sz="4" w:space="0" w:color="auto"/>
              <w:right w:val="single" w:sz="4" w:space="0" w:color="auto"/>
            </w:tcBorders>
            <w:shd w:val="clear" w:color="000000" w:fill="FFFFFF"/>
            <w:noWrap/>
            <w:vAlign w:val="center"/>
            <w:hideMark/>
          </w:tcPr>
          <w:p w14:paraId="2B4B2A03" w14:textId="77777777" w:rsidR="00915C0D" w:rsidRPr="00915C0D" w:rsidRDefault="00915C0D" w:rsidP="00915C0D">
            <w:pPr>
              <w:jc w:val="right"/>
              <w:rPr>
                <w:rFonts w:ascii="Times New Roman" w:hAnsi="Times New Roman"/>
                <w:color w:val="000000"/>
                <w:sz w:val="18"/>
                <w:szCs w:val="18"/>
                <w:lang w:val="es-AR" w:eastAsia="es-AR"/>
              </w:rPr>
            </w:pPr>
            <w:r w:rsidRPr="00915C0D">
              <w:rPr>
                <w:rFonts w:ascii="Times New Roman" w:hAnsi="Times New Roman"/>
                <w:color w:val="000000"/>
                <w:sz w:val="18"/>
                <w:szCs w:val="18"/>
                <w:lang w:val="es-AR" w:eastAsia="es-AR"/>
              </w:rPr>
              <w:t>18.417.878</w:t>
            </w:r>
          </w:p>
        </w:tc>
        <w:tc>
          <w:tcPr>
            <w:tcW w:w="979" w:type="dxa"/>
            <w:tcBorders>
              <w:top w:val="nil"/>
              <w:left w:val="nil"/>
              <w:bottom w:val="single" w:sz="4" w:space="0" w:color="auto"/>
              <w:right w:val="single" w:sz="4" w:space="0" w:color="auto"/>
            </w:tcBorders>
            <w:shd w:val="clear" w:color="000000" w:fill="FFFFFF"/>
            <w:noWrap/>
            <w:vAlign w:val="center"/>
            <w:hideMark/>
          </w:tcPr>
          <w:p w14:paraId="7D9772AD" w14:textId="77777777" w:rsidR="00915C0D" w:rsidRPr="00915C0D" w:rsidRDefault="00915C0D" w:rsidP="00915C0D">
            <w:pPr>
              <w:jc w:val="right"/>
              <w:rPr>
                <w:rFonts w:ascii="Times New Roman" w:hAnsi="Times New Roman"/>
                <w:color w:val="000000"/>
                <w:sz w:val="18"/>
                <w:szCs w:val="18"/>
                <w:lang w:val="es-AR" w:eastAsia="es-AR"/>
              </w:rPr>
            </w:pPr>
            <w:r w:rsidRPr="00915C0D">
              <w:rPr>
                <w:rFonts w:ascii="Times New Roman" w:hAnsi="Times New Roman"/>
                <w:color w:val="000000"/>
                <w:sz w:val="18"/>
                <w:szCs w:val="18"/>
                <w:lang w:val="es-AR" w:eastAsia="es-AR"/>
              </w:rPr>
              <w:t>18.398.478</w:t>
            </w:r>
          </w:p>
        </w:tc>
        <w:tc>
          <w:tcPr>
            <w:tcW w:w="979" w:type="dxa"/>
            <w:tcBorders>
              <w:top w:val="nil"/>
              <w:left w:val="nil"/>
              <w:bottom w:val="single" w:sz="4" w:space="0" w:color="auto"/>
              <w:right w:val="single" w:sz="4" w:space="0" w:color="auto"/>
            </w:tcBorders>
            <w:shd w:val="clear" w:color="000000" w:fill="FFFFFF"/>
            <w:noWrap/>
            <w:vAlign w:val="center"/>
            <w:hideMark/>
          </w:tcPr>
          <w:p w14:paraId="361762E4" w14:textId="77777777" w:rsidR="00915C0D" w:rsidRPr="00915C0D" w:rsidRDefault="00915C0D" w:rsidP="00915C0D">
            <w:pPr>
              <w:jc w:val="right"/>
              <w:rPr>
                <w:rFonts w:ascii="Times New Roman" w:hAnsi="Times New Roman"/>
                <w:color w:val="000000"/>
                <w:sz w:val="18"/>
                <w:szCs w:val="18"/>
                <w:lang w:val="es-AR" w:eastAsia="es-AR"/>
              </w:rPr>
            </w:pPr>
            <w:r w:rsidRPr="00915C0D">
              <w:rPr>
                <w:rFonts w:ascii="Times New Roman" w:hAnsi="Times New Roman"/>
                <w:color w:val="000000"/>
                <w:sz w:val="18"/>
                <w:szCs w:val="18"/>
                <w:lang w:val="es-AR" w:eastAsia="es-AR"/>
              </w:rPr>
              <w:t>18.388.191</w:t>
            </w:r>
          </w:p>
        </w:tc>
        <w:tc>
          <w:tcPr>
            <w:tcW w:w="979" w:type="dxa"/>
            <w:tcBorders>
              <w:top w:val="nil"/>
              <w:left w:val="nil"/>
              <w:bottom w:val="single" w:sz="4" w:space="0" w:color="auto"/>
              <w:right w:val="single" w:sz="4" w:space="0" w:color="auto"/>
            </w:tcBorders>
            <w:shd w:val="clear" w:color="000000" w:fill="FFFFFF"/>
            <w:noWrap/>
            <w:vAlign w:val="center"/>
            <w:hideMark/>
          </w:tcPr>
          <w:p w14:paraId="3A398B09" w14:textId="77777777" w:rsidR="00915C0D" w:rsidRPr="00915C0D" w:rsidRDefault="00915C0D" w:rsidP="00915C0D">
            <w:pPr>
              <w:jc w:val="right"/>
              <w:rPr>
                <w:rFonts w:ascii="Times New Roman" w:hAnsi="Times New Roman"/>
                <w:color w:val="000000"/>
                <w:sz w:val="18"/>
                <w:szCs w:val="18"/>
                <w:lang w:val="es-AR" w:eastAsia="es-AR"/>
              </w:rPr>
            </w:pPr>
            <w:r w:rsidRPr="00915C0D">
              <w:rPr>
                <w:rFonts w:ascii="Times New Roman" w:hAnsi="Times New Roman"/>
                <w:color w:val="000000"/>
                <w:sz w:val="18"/>
                <w:szCs w:val="18"/>
                <w:lang w:val="es-AR" w:eastAsia="es-AR"/>
              </w:rPr>
              <w:t>18.502.531</w:t>
            </w:r>
          </w:p>
        </w:tc>
        <w:tc>
          <w:tcPr>
            <w:tcW w:w="979" w:type="dxa"/>
            <w:tcBorders>
              <w:top w:val="nil"/>
              <w:left w:val="nil"/>
              <w:bottom w:val="single" w:sz="4" w:space="0" w:color="auto"/>
              <w:right w:val="single" w:sz="4" w:space="0" w:color="auto"/>
            </w:tcBorders>
            <w:shd w:val="clear" w:color="000000" w:fill="FFFFFF"/>
            <w:noWrap/>
            <w:vAlign w:val="center"/>
            <w:hideMark/>
          </w:tcPr>
          <w:p w14:paraId="4C97B9AD" w14:textId="77777777" w:rsidR="00915C0D" w:rsidRPr="00915C0D" w:rsidRDefault="00915C0D" w:rsidP="00915C0D">
            <w:pPr>
              <w:jc w:val="right"/>
              <w:rPr>
                <w:rFonts w:ascii="Times New Roman" w:hAnsi="Times New Roman"/>
                <w:color w:val="000000"/>
                <w:sz w:val="18"/>
                <w:szCs w:val="18"/>
                <w:lang w:val="es-AR" w:eastAsia="es-AR"/>
              </w:rPr>
            </w:pPr>
            <w:r w:rsidRPr="00915C0D">
              <w:rPr>
                <w:rFonts w:ascii="Times New Roman" w:hAnsi="Times New Roman"/>
                <w:color w:val="000000"/>
                <w:sz w:val="18"/>
                <w:szCs w:val="18"/>
                <w:lang w:val="es-AR" w:eastAsia="es-AR"/>
              </w:rPr>
              <w:t>18.487.876</w:t>
            </w:r>
          </w:p>
        </w:tc>
      </w:tr>
      <w:tr w:rsidR="002F21BD" w:rsidRPr="00915C0D" w14:paraId="3A0618AC" w14:textId="77777777" w:rsidTr="00915C0D">
        <w:trPr>
          <w:trHeight w:val="290"/>
        </w:trPr>
        <w:tc>
          <w:tcPr>
            <w:tcW w:w="2096" w:type="dxa"/>
            <w:tcBorders>
              <w:top w:val="nil"/>
              <w:left w:val="single" w:sz="4" w:space="0" w:color="auto"/>
              <w:bottom w:val="single" w:sz="4" w:space="0" w:color="auto"/>
              <w:right w:val="single" w:sz="4" w:space="0" w:color="auto"/>
            </w:tcBorders>
            <w:shd w:val="clear" w:color="000000" w:fill="FFFFFF"/>
            <w:noWrap/>
            <w:vAlign w:val="bottom"/>
            <w:hideMark/>
          </w:tcPr>
          <w:p w14:paraId="6819D7D0" w14:textId="77777777" w:rsidR="00915C0D" w:rsidRPr="00915C0D" w:rsidRDefault="00915C0D" w:rsidP="00915C0D">
            <w:pPr>
              <w:rPr>
                <w:rFonts w:ascii="Times New Roman" w:hAnsi="Times New Roman"/>
                <w:i/>
                <w:iCs/>
                <w:color w:val="000000"/>
                <w:lang w:val="es-AR" w:eastAsia="es-AR"/>
              </w:rPr>
            </w:pPr>
            <w:r w:rsidRPr="00915C0D">
              <w:rPr>
                <w:rFonts w:ascii="Times New Roman" w:hAnsi="Times New Roman"/>
                <w:i/>
                <w:iCs/>
                <w:color w:val="000000"/>
                <w:lang w:val="es-AR" w:eastAsia="es-AR"/>
              </w:rPr>
              <w:t>Period deforestation</w:t>
            </w:r>
          </w:p>
        </w:tc>
        <w:tc>
          <w:tcPr>
            <w:tcW w:w="1208" w:type="dxa"/>
            <w:tcBorders>
              <w:top w:val="nil"/>
              <w:left w:val="nil"/>
              <w:bottom w:val="single" w:sz="4" w:space="0" w:color="auto"/>
              <w:right w:val="single" w:sz="4" w:space="0" w:color="auto"/>
            </w:tcBorders>
            <w:shd w:val="clear" w:color="000000" w:fill="FFFFFF"/>
            <w:noWrap/>
            <w:vAlign w:val="bottom"/>
            <w:hideMark/>
          </w:tcPr>
          <w:p w14:paraId="42793AC7" w14:textId="77777777" w:rsidR="00915C0D" w:rsidRPr="00915C0D" w:rsidRDefault="00915C0D" w:rsidP="00915C0D">
            <w:pPr>
              <w:jc w:val="right"/>
              <w:rPr>
                <w:rFonts w:ascii="Times New Roman" w:hAnsi="Times New Roman"/>
                <w:i/>
                <w:iCs/>
                <w:color w:val="000000"/>
                <w:lang w:val="es-AR" w:eastAsia="es-AR"/>
              </w:rPr>
            </w:pPr>
            <w:r w:rsidRPr="00915C0D">
              <w:rPr>
                <w:rFonts w:ascii="Times New Roman" w:hAnsi="Times New Roman"/>
                <w:i/>
                <w:iCs/>
                <w:color w:val="000000"/>
                <w:lang w:val="es-AR" w:eastAsia="es-AR"/>
              </w:rPr>
              <w:t>0,037%</w:t>
            </w:r>
          </w:p>
        </w:tc>
        <w:tc>
          <w:tcPr>
            <w:tcW w:w="1012" w:type="dxa"/>
            <w:tcBorders>
              <w:top w:val="nil"/>
              <w:left w:val="nil"/>
              <w:bottom w:val="single" w:sz="4" w:space="0" w:color="auto"/>
              <w:right w:val="single" w:sz="4" w:space="0" w:color="auto"/>
            </w:tcBorders>
            <w:shd w:val="clear" w:color="000000" w:fill="FFFFFF"/>
            <w:noWrap/>
            <w:vAlign w:val="bottom"/>
            <w:hideMark/>
          </w:tcPr>
          <w:p w14:paraId="3FD0B391" w14:textId="77777777" w:rsidR="00915C0D" w:rsidRPr="00915C0D" w:rsidRDefault="00915C0D" w:rsidP="00915C0D">
            <w:pPr>
              <w:jc w:val="right"/>
              <w:rPr>
                <w:rFonts w:ascii="Times New Roman" w:hAnsi="Times New Roman"/>
                <w:i/>
                <w:iCs/>
                <w:color w:val="000000"/>
                <w:lang w:val="es-AR" w:eastAsia="es-AR"/>
              </w:rPr>
            </w:pPr>
            <w:r w:rsidRPr="00915C0D">
              <w:rPr>
                <w:rFonts w:ascii="Times New Roman" w:hAnsi="Times New Roman"/>
                <w:i/>
                <w:iCs/>
                <w:color w:val="000000"/>
                <w:lang w:val="es-AR" w:eastAsia="es-AR"/>
              </w:rPr>
              <w:t>0,021%</w:t>
            </w:r>
          </w:p>
        </w:tc>
        <w:tc>
          <w:tcPr>
            <w:tcW w:w="979" w:type="dxa"/>
            <w:tcBorders>
              <w:top w:val="nil"/>
              <w:left w:val="nil"/>
              <w:bottom w:val="single" w:sz="4" w:space="0" w:color="auto"/>
              <w:right w:val="single" w:sz="4" w:space="0" w:color="auto"/>
            </w:tcBorders>
            <w:shd w:val="clear" w:color="000000" w:fill="FFFFFF"/>
            <w:noWrap/>
            <w:vAlign w:val="bottom"/>
            <w:hideMark/>
          </w:tcPr>
          <w:p w14:paraId="4485A242" w14:textId="77777777" w:rsidR="00915C0D" w:rsidRPr="00915C0D" w:rsidRDefault="00915C0D" w:rsidP="00915C0D">
            <w:pPr>
              <w:jc w:val="right"/>
              <w:rPr>
                <w:rFonts w:ascii="Times New Roman" w:hAnsi="Times New Roman"/>
                <w:i/>
                <w:iCs/>
                <w:color w:val="000000"/>
                <w:lang w:val="es-AR" w:eastAsia="es-AR"/>
              </w:rPr>
            </w:pPr>
            <w:r w:rsidRPr="00915C0D">
              <w:rPr>
                <w:rFonts w:ascii="Times New Roman" w:hAnsi="Times New Roman"/>
                <w:i/>
                <w:iCs/>
                <w:color w:val="000000"/>
                <w:lang w:val="es-AR" w:eastAsia="es-AR"/>
              </w:rPr>
              <w:t>0,056%</w:t>
            </w:r>
          </w:p>
        </w:tc>
        <w:tc>
          <w:tcPr>
            <w:tcW w:w="979" w:type="dxa"/>
            <w:tcBorders>
              <w:top w:val="nil"/>
              <w:left w:val="nil"/>
              <w:bottom w:val="single" w:sz="4" w:space="0" w:color="auto"/>
              <w:right w:val="single" w:sz="4" w:space="0" w:color="auto"/>
            </w:tcBorders>
            <w:shd w:val="clear" w:color="000000" w:fill="FFFFFF"/>
            <w:noWrap/>
            <w:vAlign w:val="bottom"/>
            <w:hideMark/>
          </w:tcPr>
          <w:p w14:paraId="55AE9CFC" w14:textId="77777777" w:rsidR="00915C0D" w:rsidRPr="00915C0D" w:rsidRDefault="00915C0D" w:rsidP="00915C0D">
            <w:pPr>
              <w:jc w:val="right"/>
              <w:rPr>
                <w:rFonts w:ascii="Times New Roman" w:hAnsi="Times New Roman"/>
                <w:i/>
                <w:iCs/>
                <w:color w:val="000000"/>
                <w:lang w:val="es-AR" w:eastAsia="es-AR"/>
              </w:rPr>
            </w:pPr>
            <w:r w:rsidRPr="00915C0D">
              <w:rPr>
                <w:rFonts w:ascii="Times New Roman" w:hAnsi="Times New Roman"/>
                <w:i/>
                <w:iCs/>
                <w:color w:val="000000"/>
                <w:lang w:val="es-AR" w:eastAsia="es-AR"/>
              </w:rPr>
              <w:t>0,054%</w:t>
            </w:r>
          </w:p>
        </w:tc>
        <w:tc>
          <w:tcPr>
            <w:tcW w:w="979" w:type="dxa"/>
            <w:tcBorders>
              <w:top w:val="nil"/>
              <w:left w:val="nil"/>
              <w:bottom w:val="single" w:sz="4" w:space="0" w:color="auto"/>
              <w:right w:val="single" w:sz="4" w:space="0" w:color="auto"/>
            </w:tcBorders>
            <w:shd w:val="clear" w:color="000000" w:fill="FFFFFF"/>
            <w:noWrap/>
            <w:vAlign w:val="bottom"/>
            <w:hideMark/>
          </w:tcPr>
          <w:p w14:paraId="26C955AD" w14:textId="77777777" w:rsidR="00915C0D" w:rsidRPr="00915C0D" w:rsidRDefault="00915C0D" w:rsidP="00915C0D">
            <w:pPr>
              <w:jc w:val="right"/>
              <w:rPr>
                <w:rFonts w:ascii="Times New Roman" w:hAnsi="Times New Roman"/>
                <w:i/>
                <w:iCs/>
                <w:color w:val="000000"/>
                <w:lang w:val="es-AR" w:eastAsia="es-AR"/>
              </w:rPr>
            </w:pPr>
            <w:r w:rsidRPr="00915C0D">
              <w:rPr>
                <w:rFonts w:ascii="Times New Roman" w:hAnsi="Times New Roman"/>
                <w:i/>
                <w:iCs/>
                <w:color w:val="000000"/>
                <w:lang w:val="es-AR" w:eastAsia="es-AR"/>
              </w:rPr>
              <w:t>0,079%</w:t>
            </w:r>
          </w:p>
        </w:tc>
        <w:tc>
          <w:tcPr>
            <w:tcW w:w="979" w:type="dxa"/>
            <w:tcBorders>
              <w:top w:val="nil"/>
              <w:left w:val="nil"/>
              <w:bottom w:val="single" w:sz="4" w:space="0" w:color="auto"/>
              <w:right w:val="single" w:sz="4" w:space="0" w:color="auto"/>
            </w:tcBorders>
            <w:shd w:val="clear" w:color="000000" w:fill="FFFFFF"/>
            <w:noWrap/>
            <w:vAlign w:val="bottom"/>
            <w:hideMark/>
          </w:tcPr>
          <w:p w14:paraId="14E8976E" w14:textId="77777777" w:rsidR="00915C0D" w:rsidRPr="00915C0D" w:rsidRDefault="00915C0D" w:rsidP="00915C0D">
            <w:pPr>
              <w:jc w:val="right"/>
              <w:rPr>
                <w:rFonts w:ascii="Times New Roman" w:hAnsi="Times New Roman"/>
                <w:i/>
                <w:iCs/>
                <w:color w:val="000000"/>
                <w:lang w:val="es-AR" w:eastAsia="es-AR"/>
              </w:rPr>
            </w:pPr>
            <w:r w:rsidRPr="00915C0D">
              <w:rPr>
                <w:rFonts w:ascii="Times New Roman" w:hAnsi="Times New Roman"/>
                <w:i/>
                <w:iCs/>
                <w:color w:val="000000"/>
                <w:lang w:val="es-AR" w:eastAsia="es-AR"/>
              </w:rPr>
              <w:t>0,069%</w:t>
            </w:r>
          </w:p>
        </w:tc>
      </w:tr>
    </w:tbl>
    <w:p w14:paraId="16ED63CA" w14:textId="77777777" w:rsidR="00915C0D" w:rsidRPr="00915C0D" w:rsidRDefault="00915C0D" w:rsidP="00915C0D">
      <w:pPr>
        <w:pStyle w:val="ListParagraph"/>
        <w:ind w:left="0"/>
        <w:rPr>
          <w:rFonts w:ascii="Times New Roman" w:hAnsi="Times New Roman"/>
          <w:bCs/>
          <w:sz w:val="18"/>
          <w:szCs w:val="18"/>
        </w:rPr>
      </w:pPr>
      <w:r w:rsidRPr="00915C0D">
        <w:rPr>
          <w:rFonts w:ascii="Times New Roman" w:hAnsi="Times New Roman"/>
          <w:sz w:val="18"/>
          <w:szCs w:val="18"/>
        </w:rPr>
        <w:t xml:space="preserve">Source: GFC and </w:t>
      </w:r>
      <w:proofErr w:type="spellStart"/>
      <w:r w:rsidRPr="00915C0D">
        <w:rPr>
          <w:rFonts w:ascii="Times New Roman" w:hAnsi="Times New Roman"/>
          <w:sz w:val="18"/>
          <w:szCs w:val="18"/>
        </w:rPr>
        <w:t>Indufor</w:t>
      </w:r>
      <w:proofErr w:type="spellEnd"/>
      <w:r w:rsidRPr="00915C0D">
        <w:rPr>
          <w:rFonts w:ascii="Times New Roman" w:hAnsi="Times New Roman"/>
          <w:sz w:val="18"/>
          <w:szCs w:val="18"/>
        </w:rPr>
        <w:t xml:space="preserve"> reports.</w:t>
      </w:r>
    </w:p>
    <w:p w14:paraId="2C1A060A" w14:textId="77777777" w:rsidR="00915C0D" w:rsidRPr="00915C0D" w:rsidRDefault="00915C0D" w:rsidP="00915C0D">
      <w:pPr>
        <w:ind w:left="432"/>
        <w:jc w:val="both"/>
        <w:rPr>
          <w:rFonts w:ascii="Times New Roman" w:hAnsi="Times New Roman"/>
          <w:bCs/>
          <w:sz w:val="22"/>
          <w:szCs w:val="22"/>
        </w:rPr>
      </w:pPr>
    </w:p>
    <w:p w14:paraId="7D66764F" w14:textId="77777777" w:rsidR="00915C0D" w:rsidRPr="00017F75" w:rsidRDefault="00915C0D" w:rsidP="00D421FA">
      <w:pPr>
        <w:numPr>
          <w:ilvl w:val="1"/>
          <w:numId w:val="37"/>
        </w:numPr>
        <w:jc w:val="both"/>
        <w:rPr>
          <w:rFonts w:ascii="Times New Roman" w:hAnsi="Times New Roman"/>
          <w:bCs/>
          <w:sz w:val="22"/>
          <w:szCs w:val="22"/>
        </w:rPr>
      </w:pPr>
      <w:r w:rsidRPr="00915C0D">
        <w:rPr>
          <w:rFonts w:ascii="Times New Roman" w:hAnsi="Times New Roman"/>
          <w:sz w:val="22"/>
          <w:szCs w:val="22"/>
        </w:rPr>
        <w:t>Recent measurements. In the last evaluation</w:t>
      </w:r>
      <w:r w:rsidRPr="00915C0D">
        <w:rPr>
          <w:vertAlign w:val="superscript"/>
          <w:lang w:val="es-ES_tradnl"/>
        </w:rPr>
        <w:footnoteReference w:id="29"/>
      </w:r>
      <w:r w:rsidRPr="00915C0D">
        <w:rPr>
          <w:rFonts w:ascii="Times New Roman" w:hAnsi="Times New Roman"/>
          <w:sz w:val="22"/>
          <w:szCs w:val="22"/>
        </w:rPr>
        <w:t xml:space="preserve"> deforestation was estimated at 12.702 hectares in the period from January 1 to December 31 of 2013.  This represents an annual deforestation rate of 0.069%, slightly less than the previous year (0.079%).  The principal justification for this reduction is the reduced impact of mining activities, whose affected area shrank by 2,177 hectares.</w:t>
      </w:r>
    </w:p>
    <w:p w14:paraId="5ED5BC3E" w14:textId="77777777" w:rsidR="00915C0D" w:rsidRPr="00017F75" w:rsidRDefault="00915C0D" w:rsidP="00915C0D">
      <w:pPr>
        <w:jc w:val="both"/>
        <w:rPr>
          <w:rFonts w:ascii="Times New Roman" w:hAnsi="Times New Roman"/>
          <w:bCs/>
          <w:sz w:val="22"/>
          <w:szCs w:val="22"/>
        </w:rPr>
      </w:pPr>
    </w:p>
    <w:p w14:paraId="48A386FE" w14:textId="77777777" w:rsidR="00915C0D" w:rsidRPr="00017F75" w:rsidRDefault="00915C0D" w:rsidP="00D421FA">
      <w:pPr>
        <w:numPr>
          <w:ilvl w:val="1"/>
          <w:numId w:val="37"/>
        </w:numPr>
        <w:jc w:val="both"/>
        <w:rPr>
          <w:rFonts w:ascii="Times New Roman" w:hAnsi="Times New Roman"/>
          <w:bCs/>
          <w:sz w:val="22"/>
          <w:szCs w:val="22"/>
        </w:rPr>
      </w:pPr>
      <w:r w:rsidRPr="00915C0D">
        <w:rPr>
          <w:rFonts w:ascii="Times New Roman" w:hAnsi="Times New Roman"/>
          <w:sz w:val="22"/>
          <w:szCs w:val="22"/>
        </w:rPr>
        <w:t>It is also important to note that this economic growth in Guyana and in particular in the mining sector has been fueled substantively by the high price of gold. Due to the conditions under which this extractive industry operates, there are direct losses in terms of deforestation and degradation of the ecosystem, creating persistent impacts on nature's capacity to provide essential services. In this way, the mining sector's impact over the last 3 years represents on average 91% of total forest loss.  The loss attributable to logging fell substantially, making agriculture the second-leading cause of deforestation, with 2% of the total. The relevance of the different sectors is reflected in the following graph.</w:t>
      </w:r>
    </w:p>
    <w:p w14:paraId="447E8A67" w14:textId="77777777" w:rsidR="00915C0D" w:rsidRPr="00017F75" w:rsidRDefault="00915C0D" w:rsidP="00915C0D">
      <w:pPr>
        <w:pStyle w:val="ListParagraph"/>
        <w:rPr>
          <w:rFonts w:ascii="Times New Roman" w:hAnsi="Times New Roman"/>
          <w:bCs/>
          <w:sz w:val="22"/>
          <w:szCs w:val="22"/>
        </w:rPr>
      </w:pPr>
    </w:p>
    <w:p w14:paraId="459059E0" w14:textId="1DAF3E10" w:rsidR="00915C0D" w:rsidRPr="00C97B7B" w:rsidRDefault="00915C0D" w:rsidP="00C97B7B">
      <w:pPr>
        <w:ind w:firstLine="720"/>
        <w:rPr>
          <w:rFonts w:ascii="Times New Roman" w:hAnsi="Times New Roman"/>
          <w:i/>
          <w:iCs/>
          <w:sz w:val="22"/>
          <w:szCs w:val="22"/>
        </w:rPr>
      </w:pPr>
      <w:r w:rsidRPr="00915C0D">
        <w:rPr>
          <w:rFonts w:ascii="Times New Roman" w:hAnsi="Times New Roman"/>
          <w:i/>
          <w:iCs/>
          <w:sz w:val="22"/>
          <w:szCs w:val="22"/>
        </w:rPr>
        <w:t>Figure 8 – Area deforested annually 2001-2013</w:t>
      </w:r>
    </w:p>
    <w:p w14:paraId="4DD4B2A7" w14:textId="77777777" w:rsidR="00915C0D" w:rsidRPr="00915C0D" w:rsidRDefault="00915C0D" w:rsidP="00915C0D">
      <w:pPr>
        <w:jc w:val="both"/>
        <w:rPr>
          <w:rFonts w:ascii="Times New Roman" w:hAnsi="Times New Roman"/>
          <w:bCs/>
          <w:i/>
          <w:sz w:val="22"/>
          <w:lang w:val="es-ES"/>
        </w:rPr>
      </w:pPr>
      <w:r w:rsidRPr="00915C0D">
        <w:rPr>
          <w:noProof/>
        </w:rPr>
        <w:drawing>
          <wp:inline distT="0" distB="0" distL="0" distR="0" wp14:anchorId="42FE9ECF" wp14:editId="3D1F4557">
            <wp:extent cx="5278755" cy="3746733"/>
            <wp:effectExtent l="19050" t="0" r="0" b="0"/>
            <wp:docPr id="27" name="Imagen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stretch>
                      <a:fillRect/>
                    </a:stretch>
                  </pic:blipFill>
                  <pic:spPr>
                    <a:xfrm>
                      <a:off x="0" y="0"/>
                      <a:ext cx="5278755" cy="3746733"/>
                    </a:xfrm>
                    <a:prstGeom prst="rect">
                      <a:avLst/>
                    </a:prstGeom>
                  </pic:spPr>
                </pic:pic>
              </a:graphicData>
            </a:graphic>
          </wp:inline>
        </w:drawing>
      </w:r>
    </w:p>
    <w:p w14:paraId="73D6870F" w14:textId="77777777" w:rsidR="00915C0D" w:rsidRPr="00017F75" w:rsidRDefault="00915C0D" w:rsidP="00915C0D">
      <w:pPr>
        <w:pStyle w:val="ListParagraph"/>
        <w:rPr>
          <w:rFonts w:ascii="Times New Roman" w:hAnsi="Times New Roman"/>
          <w:bCs/>
          <w:noProof/>
          <w:sz w:val="18"/>
          <w:szCs w:val="18"/>
          <w:lang w:eastAsia="es-AR"/>
        </w:rPr>
      </w:pPr>
      <w:r w:rsidRPr="00915C0D">
        <w:rPr>
          <w:rFonts w:ascii="Times New Roman" w:hAnsi="Times New Roman"/>
          <w:sz w:val="18"/>
          <w:szCs w:val="18"/>
        </w:rPr>
        <w:t>Source: Prepared by the authors with GFC data.</w:t>
      </w:r>
    </w:p>
    <w:p w14:paraId="080834DA" w14:textId="77777777" w:rsidR="00915C0D" w:rsidRPr="00017F75" w:rsidRDefault="00915C0D" w:rsidP="00915C0D">
      <w:pPr>
        <w:pStyle w:val="ListParagraph"/>
        <w:rPr>
          <w:rFonts w:ascii="Times New Roman" w:hAnsi="Times New Roman"/>
          <w:bCs/>
          <w:noProof/>
          <w:sz w:val="22"/>
          <w:szCs w:val="22"/>
          <w:lang w:eastAsia="es-AR"/>
        </w:rPr>
      </w:pPr>
    </w:p>
    <w:p w14:paraId="3DE03FF9" w14:textId="77777777" w:rsidR="00915C0D" w:rsidRPr="00017F75" w:rsidRDefault="00915C0D" w:rsidP="00D421FA">
      <w:pPr>
        <w:numPr>
          <w:ilvl w:val="1"/>
          <w:numId w:val="37"/>
        </w:numPr>
        <w:jc w:val="both"/>
        <w:rPr>
          <w:rFonts w:ascii="Times New Roman" w:hAnsi="Times New Roman"/>
          <w:sz w:val="22"/>
          <w:szCs w:val="22"/>
        </w:rPr>
      </w:pPr>
      <w:r w:rsidRPr="00915C0D">
        <w:rPr>
          <w:rFonts w:ascii="Times New Roman" w:hAnsi="Times New Roman"/>
          <w:sz w:val="22"/>
          <w:szCs w:val="22"/>
        </w:rPr>
        <w:t>The importance of this data, in light of the fact that it is critical as a reference of its development focuses, leads to some reflections:</w:t>
      </w:r>
    </w:p>
    <w:p w14:paraId="5F0316CF" w14:textId="77777777" w:rsidR="00915C0D" w:rsidRPr="00017F75" w:rsidRDefault="00915C0D" w:rsidP="00CE5909">
      <w:pPr>
        <w:pStyle w:val="ListParagraph"/>
        <w:numPr>
          <w:ilvl w:val="0"/>
          <w:numId w:val="28"/>
        </w:numPr>
        <w:jc w:val="both"/>
        <w:rPr>
          <w:rFonts w:ascii="Times New Roman" w:hAnsi="Times New Roman"/>
          <w:sz w:val="22"/>
          <w:szCs w:val="22"/>
        </w:rPr>
      </w:pPr>
      <w:r w:rsidRPr="00915C0D">
        <w:rPr>
          <w:rFonts w:ascii="Times New Roman" w:hAnsi="Times New Roman"/>
          <w:color w:val="000000"/>
          <w:sz w:val="22"/>
          <w:szCs w:val="22"/>
          <w:shd w:val="clear" w:color="auto" w:fill="FFFFFF"/>
        </w:rPr>
        <w:t>Given that this is a nation-wide system, from a technical level it is acceptable to see variations in the deforestation rate from year to year, given the regular changes in land use. It is important to note that the range of variation in recent periods has been small compared to other countries</w:t>
      </w:r>
      <w:r w:rsidRPr="00915C0D">
        <w:rPr>
          <w:rStyle w:val="FootnoteReference"/>
          <w:rFonts w:ascii="Verdana" w:hAnsi="Verdana"/>
          <w:color w:val="000000"/>
          <w:shd w:val="clear" w:color="auto" w:fill="FFFFFF"/>
        </w:rPr>
        <w:footnoteReference w:id="30"/>
      </w:r>
      <w:r w:rsidRPr="00915C0D">
        <w:rPr>
          <w:rFonts w:ascii="Verdana" w:eastAsia="Verdana" w:hAnsi="Verdana" w:cs="Verdana"/>
          <w:color w:val="000000"/>
          <w:shd w:val="clear" w:color="auto" w:fill="FFFFFF"/>
        </w:rPr>
        <w:t>.</w:t>
      </w:r>
    </w:p>
    <w:p w14:paraId="148EFDDC" w14:textId="77777777" w:rsidR="00915C0D" w:rsidRPr="00017F75" w:rsidRDefault="00915C0D" w:rsidP="00CE5909">
      <w:pPr>
        <w:pStyle w:val="ListParagraph"/>
        <w:numPr>
          <w:ilvl w:val="0"/>
          <w:numId w:val="28"/>
        </w:numPr>
        <w:jc w:val="both"/>
        <w:rPr>
          <w:rFonts w:ascii="Times New Roman" w:hAnsi="Times New Roman"/>
          <w:sz w:val="22"/>
          <w:szCs w:val="22"/>
        </w:rPr>
      </w:pPr>
      <w:r w:rsidRPr="00915C0D">
        <w:rPr>
          <w:rFonts w:ascii="Times New Roman" w:hAnsi="Times New Roman"/>
          <w:sz w:val="22"/>
          <w:szCs w:val="22"/>
        </w:rPr>
        <w:t xml:space="preserve">Although at first glance there is significant relative variation in terms of percentages, the final values have regularly fallen within the limits established in the </w:t>
      </w:r>
      <w:proofErr w:type="spellStart"/>
      <w:r w:rsidRPr="00915C0D">
        <w:rPr>
          <w:rFonts w:ascii="Times New Roman" w:hAnsi="Times New Roman"/>
          <w:sz w:val="22"/>
          <w:szCs w:val="22"/>
        </w:rPr>
        <w:t>MoU</w:t>
      </w:r>
      <w:proofErr w:type="spellEnd"/>
      <w:r w:rsidRPr="00915C0D">
        <w:rPr>
          <w:rFonts w:ascii="Times New Roman" w:hAnsi="Times New Roman"/>
          <w:sz w:val="22"/>
          <w:szCs w:val="22"/>
        </w:rPr>
        <w:t xml:space="preserve"> with Norway</w:t>
      </w:r>
      <w:r w:rsidRPr="00915C0D">
        <w:rPr>
          <w:rStyle w:val="FootnoteReference"/>
          <w:rFonts w:ascii="Times New Roman" w:hAnsi="Times New Roman"/>
          <w:bCs/>
          <w:sz w:val="22"/>
          <w:lang w:val="es-ES"/>
        </w:rPr>
        <w:footnoteReference w:id="31"/>
      </w:r>
      <w:r w:rsidRPr="00915C0D">
        <w:rPr>
          <w:rFonts w:ascii="Times New Roman" w:hAnsi="Times New Roman"/>
          <w:sz w:val="22"/>
          <w:szCs w:val="22"/>
        </w:rPr>
        <w:t xml:space="preserve">. The </w:t>
      </w:r>
      <w:proofErr w:type="spellStart"/>
      <w:r w:rsidRPr="00915C0D">
        <w:rPr>
          <w:rFonts w:ascii="Times New Roman" w:hAnsi="Times New Roman"/>
          <w:sz w:val="22"/>
          <w:szCs w:val="22"/>
        </w:rPr>
        <w:t>MoU</w:t>
      </w:r>
      <w:proofErr w:type="spellEnd"/>
      <w:r w:rsidRPr="00915C0D">
        <w:rPr>
          <w:rFonts w:ascii="Times New Roman" w:hAnsi="Times New Roman"/>
          <w:sz w:val="22"/>
          <w:szCs w:val="22"/>
        </w:rPr>
        <w:t xml:space="preserve"> sets a maximum deforestation level of 0.100%, a level above which Guyana is not entitled to receive funds. </w:t>
      </w:r>
    </w:p>
    <w:p w14:paraId="4CADA1A9" w14:textId="77777777" w:rsidR="00915C0D" w:rsidRPr="00017F75" w:rsidRDefault="00915C0D" w:rsidP="00CE5909">
      <w:pPr>
        <w:pStyle w:val="ListParagraph"/>
        <w:numPr>
          <w:ilvl w:val="0"/>
          <w:numId w:val="28"/>
        </w:numPr>
        <w:jc w:val="both"/>
        <w:rPr>
          <w:rFonts w:ascii="Times New Roman" w:hAnsi="Times New Roman"/>
          <w:sz w:val="22"/>
          <w:szCs w:val="22"/>
        </w:rPr>
      </w:pPr>
      <w:r w:rsidRPr="00915C0D">
        <w:rPr>
          <w:rFonts w:ascii="Times New Roman" w:hAnsi="Times New Roman"/>
          <w:sz w:val="22"/>
          <w:szCs w:val="22"/>
        </w:rPr>
        <w:t xml:space="preserve">The size of the changes observed is insignificant in absolute terms. Over the last two years, GFC has made progress implementing new sources of data and monitoring mechanisms (moving from a 30 meter satellite imagery data source Landsat to a 5 meter data source Rapid Eye).  These changes, which will strengthen tracking capacity in the long term, may have had an impact on the figures reported. </w:t>
      </w:r>
    </w:p>
    <w:p w14:paraId="3C1FA7D6" w14:textId="77777777" w:rsidR="00915C0D" w:rsidRPr="00017F75" w:rsidRDefault="00915C0D" w:rsidP="00915C0D">
      <w:pPr>
        <w:ind w:left="718"/>
        <w:jc w:val="both"/>
        <w:rPr>
          <w:rFonts w:ascii="Times New Roman" w:hAnsi="Times New Roman"/>
          <w:sz w:val="22"/>
          <w:szCs w:val="22"/>
        </w:rPr>
      </w:pPr>
    </w:p>
    <w:p w14:paraId="2576959C" w14:textId="77777777" w:rsidR="00915C0D" w:rsidRPr="00915C0D" w:rsidRDefault="00915C0D" w:rsidP="00D421FA">
      <w:pPr>
        <w:numPr>
          <w:ilvl w:val="1"/>
          <w:numId w:val="37"/>
        </w:numPr>
        <w:jc w:val="both"/>
        <w:rPr>
          <w:rFonts w:ascii="Times New Roman" w:hAnsi="Times New Roman"/>
          <w:sz w:val="22"/>
          <w:szCs w:val="22"/>
        </w:rPr>
      </w:pPr>
      <w:r w:rsidRPr="00915C0D">
        <w:rPr>
          <w:rFonts w:ascii="Times New Roman" w:hAnsi="Times New Roman"/>
          <w:sz w:val="22"/>
          <w:szCs w:val="22"/>
        </w:rPr>
        <w:t xml:space="preserve">A significant fact influencing this decline in deforestation in mining has also been the intensified monitoring activities by the natural resources sector and its agencies in working with operators in the sector.  According to GOG, the mentioned decrease in 2013 may be on account of more responsible and low-impact mining practices. </w:t>
      </w:r>
    </w:p>
    <w:p w14:paraId="5156457B" w14:textId="77777777" w:rsidR="00915C0D" w:rsidRPr="00915C0D" w:rsidRDefault="00915C0D" w:rsidP="00915C0D">
      <w:pPr>
        <w:ind w:left="718"/>
        <w:jc w:val="both"/>
        <w:rPr>
          <w:rFonts w:ascii="Times New Roman" w:hAnsi="Times New Roman"/>
          <w:sz w:val="22"/>
          <w:szCs w:val="22"/>
        </w:rPr>
      </w:pPr>
    </w:p>
    <w:p w14:paraId="75B46848" w14:textId="77777777" w:rsidR="00915C0D" w:rsidRPr="00017F75" w:rsidRDefault="00915C0D" w:rsidP="00D421FA">
      <w:pPr>
        <w:numPr>
          <w:ilvl w:val="1"/>
          <w:numId w:val="37"/>
        </w:numPr>
        <w:jc w:val="both"/>
        <w:rPr>
          <w:rFonts w:ascii="Times New Roman" w:hAnsi="Times New Roman"/>
          <w:sz w:val="22"/>
          <w:szCs w:val="22"/>
        </w:rPr>
      </w:pPr>
      <w:r w:rsidRPr="00915C0D">
        <w:rPr>
          <w:rFonts w:ascii="Times New Roman" w:hAnsi="Times New Roman"/>
          <w:sz w:val="22"/>
          <w:szCs w:val="22"/>
        </w:rPr>
        <w:t>Regarding the rate of degradation. Guyana has begun to evaluate this indicator with a focus on the principal drivers. Results from the past 3 years, during which mining has been the principal driver, are shown in the following table</w:t>
      </w:r>
      <w:r w:rsidRPr="00915C0D">
        <w:rPr>
          <w:rFonts w:ascii="Times New Roman" w:hAnsi="Times New Roman"/>
          <w:color w:val="000000"/>
          <w:sz w:val="22"/>
          <w:szCs w:val="22"/>
          <w:shd w:val="clear" w:color="auto" w:fill="FFFFFF"/>
        </w:rPr>
        <w:t xml:space="preserve">. </w:t>
      </w:r>
    </w:p>
    <w:p w14:paraId="251181E0" w14:textId="77777777" w:rsidR="00915C0D" w:rsidRPr="00017F75" w:rsidRDefault="00915C0D" w:rsidP="00915C0D">
      <w:pPr>
        <w:pStyle w:val="ListParagraph"/>
        <w:rPr>
          <w:rFonts w:ascii="Times New Roman" w:hAnsi="Times New Roman"/>
          <w:sz w:val="22"/>
          <w:szCs w:val="22"/>
        </w:rPr>
      </w:pPr>
    </w:p>
    <w:p w14:paraId="2BB0419F" w14:textId="77777777" w:rsidR="00915C0D" w:rsidRPr="00017F75" w:rsidRDefault="00915C0D" w:rsidP="00915C0D">
      <w:pPr>
        <w:ind w:left="718"/>
        <w:jc w:val="both"/>
        <w:rPr>
          <w:rFonts w:ascii="Times New Roman" w:hAnsi="Times New Roman"/>
          <w:sz w:val="22"/>
          <w:szCs w:val="22"/>
        </w:rPr>
      </w:pPr>
      <w:r w:rsidRPr="00915C0D">
        <w:rPr>
          <w:rFonts w:ascii="Times New Roman" w:hAnsi="Times New Roman"/>
          <w:sz w:val="22"/>
          <w:szCs w:val="22"/>
        </w:rPr>
        <w:t>Table 3 – Trend and Drivers of degradation 2011-2013</w:t>
      </w:r>
    </w:p>
    <w:tbl>
      <w:tblPr>
        <w:tblW w:w="6218" w:type="dxa"/>
        <w:jc w:val="center"/>
        <w:tblCellMar>
          <w:left w:w="70" w:type="dxa"/>
          <w:right w:w="70" w:type="dxa"/>
        </w:tblCellMar>
        <w:tblLook w:val="04A0" w:firstRow="1" w:lastRow="0" w:firstColumn="1" w:lastColumn="0" w:noHBand="0" w:noVBand="1"/>
      </w:tblPr>
      <w:tblGrid>
        <w:gridCol w:w="2287"/>
        <w:gridCol w:w="1484"/>
        <w:gridCol w:w="1244"/>
        <w:gridCol w:w="1203"/>
      </w:tblGrid>
      <w:tr w:rsidR="002F21BD" w:rsidRPr="00915C0D" w14:paraId="6DD23427" w14:textId="77777777" w:rsidTr="00915C0D">
        <w:trPr>
          <w:trHeight w:val="294"/>
          <w:jc w:val="center"/>
        </w:trPr>
        <w:tc>
          <w:tcPr>
            <w:tcW w:w="228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3D24309" w14:textId="77777777" w:rsidR="00915C0D" w:rsidRPr="00915C0D" w:rsidRDefault="00915C0D" w:rsidP="00915C0D">
            <w:pPr>
              <w:jc w:val="center"/>
              <w:rPr>
                <w:rFonts w:ascii="Times New Roman" w:hAnsi="Times New Roman"/>
                <w:color w:val="000000"/>
                <w:lang w:val="es-AR" w:eastAsia="es-AR"/>
              </w:rPr>
            </w:pPr>
            <w:r w:rsidRPr="00915C0D">
              <w:rPr>
                <w:rFonts w:ascii="Times New Roman" w:hAnsi="Times New Roman"/>
                <w:color w:val="000000"/>
                <w:lang w:val="es-AR" w:eastAsia="es-AR"/>
              </w:rPr>
              <w:t>Driver</w:t>
            </w:r>
          </w:p>
        </w:tc>
        <w:tc>
          <w:tcPr>
            <w:tcW w:w="1484"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14:paraId="546274AE" w14:textId="77777777" w:rsidR="00915C0D" w:rsidRPr="00915C0D" w:rsidRDefault="00915C0D" w:rsidP="00915C0D">
            <w:pPr>
              <w:jc w:val="center"/>
              <w:rPr>
                <w:rFonts w:ascii="Times New Roman" w:hAnsi="Times New Roman"/>
                <w:color w:val="000000"/>
                <w:lang w:val="es-AR" w:eastAsia="es-AR"/>
              </w:rPr>
            </w:pPr>
            <w:r w:rsidRPr="00915C0D">
              <w:rPr>
                <w:rFonts w:ascii="Times New Roman" w:hAnsi="Times New Roman"/>
                <w:color w:val="000000"/>
                <w:lang w:val="es-AR" w:eastAsia="es-AR"/>
              </w:rPr>
              <w:t>Year 2 2010/2011</w:t>
            </w:r>
          </w:p>
        </w:tc>
        <w:tc>
          <w:tcPr>
            <w:tcW w:w="1244"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14:paraId="60230AD4" w14:textId="77777777" w:rsidR="00915C0D" w:rsidRPr="00915C0D" w:rsidRDefault="00915C0D" w:rsidP="00915C0D">
            <w:pPr>
              <w:jc w:val="center"/>
              <w:rPr>
                <w:rFonts w:ascii="Times New Roman" w:hAnsi="Times New Roman"/>
                <w:color w:val="000000"/>
                <w:lang w:val="es-AR" w:eastAsia="es-AR"/>
              </w:rPr>
            </w:pPr>
            <w:r w:rsidRPr="00915C0D">
              <w:rPr>
                <w:rFonts w:ascii="Times New Roman" w:hAnsi="Times New Roman"/>
                <w:color w:val="000000"/>
                <w:lang w:val="es-AR" w:eastAsia="es-AR"/>
              </w:rPr>
              <w:t>Year 3 2011/2012</w:t>
            </w:r>
          </w:p>
        </w:tc>
        <w:tc>
          <w:tcPr>
            <w:tcW w:w="1203"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14:paraId="3B635C21" w14:textId="77777777" w:rsidR="00915C0D" w:rsidRPr="00915C0D" w:rsidRDefault="00915C0D" w:rsidP="00915C0D">
            <w:pPr>
              <w:jc w:val="center"/>
              <w:rPr>
                <w:rFonts w:ascii="Times New Roman" w:hAnsi="Times New Roman"/>
                <w:color w:val="000000"/>
                <w:lang w:val="es-AR" w:eastAsia="es-AR"/>
              </w:rPr>
            </w:pPr>
            <w:r w:rsidRPr="00915C0D">
              <w:rPr>
                <w:rFonts w:ascii="Times New Roman" w:hAnsi="Times New Roman"/>
                <w:color w:val="000000"/>
                <w:lang w:val="es-AR" w:eastAsia="es-AR"/>
              </w:rPr>
              <w:t>Year 4 2012/2013</w:t>
            </w:r>
          </w:p>
        </w:tc>
      </w:tr>
      <w:tr w:rsidR="002F21BD" w:rsidRPr="00915C0D" w14:paraId="57CAD60E" w14:textId="77777777" w:rsidTr="00915C0D">
        <w:trPr>
          <w:trHeight w:val="294"/>
          <w:jc w:val="center"/>
        </w:trPr>
        <w:tc>
          <w:tcPr>
            <w:tcW w:w="2287" w:type="dxa"/>
            <w:vMerge/>
            <w:tcBorders>
              <w:top w:val="single" w:sz="4" w:space="0" w:color="auto"/>
              <w:left w:val="single" w:sz="4" w:space="0" w:color="auto"/>
              <w:bottom w:val="single" w:sz="4" w:space="0" w:color="auto"/>
              <w:right w:val="single" w:sz="4" w:space="0" w:color="auto"/>
            </w:tcBorders>
            <w:vAlign w:val="center"/>
            <w:hideMark/>
          </w:tcPr>
          <w:p w14:paraId="3427B807" w14:textId="77777777" w:rsidR="00915C0D" w:rsidRPr="00915C0D" w:rsidRDefault="00915C0D" w:rsidP="00915C0D">
            <w:pPr>
              <w:rPr>
                <w:rFonts w:ascii="Times New Roman" w:hAnsi="Times New Roman"/>
                <w:color w:val="000000"/>
                <w:lang w:val="es-AR" w:eastAsia="es-AR"/>
              </w:rPr>
            </w:pPr>
          </w:p>
        </w:tc>
        <w:tc>
          <w:tcPr>
            <w:tcW w:w="1484" w:type="dxa"/>
            <w:vMerge/>
            <w:tcBorders>
              <w:top w:val="single" w:sz="4" w:space="0" w:color="auto"/>
              <w:left w:val="single" w:sz="4" w:space="0" w:color="auto"/>
              <w:bottom w:val="single" w:sz="4" w:space="0" w:color="auto"/>
              <w:right w:val="single" w:sz="4" w:space="0" w:color="auto"/>
            </w:tcBorders>
            <w:vAlign w:val="center"/>
            <w:hideMark/>
          </w:tcPr>
          <w:p w14:paraId="72CBA1C2" w14:textId="77777777" w:rsidR="00915C0D" w:rsidRPr="00915C0D" w:rsidRDefault="00915C0D" w:rsidP="00915C0D">
            <w:pPr>
              <w:rPr>
                <w:rFonts w:ascii="Times New Roman" w:hAnsi="Times New Roman"/>
                <w:color w:val="000000"/>
                <w:lang w:val="es-AR" w:eastAsia="es-AR"/>
              </w:rPr>
            </w:pPr>
          </w:p>
        </w:tc>
        <w:tc>
          <w:tcPr>
            <w:tcW w:w="1244" w:type="dxa"/>
            <w:vMerge/>
            <w:tcBorders>
              <w:top w:val="single" w:sz="4" w:space="0" w:color="auto"/>
              <w:left w:val="single" w:sz="4" w:space="0" w:color="auto"/>
              <w:bottom w:val="single" w:sz="4" w:space="0" w:color="auto"/>
              <w:right w:val="single" w:sz="4" w:space="0" w:color="auto"/>
            </w:tcBorders>
            <w:vAlign w:val="center"/>
            <w:hideMark/>
          </w:tcPr>
          <w:p w14:paraId="090978AE" w14:textId="77777777" w:rsidR="00915C0D" w:rsidRPr="00915C0D" w:rsidRDefault="00915C0D" w:rsidP="00915C0D">
            <w:pPr>
              <w:rPr>
                <w:rFonts w:ascii="Times New Roman" w:hAnsi="Times New Roman"/>
                <w:color w:val="000000"/>
                <w:lang w:val="es-AR" w:eastAsia="es-AR"/>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14:paraId="4B675F96" w14:textId="77777777" w:rsidR="00915C0D" w:rsidRPr="00915C0D" w:rsidRDefault="00915C0D" w:rsidP="00915C0D">
            <w:pPr>
              <w:rPr>
                <w:rFonts w:ascii="Times New Roman" w:hAnsi="Times New Roman"/>
                <w:color w:val="000000"/>
                <w:lang w:val="es-AR" w:eastAsia="es-AR"/>
              </w:rPr>
            </w:pPr>
          </w:p>
        </w:tc>
      </w:tr>
      <w:tr w:rsidR="002F21BD" w:rsidRPr="00915C0D" w14:paraId="3C434949" w14:textId="77777777" w:rsidTr="00915C0D">
        <w:trPr>
          <w:trHeight w:val="294"/>
          <w:jc w:val="center"/>
        </w:trPr>
        <w:tc>
          <w:tcPr>
            <w:tcW w:w="2287" w:type="dxa"/>
            <w:tcBorders>
              <w:top w:val="nil"/>
              <w:left w:val="nil"/>
              <w:bottom w:val="nil"/>
              <w:right w:val="nil"/>
            </w:tcBorders>
            <w:shd w:val="clear" w:color="000000" w:fill="FFFFFF"/>
            <w:noWrap/>
            <w:vAlign w:val="bottom"/>
            <w:hideMark/>
          </w:tcPr>
          <w:p w14:paraId="1B82CBC0" w14:textId="77777777" w:rsidR="00915C0D" w:rsidRPr="00915C0D" w:rsidRDefault="00915C0D" w:rsidP="00915C0D">
            <w:pPr>
              <w:rPr>
                <w:rFonts w:ascii="Times New Roman" w:hAnsi="Times New Roman"/>
                <w:color w:val="000000"/>
                <w:lang w:val="es-AR" w:eastAsia="es-AR"/>
              </w:rPr>
            </w:pPr>
            <w:r w:rsidRPr="00915C0D">
              <w:rPr>
                <w:rFonts w:ascii="Times New Roman" w:hAnsi="Times New Roman"/>
                <w:color w:val="000000"/>
                <w:lang w:val="es-AR" w:eastAsia="es-AR"/>
              </w:rPr>
              <w:t>Mining</w:t>
            </w:r>
          </w:p>
        </w:tc>
        <w:tc>
          <w:tcPr>
            <w:tcW w:w="1484" w:type="dxa"/>
            <w:tcBorders>
              <w:top w:val="nil"/>
              <w:left w:val="nil"/>
              <w:bottom w:val="nil"/>
              <w:right w:val="nil"/>
            </w:tcBorders>
            <w:shd w:val="clear" w:color="000000" w:fill="FFFFFF"/>
            <w:noWrap/>
            <w:vAlign w:val="center"/>
            <w:hideMark/>
          </w:tcPr>
          <w:p w14:paraId="03CF577A"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4.230</w:t>
            </w:r>
          </w:p>
        </w:tc>
        <w:tc>
          <w:tcPr>
            <w:tcW w:w="1244" w:type="dxa"/>
            <w:tcBorders>
              <w:top w:val="nil"/>
              <w:left w:val="nil"/>
              <w:bottom w:val="nil"/>
              <w:right w:val="nil"/>
            </w:tcBorders>
            <w:shd w:val="clear" w:color="000000" w:fill="FFFFFF"/>
            <w:noWrap/>
            <w:vAlign w:val="center"/>
            <w:hideMark/>
          </w:tcPr>
          <w:p w14:paraId="445B84D0"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1.629</w:t>
            </w:r>
          </w:p>
        </w:tc>
        <w:tc>
          <w:tcPr>
            <w:tcW w:w="1203" w:type="dxa"/>
            <w:tcBorders>
              <w:top w:val="nil"/>
              <w:left w:val="nil"/>
              <w:bottom w:val="nil"/>
              <w:right w:val="nil"/>
            </w:tcBorders>
            <w:shd w:val="clear" w:color="000000" w:fill="FFFFFF"/>
            <w:noWrap/>
            <w:vAlign w:val="center"/>
            <w:hideMark/>
          </w:tcPr>
          <w:p w14:paraId="060300D3"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2.955</w:t>
            </w:r>
          </w:p>
        </w:tc>
      </w:tr>
      <w:tr w:rsidR="002F21BD" w:rsidRPr="00915C0D" w14:paraId="5A93AC5B" w14:textId="77777777" w:rsidTr="00915C0D">
        <w:trPr>
          <w:trHeight w:val="280"/>
          <w:jc w:val="center"/>
        </w:trPr>
        <w:tc>
          <w:tcPr>
            <w:tcW w:w="2287" w:type="dxa"/>
            <w:tcBorders>
              <w:top w:val="nil"/>
              <w:left w:val="nil"/>
              <w:bottom w:val="nil"/>
              <w:right w:val="nil"/>
            </w:tcBorders>
            <w:shd w:val="clear" w:color="000000" w:fill="FFFFFF"/>
            <w:noWrap/>
            <w:vAlign w:val="bottom"/>
            <w:hideMark/>
          </w:tcPr>
          <w:p w14:paraId="7C5F5CEB" w14:textId="77777777" w:rsidR="00915C0D" w:rsidRPr="00915C0D" w:rsidRDefault="00915C0D" w:rsidP="00915C0D">
            <w:pPr>
              <w:rPr>
                <w:rFonts w:ascii="Times New Roman" w:hAnsi="Times New Roman"/>
                <w:color w:val="000000"/>
                <w:lang w:val="es-AR" w:eastAsia="es-AR"/>
              </w:rPr>
            </w:pPr>
            <w:r w:rsidRPr="00915C0D">
              <w:rPr>
                <w:rFonts w:ascii="Times New Roman" w:hAnsi="Times New Roman"/>
                <w:color w:val="000000"/>
                <w:lang w:val="es-AR" w:eastAsia="es-AR"/>
              </w:rPr>
              <w:t>Forestry</w:t>
            </w:r>
          </w:p>
        </w:tc>
        <w:tc>
          <w:tcPr>
            <w:tcW w:w="1484" w:type="dxa"/>
            <w:tcBorders>
              <w:top w:val="nil"/>
              <w:left w:val="nil"/>
              <w:bottom w:val="nil"/>
              <w:right w:val="nil"/>
            </w:tcBorders>
            <w:shd w:val="clear" w:color="000000" w:fill="FFFFFF"/>
            <w:noWrap/>
            <w:vAlign w:val="center"/>
            <w:hideMark/>
          </w:tcPr>
          <w:p w14:paraId="717C96AF"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118</w:t>
            </w:r>
          </w:p>
        </w:tc>
        <w:tc>
          <w:tcPr>
            <w:tcW w:w="1244" w:type="dxa"/>
            <w:tcBorders>
              <w:top w:val="nil"/>
              <w:left w:val="nil"/>
              <w:bottom w:val="nil"/>
              <w:right w:val="nil"/>
            </w:tcBorders>
            <w:shd w:val="clear" w:color="000000" w:fill="FFFFFF"/>
            <w:noWrap/>
            <w:vAlign w:val="center"/>
            <w:hideMark/>
          </w:tcPr>
          <w:p w14:paraId="53ADA664"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113</w:t>
            </w:r>
          </w:p>
        </w:tc>
        <w:tc>
          <w:tcPr>
            <w:tcW w:w="1203" w:type="dxa"/>
            <w:tcBorders>
              <w:top w:val="nil"/>
              <w:left w:val="nil"/>
              <w:bottom w:val="nil"/>
              <w:right w:val="nil"/>
            </w:tcBorders>
            <w:shd w:val="clear" w:color="000000" w:fill="FFFFFF"/>
            <w:noWrap/>
            <w:vAlign w:val="center"/>
            <w:hideMark/>
          </w:tcPr>
          <w:p w14:paraId="47D53D0B"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85</w:t>
            </w:r>
          </w:p>
        </w:tc>
      </w:tr>
      <w:tr w:rsidR="002F21BD" w:rsidRPr="00915C0D" w14:paraId="0A46B3BA" w14:textId="77777777" w:rsidTr="00915C0D">
        <w:trPr>
          <w:trHeight w:val="378"/>
          <w:jc w:val="center"/>
        </w:trPr>
        <w:tc>
          <w:tcPr>
            <w:tcW w:w="2287" w:type="dxa"/>
            <w:tcBorders>
              <w:top w:val="nil"/>
              <w:left w:val="nil"/>
              <w:bottom w:val="nil"/>
              <w:right w:val="nil"/>
            </w:tcBorders>
            <w:shd w:val="clear" w:color="000000" w:fill="FFFFFF"/>
            <w:noWrap/>
            <w:vAlign w:val="center"/>
            <w:hideMark/>
          </w:tcPr>
          <w:p w14:paraId="6E480555" w14:textId="77777777" w:rsidR="00915C0D" w:rsidRPr="00915C0D" w:rsidRDefault="00915C0D" w:rsidP="00915C0D">
            <w:pPr>
              <w:rPr>
                <w:rFonts w:ascii="Times New Roman" w:hAnsi="Times New Roman"/>
                <w:color w:val="000000"/>
                <w:lang w:val="es-AR" w:eastAsia="es-AR"/>
              </w:rPr>
            </w:pPr>
            <w:r w:rsidRPr="00915C0D">
              <w:rPr>
                <w:rFonts w:ascii="Times New Roman" w:hAnsi="Times New Roman"/>
                <w:color w:val="000000"/>
                <w:lang w:val="es-AR" w:eastAsia="es-AR"/>
              </w:rPr>
              <w:t>Agriculture</w:t>
            </w:r>
          </w:p>
        </w:tc>
        <w:tc>
          <w:tcPr>
            <w:tcW w:w="1484" w:type="dxa"/>
            <w:tcBorders>
              <w:top w:val="nil"/>
              <w:left w:val="nil"/>
              <w:bottom w:val="nil"/>
              <w:right w:val="nil"/>
            </w:tcBorders>
            <w:shd w:val="clear" w:color="000000" w:fill="FFFFFF"/>
            <w:noWrap/>
            <w:vAlign w:val="center"/>
            <w:hideMark/>
          </w:tcPr>
          <w:p w14:paraId="5C018BC2"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w:t>
            </w:r>
          </w:p>
        </w:tc>
        <w:tc>
          <w:tcPr>
            <w:tcW w:w="1244" w:type="dxa"/>
            <w:tcBorders>
              <w:top w:val="nil"/>
              <w:left w:val="nil"/>
              <w:bottom w:val="nil"/>
              <w:right w:val="nil"/>
            </w:tcBorders>
            <w:shd w:val="clear" w:color="000000" w:fill="FFFFFF"/>
            <w:noWrap/>
            <w:vAlign w:val="center"/>
            <w:hideMark/>
          </w:tcPr>
          <w:p w14:paraId="425B714F"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w:t>
            </w:r>
          </w:p>
        </w:tc>
        <w:tc>
          <w:tcPr>
            <w:tcW w:w="1203" w:type="dxa"/>
            <w:tcBorders>
              <w:top w:val="nil"/>
              <w:left w:val="nil"/>
              <w:bottom w:val="nil"/>
              <w:right w:val="nil"/>
            </w:tcBorders>
            <w:shd w:val="clear" w:color="000000" w:fill="FFFFFF"/>
            <w:noWrap/>
            <w:vAlign w:val="center"/>
            <w:hideMark/>
          </w:tcPr>
          <w:p w14:paraId="4916C9C0"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w:t>
            </w:r>
          </w:p>
        </w:tc>
      </w:tr>
      <w:tr w:rsidR="002F21BD" w:rsidRPr="00915C0D" w14:paraId="17F403E7" w14:textId="77777777" w:rsidTr="00915C0D">
        <w:trPr>
          <w:trHeight w:val="350"/>
          <w:jc w:val="center"/>
        </w:trPr>
        <w:tc>
          <w:tcPr>
            <w:tcW w:w="2287" w:type="dxa"/>
            <w:tcBorders>
              <w:top w:val="nil"/>
              <w:left w:val="nil"/>
              <w:bottom w:val="nil"/>
              <w:right w:val="nil"/>
            </w:tcBorders>
            <w:shd w:val="clear" w:color="000000" w:fill="FFFFFF"/>
            <w:noWrap/>
            <w:vAlign w:val="center"/>
            <w:hideMark/>
          </w:tcPr>
          <w:p w14:paraId="5569AC67" w14:textId="77777777" w:rsidR="00915C0D" w:rsidRPr="00915C0D" w:rsidRDefault="00915C0D" w:rsidP="00915C0D">
            <w:pPr>
              <w:rPr>
                <w:rFonts w:ascii="Times New Roman" w:hAnsi="Times New Roman"/>
                <w:color w:val="000000"/>
                <w:lang w:val="es-AR" w:eastAsia="es-AR"/>
              </w:rPr>
            </w:pPr>
            <w:r w:rsidRPr="00915C0D">
              <w:rPr>
                <w:rFonts w:ascii="Times New Roman" w:hAnsi="Times New Roman"/>
                <w:color w:val="000000"/>
                <w:lang w:val="es-AR" w:eastAsia="es-AR"/>
              </w:rPr>
              <w:t>Infrastructure</w:t>
            </w:r>
          </w:p>
        </w:tc>
        <w:tc>
          <w:tcPr>
            <w:tcW w:w="1484" w:type="dxa"/>
            <w:tcBorders>
              <w:top w:val="nil"/>
              <w:left w:val="nil"/>
              <w:bottom w:val="nil"/>
              <w:right w:val="nil"/>
            </w:tcBorders>
            <w:shd w:val="clear" w:color="000000" w:fill="FFFFFF"/>
            <w:noWrap/>
            <w:vAlign w:val="center"/>
            <w:hideMark/>
          </w:tcPr>
          <w:p w14:paraId="5207D058"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4</w:t>
            </w:r>
          </w:p>
        </w:tc>
        <w:tc>
          <w:tcPr>
            <w:tcW w:w="1244" w:type="dxa"/>
            <w:tcBorders>
              <w:top w:val="nil"/>
              <w:left w:val="nil"/>
              <w:bottom w:val="nil"/>
              <w:right w:val="nil"/>
            </w:tcBorders>
            <w:shd w:val="clear" w:color="000000" w:fill="FFFFFF"/>
            <w:noWrap/>
            <w:vAlign w:val="center"/>
            <w:hideMark/>
          </w:tcPr>
          <w:p w14:paraId="10D0B383"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13</w:t>
            </w:r>
          </w:p>
        </w:tc>
        <w:tc>
          <w:tcPr>
            <w:tcW w:w="1203" w:type="dxa"/>
            <w:tcBorders>
              <w:top w:val="nil"/>
              <w:left w:val="nil"/>
              <w:bottom w:val="nil"/>
              <w:right w:val="nil"/>
            </w:tcBorders>
            <w:shd w:val="clear" w:color="000000" w:fill="FFFFFF"/>
            <w:noWrap/>
            <w:vAlign w:val="center"/>
            <w:hideMark/>
          </w:tcPr>
          <w:p w14:paraId="31835F83"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112</w:t>
            </w:r>
          </w:p>
        </w:tc>
      </w:tr>
      <w:tr w:rsidR="002F21BD" w:rsidRPr="00915C0D" w14:paraId="3B045D03" w14:textId="77777777" w:rsidTr="00915C0D">
        <w:trPr>
          <w:trHeight w:val="280"/>
          <w:jc w:val="center"/>
        </w:trPr>
        <w:tc>
          <w:tcPr>
            <w:tcW w:w="2287" w:type="dxa"/>
            <w:tcBorders>
              <w:top w:val="nil"/>
              <w:left w:val="nil"/>
              <w:bottom w:val="nil"/>
              <w:right w:val="nil"/>
            </w:tcBorders>
            <w:shd w:val="clear" w:color="000000" w:fill="FFFFFF"/>
            <w:noWrap/>
            <w:vAlign w:val="center"/>
            <w:hideMark/>
          </w:tcPr>
          <w:p w14:paraId="07466A32" w14:textId="77777777" w:rsidR="00915C0D" w:rsidRPr="00915C0D" w:rsidRDefault="00915C0D" w:rsidP="00915C0D">
            <w:pPr>
              <w:rPr>
                <w:rFonts w:ascii="Times New Roman" w:hAnsi="Times New Roman"/>
                <w:color w:val="000000"/>
                <w:lang w:val="es-AR" w:eastAsia="es-AR"/>
              </w:rPr>
            </w:pPr>
            <w:r w:rsidRPr="00915C0D">
              <w:rPr>
                <w:rFonts w:ascii="Times New Roman" w:hAnsi="Times New Roman"/>
                <w:color w:val="000000"/>
                <w:lang w:val="es-AR" w:eastAsia="es-AR"/>
              </w:rPr>
              <w:t>Fire</w:t>
            </w:r>
          </w:p>
        </w:tc>
        <w:tc>
          <w:tcPr>
            <w:tcW w:w="1484" w:type="dxa"/>
            <w:tcBorders>
              <w:top w:val="nil"/>
              <w:left w:val="nil"/>
              <w:bottom w:val="nil"/>
              <w:right w:val="nil"/>
            </w:tcBorders>
            <w:shd w:val="clear" w:color="000000" w:fill="FFFFFF"/>
            <w:noWrap/>
            <w:vAlign w:val="center"/>
            <w:hideMark/>
          </w:tcPr>
          <w:p w14:paraId="3364B943"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22</w:t>
            </w:r>
          </w:p>
        </w:tc>
        <w:tc>
          <w:tcPr>
            <w:tcW w:w="1244" w:type="dxa"/>
            <w:tcBorders>
              <w:top w:val="nil"/>
              <w:left w:val="nil"/>
              <w:bottom w:val="nil"/>
              <w:right w:val="nil"/>
            </w:tcBorders>
            <w:shd w:val="clear" w:color="000000" w:fill="FFFFFF"/>
            <w:noWrap/>
            <w:vAlign w:val="center"/>
            <w:hideMark/>
          </w:tcPr>
          <w:p w14:paraId="3A24028D"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208</w:t>
            </w:r>
          </w:p>
        </w:tc>
        <w:tc>
          <w:tcPr>
            <w:tcW w:w="1203" w:type="dxa"/>
            <w:tcBorders>
              <w:top w:val="nil"/>
              <w:left w:val="nil"/>
              <w:bottom w:val="nil"/>
              <w:right w:val="nil"/>
            </w:tcBorders>
            <w:shd w:val="clear" w:color="000000" w:fill="FFFFFF"/>
            <w:noWrap/>
            <w:vAlign w:val="center"/>
            <w:hideMark/>
          </w:tcPr>
          <w:p w14:paraId="1282B271"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396</w:t>
            </w:r>
          </w:p>
        </w:tc>
      </w:tr>
      <w:tr w:rsidR="002F21BD" w:rsidRPr="00915C0D" w14:paraId="2B2D7167" w14:textId="77777777" w:rsidTr="00915C0D">
        <w:trPr>
          <w:trHeight w:val="280"/>
          <w:jc w:val="center"/>
        </w:trPr>
        <w:tc>
          <w:tcPr>
            <w:tcW w:w="2287" w:type="dxa"/>
            <w:tcBorders>
              <w:top w:val="nil"/>
              <w:left w:val="nil"/>
              <w:bottom w:val="nil"/>
              <w:right w:val="nil"/>
            </w:tcBorders>
            <w:shd w:val="clear" w:color="000000" w:fill="FFFFFF"/>
            <w:noWrap/>
            <w:vAlign w:val="bottom"/>
            <w:hideMark/>
          </w:tcPr>
          <w:p w14:paraId="31710C44" w14:textId="77777777" w:rsidR="00915C0D" w:rsidRPr="00915C0D" w:rsidRDefault="00915C0D" w:rsidP="00915C0D">
            <w:pPr>
              <w:rPr>
                <w:rFonts w:ascii="Times New Roman" w:hAnsi="Times New Roman"/>
                <w:color w:val="000000"/>
                <w:lang w:val="es-AR" w:eastAsia="es-AR"/>
              </w:rPr>
            </w:pPr>
            <w:r w:rsidRPr="00915C0D">
              <w:rPr>
                <w:rFonts w:ascii="Times New Roman" w:hAnsi="Times New Roman"/>
                <w:color w:val="000000"/>
                <w:lang w:val="es-AR" w:eastAsia="es-AR"/>
              </w:rPr>
              <w:t>Shifting agriculture</w:t>
            </w:r>
          </w:p>
        </w:tc>
        <w:tc>
          <w:tcPr>
            <w:tcW w:w="1484" w:type="dxa"/>
            <w:tcBorders>
              <w:top w:val="nil"/>
              <w:left w:val="nil"/>
              <w:bottom w:val="nil"/>
              <w:right w:val="nil"/>
            </w:tcBorders>
            <w:shd w:val="clear" w:color="000000" w:fill="FFFFFF"/>
            <w:noWrap/>
            <w:vAlign w:val="center"/>
            <w:hideMark/>
          </w:tcPr>
          <w:p w14:paraId="58F04DD1"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w:t>
            </w:r>
          </w:p>
        </w:tc>
        <w:tc>
          <w:tcPr>
            <w:tcW w:w="1244" w:type="dxa"/>
            <w:tcBorders>
              <w:top w:val="nil"/>
              <w:left w:val="nil"/>
              <w:bottom w:val="nil"/>
              <w:right w:val="nil"/>
            </w:tcBorders>
            <w:shd w:val="clear" w:color="000000" w:fill="FFFFFF"/>
            <w:noWrap/>
            <w:vAlign w:val="center"/>
            <w:hideMark/>
          </w:tcPr>
          <w:p w14:paraId="15E61ED9"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w:t>
            </w:r>
          </w:p>
        </w:tc>
        <w:tc>
          <w:tcPr>
            <w:tcW w:w="1203" w:type="dxa"/>
            <w:tcBorders>
              <w:top w:val="nil"/>
              <w:left w:val="nil"/>
              <w:bottom w:val="nil"/>
              <w:right w:val="nil"/>
            </w:tcBorders>
            <w:shd w:val="clear" w:color="000000" w:fill="FFFFFF"/>
            <w:noWrap/>
            <w:vAlign w:val="center"/>
            <w:hideMark/>
          </w:tcPr>
          <w:p w14:paraId="383A2F18"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765</w:t>
            </w:r>
          </w:p>
        </w:tc>
      </w:tr>
      <w:tr w:rsidR="002F21BD" w:rsidRPr="00915C0D" w14:paraId="4753508F" w14:textId="77777777" w:rsidTr="00915C0D">
        <w:trPr>
          <w:trHeight w:val="280"/>
          <w:jc w:val="center"/>
        </w:trPr>
        <w:tc>
          <w:tcPr>
            <w:tcW w:w="2287" w:type="dxa"/>
            <w:tcBorders>
              <w:top w:val="nil"/>
              <w:left w:val="nil"/>
              <w:bottom w:val="nil"/>
              <w:right w:val="nil"/>
            </w:tcBorders>
            <w:shd w:val="clear" w:color="000000" w:fill="FFFFFF"/>
            <w:noWrap/>
            <w:vAlign w:val="bottom"/>
            <w:hideMark/>
          </w:tcPr>
          <w:p w14:paraId="0964536A" w14:textId="77777777" w:rsidR="00915C0D" w:rsidRPr="00915C0D" w:rsidRDefault="00915C0D" w:rsidP="00915C0D">
            <w:pPr>
              <w:rPr>
                <w:rFonts w:ascii="Times New Roman" w:hAnsi="Times New Roman"/>
                <w:color w:val="000000"/>
                <w:lang w:val="es-AR" w:eastAsia="es-AR"/>
              </w:rPr>
            </w:pPr>
            <w:r w:rsidRPr="00915C0D">
              <w:rPr>
                <w:rFonts w:ascii="Times New Roman" w:hAnsi="Times New Roman"/>
                <w:color w:val="000000"/>
                <w:lang w:val="es-AR" w:eastAsia="es-AR"/>
              </w:rPr>
              <w:t>Other</w:t>
            </w:r>
          </w:p>
        </w:tc>
        <w:tc>
          <w:tcPr>
            <w:tcW w:w="1484" w:type="dxa"/>
            <w:tcBorders>
              <w:top w:val="nil"/>
              <w:left w:val="nil"/>
              <w:bottom w:val="nil"/>
              <w:right w:val="nil"/>
            </w:tcBorders>
            <w:shd w:val="clear" w:color="000000" w:fill="FFFFFF"/>
            <w:noWrap/>
            <w:vAlign w:val="center"/>
            <w:hideMark/>
          </w:tcPr>
          <w:p w14:paraId="68E0B890" w14:textId="77777777" w:rsidR="00915C0D" w:rsidRPr="00915C0D" w:rsidRDefault="00915C0D" w:rsidP="00915C0D">
            <w:pPr>
              <w:jc w:val="right"/>
              <w:rPr>
                <w:rFonts w:ascii="Times New Roman" w:hAnsi="Times New Roman"/>
                <w:color w:val="000000"/>
                <w:lang w:val="es-AR" w:eastAsia="es-AR"/>
              </w:rPr>
            </w:pPr>
          </w:p>
        </w:tc>
        <w:tc>
          <w:tcPr>
            <w:tcW w:w="1244" w:type="dxa"/>
            <w:tcBorders>
              <w:top w:val="nil"/>
              <w:left w:val="nil"/>
              <w:bottom w:val="nil"/>
              <w:right w:val="nil"/>
            </w:tcBorders>
            <w:shd w:val="clear" w:color="000000" w:fill="FFFFFF"/>
            <w:noWrap/>
            <w:vAlign w:val="center"/>
            <w:hideMark/>
          </w:tcPr>
          <w:p w14:paraId="101548DA" w14:textId="77777777" w:rsidR="00915C0D" w:rsidRPr="00915C0D" w:rsidRDefault="00915C0D" w:rsidP="00915C0D">
            <w:pPr>
              <w:jc w:val="right"/>
              <w:rPr>
                <w:rFonts w:ascii="Times New Roman" w:hAnsi="Times New Roman"/>
                <w:color w:val="000000"/>
                <w:lang w:val="es-AR" w:eastAsia="es-AR"/>
              </w:rPr>
            </w:pPr>
          </w:p>
        </w:tc>
        <w:tc>
          <w:tcPr>
            <w:tcW w:w="1203" w:type="dxa"/>
            <w:tcBorders>
              <w:top w:val="nil"/>
              <w:left w:val="nil"/>
              <w:bottom w:val="nil"/>
              <w:right w:val="nil"/>
            </w:tcBorders>
            <w:shd w:val="clear" w:color="000000" w:fill="FFFFFF"/>
            <w:noWrap/>
            <w:vAlign w:val="center"/>
            <w:hideMark/>
          </w:tcPr>
          <w:p w14:paraId="1B989330" w14:textId="77777777" w:rsidR="00915C0D" w:rsidRPr="00915C0D" w:rsidRDefault="00915C0D" w:rsidP="00915C0D">
            <w:pPr>
              <w:jc w:val="right"/>
              <w:rPr>
                <w:rFonts w:ascii="Times New Roman" w:hAnsi="Times New Roman"/>
                <w:color w:val="000000"/>
                <w:lang w:val="es-AR" w:eastAsia="es-AR"/>
              </w:rPr>
            </w:pPr>
            <w:r w:rsidRPr="00915C0D">
              <w:rPr>
                <w:rFonts w:ascii="Times New Roman" w:hAnsi="Times New Roman"/>
                <w:color w:val="000000"/>
                <w:lang w:val="es-AR" w:eastAsia="es-AR"/>
              </w:rPr>
              <w:t>40</w:t>
            </w:r>
          </w:p>
        </w:tc>
      </w:tr>
      <w:tr w:rsidR="002F21BD" w:rsidRPr="00915C0D" w14:paraId="1D0948D7" w14:textId="77777777" w:rsidTr="00915C0D">
        <w:trPr>
          <w:trHeight w:val="280"/>
          <w:jc w:val="center"/>
        </w:trPr>
        <w:tc>
          <w:tcPr>
            <w:tcW w:w="228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4659A9" w14:textId="77777777" w:rsidR="00915C0D" w:rsidRPr="00915C0D" w:rsidRDefault="00915C0D" w:rsidP="00915C0D">
            <w:pPr>
              <w:rPr>
                <w:rFonts w:ascii="Times New Roman" w:hAnsi="Times New Roman"/>
                <w:color w:val="000000"/>
                <w:lang w:val="es-AR" w:eastAsia="es-AR"/>
              </w:rPr>
            </w:pPr>
            <w:r w:rsidRPr="00915C0D">
              <w:rPr>
                <w:rFonts w:ascii="Times New Roman" w:hAnsi="Times New Roman"/>
                <w:color w:val="000000"/>
                <w:lang w:val="es-AR" w:eastAsia="es-AR"/>
              </w:rPr>
              <w:t>Area Change</w:t>
            </w:r>
          </w:p>
        </w:tc>
        <w:tc>
          <w:tcPr>
            <w:tcW w:w="1484" w:type="dxa"/>
            <w:tcBorders>
              <w:top w:val="single" w:sz="4" w:space="0" w:color="auto"/>
              <w:left w:val="nil"/>
              <w:bottom w:val="single" w:sz="4" w:space="0" w:color="auto"/>
              <w:right w:val="single" w:sz="4" w:space="0" w:color="auto"/>
            </w:tcBorders>
            <w:shd w:val="clear" w:color="000000" w:fill="FFFFFF"/>
            <w:noWrap/>
            <w:vAlign w:val="bottom"/>
            <w:hideMark/>
          </w:tcPr>
          <w:p w14:paraId="3FEA8ED2" w14:textId="77777777" w:rsidR="00915C0D" w:rsidRPr="00915C0D" w:rsidRDefault="00915C0D" w:rsidP="00915C0D">
            <w:pPr>
              <w:rPr>
                <w:rFonts w:ascii="Times New Roman" w:hAnsi="Times New Roman"/>
                <w:color w:val="000000"/>
                <w:lang w:val="es-AR" w:eastAsia="es-AR"/>
              </w:rPr>
            </w:pPr>
            <w:r w:rsidRPr="00915C0D">
              <w:rPr>
                <w:rFonts w:ascii="Times New Roman" w:hAnsi="Times New Roman"/>
                <w:color w:val="000000"/>
                <w:lang w:val="es-AR" w:eastAsia="es-AR"/>
              </w:rPr>
              <w:t xml:space="preserve">              4.374 </w:t>
            </w:r>
          </w:p>
        </w:tc>
        <w:tc>
          <w:tcPr>
            <w:tcW w:w="1244" w:type="dxa"/>
            <w:tcBorders>
              <w:top w:val="single" w:sz="4" w:space="0" w:color="auto"/>
              <w:left w:val="nil"/>
              <w:bottom w:val="single" w:sz="4" w:space="0" w:color="auto"/>
              <w:right w:val="single" w:sz="4" w:space="0" w:color="auto"/>
            </w:tcBorders>
            <w:shd w:val="clear" w:color="000000" w:fill="FFFFFF"/>
            <w:noWrap/>
            <w:vAlign w:val="bottom"/>
            <w:hideMark/>
          </w:tcPr>
          <w:p w14:paraId="2475F3BE" w14:textId="77777777" w:rsidR="00915C0D" w:rsidRPr="00915C0D" w:rsidRDefault="00915C0D" w:rsidP="00915C0D">
            <w:pPr>
              <w:rPr>
                <w:rFonts w:ascii="Times New Roman" w:hAnsi="Times New Roman"/>
                <w:color w:val="000000"/>
                <w:lang w:val="es-AR" w:eastAsia="es-AR"/>
              </w:rPr>
            </w:pPr>
            <w:r w:rsidRPr="00915C0D">
              <w:rPr>
                <w:rFonts w:ascii="Times New Roman" w:hAnsi="Times New Roman"/>
                <w:color w:val="000000"/>
                <w:lang w:val="es-AR" w:eastAsia="es-AR"/>
              </w:rPr>
              <w:t xml:space="preserve">          1.963 </w:t>
            </w:r>
          </w:p>
        </w:tc>
        <w:tc>
          <w:tcPr>
            <w:tcW w:w="1203" w:type="dxa"/>
            <w:tcBorders>
              <w:top w:val="single" w:sz="4" w:space="0" w:color="auto"/>
              <w:left w:val="nil"/>
              <w:bottom w:val="single" w:sz="4" w:space="0" w:color="auto"/>
              <w:right w:val="single" w:sz="4" w:space="0" w:color="auto"/>
            </w:tcBorders>
            <w:shd w:val="clear" w:color="000000" w:fill="FFFFFF"/>
            <w:noWrap/>
            <w:vAlign w:val="bottom"/>
            <w:hideMark/>
          </w:tcPr>
          <w:p w14:paraId="5C14979D" w14:textId="77777777" w:rsidR="00915C0D" w:rsidRPr="00915C0D" w:rsidRDefault="00915C0D" w:rsidP="00915C0D">
            <w:pPr>
              <w:rPr>
                <w:rFonts w:ascii="Times New Roman" w:hAnsi="Times New Roman"/>
                <w:color w:val="000000"/>
                <w:lang w:val="es-AR" w:eastAsia="es-AR"/>
              </w:rPr>
            </w:pPr>
            <w:r w:rsidRPr="00915C0D">
              <w:rPr>
                <w:rFonts w:ascii="Times New Roman" w:hAnsi="Times New Roman"/>
                <w:color w:val="000000"/>
                <w:lang w:val="es-AR" w:eastAsia="es-AR"/>
              </w:rPr>
              <w:t xml:space="preserve">         4.353 </w:t>
            </w:r>
          </w:p>
        </w:tc>
      </w:tr>
    </w:tbl>
    <w:p w14:paraId="083C1BAD" w14:textId="77777777" w:rsidR="00915C0D" w:rsidRPr="00915C0D" w:rsidRDefault="00915C0D" w:rsidP="00915C0D">
      <w:pPr>
        <w:pStyle w:val="ListParagraph"/>
        <w:ind w:left="718"/>
        <w:rPr>
          <w:rFonts w:ascii="Times New Roman" w:hAnsi="Times New Roman"/>
          <w:bCs/>
          <w:sz w:val="18"/>
          <w:szCs w:val="18"/>
        </w:rPr>
      </w:pPr>
      <w:r w:rsidRPr="00915C0D">
        <w:rPr>
          <w:rFonts w:ascii="Times New Roman" w:hAnsi="Times New Roman"/>
          <w:sz w:val="18"/>
          <w:szCs w:val="18"/>
        </w:rPr>
        <w:t xml:space="preserve">Source: GFC and </w:t>
      </w:r>
      <w:proofErr w:type="spellStart"/>
      <w:r w:rsidRPr="00915C0D">
        <w:rPr>
          <w:rFonts w:ascii="Times New Roman" w:hAnsi="Times New Roman"/>
          <w:sz w:val="18"/>
          <w:szCs w:val="18"/>
        </w:rPr>
        <w:t>Indufor</w:t>
      </w:r>
      <w:proofErr w:type="spellEnd"/>
      <w:r w:rsidRPr="00915C0D">
        <w:rPr>
          <w:rFonts w:ascii="Times New Roman" w:hAnsi="Times New Roman"/>
          <w:sz w:val="18"/>
          <w:szCs w:val="18"/>
        </w:rPr>
        <w:t xml:space="preserve"> 2012 Final report and 2013 Interim report. </w:t>
      </w:r>
    </w:p>
    <w:p w14:paraId="04FE7ED6" w14:textId="77777777" w:rsidR="00915C0D" w:rsidRPr="00915C0D" w:rsidRDefault="00915C0D" w:rsidP="00915C0D">
      <w:pPr>
        <w:ind w:left="718"/>
        <w:jc w:val="both"/>
        <w:rPr>
          <w:rFonts w:ascii="Times New Roman" w:hAnsi="Times New Roman"/>
          <w:sz w:val="22"/>
          <w:szCs w:val="22"/>
        </w:rPr>
      </w:pPr>
    </w:p>
    <w:p w14:paraId="32549A0E" w14:textId="77777777" w:rsidR="00915C0D" w:rsidRPr="00017F75" w:rsidRDefault="00915C0D" w:rsidP="00D421FA">
      <w:pPr>
        <w:numPr>
          <w:ilvl w:val="1"/>
          <w:numId w:val="37"/>
        </w:numPr>
        <w:jc w:val="both"/>
        <w:rPr>
          <w:rFonts w:ascii="Times New Roman" w:hAnsi="Times New Roman"/>
          <w:bCs/>
          <w:sz w:val="22"/>
        </w:rPr>
      </w:pPr>
      <w:r w:rsidRPr="00915C0D">
        <w:rPr>
          <w:rFonts w:ascii="Times New Roman" w:hAnsi="Times New Roman"/>
          <w:i/>
          <w:iCs/>
          <w:sz w:val="22"/>
          <w:szCs w:val="22"/>
        </w:rPr>
        <w:t>Economic characterization.</w:t>
      </w:r>
      <w:r w:rsidRPr="00915C0D">
        <w:rPr>
          <w:rFonts w:ascii="Times New Roman" w:hAnsi="Times New Roman"/>
          <w:sz w:val="22"/>
          <w:szCs w:val="22"/>
        </w:rPr>
        <w:t xml:space="preserve"> To put sectors that are expected to be affected by the planned actions in a national perspective, the GDP distribution trend is presented here.</w:t>
      </w:r>
    </w:p>
    <w:p w14:paraId="72A6DB68" w14:textId="77777777" w:rsidR="00915C0D" w:rsidRPr="00017F75" w:rsidRDefault="00915C0D" w:rsidP="00915C0D">
      <w:pPr>
        <w:ind w:left="718"/>
        <w:jc w:val="both"/>
        <w:rPr>
          <w:rFonts w:ascii="Times New Roman" w:hAnsi="Times New Roman"/>
          <w:bCs/>
          <w:i/>
          <w:sz w:val="22"/>
        </w:rPr>
      </w:pPr>
    </w:p>
    <w:p w14:paraId="39659198" w14:textId="77777777" w:rsidR="00915C0D" w:rsidRPr="00017F75" w:rsidRDefault="00915C0D" w:rsidP="00915C0D">
      <w:pPr>
        <w:ind w:left="718"/>
        <w:jc w:val="both"/>
        <w:rPr>
          <w:rFonts w:ascii="Times New Roman" w:hAnsi="Times New Roman"/>
          <w:bCs/>
          <w:i/>
          <w:sz w:val="22"/>
        </w:rPr>
      </w:pPr>
    </w:p>
    <w:p w14:paraId="088F552E" w14:textId="77777777" w:rsidR="00915C0D" w:rsidRPr="00017F75" w:rsidRDefault="00915C0D" w:rsidP="00915C0D">
      <w:pPr>
        <w:ind w:left="718"/>
        <w:jc w:val="both"/>
        <w:rPr>
          <w:rFonts w:ascii="Times New Roman" w:hAnsi="Times New Roman"/>
          <w:bCs/>
          <w:i/>
          <w:sz w:val="22"/>
        </w:rPr>
      </w:pPr>
      <w:proofErr w:type="gramStart"/>
      <w:r w:rsidRPr="00915C0D">
        <w:rPr>
          <w:rFonts w:ascii="Times New Roman" w:hAnsi="Times New Roman"/>
          <w:i/>
          <w:iCs/>
          <w:sz w:val="22"/>
          <w:szCs w:val="22"/>
        </w:rPr>
        <w:t>Table 4.</w:t>
      </w:r>
      <w:proofErr w:type="gramEnd"/>
      <w:r w:rsidRPr="00915C0D">
        <w:rPr>
          <w:rFonts w:ascii="Times New Roman" w:hAnsi="Times New Roman"/>
          <w:i/>
          <w:iCs/>
          <w:sz w:val="22"/>
          <w:szCs w:val="22"/>
        </w:rPr>
        <w:t xml:space="preserve"> GDP Structure in Guyana 2006-2013.</w:t>
      </w:r>
    </w:p>
    <w:p w14:paraId="7DC37AD5" w14:textId="77777777" w:rsidR="00915C0D" w:rsidRPr="00915C0D" w:rsidRDefault="00915C0D" w:rsidP="00915C0D">
      <w:pPr>
        <w:jc w:val="both"/>
        <w:rPr>
          <w:rFonts w:ascii="Times New Roman" w:hAnsi="Times New Roman"/>
          <w:bCs/>
          <w:i/>
          <w:sz w:val="22"/>
          <w:lang w:val="es-ES"/>
        </w:rPr>
      </w:pPr>
      <w:r w:rsidRPr="00915C0D">
        <w:rPr>
          <w:noProof/>
        </w:rPr>
        <w:drawing>
          <wp:inline distT="0" distB="0" distL="0" distR="0" wp14:anchorId="73B3E1C9" wp14:editId="56E9CB49">
            <wp:extent cx="5278755" cy="1266963"/>
            <wp:effectExtent l="19050" t="0" r="0" b="0"/>
            <wp:docPr id="1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srcRect/>
                    <a:stretch>
                      <a:fillRect/>
                    </a:stretch>
                  </pic:blipFill>
                  <pic:spPr bwMode="auto">
                    <a:xfrm>
                      <a:off x="0" y="0"/>
                      <a:ext cx="5278755" cy="1266963"/>
                    </a:xfrm>
                    <a:prstGeom prst="rect">
                      <a:avLst/>
                    </a:prstGeom>
                    <a:noFill/>
                    <a:ln w="9525">
                      <a:noFill/>
                      <a:miter lim="800000"/>
                      <a:headEnd/>
                      <a:tailEnd/>
                    </a:ln>
                  </pic:spPr>
                </pic:pic>
              </a:graphicData>
            </a:graphic>
          </wp:inline>
        </w:drawing>
      </w:r>
    </w:p>
    <w:p w14:paraId="4F4C3543" w14:textId="77777777" w:rsidR="00915C0D" w:rsidRPr="00915C0D" w:rsidRDefault="00915C0D" w:rsidP="00915C0D">
      <w:pPr>
        <w:ind w:left="718"/>
        <w:jc w:val="both"/>
        <w:rPr>
          <w:rFonts w:ascii="Times New Roman" w:hAnsi="Times New Roman"/>
          <w:bCs/>
          <w:i/>
          <w:sz w:val="18"/>
          <w:szCs w:val="18"/>
          <w:lang w:val="es-ES"/>
        </w:rPr>
      </w:pPr>
      <w:r w:rsidRPr="00915C0D">
        <w:rPr>
          <w:rFonts w:ascii="Times New Roman" w:hAnsi="Times New Roman"/>
          <w:i/>
          <w:iCs/>
          <w:sz w:val="18"/>
          <w:szCs w:val="18"/>
        </w:rPr>
        <w:t xml:space="preserve">Source: Bureau of statistics. </w:t>
      </w:r>
    </w:p>
    <w:p w14:paraId="39A43D28" w14:textId="77777777" w:rsidR="00915C0D" w:rsidRPr="00915C0D" w:rsidRDefault="00915C0D" w:rsidP="00915C0D">
      <w:pPr>
        <w:ind w:left="718"/>
        <w:jc w:val="both"/>
        <w:rPr>
          <w:rFonts w:ascii="Times New Roman" w:hAnsi="Times New Roman"/>
          <w:bCs/>
          <w:sz w:val="22"/>
          <w:lang w:val="es-ES"/>
        </w:rPr>
      </w:pPr>
    </w:p>
    <w:p w14:paraId="6CCAFDFF" w14:textId="77777777" w:rsidR="00915C0D" w:rsidRPr="00017F75" w:rsidRDefault="00915C0D" w:rsidP="00D421FA">
      <w:pPr>
        <w:numPr>
          <w:ilvl w:val="1"/>
          <w:numId w:val="37"/>
        </w:numPr>
        <w:jc w:val="both"/>
        <w:rPr>
          <w:rFonts w:ascii="Times New Roman" w:hAnsi="Times New Roman"/>
          <w:bCs/>
          <w:sz w:val="22"/>
        </w:rPr>
      </w:pPr>
      <w:r w:rsidRPr="00915C0D">
        <w:rPr>
          <w:rFonts w:ascii="Times New Roman" w:hAnsi="Times New Roman"/>
          <w:sz w:val="22"/>
          <w:szCs w:val="22"/>
        </w:rPr>
        <w:t>The indicators from after the debt restructuring (2006) put the services sector in the most relevant role (between 57.5% and 62.8% of the total at current rates between 2006 and 2013). The main sectors of interest to the PBP behave differently: (a) the forestry sector has declined, going from 4.2% to 2.8% of the total, (b) mining expanded (it has grown from 10.7% to 18.0% of the total) due to a push from high commodity prices, incentivizing domestic investment like the FDI</w:t>
      </w:r>
      <w:r w:rsidRPr="00915C0D">
        <w:rPr>
          <w:rStyle w:val="FootnoteReference"/>
          <w:rFonts w:ascii="Times New Roman" w:hAnsi="Times New Roman"/>
          <w:bCs/>
          <w:sz w:val="22"/>
          <w:lang w:val="es-ES"/>
        </w:rPr>
        <w:footnoteReference w:id="32"/>
      </w:r>
      <w:r w:rsidRPr="00915C0D">
        <w:rPr>
          <w:rFonts w:ascii="Times New Roman" w:hAnsi="Times New Roman"/>
          <w:sz w:val="22"/>
          <w:szCs w:val="22"/>
        </w:rPr>
        <w:t xml:space="preserve">. </w:t>
      </w:r>
    </w:p>
    <w:p w14:paraId="427F1101" w14:textId="77777777" w:rsidR="00915C0D" w:rsidRPr="00017F75" w:rsidRDefault="00915C0D" w:rsidP="00915C0D">
      <w:pPr>
        <w:ind w:left="718"/>
        <w:jc w:val="both"/>
        <w:rPr>
          <w:rFonts w:ascii="Times New Roman" w:hAnsi="Times New Roman"/>
          <w:bCs/>
          <w:sz w:val="22"/>
        </w:rPr>
      </w:pPr>
    </w:p>
    <w:p w14:paraId="1FBC2676" w14:textId="43405842" w:rsidR="00915C0D" w:rsidRPr="00017F75" w:rsidRDefault="00442F4F" w:rsidP="00D421FA">
      <w:pPr>
        <w:numPr>
          <w:ilvl w:val="1"/>
          <w:numId w:val="37"/>
        </w:numPr>
        <w:jc w:val="both"/>
        <w:rPr>
          <w:rFonts w:ascii="Times New Roman" w:hAnsi="Times New Roman"/>
          <w:bCs/>
          <w:sz w:val="22"/>
        </w:rPr>
      </w:pPr>
      <w:r>
        <w:rPr>
          <w:rFonts w:ascii="Times New Roman" w:hAnsi="Times New Roman"/>
          <w:sz w:val="22"/>
          <w:szCs w:val="22"/>
        </w:rPr>
        <w:t xml:space="preserve">The </w:t>
      </w:r>
      <w:proofErr w:type="spellStart"/>
      <w:r w:rsidR="00915C0D" w:rsidRPr="00915C0D">
        <w:rPr>
          <w:rFonts w:ascii="Times New Roman" w:hAnsi="Times New Roman"/>
          <w:sz w:val="22"/>
          <w:szCs w:val="22"/>
        </w:rPr>
        <w:t>GoG</w:t>
      </w:r>
      <w:proofErr w:type="spellEnd"/>
      <w:r w:rsidR="00915C0D" w:rsidRPr="00915C0D">
        <w:rPr>
          <w:rFonts w:ascii="Times New Roman" w:hAnsi="Times New Roman"/>
          <w:sz w:val="22"/>
          <w:szCs w:val="22"/>
        </w:rPr>
        <w:t xml:space="preserve"> has made strides in correcting some of the institutional and normative weaknesses with regard to natural resources and environmental governance, for example, through the creation of the new Ministry of Natural Resources and Environment. However, there are still serious weaknesses with regard to the governance regime, especially with effective management and regulation of land use (notably in the mining and forestry sectors), as well as in the regulatory policies and measures concerning administration of forest resources, fishing, and protected zones. Other challenges are the lack of technical skill, inadequate coordination between organizations, the high cost of traveling to interior zones to manage natural resources, lack of economies of scale, infrastructure limitations, and the lack of integration of environmental topics in education and national policies.</w:t>
      </w:r>
    </w:p>
    <w:p w14:paraId="101C4134" w14:textId="77777777" w:rsidR="00915C0D" w:rsidRPr="00017F75" w:rsidRDefault="00915C0D" w:rsidP="00915C0D">
      <w:pPr>
        <w:jc w:val="both"/>
        <w:rPr>
          <w:rFonts w:ascii="Times New Roman" w:hAnsi="Times New Roman"/>
          <w:bCs/>
          <w:sz w:val="22"/>
        </w:rPr>
      </w:pPr>
    </w:p>
    <w:p w14:paraId="26FE348B" w14:textId="77777777" w:rsidR="00915C0D" w:rsidRPr="00017F75" w:rsidRDefault="00915C0D" w:rsidP="00D421FA">
      <w:pPr>
        <w:numPr>
          <w:ilvl w:val="1"/>
          <w:numId w:val="37"/>
        </w:numPr>
        <w:jc w:val="both"/>
        <w:rPr>
          <w:rFonts w:ascii="Times New Roman" w:hAnsi="Times New Roman"/>
          <w:bCs/>
          <w:sz w:val="22"/>
        </w:rPr>
      </w:pPr>
      <w:r w:rsidRPr="00915C0D">
        <w:rPr>
          <w:rFonts w:ascii="Times New Roman" w:hAnsi="Times New Roman"/>
          <w:sz w:val="22"/>
          <w:szCs w:val="22"/>
        </w:rPr>
        <w:t xml:space="preserve">The PBP </w:t>
      </w:r>
      <w:r w:rsidRPr="00915C0D">
        <w:rPr>
          <w:rFonts w:ascii="Times New Roman" w:hAnsi="Times New Roman"/>
          <w:sz w:val="22"/>
          <w:szCs w:val="22"/>
          <w:u w:val="single"/>
        </w:rPr>
        <w:t>seeks to further the goal that mining and other extractive industries operate under international environmental standards</w:t>
      </w:r>
      <w:r w:rsidRPr="00915C0D">
        <w:rPr>
          <w:rFonts w:ascii="Times New Roman" w:hAnsi="Times New Roman"/>
          <w:sz w:val="22"/>
          <w:szCs w:val="22"/>
        </w:rPr>
        <w:t xml:space="preserve">. In the LCDS framework, 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commits its efforts to gradually improve practices so that they align with high-level requirements.  In order to minimize all types of environmental degradation or pollution, </w:t>
      </w:r>
      <w:r w:rsidRPr="00915C0D">
        <w:rPr>
          <w:rStyle w:val="FootnoteReference"/>
          <w:rFonts w:ascii="Times New Roman" w:hAnsi="Times New Roman"/>
          <w:bCs/>
          <w:sz w:val="22"/>
          <w:lang w:val="es-ES"/>
        </w:rPr>
        <w:footnoteReference w:id="33"/>
      </w:r>
      <w:r w:rsidRPr="00915C0D">
        <w:rPr>
          <w:rFonts w:ascii="Times New Roman" w:hAnsi="Times New Roman"/>
          <w:sz w:val="22"/>
          <w:szCs w:val="22"/>
        </w:rPr>
        <w:t>they are working to strengthen the regulatory framework.</w:t>
      </w:r>
      <w:r w:rsidRPr="00915C0D">
        <w:rPr>
          <w:rFonts w:eastAsia="Arial" w:cs="Arial"/>
        </w:rPr>
        <w:t xml:space="preserve"> </w:t>
      </w:r>
      <w:r w:rsidRPr="00915C0D">
        <w:rPr>
          <w:rFonts w:ascii="Times New Roman" w:hAnsi="Times New Roman"/>
          <w:sz w:val="22"/>
          <w:szCs w:val="22"/>
        </w:rPr>
        <w:t>These two sectors (mining and forestry) are the focal point of the PBP's intervention, taking into account the impact of their operating conditions on the environmental offerings capacity of the forest resource where they are based.</w:t>
      </w:r>
    </w:p>
    <w:p w14:paraId="01328B5F" w14:textId="77777777" w:rsidR="00915C0D" w:rsidRPr="00442F4F" w:rsidRDefault="00915C0D" w:rsidP="00915C0D">
      <w:pPr>
        <w:pStyle w:val="Heading3"/>
        <w:rPr>
          <w:sz w:val="22"/>
          <w:szCs w:val="22"/>
        </w:rPr>
      </w:pPr>
      <w:bookmarkStart w:id="20" w:name="_Toc403028394"/>
      <w:r w:rsidRPr="00442F4F">
        <w:rPr>
          <w:sz w:val="22"/>
          <w:szCs w:val="22"/>
        </w:rPr>
        <w:t>Main challenges in mining.</w:t>
      </w:r>
      <w:bookmarkEnd w:id="20"/>
    </w:p>
    <w:p w14:paraId="0B196AF2" w14:textId="77777777" w:rsidR="00915C0D" w:rsidRPr="00915C0D" w:rsidRDefault="00915C0D" w:rsidP="00915C0D">
      <w:pPr>
        <w:ind w:left="718"/>
        <w:jc w:val="both"/>
        <w:rPr>
          <w:rFonts w:ascii="Times New Roman" w:hAnsi="Times New Roman"/>
          <w:bCs/>
          <w:sz w:val="22"/>
          <w:lang w:val="es-ES"/>
        </w:rPr>
      </w:pPr>
    </w:p>
    <w:p w14:paraId="69287891" w14:textId="77777777" w:rsidR="00915C0D" w:rsidRPr="00017F75" w:rsidRDefault="00915C0D" w:rsidP="00D421FA">
      <w:pPr>
        <w:numPr>
          <w:ilvl w:val="1"/>
          <w:numId w:val="37"/>
        </w:numPr>
        <w:jc w:val="both"/>
        <w:rPr>
          <w:rFonts w:ascii="Times New Roman" w:hAnsi="Times New Roman"/>
          <w:bCs/>
          <w:sz w:val="22"/>
        </w:rPr>
      </w:pPr>
      <w:r w:rsidRPr="00915C0D">
        <w:rPr>
          <w:rFonts w:ascii="Times New Roman" w:hAnsi="Times New Roman"/>
          <w:i/>
          <w:iCs/>
          <w:sz w:val="22"/>
          <w:szCs w:val="22"/>
        </w:rPr>
        <w:t>Mining Industry.</w:t>
      </w:r>
      <w:r w:rsidRPr="00915C0D">
        <w:rPr>
          <w:rFonts w:ascii="Times New Roman" w:hAnsi="Times New Roman"/>
          <w:sz w:val="22"/>
          <w:szCs w:val="22"/>
        </w:rPr>
        <w:t xml:space="preserve"> Accounting for 18.0% of national GDP</w:t>
      </w:r>
      <w:r w:rsidRPr="00915C0D">
        <w:rPr>
          <w:rStyle w:val="FootnoteReference"/>
          <w:rFonts w:ascii="Times New Roman" w:hAnsi="Times New Roman"/>
          <w:bCs/>
          <w:sz w:val="22"/>
          <w:lang w:val="es-ES"/>
        </w:rPr>
        <w:footnoteReference w:id="34"/>
      </w:r>
      <w:r w:rsidRPr="00915C0D">
        <w:rPr>
          <w:rFonts w:ascii="Times New Roman" w:hAnsi="Times New Roman"/>
          <w:sz w:val="22"/>
          <w:szCs w:val="22"/>
        </w:rPr>
        <w:t>, the mining industry is the main export sector (57.0% of all goods exported in 2013), having undergone a process of expansion driven by the high prices of its products in the last decade</w:t>
      </w:r>
      <w:r w:rsidRPr="00915C0D">
        <w:rPr>
          <w:rStyle w:val="FootnoteReference"/>
          <w:rFonts w:ascii="Times New Roman" w:hAnsi="Times New Roman"/>
          <w:bCs/>
          <w:sz w:val="22"/>
          <w:lang w:val="es-AR"/>
        </w:rPr>
        <w:footnoteReference w:id="35"/>
      </w:r>
      <w:r w:rsidRPr="00915C0D">
        <w:rPr>
          <w:rFonts w:ascii="Times New Roman" w:hAnsi="Times New Roman"/>
          <w:sz w:val="22"/>
          <w:szCs w:val="22"/>
        </w:rPr>
        <w:t>.  While it is somewhat diversified, gold mining has become the driving force (outgoing shipments of gold alone totaled US$ 648 million in 2013)</w:t>
      </w:r>
      <w:r w:rsidRPr="00915C0D">
        <w:rPr>
          <w:rStyle w:val="FootnoteReference"/>
          <w:rFonts w:ascii="Times New Roman" w:hAnsi="Times New Roman"/>
          <w:bCs/>
          <w:sz w:val="22"/>
          <w:lang w:val="es-AR"/>
        </w:rPr>
        <w:footnoteReference w:id="36"/>
      </w:r>
      <w:r w:rsidRPr="00915C0D">
        <w:rPr>
          <w:rFonts w:ascii="Times New Roman" w:hAnsi="Times New Roman"/>
          <w:sz w:val="22"/>
          <w:szCs w:val="22"/>
        </w:rPr>
        <w:t xml:space="preserve">. </w:t>
      </w:r>
    </w:p>
    <w:p w14:paraId="50A62FEC" w14:textId="77777777" w:rsidR="00915C0D" w:rsidRPr="00017F75" w:rsidRDefault="00915C0D" w:rsidP="00915C0D">
      <w:pPr>
        <w:ind w:left="718"/>
        <w:jc w:val="both"/>
        <w:rPr>
          <w:rFonts w:ascii="Times New Roman" w:hAnsi="Times New Roman"/>
          <w:bCs/>
          <w:sz w:val="22"/>
        </w:rPr>
      </w:pPr>
    </w:p>
    <w:p w14:paraId="12895FC8" w14:textId="77777777" w:rsidR="00915C0D" w:rsidRPr="00017F75" w:rsidRDefault="00915C0D" w:rsidP="00D421FA">
      <w:pPr>
        <w:numPr>
          <w:ilvl w:val="1"/>
          <w:numId w:val="37"/>
        </w:numPr>
        <w:jc w:val="both"/>
        <w:rPr>
          <w:rFonts w:ascii="Times New Roman" w:hAnsi="Times New Roman"/>
          <w:bCs/>
          <w:sz w:val="22"/>
        </w:rPr>
      </w:pPr>
      <w:r w:rsidRPr="00915C0D">
        <w:rPr>
          <w:rFonts w:ascii="Times New Roman" w:hAnsi="Times New Roman"/>
          <w:sz w:val="22"/>
          <w:szCs w:val="22"/>
        </w:rPr>
        <w:t>The dominant type of exploitation is small and medium-scale artisanal mining, which makes up 75% of the total. In 2012, the sector employed 17,000 people, rising to more than 20,000 when indirect jobs are included</w:t>
      </w:r>
      <w:r w:rsidRPr="00915C0D">
        <w:rPr>
          <w:rStyle w:val="FootnoteReference"/>
          <w:rFonts w:ascii="Times New Roman" w:hAnsi="Times New Roman"/>
          <w:bCs/>
          <w:sz w:val="22"/>
          <w:lang w:val="es-ES"/>
        </w:rPr>
        <w:footnoteReference w:id="37"/>
      </w:r>
      <w:r w:rsidRPr="00915C0D">
        <w:rPr>
          <w:rFonts w:ascii="Times New Roman" w:hAnsi="Times New Roman"/>
          <w:sz w:val="22"/>
          <w:szCs w:val="22"/>
        </w:rPr>
        <w:t>. It is estimated that in the next few years these numbers will continue to grow, after the launch of larger projects with investments in the amount of US$ 1 billion altogether</w:t>
      </w:r>
      <w:r w:rsidRPr="00915C0D">
        <w:rPr>
          <w:rStyle w:val="FootnoteReference"/>
          <w:rFonts w:ascii="Times New Roman" w:hAnsi="Times New Roman"/>
          <w:bCs/>
          <w:sz w:val="22"/>
          <w:lang w:val="es-ES"/>
        </w:rPr>
        <w:footnoteReference w:id="38"/>
      </w:r>
      <w:r w:rsidRPr="00915C0D">
        <w:rPr>
          <w:rFonts w:ascii="Times New Roman" w:hAnsi="Times New Roman"/>
          <w:sz w:val="22"/>
          <w:szCs w:val="22"/>
        </w:rPr>
        <w:t xml:space="preserve">. </w:t>
      </w:r>
    </w:p>
    <w:p w14:paraId="3B2C367A" w14:textId="77777777" w:rsidR="00915C0D" w:rsidRPr="00017F75" w:rsidRDefault="00915C0D" w:rsidP="00915C0D">
      <w:pPr>
        <w:ind w:left="718"/>
        <w:jc w:val="both"/>
        <w:rPr>
          <w:rFonts w:ascii="Times New Roman" w:hAnsi="Times New Roman"/>
          <w:bCs/>
          <w:sz w:val="22"/>
        </w:rPr>
      </w:pPr>
    </w:p>
    <w:p w14:paraId="2A32B05A" w14:textId="77777777" w:rsidR="00915C0D" w:rsidRPr="00017F75" w:rsidRDefault="00915C0D" w:rsidP="00D421FA">
      <w:pPr>
        <w:numPr>
          <w:ilvl w:val="1"/>
          <w:numId w:val="37"/>
        </w:numPr>
        <w:jc w:val="both"/>
        <w:rPr>
          <w:rFonts w:ascii="Times New Roman" w:hAnsi="Times New Roman"/>
          <w:sz w:val="22"/>
          <w:szCs w:val="22"/>
        </w:rPr>
      </w:pPr>
      <w:r w:rsidRPr="00915C0D">
        <w:rPr>
          <w:rFonts w:ascii="Times New Roman" w:hAnsi="Times New Roman"/>
          <w:sz w:val="22"/>
          <w:szCs w:val="22"/>
        </w:rPr>
        <w:t xml:space="preserve">Its principal weaknesses are the following: (a) the impact of extraction activities on deforestation levels and degradation of forest resources and (b) pollution due to the use of inappropriate techniques (mercury use in gold mining being the most significant). </w:t>
      </w:r>
    </w:p>
    <w:p w14:paraId="75A431DA" w14:textId="77777777" w:rsidR="00915C0D" w:rsidRPr="00017F75" w:rsidRDefault="00915C0D" w:rsidP="00915C0D">
      <w:pPr>
        <w:pStyle w:val="ListParagraph"/>
        <w:rPr>
          <w:rFonts w:ascii="Times New Roman" w:hAnsi="Times New Roman"/>
          <w:sz w:val="22"/>
          <w:szCs w:val="22"/>
        </w:rPr>
      </w:pPr>
    </w:p>
    <w:p w14:paraId="37196B23" w14:textId="77777777" w:rsidR="00915C0D" w:rsidRPr="00017F75" w:rsidRDefault="00915C0D" w:rsidP="00D421FA">
      <w:pPr>
        <w:numPr>
          <w:ilvl w:val="1"/>
          <w:numId w:val="37"/>
        </w:numPr>
        <w:jc w:val="both"/>
        <w:rPr>
          <w:rFonts w:ascii="Times New Roman" w:hAnsi="Times New Roman"/>
          <w:sz w:val="22"/>
          <w:szCs w:val="22"/>
        </w:rPr>
      </w:pPr>
      <w:r w:rsidRPr="00915C0D">
        <w:rPr>
          <w:rFonts w:ascii="Times New Roman" w:hAnsi="Times New Roman"/>
          <w:i/>
          <w:iCs/>
          <w:sz w:val="22"/>
          <w:szCs w:val="22"/>
        </w:rPr>
        <w:t>Deforestation process.</w:t>
      </w:r>
      <w:r w:rsidRPr="00915C0D">
        <w:rPr>
          <w:rFonts w:eastAsia="Arial" w:cs="Arial"/>
        </w:rPr>
        <w:t xml:space="preserve"> </w:t>
      </w:r>
      <w:r w:rsidRPr="00915C0D">
        <w:rPr>
          <w:rFonts w:ascii="Times New Roman" w:hAnsi="Times New Roman"/>
          <w:sz w:val="22"/>
          <w:szCs w:val="22"/>
        </w:rPr>
        <w:t>The removal of forest resources in order to use the area for extraction is one of the principal negative impacts</w:t>
      </w:r>
      <w:r w:rsidRPr="00915C0D">
        <w:rPr>
          <w:rFonts w:ascii="Times New Roman" w:hAnsi="Times New Roman"/>
          <w:i/>
          <w:iCs/>
          <w:sz w:val="22"/>
          <w:szCs w:val="22"/>
        </w:rPr>
        <w:t xml:space="preserve">.  </w:t>
      </w:r>
      <w:r w:rsidRPr="00915C0D">
        <w:rPr>
          <w:rFonts w:ascii="Times New Roman" w:hAnsi="Times New Roman"/>
          <w:sz w:val="22"/>
          <w:szCs w:val="22"/>
        </w:rPr>
        <w:t>The direction of the anticipated actions of the PBP is to support the incorporation of technologies to optimize production levels in terms of land use. The challenge is to help adapt existing clean technologies (tested in other geographic areas) to the characteristics of the ASM present in Guyana, achieving economies of scale through collective investments. Improvements in productivity may allow for an increase in sector income without further affecting the forest resources.  The set of rules and regulations represents the systems of incentives for the mining sector to begin this phase of adaptation.</w:t>
      </w:r>
    </w:p>
    <w:p w14:paraId="652FE9C4" w14:textId="77777777" w:rsidR="00915C0D" w:rsidRPr="00017F75" w:rsidRDefault="00915C0D" w:rsidP="00915C0D">
      <w:pPr>
        <w:pStyle w:val="ListParagraph"/>
        <w:rPr>
          <w:rFonts w:ascii="Times New Roman" w:hAnsi="Times New Roman"/>
          <w:sz w:val="22"/>
          <w:szCs w:val="22"/>
        </w:rPr>
      </w:pPr>
    </w:p>
    <w:p w14:paraId="7A27EC0D" w14:textId="5E357080" w:rsidR="00915C0D" w:rsidRPr="00915C0D" w:rsidRDefault="00915C0D" w:rsidP="00D421FA">
      <w:pPr>
        <w:numPr>
          <w:ilvl w:val="1"/>
          <w:numId w:val="37"/>
        </w:numPr>
        <w:jc w:val="both"/>
        <w:rPr>
          <w:rFonts w:ascii="Times New Roman" w:hAnsi="Times New Roman"/>
          <w:sz w:val="22"/>
          <w:szCs w:val="22"/>
          <w:lang w:eastAsia="es-AR"/>
        </w:rPr>
      </w:pPr>
      <w:r w:rsidRPr="00915C0D">
        <w:rPr>
          <w:rFonts w:ascii="Times New Roman" w:hAnsi="Times New Roman"/>
          <w:i/>
          <w:sz w:val="22"/>
          <w:szCs w:val="22"/>
          <w:lang w:eastAsia="es-AR"/>
        </w:rPr>
        <w:t>Mercury contamination.</w:t>
      </w:r>
      <w:r w:rsidRPr="00915C0D">
        <w:rPr>
          <w:rFonts w:ascii="Times New Roman" w:hAnsi="Times New Roman"/>
          <w:sz w:val="22"/>
          <w:szCs w:val="22"/>
          <w:lang w:eastAsia="es-AR"/>
        </w:rPr>
        <w:t xml:space="preserve"> Among gold miners in Guyana, amalgamation continues to be the preferred method of separation of gold from concentrates. Miners have found no other method that compares </w:t>
      </w:r>
      <w:r w:rsidR="00FA62AD" w:rsidRPr="00915C0D">
        <w:rPr>
          <w:rFonts w:ascii="Times New Roman" w:hAnsi="Times New Roman"/>
          <w:sz w:val="22"/>
          <w:szCs w:val="22"/>
          <w:lang w:eastAsia="es-AR"/>
        </w:rPr>
        <w:t>favorably</w:t>
      </w:r>
      <w:r w:rsidRPr="00915C0D">
        <w:rPr>
          <w:rFonts w:ascii="Times New Roman" w:hAnsi="Times New Roman"/>
          <w:sz w:val="22"/>
          <w:szCs w:val="22"/>
          <w:lang w:eastAsia="es-AR"/>
        </w:rPr>
        <w:t xml:space="preserve"> with mercury in terms of cost-effectiveness and ease of use</w:t>
      </w:r>
      <w:r w:rsidRPr="00915C0D">
        <w:rPr>
          <w:rStyle w:val="FootnoteReference"/>
          <w:rFonts w:ascii="Times New Roman" w:hAnsi="Times New Roman"/>
          <w:sz w:val="22"/>
          <w:szCs w:val="22"/>
          <w:lang w:val="es-ES_tradnl"/>
        </w:rPr>
        <w:footnoteReference w:id="39"/>
      </w:r>
      <w:r w:rsidRPr="00915C0D">
        <w:rPr>
          <w:rFonts w:ascii="Times New Roman" w:hAnsi="Times New Roman"/>
          <w:sz w:val="22"/>
          <w:szCs w:val="22"/>
          <w:lang w:eastAsia="es-AR"/>
        </w:rPr>
        <w:t xml:space="preserve">. </w:t>
      </w:r>
    </w:p>
    <w:p w14:paraId="6897A57B" w14:textId="77777777" w:rsidR="00915C0D" w:rsidRPr="00915C0D" w:rsidRDefault="00915C0D" w:rsidP="00915C0D">
      <w:pPr>
        <w:pStyle w:val="ListParagraph"/>
        <w:rPr>
          <w:rFonts w:ascii="Times New Roman" w:hAnsi="Times New Roman"/>
          <w:sz w:val="22"/>
          <w:szCs w:val="22"/>
          <w:lang w:eastAsia="es-AR"/>
        </w:rPr>
      </w:pPr>
    </w:p>
    <w:p w14:paraId="1CB45C24" w14:textId="3346CB22" w:rsidR="00915C0D" w:rsidRPr="00915C0D" w:rsidRDefault="00915C0D" w:rsidP="00D421FA">
      <w:pPr>
        <w:numPr>
          <w:ilvl w:val="1"/>
          <w:numId w:val="37"/>
        </w:numPr>
        <w:jc w:val="both"/>
        <w:rPr>
          <w:rFonts w:ascii="Times New Roman" w:hAnsi="Times New Roman"/>
          <w:sz w:val="22"/>
          <w:szCs w:val="22"/>
          <w:lang w:eastAsia="es-AR"/>
        </w:rPr>
      </w:pPr>
      <w:r w:rsidRPr="00915C0D">
        <w:rPr>
          <w:rFonts w:ascii="Times New Roman" w:hAnsi="Times New Roman"/>
          <w:sz w:val="22"/>
          <w:szCs w:val="22"/>
          <w:u w:val="single"/>
          <w:lang w:eastAsia="es-AR"/>
        </w:rPr>
        <w:t xml:space="preserve">GOG signed </w:t>
      </w:r>
      <w:proofErr w:type="spellStart"/>
      <w:r w:rsidRPr="00915C0D">
        <w:rPr>
          <w:rFonts w:ascii="Times New Roman" w:hAnsi="Times New Roman"/>
          <w:sz w:val="22"/>
          <w:szCs w:val="22"/>
          <w:u w:val="single"/>
          <w:lang w:eastAsia="es-AR"/>
        </w:rPr>
        <w:t>Minamata</w:t>
      </w:r>
      <w:proofErr w:type="spellEnd"/>
      <w:r w:rsidRPr="00915C0D">
        <w:rPr>
          <w:rFonts w:ascii="Times New Roman" w:hAnsi="Times New Roman"/>
          <w:sz w:val="22"/>
          <w:szCs w:val="22"/>
          <w:u w:val="single"/>
          <w:lang w:eastAsia="es-AR"/>
        </w:rPr>
        <w:t xml:space="preserve"> Convention in October 2013 and ratified the agreement in September 2014</w:t>
      </w:r>
      <w:r w:rsidRPr="00915C0D">
        <w:rPr>
          <w:rStyle w:val="FootnoteReference"/>
          <w:rFonts w:ascii="Times New Roman" w:hAnsi="Times New Roman"/>
          <w:sz w:val="22"/>
          <w:szCs w:val="22"/>
          <w:lang w:eastAsia="es-AR"/>
        </w:rPr>
        <w:footnoteReference w:id="40"/>
      </w:r>
      <w:r w:rsidRPr="00915C0D">
        <w:rPr>
          <w:rFonts w:ascii="Times New Roman" w:hAnsi="Times New Roman"/>
          <w:sz w:val="22"/>
          <w:szCs w:val="22"/>
          <w:lang w:eastAsia="es-AR"/>
        </w:rPr>
        <w:t xml:space="preserve">. The </w:t>
      </w:r>
      <w:r w:rsidR="00442F4F" w:rsidRPr="00915C0D">
        <w:rPr>
          <w:rFonts w:ascii="Times New Roman" w:hAnsi="Times New Roman"/>
          <w:sz w:val="22"/>
          <w:szCs w:val="22"/>
          <w:lang w:eastAsia="es-AR"/>
        </w:rPr>
        <w:t>convention</w:t>
      </w:r>
      <w:r w:rsidRPr="00915C0D">
        <w:rPr>
          <w:rFonts w:ascii="Times New Roman" w:hAnsi="Times New Roman"/>
          <w:sz w:val="22"/>
          <w:szCs w:val="22"/>
          <w:lang w:eastAsia="es-AR"/>
        </w:rPr>
        <w:t xml:space="preserve"> establishes measures for artisanal and small-scale gold mining and processing in which mercury amalgamation is used to extract gold from ore. Parties in whose territory those activities are carried out</w:t>
      </w:r>
      <w:r w:rsidR="00FA62AD">
        <w:rPr>
          <w:rFonts w:ascii="Times New Roman" w:hAnsi="Times New Roman"/>
          <w:sz w:val="22"/>
          <w:szCs w:val="22"/>
          <w:lang w:eastAsia="es-AR"/>
        </w:rPr>
        <w:t xml:space="preserve"> shall taken</w:t>
      </w:r>
      <w:r w:rsidRPr="00915C0D">
        <w:rPr>
          <w:rFonts w:ascii="Times New Roman" w:hAnsi="Times New Roman"/>
          <w:sz w:val="22"/>
          <w:szCs w:val="22"/>
          <w:lang w:eastAsia="es-AR"/>
        </w:rPr>
        <w:t xml:space="preserve"> steps to reduce and, where feasible eliminate, the use of mercury.</w:t>
      </w:r>
    </w:p>
    <w:p w14:paraId="4E3F9F9A" w14:textId="77777777" w:rsidR="00915C0D" w:rsidRPr="00915C0D" w:rsidRDefault="00915C0D" w:rsidP="00915C0D">
      <w:pPr>
        <w:pStyle w:val="ListParagraph"/>
        <w:rPr>
          <w:rFonts w:ascii="Times New Roman" w:hAnsi="Times New Roman"/>
          <w:sz w:val="22"/>
          <w:szCs w:val="22"/>
          <w:lang w:eastAsia="es-AR"/>
        </w:rPr>
      </w:pPr>
    </w:p>
    <w:p w14:paraId="79DABE91" w14:textId="77777777" w:rsidR="00915C0D" w:rsidRPr="00915C0D" w:rsidRDefault="00915C0D" w:rsidP="00D421FA">
      <w:pPr>
        <w:numPr>
          <w:ilvl w:val="1"/>
          <w:numId w:val="37"/>
        </w:numPr>
        <w:jc w:val="both"/>
        <w:rPr>
          <w:rFonts w:ascii="Times New Roman" w:hAnsi="Times New Roman"/>
          <w:sz w:val="22"/>
          <w:szCs w:val="22"/>
          <w:lang w:eastAsia="es-AR"/>
        </w:rPr>
      </w:pPr>
      <w:r w:rsidRPr="00915C0D">
        <w:rPr>
          <w:rFonts w:ascii="Times New Roman" w:hAnsi="Times New Roman"/>
          <w:sz w:val="22"/>
          <w:szCs w:val="22"/>
          <w:lang w:eastAsia="es-AR"/>
        </w:rPr>
        <w:t xml:space="preserve">With the gold mining industry projected to continue growing, the Government has endeavored to ensure that mining operations promote higher standards of environmental sustainability. In becoming a signatory to the </w:t>
      </w:r>
      <w:proofErr w:type="spellStart"/>
      <w:r w:rsidRPr="00915C0D">
        <w:rPr>
          <w:rFonts w:ascii="Times New Roman" w:hAnsi="Times New Roman"/>
          <w:sz w:val="22"/>
          <w:szCs w:val="22"/>
          <w:lang w:eastAsia="es-AR"/>
        </w:rPr>
        <w:t>Minamata</w:t>
      </w:r>
      <w:proofErr w:type="spellEnd"/>
      <w:r w:rsidRPr="00915C0D">
        <w:rPr>
          <w:rFonts w:ascii="Times New Roman" w:hAnsi="Times New Roman"/>
          <w:sz w:val="22"/>
          <w:szCs w:val="22"/>
          <w:lang w:eastAsia="es-AR"/>
        </w:rPr>
        <w:t xml:space="preserve"> Convention, Guyana would exercise a phasing in of restrictions against the use of mercury in mining. On that line, GOG shall develop a National Action Plan, including a diagnosis of the country’s technical and analytical capacities Acceptance of new technology to face this issue is facilitated by the fact that most of the mining population is educated. Costs then would be the main deterrence. Accordingly, the government is on record expressing its willingness to exempt from duties equipment or material that will promote more environmentally-friendly mining</w:t>
      </w:r>
      <w:r w:rsidRPr="00915C0D">
        <w:rPr>
          <w:rStyle w:val="FootnoteReference"/>
          <w:rFonts w:ascii="Times New Roman" w:hAnsi="Times New Roman"/>
          <w:sz w:val="22"/>
          <w:szCs w:val="22"/>
          <w:lang w:eastAsia="es-AR"/>
        </w:rPr>
        <w:footnoteReference w:id="41"/>
      </w:r>
      <w:r w:rsidRPr="00915C0D">
        <w:rPr>
          <w:rFonts w:ascii="Times New Roman" w:hAnsi="Times New Roman"/>
          <w:sz w:val="22"/>
          <w:szCs w:val="22"/>
          <w:lang w:eastAsia="es-AR"/>
        </w:rPr>
        <w:t xml:space="preserve">. </w:t>
      </w:r>
    </w:p>
    <w:p w14:paraId="57CDC8E5" w14:textId="77777777" w:rsidR="00915C0D" w:rsidRPr="003C3FD6" w:rsidRDefault="00915C0D" w:rsidP="00915C0D">
      <w:pPr>
        <w:pStyle w:val="Heading3"/>
        <w:rPr>
          <w:sz w:val="22"/>
          <w:szCs w:val="22"/>
        </w:rPr>
      </w:pPr>
      <w:bookmarkStart w:id="21" w:name="_Toc403028395"/>
      <w:r w:rsidRPr="003C3FD6">
        <w:rPr>
          <w:sz w:val="22"/>
          <w:szCs w:val="22"/>
        </w:rPr>
        <w:t>Main challenges in forestry.</w:t>
      </w:r>
      <w:bookmarkEnd w:id="21"/>
    </w:p>
    <w:p w14:paraId="0CA0DBBA" w14:textId="77777777" w:rsidR="00915C0D" w:rsidRPr="00915C0D" w:rsidRDefault="00915C0D" w:rsidP="00915C0D">
      <w:pPr>
        <w:jc w:val="both"/>
        <w:rPr>
          <w:rFonts w:ascii="Times New Roman" w:hAnsi="Times New Roman"/>
          <w:bCs/>
          <w:sz w:val="22"/>
          <w:lang w:val="es-ES"/>
        </w:rPr>
      </w:pPr>
    </w:p>
    <w:p w14:paraId="121A1C94" w14:textId="77777777" w:rsidR="00915C0D" w:rsidRPr="00017F75" w:rsidRDefault="00915C0D" w:rsidP="00D421FA">
      <w:pPr>
        <w:numPr>
          <w:ilvl w:val="1"/>
          <w:numId w:val="37"/>
        </w:numPr>
        <w:jc w:val="both"/>
        <w:rPr>
          <w:rFonts w:ascii="Times New Roman" w:hAnsi="Times New Roman"/>
          <w:bCs/>
          <w:sz w:val="22"/>
        </w:rPr>
      </w:pPr>
      <w:r w:rsidRPr="00915C0D">
        <w:rPr>
          <w:rFonts w:ascii="Times New Roman" w:hAnsi="Times New Roman"/>
          <w:i/>
          <w:iCs/>
          <w:sz w:val="22"/>
          <w:szCs w:val="22"/>
        </w:rPr>
        <w:t>Forestry Sector.</w:t>
      </w:r>
      <w:r w:rsidRPr="00915C0D">
        <w:rPr>
          <w:rFonts w:ascii="Times New Roman" w:hAnsi="Times New Roman"/>
          <w:sz w:val="22"/>
          <w:szCs w:val="22"/>
        </w:rPr>
        <w:t xml:space="preserve"> Currently amounting to 2.8% of national GDP, the sector's relevance as a contribution in the fight against climate change is the nation's principal strength</w:t>
      </w:r>
      <w:r w:rsidRPr="00915C0D">
        <w:rPr>
          <w:rStyle w:val="FootnoteReference"/>
          <w:rFonts w:ascii="Times New Roman" w:hAnsi="Times New Roman"/>
          <w:bCs/>
          <w:sz w:val="22"/>
          <w:lang w:val="es-AR"/>
        </w:rPr>
        <w:footnoteReference w:id="42"/>
      </w:r>
      <w:r w:rsidRPr="00915C0D">
        <w:rPr>
          <w:rFonts w:ascii="Times New Roman" w:hAnsi="Times New Roman"/>
          <w:sz w:val="22"/>
          <w:szCs w:val="22"/>
        </w:rPr>
        <w:t>. The sector has a significant impact on the level of employment in rural zones and the country's interior, employing approximately 20,000 people, 10% of the total labor force</w:t>
      </w:r>
      <w:r w:rsidRPr="00915C0D">
        <w:rPr>
          <w:rStyle w:val="FootnoteReference"/>
          <w:rFonts w:ascii="Times New Roman" w:hAnsi="Times New Roman"/>
          <w:bCs/>
          <w:sz w:val="22"/>
          <w:lang w:val="es-ES"/>
        </w:rPr>
        <w:footnoteReference w:id="43"/>
      </w:r>
      <w:r w:rsidRPr="00915C0D">
        <w:rPr>
          <w:rFonts w:ascii="Times New Roman" w:hAnsi="Times New Roman"/>
          <w:sz w:val="22"/>
          <w:szCs w:val="22"/>
        </w:rPr>
        <w:t>.  A 2009 study estimated that the majority, 18,500 people, were small-scale loggers)</w:t>
      </w:r>
      <w:r w:rsidRPr="00915C0D">
        <w:rPr>
          <w:rStyle w:val="FootnoteReference"/>
          <w:rFonts w:ascii="Times New Roman" w:hAnsi="Times New Roman"/>
          <w:bCs/>
          <w:sz w:val="22"/>
          <w:lang w:val="es-AR"/>
        </w:rPr>
        <w:footnoteReference w:id="44"/>
      </w:r>
      <w:r w:rsidRPr="00915C0D">
        <w:rPr>
          <w:rFonts w:ascii="Times New Roman" w:hAnsi="Times New Roman"/>
          <w:sz w:val="22"/>
          <w:szCs w:val="22"/>
        </w:rPr>
        <w:t>.</w:t>
      </w:r>
    </w:p>
    <w:p w14:paraId="0EC7217A" w14:textId="77777777" w:rsidR="00915C0D" w:rsidRPr="00017F75" w:rsidRDefault="00915C0D" w:rsidP="00915C0D">
      <w:pPr>
        <w:ind w:left="718"/>
        <w:jc w:val="both"/>
        <w:rPr>
          <w:rFonts w:ascii="Times New Roman" w:hAnsi="Times New Roman"/>
          <w:bCs/>
          <w:sz w:val="22"/>
        </w:rPr>
      </w:pPr>
    </w:p>
    <w:p w14:paraId="085BF248" w14:textId="77777777" w:rsidR="00915C0D" w:rsidRPr="00017F75" w:rsidRDefault="00915C0D" w:rsidP="00D421FA">
      <w:pPr>
        <w:numPr>
          <w:ilvl w:val="1"/>
          <w:numId w:val="37"/>
        </w:numPr>
        <w:jc w:val="both"/>
        <w:rPr>
          <w:rFonts w:ascii="Times New Roman" w:hAnsi="Times New Roman"/>
          <w:bCs/>
          <w:sz w:val="22"/>
        </w:rPr>
      </w:pPr>
      <w:r w:rsidRPr="00915C0D">
        <w:rPr>
          <w:rFonts w:ascii="Times New Roman" w:hAnsi="Times New Roman"/>
          <w:sz w:val="22"/>
          <w:szCs w:val="22"/>
        </w:rPr>
        <w:t xml:space="preserve">The exploitation of Guyana's forests is carried out by granting operation concessions to private companies and individuals, with 29 large concessions and 419 small </w:t>
      </w:r>
      <w:proofErr w:type="gramStart"/>
      <w:r w:rsidRPr="00915C0D">
        <w:rPr>
          <w:rFonts w:ascii="Times New Roman" w:hAnsi="Times New Roman"/>
          <w:sz w:val="22"/>
          <w:szCs w:val="22"/>
        </w:rPr>
        <w:t>concession</w:t>
      </w:r>
      <w:proofErr w:type="gramEnd"/>
      <w:r w:rsidRPr="00915C0D">
        <w:rPr>
          <w:rFonts w:ascii="Times New Roman" w:hAnsi="Times New Roman"/>
          <w:sz w:val="22"/>
          <w:szCs w:val="22"/>
        </w:rPr>
        <w:t xml:space="preserve"> having been granted at the end of 2012. Extractive companies must maintain a detailed reporting system that includes: (a) inventory reports of precut or cut trees, (b) annual extraction plan, and (c) compliance with tracking registry measures.  The extraction volume per exploited area has been reduced, reaching 8-10 m3/ha</w:t>
      </w:r>
      <w:r w:rsidRPr="00915C0D">
        <w:rPr>
          <w:rStyle w:val="FootnoteReference"/>
          <w:rFonts w:ascii="Times New Roman" w:hAnsi="Times New Roman"/>
          <w:bCs/>
          <w:sz w:val="22"/>
          <w:lang w:val="es-ES"/>
        </w:rPr>
        <w:footnoteReference w:id="45"/>
      </w:r>
      <w:r w:rsidRPr="00915C0D">
        <w:rPr>
          <w:rFonts w:ascii="Times New Roman" w:hAnsi="Times New Roman"/>
          <w:sz w:val="22"/>
          <w:szCs w:val="22"/>
        </w:rPr>
        <w:t>, showing a potential improvement. In the period from 2011-2013, sector exports reached an annual average of US$ 39 million, with logs as the principal product, representing 74% of shipments</w:t>
      </w:r>
      <w:r w:rsidRPr="00915C0D">
        <w:rPr>
          <w:rStyle w:val="FootnoteReference"/>
          <w:rFonts w:ascii="Times New Roman" w:hAnsi="Times New Roman"/>
          <w:bCs/>
          <w:sz w:val="22"/>
          <w:lang w:val="es-ES"/>
        </w:rPr>
        <w:footnoteReference w:id="46"/>
      </w:r>
      <w:r w:rsidRPr="00915C0D">
        <w:rPr>
          <w:rFonts w:ascii="Times New Roman" w:hAnsi="Times New Roman"/>
          <w:sz w:val="22"/>
          <w:szCs w:val="22"/>
        </w:rPr>
        <w:t xml:space="preserve"> (principal destinations India and China). There is also a small but growing local market for finished products for the construction and home sectors. </w:t>
      </w:r>
    </w:p>
    <w:p w14:paraId="4A6A6708" w14:textId="77777777" w:rsidR="00915C0D" w:rsidRPr="00017F75" w:rsidRDefault="00915C0D" w:rsidP="00915C0D">
      <w:pPr>
        <w:jc w:val="both"/>
        <w:rPr>
          <w:rFonts w:ascii="Times New Roman" w:hAnsi="Times New Roman"/>
          <w:sz w:val="22"/>
          <w:szCs w:val="22"/>
        </w:rPr>
      </w:pPr>
    </w:p>
    <w:p w14:paraId="6EFF848E" w14:textId="77777777" w:rsidR="00915C0D" w:rsidRPr="00017F75" w:rsidRDefault="00915C0D" w:rsidP="00D421FA">
      <w:pPr>
        <w:numPr>
          <w:ilvl w:val="1"/>
          <w:numId w:val="37"/>
        </w:numPr>
        <w:jc w:val="both"/>
        <w:rPr>
          <w:rFonts w:ascii="Times New Roman" w:hAnsi="Times New Roman"/>
          <w:sz w:val="22"/>
          <w:szCs w:val="22"/>
        </w:rPr>
      </w:pPr>
      <w:r w:rsidRPr="00915C0D">
        <w:rPr>
          <w:rFonts w:ascii="Times New Roman" w:hAnsi="Times New Roman"/>
          <w:sz w:val="22"/>
          <w:szCs w:val="22"/>
        </w:rPr>
        <w:t>Throughout Latin America, natural forests are largely managed through private long-terms concessions applied over relatively small areas (this is the modality in Guyana and also used in Bolivia and Suriname). The exploitation of the natural forest is still largely oriented toward timber production. In the case of non-timber forest products (NTFP), the majority of these are locally used, though sometimes they are sold as raw material for the preparation of various products such as cosmetics and pharmaceuticals.</w:t>
      </w:r>
    </w:p>
    <w:p w14:paraId="5B8D35F1" w14:textId="77777777" w:rsidR="00915C0D" w:rsidRPr="00017F75" w:rsidRDefault="00915C0D" w:rsidP="00915C0D">
      <w:pPr>
        <w:ind w:left="718"/>
        <w:jc w:val="both"/>
        <w:rPr>
          <w:rFonts w:ascii="Times New Roman" w:hAnsi="Times New Roman"/>
          <w:sz w:val="22"/>
          <w:szCs w:val="22"/>
        </w:rPr>
      </w:pPr>
    </w:p>
    <w:p w14:paraId="535B5037" w14:textId="77777777" w:rsidR="00915C0D" w:rsidRPr="00017F75" w:rsidRDefault="00915C0D" w:rsidP="00D421FA">
      <w:pPr>
        <w:numPr>
          <w:ilvl w:val="1"/>
          <w:numId w:val="37"/>
        </w:numPr>
        <w:jc w:val="both"/>
        <w:rPr>
          <w:rFonts w:ascii="Times New Roman" w:hAnsi="Times New Roman"/>
          <w:sz w:val="22"/>
          <w:szCs w:val="22"/>
        </w:rPr>
      </w:pPr>
      <w:r w:rsidRPr="00915C0D">
        <w:rPr>
          <w:rFonts w:ascii="Times New Roman" w:hAnsi="Times New Roman"/>
          <w:sz w:val="22"/>
          <w:szCs w:val="22"/>
        </w:rPr>
        <w:t>The following are some of the challenges of sustainably managing the region's natural forests used for timber production (FAO 2009): (</w:t>
      </w:r>
      <w:proofErr w:type="spellStart"/>
      <w:r w:rsidRPr="00915C0D">
        <w:rPr>
          <w:rFonts w:ascii="Times New Roman" w:hAnsi="Times New Roman"/>
          <w:sz w:val="22"/>
          <w:szCs w:val="22"/>
        </w:rPr>
        <w:t>i</w:t>
      </w:r>
      <w:proofErr w:type="spellEnd"/>
      <w:r w:rsidRPr="00915C0D">
        <w:rPr>
          <w:rFonts w:ascii="Times New Roman" w:hAnsi="Times New Roman"/>
          <w:sz w:val="22"/>
          <w:szCs w:val="22"/>
        </w:rPr>
        <w:t>) limited adoption of low-impact timber extraction due to insufficient incentives; (ii) limited certified forest area due to elevated costs and the absence of subsidized prices, and especially due to the availability of illegally-obtained timber; (iii) prevalence of the informal sector. Verification of legality, forest management certification and Chain of Custody certification are differentiating elements that increase competitiveness in international markets and tend to become trade conditions. Often, the verification of timber products is subject to the protection of freshwater systems or waterways</w:t>
      </w:r>
      <w:r w:rsidRPr="00915C0D">
        <w:rPr>
          <w:rStyle w:val="FootnoteReference"/>
          <w:rFonts w:ascii="Times New Roman" w:hAnsi="Times New Roman"/>
          <w:sz w:val="22"/>
          <w:szCs w:val="22"/>
          <w:lang w:val="es-AR" w:eastAsia="es-AR"/>
        </w:rPr>
        <w:footnoteReference w:id="47"/>
      </w:r>
      <w:r w:rsidRPr="00915C0D">
        <w:rPr>
          <w:rFonts w:ascii="Times New Roman" w:hAnsi="Times New Roman"/>
          <w:sz w:val="22"/>
          <w:szCs w:val="22"/>
        </w:rPr>
        <w:t>.</w:t>
      </w:r>
    </w:p>
    <w:p w14:paraId="71213CDF" w14:textId="77777777" w:rsidR="00915C0D" w:rsidRPr="00017F75" w:rsidRDefault="00915C0D" w:rsidP="00915C0D">
      <w:pPr>
        <w:jc w:val="both"/>
        <w:rPr>
          <w:rFonts w:ascii="Times New Roman" w:hAnsi="Times New Roman"/>
          <w:sz w:val="22"/>
          <w:szCs w:val="22"/>
          <w:lang w:eastAsia="es-AR"/>
        </w:rPr>
      </w:pPr>
    </w:p>
    <w:p w14:paraId="2329309F" w14:textId="77777777" w:rsidR="00915C0D" w:rsidRPr="00017F75" w:rsidRDefault="00915C0D" w:rsidP="00915C0D">
      <w:pPr>
        <w:pBdr>
          <w:top w:val="single" w:sz="4" w:space="1" w:color="auto"/>
          <w:left w:val="single" w:sz="4" w:space="4" w:color="auto"/>
          <w:bottom w:val="single" w:sz="4" w:space="1" w:color="auto"/>
          <w:right w:val="single" w:sz="4" w:space="4" w:color="auto"/>
        </w:pBdr>
        <w:shd w:val="clear" w:color="auto" w:fill="F2F2F2" w:themeFill="background1" w:themeFillShade="F2"/>
        <w:ind w:left="142"/>
        <w:jc w:val="center"/>
        <w:rPr>
          <w:rFonts w:ascii="Times New Roman" w:hAnsi="Times New Roman"/>
        </w:rPr>
      </w:pPr>
      <w:r w:rsidRPr="00915C0D">
        <w:rPr>
          <w:rFonts w:ascii="Times New Roman" w:hAnsi="Times New Roman"/>
        </w:rPr>
        <w:t>Challenges of certification systems</w:t>
      </w:r>
      <w:r w:rsidRPr="00915C0D">
        <w:rPr>
          <w:rStyle w:val="FootnoteReference"/>
          <w:rFonts w:ascii="Times New Roman" w:hAnsi="Times New Roman"/>
          <w:lang w:val="es-ES_tradnl"/>
        </w:rPr>
        <w:footnoteReference w:id="48"/>
      </w:r>
      <w:r w:rsidRPr="00915C0D">
        <w:rPr>
          <w:rFonts w:ascii="Times New Roman" w:hAnsi="Times New Roman"/>
        </w:rPr>
        <w:t>.</w:t>
      </w:r>
    </w:p>
    <w:p w14:paraId="7E3B161B" w14:textId="77777777" w:rsidR="00915C0D" w:rsidRPr="00017F75" w:rsidRDefault="00915C0D" w:rsidP="00915C0D">
      <w:pPr>
        <w:pBdr>
          <w:top w:val="single" w:sz="4" w:space="1" w:color="auto"/>
          <w:left w:val="single" w:sz="4" w:space="4" w:color="auto"/>
          <w:bottom w:val="single" w:sz="4" w:space="1" w:color="auto"/>
          <w:right w:val="single" w:sz="4" w:space="4" w:color="auto"/>
        </w:pBdr>
        <w:shd w:val="clear" w:color="auto" w:fill="F2F2F2" w:themeFill="background1" w:themeFillShade="F2"/>
        <w:ind w:left="142"/>
        <w:jc w:val="both"/>
        <w:rPr>
          <w:rFonts w:ascii="Times New Roman" w:hAnsi="Times New Roman"/>
        </w:rPr>
      </w:pPr>
      <w:r w:rsidRPr="00915C0D">
        <w:rPr>
          <w:rFonts w:ascii="Times New Roman" w:hAnsi="Times New Roman"/>
        </w:rPr>
        <w:t xml:space="preserve">Additional challenges facing the entire timber sector include: </w:t>
      </w:r>
    </w:p>
    <w:p w14:paraId="3BCBFB8D" w14:textId="77777777" w:rsidR="00915C0D" w:rsidRPr="00017F75" w:rsidRDefault="00915C0D" w:rsidP="00915C0D">
      <w:pPr>
        <w:pBdr>
          <w:top w:val="single" w:sz="4" w:space="1" w:color="auto"/>
          <w:left w:val="single" w:sz="4" w:space="4" w:color="auto"/>
          <w:bottom w:val="single" w:sz="4" w:space="1" w:color="auto"/>
          <w:right w:val="single" w:sz="4" w:space="4" w:color="auto"/>
        </w:pBdr>
        <w:shd w:val="clear" w:color="auto" w:fill="F2F2F2" w:themeFill="background1" w:themeFillShade="F2"/>
        <w:ind w:left="142"/>
        <w:jc w:val="both"/>
        <w:rPr>
          <w:rFonts w:ascii="Times New Roman" w:hAnsi="Times New Roman"/>
        </w:rPr>
      </w:pPr>
      <w:proofErr w:type="gramStart"/>
      <w:r w:rsidRPr="00915C0D">
        <w:rPr>
          <w:rFonts w:ascii="Times New Roman" w:hAnsi="Times New Roman"/>
        </w:rPr>
        <w:t>o</w:t>
      </w:r>
      <w:proofErr w:type="gramEnd"/>
      <w:r w:rsidRPr="00915C0D">
        <w:rPr>
          <w:rFonts w:ascii="Times New Roman" w:hAnsi="Times New Roman"/>
        </w:rPr>
        <w:t xml:space="preserve"> Market fragmentation. Even when there are communities interested in producing timber in a sustainable manner, and buyers in the market that would pay for this timber, there is no clear link between the two parties, so the differentiation may be lost. </w:t>
      </w:r>
    </w:p>
    <w:p w14:paraId="1B7E1FE0" w14:textId="77777777" w:rsidR="00915C0D" w:rsidRPr="00017F75" w:rsidRDefault="00915C0D" w:rsidP="00915C0D">
      <w:pPr>
        <w:pBdr>
          <w:top w:val="single" w:sz="4" w:space="1" w:color="auto"/>
          <w:left w:val="single" w:sz="4" w:space="4" w:color="auto"/>
          <w:bottom w:val="single" w:sz="4" w:space="1" w:color="auto"/>
          <w:right w:val="single" w:sz="4" w:space="4" w:color="auto"/>
        </w:pBdr>
        <w:shd w:val="clear" w:color="auto" w:fill="F2F2F2" w:themeFill="background1" w:themeFillShade="F2"/>
        <w:ind w:left="142"/>
        <w:jc w:val="both"/>
        <w:rPr>
          <w:rFonts w:ascii="Times New Roman" w:hAnsi="Times New Roman"/>
        </w:rPr>
      </w:pPr>
      <w:proofErr w:type="gramStart"/>
      <w:r w:rsidRPr="00915C0D">
        <w:rPr>
          <w:rFonts w:ascii="Times New Roman" w:hAnsi="Times New Roman"/>
        </w:rPr>
        <w:t>o</w:t>
      </w:r>
      <w:proofErr w:type="gramEnd"/>
      <w:r w:rsidRPr="00915C0D">
        <w:rPr>
          <w:rFonts w:ascii="Times New Roman" w:hAnsi="Times New Roman"/>
        </w:rPr>
        <w:t xml:space="preserve"> Loss of the certification seal along the productive chain. If the certified timber is mixed with other types of timber in the sawmills, the monetary benefit for the producers and sellers of sustainable timber is completely lost. </w:t>
      </w:r>
    </w:p>
    <w:p w14:paraId="50998B12" w14:textId="77777777" w:rsidR="00915C0D" w:rsidRPr="00017F75" w:rsidRDefault="00915C0D" w:rsidP="00915C0D">
      <w:pPr>
        <w:pBdr>
          <w:top w:val="single" w:sz="4" w:space="1" w:color="auto"/>
          <w:left w:val="single" w:sz="4" w:space="4" w:color="auto"/>
          <w:bottom w:val="single" w:sz="4" w:space="1" w:color="auto"/>
          <w:right w:val="single" w:sz="4" w:space="4" w:color="auto"/>
        </w:pBdr>
        <w:shd w:val="clear" w:color="auto" w:fill="F2F2F2" w:themeFill="background1" w:themeFillShade="F2"/>
        <w:ind w:left="142"/>
        <w:jc w:val="both"/>
        <w:rPr>
          <w:rFonts w:ascii="Times New Roman" w:hAnsi="Times New Roman"/>
        </w:rPr>
      </w:pPr>
      <w:proofErr w:type="gramStart"/>
      <w:r w:rsidRPr="00915C0D">
        <w:rPr>
          <w:rFonts w:ascii="Times New Roman" w:hAnsi="Times New Roman"/>
        </w:rPr>
        <w:t>o</w:t>
      </w:r>
      <w:proofErr w:type="gramEnd"/>
      <w:r w:rsidRPr="00915C0D">
        <w:rPr>
          <w:rFonts w:ascii="Times New Roman" w:hAnsi="Times New Roman"/>
        </w:rPr>
        <w:t xml:space="preserve"> Demand of scale. International demand for certified timber is increasing, requiring minimum volumes in order to undergo the certification process. </w:t>
      </w:r>
    </w:p>
    <w:p w14:paraId="2D79224F" w14:textId="77777777" w:rsidR="00915C0D" w:rsidRPr="00017F75" w:rsidRDefault="00915C0D" w:rsidP="00915C0D">
      <w:pPr>
        <w:pBdr>
          <w:top w:val="single" w:sz="4" w:space="1" w:color="auto"/>
          <w:left w:val="single" w:sz="4" w:space="4" w:color="auto"/>
          <w:bottom w:val="single" w:sz="4" w:space="1" w:color="auto"/>
          <w:right w:val="single" w:sz="4" w:space="4" w:color="auto"/>
        </w:pBdr>
        <w:shd w:val="clear" w:color="auto" w:fill="F2F2F2" w:themeFill="background1" w:themeFillShade="F2"/>
        <w:ind w:left="142"/>
        <w:jc w:val="both"/>
        <w:rPr>
          <w:rFonts w:ascii="Times New Roman" w:hAnsi="Times New Roman"/>
        </w:rPr>
      </w:pPr>
      <w:r w:rsidRPr="00915C0D">
        <w:rPr>
          <w:rFonts w:ascii="Times New Roman" w:hAnsi="Times New Roman"/>
        </w:rPr>
        <w:t>These are results from a 2006 survey covering 50% of Mexican sawmills:</w:t>
      </w:r>
    </w:p>
    <w:p w14:paraId="1B25F257" w14:textId="77777777" w:rsidR="00915C0D" w:rsidRPr="00017F75" w:rsidRDefault="00915C0D" w:rsidP="00CE5909">
      <w:pPr>
        <w:pStyle w:val="ListParagraph"/>
        <w:numPr>
          <w:ilvl w:val="0"/>
          <w:numId w:val="23"/>
        </w:numPr>
        <w:pBdr>
          <w:top w:val="single" w:sz="4" w:space="1" w:color="auto"/>
          <w:left w:val="single" w:sz="4" w:space="4" w:color="auto"/>
          <w:bottom w:val="single" w:sz="4" w:space="1" w:color="auto"/>
          <w:right w:val="single" w:sz="4" w:space="4" w:color="auto"/>
        </w:pBdr>
        <w:shd w:val="clear" w:color="auto" w:fill="F2F2F2" w:themeFill="background1" w:themeFillShade="F2"/>
        <w:ind w:left="709" w:hanging="567"/>
        <w:jc w:val="both"/>
        <w:rPr>
          <w:rFonts w:ascii="Times New Roman" w:hAnsi="Times New Roman"/>
        </w:rPr>
      </w:pPr>
      <w:r w:rsidRPr="00915C0D">
        <w:rPr>
          <w:rFonts w:ascii="Times New Roman" w:hAnsi="Times New Roman"/>
        </w:rPr>
        <w:t xml:space="preserve">Products manufactured by certified wood sawmills typically pass through several hands before reaching the final consumer. </w:t>
      </w:r>
    </w:p>
    <w:p w14:paraId="19CEAB94" w14:textId="77777777" w:rsidR="00915C0D" w:rsidRPr="00017F75" w:rsidRDefault="00915C0D" w:rsidP="00CE5909">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2F2F2" w:themeFill="background1" w:themeFillShade="F2"/>
        <w:ind w:left="709" w:hanging="567"/>
        <w:jc w:val="both"/>
        <w:rPr>
          <w:rFonts w:ascii="Times New Roman" w:hAnsi="Times New Roman"/>
        </w:rPr>
      </w:pPr>
      <w:r w:rsidRPr="00915C0D">
        <w:rPr>
          <w:rFonts w:ascii="Times New Roman" w:hAnsi="Times New Roman"/>
        </w:rPr>
        <w:t>After leaving the sawmill, between 25% and 35% of the timber retains its certification; the rest is mixed with non-certified wood.</w:t>
      </w:r>
    </w:p>
    <w:p w14:paraId="28991A8B" w14:textId="77777777" w:rsidR="00915C0D" w:rsidRPr="00017F75" w:rsidRDefault="00915C0D" w:rsidP="00CE5909">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2F2F2" w:themeFill="background1" w:themeFillShade="F2"/>
        <w:ind w:left="709" w:hanging="567"/>
        <w:jc w:val="both"/>
        <w:rPr>
          <w:rFonts w:ascii="Times New Roman" w:hAnsi="Times New Roman"/>
        </w:rPr>
      </w:pPr>
      <w:r w:rsidRPr="00915C0D">
        <w:rPr>
          <w:rFonts w:ascii="Times New Roman" w:hAnsi="Times New Roman"/>
        </w:rPr>
        <w:t xml:space="preserve">It is possible to get a premium on the price of certified timber. This requires certified sawmills to expand their activities to lower levels on the production chain. Unfortunately, they lack the skills and scale to do so. </w:t>
      </w:r>
    </w:p>
    <w:p w14:paraId="149C0ECE" w14:textId="77777777" w:rsidR="00915C0D" w:rsidRPr="00017F75" w:rsidRDefault="00915C0D" w:rsidP="00CE5909">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2F2F2" w:themeFill="background1" w:themeFillShade="F2"/>
        <w:ind w:left="709" w:hanging="567"/>
        <w:jc w:val="both"/>
        <w:rPr>
          <w:rFonts w:ascii="Times New Roman" w:hAnsi="Times New Roman"/>
        </w:rPr>
      </w:pPr>
      <w:r w:rsidRPr="00915C0D">
        <w:rPr>
          <w:rFonts w:ascii="Times New Roman" w:hAnsi="Times New Roman"/>
        </w:rPr>
        <w:t xml:space="preserve">There are significant market prospects for exporting this timber. </w:t>
      </w:r>
    </w:p>
    <w:p w14:paraId="41F0B32D" w14:textId="77777777" w:rsidR="00915C0D" w:rsidRPr="00017F75" w:rsidRDefault="00915C0D" w:rsidP="00CE5909">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2F2F2" w:themeFill="background1" w:themeFillShade="F2"/>
        <w:ind w:left="709" w:hanging="567"/>
        <w:jc w:val="both"/>
        <w:rPr>
          <w:rFonts w:ascii="Times New Roman" w:hAnsi="Times New Roman"/>
        </w:rPr>
      </w:pPr>
      <w:r w:rsidRPr="00915C0D">
        <w:rPr>
          <w:rFonts w:ascii="Times New Roman" w:hAnsi="Times New Roman"/>
        </w:rPr>
        <w:t xml:space="preserve">It is more feasible that the premium on the price could be obtained in countries where "green consumers" are plentiful and there are public policies supporting environmental causes. </w:t>
      </w:r>
    </w:p>
    <w:p w14:paraId="4A16A3FB" w14:textId="77777777" w:rsidR="00915C0D" w:rsidRPr="00017F75" w:rsidRDefault="00915C0D" w:rsidP="00915C0D">
      <w:pPr>
        <w:rPr>
          <w:rFonts w:ascii="Times New Roman" w:hAnsi="Times New Roman"/>
        </w:rPr>
      </w:pPr>
    </w:p>
    <w:p w14:paraId="619DBDD5" w14:textId="77777777" w:rsidR="00915C0D" w:rsidRPr="00017F75" w:rsidRDefault="00915C0D" w:rsidP="00D421FA">
      <w:pPr>
        <w:numPr>
          <w:ilvl w:val="1"/>
          <w:numId w:val="37"/>
        </w:numPr>
        <w:jc w:val="both"/>
        <w:rPr>
          <w:rFonts w:ascii="Times New Roman" w:hAnsi="Times New Roman"/>
          <w:bCs/>
          <w:sz w:val="22"/>
        </w:rPr>
      </w:pPr>
      <w:r w:rsidRPr="00915C0D">
        <w:rPr>
          <w:rFonts w:ascii="Times New Roman" w:hAnsi="Times New Roman"/>
          <w:sz w:val="22"/>
          <w:szCs w:val="22"/>
        </w:rPr>
        <w:t xml:space="preserve">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strategy for the forest sector is focused on maintaining levels of operation under control, increasing quality in its productive orientation, based on:   (</w:t>
      </w:r>
      <w:proofErr w:type="spellStart"/>
      <w:r w:rsidRPr="00915C0D">
        <w:rPr>
          <w:rFonts w:ascii="Times New Roman" w:hAnsi="Times New Roman"/>
          <w:sz w:val="22"/>
          <w:szCs w:val="22"/>
        </w:rPr>
        <w:t>i</w:t>
      </w:r>
      <w:proofErr w:type="spellEnd"/>
      <w:r w:rsidRPr="00915C0D">
        <w:rPr>
          <w:rFonts w:ascii="Times New Roman" w:hAnsi="Times New Roman"/>
          <w:sz w:val="22"/>
          <w:szCs w:val="22"/>
        </w:rPr>
        <w:t>) making the extraction processes more efficient and (ii) incorporating added value, integrating primary production in timber processing (or in non-timber forest products</w:t>
      </w:r>
      <w:r w:rsidRPr="00915C0D">
        <w:rPr>
          <w:rStyle w:val="FootnoteReference"/>
          <w:rFonts w:ascii="Times New Roman" w:hAnsi="Times New Roman"/>
          <w:sz w:val="22"/>
          <w:szCs w:val="22"/>
          <w:lang w:val="es-AR" w:eastAsia="es-AR"/>
        </w:rPr>
        <w:footnoteReference w:id="49"/>
      </w:r>
      <w:r w:rsidRPr="00915C0D">
        <w:rPr>
          <w:rFonts w:ascii="Times New Roman" w:hAnsi="Times New Roman"/>
          <w:sz w:val="22"/>
          <w:szCs w:val="22"/>
        </w:rPr>
        <w:t>). The global market is demanding products that fit this profile, a process that will require investments from the private sector, as well as appropriate regulatory mechanisms for a demanding international context in terms of traceability of origin of the acquired goods.</w:t>
      </w:r>
    </w:p>
    <w:p w14:paraId="7B88728F" w14:textId="77777777" w:rsidR="00915C0D" w:rsidRPr="00017F75" w:rsidRDefault="00915C0D" w:rsidP="00915C0D">
      <w:pPr>
        <w:ind w:left="718"/>
        <w:jc w:val="both"/>
        <w:rPr>
          <w:rFonts w:ascii="Times New Roman" w:hAnsi="Times New Roman"/>
          <w:bCs/>
          <w:sz w:val="22"/>
        </w:rPr>
      </w:pPr>
    </w:p>
    <w:p w14:paraId="3C9FE484" w14:textId="77777777" w:rsidR="00915C0D" w:rsidRPr="00017F75" w:rsidRDefault="00915C0D" w:rsidP="00D421FA">
      <w:pPr>
        <w:numPr>
          <w:ilvl w:val="1"/>
          <w:numId w:val="37"/>
        </w:numPr>
        <w:jc w:val="both"/>
        <w:rPr>
          <w:rFonts w:ascii="Times New Roman" w:hAnsi="Times New Roman"/>
          <w:bCs/>
          <w:sz w:val="22"/>
        </w:rPr>
      </w:pPr>
      <w:r w:rsidRPr="00915C0D">
        <w:rPr>
          <w:rFonts w:ascii="Times New Roman" w:hAnsi="Times New Roman"/>
          <w:sz w:val="22"/>
          <w:szCs w:val="22"/>
        </w:rPr>
        <w:t xml:space="preserve">Since the launch of the LCDS in 2009, 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has prioritized the goal of supporting this sector's growth in accordance with international standards, including the measures necessary for implementing the framework of the bilateral agreement with the European Union under the FLEGT initiative</w:t>
      </w:r>
      <w:r w:rsidRPr="00915C0D">
        <w:rPr>
          <w:rStyle w:val="FootnoteReference"/>
          <w:rFonts w:ascii="Times New Roman" w:hAnsi="Times New Roman"/>
          <w:sz w:val="22"/>
          <w:szCs w:val="22"/>
          <w:lang w:val="es-AR" w:eastAsia="es-AR"/>
        </w:rPr>
        <w:footnoteReference w:id="50"/>
      </w:r>
      <w:r w:rsidRPr="00915C0D">
        <w:rPr>
          <w:rFonts w:ascii="Times New Roman" w:hAnsi="Times New Roman"/>
          <w:sz w:val="22"/>
          <w:szCs w:val="22"/>
        </w:rPr>
        <w:t xml:space="preserve"> </w:t>
      </w:r>
      <w:r w:rsidRPr="00915C0D">
        <w:rPr>
          <w:rStyle w:val="FootnoteReference"/>
          <w:rFonts w:ascii="Times New Roman" w:hAnsi="Times New Roman"/>
          <w:sz w:val="22"/>
          <w:szCs w:val="22"/>
          <w:lang w:val="es-AR" w:eastAsia="es-AR"/>
        </w:rPr>
        <w:footnoteReference w:id="51"/>
      </w:r>
      <w:r w:rsidRPr="00915C0D">
        <w:rPr>
          <w:rFonts w:ascii="Times New Roman" w:hAnsi="Times New Roman"/>
          <w:sz w:val="22"/>
          <w:szCs w:val="22"/>
        </w:rPr>
        <w:t>.</w:t>
      </w:r>
    </w:p>
    <w:p w14:paraId="5D0E6C80" w14:textId="77777777" w:rsidR="00915C0D" w:rsidRPr="00017F75" w:rsidRDefault="00915C0D" w:rsidP="00915C0D">
      <w:pPr>
        <w:pStyle w:val="ListParagraph"/>
        <w:rPr>
          <w:rFonts w:ascii="Times New Roman" w:hAnsi="Times New Roman"/>
          <w:bCs/>
          <w:sz w:val="22"/>
        </w:rPr>
      </w:pPr>
    </w:p>
    <w:p w14:paraId="0D654E75" w14:textId="77777777" w:rsidR="00915C0D" w:rsidRPr="00017F75" w:rsidRDefault="00915C0D" w:rsidP="00915C0D">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ascii="Times New Roman" w:hAnsi="Times New Roman"/>
          <w:color w:val="000000"/>
          <w:lang w:eastAsia="es-AR"/>
        </w:rPr>
      </w:pPr>
      <w:r w:rsidRPr="00915C0D">
        <w:rPr>
          <w:rFonts w:ascii="Times New Roman" w:hAnsi="Times New Roman"/>
          <w:color w:val="000000"/>
        </w:rPr>
        <w:t>FLEGT</w:t>
      </w:r>
      <w:r w:rsidRPr="00915C0D">
        <w:rPr>
          <w:rStyle w:val="FootnoteReference"/>
          <w:rFonts w:ascii="Times New Roman" w:hAnsi="Times New Roman"/>
          <w:color w:val="000000"/>
          <w:lang w:val="es-AR" w:eastAsia="es-AR"/>
        </w:rPr>
        <w:footnoteReference w:id="52"/>
      </w:r>
    </w:p>
    <w:p w14:paraId="027F9DD3" w14:textId="77777777" w:rsidR="00915C0D" w:rsidRPr="00017F75" w:rsidRDefault="00915C0D" w:rsidP="00915C0D">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Times New Roman" w:hAnsi="Times New Roman"/>
          <w:color w:val="000000"/>
          <w:lang w:eastAsia="es-AR"/>
        </w:rPr>
      </w:pPr>
      <w:r w:rsidRPr="00915C0D">
        <w:rPr>
          <w:rFonts w:ascii="Times New Roman" w:hAnsi="Times New Roman"/>
          <w:color w:val="000000"/>
        </w:rPr>
        <w:t>An initiative of the EU established in 2003 whose objective is to improve governance and reduce illegal logging through sustainable forest management as well as promote timber trade under these conditions. The measures it promotes include:</w:t>
      </w:r>
    </w:p>
    <w:p w14:paraId="74D6476B" w14:textId="77777777" w:rsidR="00915C0D" w:rsidRPr="00017F75" w:rsidRDefault="00915C0D" w:rsidP="00915C0D">
      <w:pPr>
        <w:pBdr>
          <w:top w:val="single" w:sz="4" w:space="1" w:color="auto"/>
          <w:left w:val="single" w:sz="4" w:space="4" w:color="auto"/>
          <w:bottom w:val="single" w:sz="4" w:space="1" w:color="auto"/>
          <w:right w:val="single" w:sz="4" w:space="4" w:color="auto"/>
        </w:pBdr>
        <w:shd w:val="clear" w:color="auto" w:fill="F2F2F2" w:themeFill="background1" w:themeFillShade="F2"/>
        <w:ind w:firstLine="284"/>
        <w:jc w:val="both"/>
        <w:rPr>
          <w:rFonts w:ascii="Times New Roman" w:hAnsi="Times New Roman"/>
          <w:color w:val="000000"/>
          <w:lang w:eastAsia="es-AR"/>
        </w:rPr>
      </w:pPr>
      <w:r w:rsidRPr="00915C0D">
        <w:rPr>
          <w:rFonts w:ascii="Times New Roman" w:hAnsi="Times New Roman"/>
          <w:color w:val="000000"/>
        </w:rPr>
        <w:t>• Encouraging the private sector in the EU to adopt purchasing policies that ensure only legal timber in their supply chains.</w:t>
      </w:r>
    </w:p>
    <w:p w14:paraId="5B7ED4AC" w14:textId="77777777" w:rsidR="00915C0D" w:rsidRPr="00017F75" w:rsidRDefault="00915C0D" w:rsidP="00915C0D">
      <w:pPr>
        <w:pBdr>
          <w:top w:val="single" w:sz="4" w:space="1" w:color="auto"/>
          <w:left w:val="single" w:sz="4" w:space="4" w:color="auto"/>
          <w:bottom w:val="single" w:sz="4" w:space="1" w:color="auto"/>
          <w:right w:val="single" w:sz="4" w:space="4" w:color="auto"/>
        </w:pBdr>
        <w:shd w:val="clear" w:color="auto" w:fill="F2F2F2" w:themeFill="background1" w:themeFillShade="F2"/>
        <w:ind w:firstLine="284"/>
        <w:jc w:val="both"/>
        <w:rPr>
          <w:rFonts w:ascii="Times New Roman" w:hAnsi="Times New Roman"/>
          <w:color w:val="000000"/>
          <w:lang w:eastAsia="es-AR"/>
        </w:rPr>
      </w:pPr>
      <w:r w:rsidRPr="00915C0D">
        <w:rPr>
          <w:rFonts w:ascii="Times New Roman" w:hAnsi="Times New Roman"/>
          <w:color w:val="000000"/>
        </w:rPr>
        <w:t>• That the EU member states adopt public purchasing policies that require verification in their supply contracts that the timber is legally produced.</w:t>
      </w:r>
    </w:p>
    <w:p w14:paraId="2BB1C48B" w14:textId="77777777" w:rsidR="00915C0D" w:rsidRPr="00017F75" w:rsidRDefault="00915C0D" w:rsidP="00915C0D">
      <w:pPr>
        <w:pBdr>
          <w:top w:val="single" w:sz="4" w:space="1" w:color="auto"/>
          <w:left w:val="single" w:sz="4" w:space="4" w:color="auto"/>
          <w:bottom w:val="single" w:sz="4" w:space="1" w:color="auto"/>
          <w:right w:val="single" w:sz="4" w:space="4" w:color="auto"/>
        </w:pBdr>
        <w:shd w:val="clear" w:color="auto" w:fill="F2F2F2" w:themeFill="background1" w:themeFillShade="F2"/>
        <w:ind w:firstLine="284"/>
        <w:jc w:val="both"/>
        <w:rPr>
          <w:rFonts w:ascii="Times New Roman" w:hAnsi="Times New Roman"/>
          <w:color w:val="000000"/>
          <w:lang w:eastAsia="es-AR"/>
        </w:rPr>
      </w:pPr>
      <w:r w:rsidRPr="00915C0D">
        <w:rPr>
          <w:rFonts w:ascii="Times New Roman" w:hAnsi="Times New Roman"/>
          <w:color w:val="000000"/>
        </w:rPr>
        <w:t>• Exclusion of illegal timber in the EU market.</w:t>
      </w:r>
    </w:p>
    <w:p w14:paraId="5DCDDE36" w14:textId="77777777" w:rsidR="00915C0D" w:rsidRPr="00017F75" w:rsidRDefault="00915C0D" w:rsidP="00915C0D">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Times New Roman" w:hAnsi="Times New Roman"/>
          <w:color w:val="000000"/>
          <w:lang w:eastAsia="es-AR"/>
        </w:rPr>
      </w:pPr>
    </w:p>
    <w:p w14:paraId="3DD2B607" w14:textId="77777777" w:rsidR="00915C0D" w:rsidRPr="00017F75" w:rsidRDefault="00915C0D" w:rsidP="00915C0D">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Times New Roman" w:hAnsi="Times New Roman"/>
          <w:color w:val="000000"/>
          <w:lang w:eastAsia="es-AR"/>
        </w:rPr>
      </w:pPr>
      <w:r w:rsidRPr="00915C0D">
        <w:rPr>
          <w:rFonts w:ascii="Times New Roman" w:hAnsi="Times New Roman"/>
          <w:color w:val="000000"/>
        </w:rPr>
        <w:t>Among the measures aimed at capacity-building in developing countries so that they produce legal and sustainable timber are:</w:t>
      </w:r>
    </w:p>
    <w:p w14:paraId="579E0069" w14:textId="77777777" w:rsidR="00915C0D" w:rsidRPr="00017F75" w:rsidRDefault="00915C0D" w:rsidP="00915C0D">
      <w:pPr>
        <w:pBdr>
          <w:top w:val="single" w:sz="4" w:space="1" w:color="auto"/>
          <w:left w:val="single" w:sz="4" w:space="4" w:color="auto"/>
          <w:bottom w:val="single" w:sz="4" w:space="1" w:color="auto"/>
          <w:right w:val="single" w:sz="4" w:space="4" w:color="auto"/>
        </w:pBdr>
        <w:shd w:val="clear" w:color="auto" w:fill="F2F2F2" w:themeFill="background1" w:themeFillShade="F2"/>
        <w:ind w:firstLine="284"/>
        <w:jc w:val="both"/>
        <w:rPr>
          <w:rFonts w:ascii="Times New Roman" w:hAnsi="Times New Roman"/>
          <w:color w:val="000000"/>
          <w:lang w:eastAsia="es-AR"/>
        </w:rPr>
      </w:pPr>
      <w:r w:rsidRPr="00915C0D">
        <w:rPr>
          <w:rFonts w:ascii="Times New Roman" w:hAnsi="Times New Roman"/>
          <w:color w:val="000000"/>
        </w:rPr>
        <w:t>• Technical and financial support from the EU to improve governance and capacity-building in governmental and non-governmental stakeholders.</w:t>
      </w:r>
    </w:p>
    <w:p w14:paraId="63829C20" w14:textId="77777777" w:rsidR="00915C0D" w:rsidRPr="00017F75" w:rsidRDefault="00915C0D" w:rsidP="00915C0D">
      <w:pPr>
        <w:pBdr>
          <w:top w:val="single" w:sz="4" w:space="1" w:color="auto"/>
          <w:left w:val="single" w:sz="4" w:space="4" w:color="auto"/>
          <w:bottom w:val="single" w:sz="4" w:space="1" w:color="auto"/>
          <w:right w:val="single" w:sz="4" w:space="4" w:color="auto"/>
        </w:pBdr>
        <w:shd w:val="clear" w:color="auto" w:fill="F2F2F2" w:themeFill="background1" w:themeFillShade="F2"/>
        <w:ind w:firstLine="284"/>
        <w:jc w:val="both"/>
        <w:rPr>
          <w:rFonts w:ascii="Times New Roman" w:hAnsi="Times New Roman"/>
          <w:color w:val="000000"/>
          <w:lang w:eastAsia="es-AR"/>
        </w:rPr>
      </w:pPr>
      <w:r w:rsidRPr="00915C0D">
        <w:rPr>
          <w:rFonts w:ascii="Times New Roman" w:hAnsi="Times New Roman"/>
          <w:color w:val="000000"/>
        </w:rPr>
        <w:t>•Support for governments of producing countries through bilateral trade agreements called Voluntary Partnership Agreements (VPA).</w:t>
      </w:r>
    </w:p>
    <w:p w14:paraId="24AC6B9E" w14:textId="77777777" w:rsidR="00915C0D" w:rsidRPr="00017F75" w:rsidRDefault="00915C0D" w:rsidP="00915C0D">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Calibri" w:hAnsi="Calibri" w:cs="Calibri"/>
          <w:color w:val="000000"/>
          <w:sz w:val="22"/>
          <w:szCs w:val="22"/>
          <w:lang w:eastAsia="es-AR"/>
        </w:rPr>
      </w:pPr>
    </w:p>
    <w:p w14:paraId="05A946C5" w14:textId="77777777" w:rsidR="00915C0D" w:rsidRPr="00017F75" w:rsidRDefault="00915C0D" w:rsidP="00915C0D">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Times New Roman" w:hAnsi="Times New Roman"/>
          <w:color w:val="000000"/>
          <w:lang w:eastAsia="es-AR"/>
        </w:rPr>
      </w:pPr>
      <w:r w:rsidRPr="00915C0D">
        <w:rPr>
          <w:rFonts w:ascii="Times New Roman" w:hAnsi="Times New Roman"/>
          <w:color w:val="000000"/>
        </w:rPr>
        <w:t xml:space="preserve">The VPAs incorporate commitments and actions by both parties to stop the illegal timber business, primarily through the implementation of a timber licensing system for exports to the EU, whose principal positive impacts are: </w:t>
      </w:r>
    </w:p>
    <w:p w14:paraId="4A0CBA26" w14:textId="77777777" w:rsidR="00915C0D" w:rsidRPr="00017F75" w:rsidRDefault="00915C0D" w:rsidP="00CE5909">
      <w:pPr>
        <w:pStyle w:val="ListParagraph"/>
        <w:numPr>
          <w:ilvl w:val="0"/>
          <w:numId w:val="31"/>
        </w:num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567"/>
        </w:tabs>
        <w:ind w:left="0" w:firstLine="284"/>
        <w:jc w:val="both"/>
        <w:rPr>
          <w:rFonts w:ascii="Times New Roman" w:hAnsi="Times New Roman"/>
          <w:color w:val="000000"/>
          <w:lang w:eastAsia="es-AR"/>
        </w:rPr>
      </w:pPr>
      <w:r w:rsidRPr="00915C0D">
        <w:rPr>
          <w:rFonts w:ascii="Times New Roman" w:hAnsi="Times New Roman"/>
          <w:color w:val="000000"/>
        </w:rPr>
        <w:t>Improved application of forest and environmental laws.</w:t>
      </w:r>
    </w:p>
    <w:p w14:paraId="654E21B0" w14:textId="77777777" w:rsidR="00915C0D" w:rsidRPr="00017F75" w:rsidRDefault="00915C0D" w:rsidP="00CE5909">
      <w:pPr>
        <w:pStyle w:val="ListParagraph"/>
        <w:numPr>
          <w:ilvl w:val="0"/>
          <w:numId w:val="31"/>
        </w:num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567"/>
        </w:tabs>
        <w:ind w:left="0" w:firstLine="284"/>
        <w:jc w:val="both"/>
        <w:rPr>
          <w:rFonts w:ascii="Times New Roman" w:hAnsi="Times New Roman"/>
          <w:color w:val="000000"/>
          <w:lang w:eastAsia="es-AR"/>
        </w:rPr>
      </w:pPr>
      <w:r w:rsidRPr="00915C0D">
        <w:rPr>
          <w:rFonts w:ascii="Times New Roman" w:hAnsi="Times New Roman"/>
          <w:color w:val="000000"/>
        </w:rPr>
        <w:t>Development of certified product markets.</w:t>
      </w:r>
    </w:p>
    <w:p w14:paraId="016F4DA2" w14:textId="77777777" w:rsidR="00915C0D" w:rsidRPr="00017F75" w:rsidRDefault="00915C0D" w:rsidP="00CE5909">
      <w:pPr>
        <w:pStyle w:val="ListParagraph"/>
        <w:numPr>
          <w:ilvl w:val="0"/>
          <w:numId w:val="31"/>
        </w:num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567"/>
        </w:tabs>
        <w:ind w:left="0" w:firstLine="284"/>
        <w:jc w:val="both"/>
        <w:rPr>
          <w:rFonts w:ascii="Times New Roman" w:hAnsi="Times New Roman"/>
          <w:color w:val="000000"/>
          <w:lang w:eastAsia="es-AR"/>
        </w:rPr>
      </w:pPr>
      <w:r w:rsidRPr="00915C0D">
        <w:rPr>
          <w:rFonts w:ascii="Times New Roman" w:hAnsi="Times New Roman"/>
          <w:color w:val="000000"/>
        </w:rPr>
        <w:t>Incorporation of measures that support the reduction of corruption.</w:t>
      </w:r>
    </w:p>
    <w:p w14:paraId="2601FA86" w14:textId="77777777" w:rsidR="00915C0D" w:rsidRPr="00017F75" w:rsidRDefault="00915C0D" w:rsidP="00CE5909">
      <w:pPr>
        <w:pStyle w:val="ListParagraph"/>
        <w:numPr>
          <w:ilvl w:val="0"/>
          <w:numId w:val="31"/>
        </w:num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567"/>
        </w:tabs>
        <w:ind w:left="0" w:firstLine="284"/>
        <w:jc w:val="both"/>
        <w:rPr>
          <w:rFonts w:ascii="Times New Roman" w:hAnsi="Times New Roman"/>
          <w:color w:val="000000"/>
          <w:lang w:eastAsia="es-AR"/>
        </w:rPr>
      </w:pPr>
      <w:r w:rsidRPr="00915C0D">
        <w:rPr>
          <w:rFonts w:ascii="Times New Roman" w:hAnsi="Times New Roman"/>
          <w:color w:val="000000"/>
        </w:rPr>
        <w:t>Development and use of more effective monitoring systems;</w:t>
      </w:r>
    </w:p>
    <w:p w14:paraId="34F4A2C6" w14:textId="77777777" w:rsidR="00915C0D" w:rsidRPr="00017F75" w:rsidRDefault="00915C0D" w:rsidP="00CE5909">
      <w:pPr>
        <w:pStyle w:val="ListParagraph"/>
        <w:numPr>
          <w:ilvl w:val="0"/>
          <w:numId w:val="31"/>
        </w:num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567"/>
        </w:tabs>
        <w:ind w:left="0" w:firstLine="284"/>
        <w:jc w:val="both"/>
        <w:rPr>
          <w:rFonts w:ascii="Times New Roman" w:hAnsi="Times New Roman"/>
          <w:color w:val="000000"/>
          <w:lang w:eastAsia="es-AR"/>
        </w:rPr>
      </w:pPr>
      <w:r w:rsidRPr="00915C0D">
        <w:rPr>
          <w:rFonts w:ascii="Times New Roman" w:hAnsi="Times New Roman"/>
          <w:color w:val="000000"/>
        </w:rPr>
        <w:t>Contribution to transparency and political responsibility.</w:t>
      </w:r>
    </w:p>
    <w:p w14:paraId="28155ED5" w14:textId="77777777" w:rsidR="00915C0D" w:rsidRPr="00017F75" w:rsidRDefault="00915C0D" w:rsidP="00915C0D">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Times New Roman" w:hAnsi="Times New Roman"/>
          <w:color w:val="000000"/>
          <w:lang w:eastAsia="es-AR"/>
        </w:rPr>
      </w:pPr>
    </w:p>
    <w:p w14:paraId="56E3EBDB" w14:textId="77777777" w:rsidR="00915C0D" w:rsidRPr="00017F75" w:rsidRDefault="00915C0D" w:rsidP="00915C0D">
      <w:pPr>
        <w:ind w:left="718"/>
        <w:jc w:val="both"/>
        <w:rPr>
          <w:rFonts w:ascii="Times New Roman" w:hAnsi="Times New Roman"/>
          <w:sz w:val="22"/>
          <w:szCs w:val="22"/>
          <w:lang w:eastAsia="es-AR"/>
        </w:rPr>
      </w:pPr>
    </w:p>
    <w:p w14:paraId="00DC03EC" w14:textId="77777777" w:rsidR="00915C0D" w:rsidRPr="00915C0D" w:rsidRDefault="00915C0D" w:rsidP="00D421FA">
      <w:pPr>
        <w:numPr>
          <w:ilvl w:val="1"/>
          <w:numId w:val="37"/>
        </w:numPr>
        <w:jc w:val="both"/>
        <w:rPr>
          <w:rFonts w:ascii="Times New Roman" w:hAnsi="Times New Roman"/>
          <w:sz w:val="22"/>
          <w:szCs w:val="22"/>
          <w:lang w:eastAsia="es-AR"/>
        </w:rPr>
      </w:pPr>
      <w:r w:rsidRPr="00915C0D">
        <w:rPr>
          <w:rFonts w:ascii="Times New Roman" w:hAnsi="Times New Roman"/>
          <w:sz w:val="22"/>
          <w:szCs w:val="22"/>
          <w:lang w:eastAsia="es-AR"/>
        </w:rPr>
        <w:t>Forest sector has been operating at a conversion efficiency of 40% on average. Some of the factors that impact on this situation are the old machinery and equipment being used, lack of maintenance, lack of training and inefficient layout. Many analysts have identified this to be one of the main inhibitors for low adding value in Guyana’s forest sector</w:t>
      </w:r>
      <w:r w:rsidRPr="00915C0D">
        <w:rPr>
          <w:rStyle w:val="FootnoteReference"/>
          <w:rFonts w:ascii="Times New Roman" w:hAnsi="Times New Roman"/>
          <w:sz w:val="22"/>
          <w:szCs w:val="22"/>
          <w:lang w:eastAsia="es-AR"/>
        </w:rPr>
        <w:footnoteReference w:id="53"/>
      </w:r>
      <w:r w:rsidRPr="00915C0D">
        <w:rPr>
          <w:rFonts w:ascii="Times New Roman" w:hAnsi="Times New Roman"/>
          <w:sz w:val="22"/>
          <w:szCs w:val="22"/>
          <w:lang w:eastAsia="es-AR"/>
        </w:rPr>
        <w:t>.</w:t>
      </w:r>
    </w:p>
    <w:p w14:paraId="138F17F4" w14:textId="77777777" w:rsidR="00915C0D" w:rsidRPr="00915C0D" w:rsidRDefault="00915C0D" w:rsidP="00915C0D">
      <w:pPr>
        <w:ind w:left="718"/>
        <w:jc w:val="both"/>
        <w:rPr>
          <w:rFonts w:ascii="Times New Roman" w:hAnsi="Times New Roman"/>
          <w:sz w:val="22"/>
          <w:szCs w:val="22"/>
          <w:lang w:eastAsia="es-AR"/>
        </w:rPr>
      </w:pPr>
    </w:p>
    <w:p w14:paraId="7396AD5A" w14:textId="77777777" w:rsidR="00915C0D" w:rsidRPr="00017F75" w:rsidRDefault="00915C0D" w:rsidP="00D421FA">
      <w:pPr>
        <w:numPr>
          <w:ilvl w:val="1"/>
          <w:numId w:val="37"/>
        </w:numPr>
        <w:jc w:val="both"/>
        <w:rPr>
          <w:rFonts w:ascii="Times New Roman" w:hAnsi="Times New Roman"/>
          <w:sz w:val="22"/>
          <w:szCs w:val="22"/>
          <w:lang w:eastAsia="es-AR"/>
        </w:rPr>
      </w:pPr>
      <w:r w:rsidRPr="00915C0D">
        <w:rPr>
          <w:rFonts w:ascii="Times New Roman" w:hAnsi="Times New Roman"/>
          <w:i/>
          <w:iCs/>
          <w:sz w:val="22"/>
          <w:szCs w:val="22"/>
        </w:rPr>
        <w:t>Land use</w:t>
      </w:r>
      <w:r w:rsidRPr="00915C0D">
        <w:rPr>
          <w:rFonts w:ascii="Times New Roman" w:hAnsi="Times New Roman"/>
          <w:sz w:val="22"/>
          <w:szCs w:val="22"/>
        </w:rPr>
        <w:t xml:space="preserve">. The establishment of land use planning systems that better integrate the use of resources between the mining, agricultural and livestock, and forest sectors, and protected areas must be supported. In most countries, overlaps between concessions, rights, mining permits, protected areas, logging concessions and indigenous reservations are common, since the surface and subsurface rights are treated as distinct entities in the provisions of the majority of farming laws. </w:t>
      </w:r>
    </w:p>
    <w:p w14:paraId="7685467F" w14:textId="77777777" w:rsidR="00915C0D" w:rsidRPr="00915C0D" w:rsidRDefault="00915C0D" w:rsidP="00915C0D">
      <w:pPr>
        <w:pStyle w:val="Heading3"/>
        <w:rPr>
          <w:sz w:val="22"/>
          <w:szCs w:val="22"/>
          <w:lang w:val="es-AR" w:eastAsia="es-MX"/>
        </w:rPr>
      </w:pPr>
      <w:bookmarkStart w:id="22" w:name="_Toc403028396"/>
      <w:proofErr w:type="spellStart"/>
      <w:r w:rsidRPr="00915C0D">
        <w:rPr>
          <w:sz w:val="22"/>
          <w:szCs w:val="22"/>
          <w:lang w:val="es-AR" w:eastAsia="es-MX"/>
        </w:rPr>
        <w:t>Program</w:t>
      </w:r>
      <w:proofErr w:type="spellEnd"/>
      <w:r w:rsidRPr="00915C0D">
        <w:rPr>
          <w:sz w:val="22"/>
          <w:szCs w:val="22"/>
          <w:lang w:val="es-AR" w:eastAsia="es-MX"/>
        </w:rPr>
        <w:t xml:space="preserve"> </w:t>
      </w:r>
      <w:proofErr w:type="spellStart"/>
      <w:r w:rsidRPr="00915C0D">
        <w:rPr>
          <w:sz w:val="22"/>
          <w:szCs w:val="22"/>
          <w:lang w:val="es-AR" w:eastAsia="es-MX"/>
        </w:rPr>
        <w:t>Objectives</w:t>
      </w:r>
      <w:bookmarkEnd w:id="22"/>
      <w:proofErr w:type="spellEnd"/>
    </w:p>
    <w:p w14:paraId="71EE74D6" w14:textId="77777777" w:rsidR="00915C0D" w:rsidRPr="00915C0D" w:rsidRDefault="00915C0D" w:rsidP="00915C0D">
      <w:pPr>
        <w:rPr>
          <w:b/>
          <w:lang w:val="es-AR" w:eastAsia="es-MX"/>
        </w:rPr>
      </w:pPr>
    </w:p>
    <w:p w14:paraId="64053BF0" w14:textId="77777777" w:rsidR="00915C0D" w:rsidRPr="00017F75" w:rsidRDefault="00915C0D" w:rsidP="00D421FA">
      <w:pPr>
        <w:numPr>
          <w:ilvl w:val="1"/>
          <w:numId w:val="37"/>
        </w:numPr>
        <w:jc w:val="both"/>
        <w:rPr>
          <w:rFonts w:ascii="Times New Roman" w:hAnsi="Times New Roman"/>
          <w:sz w:val="22"/>
          <w:szCs w:val="22"/>
          <w:lang w:eastAsia="es-AR"/>
        </w:rPr>
      </w:pPr>
      <w:r w:rsidRPr="00915C0D">
        <w:rPr>
          <w:rFonts w:ascii="Times New Roman" w:hAnsi="Times New Roman"/>
          <w:sz w:val="22"/>
          <w:szCs w:val="22"/>
        </w:rPr>
        <w:t xml:space="preserve">The principal needs in the mining and forestry sectors have been established. Based on this, specific problems associated with the operations of specific institutions in these sectors have been identified, in order to help strengthen them by implementing anticipated reforms in accordance with the defined policies. 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recognizes the importance of managing this aspect in line with the goals of the LCDS; therefore they are making progress in strengthening the following aspects of the regulatory framework.</w:t>
      </w:r>
    </w:p>
    <w:p w14:paraId="37D94C51" w14:textId="77777777" w:rsidR="00915C0D" w:rsidRPr="00017F75" w:rsidRDefault="00915C0D" w:rsidP="00915C0D">
      <w:pPr>
        <w:ind w:left="718"/>
        <w:jc w:val="both"/>
        <w:rPr>
          <w:rFonts w:ascii="Times New Roman" w:hAnsi="Times New Roman"/>
          <w:bCs/>
          <w:sz w:val="22"/>
        </w:rPr>
      </w:pPr>
    </w:p>
    <w:p w14:paraId="26518902" w14:textId="77777777" w:rsidR="00915C0D" w:rsidRPr="00017F75" w:rsidRDefault="00915C0D" w:rsidP="00915C0D">
      <w:pPr>
        <w:pBdr>
          <w:top w:val="single" w:sz="4" w:space="1" w:color="auto"/>
          <w:left w:val="single" w:sz="4" w:space="4" w:color="auto"/>
          <w:bottom w:val="single" w:sz="4" w:space="1" w:color="auto"/>
          <w:right w:val="single" w:sz="4" w:space="4" w:color="auto"/>
        </w:pBdr>
        <w:jc w:val="both"/>
        <w:rPr>
          <w:rFonts w:ascii="Times New Roman" w:hAnsi="Times New Roman"/>
          <w:bCs/>
          <w:sz w:val="22"/>
        </w:rPr>
      </w:pPr>
      <w:r w:rsidRPr="00915C0D">
        <w:rPr>
          <w:rFonts w:ascii="Times New Roman" w:hAnsi="Times New Roman"/>
          <w:sz w:val="22"/>
          <w:szCs w:val="22"/>
        </w:rPr>
        <w:t xml:space="preserve">Component 2 Commitments. </w:t>
      </w:r>
    </w:p>
    <w:p w14:paraId="2101D371" w14:textId="77777777" w:rsidR="00915C0D" w:rsidRPr="00017F75" w:rsidRDefault="00915C0D" w:rsidP="00915C0D">
      <w:pPr>
        <w:pBdr>
          <w:top w:val="single" w:sz="4" w:space="1" w:color="auto"/>
          <w:left w:val="single" w:sz="4" w:space="4" w:color="auto"/>
          <w:bottom w:val="single" w:sz="4" w:space="1" w:color="auto"/>
          <w:right w:val="single" w:sz="4" w:space="4" w:color="auto"/>
        </w:pBdr>
        <w:jc w:val="both"/>
        <w:rPr>
          <w:rFonts w:ascii="Times New Roman" w:hAnsi="Times New Roman"/>
          <w:bCs/>
          <w:sz w:val="22"/>
        </w:rPr>
      </w:pPr>
      <w:r w:rsidRPr="00915C0D">
        <w:rPr>
          <w:rFonts w:ascii="Times New Roman" w:hAnsi="Times New Roman"/>
          <w:sz w:val="22"/>
          <w:szCs w:val="22"/>
        </w:rPr>
        <w:t xml:space="preserve">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is committed to diverse actions to restructure the conditions under which the two most relevant sectors in terms of forest impact operate:</w:t>
      </w:r>
    </w:p>
    <w:p w14:paraId="5E1954FD" w14:textId="77777777" w:rsidR="00915C0D" w:rsidRPr="00017F75" w:rsidRDefault="00915C0D" w:rsidP="00915C0D">
      <w:pPr>
        <w:pBdr>
          <w:top w:val="single" w:sz="4" w:space="1" w:color="auto"/>
          <w:left w:val="single" w:sz="4" w:space="4" w:color="auto"/>
          <w:bottom w:val="single" w:sz="4" w:space="1" w:color="auto"/>
          <w:right w:val="single" w:sz="4" w:space="4" w:color="auto"/>
        </w:pBdr>
        <w:jc w:val="both"/>
        <w:rPr>
          <w:rFonts w:ascii="Times New Roman" w:hAnsi="Times New Roman"/>
          <w:bCs/>
          <w:sz w:val="22"/>
        </w:rPr>
      </w:pPr>
      <w:r w:rsidRPr="00915C0D">
        <w:rPr>
          <w:rFonts w:ascii="Times New Roman" w:hAnsi="Times New Roman"/>
          <w:sz w:val="22"/>
          <w:szCs w:val="22"/>
        </w:rPr>
        <w:t>For the mining sector, to ensure that operations are adapted to the highest appropriate standards, including: (</w:t>
      </w:r>
      <w:proofErr w:type="spellStart"/>
      <w:r w:rsidRPr="00915C0D">
        <w:rPr>
          <w:rFonts w:ascii="Times New Roman" w:hAnsi="Times New Roman"/>
          <w:sz w:val="22"/>
          <w:szCs w:val="22"/>
        </w:rPr>
        <w:t>i</w:t>
      </w:r>
      <w:proofErr w:type="spellEnd"/>
      <w:r w:rsidRPr="00915C0D">
        <w:rPr>
          <w:rFonts w:ascii="Times New Roman" w:hAnsi="Times New Roman"/>
          <w:sz w:val="22"/>
          <w:szCs w:val="22"/>
        </w:rPr>
        <w:t xml:space="preserve">) expanding the revision of the legal and regulatory framework and (ii) ratification of the </w:t>
      </w:r>
      <w:proofErr w:type="spellStart"/>
      <w:r w:rsidRPr="00915C0D">
        <w:rPr>
          <w:rFonts w:ascii="Times New Roman" w:hAnsi="Times New Roman"/>
          <w:sz w:val="22"/>
          <w:szCs w:val="22"/>
        </w:rPr>
        <w:t>Minamata</w:t>
      </w:r>
      <w:proofErr w:type="spellEnd"/>
      <w:r w:rsidRPr="00915C0D">
        <w:rPr>
          <w:rFonts w:ascii="Times New Roman" w:hAnsi="Times New Roman"/>
          <w:sz w:val="22"/>
          <w:szCs w:val="22"/>
        </w:rPr>
        <w:t xml:space="preserve"> Convention,</w:t>
      </w:r>
    </w:p>
    <w:p w14:paraId="0CDE5DEE" w14:textId="77777777" w:rsidR="00915C0D" w:rsidRPr="00017F75" w:rsidRDefault="00915C0D" w:rsidP="00915C0D">
      <w:pPr>
        <w:pBdr>
          <w:top w:val="single" w:sz="4" w:space="1" w:color="auto"/>
          <w:left w:val="single" w:sz="4" w:space="4" w:color="auto"/>
          <w:bottom w:val="single" w:sz="4" w:space="1" w:color="auto"/>
          <w:right w:val="single" w:sz="4" w:space="4" w:color="auto"/>
        </w:pBdr>
        <w:jc w:val="both"/>
        <w:rPr>
          <w:rFonts w:ascii="Times New Roman" w:hAnsi="Times New Roman"/>
          <w:bCs/>
          <w:sz w:val="22"/>
        </w:rPr>
      </w:pPr>
    </w:p>
    <w:p w14:paraId="49C63C24" w14:textId="77777777" w:rsidR="00915C0D" w:rsidRPr="00017F75" w:rsidRDefault="00915C0D" w:rsidP="00915C0D">
      <w:pPr>
        <w:pBdr>
          <w:top w:val="single" w:sz="4" w:space="1" w:color="auto"/>
          <w:left w:val="single" w:sz="4" w:space="4" w:color="auto"/>
          <w:bottom w:val="single" w:sz="4" w:space="1" w:color="auto"/>
          <w:right w:val="single" w:sz="4" w:space="4" w:color="auto"/>
        </w:pBdr>
        <w:jc w:val="both"/>
        <w:rPr>
          <w:rFonts w:ascii="Times New Roman" w:hAnsi="Times New Roman"/>
          <w:bCs/>
          <w:sz w:val="22"/>
        </w:rPr>
      </w:pPr>
      <w:r w:rsidRPr="00915C0D">
        <w:rPr>
          <w:rFonts w:ascii="Times New Roman" w:hAnsi="Times New Roman"/>
          <w:sz w:val="22"/>
          <w:szCs w:val="22"/>
        </w:rPr>
        <w:t>For the forestry sector, the objectives are the following: (</w:t>
      </w:r>
      <w:proofErr w:type="spellStart"/>
      <w:r w:rsidRPr="00915C0D">
        <w:rPr>
          <w:rFonts w:ascii="Times New Roman" w:hAnsi="Times New Roman"/>
          <w:sz w:val="22"/>
          <w:szCs w:val="22"/>
        </w:rPr>
        <w:t>i</w:t>
      </w:r>
      <w:proofErr w:type="spellEnd"/>
      <w:r w:rsidRPr="00915C0D">
        <w:rPr>
          <w:rFonts w:ascii="Times New Roman" w:hAnsi="Times New Roman"/>
          <w:sz w:val="22"/>
          <w:szCs w:val="22"/>
        </w:rPr>
        <w:t>) establishing a Code of Practices for the logging or cutting of wood (agreed upon by industry leaders) applied in 100% of concession areas; (ii) making progress in negotiations with the European Union in order to reach an agreement to apply EU-FLEGT standards.</w:t>
      </w:r>
    </w:p>
    <w:p w14:paraId="54FE1242" w14:textId="77777777" w:rsidR="00915C0D" w:rsidRPr="00017F75" w:rsidRDefault="00915C0D" w:rsidP="00915C0D">
      <w:pPr>
        <w:pBdr>
          <w:top w:val="single" w:sz="4" w:space="1" w:color="auto"/>
          <w:left w:val="single" w:sz="4" w:space="4" w:color="auto"/>
          <w:bottom w:val="single" w:sz="4" w:space="1" w:color="auto"/>
          <w:right w:val="single" w:sz="4" w:space="4" w:color="auto"/>
        </w:pBdr>
        <w:jc w:val="both"/>
        <w:rPr>
          <w:rFonts w:ascii="Times New Roman" w:hAnsi="Times New Roman"/>
          <w:bCs/>
          <w:sz w:val="22"/>
        </w:rPr>
      </w:pPr>
    </w:p>
    <w:p w14:paraId="320F5E5F" w14:textId="77777777" w:rsidR="00915C0D" w:rsidRPr="00017F75" w:rsidRDefault="00915C0D" w:rsidP="00915C0D">
      <w:pPr>
        <w:pBdr>
          <w:top w:val="single" w:sz="4" w:space="1" w:color="auto"/>
          <w:left w:val="single" w:sz="4" w:space="4" w:color="auto"/>
          <w:bottom w:val="single" w:sz="4" w:space="1" w:color="auto"/>
          <w:right w:val="single" w:sz="4" w:space="4" w:color="auto"/>
        </w:pBdr>
        <w:jc w:val="both"/>
        <w:rPr>
          <w:rFonts w:ascii="Times New Roman" w:hAnsi="Times New Roman"/>
          <w:bCs/>
          <w:i/>
        </w:rPr>
      </w:pPr>
      <w:r w:rsidRPr="00915C0D">
        <w:rPr>
          <w:rFonts w:ascii="Times New Roman" w:hAnsi="Times New Roman"/>
          <w:i/>
          <w:iCs/>
        </w:rPr>
        <w:t>Summary of PBL 1 commitments: Mining:(</w:t>
      </w:r>
      <w:proofErr w:type="spellStart"/>
      <w:r w:rsidRPr="00915C0D">
        <w:rPr>
          <w:rFonts w:ascii="Times New Roman" w:hAnsi="Times New Roman"/>
          <w:i/>
          <w:iCs/>
        </w:rPr>
        <w:t>i</w:t>
      </w:r>
      <w:proofErr w:type="spellEnd"/>
      <w:r w:rsidRPr="00915C0D">
        <w:rPr>
          <w:rFonts w:ascii="Times New Roman" w:hAnsi="Times New Roman"/>
          <w:i/>
          <w:iCs/>
        </w:rPr>
        <w:t>) revise the legal and regulatory framework of the extractive sector; (ii) initiate EITI implementation; and (iii) study incentive proposals for the use of clean technologies. For the forest sector: (</w:t>
      </w:r>
      <w:proofErr w:type="spellStart"/>
      <w:r w:rsidRPr="00915C0D">
        <w:rPr>
          <w:rFonts w:ascii="Times New Roman" w:hAnsi="Times New Roman"/>
          <w:i/>
          <w:iCs/>
        </w:rPr>
        <w:t>i</w:t>
      </w:r>
      <w:proofErr w:type="spellEnd"/>
      <w:r w:rsidRPr="00915C0D">
        <w:rPr>
          <w:rFonts w:ascii="Times New Roman" w:hAnsi="Times New Roman"/>
          <w:i/>
          <w:iCs/>
        </w:rPr>
        <w:t>) establish a code of practice for the logging/cutting of wood agreed upon with the industry; (ii) present a definition of legality under the EU-FLEGT initiative. Additionally, reconciliation between both sectors is attained through the land use strategy (GLSC National Land Use Plan).</w:t>
      </w:r>
    </w:p>
    <w:p w14:paraId="12A427AC" w14:textId="77777777" w:rsidR="00915C0D" w:rsidRPr="00017F75" w:rsidRDefault="00915C0D" w:rsidP="00915C0D">
      <w:pPr>
        <w:jc w:val="both"/>
        <w:rPr>
          <w:rFonts w:ascii="Times New Roman" w:hAnsi="Times New Roman"/>
          <w:bCs/>
          <w:sz w:val="22"/>
        </w:rPr>
      </w:pPr>
      <w:r w:rsidRPr="00017F75">
        <w:rPr>
          <w:rFonts w:ascii="Times New Roman" w:hAnsi="Times New Roman"/>
          <w:bCs/>
          <w:sz w:val="22"/>
        </w:rPr>
        <w:tab/>
      </w:r>
    </w:p>
    <w:p w14:paraId="3E92BE10" w14:textId="77777777" w:rsidR="00915C0D" w:rsidRPr="00017F75" w:rsidRDefault="00915C0D" w:rsidP="00915C0D">
      <w:pPr>
        <w:rPr>
          <w:rFonts w:ascii="Times New Roman" w:hAnsi="Times New Roman"/>
        </w:rPr>
      </w:pPr>
    </w:p>
    <w:p w14:paraId="1E9237B8" w14:textId="77777777" w:rsidR="00915C0D" w:rsidRPr="00915C0D" w:rsidRDefault="00915C0D" w:rsidP="00915C0D">
      <w:pPr>
        <w:pStyle w:val="Heading3"/>
        <w:spacing w:before="0" w:after="0"/>
        <w:rPr>
          <w:sz w:val="22"/>
          <w:szCs w:val="22"/>
        </w:rPr>
      </w:pPr>
      <w:bookmarkStart w:id="23" w:name="_Toc363721754"/>
      <w:bookmarkStart w:id="24" w:name="_Toc403028397"/>
      <w:r w:rsidRPr="00915C0D">
        <w:rPr>
          <w:iCs/>
          <w:sz w:val="22"/>
          <w:szCs w:val="22"/>
        </w:rPr>
        <w:t>Concept and estimation of expected benefits.</w:t>
      </w:r>
      <w:bookmarkEnd w:id="23"/>
      <w:bookmarkEnd w:id="24"/>
      <w:r w:rsidRPr="00915C0D">
        <w:rPr>
          <w:iCs/>
          <w:sz w:val="22"/>
          <w:szCs w:val="22"/>
        </w:rPr>
        <w:t xml:space="preserve"> </w:t>
      </w:r>
    </w:p>
    <w:p w14:paraId="6A704164" w14:textId="77777777" w:rsidR="00915C0D" w:rsidRPr="00915C0D" w:rsidRDefault="00915C0D" w:rsidP="00915C0D">
      <w:pPr>
        <w:pStyle w:val="ListParagraph"/>
        <w:rPr>
          <w:rFonts w:ascii="Times New Roman" w:hAnsi="Times New Roman"/>
          <w:sz w:val="22"/>
          <w:szCs w:val="22"/>
          <w:lang w:eastAsia="es-AR"/>
        </w:rPr>
      </w:pPr>
    </w:p>
    <w:p w14:paraId="6F899854" w14:textId="77777777" w:rsidR="00915C0D" w:rsidRPr="00915C0D" w:rsidRDefault="00915C0D" w:rsidP="00D421FA">
      <w:pPr>
        <w:numPr>
          <w:ilvl w:val="1"/>
          <w:numId w:val="37"/>
        </w:numPr>
        <w:jc w:val="both"/>
        <w:rPr>
          <w:rFonts w:ascii="Times New Roman" w:hAnsi="Times New Roman"/>
          <w:sz w:val="22"/>
          <w:szCs w:val="22"/>
          <w:lang w:eastAsia="es-AR"/>
        </w:rPr>
      </w:pPr>
      <w:r w:rsidRPr="00915C0D">
        <w:rPr>
          <w:rFonts w:ascii="Times New Roman" w:hAnsi="Times New Roman"/>
          <w:sz w:val="22"/>
          <w:szCs w:val="22"/>
        </w:rPr>
        <w:t xml:space="preserve">Gold Mining. The expected benefits contributed by the PBP actions consist of increasing productivity in gold exploitation and eliminating mercury contamination. </w:t>
      </w:r>
    </w:p>
    <w:p w14:paraId="0CA5CA27" w14:textId="77777777" w:rsidR="00915C0D" w:rsidRPr="00915C0D" w:rsidRDefault="00915C0D" w:rsidP="00915C0D">
      <w:pPr>
        <w:ind w:left="718"/>
        <w:jc w:val="both"/>
        <w:rPr>
          <w:rFonts w:ascii="Times New Roman" w:hAnsi="Times New Roman"/>
          <w:sz w:val="22"/>
          <w:szCs w:val="22"/>
          <w:lang w:eastAsia="es-AR"/>
        </w:rPr>
      </w:pPr>
    </w:p>
    <w:p w14:paraId="4F48E28E" w14:textId="544999CE" w:rsidR="00915C0D" w:rsidRPr="00915C0D" w:rsidRDefault="00915C0D" w:rsidP="00D421FA">
      <w:pPr>
        <w:numPr>
          <w:ilvl w:val="1"/>
          <w:numId w:val="37"/>
        </w:numPr>
        <w:jc w:val="both"/>
        <w:rPr>
          <w:rFonts w:ascii="Times New Roman" w:hAnsi="Times New Roman"/>
          <w:sz w:val="22"/>
          <w:szCs w:val="22"/>
          <w:lang w:eastAsia="es-AR"/>
        </w:rPr>
      </w:pPr>
      <w:r w:rsidRPr="00915C0D">
        <w:rPr>
          <w:rFonts w:ascii="Times New Roman" w:hAnsi="Times New Roman"/>
          <w:sz w:val="22"/>
          <w:szCs w:val="22"/>
        </w:rPr>
        <w:t xml:space="preserve">Increasing </w:t>
      </w:r>
      <w:r w:rsidR="00C32C1C" w:rsidRPr="00915C0D">
        <w:rPr>
          <w:rFonts w:ascii="Times New Roman" w:hAnsi="Times New Roman"/>
          <w:sz w:val="22"/>
          <w:szCs w:val="22"/>
        </w:rPr>
        <w:t>productivity. In</w:t>
      </w:r>
      <w:r w:rsidRPr="00915C0D">
        <w:rPr>
          <w:rFonts w:ascii="Times New Roman" w:hAnsi="Times New Roman"/>
          <w:sz w:val="22"/>
          <w:szCs w:val="22"/>
        </w:rPr>
        <w:t xml:space="preserve"> the case of small and medium-scale gold mining production increased as a result of high gold prices. However, technologies currently used by ASM are not efficient in terms of area unit affected (recovery levels of gold contained in raw material is below 40%)</w:t>
      </w:r>
      <w:r w:rsidRPr="00915C0D">
        <w:rPr>
          <w:rStyle w:val="FootnoteReference"/>
          <w:rFonts w:ascii="Times New Roman" w:hAnsi="Times New Roman"/>
          <w:sz w:val="22"/>
          <w:szCs w:val="22"/>
        </w:rPr>
        <w:footnoteReference w:id="54"/>
      </w:r>
      <w:r w:rsidRPr="00915C0D">
        <w:rPr>
          <w:rFonts w:ascii="Times New Roman" w:hAnsi="Times New Roman"/>
          <w:sz w:val="22"/>
          <w:szCs w:val="22"/>
        </w:rPr>
        <w:t>. If this trend continues, business-as-usual growth in mining will most certainly result in increased deforestation from the sector, utilizing a greater portion of the acceptable budget, in term of REDD+ conditions.</w:t>
      </w:r>
    </w:p>
    <w:p w14:paraId="3A2837C1" w14:textId="77777777" w:rsidR="00915C0D" w:rsidRPr="00915C0D" w:rsidRDefault="00915C0D" w:rsidP="00915C0D">
      <w:pPr>
        <w:pStyle w:val="ListParagraph"/>
        <w:rPr>
          <w:rFonts w:ascii="Times New Roman" w:hAnsi="Times New Roman"/>
          <w:sz w:val="22"/>
          <w:szCs w:val="22"/>
        </w:rPr>
      </w:pPr>
    </w:p>
    <w:p w14:paraId="33EFBC9C" w14:textId="77777777" w:rsidR="00915C0D" w:rsidRPr="00915C0D" w:rsidRDefault="00915C0D" w:rsidP="00D421FA">
      <w:pPr>
        <w:numPr>
          <w:ilvl w:val="1"/>
          <w:numId w:val="37"/>
        </w:numPr>
        <w:jc w:val="both"/>
        <w:rPr>
          <w:rFonts w:ascii="Times New Roman" w:hAnsi="Times New Roman"/>
          <w:sz w:val="22"/>
          <w:szCs w:val="22"/>
          <w:lang w:eastAsia="es-AR"/>
        </w:rPr>
      </w:pPr>
      <w:r w:rsidRPr="00915C0D">
        <w:rPr>
          <w:rFonts w:ascii="Times New Roman" w:hAnsi="Times New Roman"/>
          <w:sz w:val="22"/>
          <w:szCs w:val="22"/>
        </w:rPr>
        <w:t xml:space="preserve">Pursuant to 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estimates, current production levels of ASM could be met through a lower impact in deforesting levels, if other updated productive processes were applied. The various factors that are involved in increasing the efficiency of sluice boxes are not generally known to miners. Improving mineral recovery of operations and hence their economic viability, however, constitute a major opportunity to get miners to accept and afford the additional costs that will accompany the requirements for higher environmental standards</w:t>
      </w:r>
      <w:r w:rsidRPr="00915C0D">
        <w:rPr>
          <w:rStyle w:val="FootnoteReference"/>
          <w:rFonts w:ascii="Times New Roman" w:hAnsi="Times New Roman"/>
          <w:sz w:val="22"/>
          <w:szCs w:val="22"/>
        </w:rPr>
        <w:footnoteReference w:id="55"/>
      </w:r>
      <w:r w:rsidRPr="00915C0D">
        <w:rPr>
          <w:rFonts w:ascii="Times New Roman" w:hAnsi="Times New Roman"/>
          <w:sz w:val="22"/>
          <w:szCs w:val="22"/>
        </w:rPr>
        <w:t>.</w:t>
      </w:r>
    </w:p>
    <w:p w14:paraId="0F2369D1" w14:textId="77777777" w:rsidR="00915C0D" w:rsidRPr="00915C0D" w:rsidRDefault="00915C0D" w:rsidP="00915C0D">
      <w:pPr>
        <w:pStyle w:val="ListParagraph"/>
        <w:rPr>
          <w:rFonts w:ascii="Times New Roman" w:hAnsi="Times New Roman"/>
          <w:sz w:val="22"/>
          <w:szCs w:val="22"/>
        </w:rPr>
      </w:pPr>
    </w:p>
    <w:p w14:paraId="5C9F32CB" w14:textId="77777777" w:rsidR="00915C0D" w:rsidRPr="00915C0D" w:rsidRDefault="00915C0D" w:rsidP="00D421FA">
      <w:pPr>
        <w:numPr>
          <w:ilvl w:val="1"/>
          <w:numId w:val="37"/>
        </w:numPr>
        <w:jc w:val="both"/>
        <w:rPr>
          <w:rFonts w:ascii="Times New Roman" w:hAnsi="Times New Roman"/>
          <w:sz w:val="22"/>
          <w:szCs w:val="22"/>
          <w:lang w:eastAsia="es-AR"/>
        </w:rPr>
      </w:pPr>
      <w:r w:rsidRPr="00915C0D">
        <w:rPr>
          <w:rFonts w:ascii="Times New Roman" w:hAnsi="Times New Roman"/>
          <w:sz w:val="22"/>
          <w:szCs w:val="22"/>
        </w:rPr>
        <w:t xml:space="preserve"> Thus, the higher expected productivity, reflected by the ability of operating within a greater efficiency range, will result in an increase in net income for the miners, which will in turn create a wealth effect on the economy.  Likewise, GGMC itself needs to improve planning and direction of the production management (GGMC acknowledges the need for strengthening its technical human resources in order to perfect geological and geotechnical studies to determine the strategy for </w:t>
      </w:r>
      <w:r>
        <w:rPr>
          <w:rFonts w:ascii="Times New Roman" w:hAnsi="Times New Roman"/>
          <w:sz w:val="22"/>
          <w:szCs w:val="22"/>
        </w:rPr>
        <w:t>land use</w:t>
      </w:r>
      <w:r w:rsidRPr="00915C0D">
        <w:rPr>
          <w:rFonts w:ascii="Times New Roman" w:hAnsi="Times New Roman"/>
          <w:sz w:val="22"/>
          <w:szCs w:val="22"/>
        </w:rPr>
        <w:t>).</w:t>
      </w:r>
    </w:p>
    <w:p w14:paraId="626C749B" w14:textId="77777777" w:rsidR="00915C0D" w:rsidRPr="00915C0D" w:rsidRDefault="00915C0D" w:rsidP="00915C0D">
      <w:pPr>
        <w:pStyle w:val="ListParagraph"/>
        <w:rPr>
          <w:rFonts w:ascii="Times New Roman" w:hAnsi="Times New Roman"/>
          <w:sz w:val="22"/>
          <w:szCs w:val="22"/>
        </w:rPr>
      </w:pPr>
    </w:p>
    <w:p w14:paraId="75C2367F" w14:textId="77777777" w:rsidR="00915C0D" w:rsidRPr="00915C0D" w:rsidRDefault="00915C0D" w:rsidP="00D421FA">
      <w:pPr>
        <w:numPr>
          <w:ilvl w:val="1"/>
          <w:numId w:val="37"/>
        </w:numPr>
        <w:jc w:val="both"/>
        <w:rPr>
          <w:rFonts w:ascii="Times New Roman" w:hAnsi="Times New Roman"/>
          <w:sz w:val="22"/>
          <w:szCs w:val="22"/>
          <w:lang w:eastAsia="es-AR"/>
        </w:rPr>
      </w:pPr>
      <w:r w:rsidRPr="00915C0D">
        <w:rPr>
          <w:rFonts w:ascii="Times New Roman" w:hAnsi="Times New Roman"/>
          <w:sz w:val="22"/>
          <w:szCs w:val="22"/>
        </w:rPr>
        <w:t xml:space="preserve">The following table summarizes the main gold mining productive and commercial indicators in Guyana during the last 3 years. Highlights: (a) production grows at a level higher than 16% per </w:t>
      </w:r>
      <w:proofErr w:type="gramStart"/>
      <w:r w:rsidRPr="00915C0D">
        <w:rPr>
          <w:rFonts w:ascii="Times New Roman" w:hAnsi="Times New Roman"/>
          <w:sz w:val="22"/>
          <w:szCs w:val="22"/>
        </w:rPr>
        <w:t>year,</w:t>
      </w:r>
      <w:proofErr w:type="gramEnd"/>
      <w:r w:rsidRPr="00915C0D">
        <w:rPr>
          <w:rFonts w:ascii="Times New Roman" w:hAnsi="Times New Roman"/>
          <w:sz w:val="22"/>
          <w:szCs w:val="22"/>
        </w:rPr>
        <w:t xml:space="preserve"> (b) exports absorb the entire production, showing high economic values due to the commodity high prices (in spite of the reduction at the end of the period). </w:t>
      </w:r>
    </w:p>
    <w:p w14:paraId="36B19E53" w14:textId="77777777" w:rsidR="00915C0D" w:rsidRPr="00915C0D" w:rsidRDefault="00915C0D" w:rsidP="00915C0D">
      <w:pPr>
        <w:pStyle w:val="ListParagraph"/>
        <w:spacing w:before="120" w:after="120"/>
        <w:jc w:val="center"/>
        <w:rPr>
          <w:rFonts w:ascii="Times New Roman" w:hAnsi="Times New Roman"/>
          <w:sz w:val="22"/>
          <w:szCs w:val="22"/>
        </w:rPr>
      </w:pPr>
      <w:r w:rsidRPr="00915C0D">
        <w:rPr>
          <w:rFonts w:ascii="Times New Roman" w:hAnsi="Times New Roman"/>
          <w:sz w:val="22"/>
          <w:szCs w:val="22"/>
        </w:rPr>
        <w:t xml:space="preserve">Table 5.  Gold </w:t>
      </w:r>
      <w:proofErr w:type="gramStart"/>
      <w:r w:rsidRPr="00915C0D">
        <w:rPr>
          <w:rFonts w:ascii="Times New Roman" w:hAnsi="Times New Roman"/>
          <w:sz w:val="22"/>
          <w:szCs w:val="22"/>
        </w:rPr>
        <w:t>Mining  -</w:t>
      </w:r>
      <w:proofErr w:type="gramEnd"/>
      <w:r w:rsidRPr="00915C0D">
        <w:rPr>
          <w:rFonts w:ascii="Times New Roman" w:hAnsi="Times New Roman"/>
          <w:sz w:val="22"/>
          <w:szCs w:val="22"/>
        </w:rPr>
        <w:t xml:space="preserve"> Main Figures.</w:t>
      </w:r>
    </w:p>
    <w:p w14:paraId="5713971D" w14:textId="77777777" w:rsidR="00915C0D" w:rsidRPr="00915C0D" w:rsidRDefault="00915C0D" w:rsidP="00915C0D">
      <w:pPr>
        <w:pStyle w:val="ListParagraph"/>
        <w:rPr>
          <w:rFonts w:ascii="Times New Roman" w:hAnsi="Times New Roman"/>
          <w:sz w:val="18"/>
          <w:szCs w:val="18"/>
        </w:rPr>
      </w:pPr>
      <w:r w:rsidRPr="00915C0D">
        <w:rPr>
          <w:rFonts w:ascii="Times New Roman" w:hAnsi="Times New Roman"/>
          <w:noProof/>
          <w:sz w:val="18"/>
          <w:szCs w:val="18"/>
        </w:rPr>
        <w:drawing>
          <wp:anchor distT="0" distB="0" distL="114300" distR="114300" simplePos="0" relativeHeight="251658240" behindDoc="0" locked="0" layoutInCell="1" allowOverlap="1" wp14:anchorId="6228A5AE" wp14:editId="4C68EF35">
            <wp:simplePos x="0" y="0"/>
            <wp:positionH relativeFrom="column">
              <wp:posOffset>25400</wp:posOffset>
            </wp:positionH>
            <wp:positionV relativeFrom="paragraph">
              <wp:posOffset>90805</wp:posOffset>
            </wp:positionV>
            <wp:extent cx="5278755" cy="1039495"/>
            <wp:effectExtent l="19050" t="0" r="0" b="0"/>
            <wp:wrapTopAndBottom/>
            <wp:docPr id="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srcRect/>
                    <a:stretch>
                      <a:fillRect/>
                    </a:stretch>
                  </pic:blipFill>
                  <pic:spPr bwMode="auto">
                    <a:xfrm>
                      <a:off x="0" y="0"/>
                      <a:ext cx="5278755" cy="1039495"/>
                    </a:xfrm>
                    <a:prstGeom prst="rect">
                      <a:avLst/>
                    </a:prstGeom>
                    <a:noFill/>
                    <a:ln w="9525">
                      <a:noFill/>
                      <a:miter lim="800000"/>
                      <a:headEnd/>
                      <a:tailEnd/>
                    </a:ln>
                  </pic:spPr>
                </pic:pic>
              </a:graphicData>
            </a:graphic>
          </wp:anchor>
        </w:drawing>
      </w:r>
      <w:r w:rsidRPr="00915C0D">
        <w:rPr>
          <w:rFonts w:ascii="Times New Roman" w:hAnsi="Times New Roman"/>
          <w:sz w:val="18"/>
          <w:szCs w:val="18"/>
        </w:rPr>
        <w:t>Fuente: Bureau of statistics   and Bank Of Guyana.</w:t>
      </w:r>
    </w:p>
    <w:p w14:paraId="25991FE2" w14:textId="77777777" w:rsidR="00915C0D" w:rsidRPr="00915C0D" w:rsidRDefault="00915C0D" w:rsidP="00915C0D">
      <w:pPr>
        <w:pStyle w:val="ListParagraph"/>
        <w:rPr>
          <w:rFonts w:ascii="Times New Roman" w:hAnsi="Times New Roman"/>
          <w:sz w:val="22"/>
          <w:szCs w:val="22"/>
          <w:lang w:eastAsia="es-AR"/>
        </w:rPr>
      </w:pPr>
    </w:p>
    <w:p w14:paraId="7E68ED9A" w14:textId="60D2EF4C" w:rsidR="00915C0D" w:rsidRPr="00915C0D" w:rsidRDefault="00915C0D" w:rsidP="00915C0D">
      <w:pPr>
        <w:ind w:left="718"/>
        <w:jc w:val="both"/>
        <w:rPr>
          <w:rFonts w:ascii="Times New Roman" w:hAnsi="Times New Roman"/>
          <w:sz w:val="22"/>
          <w:szCs w:val="22"/>
        </w:rPr>
      </w:pPr>
      <w:r w:rsidRPr="00915C0D">
        <w:rPr>
          <w:rFonts w:ascii="Times New Roman" w:hAnsi="Times New Roman"/>
          <w:sz w:val="22"/>
          <w:szCs w:val="22"/>
        </w:rPr>
        <w:t>According to experiences assessed by the GGMC</w:t>
      </w:r>
      <w:r w:rsidRPr="00915C0D">
        <w:rPr>
          <w:rFonts w:ascii="Times New Roman" w:hAnsi="Times New Roman"/>
          <w:sz w:val="22"/>
          <w:szCs w:val="22"/>
          <w:vertAlign w:val="superscript"/>
        </w:rPr>
        <w:footnoteReference w:id="56"/>
      </w:r>
      <w:r w:rsidRPr="00915C0D">
        <w:rPr>
          <w:rFonts w:ascii="Times New Roman" w:hAnsi="Times New Roman"/>
          <w:sz w:val="22"/>
          <w:szCs w:val="22"/>
          <w:vertAlign w:val="superscript"/>
        </w:rPr>
        <w:t>,</w:t>
      </w:r>
      <w:r w:rsidRPr="00915C0D">
        <w:rPr>
          <w:rFonts w:ascii="Times New Roman" w:hAnsi="Times New Roman"/>
          <w:sz w:val="22"/>
          <w:szCs w:val="22"/>
        </w:rPr>
        <w:t xml:space="preserve"> productivity in terms of area unit could be increased </w:t>
      </w:r>
      <w:proofErr w:type="spellStart"/>
      <w:r w:rsidRPr="00915C0D">
        <w:rPr>
          <w:rFonts w:ascii="Times New Roman" w:hAnsi="Times New Roman"/>
          <w:sz w:val="22"/>
          <w:szCs w:val="22"/>
        </w:rPr>
        <w:t>fron</w:t>
      </w:r>
      <w:proofErr w:type="spellEnd"/>
      <w:r w:rsidRPr="00915C0D">
        <w:rPr>
          <w:rFonts w:ascii="Times New Roman" w:hAnsi="Times New Roman"/>
          <w:sz w:val="22"/>
          <w:szCs w:val="22"/>
        </w:rPr>
        <w:t xml:space="preserve"> the current level of 40% up to a maximum level 55-60%, from the adaptation of clean technologies currently applied in operations of different dimension and location.  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supported by the current PBP, has predicted funding for the studies enabling to structure the aforementioned adaptation, by verifying the consistence of economic feasibility of these initiatives in low and medium-scale mining operations, as well as by providing technical support (and eventually financial from other sources) to facilitate technology adoption by the miners. The process will be channeled through pilot actions enabling the adequate learning and adjustment of progress.</w:t>
      </w:r>
    </w:p>
    <w:p w14:paraId="1A70183F" w14:textId="77777777" w:rsidR="00915C0D" w:rsidRPr="00915C0D" w:rsidRDefault="00915C0D" w:rsidP="00915C0D">
      <w:pPr>
        <w:ind w:left="718"/>
        <w:jc w:val="both"/>
        <w:rPr>
          <w:rFonts w:ascii="Times New Roman" w:hAnsi="Times New Roman"/>
          <w:sz w:val="22"/>
          <w:szCs w:val="22"/>
        </w:rPr>
      </w:pPr>
    </w:p>
    <w:p w14:paraId="595EE08F" w14:textId="77777777" w:rsidR="00915C0D" w:rsidRPr="00915C0D" w:rsidRDefault="00915C0D" w:rsidP="00D421FA">
      <w:pPr>
        <w:numPr>
          <w:ilvl w:val="1"/>
          <w:numId w:val="37"/>
        </w:numPr>
        <w:jc w:val="both"/>
        <w:rPr>
          <w:rFonts w:ascii="Times New Roman" w:hAnsi="Times New Roman"/>
          <w:sz w:val="22"/>
          <w:szCs w:val="22"/>
        </w:rPr>
      </w:pPr>
      <w:r w:rsidRPr="00915C0D">
        <w:rPr>
          <w:rFonts w:ascii="Times New Roman" w:hAnsi="Times New Roman"/>
          <w:sz w:val="22"/>
          <w:szCs w:val="22"/>
        </w:rPr>
        <w:t xml:space="preserve">As mentioned,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depends heavily on mining and in particular gold revenue and in a situation of falling gold declarations the temptation is to open more </w:t>
      </w:r>
      <w:proofErr w:type="gramStart"/>
      <w:r w:rsidRPr="00915C0D">
        <w:rPr>
          <w:rFonts w:ascii="Times New Roman" w:hAnsi="Times New Roman"/>
          <w:sz w:val="22"/>
          <w:szCs w:val="22"/>
        </w:rPr>
        <w:t>lands  to</w:t>
      </w:r>
      <w:proofErr w:type="gramEnd"/>
      <w:r w:rsidRPr="00915C0D">
        <w:rPr>
          <w:rFonts w:ascii="Times New Roman" w:hAnsi="Times New Roman"/>
          <w:sz w:val="22"/>
          <w:szCs w:val="22"/>
        </w:rPr>
        <w:t xml:space="preserve"> gold mining. Business-as-usual growth in mining will most certainly result in increased deforestation from the sector, utilizing a greater portion of the deforestation budget.  One of the main challenges is effective coordination of both aspects, </w:t>
      </w:r>
      <w:proofErr w:type="gramStart"/>
      <w:r w:rsidRPr="00915C0D">
        <w:rPr>
          <w:rFonts w:ascii="Times New Roman" w:hAnsi="Times New Roman"/>
          <w:sz w:val="22"/>
          <w:szCs w:val="22"/>
        </w:rPr>
        <w:t>If</w:t>
      </w:r>
      <w:proofErr w:type="gramEnd"/>
      <w:r w:rsidRPr="00915C0D">
        <w:rPr>
          <w:rFonts w:ascii="Times New Roman" w:hAnsi="Times New Roman"/>
          <w:sz w:val="22"/>
          <w:szCs w:val="22"/>
        </w:rPr>
        <w:t xml:space="preserve"> this is not achieved, the effects of the well-designed rules and regulations would become irrelevant.</w:t>
      </w:r>
    </w:p>
    <w:p w14:paraId="27D9A637" w14:textId="77777777" w:rsidR="00915C0D" w:rsidRPr="00915C0D" w:rsidRDefault="00915C0D" w:rsidP="00D421FA">
      <w:pPr>
        <w:numPr>
          <w:ilvl w:val="1"/>
          <w:numId w:val="37"/>
        </w:numPr>
        <w:spacing w:before="120" w:after="120"/>
        <w:jc w:val="both"/>
        <w:rPr>
          <w:rFonts w:ascii="Times New Roman" w:hAnsi="Times New Roman"/>
          <w:sz w:val="22"/>
          <w:szCs w:val="22"/>
        </w:rPr>
      </w:pPr>
      <w:r w:rsidRPr="00915C0D">
        <w:rPr>
          <w:rFonts w:ascii="Times New Roman" w:hAnsi="Times New Roman"/>
          <w:sz w:val="22"/>
          <w:szCs w:val="22"/>
        </w:rPr>
        <w:t xml:space="preserve">In order to prepare the valorization described below, average gold prices during 2006-2010 </w:t>
      </w:r>
      <w:proofErr w:type="gramStart"/>
      <w:r w:rsidRPr="00915C0D">
        <w:rPr>
          <w:rFonts w:ascii="Times New Roman" w:hAnsi="Times New Roman"/>
          <w:sz w:val="22"/>
          <w:szCs w:val="22"/>
        </w:rPr>
        <w:t>period</w:t>
      </w:r>
      <w:proofErr w:type="gramEnd"/>
      <w:r w:rsidRPr="00915C0D">
        <w:rPr>
          <w:rFonts w:ascii="Times New Roman" w:hAnsi="Times New Roman"/>
          <w:sz w:val="22"/>
          <w:szCs w:val="22"/>
        </w:rPr>
        <w:t xml:space="preserve"> were considered</w:t>
      </w:r>
      <w:r w:rsidRPr="00915C0D">
        <w:rPr>
          <w:rStyle w:val="FootnoteReference"/>
          <w:rFonts w:ascii="Times New Roman" w:hAnsi="Times New Roman"/>
          <w:sz w:val="22"/>
          <w:szCs w:val="22"/>
          <w:lang w:val="es-AR"/>
        </w:rPr>
        <w:footnoteReference w:id="57"/>
      </w:r>
      <w:r w:rsidRPr="00915C0D">
        <w:rPr>
          <w:rFonts w:ascii="Times New Roman" w:hAnsi="Times New Roman"/>
          <w:sz w:val="22"/>
          <w:szCs w:val="22"/>
        </w:rPr>
        <w:t xml:space="preserve">. The estimate of expected benefits to which this program contributes was made on the assumptions below: (a) the potential beneficiaries will have a productive incentive for incorporating clean technologies, since these will enable to meet higher production levels in their exploitations, and in turn obtain higher individual incomes, (b) therefore, a high adoption level is expected, in a range between 25% and 50% of the population, a target to be completed 5 years after the adaptation has been technically validated, (c) the net effects on productivity were weighed between 45% and 50% (final recovery), considering that the small scale represents a significant limitation for the purpose of achieving higher economic margins.  Thus, it is inferred that 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strategy predicts benefits under different scenarios, between </w:t>
      </w:r>
      <w:r>
        <w:rPr>
          <w:rFonts w:ascii="Times New Roman" w:hAnsi="Times New Roman"/>
          <w:sz w:val="22"/>
          <w:szCs w:val="22"/>
        </w:rPr>
        <w:t>US$</w:t>
      </w:r>
      <w:r w:rsidRPr="00915C0D">
        <w:rPr>
          <w:rFonts w:ascii="Times New Roman" w:hAnsi="Times New Roman"/>
          <w:sz w:val="22"/>
          <w:szCs w:val="22"/>
        </w:rPr>
        <w:t xml:space="preserve"> 5.8 and </w:t>
      </w:r>
      <w:r>
        <w:rPr>
          <w:rFonts w:ascii="Times New Roman" w:hAnsi="Times New Roman"/>
          <w:sz w:val="22"/>
          <w:szCs w:val="22"/>
        </w:rPr>
        <w:t>US$</w:t>
      </w:r>
      <w:r w:rsidRPr="00915C0D">
        <w:rPr>
          <w:rFonts w:ascii="Times New Roman" w:hAnsi="Times New Roman"/>
          <w:sz w:val="22"/>
          <w:szCs w:val="22"/>
        </w:rPr>
        <w:t xml:space="preserve"> 23.3 million per year, to be met in five years without generating additional deforestation effects.</w:t>
      </w:r>
    </w:p>
    <w:p w14:paraId="17331360" w14:textId="77777777" w:rsidR="00C32C1C" w:rsidRDefault="00C32C1C" w:rsidP="00915C0D">
      <w:pPr>
        <w:ind w:left="718"/>
        <w:jc w:val="both"/>
        <w:rPr>
          <w:rFonts w:ascii="Times New Roman" w:hAnsi="Times New Roman"/>
          <w:sz w:val="22"/>
          <w:szCs w:val="22"/>
        </w:rPr>
      </w:pPr>
    </w:p>
    <w:p w14:paraId="7DFD25F9" w14:textId="77777777" w:rsidR="00915C0D" w:rsidRPr="00915C0D" w:rsidRDefault="00915C0D" w:rsidP="00915C0D">
      <w:pPr>
        <w:ind w:left="718"/>
        <w:jc w:val="both"/>
        <w:rPr>
          <w:rFonts w:ascii="Times New Roman" w:hAnsi="Times New Roman"/>
          <w:color w:val="000000" w:themeColor="text1"/>
          <w:sz w:val="22"/>
          <w:szCs w:val="22"/>
        </w:rPr>
      </w:pPr>
      <w:r w:rsidRPr="00915C0D">
        <w:rPr>
          <w:rFonts w:ascii="Times New Roman" w:hAnsi="Times New Roman"/>
          <w:color w:val="000000" w:themeColor="text1"/>
          <w:sz w:val="22"/>
          <w:szCs w:val="22"/>
        </w:rPr>
        <w:t>Table 6. Estimated benefits in gold mining.</w:t>
      </w:r>
    </w:p>
    <w:p w14:paraId="73A6C7CD" w14:textId="77777777" w:rsidR="00915C0D" w:rsidRPr="00915C0D" w:rsidRDefault="00915C0D" w:rsidP="00915C0D">
      <w:pPr>
        <w:ind w:left="718"/>
        <w:jc w:val="both"/>
        <w:rPr>
          <w:rFonts w:ascii="Times New Roman" w:hAnsi="Times New Roman"/>
          <w:color w:val="000000" w:themeColor="text1"/>
          <w:sz w:val="22"/>
          <w:szCs w:val="22"/>
        </w:rPr>
      </w:pPr>
    </w:p>
    <w:p w14:paraId="604BF789" w14:textId="77777777" w:rsidR="00915C0D" w:rsidRPr="00915C0D" w:rsidRDefault="00915C0D" w:rsidP="00915C0D">
      <w:pPr>
        <w:jc w:val="right"/>
        <w:rPr>
          <w:rFonts w:ascii="Times New Roman" w:hAnsi="Times New Roman"/>
          <w:color w:val="000000" w:themeColor="text1"/>
          <w:sz w:val="22"/>
          <w:szCs w:val="22"/>
        </w:rPr>
      </w:pPr>
      <w:r w:rsidRPr="00915C0D">
        <w:rPr>
          <w:noProof/>
        </w:rPr>
        <w:drawing>
          <wp:inline distT="0" distB="0" distL="0" distR="0" wp14:anchorId="70ADACC7" wp14:editId="51CA370B">
            <wp:extent cx="5115560" cy="1470660"/>
            <wp:effectExtent l="19050" t="0" r="8890" b="0"/>
            <wp:docPr id="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srcRect/>
                    <a:stretch>
                      <a:fillRect/>
                    </a:stretch>
                  </pic:blipFill>
                  <pic:spPr bwMode="auto">
                    <a:xfrm>
                      <a:off x="0" y="0"/>
                      <a:ext cx="5115560" cy="1470660"/>
                    </a:xfrm>
                    <a:prstGeom prst="rect">
                      <a:avLst/>
                    </a:prstGeom>
                    <a:noFill/>
                    <a:ln w="9525">
                      <a:noFill/>
                      <a:miter lim="800000"/>
                      <a:headEnd/>
                      <a:tailEnd/>
                    </a:ln>
                  </pic:spPr>
                </pic:pic>
              </a:graphicData>
            </a:graphic>
          </wp:inline>
        </w:drawing>
      </w:r>
      <w:r w:rsidRPr="00915C0D">
        <w:t xml:space="preserve"> </w:t>
      </w:r>
    </w:p>
    <w:p w14:paraId="5D642A8B" w14:textId="77777777" w:rsidR="00915C0D" w:rsidRPr="00915C0D" w:rsidRDefault="00915C0D" w:rsidP="00915C0D">
      <w:pPr>
        <w:rPr>
          <w:rFonts w:ascii="Times New Roman" w:hAnsi="Times New Roman"/>
        </w:rPr>
      </w:pPr>
      <w:r w:rsidRPr="00915C0D">
        <w:rPr>
          <w:rFonts w:ascii="Times New Roman" w:hAnsi="Times New Roman"/>
          <w:color w:val="000000"/>
          <w:sz w:val="18"/>
          <w:szCs w:val="18"/>
        </w:rPr>
        <w:t xml:space="preserve">  </w:t>
      </w:r>
      <w:r w:rsidRPr="00915C0D">
        <w:rPr>
          <w:rFonts w:ascii="Times New Roman" w:hAnsi="Times New Roman"/>
          <w:sz w:val="18"/>
          <w:szCs w:val="18"/>
        </w:rPr>
        <w:t xml:space="preserve">                Own source, based on </w:t>
      </w:r>
      <w:proofErr w:type="spellStart"/>
      <w:r w:rsidRPr="00915C0D">
        <w:rPr>
          <w:rFonts w:ascii="Times New Roman" w:hAnsi="Times New Roman"/>
          <w:sz w:val="18"/>
          <w:szCs w:val="18"/>
        </w:rPr>
        <w:t>MoNRE</w:t>
      </w:r>
      <w:proofErr w:type="spellEnd"/>
      <w:r w:rsidRPr="00915C0D">
        <w:rPr>
          <w:rFonts w:ascii="Times New Roman" w:hAnsi="Times New Roman"/>
          <w:sz w:val="18"/>
          <w:szCs w:val="18"/>
        </w:rPr>
        <w:t xml:space="preserve"> and GGMC data</w:t>
      </w:r>
    </w:p>
    <w:p w14:paraId="66C10649" w14:textId="77777777" w:rsidR="00915C0D" w:rsidRPr="00915C0D" w:rsidRDefault="00915C0D" w:rsidP="00915C0D">
      <w:pPr>
        <w:pStyle w:val="ListParagraph"/>
        <w:rPr>
          <w:rFonts w:ascii="Times New Roman" w:hAnsi="Times New Roman"/>
          <w:sz w:val="22"/>
          <w:szCs w:val="22"/>
          <w:lang w:eastAsia="es-AR"/>
        </w:rPr>
      </w:pPr>
    </w:p>
    <w:p w14:paraId="161B1F06" w14:textId="707ECB5E" w:rsidR="00915C0D" w:rsidRPr="00017F75" w:rsidRDefault="00915C0D" w:rsidP="00D421FA">
      <w:pPr>
        <w:numPr>
          <w:ilvl w:val="1"/>
          <w:numId w:val="37"/>
        </w:numPr>
        <w:spacing w:before="120" w:after="120"/>
        <w:ind w:left="709"/>
        <w:jc w:val="both"/>
        <w:rPr>
          <w:rFonts w:ascii="Times New Roman" w:hAnsi="Times New Roman"/>
          <w:color w:val="000000" w:themeColor="text1"/>
          <w:sz w:val="22"/>
          <w:szCs w:val="22"/>
        </w:rPr>
      </w:pPr>
      <w:r w:rsidRPr="00915C0D">
        <w:rPr>
          <w:rFonts w:ascii="Times New Roman" w:hAnsi="Times New Roman"/>
          <w:color w:val="000000"/>
          <w:sz w:val="22"/>
          <w:szCs w:val="22"/>
        </w:rPr>
        <w:t xml:space="preserve">In addition, significant reductions in mercury releases from ASM can be obtained by introducing mercury-free techniques and </w:t>
      </w:r>
      <w:r w:rsidR="00745D14" w:rsidRPr="00915C0D">
        <w:rPr>
          <w:rFonts w:ascii="Times New Roman" w:hAnsi="Times New Roman"/>
          <w:color w:val="000000"/>
          <w:sz w:val="22"/>
          <w:szCs w:val="22"/>
        </w:rPr>
        <w:t>low-cost</w:t>
      </w:r>
      <w:r w:rsidRPr="00915C0D">
        <w:rPr>
          <w:rFonts w:ascii="Times New Roman" w:hAnsi="Times New Roman"/>
          <w:color w:val="000000"/>
          <w:sz w:val="22"/>
          <w:szCs w:val="22"/>
        </w:rPr>
        <w:t xml:space="preserve"> mercury capturing devices that allow a high rate of recycling. Take-up of such techniques will depend on training miners that will need to take account of the wider socio-economic and development contexts of the sector</w:t>
      </w:r>
      <w:r w:rsidRPr="00915C0D">
        <w:rPr>
          <w:rStyle w:val="FootnoteReference"/>
          <w:rFonts w:ascii="Times New Roman" w:hAnsi="Times New Roman"/>
          <w:color w:val="000000" w:themeColor="text1"/>
          <w:sz w:val="22"/>
          <w:szCs w:val="22"/>
        </w:rPr>
        <w:footnoteReference w:id="58"/>
      </w:r>
      <w:r w:rsidRPr="00915C0D">
        <w:rPr>
          <w:rFonts w:ascii="Times New Roman" w:hAnsi="Times New Roman"/>
          <w:color w:val="000000"/>
          <w:sz w:val="22"/>
          <w:szCs w:val="22"/>
        </w:rPr>
        <w:t>Because there are no previous studies in which the usual methodologies can be applied, putting a value on the estimated benefits of this action is complicated.  In practice, in most of the world's mines, the mercury contamination has not been resolved, which makes it difficult to get an indication (however limited) of what the avoided costs might be. In addition, it is common for these environmental liabilities to not be addressed and accumulate for decades, transferring the cost of a solution to future generations.</w:t>
      </w:r>
    </w:p>
    <w:p w14:paraId="2981F05D" w14:textId="77777777" w:rsidR="00915C0D" w:rsidRPr="00017F75" w:rsidRDefault="00915C0D" w:rsidP="00D421FA">
      <w:pPr>
        <w:numPr>
          <w:ilvl w:val="1"/>
          <w:numId w:val="37"/>
        </w:numPr>
        <w:spacing w:before="120" w:after="120"/>
        <w:ind w:left="709"/>
        <w:jc w:val="both"/>
        <w:rPr>
          <w:rFonts w:ascii="Times New Roman" w:hAnsi="Times New Roman"/>
          <w:color w:val="000000" w:themeColor="text1"/>
          <w:sz w:val="22"/>
          <w:szCs w:val="22"/>
        </w:rPr>
      </w:pPr>
      <w:r w:rsidRPr="00915C0D">
        <w:rPr>
          <w:rFonts w:ascii="Times New Roman" w:hAnsi="Times New Roman"/>
          <w:color w:val="000000"/>
          <w:sz w:val="22"/>
          <w:szCs w:val="22"/>
        </w:rPr>
        <w:t xml:space="preserve">An approximation of the expected benefits that may result from applying the </w:t>
      </w:r>
      <w:proofErr w:type="spellStart"/>
      <w:r w:rsidRPr="00915C0D">
        <w:rPr>
          <w:rFonts w:ascii="Times New Roman" w:hAnsi="Times New Roman"/>
          <w:color w:val="000000"/>
          <w:sz w:val="22"/>
          <w:szCs w:val="22"/>
        </w:rPr>
        <w:t>Minamata</w:t>
      </w:r>
      <w:proofErr w:type="spellEnd"/>
      <w:r w:rsidRPr="00915C0D">
        <w:rPr>
          <w:rFonts w:ascii="Times New Roman" w:hAnsi="Times New Roman"/>
          <w:color w:val="000000"/>
          <w:sz w:val="22"/>
          <w:szCs w:val="22"/>
        </w:rPr>
        <w:t xml:space="preserve"> Convention to artisanal mining in Guyana is presented in the following analysis:</w:t>
      </w:r>
    </w:p>
    <w:p w14:paraId="78EEE8B0" w14:textId="77777777" w:rsidR="00915C0D" w:rsidRPr="00017F75" w:rsidRDefault="00915C0D" w:rsidP="00CE5909">
      <w:pPr>
        <w:pStyle w:val="ListParagraph"/>
        <w:numPr>
          <w:ilvl w:val="0"/>
          <w:numId w:val="32"/>
        </w:numPr>
        <w:jc w:val="both"/>
        <w:rPr>
          <w:rFonts w:ascii="Times New Roman" w:hAnsi="Times New Roman"/>
          <w:color w:val="000000" w:themeColor="text1"/>
          <w:sz w:val="22"/>
          <w:szCs w:val="22"/>
        </w:rPr>
      </w:pPr>
      <w:r w:rsidRPr="00915C0D">
        <w:rPr>
          <w:rFonts w:ascii="Times New Roman" w:hAnsi="Times New Roman"/>
          <w:color w:val="000000"/>
          <w:sz w:val="22"/>
          <w:szCs w:val="22"/>
        </w:rPr>
        <w:t xml:space="preserve">According to typical extraction levels in this sector, it is assumed that in Guyana between 1 and 2 grams of gold is recovered per cubic meter of rock removed. Gold production in the ASM sector averaged 10,350 kg per year. When both are taken together, 5.2 million tons of </w:t>
      </w:r>
      <w:proofErr w:type="gramStart"/>
      <w:r w:rsidRPr="00915C0D">
        <w:rPr>
          <w:rFonts w:ascii="Times New Roman" w:hAnsi="Times New Roman"/>
          <w:color w:val="000000"/>
          <w:sz w:val="22"/>
          <w:szCs w:val="22"/>
        </w:rPr>
        <w:t>rock were</w:t>
      </w:r>
      <w:proofErr w:type="gramEnd"/>
      <w:r w:rsidRPr="00915C0D">
        <w:rPr>
          <w:rFonts w:ascii="Times New Roman" w:hAnsi="Times New Roman"/>
          <w:color w:val="000000"/>
          <w:sz w:val="22"/>
          <w:szCs w:val="22"/>
        </w:rPr>
        <w:t xml:space="preserve"> removed in the three-year period between 2011-2013.</w:t>
      </w:r>
    </w:p>
    <w:p w14:paraId="00619E07" w14:textId="77777777" w:rsidR="00915C0D" w:rsidRPr="00017F75" w:rsidRDefault="00915C0D" w:rsidP="00CE5909">
      <w:pPr>
        <w:pStyle w:val="ListParagraph"/>
        <w:numPr>
          <w:ilvl w:val="0"/>
          <w:numId w:val="32"/>
        </w:numPr>
        <w:jc w:val="both"/>
        <w:rPr>
          <w:rFonts w:ascii="Times New Roman" w:hAnsi="Times New Roman"/>
          <w:color w:val="000000" w:themeColor="text1"/>
          <w:sz w:val="22"/>
          <w:szCs w:val="22"/>
        </w:rPr>
      </w:pPr>
      <w:r w:rsidRPr="00915C0D">
        <w:rPr>
          <w:rFonts w:ascii="Times New Roman" w:hAnsi="Times New Roman"/>
          <w:color w:val="000000"/>
          <w:sz w:val="22"/>
          <w:szCs w:val="22"/>
        </w:rPr>
        <w:t>Remediating the contaminated soil and water is not a regular task, but rather requires a specific, technical, and expert analysis. However, it can be generally established that all the soil removed must be decontaminated, so that a reference to the volume to be treated is a solid indication of the minimum costs to be incurred.</w:t>
      </w:r>
    </w:p>
    <w:p w14:paraId="3BF83036" w14:textId="77777777" w:rsidR="00915C0D" w:rsidRPr="00017F75" w:rsidRDefault="00915C0D" w:rsidP="00CE5909">
      <w:pPr>
        <w:pStyle w:val="ListParagraph"/>
        <w:numPr>
          <w:ilvl w:val="0"/>
          <w:numId w:val="32"/>
        </w:numPr>
        <w:jc w:val="both"/>
        <w:rPr>
          <w:rFonts w:ascii="Times New Roman" w:hAnsi="Times New Roman"/>
          <w:color w:val="000000" w:themeColor="text1"/>
          <w:sz w:val="22"/>
          <w:szCs w:val="22"/>
        </w:rPr>
      </w:pPr>
      <w:r w:rsidRPr="00915C0D">
        <w:rPr>
          <w:rFonts w:ascii="Times New Roman" w:hAnsi="Times New Roman"/>
          <w:color w:val="000000"/>
          <w:sz w:val="22"/>
          <w:szCs w:val="22"/>
        </w:rPr>
        <w:t>In a report by the US Geological Services</w:t>
      </w:r>
      <w:r w:rsidRPr="00915C0D">
        <w:rPr>
          <w:rStyle w:val="FootnoteReference"/>
          <w:rFonts w:ascii="Times New Roman" w:hAnsi="Times New Roman"/>
          <w:color w:val="000000" w:themeColor="text1"/>
          <w:sz w:val="22"/>
          <w:szCs w:val="22"/>
          <w:lang w:val="es-AR"/>
        </w:rPr>
        <w:footnoteReference w:id="59"/>
      </w:r>
      <w:r w:rsidRPr="00915C0D">
        <w:rPr>
          <w:rFonts w:ascii="Times New Roman" w:hAnsi="Times New Roman"/>
          <w:color w:val="000000"/>
          <w:sz w:val="22"/>
          <w:szCs w:val="22"/>
        </w:rPr>
        <w:t xml:space="preserve"> on the cost to remediate 9 mines in California, a range of costs was laid out that varied from US$ 1.2 and US$ 20.7 per cubic meter (average US$ 10.9 per cubic meter). </w:t>
      </w:r>
    </w:p>
    <w:p w14:paraId="3B5E4DE7" w14:textId="77777777" w:rsidR="00915C0D" w:rsidRPr="00017F75" w:rsidRDefault="00915C0D" w:rsidP="00CE5909">
      <w:pPr>
        <w:pStyle w:val="ListParagraph"/>
        <w:numPr>
          <w:ilvl w:val="0"/>
          <w:numId w:val="32"/>
        </w:numPr>
        <w:jc w:val="both"/>
        <w:rPr>
          <w:rFonts w:ascii="Times New Roman" w:hAnsi="Times New Roman"/>
          <w:color w:val="000000" w:themeColor="text1"/>
          <w:sz w:val="22"/>
          <w:szCs w:val="22"/>
        </w:rPr>
      </w:pPr>
      <w:r w:rsidRPr="00915C0D">
        <w:rPr>
          <w:rFonts w:ascii="Times New Roman" w:hAnsi="Times New Roman"/>
          <w:color w:val="000000"/>
          <w:sz w:val="22"/>
          <w:szCs w:val="22"/>
        </w:rPr>
        <w:t>Given the above, it is estimated that the environmental liabilities avoided</w:t>
      </w:r>
      <w:r w:rsidRPr="00915C0D">
        <w:rPr>
          <w:rStyle w:val="FootnoteReference"/>
          <w:rFonts w:ascii="Times New Roman" w:hAnsi="Times New Roman"/>
          <w:color w:val="000000" w:themeColor="text1"/>
          <w:sz w:val="22"/>
          <w:szCs w:val="22"/>
          <w:lang w:val="es-AR"/>
        </w:rPr>
        <w:footnoteReference w:id="60"/>
      </w:r>
      <w:r w:rsidRPr="00915C0D">
        <w:rPr>
          <w:rFonts w:ascii="Times New Roman" w:hAnsi="Times New Roman"/>
          <w:color w:val="000000"/>
          <w:sz w:val="22"/>
          <w:szCs w:val="22"/>
        </w:rPr>
        <w:t xml:space="preserve"> after consolidating a policy to eliminate mercury contamination would represent an annual savings of US$ 56.4 million.</w:t>
      </w:r>
    </w:p>
    <w:p w14:paraId="2BDF6751" w14:textId="77777777" w:rsidR="00915C0D" w:rsidRPr="00017F75" w:rsidRDefault="00915C0D" w:rsidP="00915C0D">
      <w:pPr>
        <w:pStyle w:val="ListParagraph"/>
        <w:ind w:left="709"/>
        <w:jc w:val="both"/>
        <w:rPr>
          <w:rFonts w:ascii="Times New Roman" w:hAnsi="Times New Roman"/>
          <w:color w:val="000000" w:themeColor="text1"/>
          <w:sz w:val="22"/>
          <w:szCs w:val="22"/>
        </w:rPr>
      </w:pPr>
    </w:p>
    <w:p w14:paraId="01FA67C5" w14:textId="77777777" w:rsidR="00915C0D" w:rsidRPr="00915C0D" w:rsidRDefault="00915C0D" w:rsidP="00CE5909">
      <w:pPr>
        <w:pStyle w:val="ListParagraph"/>
        <w:numPr>
          <w:ilvl w:val="1"/>
          <w:numId w:val="26"/>
        </w:numPr>
        <w:ind w:left="709" w:hanging="709"/>
        <w:jc w:val="both"/>
        <w:rPr>
          <w:rFonts w:ascii="Times New Roman" w:hAnsi="Times New Roman"/>
          <w:sz w:val="22"/>
          <w:szCs w:val="22"/>
        </w:rPr>
      </w:pPr>
      <w:r w:rsidRPr="00915C0D">
        <w:rPr>
          <w:rFonts w:ascii="Times New Roman" w:hAnsi="Times New Roman"/>
          <w:i/>
          <w:color w:val="000000" w:themeColor="text1"/>
          <w:sz w:val="22"/>
          <w:szCs w:val="22"/>
        </w:rPr>
        <w:t>Forestry.</w:t>
      </w:r>
      <w:r w:rsidRPr="00915C0D">
        <w:rPr>
          <w:rFonts w:ascii="Times New Roman" w:hAnsi="Times New Roman"/>
          <w:color w:val="000000" w:themeColor="text1"/>
          <w:sz w:val="22"/>
          <w:szCs w:val="22"/>
        </w:rPr>
        <w:t xml:space="preserve"> </w:t>
      </w:r>
      <w:r w:rsidRPr="00915C0D">
        <w:rPr>
          <w:rFonts w:ascii="Times New Roman" w:hAnsi="Times New Roman"/>
          <w:sz w:val="22"/>
          <w:szCs w:val="22"/>
        </w:rPr>
        <w:t xml:space="preserve">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strategy on certification of wood origin and legality has the following scheme: (1) operating under a general protection framework defined by seeking an agreement with the European Union, under FLEGT terms. As regards its conditions (negotiation established in Policy Matrix), current international certification systems are expected to be fostered, (2) once the above is achieved, it is estimated that conditions of demanding markets will act as a strong natural incentive. </w:t>
      </w:r>
    </w:p>
    <w:p w14:paraId="7E6BAE61" w14:textId="77777777" w:rsidR="00915C0D" w:rsidRPr="00915C0D" w:rsidRDefault="00915C0D" w:rsidP="00915C0D">
      <w:pPr>
        <w:pStyle w:val="ListParagraph"/>
        <w:ind w:left="709" w:hanging="709"/>
        <w:jc w:val="both"/>
        <w:rPr>
          <w:rFonts w:ascii="Times New Roman" w:hAnsi="Times New Roman"/>
          <w:sz w:val="22"/>
          <w:szCs w:val="22"/>
        </w:rPr>
      </w:pPr>
    </w:p>
    <w:p w14:paraId="040DB9D4" w14:textId="77777777" w:rsidR="00915C0D" w:rsidRPr="00915C0D" w:rsidRDefault="00915C0D" w:rsidP="00CE5909">
      <w:pPr>
        <w:pStyle w:val="ListParagraph"/>
        <w:numPr>
          <w:ilvl w:val="1"/>
          <w:numId w:val="26"/>
        </w:numPr>
        <w:ind w:left="709" w:hanging="709"/>
        <w:jc w:val="both"/>
        <w:rPr>
          <w:rFonts w:ascii="Times New Roman" w:hAnsi="Times New Roman"/>
          <w:color w:val="000000" w:themeColor="text1"/>
          <w:sz w:val="22"/>
          <w:szCs w:val="22"/>
        </w:rPr>
      </w:pPr>
      <w:r w:rsidRPr="00915C0D">
        <w:rPr>
          <w:rFonts w:ascii="Times New Roman" w:hAnsi="Times New Roman"/>
          <w:color w:val="000000" w:themeColor="text1"/>
          <w:sz w:val="22"/>
          <w:szCs w:val="22"/>
        </w:rPr>
        <w:t>Evaluation of the benefits derived from the inclusion of certification systems faces restrictions, given the low maturation condition displayed by the local market. Conceptually, the incorporation of Guyana into the international marketing systems that rely on legally sourced and environmentally sustainable timber is critical, since the future of the sector foresees, not just a price differential, but the disappearance of non-certified product buyers. In this context, the sales channels would be reduced to informal circuits with no chance of subsistence</w:t>
      </w:r>
      <w:r w:rsidRPr="00915C0D">
        <w:rPr>
          <w:rStyle w:val="FootnoteReference"/>
          <w:rFonts w:ascii="Times New Roman" w:hAnsi="Times New Roman"/>
          <w:color w:val="000000" w:themeColor="text1"/>
          <w:sz w:val="22"/>
          <w:szCs w:val="22"/>
        </w:rPr>
        <w:footnoteReference w:id="61"/>
      </w:r>
      <w:r w:rsidRPr="00915C0D">
        <w:rPr>
          <w:rFonts w:ascii="Times New Roman" w:hAnsi="Times New Roman"/>
          <w:color w:val="000000" w:themeColor="text1"/>
          <w:sz w:val="22"/>
          <w:szCs w:val="22"/>
        </w:rPr>
        <w:t xml:space="preserve">. </w:t>
      </w:r>
    </w:p>
    <w:p w14:paraId="1D9EA481" w14:textId="77777777" w:rsidR="00915C0D" w:rsidRPr="00915C0D" w:rsidRDefault="00915C0D" w:rsidP="00915C0D">
      <w:pPr>
        <w:pStyle w:val="ListParagraph"/>
        <w:rPr>
          <w:rFonts w:ascii="Times New Roman" w:hAnsi="Times New Roman"/>
          <w:sz w:val="22"/>
          <w:szCs w:val="22"/>
        </w:rPr>
      </w:pPr>
    </w:p>
    <w:p w14:paraId="6A199BF6" w14:textId="77777777" w:rsidR="00915C0D" w:rsidRPr="00915C0D" w:rsidRDefault="00915C0D" w:rsidP="00CE5909">
      <w:pPr>
        <w:pStyle w:val="ListParagraph"/>
        <w:numPr>
          <w:ilvl w:val="1"/>
          <w:numId w:val="26"/>
        </w:numPr>
        <w:ind w:left="709" w:hanging="709"/>
        <w:jc w:val="both"/>
        <w:rPr>
          <w:rFonts w:ascii="Times New Roman" w:hAnsi="Times New Roman"/>
          <w:sz w:val="22"/>
          <w:szCs w:val="22"/>
        </w:rPr>
      </w:pPr>
      <w:r w:rsidRPr="00915C0D">
        <w:rPr>
          <w:rFonts w:ascii="Times New Roman" w:hAnsi="Times New Roman"/>
          <w:sz w:val="22"/>
          <w:szCs w:val="22"/>
        </w:rPr>
        <w:t>The expected benefits of the PBB may be summarized on two segments of forest activity</w:t>
      </w:r>
      <w:r w:rsidRPr="00915C0D">
        <w:rPr>
          <w:rStyle w:val="FootnoteReference"/>
          <w:rFonts w:ascii="Times New Roman" w:hAnsi="Times New Roman"/>
          <w:sz w:val="22"/>
          <w:szCs w:val="22"/>
        </w:rPr>
        <w:footnoteReference w:id="62"/>
      </w:r>
      <w:r w:rsidRPr="00915C0D">
        <w:rPr>
          <w:rFonts w:ascii="Times New Roman" w:hAnsi="Times New Roman"/>
          <w:sz w:val="22"/>
          <w:szCs w:val="22"/>
        </w:rPr>
        <w:t>: (</w:t>
      </w:r>
      <w:proofErr w:type="spellStart"/>
      <w:r w:rsidRPr="00915C0D">
        <w:rPr>
          <w:rFonts w:ascii="Times New Roman" w:hAnsi="Times New Roman"/>
          <w:sz w:val="22"/>
          <w:szCs w:val="22"/>
        </w:rPr>
        <w:t>i</w:t>
      </w:r>
      <w:proofErr w:type="spellEnd"/>
      <w:r w:rsidRPr="00915C0D">
        <w:rPr>
          <w:rFonts w:ascii="Times New Roman" w:hAnsi="Times New Roman"/>
          <w:sz w:val="22"/>
          <w:szCs w:val="22"/>
        </w:rPr>
        <w:t xml:space="preserve">) </w:t>
      </w:r>
      <w:r w:rsidRPr="00915C0D">
        <w:rPr>
          <w:rFonts w:ascii="Times New Roman" w:hAnsi="Times New Roman"/>
          <w:i/>
          <w:color w:val="000000" w:themeColor="text1"/>
          <w:sz w:val="22"/>
          <w:szCs w:val="22"/>
        </w:rPr>
        <w:t>Primary sector.</w:t>
      </w:r>
      <w:r w:rsidRPr="00915C0D">
        <w:rPr>
          <w:rFonts w:ascii="Times New Roman" w:hAnsi="Times New Roman"/>
          <w:color w:val="000000" w:themeColor="text1"/>
          <w:sz w:val="22"/>
          <w:szCs w:val="22"/>
        </w:rPr>
        <w:t xml:space="preserve"> Using as reference the FSC global survey</w:t>
      </w:r>
      <w:r w:rsidRPr="00915C0D">
        <w:rPr>
          <w:rStyle w:val="FootnoteReference"/>
          <w:rFonts w:ascii="Times New Roman" w:hAnsi="Times New Roman"/>
          <w:color w:val="000000" w:themeColor="text1"/>
          <w:sz w:val="22"/>
          <w:szCs w:val="22"/>
        </w:rPr>
        <w:footnoteReference w:id="63"/>
      </w:r>
      <w:r w:rsidRPr="00915C0D">
        <w:rPr>
          <w:rFonts w:ascii="Times New Roman" w:hAnsi="Times New Roman"/>
          <w:color w:val="000000" w:themeColor="text1"/>
          <w:sz w:val="22"/>
          <w:szCs w:val="22"/>
        </w:rPr>
        <w:t xml:space="preserve"> on the perception of certified companies and a study on the US consumer market for timber it can be concluded that the market assigned value differential between certified and non-certified products is 20% of the price. In order to obtain general appreciation, it is estimated that through </w:t>
      </w:r>
      <w:proofErr w:type="spellStart"/>
      <w:r w:rsidRPr="00915C0D">
        <w:rPr>
          <w:rFonts w:ascii="Times New Roman" w:hAnsi="Times New Roman"/>
          <w:color w:val="000000" w:themeColor="text1"/>
          <w:sz w:val="22"/>
          <w:szCs w:val="22"/>
        </w:rPr>
        <w:t>GoG</w:t>
      </w:r>
      <w:proofErr w:type="spellEnd"/>
      <w:r w:rsidRPr="00915C0D">
        <w:rPr>
          <w:rFonts w:ascii="Times New Roman" w:hAnsi="Times New Roman"/>
          <w:color w:val="000000" w:themeColor="text1"/>
          <w:sz w:val="22"/>
          <w:szCs w:val="22"/>
        </w:rPr>
        <w:t xml:space="preserve"> intervention aimed at supporting the legal trade of forest products, at the current levels of activity,</w:t>
      </w:r>
      <w:r w:rsidRPr="00915C0D">
        <w:rPr>
          <w:rStyle w:val="FootnoteReference"/>
          <w:rFonts w:ascii="Times New Roman" w:hAnsi="Times New Roman"/>
          <w:color w:val="000000" w:themeColor="text1"/>
          <w:sz w:val="22"/>
          <w:szCs w:val="22"/>
        </w:rPr>
        <w:footnoteReference w:id="64"/>
      </w:r>
      <w:r w:rsidRPr="00915C0D">
        <w:rPr>
          <w:rFonts w:ascii="Times New Roman" w:hAnsi="Times New Roman"/>
          <w:color w:val="000000" w:themeColor="text1"/>
          <w:sz w:val="22"/>
          <w:szCs w:val="22"/>
        </w:rPr>
        <w:t xml:space="preserve"> and (ii) </w:t>
      </w:r>
      <w:r w:rsidRPr="00915C0D">
        <w:rPr>
          <w:rFonts w:ascii="Times New Roman" w:hAnsi="Times New Roman"/>
          <w:i/>
          <w:color w:val="000000" w:themeColor="text1"/>
          <w:sz w:val="22"/>
          <w:szCs w:val="22"/>
        </w:rPr>
        <w:t>Added value products</w:t>
      </w:r>
      <w:r w:rsidRPr="00915C0D">
        <w:rPr>
          <w:rFonts w:ascii="Times New Roman" w:hAnsi="Times New Roman"/>
          <w:sz w:val="22"/>
          <w:szCs w:val="22"/>
        </w:rPr>
        <w:t>. It is in this segment where most opportunities arise, since timber production development (and non-timber products) is very limited in Guyana. Progress in the value chain allows for increasing the indirect impacts of the activity</w:t>
      </w:r>
      <w:r w:rsidRPr="00915C0D">
        <w:rPr>
          <w:rStyle w:val="FootnoteReference"/>
          <w:rFonts w:ascii="Times New Roman" w:hAnsi="Times New Roman"/>
          <w:sz w:val="22"/>
          <w:szCs w:val="22"/>
          <w:lang w:val="es-AR"/>
        </w:rPr>
        <w:footnoteReference w:id="65"/>
      </w:r>
      <w:r w:rsidRPr="00915C0D">
        <w:rPr>
          <w:rFonts w:ascii="Times New Roman" w:hAnsi="Times New Roman"/>
          <w:sz w:val="22"/>
          <w:szCs w:val="22"/>
        </w:rPr>
        <w:t xml:space="preserve"> </w:t>
      </w:r>
      <w:r w:rsidRPr="00915C0D">
        <w:rPr>
          <w:rStyle w:val="FootnoteReference"/>
          <w:rFonts w:ascii="Times New Roman" w:hAnsi="Times New Roman"/>
          <w:sz w:val="22"/>
          <w:szCs w:val="22"/>
          <w:lang w:val="es-AR"/>
        </w:rPr>
        <w:footnoteReference w:id="66"/>
      </w:r>
      <w:r w:rsidRPr="00915C0D">
        <w:rPr>
          <w:rFonts w:ascii="Times New Roman" w:hAnsi="Times New Roman"/>
          <w:sz w:val="22"/>
          <w:szCs w:val="22"/>
        </w:rPr>
        <w:t>.</w:t>
      </w:r>
    </w:p>
    <w:p w14:paraId="738127EC" w14:textId="77777777" w:rsidR="00915C0D" w:rsidRPr="00915C0D" w:rsidRDefault="00915C0D" w:rsidP="00915C0D">
      <w:pPr>
        <w:pStyle w:val="ListParagraph"/>
        <w:rPr>
          <w:rFonts w:ascii="Times New Roman" w:hAnsi="Times New Roman"/>
          <w:sz w:val="22"/>
          <w:szCs w:val="22"/>
        </w:rPr>
      </w:pPr>
    </w:p>
    <w:p w14:paraId="3CE576BB" w14:textId="77777777" w:rsidR="00915C0D" w:rsidRPr="00915C0D" w:rsidRDefault="00915C0D" w:rsidP="00CE5909">
      <w:pPr>
        <w:pStyle w:val="ListParagraph"/>
        <w:numPr>
          <w:ilvl w:val="1"/>
          <w:numId w:val="26"/>
        </w:numPr>
        <w:ind w:left="709" w:hanging="709"/>
        <w:jc w:val="both"/>
        <w:rPr>
          <w:rFonts w:ascii="Times New Roman" w:hAnsi="Times New Roman"/>
          <w:sz w:val="22"/>
          <w:szCs w:val="22"/>
        </w:rPr>
      </w:pPr>
      <w:r w:rsidRPr="00915C0D">
        <w:rPr>
          <w:rFonts w:ascii="Times New Roman" w:hAnsi="Times New Roman"/>
          <w:sz w:val="22"/>
          <w:szCs w:val="22"/>
        </w:rPr>
        <w:t>The following table summarizes the main economic figures of the sector, showing the expansion forecasts made.</w:t>
      </w:r>
    </w:p>
    <w:p w14:paraId="4A08B049" w14:textId="77777777" w:rsidR="00915C0D" w:rsidRPr="00915C0D" w:rsidRDefault="00915C0D" w:rsidP="00915C0D">
      <w:pPr>
        <w:pStyle w:val="ListParagraph"/>
        <w:rPr>
          <w:rFonts w:ascii="Times New Roman" w:hAnsi="Times New Roman"/>
          <w:sz w:val="22"/>
          <w:szCs w:val="22"/>
        </w:rPr>
      </w:pPr>
    </w:p>
    <w:p w14:paraId="4A5FBDE1" w14:textId="77777777" w:rsidR="00915C0D" w:rsidRPr="00915C0D" w:rsidRDefault="00915C0D" w:rsidP="00915C0D">
      <w:pPr>
        <w:jc w:val="both"/>
        <w:rPr>
          <w:rFonts w:ascii="Times New Roman" w:hAnsi="Times New Roman"/>
          <w:sz w:val="22"/>
          <w:szCs w:val="22"/>
        </w:rPr>
      </w:pPr>
    </w:p>
    <w:p w14:paraId="56044704" w14:textId="77777777" w:rsidR="00915C0D" w:rsidRPr="00915C0D" w:rsidRDefault="00915C0D" w:rsidP="00915C0D">
      <w:pPr>
        <w:jc w:val="both"/>
        <w:rPr>
          <w:rFonts w:ascii="Times New Roman" w:hAnsi="Times New Roman"/>
          <w:sz w:val="22"/>
          <w:szCs w:val="22"/>
        </w:rPr>
      </w:pPr>
    </w:p>
    <w:p w14:paraId="7D253BF7" w14:textId="77777777" w:rsidR="00915C0D" w:rsidRPr="00915C0D" w:rsidRDefault="00915C0D" w:rsidP="00915C0D">
      <w:pPr>
        <w:jc w:val="both"/>
        <w:rPr>
          <w:rFonts w:ascii="Times New Roman" w:hAnsi="Times New Roman"/>
          <w:sz w:val="22"/>
          <w:szCs w:val="22"/>
        </w:rPr>
      </w:pPr>
    </w:p>
    <w:p w14:paraId="187A78EE" w14:textId="77777777" w:rsidR="00915C0D" w:rsidRPr="00915C0D" w:rsidRDefault="00915C0D" w:rsidP="00915C0D">
      <w:pPr>
        <w:jc w:val="both"/>
        <w:rPr>
          <w:rFonts w:ascii="Times New Roman" w:hAnsi="Times New Roman"/>
          <w:sz w:val="22"/>
          <w:szCs w:val="22"/>
        </w:rPr>
      </w:pPr>
    </w:p>
    <w:p w14:paraId="2D7E023A" w14:textId="77777777" w:rsidR="00915C0D" w:rsidRPr="00915C0D" w:rsidRDefault="00915C0D" w:rsidP="00915C0D">
      <w:pPr>
        <w:jc w:val="both"/>
        <w:rPr>
          <w:rFonts w:ascii="Times New Roman" w:hAnsi="Times New Roman"/>
          <w:sz w:val="22"/>
          <w:szCs w:val="22"/>
        </w:rPr>
      </w:pPr>
    </w:p>
    <w:p w14:paraId="0B0B52BA" w14:textId="77777777" w:rsidR="00915C0D" w:rsidRPr="00915C0D" w:rsidRDefault="00915C0D" w:rsidP="00915C0D">
      <w:pPr>
        <w:pStyle w:val="ListParagraph"/>
        <w:rPr>
          <w:rFonts w:ascii="Times New Roman" w:hAnsi="Times New Roman"/>
          <w:color w:val="000000" w:themeColor="text1"/>
          <w:sz w:val="22"/>
          <w:szCs w:val="22"/>
        </w:rPr>
      </w:pPr>
      <w:r w:rsidRPr="00915C0D">
        <w:rPr>
          <w:rFonts w:ascii="Times New Roman" w:hAnsi="Times New Roman"/>
          <w:color w:val="000000" w:themeColor="text1"/>
          <w:sz w:val="22"/>
          <w:szCs w:val="22"/>
        </w:rPr>
        <w:t>Table 7. Estimated benefits in forestry sector.</w:t>
      </w:r>
    </w:p>
    <w:p w14:paraId="4C714F8F" w14:textId="77777777" w:rsidR="00915C0D" w:rsidRPr="00915C0D" w:rsidRDefault="00915C0D" w:rsidP="00915C0D">
      <w:pPr>
        <w:pStyle w:val="ListParagraph"/>
        <w:ind w:left="0"/>
        <w:jc w:val="both"/>
        <w:rPr>
          <w:rFonts w:ascii="Times New Roman" w:hAnsi="Times New Roman"/>
          <w:color w:val="000000" w:themeColor="text1"/>
          <w:sz w:val="18"/>
          <w:szCs w:val="18"/>
        </w:rPr>
      </w:pPr>
      <w:r w:rsidRPr="00915C0D">
        <w:rPr>
          <w:noProof/>
        </w:rPr>
        <w:drawing>
          <wp:inline distT="0" distB="0" distL="0" distR="0" wp14:anchorId="55AE7870" wp14:editId="214F398E">
            <wp:extent cx="5278755" cy="3343824"/>
            <wp:effectExtent l="19050" t="0" r="0" b="0"/>
            <wp:docPr id="1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srcRect/>
                    <a:stretch>
                      <a:fillRect/>
                    </a:stretch>
                  </pic:blipFill>
                  <pic:spPr bwMode="auto">
                    <a:xfrm>
                      <a:off x="0" y="0"/>
                      <a:ext cx="5278755" cy="3343824"/>
                    </a:xfrm>
                    <a:prstGeom prst="rect">
                      <a:avLst/>
                    </a:prstGeom>
                    <a:noFill/>
                    <a:ln w="9525">
                      <a:noFill/>
                      <a:miter lim="800000"/>
                      <a:headEnd/>
                      <a:tailEnd/>
                    </a:ln>
                  </pic:spPr>
                </pic:pic>
              </a:graphicData>
            </a:graphic>
          </wp:inline>
        </w:drawing>
      </w:r>
      <w:r w:rsidRPr="00915C0D">
        <w:t xml:space="preserve">   </w:t>
      </w:r>
      <w:r w:rsidRPr="00915C0D">
        <w:rPr>
          <w:rFonts w:ascii="Times New Roman" w:hAnsi="Times New Roman"/>
          <w:color w:val="000000" w:themeColor="text1"/>
          <w:sz w:val="18"/>
          <w:szCs w:val="18"/>
        </w:rPr>
        <w:t>Source: own source based on GFC data.</w:t>
      </w:r>
    </w:p>
    <w:p w14:paraId="3205FE50" w14:textId="77777777" w:rsidR="00915C0D" w:rsidRPr="00915C0D" w:rsidRDefault="00915C0D" w:rsidP="00915C0D">
      <w:pPr>
        <w:pStyle w:val="ListParagraph"/>
        <w:ind w:left="709"/>
        <w:jc w:val="both"/>
        <w:rPr>
          <w:rFonts w:ascii="Times New Roman" w:hAnsi="Times New Roman"/>
          <w:color w:val="000000" w:themeColor="text1"/>
          <w:sz w:val="22"/>
          <w:szCs w:val="22"/>
        </w:rPr>
      </w:pPr>
    </w:p>
    <w:p w14:paraId="2AFA02FA" w14:textId="00D15FBE" w:rsidR="00915C0D" w:rsidRPr="00915C0D" w:rsidRDefault="00915C0D" w:rsidP="00CE5909">
      <w:pPr>
        <w:pStyle w:val="ListParagraph"/>
        <w:numPr>
          <w:ilvl w:val="1"/>
          <w:numId w:val="26"/>
        </w:numPr>
        <w:ind w:left="709" w:hanging="709"/>
        <w:jc w:val="both"/>
        <w:rPr>
          <w:rFonts w:ascii="Times New Roman" w:hAnsi="Times New Roman"/>
          <w:sz w:val="22"/>
          <w:szCs w:val="22"/>
        </w:rPr>
      </w:pPr>
      <w:r w:rsidRPr="00915C0D">
        <w:rPr>
          <w:rFonts w:ascii="Times New Roman" w:hAnsi="Times New Roman"/>
          <w:sz w:val="22"/>
          <w:szCs w:val="22"/>
        </w:rPr>
        <w:t>The table above reflects the current profile and the expected changes, estimated on the basis of the legalization and origin certification strategy for forest products supported by this loan. The increased revenue level, based on the ability to have</w:t>
      </w:r>
      <w:r w:rsidR="00745D14">
        <w:rPr>
          <w:rFonts w:ascii="Times New Roman" w:hAnsi="Times New Roman"/>
          <w:sz w:val="22"/>
          <w:szCs w:val="22"/>
        </w:rPr>
        <w:t xml:space="preserve"> access to more demanding, and </w:t>
      </w:r>
      <w:r w:rsidRPr="00915C0D">
        <w:rPr>
          <w:rFonts w:ascii="Times New Roman" w:hAnsi="Times New Roman"/>
          <w:sz w:val="22"/>
          <w:szCs w:val="22"/>
        </w:rPr>
        <w:t>therefore, more profitable markets (strengthening of the relationship with the European market under FLEGT agreement), is among the expected results, as well as the), the consolidation of the activity in the segment of manufactured products (basically in foreign market but also in domestic).</w:t>
      </w:r>
      <w:r w:rsidRPr="00915C0D">
        <w:rPr>
          <w:rStyle w:val="FootnoteReference"/>
          <w:rFonts w:ascii="Times New Roman" w:hAnsi="Times New Roman"/>
          <w:sz w:val="22"/>
          <w:szCs w:val="22"/>
        </w:rPr>
        <w:footnoteReference w:id="67"/>
      </w:r>
      <w:r w:rsidRPr="00915C0D">
        <w:rPr>
          <w:rFonts w:ascii="Times New Roman" w:hAnsi="Times New Roman"/>
          <w:sz w:val="22"/>
          <w:szCs w:val="22"/>
        </w:rPr>
        <w:t xml:space="preserve"> </w:t>
      </w:r>
    </w:p>
    <w:p w14:paraId="54510856" w14:textId="77777777" w:rsidR="00915C0D" w:rsidRPr="00915C0D" w:rsidRDefault="00915C0D" w:rsidP="00915C0D">
      <w:pPr>
        <w:pStyle w:val="ListParagraph"/>
        <w:ind w:left="709"/>
        <w:jc w:val="both"/>
        <w:rPr>
          <w:rFonts w:ascii="Times New Roman" w:hAnsi="Times New Roman"/>
          <w:sz w:val="22"/>
          <w:szCs w:val="22"/>
        </w:rPr>
      </w:pPr>
    </w:p>
    <w:p w14:paraId="43B9AB13" w14:textId="77777777" w:rsidR="00915C0D" w:rsidRPr="00017F75" w:rsidRDefault="00915C0D" w:rsidP="00CE5909">
      <w:pPr>
        <w:pStyle w:val="ListParagraph"/>
        <w:numPr>
          <w:ilvl w:val="1"/>
          <w:numId w:val="26"/>
        </w:numPr>
        <w:ind w:left="709" w:hanging="709"/>
        <w:jc w:val="both"/>
        <w:rPr>
          <w:rFonts w:ascii="Times New Roman" w:hAnsi="Times New Roman"/>
          <w:sz w:val="22"/>
          <w:szCs w:val="22"/>
        </w:rPr>
      </w:pPr>
      <w:r w:rsidRPr="00915C0D">
        <w:rPr>
          <w:rFonts w:ascii="Times New Roman" w:hAnsi="Times New Roman"/>
          <w:sz w:val="22"/>
          <w:szCs w:val="22"/>
        </w:rPr>
        <w:t>The estimated benefits have been calculated for two alternative situations. In the Pessimistic Scenario, the benefits reach US$ 4.3 million, based in the fact that the commercial process will allow access to markets with greater demand and higher prices (FLEGT agreements and similar). The Optimistic Scenario adds advances in the industrial restructuring of the sector, with greater incorporation of added value. Under this assumption, the benefits extend up to US$ 7.3 million per year.</w:t>
      </w:r>
    </w:p>
    <w:p w14:paraId="44E4DDF4" w14:textId="77777777" w:rsidR="00915C0D" w:rsidRPr="00915C0D" w:rsidRDefault="00915C0D" w:rsidP="00915C0D">
      <w:pPr>
        <w:jc w:val="both"/>
        <w:rPr>
          <w:rFonts w:ascii="Times New Roman" w:hAnsi="Times New Roman"/>
          <w:color w:val="000000" w:themeColor="text1"/>
        </w:rPr>
      </w:pPr>
    </w:p>
    <w:p w14:paraId="1B23C29E" w14:textId="77777777" w:rsidR="00915C0D" w:rsidRPr="00915C0D" w:rsidRDefault="00915C0D">
      <w:pPr>
        <w:rPr>
          <w:rFonts w:ascii="Times New Roman" w:hAnsi="Times New Roman"/>
          <w:color w:val="000000" w:themeColor="text1"/>
        </w:rPr>
      </w:pPr>
    </w:p>
    <w:p w14:paraId="45EDED3B" w14:textId="77777777" w:rsidR="00915C0D" w:rsidRPr="006852C1" w:rsidRDefault="00915C0D" w:rsidP="00915C0D">
      <w:pPr>
        <w:pStyle w:val="Heading2"/>
        <w:jc w:val="left"/>
        <w:rPr>
          <w:lang w:val="en-US" w:eastAsia="es-AR"/>
        </w:rPr>
      </w:pPr>
      <w:bookmarkStart w:id="25" w:name="_Toc403028398"/>
      <w:r w:rsidRPr="006852C1">
        <w:rPr>
          <w:lang w:val="en-US"/>
        </w:rPr>
        <w:t>Component 3. Institutional Strengthening.</w:t>
      </w:r>
      <w:bookmarkEnd w:id="25"/>
    </w:p>
    <w:p w14:paraId="53B2D55C" w14:textId="77777777" w:rsidR="00915C0D" w:rsidRPr="00915C0D" w:rsidRDefault="00915C0D" w:rsidP="00915C0D">
      <w:pPr>
        <w:rPr>
          <w:lang w:val="es-ES_tradnl" w:eastAsia="es-AR"/>
        </w:rPr>
      </w:pPr>
    </w:p>
    <w:p w14:paraId="221657C5" w14:textId="77777777" w:rsidR="00915C0D" w:rsidRPr="00017F75" w:rsidRDefault="00915C0D" w:rsidP="00D421FA">
      <w:pPr>
        <w:numPr>
          <w:ilvl w:val="1"/>
          <w:numId w:val="40"/>
        </w:numPr>
        <w:jc w:val="both"/>
        <w:rPr>
          <w:rFonts w:ascii="Times New Roman" w:hAnsi="Times New Roman"/>
          <w:color w:val="000000" w:themeColor="text1"/>
          <w:sz w:val="22"/>
          <w:szCs w:val="22"/>
        </w:rPr>
      </w:pPr>
      <w:r w:rsidRPr="00915C0D">
        <w:rPr>
          <w:rFonts w:ascii="Times New Roman" w:hAnsi="Times New Roman"/>
          <w:sz w:val="22"/>
          <w:szCs w:val="22"/>
        </w:rPr>
        <w:t>Challenges.  Guyana undertook a series of governance reforms from 2003 to 2011 that produced significant improvements in the quality of public expenditure and the reorganization of public finance. In this same course of action, the appropriate management of natural resources demands continuous improvements in the management of the public sector.</w:t>
      </w:r>
    </w:p>
    <w:p w14:paraId="4E31E487" w14:textId="77777777" w:rsidR="00915C0D" w:rsidRPr="00017F75" w:rsidRDefault="00915C0D" w:rsidP="00915C0D">
      <w:pPr>
        <w:rPr>
          <w:rFonts w:ascii="Times New Roman" w:hAnsi="Times New Roman"/>
          <w:bCs/>
          <w:sz w:val="22"/>
        </w:rPr>
      </w:pPr>
    </w:p>
    <w:p w14:paraId="6B18DF37" w14:textId="77777777" w:rsidR="00915C0D" w:rsidRPr="00915C0D" w:rsidRDefault="00915C0D" w:rsidP="00915C0D">
      <w:pPr>
        <w:pBdr>
          <w:top w:val="single" w:sz="4" w:space="1" w:color="auto"/>
          <w:left w:val="single" w:sz="4" w:space="4" w:color="auto"/>
          <w:bottom w:val="single" w:sz="4" w:space="1" w:color="auto"/>
          <w:right w:val="single" w:sz="4" w:space="4" w:color="auto"/>
        </w:pBdr>
        <w:jc w:val="both"/>
        <w:rPr>
          <w:rFonts w:ascii="Times New Roman" w:hAnsi="Times New Roman"/>
          <w:bCs/>
          <w:sz w:val="22"/>
          <w:lang w:val="es-ES"/>
        </w:rPr>
      </w:pPr>
      <w:r w:rsidRPr="00915C0D">
        <w:rPr>
          <w:rFonts w:ascii="Times New Roman" w:hAnsi="Times New Roman"/>
          <w:sz w:val="22"/>
          <w:szCs w:val="22"/>
        </w:rPr>
        <w:t>Component 3 Commitment. Includes:</w:t>
      </w:r>
    </w:p>
    <w:p w14:paraId="34382875" w14:textId="77777777" w:rsidR="00915C0D" w:rsidRPr="00915C0D" w:rsidRDefault="00915C0D" w:rsidP="00915C0D">
      <w:pPr>
        <w:pBdr>
          <w:top w:val="single" w:sz="4" w:space="1" w:color="auto"/>
          <w:left w:val="single" w:sz="4" w:space="4" w:color="auto"/>
          <w:bottom w:val="single" w:sz="4" w:space="1" w:color="auto"/>
          <w:right w:val="single" w:sz="4" w:space="4" w:color="auto"/>
        </w:pBdr>
        <w:jc w:val="both"/>
        <w:rPr>
          <w:rFonts w:ascii="Times New Roman" w:hAnsi="Times New Roman"/>
          <w:bCs/>
          <w:sz w:val="22"/>
          <w:lang w:val="es-ES"/>
        </w:rPr>
      </w:pPr>
    </w:p>
    <w:p w14:paraId="6974E47F" w14:textId="77777777" w:rsidR="00915C0D" w:rsidRPr="00915C0D" w:rsidRDefault="00915C0D" w:rsidP="00CE5909">
      <w:pPr>
        <w:pStyle w:val="ListParagraph"/>
        <w:numPr>
          <w:ilvl w:val="0"/>
          <w:numId w:val="30"/>
        </w:numPr>
        <w:pBdr>
          <w:top w:val="single" w:sz="4" w:space="1" w:color="auto"/>
          <w:left w:val="single" w:sz="4" w:space="4" w:color="auto"/>
          <w:bottom w:val="single" w:sz="4" w:space="1" w:color="auto"/>
          <w:right w:val="single" w:sz="4" w:space="4" w:color="auto"/>
        </w:pBdr>
        <w:jc w:val="both"/>
        <w:rPr>
          <w:rFonts w:ascii="Times New Roman" w:hAnsi="Times New Roman"/>
          <w:bCs/>
          <w:sz w:val="22"/>
        </w:rPr>
      </w:pPr>
      <w:r w:rsidRPr="00915C0D">
        <w:rPr>
          <w:rFonts w:ascii="Times New Roman" w:hAnsi="Times New Roman"/>
          <w:bCs/>
          <w:sz w:val="22"/>
        </w:rPr>
        <w:t>MNRE Strategic Plan detailing adjustments to: (</w:t>
      </w:r>
      <w:proofErr w:type="spellStart"/>
      <w:r w:rsidRPr="00915C0D">
        <w:rPr>
          <w:rFonts w:ascii="Times New Roman" w:hAnsi="Times New Roman"/>
          <w:bCs/>
          <w:sz w:val="22"/>
        </w:rPr>
        <w:t>i</w:t>
      </w:r>
      <w:proofErr w:type="spellEnd"/>
      <w:r w:rsidRPr="00915C0D">
        <w:rPr>
          <w:rFonts w:ascii="Times New Roman" w:hAnsi="Times New Roman"/>
          <w:bCs/>
          <w:sz w:val="22"/>
        </w:rPr>
        <w:t>) create Planning &amp; Policy Unit; (ii) create Coordination Unit to cover existing agencies under MNRE; (iii) create mechanisms for effective coordination between extractive sector-related agencies.</w:t>
      </w:r>
    </w:p>
    <w:p w14:paraId="446ECDBA" w14:textId="77777777" w:rsidR="00915C0D" w:rsidRPr="00915C0D" w:rsidRDefault="00915C0D" w:rsidP="00CE5909">
      <w:pPr>
        <w:pStyle w:val="ListParagraph"/>
        <w:numPr>
          <w:ilvl w:val="0"/>
          <w:numId w:val="30"/>
        </w:numPr>
        <w:pBdr>
          <w:top w:val="single" w:sz="4" w:space="1" w:color="auto"/>
          <w:left w:val="single" w:sz="4" w:space="4" w:color="auto"/>
          <w:bottom w:val="single" w:sz="4" w:space="1" w:color="auto"/>
          <w:right w:val="single" w:sz="4" w:space="4" w:color="auto"/>
        </w:pBdr>
        <w:jc w:val="both"/>
        <w:rPr>
          <w:rFonts w:ascii="Times New Roman" w:hAnsi="Times New Roman"/>
          <w:bCs/>
          <w:sz w:val="22"/>
        </w:rPr>
      </w:pPr>
      <w:r w:rsidRPr="00915C0D">
        <w:rPr>
          <w:rFonts w:ascii="Times New Roman" w:hAnsi="Times New Roman"/>
          <w:bCs/>
          <w:sz w:val="22"/>
        </w:rPr>
        <w:t>Adoption of knowledge-based mechanisms to improve environmental management of forest-based sector effective coordination between extractive sector-related agencies</w:t>
      </w:r>
    </w:p>
    <w:p w14:paraId="69D7407E" w14:textId="77777777" w:rsidR="00915C0D" w:rsidRPr="00915C0D" w:rsidRDefault="00915C0D" w:rsidP="00915C0D">
      <w:pPr>
        <w:pBdr>
          <w:top w:val="single" w:sz="4" w:space="1" w:color="auto"/>
          <w:left w:val="single" w:sz="4" w:space="4" w:color="auto"/>
          <w:bottom w:val="single" w:sz="4" w:space="1" w:color="auto"/>
          <w:right w:val="single" w:sz="4" w:space="4" w:color="auto"/>
        </w:pBdr>
        <w:jc w:val="both"/>
        <w:rPr>
          <w:rFonts w:ascii="Times New Roman" w:hAnsi="Times New Roman"/>
          <w:bCs/>
          <w:sz w:val="22"/>
        </w:rPr>
      </w:pPr>
    </w:p>
    <w:p w14:paraId="01D21F82" w14:textId="77777777" w:rsidR="00915C0D" w:rsidRPr="00017F75" w:rsidRDefault="00915C0D" w:rsidP="00915C0D">
      <w:pPr>
        <w:pBdr>
          <w:top w:val="single" w:sz="4" w:space="1" w:color="auto"/>
          <w:left w:val="single" w:sz="4" w:space="4" w:color="auto"/>
          <w:bottom w:val="single" w:sz="4" w:space="1" w:color="auto"/>
          <w:right w:val="single" w:sz="4" w:space="4" w:color="auto"/>
        </w:pBdr>
        <w:jc w:val="both"/>
        <w:rPr>
          <w:rFonts w:ascii="Times New Roman" w:hAnsi="Times New Roman"/>
          <w:bCs/>
          <w:sz w:val="22"/>
        </w:rPr>
      </w:pPr>
      <w:r w:rsidRPr="00915C0D">
        <w:rPr>
          <w:rFonts w:ascii="Times New Roman" w:hAnsi="Times New Roman"/>
          <w:sz w:val="22"/>
          <w:szCs w:val="22"/>
        </w:rPr>
        <w:t>Link to PBL1: The anticipated actions to that end complement previous actions, which were: (</w:t>
      </w:r>
      <w:proofErr w:type="spellStart"/>
      <w:r w:rsidRPr="00915C0D">
        <w:rPr>
          <w:rFonts w:ascii="Times New Roman" w:hAnsi="Times New Roman"/>
          <w:sz w:val="22"/>
          <w:szCs w:val="22"/>
        </w:rPr>
        <w:t>i</w:t>
      </w:r>
      <w:proofErr w:type="spellEnd"/>
      <w:r w:rsidRPr="00915C0D">
        <w:rPr>
          <w:rFonts w:ascii="Times New Roman" w:hAnsi="Times New Roman"/>
          <w:sz w:val="22"/>
          <w:szCs w:val="22"/>
        </w:rPr>
        <w:t>) approving the strategic plan of the MNRE for the 2013-2018 period; (ii) launching the climate change adaptation and mitigation strategy; and (iii) carrying out training programs linked to best mining practices, sustainable forest management and coordination.</w:t>
      </w:r>
    </w:p>
    <w:p w14:paraId="750F69C2" w14:textId="77777777" w:rsidR="00915C0D" w:rsidRPr="00017F75" w:rsidRDefault="00915C0D" w:rsidP="00915C0D">
      <w:pPr>
        <w:ind w:left="718"/>
        <w:jc w:val="both"/>
        <w:rPr>
          <w:rFonts w:ascii="Times New Roman" w:hAnsi="Times New Roman"/>
          <w:color w:val="000000" w:themeColor="text1"/>
          <w:sz w:val="22"/>
          <w:szCs w:val="22"/>
        </w:rPr>
      </w:pPr>
    </w:p>
    <w:p w14:paraId="6B5925C5" w14:textId="77777777" w:rsidR="00915C0D" w:rsidRPr="00017F75" w:rsidRDefault="00915C0D" w:rsidP="00915C0D">
      <w:pPr>
        <w:pStyle w:val="ListParagraph"/>
        <w:rPr>
          <w:rFonts w:ascii="Times New Roman" w:hAnsi="Times New Roman"/>
          <w:color w:val="000000" w:themeColor="text1"/>
          <w:sz w:val="22"/>
          <w:szCs w:val="22"/>
        </w:rPr>
      </w:pPr>
    </w:p>
    <w:p w14:paraId="560AF5DE" w14:textId="77777777" w:rsidR="00915C0D" w:rsidRPr="00017F75" w:rsidRDefault="00915C0D" w:rsidP="00D421FA">
      <w:pPr>
        <w:pStyle w:val="ListParagraph"/>
        <w:numPr>
          <w:ilvl w:val="1"/>
          <w:numId w:val="40"/>
        </w:numPr>
        <w:spacing w:before="120" w:after="120"/>
        <w:jc w:val="both"/>
        <w:rPr>
          <w:rFonts w:ascii="Times New Roman" w:hAnsi="Times New Roman"/>
          <w:color w:val="000000" w:themeColor="text1"/>
          <w:sz w:val="22"/>
          <w:szCs w:val="22"/>
        </w:rPr>
      </w:pPr>
      <w:r w:rsidRPr="00915C0D">
        <w:rPr>
          <w:rFonts w:ascii="Times New Roman" w:hAnsi="Times New Roman"/>
          <w:i/>
          <w:iCs/>
          <w:color w:val="000000"/>
          <w:sz w:val="22"/>
          <w:szCs w:val="22"/>
        </w:rPr>
        <w:t>Evaluation.</w:t>
      </w:r>
      <w:r w:rsidRPr="00915C0D">
        <w:rPr>
          <w:rFonts w:ascii="Times New Roman" w:hAnsi="Times New Roman"/>
          <w:color w:val="000000"/>
          <w:sz w:val="22"/>
          <w:szCs w:val="22"/>
        </w:rPr>
        <w:t xml:space="preserve"> The effect of the actions aimed at strengthening the capacity of the institutions responsible for the mining and forestry sectors - which is the focus of this evaluation - cannot be objectively separated from the expected effects of the full implementation of the regulatory framework. Therefore, the activities expected under this component are introduced exclusively in a qualitative manner within the economic justification of the project. The increased capacity of the </w:t>
      </w:r>
      <w:proofErr w:type="spellStart"/>
      <w:r w:rsidRPr="00915C0D">
        <w:rPr>
          <w:rFonts w:ascii="Times New Roman" w:hAnsi="Times New Roman"/>
          <w:color w:val="000000"/>
          <w:sz w:val="22"/>
          <w:szCs w:val="22"/>
        </w:rPr>
        <w:t>GoG's</w:t>
      </w:r>
      <w:proofErr w:type="spellEnd"/>
      <w:r w:rsidRPr="00915C0D">
        <w:rPr>
          <w:rFonts w:ascii="Times New Roman" w:hAnsi="Times New Roman"/>
          <w:color w:val="000000"/>
          <w:sz w:val="22"/>
          <w:szCs w:val="22"/>
        </w:rPr>
        <w:t xml:space="preserve"> institutions translates into the implementation of policies and strategies that in the end have an impact on the income or productivity level of economic stakeholders. It is assumed that these benefits are collected in the analysis of expected effects on productive sectors in the remaining components.</w:t>
      </w:r>
    </w:p>
    <w:p w14:paraId="7D8736DD" w14:textId="77777777" w:rsidR="00915C0D" w:rsidRPr="00017F75" w:rsidRDefault="00915C0D" w:rsidP="00915C0D">
      <w:pPr>
        <w:rPr>
          <w:rFonts w:ascii="Times New Roman" w:hAnsi="Times New Roman"/>
          <w:bCs/>
          <w:sz w:val="22"/>
        </w:rPr>
      </w:pPr>
    </w:p>
    <w:p w14:paraId="4750A7BB" w14:textId="77777777" w:rsidR="00915C0D" w:rsidRPr="006852C1" w:rsidRDefault="00915C0D" w:rsidP="00915C0D">
      <w:pPr>
        <w:pStyle w:val="Heading2"/>
        <w:jc w:val="left"/>
        <w:rPr>
          <w:lang w:val="en-US" w:eastAsia="es-AR"/>
        </w:rPr>
      </w:pPr>
      <w:bookmarkStart w:id="26" w:name="_Toc403028399"/>
      <w:r w:rsidRPr="006852C1">
        <w:rPr>
          <w:lang w:val="en-US"/>
        </w:rPr>
        <w:t>Component 4. MRV System.</w:t>
      </w:r>
      <w:bookmarkEnd w:id="26"/>
    </w:p>
    <w:p w14:paraId="7C3F9D0D" w14:textId="77777777" w:rsidR="00915C0D" w:rsidRPr="00915C0D" w:rsidRDefault="00915C0D" w:rsidP="00915C0D">
      <w:pPr>
        <w:jc w:val="both"/>
        <w:rPr>
          <w:rFonts w:ascii="Times New Roman" w:hAnsi="Times New Roman"/>
          <w:bCs/>
          <w:sz w:val="22"/>
          <w:lang w:val="es-ES"/>
        </w:rPr>
      </w:pPr>
    </w:p>
    <w:p w14:paraId="2F79000C" w14:textId="77777777" w:rsidR="00915C0D" w:rsidRPr="00017F75" w:rsidRDefault="00915C0D" w:rsidP="00D421FA">
      <w:pPr>
        <w:numPr>
          <w:ilvl w:val="1"/>
          <w:numId w:val="40"/>
        </w:numPr>
        <w:jc w:val="both"/>
        <w:rPr>
          <w:rFonts w:ascii="Times New Roman" w:hAnsi="Times New Roman"/>
          <w:bCs/>
          <w:sz w:val="22"/>
        </w:rPr>
      </w:pPr>
      <w:r w:rsidRPr="00915C0D">
        <w:rPr>
          <w:rFonts w:ascii="Times New Roman" w:hAnsi="Times New Roman"/>
          <w:sz w:val="22"/>
          <w:szCs w:val="22"/>
        </w:rPr>
        <w:t xml:space="preserve">Challenges. Under the REDD-plus Governance Development Plan (RGDP) guidelines, monitoring and control of forest management is critical. The implemented measures (by the </w:t>
      </w:r>
      <w:proofErr w:type="spellStart"/>
      <w:r w:rsidRPr="00915C0D">
        <w:rPr>
          <w:rFonts w:ascii="Times New Roman" w:hAnsi="Times New Roman"/>
          <w:sz w:val="22"/>
          <w:szCs w:val="22"/>
        </w:rPr>
        <w:t>MoRNE</w:t>
      </w:r>
      <w:proofErr w:type="spellEnd"/>
      <w:r w:rsidRPr="00915C0D">
        <w:rPr>
          <w:rFonts w:ascii="Times New Roman" w:hAnsi="Times New Roman"/>
          <w:sz w:val="22"/>
          <w:szCs w:val="22"/>
        </w:rPr>
        <w:t xml:space="preserve">) focus on controlling the degradation caused by extractive activities. </w:t>
      </w:r>
    </w:p>
    <w:p w14:paraId="50039DCE" w14:textId="77777777" w:rsidR="00915C0D" w:rsidRPr="00017F75" w:rsidRDefault="00915C0D" w:rsidP="00915C0D">
      <w:pPr>
        <w:ind w:left="718"/>
        <w:jc w:val="both"/>
        <w:rPr>
          <w:rFonts w:ascii="Times New Roman" w:hAnsi="Times New Roman"/>
          <w:bCs/>
          <w:sz w:val="22"/>
        </w:rPr>
      </w:pPr>
    </w:p>
    <w:p w14:paraId="35C9D2AF" w14:textId="77777777" w:rsidR="00915C0D" w:rsidRPr="00915C0D" w:rsidRDefault="00915C0D" w:rsidP="00915C0D">
      <w:pPr>
        <w:pBdr>
          <w:top w:val="single" w:sz="4" w:space="1" w:color="auto"/>
          <w:left w:val="single" w:sz="4" w:space="4" w:color="auto"/>
          <w:bottom w:val="single" w:sz="4" w:space="1" w:color="auto"/>
          <w:right w:val="single" w:sz="4" w:space="4" w:color="auto"/>
        </w:pBdr>
        <w:tabs>
          <w:tab w:val="num" w:pos="958"/>
        </w:tabs>
        <w:ind w:left="142"/>
        <w:jc w:val="both"/>
        <w:rPr>
          <w:rFonts w:ascii="Times New Roman" w:hAnsi="Times New Roman"/>
          <w:bCs/>
          <w:sz w:val="22"/>
        </w:rPr>
      </w:pPr>
      <w:r w:rsidRPr="00915C0D">
        <w:rPr>
          <w:rFonts w:ascii="Times New Roman" w:hAnsi="Times New Roman"/>
          <w:sz w:val="22"/>
          <w:szCs w:val="22"/>
        </w:rPr>
        <w:t>Component 4 Commitment. Includes:</w:t>
      </w:r>
    </w:p>
    <w:p w14:paraId="1AA45E2A" w14:textId="77777777" w:rsidR="00915C0D" w:rsidRPr="00915C0D" w:rsidRDefault="00915C0D" w:rsidP="00915C0D">
      <w:pPr>
        <w:pBdr>
          <w:top w:val="single" w:sz="4" w:space="1" w:color="auto"/>
          <w:left w:val="single" w:sz="4" w:space="4" w:color="auto"/>
          <w:bottom w:val="single" w:sz="4" w:space="1" w:color="auto"/>
          <w:right w:val="single" w:sz="4" w:space="4" w:color="auto"/>
        </w:pBdr>
        <w:tabs>
          <w:tab w:val="num" w:pos="958"/>
        </w:tabs>
        <w:ind w:left="142"/>
        <w:jc w:val="both"/>
        <w:rPr>
          <w:rFonts w:ascii="Times New Roman" w:hAnsi="Times New Roman"/>
          <w:bCs/>
          <w:sz w:val="22"/>
        </w:rPr>
      </w:pPr>
      <w:r w:rsidRPr="00915C0D">
        <w:rPr>
          <w:rFonts w:ascii="Times New Roman" w:hAnsi="Times New Roman"/>
          <w:sz w:val="22"/>
          <w:szCs w:val="22"/>
        </w:rPr>
        <w:t>•</w:t>
      </w:r>
      <w:r w:rsidRPr="00915C0D">
        <w:rPr>
          <w:rFonts w:ascii="Times New Roman" w:hAnsi="Times New Roman"/>
          <w:sz w:val="22"/>
          <w:szCs w:val="22"/>
        </w:rPr>
        <w:tab/>
        <w:t>Development of a fully functioning national MRVS.</w:t>
      </w:r>
    </w:p>
    <w:p w14:paraId="2EBD3BE3" w14:textId="77777777" w:rsidR="00915C0D" w:rsidRPr="00915C0D" w:rsidRDefault="00915C0D" w:rsidP="00915C0D">
      <w:pPr>
        <w:pBdr>
          <w:top w:val="single" w:sz="4" w:space="1" w:color="auto"/>
          <w:left w:val="single" w:sz="4" w:space="4" w:color="auto"/>
          <w:bottom w:val="single" w:sz="4" w:space="1" w:color="auto"/>
          <w:right w:val="single" w:sz="4" w:space="4" w:color="auto"/>
        </w:pBdr>
        <w:tabs>
          <w:tab w:val="num" w:pos="958"/>
        </w:tabs>
        <w:ind w:left="142"/>
        <w:jc w:val="both"/>
        <w:rPr>
          <w:rFonts w:ascii="Times New Roman" w:hAnsi="Times New Roman"/>
          <w:bCs/>
          <w:sz w:val="22"/>
        </w:rPr>
      </w:pPr>
    </w:p>
    <w:p w14:paraId="2CAF4A02" w14:textId="77777777" w:rsidR="00915C0D" w:rsidRPr="00017F75" w:rsidRDefault="00915C0D" w:rsidP="00915C0D">
      <w:pPr>
        <w:pBdr>
          <w:top w:val="single" w:sz="4" w:space="1" w:color="auto"/>
          <w:left w:val="single" w:sz="4" w:space="4" w:color="auto"/>
          <w:bottom w:val="single" w:sz="4" w:space="1" w:color="auto"/>
          <w:right w:val="single" w:sz="4" w:space="4" w:color="auto"/>
        </w:pBdr>
        <w:tabs>
          <w:tab w:val="num" w:pos="958"/>
        </w:tabs>
        <w:ind w:left="142"/>
        <w:jc w:val="both"/>
        <w:rPr>
          <w:rFonts w:ascii="Times New Roman" w:hAnsi="Times New Roman"/>
          <w:bCs/>
          <w:sz w:val="22"/>
        </w:rPr>
      </w:pPr>
      <w:r w:rsidRPr="00915C0D">
        <w:rPr>
          <w:rFonts w:ascii="Times New Roman" w:hAnsi="Times New Roman"/>
          <w:sz w:val="22"/>
          <w:szCs w:val="22"/>
        </w:rPr>
        <w:t>Link to PBL1: Provide the basic instruments and then strengthen the MRVS.</w:t>
      </w:r>
    </w:p>
    <w:p w14:paraId="5BB700B2" w14:textId="77777777" w:rsidR="00915C0D" w:rsidRPr="00017F75" w:rsidRDefault="00915C0D" w:rsidP="00915C0D">
      <w:pPr>
        <w:rPr>
          <w:rFonts w:ascii="Times New Roman" w:hAnsi="Times New Roman"/>
          <w:bCs/>
          <w:sz w:val="22"/>
        </w:rPr>
      </w:pPr>
    </w:p>
    <w:p w14:paraId="16A2A1EE" w14:textId="77777777" w:rsidR="00915C0D" w:rsidRPr="00017F75" w:rsidRDefault="00915C0D" w:rsidP="00D421FA">
      <w:pPr>
        <w:numPr>
          <w:ilvl w:val="1"/>
          <w:numId w:val="40"/>
        </w:numPr>
        <w:jc w:val="both"/>
        <w:rPr>
          <w:rFonts w:ascii="Times New Roman" w:hAnsi="Times New Roman"/>
          <w:bCs/>
          <w:sz w:val="22"/>
        </w:rPr>
      </w:pPr>
      <w:r w:rsidRPr="00915C0D">
        <w:rPr>
          <w:rFonts w:ascii="Times New Roman" w:hAnsi="Times New Roman"/>
          <w:sz w:val="22"/>
          <w:szCs w:val="22"/>
        </w:rPr>
        <w:t>From 2011 to 2013, studies were done that show that the deforestation rates are regularly falling.  At the same time progress was made in the development of scientific knowledge that allows the evaluation of degradation levels, particularly that caused by the mining sector. The contribution is to strengthen Guyana's capacity to manage forest resources through its evaluation and monitoring of degradation and deforestation levels</w:t>
      </w:r>
      <w:r w:rsidRPr="00915C0D">
        <w:rPr>
          <w:rStyle w:val="FootnoteReference"/>
          <w:rFonts w:ascii="Times New Roman" w:hAnsi="Times New Roman"/>
          <w:bCs/>
          <w:sz w:val="22"/>
          <w:lang w:val="es-ES"/>
        </w:rPr>
        <w:footnoteReference w:id="68"/>
      </w:r>
      <w:r w:rsidRPr="00915C0D">
        <w:rPr>
          <w:rFonts w:ascii="Times New Roman" w:hAnsi="Times New Roman"/>
          <w:sz w:val="22"/>
          <w:szCs w:val="22"/>
        </w:rPr>
        <w:t xml:space="preserve">. </w:t>
      </w:r>
    </w:p>
    <w:p w14:paraId="782AE533" w14:textId="77777777" w:rsidR="00915C0D" w:rsidRPr="00017F75" w:rsidRDefault="00915C0D" w:rsidP="00915C0D">
      <w:pPr>
        <w:ind w:left="718"/>
        <w:jc w:val="both"/>
        <w:rPr>
          <w:rFonts w:ascii="Times New Roman" w:hAnsi="Times New Roman"/>
          <w:bCs/>
          <w:sz w:val="22"/>
        </w:rPr>
      </w:pPr>
    </w:p>
    <w:p w14:paraId="20A7C925" w14:textId="77777777" w:rsidR="00915C0D" w:rsidRPr="00017F75" w:rsidRDefault="00915C0D" w:rsidP="00D421FA">
      <w:pPr>
        <w:numPr>
          <w:ilvl w:val="1"/>
          <w:numId w:val="40"/>
        </w:numPr>
        <w:jc w:val="both"/>
        <w:rPr>
          <w:rFonts w:ascii="Times New Roman" w:hAnsi="Times New Roman"/>
          <w:bCs/>
          <w:sz w:val="22"/>
        </w:rPr>
      </w:pPr>
      <w:r w:rsidRPr="00915C0D">
        <w:rPr>
          <w:rFonts w:ascii="Times New Roman" w:hAnsi="Times New Roman"/>
          <w:sz w:val="22"/>
          <w:szCs w:val="22"/>
        </w:rPr>
        <w:t>These actions</w:t>
      </w:r>
      <w:r w:rsidRPr="00915C0D">
        <w:rPr>
          <w:rStyle w:val="FootnoteReference"/>
          <w:rFonts w:ascii="Times New Roman" w:hAnsi="Times New Roman"/>
          <w:bCs/>
          <w:sz w:val="22"/>
          <w:lang w:val="es-ES"/>
        </w:rPr>
        <w:footnoteReference w:id="69"/>
      </w:r>
      <w:r w:rsidRPr="00915C0D">
        <w:rPr>
          <w:rFonts w:ascii="Times New Roman" w:hAnsi="Times New Roman"/>
          <w:sz w:val="22"/>
          <w:szCs w:val="22"/>
        </w:rPr>
        <w:t xml:space="preserve"> are vital to strengthening the </w:t>
      </w:r>
      <w:proofErr w:type="spellStart"/>
      <w:r w:rsidRPr="00915C0D">
        <w:rPr>
          <w:rFonts w:ascii="Times New Roman" w:hAnsi="Times New Roman"/>
          <w:sz w:val="22"/>
          <w:szCs w:val="22"/>
        </w:rPr>
        <w:t>GoG's</w:t>
      </w:r>
      <w:proofErr w:type="spellEnd"/>
      <w:r w:rsidRPr="00915C0D">
        <w:rPr>
          <w:rFonts w:ascii="Times New Roman" w:hAnsi="Times New Roman"/>
          <w:sz w:val="22"/>
          <w:szCs w:val="22"/>
        </w:rPr>
        <w:t xml:space="preserve"> scientific knowledge capacities. This will allow for the evaluation of degradation levels, particularly of degradation caused by mining, infrastructure, or forest sector actions, so that the application of the development policies is consistent with the objectives established in the LCDS. This set of tools is vital for appropriate planning, in order to anticipate eventual future problems: (</w:t>
      </w:r>
      <w:proofErr w:type="spellStart"/>
      <w:r w:rsidRPr="00915C0D">
        <w:rPr>
          <w:rFonts w:ascii="Times New Roman" w:hAnsi="Times New Roman"/>
          <w:sz w:val="22"/>
          <w:szCs w:val="22"/>
        </w:rPr>
        <w:t>i</w:t>
      </w:r>
      <w:proofErr w:type="spellEnd"/>
      <w:r w:rsidRPr="00915C0D">
        <w:rPr>
          <w:rFonts w:ascii="Times New Roman" w:hAnsi="Times New Roman"/>
          <w:sz w:val="22"/>
          <w:szCs w:val="22"/>
        </w:rPr>
        <w:t xml:space="preserve">) a decrease in the flow of funds received by Guyana under the </w:t>
      </w:r>
      <w:proofErr w:type="spellStart"/>
      <w:r w:rsidRPr="00915C0D">
        <w:rPr>
          <w:rFonts w:ascii="Times New Roman" w:hAnsi="Times New Roman"/>
          <w:sz w:val="22"/>
          <w:szCs w:val="22"/>
        </w:rPr>
        <w:t>MoU</w:t>
      </w:r>
      <w:proofErr w:type="spellEnd"/>
      <w:r w:rsidRPr="00915C0D">
        <w:rPr>
          <w:rFonts w:ascii="Times New Roman" w:hAnsi="Times New Roman"/>
          <w:sz w:val="22"/>
          <w:szCs w:val="22"/>
        </w:rPr>
        <w:t xml:space="preserve"> with Norway, since the payments are adjusted based on the maintenance of the deforestation rate within predefined parameters; (ii) inappropriate land use strategies in developments that threaten future estimated carbon emission limits.</w:t>
      </w:r>
    </w:p>
    <w:p w14:paraId="5FDC4E68" w14:textId="77777777" w:rsidR="00915C0D" w:rsidRPr="00017F75" w:rsidRDefault="00915C0D" w:rsidP="00915C0D">
      <w:pPr>
        <w:pStyle w:val="ListParagraph"/>
        <w:rPr>
          <w:rFonts w:ascii="Times New Roman" w:hAnsi="Times New Roman"/>
          <w:bCs/>
          <w:sz w:val="22"/>
        </w:rPr>
      </w:pPr>
    </w:p>
    <w:p w14:paraId="21B8CDF1" w14:textId="538B581F" w:rsidR="00915C0D" w:rsidRPr="00915C0D" w:rsidRDefault="00DE2F44" w:rsidP="00D421FA">
      <w:pPr>
        <w:numPr>
          <w:ilvl w:val="1"/>
          <w:numId w:val="40"/>
        </w:numPr>
        <w:jc w:val="both"/>
        <w:rPr>
          <w:rFonts w:ascii="Times New Roman" w:hAnsi="Times New Roman"/>
          <w:bCs/>
          <w:sz w:val="22"/>
        </w:rPr>
      </w:pPr>
      <w:r>
        <w:rPr>
          <w:rFonts w:ascii="Times New Roman" w:hAnsi="Times New Roman"/>
          <w:bCs/>
          <w:sz w:val="22"/>
        </w:rPr>
        <w:t>According</w:t>
      </w:r>
      <w:r w:rsidR="00915C0D" w:rsidRPr="00915C0D">
        <w:rPr>
          <w:rFonts w:ascii="Times New Roman" w:hAnsi="Times New Roman"/>
          <w:bCs/>
          <w:sz w:val="22"/>
        </w:rPr>
        <w:t xml:space="preserve"> to NORAD evaluation</w:t>
      </w:r>
      <w:r w:rsidR="00915C0D" w:rsidRPr="00915C0D">
        <w:rPr>
          <w:rStyle w:val="FootnoteReference"/>
          <w:rFonts w:ascii="Times New Roman" w:hAnsi="Times New Roman"/>
          <w:bCs/>
          <w:sz w:val="22"/>
        </w:rPr>
        <w:footnoteReference w:id="70"/>
      </w:r>
      <w:r w:rsidR="00915C0D" w:rsidRPr="00915C0D">
        <w:rPr>
          <w:rFonts w:ascii="Times New Roman" w:hAnsi="Times New Roman"/>
          <w:bCs/>
          <w:sz w:val="22"/>
        </w:rPr>
        <w:t>, one of the clear successes of the Guyana-Norway partnership has been the development of a fully functioning national MRVS. This achievement is in large part due to the timely development of a road-map for developing the system, and also the quality of the staff at the GFC. The system has</w:t>
      </w:r>
      <w:r>
        <w:rPr>
          <w:rFonts w:ascii="Times New Roman" w:hAnsi="Times New Roman"/>
          <w:bCs/>
          <w:sz w:val="22"/>
        </w:rPr>
        <w:t xml:space="preserve"> </w:t>
      </w:r>
      <w:r w:rsidR="00915C0D" w:rsidRPr="00915C0D">
        <w:rPr>
          <w:rFonts w:ascii="Times New Roman" w:hAnsi="Times New Roman"/>
          <w:bCs/>
          <w:sz w:val="22"/>
        </w:rPr>
        <w:t>successfully completed three rounds of reporting and independent verification.</w:t>
      </w:r>
    </w:p>
    <w:p w14:paraId="49C14814" w14:textId="77777777" w:rsidR="00915C0D" w:rsidRPr="00915C0D" w:rsidRDefault="00915C0D" w:rsidP="00915C0D">
      <w:pPr>
        <w:pStyle w:val="ListParagraph"/>
        <w:rPr>
          <w:rFonts w:ascii="Times New Roman" w:hAnsi="Times New Roman"/>
          <w:bCs/>
          <w:sz w:val="22"/>
        </w:rPr>
      </w:pPr>
    </w:p>
    <w:p w14:paraId="16F70395" w14:textId="77777777" w:rsidR="00915C0D" w:rsidRPr="00915C0D" w:rsidRDefault="00915C0D" w:rsidP="00D421FA">
      <w:pPr>
        <w:pStyle w:val="ListParagraph"/>
        <w:numPr>
          <w:ilvl w:val="1"/>
          <w:numId w:val="40"/>
        </w:numPr>
        <w:spacing w:before="120" w:after="120"/>
        <w:jc w:val="both"/>
        <w:rPr>
          <w:rFonts w:ascii="Times New Roman" w:hAnsi="Times New Roman"/>
          <w:bCs/>
          <w:sz w:val="22"/>
        </w:rPr>
      </w:pPr>
      <w:r w:rsidRPr="00915C0D">
        <w:rPr>
          <w:rFonts w:ascii="Times New Roman" w:hAnsi="Times New Roman"/>
          <w:i/>
          <w:sz w:val="22"/>
          <w:szCs w:val="22"/>
        </w:rPr>
        <w:t>Evaluation.</w:t>
      </w:r>
      <w:r w:rsidRPr="00915C0D">
        <w:rPr>
          <w:rFonts w:ascii="Times New Roman" w:hAnsi="Times New Roman"/>
          <w:sz w:val="22"/>
          <w:szCs w:val="22"/>
        </w:rPr>
        <w:t xml:space="preserve"> To the extent that the MRVS operation is part of a planning and tracking activity and therefore is not expected to have an impact in addition to the one anticipated for the regulatory framework component, this component is not subject to separate economic evaluation. However, since this system is fundamental for successful decision making in the implementation of the LCDS, it is also a part of the economic justification of the project.</w:t>
      </w:r>
    </w:p>
    <w:p w14:paraId="1D511637" w14:textId="77777777" w:rsidR="00915C0D" w:rsidRPr="00915C0D" w:rsidRDefault="00915C0D" w:rsidP="00915C0D"/>
    <w:p w14:paraId="4ACE0077" w14:textId="77777777" w:rsidR="00915C0D" w:rsidRPr="006852C1" w:rsidRDefault="00915C0D" w:rsidP="00D421FA">
      <w:pPr>
        <w:pStyle w:val="Heading1"/>
        <w:numPr>
          <w:ilvl w:val="0"/>
          <w:numId w:val="41"/>
        </w:numPr>
        <w:rPr>
          <w:lang w:val="en-US"/>
        </w:rPr>
      </w:pPr>
      <w:bookmarkStart w:id="27" w:name="_Toc403028400"/>
      <w:r w:rsidRPr="006852C1">
        <w:rPr>
          <w:lang w:val="en-US"/>
        </w:rPr>
        <w:t>PBP Costs.</w:t>
      </w:r>
      <w:bookmarkEnd w:id="27"/>
    </w:p>
    <w:p w14:paraId="5BF4AFD1" w14:textId="77777777" w:rsidR="00915C0D" w:rsidRPr="00915C0D" w:rsidRDefault="00915C0D" w:rsidP="00915C0D">
      <w:pPr>
        <w:rPr>
          <w:lang w:val="es-ES_tradnl"/>
        </w:rPr>
      </w:pPr>
    </w:p>
    <w:p w14:paraId="5509D5EB" w14:textId="77777777" w:rsidR="00915C0D" w:rsidRPr="00DE2F44" w:rsidRDefault="00915C0D" w:rsidP="00DE2F44">
      <w:pPr>
        <w:jc w:val="both"/>
        <w:rPr>
          <w:rFonts w:ascii="Times New Roman" w:hAnsi="Times New Roman"/>
          <w:bCs/>
          <w:sz w:val="22"/>
          <w:lang w:val="es-ES"/>
        </w:rPr>
      </w:pPr>
    </w:p>
    <w:p w14:paraId="75606EE9" w14:textId="77777777" w:rsidR="00915C0D" w:rsidRPr="00017F75" w:rsidRDefault="00915C0D" w:rsidP="00D421FA">
      <w:pPr>
        <w:numPr>
          <w:ilvl w:val="1"/>
          <w:numId w:val="42"/>
        </w:numPr>
        <w:jc w:val="both"/>
        <w:rPr>
          <w:rFonts w:ascii="Times New Roman" w:hAnsi="Times New Roman"/>
          <w:sz w:val="22"/>
          <w:szCs w:val="22"/>
        </w:rPr>
      </w:pPr>
      <w:r w:rsidRPr="00915C0D">
        <w:rPr>
          <w:rFonts w:ascii="Times New Roman" w:hAnsi="Times New Roman"/>
          <w:sz w:val="22"/>
          <w:szCs w:val="22"/>
        </w:rPr>
        <w:t>The Program budget includes the following disbursements:</w:t>
      </w:r>
    </w:p>
    <w:p w14:paraId="0F8BD8FC" w14:textId="77777777" w:rsidR="00915C0D" w:rsidRPr="00017F75" w:rsidRDefault="00915C0D" w:rsidP="00CE5909">
      <w:pPr>
        <w:pStyle w:val="ListParagraph"/>
        <w:numPr>
          <w:ilvl w:val="0"/>
          <w:numId w:val="27"/>
        </w:numPr>
        <w:jc w:val="both"/>
        <w:rPr>
          <w:rFonts w:ascii="Times New Roman" w:hAnsi="Times New Roman"/>
          <w:sz w:val="22"/>
          <w:szCs w:val="22"/>
        </w:rPr>
      </w:pPr>
      <w:r w:rsidRPr="00915C0D">
        <w:rPr>
          <w:rFonts w:ascii="Times New Roman" w:hAnsi="Times New Roman"/>
          <w:sz w:val="22"/>
          <w:szCs w:val="22"/>
        </w:rPr>
        <w:t>PBL 1 disbursed in December 2013, in the amount of US$ 16.92 million.</w:t>
      </w:r>
    </w:p>
    <w:p w14:paraId="030FE43D" w14:textId="77777777" w:rsidR="00915C0D" w:rsidRPr="00017F75" w:rsidRDefault="00915C0D" w:rsidP="00CE5909">
      <w:pPr>
        <w:pStyle w:val="ListParagraph"/>
        <w:numPr>
          <w:ilvl w:val="0"/>
          <w:numId w:val="27"/>
        </w:numPr>
        <w:jc w:val="both"/>
        <w:rPr>
          <w:rFonts w:ascii="Times New Roman" w:hAnsi="Times New Roman"/>
          <w:sz w:val="22"/>
          <w:szCs w:val="22"/>
        </w:rPr>
      </w:pPr>
      <w:r w:rsidRPr="00915C0D">
        <w:rPr>
          <w:rFonts w:ascii="Times New Roman" w:hAnsi="Times New Roman"/>
          <w:sz w:val="22"/>
          <w:szCs w:val="22"/>
        </w:rPr>
        <w:t>PBL 2, the operation being analyzed, in the estimated amount of US$ 17.16 million.</w:t>
      </w:r>
    </w:p>
    <w:p w14:paraId="13B39D7A" w14:textId="77777777" w:rsidR="00915C0D" w:rsidRPr="00017F75" w:rsidRDefault="00915C0D" w:rsidP="00915C0D">
      <w:pPr>
        <w:ind w:left="786"/>
        <w:jc w:val="both"/>
        <w:rPr>
          <w:rFonts w:ascii="Times New Roman" w:hAnsi="Times New Roman"/>
          <w:sz w:val="22"/>
          <w:szCs w:val="22"/>
        </w:rPr>
      </w:pPr>
      <w:r w:rsidRPr="00915C0D">
        <w:rPr>
          <w:rFonts w:ascii="Times New Roman" w:hAnsi="Times New Roman"/>
          <w:sz w:val="22"/>
          <w:szCs w:val="22"/>
        </w:rPr>
        <w:t>Adding both disbursements, the total commitment of the present PBP increases to US$ 34.08 million.</w:t>
      </w:r>
    </w:p>
    <w:p w14:paraId="6CAD1654" w14:textId="77777777" w:rsidR="00915C0D" w:rsidRPr="00017F75" w:rsidRDefault="00915C0D" w:rsidP="00915C0D">
      <w:pPr>
        <w:ind w:left="142"/>
        <w:jc w:val="both"/>
        <w:rPr>
          <w:rFonts w:ascii="Times New Roman" w:hAnsi="Times New Roman"/>
          <w:sz w:val="22"/>
          <w:szCs w:val="22"/>
        </w:rPr>
      </w:pPr>
    </w:p>
    <w:p w14:paraId="473E9086" w14:textId="77777777" w:rsidR="00915C0D" w:rsidRPr="00017F75" w:rsidRDefault="00915C0D" w:rsidP="00D421FA">
      <w:pPr>
        <w:numPr>
          <w:ilvl w:val="1"/>
          <w:numId w:val="42"/>
        </w:numPr>
        <w:jc w:val="both"/>
        <w:rPr>
          <w:rFonts w:ascii="Times New Roman" w:hAnsi="Times New Roman"/>
          <w:bCs/>
          <w:sz w:val="22"/>
        </w:rPr>
      </w:pPr>
      <w:r w:rsidRPr="00915C0D">
        <w:rPr>
          <w:rFonts w:ascii="Times New Roman" w:hAnsi="Times New Roman"/>
          <w:sz w:val="22"/>
          <w:szCs w:val="22"/>
        </w:rPr>
        <w:t>Given the nature of the payment, the funds are freely available and are not linked to specific acquisitions, since the focuses of the intervention are defined by the Policy Matrix.</w:t>
      </w:r>
    </w:p>
    <w:p w14:paraId="463B2FD5" w14:textId="77777777" w:rsidR="00915C0D" w:rsidRPr="00017F75" w:rsidRDefault="00915C0D" w:rsidP="00915C0D">
      <w:pPr>
        <w:ind w:left="718"/>
        <w:jc w:val="both"/>
        <w:rPr>
          <w:rFonts w:ascii="Times New Roman" w:hAnsi="Times New Roman"/>
          <w:bCs/>
          <w:sz w:val="22"/>
        </w:rPr>
      </w:pPr>
    </w:p>
    <w:p w14:paraId="67A6DF56" w14:textId="77777777" w:rsidR="00915C0D" w:rsidRPr="00017F75" w:rsidRDefault="00915C0D" w:rsidP="00D421FA">
      <w:pPr>
        <w:numPr>
          <w:ilvl w:val="1"/>
          <w:numId w:val="42"/>
        </w:numPr>
        <w:jc w:val="both"/>
        <w:rPr>
          <w:rFonts w:ascii="Times New Roman" w:hAnsi="Times New Roman"/>
          <w:bCs/>
          <w:sz w:val="22"/>
        </w:rPr>
      </w:pPr>
      <w:r w:rsidRPr="00915C0D">
        <w:rPr>
          <w:rFonts w:ascii="Times New Roman" w:hAnsi="Times New Roman"/>
          <w:sz w:val="22"/>
          <w:szCs w:val="22"/>
        </w:rPr>
        <w:t xml:space="preserve">Investments linked to the initiative. Despite what is laid out in the above paragraph, it is helpful to provide a reference of investments that 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is making in actions tied to the aims of the present interventions, financed with the REDD+ Program resources. Based on the information received on 03.31.2014, emphasis is placed on the following:</w:t>
      </w:r>
    </w:p>
    <w:p w14:paraId="07D2C1BC" w14:textId="77777777" w:rsidR="00915C0D" w:rsidRPr="00915C0D" w:rsidRDefault="00915C0D" w:rsidP="00CE5909">
      <w:pPr>
        <w:pStyle w:val="ListParagraph"/>
        <w:numPr>
          <w:ilvl w:val="0"/>
          <w:numId w:val="29"/>
        </w:numPr>
        <w:ind w:left="1078"/>
        <w:jc w:val="both"/>
        <w:rPr>
          <w:rFonts w:ascii="Times New Roman" w:hAnsi="Times New Roman"/>
          <w:bCs/>
          <w:sz w:val="22"/>
        </w:rPr>
      </w:pPr>
      <w:r w:rsidRPr="00915C0D">
        <w:rPr>
          <w:rFonts w:ascii="Times New Roman" w:hAnsi="Times New Roman"/>
          <w:sz w:val="22"/>
          <w:szCs w:val="22"/>
        </w:rPr>
        <w:t>Entity Institutional Strengthening project US$ 5.9 million (GY-G1002, prepared by IDB in 2011).</w:t>
      </w:r>
    </w:p>
    <w:p w14:paraId="3B5EF475" w14:textId="77777777" w:rsidR="00915C0D" w:rsidRPr="00915C0D" w:rsidRDefault="00915C0D" w:rsidP="00CE5909">
      <w:pPr>
        <w:pStyle w:val="ListParagraph"/>
        <w:numPr>
          <w:ilvl w:val="0"/>
          <w:numId w:val="29"/>
        </w:numPr>
        <w:ind w:left="1078"/>
        <w:jc w:val="both"/>
        <w:rPr>
          <w:rFonts w:ascii="Times New Roman" w:hAnsi="Times New Roman"/>
          <w:bCs/>
          <w:sz w:val="22"/>
        </w:rPr>
      </w:pPr>
      <w:r w:rsidRPr="00915C0D">
        <w:rPr>
          <w:rFonts w:ascii="Times New Roman" w:hAnsi="Times New Roman"/>
          <w:sz w:val="22"/>
          <w:szCs w:val="22"/>
        </w:rPr>
        <w:t>Micro and Small Enterprise Development Fund project US$ 5.0 million.</w:t>
      </w:r>
    </w:p>
    <w:p w14:paraId="44D4F7F5" w14:textId="77777777" w:rsidR="00915C0D" w:rsidRPr="00915C0D" w:rsidRDefault="00915C0D" w:rsidP="00CE5909">
      <w:pPr>
        <w:pStyle w:val="ListParagraph"/>
        <w:numPr>
          <w:ilvl w:val="0"/>
          <w:numId w:val="29"/>
        </w:numPr>
        <w:ind w:left="1078"/>
        <w:jc w:val="both"/>
        <w:rPr>
          <w:rFonts w:ascii="Times New Roman" w:hAnsi="Times New Roman"/>
          <w:bCs/>
          <w:sz w:val="22"/>
        </w:rPr>
      </w:pPr>
      <w:r w:rsidRPr="00915C0D">
        <w:rPr>
          <w:rFonts w:ascii="Times New Roman" w:hAnsi="Times New Roman"/>
          <w:sz w:val="22"/>
          <w:szCs w:val="22"/>
        </w:rPr>
        <w:t>Amerindian Land Titling Project US$ 7.9 million.</w:t>
      </w:r>
    </w:p>
    <w:p w14:paraId="39394879" w14:textId="77777777" w:rsidR="00915C0D" w:rsidRPr="00915C0D" w:rsidRDefault="00915C0D" w:rsidP="00915C0D">
      <w:pPr>
        <w:pStyle w:val="ListParagraph"/>
        <w:rPr>
          <w:rFonts w:ascii="Times New Roman" w:hAnsi="Times New Roman"/>
          <w:bCs/>
          <w:sz w:val="22"/>
        </w:rPr>
      </w:pPr>
    </w:p>
    <w:p w14:paraId="659E14F5" w14:textId="77777777" w:rsidR="00915C0D" w:rsidRPr="00017F75" w:rsidRDefault="00915C0D" w:rsidP="00D421FA">
      <w:pPr>
        <w:numPr>
          <w:ilvl w:val="1"/>
          <w:numId w:val="42"/>
        </w:numPr>
        <w:jc w:val="both"/>
        <w:rPr>
          <w:rFonts w:ascii="Times New Roman" w:hAnsi="Times New Roman"/>
          <w:bCs/>
          <w:sz w:val="22"/>
        </w:rPr>
      </w:pPr>
      <w:r w:rsidRPr="00915C0D">
        <w:rPr>
          <w:rFonts w:ascii="Times New Roman" w:hAnsi="Times New Roman"/>
          <w:sz w:val="22"/>
          <w:szCs w:val="22"/>
        </w:rPr>
        <w:t xml:space="preserve">In addition, in July 2014 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received a loan of US$ 11 million from the World Bank to reduce floods in the East Coast of </w:t>
      </w:r>
      <w:proofErr w:type="spellStart"/>
      <w:r w:rsidRPr="00915C0D">
        <w:rPr>
          <w:rFonts w:ascii="Times New Roman" w:hAnsi="Times New Roman"/>
          <w:sz w:val="22"/>
          <w:szCs w:val="22"/>
        </w:rPr>
        <w:t>Demerara</w:t>
      </w:r>
      <w:proofErr w:type="spellEnd"/>
      <w:r w:rsidRPr="00915C0D">
        <w:rPr>
          <w:rFonts w:ascii="Times New Roman" w:hAnsi="Times New Roman"/>
          <w:sz w:val="22"/>
          <w:szCs w:val="22"/>
        </w:rPr>
        <w:t>. More than 300,000 people in the area will benefit from greater control over climate risks.</w:t>
      </w:r>
    </w:p>
    <w:p w14:paraId="7C96F462" w14:textId="77777777" w:rsidR="00915C0D" w:rsidRPr="00017F75" w:rsidRDefault="00915C0D" w:rsidP="00915C0D"/>
    <w:p w14:paraId="462A5DB2" w14:textId="558D89F1" w:rsidR="00915C0D" w:rsidRPr="00F10732" w:rsidRDefault="00F10732" w:rsidP="00D421FA">
      <w:pPr>
        <w:pStyle w:val="Heading1"/>
        <w:numPr>
          <w:ilvl w:val="0"/>
          <w:numId w:val="41"/>
        </w:numPr>
        <w:rPr>
          <w:lang w:val="en-AU"/>
        </w:rPr>
      </w:pPr>
      <w:bookmarkStart w:id="28" w:name="_Toc403028401"/>
      <w:r>
        <w:rPr>
          <w:lang w:val="en-AU"/>
        </w:rPr>
        <w:t>Economic J</w:t>
      </w:r>
      <w:r w:rsidR="00915C0D" w:rsidRPr="00F10732">
        <w:rPr>
          <w:lang w:val="en-AU"/>
        </w:rPr>
        <w:t>ustification of the Program.</w:t>
      </w:r>
      <w:bookmarkEnd w:id="28"/>
    </w:p>
    <w:p w14:paraId="15F2E90F" w14:textId="77777777" w:rsidR="00915C0D" w:rsidRPr="00017F75" w:rsidRDefault="00915C0D" w:rsidP="00DE2F44">
      <w:pPr>
        <w:jc w:val="both"/>
        <w:rPr>
          <w:rFonts w:ascii="Times New Roman" w:hAnsi="Times New Roman"/>
          <w:bCs/>
          <w:sz w:val="22"/>
        </w:rPr>
      </w:pPr>
    </w:p>
    <w:p w14:paraId="22E39348" w14:textId="77777777" w:rsidR="00915C0D" w:rsidRPr="00915C0D" w:rsidRDefault="00915C0D" w:rsidP="00D421FA">
      <w:pPr>
        <w:numPr>
          <w:ilvl w:val="1"/>
          <w:numId w:val="43"/>
        </w:numPr>
        <w:jc w:val="both"/>
        <w:rPr>
          <w:rFonts w:ascii="Times New Roman" w:hAnsi="Times New Roman"/>
          <w:bCs/>
          <w:sz w:val="22"/>
        </w:rPr>
      </w:pPr>
      <w:r w:rsidRPr="00915C0D">
        <w:rPr>
          <w:rFonts w:ascii="Times New Roman" w:hAnsi="Times New Roman"/>
          <w:bCs/>
          <w:sz w:val="22"/>
        </w:rPr>
        <w:t xml:space="preserve">From a global perspective, each one of the 4 components that comprise the PBL contributes to sustaining the political drive aligned with the objectives set forth in the </w:t>
      </w:r>
      <w:proofErr w:type="spellStart"/>
      <w:r w:rsidRPr="00915C0D">
        <w:rPr>
          <w:rFonts w:ascii="Times New Roman" w:hAnsi="Times New Roman"/>
          <w:bCs/>
          <w:sz w:val="22"/>
        </w:rPr>
        <w:t>MoU</w:t>
      </w:r>
      <w:proofErr w:type="spellEnd"/>
      <w:r w:rsidRPr="00915C0D">
        <w:rPr>
          <w:rFonts w:ascii="Times New Roman" w:hAnsi="Times New Roman"/>
          <w:bCs/>
          <w:sz w:val="22"/>
        </w:rPr>
        <w:t xml:space="preserve">, the REDD+ and the LCDS. Maintaining a stable macroeconomic framework (Component 1) will contribute to sustaining an atmosphere that encourages private investment and will facilitate access to new sources of financing; progress with regard to the regulatory framework (Component 2), institutional strengthening (Component 3) and verification tools (Component 4) will define the strategy and maintain alignment with the goals defined by the </w:t>
      </w:r>
      <w:proofErr w:type="spellStart"/>
      <w:r w:rsidRPr="00915C0D">
        <w:rPr>
          <w:rFonts w:ascii="Times New Roman" w:hAnsi="Times New Roman"/>
          <w:bCs/>
          <w:sz w:val="22"/>
        </w:rPr>
        <w:t>GoG</w:t>
      </w:r>
      <w:proofErr w:type="spellEnd"/>
      <w:r w:rsidRPr="00915C0D">
        <w:rPr>
          <w:rFonts w:ascii="Times New Roman" w:hAnsi="Times New Roman"/>
          <w:bCs/>
          <w:sz w:val="22"/>
        </w:rPr>
        <w:t>.</w:t>
      </w:r>
    </w:p>
    <w:p w14:paraId="0F95F8CA" w14:textId="77777777" w:rsidR="00915C0D" w:rsidRPr="00915C0D" w:rsidRDefault="00915C0D" w:rsidP="00915C0D">
      <w:pPr>
        <w:pStyle w:val="ListParagraph"/>
        <w:rPr>
          <w:rFonts w:ascii="Times New Roman" w:hAnsi="Times New Roman"/>
          <w:bCs/>
          <w:sz w:val="22"/>
        </w:rPr>
      </w:pPr>
    </w:p>
    <w:p w14:paraId="077629BD" w14:textId="77777777" w:rsidR="00915C0D" w:rsidRPr="00915C0D" w:rsidRDefault="00915C0D" w:rsidP="00D421FA">
      <w:pPr>
        <w:numPr>
          <w:ilvl w:val="1"/>
          <w:numId w:val="43"/>
        </w:numPr>
        <w:jc w:val="both"/>
        <w:rPr>
          <w:rFonts w:ascii="Times New Roman" w:hAnsi="Times New Roman"/>
          <w:bCs/>
          <w:sz w:val="22"/>
        </w:rPr>
      </w:pPr>
      <w:r w:rsidRPr="00915C0D">
        <w:rPr>
          <w:rFonts w:ascii="Times New Roman" w:hAnsi="Times New Roman"/>
          <w:bCs/>
          <w:sz w:val="22"/>
        </w:rPr>
        <w:t>Macroeconomic Stability. Promoting economic stability (Component 1) drives a virtuous cycle that encourages saving and creates favorable conditions for productive investment, causing a greater level of activity and, in turn, growth. This condition not only drives economic activity and its multipliers effects (employment, generating currency, increasing fiscal revenue), but is also a fundamental support for sustaining the investment programs that the economic restructuring requires.</w:t>
      </w:r>
    </w:p>
    <w:p w14:paraId="5B2BEEA8" w14:textId="77777777" w:rsidR="00915C0D" w:rsidRPr="00915C0D" w:rsidRDefault="00915C0D" w:rsidP="00915C0D">
      <w:pPr>
        <w:pStyle w:val="ListParagraph"/>
        <w:rPr>
          <w:rFonts w:ascii="Times New Roman" w:hAnsi="Times New Roman"/>
          <w:bCs/>
          <w:sz w:val="22"/>
        </w:rPr>
      </w:pPr>
    </w:p>
    <w:p w14:paraId="3F6F894F" w14:textId="77777777" w:rsidR="00915C0D" w:rsidRPr="00017F75" w:rsidRDefault="00915C0D" w:rsidP="00D421FA">
      <w:pPr>
        <w:numPr>
          <w:ilvl w:val="1"/>
          <w:numId w:val="43"/>
        </w:numPr>
        <w:jc w:val="both"/>
        <w:rPr>
          <w:rFonts w:ascii="Times New Roman" w:hAnsi="Times New Roman"/>
          <w:bCs/>
          <w:sz w:val="22"/>
        </w:rPr>
      </w:pPr>
      <w:r w:rsidRPr="00915C0D">
        <w:rPr>
          <w:rFonts w:ascii="Times New Roman" w:hAnsi="Times New Roman"/>
          <w:sz w:val="22"/>
          <w:szCs w:val="22"/>
        </w:rPr>
        <w:t>This maintains a close link with the anticipated investments in the LCDS framework (adjusted version 2013) that is summarized in the following aspects: (</w:t>
      </w:r>
      <w:proofErr w:type="spellStart"/>
      <w:r w:rsidRPr="00915C0D">
        <w:rPr>
          <w:rFonts w:ascii="Times New Roman" w:hAnsi="Times New Roman"/>
          <w:sz w:val="22"/>
          <w:szCs w:val="22"/>
        </w:rPr>
        <w:t>i</w:t>
      </w:r>
      <w:proofErr w:type="spellEnd"/>
      <w:r w:rsidRPr="00915C0D">
        <w:rPr>
          <w:rFonts w:ascii="Times New Roman" w:hAnsi="Times New Roman"/>
          <w:sz w:val="22"/>
          <w:szCs w:val="22"/>
        </w:rPr>
        <w:t>) the hydroelectric projects total US$ 880 million. A necessity for energy restructuring, the process of defining the convenience of installing a mega reservoir or other, smaller units</w:t>
      </w:r>
      <w:r w:rsidRPr="00915C0D">
        <w:rPr>
          <w:rStyle w:val="FootnoteReference"/>
          <w:rFonts w:ascii="Times New Roman" w:hAnsi="Times New Roman"/>
          <w:bCs/>
          <w:sz w:val="22"/>
          <w:lang w:val="es-ES"/>
        </w:rPr>
        <w:footnoteReference w:id="71"/>
      </w:r>
      <w:r w:rsidRPr="00915C0D">
        <w:rPr>
          <w:rFonts w:ascii="Times New Roman" w:hAnsi="Times New Roman"/>
          <w:sz w:val="22"/>
          <w:szCs w:val="22"/>
        </w:rPr>
        <w:t xml:space="preserve"> is an important instrumental decision, that does not alter the policy's orientation (improving competitiveness), (ii) the development of high-potential sectors (entrepreneurship, eco-tourism, and aquaculture) will require US$ 40 million; (iii) the development of communities in the interior requires US$ 36 million and (iv) Adaptation to Climate Change requires US$ 62 million. At this stage, these values are for reference, since the dynamic of the LCDS calls for a further revision, adjustment and validation of these actions.</w:t>
      </w:r>
    </w:p>
    <w:p w14:paraId="34F37337" w14:textId="77777777" w:rsidR="00915C0D" w:rsidRPr="00017F75" w:rsidRDefault="00915C0D" w:rsidP="00915C0D">
      <w:pPr>
        <w:jc w:val="center"/>
        <w:rPr>
          <w:rFonts w:ascii="Times New Roman" w:hAnsi="Times New Roman"/>
          <w:bCs/>
          <w:sz w:val="22"/>
        </w:rPr>
      </w:pPr>
    </w:p>
    <w:p w14:paraId="7A97E4CF" w14:textId="77777777" w:rsidR="00915C0D" w:rsidRPr="00915C0D" w:rsidRDefault="00915C0D" w:rsidP="00D421FA">
      <w:pPr>
        <w:pStyle w:val="ListParagraph"/>
        <w:numPr>
          <w:ilvl w:val="1"/>
          <w:numId w:val="43"/>
        </w:numPr>
        <w:spacing w:before="120" w:after="120"/>
        <w:jc w:val="both"/>
        <w:rPr>
          <w:rFonts w:ascii="Times New Roman" w:hAnsi="Times New Roman"/>
          <w:bCs/>
          <w:sz w:val="22"/>
          <w:szCs w:val="22"/>
        </w:rPr>
      </w:pPr>
      <w:r w:rsidRPr="00915C0D">
        <w:rPr>
          <w:rFonts w:ascii="Times New Roman" w:hAnsi="Times New Roman"/>
          <w:sz w:val="22"/>
          <w:szCs w:val="22"/>
        </w:rPr>
        <w:t xml:space="preserve">The information in the previous table indicates the priorities set by 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Its implementation and success broadly exceeds the reach of the current IDB intervention, requiring additional resources and efforts. It is notable that the implementation hydroelectric plants will allow Guyana to move from being an economy that is almost 100% dependent on fossil fuels to move to energy provision supported 90% from renewable resources. This will bring savings estimated by 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at approximately </w:t>
      </w:r>
      <w:r>
        <w:rPr>
          <w:rFonts w:ascii="Times New Roman" w:hAnsi="Times New Roman"/>
          <w:sz w:val="22"/>
          <w:szCs w:val="22"/>
        </w:rPr>
        <w:t>US$</w:t>
      </w:r>
      <w:r w:rsidRPr="00915C0D">
        <w:rPr>
          <w:rFonts w:ascii="Times New Roman" w:hAnsi="Times New Roman"/>
          <w:sz w:val="22"/>
          <w:szCs w:val="22"/>
        </w:rPr>
        <w:t xml:space="preserve"> 150-175 million (due to differences in the price of operational input) which will translate into a substantial improvement in the competitive conditions of the productive sectors of the country</w:t>
      </w:r>
      <w:r w:rsidRPr="00915C0D">
        <w:rPr>
          <w:szCs w:val="22"/>
          <w:vertAlign w:val="superscript"/>
        </w:rPr>
        <w:footnoteReference w:id="72"/>
      </w:r>
      <w:r w:rsidRPr="00915C0D">
        <w:rPr>
          <w:rFonts w:ascii="Times New Roman" w:hAnsi="Times New Roman"/>
          <w:sz w:val="22"/>
          <w:szCs w:val="22"/>
        </w:rPr>
        <w:t>.</w:t>
      </w:r>
    </w:p>
    <w:p w14:paraId="3031E59E" w14:textId="77777777" w:rsidR="00915C0D" w:rsidRPr="00915C0D" w:rsidRDefault="00915C0D" w:rsidP="00915C0D">
      <w:pPr>
        <w:pStyle w:val="ListParagraph"/>
        <w:rPr>
          <w:rFonts w:ascii="Times New Roman" w:hAnsi="Times New Roman"/>
          <w:bCs/>
          <w:sz w:val="22"/>
        </w:rPr>
      </w:pPr>
    </w:p>
    <w:p w14:paraId="0542A12A" w14:textId="77777777" w:rsidR="00915C0D" w:rsidRPr="00915C0D" w:rsidRDefault="00915C0D" w:rsidP="00D421FA">
      <w:pPr>
        <w:pStyle w:val="ListParagraph"/>
        <w:numPr>
          <w:ilvl w:val="1"/>
          <w:numId w:val="43"/>
        </w:numPr>
        <w:spacing w:before="120" w:after="120"/>
        <w:jc w:val="both"/>
        <w:rPr>
          <w:rFonts w:ascii="Times New Roman" w:hAnsi="Times New Roman"/>
          <w:bCs/>
          <w:sz w:val="22"/>
          <w:szCs w:val="22"/>
        </w:rPr>
      </w:pPr>
      <w:r w:rsidRPr="00915C0D">
        <w:rPr>
          <w:rFonts w:ascii="Times New Roman" w:hAnsi="Times New Roman"/>
          <w:sz w:val="22"/>
          <w:szCs w:val="22"/>
        </w:rPr>
        <w:t xml:space="preserve">Mining and Forestry Sector Reforms. It is thought that this intervention, based on the strengthening of the management capacities of the public sector and through an improved regulatory framework will contribute to the following achievements: </w:t>
      </w:r>
    </w:p>
    <w:p w14:paraId="682D75AA" w14:textId="77777777" w:rsidR="00915C0D" w:rsidRPr="00915C0D" w:rsidRDefault="00915C0D" w:rsidP="00CE5909">
      <w:pPr>
        <w:pStyle w:val="ListParagraph"/>
        <w:numPr>
          <w:ilvl w:val="0"/>
          <w:numId w:val="24"/>
        </w:numPr>
        <w:spacing w:before="120" w:after="120"/>
        <w:jc w:val="both"/>
        <w:rPr>
          <w:rFonts w:ascii="Times New Roman" w:hAnsi="Times New Roman"/>
          <w:bCs/>
          <w:sz w:val="22"/>
        </w:rPr>
      </w:pPr>
      <w:r w:rsidRPr="00915C0D">
        <w:rPr>
          <w:rFonts w:ascii="Times New Roman" w:hAnsi="Times New Roman"/>
          <w:sz w:val="22"/>
          <w:szCs w:val="22"/>
          <w:u w:val="single"/>
        </w:rPr>
        <w:t>Gold Mining</w:t>
      </w:r>
      <w:r w:rsidRPr="00915C0D">
        <w:rPr>
          <w:rFonts w:ascii="Times New Roman" w:hAnsi="Times New Roman"/>
          <w:sz w:val="22"/>
          <w:szCs w:val="22"/>
        </w:rPr>
        <w:t>. The continued growth of gold mining along the current trajectory of increased activity and areal coverage, reduced efficiency, and increasing impacts could result in great challenges to meeting Guyana’s commitments under the LCDS and Norway Agreement, and jeopardize realization of potentials for non-extractive uses.</w:t>
      </w:r>
    </w:p>
    <w:p w14:paraId="3307D772" w14:textId="77777777" w:rsidR="00915C0D" w:rsidRPr="00915C0D" w:rsidRDefault="00915C0D" w:rsidP="00CE5909">
      <w:pPr>
        <w:pStyle w:val="ListParagraph"/>
        <w:numPr>
          <w:ilvl w:val="0"/>
          <w:numId w:val="24"/>
        </w:numPr>
        <w:spacing w:before="120" w:after="120"/>
        <w:jc w:val="both"/>
        <w:rPr>
          <w:rFonts w:ascii="Times New Roman" w:hAnsi="Times New Roman"/>
          <w:bCs/>
          <w:sz w:val="22"/>
        </w:rPr>
      </w:pPr>
      <w:r w:rsidRPr="00915C0D">
        <w:rPr>
          <w:rFonts w:ascii="Times New Roman" w:hAnsi="Times New Roman"/>
          <w:sz w:val="22"/>
          <w:szCs w:val="22"/>
        </w:rPr>
        <w:t xml:space="preserve">According to experiences in exploitations in other locations, productivity in terms of area unit could be increased from the adaptation of more efficient clean technologies on this matter.  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supported by the current PBP, has predicted funding for the studies enabling to structure the aforementioned adaptation, by verifying the consistency of economic feasibility of these initiatives in low and medium-scale mining operations.</w:t>
      </w:r>
    </w:p>
    <w:p w14:paraId="4EE0FE57" w14:textId="77777777" w:rsidR="00915C0D" w:rsidRPr="00915C0D" w:rsidRDefault="00915C0D" w:rsidP="00CE5909">
      <w:pPr>
        <w:pStyle w:val="ListParagraph"/>
        <w:numPr>
          <w:ilvl w:val="0"/>
          <w:numId w:val="24"/>
        </w:numPr>
        <w:jc w:val="both"/>
        <w:rPr>
          <w:rFonts w:ascii="Times New Roman" w:hAnsi="Times New Roman"/>
          <w:bCs/>
          <w:sz w:val="22"/>
        </w:rPr>
      </w:pPr>
      <w:r w:rsidRPr="00915C0D">
        <w:rPr>
          <w:rFonts w:ascii="Times New Roman" w:hAnsi="Times New Roman"/>
          <w:sz w:val="22"/>
          <w:szCs w:val="22"/>
        </w:rPr>
        <w:t xml:space="preserve">On conservative basis, considering adoption levels in 25% of miners to be met 5 years after the adaptation and the net effects have been technically validated in terms of 12.5% increased productivity, the potential benefit estimated is in the amount of </w:t>
      </w:r>
      <w:r>
        <w:rPr>
          <w:rFonts w:ascii="Times New Roman" w:hAnsi="Times New Roman"/>
          <w:sz w:val="22"/>
          <w:szCs w:val="22"/>
        </w:rPr>
        <w:t>US$</w:t>
      </w:r>
      <w:r w:rsidRPr="00915C0D">
        <w:rPr>
          <w:rFonts w:ascii="Times New Roman" w:hAnsi="Times New Roman"/>
          <w:sz w:val="22"/>
          <w:szCs w:val="22"/>
        </w:rPr>
        <w:t xml:space="preserve"> 5.8 million per year. It is worth remarking that this goal has been put forward observing the restriction of not generating additional deforestation-related effects.</w:t>
      </w:r>
    </w:p>
    <w:p w14:paraId="288A25DA" w14:textId="77777777" w:rsidR="00915C0D" w:rsidRPr="00915C0D" w:rsidRDefault="00915C0D" w:rsidP="00CE5909">
      <w:pPr>
        <w:pStyle w:val="ListParagraph"/>
        <w:numPr>
          <w:ilvl w:val="0"/>
          <w:numId w:val="24"/>
        </w:numPr>
        <w:jc w:val="both"/>
        <w:rPr>
          <w:rFonts w:ascii="Times New Roman" w:hAnsi="Times New Roman"/>
          <w:bCs/>
          <w:sz w:val="22"/>
        </w:rPr>
      </w:pPr>
      <w:r w:rsidRPr="00915C0D">
        <w:rPr>
          <w:rFonts w:ascii="Times New Roman" w:hAnsi="Times New Roman"/>
          <w:sz w:val="22"/>
          <w:szCs w:val="22"/>
        </w:rPr>
        <w:t>Eliminating use of mercury implies a reduction in terms of Environmental liabilities. According to current production level and operational condition, remediation cost of environmental impact would represent a cost of US$ 56.4 Millions</w:t>
      </w:r>
      <w:r w:rsidRPr="00915C0D">
        <w:rPr>
          <w:rStyle w:val="FootnoteReference"/>
          <w:rFonts w:ascii="Times New Roman" w:hAnsi="Times New Roman"/>
          <w:sz w:val="22"/>
          <w:szCs w:val="22"/>
        </w:rPr>
        <w:footnoteReference w:id="73"/>
      </w:r>
      <w:r w:rsidRPr="00915C0D">
        <w:rPr>
          <w:rFonts w:ascii="Times New Roman" w:hAnsi="Times New Roman"/>
          <w:sz w:val="22"/>
          <w:szCs w:val="22"/>
        </w:rPr>
        <w:t>.</w:t>
      </w:r>
    </w:p>
    <w:p w14:paraId="56DAD24B" w14:textId="77777777" w:rsidR="00915C0D" w:rsidRPr="00915C0D" w:rsidRDefault="00915C0D" w:rsidP="00915C0D">
      <w:pPr>
        <w:pStyle w:val="ListParagraph"/>
        <w:ind w:left="1438"/>
        <w:jc w:val="both"/>
        <w:rPr>
          <w:rFonts w:ascii="Times New Roman" w:hAnsi="Times New Roman"/>
          <w:bCs/>
          <w:sz w:val="22"/>
        </w:rPr>
      </w:pPr>
    </w:p>
    <w:p w14:paraId="23C266A2" w14:textId="77777777" w:rsidR="00915C0D" w:rsidRPr="00915C0D" w:rsidRDefault="00915C0D" w:rsidP="00CE5909">
      <w:pPr>
        <w:pStyle w:val="ListParagraph"/>
        <w:numPr>
          <w:ilvl w:val="0"/>
          <w:numId w:val="24"/>
        </w:numPr>
        <w:jc w:val="both"/>
        <w:rPr>
          <w:rFonts w:ascii="Times New Roman" w:hAnsi="Times New Roman"/>
          <w:bCs/>
          <w:sz w:val="22"/>
        </w:rPr>
      </w:pPr>
      <w:r w:rsidRPr="00915C0D">
        <w:rPr>
          <w:rFonts w:ascii="Times New Roman" w:hAnsi="Times New Roman"/>
          <w:bCs/>
          <w:sz w:val="22"/>
          <w:u w:val="single"/>
        </w:rPr>
        <w:t>Forestry</w:t>
      </w:r>
      <w:r w:rsidRPr="00915C0D">
        <w:rPr>
          <w:rFonts w:ascii="Times New Roman" w:hAnsi="Times New Roman"/>
          <w:bCs/>
          <w:sz w:val="22"/>
        </w:rPr>
        <w:t xml:space="preserve">.  Conceptually, the incorporation of Guyana into the international marketing systems that rely on legally sourced and environmentally sustainable timber is critical, since the future of the sector foresees, not just a price differential, but the disappearance of non-certified product buyers. </w:t>
      </w:r>
      <w:r w:rsidRPr="00915C0D">
        <w:rPr>
          <w:rFonts w:ascii="Times New Roman" w:hAnsi="Times New Roman"/>
          <w:sz w:val="22"/>
          <w:szCs w:val="22"/>
        </w:rPr>
        <w:t xml:space="preserve">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strategy as regards origin certification and legality of wood will operate in the general protection framework defined by the agreement with the European Union, under FLEGT terms, included in the commitments of the Bank policy matrix. Thereafter, the aim is to foster development of the different internationally valid certification systems. Considering the conditions of demanding markets constituting a commercial incentive, great development opportunities may arise.</w:t>
      </w:r>
    </w:p>
    <w:p w14:paraId="73E81117" w14:textId="77777777" w:rsidR="00915C0D" w:rsidRPr="00915C0D" w:rsidRDefault="00915C0D" w:rsidP="00915C0D">
      <w:pPr>
        <w:pStyle w:val="ListParagraph"/>
        <w:ind w:left="1438"/>
        <w:jc w:val="both"/>
        <w:rPr>
          <w:rFonts w:ascii="Times New Roman" w:hAnsi="Times New Roman"/>
          <w:bCs/>
          <w:color w:val="0000FF"/>
          <w:sz w:val="22"/>
        </w:rPr>
      </w:pPr>
    </w:p>
    <w:p w14:paraId="28E4A10F" w14:textId="77777777" w:rsidR="00915C0D" w:rsidRPr="00017F75" w:rsidRDefault="00915C0D" w:rsidP="00CE5909">
      <w:pPr>
        <w:pStyle w:val="ListParagraph"/>
        <w:numPr>
          <w:ilvl w:val="0"/>
          <w:numId w:val="24"/>
        </w:numPr>
        <w:jc w:val="both"/>
        <w:rPr>
          <w:rFonts w:ascii="Times New Roman" w:hAnsi="Times New Roman"/>
          <w:bCs/>
          <w:sz w:val="22"/>
        </w:rPr>
      </w:pPr>
      <w:r w:rsidRPr="00915C0D">
        <w:rPr>
          <w:rFonts w:ascii="Times New Roman" w:hAnsi="Times New Roman"/>
          <w:bCs/>
          <w:sz w:val="22"/>
        </w:rPr>
        <w:t>According to references</w:t>
      </w:r>
      <w:r w:rsidRPr="00915C0D">
        <w:rPr>
          <w:rStyle w:val="FootnoteReference"/>
          <w:rFonts w:ascii="Times New Roman" w:hAnsi="Times New Roman"/>
          <w:bCs/>
          <w:sz w:val="22"/>
        </w:rPr>
        <w:footnoteReference w:id="74"/>
      </w:r>
      <w:r w:rsidRPr="00915C0D">
        <w:rPr>
          <w:rFonts w:ascii="Times New Roman" w:hAnsi="Times New Roman"/>
          <w:bCs/>
          <w:sz w:val="22"/>
        </w:rPr>
        <w:t xml:space="preserve">, it can be concluded that the market assigned value differential between certified and non-certified products is around 20% of the price. It is estimated that through </w:t>
      </w:r>
      <w:proofErr w:type="spellStart"/>
      <w:r w:rsidRPr="00915C0D">
        <w:rPr>
          <w:rFonts w:ascii="Times New Roman" w:hAnsi="Times New Roman"/>
          <w:bCs/>
          <w:sz w:val="22"/>
        </w:rPr>
        <w:t>GoG</w:t>
      </w:r>
      <w:proofErr w:type="spellEnd"/>
      <w:r w:rsidRPr="00915C0D">
        <w:rPr>
          <w:rFonts w:ascii="Times New Roman" w:hAnsi="Times New Roman"/>
          <w:bCs/>
          <w:sz w:val="22"/>
        </w:rPr>
        <w:t xml:space="preserve"> intervention aimed at supporting the legal trade of forest products, at the current levels of activity, there could be additional income in the amount of </w:t>
      </w:r>
      <w:r>
        <w:rPr>
          <w:rFonts w:ascii="Times New Roman" w:hAnsi="Times New Roman"/>
          <w:bCs/>
          <w:sz w:val="22"/>
        </w:rPr>
        <w:t>US$</w:t>
      </w:r>
      <w:r w:rsidRPr="00915C0D">
        <w:rPr>
          <w:rFonts w:ascii="Times New Roman" w:hAnsi="Times New Roman"/>
          <w:bCs/>
          <w:sz w:val="22"/>
        </w:rPr>
        <w:t xml:space="preserve"> 4.3 million annually in the primary and added value production. </w:t>
      </w:r>
      <w:r w:rsidRPr="00915C0D">
        <w:rPr>
          <w:rFonts w:ascii="Times New Roman" w:hAnsi="Times New Roman"/>
          <w:sz w:val="22"/>
          <w:szCs w:val="22"/>
        </w:rPr>
        <w:t xml:space="preserve">In addition, this represents a significant move towards the expansion of the value chain, enhancing the opportunities for forest-based manufactures, where a potential of additional profits is detected in the amount of </w:t>
      </w:r>
      <w:r>
        <w:rPr>
          <w:rFonts w:ascii="Times New Roman" w:hAnsi="Times New Roman"/>
          <w:sz w:val="22"/>
          <w:szCs w:val="22"/>
        </w:rPr>
        <w:t>US$</w:t>
      </w:r>
      <w:r w:rsidRPr="00915C0D">
        <w:rPr>
          <w:rFonts w:ascii="Times New Roman" w:hAnsi="Times New Roman"/>
          <w:sz w:val="22"/>
          <w:szCs w:val="22"/>
        </w:rPr>
        <w:t xml:space="preserve"> 3.0 million per year.</w:t>
      </w:r>
    </w:p>
    <w:p w14:paraId="001A81C0" w14:textId="77777777" w:rsidR="00017F75" w:rsidRPr="00017F75" w:rsidRDefault="00017F75" w:rsidP="00017F75">
      <w:pPr>
        <w:pStyle w:val="ListParagraph"/>
        <w:rPr>
          <w:rFonts w:ascii="Times New Roman" w:hAnsi="Times New Roman"/>
          <w:bCs/>
          <w:sz w:val="22"/>
        </w:rPr>
      </w:pPr>
    </w:p>
    <w:p w14:paraId="7996CC38" w14:textId="77777777" w:rsidR="00017F75" w:rsidRPr="00017F75" w:rsidRDefault="00017F75" w:rsidP="00017F75">
      <w:pPr>
        <w:jc w:val="both"/>
        <w:rPr>
          <w:rFonts w:ascii="Times New Roman" w:hAnsi="Times New Roman"/>
          <w:bCs/>
          <w:sz w:val="22"/>
        </w:rPr>
      </w:pPr>
    </w:p>
    <w:p w14:paraId="6603801C" w14:textId="77777777" w:rsidR="00915C0D" w:rsidRPr="00915C0D" w:rsidRDefault="00915C0D" w:rsidP="00915C0D">
      <w:pPr>
        <w:pStyle w:val="ListParagraph"/>
        <w:ind w:left="1438"/>
        <w:jc w:val="both"/>
        <w:rPr>
          <w:rFonts w:ascii="Times New Roman" w:hAnsi="Times New Roman"/>
          <w:bCs/>
          <w:sz w:val="22"/>
        </w:rPr>
      </w:pPr>
    </w:p>
    <w:p w14:paraId="2F568CD6" w14:textId="77777777" w:rsidR="00915C0D" w:rsidRPr="00D16E43" w:rsidRDefault="00915C0D" w:rsidP="00D421FA">
      <w:pPr>
        <w:pStyle w:val="Heading1"/>
        <w:numPr>
          <w:ilvl w:val="0"/>
          <w:numId w:val="41"/>
        </w:numPr>
        <w:rPr>
          <w:lang w:val="en-US"/>
        </w:rPr>
      </w:pPr>
      <w:bookmarkStart w:id="29" w:name="_Toc363721759"/>
      <w:bookmarkStart w:id="30" w:name="_Toc403028402"/>
      <w:r w:rsidRPr="00D16E43">
        <w:rPr>
          <w:lang w:val="en-US"/>
        </w:rPr>
        <w:t>Sensitivity Analysis.</w:t>
      </w:r>
      <w:bookmarkEnd w:id="29"/>
      <w:bookmarkEnd w:id="30"/>
    </w:p>
    <w:p w14:paraId="2665BF57" w14:textId="77777777" w:rsidR="00915C0D" w:rsidRPr="00915C0D" w:rsidRDefault="00915C0D" w:rsidP="00915C0D">
      <w:pPr>
        <w:jc w:val="both"/>
        <w:rPr>
          <w:rFonts w:ascii="Times New Roman" w:hAnsi="Times New Roman"/>
          <w:bCs/>
          <w:sz w:val="22"/>
          <w:lang w:val="es-ES"/>
        </w:rPr>
      </w:pPr>
    </w:p>
    <w:p w14:paraId="286A3F07" w14:textId="77777777" w:rsidR="00915C0D" w:rsidRPr="00915C0D" w:rsidRDefault="00915C0D" w:rsidP="00CE5909">
      <w:pPr>
        <w:pStyle w:val="ListParagraph"/>
        <w:numPr>
          <w:ilvl w:val="1"/>
          <w:numId w:val="25"/>
        </w:numPr>
        <w:spacing w:before="120" w:after="120"/>
        <w:ind w:left="720" w:hanging="720"/>
        <w:jc w:val="both"/>
        <w:rPr>
          <w:rFonts w:ascii="Times New Roman" w:hAnsi="Times New Roman"/>
          <w:bCs/>
          <w:sz w:val="22"/>
        </w:rPr>
      </w:pPr>
      <w:r w:rsidRPr="00915C0D">
        <w:rPr>
          <w:rFonts w:ascii="Times New Roman" w:hAnsi="Times New Roman"/>
          <w:sz w:val="22"/>
          <w:szCs w:val="22"/>
        </w:rPr>
        <w:t>The sensitivity analysis in view of adverse conditions can be approached in two ways: the first is the existence of the conditions that guarantee LCDS sustainability and financing sources; and the second is the probability of obtaining the expected economic benefits for the mining and forest sectors.</w:t>
      </w:r>
    </w:p>
    <w:p w14:paraId="0F00C1E4" w14:textId="77777777" w:rsidR="00915C0D" w:rsidRPr="00915C0D" w:rsidRDefault="00915C0D" w:rsidP="00915C0D">
      <w:pPr>
        <w:pStyle w:val="ListParagraph"/>
        <w:spacing w:before="120" w:after="120"/>
        <w:jc w:val="both"/>
        <w:rPr>
          <w:rFonts w:ascii="Times New Roman" w:hAnsi="Times New Roman"/>
          <w:bCs/>
          <w:sz w:val="22"/>
        </w:rPr>
      </w:pPr>
    </w:p>
    <w:p w14:paraId="2B1B1335" w14:textId="77777777" w:rsidR="00915C0D" w:rsidRPr="00915C0D" w:rsidRDefault="00915C0D" w:rsidP="00CE5909">
      <w:pPr>
        <w:pStyle w:val="ListParagraph"/>
        <w:numPr>
          <w:ilvl w:val="1"/>
          <w:numId w:val="25"/>
        </w:numPr>
        <w:spacing w:before="120" w:after="120"/>
        <w:ind w:left="720" w:hanging="720"/>
        <w:jc w:val="both"/>
        <w:rPr>
          <w:rFonts w:ascii="Times New Roman" w:hAnsi="Times New Roman"/>
          <w:bCs/>
          <w:sz w:val="22"/>
        </w:rPr>
      </w:pPr>
      <w:r w:rsidRPr="00915C0D">
        <w:rPr>
          <w:rFonts w:ascii="Times New Roman" w:hAnsi="Times New Roman"/>
          <w:sz w:val="22"/>
          <w:szCs w:val="22"/>
        </w:rPr>
        <w:t xml:space="preserve">It is considered that there are conditions favorable for the sustainability of the </w:t>
      </w:r>
      <w:proofErr w:type="spellStart"/>
      <w:r w:rsidRPr="00915C0D">
        <w:rPr>
          <w:rFonts w:ascii="Times New Roman" w:hAnsi="Times New Roman"/>
          <w:sz w:val="22"/>
          <w:szCs w:val="22"/>
        </w:rPr>
        <w:t>MoU</w:t>
      </w:r>
      <w:proofErr w:type="spellEnd"/>
      <w:r w:rsidRPr="00915C0D">
        <w:rPr>
          <w:rFonts w:ascii="Times New Roman" w:hAnsi="Times New Roman"/>
          <w:sz w:val="22"/>
          <w:szCs w:val="22"/>
        </w:rPr>
        <w:t>-LCDS scheme and the REDD+ mechanism. In particular, the condition of maintaining the deforestation rate in the expected range (between 0.056%</w:t>
      </w:r>
      <w:r w:rsidRPr="00915C0D">
        <w:rPr>
          <w:rStyle w:val="FootnoteReference"/>
          <w:rFonts w:ascii="Times New Roman" w:hAnsi="Times New Roman"/>
          <w:sz w:val="22"/>
          <w:szCs w:val="22"/>
        </w:rPr>
        <w:footnoteReference w:id="75"/>
      </w:r>
      <w:r w:rsidRPr="00915C0D">
        <w:rPr>
          <w:rFonts w:ascii="Times New Roman" w:hAnsi="Times New Roman"/>
          <w:sz w:val="22"/>
          <w:szCs w:val="22"/>
        </w:rPr>
        <w:t xml:space="preserve"> and 0,100%) is considered an achievable goal. At present, 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is making a concerted effort to keep this rate under control, given that its failure to comply would cause two negative effects: (</w:t>
      </w:r>
      <w:proofErr w:type="spellStart"/>
      <w:r w:rsidRPr="00915C0D">
        <w:rPr>
          <w:rFonts w:ascii="Times New Roman" w:hAnsi="Times New Roman"/>
          <w:sz w:val="22"/>
          <w:szCs w:val="22"/>
        </w:rPr>
        <w:t>i</w:t>
      </w:r>
      <w:proofErr w:type="spellEnd"/>
      <w:r w:rsidRPr="00915C0D">
        <w:rPr>
          <w:rFonts w:ascii="Times New Roman" w:hAnsi="Times New Roman"/>
          <w:sz w:val="22"/>
          <w:szCs w:val="22"/>
        </w:rPr>
        <w:t>) a decline in available funds under the agreement with Norway to sustain the restructuring investments; and (ii) a change in the orientation of the policy, its implementation and/or the control systems.</w:t>
      </w:r>
    </w:p>
    <w:p w14:paraId="48BCA7C1" w14:textId="77777777" w:rsidR="00915C0D" w:rsidRPr="00915C0D" w:rsidRDefault="00915C0D" w:rsidP="00915C0D">
      <w:pPr>
        <w:pStyle w:val="ListParagraph"/>
        <w:rPr>
          <w:rFonts w:ascii="Times New Roman" w:hAnsi="Times New Roman"/>
          <w:bCs/>
          <w:sz w:val="22"/>
        </w:rPr>
      </w:pPr>
    </w:p>
    <w:p w14:paraId="087C663E" w14:textId="77777777" w:rsidR="00915C0D" w:rsidRPr="00915C0D" w:rsidRDefault="00915C0D" w:rsidP="00CE5909">
      <w:pPr>
        <w:pStyle w:val="ListParagraph"/>
        <w:numPr>
          <w:ilvl w:val="1"/>
          <w:numId w:val="25"/>
        </w:numPr>
        <w:spacing w:before="120" w:after="120"/>
        <w:ind w:left="709" w:hanging="720"/>
        <w:jc w:val="both"/>
        <w:rPr>
          <w:rFonts w:ascii="Times New Roman" w:hAnsi="Times New Roman"/>
          <w:bCs/>
          <w:sz w:val="22"/>
        </w:rPr>
      </w:pPr>
      <w:r w:rsidRPr="00915C0D">
        <w:rPr>
          <w:rFonts w:ascii="Times New Roman" w:hAnsi="Times New Roman"/>
          <w:sz w:val="22"/>
          <w:szCs w:val="22"/>
        </w:rPr>
        <w:t xml:space="preserve">On the other hand, the analysis of projected benefits for the initiatives intended directly for the mining and forest </w:t>
      </w:r>
      <w:proofErr w:type="gramStart"/>
      <w:r w:rsidRPr="00915C0D">
        <w:rPr>
          <w:rFonts w:ascii="Times New Roman" w:hAnsi="Times New Roman"/>
          <w:sz w:val="22"/>
          <w:szCs w:val="22"/>
        </w:rPr>
        <w:t>sector,</w:t>
      </w:r>
      <w:proofErr w:type="gramEnd"/>
      <w:r w:rsidRPr="00915C0D">
        <w:rPr>
          <w:rFonts w:ascii="Times New Roman" w:hAnsi="Times New Roman"/>
          <w:sz w:val="22"/>
          <w:szCs w:val="22"/>
        </w:rPr>
        <w:t xml:space="preserve"> has been carried out based on conservative budgets. In the case that the progress concerning regulation in the ASM segment leads to less impact than anticipated (only 10% of miners adopting new clean technologies), the scenario estimates annual profits of </w:t>
      </w:r>
      <w:r>
        <w:rPr>
          <w:rFonts w:ascii="Times New Roman" w:hAnsi="Times New Roman"/>
          <w:sz w:val="22"/>
          <w:szCs w:val="22"/>
        </w:rPr>
        <w:t>US$</w:t>
      </w:r>
      <w:r w:rsidRPr="00915C0D">
        <w:rPr>
          <w:rFonts w:ascii="Times New Roman" w:hAnsi="Times New Roman"/>
          <w:sz w:val="22"/>
          <w:szCs w:val="22"/>
        </w:rPr>
        <w:t xml:space="preserve"> 2.3 million.</w:t>
      </w:r>
    </w:p>
    <w:p w14:paraId="276B04CF" w14:textId="77777777" w:rsidR="00915C0D" w:rsidRPr="00915C0D" w:rsidRDefault="00915C0D" w:rsidP="00915C0D">
      <w:pPr>
        <w:pStyle w:val="ListParagraph"/>
        <w:rPr>
          <w:rFonts w:ascii="Times New Roman" w:hAnsi="Times New Roman"/>
          <w:bCs/>
          <w:sz w:val="22"/>
        </w:rPr>
      </w:pPr>
    </w:p>
    <w:p w14:paraId="4FA43A16" w14:textId="63711B90" w:rsidR="00915C0D" w:rsidRPr="00915C0D" w:rsidRDefault="00915C0D" w:rsidP="00CE5909">
      <w:pPr>
        <w:pStyle w:val="ListParagraph"/>
        <w:numPr>
          <w:ilvl w:val="1"/>
          <w:numId w:val="25"/>
        </w:numPr>
        <w:spacing w:before="120" w:after="120"/>
        <w:ind w:left="709" w:hanging="720"/>
        <w:jc w:val="both"/>
        <w:rPr>
          <w:rFonts w:ascii="Times New Roman" w:hAnsi="Times New Roman"/>
          <w:bCs/>
          <w:sz w:val="22"/>
        </w:rPr>
      </w:pPr>
      <w:r w:rsidRPr="00915C0D">
        <w:rPr>
          <w:rFonts w:ascii="Times New Roman" w:hAnsi="Times New Roman"/>
          <w:sz w:val="22"/>
          <w:szCs w:val="22"/>
        </w:rPr>
        <w:t xml:space="preserve">In addition, in the case that forestry strategy on environmental certification and legality does not reach the anticipated scope in terms of dissemination, so that only 10% of the primary producers adopt this mechanism, the estimated profits would decrease to </w:t>
      </w:r>
      <w:r>
        <w:rPr>
          <w:rFonts w:ascii="Times New Roman" w:hAnsi="Times New Roman"/>
          <w:sz w:val="22"/>
          <w:szCs w:val="22"/>
        </w:rPr>
        <w:t>US$</w:t>
      </w:r>
      <w:r w:rsidRPr="00915C0D">
        <w:rPr>
          <w:rFonts w:ascii="Times New Roman" w:hAnsi="Times New Roman"/>
          <w:sz w:val="22"/>
          <w:szCs w:val="22"/>
        </w:rPr>
        <w:t xml:space="preserve"> 2.1 million per year. Finally, if value chain progress is delayed due to the impossibility of adapting new </w:t>
      </w:r>
      <w:r w:rsidR="00D71B82" w:rsidRPr="00915C0D">
        <w:rPr>
          <w:rFonts w:ascii="Times New Roman" w:hAnsi="Times New Roman"/>
          <w:sz w:val="22"/>
          <w:szCs w:val="22"/>
        </w:rPr>
        <w:t>technologies</w:t>
      </w:r>
      <w:r w:rsidRPr="00915C0D">
        <w:rPr>
          <w:rFonts w:ascii="Times New Roman" w:hAnsi="Times New Roman"/>
          <w:sz w:val="22"/>
          <w:szCs w:val="22"/>
        </w:rPr>
        <w:t xml:space="preserve"> or including new and more productive species, the expected higher profits would be reduced to </w:t>
      </w:r>
      <w:r>
        <w:rPr>
          <w:rFonts w:ascii="Times New Roman" w:hAnsi="Times New Roman"/>
          <w:sz w:val="22"/>
          <w:szCs w:val="22"/>
        </w:rPr>
        <w:t>US$</w:t>
      </w:r>
      <w:r w:rsidRPr="00915C0D">
        <w:rPr>
          <w:rFonts w:ascii="Times New Roman" w:hAnsi="Times New Roman"/>
          <w:sz w:val="22"/>
          <w:szCs w:val="22"/>
        </w:rPr>
        <w:t>1.5 million.</w:t>
      </w:r>
    </w:p>
    <w:p w14:paraId="6A55435E" w14:textId="77777777" w:rsidR="00915C0D" w:rsidRPr="00915C0D" w:rsidRDefault="00915C0D" w:rsidP="00915C0D">
      <w:pPr>
        <w:jc w:val="both"/>
        <w:rPr>
          <w:rFonts w:ascii="Times New Roman" w:hAnsi="Times New Roman"/>
          <w:bCs/>
          <w:sz w:val="22"/>
        </w:rPr>
      </w:pPr>
    </w:p>
    <w:p w14:paraId="64066422" w14:textId="77777777" w:rsidR="00915C0D" w:rsidRPr="00915C0D" w:rsidRDefault="00915C0D" w:rsidP="00915C0D">
      <w:pPr>
        <w:ind w:left="426"/>
        <w:jc w:val="both"/>
        <w:rPr>
          <w:rFonts w:ascii="Times New Roman" w:hAnsi="Times New Roman"/>
          <w:bCs/>
          <w:sz w:val="22"/>
        </w:rPr>
      </w:pPr>
    </w:p>
    <w:p w14:paraId="643C5746" w14:textId="77777777" w:rsidR="00915C0D" w:rsidRPr="00915C0D" w:rsidRDefault="00915C0D" w:rsidP="00915C0D">
      <w:pPr>
        <w:rPr>
          <w:rFonts w:ascii="Times New Roman" w:hAnsi="Times New Roman"/>
          <w:sz w:val="22"/>
          <w:szCs w:val="22"/>
        </w:rPr>
      </w:pPr>
    </w:p>
    <w:p w14:paraId="79ECF9FC" w14:textId="77777777" w:rsidR="00915C0D" w:rsidRPr="00915C0D" w:rsidRDefault="00915C0D" w:rsidP="00915C0D">
      <w:pPr>
        <w:jc w:val="both"/>
      </w:pPr>
      <w:bookmarkStart w:id="31" w:name="_Toc296036135"/>
    </w:p>
    <w:p w14:paraId="133F256C" w14:textId="77777777" w:rsidR="00915C0D" w:rsidRPr="00915C0D" w:rsidRDefault="00915C0D">
      <w:bookmarkStart w:id="32" w:name="_Anexo_:_precios"/>
      <w:bookmarkEnd w:id="32"/>
      <w:r w:rsidRPr="00915C0D">
        <w:br w:type="page"/>
      </w:r>
    </w:p>
    <w:p w14:paraId="788B50DC" w14:textId="4CD3D0C5" w:rsidR="00915C0D" w:rsidRPr="00915C0D" w:rsidRDefault="00D71B82" w:rsidP="00915C0D">
      <w:pPr>
        <w:pStyle w:val="Heading1"/>
        <w:ind w:left="360"/>
        <w:rPr>
          <w:i w:val="0"/>
          <w:lang w:val="en-US"/>
        </w:rPr>
      </w:pPr>
      <w:bookmarkStart w:id="33" w:name="_Anexo_I:_AGROIDEAS"/>
      <w:bookmarkStart w:id="34" w:name="_Toc403028403"/>
      <w:bookmarkEnd w:id="33"/>
      <w:r>
        <w:rPr>
          <w:lang w:val="en-US"/>
        </w:rPr>
        <w:t>Annex</w:t>
      </w:r>
      <w:r w:rsidR="00915C0D" w:rsidRPr="00915C0D">
        <w:rPr>
          <w:lang w:val="en-US"/>
        </w:rPr>
        <w:t xml:space="preserve"> I: </w:t>
      </w:r>
      <w:r w:rsidR="00915C0D" w:rsidRPr="00915C0D">
        <w:rPr>
          <w:noProof/>
          <w:lang w:val="en-US"/>
        </w:rPr>
        <w:t>Joint concept Note</w:t>
      </w:r>
      <w:bookmarkEnd w:id="34"/>
    </w:p>
    <w:p w14:paraId="13AA03B5" w14:textId="77777777" w:rsidR="00915C0D" w:rsidRPr="00915C0D" w:rsidRDefault="00915C0D" w:rsidP="00915C0D">
      <w:pPr>
        <w:jc w:val="both"/>
        <w:rPr>
          <w:rFonts w:ascii="Times New Roman" w:hAnsi="Times New Roman"/>
          <w:sz w:val="22"/>
          <w:szCs w:val="22"/>
        </w:rPr>
      </w:pPr>
    </w:p>
    <w:p w14:paraId="7C5CECEC" w14:textId="77777777" w:rsidR="00915C0D" w:rsidRPr="00915C0D" w:rsidRDefault="00915C0D" w:rsidP="00915C0D">
      <w:pPr>
        <w:jc w:val="both"/>
        <w:rPr>
          <w:rFonts w:ascii="Times New Roman" w:hAnsi="Times New Roman"/>
          <w:sz w:val="22"/>
          <w:szCs w:val="24"/>
        </w:rPr>
      </w:pPr>
      <w:r w:rsidRPr="00915C0D">
        <w:rPr>
          <w:rFonts w:ascii="Times New Roman" w:hAnsi="Times New Roman"/>
          <w:sz w:val="22"/>
          <w:szCs w:val="24"/>
        </w:rPr>
        <w:t>On November 9th, 2009, Guyana and Norway signed a Memorandum of Understanding (</w:t>
      </w:r>
      <w:proofErr w:type="spellStart"/>
      <w:r w:rsidRPr="00915C0D">
        <w:rPr>
          <w:rFonts w:ascii="Times New Roman" w:hAnsi="Times New Roman"/>
          <w:sz w:val="22"/>
          <w:szCs w:val="24"/>
        </w:rPr>
        <w:t>MoU</w:t>
      </w:r>
      <w:proofErr w:type="spellEnd"/>
      <w:r w:rsidRPr="00915C0D">
        <w:rPr>
          <w:rFonts w:ascii="Times New Roman" w:hAnsi="Times New Roman"/>
          <w:sz w:val="22"/>
          <w:szCs w:val="24"/>
        </w:rPr>
        <w:t>) regarding cooperation on issues related to the fight against climate change, in particular those concerning reducing emissions from deforestation and forest degradation in developing countries (REDD-plus1), the protection of biodiversity, and enhancement of sustainable, low carbon development.</w:t>
      </w:r>
    </w:p>
    <w:p w14:paraId="13FA2674" w14:textId="77777777" w:rsidR="00915C0D" w:rsidRPr="00915C0D" w:rsidRDefault="00915C0D" w:rsidP="00915C0D">
      <w:pPr>
        <w:jc w:val="both"/>
        <w:rPr>
          <w:rFonts w:ascii="Times New Roman" w:hAnsi="Times New Roman"/>
          <w:sz w:val="22"/>
          <w:szCs w:val="24"/>
        </w:rPr>
      </w:pPr>
    </w:p>
    <w:p w14:paraId="7EA1E869" w14:textId="77777777" w:rsidR="00915C0D" w:rsidRPr="00915C0D" w:rsidRDefault="00915C0D" w:rsidP="00915C0D">
      <w:pPr>
        <w:jc w:val="both"/>
        <w:rPr>
          <w:rFonts w:ascii="Times New Roman" w:hAnsi="Times New Roman"/>
          <w:sz w:val="22"/>
          <w:szCs w:val="24"/>
        </w:rPr>
      </w:pPr>
      <w:r w:rsidRPr="00915C0D">
        <w:rPr>
          <w:rFonts w:ascii="Times New Roman" w:hAnsi="Times New Roman"/>
          <w:sz w:val="22"/>
          <w:szCs w:val="24"/>
        </w:rPr>
        <w:t xml:space="preserve"> Joint Concept Note (JCN) set out the framework for taking the Guyana-Norway co-operation forward and how Norway would provide Guyana with financial support for REDD-plus results, and formed the basis for the first payment from Norway to Guyana.</w:t>
      </w:r>
    </w:p>
    <w:p w14:paraId="245DEDCC" w14:textId="77777777" w:rsidR="00915C0D" w:rsidRPr="00915C0D" w:rsidRDefault="00915C0D" w:rsidP="00915C0D">
      <w:pPr>
        <w:jc w:val="both"/>
        <w:rPr>
          <w:rFonts w:ascii="Times New Roman" w:hAnsi="Times New Roman"/>
          <w:sz w:val="22"/>
          <w:szCs w:val="24"/>
        </w:rPr>
      </w:pPr>
    </w:p>
    <w:p w14:paraId="42786315" w14:textId="77777777" w:rsidR="00915C0D" w:rsidRPr="00915C0D" w:rsidRDefault="00915C0D" w:rsidP="00915C0D">
      <w:pPr>
        <w:jc w:val="both"/>
        <w:rPr>
          <w:rFonts w:ascii="Times New Roman" w:hAnsi="Times New Roman"/>
          <w:b/>
          <w:bCs/>
          <w:i/>
          <w:sz w:val="22"/>
          <w:szCs w:val="24"/>
        </w:rPr>
      </w:pPr>
      <w:r w:rsidRPr="00915C0D">
        <w:rPr>
          <w:rFonts w:ascii="Times New Roman" w:hAnsi="Times New Roman"/>
          <w:b/>
          <w:bCs/>
          <w:i/>
          <w:sz w:val="22"/>
          <w:szCs w:val="24"/>
        </w:rPr>
        <w:t>Section 1: Introduction.</w:t>
      </w:r>
    </w:p>
    <w:p w14:paraId="1F7DEA68" w14:textId="77777777" w:rsidR="00915C0D" w:rsidRPr="00915C0D" w:rsidRDefault="00915C0D" w:rsidP="00915C0D">
      <w:pPr>
        <w:jc w:val="both"/>
        <w:rPr>
          <w:rFonts w:ascii="Times New Roman" w:hAnsi="Times New Roman"/>
          <w:b/>
          <w:bCs/>
          <w:i/>
          <w:sz w:val="22"/>
          <w:szCs w:val="24"/>
        </w:rPr>
      </w:pPr>
    </w:p>
    <w:p w14:paraId="3C966016" w14:textId="77777777" w:rsidR="00915C0D" w:rsidRPr="00915C0D" w:rsidRDefault="00915C0D" w:rsidP="00915C0D">
      <w:pPr>
        <w:jc w:val="both"/>
        <w:rPr>
          <w:rFonts w:ascii="Times New Roman" w:hAnsi="Times New Roman"/>
          <w:bCs/>
          <w:sz w:val="22"/>
          <w:szCs w:val="24"/>
        </w:rPr>
      </w:pPr>
      <w:r w:rsidRPr="00915C0D">
        <w:rPr>
          <w:rFonts w:ascii="Times New Roman" w:hAnsi="Times New Roman"/>
          <w:bCs/>
          <w:sz w:val="22"/>
          <w:szCs w:val="24"/>
        </w:rPr>
        <w:t>The JCN sets out how Norway is providing, and will continue to provide, financial support to Guyana, based on Guyana’s delivery of results as measured, and independently verified or assessed, against two sets of indicators:</w:t>
      </w:r>
    </w:p>
    <w:p w14:paraId="6FF110B1" w14:textId="77777777" w:rsidR="00915C0D" w:rsidRPr="00915C0D" w:rsidRDefault="00915C0D" w:rsidP="00915C0D">
      <w:pPr>
        <w:autoSpaceDE w:val="0"/>
        <w:autoSpaceDN w:val="0"/>
        <w:adjustRightInd w:val="0"/>
        <w:jc w:val="both"/>
        <w:rPr>
          <w:rFonts w:ascii="Times New Roman" w:hAnsi="Times New Roman"/>
          <w:i/>
          <w:iCs/>
          <w:color w:val="000000"/>
          <w:sz w:val="22"/>
          <w:szCs w:val="24"/>
          <w:lang w:eastAsia="es-AR"/>
        </w:rPr>
      </w:pPr>
    </w:p>
    <w:p w14:paraId="0E1A5B4D" w14:textId="77777777" w:rsidR="00915C0D" w:rsidRPr="00915C0D" w:rsidRDefault="00915C0D" w:rsidP="00915C0D">
      <w:pPr>
        <w:autoSpaceDE w:val="0"/>
        <w:autoSpaceDN w:val="0"/>
        <w:adjustRightInd w:val="0"/>
        <w:jc w:val="both"/>
        <w:rPr>
          <w:rFonts w:ascii="Times New Roman" w:hAnsi="Times New Roman"/>
          <w:i/>
          <w:iCs/>
          <w:color w:val="000000"/>
          <w:sz w:val="22"/>
          <w:szCs w:val="24"/>
          <w:lang w:eastAsia="es-AR"/>
        </w:rPr>
      </w:pPr>
      <w:r w:rsidRPr="00915C0D">
        <w:rPr>
          <w:rFonts w:ascii="Times New Roman" w:hAnsi="Times New Roman"/>
          <w:i/>
          <w:iCs/>
          <w:color w:val="000000"/>
          <w:sz w:val="22"/>
          <w:szCs w:val="24"/>
          <w:lang w:eastAsia="es-AR"/>
        </w:rPr>
        <w:t xml:space="preserve">REDD-plus Performance Indicators: </w:t>
      </w:r>
      <w:r w:rsidRPr="00915C0D">
        <w:rPr>
          <w:rFonts w:ascii="Times New Roman" w:hAnsi="Times New Roman"/>
          <w:iCs/>
          <w:color w:val="000000"/>
          <w:sz w:val="22"/>
          <w:szCs w:val="24"/>
          <w:lang w:eastAsia="es-AR"/>
        </w:rPr>
        <w:t xml:space="preserve">A set of forest-based greenhouse gas emissions-related indicators. Results against these indicators will be independently verified according to the established practice of the partnership. These indicators will gradually be substituted as a system for monitoring, reporting and verifying (MRV) emissions from deforestation and forest degradation in Guyana is established. </w:t>
      </w:r>
    </w:p>
    <w:p w14:paraId="242D5C56" w14:textId="77777777" w:rsidR="00915C0D" w:rsidRPr="00915C0D" w:rsidRDefault="00915C0D" w:rsidP="00915C0D">
      <w:pPr>
        <w:autoSpaceDE w:val="0"/>
        <w:autoSpaceDN w:val="0"/>
        <w:adjustRightInd w:val="0"/>
        <w:jc w:val="both"/>
        <w:rPr>
          <w:rFonts w:ascii="Times New Roman" w:hAnsi="Times New Roman"/>
          <w:color w:val="000000"/>
          <w:sz w:val="22"/>
          <w:szCs w:val="24"/>
          <w:lang w:eastAsia="es-AR"/>
        </w:rPr>
      </w:pPr>
    </w:p>
    <w:p w14:paraId="7B3C0E07" w14:textId="77777777" w:rsidR="00915C0D" w:rsidRPr="00915C0D" w:rsidRDefault="00915C0D" w:rsidP="00915C0D">
      <w:pPr>
        <w:autoSpaceDE w:val="0"/>
        <w:autoSpaceDN w:val="0"/>
        <w:adjustRightInd w:val="0"/>
        <w:jc w:val="both"/>
        <w:rPr>
          <w:rFonts w:ascii="Times New Roman" w:hAnsi="Times New Roman"/>
          <w:color w:val="000000"/>
          <w:sz w:val="22"/>
          <w:szCs w:val="24"/>
          <w:lang w:eastAsia="es-AR"/>
        </w:rPr>
      </w:pPr>
      <w:r w:rsidRPr="00915C0D">
        <w:rPr>
          <w:rFonts w:ascii="Times New Roman" w:hAnsi="Times New Roman"/>
          <w:i/>
          <w:iCs/>
          <w:color w:val="000000"/>
          <w:sz w:val="22"/>
          <w:szCs w:val="24"/>
          <w:lang w:eastAsia="es-AR"/>
        </w:rPr>
        <w:t>Indicators of Enabling Activities</w:t>
      </w:r>
      <w:r w:rsidRPr="00915C0D">
        <w:rPr>
          <w:rFonts w:ascii="Times New Roman" w:hAnsi="Times New Roman"/>
          <w:color w:val="000000"/>
          <w:sz w:val="22"/>
          <w:szCs w:val="24"/>
          <w:lang w:eastAsia="es-AR"/>
        </w:rPr>
        <w:t xml:space="preserve">: Indicators are identified that can be independently assessed through publicly available information on progress regarding a set of policies and safeguards to ensure that REDD-plus contributes to the achievement of the goals set out in Paragraph2(c) of the </w:t>
      </w:r>
      <w:proofErr w:type="spellStart"/>
      <w:r w:rsidRPr="00915C0D">
        <w:rPr>
          <w:rFonts w:ascii="Times New Roman" w:hAnsi="Times New Roman"/>
          <w:color w:val="000000"/>
          <w:sz w:val="22"/>
          <w:szCs w:val="24"/>
          <w:lang w:eastAsia="es-AR"/>
        </w:rPr>
        <w:t>MoU</w:t>
      </w:r>
      <w:proofErr w:type="spellEnd"/>
      <w:r w:rsidRPr="00915C0D">
        <w:rPr>
          <w:rFonts w:ascii="Times New Roman" w:hAnsi="Times New Roman"/>
          <w:color w:val="000000"/>
          <w:sz w:val="22"/>
          <w:szCs w:val="24"/>
          <w:lang w:eastAsia="es-AR"/>
        </w:rPr>
        <w:t xml:space="preserve"> signed between Guyana and Norway:</w:t>
      </w:r>
    </w:p>
    <w:p w14:paraId="49F32AFD" w14:textId="77777777" w:rsidR="00915C0D" w:rsidRPr="00915C0D" w:rsidRDefault="00915C0D" w:rsidP="00915C0D">
      <w:pPr>
        <w:autoSpaceDE w:val="0"/>
        <w:autoSpaceDN w:val="0"/>
        <w:adjustRightInd w:val="0"/>
        <w:jc w:val="both"/>
        <w:rPr>
          <w:rFonts w:ascii="Times New Roman" w:hAnsi="Times New Roman"/>
          <w:color w:val="000000"/>
          <w:sz w:val="22"/>
          <w:szCs w:val="24"/>
          <w:lang w:eastAsia="es-AR"/>
        </w:rPr>
      </w:pPr>
    </w:p>
    <w:p w14:paraId="10C4FCE9" w14:textId="77777777" w:rsidR="00915C0D" w:rsidRPr="00915C0D" w:rsidRDefault="00915C0D" w:rsidP="00CE5909">
      <w:pPr>
        <w:numPr>
          <w:ilvl w:val="0"/>
          <w:numId w:val="9"/>
        </w:numPr>
        <w:autoSpaceDE w:val="0"/>
        <w:autoSpaceDN w:val="0"/>
        <w:adjustRightInd w:val="0"/>
        <w:rPr>
          <w:rFonts w:ascii="Times New Roman" w:hAnsi="Times New Roman"/>
          <w:color w:val="000000"/>
          <w:sz w:val="22"/>
          <w:szCs w:val="22"/>
          <w:lang w:eastAsia="es-ES"/>
        </w:rPr>
      </w:pPr>
      <w:r w:rsidRPr="00915C0D">
        <w:rPr>
          <w:rFonts w:ascii="Times New Roman" w:hAnsi="Times New Roman"/>
          <w:color w:val="000000"/>
          <w:sz w:val="22"/>
          <w:szCs w:val="22"/>
          <w:lang w:eastAsia="es-AR"/>
        </w:rPr>
        <w:t>protect the rights of indigenous peoples,</w:t>
      </w:r>
    </w:p>
    <w:p w14:paraId="702737AE" w14:textId="77777777" w:rsidR="00915C0D" w:rsidRPr="00915C0D" w:rsidRDefault="00915C0D" w:rsidP="00CE5909">
      <w:pPr>
        <w:numPr>
          <w:ilvl w:val="0"/>
          <w:numId w:val="9"/>
        </w:numPr>
        <w:autoSpaceDE w:val="0"/>
        <w:autoSpaceDN w:val="0"/>
        <w:adjustRightInd w:val="0"/>
        <w:jc w:val="both"/>
        <w:rPr>
          <w:rFonts w:ascii="Times New Roman" w:hAnsi="Times New Roman"/>
          <w:color w:val="000000"/>
          <w:sz w:val="22"/>
          <w:szCs w:val="24"/>
          <w:lang w:eastAsia="es-AR"/>
        </w:rPr>
      </w:pPr>
      <w:r w:rsidRPr="00915C0D">
        <w:rPr>
          <w:rFonts w:ascii="Times New Roman" w:hAnsi="Times New Roman"/>
          <w:color w:val="000000"/>
          <w:sz w:val="22"/>
          <w:szCs w:val="24"/>
          <w:lang w:eastAsia="es-AR"/>
        </w:rPr>
        <w:t>ensure environmental integrity and protect biodiversity,</w:t>
      </w:r>
    </w:p>
    <w:p w14:paraId="2B900187" w14:textId="77777777" w:rsidR="00915C0D" w:rsidRPr="00915C0D" w:rsidRDefault="00915C0D" w:rsidP="00CE5909">
      <w:pPr>
        <w:numPr>
          <w:ilvl w:val="0"/>
          <w:numId w:val="9"/>
        </w:numPr>
        <w:autoSpaceDE w:val="0"/>
        <w:autoSpaceDN w:val="0"/>
        <w:adjustRightInd w:val="0"/>
        <w:jc w:val="both"/>
        <w:rPr>
          <w:rFonts w:ascii="Times New Roman" w:hAnsi="Times New Roman"/>
          <w:color w:val="000000"/>
          <w:sz w:val="22"/>
          <w:szCs w:val="24"/>
          <w:lang w:eastAsia="es-AR"/>
        </w:rPr>
      </w:pPr>
      <w:r w:rsidRPr="00915C0D">
        <w:rPr>
          <w:rFonts w:ascii="Times New Roman" w:hAnsi="Times New Roman"/>
          <w:color w:val="000000"/>
          <w:sz w:val="22"/>
          <w:szCs w:val="24"/>
          <w:lang w:eastAsia="es-AR"/>
        </w:rPr>
        <w:t>ensure continual improvements in forest governance,</w:t>
      </w:r>
    </w:p>
    <w:p w14:paraId="4E976080" w14:textId="77777777" w:rsidR="00915C0D" w:rsidRPr="00915C0D" w:rsidRDefault="00915C0D" w:rsidP="00CE5909">
      <w:pPr>
        <w:numPr>
          <w:ilvl w:val="0"/>
          <w:numId w:val="9"/>
        </w:numPr>
        <w:autoSpaceDE w:val="0"/>
        <w:autoSpaceDN w:val="0"/>
        <w:adjustRightInd w:val="0"/>
        <w:jc w:val="both"/>
        <w:rPr>
          <w:rFonts w:ascii="Times New Roman" w:hAnsi="Times New Roman"/>
          <w:color w:val="000000"/>
          <w:sz w:val="22"/>
          <w:szCs w:val="24"/>
          <w:lang w:eastAsia="es-AR"/>
        </w:rPr>
      </w:pPr>
      <w:proofErr w:type="gramStart"/>
      <w:r w:rsidRPr="00915C0D">
        <w:rPr>
          <w:rFonts w:ascii="Times New Roman" w:hAnsi="Times New Roman"/>
          <w:color w:val="000000"/>
          <w:sz w:val="22"/>
          <w:szCs w:val="24"/>
          <w:lang w:eastAsia="es-AR"/>
        </w:rPr>
        <w:t>provide</w:t>
      </w:r>
      <w:proofErr w:type="gramEnd"/>
      <w:r w:rsidRPr="00915C0D">
        <w:rPr>
          <w:rFonts w:ascii="Times New Roman" w:hAnsi="Times New Roman"/>
          <w:color w:val="000000"/>
          <w:sz w:val="22"/>
          <w:szCs w:val="24"/>
          <w:lang w:eastAsia="es-AR"/>
        </w:rPr>
        <w:t xml:space="preserve"> transparent, accountable oversight and governance of the financial support received. </w:t>
      </w:r>
    </w:p>
    <w:p w14:paraId="205DDAC7" w14:textId="77777777" w:rsidR="00915C0D" w:rsidRPr="00915C0D" w:rsidRDefault="00915C0D" w:rsidP="00915C0D">
      <w:pPr>
        <w:autoSpaceDE w:val="0"/>
        <w:autoSpaceDN w:val="0"/>
        <w:adjustRightInd w:val="0"/>
        <w:jc w:val="both"/>
        <w:rPr>
          <w:rFonts w:ascii="Times New Roman" w:hAnsi="Times New Roman"/>
          <w:sz w:val="22"/>
          <w:szCs w:val="24"/>
        </w:rPr>
      </w:pPr>
    </w:p>
    <w:p w14:paraId="4B9EDAAF" w14:textId="77777777" w:rsidR="00915C0D" w:rsidRPr="00915C0D" w:rsidRDefault="00915C0D" w:rsidP="00915C0D">
      <w:pPr>
        <w:autoSpaceDE w:val="0"/>
        <w:autoSpaceDN w:val="0"/>
        <w:adjustRightInd w:val="0"/>
        <w:jc w:val="both"/>
        <w:rPr>
          <w:rFonts w:ascii="Times New Roman" w:hAnsi="Times New Roman"/>
          <w:color w:val="000000"/>
          <w:sz w:val="22"/>
          <w:szCs w:val="24"/>
          <w:lang w:eastAsia="es-AR"/>
        </w:rPr>
      </w:pPr>
      <w:r w:rsidRPr="00915C0D">
        <w:rPr>
          <w:rFonts w:ascii="Times New Roman" w:hAnsi="Times New Roman"/>
          <w:color w:val="000000"/>
          <w:sz w:val="22"/>
          <w:szCs w:val="24"/>
          <w:lang w:eastAsia="es-AR"/>
        </w:rPr>
        <w:t xml:space="preserve">Norwegian financial support is being channeled through a multi-contributor financial mechanism – the Guyana REDD-plus Investment Fund (GRIF).  The support is financing two sets of activities: </w:t>
      </w:r>
    </w:p>
    <w:p w14:paraId="283855F9" w14:textId="77777777" w:rsidR="00915C0D" w:rsidRPr="00915C0D" w:rsidRDefault="00915C0D" w:rsidP="00CE5909">
      <w:pPr>
        <w:numPr>
          <w:ilvl w:val="0"/>
          <w:numId w:val="10"/>
        </w:numPr>
        <w:autoSpaceDE w:val="0"/>
        <w:autoSpaceDN w:val="0"/>
        <w:adjustRightInd w:val="0"/>
        <w:ind w:left="714" w:hanging="357"/>
        <w:jc w:val="both"/>
        <w:rPr>
          <w:rFonts w:ascii="Times New Roman" w:hAnsi="Times New Roman"/>
          <w:color w:val="000000"/>
          <w:sz w:val="22"/>
          <w:szCs w:val="24"/>
          <w:lang w:eastAsia="es-AR"/>
        </w:rPr>
      </w:pPr>
      <w:r w:rsidRPr="00915C0D">
        <w:rPr>
          <w:rFonts w:ascii="Times New Roman" w:hAnsi="Times New Roman"/>
          <w:color w:val="000000"/>
          <w:sz w:val="22"/>
          <w:szCs w:val="24"/>
          <w:lang w:eastAsia="es-AR"/>
        </w:rPr>
        <w:t>The implementation of Guyana’s Low Carbon Development Strategy (LCDS).</w:t>
      </w:r>
    </w:p>
    <w:p w14:paraId="1447089A" w14:textId="77777777" w:rsidR="00915C0D" w:rsidRPr="00915C0D" w:rsidRDefault="00915C0D" w:rsidP="00CE5909">
      <w:pPr>
        <w:numPr>
          <w:ilvl w:val="0"/>
          <w:numId w:val="10"/>
        </w:numPr>
        <w:autoSpaceDE w:val="0"/>
        <w:autoSpaceDN w:val="0"/>
        <w:adjustRightInd w:val="0"/>
        <w:ind w:left="714" w:hanging="357"/>
        <w:jc w:val="both"/>
        <w:rPr>
          <w:rFonts w:ascii="Times New Roman" w:hAnsi="Times New Roman"/>
          <w:color w:val="000000"/>
          <w:sz w:val="22"/>
          <w:szCs w:val="24"/>
          <w:lang w:eastAsia="es-AR"/>
        </w:rPr>
      </w:pPr>
      <w:r w:rsidRPr="00915C0D">
        <w:rPr>
          <w:rFonts w:ascii="Times New Roman" w:hAnsi="Times New Roman"/>
          <w:color w:val="000000"/>
          <w:sz w:val="22"/>
          <w:szCs w:val="24"/>
          <w:lang w:eastAsia="es-AR"/>
        </w:rPr>
        <w:t xml:space="preserve">Guyana’s efforts in building capacity to improve overall REDD+ and LCDS efforts. </w:t>
      </w:r>
    </w:p>
    <w:p w14:paraId="0421B8F1" w14:textId="77777777" w:rsidR="00915C0D" w:rsidRPr="00915C0D" w:rsidRDefault="00915C0D" w:rsidP="00915C0D">
      <w:pPr>
        <w:autoSpaceDE w:val="0"/>
        <w:autoSpaceDN w:val="0"/>
        <w:adjustRightInd w:val="0"/>
        <w:rPr>
          <w:rFonts w:ascii="Times New Roman" w:hAnsi="Times New Roman"/>
          <w:color w:val="000000"/>
          <w:sz w:val="22"/>
          <w:szCs w:val="24"/>
          <w:lang w:eastAsia="es-AR"/>
        </w:rPr>
      </w:pPr>
    </w:p>
    <w:p w14:paraId="1CC0A37C" w14:textId="77777777" w:rsidR="00915C0D" w:rsidRPr="00915C0D" w:rsidRDefault="00915C0D" w:rsidP="00915C0D">
      <w:pPr>
        <w:autoSpaceDE w:val="0"/>
        <w:autoSpaceDN w:val="0"/>
        <w:adjustRightInd w:val="0"/>
        <w:jc w:val="both"/>
        <w:rPr>
          <w:rFonts w:ascii="Times New Roman" w:hAnsi="Times New Roman"/>
          <w:sz w:val="22"/>
          <w:szCs w:val="24"/>
        </w:rPr>
      </w:pPr>
      <w:r w:rsidRPr="00915C0D">
        <w:rPr>
          <w:rFonts w:ascii="Times New Roman" w:hAnsi="Times New Roman"/>
          <w:sz w:val="22"/>
          <w:szCs w:val="24"/>
        </w:rPr>
        <w:t xml:space="preserve">The first payment to the GRIF was made in October, 2010 and the second payment in March 2011 for results achieved between October 1, 2009 and September 30, 2010. The third contribution was announced in December 2012 for forestry results from January 1st to December 31st 2011 and for results on indicators of Enabling Activities from October 1st 2010 to December 21st 2012. </w:t>
      </w:r>
    </w:p>
    <w:p w14:paraId="254C8CC9" w14:textId="77777777" w:rsidR="00915C0D" w:rsidRPr="00915C0D" w:rsidRDefault="00915C0D" w:rsidP="00915C0D">
      <w:pPr>
        <w:autoSpaceDE w:val="0"/>
        <w:autoSpaceDN w:val="0"/>
        <w:adjustRightInd w:val="0"/>
        <w:jc w:val="both"/>
        <w:rPr>
          <w:rFonts w:ascii="Times New Roman" w:hAnsi="Times New Roman"/>
          <w:sz w:val="22"/>
          <w:szCs w:val="24"/>
        </w:rPr>
      </w:pPr>
    </w:p>
    <w:p w14:paraId="04C1D277" w14:textId="77777777" w:rsidR="00915C0D" w:rsidRPr="00915C0D" w:rsidRDefault="00915C0D" w:rsidP="00915C0D">
      <w:pPr>
        <w:jc w:val="both"/>
        <w:rPr>
          <w:rFonts w:ascii="Times New Roman" w:hAnsi="Times New Roman"/>
          <w:sz w:val="22"/>
          <w:szCs w:val="24"/>
        </w:rPr>
      </w:pPr>
      <w:r w:rsidRPr="00915C0D">
        <w:rPr>
          <w:rFonts w:ascii="Times New Roman" w:hAnsi="Times New Roman"/>
          <w:sz w:val="22"/>
          <w:szCs w:val="24"/>
        </w:rPr>
        <w:t>The annual progress in developing the MRV system and in strengthening the quality of REDD-plus-related forest governance will be defined as steps towards reaching these goals.</w:t>
      </w:r>
    </w:p>
    <w:p w14:paraId="1AB3D1BC" w14:textId="77777777" w:rsidR="00915C0D" w:rsidRPr="00915C0D" w:rsidRDefault="00915C0D" w:rsidP="00915C0D">
      <w:pPr>
        <w:jc w:val="both"/>
        <w:rPr>
          <w:rFonts w:ascii="Times New Roman" w:hAnsi="Times New Roman"/>
          <w:sz w:val="22"/>
          <w:szCs w:val="24"/>
        </w:rPr>
      </w:pPr>
    </w:p>
    <w:p w14:paraId="7F81DD1A" w14:textId="77777777" w:rsidR="00915C0D" w:rsidRPr="00915C0D" w:rsidRDefault="00915C0D" w:rsidP="00915C0D">
      <w:pPr>
        <w:jc w:val="both"/>
        <w:rPr>
          <w:rFonts w:ascii="Times New Roman" w:hAnsi="Times New Roman"/>
          <w:sz w:val="22"/>
          <w:szCs w:val="24"/>
        </w:rPr>
      </w:pPr>
    </w:p>
    <w:p w14:paraId="340C3D69" w14:textId="77777777" w:rsidR="00915C0D" w:rsidRPr="00915C0D" w:rsidRDefault="00915C0D" w:rsidP="00915C0D">
      <w:pPr>
        <w:jc w:val="both"/>
        <w:rPr>
          <w:rFonts w:ascii="Times New Roman" w:hAnsi="Times New Roman"/>
          <w:sz w:val="22"/>
          <w:szCs w:val="24"/>
        </w:rPr>
      </w:pPr>
    </w:p>
    <w:p w14:paraId="549CAE80" w14:textId="77777777" w:rsidR="00915C0D" w:rsidRPr="00915C0D" w:rsidRDefault="00915C0D" w:rsidP="00915C0D">
      <w:pPr>
        <w:jc w:val="both"/>
        <w:rPr>
          <w:rFonts w:ascii="Times New Roman" w:hAnsi="Times New Roman"/>
          <w:sz w:val="22"/>
          <w:szCs w:val="24"/>
        </w:rPr>
      </w:pPr>
    </w:p>
    <w:p w14:paraId="19DF37AC" w14:textId="77777777" w:rsidR="00915C0D" w:rsidRPr="00915C0D" w:rsidRDefault="00915C0D" w:rsidP="00915C0D">
      <w:pPr>
        <w:jc w:val="both"/>
        <w:rPr>
          <w:rFonts w:ascii="Times New Roman" w:hAnsi="Times New Roman"/>
          <w:b/>
          <w:sz w:val="22"/>
          <w:szCs w:val="24"/>
        </w:rPr>
      </w:pPr>
    </w:p>
    <w:p w14:paraId="23678CCA" w14:textId="77777777" w:rsidR="00915C0D" w:rsidRPr="00915C0D" w:rsidRDefault="00915C0D" w:rsidP="00915C0D">
      <w:pPr>
        <w:jc w:val="both"/>
        <w:rPr>
          <w:rFonts w:ascii="Times New Roman" w:hAnsi="Times New Roman"/>
          <w:b/>
          <w:sz w:val="22"/>
          <w:szCs w:val="24"/>
        </w:rPr>
      </w:pPr>
    </w:p>
    <w:p w14:paraId="5690E9EA" w14:textId="77777777" w:rsidR="00915C0D" w:rsidRPr="00915C0D" w:rsidRDefault="00915C0D" w:rsidP="00915C0D">
      <w:pPr>
        <w:jc w:val="both"/>
        <w:rPr>
          <w:rFonts w:ascii="Times New Roman" w:hAnsi="Times New Roman"/>
          <w:bCs/>
          <w:sz w:val="22"/>
          <w:szCs w:val="24"/>
        </w:rPr>
      </w:pPr>
      <w:r w:rsidRPr="00915C0D">
        <w:rPr>
          <w:rFonts w:ascii="Times New Roman" w:hAnsi="Times New Roman"/>
          <w:bCs/>
          <w:sz w:val="22"/>
          <w:szCs w:val="24"/>
        </w:rPr>
        <w:t>Section 2: Enabling Activities.</w:t>
      </w:r>
    </w:p>
    <w:p w14:paraId="106A8942" w14:textId="77777777" w:rsidR="00915C0D" w:rsidRPr="00915C0D" w:rsidRDefault="00915C0D" w:rsidP="00915C0D">
      <w:pPr>
        <w:jc w:val="both"/>
        <w:rPr>
          <w:rFonts w:ascii="Times New Roman" w:hAnsi="Times New Roman"/>
          <w:sz w:val="22"/>
          <w:szCs w:val="24"/>
        </w:rPr>
      </w:pPr>
      <w:r w:rsidRPr="00915C0D">
        <w:rPr>
          <w:rFonts w:ascii="Times New Roman" w:hAnsi="Times New Roman"/>
          <w:sz w:val="22"/>
          <w:szCs w:val="24"/>
        </w:rPr>
        <w:t>The continuation of result-based financial support from Norway to Guyana will depend on publicly observable progress on forest governance, as outlined below,</w:t>
      </w:r>
    </w:p>
    <w:p w14:paraId="622054E2" w14:textId="77777777" w:rsidR="00915C0D" w:rsidRPr="00915C0D" w:rsidRDefault="00915C0D" w:rsidP="00CE5909">
      <w:pPr>
        <w:numPr>
          <w:ilvl w:val="0"/>
          <w:numId w:val="8"/>
        </w:numPr>
        <w:jc w:val="both"/>
        <w:rPr>
          <w:rFonts w:ascii="Times New Roman" w:hAnsi="Times New Roman"/>
          <w:sz w:val="22"/>
          <w:szCs w:val="24"/>
        </w:rPr>
      </w:pPr>
      <w:r w:rsidRPr="00915C0D">
        <w:rPr>
          <w:rFonts w:ascii="Times New Roman" w:hAnsi="Times New Roman"/>
          <w:bCs/>
          <w:sz w:val="22"/>
          <w:szCs w:val="24"/>
        </w:rPr>
        <w:t>Strategic framework:</w:t>
      </w:r>
      <w:r w:rsidRPr="00915C0D">
        <w:rPr>
          <w:rFonts w:ascii="Times New Roman" w:hAnsi="Times New Roman"/>
          <w:sz w:val="22"/>
          <w:szCs w:val="24"/>
        </w:rPr>
        <w:t xml:space="preserve"> All aspects of Guyana’s planned efforts to reduce deforestation and forest degradation, including forest conservation, sustainable management of forests and enhancement of forest carbon stocks (“REDD-plus”), are being developed in a consistent manner, through an internationally recognized framework for developing a REDD-plus </w:t>
      </w:r>
      <w:proofErr w:type="spellStart"/>
      <w:r w:rsidRPr="00915C0D">
        <w:rPr>
          <w:rFonts w:ascii="Times New Roman" w:hAnsi="Times New Roman"/>
          <w:sz w:val="22"/>
          <w:szCs w:val="24"/>
        </w:rPr>
        <w:t>programme</w:t>
      </w:r>
      <w:proofErr w:type="spellEnd"/>
      <w:r w:rsidRPr="00915C0D">
        <w:rPr>
          <w:rFonts w:ascii="Times New Roman" w:hAnsi="Times New Roman"/>
          <w:sz w:val="22"/>
          <w:szCs w:val="24"/>
        </w:rPr>
        <w:t>. The contributions to Guyana’s LCDS from Norway and other contributors, including the FCPF, will be administered in a transparent manner. Information concerning all expenditures, both planned and implemented, will be publicly available on the relevant website of the Government of Guyana, and through national systems of public disclosure, including to the National Assembly.</w:t>
      </w:r>
    </w:p>
    <w:p w14:paraId="0D654CE1" w14:textId="77777777" w:rsidR="00915C0D" w:rsidRPr="00915C0D" w:rsidRDefault="00915C0D" w:rsidP="00915C0D">
      <w:pPr>
        <w:jc w:val="both"/>
        <w:rPr>
          <w:i/>
          <w:iCs/>
          <w:sz w:val="22"/>
        </w:rPr>
      </w:pPr>
    </w:p>
    <w:p w14:paraId="02430100" w14:textId="77777777" w:rsidR="00915C0D" w:rsidRPr="00915C0D" w:rsidRDefault="00915C0D" w:rsidP="00915C0D">
      <w:pPr>
        <w:jc w:val="both"/>
        <w:rPr>
          <w:rFonts w:ascii="Times New Roman" w:hAnsi="Times New Roman"/>
          <w:i/>
          <w:sz w:val="22"/>
        </w:rPr>
      </w:pPr>
      <w:r w:rsidRPr="00915C0D">
        <w:rPr>
          <w:rFonts w:ascii="Times New Roman" w:hAnsi="Times New Roman"/>
          <w:i/>
          <w:iCs/>
          <w:sz w:val="22"/>
        </w:rPr>
        <w:t xml:space="preserve">Goal of the partnership: </w:t>
      </w:r>
      <w:r w:rsidRPr="00915C0D">
        <w:rPr>
          <w:rFonts w:ascii="Times New Roman" w:hAnsi="Times New Roman"/>
          <w:i/>
          <w:sz w:val="22"/>
        </w:rPr>
        <w:t xml:space="preserve"> By the end of 2014, the Governments will make one or more joint submissions to the UNFCCC, covering each area where there the Governments believe that there are shared lessons that will help the global multilateral process.</w:t>
      </w:r>
    </w:p>
    <w:p w14:paraId="5F8A0562" w14:textId="77777777" w:rsidR="00915C0D" w:rsidRPr="00915C0D" w:rsidRDefault="00915C0D" w:rsidP="00915C0D">
      <w:pPr>
        <w:jc w:val="both"/>
        <w:rPr>
          <w:rFonts w:ascii="Times New Roman" w:hAnsi="Times New Roman"/>
          <w:sz w:val="22"/>
          <w:szCs w:val="24"/>
        </w:rPr>
      </w:pPr>
    </w:p>
    <w:p w14:paraId="4CFD7D22" w14:textId="77777777" w:rsidR="00915C0D" w:rsidRPr="00915C0D" w:rsidRDefault="00915C0D" w:rsidP="00CE5909">
      <w:pPr>
        <w:numPr>
          <w:ilvl w:val="0"/>
          <w:numId w:val="8"/>
        </w:numPr>
        <w:jc w:val="both"/>
        <w:rPr>
          <w:rFonts w:ascii="Times New Roman" w:hAnsi="Times New Roman"/>
          <w:sz w:val="22"/>
          <w:szCs w:val="24"/>
        </w:rPr>
      </w:pPr>
      <w:r w:rsidRPr="00915C0D">
        <w:rPr>
          <w:rFonts w:ascii="Times New Roman" w:hAnsi="Times New Roman"/>
          <w:sz w:val="22"/>
          <w:szCs w:val="24"/>
        </w:rPr>
        <w:t>Continuous multi-stakeholder consultation process. Particular attention will be given to the full and effective participation of indigenous peoples and other forest-dependent communities.</w:t>
      </w:r>
    </w:p>
    <w:p w14:paraId="33B66DD9" w14:textId="74FCF9BE" w:rsidR="00915C0D" w:rsidRPr="00915C0D" w:rsidRDefault="00915C0D" w:rsidP="00CE5909">
      <w:pPr>
        <w:numPr>
          <w:ilvl w:val="0"/>
          <w:numId w:val="8"/>
        </w:numPr>
        <w:jc w:val="both"/>
        <w:rPr>
          <w:rFonts w:ascii="Times New Roman" w:hAnsi="Times New Roman"/>
          <w:sz w:val="22"/>
          <w:szCs w:val="24"/>
        </w:rPr>
      </w:pPr>
      <w:r w:rsidRPr="00915C0D">
        <w:rPr>
          <w:rFonts w:ascii="Times New Roman" w:hAnsi="Times New Roman"/>
          <w:sz w:val="22"/>
          <w:szCs w:val="24"/>
        </w:rPr>
        <w:t xml:space="preserve">Governance.  A transparent, rules-based, inclusive forest governance, accountability and enforcement system for forest governance in Guyana is being progressively strengthened, in accordance with Guyana’s outline REDD-plus Governance Development Plan (RGDP) and the enabling activities for 2012. Implementation of a </w:t>
      </w:r>
      <w:proofErr w:type="spellStart"/>
      <w:r w:rsidRPr="00915C0D">
        <w:rPr>
          <w:rFonts w:ascii="Times New Roman" w:hAnsi="Times New Roman"/>
          <w:sz w:val="22"/>
          <w:szCs w:val="24"/>
        </w:rPr>
        <w:t>GoG</w:t>
      </w:r>
      <w:proofErr w:type="spellEnd"/>
      <w:r w:rsidRPr="00915C0D">
        <w:rPr>
          <w:rFonts w:ascii="Times New Roman" w:hAnsi="Times New Roman"/>
          <w:sz w:val="22"/>
          <w:szCs w:val="24"/>
        </w:rPr>
        <w:t xml:space="preserve"> (MNRE) </w:t>
      </w:r>
      <w:proofErr w:type="spellStart"/>
      <w:r w:rsidRPr="00915C0D">
        <w:rPr>
          <w:rFonts w:ascii="Times New Roman" w:hAnsi="Times New Roman"/>
          <w:sz w:val="22"/>
          <w:szCs w:val="24"/>
        </w:rPr>
        <w:t>programme</w:t>
      </w:r>
      <w:proofErr w:type="spellEnd"/>
      <w:r w:rsidRPr="00915C0D">
        <w:rPr>
          <w:rFonts w:ascii="Times New Roman" w:hAnsi="Times New Roman"/>
          <w:sz w:val="22"/>
          <w:szCs w:val="24"/>
        </w:rPr>
        <w:t xml:space="preserve">, with actions focused on specific efforts to manage degradation from extractive activities where this needs to be done, including, for example: the start up of an enhanced miners' environmental knowledge </w:t>
      </w:r>
      <w:proofErr w:type="spellStart"/>
      <w:r w:rsidRPr="00915C0D">
        <w:rPr>
          <w:rFonts w:ascii="Times New Roman" w:hAnsi="Times New Roman"/>
          <w:sz w:val="22"/>
          <w:szCs w:val="24"/>
        </w:rPr>
        <w:t>programme</w:t>
      </w:r>
      <w:proofErr w:type="spellEnd"/>
      <w:r w:rsidRPr="00915C0D">
        <w:rPr>
          <w:rFonts w:ascii="Times New Roman" w:hAnsi="Times New Roman"/>
          <w:sz w:val="22"/>
          <w:szCs w:val="24"/>
        </w:rPr>
        <w:t xml:space="preserve"> through a mining extension service initiative and enhanced dialogue with the sectors and relevant stakeholders towards ensuring that sector</w:t>
      </w:r>
      <w:r w:rsidR="00D71B82">
        <w:rPr>
          <w:rFonts w:ascii="Times New Roman" w:hAnsi="Times New Roman"/>
          <w:sz w:val="22"/>
          <w:szCs w:val="24"/>
        </w:rPr>
        <w:t>i</w:t>
      </w:r>
      <w:r w:rsidRPr="00915C0D">
        <w:rPr>
          <w:rFonts w:ascii="Times New Roman" w:hAnsi="Times New Roman"/>
          <w:sz w:val="22"/>
          <w:szCs w:val="24"/>
        </w:rPr>
        <w:t>al best practices are applied and sustained thereafter.</w:t>
      </w:r>
    </w:p>
    <w:p w14:paraId="78A0F844" w14:textId="77777777" w:rsidR="00915C0D" w:rsidRPr="00915C0D" w:rsidRDefault="00915C0D" w:rsidP="00CE5909">
      <w:pPr>
        <w:numPr>
          <w:ilvl w:val="0"/>
          <w:numId w:val="8"/>
        </w:numPr>
        <w:ind w:left="708"/>
        <w:jc w:val="both"/>
        <w:rPr>
          <w:rFonts w:ascii="Times New Roman" w:hAnsi="Times New Roman"/>
          <w:color w:val="000000"/>
          <w:sz w:val="22"/>
          <w:szCs w:val="24"/>
          <w:lang w:eastAsia="es-AR"/>
        </w:rPr>
      </w:pPr>
      <w:r w:rsidRPr="00915C0D">
        <w:rPr>
          <w:rFonts w:ascii="Times New Roman" w:hAnsi="Times New Roman"/>
          <w:sz w:val="22"/>
          <w:szCs w:val="24"/>
        </w:rPr>
        <w:t xml:space="preserve">The rights of indigenous peoples and other local forest communities as regards REDD-plus.  These rights will be respected and protected throughout Guyana’s REDD-plus and LCDS efforts. </w:t>
      </w:r>
    </w:p>
    <w:p w14:paraId="5261521F" w14:textId="77777777" w:rsidR="00915C0D" w:rsidRPr="00915C0D" w:rsidRDefault="00915C0D" w:rsidP="00CE5909">
      <w:pPr>
        <w:numPr>
          <w:ilvl w:val="0"/>
          <w:numId w:val="8"/>
        </w:numPr>
        <w:jc w:val="both"/>
        <w:rPr>
          <w:rFonts w:ascii="Times New Roman" w:hAnsi="Times New Roman"/>
          <w:sz w:val="22"/>
          <w:szCs w:val="24"/>
        </w:rPr>
      </w:pPr>
      <w:r w:rsidRPr="00915C0D">
        <w:rPr>
          <w:rFonts w:ascii="Times New Roman" w:hAnsi="Times New Roman"/>
          <w:bCs/>
          <w:sz w:val="22"/>
          <w:szCs w:val="24"/>
        </w:rPr>
        <w:t>Integrated land-use planning and management</w:t>
      </w:r>
      <w:r w:rsidRPr="00915C0D">
        <w:rPr>
          <w:rFonts w:ascii="Times New Roman" w:hAnsi="Times New Roman"/>
          <w:sz w:val="22"/>
          <w:szCs w:val="24"/>
        </w:rPr>
        <w:t xml:space="preserve">. A key element of this system should be a publicly available map of area use (including, but not limited to, full transparency regarding existing and planned concession and reconnaissance areas for forestry and mining, titled lands for Amerindian communities, areas planned and </w:t>
      </w:r>
      <w:proofErr w:type="spellStart"/>
      <w:r w:rsidRPr="00915C0D">
        <w:rPr>
          <w:rFonts w:ascii="Times New Roman" w:hAnsi="Times New Roman"/>
          <w:sz w:val="22"/>
          <w:szCs w:val="24"/>
        </w:rPr>
        <w:t>concessioned</w:t>
      </w:r>
      <w:proofErr w:type="spellEnd"/>
      <w:r w:rsidRPr="00915C0D">
        <w:rPr>
          <w:rFonts w:ascii="Times New Roman" w:hAnsi="Times New Roman"/>
          <w:sz w:val="22"/>
          <w:szCs w:val="24"/>
        </w:rPr>
        <w:t xml:space="preserve"> for industrial agriculture etc.). The measures taken will as a whole be in line with Guyana's stated goal of maintaining 99,5 per cent of its forest for the duration of the partnership and stay on a similar trend after 2015, though the degree of forest protection will depend on various factors, including the availability of international climate finance.</w:t>
      </w:r>
    </w:p>
    <w:p w14:paraId="7A984E31" w14:textId="77777777" w:rsidR="00915C0D" w:rsidRPr="00915C0D" w:rsidRDefault="00915C0D" w:rsidP="00915C0D">
      <w:pPr>
        <w:ind w:left="708"/>
        <w:rPr>
          <w:rFonts w:ascii="Times New Roman" w:hAnsi="Times New Roman"/>
          <w:color w:val="000000"/>
          <w:sz w:val="22"/>
          <w:szCs w:val="24"/>
          <w:lang w:eastAsia="es-AR"/>
        </w:rPr>
      </w:pPr>
    </w:p>
    <w:p w14:paraId="3FFCB353" w14:textId="77777777" w:rsidR="00915C0D" w:rsidRPr="00915C0D" w:rsidRDefault="00915C0D" w:rsidP="00CE5909">
      <w:pPr>
        <w:numPr>
          <w:ilvl w:val="0"/>
          <w:numId w:val="8"/>
        </w:numPr>
        <w:autoSpaceDE w:val="0"/>
        <w:autoSpaceDN w:val="0"/>
        <w:adjustRightInd w:val="0"/>
        <w:rPr>
          <w:rFonts w:ascii="Times New Roman" w:hAnsi="Times New Roman"/>
          <w:color w:val="000000"/>
          <w:sz w:val="22"/>
          <w:szCs w:val="24"/>
          <w:lang w:eastAsia="es-AR"/>
        </w:rPr>
      </w:pPr>
      <w:r w:rsidRPr="00915C0D">
        <w:rPr>
          <w:rFonts w:ascii="Times New Roman" w:hAnsi="Times New Roman"/>
          <w:bCs/>
          <w:color w:val="000000"/>
          <w:sz w:val="22"/>
          <w:szCs w:val="24"/>
          <w:lang w:eastAsia="es-AR"/>
        </w:rPr>
        <w:t>Monitoring, reporting and verification</w:t>
      </w:r>
      <w:r w:rsidRPr="00915C0D">
        <w:rPr>
          <w:rFonts w:ascii="Times New Roman" w:hAnsi="Times New Roman"/>
          <w:color w:val="000000"/>
          <w:sz w:val="22"/>
          <w:szCs w:val="24"/>
          <w:lang w:eastAsia="es-AR"/>
        </w:rPr>
        <w:t>. Guyana has established a deforestation baseline and performed two forest area assessments for the years 2009-10 and 2010-11</w:t>
      </w:r>
      <w:proofErr w:type="gramStart"/>
      <w:r w:rsidRPr="00915C0D">
        <w:rPr>
          <w:rFonts w:ascii="Times New Roman" w:hAnsi="Times New Roman"/>
          <w:color w:val="000000"/>
          <w:sz w:val="22"/>
          <w:szCs w:val="24"/>
          <w:lang w:eastAsia="es-AR"/>
        </w:rPr>
        <w:t>..</w:t>
      </w:r>
      <w:proofErr w:type="gramEnd"/>
      <w:r w:rsidRPr="00915C0D">
        <w:rPr>
          <w:rFonts w:ascii="Times New Roman" w:hAnsi="Times New Roman"/>
          <w:color w:val="000000"/>
          <w:sz w:val="22"/>
          <w:szCs w:val="24"/>
          <w:lang w:eastAsia="es-AR"/>
        </w:rPr>
        <w:t xml:space="preserve"> </w:t>
      </w:r>
    </w:p>
    <w:p w14:paraId="5C784500" w14:textId="77777777" w:rsidR="00915C0D" w:rsidRPr="00915C0D" w:rsidRDefault="00915C0D" w:rsidP="00915C0D">
      <w:pPr>
        <w:autoSpaceDE w:val="0"/>
        <w:autoSpaceDN w:val="0"/>
        <w:adjustRightInd w:val="0"/>
        <w:rPr>
          <w:rFonts w:ascii="Times New Roman" w:hAnsi="Times New Roman"/>
          <w:color w:val="000000"/>
          <w:sz w:val="22"/>
          <w:szCs w:val="24"/>
          <w:lang w:eastAsia="es-AR"/>
        </w:rPr>
      </w:pPr>
    </w:p>
    <w:p w14:paraId="0CFC06A4" w14:textId="77777777" w:rsidR="00915C0D" w:rsidRPr="00915C0D" w:rsidRDefault="00915C0D" w:rsidP="00915C0D">
      <w:pPr>
        <w:jc w:val="both"/>
        <w:rPr>
          <w:rFonts w:ascii="Times New Roman" w:hAnsi="Times New Roman"/>
          <w:i/>
          <w:iCs/>
        </w:rPr>
      </w:pPr>
      <w:r w:rsidRPr="00915C0D">
        <w:rPr>
          <w:rFonts w:ascii="Times New Roman" w:hAnsi="Times New Roman"/>
          <w:i/>
          <w:iCs/>
        </w:rPr>
        <w:t>Goal of the partnership:   Guyana has implemented the MRV-roadmap and reached a reporting level incorporating several Tier 3 elements by the end of 2015. These Tier 3 elements include, but are not necessarily limited to, the use of high resolution data at national level that allows for disaggregation, the use of methods that provide estimates of greater certainty than lower tiers for key carbon pools, the use of comprehensive field sampling that is linked to GIS based systems which integrates land use and management activity data, and is subject to quality checks, and validations</w:t>
      </w:r>
    </w:p>
    <w:p w14:paraId="3B977BCC" w14:textId="77777777" w:rsidR="00915C0D" w:rsidRPr="00915C0D" w:rsidRDefault="00915C0D" w:rsidP="00915C0D">
      <w:pPr>
        <w:jc w:val="both"/>
        <w:rPr>
          <w:rFonts w:ascii="Times New Roman" w:hAnsi="Times New Roman"/>
          <w:sz w:val="22"/>
          <w:szCs w:val="24"/>
        </w:rPr>
      </w:pPr>
    </w:p>
    <w:p w14:paraId="3D75201E" w14:textId="77777777" w:rsidR="00915C0D" w:rsidRPr="00915C0D" w:rsidRDefault="00915C0D" w:rsidP="00915C0D">
      <w:pPr>
        <w:jc w:val="both"/>
        <w:rPr>
          <w:rFonts w:ascii="Times New Roman" w:hAnsi="Times New Roman"/>
          <w:bCs/>
          <w:i/>
          <w:sz w:val="22"/>
          <w:szCs w:val="24"/>
        </w:rPr>
      </w:pPr>
      <w:r w:rsidRPr="00915C0D">
        <w:rPr>
          <w:rFonts w:ascii="Times New Roman" w:hAnsi="Times New Roman"/>
          <w:bCs/>
          <w:i/>
          <w:sz w:val="22"/>
          <w:szCs w:val="24"/>
        </w:rPr>
        <w:t>Section 2.2 Assessing Progress Against Enabling Indicators.</w:t>
      </w:r>
    </w:p>
    <w:p w14:paraId="515E0506" w14:textId="77777777" w:rsidR="00915C0D" w:rsidRPr="00915C0D" w:rsidRDefault="00915C0D" w:rsidP="00915C0D">
      <w:pPr>
        <w:jc w:val="both"/>
        <w:rPr>
          <w:rFonts w:ascii="Times New Roman" w:hAnsi="Times New Roman"/>
          <w:bCs/>
          <w:i/>
          <w:sz w:val="22"/>
          <w:szCs w:val="24"/>
        </w:rPr>
      </w:pPr>
    </w:p>
    <w:p w14:paraId="1EF3A720" w14:textId="77777777" w:rsidR="00915C0D" w:rsidRPr="00915C0D" w:rsidRDefault="00915C0D" w:rsidP="00915C0D">
      <w:pPr>
        <w:jc w:val="both"/>
        <w:rPr>
          <w:rFonts w:ascii="Times New Roman" w:hAnsi="Times New Roman"/>
          <w:sz w:val="22"/>
          <w:szCs w:val="24"/>
        </w:rPr>
      </w:pPr>
      <w:r w:rsidRPr="00915C0D">
        <w:rPr>
          <w:rFonts w:ascii="Times New Roman" w:hAnsi="Times New Roman"/>
          <w:sz w:val="22"/>
          <w:szCs w:val="24"/>
        </w:rPr>
        <w:t>Guyana and Norway have agreed that the necessary information to assess Guyana’s delivery on these indicators will be easily accessible in the public space</w:t>
      </w:r>
      <w:proofErr w:type="gramStart"/>
      <w:r w:rsidRPr="00915C0D">
        <w:rPr>
          <w:rFonts w:ascii="Times New Roman" w:hAnsi="Times New Roman"/>
          <w:sz w:val="22"/>
          <w:szCs w:val="24"/>
        </w:rPr>
        <w:t>..</w:t>
      </w:r>
      <w:proofErr w:type="gramEnd"/>
    </w:p>
    <w:p w14:paraId="045F3857" w14:textId="77777777" w:rsidR="00915C0D" w:rsidRPr="00915C0D" w:rsidRDefault="00915C0D" w:rsidP="00915C0D">
      <w:pPr>
        <w:jc w:val="both"/>
        <w:rPr>
          <w:rFonts w:ascii="Times New Roman" w:hAnsi="Times New Roman"/>
          <w:sz w:val="22"/>
          <w:szCs w:val="24"/>
        </w:rPr>
      </w:pPr>
    </w:p>
    <w:p w14:paraId="5401208B" w14:textId="77777777" w:rsidR="00915C0D" w:rsidRPr="00915C0D" w:rsidRDefault="00915C0D" w:rsidP="00915C0D">
      <w:pPr>
        <w:jc w:val="both"/>
        <w:rPr>
          <w:rFonts w:ascii="Times New Roman" w:hAnsi="Times New Roman"/>
          <w:b/>
          <w:bCs/>
          <w:sz w:val="22"/>
          <w:szCs w:val="24"/>
        </w:rPr>
      </w:pPr>
      <w:r w:rsidRPr="00915C0D">
        <w:rPr>
          <w:rFonts w:ascii="Times New Roman" w:hAnsi="Times New Roman"/>
          <w:b/>
          <w:bCs/>
          <w:sz w:val="22"/>
          <w:szCs w:val="24"/>
        </w:rPr>
        <w:t>Section3: REDD-plus performance indicators.</w:t>
      </w:r>
    </w:p>
    <w:p w14:paraId="4A4A6483" w14:textId="77777777" w:rsidR="00915C0D" w:rsidRPr="00915C0D" w:rsidRDefault="00915C0D" w:rsidP="00915C0D">
      <w:pPr>
        <w:jc w:val="both"/>
        <w:rPr>
          <w:rFonts w:ascii="Times New Roman" w:hAnsi="Times New Roman"/>
          <w:bCs/>
          <w:sz w:val="22"/>
          <w:szCs w:val="24"/>
        </w:rPr>
      </w:pPr>
    </w:p>
    <w:p w14:paraId="22FEE4A3" w14:textId="77777777" w:rsidR="00915C0D" w:rsidRPr="00915C0D" w:rsidRDefault="00915C0D" w:rsidP="00915C0D">
      <w:pPr>
        <w:jc w:val="both"/>
        <w:rPr>
          <w:rFonts w:ascii="Times New Roman" w:hAnsi="Times New Roman"/>
          <w:bCs/>
          <w:sz w:val="22"/>
          <w:szCs w:val="24"/>
        </w:rPr>
      </w:pPr>
      <w:r w:rsidRPr="00915C0D">
        <w:rPr>
          <w:rFonts w:ascii="Times New Roman" w:hAnsi="Times New Roman"/>
          <w:bCs/>
          <w:sz w:val="22"/>
          <w:szCs w:val="24"/>
        </w:rPr>
        <w:t>Guyana is being paid for its performance through an incentive structure which rewards keeping deforestation below an agreed reference level, as well as avoiding increased forest degradation.</w:t>
      </w:r>
    </w:p>
    <w:p w14:paraId="2795FC09" w14:textId="77777777" w:rsidR="00915C0D" w:rsidRPr="00915C0D" w:rsidRDefault="00915C0D" w:rsidP="00915C0D">
      <w:pPr>
        <w:jc w:val="both"/>
        <w:rPr>
          <w:rFonts w:ascii="Times New Roman" w:hAnsi="Times New Roman"/>
          <w:bCs/>
          <w:i/>
          <w:sz w:val="22"/>
          <w:szCs w:val="24"/>
        </w:rPr>
      </w:pPr>
    </w:p>
    <w:p w14:paraId="3FF2AF4D" w14:textId="77777777" w:rsidR="00915C0D" w:rsidRPr="00915C0D" w:rsidRDefault="00915C0D" w:rsidP="00CE5909">
      <w:pPr>
        <w:numPr>
          <w:ilvl w:val="0"/>
          <w:numId w:val="15"/>
        </w:numPr>
        <w:jc w:val="both"/>
        <w:rPr>
          <w:rFonts w:ascii="Times New Roman" w:hAnsi="Times New Roman"/>
          <w:b/>
          <w:bCs/>
          <w:sz w:val="22"/>
          <w:szCs w:val="24"/>
        </w:rPr>
      </w:pPr>
      <w:r w:rsidRPr="00915C0D">
        <w:rPr>
          <w:rFonts w:ascii="Times New Roman" w:hAnsi="Times New Roman"/>
          <w:bCs/>
          <w:i/>
          <w:sz w:val="22"/>
          <w:szCs w:val="24"/>
        </w:rPr>
        <w:t>Section 3.1.1 – Measuring Avoided Deforestation and Forest Degradation</w:t>
      </w:r>
    </w:p>
    <w:p w14:paraId="5C3BE221" w14:textId="77777777" w:rsidR="00915C0D" w:rsidRPr="00915C0D" w:rsidRDefault="00915C0D" w:rsidP="00CE5909">
      <w:pPr>
        <w:numPr>
          <w:ilvl w:val="0"/>
          <w:numId w:val="15"/>
        </w:numPr>
        <w:jc w:val="both"/>
        <w:rPr>
          <w:rFonts w:ascii="Times New Roman" w:hAnsi="Times New Roman"/>
          <w:bCs/>
          <w:i/>
          <w:sz w:val="22"/>
          <w:szCs w:val="24"/>
        </w:rPr>
      </w:pPr>
      <w:r w:rsidRPr="00915C0D">
        <w:rPr>
          <w:rFonts w:ascii="Times New Roman" w:hAnsi="Times New Roman"/>
          <w:bCs/>
          <w:i/>
          <w:sz w:val="22"/>
          <w:szCs w:val="24"/>
        </w:rPr>
        <w:t>Section 3.1.2 Converting to Avoided Greenhouse Gas Emissions</w:t>
      </w:r>
    </w:p>
    <w:p w14:paraId="005EFEEF" w14:textId="77777777" w:rsidR="00915C0D" w:rsidRPr="00915C0D" w:rsidRDefault="00915C0D" w:rsidP="00CE5909">
      <w:pPr>
        <w:numPr>
          <w:ilvl w:val="0"/>
          <w:numId w:val="15"/>
        </w:numPr>
        <w:jc w:val="both"/>
        <w:rPr>
          <w:rFonts w:ascii="Times New Roman" w:hAnsi="Times New Roman"/>
          <w:bCs/>
          <w:sz w:val="22"/>
          <w:szCs w:val="24"/>
        </w:rPr>
      </w:pPr>
      <w:r w:rsidRPr="00915C0D">
        <w:rPr>
          <w:rFonts w:ascii="Times New Roman" w:hAnsi="Times New Roman"/>
          <w:bCs/>
          <w:i/>
          <w:sz w:val="22"/>
          <w:szCs w:val="24"/>
        </w:rPr>
        <w:t xml:space="preserve">Section 3.1.3 Calculating Payment </w:t>
      </w:r>
    </w:p>
    <w:p w14:paraId="5766BC5D" w14:textId="77777777" w:rsidR="00915C0D" w:rsidRPr="00915C0D" w:rsidRDefault="00915C0D" w:rsidP="00915C0D">
      <w:pPr>
        <w:ind w:left="720"/>
        <w:jc w:val="both"/>
        <w:rPr>
          <w:rFonts w:ascii="Times New Roman" w:hAnsi="Times New Roman"/>
          <w:b/>
          <w:bCs/>
          <w:sz w:val="22"/>
          <w:szCs w:val="24"/>
        </w:rPr>
      </w:pPr>
    </w:p>
    <w:p w14:paraId="1B5515B4" w14:textId="77777777" w:rsidR="00915C0D" w:rsidRPr="00915C0D" w:rsidRDefault="00915C0D" w:rsidP="00915C0D">
      <w:pPr>
        <w:jc w:val="both"/>
        <w:rPr>
          <w:rFonts w:ascii="Times New Roman" w:hAnsi="Times New Roman"/>
          <w:bCs/>
          <w:sz w:val="22"/>
          <w:szCs w:val="24"/>
        </w:rPr>
      </w:pPr>
      <w:r w:rsidRPr="00915C0D">
        <w:rPr>
          <w:rFonts w:ascii="Times New Roman" w:hAnsi="Times New Roman"/>
          <w:bCs/>
          <w:sz w:val="22"/>
          <w:szCs w:val="24"/>
        </w:rPr>
        <w:t>Payments due to Guyana will be calculated by applying an interim carbon price of US$5/ton CO2, as established in Brazil’s Amazon Fund. However, this price will only be applied if Guyana’s observed deforestation rate is below the agreed level.</w:t>
      </w:r>
    </w:p>
    <w:p w14:paraId="2A2E5B0E" w14:textId="77777777" w:rsidR="00915C0D" w:rsidRPr="00915C0D" w:rsidRDefault="00915C0D" w:rsidP="00915C0D">
      <w:pPr>
        <w:jc w:val="both"/>
        <w:rPr>
          <w:rFonts w:ascii="Times New Roman" w:hAnsi="Times New Roman"/>
          <w:bCs/>
          <w:sz w:val="22"/>
          <w:szCs w:val="24"/>
        </w:rPr>
      </w:pPr>
    </w:p>
    <w:p w14:paraId="4F67F88F" w14:textId="77777777" w:rsidR="00915C0D" w:rsidRPr="00915C0D" w:rsidRDefault="00915C0D" w:rsidP="00915C0D">
      <w:pPr>
        <w:jc w:val="both"/>
        <w:rPr>
          <w:rFonts w:ascii="Times New Roman" w:hAnsi="Times New Roman"/>
          <w:sz w:val="22"/>
          <w:szCs w:val="24"/>
        </w:rPr>
      </w:pPr>
      <w:r w:rsidRPr="00915C0D">
        <w:rPr>
          <w:rFonts w:ascii="Times New Roman" w:hAnsi="Times New Roman"/>
          <w:sz w:val="22"/>
          <w:szCs w:val="24"/>
        </w:rPr>
        <w:t>At the same time, Guyana’s national development requires limited but strategic use of forest assets to enable (</w:t>
      </w:r>
      <w:proofErr w:type="spellStart"/>
      <w:r w:rsidRPr="00915C0D">
        <w:rPr>
          <w:rFonts w:ascii="Times New Roman" w:hAnsi="Times New Roman"/>
          <w:sz w:val="22"/>
          <w:szCs w:val="24"/>
        </w:rPr>
        <w:t>i</w:t>
      </w:r>
      <w:proofErr w:type="spellEnd"/>
      <w:r w:rsidRPr="00915C0D">
        <w:rPr>
          <w:rFonts w:ascii="Times New Roman" w:hAnsi="Times New Roman"/>
          <w:sz w:val="22"/>
          <w:szCs w:val="24"/>
        </w:rPr>
        <w:t>) a limited amount of economic activity to take place within the forest, where the economic value to the nation of such activity is very valuable; (ii) a limited amount of essential national infrastructure to be constructed where this is in line with critical development goals; (iii) support for the sustainable development of forest villages. Guyana is reaching a stage of economic development where experience from other countries suggests that enabling these objectives brings further deforestation pressures.</w:t>
      </w:r>
    </w:p>
    <w:p w14:paraId="62B762EF" w14:textId="77777777" w:rsidR="00915C0D" w:rsidRPr="00915C0D" w:rsidRDefault="00915C0D" w:rsidP="00915C0D">
      <w:pPr>
        <w:autoSpaceDE w:val="0"/>
        <w:autoSpaceDN w:val="0"/>
        <w:adjustRightInd w:val="0"/>
        <w:jc w:val="both"/>
        <w:rPr>
          <w:rFonts w:ascii="Times New Roman" w:hAnsi="Times New Roman"/>
          <w:color w:val="000000"/>
          <w:sz w:val="22"/>
          <w:szCs w:val="24"/>
          <w:lang w:eastAsia="es-AR"/>
        </w:rPr>
      </w:pPr>
      <w:r w:rsidRPr="00915C0D">
        <w:rPr>
          <w:rFonts w:ascii="Times New Roman" w:hAnsi="Times New Roman"/>
          <w:color w:val="000000"/>
          <w:sz w:val="22"/>
          <w:szCs w:val="24"/>
          <w:lang w:eastAsia="es-AR"/>
        </w:rPr>
        <w:t>The essence of this approach has two implications:</w:t>
      </w:r>
    </w:p>
    <w:p w14:paraId="305B54A0" w14:textId="77777777" w:rsidR="00915C0D" w:rsidRPr="00915C0D" w:rsidRDefault="00915C0D" w:rsidP="00CE5909">
      <w:pPr>
        <w:numPr>
          <w:ilvl w:val="0"/>
          <w:numId w:val="34"/>
        </w:numPr>
        <w:contextualSpacing/>
        <w:jc w:val="both"/>
        <w:rPr>
          <w:rFonts w:ascii="Times New Roman" w:hAnsi="Times New Roman"/>
          <w:color w:val="000000"/>
          <w:sz w:val="22"/>
          <w:szCs w:val="24"/>
          <w:lang w:eastAsia="es-AR"/>
        </w:rPr>
      </w:pPr>
      <w:r w:rsidRPr="00915C0D">
        <w:rPr>
          <w:rFonts w:ascii="Times New Roman" w:hAnsi="Times New Roman"/>
          <w:color w:val="000000"/>
          <w:sz w:val="22"/>
          <w:szCs w:val="24"/>
          <w:lang w:eastAsia="es-AR"/>
        </w:rPr>
        <w:t xml:space="preserve">One-off predictable and controllable deforestation events will be allowed for critical national infrastructure that is part of Guyana’s transition to a low carbon development path.5 During the duration of the current Guyana-Norway partnership, the only such event will be the construction of the </w:t>
      </w:r>
      <w:proofErr w:type="spellStart"/>
      <w:r w:rsidRPr="00915C0D">
        <w:rPr>
          <w:rFonts w:ascii="Times New Roman" w:hAnsi="Times New Roman"/>
          <w:color w:val="000000"/>
          <w:sz w:val="22"/>
          <w:szCs w:val="24"/>
          <w:lang w:eastAsia="es-AR"/>
        </w:rPr>
        <w:t>Amaila</w:t>
      </w:r>
      <w:proofErr w:type="spellEnd"/>
      <w:r w:rsidRPr="00915C0D">
        <w:rPr>
          <w:rFonts w:ascii="Times New Roman" w:hAnsi="Times New Roman"/>
          <w:color w:val="000000"/>
          <w:sz w:val="22"/>
          <w:szCs w:val="24"/>
          <w:lang w:eastAsia="es-AR"/>
        </w:rPr>
        <w:t xml:space="preserve"> Falls hydro-electricity plant. This plant is the flagship of Guyana’s Low Carbon Development Strategy, and is expected to eliminate over 92% of the country’s energy-related emissions, after the emissions associated with its construction are accounted for6. It will only go ahead after Guyana and Norway have agreed that the necessary Environmental and Social safeguards have been met, and an independent verification agreed by Guyana and Norway confirms the overall beneficial effects of the project from a climate change perspective.</w:t>
      </w:r>
    </w:p>
    <w:p w14:paraId="3ACA43E2" w14:textId="5ADAB386" w:rsidR="00915C0D" w:rsidRPr="00915C0D" w:rsidRDefault="00915C0D" w:rsidP="00CE5909">
      <w:pPr>
        <w:numPr>
          <w:ilvl w:val="0"/>
          <w:numId w:val="34"/>
        </w:numPr>
        <w:contextualSpacing/>
        <w:jc w:val="both"/>
        <w:rPr>
          <w:rFonts w:ascii="Times New Roman" w:hAnsi="Times New Roman"/>
          <w:sz w:val="22"/>
          <w:szCs w:val="24"/>
        </w:rPr>
      </w:pPr>
      <w:r w:rsidRPr="00915C0D">
        <w:rPr>
          <w:rFonts w:ascii="Times New Roman" w:hAnsi="Times New Roman"/>
          <w:sz w:val="22"/>
          <w:szCs w:val="24"/>
        </w:rPr>
        <w:t xml:space="preserve">Economic activities will be permitted within the forest, within a ceiling on deforestation of 0.056 per annum, without any financial penalty apart from the reduction in compensation caused by a smaller margin between the reference level and the verified deforestation level. For any deforestation rate up to this level, Guyana will be eligible for payments equaling the full margin between the reference level and the verified deforestation level. For deforestation rates between 0,056 per cent and 0,1 per cent (unless they relate to the </w:t>
      </w:r>
      <w:proofErr w:type="spellStart"/>
      <w:r w:rsidR="00D71B82">
        <w:rPr>
          <w:rFonts w:ascii="Times New Roman" w:hAnsi="Times New Roman"/>
          <w:sz w:val="22"/>
          <w:szCs w:val="24"/>
        </w:rPr>
        <w:t>Amalia</w:t>
      </w:r>
      <w:proofErr w:type="spellEnd"/>
      <w:r w:rsidRPr="00915C0D">
        <w:rPr>
          <w:rFonts w:ascii="Times New Roman" w:hAnsi="Times New Roman"/>
          <w:sz w:val="22"/>
          <w:szCs w:val="24"/>
        </w:rPr>
        <w:t xml:space="preserve"> Falls project as described above), eligibility for payments would be calculated as a gradually decreasing percentage of the payments that would be due if only the margin between the reference level and the verified deforestation level were taken into account, as set out below. At deforestation rates at or above 0</w:t>
      </w:r>
      <w:proofErr w:type="gramStart"/>
      <w:r w:rsidRPr="00915C0D">
        <w:rPr>
          <w:rFonts w:ascii="Times New Roman" w:hAnsi="Times New Roman"/>
          <w:sz w:val="22"/>
          <w:szCs w:val="24"/>
        </w:rPr>
        <w:t>,1</w:t>
      </w:r>
      <w:proofErr w:type="gramEnd"/>
      <w:r w:rsidRPr="00915C0D">
        <w:rPr>
          <w:rFonts w:ascii="Times New Roman" w:hAnsi="Times New Roman"/>
          <w:sz w:val="22"/>
          <w:szCs w:val="24"/>
        </w:rPr>
        <w:t xml:space="preserve"> per cent, no payments would be due to Guyana for that given year.</w:t>
      </w:r>
    </w:p>
    <w:p w14:paraId="7C9B130F" w14:textId="77777777" w:rsidR="00915C0D" w:rsidRPr="00915C0D" w:rsidRDefault="00915C0D" w:rsidP="00915C0D">
      <w:pPr>
        <w:autoSpaceDE w:val="0"/>
        <w:autoSpaceDN w:val="0"/>
        <w:adjustRightInd w:val="0"/>
        <w:rPr>
          <w:rFonts w:ascii="Times New Roman" w:hAnsi="Times New Roman"/>
          <w:color w:val="000000"/>
          <w:sz w:val="22"/>
          <w:szCs w:val="24"/>
          <w:lang w:eastAsia="es-AR"/>
        </w:rPr>
      </w:pPr>
    </w:p>
    <w:p w14:paraId="64371E1C" w14:textId="77777777" w:rsidR="00915C0D" w:rsidRPr="00915C0D" w:rsidRDefault="00915C0D" w:rsidP="00915C0D">
      <w:pPr>
        <w:autoSpaceDE w:val="0"/>
        <w:autoSpaceDN w:val="0"/>
        <w:adjustRightInd w:val="0"/>
        <w:jc w:val="both"/>
        <w:rPr>
          <w:rFonts w:ascii="Times New Roman" w:hAnsi="Times New Roman"/>
          <w:color w:val="000000"/>
          <w:sz w:val="22"/>
          <w:szCs w:val="24"/>
          <w:lang w:eastAsia="es-AR"/>
        </w:rPr>
      </w:pPr>
      <w:r w:rsidRPr="00915C0D">
        <w:rPr>
          <w:rFonts w:ascii="Times New Roman" w:hAnsi="Times New Roman"/>
          <w:color w:val="000000"/>
          <w:sz w:val="22"/>
          <w:szCs w:val="24"/>
          <w:lang w:eastAsia="es-AR"/>
        </w:rPr>
        <w:t>This approach is compatible with the Government of Guyana’s declared long-term strategy to maintain the maximum amount of forest cover in Guyana, if an appropriate incentive structure is in place to make this strategy viable. This is being done through a balanced mix of maintaining forests under full protection (areas where only small-scale subsistence farming by forest dependent communities is allowed) and sustainable commercial forest management (where existing forestry concessions can operate within the terms of their licenses and the GFC’s sustainable forest management guidelines).</w:t>
      </w:r>
    </w:p>
    <w:p w14:paraId="318AF529" w14:textId="77777777" w:rsidR="00915C0D" w:rsidRPr="00915C0D" w:rsidRDefault="00915C0D" w:rsidP="00915C0D">
      <w:pPr>
        <w:autoSpaceDE w:val="0"/>
        <w:autoSpaceDN w:val="0"/>
        <w:adjustRightInd w:val="0"/>
        <w:jc w:val="both"/>
        <w:rPr>
          <w:rFonts w:ascii="Times New Roman" w:hAnsi="Times New Roman"/>
          <w:color w:val="000000"/>
          <w:sz w:val="22"/>
          <w:szCs w:val="24"/>
          <w:lang w:eastAsia="es-AR"/>
        </w:rPr>
      </w:pPr>
    </w:p>
    <w:p w14:paraId="3AEBE955" w14:textId="77777777" w:rsidR="00915C0D" w:rsidRPr="00915C0D" w:rsidRDefault="00915C0D" w:rsidP="00915C0D">
      <w:pPr>
        <w:autoSpaceDE w:val="0"/>
        <w:autoSpaceDN w:val="0"/>
        <w:adjustRightInd w:val="0"/>
        <w:rPr>
          <w:rFonts w:ascii="Times New Roman" w:hAnsi="Times New Roman"/>
          <w:b/>
          <w:color w:val="000000"/>
          <w:sz w:val="22"/>
          <w:szCs w:val="24"/>
          <w:lang w:eastAsia="es-AR"/>
        </w:rPr>
      </w:pPr>
      <w:r w:rsidRPr="00915C0D">
        <w:rPr>
          <w:rFonts w:ascii="Times New Roman" w:hAnsi="Times New Roman"/>
          <w:color w:val="000000"/>
          <w:sz w:val="22"/>
          <w:szCs w:val="24"/>
          <w:lang w:eastAsia="es-AR"/>
        </w:rPr>
        <w:t>It is also likely that while support from Norway will be sufficient to provide majority funding for results delivered by Guyana, in a given year, it is unlikely to equal the total sum owed to Guyana. Therefore, to ensure that the incentives which underpin the partnership are fully in place, Guyana and Norway will work together to seek to get other Participants to join the partnership.</w:t>
      </w:r>
    </w:p>
    <w:p w14:paraId="076327A4" w14:textId="77777777" w:rsidR="00915C0D" w:rsidRPr="00915C0D" w:rsidRDefault="00915C0D" w:rsidP="00915C0D">
      <w:pPr>
        <w:autoSpaceDE w:val="0"/>
        <w:autoSpaceDN w:val="0"/>
        <w:adjustRightInd w:val="0"/>
        <w:rPr>
          <w:rFonts w:ascii="Times New Roman" w:hAnsi="Times New Roman"/>
          <w:color w:val="000000"/>
          <w:sz w:val="22"/>
          <w:szCs w:val="24"/>
          <w:lang w:eastAsia="es-AR"/>
        </w:rPr>
      </w:pPr>
    </w:p>
    <w:p w14:paraId="01F4762E" w14:textId="77777777" w:rsidR="00915C0D" w:rsidRPr="00915C0D" w:rsidRDefault="00915C0D" w:rsidP="00915C0D">
      <w:pPr>
        <w:jc w:val="both"/>
        <w:rPr>
          <w:rFonts w:ascii="Times New Roman" w:hAnsi="Times New Roman"/>
          <w:bCs/>
          <w:sz w:val="22"/>
          <w:szCs w:val="24"/>
        </w:rPr>
      </w:pPr>
      <w:r w:rsidRPr="00915C0D">
        <w:rPr>
          <w:rFonts w:ascii="Times New Roman" w:hAnsi="Times New Roman"/>
          <w:bCs/>
          <w:sz w:val="22"/>
          <w:szCs w:val="24"/>
        </w:rPr>
        <w:t>Section 3.2 Monitoring Progress Against reducing emissions and enhancing removals of carbon in Guyana’s forests.</w:t>
      </w:r>
    </w:p>
    <w:p w14:paraId="1A666DA6" w14:textId="77777777" w:rsidR="00915C0D" w:rsidRPr="00915C0D" w:rsidRDefault="00915C0D" w:rsidP="00915C0D">
      <w:pPr>
        <w:jc w:val="both"/>
        <w:rPr>
          <w:rFonts w:ascii="Times New Roman" w:hAnsi="Times New Roman"/>
          <w:sz w:val="22"/>
          <w:szCs w:val="24"/>
        </w:rPr>
      </w:pPr>
      <w:r w:rsidRPr="00915C0D">
        <w:rPr>
          <w:rFonts w:ascii="Times New Roman" w:hAnsi="Times New Roman"/>
          <w:sz w:val="22"/>
          <w:szCs w:val="24"/>
        </w:rPr>
        <w:t>Progress against reducing emissions and enhancing removals of carbon in Guyana’s Forests will in time be measured through the MRV system that is being put in place as set out in the MRV-system Road-map. During 2009-2011, significant improvements to Guyana’s ability to measure deforestation indicators were made. In particular, it was determined (and independently verified) that deforestation rates were extremely low. Progress has also been made to gain a greater understanding of how degradation is to be measured, and this leading to further work in 2013 and onwards, when new scientifically-based knowledge will enable progress on refining the reporting on indicators to assess degradation, including that from mining and infrastructure (currently the dominant drivers of degradation).</w:t>
      </w:r>
    </w:p>
    <w:p w14:paraId="66892FDA" w14:textId="77777777" w:rsidR="00915C0D" w:rsidRPr="00915C0D" w:rsidRDefault="00915C0D" w:rsidP="00915C0D">
      <w:pPr>
        <w:jc w:val="both"/>
        <w:rPr>
          <w:rFonts w:ascii="Times New Roman" w:hAnsi="Times New Roman"/>
          <w:sz w:val="22"/>
          <w:szCs w:val="24"/>
        </w:rPr>
      </w:pPr>
    </w:p>
    <w:p w14:paraId="37FDB808" w14:textId="77777777" w:rsidR="00915C0D" w:rsidRPr="00915C0D" w:rsidRDefault="00915C0D" w:rsidP="00915C0D">
      <w:pPr>
        <w:jc w:val="both"/>
        <w:rPr>
          <w:rFonts w:ascii="Times New Roman" w:hAnsi="Times New Roman"/>
          <w:sz w:val="22"/>
          <w:szCs w:val="24"/>
        </w:rPr>
      </w:pPr>
      <w:r w:rsidRPr="00915C0D">
        <w:rPr>
          <w:rFonts w:ascii="Times New Roman" w:hAnsi="Times New Roman"/>
          <w:sz w:val="22"/>
          <w:szCs w:val="24"/>
        </w:rPr>
        <w:t xml:space="preserve">Guyana and Norway have agreed that annual independent verification of REDD+ performance indicators will be conducted by one or more neutral expert organizations, to be appointed jointly by the Participants. For the first and second reporting periods, the measurement of progress was carried out by </w:t>
      </w:r>
      <w:proofErr w:type="spellStart"/>
      <w:r w:rsidRPr="00915C0D">
        <w:rPr>
          <w:rFonts w:ascii="Times New Roman" w:hAnsi="Times New Roman"/>
          <w:sz w:val="22"/>
          <w:szCs w:val="24"/>
        </w:rPr>
        <w:t>Poyry</w:t>
      </w:r>
      <w:proofErr w:type="spellEnd"/>
      <w:r w:rsidRPr="00915C0D">
        <w:rPr>
          <w:rFonts w:ascii="Times New Roman" w:hAnsi="Times New Roman"/>
          <w:sz w:val="22"/>
          <w:szCs w:val="24"/>
        </w:rPr>
        <w:t xml:space="preserve">, </w:t>
      </w:r>
      <w:proofErr w:type="spellStart"/>
      <w:r w:rsidRPr="00915C0D">
        <w:rPr>
          <w:rFonts w:ascii="Times New Roman" w:hAnsi="Times New Roman"/>
          <w:sz w:val="22"/>
          <w:szCs w:val="24"/>
        </w:rPr>
        <w:t>Indufor</w:t>
      </w:r>
      <w:proofErr w:type="spellEnd"/>
      <w:r w:rsidRPr="00915C0D">
        <w:rPr>
          <w:rFonts w:ascii="Times New Roman" w:hAnsi="Times New Roman"/>
          <w:sz w:val="22"/>
          <w:szCs w:val="24"/>
        </w:rPr>
        <w:t xml:space="preserve"> and </w:t>
      </w:r>
      <w:proofErr w:type="spellStart"/>
      <w:r w:rsidRPr="00915C0D">
        <w:rPr>
          <w:rFonts w:ascii="Times New Roman" w:hAnsi="Times New Roman"/>
          <w:sz w:val="22"/>
          <w:szCs w:val="24"/>
        </w:rPr>
        <w:t>WinRock</w:t>
      </w:r>
      <w:proofErr w:type="spellEnd"/>
      <w:r w:rsidRPr="00915C0D">
        <w:rPr>
          <w:rFonts w:ascii="Times New Roman" w:hAnsi="Times New Roman"/>
          <w:sz w:val="22"/>
          <w:szCs w:val="24"/>
        </w:rPr>
        <w:t xml:space="preserve"> in collaboration with the Guyana Forestry Commission, and independent verification was carried out by DNV. DNV was selected on the basis of an international tender process in accordance with Norwegian procurement regulations.</w:t>
      </w:r>
    </w:p>
    <w:p w14:paraId="1B89CBB9" w14:textId="77777777" w:rsidR="00915C0D" w:rsidRPr="00915C0D" w:rsidRDefault="00915C0D" w:rsidP="00915C0D">
      <w:pPr>
        <w:jc w:val="both"/>
        <w:rPr>
          <w:rFonts w:ascii="Times New Roman" w:hAnsi="Times New Roman"/>
          <w:sz w:val="22"/>
          <w:szCs w:val="24"/>
        </w:rPr>
      </w:pPr>
    </w:p>
    <w:p w14:paraId="10593042" w14:textId="77777777" w:rsidR="00915C0D" w:rsidRPr="00915C0D" w:rsidRDefault="00915C0D" w:rsidP="00915C0D">
      <w:pPr>
        <w:jc w:val="both"/>
        <w:rPr>
          <w:rFonts w:ascii="Times New Roman" w:hAnsi="Times New Roman"/>
          <w:b/>
          <w:bCs/>
          <w:sz w:val="22"/>
          <w:szCs w:val="24"/>
        </w:rPr>
      </w:pPr>
      <w:r w:rsidRPr="00915C0D">
        <w:rPr>
          <w:rFonts w:ascii="Times New Roman" w:hAnsi="Times New Roman"/>
          <w:b/>
          <w:bCs/>
          <w:sz w:val="22"/>
          <w:szCs w:val="24"/>
        </w:rPr>
        <w:t xml:space="preserve">Section 4: Financial mechanism: </w:t>
      </w:r>
    </w:p>
    <w:p w14:paraId="489D025B" w14:textId="77777777" w:rsidR="00915C0D" w:rsidRPr="00915C0D" w:rsidRDefault="00915C0D" w:rsidP="00915C0D">
      <w:pPr>
        <w:jc w:val="both"/>
        <w:rPr>
          <w:rFonts w:ascii="Times New Roman" w:hAnsi="Times New Roman"/>
          <w:b/>
          <w:bCs/>
          <w:sz w:val="22"/>
          <w:szCs w:val="24"/>
        </w:rPr>
      </w:pPr>
    </w:p>
    <w:p w14:paraId="4A70479B" w14:textId="77777777" w:rsidR="00915C0D" w:rsidRPr="00915C0D" w:rsidRDefault="00915C0D" w:rsidP="00915C0D">
      <w:pPr>
        <w:jc w:val="both"/>
        <w:rPr>
          <w:rFonts w:ascii="Times New Roman" w:hAnsi="Times New Roman"/>
          <w:sz w:val="22"/>
          <w:szCs w:val="24"/>
        </w:rPr>
      </w:pPr>
      <w:r w:rsidRPr="00915C0D">
        <w:rPr>
          <w:rFonts w:ascii="Times New Roman" w:hAnsi="Times New Roman"/>
          <w:sz w:val="22"/>
          <w:szCs w:val="24"/>
        </w:rPr>
        <w:t>The Guyana REDD+ Investment Fund (GRIF) is channeling REDD-plus financial support from Norway and other potential contributors to the implementation of Guyana’s LCDS.</w:t>
      </w:r>
    </w:p>
    <w:p w14:paraId="5077EA63" w14:textId="77777777" w:rsidR="00915C0D" w:rsidRPr="00915C0D" w:rsidRDefault="00915C0D" w:rsidP="00915C0D">
      <w:pPr>
        <w:jc w:val="both"/>
        <w:rPr>
          <w:rFonts w:ascii="Times New Roman" w:hAnsi="Times New Roman"/>
          <w:sz w:val="22"/>
          <w:szCs w:val="24"/>
        </w:rPr>
      </w:pPr>
      <w:r w:rsidRPr="00915C0D">
        <w:rPr>
          <w:rFonts w:ascii="Times New Roman" w:hAnsi="Times New Roman"/>
          <w:sz w:val="22"/>
          <w:szCs w:val="24"/>
        </w:rPr>
        <w:t>Pending the creation of an international REDD+ mechanism, the Guyana REDD+ Investment</w:t>
      </w:r>
    </w:p>
    <w:p w14:paraId="2367B314" w14:textId="77777777" w:rsidR="00915C0D" w:rsidRPr="00915C0D" w:rsidRDefault="00915C0D" w:rsidP="00915C0D">
      <w:pPr>
        <w:jc w:val="both"/>
        <w:rPr>
          <w:rFonts w:ascii="Times New Roman" w:hAnsi="Times New Roman"/>
          <w:sz w:val="22"/>
          <w:szCs w:val="24"/>
        </w:rPr>
      </w:pPr>
      <w:r w:rsidRPr="00915C0D">
        <w:rPr>
          <w:rFonts w:ascii="Times New Roman" w:hAnsi="Times New Roman"/>
          <w:sz w:val="22"/>
          <w:szCs w:val="24"/>
        </w:rPr>
        <w:t>Fund (GRIF) represents an effort to create an innovative climate finance mechanism which</w:t>
      </w:r>
    </w:p>
    <w:p w14:paraId="5C4DDB4F" w14:textId="77777777" w:rsidR="00915C0D" w:rsidRPr="00915C0D" w:rsidRDefault="00915C0D" w:rsidP="00915C0D">
      <w:pPr>
        <w:jc w:val="both"/>
        <w:rPr>
          <w:rFonts w:ascii="Times New Roman" w:hAnsi="Times New Roman"/>
          <w:sz w:val="22"/>
          <w:szCs w:val="24"/>
        </w:rPr>
      </w:pPr>
      <w:proofErr w:type="gramStart"/>
      <w:r w:rsidRPr="00915C0D">
        <w:rPr>
          <w:rFonts w:ascii="Times New Roman" w:hAnsi="Times New Roman"/>
          <w:sz w:val="22"/>
          <w:szCs w:val="24"/>
        </w:rPr>
        <w:t>balances</w:t>
      </w:r>
      <w:proofErr w:type="gramEnd"/>
      <w:r w:rsidRPr="00915C0D">
        <w:rPr>
          <w:rFonts w:ascii="Times New Roman" w:hAnsi="Times New Roman"/>
          <w:sz w:val="22"/>
          <w:szCs w:val="24"/>
        </w:rPr>
        <w:t xml:space="preserve"> national sovereignty over investment priorities with ensuring that REDD+ funds</w:t>
      </w:r>
    </w:p>
    <w:p w14:paraId="31E345C2" w14:textId="77777777" w:rsidR="00915C0D" w:rsidRPr="00915C0D" w:rsidRDefault="00915C0D" w:rsidP="00915C0D">
      <w:pPr>
        <w:jc w:val="both"/>
        <w:rPr>
          <w:rFonts w:ascii="Times New Roman" w:hAnsi="Times New Roman"/>
          <w:sz w:val="22"/>
          <w:szCs w:val="24"/>
        </w:rPr>
      </w:pPr>
      <w:proofErr w:type="gramStart"/>
      <w:r w:rsidRPr="00915C0D">
        <w:rPr>
          <w:rFonts w:ascii="Times New Roman" w:hAnsi="Times New Roman"/>
          <w:sz w:val="22"/>
          <w:szCs w:val="24"/>
        </w:rPr>
        <w:t>adhere</w:t>
      </w:r>
      <w:proofErr w:type="gramEnd"/>
      <w:r w:rsidRPr="00915C0D">
        <w:rPr>
          <w:rFonts w:ascii="Times New Roman" w:hAnsi="Times New Roman"/>
          <w:sz w:val="22"/>
          <w:szCs w:val="24"/>
        </w:rPr>
        <w:t xml:space="preserve"> to globally accepted financial, environmental and social safeguards.</w:t>
      </w:r>
    </w:p>
    <w:p w14:paraId="76F7F811" w14:textId="77777777" w:rsidR="00915C0D" w:rsidRPr="00915C0D" w:rsidRDefault="00915C0D" w:rsidP="00915C0D">
      <w:pPr>
        <w:jc w:val="both"/>
        <w:rPr>
          <w:rFonts w:ascii="Times New Roman" w:hAnsi="Times New Roman"/>
          <w:sz w:val="22"/>
          <w:szCs w:val="24"/>
        </w:rPr>
      </w:pPr>
    </w:p>
    <w:p w14:paraId="21F4A727" w14:textId="77777777" w:rsidR="00915C0D" w:rsidRPr="00915C0D" w:rsidRDefault="00915C0D" w:rsidP="00915C0D">
      <w:pPr>
        <w:jc w:val="both"/>
        <w:rPr>
          <w:rFonts w:ascii="Times New Roman" w:hAnsi="Times New Roman"/>
          <w:sz w:val="22"/>
          <w:szCs w:val="24"/>
        </w:rPr>
      </w:pPr>
      <w:r w:rsidRPr="00915C0D">
        <w:rPr>
          <w:rFonts w:ascii="Times New Roman" w:hAnsi="Times New Roman"/>
          <w:sz w:val="22"/>
          <w:szCs w:val="24"/>
        </w:rPr>
        <w:t>The GRIF is an interim solution for channeling climate finance to Guyana - designed for the Guyana-Norway Partnership up to 2015 - pending the transfer of payment intermediation, and associated processes, to Guyana’s national systems. Until such time as national systems can be used, the World Bank’s International Development Association (IDA) was invited by Guyana and Norway to act as Trustee and is responsible for providing financial intermediary services to the GRIF.</w:t>
      </w:r>
    </w:p>
    <w:p w14:paraId="41BD4A20" w14:textId="77777777" w:rsidR="00915C0D" w:rsidRPr="00915C0D" w:rsidRDefault="00915C0D" w:rsidP="00915C0D">
      <w:pPr>
        <w:jc w:val="both"/>
        <w:rPr>
          <w:rFonts w:ascii="Times New Roman" w:hAnsi="Times New Roman"/>
          <w:sz w:val="22"/>
          <w:szCs w:val="22"/>
        </w:rPr>
      </w:pPr>
      <w:r w:rsidRPr="00915C0D">
        <w:rPr>
          <w:rFonts w:ascii="Times New Roman" w:hAnsi="Times New Roman"/>
          <w:sz w:val="22"/>
          <w:szCs w:val="22"/>
        </w:rPr>
        <w:t>.</w:t>
      </w:r>
    </w:p>
    <w:p w14:paraId="15D187FE" w14:textId="77777777" w:rsidR="00915C0D" w:rsidRPr="00915C0D" w:rsidRDefault="00915C0D" w:rsidP="00915C0D">
      <w:pPr>
        <w:jc w:val="both"/>
        <w:rPr>
          <w:rFonts w:ascii="Times New Roman" w:hAnsi="Times New Roman"/>
          <w:sz w:val="22"/>
          <w:szCs w:val="22"/>
        </w:rPr>
      </w:pPr>
    </w:p>
    <w:p w14:paraId="225AD100" w14:textId="77777777" w:rsidR="00915C0D" w:rsidRPr="00915C0D" w:rsidRDefault="00915C0D" w:rsidP="00915C0D">
      <w:pPr>
        <w:jc w:val="both"/>
        <w:rPr>
          <w:rFonts w:ascii="Times New Roman" w:hAnsi="Times New Roman"/>
          <w:sz w:val="22"/>
          <w:szCs w:val="22"/>
        </w:rPr>
      </w:pPr>
      <w:r w:rsidRPr="00915C0D">
        <w:rPr>
          <w:rFonts w:ascii="Times New Roman" w:hAnsi="Times New Roman"/>
          <w:sz w:val="22"/>
          <w:szCs w:val="22"/>
        </w:rPr>
        <w:br w:type="page"/>
      </w:r>
    </w:p>
    <w:p w14:paraId="1110A98C" w14:textId="77777777" w:rsidR="00915C0D" w:rsidRPr="00915C0D" w:rsidRDefault="00915C0D" w:rsidP="00915C0D">
      <w:pPr>
        <w:jc w:val="both"/>
        <w:rPr>
          <w:rFonts w:ascii="Times New Roman" w:hAnsi="Times New Roman"/>
          <w:sz w:val="22"/>
          <w:szCs w:val="22"/>
        </w:rPr>
      </w:pPr>
    </w:p>
    <w:p w14:paraId="47450A58" w14:textId="05B96272" w:rsidR="00915C0D" w:rsidRPr="00915C0D" w:rsidRDefault="00D71B82" w:rsidP="00915C0D">
      <w:pPr>
        <w:pStyle w:val="Heading1"/>
        <w:ind w:left="360"/>
        <w:rPr>
          <w:lang w:val="en-US"/>
        </w:rPr>
      </w:pPr>
      <w:bookmarkStart w:id="35" w:name="_Anexo_IV:_Proyectos"/>
      <w:bookmarkStart w:id="36" w:name="_Toc403028404"/>
      <w:bookmarkEnd w:id="35"/>
      <w:r>
        <w:rPr>
          <w:lang w:val="en-US"/>
        </w:rPr>
        <w:t>Annex</w:t>
      </w:r>
      <w:r w:rsidR="00915C0D" w:rsidRPr="00915C0D">
        <w:rPr>
          <w:lang w:val="en-US"/>
        </w:rPr>
        <w:t xml:space="preserve"> II: LCDE</w:t>
      </w:r>
      <w:r w:rsidR="00915C0D" w:rsidRPr="00915C0D">
        <w:rPr>
          <w:rStyle w:val="FootnoteReference"/>
          <w:lang w:val="es-AR"/>
        </w:rPr>
        <w:footnoteReference w:id="76"/>
      </w:r>
      <w:r w:rsidR="00915C0D" w:rsidRPr="00915C0D">
        <w:rPr>
          <w:lang w:val="en-US"/>
        </w:rPr>
        <w:t>.</w:t>
      </w:r>
      <w:bookmarkEnd w:id="36"/>
    </w:p>
    <w:p w14:paraId="3EAAAB6F" w14:textId="77777777" w:rsidR="00915C0D" w:rsidRPr="00915C0D" w:rsidRDefault="00915C0D" w:rsidP="00915C0D">
      <w:pPr>
        <w:jc w:val="both"/>
        <w:rPr>
          <w:rFonts w:ascii="Times New Roman" w:hAnsi="Times New Roman"/>
          <w:sz w:val="22"/>
          <w:szCs w:val="22"/>
        </w:rPr>
      </w:pPr>
    </w:p>
    <w:p w14:paraId="347F9685" w14:textId="77777777" w:rsidR="00915C0D" w:rsidRPr="00915C0D" w:rsidRDefault="00915C0D" w:rsidP="00915C0D">
      <w:pPr>
        <w:jc w:val="both"/>
        <w:rPr>
          <w:rFonts w:ascii="Times New Roman" w:hAnsi="Times New Roman"/>
          <w:sz w:val="22"/>
          <w:szCs w:val="22"/>
        </w:rPr>
      </w:pPr>
      <w:r w:rsidRPr="00915C0D">
        <w:rPr>
          <w:rFonts w:ascii="Times New Roman" w:hAnsi="Times New Roman"/>
          <w:sz w:val="22"/>
          <w:szCs w:val="22"/>
        </w:rPr>
        <w:t>The Strategy of development with low carbon emissions (LCDS) contemplates two primary targets:</w:t>
      </w:r>
    </w:p>
    <w:p w14:paraId="1DBE33F3" w14:textId="77777777" w:rsidR="00915C0D" w:rsidRPr="00017F75" w:rsidRDefault="00915C0D" w:rsidP="00915C0D">
      <w:pPr>
        <w:jc w:val="both"/>
        <w:rPr>
          <w:rFonts w:ascii="Times New Roman" w:hAnsi="Times New Roman"/>
          <w:sz w:val="22"/>
          <w:szCs w:val="22"/>
        </w:rPr>
      </w:pPr>
      <w:r w:rsidRPr="00915C0D">
        <w:rPr>
          <w:rFonts w:ascii="Times New Roman" w:hAnsi="Times New Roman"/>
          <w:sz w:val="22"/>
          <w:szCs w:val="22"/>
        </w:rPr>
        <w:sym w:font="Times New Roman" w:char="F0B7"/>
      </w:r>
      <w:r w:rsidRPr="00915C0D">
        <w:rPr>
          <w:rFonts w:ascii="Times New Roman" w:hAnsi="Times New Roman"/>
          <w:sz w:val="22"/>
          <w:szCs w:val="22"/>
        </w:rPr>
        <w:t xml:space="preserve"> </w:t>
      </w:r>
      <w:proofErr w:type="gramStart"/>
      <w:r w:rsidRPr="00915C0D">
        <w:rPr>
          <w:rFonts w:ascii="Times New Roman" w:hAnsi="Times New Roman"/>
          <w:sz w:val="22"/>
          <w:szCs w:val="22"/>
        </w:rPr>
        <w:t>to</w:t>
      </w:r>
      <w:proofErr w:type="gramEnd"/>
      <w:r w:rsidRPr="00915C0D">
        <w:rPr>
          <w:rFonts w:ascii="Times New Roman" w:hAnsi="Times New Roman"/>
          <w:sz w:val="22"/>
          <w:szCs w:val="22"/>
        </w:rPr>
        <w:t xml:space="preserve"> transform the economy to reach a greater economic and social development of its population, being supported its strategy in a model of low carbon emissions; and</w:t>
      </w:r>
    </w:p>
    <w:p w14:paraId="24DBBDA2" w14:textId="77777777" w:rsidR="00915C0D" w:rsidRPr="00017F75" w:rsidRDefault="00915C0D" w:rsidP="00915C0D">
      <w:pPr>
        <w:jc w:val="both"/>
        <w:rPr>
          <w:rFonts w:ascii="Times New Roman" w:hAnsi="Times New Roman"/>
          <w:sz w:val="22"/>
          <w:szCs w:val="22"/>
        </w:rPr>
      </w:pPr>
      <w:r w:rsidRPr="00915C0D">
        <w:rPr>
          <w:rFonts w:ascii="Times New Roman" w:hAnsi="Times New Roman"/>
          <w:sz w:val="22"/>
          <w:szCs w:val="22"/>
        </w:rPr>
        <w:sym w:font="Times New Roman" w:char="F0B7"/>
      </w:r>
      <w:r w:rsidRPr="00915C0D">
        <w:rPr>
          <w:rFonts w:ascii="Times New Roman" w:hAnsi="Times New Roman"/>
          <w:sz w:val="22"/>
          <w:szCs w:val="22"/>
        </w:rPr>
        <w:t xml:space="preserve"> to offer a successful example to the world on the way in which the phenomenon of the Climatic change can be faced from the countries developing, impelling that way to that the international community takes oriented collective actions to a global solution, specially in the related thing to mechanism REDD+.</w:t>
      </w:r>
    </w:p>
    <w:p w14:paraId="1D06A6DA" w14:textId="77777777" w:rsidR="00915C0D" w:rsidRPr="00017F75" w:rsidRDefault="00915C0D" w:rsidP="00915C0D">
      <w:pPr>
        <w:jc w:val="both"/>
        <w:rPr>
          <w:rFonts w:ascii="Times New Roman" w:hAnsi="Times New Roman"/>
          <w:sz w:val="22"/>
          <w:szCs w:val="22"/>
        </w:rPr>
      </w:pPr>
    </w:p>
    <w:p w14:paraId="233BB91C" w14:textId="77777777" w:rsidR="00915C0D" w:rsidRPr="00915C0D" w:rsidRDefault="00915C0D" w:rsidP="00915C0D">
      <w:pPr>
        <w:jc w:val="both"/>
        <w:rPr>
          <w:rFonts w:ascii="Times New Roman" w:hAnsi="Times New Roman"/>
          <w:sz w:val="22"/>
          <w:szCs w:val="22"/>
        </w:rPr>
      </w:pPr>
      <w:r w:rsidRPr="00915C0D">
        <w:rPr>
          <w:rFonts w:ascii="Times New Roman" w:hAnsi="Times New Roman"/>
          <w:sz w:val="22"/>
          <w:szCs w:val="22"/>
        </w:rPr>
        <w:t>Base and requirements of the LCDS</w:t>
      </w:r>
    </w:p>
    <w:p w14:paraId="45393EB0" w14:textId="77777777" w:rsidR="00915C0D" w:rsidRPr="00915C0D" w:rsidRDefault="00915C0D" w:rsidP="00CE5909">
      <w:pPr>
        <w:numPr>
          <w:ilvl w:val="0"/>
          <w:numId w:val="11"/>
        </w:numPr>
        <w:jc w:val="both"/>
        <w:rPr>
          <w:rFonts w:ascii="Times New Roman" w:hAnsi="Times New Roman"/>
          <w:sz w:val="22"/>
          <w:szCs w:val="22"/>
        </w:rPr>
      </w:pPr>
      <w:r w:rsidRPr="00915C0D">
        <w:rPr>
          <w:rFonts w:ascii="Times New Roman" w:hAnsi="Times New Roman"/>
          <w:sz w:val="22"/>
          <w:szCs w:val="22"/>
        </w:rPr>
        <w:t xml:space="preserve">Identify a world-wide partner who shares environmental values and bets to the capacity of the developed world to contribute solutions to the CC. It allowed </w:t>
      </w:r>
      <w:proofErr w:type="gramStart"/>
      <w:r w:rsidRPr="00915C0D">
        <w:rPr>
          <w:rFonts w:ascii="Times New Roman" w:hAnsi="Times New Roman"/>
          <w:sz w:val="22"/>
          <w:szCs w:val="22"/>
        </w:rPr>
        <w:t>to sell</w:t>
      </w:r>
      <w:proofErr w:type="gramEnd"/>
      <w:r w:rsidRPr="00915C0D">
        <w:rPr>
          <w:rFonts w:ascii="Times New Roman" w:hAnsi="Times New Roman"/>
          <w:sz w:val="22"/>
          <w:szCs w:val="22"/>
        </w:rPr>
        <w:t xml:space="preserve"> the environmental services through second agreement REDD+ in terms of world-wide relevance.</w:t>
      </w:r>
    </w:p>
    <w:p w14:paraId="4026C5C5" w14:textId="77777777" w:rsidR="00915C0D" w:rsidRPr="00915C0D" w:rsidRDefault="00915C0D" w:rsidP="00CE5909">
      <w:pPr>
        <w:numPr>
          <w:ilvl w:val="0"/>
          <w:numId w:val="11"/>
        </w:numPr>
        <w:jc w:val="both"/>
        <w:rPr>
          <w:rFonts w:ascii="Times New Roman" w:hAnsi="Times New Roman"/>
          <w:sz w:val="22"/>
          <w:szCs w:val="22"/>
        </w:rPr>
      </w:pPr>
      <w:r w:rsidRPr="00915C0D">
        <w:rPr>
          <w:rFonts w:ascii="Times New Roman" w:hAnsi="Times New Roman"/>
          <w:sz w:val="22"/>
          <w:szCs w:val="22"/>
        </w:rPr>
        <w:t xml:space="preserve">Long-term planning </w:t>
      </w:r>
      <w:proofErr w:type="gramStart"/>
      <w:r w:rsidRPr="00915C0D">
        <w:rPr>
          <w:rFonts w:ascii="Times New Roman" w:hAnsi="Times New Roman"/>
          <w:sz w:val="22"/>
          <w:szCs w:val="22"/>
        </w:rPr>
        <w:t>The</w:t>
      </w:r>
      <w:proofErr w:type="gramEnd"/>
      <w:r w:rsidRPr="00915C0D">
        <w:rPr>
          <w:rFonts w:ascii="Times New Roman" w:hAnsi="Times New Roman"/>
          <w:sz w:val="22"/>
          <w:szCs w:val="22"/>
        </w:rPr>
        <w:t xml:space="preserve"> glance on the problems related to l CC and therefore their solutions requires a perspective, ample, dynamic, opened and of long reach. </w:t>
      </w:r>
    </w:p>
    <w:p w14:paraId="2A7DFC9F" w14:textId="77777777" w:rsidR="00915C0D" w:rsidRPr="00915C0D" w:rsidRDefault="00915C0D" w:rsidP="00CE5909">
      <w:pPr>
        <w:numPr>
          <w:ilvl w:val="0"/>
          <w:numId w:val="11"/>
        </w:numPr>
        <w:jc w:val="both"/>
        <w:rPr>
          <w:rFonts w:ascii="Times New Roman" w:hAnsi="Times New Roman"/>
          <w:sz w:val="22"/>
          <w:szCs w:val="22"/>
        </w:rPr>
      </w:pPr>
      <w:proofErr w:type="gramStart"/>
      <w:r w:rsidRPr="00915C0D">
        <w:rPr>
          <w:rFonts w:ascii="Times New Roman" w:hAnsi="Times New Roman"/>
          <w:sz w:val="22"/>
          <w:szCs w:val="22"/>
        </w:rPr>
        <w:t>social</w:t>
      </w:r>
      <w:proofErr w:type="gramEnd"/>
      <w:r w:rsidRPr="00915C0D">
        <w:rPr>
          <w:rFonts w:ascii="Times New Roman" w:hAnsi="Times New Roman"/>
          <w:sz w:val="22"/>
          <w:szCs w:val="22"/>
        </w:rPr>
        <w:t xml:space="preserve"> Appropriation and institutional responsibility. The political commitment must extend the administrations, becoming a policy of State.</w:t>
      </w:r>
    </w:p>
    <w:p w14:paraId="3E512260" w14:textId="77777777" w:rsidR="00915C0D" w:rsidRPr="00915C0D" w:rsidRDefault="00915C0D" w:rsidP="00915C0D">
      <w:pPr>
        <w:jc w:val="both"/>
        <w:rPr>
          <w:rFonts w:ascii="Times New Roman" w:hAnsi="Times New Roman"/>
          <w:sz w:val="22"/>
          <w:szCs w:val="22"/>
        </w:rPr>
      </w:pPr>
    </w:p>
    <w:p w14:paraId="49A082B5" w14:textId="77777777" w:rsidR="00915C0D" w:rsidRPr="00915C0D" w:rsidRDefault="00915C0D" w:rsidP="00915C0D">
      <w:pPr>
        <w:jc w:val="both"/>
        <w:rPr>
          <w:rFonts w:ascii="Times New Roman" w:hAnsi="Times New Roman"/>
          <w:sz w:val="22"/>
          <w:szCs w:val="22"/>
        </w:rPr>
      </w:pPr>
      <w:r w:rsidRPr="00915C0D">
        <w:rPr>
          <w:rFonts w:ascii="Times New Roman" w:hAnsi="Times New Roman"/>
          <w:sz w:val="22"/>
          <w:szCs w:val="22"/>
        </w:rPr>
        <w:t xml:space="preserve">Definition of the strategy year 2009. After solved the related problems to the public indebtedness, 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was as opposed to the strategic decision of how directing its development. Taking advantage of its economic profile, supported in the natural resources and specially the strength of its forest segment (covering 85% with its territory with little impact of the deforestation), the opportunity was identified to direct its model of development by way of innovating mechanisms. In the fort context it debates tie to the CC, the policies impelled by several developed nations opened the space to that Guyana could capitalize the virgin environmental services that their area provide to the planet</w:t>
      </w:r>
      <w:r w:rsidRPr="00915C0D">
        <w:rPr>
          <w:rStyle w:val="FootnoteReference"/>
          <w:rFonts w:ascii="Times New Roman" w:hAnsi="Times New Roman"/>
          <w:sz w:val="22"/>
          <w:szCs w:val="22"/>
          <w:lang w:val="es-ES"/>
        </w:rPr>
        <w:footnoteReference w:id="77"/>
      </w:r>
      <w:r w:rsidRPr="00915C0D">
        <w:rPr>
          <w:rFonts w:ascii="Times New Roman" w:hAnsi="Times New Roman"/>
          <w:sz w:val="22"/>
          <w:szCs w:val="22"/>
        </w:rPr>
        <w:t xml:space="preserve">, acceding by that route to monetary resources that finance the investments necessary to grow and to gain competitiveness. </w:t>
      </w:r>
    </w:p>
    <w:p w14:paraId="2DC33EAF" w14:textId="77777777" w:rsidR="00915C0D" w:rsidRPr="00915C0D" w:rsidRDefault="00915C0D" w:rsidP="00915C0D">
      <w:pPr>
        <w:jc w:val="both"/>
        <w:rPr>
          <w:rFonts w:ascii="Times New Roman" w:hAnsi="Times New Roman"/>
          <w:sz w:val="22"/>
          <w:szCs w:val="22"/>
        </w:rPr>
      </w:pPr>
    </w:p>
    <w:p w14:paraId="36488CC0" w14:textId="1F1F133D" w:rsidR="00915C0D" w:rsidRPr="00915C0D" w:rsidRDefault="005E3E93" w:rsidP="00915C0D">
      <w:pPr>
        <w:jc w:val="both"/>
        <w:rPr>
          <w:rFonts w:ascii="Times New Roman" w:hAnsi="Times New Roman"/>
          <w:sz w:val="22"/>
          <w:szCs w:val="22"/>
        </w:rPr>
      </w:pPr>
      <w:r w:rsidRPr="00915C0D">
        <w:rPr>
          <w:rFonts w:ascii="Times New Roman" w:hAnsi="Times New Roman"/>
          <w:sz w:val="22"/>
          <w:szCs w:val="22"/>
        </w:rPr>
        <w:t>The</w:t>
      </w:r>
      <w:r w:rsidR="00915C0D" w:rsidRPr="00915C0D">
        <w:rPr>
          <w:rFonts w:ascii="Times New Roman" w:hAnsi="Times New Roman"/>
          <w:sz w:val="22"/>
          <w:szCs w:val="22"/>
        </w:rPr>
        <w:t xml:space="preserve"> paper of the REDD. From 2007, the international community, through the United Nations Framework Convention on Climate Change (UNFCCC), has decided measured to promote the reduction of emissions of the deforestation and the forest degradation, next to the sustainable handling of the forest resource. Due to the environmental benefits that these ecosystems offer, they favor other actors whose contributions are not relevant (or still negative) so is appropriate that these pay for the reception of these services. The mechanism used by UNFCCC to achieve this goal is called REDD+.</w:t>
      </w:r>
    </w:p>
    <w:p w14:paraId="184C7F0A" w14:textId="77777777" w:rsidR="00915C0D" w:rsidRPr="00915C0D" w:rsidRDefault="00915C0D" w:rsidP="00915C0D">
      <w:pPr>
        <w:jc w:val="both"/>
        <w:rPr>
          <w:rFonts w:ascii="Times New Roman" w:hAnsi="Times New Roman"/>
          <w:sz w:val="22"/>
          <w:szCs w:val="22"/>
        </w:rPr>
      </w:pPr>
    </w:p>
    <w:p w14:paraId="49B25B94" w14:textId="77777777" w:rsidR="00915C0D" w:rsidRPr="00915C0D" w:rsidRDefault="00915C0D" w:rsidP="00915C0D">
      <w:pPr>
        <w:pBdr>
          <w:top w:val="single" w:sz="4" w:space="1" w:color="auto"/>
          <w:left w:val="single" w:sz="4" w:space="4" w:color="auto"/>
          <w:bottom w:val="single" w:sz="4" w:space="1" w:color="auto"/>
          <w:right w:val="single" w:sz="4" w:space="4" w:color="auto"/>
        </w:pBdr>
        <w:shd w:val="clear" w:color="auto" w:fill="F2F2F2"/>
        <w:jc w:val="center"/>
        <w:rPr>
          <w:rFonts w:ascii="Times New Roman" w:hAnsi="Times New Roman"/>
          <w:i/>
          <w:sz w:val="22"/>
          <w:szCs w:val="22"/>
        </w:rPr>
      </w:pPr>
      <w:r w:rsidRPr="00915C0D">
        <w:rPr>
          <w:rFonts w:ascii="Times New Roman" w:hAnsi="Times New Roman"/>
          <w:i/>
          <w:iCs/>
          <w:sz w:val="22"/>
          <w:szCs w:val="22"/>
        </w:rPr>
        <w:t>ECV versus EWV</w:t>
      </w:r>
      <w:r w:rsidRPr="00915C0D">
        <w:rPr>
          <w:rStyle w:val="FootnoteReference"/>
          <w:rFonts w:ascii="Times New Roman" w:hAnsi="Times New Roman"/>
          <w:i/>
          <w:sz w:val="22"/>
          <w:szCs w:val="22"/>
          <w:lang w:val="es-ES"/>
        </w:rPr>
        <w:footnoteReference w:id="78"/>
      </w:r>
    </w:p>
    <w:p w14:paraId="5A701867" w14:textId="77777777" w:rsidR="00915C0D" w:rsidRPr="00915C0D" w:rsidRDefault="00915C0D" w:rsidP="00915C0D">
      <w:pPr>
        <w:pBdr>
          <w:top w:val="single" w:sz="4" w:space="1" w:color="auto"/>
          <w:left w:val="single" w:sz="4" w:space="4" w:color="auto"/>
          <w:bottom w:val="single" w:sz="4" w:space="1" w:color="auto"/>
          <w:right w:val="single" w:sz="4" w:space="4" w:color="auto"/>
        </w:pBdr>
        <w:shd w:val="clear" w:color="auto" w:fill="F2F2F2"/>
        <w:jc w:val="both"/>
        <w:rPr>
          <w:rFonts w:ascii="Times New Roman" w:hAnsi="Times New Roman"/>
          <w:sz w:val="22"/>
          <w:szCs w:val="22"/>
        </w:rPr>
      </w:pPr>
      <w:r w:rsidRPr="00915C0D">
        <w:rPr>
          <w:rFonts w:ascii="Times New Roman" w:hAnsi="Times New Roman"/>
          <w:sz w:val="22"/>
          <w:szCs w:val="22"/>
        </w:rPr>
        <w:t>A fact based analysis by McKinsey and Company showed how the economic value to the nation (referred to as EVN) of such uses could be the equivalent of a US$580 million annuity, whereas the EVN of REDD+ at that time was zero. The challenge was to create the economic incentives to increase the EVN of REDD+ so that it could start to make forests worth more alive than dead, while at the same time generating the necessary capital to invest in Guyana‟</w:t>
      </w:r>
      <w:proofErr w:type="spellStart"/>
      <w:r w:rsidRPr="00915C0D">
        <w:rPr>
          <w:rFonts w:ascii="Times New Roman" w:hAnsi="Times New Roman"/>
          <w:sz w:val="22"/>
          <w:szCs w:val="22"/>
        </w:rPr>
        <w:t>s low</w:t>
      </w:r>
      <w:proofErr w:type="spellEnd"/>
      <w:r w:rsidRPr="00915C0D">
        <w:rPr>
          <w:rFonts w:ascii="Times New Roman" w:hAnsi="Times New Roman"/>
          <w:sz w:val="22"/>
          <w:szCs w:val="22"/>
        </w:rPr>
        <w:t xml:space="preserve"> carbon economy</w:t>
      </w:r>
    </w:p>
    <w:p w14:paraId="196506E1" w14:textId="77777777" w:rsidR="00915C0D" w:rsidRPr="00915C0D" w:rsidRDefault="00915C0D" w:rsidP="00915C0D">
      <w:pPr>
        <w:jc w:val="both"/>
      </w:pPr>
    </w:p>
    <w:p w14:paraId="53C5A8F3" w14:textId="77777777" w:rsidR="00915C0D" w:rsidRPr="00915C0D" w:rsidRDefault="00915C0D" w:rsidP="00915C0D">
      <w:pPr>
        <w:jc w:val="both"/>
        <w:rPr>
          <w:rFonts w:ascii="Times New Roman" w:hAnsi="Times New Roman"/>
          <w:sz w:val="22"/>
          <w:szCs w:val="22"/>
        </w:rPr>
      </w:pPr>
      <w:r w:rsidRPr="00915C0D">
        <w:rPr>
          <w:rFonts w:ascii="Times New Roman" w:hAnsi="Times New Roman"/>
          <w:sz w:val="22"/>
          <w:szCs w:val="22"/>
        </w:rPr>
        <w:t>Main actions of the LCDS.</w:t>
      </w:r>
    </w:p>
    <w:p w14:paraId="60EF497E" w14:textId="77777777" w:rsidR="00915C0D" w:rsidRPr="00915C0D" w:rsidRDefault="00915C0D" w:rsidP="00915C0D">
      <w:pPr>
        <w:jc w:val="both"/>
        <w:rPr>
          <w:rFonts w:ascii="Times New Roman" w:hAnsi="Times New Roman"/>
          <w:sz w:val="22"/>
          <w:szCs w:val="22"/>
        </w:rPr>
      </w:pPr>
      <w:r w:rsidRPr="00915C0D">
        <w:rPr>
          <w:rFonts w:ascii="Times New Roman" w:hAnsi="Times New Roman"/>
          <w:sz w:val="22"/>
          <w:szCs w:val="22"/>
        </w:rPr>
        <w:t xml:space="preserve"> The central idea of the LCDS is to use the financing generated by way of the REDD+ for investments that generate growth economic, while simultaneously the forest handling stays under control (and with it the deforestation and degradation) while at the same time the reduction of gases is promoted effect conservatory.</w:t>
      </w:r>
    </w:p>
    <w:p w14:paraId="56E35118" w14:textId="77777777" w:rsidR="00915C0D" w:rsidRPr="00915C0D" w:rsidRDefault="00915C0D" w:rsidP="00915C0D">
      <w:pPr>
        <w:jc w:val="both"/>
        <w:rPr>
          <w:rFonts w:ascii="Times New Roman" w:hAnsi="Times New Roman"/>
          <w:sz w:val="22"/>
          <w:szCs w:val="22"/>
        </w:rPr>
      </w:pPr>
      <w:r w:rsidRPr="00915C0D">
        <w:rPr>
          <w:rFonts w:ascii="Times New Roman" w:hAnsi="Times New Roman"/>
          <w:sz w:val="22"/>
          <w:szCs w:val="22"/>
        </w:rPr>
        <w:t>The raised measures include.</w:t>
      </w:r>
    </w:p>
    <w:p w14:paraId="69AAFC41" w14:textId="77777777" w:rsidR="00915C0D" w:rsidRPr="00915C0D" w:rsidRDefault="00915C0D" w:rsidP="00915C0D">
      <w:pPr>
        <w:jc w:val="both"/>
        <w:rPr>
          <w:rFonts w:ascii="Times New Roman" w:hAnsi="Times New Roman"/>
          <w:sz w:val="22"/>
          <w:szCs w:val="22"/>
        </w:rPr>
      </w:pPr>
      <w:r w:rsidRPr="00915C0D">
        <w:rPr>
          <w:rFonts w:ascii="Times New Roman" w:hAnsi="Times New Roman"/>
          <w:sz w:val="22"/>
          <w:szCs w:val="22"/>
        </w:rPr>
        <w:t>• Investment in infrastructure with low carbon emissions, including a hydroelectric dam (</w:t>
      </w:r>
      <w:proofErr w:type="spellStart"/>
      <w:r w:rsidRPr="00915C0D">
        <w:rPr>
          <w:rFonts w:ascii="Times New Roman" w:hAnsi="Times New Roman"/>
          <w:sz w:val="22"/>
          <w:szCs w:val="22"/>
        </w:rPr>
        <w:t>Amalia</w:t>
      </w:r>
      <w:proofErr w:type="spellEnd"/>
      <w:r w:rsidRPr="00915C0D">
        <w:rPr>
          <w:rFonts w:ascii="Times New Roman" w:hAnsi="Times New Roman"/>
          <w:sz w:val="22"/>
          <w:szCs w:val="22"/>
        </w:rPr>
        <w:t xml:space="preserve"> falls); facilitation of access to non-forested cultivatable land and improved fiber optic provision.</w:t>
      </w:r>
    </w:p>
    <w:p w14:paraId="5F9C3116" w14:textId="77777777" w:rsidR="00915C0D" w:rsidRPr="00915C0D" w:rsidRDefault="00915C0D" w:rsidP="00915C0D">
      <w:pPr>
        <w:jc w:val="both"/>
        <w:rPr>
          <w:rFonts w:ascii="Times New Roman" w:hAnsi="Times New Roman"/>
          <w:sz w:val="22"/>
          <w:szCs w:val="22"/>
        </w:rPr>
      </w:pPr>
      <w:r w:rsidRPr="00915C0D">
        <w:rPr>
          <w:rFonts w:ascii="Times New Roman" w:hAnsi="Times New Roman"/>
          <w:sz w:val="22"/>
          <w:szCs w:val="22"/>
        </w:rPr>
        <w:t>• Promotion of the investment in high potential, low carbon emission sectors (fruits and vegetables, aquaculture eco-tourism and outsourcing).</w:t>
      </w:r>
    </w:p>
    <w:p w14:paraId="06141347" w14:textId="77777777" w:rsidR="00915C0D" w:rsidRPr="00915C0D" w:rsidRDefault="00915C0D" w:rsidP="00915C0D">
      <w:pPr>
        <w:jc w:val="both"/>
        <w:rPr>
          <w:rFonts w:ascii="Times New Roman" w:hAnsi="Times New Roman"/>
          <w:sz w:val="22"/>
          <w:szCs w:val="22"/>
        </w:rPr>
      </w:pPr>
      <w:r w:rsidRPr="00915C0D">
        <w:rPr>
          <w:rFonts w:ascii="Times New Roman" w:hAnsi="Times New Roman"/>
          <w:sz w:val="22"/>
          <w:szCs w:val="22"/>
        </w:rPr>
        <w:t>• To reform the forest dependent sectors (mainly mining and forestation) so that they work under strict models of sustainability.</w:t>
      </w:r>
    </w:p>
    <w:p w14:paraId="4B344F0D" w14:textId="77777777" w:rsidR="00915C0D" w:rsidRPr="00915C0D" w:rsidRDefault="00915C0D" w:rsidP="00915C0D">
      <w:pPr>
        <w:jc w:val="both"/>
        <w:rPr>
          <w:rFonts w:ascii="Times New Roman" w:hAnsi="Times New Roman"/>
          <w:sz w:val="22"/>
          <w:szCs w:val="22"/>
        </w:rPr>
      </w:pPr>
      <w:r w:rsidRPr="00915C0D">
        <w:rPr>
          <w:rFonts w:ascii="Times New Roman" w:hAnsi="Times New Roman"/>
          <w:sz w:val="22"/>
          <w:szCs w:val="22"/>
        </w:rPr>
        <w:sym w:font="Times New Roman" w:char="F0B7"/>
      </w:r>
      <w:r w:rsidRPr="00915C0D">
        <w:rPr>
          <w:rFonts w:ascii="Times New Roman" w:hAnsi="Times New Roman"/>
          <w:sz w:val="22"/>
          <w:szCs w:val="22"/>
        </w:rPr>
        <w:t xml:space="preserve"> Expand the access to the services and to create new opportunities for the native communities, among them sustainable access, power plants to the water and opportunity of uses in compatible areas with the sustainable forest handling.</w:t>
      </w:r>
    </w:p>
    <w:p w14:paraId="30C991C5" w14:textId="77777777" w:rsidR="00915C0D" w:rsidRPr="00915C0D" w:rsidRDefault="00915C0D" w:rsidP="00915C0D">
      <w:pPr>
        <w:jc w:val="both"/>
        <w:rPr>
          <w:rFonts w:ascii="Times New Roman" w:hAnsi="Times New Roman"/>
          <w:sz w:val="22"/>
          <w:szCs w:val="22"/>
        </w:rPr>
      </w:pPr>
      <w:r w:rsidRPr="00915C0D">
        <w:rPr>
          <w:rFonts w:ascii="Times New Roman" w:hAnsi="Times New Roman"/>
          <w:sz w:val="22"/>
          <w:szCs w:val="22"/>
        </w:rPr>
        <w:t>• To improve the range of services and opportunities for all citizens of Guyana, including stimulation for private activity, entrepreneurship and the expansion of the basic social services, among them health and education.</w:t>
      </w:r>
    </w:p>
    <w:p w14:paraId="3FEA098F" w14:textId="77777777" w:rsidR="00915C0D" w:rsidRPr="00915C0D" w:rsidRDefault="00915C0D" w:rsidP="00915C0D">
      <w:pPr>
        <w:jc w:val="both"/>
      </w:pPr>
      <w:r w:rsidRPr="00915C0D">
        <w:rPr>
          <w:rFonts w:eastAsia="Arial" w:cs="Arial"/>
        </w:rPr>
        <w:sym w:font="Arial" w:char="F0B7"/>
      </w:r>
      <w:r w:rsidRPr="00915C0D">
        <w:rPr>
          <w:rFonts w:eastAsia="Arial" w:cs="Arial"/>
        </w:rPr>
        <w:t xml:space="preserve"> </w:t>
      </w:r>
      <w:r w:rsidRPr="00915C0D">
        <w:rPr>
          <w:rFonts w:ascii="Times New Roman" w:hAnsi="Times New Roman"/>
          <w:sz w:val="22"/>
          <w:szCs w:val="22"/>
        </w:rPr>
        <w:t>Reduce the vulnerability of the CC effects</w:t>
      </w:r>
      <w:r w:rsidRPr="00915C0D">
        <w:rPr>
          <w:rStyle w:val="FootnoteReference"/>
          <w:rFonts w:ascii="Times New Roman" w:hAnsi="Times New Roman"/>
          <w:sz w:val="22"/>
          <w:szCs w:val="22"/>
        </w:rPr>
        <w:footnoteReference w:id="79"/>
      </w:r>
      <w:r w:rsidRPr="00915C0D">
        <w:rPr>
          <w:rFonts w:ascii="Times New Roman" w:hAnsi="Times New Roman"/>
          <w:sz w:val="22"/>
          <w:szCs w:val="22"/>
        </w:rPr>
        <w:t>.</w:t>
      </w:r>
      <w:r w:rsidRPr="00915C0D">
        <w:rPr>
          <w:rFonts w:eastAsia="Arial" w:cs="Arial"/>
        </w:rPr>
        <w:t xml:space="preserve"> </w:t>
      </w:r>
    </w:p>
    <w:p w14:paraId="107D885F" w14:textId="77777777" w:rsidR="00915C0D" w:rsidRPr="00915C0D" w:rsidRDefault="00915C0D" w:rsidP="00915C0D">
      <w:pPr>
        <w:jc w:val="both"/>
      </w:pPr>
    </w:p>
    <w:p w14:paraId="3AE55AAF" w14:textId="77777777" w:rsidR="00915C0D" w:rsidRPr="00915C0D" w:rsidRDefault="00915C0D" w:rsidP="00915C0D">
      <w:pPr>
        <w:jc w:val="both"/>
        <w:rPr>
          <w:rFonts w:ascii="Times New Roman" w:hAnsi="Times New Roman"/>
          <w:sz w:val="22"/>
          <w:szCs w:val="22"/>
        </w:rPr>
      </w:pPr>
      <w:r w:rsidRPr="00915C0D">
        <w:rPr>
          <w:rFonts w:ascii="Times New Roman" w:hAnsi="Times New Roman"/>
          <w:sz w:val="22"/>
          <w:szCs w:val="22"/>
        </w:rPr>
        <w:t xml:space="preserve">Temporary financing REDD+.  </w:t>
      </w:r>
    </w:p>
    <w:p w14:paraId="0BD4D1EE" w14:textId="77777777" w:rsidR="00915C0D" w:rsidRPr="00915C0D" w:rsidRDefault="00915C0D" w:rsidP="00915C0D">
      <w:pPr>
        <w:jc w:val="both"/>
        <w:rPr>
          <w:rFonts w:ascii="Times New Roman" w:hAnsi="Times New Roman"/>
          <w:sz w:val="22"/>
          <w:szCs w:val="22"/>
        </w:rPr>
      </w:pPr>
      <w:r w:rsidRPr="00915C0D">
        <w:rPr>
          <w:rFonts w:ascii="Times New Roman" w:hAnsi="Times New Roman"/>
          <w:sz w:val="22"/>
          <w:szCs w:val="22"/>
        </w:rPr>
        <w:t xml:space="preserve">When in the 2009 first rough draft of the present strategy was published 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based on the conversations at international level, hoped that mechanisms remembered tie financing to this subject. Nevertheless, the lack of consensus lead to </w:t>
      </w:r>
    </w:p>
    <w:p w14:paraId="7E864F94" w14:textId="77777777" w:rsidR="00915C0D" w:rsidRPr="00915C0D" w:rsidRDefault="00915C0D" w:rsidP="00915C0D">
      <w:pPr>
        <w:jc w:val="both"/>
        <w:rPr>
          <w:rFonts w:ascii="Times New Roman" w:hAnsi="Times New Roman"/>
          <w:sz w:val="22"/>
          <w:szCs w:val="22"/>
        </w:rPr>
      </w:pPr>
      <w:proofErr w:type="gramStart"/>
      <w:r w:rsidRPr="00915C0D">
        <w:rPr>
          <w:rFonts w:ascii="Times New Roman" w:hAnsi="Times New Roman"/>
          <w:sz w:val="22"/>
          <w:szCs w:val="22"/>
        </w:rPr>
        <w:t>delays</w:t>
      </w:r>
      <w:proofErr w:type="gramEnd"/>
      <w:r w:rsidRPr="00915C0D">
        <w:rPr>
          <w:rFonts w:ascii="Times New Roman" w:hAnsi="Times New Roman"/>
          <w:sz w:val="22"/>
          <w:szCs w:val="22"/>
        </w:rPr>
        <w:t xml:space="preserve"> in structuring agreements that are not considered can be obtained before 2020.  In the interregnum period until then, the necessities of the nations of forest profile have been canalized by this mechanism, although with a limited success because only 3 countries: Guyana, Brazil and Indonesia have been capable to accede to excellent amounts of attendance.</w:t>
      </w:r>
    </w:p>
    <w:p w14:paraId="01A7E2D8" w14:textId="77777777" w:rsidR="00915C0D" w:rsidRPr="00915C0D" w:rsidRDefault="00915C0D" w:rsidP="00915C0D">
      <w:pPr>
        <w:jc w:val="both"/>
        <w:rPr>
          <w:rFonts w:ascii="Times New Roman" w:hAnsi="Times New Roman"/>
          <w:sz w:val="22"/>
          <w:szCs w:val="22"/>
        </w:rPr>
      </w:pPr>
    </w:p>
    <w:p w14:paraId="20B63889" w14:textId="77777777" w:rsidR="00915C0D" w:rsidRPr="00915C0D" w:rsidRDefault="00915C0D" w:rsidP="00915C0D">
      <w:pPr>
        <w:jc w:val="both"/>
        <w:rPr>
          <w:rFonts w:ascii="Times New Roman" w:hAnsi="Times New Roman"/>
          <w:sz w:val="22"/>
          <w:szCs w:val="22"/>
        </w:rPr>
      </w:pPr>
      <w:r w:rsidRPr="00915C0D">
        <w:rPr>
          <w:rFonts w:ascii="Times New Roman" w:hAnsi="Times New Roman"/>
          <w:sz w:val="22"/>
          <w:szCs w:val="22"/>
        </w:rPr>
        <w:t>LCDS First stage (2009 -2013).</w:t>
      </w:r>
    </w:p>
    <w:p w14:paraId="09A39EDD" w14:textId="77777777" w:rsidR="00915C0D" w:rsidRPr="00915C0D" w:rsidRDefault="00915C0D" w:rsidP="00915C0D">
      <w:pPr>
        <w:jc w:val="both"/>
        <w:rPr>
          <w:rFonts w:ascii="Times New Roman" w:hAnsi="Times New Roman"/>
          <w:sz w:val="22"/>
          <w:szCs w:val="22"/>
        </w:rPr>
      </w:pPr>
      <w:r w:rsidRPr="00915C0D">
        <w:rPr>
          <w:rFonts w:ascii="Times New Roman" w:hAnsi="Times New Roman"/>
          <w:sz w:val="22"/>
          <w:szCs w:val="22"/>
        </w:rPr>
        <w:t>The priorities established originally have to the date the following degree of advance:</w:t>
      </w:r>
    </w:p>
    <w:p w14:paraId="65124103" w14:textId="77777777" w:rsidR="00915C0D" w:rsidRPr="00915C0D" w:rsidRDefault="00915C0D" w:rsidP="00CE5909">
      <w:pPr>
        <w:pStyle w:val="ListParagraph"/>
        <w:numPr>
          <w:ilvl w:val="0"/>
          <w:numId w:val="17"/>
        </w:numPr>
        <w:jc w:val="both"/>
        <w:rPr>
          <w:rFonts w:ascii="Times New Roman" w:hAnsi="Times New Roman"/>
          <w:sz w:val="22"/>
          <w:szCs w:val="22"/>
        </w:rPr>
      </w:pPr>
      <w:r w:rsidRPr="00915C0D">
        <w:rPr>
          <w:rFonts w:ascii="Times New Roman" w:hAnsi="Times New Roman"/>
          <w:sz w:val="22"/>
          <w:szCs w:val="22"/>
        </w:rPr>
        <w:t>Renewable Energy.</w:t>
      </w:r>
    </w:p>
    <w:p w14:paraId="0855058B" w14:textId="77777777" w:rsidR="00915C0D" w:rsidRPr="00915C0D" w:rsidRDefault="00915C0D" w:rsidP="00CE5909">
      <w:pPr>
        <w:pStyle w:val="ListParagraph"/>
        <w:numPr>
          <w:ilvl w:val="0"/>
          <w:numId w:val="17"/>
        </w:numPr>
        <w:jc w:val="both"/>
        <w:rPr>
          <w:rFonts w:ascii="Times New Roman" w:hAnsi="Times New Roman"/>
          <w:sz w:val="22"/>
          <w:szCs w:val="22"/>
        </w:rPr>
      </w:pPr>
      <w:r w:rsidRPr="00915C0D">
        <w:rPr>
          <w:rFonts w:ascii="Times New Roman" w:hAnsi="Times New Roman"/>
          <w:sz w:val="22"/>
          <w:szCs w:val="22"/>
        </w:rPr>
        <w:t>Indigenous communities:</w:t>
      </w:r>
    </w:p>
    <w:p w14:paraId="40C26170" w14:textId="4F0775AE" w:rsidR="00915C0D" w:rsidRPr="00915C0D" w:rsidRDefault="00D16E43" w:rsidP="00CE5909">
      <w:pPr>
        <w:pStyle w:val="ListParagraph"/>
        <w:numPr>
          <w:ilvl w:val="0"/>
          <w:numId w:val="18"/>
        </w:numPr>
        <w:jc w:val="both"/>
        <w:rPr>
          <w:rFonts w:ascii="Times New Roman" w:hAnsi="Times New Roman"/>
          <w:sz w:val="22"/>
          <w:szCs w:val="22"/>
        </w:rPr>
      </w:pPr>
      <w:r>
        <w:rPr>
          <w:rFonts w:ascii="Times New Roman" w:hAnsi="Times New Roman"/>
          <w:sz w:val="22"/>
          <w:szCs w:val="22"/>
        </w:rPr>
        <w:t>P</w:t>
      </w:r>
      <w:r w:rsidR="00915C0D" w:rsidRPr="00915C0D">
        <w:rPr>
          <w:rFonts w:ascii="Times New Roman" w:hAnsi="Times New Roman"/>
          <w:sz w:val="22"/>
          <w:szCs w:val="22"/>
        </w:rPr>
        <w:t xml:space="preserve">ower Development. To March of 2013 solar paddles were installed in approximately 11,000 homes, as well as systems of fluvial generation in low scale. </w:t>
      </w:r>
    </w:p>
    <w:p w14:paraId="7C20EB83" w14:textId="19A24EA1" w:rsidR="00915C0D" w:rsidRPr="00915C0D" w:rsidRDefault="00D16E43" w:rsidP="00CE5909">
      <w:pPr>
        <w:pStyle w:val="ListParagraph"/>
        <w:numPr>
          <w:ilvl w:val="0"/>
          <w:numId w:val="18"/>
        </w:numPr>
        <w:jc w:val="both"/>
        <w:rPr>
          <w:rFonts w:ascii="Times New Roman" w:hAnsi="Times New Roman"/>
          <w:sz w:val="22"/>
          <w:szCs w:val="22"/>
        </w:rPr>
      </w:pPr>
      <w:r>
        <w:rPr>
          <w:rFonts w:ascii="Times New Roman" w:hAnsi="Times New Roman"/>
          <w:sz w:val="22"/>
          <w:szCs w:val="22"/>
        </w:rPr>
        <w:t>S</w:t>
      </w:r>
      <w:r w:rsidR="00915C0D" w:rsidRPr="00915C0D">
        <w:rPr>
          <w:rFonts w:ascii="Times New Roman" w:hAnsi="Times New Roman"/>
          <w:sz w:val="22"/>
          <w:szCs w:val="22"/>
        </w:rPr>
        <w:t>ocioeconomic Aspects. They treat through strategic plans.</w:t>
      </w:r>
    </w:p>
    <w:p w14:paraId="15F7FB07" w14:textId="1625EC2E" w:rsidR="00915C0D" w:rsidRPr="00915C0D" w:rsidRDefault="00D16E43" w:rsidP="00CE5909">
      <w:pPr>
        <w:pStyle w:val="ListParagraph"/>
        <w:numPr>
          <w:ilvl w:val="0"/>
          <w:numId w:val="18"/>
        </w:numPr>
        <w:jc w:val="both"/>
        <w:rPr>
          <w:rFonts w:ascii="Times New Roman" w:hAnsi="Times New Roman"/>
          <w:sz w:val="22"/>
          <w:szCs w:val="22"/>
        </w:rPr>
      </w:pPr>
      <w:r>
        <w:rPr>
          <w:rFonts w:ascii="Times New Roman" w:hAnsi="Times New Roman"/>
          <w:sz w:val="22"/>
          <w:szCs w:val="22"/>
        </w:rPr>
        <w:t>E</w:t>
      </w:r>
      <w:r w:rsidR="00915C0D" w:rsidRPr="00915C0D">
        <w:rPr>
          <w:rFonts w:ascii="Times New Roman" w:hAnsi="Times New Roman"/>
          <w:sz w:val="22"/>
          <w:szCs w:val="22"/>
        </w:rPr>
        <w:t xml:space="preserve">arth Degree. 14% of the present territory correspond to these communities, having the </w:t>
      </w:r>
      <w:proofErr w:type="spellStart"/>
      <w:r w:rsidR="00915C0D" w:rsidRPr="00915C0D">
        <w:rPr>
          <w:rFonts w:ascii="Times New Roman" w:hAnsi="Times New Roman"/>
          <w:sz w:val="22"/>
          <w:szCs w:val="22"/>
        </w:rPr>
        <w:t>GoG</w:t>
      </w:r>
      <w:proofErr w:type="spellEnd"/>
      <w:r w:rsidR="00915C0D" w:rsidRPr="00915C0D">
        <w:rPr>
          <w:rFonts w:ascii="Times New Roman" w:hAnsi="Times New Roman"/>
          <w:sz w:val="22"/>
          <w:szCs w:val="22"/>
        </w:rPr>
        <w:t xml:space="preserve"> commitment to complete the process of registration in the following the 3 years.</w:t>
      </w:r>
    </w:p>
    <w:p w14:paraId="6565E786" w14:textId="77777777" w:rsidR="00915C0D" w:rsidRPr="00915C0D" w:rsidRDefault="00915C0D" w:rsidP="00CE5909">
      <w:pPr>
        <w:pStyle w:val="ListParagraph"/>
        <w:numPr>
          <w:ilvl w:val="0"/>
          <w:numId w:val="17"/>
        </w:numPr>
        <w:jc w:val="both"/>
        <w:rPr>
          <w:rFonts w:ascii="Times New Roman" w:hAnsi="Times New Roman"/>
          <w:sz w:val="22"/>
          <w:szCs w:val="22"/>
        </w:rPr>
      </w:pPr>
      <w:r w:rsidRPr="00915C0D">
        <w:rPr>
          <w:rFonts w:ascii="Times New Roman" w:hAnsi="Times New Roman"/>
          <w:sz w:val="22"/>
          <w:szCs w:val="22"/>
        </w:rPr>
        <w:t>Reduce the digital breach: It includes several advances: (a) 560km of optical fiber to connect the coast with the rear area, and in the future next to tie with Brazil, (b) to advance in the initiative of one laptop by family who included the delivery of 26,832 units, (c) to approve a regulatory law of the telephone liberation, the one that is in discussion with the 2 greater suppliers.</w:t>
      </w:r>
    </w:p>
    <w:p w14:paraId="116FF16D" w14:textId="77777777" w:rsidR="00915C0D" w:rsidRPr="00915C0D" w:rsidRDefault="00915C0D" w:rsidP="00CE5909">
      <w:pPr>
        <w:pStyle w:val="ListParagraph"/>
        <w:numPr>
          <w:ilvl w:val="0"/>
          <w:numId w:val="17"/>
        </w:numPr>
        <w:jc w:val="both"/>
        <w:rPr>
          <w:rFonts w:ascii="Times New Roman" w:hAnsi="Times New Roman"/>
          <w:sz w:val="22"/>
          <w:szCs w:val="22"/>
        </w:rPr>
      </w:pPr>
      <w:r w:rsidRPr="00915C0D">
        <w:rPr>
          <w:rFonts w:ascii="Times New Roman" w:hAnsi="Times New Roman"/>
          <w:sz w:val="22"/>
          <w:szCs w:val="22"/>
        </w:rPr>
        <w:t xml:space="preserve">Support to Small and </w:t>
      </w:r>
      <w:proofErr w:type="spellStart"/>
      <w:r w:rsidRPr="00915C0D">
        <w:rPr>
          <w:rFonts w:ascii="Times New Roman" w:hAnsi="Times New Roman"/>
          <w:sz w:val="22"/>
          <w:szCs w:val="22"/>
        </w:rPr>
        <w:t>Mediana</w:t>
      </w:r>
      <w:proofErr w:type="spellEnd"/>
      <w:r w:rsidRPr="00915C0D">
        <w:rPr>
          <w:rFonts w:ascii="Times New Roman" w:hAnsi="Times New Roman"/>
          <w:sz w:val="22"/>
          <w:szCs w:val="22"/>
        </w:rPr>
        <w:t xml:space="preserve"> Company (SME): Initiatives in activities of low generation of carbon emissions have been supported thus creating 2,200 new jobs.</w:t>
      </w:r>
    </w:p>
    <w:p w14:paraId="0E8D8BBD" w14:textId="77777777" w:rsidR="00915C0D" w:rsidRPr="00915C0D" w:rsidRDefault="00915C0D" w:rsidP="00CE5909">
      <w:pPr>
        <w:pStyle w:val="ListParagraph"/>
        <w:numPr>
          <w:ilvl w:val="0"/>
          <w:numId w:val="17"/>
        </w:numPr>
        <w:jc w:val="both"/>
        <w:rPr>
          <w:rFonts w:ascii="Times New Roman" w:hAnsi="Times New Roman"/>
          <w:sz w:val="22"/>
          <w:szCs w:val="22"/>
        </w:rPr>
      </w:pPr>
      <w:r w:rsidRPr="00915C0D">
        <w:rPr>
          <w:rFonts w:ascii="Times New Roman" w:hAnsi="Times New Roman"/>
          <w:sz w:val="22"/>
          <w:szCs w:val="22"/>
        </w:rPr>
        <w:t xml:space="preserve">Adaptation to the CC: Approximately 39% of the population and 43% of the GDP are exposed to the risk of floods. In order to fortify the capacity to face these phenomena channels have been constructed that allow a more appropriate handling of the extreme events.  </w:t>
      </w:r>
    </w:p>
    <w:p w14:paraId="67367A6B" w14:textId="13260961" w:rsidR="00915C0D" w:rsidRPr="00915C0D" w:rsidRDefault="00915C0D" w:rsidP="00CE5909">
      <w:pPr>
        <w:pStyle w:val="ListParagraph"/>
        <w:numPr>
          <w:ilvl w:val="0"/>
          <w:numId w:val="17"/>
        </w:numPr>
        <w:jc w:val="both"/>
        <w:rPr>
          <w:rFonts w:ascii="Times New Roman" w:hAnsi="Times New Roman"/>
          <w:sz w:val="22"/>
          <w:szCs w:val="22"/>
        </w:rPr>
      </w:pPr>
      <w:r w:rsidRPr="00915C0D">
        <w:rPr>
          <w:rFonts w:ascii="Times New Roman" w:hAnsi="Times New Roman"/>
          <w:sz w:val="22"/>
          <w:szCs w:val="22"/>
        </w:rPr>
        <w:t>Creation of the Ministry of Natura</w:t>
      </w:r>
      <w:r w:rsidR="00D71B82">
        <w:rPr>
          <w:rFonts w:ascii="Times New Roman" w:hAnsi="Times New Roman"/>
          <w:sz w:val="22"/>
          <w:szCs w:val="22"/>
        </w:rPr>
        <w:t>l</w:t>
      </w:r>
      <w:r w:rsidRPr="00915C0D">
        <w:rPr>
          <w:rFonts w:ascii="Times New Roman" w:hAnsi="Times New Roman"/>
          <w:sz w:val="22"/>
          <w:szCs w:val="22"/>
        </w:rPr>
        <w:t xml:space="preserve"> Resources (NRV)</w:t>
      </w:r>
      <w:r w:rsidRPr="00915C0D">
        <w:rPr>
          <w:rStyle w:val="FootnoteReference"/>
          <w:rFonts w:ascii="Times New Roman" w:hAnsi="Times New Roman"/>
          <w:sz w:val="22"/>
          <w:szCs w:val="22"/>
        </w:rPr>
        <w:footnoteReference w:id="80"/>
      </w:r>
      <w:r w:rsidRPr="00915C0D">
        <w:rPr>
          <w:rFonts w:ascii="Times New Roman" w:hAnsi="Times New Roman"/>
          <w:sz w:val="22"/>
          <w:szCs w:val="22"/>
        </w:rPr>
        <w:t xml:space="preserve">. The administration that has taken 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after elections of 2011 defined that like one of its measures </w:t>
      </w:r>
    </w:p>
    <w:p w14:paraId="300353E2" w14:textId="77777777" w:rsidR="00915C0D" w:rsidRPr="00915C0D" w:rsidRDefault="00915C0D" w:rsidP="00915C0D">
      <w:pPr>
        <w:jc w:val="both"/>
      </w:pPr>
    </w:p>
    <w:p w14:paraId="0AB5C5FE" w14:textId="77777777" w:rsidR="00915C0D" w:rsidRPr="00915C0D" w:rsidRDefault="00915C0D" w:rsidP="00915C0D">
      <w:pPr>
        <w:jc w:val="both"/>
        <w:rPr>
          <w:rFonts w:ascii="Times New Roman" w:hAnsi="Times New Roman"/>
          <w:sz w:val="22"/>
          <w:szCs w:val="22"/>
        </w:rPr>
      </w:pPr>
      <w:r w:rsidRPr="00915C0D">
        <w:rPr>
          <w:rFonts w:ascii="Times New Roman" w:hAnsi="Times New Roman"/>
          <w:sz w:val="22"/>
          <w:szCs w:val="22"/>
        </w:rPr>
        <w:t>LCDS Second phase (2013 -2015).</w:t>
      </w:r>
    </w:p>
    <w:p w14:paraId="7A796049" w14:textId="77777777" w:rsidR="00915C0D" w:rsidRPr="00915C0D" w:rsidRDefault="00915C0D" w:rsidP="00915C0D">
      <w:pPr>
        <w:jc w:val="both"/>
      </w:pPr>
    </w:p>
    <w:p w14:paraId="1D6FC782" w14:textId="77777777" w:rsidR="00915C0D" w:rsidRPr="00915C0D" w:rsidRDefault="00915C0D" w:rsidP="00915C0D">
      <w:pPr>
        <w:jc w:val="both"/>
        <w:rPr>
          <w:rFonts w:ascii="Times New Roman" w:hAnsi="Times New Roman"/>
          <w:sz w:val="22"/>
          <w:szCs w:val="22"/>
        </w:rPr>
      </w:pPr>
      <w:r w:rsidRPr="00915C0D">
        <w:rPr>
          <w:rFonts w:ascii="Times New Roman" w:hAnsi="Times New Roman"/>
          <w:sz w:val="22"/>
          <w:szCs w:val="22"/>
        </w:rPr>
        <w:t xml:space="preserve">In this stage the </w:t>
      </w:r>
      <w:proofErr w:type="spellStart"/>
      <w:r w:rsidRPr="00915C0D">
        <w:rPr>
          <w:rFonts w:ascii="Times New Roman" w:hAnsi="Times New Roman"/>
          <w:sz w:val="22"/>
          <w:szCs w:val="22"/>
        </w:rPr>
        <w:t>GoG</w:t>
      </w:r>
      <w:proofErr w:type="spellEnd"/>
      <w:r w:rsidRPr="00915C0D">
        <w:rPr>
          <w:rFonts w:ascii="Times New Roman" w:hAnsi="Times New Roman"/>
          <w:sz w:val="22"/>
          <w:szCs w:val="22"/>
        </w:rPr>
        <w:t xml:space="preserve"> is concentrated in 5 priorities: </w:t>
      </w:r>
    </w:p>
    <w:p w14:paraId="64458AC9" w14:textId="77777777" w:rsidR="00915C0D" w:rsidRPr="00915C0D" w:rsidRDefault="00915C0D" w:rsidP="00CE5909">
      <w:pPr>
        <w:pStyle w:val="ListParagraph"/>
        <w:numPr>
          <w:ilvl w:val="0"/>
          <w:numId w:val="17"/>
        </w:numPr>
        <w:jc w:val="both"/>
        <w:rPr>
          <w:rFonts w:ascii="Times New Roman" w:hAnsi="Times New Roman"/>
          <w:sz w:val="22"/>
          <w:szCs w:val="22"/>
        </w:rPr>
      </w:pPr>
      <w:r w:rsidRPr="00915C0D">
        <w:rPr>
          <w:rFonts w:ascii="Times New Roman" w:hAnsi="Times New Roman"/>
          <w:sz w:val="22"/>
          <w:szCs w:val="22"/>
        </w:rPr>
        <w:t xml:space="preserve">To improve its infrastructure to face flooding, which includes </w:t>
      </w:r>
      <w:proofErr w:type="gramStart"/>
      <w:r w:rsidRPr="00915C0D">
        <w:rPr>
          <w:rFonts w:ascii="Times New Roman" w:hAnsi="Times New Roman"/>
          <w:sz w:val="22"/>
          <w:szCs w:val="22"/>
        </w:rPr>
        <w:t>to fortify</w:t>
      </w:r>
      <w:proofErr w:type="gramEnd"/>
      <w:r w:rsidRPr="00915C0D">
        <w:rPr>
          <w:rFonts w:ascii="Times New Roman" w:hAnsi="Times New Roman"/>
          <w:sz w:val="22"/>
          <w:szCs w:val="22"/>
        </w:rPr>
        <w:t xml:space="preserve"> the capacities of the irrigation system and drainage, dredged of the rivers, expansion of the use of mangroves, as well as other significant advances of protection of Georgetown, the east bank and the east Coast.</w:t>
      </w:r>
    </w:p>
    <w:p w14:paraId="5AEA2293" w14:textId="77777777" w:rsidR="00915C0D" w:rsidRPr="00915C0D" w:rsidRDefault="00915C0D" w:rsidP="00CE5909">
      <w:pPr>
        <w:pStyle w:val="ListParagraph"/>
        <w:numPr>
          <w:ilvl w:val="0"/>
          <w:numId w:val="17"/>
        </w:numPr>
        <w:jc w:val="both"/>
        <w:rPr>
          <w:rFonts w:ascii="Times New Roman" w:hAnsi="Times New Roman"/>
          <w:sz w:val="22"/>
          <w:szCs w:val="22"/>
        </w:rPr>
      </w:pPr>
      <w:r w:rsidRPr="00915C0D">
        <w:rPr>
          <w:rFonts w:ascii="Times New Roman" w:hAnsi="Times New Roman"/>
          <w:sz w:val="22"/>
          <w:szCs w:val="22"/>
        </w:rPr>
        <w:t>Hinterland Adaptation of the rear area, by means of the incorporation of varieties of plants, crops handling system, in addition to the construction of routes, bridges, systems of irrigation and drainage in the most vulnerable zones.</w:t>
      </w:r>
    </w:p>
    <w:p w14:paraId="633D4E45" w14:textId="77777777" w:rsidR="00915C0D" w:rsidRPr="00915C0D" w:rsidRDefault="00915C0D" w:rsidP="00CE5909">
      <w:pPr>
        <w:pStyle w:val="ListParagraph"/>
        <w:numPr>
          <w:ilvl w:val="0"/>
          <w:numId w:val="17"/>
        </w:numPr>
        <w:jc w:val="both"/>
        <w:rPr>
          <w:rFonts w:ascii="Times New Roman" w:hAnsi="Times New Roman"/>
          <w:sz w:val="22"/>
          <w:szCs w:val="22"/>
        </w:rPr>
      </w:pPr>
      <w:r w:rsidRPr="00915C0D">
        <w:rPr>
          <w:rFonts w:ascii="Times New Roman" w:hAnsi="Times New Roman"/>
          <w:sz w:val="22"/>
          <w:szCs w:val="22"/>
        </w:rPr>
        <w:t>Programs of early alert.</w:t>
      </w:r>
    </w:p>
    <w:p w14:paraId="41F0AA59" w14:textId="6058F4EE" w:rsidR="00915C0D" w:rsidRPr="00915C0D" w:rsidRDefault="00915C0D" w:rsidP="00CE5909">
      <w:pPr>
        <w:pStyle w:val="ListParagraph"/>
        <w:numPr>
          <w:ilvl w:val="0"/>
          <w:numId w:val="19"/>
        </w:numPr>
        <w:jc w:val="both"/>
        <w:rPr>
          <w:rFonts w:ascii="Times New Roman" w:hAnsi="Times New Roman"/>
          <w:sz w:val="22"/>
          <w:szCs w:val="22"/>
        </w:rPr>
      </w:pPr>
      <w:r w:rsidRPr="00915C0D">
        <w:rPr>
          <w:rFonts w:ascii="Times New Roman" w:hAnsi="Times New Roman"/>
          <w:sz w:val="22"/>
          <w:szCs w:val="22"/>
        </w:rPr>
        <w:t xml:space="preserve">To impel the sectors defined in the Program of Competitiveness (aquaculture, </w:t>
      </w:r>
      <w:r w:rsidR="00D71B82" w:rsidRPr="00915C0D">
        <w:rPr>
          <w:rFonts w:ascii="Times New Roman" w:hAnsi="Times New Roman"/>
          <w:sz w:val="22"/>
          <w:szCs w:val="22"/>
        </w:rPr>
        <w:t>ecotourism</w:t>
      </w:r>
      <w:r w:rsidRPr="00915C0D">
        <w:rPr>
          <w:rFonts w:ascii="Times New Roman" w:hAnsi="Times New Roman"/>
          <w:sz w:val="22"/>
          <w:szCs w:val="22"/>
        </w:rPr>
        <w:t>, outsourcing and vegetable/fruits).</w:t>
      </w:r>
    </w:p>
    <w:p w14:paraId="48C3E6C8" w14:textId="77777777" w:rsidR="00915C0D" w:rsidRPr="00915C0D" w:rsidRDefault="00915C0D" w:rsidP="00CE5909">
      <w:pPr>
        <w:pStyle w:val="ListParagraph"/>
        <w:numPr>
          <w:ilvl w:val="0"/>
          <w:numId w:val="19"/>
        </w:numPr>
        <w:jc w:val="both"/>
        <w:rPr>
          <w:rFonts w:ascii="Times New Roman" w:hAnsi="Times New Roman"/>
          <w:sz w:val="22"/>
          <w:szCs w:val="22"/>
        </w:rPr>
      </w:pPr>
      <w:r w:rsidRPr="00915C0D">
        <w:rPr>
          <w:rFonts w:ascii="Times New Roman" w:hAnsi="Times New Roman"/>
          <w:sz w:val="22"/>
          <w:szCs w:val="22"/>
        </w:rPr>
        <w:t>To support the development of the indigenous communities (Opt In program, to accede to the REDD+).</w:t>
      </w:r>
    </w:p>
    <w:p w14:paraId="1E796751" w14:textId="77777777" w:rsidR="00915C0D" w:rsidRPr="00915C0D" w:rsidRDefault="00915C0D" w:rsidP="00915C0D">
      <w:pPr>
        <w:jc w:val="both"/>
      </w:pPr>
    </w:p>
    <w:p w14:paraId="327D4E0B" w14:textId="77777777" w:rsidR="00915C0D" w:rsidRPr="00915C0D" w:rsidRDefault="00915C0D" w:rsidP="00915C0D">
      <w:pPr>
        <w:jc w:val="both"/>
        <w:rPr>
          <w:rFonts w:ascii="Times New Roman" w:hAnsi="Times New Roman"/>
          <w:sz w:val="22"/>
          <w:szCs w:val="22"/>
        </w:rPr>
      </w:pPr>
      <w:r w:rsidRPr="00915C0D">
        <w:rPr>
          <w:rFonts w:ascii="Times New Roman" w:hAnsi="Times New Roman"/>
          <w:sz w:val="22"/>
          <w:szCs w:val="22"/>
        </w:rPr>
        <w:t>Internal appropriation of the project.</w:t>
      </w:r>
    </w:p>
    <w:p w14:paraId="0C27B7A4" w14:textId="77777777" w:rsidR="00915C0D" w:rsidRPr="00915C0D" w:rsidRDefault="00915C0D" w:rsidP="00915C0D">
      <w:pPr>
        <w:jc w:val="both"/>
        <w:rPr>
          <w:rFonts w:ascii="Times New Roman" w:hAnsi="Times New Roman"/>
          <w:sz w:val="22"/>
          <w:szCs w:val="22"/>
        </w:rPr>
      </w:pPr>
      <w:r w:rsidRPr="00915C0D">
        <w:rPr>
          <w:rFonts w:ascii="Times New Roman" w:hAnsi="Times New Roman"/>
          <w:sz w:val="22"/>
          <w:szCs w:val="22"/>
        </w:rPr>
        <w:t xml:space="preserve"> </w:t>
      </w:r>
    </w:p>
    <w:p w14:paraId="6ABCD888" w14:textId="77777777" w:rsidR="00915C0D" w:rsidRPr="00915C0D" w:rsidRDefault="00915C0D" w:rsidP="00915C0D">
      <w:pPr>
        <w:jc w:val="both"/>
        <w:rPr>
          <w:rFonts w:ascii="Times New Roman" w:hAnsi="Times New Roman"/>
          <w:sz w:val="22"/>
          <w:szCs w:val="22"/>
        </w:rPr>
      </w:pPr>
      <w:r w:rsidRPr="00915C0D">
        <w:rPr>
          <w:rFonts w:ascii="Times New Roman" w:hAnsi="Times New Roman"/>
          <w:sz w:val="22"/>
          <w:szCs w:val="22"/>
        </w:rPr>
        <w:t>All the investments have been incorporated to the National Budget, and their advances are supervised by the Legislative Assembly and in close contact with the interested social actors who exert tracing and indirect close control.</w:t>
      </w:r>
    </w:p>
    <w:p w14:paraId="69CBBDF5" w14:textId="77777777" w:rsidR="00915C0D" w:rsidRPr="00915C0D" w:rsidRDefault="00915C0D" w:rsidP="00915C0D">
      <w:pPr>
        <w:jc w:val="both"/>
        <w:rPr>
          <w:rFonts w:ascii="Times New Roman" w:hAnsi="Times New Roman"/>
          <w:sz w:val="22"/>
          <w:szCs w:val="22"/>
        </w:rPr>
      </w:pPr>
    </w:p>
    <w:p w14:paraId="48435711" w14:textId="77777777" w:rsidR="00915C0D" w:rsidRPr="00915C0D" w:rsidRDefault="00915C0D" w:rsidP="00915C0D">
      <w:pPr>
        <w:jc w:val="both"/>
        <w:rPr>
          <w:rFonts w:ascii="Times New Roman" w:hAnsi="Times New Roman"/>
          <w:sz w:val="22"/>
          <w:szCs w:val="22"/>
        </w:rPr>
      </w:pPr>
      <w:r w:rsidRPr="00915C0D">
        <w:rPr>
          <w:rFonts w:ascii="Times New Roman" w:hAnsi="Times New Roman"/>
          <w:sz w:val="22"/>
          <w:szCs w:val="22"/>
        </w:rPr>
        <w:t>Investments within the LCDS framework.</w:t>
      </w:r>
    </w:p>
    <w:p w14:paraId="5A6FF2B4" w14:textId="77777777" w:rsidR="00915C0D" w:rsidRPr="00915C0D" w:rsidRDefault="00915C0D" w:rsidP="00915C0D">
      <w:pPr>
        <w:jc w:val="both"/>
        <w:rPr>
          <w:rFonts w:ascii="Times New Roman" w:hAnsi="Times New Roman"/>
          <w:sz w:val="22"/>
          <w:szCs w:val="22"/>
        </w:rPr>
      </w:pPr>
    </w:p>
    <w:p w14:paraId="13BEC0D4" w14:textId="37B835CB" w:rsidR="00915C0D" w:rsidRPr="00915C0D" w:rsidRDefault="00E40AB1" w:rsidP="00915C0D">
      <w:pPr>
        <w:ind w:left="720"/>
        <w:jc w:val="both"/>
        <w:rPr>
          <w:rFonts w:ascii="Times New Roman" w:hAnsi="Times New Roman"/>
          <w:sz w:val="22"/>
          <w:szCs w:val="22"/>
        </w:rPr>
      </w:pPr>
      <w:r>
        <w:rPr>
          <w:rFonts w:ascii="Times New Roman" w:hAnsi="Times New Roman"/>
          <w:sz w:val="22"/>
          <w:szCs w:val="22"/>
        </w:rPr>
        <w:t>Table</w:t>
      </w:r>
      <w:r w:rsidR="00915C0D" w:rsidRPr="00915C0D">
        <w:rPr>
          <w:rFonts w:ascii="Times New Roman" w:hAnsi="Times New Roman"/>
          <w:sz w:val="22"/>
          <w:szCs w:val="22"/>
        </w:rPr>
        <w:t>1: Investments executed in period 2009-2011 (source LCDS Update 2013).</w:t>
      </w:r>
    </w:p>
    <w:p w14:paraId="17F84BE7" w14:textId="77777777" w:rsidR="00915C0D" w:rsidRPr="00915C0D" w:rsidRDefault="00915C0D" w:rsidP="00915C0D">
      <w:pPr>
        <w:jc w:val="both"/>
        <w:rPr>
          <w:rFonts w:ascii="Times New Roman" w:hAnsi="Times New Roman"/>
          <w:sz w:val="22"/>
          <w:szCs w:val="22"/>
        </w:rPr>
      </w:pPr>
    </w:p>
    <w:p w14:paraId="2B8489F4" w14:textId="77777777" w:rsidR="00915C0D" w:rsidRPr="00915C0D" w:rsidRDefault="00915C0D" w:rsidP="00915C0D">
      <w:pPr>
        <w:jc w:val="both"/>
        <w:rPr>
          <w:rFonts w:ascii="Times New Roman" w:hAnsi="Times New Roman"/>
          <w:sz w:val="22"/>
          <w:szCs w:val="22"/>
        </w:rPr>
      </w:pPr>
      <w:r w:rsidRPr="00915C0D">
        <w:rPr>
          <w:noProof/>
        </w:rPr>
        <w:drawing>
          <wp:inline distT="0" distB="0" distL="0" distR="0" wp14:anchorId="775FC065" wp14:editId="2F64CB4B">
            <wp:extent cx="5278507" cy="3177104"/>
            <wp:effectExtent l="19050" t="0" r="0" b="0"/>
            <wp:docPr id="8"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stretch>
                      <a:fillRect/>
                    </a:stretch>
                  </pic:blipFill>
                  <pic:spPr>
                    <a:xfrm>
                      <a:off x="0" y="0"/>
                      <a:ext cx="5278755" cy="3177253"/>
                    </a:xfrm>
                    <a:prstGeom prst="rect">
                      <a:avLst/>
                    </a:prstGeom>
                  </pic:spPr>
                </pic:pic>
              </a:graphicData>
            </a:graphic>
          </wp:inline>
        </w:drawing>
      </w:r>
    </w:p>
    <w:p w14:paraId="16AD0F7D" w14:textId="77777777" w:rsidR="00915C0D" w:rsidRPr="00915C0D" w:rsidRDefault="00915C0D" w:rsidP="00915C0D">
      <w:pPr>
        <w:jc w:val="both"/>
        <w:rPr>
          <w:rFonts w:ascii="Times New Roman" w:hAnsi="Times New Roman"/>
          <w:sz w:val="22"/>
          <w:szCs w:val="22"/>
        </w:rPr>
      </w:pPr>
    </w:p>
    <w:p w14:paraId="0837EA95" w14:textId="7D1053A2" w:rsidR="00915C0D" w:rsidRPr="00915C0D" w:rsidRDefault="003B0403" w:rsidP="00915C0D">
      <w:pPr>
        <w:ind w:left="720"/>
        <w:jc w:val="both"/>
        <w:rPr>
          <w:rFonts w:ascii="Times New Roman" w:hAnsi="Times New Roman"/>
          <w:sz w:val="22"/>
          <w:szCs w:val="22"/>
        </w:rPr>
      </w:pPr>
      <w:r>
        <w:rPr>
          <w:rFonts w:ascii="Times New Roman" w:hAnsi="Times New Roman"/>
          <w:sz w:val="22"/>
          <w:szCs w:val="22"/>
        </w:rPr>
        <w:t xml:space="preserve">Table </w:t>
      </w:r>
      <w:r w:rsidR="00915C0D" w:rsidRPr="00915C0D">
        <w:rPr>
          <w:rFonts w:ascii="Times New Roman" w:hAnsi="Times New Roman"/>
          <w:sz w:val="22"/>
          <w:szCs w:val="22"/>
        </w:rPr>
        <w:t>2: Executed 2009-2011 and projected investments for 2012-2013 (source LCDS Update 2013).</w:t>
      </w:r>
    </w:p>
    <w:p w14:paraId="642F0422" w14:textId="77777777" w:rsidR="00915C0D" w:rsidRPr="00915C0D" w:rsidRDefault="00915C0D" w:rsidP="00915C0D">
      <w:pPr>
        <w:jc w:val="both"/>
        <w:rPr>
          <w:rFonts w:ascii="Times New Roman" w:hAnsi="Times New Roman"/>
          <w:sz w:val="22"/>
          <w:szCs w:val="22"/>
        </w:rPr>
      </w:pPr>
    </w:p>
    <w:p w14:paraId="7ABE7A6B" w14:textId="77777777" w:rsidR="00915C0D" w:rsidRPr="00915C0D" w:rsidRDefault="00915C0D" w:rsidP="00915C0D">
      <w:pPr>
        <w:jc w:val="both"/>
        <w:rPr>
          <w:rFonts w:ascii="Times New Roman" w:hAnsi="Times New Roman"/>
          <w:sz w:val="22"/>
          <w:szCs w:val="22"/>
        </w:rPr>
      </w:pPr>
      <w:r w:rsidRPr="00915C0D">
        <w:rPr>
          <w:noProof/>
        </w:rPr>
        <w:drawing>
          <wp:inline distT="0" distB="0" distL="0" distR="0" wp14:anchorId="48D7C59A" wp14:editId="18C4781E">
            <wp:extent cx="5277678" cy="4134678"/>
            <wp:effectExtent l="19050" t="0" r="0" b="0"/>
            <wp:docPr id="12"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8755" cy="4135522"/>
                    </a:xfrm>
                    <a:prstGeom prst="rect">
                      <a:avLst/>
                    </a:prstGeom>
                    <a:noFill/>
                    <a:ln>
                      <a:noFill/>
                    </a:ln>
                  </pic:spPr>
                </pic:pic>
              </a:graphicData>
            </a:graphic>
          </wp:inline>
        </w:drawing>
      </w:r>
    </w:p>
    <w:p w14:paraId="786B548D" w14:textId="77777777" w:rsidR="00915C0D" w:rsidRPr="00915C0D" w:rsidRDefault="00915C0D" w:rsidP="00915C0D">
      <w:pPr>
        <w:jc w:val="both"/>
        <w:rPr>
          <w:rFonts w:ascii="Times New Roman" w:hAnsi="Times New Roman"/>
          <w:sz w:val="22"/>
          <w:szCs w:val="22"/>
        </w:rPr>
      </w:pPr>
      <w:r w:rsidRPr="00915C0D">
        <w:rPr>
          <w:noProof/>
        </w:rPr>
        <w:drawing>
          <wp:inline distT="0" distB="0" distL="0" distR="0" wp14:anchorId="4440E234" wp14:editId="6E3ADFE0">
            <wp:extent cx="5332719" cy="1819006"/>
            <wp:effectExtent l="0" t="0" r="1905" b="0"/>
            <wp:docPr id="13"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333382" cy="1819232"/>
                    </a:xfrm>
                    <a:prstGeom prst="rect">
                      <a:avLst/>
                    </a:prstGeom>
                    <a:noFill/>
                    <a:ln>
                      <a:noFill/>
                    </a:ln>
                  </pic:spPr>
                </pic:pic>
              </a:graphicData>
            </a:graphic>
          </wp:inline>
        </w:drawing>
      </w:r>
    </w:p>
    <w:p w14:paraId="4897A4D3" w14:textId="77777777" w:rsidR="00915C0D" w:rsidRPr="00915C0D" w:rsidRDefault="00915C0D" w:rsidP="00915C0D">
      <w:pPr>
        <w:jc w:val="both"/>
        <w:rPr>
          <w:rFonts w:ascii="Times New Roman" w:hAnsi="Times New Roman"/>
          <w:sz w:val="22"/>
          <w:szCs w:val="22"/>
        </w:rPr>
      </w:pPr>
    </w:p>
    <w:p w14:paraId="7C9B1960" w14:textId="77777777" w:rsidR="00915C0D" w:rsidRPr="00915C0D" w:rsidRDefault="00915C0D" w:rsidP="00915C0D">
      <w:pPr>
        <w:jc w:val="both"/>
        <w:rPr>
          <w:rFonts w:ascii="Times New Roman" w:hAnsi="Times New Roman"/>
          <w:sz w:val="22"/>
          <w:szCs w:val="22"/>
        </w:rPr>
      </w:pPr>
      <w:r w:rsidRPr="00915C0D">
        <w:rPr>
          <w:rFonts w:ascii="Times New Roman" w:hAnsi="Times New Roman"/>
          <w:sz w:val="22"/>
          <w:szCs w:val="22"/>
        </w:rPr>
        <w:br w:type="page"/>
      </w:r>
      <w:bookmarkStart w:id="37" w:name="_GoBack"/>
      <w:bookmarkEnd w:id="37"/>
    </w:p>
    <w:p w14:paraId="65297933" w14:textId="2E79457F" w:rsidR="00915C0D" w:rsidRPr="00D71B82" w:rsidRDefault="00D71B82" w:rsidP="00915C0D">
      <w:pPr>
        <w:pStyle w:val="Heading1"/>
        <w:ind w:left="360"/>
        <w:rPr>
          <w:lang w:val="en-US"/>
        </w:rPr>
      </w:pPr>
      <w:bookmarkStart w:id="38" w:name="_Toc403028405"/>
      <w:r w:rsidRPr="00D71B82">
        <w:rPr>
          <w:lang w:val="en-US"/>
        </w:rPr>
        <w:t>Annex</w:t>
      </w:r>
      <w:r w:rsidR="00915C0D" w:rsidRPr="00D71B82">
        <w:rPr>
          <w:lang w:val="en-US"/>
        </w:rPr>
        <w:t xml:space="preserve"> III: Guyana</w:t>
      </w:r>
      <w:r w:rsidRPr="00D71B82">
        <w:rPr>
          <w:lang w:val="en-US"/>
        </w:rPr>
        <w:t xml:space="preserve"> Forestry C</w:t>
      </w:r>
      <w:r w:rsidR="00915C0D" w:rsidRPr="00D71B82">
        <w:rPr>
          <w:lang w:val="en-US"/>
        </w:rPr>
        <w:t>o</w:t>
      </w:r>
      <w:r w:rsidRPr="00D71B82">
        <w:rPr>
          <w:lang w:val="en-US"/>
        </w:rPr>
        <w:t>m</w:t>
      </w:r>
      <w:r w:rsidR="00915C0D" w:rsidRPr="00D71B82">
        <w:rPr>
          <w:lang w:val="en-US"/>
        </w:rPr>
        <w:t>mission.</w:t>
      </w:r>
      <w:bookmarkEnd w:id="38"/>
    </w:p>
    <w:p w14:paraId="031B8727" w14:textId="77777777" w:rsidR="00915C0D" w:rsidRPr="00017F75" w:rsidRDefault="00915C0D" w:rsidP="00915C0D"/>
    <w:p w14:paraId="521C8CAD" w14:textId="77777777" w:rsidR="00915C0D" w:rsidRPr="00017F75" w:rsidRDefault="00915C0D">
      <w:pPr>
        <w:rPr>
          <w:rFonts w:ascii="Times New Roman" w:hAnsi="Times New Roman"/>
          <w:b/>
          <w:bCs/>
          <w:i/>
          <w:iCs/>
          <w:sz w:val="22"/>
          <w:szCs w:val="22"/>
        </w:rPr>
      </w:pPr>
    </w:p>
    <w:p w14:paraId="2C4DBAD1" w14:textId="77777777" w:rsidR="00915C0D" w:rsidRPr="00915C0D" w:rsidRDefault="00915C0D" w:rsidP="00915C0D">
      <w:pPr>
        <w:autoSpaceDE w:val="0"/>
        <w:autoSpaceDN w:val="0"/>
        <w:adjustRightInd w:val="0"/>
        <w:jc w:val="both"/>
        <w:rPr>
          <w:rFonts w:ascii="Times New Roman" w:hAnsi="Times New Roman"/>
          <w:sz w:val="22"/>
          <w:szCs w:val="22"/>
          <w:lang w:eastAsia="es-AR"/>
        </w:rPr>
      </w:pPr>
      <w:proofErr w:type="gramStart"/>
      <w:r w:rsidRPr="00915C0D">
        <w:rPr>
          <w:rFonts w:ascii="Times New Roman" w:hAnsi="Times New Roman"/>
          <w:i/>
          <w:sz w:val="22"/>
          <w:szCs w:val="22"/>
        </w:rPr>
        <w:t>Mission and objectives.</w:t>
      </w:r>
      <w:proofErr w:type="gramEnd"/>
      <w:r w:rsidRPr="00915C0D">
        <w:rPr>
          <w:rFonts w:ascii="Times New Roman" w:hAnsi="Times New Roman"/>
          <w:sz w:val="22"/>
          <w:szCs w:val="22"/>
        </w:rPr>
        <w:t xml:space="preserve"> The great forest heritage in Guyana, managed mostly by the State, needed proper administration that would take advantage of this resource, actively incorporating it into the country's economy and ensuring its protection through sustainable forest management. The organization designated to administer this resource is the Guyana Forestry Commission (GFC), created with this purpose in 1979. The GFC is directed by a Board of directors, appointed by the President of the Republic, and is responsible for the country's forestry sector. This institution is headed by the Commissioner of Forests, who is responsible for its day to day operations, the application of the laws and regulations in the sector and the granting of logging concessions, all of which are among its principal duties. </w:t>
      </w:r>
    </w:p>
    <w:p w14:paraId="3D04B8F8" w14:textId="77777777" w:rsidR="00915C0D" w:rsidRPr="00915C0D" w:rsidRDefault="00915C0D" w:rsidP="00915C0D">
      <w:pPr>
        <w:autoSpaceDE w:val="0"/>
        <w:autoSpaceDN w:val="0"/>
        <w:adjustRightInd w:val="0"/>
        <w:jc w:val="both"/>
        <w:rPr>
          <w:rFonts w:ascii="Times New Roman" w:hAnsi="Times New Roman"/>
          <w:sz w:val="22"/>
          <w:szCs w:val="22"/>
          <w:lang w:eastAsia="es-AR"/>
        </w:rPr>
      </w:pPr>
    </w:p>
    <w:p w14:paraId="7938E226" w14:textId="77777777" w:rsidR="00915C0D" w:rsidRPr="00915C0D" w:rsidRDefault="00915C0D" w:rsidP="00915C0D">
      <w:pPr>
        <w:autoSpaceDE w:val="0"/>
        <w:autoSpaceDN w:val="0"/>
        <w:adjustRightInd w:val="0"/>
        <w:jc w:val="both"/>
        <w:rPr>
          <w:rFonts w:ascii="Times New Roman" w:hAnsi="Times New Roman"/>
          <w:sz w:val="22"/>
          <w:szCs w:val="22"/>
          <w:lang w:eastAsia="es-AR"/>
        </w:rPr>
      </w:pPr>
      <w:r w:rsidRPr="00915C0D">
        <w:rPr>
          <w:rFonts w:ascii="Times New Roman" w:hAnsi="Times New Roman"/>
          <w:sz w:val="22"/>
          <w:szCs w:val="22"/>
        </w:rPr>
        <w:t>The use of state forests in Guyana is given through the granting of operation concessions to private companies and individuals. These are granted by the GFC to companies that comply with the corresponding requirements, using different modalities: (</w:t>
      </w:r>
      <w:proofErr w:type="spellStart"/>
      <w:r w:rsidRPr="00915C0D">
        <w:rPr>
          <w:rFonts w:ascii="Times New Roman" w:hAnsi="Times New Roman"/>
          <w:sz w:val="22"/>
          <w:szCs w:val="22"/>
        </w:rPr>
        <w:t>i</w:t>
      </w:r>
      <w:proofErr w:type="spellEnd"/>
      <w:r w:rsidRPr="00915C0D">
        <w:rPr>
          <w:rFonts w:ascii="Times New Roman" w:hAnsi="Times New Roman"/>
          <w:sz w:val="22"/>
          <w:szCs w:val="22"/>
        </w:rPr>
        <w:t>) Agreement on the sale of timber: are long-term concessions, up to 25 years, for areas of more than 24,000 hectares, (ii) Logging leases: up to 10-year terms for areas between 8,000 and 24,000 hectares and (iii) State forest permits: for a maximum period of two years and no more than 8,000 hectares.</w:t>
      </w:r>
    </w:p>
    <w:p w14:paraId="1648C6C4" w14:textId="77777777" w:rsidR="00915C0D" w:rsidRPr="00915C0D" w:rsidRDefault="00915C0D" w:rsidP="00915C0D">
      <w:pPr>
        <w:autoSpaceDE w:val="0"/>
        <w:autoSpaceDN w:val="0"/>
        <w:adjustRightInd w:val="0"/>
        <w:jc w:val="both"/>
        <w:rPr>
          <w:rFonts w:ascii="Times New Roman" w:hAnsi="Times New Roman"/>
          <w:sz w:val="22"/>
          <w:szCs w:val="22"/>
          <w:lang w:eastAsia="es-AR"/>
        </w:rPr>
      </w:pPr>
    </w:p>
    <w:p w14:paraId="00FE0388" w14:textId="77777777" w:rsidR="00915C0D" w:rsidRPr="00915C0D" w:rsidRDefault="00915C0D" w:rsidP="00915C0D">
      <w:pPr>
        <w:autoSpaceDE w:val="0"/>
        <w:autoSpaceDN w:val="0"/>
        <w:adjustRightInd w:val="0"/>
        <w:jc w:val="both"/>
        <w:rPr>
          <w:rFonts w:ascii="Times New Roman" w:hAnsi="Times New Roman"/>
          <w:sz w:val="22"/>
          <w:szCs w:val="22"/>
          <w:lang w:eastAsia="es-AR"/>
        </w:rPr>
      </w:pPr>
      <w:r w:rsidRPr="00915C0D">
        <w:rPr>
          <w:rFonts w:ascii="Times New Roman" w:hAnsi="Times New Roman"/>
          <w:i/>
          <w:sz w:val="22"/>
          <w:szCs w:val="22"/>
        </w:rPr>
        <w:t>Log Tracking System (LTS).</w:t>
      </w:r>
      <w:r w:rsidRPr="00915C0D">
        <w:rPr>
          <w:rFonts w:ascii="Times New Roman" w:hAnsi="Times New Roman"/>
          <w:sz w:val="22"/>
          <w:szCs w:val="22"/>
        </w:rPr>
        <w:t xml:space="preserve"> It allows verification of the origin of forest products, so it is also used as a way of controlling illegal logging. The method, which is a true chain of custody of forest products, has been recognized by several international certifying organizations. Regular audits (by ITTO - International Tropical Timber Organization, and WWF - World Wildlife Fund) have taken place to check its operation, to verify its effectiveness and to improve its systems.</w:t>
      </w:r>
    </w:p>
    <w:p w14:paraId="2BDA1FF8" w14:textId="77777777" w:rsidR="00915C0D" w:rsidRPr="00915C0D" w:rsidRDefault="00915C0D" w:rsidP="00915C0D">
      <w:pPr>
        <w:tabs>
          <w:tab w:val="num" w:pos="958"/>
        </w:tabs>
        <w:jc w:val="both"/>
        <w:rPr>
          <w:rFonts w:ascii="Times New Roman" w:hAnsi="Times New Roman"/>
          <w:sz w:val="22"/>
          <w:szCs w:val="22"/>
          <w:lang w:eastAsia="es-AR"/>
        </w:rPr>
      </w:pPr>
    </w:p>
    <w:p w14:paraId="6A094356" w14:textId="77777777" w:rsidR="00915C0D" w:rsidRPr="00915C0D" w:rsidRDefault="00915C0D" w:rsidP="00915C0D">
      <w:pPr>
        <w:tabs>
          <w:tab w:val="num" w:pos="958"/>
        </w:tabs>
        <w:jc w:val="both"/>
        <w:rPr>
          <w:rFonts w:ascii="Times New Roman" w:hAnsi="Times New Roman"/>
          <w:sz w:val="22"/>
          <w:szCs w:val="22"/>
          <w:lang w:eastAsia="es-AR"/>
        </w:rPr>
      </w:pPr>
      <w:r w:rsidRPr="00915C0D">
        <w:rPr>
          <w:rFonts w:ascii="Times New Roman" w:hAnsi="Times New Roman"/>
          <w:sz w:val="22"/>
          <w:szCs w:val="22"/>
          <w:lang w:eastAsia="es-AR"/>
        </w:rPr>
        <w:t xml:space="preserve">Budget. Regarding the GFC annual budget, it is US$3.5M and the cost of the </w:t>
      </w:r>
      <w:proofErr w:type="gramStart"/>
      <w:r w:rsidRPr="00915C0D">
        <w:rPr>
          <w:rFonts w:ascii="Times New Roman" w:hAnsi="Times New Roman"/>
          <w:sz w:val="22"/>
          <w:szCs w:val="22"/>
          <w:lang w:eastAsia="es-AR"/>
        </w:rPr>
        <w:t>MRVS  when</w:t>
      </w:r>
      <w:proofErr w:type="gramEnd"/>
      <w:r w:rsidRPr="00915C0D">
        <w:rPr>
          <w:rFonts w:ascii="Times New Roman" w:hAnsi="Times New Roman"/>
          <w:sz w:val="22"/>
          <w:szCs w:val="22"/>
          <w:lang w:eastAsia="es-AR"/>
        </w:rPr>
        <w:t xml:space="preserve"> fully operational (and no development needed in any substantial way)  is around US$400,000 to US$500,000 at a maximum. The imagery cost </w:t>
      </w:r>
      <w:proofErr w:type="gramStart"/>
      <w:r w:rsidRPr="00915C0D">
        <w:rPr>
          <w:rFonts w:ascii="Times New Roman" w:hAnsi="Times New Roman"/>
          <w:sz w:val="22"/>
          <w:szCs w:val="22"/>
          <w:lang w:eastAsia="es-AR"/>
        </w:rPr>
        <w:t>is  US</w:t>
      </w:r>
      <w:proofErr w:type="gramEnd"/>
      <w:r w:rsidRPr="00915C0D">
        <w:rPr>
          <w:rFonts w:ascii="Times New Roman" w:hAnsi="Times New Roman"/>
          <w:sz w:val="22"/>
          <w:szCs w:val="22"/>
          <w:lang w:eastAsia="es-AR"/>
        </w:rPr>
        <w:t>$269,000 and the remaining cost will be mainly reporting, accuracy  assessment, and field work costs.</w:t>
      </w:r>
    </w:p>
    <w:p w14:paraId="00692236" w14:textId="77777777" w:rsidR="00915C0D" w:rsidRPr="00915C0D" w:rsidRDefault="00915C0D" w:rsidP="00915C0D">
      <w:pPr>
        <w:tabs>
          <w:tab w:val="num" w:pos="958"/>
        </w:tabs>
        <w:jc w:val="both"/>
        <w:rPr>
          <w:rFonts w:ascii="Times New Roman" w:hAnsi="Times New Roman"/>
          <w:sz w:val="22"/>
          <w:szCs w:val="22"/>
          <w:lang w:eastAsia="es-AR"/>
        </w:rPr>
      </w:pPr>
    </w:p>
    <w:p w14:paraId="5C5212E2" w14:textId="77777777" w:rsidR="00915C0D" w:rsidRPr="00915C0D" w:rsidRDefault="00915C0D">
      <w:pPr>
        <w:rPr>
          <w:rFonts w:ascii="Times New Roman" w:hAnsi="Times New Roman"/>
          <w:sz w:val="22"/>
          <w:szCs w:val="22"/>
          <w:lang w:eastAsia="es-AR"/>
        </w:rPr>
      </w:pPr>
      <w:r w:rsidRPr="00915C0D">
        <w:rPr>
          <w:rFonts w:ascii="Times New Roman" w:hAnsi="Times New Roman"/>
          <w:sz w:val="22"/>
          <w:szCs w:val="22"/>
          <w:lang w:eastAsia="es-AR"/>
        </w:rPr>
        <w:br w:type="page"/>
      </w:r>
    </w:p>
    <w:p w14:paraId="53AB5AD1" w14:textId="77777777" w:rsidR="00915C0D" w:rsidRPr="00915C0D" w:rsidRDefault="00915C0D" w:rsidP="00915C0D">
      <w:pPr>
        <w:tabs>
          <w:tab w:val="num" w:pos="958"/>
        </w:tabs>
        <w:jc w:val="both"/>
        <w:rPr>
          <w:rFonts w:ascii="Times New Roman" w:hAnsi="Times New Roman"/>
          <w:sz w:val="22"/>
          <w:szCs w:val="22"/>
          <w:lang w:eastAsia="es-AR"/>
        </w:rPr>
      </w:pPr>
    </w:p>
    <w:p w14:paraId="6FC7EFAC" w14:textId="77777777" w:rsidR="00915C0D" w:rsidRPr="00915C0D" w:rsidRDefault="00915C0D" w:rsidP="00915C0D">
      <w:pPr>
        <w:pStyle w:val="Heading1"/>
        <w:ind w:left="360"/>
        <w:rPr>
          <w:lang w:val="en-US"/>
        </w:rPr>
      </w:pPr>
    </w:p>
    <w:p w14:paraId="64427AF7" w14:textId="2D616004" w:rsidR="00915C0D" w:rsidRPr="00915C0D" w:rsidRDefault="00D71B82" w:rsidP="00915C0D">
      <w:pPr>
        <w:pStyle w:val="Heading1"/>
        <w:ind w:left="360"/>
        <w:rPr>
          <w:lang w:val="en-US"/>
        </w:rPr>
      </w:pPr>
      <w:bookmarkStart w:id="39" w:name="_Toc403028406"/>
      <w:r>
        <w:rPr>
          <w:lang w:val="en-US"/>
        </w:rPr>
        <w:t>Annex</w:t>
      </w:r>
      <w:r w:rsidR="00915C0D" w:rsidRPr="00915C0D">
        <w:rPr>
          <w:lang w:val="en-US"/>
        </w:rPr>
        <w:t xml:space="preserve"> IV. Mining Sector Evolution.</w:t>
      </w:r>
      <w:bookmarkEnd w:id="39"/>
    </w:p>
    <w:p w14:paraId="65743BB5" w14:textId="77777777" w:rsidR="00915C0D" w:rsidRPr="00915C0D" w:rsidRDefault="00915C0D" w:rsidP="00915C0D">
      <w:pPr>
        <w:tabs>
          <w:tab w:val="num" w:pos="958"/>
        </w:tabs>
        <w:jc w:val="both"/>
        <w:rPr>
          <w:rFonts w:ascii="Times New Roman" w:hAnsi="Times New Roman"/>
          <w:sz w:val="22"/>
          <w:szCs w:val="22"/>
          <w:lang w:eastAsia="es-AR"/>
        </w:rPr>
      </w:pPr>
    </w:p>
    <w:p w14:paraId="372370C3" w14:textId="77777777" w:rsidR="00915C0D" w:rsidRPr="00915C0D" w:rsidRDefault="00915C0D" w:rsidP="00915C0D">
      <w:pPr>
        <w:tabs>
          <w:tab w:val="num" w:pos="958"/>
        </w:tabs>
        <w:jc w:val="both"/>
        <w:rPr>
          <w:rFonts w:ascii="Times New Roman" w:hAnsi="Times New Roman"/>
          <w:bCs/>
          <w:i/>
          <w:sz w:val="22"/>
        </w:rPr>
      </w:pPr>
      <w:bookmarkStart w:id="40" w:name="_Reducción_de_rechazos"/>
      <w:bookmarkEnd w:id="40"/>
      <w:r w:rsidRPr="00915C0D">
        <w:rPr>
          <w:rFonts w:ascii="Times New Roman" w:hAnsi="Times New Roman"/>
          <w:i/>
          <w:iCs/>
          <w:sz w:val="22"/>
          <w:szCs w:val="22"/>
        </w:rPr>
        <w:t>General ideas.</w:t>
      </w:r>
    </w:p>
    <w:p w14:paraId="65A9B2CB" w14:textId="77777777" w:rsidR="00915C0D" w:rsidRPr="00915C0D" w:rsidRDefault="00915C0D" w:rsidP="00915C0D">
      <w:pPr>
        <w:tabs>
          <w:tab w:val="num" w:pos="958"/>
        </w:tabs>
        <w:jc w:val="both"/>
        <w:rPr>
          <w:rFonts w:ascii="Times New Roman" w:hAnsi="Times New Roman"/>
          <w:bCs/>
          <w:sz w:val="22"/>
        </w:rPr>
      </w:pPr>
      <w:r w:rsidRPr="00915C0D">
        <w:rPr>
          <w:rFonts w:ascii="Times New Roman" w:hAnsi="Times New Roman"/>
          <w:sz w:val="22"/>
          <w:szCs w:val="22"/>
        </w:rPr>
        <w:t xml:space="preserve">The issue is to outline the way in which the extractive industry can be aligned according to the structure and objectives of the LCDS, while in the same way and at the same time the LCDS implementation can allow higher contribution of the sector to the economic development of the country. </w:t>
      </w:r>
    </w:p>
    <w:p w14:paraId="3A3CFA4D" w14:textId="77777777" w:rsidR="00915C0D" w:rsidRPr="00915C0D" w:rsidRDefault="00915C0D" w:rsidP="00915C0D">
      <w:pPr>
        <w:tabs>
          <w:tab w:val="num" w:pos="958"/>
        </w:tabs>
        <w:jc w:val="both"/>
        <w:rPr>
          <w:rFonts w:ascii="Times New Roman" w:hAnsi="Times New Roman"/>
          <w:bCs/>
          <w:sz w:val="22"/>
        </w:rPr>
      </w:pPr>
    </w:p>
    <w:p w14:paraId="505B2CAB" w14:textId="77777777" w:rsidR="00915C0D" w:rsidRPr="00915C0D" w:rsidRDefault="00915C0D" w:rsidP="00915C0D">
      <w:pPr>
        <w:tabs>
          <w:tab w:val="num" w:pos="958"/>
        </w:tabs>
        <w:jc w:val="both"/>
        <w:rPr>
          <w:rFonts w:ascii="Times New Roman" w:hAnsi="Times New Roman"/>
          <w:bCs/>
          <w:sz w:val="22"/>
        </w:rPr>
      </w:pPr>
      <w:r w:rsidRPr="00915C0D">
        <w:rPr>
          <w:rFonts w:ascii="Times New Roman" w:hAnsi="Times New Roman"/>
          <w:sz w:val="22"/>
          <w:szCs w:val="22"/>
        </w:rPr>
        <w:t>Since the benefits of the mining sector are principally appropriated by the private sector, the investment decisions are made by these stakeholders. However, the orientation of public policies and the regulatory framework play a crucial role in guiding investments towards the desired objectives.  This requires planning of the economic aspects incorporating a broad perspective, including geographical and land use aspects.</w:t>
      </w:r>
    </w:p>
    <w:p w14:paraId="54CD8E03" w14:textId="77777777" w:rsidR="00915C0D" w:rsidRPr="00915C0D" w:rsidRDefault="00915C0D" w:rsidP="00915C0D">
      <w:pPr>
        <w:tabs>
          <w:tab w:val="num" w:pos="958"/>
        </w:tabs>
        <w:jc w:val="both"/>
        <w:rPr>
          <w:rFonts w:ascii="Times New Roman" w:hAnsi="Times New Roman"/>
          <w:bCs/>
          <w:sz w:val="22"/>
        </w:rPr>
      </w:pPr>
    </w:p>
    <w:p w14:paraId="6CCDE686" w14:textId="77777777" w:rsidR="00915C0D" w:rsidRPr="00915C0D" w:rsidRDefault="00915C0D" w:rsidP="00915C0D">
      <w:pPr>
        <w:tabs>
          <w:tab w:val="num" w:pos="958"/>
        </w:tabs>
        <w:jc w:val="both"/>
        <w:rPr>
          <w:rFonts w:ascii="Times New Roman" w:hAnsi="Times New Roman"/>
          <w:bCs/>
          <w:sz w:val="22"/>
        </w:rPr>
      </w:pPr>
      <w:r w:rsidRPr="00915C0D">
        <w:rPr>
          <w:rFonts w:ascii="Times New Roman" w:hAnsi="Times New Roman"/>
          <w:sz w:val="22"/>
          <w:szCs w:val="22"/>
        </w:rPr>
        <w:t>A common development strategy is incorporating added value to basic products.  This is true in the case of bauxite, where there is an opportunity to convert the mineral into aluminum. However, viability requires the development of complementary industries, infrastructure and human capacities, which reinforces the idea of framing the process in long-term global plans.</w:t>
      </w:r>
    </w:p>
    <w:p w14:paraId="32118FED" w14:textId="77777777" w:rsidR="00915C0D" w:rsidRPr="00915C0D" w:rsidRDefault="00915C0D" w:rsidP="00915C0D">
      <w:pPr>
        <w:tabs>
          <w:tab w:val="num" w:pos="958"/>
        </w:tabs>
        <w:jc w:val="both"/>
        <w:rPr>
          <w:rFonts w:ascii="Times New Roman" w:hAnsi="Times New Roman"/>
          <w:bCs/>
          <w:sz w:val="22"/>
        </w:rPr>
      </w:pPr>
    </w:p>
    <w:p w14:paraId="66CB4AA4" w14:textId="77777777" w:rsidR="00915C0D" w:rsidRPr="00915C0D" w:rsidRDefault="00915C0D" w:rsidP="00915C0D">
      <w:pPr>
        <w:tabs>
          <w:tab w:val="num" w:pos="958"/>
        </w:tabs>
        <w:jc w:val="both"/>
        <w:rPr>
          <w:rFonts w:ascii="Times New Roman" w:hAnsi="Times New Roman"/>
          <w:bCs/>
          <w:sz w:val="22"/>
        </w:rPr>
      </w:pPr>
      <w:r w:rsidRPr="00915C0D">
        <w:rPr>
          <w:rFonts w:ascii="Times New Roman" w:hAnsi="Times New Roman"/>
          <w:sz w:val="22"/>
          <w:szCs w:val="22"/>
        </w:rPr>
        <w:t xml:space="preserve">Guyana is no exception with regard to its economic profile exhibiting high dependency on natural resources, like many other nations. In many regions the experiences contributed to defining a phenomenon known as </w:t>
      </w:r>
      <w:r w:rsidRPr="00915C0D">
        <w:rPr>
          <w:rFonts w:ascii="Times New Roman" w:hAnsi="Times New Roman"/>
          <w:i/>
          <w:iCs/>
          <w:sz w:val="22"/>
          <w:szCs w:val="22"/>
        </w:rPr>
        <w:t>Resource Curse</w:t>
      </w:r>
      <w:r w:rsidRPr="00915C0D">
        <w:rPr>
          <w:rFonts w:ascii="Times New Roman" w:hAnsi="Times New Roman"/>
          <w:sz w:val="22"/>
          <w:szCs w:val="22"/>
        </w:rPr>
        <w:t>. This term describes the empirical observation exhibited in various countries that had inadequate management of resources or crises caused by mismanagement of resources, in many cases with economic development below other countries that do not have said resources.</w:t>
      </w:r>
      <w:r w:rsidRPr="00915C0D">
        <w:rPr>
          <w:rStyle w:val="FootnoteReference"/>
          <w:rFonts w:ascii="Times New Roman" w:hAnsi="Times New Roman"/>
          <w:bCs/>
          <w:sz w:val="22"/>
          <w:lang w:val="es-AR"/>
        </w:rPr>
        <w:footnoteReference w:id="81"/>
      </w:r>
    </w:p>
    <w:p w14:paraId="1FFB63BA" w14:textId="77777777" w:rsidR="00915C0D" w:rsidRPr="00915C0D" w:rsidRDefault="00915C0D" w:rsidP="00915C0D">
      <w:pPr>
        <w:tabs>
          <w:tab w:val="num" w:pos="958"/>
        </w:tabs>
        <w:jc w:val="both"/>
        <w:rPr>
          <w:rFonts w:ascii="Times New Roman" w:hAnsi="Times New Roman"/>
          <w:bCs/>
          <w:sz w:val="22"/>
        </w:rPr>
      </w:pPr>
    </w:p>
    <w:p w14:paraId="0A2D8A80" w14:textId="77777777" w:rsidR="00915C0D" w:rsidRPr="00915C0D" w:rsidRDefault="00915C0D" w:rsidP="00915C0D">
      <w:pPr>
        <w:tabs>
          <w:tab w:val="num" w:pos="958"/>
        </w:tabs>
        <w:jc w:val="both"/>
        <w:rPr>
          <w:rFonts w:ascii="Times New Roman" w:hAnsi="Times New Roman"/>
          <w:bCs/>
          <w:sz w:val="22"/>
        </w:rPr>
      </w:pPr>
      <w:r w:rsidRPr="00915C0D">
        <w:rPr>
          <w:rFonts w:ascii="Times New Roman" w:hAnsi="Times New Roman"/>
          <w:sz w:val="22"/>
          <w:szCs w:val="22"/>
        </w:rPr>
        <w:t xml:space="preserve">The challenges created by availability of resources are substantial, which is why their management requires broad planning, with a long-term focus. Among the problems caused by mismanagement is the so called </w:t>
      </w:r>
      <w:r w:rsidRPr="00915C0D">
        <w:rPr>
          <w:rFonts w:ascii="Times New Roman" w:hAnsi="Times New Roman"/>
          <w:i/>
          <w:iCs/>
          <w:sz w:val="22"/>
          <w:szCs w:val="22"/>
        </w:rPr>
        <w:t>Dutch disease</w:t>
      </w:r>
      <w:r w:rsidRPr="00915C0D">
        <w:rPr>
          <w:rFonts w:ascii="Times New Roman" w:hAnsi="Times New Roman"/>
          <w:sz w:val="22"/>
          <w:szCs w:val="22"/>
        </w:rPr>
        <w:t>.</w:t>
      </w:r>
      <w:r w:rsidRPr="00915C0D">
        <w:rPr>
          <w:rStyle w:val="FootnoteReference"/>
          <w:rFonts w:ascii="Times New Roman" w:hAnsi="Times New Roman"/>
          <w:bCs/>
          <w:sz w:val="22"/>
          <w:lang w:val="es-AR"/>
        </w:rPr>
        <w:footnoteReference w:id="82"/>
      </w:r>
      <w:r w:rsidRPr="00915C0D">
        <w:rPr>
          <w:rFonts w:ascii="Times New Roman" w:hAnsi="Times New Roman"/>
          <w:sz w:val="22"/>
          <w:szCs w:val="22"/>
        </w:rPr>
        <w:t xml:space="preserve"> This establishes that the emphasis on natural resource extraction causes a decline in internationally viable goods.  The sequence is: (1) the increase in the exploitation of resources leads to an appreciation of the local currency, making exports less competitive, (2) imports are cheaper, thereby reducing the margins of other domestic sectors; (3) demand is moved to other internationally non-tradable products (construction and various services) which tends to make wages and other factors of production increase, driving down the profitability of the exportable products sector.  As a result, the economy ends up being dependent on two segments: extraction of natural resources and internationally non-tradable household products.</w:t>
      </w:r>
    </w:p>
    <w:p w14:paraId="1026FF42" w14:textId="77777777" w:rsidR="00915C0D" w:rsidRPr="00915C0D" w:rsidRDefault="00915C0D" w:rsidP="00915C0D">
      <w:pPr>
        <w:tabs>
          <w:tab w:val="num" w:pos="958"/>
        </w:tabs>
        <w:jc w:val="both"/>
        <w:rPr>
          <w:rFonts w:ascii="Times New Roman" w:hAnsi="Times New Roman"/>
          <w:bCs/>
          <w:sz w:val="22"/>
        </w:rPr>
      </w:pPr>
    </w:p>
    <w:p w14:paraId="431B47A4" w14:textId="77777777" w:rsidR="00915C0D" w:rsidRPr="00915C0D" w:rsidRDefault="00915C0D" w:rsidP="00915C0D">
      <w:pPr>
        <w:tabs>
          <w:tab w:val="num" w:pos="958"/>
        </w:tabs>
        <w:jc w:val="both"/>
        <w:rPr>
          <w:rFonts w:ascii="Times New Roman" w:hAnsi="Times New Roman"/>
          <w:bCs/>
          <w:i/>
          <w:sz w:val="22"/>
        </w:rPr>
      </w:pPr>
      <w:r w:rsidRPr="00915C0D">
        <w:rPr>
          <w:rFonts w:ascii="Times New Roman" w:hAnsi="Times New Roman"/>
          <w:i/>
          <w:iCs/>
          <w:sz w:val="22"/>
          <w:szCs w:val="22"/>
        </w:rPr>
        <w:t>Gold mining in Guyana.</w:t>
      </w:r>
    </w:p>
    <w:p w14:paraId="08982F0E" w14:textId="77777777" w:rsidR="00915C0D" w:rsidRPr="00915C0D" w:rsidRDefault="00915C0D" w:rsidP="00915C0D">
      <w:pPr>
        <w:tabs>
          <w:tab w:val="num" w:pos="958"/>
        </w:tabs>
        <w:jc w:val="both"/>
        <w:rPr>
          <w:rFonts w:ascii="Times New Roman" w:hAnsi="Times New Roman"/>
          <w:bCs/>
          <w:sz w:val="22"/>
        </w:rPr>
      </w:pPr>
      <w:r w:rsidRPr="00915C0D">
        <w:rPr>
          <w:rFonts w:ascii="Times New Roman" w:hAnsi="Times New Roman"/>
          <w:sz w:val="22"/>
          <w:szCs w:val="22"/>
        </w:rPr>
        <w:t>Production increased 48% for 5 straight years from 2007-2011 due mainly to small and medium-scale producers</w:t>
      </w:r>
      <w:r w:rsidRPr="00915C0D">
        <w:rPr>
          <w:rStyle w:val="FootnoteReference"/>
          <w:rFonts w:ascii="Times New Roman" w:hAnsi="Times New Roman"/>
          <w:bCs/>
          <w:sz w:val="22"/>
          <w:lang w:val="es-AR"/>
        </w:rPr>
        <w:footnoteReference w:id="83"/>
      </w:r>
      <w:r w:rsidRPr="00915C0D">
        <w:rPr>
          <w:rFonts w:ascii="Times New Roman" w:hAnsi="Times New Roman"/>
          <w:sz w:val="22"/>
          <w:szCs w:val="22"/>
        </w:rPr>
        <w:t xml:space="preserve">. In 2011, there were nearly 15,000 small-scale miners, a total that is 5% higher than one year ago. At the same time, permits for medium-scale operation increased 57% in the same period, reaching 1,100, reflecting a sustained trend in recent years. The following table reflects the trend in the volume of gold production between 1997 and 2012, where the trend of said producers is observed, with the bulk of the operation being carried out by the </w:t>
      </w:r>
      <w:proofErr w:type="spellStart"/>
      <w:r w:rsidRPr="00915C0D">
        <w:rPr>
          <w:rFonts w:ascii="Times New Roman" w:hAnsi="Times New Roman"/>
          <w:sz w:val="22"/>
          <w:szCs w:val="22"/>
        </w:rPr>
        <w:t>Omai</w:t>
      </w:r>
      <w:proofErr w:type="spellEnd"/>
      <w:r w:rsidRPr="00915C0D">
        <w:rPr>
          <w:rFonts w:ascii="Times New Roman" w:hAnsi="Times New Roman"/>
          <w:sz w:val="22"/>
          <w:szCs w:val="22"/>
        </w:rPr>
        <w:t xml:space="preserve"> mine.</w:t>
      </w:r>
      <w:r w:rsidRPr="00915C0D">
        <w:rPr>
          <w:rStyle w:val="FootnoteReference"/>
          <w:rFonts w:ascii="Times New Roman" w:hAnsi="Times New Roman"/>
          <w:bCs/>
          <w:sz w:val="22"/>
          <w:lang w:val="es-AR"/>
        </w:rPr>
        <w:footnoteReference w:id="84"/>
      </w:r>
    </w:p>
    <w:p w14:paraId="5151E2B5" w14:textId="77777777" w:rsidR="00915C0D" w:rsidRPr="00915C0D" w:rsidRDefault="00915C0D" w:rsidP="00915C0D">
      <w:pPr>
        <w:tabs>
          <w:tab w:val="num" w:pos="958"/>
        </w:tabs>
        <w:jc w:val="both"/>
        <w:rPr>
          <w:rFonts w:ascii="Times New Roman" w:hAnsi="Times New Roman"/>
          <w:bCs/>
          <w:sz w:val="22"/>
        </w:rPr>
      </w:pPr>
    </w:p>
    <w:p w14:paraId="4D73238D" w14:textId="77777777" w:rsidR="00915C0D" w:rsidRPr="00915C0D" w:rsidRDefault="00915C0D" w:rsidP="00915C0D">
      <w:pPr>
        <w:tabs>
          <w:tab w:val="num" w:pos="958"/>
        </w:tabs>
        <w:jc w:val="center"/>
        <w:rPr>
          <w:rFonts w:ascii="Times New Roman" w:hAnsi="Times New Roman"/>
          <w:bCs/>
          <w:i/>
          <w:sz w:val="22"/>
        </w:rPr>
      </w:pPr>
      <w:r w:rsidRPr="00915C0D">
        <w:rPr>
          <w:rFonts w:ascii="Times New Roman" w:hAnsi="Times New Roman"/>
          <w:i/>
          <w:iCs/>
          <w:sz w:val="22"/>
          <w:szCs w:val="22"/>
        </w:rPr>
        <w:t>Diagram A. Gold production in Guyana 1997-2012</w:t>
      </w:r>
    </w:p>
    <w:p w14:paraId="5527C458" w14:textId="77777777" w:rsidR="00915C0D" w:rsidRPr="00915C0D" w:rsidRDefault="00915C0D" w:rsidP="00915C0D">
      <w:pPr>
        <w:tabs>
          <w:tab w:val="num" w:pos="958"/>
        </w:tabs>
        <w:jc w:val="both"/>
        <w:rPr>
          <w:rFonts w:ascii="Times New Roman" w:hAnsi="Times New Roman"/>
          <w:bCs/>
          <w:sz w:val="22"/>
          <w:lang w:val="es-AR"/>
        </w:rPr>
      </w:pPr>
      <w:r w:rsidRPr="00915C0D">
        <w:rPr>
          <w:noProof/>
        </w:rPr>
        <w:drawing>
          <wp:inline distT="0" distB="0" distL="0" distR="0" wp14:anchorId="1B33DB7B" wp14:editId="2F77CFF5">
            <wp:extent cx="5248689" cy="2554356"/>
            <wp:effectExtent l="19050" t="0" r="9111" b="0"/>
            <wp:docPr id="1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243574" cy="2551867"/>
                    </a:xfrm>
                    <a:prstGeom prst="rect">
                      <a:avLst/>
                    </a:prstGeom>
                    <a:noFill/>
                    <a:ln>
                      <a:noFill/>
                    </a:ln>
                  </pic:spPr>
                </pic:pic>
              </a:graphicData>
            </a:graphic>
          </wp:inline>
        </w:drawing>
      </w:r>
    </w:p>
    <w:p w14:paraId="71A441ED" w14:textId="77777777" w:rsidR="00915C0D" w:rsidRPr="00915C0D" w:rsidRDefault="00915C0D" w:rsidP="00915C0D">
      <w:pPr>
        <w:tabs>
          <w:tab w:val="num" w:pos="958"/>
        </w:tabs>
        <w:jc w:val="both"/>
        <w:rPr>
          <w:rFonts w:ascii="Times New Roman" w:hAnsi="Times New Roman"/>
          <w:bCs/>
          <w:i/>
          <w:sz w:val="18"/>
          <w:szCs w:val="18"/>
        </w:rPr>
      </w:pPr>
      <w:r w:rsidRPr="00915C0D">
        <w:rPr>
          <w:rFonts w:ascii="Times New Roman" w:hAnsi="Times New Roman"/>
          <w:i/>
          <w:iCs/>
          <w:sz w:val="18"/>
          <w:szCs w:val="18"/>
        </w:rPr>
        <w:t>Source: GGMC</w:t>
      </w:r>
    </w:p>
    <w:p w14:paraId="458218C2" w14:textId="77777777" w:rsidR="00915C0D" w:rsidRPr="00915C0D" w:rsidRDefault="00915C0D" w:rsidP="00915C0D">
      <w:pPr>
        <w:tabs>
          <w:tab w:val="num" w:pos="958"/>
        </w:tabs>
        <w:jc w:val="both"/>
        <w:rPr>
          <w:rFonts w:ascii="Times New Roman" w:hAnsi="Times New Roman"/>
          <w:bCs/>
          <w:sz w:val="22"/>
        </w:rPr>
      </w:pPr>
    </w:p>
    <w:p w14:paraId="2AFCA777" w14:textId="77777777" w:rsidR="00915C0D" w:rsidRPr="00915C0D" w:rsidRDefault="00915C0D" w:rsidP="00915C0D">
      <w:pPr>
        <w:tabs>
          <w:tab w:val="num" w:pos="958"/>
        </w:tabs>
        <w:jc w:val="both"/>
        <w:rPr>
          <w:rFonts w:ascii="Times New Roman" w:hAnsi="Times New Roman"/>
          <w:sz w:val="22"/>
          <w:szCs w:val="22"/>
        </w:rPr>
      </w:pPr>
      <w:r w:rsidRPr="00915C0D">
        <w:rPr>
          <w:rFonts w:ascii="Times New Roman" w:hAnsi="Times New Roman"/>
          <w:sz w:val="22"/>
          <w:szCs w:val="22"/>
        </w:rPr>
        <w:t>Along with an increase in production there was also an increase in the price of gold, which increased the importance of the mining GDP on the national economy. The graphic below shows the correlation between the price of gold (in red) and the sectorial income (in blue). Between 2007 and 2011 sector sales increased by a factor of 3.5.</w:t>
      </w:r>
    </w:p>
    <w:p w14:paraId="39B143AB" w14:textId="77777777" w:rsidR="00915C0D" w:rsidRPr="00915C0D" w:rsidRDefault="00915C0D" w:rsidP="00915C0D">
      <w:pPr>
        <w:tabs>
          <w:tab w:val="num" w:pos="958"/>
        </w:tabs>
        <w:jc w:val="both"/>
        <w:rPr>
          <w:rFonts w:ascii="Times New Roman" w:hAnsi="Times New Roman"/>
          <w:sz w:val="22"/>
          <w:szCs w:val="22"/>
        </w:rPr>
      </w:pPr>
    </w:p>
    <w:p w14:paraId="607DBCE1" w14:textId="77777777" w:rsidR="00915C0D" w:rsidRPr="00915C0D" w:rsidRDefault="00915C0D" w:rsidP="00915C0D">
      <w:pPr>
        <w:tabs>
          <w:tab w:val="num" w:pos="958"/>
        </w:tabs>
        <w:jc w:val="both"/>
        <w:rPr>
          <w:rFonts w:ascii="Times New Roman" w:hAnsi="Times New Roman"/>
          <w:bCs/>
          <w:sz w:val="22"/>
          <w:lang w:val="es-AR"/>
        </w:rPr>
      </w:pPr>
      <w:r w:rsidRPr="00915C0D">
        <w:rPr>
          <w:rFonts w:ascii="Times New Roman" w:hAnsi="Times New Roman"/>
          <w:bCs/>
          <w:noProof/>
          <w:sz w:val="22"/>
        </w:rPr>
        <w:drawing>
          <wp:inline distT="0" distB="0" distL="0" distR="0" wp14:anchorId="2271AE6A" wp14:editId="7E3CEC20">
            <wp:extent cx="5481967" cy="2355574"/>
            <wp:effectExtent l="0" t="0" r="4445" b="6985"/>
            <wp:docPr id="1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482944" cy="2355994"/>
                    </a:xfrm>
                    <a:prstGeom prst="rect">
                      <a:avLst/>
                    </a:prstGeom>
                    <a:noFill/>
                    <a:ln>
                      <a:noFill/>
                    </a:ln>
                  </pic:spPr>
                </pic:pic>
              </a:graphicData>
            </a:graphic>
          </wp:inline>
        </w:drawing>
      </w:r>
    </w:p>
    <w:p w14:paraId="52C3E1B3" w14:textId="77777777" w:rsidR="00915C0D" w:rsidRPr="00915C0D" w:rsidRDefault="00915C0D" w:rsidP="00915C0D">
      <w:pPr>
        <w:tabs>
          <w:tab w:val="num" w:pos="958"/>
        </w:tabs>
        <w:jc w:val="both"/>
        <w:rPr>
          <w:rFonts w:ascii="Times New Roman" w:hAnsi="Times New Roman"/>
          <w:bCs/>
          <w:sz w:val="22"/>
        </w:rPr>
      </w:pPr>
      <w:r w:rsidRPr="00915C0D">
        <w:rPr>
          <w:rFonts w:ascii="Times New Roman" w:hAnsi="Times New Roman"/>
          <w:sz w:val="22"/>
          <w:szCs w:val="22"/>
        </w:rPr>
        <w:t xml:space="preserve">Although there is little information regarding the structure of production costs of the sector, it is calculated that the price trend has strengthened the benefit levels. Guyana Gold Board estimates indicated costs between </w:t>
      </w:r>
      <w:r>
        <w:rPr>
          <w:rFonts w:ascii="Times New Roman" w:hAnsi="Times New Roman"/>
          <w:sz w:val="22"/>
          <w:szCs w:val="22"/>
        </w:rPr>
        <w:t>US$</w:t>
      </w:r>
      <w:r w:rsidRPr="00915C0D">
        <w:rPr>
          <w:rFonts w:ascii="Times New Roman" w:hAnsi="Times New Roman"/>
          <w:sz w:val="22"/>
          <w:szCs w:val="22"/>
        </w:rPr>
        <w:t xml:space="preserve"> 240 and $ 300 per ounce in 2011.  </w:t>
      </w:r>
    </w:p>
    <w:p w14:paraId="3FB66153" w14:textId="77777777" w:rsidR="00915C0D" w:rsidRPr="00915C0D" w:rsidRDefault="00915C0D" w:rsidP="00915C0D">
      <w:pPr>
        <w:tabs>
          <w:tab w:val="num" w:pos="958"/>
        </w:tabs>
        <w:jc w:val="both"/>
        <w:rPr>
          <w:rFonts w:ascii="Times New Roman" w:hAnsi="Times New Roman"/>
          <w:bCs/>
          <w:sz w:val="22"/>
        </w:rPr>
      </w:pPr>
    </w:p>
    <w:p w14:paraId="52C08A10" w14:textId="77777777" w:rsidR="00915C0D" w:rsidRPr="00915C0D" w:rsidRDefault="00915C0D" w:rsidP="00915C0D">
      <w:pPr>
        <w:tabs>
          <w:tab w:val="num" w:pos="958"/>
        </w:tabs>
        <w:jc w:val="both"/>
        <w:rPr>
          <w:rFonts w:ascii="Times New Roman" w:hAnsi="Times New Roman"/>
          <w:bCs/>
          <w:sz w:val="22"/>
        </w:rPr>
      </w:pPr>
      <w:r w:rsidRPr="00915C0D">
        <w:rPr>
          <w:rFonts w:ascii="Times New Roman" w:hAnsi="Times New Roman"/>
          <w:sz w:val="22"/>
          <w:szCs w:val="22"/>
        </w:rPr>
        <w:t>Mining has also made an important economic contribution as a provider of foreign exchange, being the major export industry in Guyana. Its role in generating foreign exchange is even more prominent given the nature of the industry. As all the gold produced today is from small and medium scale producers, the majority of which are Guyanese, a larger share of this foreign exchange most likely remains within country than if it was generated by large, international operators. This is an important fact to take into account should the industry evolve in the future away from small local producers to large international operators.</w:t>
      </w:r>
    </w:p>
    <w:p w14:paraId="3F7D6AA5" w14:textId="77777777" w:rsidR="00915C0D" w:rsidRPr="00915C0D" w:rsidRDefault="00915C0D" w:rsidP="00915C0D">
      <w:pPr>
        <w:tabs>
          <w:tab w:val="num" w:pos="958"/>
        </w:tabs>
        <w:jc w:val="both"/>
        <w:rPr>
          <w:rFonts w:ascii="Times New Roman" w:hAnsi="Times New Roman"/>
          <w:bCs/>
          <w:sz w:val="22"/>
        </w:rPr>
      </w:pPr>
    </w:p>
    <w:p w14:paraId="497105D2" w14:textId="77777777" w:rsidR="00915C0D" w:rsidRPr="00915C0D" w:rsidRDefault="00915C0D" w:rsidP="00915C0D">
      <w:pPr>
        <w:tabs>
          <w:tab w:val="num" w:pos="958"/>
        </w:tabs>
        <w:jc w:val="both"/>
        <w:rPr>
          <w:rFonts w:ascii="Times New Roman" w:hAnsi="Times New Roman"/>
          <w:bCs/>
          <w:i/>
          <w:sz w:val="22"/>
        </w:rPr>
      </w:pPr>
      <w:r w:rsidRPr="00915C0D">
        <w:rPr>
          <w:rFonts w:ascii="Times New Roman" w:hAnsi="Times New Roman"/>
          <w:i/>
          <w:iCs/>
          <w:sz w:val="22"/>
          <w:szCs w:val="22"/>
        </w:rPr>
        <w:t>Implications of mining expansion (Business as Usual)</w:t>
      </w:r>
      <w:r w:rsidRPr="00915C0D">
        <w:rPr>
          <w:rStyle w:val="FootnoteReference"/>
          <w:rFonts w:ascii="Times New Roman" w:hAnsi="Times New Roman"/>
          <w:bCs/>
          <w:i/>
          <w:sz w:val="22"/>
          <w:lang w:val="es-AR"/>
        </w:rPr>
        <w:footnoteReference w:id="85"/>
      </w:r>
    </w:p>
    <w:p w14:paraId="0FF926E1" w14:textId="77777777" w:rsidR="00915C0D" w:rsidRPr="00915C0D" w:rsidRDefault="00915C0D" w:rsidP="00915C0D">
      <w:pPr>
        <w:tabs>
          <w:tab w:val="num" w:pos="958"/>
        </w:tabs>
        <w:jc w:val="both"/>
        <w:rPr>
          <w:rFonts w:ascii="Times New Roman" w:hAnsi="Times New Roman"/>
          <w:bCs/>
          <w:noProof/>
          <w:sz w:val="22"/>
        </w:rPr>
      </w:pPr>
      <w:r w:rsidRPr="00915C0D">
        <w:rPr>
          <w:rFonts w:ascii="Times New Roman" w:hAnsi="Times New Roman"/>
          <w:sz w:val="22"/>
          <w:szCs w:val="22"/>
        </w:rPr>
        <w:t>The continued growth of mining along the current trajectory of increased activity and areal coverage, reduced efficiency, and increasing impacts can no doubt result in great challenges to meeting Guyana’s commitments under the LCDS and Norway Agreement, the CBD, and jeopardize realization of potentials for non-extractive uses. Business-as-usual growth in mining will most certainly result in, inter alia, increased deforestation from the sector, utilizing a greater portion of the deforestation budget, and greater biodiversity and fresh water impacts as new areas are opened up for extraction.</w:t>
      </w:r>
    </w:p>
    <w:p w14:paraId="64553431" w14:textId="77777777" w:rsidR="00915C0D" w:rsidRPr="00915C0D" w:rsidRDefault="00915C0D" w:rsidP="00915C0D">
      <w:pPr>
        <w:tabs>
          <w:tab w:val="num" w:pos="958"/>
        </w:tabs>
        <w:jc w:val="both"/>
        <w:rPr>
          <w:rFonts w:ascii="Times New Roman" w:hAnsi="Times New Roman"/>
          <w:bCs/>
          <w:noProof/>
          <w:sz w:val="22"/>
        </w:rPr>
      </w:pPr>
      <w:r w:rsidRPr="00915C0D">
        <w:rPr>
          <w:rFonts w:ascii="Times New Roman" w:hAnsi="Times New Roman"/>
          <w:sz w:val="22"/>
          <w:szCs w:val="22"/>
        </w:rPr>
        <w:t>In the case of small- and medium-scale gold mining, as discussed earlier, over the past two decades the efficiency (in terms of gold extracted per hectare of forest cleared) has decreased as production increased. If this trend continues, it would imply that further expansion in gold production would result in increased deforestation, thus threatening Guyana's ability to meet its commitments and realize future growth.</w:t>
      </w:r>
    </w:p>
    <w:p w14:paraId="33C02D51" w14:textId="77777777" w:rsidR="00915C0D" w:rsidRPr="00915C0D" w:rsidRDefault="00915C0D" w:rsidP="00915C0D">
      <w:pPr>
        <w:tabs>
          <w:tab w:val="num" w:pos="958"/>
        </w:tabs>
        <w:jc w:val="both"/>
        <w:rPr>
          <w:rFonts w:ascii="Times New Roman" w:hAnsi="Times New Roman"/>
          <w:bCs/>
          <w:noProof/>
          <w:sz w:val="22"/>
        </w:rPr>
      </w:pPr>
      <w:r w:rsidRPr="00915C0D">
        <w:rPr>
          <w:rFonts w:ascii="Times New Roman" w:hAnsi="Times New Roman"/>
          <w:sz w:val="22"/>
          <w:szCs w:val="22"/>
        </w:rPr>
        <w:t>Mining as carried out currently results in direct impacts to biodiversity and competes for land with valuable biological resources, presenting challenges for the achievement of the commitments under the CBD. Current legislation allows for mining to be conducted in most of the country and competes with other land uses, such as the establishment of protected areas, sometimes resulting in major conflicts. In areas of valuable biological values, this competition results in higher costs of the establishment and management of protected areas.</w:t>
      </w:r>
    </w:p>
    <w:p w14:paraId="6E975D61" w14:textId="77777777" w:rsidR="00915C0D" w:rsidRPr="00915C0D" w:rsidRDefault="00915C0D" w:rsidP="00915C0D">
      <w:pPr>
        <w:tabs>
          <w:tab w:val="num" w:pos="958"/>
        </w:tabs>
        <w:jc w:val="both"/>
        <w:rPr>
          <w:rFonts w:ascii="Times New Roman" w:hAnsi="Times New Roman"/>
          <w:bCs/>
          <w:sz w:val="22"/>
        </w:rPr>
      </w:pPr>
    </w:p>
    <w:p w14:paraId="3FE65417" w14:textId="77777777" w:rsidR="00915C0D" w:rsidRPr="00915C0D" w:rsidRDefault="00915C0D" w:rsidP="00915C0D">
      <w:pPr>
        <w:tabs>
          <w:tab w:val="num" w:pos="958"/>
        </w:tabs>
        <w:jc w:val="both"/>
        <w:rPr>
          <w:rFonts w:ascii="Times New Roman" w:hAnsi="Times New Roman"/>
          <w:bCs/>
          <w:noProof/>
          <w:sz w:val="22"/>
        </w:rPr>
      </w:pPr>
      <w:r w:rsidRPr="00915C0D">
        <w:rPr>
          <w:rFonts w:ascii="Times New Roman" w:hAnsi="Times New Roman"/>
          <w:sz w:val="22"/>
          <w:szCs w:val="22"/>
        </w:rPr>
        <w:t>Though a large number of studies exist practical evidence-supported options for acceptable “green” mining technologies and practices that are economically feasible under Guyana's conditions is still lacking. Therefore, the approach to effecting change within Guyana's EIS has to essentially provide some proof of concept through pilot projects. Essential to this is the training of relevant stakeholders, from both private and public sectors, and the dissemination of information country-wide.</w:t>
      </w:r>
    </w:p>
    <w:p w14:paraId="0234C7F5" w14:textId="77777777" w:rsidR="00915C0D" w:rsidRPr="00915C0D" w:rsidRDefault="00915C0D" w:rsidP="00915C0D">
      <w:pPr>
        <w:tabs>
          <w:tab w:val="num" w:pos="958"/>
        </w:tabs>
        <w:jc w:val="both"/>
        <w:rPr>
          <w:rFonts w:ascii="Times New Roman" w:hAnsi="Times New Roman"/>
          <w:bCs/>
          <w:sz w:val="22"/>
        </w:rPr>
      </w:pPr>
    </w:p>
    <w:p w14:paraId="3DE7AE10" w14:textId="77777777" w:rsidR="00915C0D" w:rsidRPr="00915C0D" w:rsidRDefault="00915C0D" w:rsidP="00915C0D">
      <w:pPr>
        <w:tabs>
          <w:tab w:val="num" w:pos="958"/>
        </w:tabs>
        <w:jc w:val="both"/>
        <w:rPr>
          <w:rFonts w:ascii="Times New Roman" w:hAnsi="Times New Roman"/>
          <w:bCs/>
          <w:noProof/>
          <w:sz w:val="22"/>
        </w:rPr>
      </w:pPr>
      <w:r w:rsidRPr="00915C0D">
        <w:rPr>
          <w:rFonts w:ascii="Times New Roman" w:hAnsi="Times New Roman"/>
          <w:sz w:val="22"/>
          <w:szCs w:val="22"/>
        </w:rPr>
        <w:t>Significant new investments in the sector include two major</w:t>
      </w:r>
      <w:r w:rsidRPr="00915C0D">
        <w:rPr>
          <w:rStyle w:val="FootnoteReference"/>
          <w:rFonts w:ascii="Times New Roman" w:hAnsi="Times New Roman"/>
          <w:bCs/>
          <w:noProof/>
          <w:sz w:val="22"/>
          <w:lang w:val="es-AR"/>
        </w:rPr>
        <w:footnoteReference w:id="86"/>
      </w:r>
    </w:p>
    <w:p w14:paraId="7C0D6E28" w14:textId="77777777" w:rsidR="00915C0D" w:rsidRPr="00915C0D" w:rsidRDefault="00915C0D" w:rsidP="00915C0D">
      <w:pPr>
        <w:tabs>
          <w:tab w:val="num" w:pos="958"/>
        </w:tabs>
        <w:jc w:val="both"/>
        <w:rPr>
          <w:rFonts w:ascii="Times New Roman" w:hAnsi="Times New Roman"/>
          <w:bCs/>
          <w:noProof/>
          <w:sz w:val="22"/>
        </w:rPr>
      </w:pPr>
      <w:r w:rsidRPr="00915C0D">
        <w:rPr>
          <w:rFonts w:ascii="Times New Roman" w:hAnsi="Times New Roman"/>
          <w:sz w:val="22"/>
          <w:szCs w:val="22"/>
        </w:rPr>
        <w:t xml:space="preserve">Going forward, orderly growth and development and capacity building will be Government's focus. Significant new investments in the sector include two major gold exploration projects, Guyana Goldfields Inc. and ETK </w:t>
      </w:r>
      <w:proofErr w:type="spellStart"/>
      <w:r w:rsidRPr="00915C0D">
        <w:rPr>
          <w:rFonts w:ascii="Times New Roman" w:hAnsi="Times New Roman"/>
          <w:sz w:val="22"/>
          <w:szCs w:val="22"/>
        </w:rPr>
        <w:t>Inc</w:t>
      </w:r>
      <w:proofErr w:type="spellEnd"/>
      <w:r w:rsidRPr="00915C0D">
        <w:rPr>
          <w:rFonts w:ascii="Times New Roman" w:hAnsi="Times New Roman"/>
          <w:sz w:val="22"/>
          <w:szCs w:val="22"/>
        </w:rPr>
        <w:t>/</w:t>
      </w:r>
      <w:proofErr w:type="spellStart"/>
      <w:r w:rsidRPr="00915C0D">
        <w:rPr>
          <w:rFonts w:ascii="Times New Roman" w:hAnsi="Times New Roman"/>
          <w:sz w:val="22"/>
          <w:szCs w:val="22"/>
        </w:rPr>
        <w:t>Sandspring</w:t>
      </w:r>
      <w:proofErr w:type="spellEnd"/>
      <w:r w:rsidRPr="00915C0D">
        <w:rPr>
          <w:rFonts w:ascii="Times New Roman" w:hAnsi="Times New Roman"/>
          <w:sz w:val="22"/>
          <w:szCs w:val="22"/>
        </w:rPr>
        <w:t xml:space="preserve"> Resources Ltd, both of which are at the resource assessment stage. Guyana Goldfields Inc. announced positive feasibility study results for its Aurora Gold Project in Guyana with the total investment expected to amount to US$ 600 million and seeing 250 jobs created during development phase and 200 created during mine operation.</w:t>
      </w:r>
    </w:p>
    <w:p w14:paraId="2A47FD47" w14:textId="77777777" w:rsidR="00915C0D" w:rsidRPr="00915C0D" w:rsidRDefault="00915C0D" w:rsidP="00915C0D">
      <w:pPr>
        <w:tabs>
          <w:tab w:val="num" w:pos="958"/>
        </w:tabs>
        <w:jc w:val="both"/>
        <w:rPr>
          <w:rFonts w:ascii="Times New Roman" w:hAnsi="Times New Roman"/>
          <w:bCs/>
          <w:noProof/>
          <w:sz w:val="22"/>
        </w:rPr>
      </w:pPr>
      <w:r w:rsidRPr="00915C0D">
        <w:rPr>
          <w:rFonts w:ascii="Times New Roman" w:hAnsi="Times New Roman"/>
          <w:sz w:val="22"/>
          <w:szCs w:val="22"/>
        </w:rPr>
        <w:t xml:space="preserve">In the case of the </w:t>
      </w:r>
      <w:proofErr w:type="spellStart"/>
      <w:r w:rsidRPr="00915C0D">
        <w:rPr>
          <w:rFonts w:ascii="Times New Roman" w:hAnsi="Times New Roman"/>
          <w:sz w:val="22"/>
          <w:szCs w:val="22"/>
        </w:rPr>
        <w:t>Toroparu</w:t>
      </w:r>
      <w:proofErr w:type="spellEnd"/>
      <w:r w:rsidRPr="00915C0D">
        <w:rPr>
          <w:rFonts w:ascii="Times New Roman" w:hAnsi="Times New Roman"/>
          <w:sz w:val="22"/>
          <w:szCs w:val="22"/>
        </w:rPr>
        <w:t xml:space="preserve"> mine being developed by ETK </w:t>
      </w:r>
      <w:proofErr w:type="spellStart"/>
      <w:r w:rsidRPr="00915C0D">
        <w:rPr>
          <w:rFonts w:ascii="Times New Roman" w:hAnsi="Times New Roman"/>
          <w:sz w:val="22"/>
          <w:szCs w:val="22"/>
        </w:rPr>
        <w:t>Inc</w:t>
      </w:r>
      <w:proofErr w:type="spellEnd"/>
      <w:r w:rsidRPr="00915C0D">
        <w:rPr>
          <w:rFonts w:ascii="Times New Roman" w:hAnsi="Times New Roman"/>
          <w:sz w:val="22"/>
          <w:szCs w:val="22"/>
        </w:rPr>
        <w:t>/</w:t>
      </w:r>
      <w:proofErr w:type="spellStart"/>
      <w:r w:rsidRPr="00915C0D">
        <w:rPr>
          <w:rFonts w:ascii="Times New Roman" w:hAnsi="Times New Roman"/>
          <w:sz w:val="22"/>
          <w:szCs w:val="22"/>
        </w:rPr>
        <w:t>Sandspring</w:t>
      </w:r>
      <w:proofErr w:type="spellEnd"/>
      <w:r w:rsidRPr="00915C0D">
        <w:rPr>
          <w:rFonts w:ascii="Times New Roman" w:hAnsi="Times New Roman"/>
          <w:sz w:val="22"/>
          <w:szCs w:val="22"/>
        </w:rPr>
        <w:t xml:space="preserve"> Resources Ltd., the total investment is projected at US$ 400 million, and 300 jobs will be created during development while another 200 jobs will be created during mining.</w:t>
      </w:r>
    </w:p>
    <w:p w14:paraId="26CC534D" w14:textId="77777777" w:rsidR="00915C0D" w:rsidRPr="00915C0D" w:rsidRDefault="00915C0D" w:rsidP="00915C0D">
      <w:pPr>
        <w:tabs>
          <w:tab w:val="num" w:pos="958"/>
        </w:tabs>
        <w:jc w:val="both"/>
        <w:rPr>
          <w:rFonts w:ascii="Times New Roman" w:hAnsi="Times New Roman"/>
          <w:bCs/>
          <w:noProof/>
          <w:sz w:val="22"/>
        </w:rPr>
      </w:pPr>
      <w:r w:rsidRPr="00915C0D">
        <w:rPr>
          <w:rFonts w:ascii="Times New Roman" w:hAnsi="Times New Roman"/>
          <w:sz w:val="22"/>
          <w:szCs w:val="22"/>
        </w:rPr>
        <w:t>With these developments on course, the gold subsector is poised to continue to play a leading role in its contribution to growth, exports and job creation. The next five years presents Guyana with opportunities that will completely change the face of existing traditional industries with the gold industry witnessing the entry of a number of large scale producers bringing dramatic increases in production and the introduction of new technologies.</w:t>
      </w:r>
    </w:p>
    <w:p w14:paraId="07A487E5" w14:textId="77777777" w:rsidR="00915C0D" w:rsidRPr="00915C0D" w:rsidRDefault="00915C0D" w:rsidP="00915C0D">
      <w:pPr>
        <w:tabs>
          <w:tab w:val="num" w:pos="958"/>
        </w:tabs>
        <w:jc w:val="both"/>
        <w:rPr>
          <w:rFonts w:ascii="Times New Roman" w:hAnsi="Times New Roman"/>
          <w:bCs/>
          <w:sz w:val="22"/>
        </w:rPr>
      </w:pPr>
    </w:p>
    <w:p w14:paraId="4DFE0447" w14:textId="77777777" w:rsidR="00915C0D" w:rsidRPr="00915C0D" w:rsidRDefault="00915C0D" w:rsidP="00915C0D">
      <w:pPr>
        <w:tabs>
          <w:tab w:val="num" w:pos="958"/>
        </w:tabs>
        <w:jc w:val="both"/>
        <w:rPr>
          <w:rFonts w:ascii="Times New Roman" w:hAnsi="Times New Roman"/>
          <w:bCs/>
          <w:i/>
          <w:sz w:val="22"/>
        </w:rPr>
      </w:pPr>
      <w:r w:rsidRPr="00915C0D">
        <w:rPr>
          <w:rFonts w:ascii="Times New Roman" w:hAnsi="Times New Roman"/>
          <w:i/>
          <w:iCs/>
          <w:sz w:val="22"/>
          <w:szCs w:val="22"/>
        </w:rPr>
        <w:t>The experience of Madre de Dios in Peru.</w:t>
      </w:r>
    </w:p>
    <w:p w14:paraId="24F6F874" w14:textId="77777777" w:rsidR="00915C0D" w:rsidRPr="00915C0D" w:rsidRDefault="00915C0D" w:rsidP="00915C0D">
      <w:pPr>
        <w:tabs>
          <w:tab w:val="num" w:pos="958"/>
        </w:tabs>
        <w:jc w:val="both"/>
        <w:rPr>
          <w:rFonts w:ascii="Times New Roman" w:hAnsi="Times New Roman"/>
          <w:b/>
          <w:color w:val="333333"/>
          <w:sz w:val="22"/>
          <w:szCs w:val="22"/>
        </w:rPr>
      </w:pPr>
      <w:r w:rsidRPr="00915C0D">
        <w:rPr>
          <w:rFonts w:ascii="Times New Roman" w:hAnsi="Times New Roman"/>
          <w:color w:val="333333"/>
          <w:sz w:val="22"/>
          <w:szCs w:val="22"/>
        </w:rPr>
        <w:t xml:space="preserve">In 2011, Peru was the sixth highest global producer of gold. However, according to the National Customs </w:t>
      </w:r>
      <w:proofErr w:type="spellStart"/>
      <w:r w:rsidRPr="00915C0D">
        <w:rPr>
          <w:rFonts w:ascii="Times New Roman" w:hAnsi="Times New Roman"/>
          <w:color w:val="333333"/>
          <w:sz w:val="22"/>
          <w:szCs w:val="22"/>
        </w:rPr>
        <w:t>Superintendency</w:t>
      </w:r>
      <w:proofErr w:type="spellEnd"/>
      <w:r w:rsidRPr="00915C0D">
        <w:rPr>
          <w:rFonts w:ascii="Times New Roman" w:hAnsi="Times New Roman"/>
          <w:color w:val="333333"/>
          <w:sz w:val="22"/>
          <w:szCs w:val="22"/>
        </w:rPr>
        <w:t xml:space="preserve"> of Peru and Swenson et al (2011), a considerable amount of Peruvian gold has been extracted by illegal companies that use extraction methods based on heavy metals such as mercury. These practices are far from sustainable and have had a strong negative impact on the environment. In addition, as shown in the figure, the increase in the price of gold was related to an exponential increase in the illegal mining field, followed by a sharp increase in imports of mercury. Additionally, improvements to the infrastructure of the roads in the region, such as the Interoceanic Highway (which connects Peru and Brazil) have facilitated the extraction process</w:t>
      </w:r>
      <w:r w:rsidRPr="00915C0D">
        <w:rPr>
          <w:rFonts w:ascii="Times New Roman" w:hAnsi="Times New Roman"/>
          <w:b/>
          <w:bCs/>
          <w:color w:val="333333"/>
          <w:sz w:val="22"/>
          <w:szCs w:val="22"/>
        </w:rPr>
        <w:t>.</w:t>
      </w:r>
    </w:p>
    <w:p w14:paraId="31A639C2" w14:textId="77777777" w:rsidR="00915C0D" w:rsidRPr="00915C0D" w:rsidRDefault="00915C0D" w:rsidP="00915C0D">
      <w:pPr>
        <w:tabs>
          <w:tab w:val="num" w:pos="958"/>
        </w:tabs>
        <w:jc w:val="both"/>
        <w:rPr>
          <w:rFonts w:ascii="Times New Roman" w:hAnsi="Times New Roman"/>
          <w:i/>
          <w:color w:val="333333"/>
          <w:sz w:val="18"/>
          <w:szCs w:val="18"/>
        </w:rPr>
      </w:pPr>
      <w:r w:rsidRPr="00915C0D">
        <w:rPr>
          <w:rFonts w:ascii="Times New Roman" w:hAnsi="Times New Roman"/>
          <w:i/>
          <w:iCs/>
          <w:color w:val="333333"/>
          <w:sz w:val="22"/>
          <w:szCs w:val="22"/>
        </w:rPr>
        <w:t xml:space="preserve">Graphic B. Correlation between the price of gold and mercury imports. </w:t>
      </w:r>
      <w:r w:rsidRPr="00915C0D">
        <w:rPr>
          <w:rFonts w:ascii="Helvetica" w:eastAsia="Helvetica" w:hAnsi="Helvetica" w:cs="Helvetica"/>
          <w:b/>
          <w:bCs/>
          <w:color w:val="333333"/>
          <w:sz w:val="19"/>
          <w:szCs w:val="19"/>
        </w:rPr>
        <w:br/>
      </w:r>
      <w:r w:rsidRPr="00915C0D">
        <w:rPr>
          <w:rFonts w:ascii="Helvetica" w:hAnsi="Helvetica"/>
          <w:noProof/>
          <w:color w:val="333333"/>
          <w:sz w:val="19"/>
          <w:szCs w:val="19"/>
        </w:rPr>
        <w:drawing>
          <wp:inline distT="0" distB="0" distL="0" distR="0" wp14:anchorId="023B7CBE" wp14:editId="3F2D34E7">
            <wp:extent cx="5213103" cy="3061252"/>
            <wp:effectExtent l="19050" t="0" r="6597" b="0"/>
            <wp:docPr id="21" name="Imagen 1" descr="http://www.oeco.com.br/images/stories/nov2012/corrida-ouro-madre-dios-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eco.com.br/images/stories/nov2012/corrida-ouro-madre-dios-02.jpg"/>
                    <pic:cNvPicPr>
                      <a:picLocks noChangeAspect="1" noChangeArrowheads="1"/>
                    </pic:cNvPicPr>
                  </pic:nvPicPr>
                  <pic:blipFill>
                    <a:blip r:embed="rId28" cstate="print"/>
                    <a:srcRect/>
                    <a:stretch>
                      <a:fillRect/>
                    </a:stretch>
                  </pic:blipFill>
                  <pic:spPr bwMode="auto">
                    <a:xfrm>
                      <a:off x="0" y="0"/>
                      <a:ext cx="5213130" cy="3061268"/>
                    </a:xfrm>
                    <a:prstGeom prst="rect">
                      <a:avLst/>
                    </a:prstGeom>
                    <a:noFill/>
                    <a:ln w="9525">
                      <a:noFill/>
                      <a:miter lim="800000"/>
                      <a:headEnd/>
                      <a:tailEnd/>
                    </a:ln>
                  </pic:spPr>
                </pic:pic>
              </a:graphicData>
            </a:graphic>
          </wp:inline>
        </w:drawing>
      </w:r>
      <w:r w:rsidRPr="00915C0D">
        <w:rPr>
          <w:rFonts w:ascii="Times New Roman" w:hAnsi="Times New Roman"/>
          <w:i/>
          <w:iCs/>
          <w:color w:val="333333"/>
          <w:sz w:val="18"/>
          <w:szCs w:val="18"/>
        </w:rPr>
        <w:t>Relationship between the biweekly international prices of gold, the conversion of the forest to mining areas in Madre de Dios and annual mercury imports in Peru.  Source: Swenson (2011)</w:t>
      </w:r>
      <w:r w:rsidRPr="00915C0D">
        <w:rPr>
          <w:rStyle w:val="FootnoteReference"/>
          <w:rFonts w:ascii="Times New Roman" w:hAnsi="Times New Roman"/>
          <w:i/>
          <w:color w:val="333333"/>
          <w:sz w:val="18"/>
          <w:szCs w:val="18"/>
          <w:lang w:val="es-ES"/>
        </w:rPr>
        <w:footnoteReference w:id="87"/>
      </w:r>
      <w:r w:rsidRPr="00915C0D">
        <w:rPr>
          <w:rFonts w:ascii="Times New Roman" w:hAnsi="Times New Roman"/>
          <w:i/>
          <w:iCs/>
          <w:color w:val="333333"/>
          <w:sz w:val="18"/>
          <w:szCs w:val="18"/>
        </w:rPr>
        <w:t>.</w:t>
      </w:r>
    </w:p>
    <w:p w14:paraId="5102831E" w14:textId="77777777" w:rsidR="00915C0D" w:rsidRPr="00915C0D" w:rsidRDefault="00915C0D" w:rsidP="00915C0D">
      <w:pPr>
        <w:tabs>
          <w:tab w:val="num" w:pos="958"/>
        </w:tabs>
        <w:jc w:val="both"/>
        <w:rPr>
          <w:rFonts w:cs="Arial"/>
          <w:color w:val="000000"/>
        </w:rPr>
      </w:pPr>
    </w:p>
    <w:p w14:paraId="686D0637" w14:textId="77777777" w:rsidR="00915C0D" w:rsidRPr="00915C0D" w:rsidRDefault="00915C0D" w:rsidP="00915C0D">
      <w:pPr>
        <w:tabs>
          <w:tab w:val="num" w:pos="958"/>
        </w:tabs>
        <w:jc w:val="both"/>
        <w:rPr>
          <w:rFonts w:ascii="Times New Roman" w:hAnsi="Times New Roman"/>
          <w:color w:val="000000"/>
          <w:sz w:val="22"/>
          <w:szCs w:val="22"/>
        </w:rPr>
      </w:pPr>
      <w:r w:rsidRPr="00915C0D">
        <w:rPr>
          <w:rFonts w:ascii="Times New Roman" w:hAnsi="Times New Roman"/>
          <w:color w:val="000000"/>
          <w:sz w:val="22"/>
          <w:szCs w:val="22"/>
        </w:rPr>
        <w:t xml:space="preserve">Deforestation is increasing in the Madre de Dios region of Peru due to dangerous, illegal, small-scale gold mining. In some areas the loss of forests has increased more than </w:t>
      </w:r>
      <w:proofErr w:type="spellStart"/>
      <w:r w:rsidRPr="00915C0D">
        <w:rPr>
          <w:rFonts w:ascii="Times New Roman" w:hAnsi="Times New Roman"/>
          <w:color w:val="000000"/>
          <w:sz w:val="22"/>
          <w:szCs w:val="22"/>
        </w:rPr>
        <w:t>sixfold</w:t>
      </w:r>
      <w:proofErr w:type="spellEnd"/>
      <w:r w:rsidRPr="00915C0D">
        <w:rPr>
          <w:rFonts w:ascii="Times New Roman" w:hAnsi="Times New Roman"/>
          <w:color w:val="000000"/>
          <w:sz w:val="22"/>
          <w:szCs w:val="22"/>
        </w:rPr>
        <w:t xml:space="preserve">. </w:t>
      </w:r>
    </w:p>
    <w:p w14:paraId="39945089" w14:textId="77777777" w:rsidR="00915C0D" w:rsidRPr="00915C0D" w:rsidRDefault="00915C0D" w:rsidP="00915C0D">
      <w:pPr>
        <w:tabs>
          <w:tab w:val="num" w:pos="958"/>
        </w:tabs>
        <w:jc w:val="both"/>
        <w:rPr>
          <w:rFonts w:ascii="Times New Roman" w:hAnsi="Times New Roman"/>
          <w:i/>
          <w:color w:val="333333"/>
          <w:sz w:val="22"/>
          <w:szCs w:val="22"/>
        </w:rPr>
      </w:pPr>
      <w:r w:rsidRPr="00915C0D">
        <w:rPr>
          <w:rFonts w:ascii="Times New Roman" w:hAnsi="Times New Roman"/>
          <w:color w:val="000000"/>
          <w:sz w:val="22"/>
          <w:szCs w:val="22"/>
        </w:rPr>
        <w:br/>
        <w:t xml:space="preserve">Using satellite images from NASA, investigators at Duke University were able to observe the increase in deforestation due to artisanal gold mining in Peru. According to the study, published in </w:t>
      </w:r>
      <w:proofErr w:type="spellStart"/>
      <w:r w:rsidRPr="00915C0D">
        <w:rPr>
          <w:rFonts w:ascii="Times New Roman" w:hAnsi="Times New Roman"/>
          <w:color w:val="000000"/>
          <w:sz w:val="22"/>
          <w:szCs w:val="22"/>
        </w:rPr>
        <w:t>PLoS</w:t>
      </w:r>
      <w:proofErr w:type="spellEnd"/>
      <w:r w:rsidRPr="00915C0D">
        <w:rPr>
          <w:rFonts w:ascii="Times New Roman" w:hAnsi="Times New Roman"/>
          <w:color w:val="000000"/>
          <w:sz w:val="22"/>
          <w:szCs w:val="22"/>
        </w:rPr>
        <w:t xml:space="preserve"> ONE, two mining sites saw the loss of 7,000 hectares of forest (15,200 acres), an area greater than Bermuda, between 2003 and 2009.</w:t>
      </w:r>
    </w:p>
    <w:p w14:paraId="4FC9DE69" w14:textId="3FE6B24B" w:rsidR="00915C0D" w:rsidRPr="005E3E93" w:rsidRDefault="00915C0D" w:rsidP="005E3E93">
      <w:pPr>
        <w:pStyle w:val="ListParagraph1"/>
        <w:ind w:left="720"/>
        <w:jc w:val="both"/>
        <w:rPr>
          <w:rFonts w:ascii="Times New Roman" w:hAnsi="Times New Roman"/>
          <w:bCs/>
          <w:sz w:val="22"/>
        </w:rPr>
        <w:sectPr w:rsidR="00915C0D" w:rsidRPr="005E3E93" w:rsidSect="00CE5909">
          <w:headerReference w:type="default" r:id="rId29"/>
          <w:footerReference w:type="default" r:id="rId30"/>
          <w:pgSz w:w="11907" w:h="16839" w:code="9"/>
          <w:pgMar w:top="1440" w:right="1797" w:bottom="1440" w:left="1797" w:header="680" w:footer="680" w:gutter="0"/>
          <w:cols w:space="720"/>
          <w:docGrid w:linePitch="272"/>
        </w:sectPr>
      </w:pPr>
    </w:p>
    <w:p w14:paraId="0E66510B" w14:textId="08B500A8" w:rsidR="00915C0D" w:rsidRPr="00017F75" w:rsidRDefault="00C35437" w:rsidP="00915C0D">
      <w:pPr>
        <w:pStyle w:val="Heading1"/>
        <w:rPr>
          <w:noProof/>
          <w:lang w:val="en-US"/>
        </w:rPr>
      </w:pPr>
      <w:bookmarkStart w:id="41" w:name="_Anexo_VII:_Matriz"/>
      <w:bookmarkStart w:id="42" w:name="_Toc403028407"/>
      <w:bookmarkEnd w:id="41"/>
      <w:r w:rsidRPr="00017F75">
        <w:rPr>
          <w:noProof/>
          <w:lang w:val="en-US"/>
        </w:rPr>
        <w:t>An</w:t>
      </w:r>
      <w:r w:rsidR="006859B1" w:rsidRPr="00017F75">
        <w:rPr>
          <w:noProof/>
          <w:lang w:val="en-US"/>
        </w:rPr>
        <w:t>n</w:t>
      </w:r>
      <w:r w:rsidRPr="00017F75">
        <w:rPr>
          <w:noProof/>
          <w:lang w:val="en-US"/>
        </w:rPr>
        <w:t>ex</w:t>
      </w:r>
      <w:r w:rsidR="00915C0D" w:rsidRPr="00017F75">
        <w:rPr>
          <w:noProof/>
          <w:lang w:val="en-US"/>
        </w:rPr>
        <w:t xml:space="preserve"> V: Results Framework – Matrix of Indicators</w:t>
      </w:r>
      <w:bookmarkEnd w:id="42"/>
    </w:p>
    <w:p w14:paraId="063FBFE2" w14:textId="77777777" w:rsidR="00915C0D" w:rsidRPr="00017F75" w:rsidRDefault="00915C0D" w:rsidP="00915C0D"/>
    <w:tbl>
      <w:tblPr>
        <w:tblStyle w:val="TableGrid"/>
        <w:tblpPr w:leftFromText="141" w:rightFromText="141" w:vertAnchor="text" w:tblpY="1"/>
        <w:tblOverlap w:val="never"/>
        <w:tblW w:w="0" w:type="auto"/>
        <w:tblLayout w:type="fixed"/>
        <w:tblLook w:val="04A0" w:firstRow="1" w:lastRow="0" w:firstColumn="1" w:lastColumn="0" w:noHBand="0" w:noVBand="1"/>
      </w:tblPr>
      <w:tblGrid>
        <w:gridCol w:w="2245"/>
        <w:gridCol w:w="2363"/>
        <w:gridCol w:w="2610"/>
        <w:gridCol w:w="3667"/>
        <w:gridCol w:w="2110"/>
      </w:tblGrid>
      <w:tr w:rsidR="002F21BD" w:rsidRPr="00915C0D" w14:paraId="530AAC9E" w14:textId="77777777" w:rsidTr="00915C0D">
        <w:tc>
          <w:tcPr>
            <w:tcW w:w="2245" w:type="dxa"/>
          </w:tcPr>
          <w:p w14:paraId="56B0ED02" w14:textId="77777777" w:rsidR="00915C0D" w:rsidRPr="00915C0D" w:rsidRDefault="00915C0D" w:rsidP="00915C0D">
            <w:pPr>
              <w:jc w:val="center"/>
              <w:rPr>
                <w:rFonts w:ascii="Times New Roman" w:eastAsia="Arial Unicode MS" w:hAnsi="Times New Roman"/>
                <w:b/>
                <w:sz w:val="20"/>
              </w:rPr>
            </w:pPr>
            <w:r w:rsidRPr="00915C0D">
              <w:rPr>
                <w:rFonts w:ascii="Times New Roman" w:eastAsia="Arial Unicode MS" w:hAnsi="Times New Roman"/>
                <w:b/>
                <w:sz w:val="20"/>
              </w:rPr>
              <w:t>Impact&amp; Results</w:t>
            </w:r>
          </w:p>
        </w:tc>
        <w:tc>
          <w:tcPr>
            <w:tcW w:w="2363" w:type="dxa"/>
          </w:tcPr>
          <w:p w14:paraId="5C81507F" w14:textId="77777777" w:rsidR="00915C0D" w:rsidRPr="00915C0D" w:rsidRDefault="00915C0D" w:rsidP="00915C0D">
            <w:pPr>
              <w:jc w:val="center"/>
              <w:rPr>
                <w:rFonts w:ascii="Times New Roman" w:eastAsia="Arial Unicode MS" w:hAnsi="Times New Roman"/>
                <w:b/>
                <w:sz w:val="20"/>
              </w:rPr>
            </w:pPr>
            <w:r w:rsidRPr="00915C0D">
              <w:rPr>
                <w:rFonts w:ascii="Times New Roman" w:eastAsia="Arial Unicode MS" w:hAnsi="Times New Roman"/>
                <w:b/>
                <w:sz w:val="20"/>
              </w:rPr>
              <w:t>Indicator</w:t>
            </w:r>
          </w:p>
        </w:tc>
        <w:tc>
          <w:tcPr>
            <w:tcW w:w="2610" w:type="dxa"/>
          </w:tcPr>
          <w:p w14:paraId="67FA121E" w14:textId="77777777" w:rsidR="00915C0D" w:rsidRPr="00915C0D" w:rsidRDefault="00915C0D" w:rsidP="00915C0D">
            <w:pPr>
              <w:jc w:val="center"/>
              <w:rPr>
                <w:rFonts w:ascii="Times New Roman" w:eastAsia="Arial Unicode MS" w:hAnsi="Times New Roman"/>
                <w:b/>
                <w:sz w:val="20"/>
              </w:rPr>
            </w:pPr>
            <w:r w:rsidRPr="00915C0D">
              <w:rPr>
                <w:rFonts w:ascii="Times New Roman" w:eastAsia="Arial Unicode MS" w:hAnsi="Times New Roman"/>
                <w:b/>
                <w:sz w:val="20"/>
              </w:rPr>
              <w:t>Baseline</w:t>
            </w:r>
          </w:p>
        </w:tc>
        <w:tc>
          <w:tcPr>
            <w:tcW w:w="3667" w:type="dxa"/>
          </w:tcPr>
          <w:p w14:paraId="7F95FE02" w14:textId="77777777" w:rsidR="00915C0D" w:rsidRPr="00915C0D" w:rsidRDefault="00915C0D" w:rsidP="00915C0D">
            <w:pPr>
              <w:jc w:val="center"/>
              <w:rPr>
                <w:rFonts w:ascii="Times New Roman" w:eastAsia="Arial Unicode MS" w:hAnsi="Times New Roman"/>
                <w:b/>
                <w:sz w:val="20"/>
              </w:rPr>
            </w:pPr>
            <w:r w:rsidRPr="00915C0D">
              <w:rPr>
                <w:rFonts w:ascii="Times New Roman" w:eastAsia="Arial Unicode MS" w:hAnsi="Times New Roman"/>
                <w:b/>
                <w:sz w:val="20"/>
              </w:rPr>
              <w:t>Target (2016)</w:t>
            </w:r>
          </w:p>
        </w:tc>
        <w:tc>
          <w:tcPr>
            <w:tcW w:w="2110" w:type="dxa"/>
          </w:tcPr>
          <w:p w14:paraId="383E8F42" w14:textId="77777777" w:rsidR="00915C0D" w:rsidRPr="00915C0D" w:rsidRDefault="00915C0D" w:rsidP="00915C0D">
            <w:pPr>
              <w:rPr>
                <w:rFonts w:ascii="Times New Roman" w:eastAsia="Arial Unicode MS" w:hAnsi="Times New Roman"/>
                <w:b/>
                <w:sz w:val="20"/>
              </w:rPr>
            </w:pPr>
            <w:r w:rsidRPr="00915C0D">
              <w:rPr>
                <w:rFonts w:ascii="Times New Roman" w:eastAsia="Arial Unicode MS" w:hAnsi="Times New Roman"/>
                <w:b/>
                <w:sz w:val="20"/>
              </w:rPr>
              <w:t>Verification Means</w:t>
            </w:r>
          </w:p>
        </w:tc>
      </w:tr>
      <w:tr w:rsidR="002F21BD" w:rsidRPr="00915C0D" w14:paraId="4F4B8418" w14:textId="77777777" w:rsidTr="00915C0D">
        <w:tc>
          <w:tcPr>
            <w:tcW w:w="12995" w:type="dxa"/>
            <w:gridSpan w:val="5"/>
          </w:tcPr>
          <w:p w14:paraId="5B8D1AD7" w14:textId="77777777" w:rsidR="00915C0D" w:rsidRPr="00915C0D" w:rsidRDefault="00915C0D" w:rsidP="00915C0D">
            <w:pPr>
              <w:rPr>
                <w:rFonts w:ascii="Times New Roman" w:eastAsia="Arial Unicode MS" w:hAnsi="Times New Roman"/>
                <w:iCs/>
                <w:sz w:val="20"/>
                <w:u w:val="single"/>
              </w:rPr>
            </w:pPr>
            <w:r w:rsidRPr="00915C0D">
              <w:rPr>
                <w:rFonts w:ascii="Times New Roman" w:eastAsia="Arial Unicode MS" w:hAnsi="Times New Roman"/>
                <w:iCs/>
                <w:sz w:val="20"/>
                <w:u w:val="single"/>
              </w:rPr>
              <w:t xml:space="preserve">Impact:  </w:t>
            </w:r>
            <w:r w:rsidRPr="00915C0D">
              <w:rPr>
                <w:rFonts w:ascii="Times New Roman" w:eastAsia="Arial Unicode MS" w:hAnsi="Times New Roman"/>
                <w:iCs/>
                <w:sz w:val="20"/>
              </w:rPr>
              <w:t>Annual deforestation rate: 0.056% sustained</w:t>
            </w:r>
          </w:p>
        </w:tc>
      </w:tr>
      <w:tr w:rsidR="002F21BD" w:rsidRPr="00915C0D" w14:paraId="34FFB023" w14:textId="77777777" w:rsidTr="00915C0D">
        <w:tc>
          <w:tcPr>
            <w:tcW w:w="2245" w:type="dxa"/>
            <w:vMerge w:val="restart"/>
          </w:tcPr>
          <w:p w14:paraId="1F176C54" w14:textId="77777777" w:rsidR="00915C0D" w:rsidRPr="00915C0D" w:rsidRDefault="00915C0D" w:rsidP="00915C0D">
            <w:pPr>
              <w:rPr>
                <w:rFonts w:ascii="Times New Roman" w:eastAsia="Arial Unicode MS" w:hAnsi="Times New Roman"/>
                <w:iCs/>
                <w:sz w:val="20"/>
              </w:rPr>
            </w:pPr>
            <w:r w:rsidRPr="00915C0D">
              <w:rPr>
                <w:rFonts w:ascii="Times New Roman" w:eastAsia="Arial Unicode MS" w:hAnsi="Times New Roman"/>
                <w:iCs/>
                <w:sz w:val="20"/>
                <w:u w:val="single"/>
              </w:rPr>
              <w:t>Results</w:t>
            </w:r>
            <w:r w:rsidRPr="00915C0D">
              <w:rPr>
                <w:rFonts w:ascii="Times New Roman" w:eastAsia="Arial Unicode MS" w:hAnsi="Times New Roman"/>
                <w:iCs/>
                <w:sz w:val="20"/>
              </w:rPr>
              <w:t>:</w:t>
            </w:r>
          </w:p>
          <w:p w14:paraId="60A3A3A9" w14:textId="7FDCF4B1" w:rsidR="00915C0D" w:rsidRPr="00915C0D" w:rsidRDefault="00915C0D" w:rsidP="00915C0D">
            <w:pPr>
              <w:rPr>
                <w:rFonts w:ascii="Times New Roman" w:eastAsia="Arial Unicode MS" w:hAnsi="Times New Roman"/>
                <w:sz w:val="20"/>
              </w:rPr>
            </w:pPr>
            <w:r w:rsidRPr="00915C0D">
              <w:rPr>
                <w:rFonts w:ascii="Times New Roman" w:eastAsia="Arial Unicode MS" w:hAnsi="Times New Roman"/>
                <w:iCs/>
                <w:sz w:val="20"/>
              </w:rPr>
              <w:t>Governance and policy framework that support the implementation of the LCDS</w:t>
            </w:r>
            <w:r w:rsidR="00AD1241">
              <w:rPr>
                <w:rFonts w:ascii="Times New Roman" w:eastAsia="Arial Unicode MS" w:hAnsi="Times New Roman"/>
                <w:iCs/>
                <w:sz w:val="20"/>
              </w:rPr>
              <w:t xml:space="preserve"> </w:t>
            </w:r>
            <w:r w:rsidRPr="00915C0D">
              <w:rPr>
                <w:rFonts w:ascii="Times New Roman" w:eastAsia="Arial Unicode MS" w:hAnsi="Times New Roman"/>
                <w:iCs/>
                <w:sz w:val="20"/>
              </w:rPr>
              <w:t>strengthened and its sustainability improved</w:t>
            </w:r>
          </w:p>
        </w:tc>
        <w:tc>
          <w:tcPr>
            <w:tcW w:w="2363" w:type="dxa"/>
          </w:tcPr>
          <w:p w14:paraId="00CA7FBD" w14:textId="77777777" w:rsidR="00915C0D" w:rsidRPr="00915C0D" w:rsidRDefault="00915C0D" w:rsidP="00CE5909">
            <w:pPr>
              <w:pStyle w:val="ListParagraph"/>
              <w:numPr>
                <w:ilvl w:val="0"/>
                <w:numId w:val="20"/>
              </w:numPr>
              <w:ind w:left="162" w:hanging="180"/>
              <w:jc w:val="left"/>
              <w:rPr>
                <w:rFonts w:ascii="Times New Roman" w:eastAsia="Arial Unicode MS" w:hAnsi="Times New Roman"/>
                <w:sz w:val="20"/>
              </w:rPr>
            </w:pPr>
            <w:r w:rsidRPr="00915C0D">
              <w:rPr>
                <w:rFonts w:ascii="Times New Roman" w:eastAsia="Arial Unicode MS" w:hAnsi="Times New Roman"/>
                <w:sz w:val="20"/>
              </w:rPr>
              <w:t>Policy and regulatory framework enhanced</w:t>
            </w:r>
          </w:p>
        </w:tc>
        <w:tc>
          <w:tcPr>
            <w:tcW w:w="2610" w:type="dxa"/>
          </w:tcPr>
          <w:p w14:paraId="73931401" w14:textId="77777777" w:rsidR="00915C0D" w:rsidRPr="00915C0D" w:rsidRDefault="00915C0D" w:rsidP="00CE5909">
            <w:pPr>
              <w:pStyle w:val="ListParagraph"/>
              <w:numPr>
                <w:ilvl w:val="0"/>
                <w:numId w:val="20"/>
              </w:numPr>
              <w:ind w:left="162" w:hanging="180"/>
              <w:jc w:val="left"/>
              <w:rPr>
                <w:rFonts w:ascii="Times New Roman" w:eastAsia="Arial Unicode MS" w:hAnsi="Times New Roman"/>
                <w:sz w:val="20"/>
              </w:rPr>
            </w:pPr>
            <w:r w:rsidRPr="00915C0D">
              <w:rPr>
                <w:rFonts w:ascii="Times New Roman" w:eastAsia="Arial Unicode MS" w:hAnsi="Times New Roman"/>
                <w:sz w:val="20"/>
              </w:rPr>
              <w:t>LCDS version 2010</w:t>
            </w:r>
          </w:p>
          <w:p w14:paraId="6C7359DB" w14:textId="77777777" w:rsidR="00915C0D" w:rsidRPr="00915C0D" w:rsidRDefault="00915C0D" w:rsidP="00CE5909">
            <w:pPr>
              <w:pStyle w:val="ListParagraph"/>
              <w:numPr>
                <w:ilvl w:val="0"/>
                <w:numId w:val="20"/>
              </w:numPr>
              <w:ind w:left="162" w:hanging="180"/>
              <w:jc w:val="left"/>
              <w:rPr>
                <w:rFonts w:ascii="Times New Roman" w:eastAsia="Arial Unicode MS" w:hAnsi="Times New Roman"/>
                <w:sz w:val="20"/>
              </w:rPr>
            </w:pPr>
            <w:r w:rsidRPr="00915C0D">
              <w:rPr>
                <w:rFonts w:ascii="Times New Roman" w:eastAsia="Arial Unicode MS" w:hAnsi="Times New Roman"/>
                <w:sz w:val="20"/>
              </w:rPr>
              <w:t>Limited environment regulations for extractive industries</w:t>
            </w:r>
          </w:p>
        </w:tc>
        <w:tc>
          <w:tcPr>
            <w:tcW w:w="3667" w:type="dxa"/>
          </w:tcPr>
          <w:p w14:paraId="204B16BA" w14:textId="77777777" w:rsidR="00915C0D" w:rsidRPr="00915C0D" w:rsidRDefault="00915C0D" w:rsidP="00CE5909">
            <w:pPr>
              <w:pStyle w:val="ListParagraph"/>
              <w:numPr>
                <w:ilvl w:val="0"/>
                <w:numId w:val="20"/>
              </w:numPr>
              <w:ind w:left="162" w:hanging="180"/>
              <w:jc w:val="left"/>
              <w:rPr>
                <w:rFonts w:ascii="Times New Roman" w:eastAsia="Arial Unicode MS" w:hAnsi="Times New Roman"/>
                <w:sz w:val="20"/>
              </w:rPr>
            </w:pPr>
            <w:r w:rsidRPr="00915C0D">
              <w:rPr>
                <w:rFonts w:ascii="Times New Roman" w:eastAsia="Arial Unicode MS" w:hAnsi="Times New Roman"/>
                <w:sz w:val="20"/>
              </w:rPr>
              <w:t>LCDS 2013 update</w:t>
            </w:r>
          </w:p>
          <w:p w14:paraId="7BB3B442" w14:textId="77777777" w:rsidR="00915C0D" w:rsidRPr="00915C0D" w:rsidRDefault="00915C0D" w:rsidP="00CE5909">
            <w:pPr>
              <w:pStyle w:val="ListParagraph"/>
              <w:numPr>
                <w:ilvl w:val="0"/>
                <w:numId w:val="20"/>
              </w:numPr>
              <w:ind w:left="162" w:hanging="180"/>
              <w:jc w:val="left"/>
              <w:rPr>
                <w:rFonts w:ascii="Times New Roman" w:eastAsia="Arial Unicode MS" w:hAnsi="Times New Roman"/>
                <w:sz w:val="20"/>
              </w:rPr>
            </w:pPr>
            <w:r w:rsidRPr="00915C0D">
              <w:rPr>
                <w:rFonts w:ascii="Times New Roman" w:eastAsia="Arial Unicode MS" w:hAnsi="Times New Roman"/>
                <w:sz w:val="20"/>
              </w:rPr>
              <w:t>Environment regulations for extractive industries reviewed/approved</w:t>
            </w:r>
          </w:p>
        </w:tc>
        <w:tc>
          <w:tcPr>
            <w:tcW w:w="2110" w:type="dxa"/>
          </w:tcPr>
          <w:p w14:paraId="38174E40" w14:textId="77777777" w:rsidR="00915C0D" w:rsidRPr="00915C0D" w:rsidRDefault="00915C0D" w:rsidP="00CE5909">
            <w:pPr>
              <w:pStyle w:val="ListParagraph"/>
              <w:numPr>
                <w:ilvl w:val="0"/>
                <w:numId w:val="20"/>
              </w:numPr>
              <w:ind w:left="162" w:hanging="180"/>
              <w:jc w:val="left"/>
              <w:rPr>
                <w:rFonts w:ascii="Times New Roman" w:eastAsia="Arial Unicode MS" w:hAnsi="Times New Roman"/>
                <w:sz w:val="20"/>
              </w:rPr>
            </w:pPr>
            <w:r w:rsidRPr="00915C0D">
              <w:rPr>
                <w:rFonts w:ascii="Times New Roman" w:eastAsia="Arial Unicode MS" w:hAnsi="Times New Roman"/>
                <w:sz w:val="20"/>
              </w:rPr>
              <w:t>Press release</w:t>
            </w:r>
          </w:p>
          <w:p w14:paraId="7121B3E8" w14:textId="77777777" w:rsidR="00915C0D" w:rsidRPr="00915C0D" w:rsidRDefault="00915C0D" w:rsidP="00CE5909">
            <w:pPr>
              <w:pStyle w:val="ListParagraph"/>
              <w:numPr>
                <w:ilvl w:val="0"/>
                <w:numId w:val="20"/>
              </w:numPr>
              <w:ind w:left="162" w:hanging="180"/>
              <w:jc w:val="left"/>
              <w:rPr>
                <w:rFonts w:ascii="Times New Roman" w:eastAsia="Arial Unicode MS" w:hAnsi="Times New Roman"/>
                <w:sz w:val="20"/>
              </w:rPr>
            </w:pPr>
            <w:r w:rsidRPr="00915C0D">
              <w:rPr>
                <w:rFonts w:ascii="Times New Roman" w:eastAsia="Arial Unicode MS" w:hAnsi="Times New Roman"/>
                <w:sz w:val="20"/>
              </w:rPr>
              <w:t>Reports</w:t>
            </w:r>
          </w:p>
        </w:tc>
      </w:tr>
      <w:tr w:rsidR="002F21BD" w:rsidRPr="00915C0D" w14:paraId="2D8715F5" w14:textId="77777777" w:rsidTr="00915C0D">
        <w:tc>
          <w:tcPr>
            <w:tcW w:w="2245" w:type="dxa"/>
            <w:vMerge/>
          </w:tcPr>
          <w:p w14:paraId="5014F512" w14:textId="77777777" w:rsidR="00915C0D" w:rsidRPr="00915C0D" w:rsidRDefault="00915C0D" w:rsidP="00915C0D">
            <w:pPr>
              <w:rPr>
                <w:rFonts w:ascii="Times New Roman" w:eastAsia="Arial Unicode MS" w:hAnsi="Times New Roman"/>
                <w:iCs/>
                <w:sz w:val="20"/>
              </w:rPr>
            </w:pPr>
          </w:p>
        </w:tc>
        <w:tc>
          <w:tcPr>
            <w:tcW w:w="2363" w:type="dxa"/>
          </w:tcPr>
          <w:p w14:paraId="4F0AA2E2" w14:textId="77777777" w:rsidR="00915C0D" w:rsidRPr="00915C0D" w:rsidRDefault="00915C0D" w:rsidP="00CE5909">
            <w:pPr>
              <w:pStyle w:val="ListParagraph"/>
              <w:numPr>
                <w:ilvl w:val="0"/>
                <w:numId w:val="20"/>
              </w:numPr>
              <w:ind w:left="162" w:hanging="180"/>
              <w:jc w:val="left"/>
              <w:rPr>
                <w:rFonts w:ascii="Times New Roman" w:eastAsia="Arial Unicode MS" w:hAnsi="Times New Roman"/>
                <w:sz w:val="20"/>
              </w:rPr>
            </w:pPr>
            <w:r w:rsidRPr="00915C0D">
              <w:rPr>
                <w:rFonts w:ascii="Times New Roman" w:eastAsia="Arial Unicode MS" w:hAnsi="Times New Roman"/>
                <w:sz w:val="20"/>
              </w:rPr>
              <w:t>MNRE strengthened by implementing its strategic plan</w:t>
            </w:r>
          </w:p>
        </w:tc>
        <w:tc>
          <w:tcPr>
            <w:tcW w:w="2610" w:type="dxa"/>
          </w:tcPr>
          <w:p w14:paraId="66178ECB" w14:textId="77777777" w:rsidR="00915C0D" w:rsidRPr="00915C0D" w:rsidRDefault="00915C0D" w:rsidP="00CE5909">
            <w:pPr>
              <w:pStyle w:val="ListParagraph"/>
              <w:numPr>
                <w:ilvl w:val="0"/>
                <w:numId w:val="20"/>
              </w:numPr>
              <w:ind w:left="162" w:hanging="180"/>
              <w:jc w:val="left"/>
              <w:rPr>
                <w:rFonts w:ascii="Times New Roman" w:eastAsia="Arial Unicode MS" w:hAnsi="Times New Roman"/>
                <w:sz w:val="20"/>
              </w:rPr>
            </w:pPr>
            <w:r w:rsidRPr="00915C0D">
              <w:rPr>
                <w:rFonts w:ascii="Times New Roman" w:eastAsia="Arial Unicode MS" w:hAnsi="Times New Roman"/>
                <w:sz w:val="20"/>
              </w:rPr>
              <w:t>MNRE does not have a strategic plan</w:t>
            </w:r>
          </w:p>
        </w:tc>
        <w:tc>
          <w:tcPr>
            <w:tcW w:w="3667" w:type="dxa"/>
          </w:tcPr>
          <w:p w14:paraId="30CDE1A8" w14:textId="77777777" w:rsidR="00915C0D" w:rsidRPr="00915C0D" w:rsidRDefault="00915C0D" w:rsidP="00CE5909">
            <w:pPr>
              <w:pStyle w:val="ListParagraph"/>
              <w:numPr>
                <w:ilvl w:val="0"/>
                <w:numId w:val="20"/>
              </w:numPr>
              <w:ind w:left="162" w:hanging="180"/>
              <w:jc w:val="left"/>
              <w:rPr>
                <w:rFonts w:ascii="Times New Roman" w:eastAsia="Arial Unicode MS" w:hAnsi="Times New Roman"/>
                <w:sz w:val="20"/>
              </w:rPr>
            </w:pPr>
            <w:r w:rsidRPr="00915C0D">
              <w:rPr>
                <w:rFonts w:ascii="Times New Roman" w:eastAsia="Arial Unicode MS" w:hAnsi="Times New Roman"/>
                <w:sz w:val="20"/>
              </w:rPr>
              <w:t>MNRE strategic plan approved and implemented</w:t>
            </w:r>
          </w:p>
        </w:tc>
        <w:tc>
          <w:tcPr>
            <w:tcW w:w="2110" w:type="dxa"/>
          </w:tcPr>
          <w:p w14:paraId="6556B0B0" w14:textId="77777777" w:rsidR="00915C0D" w:rsidRPr="00915C0D" w:rsidRDefault="00915C0D" w:rsidP="00CE5909">
            <w:pPr>
              <w:pStyle w:val="ListParagraph"/>
              <w:numPr>
                <w:ilvl w:val="0"/>
                <w:numId w:val="20"/>
              </w:numPr>
              <w:ind w:left="162" w:hanging="180"/>
              <w:jc w:val="left"/>
              <w:rPr>
                <w:rFonts w:ascii="Times New Roman" w:eastAsia="Arial Unicode MS" w:hAnsi="Times New Roman"/>
                <w:sz w:val="20"/>
              </w:rPr>
            </w:pPr>
            <w:r w:rsidRPr="00915C0D">
              <w:rPr>
                <w:rFonts w:ascii="Times New Roman" w:eastAsia="Arial Unicode MS" w:hAnsi="Times New Roman"/>
                <w:sz w:val="20"/>
              </w:rPr>
              <w:t>Document of Strategic Plan</w:t>
            </w:r>
          </w:p>
          <w:p w14:paraId="49C534CA" w14:textId="77777777" w:rsidR="00915C0D" w:rsidRPr="00915C0D" w:rsidRDefault="00915C0D" w:rsidP="00CE5909">
            <w:pPr>
              <w:pStyle w:val="ListParagraph"/>
              <w:numPr>
                <w:ilvl w:val="0"/>
                <w:numId w:val="20"/>
              </w:numPr>
              <w:ind w:left="162" w:hanging="180"/>
              <w:jc w:val="left"/>
              <w:rPr>
                <w:rFonts w:ascii="Times New Roman" w:eastAsia="Arial Unicode MS" w:hAnsi="Times New Roman"/>
                <w:sz w:val="20"/>
              </w:rPr>
            </w:pPr>
            <w:r w:rsidRPr="00915C0D">
              <w:rPr>
                <w:rFonts w:ascii="Times New Roman" w:eastAsia="Arial Unicode MS" w:hAnsi="Times New Roman"/>
                <w:sz w:val="20"/>
              </w:rPr>
              <w:t>Reports on progress</w:t>
            </w:r>
          </w:p>
        </w:tc>
      </w:tr>
      <w:tr w:rsidR="002F21BD" w:rsidRPr="00915C0D" w14:paraId="780E235B" w14:textId="77777777" w:rsidTr="00915C0D">
        <w:tc>
          <w:tcPr>
            <w:tcW w:w="2245" w:type="dxa"/>
            <w:vMerge/>
          </w:tcPr>
          <w:p w14:paraId="3262130C" w14:textId="77777777" w:rsidR="00915C0D" w:rsidRPr="00915C0D" w:rsidRDefault="00915C0D" w:rsidP="00915C0D">
            <w:pPr>
              <w:rPr>
                <w:rFonts w:ascii="Times New Roman" w:eastAsia="Arial Unicode MS" w:hAnsi="Times New Roman"/>
                <w:iCs/>
                <w:sz w:val="20"/>
              </w:rPr>
            </w:pPr>
          </w:p>
        </w:tc>
        <w:tc>
          <w:tcPr>
            <w:tcW w:w="2363" w:type="dxa"/>
          </w:tcPr>
          <w:p w14:paraId="7781924A" w14:textId="77777777" w:rsidR="00915C0D" w:rsidRPr="00915C0D" w:rsidRDefault="00915C0D" w:rsidP="00CE5909">
            <w:pPr>
              <w:pStyle w:val="ListParagraph"/>
              <w:numPr>
                <w:ilvl w:val="0"/>
                <w:numId w:val="20"/>
              </w:numPr>
              <w:ind w:left="162" w:hanging="180"/>
              <w:jc w:val="left"/>
              <w:rPr>
                <w:rFonts w:ascii="Times New Roman" w:eastAsia="Arial Unicode MS" w:hAnsi="Times New Roman"/>
                <w:sz w:val="20"/>
              </w:rPr>
            </w:pPr>
            <w:r w:rsidRPr="00915C0D">
              <w:rPr>
                <w:rFonts w:ascii="Times New Roman" w:eastAsia="Arial Unicode MS" w:hAnsi="Times New Roman"/>
                <w:sz w:val="20"/>
              </w:rPr>
              <w:t>MRVS operative</w:t>
            </w:r>
          </w:p>
        </w:tc>
        <w:tc>
          <w:tcPr>
            <w:tcW w:w="2610" w:type="dxa"/>
          </w:tcPr>
          <w:p w14:paraId="40D62668" w14:textId="77777777" w:rsidR="00915C0D" w:rsidRPr="00915C0D" w:rsidRDefault="00915C0D" w:rsidP="00CE5909">
            <w:pPr>
              <w:pStyle w:val="ListParagraph"/>
              <w:numPr>
                <w:ilvl w:val="0"/>
                <w:numId w:val="20"/>
              </w:numPr>
              <w:ind w:left="162" w:hanging="180"/>
              <w:jc w:val="left"/>
              <w:rPr>
                <w:rFonts w:ascii="Times New Roman" w:eastAsia="Arial Unicode MS" w:hAnsi="Times New Roman"/>
                <w:sz w:val="20"/>
              </w:rPr>
            </w:pPr>
            <w:r w:rsidRPr="00915C0D">
              <w:rPr>
                <w:rFonts w:ascii="Times New Roman" w:eastAsia="Arial Unicode MS" w:hAnsi="Times New Roman"/>
                <w:sz w:val="20"/>
              </w:rPr>
              <w:t>MRVS in start-up phase</w:t>
            </w:r>
          </w:p>
        </w:tc>
        <w:tc>
          <w:tcPr>
            <w:tcW w:w="3667" w:type="dxa"/>
          </w:tcPr>
          <w:p w14:paraId="728C31A1" w14:textId="77777777" w:rsidR="00915C0D" w:rsidRPr="00915C0D" w:rsidRDefault="00915C0D" w:rsidP="00CE5909">
            <w:pPr>
              <w:pStyle w:val="ListParagraph"/>
              <w:numPr>
                <w:ilvl w:val="0"/>
                <w:numId w:val="20"/>
              </w:numPr>
              <w:ind w:left="162" w:hanging="180"/>
              <w:jc w:val="left"/>
              <w:rPr>
                <w:rFonts w:ascii="Times New Roman" w:eastAsia="Arial Unicode MS" w:hAnsi="Times New Roman"/>
                <w:sz w:val="20"/>
                <w:lang w:val="fr-FR"/>
              </w:rPr>
            </w:pPr>
            <w:r w:rsidRPr="00915C0D">
              <w:rPr>
                <w:rFonts w:ascii="Times New Roman" w:eastAsia="Arial Unicode MS" w:hAnsi="Times New Roman"/>
                <w:sz w:val="20"/>
                <w:lang w:val="fr-FR"/>
              </w:rPr>
              <w:t xml:space="preserve">MRVS issues </w:t>
            </w:r>
            <w:proofErr w:type="spellStart"/>
            <w:r w:rsidRPr="00915C0D">
              <w:rPr>
                <w:rFonts w:ascii="Times New Roman" w:eastAsia="Arial Unicode MS" w:hAnsi="Times New Roman"/>
                <w:sz w:val="20"/>
                <w:lang w:val="fr-FR"/>
              </w:rPr>
              <w:t>carbon</w:t>
            </w:r>
            <w:proofErr w:type="spellEnd"/>
            <w:r w:rsidRPr="00915C0D">
              <w:rPr>
                <w:rFonts w:ascii="Times New Roman" w:eastAsia="Arial Unicode MS" w:hAnsi="Times New Roman"/>
                <w:sz w:val="20"/>
                <w:lang w:val="fr-FR"/>
              </w:rPr>
              <w:t xml:space="preserve"> impact, </w:t>
            </w:r>
            <w:proofErr w:type="spellStart"/>
            <w:r w:rsidRPr="00915C0D">
              <w:rPr>
                <w:rFonts w:ascii="Times New Roman" w:eastAsia="Arial Unicode MS" w:hAnsi="Times New Roman"/>
                <w:sz w:val="20"/>
                <w:lang w:val="fr-FR"/>
              </w:rPr>
              <w:t>carbon</w:t>
            </w:r>
            <w:proofErr w:type="spellEnd"/>
            <w:r w:rsidRPr="00915C0D">
              <w:rPr>
                <w:rFonts w:ascii="Times New Roman" w:eastAsia="Arial Unicode MS" w:hAnsi="Times New Roman"/>
                <w:sz w:val="20"/>
                <w:lang w:val="fr-FR"/>
              </w:rPr>
              <w:t xml:space="preserve"> stratification &amp; </w:t>
            </w:r>
            <w:proofErr w:type="spellStart"/>
            <w:r w:rsidRPr="00915C0D">
              <w:rPr>
                <w:rFonts w:ascii="Times New Roman" w:eastAsia="Arial Unicode MS" w:hAnsi="Times New Roman"/>
                <w:sz w:val="20"/>
                <w:lang w:val="fr-FR"/>
              </w:rPr>
              <w:t>carbon</w:t>
            </w:r>
            <w:proofErr w:type="spellEnd"/>
            <w:r w:rsidRPr="00915C0D">
              <w:rPr>
                <w:rFonts w:ascii="Times New Roman" w:eastAsia="Arial Unicode MS" w:hAnsi="Times New Roman"/>
                <w:sz w:val="20"/>
                <w:lang w:val="fr-FR"/>
              </w:rPr>
              <w:t xml:space="preserve"> expansion </w:t>
            </w:r>
            <w:proofErr w:type="spellStart"/>
            <w:r w:rsidRPr="00915C0D">
              <w:rPr>
                <w:rFonts w:ascii="Times New Roman" w:eastAsia="Arial Unicode MS" w:hAnsi="Times New Roman"/>
                <w:sz w:val="20"/>
                <w:lang w:val="fr-FR"/>
              </w:rPr>
              <w:t>assessments</w:t>
            </w:r>
            <w:proofErr w:type="spellEnd"/>
            <w:r w:rsidRPr="00915C0D">
              <w:rPr>
                <w:rFonts w:ascii="Times New Roman" w:eastAsia="Arial Unicode MS" w:hAnsi="Times New Roman"/>
                <w:sz w:val="20"/>
                <w:lang w:val="fr-FR"/>
              </w:rPr>
              <w:t xml:space="preserve"> </w:t>
            </w:r>
          </w:p>
        </w:tc>
        <w:tc>
          <w:tcPr>
            <w:tcW w:w="2110" w:type="dxa"/>
          </w:tcPr>
          <w:p w14:paraId="0758E321" w14:textId="77777777" w:rsidR="00915C0D" w:rsidRPr="00915C0D" w:rsidRDefault="00915C0D" w:rsidP="00CE5909">
            <w:pPr>
              <w:pStyle w:val="ListParagraph"/>
              <w:numPr>
                <w:ilvl w:val="0"/>
                <w:numId w:val="20"/>
              </w:numPr>
              <w:ind w:left="162" w:hanging="180"/>
              <w:jc w:val="left"/>
              <w:rPr>
                <w:rFonts w:ascii="Times New Roman" w:eastAsia="Arial Unicode MS" w:hAnsi="Times New Roman"/>
                <w:sz w:val="20"/>
              </w:rPr>
            </w:pPr>
            <w:r w:rsidRPr="00915C0D">
              <w:rPr>
                <w:rFonts w:ascii="Times New Roman" w:eastAsia="Arial Unicode MS" w:hAnsi="Times New Roman"/>
                <w:sz w:val="20"/>
              </w:rPr>
              <w:t>Reports of MRVS</w:t>
            </w:r>
          </w:p>
        </w:tc>
      </w:tr>
    </w:tbl>
    <w:p w14:paraId="516F4701" w14:textId="77777777" w:rsidR="00915C0D" w:rsidRPr="00915C0D" w:rsidRDefault="00915C0D" w:rsidP="00915C0D">
      <w:pPr>
        <w:jc w:val="center"/>
        <w:rPr>
          <w:rFonts w:ascii="Times New Roman" w:hAnsi="Times New Roman"/>
          <w:b/>
          <w:sz w:val="24"/>
        </w:rPr>
      </w:pPr>
      <w:r w:rsidRPr="00915C0D">
        <w:rPr>
          <w:rFonts w:ascii="Times New Roman" w:hAnsi="Times New Roman"/>
          <w:b/>
          <w:sz w:val="24"/>
        </w:rPr>
        <w:br w:type="textWrapping" w:clear="all"/>
      </w:r>
    </w:p>
    <w:p w14:paraId="3503CF66" w14:textId="77777777" w:rsidR="00915C0D" w:rsidRPr="00915C0D" w:rsidRDefault="00915C0D" w:rsidP="00915C0D">
      <w:pPr>
        <w:jc w:val="center"/>
        <w:rPr>
          <w:rFonts w:ascii="Times New Roman" w:hAnsi="Times New Roman"/>
          <w:b/>
          <w:sz w:val="24"/>
        </w:rPr>
      </w:pPr>
      <w:r w:rsidRPr="00915C0D">
        <w:rPr>
          <w:rFonts w:ascii="Times New Roman" w:hAnsi="Times New Roman"/>
          <w:b/>
          <w:sz w:val="24"/>
        </w:rPr>
        <w:t>COMPONENT RESULTS &amp; INDICATORS</w:t>
      </w:r>
    </w:p>
    <w:tbl>
      <w:tblPr>
        <w:tblStyle w:val="TableGrid"/>
        <w:tblW w:w="13214" w:type="dxa"/>
        <w:tblLayout w:type="fixed"/>
        <w:tblLook w:val="04A0" w:firstRow="1" w:lastRow="0" w:firstColumn="1" w:lastColumn="0" w:noHBand="0" w:noVBand="1"/>
      </w:tblPr>
      <w:tblGrid>
        <w:gridCol w:w="1908"/>
        <w:gridCol w:w="2114"/>
        <w:gridCol w:w="1182"/>
        <w:gridCol w:w="1485"/>
        <w:gridCol w:w="1485"/>
        <w:gridCol w:w="1654"/>
        <w:gridCol w:w="1316"/>
        <w:gridCol w:w="304"/>
        <w:gridCol w:w="1766"/>
      </w:tblGrid>
      <w:tr w:rsidR="002F21BD" w:rsidRPr="00915C0D" w14:paraId="6BBAF60E" w14:textId="77777777" w:rsidTr="00915C0D">
        <w:trPr>
          <w:tblHeader/>
        </w:trPr>
        <w:tc>
          <w:tcPr>
            <w:tcW w:w="1908" w:type="dxa"/>
            <w:vMerge w:val="restart"/>
          </w:tcPr>
          <w:p w14:paraId="6E385451" w14:textId="77777777" w:rsidR="00915C0D" w:rsidRPr="00915C0D" w:rsidRDefault="00915C0D" w:rsidP="00915C0D">
            <w:pPr>
              <w:jc w:val="center"/>
              <w:rPr>
                <w:rFonts w:ascii="Times New Roman" w:hAnsi="Times New Roman"/>
                <w:b/>
              </w:rPr>
            </w:pPr>
            <w:r w:rsidRPr="00915C0D">
              <w:rPr>
                <w:rFonts w:ascii="Times New Roman" w:hAnsi="Times New Roman"/>
                <w:b/>
              </w:rPr>
              <w:t>Component</w:t>
            </w:r>
          </w:p>
        </w:tc>
        <w:tc>
          <w:tcPr>
            <w:tcW w:w="2114" w:type="dxa"/>
            <w:vMerge w:val="restart"/>
          </w:tcPr>
          <w:p w14:paraId="0207A695" w14:textId="77777777" w:rsidR="00915C0D" w:rsidRPr="00915C0D" w:rsidRDefault="00915C0D" w:rsidP="00915C0D">
            <w:pPr>
              <w:jc w:val="center"/>
              <w:rPr>
                <w:rFonts w:ascii="Times New Roman" w:hAnsi="Times New Roman"/>
                <w:b/>
              </w:rPr>
            </w:pPr>
            <w:r w:rsidRPr="00915C0D">
              <w:rPr>
                <w:rFonts w:ascii="Times New Roman" w:hAnsi="Times New Roman"/>
                <w:b/>
              </w:rPr>
              <w:t>Indicators</w:t>
            </w:r>
          </w:p>
        </w:tc>
        <w:tc>
          <w:tcPr>
            <w:tcW w:w="1182" w:type="dxa"/>
            <w:vMerge w:val="restart"/>
          </w:tcPr>
          <w:p w14:paraId="7A8E5F0B" w14:textId="77777777" w:rsidR="00915C0D" w:rsidRPr="00915C0D" w:rsidRDefault="00915C0D" w:rsidP="00915C0D">
            <w:pPr>
              <w:jc w:val="center"/>
              <w:rPr>
                <w:rFonts w:ascii="Times New Roman" w:hAnsi="Times New Roman"/>
                <w:b/>
              </w:rPr>
            </w:pPr>
            <w:r w:rsidRPr="00915C0D">
              <w:rPr>
                <w:rFonts w:ascii="Times New Roman" w:hAnsi="Times New Roman"/>
                <w:b/>
              </w:rPr>
              <w:t>Baseline</w:t>
            </w:r>
          </w:p>
          <w:p w14:paraId="42E11CB0" w14:textId="77777777" w:rsidR="00915C0D" w:rsidRPr="00915C0D" w:rsidRDefault="00915C0D" w:rsidP="00915C0D">
            <w:pPr>
              <w:jc w:val="center"/>
              <w:rPr>
                <w:rFonts w:ascii="Times New Roman" w:hAnsi="Times New Roman"/>
                <w:b/>
              </w:rPr>
            </w:pPr>
            <w:r w:rsidRPr="00915C0D">
              <w:rPr>
                <w:rFonts w:ascii="Times New Roman" w:hAnsi="Times New Roman"/>
                <w:b/>
              </w:rPr>
              <w:t>2013</w:t>
            </w:r>
          </w:p>
        </w:tc>
        <w:tc>
          <w:tcPr>
            <w:tcW w:w="6244" w:type="dxa"/>
            <w:gridSpan w:val="5"/>
          </w:tcPr>
          <w:p w14:paraId="511667E0" w14:textId="77777777" w:rsidR="00915C0D" w:rsidRPr="00915C0D" w:rsidRDefault="00915C0D" w:rsidP="00915C0D">
            <w:pPr>
              <w:jc w:val="center"/>
              <w:rPr>
                <w:rFonts w:ascii="Times New Roman" w:hAnsi="Times New Roman"/>
                <w:b/>
              </w:rPr>
            </w:pPr>
            <w:r w:rsidRPr="00915C0D">
              <w:rPr>
                <w:rFonts w:ascii="Times New Roman" w:hAnsi="Times New Roman"/>
                <w:b/>
              </w:rPr>
              <w:t>Targets</w:t>
            </w:r>
          </w:p>
        </w:tc>
        <w:tc>
          <w:tcPr>
            <w:tcW w:w="1766" w:type="dxa"/>
            <w:vMerge w:val="restart"/>
          </w:tcPr>
          <w:p w14:paraId="639BD158" w14:textId="77777777" w:rsidR="00915C0D" w:rsidRPr="00915C0D" w:rsidRDefault="00915C0D" w:rsidP="00915C0D">
            <w:pPr>
              <w:jc w:val="center"/>
              <w:rPr>
                <w:rFonts w:ascii="Times New Roman" w:hAnsi="Times New Roman"/>
                <w:b/>
              </w:rPr>
            </w:pPr>
            <w:r w:rsidRPr="00915C0D">
              <w:rPr>
                <w:rFonts w:ascii="Times New Roman" w:hAnsi="Times New Roman"/>
                <w:b/>
              </w:rPr>
              <w:t>Verification Means</w:t>
            </w:r>
          </w:p>
        </w:tc>
      </w:tr>
      <w:tr w:rsidR="002F21BD" w:rsidRPr="00915C0D" w14:paraId="2FBC2513" w14:textId="77777777" w:rsidTr="00915C0D">
        <w:trPr>
          <w:trHeight w:val="305"/>
          <w:tblHeader/>
        </w:trPr>
        <w:tc>
          <w:tcPr>
            <w:tcW w:w="1908" w:type="dxa"/>
            <w:vMerge/>
          </w:tcPr>
          <w:p w14:paraId="7E7E7629" w14:textId="77777777" w:rsidR="00915C0D" w:rsidRPr="00915C0D" w:rsidRDefault="00915C0D" w:rsidP="00915C0D">
            <w:pPr>
              <w:pStyle w:val="ListParagraph"/>
              <w:tabs>
                <w:tab w:val="left" w:pos="352"/>
              </w:tabs>
              <w:spacing w:before="120"/>
              <w:ind w:left="360"/>
              <w:contextualSpacing w:val="0"/>
              <w:jc w:val="center"/>
              <w:rPr>
                <w:rFonts w:ascii="Times New Roman" w:hAnsi="Times New Roman"/>
                <w:b/>
                <w:sz w:val="20"/>
              </w:rPr>
            </w:pPr>
          </w:p>
        </w:tc>
        <w:tc>
          <w:tcPr>
            <w:tcW w:w="2114" w:type="dxa"/>
            <w:vMerge/>
          </w:tcPr>
          <w:p w14:paraId="5488057E" w14:textId="77777777" w:rsidR="00915C0D" w:rsidRPr="00915C0D" w:rsidRDefault="00915C0D" w:rsidP="00915C0D">
            <w:pPr>
              <w:tabs>
                <w:tab w:val="left" w:pos="352"/>
              </w:tabs>
              <w:rPr>
                <w:rFonts w:ascii="Times New Roman" w:hAnsi="Times New Roman"/>
                <w:sz w:val="20"/>
              </w:rPr>
            </w:pPr>
          </w:p>
        </w:tc>
        <w:tc>
          <w:tcPr>
            <w:tcW w:w="1182" w:type="dxa"/>
            <w:vMerge/>
          </w:tcPr>
          <w:p w14:paraId="0147A3B2" w14:textId="77777777" w:rsidR="00915C0D" w:rsidRPr="00915C0D" w:rsidRDefault="00915C0D" w:rsidP="00915C0D">
            <w:pPr>
              <w:tabs>
                <w:tab w:val="left" w:pos="352"/>
              </w:tabs>
              <w:rPr>
                <w:rFonts w:ascii="Times New Roman" w:hAnsi="Times New Roman"/>
                <w:sz w:val="20"/>
              </w:rPr>
            </w:pPr>
          </w:p>
        </w:tc>
        <w:tc>
          <w:tcPr>
            <w:tcW w:w="1485" w:type="dxa"/>
          </w:tcPr>
          <w:p w14:paraId="345F8CE0" w14:textId="77777777" w:rsidR="00915C0D" w:rsidRPr="00915C0D" w:rsidRDefault="00915C0D" w:rsidP="00915C0D">
            <w:pPr>
              <w:tabs>
                <w:tab w:val="left" w:pos="352"/>
              </w:tabs>
              <w:jc w:val="center"/>
              <w:rPr>
                <w:rFonts w:ascii="Times New Roman" w:hAnsi="Times New Roman"/>
                <w:sz w:val="20"/>
              </w:rPr>
            </w:pPr>
            <w:r w:rsidRPr="00915C0D">
              <w:rPr>
                <w:rFonts w:ascii="Times New Roman" w:hAnsi="Times New Roman"/>
                <w:sz w:val="20"/>
              </w:rPr>
              <w:t>2013</w:t>
            </w:r>
          </w:p>
        </w:tc>
        <w:tc>
          <w:tcPr>
            <w:tcW w:w="1485" w:type="dxa"/>
          </w:tcPr>
          <w:p w14:paraId="50AC4378" w14:textId="77777777" w:rsidR="00915C0D" w:rsidRPr="00915C0D" w:rsidRDefault="00915C0D" w:rsidP="00915C0D">
            <w:pPr>
              <w:tabs>
                <w:tab w:val="left" w:pos="352"/>
              </w:tabs>
              <w:jc w:val="center"/>
              <w:rPr>
                <w:rFonts w:ascii="Times New Roman" w:hAnsi="Times New Roman"/>
                <w:sz w:val="20"/>
              </w:rPr>
            </w:pPr>
            <w:r w:rsidRPr="00915C0D">
              <w:rPr>
                <w:rFonts w:ascii="Times New Roman" w:hAnsi="Times New Roman"/>
                <w:sz w:val="20"/>
              </w:rPr>
              <w:t>2014</w:t>
            </w:r>
          </w:p>
        </w:tc>
        <w:tc>
          <w:tcPr>
            <w:tcW w:w="1654" w:type="dxa"/>
          </w:tcPr>
          <w:p w14:paraId="7BA52C9E" w14:textId="77777777" w:rsidR="00915C0D" w:rsidRPr="00915C0D" w:rsidRDefault="00915C0D" w:rsidP="00915C0D">
            <w:pPr>
              <w:tabs>
                <w:tab w:val="left" w:pos="352"/>
              </w:tabs>
              <w:jc w:val="center"/>
              <w:rPr>
                <w:rFonts w:ascii="Times New Roman" w:hAnsi="Times New Roman"/>
                <w:sz w:val="20"/>
              </w:rPr>
            </w:pPr>
            <w:r w:rsidRPr="00915C0D">
              <w:rPr>
                <w:rFonts w:ascii="Times New Roman" w:hAnsi="Times New Roman"/>
                <w:sz w:val="20"/>
              </w:rPr>
              <w:t>2015</w:t>
            </w:r>
          </w:p>
        </w:tc>
        <w:tc>
          <w:tcPr>
            <w:tcW w:w="1620" w:type="dxa"/>
            <w:gridSpan w:val="2"/>
          </w:tcPr>
          <w:p w14:paraId="0AAD9FA4" w14:textId="77777777" w:rsidR="00915C0D" w:rsidRPr="00915C0D" w:rsidRDefault="00915C0D" w:rsidP="00915C0D">
            <w:pPr>
              <w:tabs>
                <w:tab w:val="left" w:pos="352"/>
              </w:tabs>
              <w:jc w:val="center"/>
              <w:rPr>
                <w:rFonts w:ascii="Times New Roman" w:hAnsi="Times New Roman"/>
                <w:sz w:val="20"/>
              </w:rPr>
            </w:pPr>
            <w:r w:rsidRPr="00915C0D">
              <w:rPr>
                <w:rFonts w:ascii="Times New Roman" w:hAnsi="Times New Roman"/>
                <w:sz w:val="20"/>
              </w:rPr>
              <w:t>2016</w:t>
            </w:r>
          </w:p>
        </w:tc>
        <w:tc>
          <w:tcPr>
            <w:tcW w:w="1766" w:type="dxa"/>
            <w:vMerge/>
          </w:tcPr>
          <w:p w14:paraId="41D1FBF8" w14:textId="77777777" w:rsidR="00915C0D" w:rsidRPr="00915C0D" w:rsidRDefault="00915C0D" w:rsidP="00915C0D">
            <w:pPr>
              <w:tabs>
                <w:tab w:val="left" w:pos="352"/>
              </w:tabs>
              <w:rPr>
                <w:rFonts w:ascii="Times New Roman" w:hAnsi="Times New Roman"/>
                <w:sz w:val="20"/>
              </w:rPr>
            </w:pPr>
          </w:p>
        </w:tc>
      </w:tr>
      <w:tr w:rsidR="002F21BD" w:rsidRPr="00915C0D" w14:paraId="197BFCC2" w14:textId="77777777" w:rsidTr="00915C0D">
        <w:tc>
          <w:tcPr>
            <w:tcW w:w="1908" w:type="dxa"/>
          </w:tcPr>
          <w:p w14:paraId="5FE7046B" w14:textId="77777777" w:rsidR="00915C0D" w:rsidRPr="00915C0D" w:rsidRDefault="00915C0D" w:rsidP="00CE5909">
            <w:pPr>
              <w:pStyle w:val="ListParagraph"/>
              <w:numPr>
                <w:ilvl w:val="0"/>
                <w:numId w:val="21"/>
              </w:numPr>
              <w:tabs>
                <w:tab w:val="left" w:pos="352"/>
              </w:tabs>
              <w:spacing w:before="120" w:after="120"/>
              <w:ind w:left="360" w:hanging="360"/>
              <w:contextualSpacing w:val="0"/>
              <w:jc w:val="left"/>
              <w:rPr>
                <w:rFonts w:ascii="Times New Roman" w:hAnsi="Times New Roman"/>
                <w:b/>
                <w:sz w:val="20"/>
              </w:rPr>
            </w:pPr>
            <w:r w:rsidRPr="00915C0D">
              <w:rPr>
                <w:rFonts w:ascii="Times New Roman" w:hAnsi="Times New Roman"/>
                <w:b/>
                <w:sz w:val="20"/>
              </w:rPr>
              <w:t>Macro-economic stability</w:t>
            </w:r>
          </w:p>
        </w:tc>
        <w:tc>
          <w:tcPr>
            <w:tcW w:w="11306" w:type="dxa"/>
            <w:gridSpan w:val="8"/>
          </w:tcPr>
          <w:p w14:paraId="3CA177C1" w14:textId="77777777" w:rsidR="00915C0D" w:rsidRPr="00915C0D" w:rsidRDefault="00915C0D" w:rsidP="00915C0D">
            <w:pPr>
              <w:tabs>
                <w:tab w:val="left" w:pos="352"/>
              </w:tabs>
              <w:spacing w:before="120" w:after="120"/>
              <w:rPr>
                <w:rFonts w:ascii="Times New Roman" w:hAnsi="Times New Roman"/>
                <w:sz w:val="20"/>
              </w:rPr>
            </w:pPr>
            <w:r w:rsidRPr="00915C0D">
              <w:rPr>
                <w:rFonts w:ascii="Times New Roman" w:hAnsi="Times New Roman"/>
                <w:b/>
                <w:sz w:val="20"/>
              </w:rPr>
              <w:t>Result 1: Continued macro-economic stability</w:t>
            </w:r>
          </w:p>
        </w:tc>
      </w:tr>
      <w:tr w:rsidR="002F21BD" w:rsidRPr="00915C0D" w14:paraId="7DA2F131" w14:textId="77777777" w:rsidTr="00915C0D">
        <w:tc>
          <w:tcPr>
            <w:tcW w:w="1908" w:type="dxa"/>
          </w:tcPr>
          <w:p w14:paraId="449C698E" w14:textId="77777777" w:rsidR="00915C0D" w:rsidRPr="00915C0D" w:rsidRDefault="00915C0D" w:rsidP="00915C0D">
            <w:pPr>
              <w:tabs>
                <w:tab w:val="left" w:pos="360"/>
              </w:tabs>
              <w:rPr>
                <w:rFonts w:ascii="Times New Roman" w:hAnsi="Times New Roman"/>
                <w:sz w:val="20"/>
              </w:rPr>
            </w:pPr>
          </w:p>
        </w:tc>
        <w:tc>
          <w:tcPr>
            <w:tcW w:w="2114" w:type="dxa"/>
          </w:tcPr>
          <w:p w14:paraId="3F8A4693" w14:textId="77777777" w:rsidR="00915C0D" w:rsidRPr="00915C0D" w:rsidRDefault="00915C0D" w:rsidP="00915C0D">
            <w:pPr>
              <w:rPr>
                <w:rFonts w:ascii="Times New Roman" w:hAnsi="Times New Roman"/>
                <w:sz w:val="20"/>
              </w:rPr>
            </w:pPr>
            <w:r w:rsidRPr="00915C0D">
              <w:rPr>
                <w:rFonts w:ascii="Times New Roman" w:hAnsi="Times New Roman"/>
                <w:sz w:val="20"/>
              </w:rPr>
              <w:t>Technical opinion IMA</w:t>
            </w:r>
          </w:p>
        </w:tc>
        <w:tc>
          <w:tcPr>
            <w:tcW w:w="1182" w:type="dxa"/>
          </w:tcPr>
          <w:p w14:paraId="36C25503" w14:textId="77777777" w:rsidR="00915C0D" w:rsidRPr="00915C0D" w:rsidRDefault="00915C0D" w:rsidP="00915C0D">
            <w:pPr>
              <w:rPr>
                <w:rFonts w:ascii="Times New Roman" w:hAnsi="Times New Roman"/>
                <w:sz w:val="20"/>
              </w:rPr>
            </w:pPr>
            <w:r w:rsidRPr="00915C0D">
              <w:rPr>
                <w:rFonts w:ascii="Times New Roman" w:hAnsi="Times New Roman"/>
                <w:sz w:val="20"/>
              </w:rPr>
              <w:t xml:space="preserve">Stable macro-economic framework </w:t>
            </w:r>
          </w:p>
        </w:tc>
        <w:tc>
          <w:tcPr>
            <w:tcW w:w="1485" w:type="dxa"/>
          </w:tcPr>
          <w:p w14:paraId="5844253C" w14:textId="77777777" w:rsidR="00915C0D" w:rsidRPr="00915C0D" w:rsidRDefault="00915C0D" w:rsidP="00915C0D">
            <w:pPr>
              <w:rPr>
                <w:rFonts w:ascii="Times New Roman" w:hAnsi="Times New Roman"/>
                <w:sz w:val="20"/>
              </w:rPr>
            </w:pPr>
            <w:r w:rsidRPr="00915C0D">
              <w:rPr>
                <w:rFonts w:ascii="Times New Roman" w:hAnsi="Times New Roman"/>
                <w:sz w:val="20"/>
              </w:rPr>
              <w:t>Continued</w:t>
            </w:r>
          </w:p>
        </w:tc>
        <w:tc>
          <w:tcPr>
            <w:tcW w:w="1485" w:type="dxa"/>
          </w:tcPr>
          <w:p w14:paraId="49556422" w14:textId="77777777" w:rsidR="00915C0D" w:rsidRPr="00915C0D" w:rsidRDefault="00915C0D" w:rsidP="00915C0D">
            <w:pPr>
              <w:rPr>
                <w:rFonts w:ascii="Times New Roman" w:hAnsi="Times New Roman"/>
                <w:sz w:val="20"/>
              </w:rPr>
            </w:pPr>
            <w:r w:rsidRPr="00915C0D">
              <w:rPr>
                <w:rFonts w:ascii="Times New Roman" w:hAnsi="Times New Roman"/>
                <w:sz w:val="20"/>
              </w:rPr>
              <w:t>Continued</w:t>
            </w:r>
          </w:p>
        </w:tc>
        <w:tc>
          <w:tcPr>
            <w:tcW w:w="1654" w:type="dxa"/>
          </w:tcPr>
          <w:p w14:paraId="6BEF576C" w14:textId="77777777" w:rsidR="00915C0D" w:rsidRPr="00915C0D" w:rsidRDefault="00915C0D" w:rsidP="00915C0D">
            <w:pPr>
              <w:rPr>
                <w:rFonts w:ascii="Times New Roman" w:hAnsi="Times New Roman"/>
                <w:sz w:val="20"/>
              </w:rPr>
            </w:pPr>
            <w:r w:rsidRPr="00915C0D">
              <w:rPr>
                <w:rFonts w:ascii="Times New Roman" w:hAnsi="Times New Roman"/>
                <w:sz w:val="20"/>
              </w:rPr>
              <w:t>Continued</w:t>
            </w:r>
          </w:p>
        </w:tc>
        <w:tc>
          <w:tcPr>
            <w:tcW w:w="1316" w:type="dxa"/>
          </w:tcPr>
          <w:p w14:paraId="57F9B9BA" w14:textId="77777777" w:rsidR="00915C0D" w:rsidRPr="00915C0D" w:rsidRDefault="00915C0D" w:rsidP="00915C0D">
            <w:pPr>
              <w:rPr>
                <w:rFonts w:ascii="Times New Roman" w:hAnsi="Times New Roman"/>
                <w:sz w:val="20"/>
              </w:rPr>
            </w:pPr>
            <w:r w:rsidRPr="00915C0D">
              <w:rPr>
                <w:rFonts w:ascii="Times New Roman" w:hAnsi="Times New Roman"/>
                <w:sz w:val="20"/>
              </w:rPr>
              <w:t>Continued</w:t>
            </w:r>
          </w:p>
        </w:tc>
        <w:tc>
          <w:tcPr>
            <w:tcW w:w="2070" w:type="dxa"/>
            <w:gridSpan w:val="2"/>
          </w:tcPr>
          <w:p w14:paraId="2256F933" w14:textId="77777777" w:rsidR="00915C0D" w:rsidRPr="00915C0D" w:rsidRDefault="00915C0D" w:rsidP="00915C0D">
            <w:pPr>
              <w:rPr>
                <w:rFonts w:ascii="Times New Roman" w:hAnsi="Times New Roman"/>
                <w:sz w:val="20"/>
              </w:rPr>
            </w:pPr>
            <w:r w:rsidRPr="00915C0D">
              <w:rPr>
                <w:rFonts w:ascii="Times New Roman" w:hAnsi="Times New Roman"/>
                <w:sz w:val="20"/>
              </w:rPr>
              <w:t>IMA annual report</w:t>
            </w:r>
          </w:p>
        </w:tc>
      </w:tr>
      <w:tr w:rsidR="002F21BD" w:rsidRPr="00915C0D" w14:paraId="37553681" w14:textId="77777777" w:rsidTr="00915C0D">
        <w:tc>
          <w:tcPr>
            <w:tcW w:w="1908" w:type="dxa"/>
          </w:tcPr>
          <w:p w14:paraId="6F0BD291" w14:textId="77777777" w:rsidR="00915C0D" w:rsidRPr="00915C0D" w:rsidRDefault="00915C0D" w:rsidP="00CE5909">
            <w:pPr>
              <w:pStyle w:val="ListParagraph"/>
              <w:numPr>
                <w:ilvl w:val="0"/>
                <w:numId w:val="21"/>
              </w:numPr>
              <w:tabs>
                <w:tab w:val="left" w:pos="352"/>
              </w:tabs>
              <w:spacing w:before="120" w:after="120"/>
              <w:ind w:left="360" w:hanging="360"/>
              <w:contextualSpacing w:val="0"/>
              <w:jc w:val="left"/>
              <w:rPr>
                <w:rFonts w:ascii="Times New Roman" w:hAnsi="Times New Roman"/>
                <w:b/>
                <w:sz w:val="20"/>
              </w:rPr>
            </w:pPr>
            <w:r w:rsidRPr="00915C0D">
              <w:rPr>
                <w:rFonts w:ascii="Times New Roman" w:hAnsi="Times New Roman"/>
                <w:b/>
                <w:sz w:val="20"/>
              </w:rPr>
              <w:t>Regulatory framework</w:t>
            </w:r>
          </w:p>
        </w:tc>
        <w:tc>
          <w:tcPr>
            <w:tcW w:w="11306" w:type="dxa"/>
            <w:gridSpan w:val="8"/>
          </w:tcPr>
          <w:p w14:paraId="339A08ED" w14:textId="77777777" w:rsidR="00915C0D" w:rsidRPr="00915C0D" w:rsidRDefault="00915C0D" w:rsidP="00915C0D">
            <w:pPr>
              <w:spacing w:before="120" w:after="120"/>
              <w:rPr>
                <w:rFonts w:ascii="Times New Roman" w:hAnsi="Times New Roman"/>
                <w:sz w:val="20"/>
              </w:rPr>
            </w:pPr>
            <w:r w:rsidRPr="00915C0D">
              <w:rPr>
                <w:rFonts w:ascii="Times New Roman" w:hAnsi="Times New Roman"/>
                <w:b/>
                <w:sz w:val="20"/>
              </w:rPr>
              <w:t>Result 2: LCDS implemented</w:t>
            </w:r>
          </w:p>
        </w:tc>
      </w:tr>
      <w:tr w:rsidR="002F21BD" w:rsidRPr="00915C0D" w14:paraId="0E7A7B4A" w14:textId="77777777" w:rsidTr="00915C0D">
        <w:tc>
          <w:tcPr>
            <w:tcW w:w="1908" w:type="dxa"/>
            <w:vMerge w:val="restart"/>
          </w:tcPr>
          <w:p w14:paraId="5B18B480" w14:textId="77777777" w:rsidR="00915C0D" w:rsidRPr="00915C0D" w:rsidRDefault="00915C0D" w:rsidP="00915C0D">
            <w:pPr>
              <w:tabs>
                <w:tab w:val="left" w:pos="352"/>
              </w:tabs>
              <w:ind w:left="360" w:hanging="360"/>
              <w:rPr>
                <w:rFonts w:ascii="Times New Roman" w:hAnsi="Times New Roman"/>
                <w:sz w:val="20"/>
              </w:rPr>
            </w:pPr>
          </w:p>
        </w:tc>
        <w:tc>
          <w:tcPr>
            <w:tcW w:w="2114" w:type="dxa"/>
          </w:tcPr>
          <w:p w14:paraId="5DD170D5" w14:textId="77777777" w:rsidR="00915C0D" w:rsidRPr="00915C0D" w:rsidRDefault="00915C0D" w:rsidP="00915C0D">
            <w:pPr>
              <w:rPr>
                <w:rFonts w:ascii="Times New Roman" w:hAnsi="Times New Roman"/>
                <w:sz w:val="20"/>
              </w:rPr>
            </w:pPr>
            <w:r w:rsidRPr="00915C0D">
              <w:rPr>
                <w:rFonts w:ascii="Times New Roman" w:hAnsi="Times New Roman"/>
                <w:sz w:val="20"/>
              </w:rPr>
              <w:t>LCDS update process completion</w:t>
            </w:r>
          </w:p>
        </w:tc>
        <w:tc>
          <w:tcPr>
            <w:tcW w:w="1182" w:type="dxa"/>
          </w:tcPr>
          <w:p w14:paraId="46E28F85" w14:textId="77777777" w:rsidR="00915C0D" w:rsidRPr="00915C0D" w:rsidRDefault="00915C0D" w:rsidP="00915C0D">
            <w:pPr>
              <w:jc w:val="center"/>
              <w:rPr>
                <w:rFonts w:ascii="Times New Roman" w:hAnsi="Times New Roman"/>
                <w:sz w:val="20"/>
              </w:rPr>
            </w:pPr>
            <w:r w:rsidRPr="00915C0D">
              <w:rPr>
                <w:rFonts w:ascii="Times New Roman" w:hAnsi="Times New Roman"/>
                <w:sz w:val="20"/>
              </w:rPr>
              <w:t>Draft</w:t>
            </w:r>
          </w:p>
        </w:tc>
        <w:tc>
          <w:tcPr>
            <w:tcW w:w="1485" w:type="dxa"/>
          </w:tcPr>
          <w:p w14:paraId="7CA8A99E"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1 update</w:t>
            </w:r>
          </w:p>
          <w:p w14:paraId="6D801D76"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2 GRIF projects starting implementation</w:t>
            </w:r>
          </w:p>
        </w:tc>
        <w:tc>
          <w:tcPr>
            <w:tcW w:w="1485" w:type="dxa"/>
          </w:tcPr>
          <w:p w14:paraId="66F73CDD" w14:textId="77777777" w:rsidR="00915C0D" w:rsidRPr="00915C0D" w:rsidRDefault="00915C0D" w:rsidP="00915C0D">
            <w:pPr>
              <w:rPr>
                <w:rFonts w:ascii="Times New Roman" w:hAnsi="Times New Roman"/>
                <w:sz w:val="20"/>
              </w:rPr>
            </w:pPr>
          </w:p>
        </w:tc>
        <w:tc>
          <w:tcPr>
            <w:tcW w:w="1654" w:type="dxa"/>
          </w:tcPr>
          <w:p w14:paraId="35E6D403"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2 new GRIF projects defined and starting preparation or approved</w:t>
            </w:r>
          </w:p>
        </w:tc>
        <w:tc>
          <w:tcPr>
            <w:tcW w:w="1620" w:type="dxa"/>
            <w:gridSpan w:val="2"/>
          </w:tcPr>
          <w:p w14:paraId="736035E0" w14:textId="77777777" w:rsidR="00915C0D" w:rsidRPr="00915C0D" w:rsidRDefault="00915C0D" w:rsidP="00915C0D">
            <w:pPr>
              <w:rPr>
                <w:rFonts w:ascii="Times New Roman" w:hAnsi="Times New Roman"/>
                <w:sz w:val="20"/>
              </w:rPr>
            </w:pPr>
          </w:p>
        </w:tc>
        <w:tc>
          <w:tcPr>
            <w:tcW w:w="1766" w:type="dxa"/>
          </w:tcPr>
          <w:p w14:paraId="4CFFDAD2" w14:textId="77777777" w:rsidR="00915C0D" w:rsidRPr="00915C0D" w:rsidRDefault="00915C0D" w:rsidP="00915C0D">
            <w:pPr>
              <w:rPr>
                <w:rFonts w:ascii="Times New Roman" w:hAnsi="Times New Roman"/>
                <w:sz w:val="20"/>
              </w:rPr>
            </w:pPr>
            <w:r w:rsidRPr="00915C0D">
              <w:rPr>
                <w:rFonts w:ascii="Times New Roman" w:hAnsi="Times New Roman"/>
                <w:sz w:val="20"/>
              </w:rPr>
              <w:t>Press releases</w:t>
            </w:r>
          </w:p>
        </w:tc>
      </w:tr>
      <w:tr w:rsidR="002F21BD" w:rsidRPr="00915C0D" w14:paraId="163F30B2" w14:textId="77777777" w:rsidTr="00915C0D">
        <w:tc>
          <w:tcPr>
            <w:tcW w:w="1908" w:type="dxa"/>
            <w:vMerge/>
          </w:tcPr>
          <w:p w14:paraId="0BD886ED" w14:textId="77777777" w:rsidR="00915C0D" w:rsidRPr="00915C0D" w:rsidRDefault="00915C0D" w:rsidP="00915C0D">
            <w:pPr>
              <w:tabs>
                <w:tab w:val="left" w:pos="352"/>
              </w:tabs>
              <w:ind w:left="360" w:hanging="360"/>
              <w:rPr>
                <w:rFonts w:ascii="Times New Roman" w:hAnsi="Times New Roman"/>
                <w:sz w:val="20"/>
              </w:rPr>
            </w:pPr>
          </w:p>
        </w:tc>
        <w:tc>
          <w:tcPr>
            <w:tcW w:w="2114" w:type="dxa"/>
          </w:tcPr>
          <w:p w14:paraId="0CBCD8B0" w14:textId="77777777" w:rsidR="00915C0D" w:rsidRPr="00915C0D" w:rsidRDefault="00915C0D" w:rsidP="00915C0D">
            <w:pPr>
              <w:rPr>
                <w:rFonts w:ascii="Times New Roman" w:hAnsi="Times New Roman"/>
                <w:sz w:val="20"/>
              </w:rPr>
            </w:pPr>
            <w:r w:rsidRPr="00915C0D">
              <w:rPr>
                <w:rFonts w:ascii="Times New Roman" w:hAnsi="Times New Roman"/>
                <w:sz w:val="20"/>
              </w:rPr>
              <w:t>Consultations on LCDS and reviews by MSSC</w:t>
            </w:r>
          </w:p>
        </w:tc>
        <w:tc>
          <w:tcPr>
            <w:tcW w:w="1182" w:type="dxa"/>
          </w:tcPr>
          <w:p w14:paraId="43D1A051" w14:textId="77777777" w:rsidR="00915C0D" w:rsidRPr="00915C0D" w:rsidRDefault="00915C0D" w:rsidP="00915C0D">
            <w:pPr>
              <w:jc w:val="center"/>
              <w:rPr>
                <w:rFonts w:ascii="Times New Roman" w:hAnsi="Times New Roman"/>
                <w:sz w:val="20"/>
              </w:rPr>
            </w:pPr>
            <w:r w:rsidRPr="00915C0D">
              <w:rPr>
                <w:rFonts w:ascii="Times New Roman" w:hAnsi="Times New Roman"/>
                <w:sz w:val="20"/>
              </w:rPr>
              <w:t>0</w:t>
            </w:r>
          </w:p>
        </w:tc>
        <w:tc>
          <w:tcPr>
            <w:tcW w:w="1485" w:type="dxa"/>
          </w:tcPr>
          <w:p w14:paraId="5C002F19" w14:textId="77777777" w:rsidR="00915C0D" w:rsidRPr="00915C0D" w:rsidRDefault="00915C0D" w:rsidP="00915C0D">
            <w:pPr>
              <w:rPr>
                <w:rFonts w:ascii="Times New Roman" w:hAnsi="Times New Roman"/>
                <w:sz w:val="20"/>
              </w:rPr>
            </w:pPr>
            <w:r w:rsidRPr="00915C0D">
              <w:rPr>
                <w:rFonts w:ascii="Times New Roman" w:hAnsi="Times New Roman"/>
                <w:sz w:val="20"/>
              </w:rPr>
              <w:t>1 MSSC meeting took place</w:t>
            </w:r>
          </w:p>
        </w:tc>
        <w:tc>
          <w:tcPr>
            <w:tcW w:w="1485" w:type="dxa"/>
          </w:tcPr>
          <w:p w14:paraId="0E1BAC99" w14:textId="77777777" w:rsidR="00915C0D" w:rsidRPr="00915C0D" w:rsidRDefault="00915C0D" w:rsidP="00915C0D">
            <w:pPr>
              <w:rPr>
                <w:rFonts w:ascii="Times New Roman" w:hAnsi="Times New Roman"/>
                <w:sz w:val="20"/>
              </w:rPr>
            </w:pPr>
            <w:r w:rsidRPr="00915C0D">
              <w:rPr>
                <w:rFonts w:ascii="Times New Roman" w:hAnsi="Times New Roman"/>
                <w:sz w:val="20"/>
              </w:rPr>
              <w:t>1 MSSC meeting took place</w:t>
            </w:r>
          </w:p>
        </w:tc>
        <w:tc>
          <w:tcPr>
            <w:tcW w:w="1654" w:type="dxa"/>
          </w:tcPr>
          <w:p w14:paraId="56B92D3E" w14:textId="77777777" w:rsidR="00915C0D" w:rsidRPr="00915C0D" w:rsidRDefault="00915C0D" w:rsidP="00915C0D">
            <w:pPr>
              <w:rPr>
                <w:rFonts w:ascii="Times New Roman" w:hAnsi="Times New Roman"/>
                <w:sz w:val="20"/>
              </w:rPr>
            </w:pPr>
            <w:r w:rsidRPr="00915C0D">
              <w:rPr>
                <w:rFonts w:ascii="Times New Roman" w:hAnsi="Times New Roman"/>
                <w:sz w:val="20"/>
              </w:rPr>
              <w:t>1 MSSC meeting minutes approving REDD+ Stakeholders Awareness Plan</w:t>
            </w:r>
          </w:p>
        </w:tc>
        <w:tc>
          <w:tcPr>
            <w:tcW w:w="1620" w:type="dxa"/>
            <w:gridSpan w:val="2"/>
          </w:tcPr>
          <w:p w14:paraId="19097E30" w14:textId="77777777" w:rsidR="00915C0D" w:rsidRPr="00915C0D" w:rsidRDefault="00915C0D" w:rsidP="00915C0D">
            <w:pPr>
              <w:rPr>
                <w:rFonts w:ascii="Times New Roman" w:hAnsi="Times New Roman"/>
                <w:sz w:val="20"/>
              </w:rPr>
            </w:pPr>
          </w:p>
        </w:tc>
        <w:tc>
          <w:tcPr>
            <w:tcW w:w="1766" w:type="dxa"/>
          </w:tcPr>
          <w:p w14:paraId="1C3AC909" w14:textId="77777777" w:rsidR="00915C0D" w:rsidRPr="00915C0D" w:rsidRDefault="00915C0D" w:rsidP="00915C0D">
            <w:pPr>
              <w:rPr>
                <w:rFonts w:ascii="Times New Roman" w:hAnsi="Times New Roman"/>
                <w:sz w:val="20"/>
              </w:rPr>
            </w:pPr>
            <w:r w:rsidRPr="00915C0D">
              <w:rPr>
                <w:rFonts w:ascii="Times New Roman" w:hAnsi="Times New Roman"/>
                <w:sz w:val="20"/>
              </w:rPr>
              <w:t>Minutes of MSSC meeting</w:t>
            </w:r>
          </w:p>
        </w:tc>
      </w:tr>
      <w:tr w:rsidR="002F21BD" w:rsidRPr="00915C0D" w14:paraId="71D03012" w14:textId="77777777" w:rsidTr="00915C0D">
        <w:tc>
          <w:tcPr>
            <w:tcW w:w="1908" w:type="dxa"/>
            <w:vMerge/>
          </w:tcPr>
          <w:p w14:paraId="113BC8A6" w14:textId="77777777" w:rsidR="00915C0D" w:rsidRPr="00915C0D" w:rsidRDefault="00915C0D" w:rsidP="00915C0D">
            <w:pPr>
              <w:tabs>
                <w:tab w:val="left" w:pos="368"/>
              </w:tabs>
              <w:ind w:left="360" w:hanging="360"/>
              <w:rPr>
                <w:rFonts w:ascii="Times New Roman" w:hAnsi="Times New Roman"/>
                <w:sz w:val="20"/>
              </w:rPr>
            </w:pPr>
          </w:p>
        </w:tc>
        <w:tc>
          <w:tcPr>
            <w:tcW w:w="11306" w:type="dxa"/>
            <w:gridSpan w:val="8"/>
          </w:tcPr>
          <w:p w14:paraId="3D8D53AF" w14:textId="77777777" w:rsidR="00915C0D" w:rsidRPr="00915C0D" w:rsidRDefault="00915C0D" w:rsidP="00915C0D">
            <w:pPr>
              <w:spacing w:before="120" w:after="120"/>
              <w:rPr>
                <w:rFonts w:ascii="Times New Roman" w:hAnsi="Times New Roman"/>
                <w:sz w:val="20"/>
              </w:rPr>
            </w:pPr>
            <w:r w:rsidRPr="00915C0D">
              <w:rPr>
                <w:rFonts w:ascii="Times New Roman" w:hAnsi="Times New Roman"/>
                <w:b/>
                <w:sz w:val="20"/>
              </w:rPr>
              <w:t xml:space="preserve">Result 3: Forestry &amp; Mining sector have improved environmental management and law enforcement </w:t>
            </w:r>
          </w:p>
        </w:tc>
      </w:tr>
      <w:tr w:rsidR="002F21BD" w:rsidRPr="00915C0D" w14:paraId="6217049A" w14:textId="77777777" w:rsidTr="00915C0D">
        <w:tc>
          <w:tcPr>
            <w:tcW w:w="1908" w:type="dxa"/>
            <w:vMerge/>
          </w:tcPr>
          <w:p w14:paraId="5AD11806" w14:textId="77777777" w:rsidR="00915C0D" w:rsidRPr="00915C0D" w:rsidRDefault="00915C0D" w:rsidP="00915C0D">
            <w:pPr>
              <w:tabs>
                <w:tab w:val="left" w:pos="368"/>
              </w:tabs>
              <w:ind w:left="360" w:hanging="360"/>
              <w:rPr>
                <w:rFonts w:ascii="Times New Roman" w:hAnsi="Times New Roman"/>
                <w:sz w:val="20"/>
              </w:rPr>
            </w:pPr>
          </w:p>
        </w:tc>
        <w:tc>
          <w:tcPr>
            <w:tcW w:w="2114" w:type="dxa"/>
          </w:tcPr>
          <w:p w14:paraId="22939731" w14:textId="77777777" w:rsidR="00915C0D" w:rsidRPr="00915C0D" w:rsidRDefault="00915C0D" w:rsidP="00915C0D">
            <w:pPr>
              <w:rPr>
                <w:rFonts w:ascii="Times New Roman" w:hAnsi="Times New Roman"/>
                <w:sz w:val="20"/>
              </w:rPr>
            </w:pPr>
            <w:r w:rsidRPr="00915C0D">
              <w:rPr>
                <w:rFonts w:ascii="Times New Roman" w:hAnsi="Times New Roman"/>
                <w:sz w:val="20"/>
              </w:rPr>
              <w:t>Review and application of environmental regulatory framework for extractive industries</w:t>
            </w:r>
          </w:p>
        </w:tc>
        <w:tc>
          <w:tcPr>
            <w:tcW w:w="1182" w:type="dxa"/>
          </w:tcPr>
          <w:p w14:paraId="131BF3B1" w14:textId="77777777" w:rsidR="00915C0D" w:rsidRPr="00915C0D" w:rsidRDefault="00915C0D" w:rsidP="00915C0D">
            <w:pPr>
              <w:rPr>
                <w:rFonts w:ascii="Times New Roman" w:hAnsi="Times New Roman"/>
                <w:sz w:val="20"/>
              </w:rPr>
            </w:pPr>
            <w:r w:rsidRPr="00915C0D">
              <w:rPr>
                <w:rFonts w:ascii="Times New Roman" w:hAnsi="Times New Roman"/>
                <w:sz w:val="20"/>
              </w:rPr>
              <w:t>EPA has limited regulatory framework to assume overarching responsibilities for environmental compliance</w:t>
            </w:r>
          </w:p>
          <w:p w14:paraId="32608C51" w14:textId="77777777" w:rsidR="00915C0D" w:rsidRPr="00915C0D" w:rsidRDefault="00915C0D" w:rsidP="00915C0D">
            <w:pPr>
              <w:rPr>
                <w:rFonts w:ascii="Times New Roman" w:hAnsi="Times New Roman"/>
                <w:sz w:val="20"/>
              </w:rPr>
            </w:pPr>
          </w:p>
          <w:p w14:paraId="3CF3D00D" w14:textId="77777777" w:rsidR="00915C0D" w:rsidRPr="00915C0D" w:rsidRDefault="00915C0D" w:rsidP="00915C0D">
            <w:pPr>
              <w:rPr>
                <w:rFonts w:ascii="Times New Roman" w:hAnsi="Times New Roman"/>
                <w:sz w:val="20"/>
              </w:rPr>
            </w:pPr>
          </w:p>
          <w:p w14:paraId="70814748" w14:textId="77777777" w:rsidR="00915C0D" w:rsidRPr="00915C0D" w:rsidRDefault="00915C0D" w:rsidP="00915C0D">
            <w:pPr>
              <w:rPr>
                <w:rFonts w:ascii="Times New Roman" w:hAnsi="Times New Roman"/>
                <w:sz w:val="20"/>
              </w:rPr>
            </w:pPr>
          </w:p>
          <w:p w14:paraId="2A9876B7" w14:textId="77777777" w:rsidR="00915C0D" w:rsidRPr="00915C0D" w:rsidRDefault="00915C0D" w:rsidP="00915C0D">
            <w:pPr>
              <w:rPr>
                <w:rFonts w:ascii="Times New Roman" w:hAnsi="Times New Roman"/>
                <w:sz w:val="20"/>
              </w:rPr>
            </w:pPr>
            <w:r w:rsidRPr="00915C0D">
              <w:rPr>
                <w:rFonts w:ascii="Times New Roman" w:hAnsi="Times New Roman"/>
                <w:sz w:val="20"/>
              </w:rPr>
              <w:t>Forestry Act is current; most forest regulations up to date</w:t>
            </w:r>
          </w:p>
        </w:tc>
        <w:tc>
          <w:tcPr>
            <w:tcW w:w="1485" w:type="dxa"/>
          </w:tcPr>
          <w:p w14:paraId="360F1124" w14:textId="77777777" w:rsidR="00915C0D" w:rsidRPr="00915C0D" w:rsidRDefault="00915C0D" w:rsidP="00915C0D">
            <w:pPr>
              <w:rPr>
                <w:rFonts w:ascii="Times New Roman" w:hAnsi="Times New Roman"/>
                <w:sz w:val="20"/>
              </w:rPr>
            </w:pPr>
          </w:p>
          <w:p w14:paraId="7B115091" w14:textId="77777777" w:rsidR="00915C0D" w:rsidRPr="00915C0D" w:rsidRDefault="00915C0D" w:rsidP="00915C0D">
            <w:pPr>
              <w:rPr>
                <w:rFonts w:ascii="Times New Roman" w:hAnsi="Times New Roman"/>
                <w:sz w:val="20"/>
              </w:rPr>
            </w:pPr>
          </w:p>
          <w:p w14:paraId="624CB73F" w14:textId="77777777" w:rsidR="00915C0D" w:rsidRPr="00915C0D" w:rsidRDefault="00915C0D" w:rsidP="00915C0D">
            <w:pPr>
              <w:rPr>
                <w:rFonts w:ascii="Times New Roman" w:hAnsi="Times New Roman"/>
                <w:sz w:val="20"/>
              </w:rPr>
            </w:pPr>
          </w:p>
          <w:p w14:paraId="341ECD5F" w14:textId="77777777" w:rsidR="00915C0D" w:rsidRPr="00915C0D" w:rsidRDefault="00915C0D" w:rsidP="00915C0D">
            <w:pPr>
              <w:rPr>
                <w:rFonts w:ascii="Times New Roman" w:hAnsi="Times New Roman"/>
                <w:sz w:val="20"/>
              </w:rPr>
            </w:pPr>
          </w:p>
          <w:p w14:paraId="1CB9750E" w14:textId="77777777" w:rsidR="00915C0D" w:rsidRPr="00915C0D" w:rsidRDefault="00915C0D" w:rsidP="00915C0D">
            <w:pPr>
              <w:rPr>
                <w:rFonts w:ascii="Times New Roman" w:hAnsi="Times New Roman"/>
                <w:sz w:val="20"/>
              </w:rPr>
            </w:pPr>
          </w:p>
          <w:p w14:paraId="11CC4EC4" w14:textId="77777777" w:rsidR="00915C0D" w:rsidRPr="00915C0D" w:rsidRDefault="00915C0D" w:rsidP="00915C0D">
            <w:pPr>
              <w:rPr>
                <w:rFonts w:ascii="Times New Roman" w:hAnsi="Times New Roman"/>
                <w:sz w:val="20"/>
              </w:rPr>
            </w:pPr>
          </w:p>
          <w:p w14:paraId="65F65CEA" w14:textId="77777777" w:rsidR="00915C0D" w:rsidRPr="00915C0D" w:rsidRDefault="00915C0D" w:rsidP="00915C0D">
            <w:pPr>
              <w:rPr>
                <w:rFonts w:ascii="Times New Roman" w:hAnsi="Times New Roman"/>
                <w:sz w:val="20"/>
              </w:rPr>
            </w:pPr>
          </w:p>
          <w:p w14:paraId="37576130" w14:textId="77777777" w:rsidR="00915C0D" w:rsidRPr="00915C0D" w:rsidRDefault="00915C0D" w:rsidP="00915C0D">
            <w:pPr>
              <w:rPr>
                <w:rFonts w:ascii="Times New Roman" w:hAnsi="Times New Roman"/>
                <w:sz w:val="20"/>
              </w:rPr>
            </w:pPr>
          </w:p>
          <w:p w14:paraId="2E3842A9" w14:textId="77777777" w:rsidR="00915C0D" w:rsidRPr="00915C0D" w:rsidRDefault="00915C0D" w:rsidP="00915C0D">
            <w:pPr>
              <w:rPr>
                <w:rFonts w:ascii="Times New Roman" w:hAnsi="Times New Roman"/>
                <w:sz w:val="20"/>
              </w:rPr>
            </w:pPr>
          </w:p>
          <w:p w14:paraId="3F62072A" w14:textId="77777777" w:rsidR="00915C0D" w:rsidRPr="00915C0D" w:rsidRDefault="00915C0D" w:rsidP="00915C0D">
            <w:pPr>
              <w:rPr>
                <w:rFonts w:ascii="Times New Roman" w:hAnsi="Times New Roman"/>
                <w:sz w:val="20"/>
              </w:rPr>
            </w:pPr>
          </w:p>
          <w:p w14:paraId="2EB9B1D2" w14:textId="77777777" w:rsidR="00915C0D" w:rsidRPr="00915C0D" w:rsidRDefault="00915C0D" w:rsidP="00915C0D">
            <w:pPr>
              <w:rPr>
                <w:rFonts w:ascii="Times New Roman" w:hAnsi="Times New Roman"/>
                <w:sz w:val="20"/>
              </w:rPr>
            </w:pPr>
          </w:p>
          <w:p w14:paraId="24E79DC8" w14:textId="77777777" w:rsidR="00915C0D" w:rsidRPr="00915C0D" w:rsidRDefault="00915C0D" w:rsidP="00915C0D">
            <w:pPr>
              <w:rPr>
                <w:rFonts w:ascii="Times New Roman" w:hAnsi="Times New Roman"/>
                <w:sz w:val="20"/>
              </w:rPr>
            </w:pPr>
          </w:p>
          <w:p w14:paraId="649CC8FC" w14:textId="77777777" w:rsidR="00915C0D" w:rsidRPr="00915C0D" w:rsidRDefault="00915C0D" w:rsidP="00915C0D">
            <w:pPr>
              <w:rPr>
                <w:rFonts w:ascii="Times New Roman" w:hAnsi="Times New Roman"/>
                <w:sz w:val="20"/>
              </w:rPr>
            </w:pPr>
          </w:p>
          <w:p w14:paraId="6DD768C0" w14:textId="77777777" w:rsidR="00915C0D" w:rsidRPr="00915C0D" w:rsidRDefault="00915C0D" w:rsidP="00915C0D">
            <w:pPr>
              <w:rPr>
                <w:rFonts w:ascii="Times New Roman" w:hAnsi="Times New Roman"/>
                <w:sz w:val="20"/>
              </w:rPr>
            </w:pPr>
          </w:p>
          <w:p w14:paraId="7BDA7B97" w14:textId="77777777" w:rsidR="00915C0D" w:rsidRPr="00915C0D" w:rsidRDefault="00915C0D" w:rsidP="00915C0D">
            <w:pPr>
              <w:rPr>
                <w:rFonts w:ascii="Times New Roman" w:hAnsi="Times New Roman"/>
                <w:sz w:val="20"/>
              </w:rPr>
            </w:pPr>
            <w:r w:rsidRPr="00915C0D">
              <w:rPr>
                <w:rFonts w:ascii="Times New Roman" w:hAnsi="Times New Roman"/>
                <w:sz w:val="20"/>
              </w:rPr>
              <w:t>1 Review</w:t>
            </w:r>
          </w:p>
          <w:p w14:paraId="07C45B27" w14:textId="77777777" w:rsidR="00915C0D" w:rsidRPr="00915C0D" w:rsidRDefault="00915C0D" w:rsidP="00915C0D">
            <w:pPr>
              <w:rPr>
                <w:rFonts w:ascii="Times New Roman" w:hAnsi="Times New Roman"/>
                <w:sz w:val="20"/>
              </w:rPr>
            </w:pPr>
            <w:r w:rsidRPr="00915C0D">
              <w:rPr>
                <w:rFonts w:ascii="Times New Roman" w:hAnsi="Times New Roman"/>
                <w:sz w:val="20"/>
              </w:rPr>
              <w:t>1 Scoping study</w:t>
            </w:r>
          </w:p>
        </w:tc>
        <w:tc>
          <w:tcPr>
            <w:tcW w:w="1485" w:type="dxa"/>
          </w:tcPr>
          <w:p w14:paraId="12E98E0F" w14:textId="77777777" w:rsidR="00915C0D" w:rsidRPr="00915C0D" w:rsidRDefault="00915C0D" w:rsidP="00915C0D">
            <w:pPr>
              <w:rPr>
                <w:rFonts w:ascii="Times New Roman" w:hAnsi="Times New Roman"/>
                <w:sz w:val="20"/>
              </w:rPr>
            </w:pPr>
          </w:p>
        </w:tc>
        <w:tc>
          <w:tcPr>
            <w:tcW w:w="1654" w:type="dxa"/>
          </w:tcPr>
          <w:p w14:paraId="24FB9358"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EPA strengthened through:</w:t>
            </w:r>
          </w:p>
          <w:p w14:paraId="62504BCB" w14:textId="77777777" w:rsidR="00915C0D" w:rsidRPr="00915C0D" w:rsidRDefault="00915C0D" w:rsidP="00AD1241">
            <w:pPr>
              <w:pStyle w:val="ListParagraph"/>
              <w:numPr>
                <w:ilvl w:val="0"/>
                <w:numId w:val="33"/>
              </w:numPr>
              <w:ind w:left="196" w:hanging="180"/>
              <w:contextualSpacing w:val="0"/>
              <w:jc w:val="center"/>
              <w:rPr>
                <w:rFonts w:ascii="Times New Roman" w:hAnsi="Times New Roman"/>
                <w:sz w:val="20"/>
              </w:rPr>
            </w:pPr>
            <w:r w:rsidRPr="00915C0D">
              <w:rPr>
                <w:rFonts w:ascii="Times New Roman" w:hAnsi="Times New Roman"/>
                <w:sz w:val="20"/>
              </w:rPr>
              <w:t>more solid financial base</w:t>
            </w:r>
          </w:p>
          <w:p w14:paraId="3D7886C2" w14:textId="77777777" w:rsidR="00915C0D" w:rsidRPr="00915C0D" w:rsidRDefault="00915C0D" w:rsidP="00AD1241">
            <w:pPr>
              <w:pStyle w:val="ListParagraph"/>
              <w:numPr>
                <w:ilvl w:val="0"/>
                <w:numId w:val="33"/>
              </w:numPr>
              <w:ind w:left="196" w:hanging="180"/>
              <w:contextualSpacing w:val="0"/>
              <w:jc w:val="center"/>
              <w:rPr>
                <w:rFonts w:ascii="Times New Roman" w:hAnsi="Times New Roman"/>
                <w:sz w:val="20"/>
              </w:rPr>
            </w:pPr>
            <w:r w:rsidRPr="00915C0D">
              <w:rPr>
                <w:rFonts w:ascii="Times New Roman" w:hAnsi="Times New Roman"/>
                <w:sz w:val="20"/>
              </w:rPr>
              <w:t>more complete package of regulations</w:t>
            </w:r>
          </w:p>
          <w:p w14:paraId="53D69C6A" w14:textId="77777777" w:rsidR="00915C0D" w:rsidRPr="00915C0D" w:rsidRDefault="00915C0D" w:rsidP="00AD1241">
            <w:pPr>
              <w:pStyle w:val="ListParagraph"/>
              <w:numPr>
                <w:ilvl w:val="0"/>
                <w:numId w:val="33"/>
              </w:numPr>
              <w:ind w:left="196" w:hanging="180"/>
              <w:contextualSpacing w:val="0"/>
              <w:jc w:val="center"/>
              <w:rPr>
                <w:rFonts w:ascii="Times New Roman" w:hAnsi="Times New Roman"/>
                <w:sz w:val="20"/>
              </w:rPr>
            </w:pPr>
            <w:r w:rsidRPr="00915C0D">
              <w:rPr>
                <w:rFonts w:ascii="Times New Roman" w:hAnsi="Times New Roman"/>
                <w:sz w:val="20"/>
              </w:rPr>
              <w:t>operating Compliance and Enforcement Unit</w:t>
            </w:r>
          </w:p>
          <w:p w14:paraId="6B3B6379" w14:textId="77777777" w:rsidR="00915C0D" w:rsidRPr="00915C0D" w:rsidRDefault="00915C0D" w:rsidP="00AD1241">
            <w:pPr>
              <w:jc w:val="center"/>
              <w:rPr>
                <w:rFonts w:ascii="Times New Roman" w:hAnsi="Times New Roman"/>
                <w:sz w:val="20"/>
              </w:rPr>
            </w:pPr>
          </w:p>
          <w:p w14:paraId="60641869" w14:textId="65645B07" w:rsidR="00915C0D" w:rsidRPr="00915C0D" w:rsidRDefault="00915C0D" w:rsidP="00AD1241">
            <w:pPr>
              <w:jc w:val="center"/>
              <w:rPr>
                <w:rFonts w:ascii="Times New Roman" w:hAnsi="Times New Roman"/>
                <w:sz w:val="20"/>
              </w:rPr>
            </w:pPr>
            <w:r w:rsidRPr="00915C0D">
              <w:rPr>
                <w:rFonts w:ascii="Times New Roman" w:hAnsi="Times New Roman"/>
                <w:sz w:val="20"/>
              </w:rPr>
              <w:t>Amendments or regulations ensure consistency between  mining, lands surveyors and protected areas</w:t>
            </w:r>
          </w:p>
          <w:p w14:paraId="7B094CEE"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regulations and MNRE mandate</w:t>
            </w:r>
          </w:p>
          <w:p w14:paraId="2ED95008" w14:textId="77777777" w:rsidR="00915C0D" w:rsidRPr="00915C0D" w:rsidRDefault="00915C0D" w:rsidP="00AD1241">
            <w:pPr>
              <w:jc w:val="center"/>
              <w:rPr>
                <w:rFonts w:ascii="Times New Roman" w:hAnsi="Times New Roman"/>
                <w:sz w:val="20"/>
              </w:rPr>
            </w:pPr>
          </w:p>
          <w:p w14:paraId="61E00943"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1 Opt-In proposal complete</w:t>
            </w:r>
          </w:p>
          <w:p w14:paraId="6AD03EAE" w14:textId="77777777" w:rsidR="00915C0D" w:rsidRPr="00915C0D" w:rsidRDefault="00915C0D" w:rsidP="00AD1241">
            <w:pPr>
              <w:jc w:val="center"/>
              <w:rPr>
                <w:rFonts w:ascii="Times New Roman" w:hAnsi="Times New Roman"/>
                <w:sz w:val="20"/>
              </w:rPr>
            </w:pPr>
          </w:p>
          <w:p w14:paraId="52019644" w14:textId="77777777" w:rsidR="00915C0D" w:rsidRPr="00915C0D" w:rsidRDefault="00915C0D" w:rsidP="00AD1241">
            <w:pPr>
              <w:jc w:val="center"/>
              <w:rPr>
                <w:rFonts w:ascii="Times New Roman" w:hAnsi="Times New Roman"/>
                <w:sz w:val="20"/>
              </w:rPr>
            </w:pPr>
          </w:p>
          <w:p w14:paraId="21EE8EB0"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1 National Land Use Plan complete</w:t>
            </w:r>
          </w:p>
          <w:p w14:paraId="57E4C390" w14:textId="77777777" w:rsidR="00915C0D" w:rsidRPr="00915C0D" w:rsidRDefault="00915C0D" w:rsidP="00AD1241">
            <w:pPr>
              <w:jc w:val="center"/>
              <w:rPr>
                <w:rFonts w:ascii="Times New Roman" w:hAnsi="Times New Roman"/>
                <w:sz w:val="20"/>
              </w:rPr>
            </w:pPr>
          </w:p>
        </w:tc>
        <w:tc>
          <w:tcPr>
            <w:tcW w:w="1620" w:type="dxa"/>
            <w:gridSpan w:val="2"/>
          </w:tcPr>
          <w:p w14:paraId="7E2F4C0B"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Access &amp; Benefit Sharing (ABS) regulations approved and in force</w:t>
            </w:r>
          </w:p>
          <w:p w14:paraId="77852EF0" w14:textId="77777777" w:rsidR="00915C0D" w:rsidRPr="00915C0D" w:rsidRDefault="00915C0D" w:rsidP="00AD1241">
            <w:pPr>
              <w:jc w:val="center"/>
              <w:rPr>
                <w:rFonts w:ascii="Times New Roman" w:hAnsi="Times New Roman"/>
                <w:sz w:val="20"/>
              </w:rPr>
            </w:pPr>
          </w:p>
          <w:p w14:paraId="4B66B196" w14:textId="77777777" w:rsidR="00915C0D" w:rsidRPr="00915C0D" w:rsidRDefault="00915C0D" w:rsidP="00AD1241">
            <w:pPr>
              <w:jc w:val="center"/>
              <w:rPr>
                <w:rFonts w:ascii="Times New Roman" w:hAnsi="Times New Roman"/>
                <w:sz w:val="20"/>
              </w:rPr>
            </w:pPr>
          </w:p>
          <w:p w14:paraId="3DB79FD5" w14:textId="77777777" w:rsidR="00915C0D" w:rsidRPr="00915C0D" w:rsidRDefault="00915C0D" w:rsidP="00AD1241">
            <w:pPr>
              <w:jc w:val="center"/>
              <w:rPr>
                <w:rFonts w:ascii="Times New Roman" w:hAnsi="Times New Roman"/>
                <w:sz w:val="20"/>
              </w:rPr>
            </w:pPr>
          </w:p>
          <w:p w14:paraId="487B8E23" w14:textId="77777777" w:rsidR="00915C0D" w:rsidRPr="00915C0D" w:rsidRDefault="00915C0D" w:rsidP="00AD1241">
            <w:pPr>
              <w:jc w:val="center"/>
              <w:rPr>
                <w:rFonts w:ascii="Times New Roman" w:hAnsi="Times New Roman"/>
                <w:sz w:val="20"/>
              </w:rPr>
            </w:pPr>
          </w:p>
          <w:p w14:paraId="4708B3CC" w14:textId="77777777" w:rsidR="00915C0D" w:rsidRPr="00915C0D" w:rsidRDefault="00915C0D" w:rsidP="00AD1241">
            <w:pPr>
              <w:jc w:val="center"/>
              <w:rPr>
                <w:rFonts w:ascii="Times New Roman" w:hAnsi="Times New Roman"/>
                <w:sz w:val="20"/>
              </w:rPr>
            </w:pPr>
          </w:p>
          <w:p w14:paraId="33E68635" w14:textId="77777777" w:rsidR="00915C0D" w:rsidRPr="00915C0D" w:rsidRDefault="00915C0D" w:rsidP="00AD1241">
            <w:pPr>
              <w:jc w:val="center"/>
              <w:rPr>
                <w:rFonts w:ascii="Times New Roman" w:hAnsi="Times New Roman"/>
                <w:sz w:val="20"/>
              </w:rPr>
            </w:pPr>
          </w:p>
          <w:p w14:paraId="2DB764B7" w14:textId="77777777" w:rsidR="00915C0D" w:rsidRPr="00915C0D" w:rsidRDefault="00915C0D" w:rsidP="00AD1241">
            <w:pPr>
              <w:jc w:val="center"/>
              <w:rPr>
                <w:rFonts w:ascii="Times New Roman" w:hAnsi="Times New Roman"/>
                <w:sz w:val="20"/>
              </w:rPr>
            </w:pPr>
          </w:p>
          <w:p w14:paraId="6F9F8291" w14:textId="77777777" w:rsidR="00915C0D" w:rsidRPr="00915C0D" w:rsidRDefault="00915C0D" w:rsidP="00AD1241">
            <w:pPr>
              <w:jc w:val="center"/>
              <w:rPr>
                <w:rFonts w:ascii="Times New Roman" w:hAnsi="Times New Roman"/>
                <w:sz w:val="20"/>
              </w:rPr>
            </w:pPr>
          </w:p>
          <w:p w14:paraId="5560D675" w14:textId="77777777" w:rsidR="00915C0D" w:rsidRPr="00915C0D" w:rsidRDefault="00915C0D" w:rsidP="00AD1241">
            <w:pPr>
              <w:jc w:val="center"/>
              <w:rPr>
                <w:rFonts w:ascii="Times New Roman" w:hAnsi="Times New Roman"/>
                <w:sz w:val="20"/>
              </w:rPr>
            </w:pPr>
          </w:p>
          <w:p w14:paraId="7F1021FD" w14:textId="77777777" w:rsidR="00915C0D" w:rsidRPr="00915C0D" w:rsidRDefault="00915C0D" w:rsidP="00AD1241">
            <w:pPr>
              <w:jc w:val="center"/>
              <w:rPr>
                <w:rFonts w:ascii="Times New Roman" w:hAnsi="Times New Roman"/>
                <w:sz w:val="20"/>
              </w:rPr>
            </w:pPr>
          </w:p>
          <w:p w14:paraId="28F4DECC" w14:textId="77777777" w:rsidR="00915C0D" w:rsidRPr="00915C0D" w:rsidRDefault="00915C0D" w:rsidP="00AD1241">
            <w:pPr>
              <w:jc w:val="center"/>
              <w:rPr>
                <w:rFonts w:ascii="Times New Roman" w:hAnsi="Times New Roman"/>
                <w:sz w:val="20"/>
              </w:rPr>
            </w:pPr>
          </w:p>
          <w:p w14:paraId="55140390" w14:textId="77777777" w:rsidR="00915C0D" w:rsidRPr="00915C0D" w:rsidRDefault="00915C0D" w:rsidP="00AD1241">
            <w:pPr>
              <w:jc w:val="center"/>
              <w:rPr>
                <w:rFonts w:ascii="Times New Roman" w:hAnsi="Times New Roman"/>
                <w:sz w:val="20"/>
              </w:rPr>
            </w:pPr>
          </w:p>
          <w:p w14:paraId="7BD981C7" w14:textId="77777777" w:rsidR="00915C0D" w:rsidRPr="00915C0D" w:rsidRDefault="00915C0D" w:rsidP="00AD1241">
            <w:pPr>
              <w:jc w:val="center"/>
              <w:rPr>
                <w:rFonts w:ascii="Times New Roman" w:hAnsi="Times New Roman"/>
                <w:sz w:val="20"/>
              </w:rPr>
            </w:pPr>
          </w:p>
          <w:p w14:paraId="6254A0A8" w14:textId="77777777" w:rsidR="00915C0D" w:rsidRPr="00915C0D" w:rsidRDefault="00915C0D" w:rsidP="00AD1241">
            <w:pPr>
              <w:jc w:val="center"/>
              <w:rPr>
                <w:rFonts w:ascii="Times New Roman" w:hAnsi="Times New Roman"/>
                <w:sz w:val="20"/>
              </w:rPr>
            </w:pPr>
          </w:p>
          <w:p w14:paraId="63A4467D" w14:textId="77777777" w:rsidR="00915C0D" w:rsidRPr="00915C0D" w:rsidRDefault="00915C0D" w:rsidP="00AD1241">
            <w:pPr>
              <w:jc w:val="center"/>
              <w:rPr>
                <w:rFonts w:ascii="Times New Roman" w:hAnsi="Times New Roman"/>
                <w:sz w:val="20"/>
              </w:rPr>
            </w:pPr>
          </w:p>
          <w:p w14:paraId="3031141C" w14:textId="77777777" w:rsidR="00915C0D" w:rsidRPr="00915C0D" w:rsidRDefault="00915C0D" w:rsidP="00AD1241">
            <w:pPr>
              <w:jc w:val="center"/>
              <w:rPr>
                <w:rFonts w:ascii="Times New Roman" w:hAnsi="Times New Roman"/>
                <w:sz w:val="20"/>
              </w:rPr>
            </w:pPr>
          </w:p>
          <w:p w14:paraId="65DD42D2" w14:textId="77777777" w:rsidR="00915C0D" w:rsidRPr="00915C0D" w:rsidRDefault="00915C0D" w:rsidP="00AD1241">
            <w:pPr>
              <w:jc w:val="center"/>
              <w:rPr>
                <w:rFonts w:ascii="Times New Roman" w:hAnsi="Times New Roman"/>
                <w:sz w:val="20"/>
              </w:rPr>
            </w:pPr>
          </w:p>
          <w:p w14:paraId="74596B85" w14:textId="77777777" w:rsidR="00915C0D" w:rsidRPr="00915C0D" w:rsidRDefault="00915C0D" w:rsidP="00AD1241">
            <w:pPr>
              <w:jc w:val="center"/>
              <w:rPr>
                <w:rFonts w:ascii="Times New Roman" w:hAnsi="Times New Roman"/>
                <w:sz w:val="20"/>
              </w:rPr>
            </w:pPr>
          </w:p>
          <w:p w14:paraId="257EC979" w14:textId="77777777" w:rsidR="00915C0D" w:rsidRPr="00915C0D" w:rsidRDefault="00915C0D" w:rsidP="00AD1241">
            <w:pPr>
              <w:jc w:val="center"/>
              <w:rPr>
                <w:rFonts w:ascii="Times New Roman" w:hAnsi="Times New Roman"/>
                <w:sz w:val="20"/>
              </w:rPr>
            </w:pPr>
          </w:p>
          <w:p w14:paraId="0C04000D"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1 Opt In system in place, as approved by Stakeholders</w:t>
            </w:r>
          </w:p>
          <w:p w14:paraId="1082A514"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3 Regional Land Use Plans approved and preparing for implementation</w:t>
            </w:r>
          </w:p>
        </w:tc>
        <w:tc>
          <w:tcPr>
            <w:tcW w:w="1766" w:type="dxa"/>
          </w:tcPr>
          <w:p w14:paraId="7F03A623"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Reports by MNRE containing copies of approved regulations and other measures</w:t>
            </w:r>
          </w:p>
          <w:p w14:paraId="4A097D8E" w14:textId="77777777" w:rsidR="00915C0D" w:rsidRPr="00915C0D" w:rsidRDefault="00915C0D" w:rsidP="00AD1241">
            <w:pPr>
              <w:jc w:val="center"/>
              <w:rPr>
                <w:rFonts w:ascii="Times New Roman" w:hAnsi="Times New Roman"/>
                <w:sz w:val="20"/>
              </w:rPr>
            </w:pPr>
          </w:p>
          <w:p w14:paraId="69229FB4" w14:textId="77777777" w:rsidR="00915C0D" w:rsidRPr="00915C0D" w:rsidRDefault="00915C0D" w:rsidP="00AD1241">
            <w:pPr>
              <w:jc w:val="center"/>
              <w:rPr>
                <w:rFonts w:ascii="Times New Roman" w:hAnsi="Times New Roman"/>
                <w:sz w:val="20"/>
              </w:rPr>
            </w:pPr>
          </w:p>
          <w:p w14:paraId="7055A48A" w14:textId="77777777" w:rsidR="00915C0D" w:rsidRPr="00915C0D" w:rsidRDefault="00915C0D" w:rsidP="00AD1241">
            <w:pPr>
              <w:jc w:val="center"/>
              <w:rPr>
                <w:rFonts w:ascii="Times New Roman" w:hAnsi="Times New Roman"/>
                <w:sz w:val="20"/>
              </w:rPr>
            </w:pPr>
          </w:p>
          <w:p w14:paraId="20962E68" w14:textId="77777777" w:rsidR="00915C0D" w:rsidRPr="00915C0D" w:rsidRDefault="00915C0D" w:rsidP="00AD1241">
            <w:pPr>
              <w:jc w:val="center"/>
              <w:rPr>
                <w:rFonts w:ascii="Times New Roman" w:hAnsi="Times New Roman"/>
                <w:sz w:val="20"/>
              </w:rPr>
            </w:pPr>
          </w:p>
          <w:p w14:paraId="3C7F1164" w14:textId="77777777" w:rsidR="00915C0D" w:rsidRPr="00915C0D" w:rsidRDefault="00915C0D" w:rsidP="00AD1241">
            <w:pPr>
              <w:jc w:val="center"/>
              <w:rPr>
                <w:rFonts w:ascii="Times New Roman" w:hAnsi="Times New Roman"/>
                <w:sz w:val="20"/>
              </w:rPr>
            </w:pPr>
          </w:p>
          <w:p w14:paraId="71CAF959" w14:textId="77777777" w:rsidR="00915C0D" w:rsidRPr="00915C0D" w:rsidRDefault="00915C0D" w:rsidP="00AD1241">
            <w:pPr>
              <w:jc w:val="center"/>
              <w:rPr>
                <w:rFonts w:ascii="Times New Roman" w:hAnsi="Times New Roman"/>
                <w:sz w:val="20"/>
              </w:rPr>
            </w:pPr>
          </w:p>
          <w:p w14:paraId="12CCCB3D" w14:textId="77777777" w:rsidR="00915C0D" w:rsidRPr="00915C0D" w:rsidRDefault="00915C0D" w:rsidP="00AD1241">
            <w:pPr>
              <w:jc w:val="center"/>
              <w:rPr>
                <w:rFonts w:ascii="Times New Roman" w:hAnsi="Times New Roman"/>
                <w:sz w:val="20"/>
              </w:rPr>
            </w:pPr>
          </w:p>
          <w:p w14:paraId="559D9908" w14:textId="77777777" w:rsidR="00915C0D" w:rsidRPr="00915C0D" w:rsidRDefault="00915C0D" w:rsidP="00AD1241">
            <w:pPr>
              <w:jc w:val="center"/>
              <w:rPr>
                <w:rFonts w:ascii="Times New Roman" w:hAnsi="Times New Roman"/>
                <w:sz w:val="20"/>
              </w:rPr>
            </w:pPr>
          </w:p>
          <w:p w14:paraId="1A04B8C0" w14:textId="77777777" w:rsidR="00915C0D" w:rsidRPr="00915C0D" w:rsidRDefault="00915C0D" w:rsidP="00AD1241">
            <w:pPr>
              <w:jc w:val="center"/>
              <w:rPr>
                <w:rFonts w:ascii="Times New Roman" w:hAnsi="Times New Roman"/>
                <w:sz w:val="20"/>
              </w:rPr>
            </w:pPr>
          </w:p>
          <w:p w14:paraId="4230665B" w14:textId="77777777" w:rsidR="00915C0D" w:rsidRPr="00915C0D" w:rsidRDefault="00915C0D" w:rsidP="00AD1241">
            <w:pPr>
              <w:jc w:val="center"/>
              <w:rPr>
                <w:rFonts w:ascii="Times New Roman" w:hAnsi="Times New Roman"/>
                <w:sz w:val="20"/>
              </w:rPr>
            </w:pPr>
          </w:p>
          <w:p w14:paraId="55D38B45" w14:textId="77777777" w:rsidR="00915C0D" w:rsidRPr="00915C0D" w:rsidRDefault="00915C0D" w:rsidP="00AD1241">
            <w:pPr>
              <w:jc w:val="center"/>
              <w:rPr>
                <w:rFonts w:ascii="Times New Roman" w:hAnsi="Times New Roman"/>
                <w:sz w:val="20"/>
              </w:rPr>
            </w:pPr>
          </w:p>
          <w:p w14:paraId="2F92CA95" w14:textId="77777777" w:rsidR="00915C0D" w:rsidRPr="00915C0D" w:rsidRDefault="00915C0D" w:rsidP="00AD1241">
            <w:pPr>
              <w:jc w:val="center"/>
              <w:rPr>
                <w:rFonts w:ascii="Times New Roman" w:hAnsi="Times New Roman"/>
                <w:sz w:val="20"/>
              </w:rPr>
            </w:pPr>
          </w:p>
          <w:p w14:paraId="2D727AEA" w14:textId="77777777" w:rsidR="00915C0D" w:rsidRPr="00915C0D" w:rsidRDefault="00915C0D" w:rsidP="00AD1241">
            <w:pPr>
              <w:jc w:val="center"/>
              <w:rPr>
                <w:rFonts w:ascii="Times New Roman" w:hAnsi="Times New Roman"/>
                <w:sz w:val="20"/>
              </w:rPr>
            </w:pPr>
          </w:p>
          <w:p w14:paraId="1BE2331C" w14:textId="77777777" w:rsidR="00915C0D" w:rsidRPr="00915C0D" w:rsidRDefault="00915C0D" w:rsidP="00AD1241">
            <w:pPr>
              <w:jc w:val="center"/>
              <w:rPr>
                <w:rFonts w:ascii="Times New Roman" w:hAnsi="Times New Roman"/>
                <w:sz w:val="20"/>
              </w:rPr>
            </w:pPr>
          </w:p>
          <w:p w14:paraId="4FCF7351" w14:textId="77777777" w:rsidR="00915C0D" w:rsidRPr="00915C0D" w:rsidRDefault="00915C0D" w:rsidP="00AD1241">
            <w:pPr>
              <w:jc w:val="center"/>
              <w:rPr>
                <w:rFonts w:ascii="Times New Roman" w:hAnsi="Times New Roman"/>
                <w:sz w:val="20"/>
              </w:rPr>
            </w:pPr>
          </w:p>
          <w:p w14:paraId="6487C277" w14:textId="77777777" w:rsidR="00915C0D" w:rsidRPr="00915C0D" w:rsidRDefault="00915C0D" w:rsidP="00AD1241">
            <w:pPr>
              <w:jc w:val="center"/>
              <w:rPr>
                <w:rFonts w:ascii="Times New Roman" w:hAnsi="Times New Roman"/>
                <w:sz w:val="20"/>
              </w:rPr>
            </w:pPr>
          </w:p>
          <w:p w14:paraId="473C397B" w14:textId="77777777" w:rsidR="00915C0D" w:rsidRPr="00915C0D" w:rsidRDefault="00915C0D" w:rsidP="00AD1241">
            <w:pPr>
              <w:jc w:val="center"/>
              <w:rPr>
                <w:rFonts w:ascii="Times New Roman" w:hAnsi="Times New Roman"/>
                <w:sz w:val="20"/>
              </w:rPr>
            </w:pPr>
          </w:p>
          <w:p w14:paraId="6C75ECE3" w14:textId="77777777" w:rsidR="00915C0D" w:rsidRPr="00915C0D" w:rsidRDefault="00915C0D" w:rsidP="00AD1241">
            <w:pPr>
              <w:jc w:val="center"/>
              <w:rPr>
                <w:rFonts w:ascii="Times New Roman" w:hAnsi="Times New Roman"/>
                <w:sz w:val="20"/>
              </w:rPr>
            </w:pPr>
          </w:p>
          <w:p w14:paraId="030DAC11" w14:textId="77777777" w:rsidR="00915C0D" w:rsidRPr="00915C0D" w:rsidRDefault="00915C0D" w:rsidP="00AD1241">
            <w:pPr>
              <w:jc w:val="center"/>
              <w:rPr>
                <w:rFonts w:ascii="Times New Roman" w:hAnsi="Times New Roman"/>
                <w:sz w:val="20"/>
              </w:rPr>
            </w:pPr>
          </w:p>
          <w:p w14:paraId="3E8EB55C" w14:textId="77777777" w:rsidR="00915C0D" w:rsidRPr="00915C0D" w:rsidRDefault="00915C0D" w:rsidP="00AD1241">
            <w:pPr>
              <w:jc w:val="center"/>
              <w:rPr>
                <w:rFonts w:ascii="Times New Roman" w:hAnsi="Times New Roman"/>
                <w:sz w:val="20"/>
              </w:rPr>
            </w:pPr>
          </w:p>
          <w:p w14:paraId="03D05236"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Consultant report</w:t>
            </w:r>
          </w:p>
          <w:p w14:paraId="69EE862E" w14:textId="77777777" w:rsidR="00915C0D" w:rsidRPr="00915C0D" w:rsidRDefault="00915C0D" w:rsidP="00AD1241">
            <w:pPr>
              <w:jc w:val="center"/>
              <w:rPr>
                <w:rFonts w:ascii="Times New Roman" w:hAnsi="Times New Roman"/>
                <w:sz w:val="20"/>
              </w:rPr>
            </w:pPr>
          </w:p>
          <w:p w14:paraId="7E9E851F" w14:textId="77777777" w:rsidR="00915C0D" w:rsidRPr="00915C0D" w:rsidRDefault="00915C0D" w:rsidP="00AD1241">
            <w:pPr>
              <w:jc w:val="center"/>
              <w:rPr>
                <w:rFonts w:ascii="Times New Roman" w:hAnsi="Times New Roman"/>
                <w:sz w:val="20"/>
              </w:rPr>
            </w:pPr>
          </w:p>
          <w:p w14:paraId="2266047A" w14:textId="77777777" w:rsidR="00915C0D" w:rsidRPr="00915C0D" w:rsidRDefault="00915C0D" w:rsidP="00AD1241">
            <w:pPr>
              <w:jc w:val="center"/>
              <w:rPr>
                <w:rFonts w:ascii="Times New Roman" w:hAnsi="Times New Roman"/>
                <w:sz w:val="20"/>
              </w:rPr>
            </w:pPr>
          </w:p>
          <w:p w14:paraId="3EC68CDE"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Copy of documents approving Plans</w:t>
            </w:r>
          </w:p>
        </w:tc>
      </w:tr>
      <w:tr w:rsidR="002F21BD" w:rsidRPr="00915C0D" w14:paraId="5ED3F325" w14:textId="77777777" w:rsidTr="00915C0D">
        <w:tc>
          <w:tcPr>
            <w:tcW w:w="1908" w:type="dxa"/>
            <w:vMerge/>
          </w:tcPr>
          <w:p w14:paraId="28186DA0" w14:textId="77777777" w:rsidR="00915C0D" w:rsidRPr="00915C0D" w:rsidRDefault="00915C0D" w:rsidP="00915C0D">
            <w:pPr>
              <w:tabs>
                <w:tab w:val="left" w:pos="368"/>
              </w:tabs>
              <w:ind w:left="360" w:hanging="360"/>
              <w:rPr>
                <w:rFonts w:ascii="Times New Roman" w:hAnsi="Times New Roman"/>
                <w:sz w:val="20"/>
              </w:rPr>
            </w:pPr>
          </w:p>
        </w:tc>
        <w:tc>
          <w:tcPr>
            <w:tcW w:w="2114" w:type="dxa"/>
            <w:vMerge w:val="restart"/>
          </w:tcPr>
          <w:p w14:paraId="4C325942" w14:textId="19490B20" w:rsidR="00915C0D" w:rsidRPr="00915C0D" w:rsidRDefault="00915C0D" w:rsidP="00AD1241">
            <w:pPr>
              <w:jc w:val="center"/>
              <w:rPr>
                <w:rFonts w:ascii="Times New Roman" w:hAnsi="Times New Roman"/>
                <w:sz w:val="20"/>
              </w:rPr>
            </w:pPr>
            <w:r w:rsidRPr="00915C0D">
              <w:rPr>
                <w:rFonts w:ascii="Times New Roman" w:hAnsi="Times New Roman"/>
                <w:sz w:val="20"/>
              </w:rPr>
              <w:t>Operational market-based mechanisms</w:t>
            </w:r>
          </w:p>
        </w:tc>
        <w:tc>
          <w:tcPr>
            <w:tcW w:w="1182" w:type="dxa"/>
            <w:vMerge w:val="restart"/>
          </w:tcPr>
          <w:p w14:paraId="4297136A" w14:textId="77777777" w:rsidR="00915C0D" w:rsidRPr="00915C0D" w:rsidRDefault="00915C0D" w:rsidP="00915C0D">
            <w:pPr>
              <w:rPr>
                <w:rFonts w:ascii="Times New Roman" w:hAnsi="Times New Roman"/>
                <w:sz w:val="20"/>
              </w:rPr>
            </w:pPr>
            <w:r w:rsidRPr="00915C0D">
              <w:rPr>
                <w:rFonts w:ascii="Times New Roman" w:hAnsi="Times New Roman"/>
                <w:sz w:val="20"/>
              </w:rPr>
              <w:t>Initial approach to Extractive Industries Initiative (EITI)</w:t>
            </w:r>
          </w:p>
        </w:tc>
        <w:tc>
          <w:tcPr>
            <w:tcW w:w="1485" w:type="dxa"/>
          </w:tcPr>
          <w:p w14:paraId="38D0AC90"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1 country pre-candidacy for EITI</w:t>
            </w:r>
          </w:p>
          <w:p w14:paraId="3878EF19" w14:textId="77777777" w:rsidR="00915C0D" w:rsidRPr="00915C0D" w:rsidRDefault="00915C0D" w:rsidP="00AD1241">
            <w:pPr>
              <w:jc w:val="center"/>
              <w:rPr>
                <w:rFonts w:ascii="Times New Roman" w:hAnsi="Times New Roman"/>
                <w:sz w:val="20"/>
              </w:rPr>
            </w:pPr>
          </w:p>
          <w:p w14:paraId="1279634F"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Code of Practice for Timber Harvesting into force</w:t>
            </w:r>
          </w:p>
        </w:tc>
        <w:tc>
          <w:tcPr>
            <w:tcW w:w="1485" w:type="dxa"/>
          </w:tcPr>
          <w:p w14:paraId="55E37D47" w14:textId="77777777" w:rsidR="00915C0D" w:rsidRPr="00915C0D" w:rsidRDefault="00915C0D" w:rsidP="00915C0D">
            <w:pPr>
              <w:rPr>
                <w:rFonts w:ascii="Times New Roman" w:hAnsi="Times New Roman"/>
                <w:sz w:val="20"/>
              </w:rPr>
            </w:pPr>
          </w:p>
          <w:p w14:paraId="1349F3BF" w14:textId="77777777" w:rsidR="00915C0D" w:rsidRPr="00915C0D" w:rsidRDefault="00915C0D" w:rsidP="00915C0D">
            <w:pPr>
              <w:rPr>
                <w:rFonts w:ascii="Times New Roman" w:hAnsi="Times New Roman"/>
                <w:sz w:val="20"/>
              </w:rPr>
            </w:pPr>
          </w:p>
          <w:p w14:paraId="1718AFE5" w14:textId="77777777" w:rsidR="00915C0D" w:rsidRPr="00915C0D" w:rsidRDefault="00915C0D" w:rsidP="00915C0D">
            <w:pPr>
              <w:rPr>
                <w:rFonts w:ascii="Times New Roman" w:hAnsi="Times New Roman"/>
                <w:sz w:val="20"/>
              </w:rPr>
            </w:pPr>
          </w:p>
          <w:p w14:paraId="29209EF0" w14:textId="77777777" w:rsidR="00915C0D" w:rsidRPr="00915C0D" w:rsidRDefault="00915C0D" w:rsidP="00915C0D">
            <w:pPr>
              <w:rPr>
                <w:rFonts w:ascii="Times New Roman" w:hAnsi="Times New Roman"/>
                <w:sz w:val="20"/>
              </w:rPr>
            </w:pPr>
          </w:p>
          <w:p w14:paraId="637E203F" w14:textId="77777777" w:rsidR="00915C0D" w:rsidRPr="00915C0D" w:rsidRDefault="00915C0D" w:rsidP="00915C0D">
            <w:pPr>
              <w:rPr>
                <w:rFonts w:ascii="Times New Roman" w:hAnsi="Times New Roman"/>
                <w:sz w:val="20"/>
              </w:rPr>
            </w:pPr>
            <w:r w:rsidRPr="00915C0D">
              <w:rPr>
                <w:rFonts w:ascii="Times New Roman" w:hAnsi="Times New Roman"/>
                <w:sz w:val="20"/>
              </w:rPr>
              <w:t>Code of Practice applied in 50% of concessions</w:t>
            </w:r>
          </w:p>
        </w:tc>
        <w:tc>
          <w:tcPr>
            <w:tcW w:w="1654" w:type="dxa"/>
          </w:tcPr>
          <w:p w14:paraId="78A80087"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Implementation Plan for Codes of Practice in force</w:t>
            </w:r>
          </w:p>
          <w:p w14:paraId="60292D9B" w14:textId="77777777" w:rsidR="00915C0D" w:rsidRPr="00915C0D" w:rsidRDefault="00915C0D" w:rsidP="00AD1241">
            <w:pPr>
              <w:jc w:val="center"/>
              <w:rPr>
                <w:rFonts w:ascii="Times New Roman" w:hAnsi="Times New Roman"/>
                <w:sz w:val="20"/>
              </w:rPr>
            </w:pPr>
          </w:p>
          <w:p w14:paraId="26C7892C" w14:textId="77777777" w:rsidR="00915C0D" w:rsidRPr="00915C0D" w:rsidRDefault="00915C0D" w:rsidP="00AD1241">
            <w:pPr>
              <w:jc w:val="center"/>
              <w:rPr>
                <w:rFonts w:ascii="Times New Roman" w:hAnsi="Times New Roman"/>
                <w:sz w:val="20"/>
              </w:rPr>
            </w:pPr>
          </w:p>
          <w:p w14:paraId="4FE62C1C" w14:textId="77777777" w:rsidR="00915C0D" w:rsidRPr="00915C0D" w:rsidRDefault="00915C0D" w:rsidP="00AD1241">
            <w:pPr>
              <w:jc w:val="center"/>
              <w:rPr>
                <w:rFonts w:ascii="Times New Roman" w:hAnsi="Times New Roman"/>
                <w:sz w:val="20"/>
              </w:rPr>
            </w:pPr>
          </w:p>
          <w:p w14:paraId="4C3700D1" w14:textId="77777777" w:rsidR="00915C0D" w:rsidRPr="00915C0D" w:rsidRDefault="00915C0D" w:rsidP="00AD1241">
            <w:pPr>
              <w:jc w:val="center"/>
              <w:rPr>
                <w:rFonts w:ascii="Times New Roman" w:hAnsi="Times New Roman"/>
                <w:sz w:val="20"/>
              </w:rPr>
            </w:pPr>
          </w:p>
          <w:p w14:paraId="7527392D" w14:textId="77777777" w:rsidR="00915C0D" w:rsidRPr="00915C0D" w:rsidRDefault="00915C0D" w:rsidP="00AD1241">
            <w:pPr>
              <w:jc w:val="center"/>
              <w:rPr>
                <w:rFonts w:ascii="Times New Roman" w:hAnsi="Times New Roman"/>
                <w:sz w:val="20"/>
              </w:rPr>
            </w:pPr>
          </w:p>
          <w:p w14:paraId="7CC958B9" w14:textId="77777777" w:rsidR="00915C0D" w:rsidRPr="00915C0D" w:rsidRDefault="00915C0D" w:rsidP="00AD1241">
            <w:pPr>
              <w:jc w:val="center"/>
              <w:rPr>
                <w:rFonts w:ascii="Times New Roman" w:hAnsi="Times New Roman"/>
                <w:sz w:val="20"/>
              </w:rPr>
            </w:pPr>
          </w:p>
          <w:p w14:paraId="535DA844"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Drafted Code of Practice for Mercury Use</w:t>
            </w:r>
          </w:p>
        </w:tc>
        <w:tc>
          <w:tcPr>
            <w:tcW w:w="1620" w:type="dxa"/>
            <w:gridSpan w:val="2"/>
          </w:tcPr>
          <w:p w14:paraId="4B0D2AAB" w14:textId="77777777" w:rsidR="00915C0D" w:rsidRPr="00915C0D" w:rsidRDefault="00915C0D" w:rsidP="00AD1241">
            <w:pPr>
              <w:jc w:val="center"/>
              <w:rPr>
                <w:rFonts w:ascii="Times New Roman" w:hAnsi="Times New Roman"/>
                <w:sz w:val="20"/>
              </w:rPr>
            </w:pPr>
          </w:p>
          <w:p w14:paraId="532AC686" w14:textId="77777777" w:rsidR="00915C0D" w:rsidRPr="00915C0D" w:rsidRDefault="00915C0D" w:rsidP="00AD1241">
            <w:pPr>
              <w:jc w:val="center"/>
              <w:rPr>
                <w:rFonts w:ascii="Times New Roman" w:hAnsi="Times New Roman"/>
                <w:sz w:val="20"/>
              </w:rPr>
            </w:pPr>
          </w:p>
          <w:p w14:paraId="2B0EEBCE" w14:textId="77777777" w:rsidR="00915C0D" w:rsidRPr="00915C0D" w:rsidRDefault="00915C0D" w:rsidP="00AD1241">
            <w:pPr>
              <w:jc w:val="center"/>
              <w:rPr>
                <w:rFonts w:ascii="Times New Roman" w:hAnsi="Times New Roman"/>
                <w:sz w:val="20"/>
              </w:rPr>
            </w:pPr>
          </w:p>
          <w:p w14:paraId="7679119A" w14:textId="77777777" w:rsidR="00915C0D" w:rsidRPr="00915C0D" w:rsidRDefault="00915C0D" w:rsidP="00AD1241">
            <w:pPr>
              <w:jc w:val="center"/>
              <w:rPr>
                <w:rFonts w:ascii="Times New Roman" w:hAnsi="Times New Roman"/>
                <w:sz w:val="20"/>
              </w:rPr>
            </w:pPr>
          </w:p>
          <w:p w14:paraId="1DA543FF" w14:textId="560502CB" w:rsidR="00915C0D" w:rsidRPr="00915C0D" w:rsidRDefault="00915C0D" w:rsidP="00AD1241">
            <w:pPr>
              <w:jc w:val="center"/>
              <w:rPr>
                <w:rFonts w:ascii="Times New Roman" w:hAnsi="Times New Roman"/>
                <w:sz w:val="20"/>
              </w:rPr>
            </w:pPr>
            <w:r w:rsidRPr="00915C0D">
              <w:rPr>
                <w:rFonts w:ascii="Times New Roman" w:hAnsi="Times New Roman"/>
                <w:sz w:val="20"/>
              </w:rPr>
              <w:t>Code of Practice applied to 100% of  forestry concessions</w:t>
            </w:r>
          </w:p>
        </w:tc>
        <w:tc>
          <w:tcPr>
            <w:tcW w:w="1766" w:type="dxa"/>
          </w:tcPr>
          <w:p w14:paraId="682E5BA3"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Press release setting up EITI Multi-Stakeholder group</w:t>
            </w:r>
          </w:p>
          <w:p w14:paraId="557E596D"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Approval documents submitted by MNRE/GFC</w:t>
            </w:r>
          </w:p>
          <w:p w14:paraId="6B3982F0" w14:textId="77777777" w:rsidR="00915C0D" w:rsidRPr="00915C0D" w:rsidRDefault="00915C0D" w:rsidP="00AD1241">
            <w:pPr>
              <w:jc w:val="center"/>
              <w:rPr>
                <w:rFonts w:ascii="Times New Roman" w:hAnsi="Times New Roman"/>
                <w:sz w:val="20"/>
              </w:rPr>
            </w:pPr>
          </w:p>
          <w:p w14:paraId="186110F3"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Approval documents submitted by MNRE/GGMC</w:t>
            </w:r>
          </w:p>
        </w:tc>
      </w:tr>
      <w:tr w:rsidR="002F21BD" w:rsidRPr="00915C0D" w14:paraId="67A08637" w14:textId="77777777" w:rsidTr="00915C0D">
        <w:tc>
          <w:tcPr>
            <w:tcW w:w="1908" w:type="dxa"/>
            <w:vMerge/>
          </w:tcPr>
          <w:p w14:paraId="0423CD7A" w14:textId="77777777" w:rsidR="00915C0D" w:rsidRPr="00915C0D" w:rsidRDefault="00915C0D" w:rsidP="00915C0D">
            <w:pPr>
              <w:tabs>
                <w:tab w:val="left" w:pos="368"/>
              </w:tabs>
              <w:ind w:left="360" w:hanging="360"/>
              <w:rPr>
                <w:rFonts w:ascii="Times New Roman" w:hAnsi="Times New Roman"/>
                <w:sz w:val="20"/>
              </w:rPr>
            </w:pPr>
          </w:p>
        </w:tc>
        <w:tc>
          <w:tcPr>
            <w:tcW w:w="2114" w:type="dxa"/>
            <w:vMerge/>
          </w:tcPr>
          <w:p w14:paraId="6C8E7E89" w14:textId="77777777" w:rsidR="00915C0D" w:rsidRPr="00915C0D" w:rsidRDefault="00915C0D" w:rsidP="00915C0D">
            <w:pPr>
              <w:rPr>
                <w:rFonts w:ascii="Times New Roman" w:hAnsi="Times New Roman"/>
                <w:sz w:val="20"/>
              </w:rPr>
            </w:pPr>
          </w:p>
        </w:tc>
        <w:tc>
          <w:tcPr>
            <w:tcW w:w="1182" w:type="dxa"/>
            <w:vMerge/>
          </w:tcPr>
          <w:p w14:paraId="319936F8" w14:textId="77777777" w:rsidR="00915C0D" w:rsidRPr="00915C0D" w:rsidRDefault="00915C0D" w:rsidP="00915C0D">
            <w:pPr>
              <w:rPr>
                <w:rFonts w:ascii="Times New Roman" w:hAnsi="Times New Roman"/>
                <w:sz w:val="20"/>
              </w:rPr>
            </w:pPr>
          </w:p>
        </w:tc>
        <w:tc>
          <w:tcPr>
            <w:tcW w:w="1485" w:type="dxa"/>
          </w:tcPr>
          <w:p w14:paraId="5DDEA2D5" w14:textId="5AA41FC9" w:rsidR="00915C0D" w:rsidRPr="00915C0D" w:rsidRDefault="00915C0D" w:rsidP="00AD1241">
            <w:pPr>
              <w:jc w:val="center"/>
              <w:rPr>
                <w:rFonts w:ascii="Times New Roman" w:hAnsi="Times New Roman"/>
                <w:sz w:val="20"/>
              </w:rPr>
            </w:pPr>
            <w:r w:rsidRPr="00915C0D">
              <w:rPr>
                <w:rFonts w:ascii="Times New Roman" w:hAnsi="Times New Roman"/>
                <w:sz w:val="20"/>
              </w:rPr>
              <w:t>1 report on technological improvements for extractive sector</w:t>
            </w:r>
          </w:p>
        </w:tc>
        <w:tc>
          <w:tcPr>
            <w:tcW w:w="1485" w:type="dxa"/>
          </w:tcPr>
          <w:p w14:paraId="41199DF2" w14:textId="77777777" w:rsidR="00915C0D" w:rsidRPr="00915C0D" w:rsidRDefault="00915C0D" w:rsidP="00915C0D">
            <w:pPr>
              <w:rPr>
                <w:rFonts w:ascii="Times New Roman" w:hAnsi="Times New Roman"/>
                <w:sz w:val="20"/>
              </w:rPr>
            </w:pPr>
          </w:p>
        </w:tc>
        <w:tc>
          <w:tcPr>
            <w:tcW w:w="1654" w:type="dxa"/>
          </w:tcPr>
          <w:p w14:paraId="0ECD1B38" w14:textId="77777777" w:rsidR="00915C0D" w:rsidRPr="00915C0D" w:rsidRDefault="00915C0D" w:rsidP="00AD1241">
            <w:pPr>
              <w:jc w:val="center"/>
              <w:rPr>
                <w:rFonts w:ascii="Times New Roman" w:hAnsi="Times New Roman"/>
                <w:sz w:val="20"/>
              </w:rPr>
            </w:pPr>
          </w:p>
        </w:tc>
        <w:tc>
          <w:tcPr>
            <w:tcW w:w="1620" w:type="dxa"/>
            <w:gridSpan w:val="2"/>
          </w:tcPr>
          <w:p w14:paraId="6D99DFB3" w14:textId="77777777" w:rsidR="00915C0D" w:rsidRPr="00915C0D" w:rsidRDefault="00915C0D" w:rsidP="00AD1241">
            <w:pPr>
              <w:jc w:val="center"/>
              <w:rPr>
                <w:rFonts w:ascii="Times New Roman" w:hAnsi="Times New Roman"/>
                <w:sz w:val="20"/>
              </w:rPr>
            </w:pPr>
          </w:p>
        </w:tc>
        <w:tc>
          <w:tcPr>
            <w:tcW w:w="1766" w:type="dxa"/>
          </w:tcPr>
          <w:p w14:paraId="4327C43F"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Letter by the Minister of NRE attesting to the receipt of the study.</w:t>
            </w:r>
          </w:p>
        </w:tc>
      </w:tr>
      <w:tr w:rsidR="002F21BD" w:rsidRPr="00915C0D" w14:paraId="346E5983" w14:textId="77777777" w:rsidTr="00915C0D">
        <w:tc>
          <w:tcPr>
            <w:tcW w:w="1908" w:type="dxa"/>
          </w:tcPr>
          <w:p w14:paraId="1449EA50" w14:textId="77777777" w:rsidR="00915C0D" w:rsidRPr="00915C0D" w:rsidRDefault="00915C0D" w:rsidP="00CE5909">
            <w:pPr>
              <w:pStyle w:val="ListParagraph"/>
              <w:numPr>
                <w:ilvl w:val="0"/>
                <w:numId w:val="21"/>
              </w:numPr>
              <w:tabs>
                <w:tab w:val="left" w:pos="352"/>
              </w:tabs>
              <w:spacing w:before="120" w:after="120"/>
              <w:ind w:left="360" w:hanging="360"/>
              <w:contextualSpacing w:val="0"/>
              <w:jc w:val="left"/>
              <w:rPr>
                <w:rFonts w:ascii="Times New Roman" w:hAnsi="Times New Roman"/>
                <w:b/>
                <w:sz w:val="20"/>
              </w:rPr>
            </w:pPr>
            <w:r w:rsidRPr="00915C0D">
              <w:rPr>
                <w:rFonts w:ascii="Times New Roman" w:hAnsi="Times New Roman"/>
                <w:b/>
                <w:sz w:val="20"/>
              </w:rPr>
              <w:t>Institutional strengthening</w:t>
            </w:r>
          </w:p>
        </w:tc>
        <w:tc>
          <w:tcPr>
            <w:tcW w:w="11306" w:type="dxa"/>
            <w:gridSpan w:val="8"/>
          </w:tcPr>
          <w:p w14:paraId="72AEBBFA" w14:textId="77777777" w:rsidR="00915C0D" w:rsidRPr="00915C0D" w:rsidRDefault="00915C0D" w:rsidP="00915C0D">
            <w:pPr>
              <w:tabs>
                <w:tab w:val="left" w:pos="352"/>
              </w:tabs>
              <w:spacing w:before="120" w:after="120"/>
              <w:rPr>
                <w:rFonts w:ascii="Times New Roman" w:hAnsi="Times New Roman"/>
                <w:b/>
                <w:sz w:val="20"/>
              </w:rPr>
            </w:pPr>
            <w:r w:rsidRPr="00915C0D">
              <w:rPr>
                <w:rFonts w:ascii="Times New Roman" w:hAnsi="Times New Roman"/>
                <w:b/>
                <w:sz w:val="20"/>
              </w:rPr>
              <w:t>Result 4:MNRE has a Strategic Plan that provides for adequate inter-agency coordination and oversight to accomplish LCDS objectives</w:t>
            </w:r>
          </w:p>
        </w:tc>
      </w:tr>
      <w:tr w:rsidR="002F21BD" w:rsidRPr="00915C0D" w14:paraId="2E0B1DF6" w14:textId="77777777" w:rsidTr="00915C0D">
        <w:tc>
          <w:tcPr>
            <w:tcW w:w="1908" w:type="dxa"/>
            <w:vMerge w:val="restart"/>
          </w:tcPr>
          <w:p w14:paraId="086CBB74" w14:textId="77777777" w:rsidR="00915C0D" w:rsidRPr="00915C0D" w:rsidRDefault="00915C0D" w:rsidP="00915C0D">
            <w:pPr>
              <w:tabs>
                <w:tab w:val="left" w:pos="540"/>
              </w:tabs>
              <w:rPr>
                <w:rFonts w:ascii="Times New Roman" w:hAnsi="Times New Roman"/>
                <w:sz w:val="20"/>
              </w:rPr>
            </w:pPr>
          </w:p>
        </w:tc>
        <w:tc>
          <w:tcPr>
            <w:tcW w:w="2114" w:type="dxa"/>
          </w:tcPr>
          <w:p w14:paraId="4E6001D8"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Strategic Plan detailing adjustments to: (</w:t>
            </w:r>
            <w:proofErr w:type="spellStart"/>
            <w:r w:rsidRPr="00915C0D">
              <w:rPr>
                <w:rFonts w:ascii="Times New Roman" w:hAnsi="Times New Roman"/>
                <w:sz w:val="20"/>
              </w:rPr>
              <w:t>i</w:t>
            </w:r>
            <w:proofErr w:type="spellEnd"/>
            <w:r w:rsidRPr="00915C0D">
              <w:rPr>
                <w:rFonts w:ascii="Times New Roman" w:hAnsi="Times New Roman"/>
                <w:sz w:val="20"/>
              </w:rPr>
              <w:t>) create Planning &amp; Policy Unit; (ii) create Coordination Unit to cover existing agencies under MNRE; (iii) create mechanisms for effective coordination between extractive sector-related agencies</w:t>
            </w:r>
          </w:p>
        </w:tc>
        <w:tc>
          <w:tcPr>
            <w:tcW w:w="1182" w:type="dxa"/>
          </w:tcPr>
          <w:p w14:paraId="543397DB"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Draft</w:t>
            </w:r>
          </w:p>
        </w:tc>
        <w:tc>
          <w:tcPr>
            <w:tcW w:w="1485" w:type="dxa"/>
          </w:tcPr>
          <w:p w14:paraId="5A5584F9"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1 Strategic Plan submitted</w:t>
            </w:r>
          </w:p>
        </w:tc>
        <w:tc>
          <w:tcPr>
            <w:tcW w:w="1485" w:type="dxa"/>
          </w:tcPr>
          <w:p w14:paraId="1DDB2B30"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1 Strategic Plan approved</w:t>
            </w:r>
          </w:p>
        </w:tc>
        <w:tc>
          <w:tcPr>
            <w:tcW w:w="1654" w:type="dxa"/>
          </w:tcPr>
          <w:p w14:paraId="7C148509" w14:textId="77777777" w:rsidR="00915C0D" w:rsidRPr="00915C0D" w:rsidRDefault="00915C0D" w:rsidP="00AD1241">
            <w:pPr>
              <w:jc w:val="center"/>
              <w:rPr>
                <w:rFonts w:ascii="Times New Roman" w:hAnsi="Times New Roman"/>
                <w:sz w:val="20"/>
              </w:rPr>
            </w:pPr>
          </w:p>
          <w:p w14:paraId="3A4097BE" w14:textId="77777777" w:rsidR="00915C0D" w:rsidRPr="00915C0D" w:rsidRDefault="00915C0D" w:rsidP="00AD1241">
            <w:pPr>
              <w:jc w:val="center"/>
              <w:rPr>
                <w:rFonts w:ascii="Times New Roman" w:hAnsi="Times New Roman"/>
                <w:sz w:val="20"/>
              </w:rPr>
            </w:pPr>
          </w:p>
          <w:p w14:paraId="5B0A1609" w14:textId="77777777" w:rsidR="00915C0D" w:rsidRPr="00915C0D" w:rsidRDefault="00915C0D" w:rsidP="00AD1241">
            <w:pPr>
              <w:jc w:val="center"/>
              <w:rPr>
                <w:rFonts w:ascii="Times New Roman" w:hAnsi="Times New Roman"/>
                <w:sz w:val="20"/>
              </w:rPr>
            </w:pPr>
          </w:p>
          <w:p w14:paraId="2CFC3216" w14:textId="77777777" w:rsidR="00915C0D" w:rsidRPr="00915C0D" w:rsidRDefault="00915C0D" w:rsidP="00AD1241">
            <w:pPr>
              <w:jc w:val="center"/>
              <w:rPr>
                <w:rFonts w:ascii="Times New Roman" w:hAnsi="Times New Roman"/>
                <w:sz w:val="20"/>
              </w:rPr>
            </w:pPr>
          </w:p>
          <w:p w14:paraId="621A2F29" w14:textId="77777777" w:rsidR="00915C0D" w:rsidRPr="00915C0D" w:rsidRDefault="00915C0D" w:rsidP="00AD1241">
            <w:pPr>
              <w:jc w:val="center"/>
              <w:rPr>
                <w:rFonts w:ascii="Times New Roman" w:hAnsi="Times New Roman"/>
                <w:sz w:val="20"/>
              </w:rPr>
            </w:pPr>
          </w:p>
          <w:p w14:paraId="21902870"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Strategic Plan implemented: (a) M&amp;E Framework; (b)GIS Policy to improve coordination among NR agencies</w:t>
            </w:r>
          </w:p>
        </w:tc>
        <w:tc>
          <w:tcPr>
            <w:tcW w:w="1620" w:type="dxa"/>
            <w:gridSpan w:val="2"/>
          </w:tcPr>
          <w:p w14:paraId="326C23C9" w14:textId="77777777" w:rsidR="00915C0D" w:rsidRPr="00915C0D" w:rsidRDefault="00915C0D" w:rsidP="00AD1241">
            <w:pPr>
              <w:jc w:val="center"/>
              <w:rPr>
                <w:rFonts w:ascii="Times New Roman" w:hAnsi="Times New Roman"/>
                <w:sz w:val="20"/>
              </w:rPr>
            </w:pPr>
          </w:p>
          <w:p w14:paraId="79A59A5A" w14:textId="77777777" w:rsidR="00915C0D" w:rsidRPr="00915C0D" w:rsidRDefault="00915C0D" w:rsidP="00AD1241">
            <w:pPr>
              <w:jc w:val="center"/>
              <w:rPr>
                <w:rFonts w:ascii="Times New Roman" w:hAnsi="Times New Roman"/>
                <w:sz w:val="20"/>
              </w:rPr>
            </w:pPr>
          </w:p>
          <w:p w14:paraId="611F61B5" w14:textId="77777777" w:rsidR="00915C0D" w:rsidRPr="00915C0D" w:rsidRDefault="00915C0D" w:rsidP="00AD1241">
            <w:pPr>
              <w:jc w:val="center"/>
              <w:rPr>
                <w:rFonts w:ascii="Times New Roman" w:hAnsi="Times New Roman"/>
                <w:sz w:val="20"/>
              </w:rPr>
            </w:pPr>
          </w:p>
          <w:p w14:paraId="0BF45611" w14:textId="77777777" w:rsidR="00915C0D" w:rsidRPr="00915C0D" w:rsidRDefault="00915C0D" w:rsidP="00AD1241">
            <w:pPr>
              <w:jc w:val="center"/>
              <w:rPr>
                <w:rFonts w:ascii="Times New Roman" w:hAnsi="Times New Roman"/>
                <w:sz w:val="20"/>
              </w:rPr>
            </w:pPr>
          </w:p>
          <w:p w14:paraId="37968093" w14:textId="77777777" w:rsidR="00915C0D" w:rsidRPr="00915C0D" w:rsidRDefault="00915C0D" w:rsidP="00AD1241">
            <w:pPr>
              <w:jc w:val="center"/>
              <w:rPr>
                <w:rFonts w:ascii="Times New Roman" w:hAnsi="Times New Roman"/>
                <w:sz w:val="20"/>
              </w:rPr>
            </w:pPr>
          </w:p>
          <w:p w14:paraId="23CF5C4C"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Strategic Plan implemented: (a) indigenous issues identified and approached institutionally</w:t>
            </w:r>
          </w:p>
        </w:tc>
        <w:tc>
          <w:tcPr>
            <w:tcW w:w="1766" w:type="dxa"/>
          </w:tcPr>
          <w:p w14:paraId="6514A1BB"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Record of formal submission of Strategic Plan to Minister of MNRE</w:t>
            </w:r>
          </w:p>
          <w:p w14:paraId="638D5FC5" w14:textId="77777777" w:rsidR="00915C0D" w:rsidRPr="00915C0D" w:rsidRDefault="00915C0D" w:rsidP="00AD1241">
            <w:pPr>
              <w:jc w:val="center"/>
              <w:rPr>
                <w:rFonts w:ascii="Times New Roman" w:hAnsi="Times New Roman"/>
                <w:sz w:val="20"/>
              </w:rPr>
            </w:pPr>
          </w:p>
          <w:p w14:paraId="419FE46E"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Technical reports</w:t>
            </w:r>
          </w:p>
        </w:tc>
      </w:tr>
      <w:tr w:rsidR="002F21BD" w:rsidRPr="00915C0D" w14:paraId="25D349E6" w14:textId="77777777" w:rsidTr="00915C0D">
        <w:tc>
          <w:tcPr>
            <w:tcW w:w="1908" w:type="dxa"/>
            <w:vMerge/>
          </w:tcPr>
          <w:p w14:paraId="7B894393" w14:textId="77777777" w:rsidR="00915C0D" w:rsidRPr="00915C0D" w:rsidRDefault="00915C0D" w:rsidP="00915C0D">
            <w:pPr>
              <w:tabs>
                <w:tab w:val="left" w:pos="519"/>
              </w:tabs>
              <w:ind w:left="540" w:hanging="540"/>
              <w:rPr>
                <w:rFonts w:ascii="Times New Roman" w:hAnsi="Times New Roman"/>
                <w:sz w:val="20"/>
              </w:rPr>
            </w:pPr>
          </w:p>
        </w:tc>
        <w:tc>
          <w:tcPr>
            <w:tcW w:w="2114" w:type="dxa"/>
          </w:tcPr>
          <w:p w14:paraId="5BF25D1B"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Adoption of  knowledge-based mechanisms to improve environmental management of forest-based sector</w:t>
            </w:r>
          </w:p>
        </w:tc>
        <w:tc>
          <w:tcPr>
            <w:tcW w:w="1182" w:type="dxa"/>
          </w:tcPr>
          <w:p w14:paraId="7BEAB4A3"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0</w:t>
            </w:r>
          </w:p>
        </w:tc>
        <w:tc>
          <w:tcPr>
            <w:tcW w:w="1485" w:type="dxa"/>
          </w:tcPr>
          <w:p w14:paraId="7620DDA1"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1 training program on best-practices for mining</w:t>
            </w:r>
          </w:p>
          <w:p w14:paraId="65E3529C" w14:textId="77777777" w:rsidR="00915C0D" w:rsidRPr="00915C0D" w:rsidRDefault="00915C0D" w:rsidP="00AD1241">
            <w:pPr>
              <w:jc w:val="center"/>
              <w:rPr>
                <w:rFonts w:ascii="Times New Roman" w:hAnsi="Times New Roman"/>
                <w:sz w:val="20"/>
              </w:rPr>
            </w:pPr>
          </w:p>
          <w:p w14:paraId="5CE524E1"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1 design of courses on EIA</w:t>
            </w:r>
          </w:p>
          <w:p w14:paraId="5DC4AF64" w14:textId="77777777" w:rsidR="00915C0D" w:rsidRPr="00915C0D" w:rsidRDefault="00915C0D" w:rsidP="00AD1241">
            <w:pPr>
              <w:jc w:val="center"/>
              <w:rPr>
                <w:rFonts w:ascii="Times New Roman" w:hAnsi="Times New Roman"/>
                <w:sz w:val="20"/>
              </w:rPr>
            </w:pPr>
          </w:p>
          <w:p w14:paraId="5D897F7F"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1 draft National Log Tracking System</w:t>
            </w:r>
          </w:p>
          <w:p w14:paraId="7EED01C0" w14:textId="77777777" w:rsidR="00915C0D" w:rsidRPr="00915C0D" w:rsidRDefault="00915C0D" w:rsidP="00AD1241">
            <w:pPr>
              <w:jc w:val="center"/>
              <w:rPr>
                <w:rFonts w:ascii="Times New Roman" w:hAnsi="Times New Roman"/>
                <w:sz w:val="20"/>
              </w:rPr>
            </w:pPr>
          </w:p>
          <w:p w14:paraId="6569220D" w14:textId="77777777" w:rsidR="00915C0D" w:rsidRPr="00915C0D" w:rsidRDefault="00915C0D" w:rsidP="00AD1241">
            <w:pPr>
              <w:jc w:val="center"/>
              <w:rPr>
                <w:rFonts w:ascii="Times New Roman" w:hAnsi="Times New Roman"/>
                <w:sz w:val="20"/>
              </w:rPr>
            </w:pPr>
          </w:p>
          <w:p w14:paraId="0D4C3DF1" w14:textId="77777777" w:rsidR="00915C0D" w:rsidRPr="00915C0D" w:rsidRDefault="00915C0D" w:rsidP="00AD1241">
            <w:pPr>
              <w:jc w:val="center"/>
              <w:rPr>
                <w:rFonts w:ascii="Times New Roman" w:hAnsi="Times New Roman"/>
                <w:sz w:val="20"/>
              </w:rPr>
            </w:pPr>
          </w:p>
          <w:p w14:paraId="40F10BA3" w14:textId="77777777" w:rsidR="00915C0D" w:rsidRPr="00915C0D" w:rsidRDefault="00915C0D" w:rsidP="00AD1241">
            <w:pPr>
              <w:jc w:val="center"/>
              <w:rPr>
                <w:rFonts w:ascii="Times New Roman" w:hAnsi="Times New Roman"/>
                <w:sz w:val="20"/>
              </w:rPr>
            </w:pPr>
          </w:p>
          <w:p w14:paraId="7A5831D2" w14:textId="77777777" w:rsidR="00915C0D" w:rsidRPr="00915C0D" w:rsidRDefault="00915C0D" w:rsidP="00AD1241">
            <w:pPr>
              <w:jc w:val="center"/>
              <w:rPr>
                <w:rFonts w:ascii="Times New Roman" w:hAnsi="Times New Roman"/>
                <w:sz w:val="20"/>
              </w:rPr>
            </w:pPr>
          </w:p>
          <w:p w14:paraId="247C3BAE" w14:textId="77777777" w:rsidR="00915C0D" w:rsidRPr="00915C0D" w:rsidRDefault="00915C0D" w:rsidP="00AD1241">
            <w:pPr>
              <w:jc w:val="center"/>
              <w:rPr>
                <w:rFonts w:ascii="Times New Roman" w:hAnsi="Times New Roman"/>
                <w:sz w:val="20"/>
              </w:rPr>
            </w:pPr>
          </w:p>
        </w:tc>
        <w:tc>
          <w:tcPr>
            <w:tcW w:w="1485" w:type="dxa"/>
          </w:tcPr>
          <w:p w14:paraId="4D0A3563" w14:textId="77777777" w:rsidR="00915C0D" w:rsidRPr="00915C0D" w:rsidRDefault="00915C0D" w:rsidP="00AD1241">
            <w:pPr>
              <w:jc w:val="center"/>
              <w:rPr>
                <w:rFonts w:ascii="Times New Roman" w:hAnsi="Times New Roman"/>
                <w:sz w:val="20"/>
              </w:rPr>
            </w:pPr>
          </w:p>
          <w:p w14:paraId="1BAEF321" w14:textId="77777777" w:rsidR="00915C0D" w:rsidRPr="00915C0D" w:rsidRDefault="00915C0D" w:rsidP="00AD1241">
            <w:pPr>
              <w:jc w:val="center"/>
              <w:rPr>
                <w:rFonts w:ascii="Times New Roman" w:hAnsi="Times New Roman"/>
                <w:sz w:val="20"/>
              </w:rPr>
            </w:pPr>
          </w:p>
          <w:p w14:paraId="21B1FC80" w14:textId="77777777" w:rsidR="00915C0D" w:rsidRPr="00915C0D" w:rsidRDefault="00915C0D" w:rsidP="00AD1241">
            <w:pPr>
              <w:jc w:val="center"/>
              <w:rPr>
                <w:rFonts w:ascii="Times New Roman" w:hAnsi="Times New Roman"/>
                <w:sz w:val="20"/>
              </w:rPr>
            </w:pPr>
          </w:p>
          <w:p w14:paraId="4430873A" w14:textId="77777777" w:rsidR="00915C0D" w:rsidRPr="00915C0D" w:rsidRDefault="00915C0D" w:rsidP="00AD1241">
            <w:pPr>
              <w:jc w:val="center"/>
              <w:rPr>
                <w:rFonts w:ascii="Times New Roman" w:hAnsi="Times New Roman"/>
                <w:sz w:val="20"/>
              </w:rPr>
            </w:pPr>
          </w:p>
          <w:p w14:paraId="14C095EA" w14:textId="77777777" w:rsidR="00915C0D" w:rsidRPr="00915C0D" w:rsidRDefault="00915C0D" w:rsidP="00AD1241">
            <w:pPr>
              <w:jc w:val="center"/>
              <w:rPr>
                <w:rFonts w:ascii="Times New Roman" w:hAnsi="Times New Roman"/>
                <w:sz w:val="20"/>
              </w:rPr>
            </w:pPr>
          </w:p>
          <w:p w14:paraId="3B43DD51" w14:textId="77777777" w:rsidR="00915C0D" w:rsidRPr="00915C0D" w:rsidRDefault="00915C0D" w:rsidP="00AD1241">
            <w:pPr>
              <w:jc w:val="center"/>
              <w:rPr>
                <w:rFonts w:ascii="Times New Roman" w:hAnsi="Times New Roman"/>
                <w:sz w:val="20"/>
              </w:rPr>
            </w:pPr>
          </w:p>
          <w:p w14:paraId="358E45D1" w14:textId="77777777" w:rsidR="00915C0D" w:rsidRPr="00915C0D" w:rsidRDefault="00915C0D" w:rsidP="00AD1241">
            <w:pPr>
              <w:jc w:val="center"/>
              <w:rPr>
                <w:rFonts w:ascii="Times New Roman" w:hAnsi="Times New Roman"/>
                <w:sz w:val="20"/>
              </w:rPr>
            </w:pPr>
          </w:p>
          <w:p w14:paraId="2E193127" w14:textId="77777777" w:rsidR="00915C0D" w:rsidRPr="00915C0D" w:rsidRDefault="00915C0D" w:rsidP="00AD1241">
            <w:pPr>
              <w:jc w:val="center"/>
              <w:rPr>
                <w:rFonts w:ascii="Times New Roman" w:hAnsi="Times New Roman"/>
                <w:sz w:val="20"/>
              </w:rPr>
            </w:pPr>
          </w:p>
          <w:p w14:paraId="177F70EC"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1 Log Tracking System approved</w:t>
            </w:r>
          </w:p>
        </w:tc>
        <w:tc>
          <w:tcPr>
            <w:tcW w:w="1654" w:type="dxa"/>
          </w:tcPr>
          <w:p w14:paraId="0F1BD9B7" w14:textId="77777777" w:rsidR="00915C0D" w:rsidRPr="00915C0D" w:rsidRDefault="00915C0D" w:rsidP="00AD1241">
            <w:pPr>
              <w:jc w:val="center"/>
              <w:rPr>
                <w:rFonts w:ascii="Times New Roman" w:hAnsi="Times New Roman"/>
                <w:sz w:val="20"/>
              </w:rPr>
            </w:pPr>
          </w:p>
          <w:p w14:paraId="3A7BFC00" w14:textId="77777777" w:rsidR="00915C0D" w:rsidRPr="00915C0D" w:rsidRDefault="00915C0D" w:rsidP="00AD1241">
            <w:pPr>
              <w:jc w:val="center"/>
              <w:rPr>
                <w:rFonts w:ascii="Times New Roman" w:hAnsi="Times New Roman"/>
                <w:sz w:val="20"/>
              </w:rPr>
            </w:pPr>
          </w:p>
          <w:p w14:paraId="417F6085" w14:textId="77777777" w:rsidR="00915C0D" w:rsidRPr="00915C0D" w:rsidRDefault="00915C0D" w:rsidP="00AD1241">
            <w:pPr>
              <w:jc w:val="center"/>
              <w:rPr>
                <w:rFonts w:ascii="Times New Roman" w:hAnsi="Times New Roman"/>
                <w:sz w:val="20"/>
              </w:rPr>
            </w:pPr>
          </w:p>
          <w:p w14:paraId="4EA6A3F5" w14:textId="77777777" w:rsidR="00915C0D" w:rsidRPr="00915C0D" w:rsidRDefault="00915C0D" w:rsidP="00AD1241">
            <w:pPr>
              <w:jc w:val="center"/>
              <w:rPr>
                <w:rFonts w:ascii="Times New Roman" w:hAnsi="Times New Roman"/>
                <w:sz w:val="20"/>
              </w:rPr>
            </w:pPr>
          </w:p>
          <w:p w14:paraId="69ECDF71" w14:textId="77777777" w:rsidR="00915C0D" w:rsidRPr="00915C0D" w:rsidRDefault="00915C0D" w:rsidP="00AD1241">
            <w:pPr>
              <w:jc w:val="center"/>
              <w:rPr>
                <w:rFonts w:ascii="Times New Roman" w:hAnsi="Times New Roman"/>
                <w:sz w:val="20"/>
              </w:rPr>
            </w:pPr>
          </w:p>
          <w:p w14:paraId="3F44F267" w14:textId="77777777" w:rsidR="00915C0D" w:rsidRPr="00915C0D" w:rsidRDefault="00915C0D" w:rsidP="00AD1241">
            <w:pPr>
              <w:jc w:val="center"/>
              <w:rPr>
                <w:rFonts w:ascii="Times New Roman" w:hAnsi="Times New Roman"/>
                <w:sz w:val="20"/>
              </w:rPr>
            </w:pPr>
          </w:p>
          <w:p w14:paraId="53143907" w14:textId="77777777" w:rsidR="00915C0D" w:rsidRPr="00915C0D" w:rsidRDefault="00915C0D" w:rsidP="00AD1241">
            <w:pPr>
              <w:jc w:val="center"/>
              <w:rPr>
                <w:rFonts w:ascii="Times New Roman" w:hAnsi="Times New Roman"/>
                <w:sz w:val="20"/>
              </w:rPr>
            </w:pPr>
          </w:p>
          <w:p w14:paraId="49DC92B1" w14:textId="77777777" w:rsidR="00915C0D" w:rsidRPr="00915C0D" w:rsidRDefault="00915C0D" w:rsidP="00AD1241">
            <w:pPr>
              <w:jc w:val="center"/>
              <w:rPr>
                <w:rFonts w:ascii="Times New Roman" w:hAnsi="Times New Roman"/>
                <w:sz w:val="20"/>
              </w:rPr>
            </w:pPr>
          </w:p>
          <w:p w14:paraId="2DF45F47" w14:textId="77777777" w:rsidR="00915C0D" w:rsidRPr="00915C0D" w:rsidRDefault="00915C0D" w:rsidP="00AD1241">
            <w:pPr>
              <w:jc w:val="center"/>
              <w:rPr>
                <w:rFonts w:ascii="Times New Roman" w:hAnsi="Times New Roman"/>
                <w:sz w:val="20"/>
              </w:rPr>
            </w:pPr>
          </w:p>
          <w:p w14:paraId="12F7EB81" w14:textId="77777777" w:rsidR="00915C0D" w:rsidRPr="00915C0D" w:rsidRDefault="00915C0D" w:rsidP="00AD1241">
            <w:pPr>
              <w:jc w:val="center"/>
              <w:rPr>
                <w:rFonts w:ascii="Times New Roman" w:hAnsi="Times New Roman"/>
                <w:sz w:val="20"/>
              </w:rPr>
            </w:pPr>
          </w:p>
          <w:p w14:paraId="4C127CFE" w14:textId="77777777" w:rsidR="00915C0D" w:rsidRPr="00915C0D" w:rsidRDefault="00915C0D" w:rsidP="00AD1241">
            <w:pPr>
              <w:jc w:val="center"/>
              <w:rPr>
                <w:rFonts w:ascii="Times New Roman" w:hAnsi="Times New Roman"/>
                <w:sz w:val="20"/>
              </w:rPr>
            </w:pPr>
          </w:p>
          <w:p w14:paraId="7C5200E6"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National Action Plan for Mercury Abatement in force</w:t>
            </w:r>
          </w:p>
          <w:p w14:paraId="70F97595" w14:textId="77777777" w:rsidR="00915C0D" w:rsidRPr="00915C0D" w:rsidRDefault="00915C0D" w:rsidP="00AD1241">
            <w:pPr>
              <w:jc w:val="center"/>
              <w:rPr>
                <w:rFonts w:ascii="Times New Roman" w:hAnsi="Times New Roman"/>
                <w:sz w:val="20"/>
              </w:rPr>
            </w:pPr>
          </w:p>
          <w:p w14:paraId="2D20C30D"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2 training programs on mercury reduction in mining implemented</w:t>
            </w:r>
          </w:p>
        </w:tc>
        <w:tc>
          <w:tcPr>
            <w:tcW w:w="1620" w:type="dxa"/>
            <w:gridSpan w:val="2"/>
          </w:tcPr>
          <w:p w14:paraId="5CE78F2E" w14:textId="77777777" w:rsidR="00915C0D" w:rsidRPr="00915C0D" w:rsidRDefault="00915C0D" w:rsidP="00AD1241">
            <w:pPr>
              <w:jc w:val="center"/>
              <w:rPr>
                <w:rFonts w:ascii="Times New Roman" w:hAnsi="Times New Roman"/>
                <w:sz w:val="20"/>
              </w:rPr>
            </w:pPr>
          </w:p>
          <w:p w14:paraId="3A6CC029" w14:textId="77777777" w:rsidR="00915C0D" w:rsidRPr="00915C0D" w:rsidRDefault="00915C0D" w:rsidP="00AD1241">
            <w:pPr>
              <w:jc w:val="center"/>
              <w:rPr>
                <w:rFonts w:ascii="Times New Roman" w:hAnsi="Times New Roman"/>
                <w:sz w:val="20"/>
              </w:rPr>
            </w:pPr>
          </w:p>
          <w:p w14:paraId="7914C6AC" w14:textId="77777777" w:rsidR="00915C0D" w:rsidRPr="00915C0D" w:rsidRDefault="00915C0D" w:rsidP="00AD1241">
            <w:pPr>
              <w:jc w:val="center"/>
              <w:rPr>
                <w:rFonts w:ascii="Times New Roman" w:hAnsi="Times New Roman"/>
                <w:sz w:val="20"/>
              </w:rPr>
            </w:pPr>
          </w:p>
          <w:p w14:paraId="2D16B643" w14:textId="77777777" w:rsidR="00915C0D" w:rsidRPr="00915C0D" w:rsidRDefault="00915C0D" w:rsidP="00AD1241">
            <w:pPr>
              <w:jc w:val="center"/>
              <w:rPr>
                <w:rFonts w:ascii="Times New Roman" w:hAnsi="Times New Roman"/>
                <w:sz w:val="20"/>
              </w:rPr>
            </w:pPr>
          </w:p>
          <w:p w14:paraId="5B5AF2E4" w14:textId="77777777" w:rsidR="00915C0D" w:rsidRPr="00915C0D" w:rsidRDefault="00915C0D" w:rsidP="00AD1241">
            <w:pPr>
              <w:jc w:val="center"/>
              <w:rPr>
                <w:rFonts w:ascii="Times New Roman" w:hAnsi="Times New Roman"/>
                <w:sz w:val="20"/>
              </w:rPr>
            </w:pPr>
          </w:p>
          <w:p w14:paraId="4B250AC4" w14:textId="77777777" w:rsidR="00915C0D" w:rsidRPr="00915C0D" w:rsidRDefault="00915C0D" w:rsidP="00AD1241">
            <w:pPr>
              <w:jc w:val="center"/>
              <w:rPr>
                <w:rFonts w:ascii="Times New Roman" w:hAnsi="Times New Roman"/>
                <w:sz w:val="20"/>
              </w:rPr>
            </w:pPr>
          </w:p>
          <w:p w14:paraId="671AD74B" w14:textId="77777777" w:rsidR="00915C0D" w:rsidRPr="00915C0D" w:rsidRDefault="00915C0D" w:rsidP="00AD1241">
            <w:pPr>
              <w:jc w:val="center"/>
              <w:rPr>
                <w:rFonts w:ascii="Times New Roman" w:hAnsi="Times New Roman"/>
                <w:sz w:val="20"/>
              </w:rPr>
            </w:pPr>
          </w:p>
          <w:p w14:paraId="0BC24D23" w14:textId="77777777" w:rsidR="00915C0D" w:rsidRPr="00915C0D" w:rsidRDefault="00915C0D" w:rsidP="00AD1241">
            <w:pPr>
              <w:jc w:val="center"/>
              <w:rPr>
                <w:rFonts w:ascii="Times New Roman" w:hAnsi="Times New Roman"/>
                <w:sz w:val="20"/>
              </w:rPr>
            </w:pPr>
          </w:p>
          <w:p w14:paraId="3815F8FA" w14:textId="77777777" w:rsidR="00915C0D" w:rsidRPr="00915C0D" w:rsidRDefault="00915C0D" w:rsidP="00AD1241">
            <w:pPr>
              <w:jc w:val="center"/>
              <w:rPr>
                <w:rFonts w:ascii="Times New Roman" w:hAnsi="Times New Roman"/>
                <w:sz w:val="20"/>
              </w:rPr>
            </w:pPr>
          </w:p>
          <w:p w14:paraId="3DFD70AD" w14:textId="77777777" w:rsidR="00915C0D" w:rsidRPr="00915C0D" w:rsidRDefault="00915C0D" w:rsidP="00AD1241">
            <w:pPr>
              <w:jc w:val="center"/>
              <w:rPr>
                <w:rFonts w:ascii="Times New Roman" w:hAnsi="Times New Roman"/>
                <w:sz w:val="20"/>
              </w:rPr>
            </w:pPr>
          </w:p>
          <w:p w14:paraId="3ED87F3B" w14:textId="77777777" w:rsidR="00915C0D" w:rsidRPr="00915C0D" w:rsidRDefault="00915C0D" w:rsidP="00AD1241">
            <w:pPr>
              <w:jc w:val="center"/>
              <w:rPr>
                <w:rFonts w:ascii="Times New Roman" w:hAnsi="Times New Roman"/>
                <w:sz w:val="20"/>
              </w:rPr>
            </w:pPr>
          </w:p>
          <w:p w14:paraId="1295C0DF"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Mercury Free Development Fund receives at least one tender</w:t>
            </w:r>
          </w:p>
        </w:tc>
        <w:tc>
          <w:tcPr>
            <w:tcW w:w="1766" w:type="dxa"/>
          </w:tcPr>
          <w:p w14:paraId="1614D49A"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Technical reports</w:t>
            </w:r>
          </w:p>
          <w:p w14:paraId="382CC427" w14:textId="77777777" w:rsidR="00915C0D" w:rsidRPr="00915C0D" w:rsidRDefault="00915C0D" w:rsidP="00AD1241">
            <w:pPr>
              <w:jc w:val="center"/>
              <w:rPr>
                <w:rFonts w:ascii="Times New Roman" w:hAnsi="Times New Roman"/>
                <w:sz w:val="20"/>
              </w:rPr>
            </w:pPr>
          </w:p>
          <w:p w14:paraId="286DEC74" w14:textId="77777777" w:rsidR="00915C0D" w:rsidRPr="00915C0D" w:rsidRDefault="00915C0D" w:rsidP="00AD1241">
            <w:pPr>
              <w:jc w:val="center"/>
              <w:rPr>
                <w:rFonts w:ascii="Times New Roman" w:hAnsi="Times New Roman"/>
                <w:sz w:val="20"/>
              </w:rPr>
            </w:pPr>
          </w:p>
          <w:p w14:paraId="1C14E147" w14:textId="77777777" w:rsidR="00915C0D" w:rsidRPr="00915C0D" w:rsidRDefault="00915C0D" w:rsidP="00AD1241">
            <w:pPr>
              <w:jc w:val="center"/>
              <w:rPr>
                <w:rFonts w:ascii="Times New Roman" w:hAnsi="Times New Roman"/>
                <w:sz w:val="20"/>
              </w:rPr>
            </w:pPr>
          </w:p>
          <w:p w14:paraId="6813310A" w14:textId="77777777" w:rsidR="00915C0D" w:rsidRPr="00915C0D" w:rsidRDefault="00915C0D" w:rsidP="00AD1241">
            <w:pPr>
              <w:jc w:val="center"/>
              <w:rPr>
                <w:rFonts w:ascii="Times New Roman" w:hAnsi="Times New Roman"/>
                <w:sz w:val="20"/>
              </w:rPr>
            </w:pPr>
          </w:p>
          <w:p w14:paraId="434D3B14" w14:textId="77777777" w:rsidR="00915C0D" w:rsidRPr="00915C0D" w:rsidRDefault="00915C0D" w:rsidP="00AD1241">
            <w:pPr>
              <w:jc w:val="center"/>
              <w:rPr>
                <w:rFonts w:ascii="Times New Roman" w:hAnsi="Times New Roman"/>
                <w:sz w:val="20"/>
              </w:rPr>
            </w:pPr>
          </w:p>
          <w:p w14:paraId="04E03E11" w14:textId="77777777" w:rsidR="00915C0D" w:rsidRPr="00915C0D" w:rsidRDefault="00915C0D" w:rsidP="00AD1241">
            <w:pPr>
              <w:jc w:val="center"/>
              <w:rPr>
                <w:rFonts w:ascii="Times New Roman" w:hAnsi="Times New Roman"/>
                <w:sz w:val="20"/>
              </w:rPr>
            </w:pPr>
          </w:p>
          <w:p w14:paraId="29B9D6D0" w14:textId="77777777" w:rsidR="00915C0D" w:rsidRPr="00915C0D" w:rsidRDefault="00915C0D" w:rsidP="00AD1241">
            <w:pPr>
              <w:jc w:val="center"/>
              <w:rPr>
                <w:rFonts w:ascii="Times New Roman" w:hAnsi="Times New Roman"/>
                <w:sz w:val="20"/>
              </w:rPr>
            </w:pPr>
          </w:p>
          <w:p w14:paraId="5972ABB9"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Records from MNRE/GFC</w:t>
            </w:r>
          </w:p>
          <w:p w14:paraId="1F32C0F6" w14:textId="77777777" w:rsidR="00915C0D" w:rsidRPr="00915C0D" w:rsidRDefault="00915C0D" w:rsidP="00AD1241">
            <w:pPr>
              <w:jc w:val="center"/>
              <w:rPr>
                <w:rFonts w:ascii="Times New Roman" w:hAnsi="Times New Roman"/>
                <w:sz w:val="20"/>
              </w:rPr>
            </w:pPr>
          </w:p>
          <w:p w14:paraId="79214E4B"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Reports from MNRE/GGMC</w:t>
            </w:r>
          </w:p>
          <w:p w14:paraId="0DC5848B" w14:textId="77777777" w:rsidR="00915C0D" w:rsidRPr="00915C0D" w:rsidRDefault="00915C0D" w:rsidP="00AD1241">
            <w:pPr>
              <w:jc w:val="center"/>
              <w:rPr>
                <w:rFonts w:ascii="Times New Roman" w:hAnsi="Times New Roman"/>
                <w:sz w:val="20"/>
              </w:rPr>
            </w:pPr>
          </w:p>
          <w:p w14:paraId="6D7A6E2F" w14:textId="77777777" w:rsidR="00915C0D" w:rsidRPr="00915C0D" w:rsidRDefault="00915C0D" w:rsidP="00AD1241">
            <w:pPr>
              <w:jc w:val="center"/>
              <w:rPr>
                <w:rFonts w:ascii="Times New Roman" w:hAnsi="Times New Roman"/>
                <w:sz w:val="20"/>
              </w:rPr>
            </w:pPr>
          </w:p>
          <w:p w14:paraId="0CE1E8EE" w14:textId="77777777" w:rsidR="00915C0D" w:rsidRPr="00915C0D" w:rsidRDefault="00915C0D" w:rsidP="00AD1241">
            <w:pPr>
              <w:jc w:val="center"/>
              <w:rPr>
                <w:rFonts w:ascii="Times New Roman" w:hAnsi="Times New Roman"/>
                <w:sz w:val="20"/>
              </w:rPr>
            </w:pPr>
          </w:p>
          <w:p w14:paraId="51B19CA5"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Report from MNRE/GGMC</w:t>
            </w:r>
          </w:p>
        </w:tc>
      </w:tr>
      <w:tr w:rsidR="002F21BD" w:rsidRPr="00915C0D" w14:paraId="4C3805E1" w14:textId="77777777" w:rsidTr="00915C0D">
        <w:tc>
          <w:tcPr>
            <w:tcW w:w="1908" w:type="dxa"/>
          </w:tcPr>
          <w:p w14:paraId="35C6BBDF" w14:textId="77777777" w:rsidR="00915C0D" w:rsidRPr="00915C0D" w:rsidRDefault="00915C0D" w:rsidP="00CE5909">
            <w:pPr>
              <w:pStyle w:val="ListParagraph"/>
              <w:numPr>
                <w:ilvl w:val="0"/>
                <w:numId w:val="21"/>
              </w:numPr>
              <w:tabs>
                <w:tab w:val="left" w:pos="352"/>
              </w:tabs>
              <w:spacing w:before="120" w:after="120"/>
              <w:ind w:left="360" w:hanging="360"/>
              <w:contextualSpacing w:val="0"/>
              <w:jc w:val="left"/>
              <w:rPr>
                <w:rFonts w:ascii="Times New Roman" w:hAnsi="Times New Roman"/>
                <w:b/>
                <w:sz w:val="20"/>
              </w:rPr>
            </w:pPr>
            <w:r w:rsidRPr="00915C0D">
              <w:rPr>
                <w:rFonts w:ascii="Times New Roman" w:hAnsi="Times New Roman"/>
                <w:b/>
                <w:sz w:val="20"/>
              </w:rPr>
              <w:t>MRVS</w:t>
            </w:r>
          </w:p>
        </w:tc>
        <w:tc>
          <w:tcPr>
            <w:tcW w:w="11306" w:type="dxa"/>
            <w:gridSpan w:val="8"/>
          </w:tcPr>
          <w:p w14:paraId="24222026" w14:textId="77777777" w:rsidR="00915C0D" w:rsidRPr="00915C0D" w:rsidRDefault="00915C0D" w:rsidP="00915C0D">
            <w:pPr>
              <w:tabs>
                <w:tab w:val="left" w:pos="352"/>
              </w:tabs>
              <w:spacing w:before="120" w:after="120"/>
              <w:rPr>
                <w:rFonts w:ascii="Times New Roman" w:hAnsi="Times New Roman"/>
                <w:b/>
                <w:sz w:val="20"/>
              </w:rPr>
            </w:pPr>
            <w:r w:rsidRPr="00915C0D">
              <w:rPr>
                <w:rFonts w:ascii="Times New Roman" w:hAnsi="Times New Roman"/>
                <w:b/>
                <w:sz w:val="20"/>
              </w:rPr>
              <w:t>Result 5: MRVS capable of generating country-wide, verified reports on forest cover and deforestation drivers</w:t>
            </w:r>
          </w:p>
        </w:tc>
      </w:tr>
      <w:tr w:rsidR="002F21BD" w:rsidRPr="00915C0D" w14:paraId="4331E0ED" w14:textId="77777777" w:rsidTr="00915C0D">
        <w:tc>
          <w:tcPr>
            <w:tcW w:w="1908" w:type="dxa"/>
          </w:tcPr>
          <w:p w14:paraId="1C466BCC" w14:textId="77777777" w:rsidR="00915C0D" w:rsidRPr="00915C0D" w:rsidRDefault="00915C0D" w:rsidP="00915C0D">
            <w:pPr>
              <w:tabs>
                <w:tab w:val="left" w:pos="540"/>
              </w:tabs>
              <w:ind w:left="540" w:hanging="540"/>
              <w:rPr>
                <w:rFonts w:ascii="Times New Roman" w:hAnsi="Times New Roman"/>
                <w:sz w:val="20"/>
              </w:rPr>
            </w:pPr>
          </w:p>
        </w:tc>
        <w:tc>
          <w:tcPr>
            <w:tcW w:w="2114" w:type="dxa"/>
          </w:tcPr>
          <w:p w14:paraId="54A22988"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Tools for Carbon Impact Assessment for main drivers developed, and Forest Cover database prepared</w:t>
            </w:r>
          </w:p>
        </w:tc>
        <w:tc>
          <w:tcPr>
            <w:tcW w:w="1182" w:type="dxa"/>
          </w:tcPr>
          <w:p w14:paraId="6C2017A0"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0</w:t>
            </w:r>
          </w:p>
        </w:tc>
        <w:tc>
          <w:tcPr>
            <w:tcW w:w="1485" w:type="dxa"/>
          </w:tcPr>
          <w:p w14:paraId="2637516F"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1 Carbon Impact Assessment tool for main drivers approved</w:t>
            </w:r>
          </w:p>
          <w:p w14:paraId="333BCFFD"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Report on forest area changes 2011-2012; Assessment report on forest carbon stratification; Report on carbon conversion and extraction</w:t>
            </w:r>
          </w:p>
          <w:p w14:paraId="18A6ED63" w14:textId="77777777" w:rsidR="00915C0D" w:rsidRPr="00915C0D" w:rsidRDefault="00915C0D" w:rsidP="00AD1241">
            <w:pPr>
              <w:jc w:val="center"/>
              <w:rPr>
                <w:rFonts w:ascii="Times New Roman" w:hAnsi="Times New Roman"/>
                <w:sz w:val="20"/>
              </w:rPr>
            </w:pPr>
          </w:p>
        </w:tc>
        <w:tc>
          <w:tcPr>
            <w:tcW w:w="1485" w:type="dxa"/>
          </w:tcPr>
          <w:p w14:paraId="56EDA596"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1 report following up progress towards reduced deforestation and forest degradation</w:t>
            </w:r>
          </w:p>
        </w:tc>
        <w:tc>
          <w:tcPr>
            <w:tcW w:w="1654" w:type="dxa"/>
          </w:tcPr>
          <w:p w14:paraId="75F6554A" w14:textId="77777777" w:rsidR="00915C0D" w:rsidRPr="00915C0D" w:rsidRDefault="00915C0D" w:rsidP="00AD1241">
            <w:pPr>
              <w:jc w:val="center"/>
              <w:rPr>
                <w:rFonts w:ascii="Times New Roman" w:hAnsi="Times New Roman"/>
                <w:sz w:val="20"/>
              </w:rPr>
            </w:pPr>
          </w:p>
          <w:p w14:paraId="0632E402" w14:textId="77777777" w:rsidR="00915C0D" w:rsidRPr="00915C0D" w:rsidRDefault="00915C0D" w:rsidP="00AD1241">
            <w:pPr>
              <w:jc w:val="center"/>
              <w:rPr>
                <w:rFonts w:ascii="Times New Roman" w:hAnsi="Times New Roman"/>
                <w:sz w:val="20"/>
              </w:rPr>
            </w:pPr>
          </w:p>
          <w:p w14:paraId="6961D865" w14:textId="77777777" w:rsidR="00915C0D" w:rsidRPr="00915C0D" w:rsidRDefault="00915C0D" w:rsidP="00AD1241">
            <w:pPr>
              <w:jc w:val="center"/>
              <w:rPr>
                <w:rFonts w:ascii="Times New Roman" w:hAnsi="Times New Roman"/>
                <w:sz w:val="20"/>
              </w:rPr>
            </w:pPr>
          </w:p>
          <w:p w14:paraId="69B79951" w14:textId="77777777" w:rsidR="00915C0D" w:rsidRPr="00915C0D" w:rsidRDefault="00915C0D" w:rsidP="00AD1241">
            <w:pPr>
              <w:jc w:val="center"/>
              <w:rPr>
                <w:rFonts w:ascii="Times New Roman" w:hAnsi="Times New Roman"/>
                <w:sz w:val="20"/>
              </w:rPr>
            </w:pPr>
          </w:p>
          <w:p w14:paraId="4381B794" w14:textId="77777777" w:rsidR="00915C0D" w:rsidRPr="00915C0D" w:rsidRDefault="00915C0D" w:rsidP="00AD1241">
            <w:pPr>
              <w:jc w:val="center"/>
              <w:rPr>
                <w:rFonts w:ascii="Times New Roman" w:hAnsi="Times New Roman"/>
                <w:sz w:val="20"/>
              </w:rPr>
            </w:pPr>
          </w:p>
          <w:p w14:paraId="626C8BF8" w14:textId="77777777" w:rsidR="00915C0D" w:rsidRPr="00915C0D" w:rsidRDefault="00915C0D" w:rsidP="00AD1241">
            <w:pPr>
              <w:jc w:val="center"/>
              <w:rPr>
                <w:rFonts w:ascii="Times New Roman" w:hAnsi="Times New Roman"/>
                <w:sz w:val="20"/>
              </w:rPr>
            </w:pPr>
          </w:p>
          <w:p w14:paraId="794295D0" w14:textId="77777777" w:rsidR="00915C0D" w:rsidRPr="00915C0D" w:rsidRDefault="00915C0D" w:rsidP="00AD1241">
            <w:pPr>
              <w:jc w:val="center"/>
              <w:rPr>
                <w:rFonts w:ascii="Times New Roman" w:hAnsi="Times New Roman"/>
                <w:sz w:val="20"/>
              </w:rPr>
            </w:pPr>
          </w:p>
          <w:p w14:paraId="0A7A3BE9" w14:textId="77777777" w:rsidR="00915C0D" w:rsidRPr="00915C0D" w:rsidRDefault="00915C0D" w:rsidP="00AD1241">
            <w:pPr>
              <w:jc w:val="center"/>
              <w:rPr>
                <w:rFonts w:ascii="Times New Roman" w:hAnsi="Times New Roman"/>
                <w:sz w:val="20"/>
              </w:rPr>
            </w:pPr>
          </w:p>
          <w:p w14:paraId="0E590A20" w14:textId="77777777" w:rsidR="00915C0D" w:rsidRPr="00915C0D" w:rsidRDefault="00915C0D" w:rsidP="00AD1241">
            <w:pPr>
              <w:jc w:val="center"/>
              <w:rPr>
                <w:rFonts w:ascii="Times New Roman" w:hAnsi="Times New Roman"/>
                <w:sz w:val="20"/>
              </w:rPr>
            </w:pPr>
          </w:p>
          <w:p w14:paraId="08E6351C" w14:textId="77777777" w:rsidR="00915C0D" w:rsidRPr="00915C0D" w:rsidRDefault="00915C0D" w:rsidP="00AD1241">
            <w:pPr>
              <w:jc w:val="center"/>
              <w:rPr>
                <w:rFonts w:ascii="Times New Roman" w:hAnsi="Times New Roman"/>
                <w:sz w:val="20"/>
              </w:rPr>
            </w:pPr>
          </w:p>
          <w:p w14:paraId="02903197" w14:textId="77777777" w:rsidR="00915C0D" w:rsidRPr="00915C0D" w:rsidRDefault="00915C0D" w:rsidP="00AD1241">
            <w:pPr>
              <w:jc w:val="center"/>
              <w:rPr>
                <w:rFonts w:ascii="Times New Roman" w:hAnsi="Times New Roman"/>
                <w:sz w:val="20"/>
              </w:rPr>
            </w:pPr>
          </w:p>
          <w:p w14:paraId="70CB2D18" w14:textId="77777777" w:rsidR="00915C0D" w:rsidRPr="00915C0D" w:rsidRDefault="00915C0D" w:rsidP="00AD1241">
            <w:pPr>
              <w:jc w:val="center"/>
              <w:rPr>
                <w:rFonts w:ascii="Times New Roman" w:hAnsi="Times New Roman"/>
                <w:sz w:val="20"/>
              </w:rPr>
            </w:pPr>
          </w:p>
          <w:p w14:paraId="3D8DD740" w14:textId="77777777" w:rsidR="00915C0D" w:rsidRPr="00915C0D" w:rsidRDefault="00915C0D" w:rsidP="00AD1241">
            <w:pPr>
              <w:jc w:val="center"/>
              <w:rPr>
                <w:rFonts w:ascii="Times New Roman" w:hAnsi="Times New Roman"/>
                <w:sz w:val="20"/>
              </w:rPr>
            </w:pPr>
          </w:p>
          <w:p w14:paraId="05878174" w14:textId="77777777" w:rsidR="00915C0D" w:rsidRPr="00915C0D" w:rsidRDefault="00915C0D" w:rsidP="00AD1241">
            <w:pPr>
              <w:jc w:val="center"/>
              <w:rPr>
                <w:rFonts w:ascii="Times New Roman" w:hAnsi="Times New Roman"/>
                <w:sz w:val="20"/>
              </w:rPr>
            </w:pPr>
          </w:p>
          <w:p w14:paraId="3A7DF264" w14:textId="77777777" w:rsidR="00915C0D" w:rsidRPr="00915C0D" w:rsidRDefault="00915C0D" w:rsidP="00AD1241">
            <w:pPr>
              <w:jc w:val="center"/>
              <w:rPr>
                <w:rFonts w:ascii="Times New Roman" w:hAnsi="Times New Roman"/>
                <w:sz w:val="20"/>
              </w:rPr>
            </w:pPr>
          </w:p>
          <w:p w14:paraId="0CC8C976" w14:textId="77777777" w:rsidR="00915C0D" w:rsidRPr="00915C0D" w:rsidRDefault="00915C0D" w:rsidP="00AD1241">
            <w:pPr>
              <w:jc w:val="center"/>
              <w:rPr>
                <w:rFonts w:ascii="Times New Roman" w:hAnsi="Times New Roman"/>
                <w:sz w:val="20"/>
              </w:rPr>
            </w:pPr>
          </w:p>
          <w:p w14:paraId="0DE57343" w14:textId="77777777" w:rsidR="00915C0D" w:rsidRPr="00915C0D" w:rsidRDefault="00915C0D" w:rsidP="00AD1241">
            <w:pPr>
              <w:jc w:val="center"/>
              <w:rPr>
                <w:rFonts w:ascii="Times New Roman" w:hAnsi="Times New Roman"/>
                <w:sz w:val="20"/>
              </w:rPr>
            </w:pPr>
          </w:p>
          <w:p w14:paraId="36837814" w14:textId="77777777" w:rsidR="00915C0D" w:rsidRPr="00915C0D" w:rsidRDefault="00915C0D" w:rsidP="00AD1241">
            <w:pPr>
              <w:jc w:val="center"/>
              <w:rPr>
                <w:rFonts w:ascii="Times New Roman" w:hAnsi="Times New Roman"/>
                <w:sz w:val="20"/>
              </w:rPr>
            </w:pPr>
          </w:p>
          <w:p w14:paraId="6CA26D95"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Forest carbon emissions and removals with IPCC guidance reported consistently</w:t>
            </w:r>
          </w:p>
          <w:p w14:paraId="2E52D08F" w14:textId="77777777" w:rsidR="00915C0D" w:rsidRPr="00915C0D" w:rsidRDefault="00915C0D" w:rsidP="00AD1241">
            <w:pPr>
              <w:jc w:val="center"/>
              <w:rPr>
                <w:rFonts w:ascii="Times New Roman" w:hAnsi="Times New Roman"/>
                <w:sz w:val="20"/>
              </w:rPr>
            </w:pPr>
          </w:p>
          <w:p w14:paraId="3A17D94A" w14:textId="77777777" w:rsidR="00915C0D" w:rsidRPr="00915C0D" w:rsidRDefault="00915C0D" w:rsidP="00AD1241">
            <w:pPr>
              <w:jc w:val="center"/>
              <w:rPr>
                <w:rFonts w:ascii="Times New Roman" w:hAnsi="Times New Roman"/>
                <w:sz w:val="20"/>
              </w:rPr>
            </w:pPr>
          </w:p>
        </w:tc>
        <w:tc>
          <w:tcPr>
            <w:tcW w:w="1620" w:type="dxa"/>
            <w:gridSpan w:val="2"/>
          </w:tcPr>
          <w:p w14:paraId="3FF7AF78" w14:textId="77777777" w:rsidR="00915C0D" w:rsidRPr="00915C0D" w:rsidRDefault="00915C0D" w:rsidP="00AD1241">
            <w:pPr>
              <w:jc w:val="center"/>
              <w:rPr>
                <w:rFonts w:ascii="Times New Roman" w:hAnsi="Times New Roman"/>
                <w:sz w:val="20"/>
              </w:rPr>
            </w:pPr>
          </w:p>
          <w:p w14:paraId="1C13624B" w14:textId="77777777" w:rsidR="00915C0D" w:rsidRPr="00915C0D" w:rsidRDefault="00915C0D" w:rsidP="00AD1241">
            <w:pPr>
              <w:jc w:val="center"/>
              <w:rPr>
                <w:rFonts w:ascii="Times New Roman" w:hAnsi="Times New Roman"/>
                <w:sz w:val="20"/>
              </w:rPr>
            </w:pPr>
          </w:p>
          <w:p w14:paraId="2EAE869A" w14:textId="77777777" w:rsidR="00915C0D" w:rsidRPr="00915C0D" w:rsidRDefault="00915C0D" w:rsidP="00AD1241">
            <w:pPr>
              <w:jc w:val="center"/>
              <w:rPr>
                <w:rFonts w:ascii="Times New Roman" w:hAnsi="Times New Roman"/>
                <w:sz w:val="20"/>
              </w:rPr>
            </w:pPr>
          </w:p>
          <w:p w14:paraId="786E93FD" w14:textId="77777777" w:rsidR="00915C0D" w:rsidRPr="00915C0D" w:rsidRDefault="00915C0D" w:rsidP="00AD1241">
            <w:pPr>
              <w:jc w:val="center"/>
              <w:rPr>
                <w:rFonts w:ascii="Times New Roman" w:hAnsi="Times New Roman"/>
                <w:sz w:val="20"/>
              </w:rPr>
            </w:pPr>
          </w:p>
          <w:p w14:paraId="45304D24" w14:textId="77777777" w:rsidR="00915C0D" w:rsidRPr="00915C0D" w:rsidRDefault="00915C0D" w:rsidP="00AD1241">
            <w:pPr>
              <w:jc w:val="center"/>
              <w:rPr>
                <w:rFonts w:ascii="Times New Roman" w:hAnsi="Times New Roman"/>
                <w:sz w:val="20"/>
              </w:rPr>
            </w:pPr>
          </w:p>
          <w:p w14:paraId="690C3E35" w14:textId="77777777" w:rsidR="00915C0D" w:rsidRPr="00915C0D" w:rsidRDefault="00915C0D" w:rsidP="00AD1241">
            <w:pPr>
              <w:jc w:val="center"/>
              <w:rPr>
                <w:rFonts w:ascii="Times New Roman" w:hAnsi="Times New Roman"/>
                <w:sz w:val="20"/>
              </w:rPr>
            </w:pPr>
          </w:p>
          <w:p w14:paraId="15BB792F" w14:textId="77777777" w:rsidR="00915C0D" w:rsidRPr="00915C0D" w:rsidRDefault="00915C0D" w:rsidP="00AD1241">
            <w:pPr>
              <w:jc w:val="center"/>
              <w:rPr>
                <w:rFonts w:ascii="Times New Roman" w:hAnsi="Times New Roman"/>
                <w:sz w:val="20"/>
              </w:rPr>
            </w:pPr>
          </w:p>
          <w:p w14:paraId="5424B233" w14:textId="77777777" w:rsidR="00915C0D" w:rsidRPr="00915C0D" w:rsidRDefault="00915C0D" w:rsidP="00AD1241">
            <w:pPr>
              <w:jc w:val="center"/>
              <w:rPr>
                <w:rFonts w:ascii="Times New Roman" w:hAnsi="Times New Roman"/>
                <w:sz w:val="20"/>
              </w:rPr>
            </w:pPr>
          </w:p>
          <w:p w14:paraId="1ED53C3A" w14:textId="77777777" w:rsidR="00915C0D" w:rsidRPr="00915C0D" w:rsidRDefault="00915C0D" w:rsidP="00AD1241">
            <w:pPr>
              <w:jc w:val="center"/>
              <w:rPr>
                <w:rFonts w:ascii="Times New Roman" w:hAnsi="Times New Roman"/>
                <w:sz w:val="20"/>
              </w:rPr>
            </w:pPr>
          </w:p>
          <w:p w14:paraId="75742D8C" w14:textId="77777777" w:rsidR="00915C0D" w:rsidRPr="00915C0D" w:rsidRDefault="00915C0D" w:rsidP="00AD1241">
            <w:pPr>
              <w:jc w:val="center"/>
              <w:rPr>
                <w:rFonts w:ascii="Times New Roman" w:hAnsi="Times New Roman"/>
                <w:sz w:val="20"/>
              </w:rPr>
            </w:pPr>
          </w:p>
          <w:p w14:paraId="050441B5" w14:textId="77777777" w:rsidR="00915C0D" w:rsidRPr="00915C0D" w:rsidRDefault="00915C0D" w:rsidP="00AD1241">
            <w:pPr>
              <w:jc w:val="center"/>
              <w:rPr>
                <w:rFonts w:ascii="Times New Roman" w:hAnsi="Times New Roman"/>
                <w:sz w:val="20"/>
              </w:rPr>
            </w:pPr>
          </w:p>
          <w:p w14:paraId="0F597B53" w14:textId="77777777" w:rsidR="00915C0D" w:rsidRPr="00915C0D" w:rsidRDefault="00915C0D" w:rsidP="00AD1241">
            <w:pPr>
              <w:jc w:val="center"/>
              <w:rPr>
                <w:rFonts w:ascii="Times New Roman" w:hAnsi="Times New Roman"/>
                <w:sz w:val="20"/>
              </w:rPr>
            </w:pPr>
          </w:p>
          <w:p w14:paraId="76DCC5F6" w14:textId="77777777" w:rsidR="00915C0D" w:rsidRPr="00915C0D" w:rsidRDefault="00915C0D" w:rsidP="00AD1241">
            <w:pPr>
              <w:jc w:val="center"/>
              <w:rPr>
                <w:rFonts w:ascii="Times New Roman" w:hAnsi="Times New Roman"/>
                <w:sz w:val="20"/>
              </w:rPr>
            </w:pPr>
          </w:p>
          <w:p w14:paraId="0EA37205" w14:textId="77777777" w:rsidR="00915C0D" w:rsidRPr="00915C0D" w:rsidRDefault="00915C0D" w:rsidP="00AD1241">
            <w:pPr>
              <w:jc w:val="center"/>
              <w:rPr>
                <w:rFonts w:ascii="Times New Roman" w:hAnsi="Times New Roman"/>
                <w:sz w:val="20"/>
              </w:rPr>
            </w:pPr>
          </w:p>
          <w:p w14:paraId="2F59E2D7" w14:textId="77777777" w:rsidR="00915C0D" w:rsidRPr="00915C0D" w:rsidRDefault="00915C0D" w:rsidP="00AD1241">
            <w:pPr>
              <w:jc w:val="center"/>
              <w:rPr>
                <w:rFonts w:ascii="Times New Roman" w:hAnsi="Times New Roman"/>
                <w:sz w:val="20"/>
              </w:rPr>
            </w:pPr>
          </w:p>
          <w:p w14:paraId="26600E5A" w14:textId="77777777" w:rsidR="00915C0D" w:rsidRPr="00915C0D" w:rsidRDefault="00915C0D" w:rsidP="00AD1241">
            <w:pPr>
              <w:jc w:val="center"/>
              <w:rPr>
                <w:rFonts w:ascii="Times New Roman" w:hAnsi="Times New Roman"/>
                <w:sz w:val="20"/>
              </w:rPr>
            </w:pPr>
          </w:p>
          <w:p w14:paraId="4E1347AB" w14:textId="77777777" w:rsidR="00915C0D" w:rsidRPr="00915C0D" w:rsidRDefault="00915C0D" w:rsidP="00AD1241">
            <w:pPr>
              <w:jc w:val="center"/>
              <w:rPr>
                <w:rFonts w:ascii="Times New Roman" w:hAnsi="Times New Roman"/>
                <w:sz w:val="20"/>
              </w:rPr>
            </w:pPr>
          </w:p>
          <w:p w14:paraId="54B15512" w14:textId="77777777" w:rsidR="00915C0D" w:rsidRPr="00915C0D" w:rsidRDefault="00915C0D" w:rsidP="00AD1241">
            <w:pPr>
              <w:jc w:val="center"/>
              <w:rPr>
                <w:rFonts w:ascii="Times New Roman" w:hAnsi="Times New Roman"/>
                <w:sz w:val="20"/>
              </w:rPr>
            </w:pPr>
          </w:p>
          <w:p w14:paraId="3219673C"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Integration of forest cover data from all MNRE agencies (</w:t>
            </w:r>
            <w:proofErr w:type="spellStart"/>
            <w:r w:rsidRPr="00915C0D">
              <w:rPr>
                <w:rFonts w:ascii="Times New Roman" w:hAnsi="Times New Roman"/>
                <w:sz w:val="20"/>
              </w:rPr>
              <w:t>Geonode</w:t>
            </w:r>
            <w:proofErr w:type="spellEnd"/>
            <w:r w:rsidRPr="00915C0D">
              <w:rPr>
                <w:rFonts w:ascii="Times New Roman" w:hAnsi="Times New Roman"/>
                <w:sz w:val="20"/>
              </w:rPr>
              <w:t xml:space="preserve"> Server operational)</w:t>
            </w:r>
          </w:p>
          <w:p w14:paraId="139A3E85" w14:textId="77777777" w:rsidR="00915C0D" w:rsidRPr="00915C0D" w:rsidRDefault="00915C0D" w:rsidP="00AD1241">
            <w:pPr>
              <w:jc w:val="center"/>
              <w:rPr>
                <w:rFonts w:ascii="Times New Roman" w:hAnsi="Times New Roman"/>
                <w:sz w:val="20"/>
              </w:rPr>
            </w:pPr>
          </w:p>
          <w:p w14:paraId="1F5D2000"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Forest degradation information integrated within MRVS</w:t>
            </w:r>
          </w:p>
          <w:p w14:paraId="52A175DE" w14:textId="77777777" w:rsidR="00915C0D" w:rsidRPr="00915C0D" w:rsidRDefault="00915C0D" w:rsidP="00AD1241">
            <w:pPr>
              <w:jc w:val="center"/>
              <w:rPr>
                <w:rFonts w:ascii="Times New Roman" w:hAnsi="Times New Roman"/>
                <w:sz w:val="20"/>
              </w:rPr>
            </w:pPr>
          </w:p>
        </w:tc>
        <w:tc>
          <w:tcPr>
            <w:tcW w:w="1766" w:type="dxa"/>
          </w:tcPr>
          <w:p w14:paraId="1733A5A2"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Record of decision of approvals by MNRE/GFC</w:t>
            </w:r>
          </w:p>
          <w:p w14:paraId="3366057A" w14:textId="77777777" w:rsidR="00915C0D" w:rsidRPr="00915C0D" w:rsidRDefault="00915C0D" w:rsidP="00AD1241">
            <w:pPr>
              <w:jc w:val="center"/>
              <w:rPr>
                <w:rFonts w:ascii="Times New Roman" w:hAnsi="Times New Roman"/>
                <w:sz w:val="20"/>
              </w:rPr>
            </w:pPr>
          </w:p>
          <w:p w14:paraId="6BECFA0D" w14:textId="77777777" w:rsidR="00915C0D" w:rsidRPr="00915C0D" w:rsidRDefault="00915C0D" w:rsidP="00AD1241">
            <w:pPr>
              <w:jc w:val="center"/>
              <w:rPr>
                <w:rFonts w:ascii="Times New Roman" w:hAnsi="Times New Roman"/>
                <w:sz w:val="20"/>
              </w:rPr>
            </w:pPr>
          </w:p>
          <w:p w14:paraId="7D41B1AA" w14:textId="77777777" w:rsidR="00915C0D" w:rsidRPr="00915C0D" w:rsidRDefault="00915C0D" w:rsidP="00AD1241">
            <w:pPr>
              <w:jc w:val="center"/>
              <w:rPr>
                <w:rFonts w:ascii="Times New Roman" w:hAnsi="Times New Roman"/>
                <w:sz w:val="20"/>
              </w:rPr>
            </w:pPr>
          </w:p>
          <w:p w14:paraId="5C49CB28" w14:textId="77777777" w:rsidR="00915C0D" w:rsidRPr="00915C0D" w:rsidRDefault="00915C0D" w:rsidP="00AD1241">
            <w:pPr>
              <w:jc w:val="center"/>
              <w:rPr>
                <w:rFonts w:ascii="Times New Roman" w:hAnsi="Times New Roman"/>
                <w:sz w:val="20"/>
              </w:rPr>
            </w:pPr>
          </w:p>
          <w:p w14:paraId="160395E0" w14:textId="77777777" w:rsidR="00915C0D" w:rsidRPr="00915C0D" w:rsidRDefault="00915C0D" w:rsidP="00AD1241">
            <w:pPr>
              <w:jc w:val="center"/>
              <w:rPr>
                <w:rFonts w:ascii="Times New Roman" w:hAnsi="Times New Roman"/>
                <w:sz w:val="20"/>
              </w:rPr>
            </w:pPr>
          </w:p>
          <w:p w14:paraId="22996BC6" w14:textId="77777777" w:rsidR="00915C0D" w:rsidRPr="00915C0D" w:rsidRDefault="00915C0D" w:rsidP="00AD1241">
            <w:pPr>
              <w:jc w:val="center"/>
              <w:rPr>
                <w:rFonts w:ascii="Times New Roman" w:hAnsi="Times New Roman"/>
                <w:sz w:val="20"/>
              </w:rPr>
            </w:pPr>
          </w:p>
          <w:p w14:paraId="72C843A6" w14:textId="77777777" w:rsidR="00915C0D" w:rsidRPr="00915C0D" w:rsidRDefault="00915C0D" w:rsidP="00AD1241">
            <w:pPr>
              <w:jc w:val="center"/>
              <w:rPr>
                <w:rFonts w:ascii="Times New Roman" w:hAnsi="Times New Roman"/>
                <w:sz w:val="20"/>
              </w:rPr>
            </w:pPr>
          </w:p>
          <w:p w14:paraId="07D82467" w14:textId="77777777" w:rsidR="00915C0D" w:rsidRPr="00915C0D" w:rsidRDefault="00915C0D" w:rsidP="00AD1241">
            <w:pPr>
              <w:jc w:val="center"/>
              <w:rPr>
                <w:rFonts w:ascii="Times New Roman" w:hAnsi="Times New Roman"/>
                <w:sz w:val="20"/>
              </w:rPr>
            </w:pPr>
          </w:p>
          <w:p w14:paraId="09F948E1" w14:textId="77777777" w:rsidR="00915C0D" w:rsidRPr="00915C0D" w:rsidRDefault="00915C0D" w:rsidP="00AD1241">
            <w:pPr>
              <w:jc w:val="center"/>
              <w:rPr>
                <w:rFonts w:ascii="Times New Roman" w:hAnsi="Times New Roman"/>
                <w:sz w:val="20"/>
              </w:rPr>
            </w:pPr>
          </w:p>
          <w:p w14:paraId="3B6DA1D3" w14:textId="77777777" w:rsidR="00915C0D" w:rsidRPr="00915C0D" w:rsidRDefault="00915C0D" w:rsidP="00AD1241">
            <w:pPr>
              <w:jc w:val="center"/>
              <w:rPr>
                <w:rFonts w:ascii="Times New Roman" w:hAnsi="Times New Roman"/>
                <w:sz w:val="20"/>
              </w:rPr>
            </w:pPr>
          </w:p>
          <w:p w14:paraId="77E5FD6E" w14:textId="77777777" w:rsidR="00915C0D" w:rsidRPr="00915C0D" w:rsidRDefault="00915C0D" w:rsidP="00AD1241">
            <w:pPr>
              <w:jc w:val="center"/>
              <w:rPr>
                <w:rFonts w:ascii="Times New Roman" w:hAnsi="Times New Roman"/>
                <w:sz w:val="20"/>
              </w:rPr>
            </w:pPr>
          </w:p>
          <w:p w14:paraId="4D3866BC" w14:textId="77777777" w:rsidR="00915C0D" w:rsidRPr="00915C0D" w:rsidRDefault="00915C0D" w:rsidP="00AD1241">
            <w:pPr>
              <w:jc w:val="center"/>
              <w:rPr>
                <w:rFonts w:ascii="Times New Roman" w:hAnsi="Times New Roman"/>
                <w:sz w:val="20"/>
              </w:rPr>
            </w:pPr>
          </w:p>
          <w:p w14:paraId="07CA2B38" w14:textId="77777777" w:rsidR="00915C0D" w:rsidRPr="00915C0D" w:rsidRDefault="00915C0D" w:rsidP="00AD1241">
            <w:pPr>
              <w:jc w:val="center"/>
              <w:rPr>
                <w:rFonts w:ascii="Times New Roman" w:hAnsi="Times New Roman"/>
                <w:sz w:val="20"/>
              </w:rPr>
            </w:pPr>
          </w:p>
          <w:p w14:paraId="71E8AC8D" w14:textId="77777777" w:rsidR="00915C0D" w:rsidRPr="00915C0D" w:rsidRDefault="00915C0D" w:rsidP="00AD1241">
            <w:pPr>
              <w:jc w:val="center"/>
              <w:rPr>
                <w:rFonts w:ascii="Times New Roman" w:hAnsi="Times New Roman"/>
                <w:sz w:val="20"/>
              </w:rPr>
            </w:pPr>
          </w:p>
          <w:p w14:paraId="063099AF" w14:textId="77777777" w:rsidR="00915C0D" w:rsidRPr="00915C0D" w:rsidRDefault="00915C0D" w:rsidP="00AD1241">
            <w:pPr>
              <w:jc w:val="center"/>
              <w:rPr>
                <w:rFonts w:ascii="Times New Roman" w:hAnsi="Times New Roman"/>
                <w:sz w:val="20"/>
              </w:rPr>
            </w:pPr>
          </w:p>
          <w:p w14:paraId="118476D0"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Technical report</w:t>
            </w:r>
          </w:p>
          <w:p w14:paraId="21CED1CC" w14:textId="77777777" w:rsidR="00915C0D" w:rsidRPr="00915C0D" w:rsidRDefault="00915C0D" w:rsidP="00AD1241">
            <w:pPr>
              <w:jc w:val="center"/>
              <w:rPr>
                <w:rFonts w:ascii="Times New Roman" w:hAnsi="Times New Roman"/>
                <w:sz w:val="20"/>
              </w:rPr>
            </w:pPr>
          </w:p>
          <w:p w14:paraId="1653367C" w14:textId="77777777" w:rsidR="00915C0D" w:rsidRPr="00915C0D" w:rsidRDefault="00915C0D" w:rsidP="00AD1241">
            <w:pPr>
              <w:jc w:val="center"/>
              <w:rPr>
                <w:rFonts w:ascii="Times New Roman" w:hAnsi="Times New Roman"/>
                <w:sz w:val="20"/>
              </w:rPr>
            </w:pPr>
          </w:p>
          <w:p w14:paraId="115DEF71" w14:textId="77777777" w:rsidR="00915C0D" w:rsidRPr="00915C0D" w:rsidRDefault="00915C0D" w:rsidP="00AD1241">
            <w:pPr>
              <w:jc w:val="center"/>
              <w:rPr>
                <w:rFonts w:ascii="Times New Roman" w:hAnsi="Times New Roman"/>
                <w:sz w:val="20"/>
              </w:rPr>
            </w:pPr>
          </w:p>
          <w:p w14:paraId="5BB784F6" w14:textId="77777777" w:rsidR="00915C0D" w:rsidRPr="00915C0D" w:rsidRDefault="00915C0D" w:rsidP="00AD1241">
            <w:pPr>
              <w:jc w:val="center"/>
              <w:rPr>
                <w:rFonts w:ascii="Times New Roman" w:hAnsi="Times New Roman"/>
                <w:sz w:val="20"/>
              </w:rPr>
            </w:pPr>
          </w:p>
          <w:p w14:paraId="2A74B313" w14:textId="77777777" w:rsidR="00915C0D" w:rsidRPr="00915C0D" w:rsidRDefault="00915C0D" w:rsidP="00AD1241">
            <w:pPr>
              <w:jc w:val="center"/>
              <w:rPr>
                <w:rFonts w:ascii="Times New Roman" w:hAnsi="Times New Roman"/>
                <w:sz w:val="20"/>
              </w:rPr>
            </w:pPr>
          </w:p>
          <w:p w14:paraId="5A06B458" w14:textId="77777777" w:rsidR="00915C0D" w:rsidRPr="00915C0D" w:rsidRDefault="00915C0D" w:rsidP="00AD1241">
            <w:pPr>
              <w:jc w:val="center"/>
              <w:rPr>
                <w:rFonts w:ascii="Times New Roman" w:hAnsi="Times New Roman"/>
                <w:sz w:val="20"/>
              </w:rPr>
            </w:pPr>
          </w:p>
          <w:p w14:paraId="4E418902" w14:textId="77777777" w:rsidR="00915C0D" w:rsidRPr="00915C0D" w:rsidRDefault="00915C0D" w:rsidP="00AD1241">
            <w:pPr>
              <w:jc w:val="center"/>
              <w:rPr>
                <w:rFonts w:ascii="Times New Roman" w:hAnsi="Times New Roman"/>
                <w:sz w:val="20"/>
              </w:rPr>
            </w:pPr>
            <w:r w:rsidRPr="00915C0D">
              <w:rPr>
                <w:rFonts w:ascii="Times New Roman" w:hAnsi="Times New Roman"/>
                <w:sz w:val="20"/>
              </w:rPr>
              <w:t>Technical report</w:t>
            </w:r>
          </w:p>
        </w:tc>
      </w:tr>
    </w:tbl>
    <w:p w14:paraId="6B8EBDB6" w14:textId="77777777" w:rsidR="00915C0D" w:rsidRPr="00915C0D" w:rsidRDefault="00915C0D" w:rsidP="00915C0D">
      <w:pPr>
        <w:rPr>
          <w:rFonts w:ascii="Times New Roman" w:hAnsi="Times New Roman"/>
          <w:noProof/>
          <w:sz w:val="22"/>
          <w:szCs w:val="22"/>
          <w:lang w:val="es-AR"/>
        </w:rPr>
        <w:sectPr w:rsidR="00915C0D" w:rsidRPr="00915C0D" w:rsidSect="00915C0D">
          <w:pgSz w:w="16839" w:h="11907" w:orient="landscape" w:code="9"/>
          <w:pgMar w:top="1797" w:right="1440" w:bottom="1797" w:left="1440" w:header="567" w:footer="624" w:gutter="0"/>
          <w:cols w:space="720"/>
          <w:docGrid w:linePitch="272"/>
        </w:sectPr>
      </w:pPr>
    </w:p>
    <w:p w14:paraId="5E10D23F" w14:textId="77777777" w:rsidR="00915C0D" w:rsidRPr="00915C0D" w:rsidRDefault="00915C0D" w:rsidP="00915C0D">
      <w:pPr>
        <w:rPr>
          <w:rFonts w:ascii="Times New Roman" w:hAnsi="Times New Roman"/>
          <w:noProof/>
          <w:sz w:val="22"/>
          <w:szCs w:val="22"/>
          <w:lang w:val="es-AR"/>
        </w:rPr>
      </w:pPr>
    </w:p>
    <w:p w14:paraId="465EA0B7" w14:textId="77777777" w:rsidR="00915C0D" w:rsidRPr="00915C0D" w:rsidRDefault="00915C0D" w:rsidP="00915C0D"/>
    <w:bookmarkEnd w:id="31"/>
    <w:p w14:paraId="3748608D" w14:textId="77777777" w:rsidR="00915C0D" w:rsidRPr="00915C0D" w:rsidRDefault="00915C0D" w:rsidP="00915C0D">
      <w:pPr>
        <w:autoSpaceDE w:val="0"/>
        <w:autoSpaceDN w:val="0"/>
        <w:adjustRightInd w:val="0"/>
        <w:rPr>
          <w:rFonts w:ascii="Times New Roman" w:hAnsi="Times New Roman"/>
          <w:bCs/>
          <w:noProof/>
          <w:color w:val="231F20"/>
        </w:rPr>
      </w:pPr>
      <w:r w:rsidRPr="00915C0D">
        <w:rPr>
          <w:rFonts w:ascii="Times New Roman" w:hAnsi="Times New Roman"/>
          <w:b/>
          <w:bCs/>
          <w:i/>
          <w:iCs/>
          <w:sz w:val="22"/>
          <w:szCs w:val="22"/>
        </w:rPr>
        <w:t xml:space="preserve">Bibliography </w:t>
      </w:r>
    </w:p>
    <w:p w14:paraId="6EACD36B" w14:textId="77777777" w:rsidR="00915C0D" w:rsidRPr="00915C0D" w:rsidRDefault="00915C0D" w:rsidP="00915C0D">
      <w:pPr>
        <w:autoSpaceDE w:val="0"/>
        <w:autoSpaceDN w:val="0"/>
        <w:adjustRightInd w:val="0"/>
        <w:rPr>
          <w:rFonts w:ascii="Times New Roman" w:hAnsi="Times New Roman"/>
          <w:bCs/>
          <w:noProof/>
          <w:color w:val="231F20"/>
        </w:rPr>
      </w:pPr>
    </w:p>
    <w:p w14:paraId="773793AC" w14:textId="77777777" w:rsidR="00915C0D" w:rsidRPr="00915C0D" w:rsidRDefault="00915C0D">
      <w:pPr>
        <w:autoSpaceDE w:val="0"/>
        <w:autoSpaceDN w:val="0"/>
        <w:adjustRightInd w:val="0"/>
        <w:rPr>
          <w:rFonts w:ascii="Times New Roman" w:hAnsi="Times New Roman"/>
          <w:bCs/>
          <w:i/>
          <w:iCs/>
          <w:sz w:val="22"/>
          <w:szCs w:val="22"/>
        </w:rPr>
      </w:pPr>
      <w:r w:rsidRPr="00915C0D">
        <w:rPr>
          <w:rFonts w:ascii="Times New Roman" w:hAnsi="Times New Roman"/>
          <w:bCs/>
          <w:sz w:val="22"/>
          <w:szCs w:val="22"/>
          <w:lang w:val="es-AR"/>
        </w:rPr>
        <w:t xml:space="preserve">BID. Instrumentos y desarrollo: Una evaluación de las modalidades de operaciones de préstamo del BID. </w:t>
      </w:r>
      <w:proofErr w:type="spellStart"/>
      <w:r w:rsidRPr="00915C0D">
        <w:rPr>
          <w:rFonts w:ascii="Times New Roman" w:hAnsi="Times New Roman"/>
          <w:bCs/>
          <w:i/>
          <w:iCs/>
          <w:sz w:val="22"/>
          <w:szCs w:val="22"/>
        </w:rPr>
        <w:t>Oficina</w:t>
      </w:r>
      <w:proofErr w:type="spellEnd"/>
      <w:r w:rsidRPr="00915C0D">
        <w:rPr>
          <w:rFonts w:ascii="Times New Roman" w:hAnsi="Times New Roman"/>
          <w:bCs/>
          <w:i/>
          <w:iCs/>
          <w:sz w:val="22"/>
          <w:szCs w:val="22"/>
        </w:rPr>
        <w:t xml:space="preserve"> de </w:t>
      </w:r>
      <w:proofErr w:type="spellStart"/>
      <w:r w:rsidRPr="00915C0D">
        <w:rPr>
          <w:rFonts w:ascii="Times New Roman" w:hAnsi="Times New Roman"/>
          <w:bCs/>
          <w:i/>
          <w:iCs/>
          <w:sz w:val="22"/>
          <w:szCs w:val="22"/>
        </w:rPr>
        <w:t>Evaluación</w:t>
      </w:r>
      <w:proofErr w:type="spellEnd"/>
      <w:r w:rsidRPr="00915C0D">
        <w:rPr>
          <w:rFonts w:ascii="Times New Roman" w:hAnsi="Times New Roman"/>
          <w:bCs/>
          <w:i/>
          <w:iCs/>
          <w:sz w:val="22"/>
          <w:szCs w:val="22"/>
        </w:rPr>
        <w:t xml:space="preserve"> y </w:t>
      </w:r>
      <w:proofErr w:type="spellStart"/>
      <w:r w:rsidRPr="00915C0D">
        <w:rPr>
          <w:rFonts w:ascii="Times New Roman" w:hAnsi="Times New Roman"/>
          <w:bCs/>
          <w:i/>
          <w:iCs/>
          <w:sz w:val="22"/>
          <w:szCs w:val="22"/>
        </w:rPr>
        <w:t>Supervisión</w:t>
      </w:r>
      <w:proofErr w:type="spellEnd"/>
      <w:r w:rsidRPr="00915C0D">
        <w:rPr>
          <w:rFonts w:ascii="Times New Roman" w:hAnsi="Times New Roman"/>
          <w:bCs/>
          <w:i/>
          <w:iCs/>
          <w:sz w:val="22"/>
          <w:szCs w:val="22"/>
        </w:rPr>
        <w:t>, 2004.</w:t>
      </w:r>
    </w:p>
    <w:p w14:paraId="2A292B97" w14:textId="77777777" w:rsidR="00915C0D" w:rsidRPr="00915C0D" w:rsidRDefault="00915C0D">
      <w:pPr>
        <w:autoSpaceDE w:val="0"/>
        <w:autoSpaceDN w:val="0"/>
        <w:adjustRightInd w:val="0"/>
        <w:rPr>
          <w:rFonts w:ascii="Times New Roman" w:hAnsi="Times New Roman"/>
          <w:bCs/>
          <w:i/>
          <w:iCs/>
          <w:sz w:val="22"/>
          <w:szCs w:val="22"/>
        </w:rPr>
      </w:pPr>
    </w:p>
    <w:p w14:paraId="087A0E4F" w14:textId="77777777" w:rsidR="00915C0D" w:rsidRPr="00915C0D" w:rsidRDefault="00915C0D">
      <w:pPr>
        <w:autoSpaceDE w:val="0"/>
        <w:autoSpaceDN w:val="0"/>
        <w:adjustRightInd w:val="0"/>
        <w:rPr>
          <w:rFonts w:ascii="Times New Roman" w:hAnsi="Times New Roman"/>
          <w:sz w:val="22"/>
          <w:szCs w:val="22"/>
          <w:lang w:val="es-AR"/>
        </w:rPr>
      </w:pPr>
      <w:r w:rsidRPr="00915C0D">
        <w:rPr>
          <w:rFonts w:ascii="Times New Roman" w:hAnsi="Times New Roman"/>
          <w:bCs/>
          <w:iCs/>
          <w:noProof/>
          <w:sz w:val="22"/>
          <w:szCs w:val="22"/>
        </w:rPr>
        <w:t>BID.</w:t>
      </w:r>
      <w:r w:rsidRPr="00915C0D">
        <w:rPr>
          <w:rFonts w:ascii="Times New Roman" w:hAnsi="Times New Roman"/>
          <w:bCs/>
          <w:iCs/>
          <w:sz w:val="22"/>
          <w:szCs w:val="22"/>
        </w:rPr>
        <w:t xml:space="preserve"> </w:t>
      </w:r>
      <w:r w:rsidRPr="00915C0D">
        <w:rPr>
          <w:rFonts w:ascii="Times New Roman" w:hAnsi="Times New Roman"/>
          <w:bCs/>
          <w:noProof/>
          <w:sz w:val="22"/>
          <w:szCs w:val="22"/>
          <w:lang w:val="en-GB"/>
        </w:rPr>
        <w:t xml:space="preserve">Toolkit for the Application of the DEM Sovereign Operations. </w:t>
      </w:r>
      <w:r w:rsidRPr="00915C0D">
        <w:rPr>
          <w:rFonts w:ascii="Times New Roman" w:hAnsi="Times New Roman"/>
          <w:bCs/>
          <w:noProof/>
          <w:sz w:val="22"/>
          <w:szCs w:val="22"/>
          <w:lang w:val="es-AR"/>
        </w:rPr>
        <w:t>SPD.</w:t>
      </w:r>
      <w:r w:rsidRPr="00915C0D">
        <w:rPr>
          <w:rFonts w:ascii="Times New Roman" w:hAnsi="Times New Roman"/>
          <w:bCs/>
          <w:sz w:val="22"/>
          <w:szCs w:val="22"/>
          <w:lang w:val="es-AR"/>
        </w:rPr>
        <w:t xml:space="preserve"> January 2013.</w:t>
      </w:r>
    </w:p>
    <w:p w14:paraId="4D83A6FE" w14:textId="77777777" w:rsidR="00915C0D" w:rsidRPr="00915C0D" w:rsidRDefault="00915C0D">
      <w:pPr>
        <w:autoSpaceDE w:val="0"/>
        <w:autoSpaceDN w:val="0"/>
        <w:adjustRightInd w:val="0"/>
        <w:rPr>
          <w:rFonts w:ascii="Times New Roman" w:hAnsi="Times New Roman"/>
          <w:sz w:val="22"/>
          <w:szCs w:val="22"/>
          <w:lang w:val="es-AR"/>
        </w:rPr>
      </w:pPr>
    </w:p>
    <w:p w14:paraId="4EAA4440" w14:textId="77777777" w:rsidR="00915C0D" w:rsidRPr="00915C0D" w:rsidRDefault="00915C0D">
      <w:pPr>
        <w:autoSpaceDE w:val="0"/>
        <w:autoSpaceDN w:val="0"/>
        <w:adjustRightInd w:val="0"/>
        <w:rPr>
          <w:rFonts w:ascii="Times New Roman" w:hAnsi="Times New Roman"/>
          <w:bCs/>
          <w:sz w:val="22"/>
          <w:szCs w:val="22"/>
        </w:rPr>
      </w:pPr>
      <w:r w:rsidRPr="00915C0D">
        <w:rPr>
          <w:rFonts w:ascii="Times New Roman" w:hAnsi="Times New Roman"/>
          <w:sz w:val="22"/>
          <w:szCs w:val="22"/>
          <w:lang w:val="es-AR"/>
        </w:rPr>
        <w:t xml:space="preserve">BID. </w:t>
      </w:r>
      <w:r w:rsidRPr="00915C0D">
        <w:rPr>
          <w:rFonts w:ascii="Times New Roman" w:hAnsi="Times New Roman"/>
          <w:bCs/>
          <w:sz w:val="22"/>
          <w:szCs w:val="22"/>
          <w:lang w:val="es-AR"/>
        </w:rPr>
        <w:t xml:space="preserve">Gestión del Impacto de la Explotación Minera a Cielo Abierto sobre el Agua Dulce en América Latina. . </w:t>
      </w:r>
      <w:r w:rsidRPr="00915C0D">
        <w:rPr>
          <w:rFonts w:ascii="Times New Roman" w:hAnsi="Times New Roman"/>
          <w:bCs/>
          <w:sz w:val="22"/>
          <w:szCs w:val="22"/>
        </w:rPr>
        <w:t>Hammond</w:t>
      </w:r>
      <w:proofErr w:type="gramStart"/>
      <w:r w:rsidRPr="00915C0D">
        <w:rPr>
          <w:rFonts w:ascii="Times New Roman" w:hAnsi="Times New Roman"/>
          <w:bCs/>
          <w:sz w:val="22"/>
          <w:szCs w:val="22"/>
        </w:rPr>
        <w:t>,  Rosales</w:t>
      </w:r>
      <w:proofErr w:type="gramEnd"/>
      <w:r w:rsidRPr="00915C0D">
        <w:rPr>
          <w:rFonts w:ascii="Times New Roman" w:hAnsi="Times New Roman"/>
          <w:bCs/>
          <w:sz w:val="22"/>
          <w:szCs w:val="22"/>
        </w:rPr>
        <w:t xml:space="preserve"> y. </w:t>
      </w:r>
      <w:proofErr w:type="spellStart"/>
      <w:r w:rsidRPr="00915C0D">
        <w:rPr>
          <w:rFonts w:ascii="Times New Roman" w:hAnsi="Times New Roman"/>
          <w:bCs/>
          <w:sz w:val="22"/>
          <w:szCs w:val="22"/>
        </w:rPr>
        <w:t>Ouboter</w:t>
      </w:r>
      <w:proofErr w:type="spellEnd"/>
      <w:r w:rsidRPr="00915C0D">
        <w:rPr>
          <w:rFonts w:ascii="Times New Roman" w:hAnsi="Times New Roman"/>
          <w:bCs/>
          <w:sz w:val="22"/>
          <w:szCs w:val="22"/>
        </w:rPr>
        <w:t xml:space="preserve">. </w:t>
      </w:r>
      <w:proofErr w:type="spellStart"/>
      <w:r w:rsidRPr="00915C0D">
        <w:rPr>
          <w:rFonts w:ascii="Times New Roman" w:hAnsi="Times New Roman"/>
          <w:bCs/>
          <w:sz w:val="22"/>
          <w:szCs w:val="22"/>
        </w:rPr>
        <w:t>Marzo</w:t>
      </w:r>
      <w:proofErr w:type="spellEnd"/>
      <w:r w:rsidRPr="00915C0D">
        <w:rPr>
          <w:rFonts w:ascii="Times New Roman" w:hAnsi="Times New Roman"/>
          <w:bCs/>
          <w:sz w:val="22"/>
          <w:szCs w:val="22"/>
        </w:rPr>
        <w:t xml:space="preserve"> 2013. Nota </w:t>
      </w:r>
      <w:proofErr w:type="spellStart"/>
      <w:r w:rsidRPr="00915C0D">
        <w:rPr>
          <w:rFonts w:ascii="Times New Roman" w:hAnsi="Times New Roman"/>
          <w:bCs/>
          <w:sz w:val="22"/>
          <w:szCs w:val="22"/>
        </w:rPr>
        <w:t>técnica</w:t>
      </w:r>
      <w:proofErr w:type="spellEnd"/>
      <w:r w:rsidRPr="00915C0D">
        <w:rPr>
          <w:rFonts w:ascii="Times New Roman" w:hAnsi="Times New Roman"/>
          <w:bCs/>
          <w:sz w:val="22"/>
          <w:szCs w:val="22"/>
        </w:rPr>
        <w:t xml:space="preserve"> BID.</w:t>
      </w:r>
    </w:p>
    <w:p w14:paraId="75092D41" w14:textId="77777777" w:rsidR="00915C0D" w:rsidRPr="00915C0D" w:rsidRDefault="00915C0D">
      <w:pPr>
        <w:autoSpaceDE w:val="0"/>
        <w:autoSpaceDN w:val="0"/>
        <w:adjustRightInd w:val="0"/>
        <w:rPr>
          <w:rFonts w:ascii="Times New Roman" w:hAnsi="Times New Roman"/>
          <w:sz w:val="22"/>
          <w:szCs w:val="22"/>
        </w:rPr>
      </w:pPr>
    </w:p>
    <w:p w14:paraId="7C1A06ED" w14:textId="77777777" w:rsidR="00915C0D" w:rsidRPr="00915C0D" w:rsidRDefault="00915C0D" w:rsidP="00915C0D">
      <w:pPr>
        <w:autoSpaceDE w:val="0"/>
        <w:autoSpaceDN w:val="0"/>
        <w:adjustRightInd w:val="0"/>
        <w:rPr>
          <w:rFonts w:ascii="Times New Roman" w:hAnsi="Times New Roman"/>
          <w:bCs/>
          <w:noProof/>
          <w:color w:val="231F20"/>
          <w:sz w:val="22"/>
          <w:szCs w:val="22"/>
          <w:lang w:val="es-ES_tradnl"/>
        </w:rPr>
      </w:pPr>
      <w:r w:rsidRPr="00915C0D">
        <w:rPr>
          <w:rFonts w:ascii="Times New Roman" w:hAnsi="Times New Roman"/>
          <w:sz w:val="22"/>
          <w:szCs w:val="22"/>
        </w:rPr>
        <w:t xml:space="preserve">CEPAL. An assessment of the economic impact of climate change in Guyana. </w:t>
      </w:r>
      <w:r w:rsidRPr="00915C0D">
        <w:rPr>
          <w:rFonts w:ascii="Times New Roman" w:hAnsi="Times New Roman"/>
          <w:sz w:val="22"/>
          <w:szCs w:val="22"/>
          <w:lang w:val="es-ES_tradnl"/>
        </w:rPr>
        <w:t>2011.</w:t>
      </w:r>
    </w:p>
    <w:p w14:paraId="0D88BD18" w14:textId="77777777" w:rsidR="00915C0D" w:rsidRPr="00915C0D" w:rsidRDefault="00915C0D" w:rsidP="00915C0D">
      <w:pPr>
        <w:autoSpaceDE w:val="0"/>
        <w:autoSpaceDN w:val="0"/>
        <w:adjustRightInd w:val="0"/>
        <w:rPr>
          <w:rFonts w:ascii="Times New Roman" w:hAnsi="Times New Roman"/>
          <w:bCs/>
          <w:sz w:val="22"/>
          <w:szCs w:val="22"/>
          <w:lang w:val="es-AR"/>
        </w:rPr>
      </w:pPr>
    </w:p>
    <w:p w14:paraId="51CAF319" w14:textId="77777777" w:rsidR="00915C0D" w:rsidRPr="00915C0D" w:rsidRDefault="00915C0D" w:rsidP="00915C0D">
      <w:pPr>
        <w:autoSpaceDE w:val="0"/>
        <w:autoSpaceDN w:val="0"/>
        <w:adjustRightInd w:val="0"/>
        <w:rPr>
          <w:rFonts w:ascii="Times New Roman" w:hAnsi="Times New Roman"/>
          <w:bCs/>
          <w:sz w:val="22"/>
          <w:szCs w:val="22"/>
          <w:lang w:val="es-ES"/>
        </w:rPr>
      </w:pPr>
      <w:r w:rsidRPr="00915C0D">
        <w:rPr>
          <w:rFonts w:ascii="Times New Roman" w:hAnsi="Times New Roman"/>
          <w:bCs/>
          <w:sz w:val="22"/>
          <w:szCs w:val="22"/>
          <w:lang w:val="es-ES"/>
        </w:rPr>
        <w:t>CEPAL. Balance económico América Latina y el Caribe del año 2013.  Abril 2014.</w:t>
      </w:r>
    </w:p>
    <w:p w14:paraId="71DCD474" w14:textId="77777777" w:rsidR="00915C0D" w:rsidRPr="00915C0D" w:rsidRDefault="00915C0D" w:rsidP="00915C0D">
      <w:pPr>
        <w:autoSpaceDE w:val="0"/>
        <w:autoSpaceDN w:val="0"/>
        <w:adjustRightInd w:val="0"/>
        <w:rPr>
          <w:rFonts w:ascii="Times New Roman" w:hAnsi="Times New Roman"/>
          <w:bCs/>
          <w:sz w:val="22"/>
          <w:szCs w:val="22"/>
          <w:lang w:val="es-AR"/>
        </w:rPr>
      </w:pPr>
    </w:p>
    <w:p w14:paraId="3FCF6632" w14:textId="77777777" w:rsidR="00915C0D" w:rsidRPr="00915C0D" w:rsidRDefault="00915C0D" w:rsidP="00915C0D">
      <w:pPr>
        <w:autoSpaceDE w:val="0"/>
        <w:autoSpaceDN w:val="0"/>
        <w:adjustRightInd w:val="0"/>
        <w:rPr>
          <w:rFonts w:ascii="Times New Roman" w:hAnsi="Times New Roman"/>
          <w:bCs/>
          <w:sz w:val="22"/>
          <w:szCs w:val="22"/>
          <w:lang w:val="es-AR"/>
        </w:rPr>
      </w:pPr>
      <w:r w:rsidRPr="00915C0D">
        <w:rPr>
          <w:rFonts w:ascii="Times New Roman" w:hAnsi="Times New Roman"/>
          <w:sz w:val="22"/>
          <w:szCs w:val="22"/>
          <w:lang w:val="es-ES_tradnl"/>
        </w:rPr>
        <w:t xml:space="preserve">Elizondo, A. El mercado de la madera en México.  2005 y  </w:t>
      </w:r>
      <w:proofErr w:type="spellStart"/>
      <w:r w:rsidRPr="00915C0D">
        <w:rPr>
          <w:rFonts w:ascii="Times New Roman" w:hAnsi="Times New Roman"/>
          <w:sz w:val="22"/>
          <w:szCs w:val="22"/>
          <w:lang w:val="es-ES_tradnl"/>
        </w:rPr>
        <w:t>Russo</w:t>
      </w:r>
      <w:proofErr w:type="spellEnd"/>
      <w:r w:rsidRPr="00915C0D">
        <w:rPr>
          <w:rFonts w:ascii="Times New Roman" w:hAnsi="Times New Roman"/>
          <w:sz w:val="22"/>
          <w:szCs w:val="22"/>
          <w:lang w:val="es-ES_tradnl"/>
        </w:rPr>
        <w:t xml:space="preserve">, Michael Análisis de la Cadena de Suministro para Productos Mexicanos de Madera Certificada.– </w:t>
      </w:r>
      <w:proofErr w:type="spellStart"/>
      <w:r w:rsidRPr="00915C0D">
        <w:rPr>
          <w:rFonts w:ascii="Times New Roman" w:hAnsi="Times New Roman"/>
          <w:sz w:val="22"/>
          <w:szCs w:val="22"/>
          <w:lang w:val="es-ES_tradnl"/>
        </w:rPr>
        <w:t>University</w:t>
      </w:r>
      <w:proofErr w:type="spellEnd"/>
      <w:r w:rsidRPr="00915C0D">
        <w:rPr>
          <w:rFonts w:ascii="Times New Roman" w:hAnsi="Times New Roman"/>
          <w:sz w:val="22"/>
          <w:szCs w:val="22"/>
          <w:lang w:val="es-ES_tradnl"/>
        </w:rPr>
        <w:t xml:space="preserve"> of </w:t>
      </w:r>
      <w:proofErr w:type="spellStart"/>
      <w:r w:rsidRPr="00915C0D">
        <w:rPr>
          <w:rFonts w:ascii="Times New Roman" w:hAnsi="Times New Roman"/>
          <w:sz w:val="22"/>
          <w:szCs w:val="22"/>
          <w:lang w:val="es-ES_tradnl"/>
        </w:rPr>
        <w:t>Oregon</w:t>
      </w:r>
      <w:proofErr w:type="spellEnd"/>
      <w:r w:rsidRPr="00915C0D">
        <w:rPr>
          <w:rFonts w:ascii="Times New Roman" w:hAnsi="Times New Roman"/>
          <w:sz w:val="22"/>
          <w:szCs w:val="22"/>
          <w:lang w:val="es-ES_tradnl"/>
        </w:rPr>
        <w:t>. Ambos trabajos para SEMARNAT. Secretaría de Medio Ambiente y Recursos Naturales de México</w:t>
      </w:r>
    </w:p>
    <w:p w14:paraId="12904FFA" w14:textId="77777777" w:rsidR="00915C0D" w:rsidRPr="00915C0D" w:rsidRDefault="00915C0D" w:rsidP="00915C0D">
      <w:pPr>
        <w:autoSpaceDE w:val="0"/>
        <w:autoSpaceDN w:val="0"/>
        <w:adjustRightInd w:val="0"/>
        <w:rPr>
          <w:rFonts w:ascii="Times New Roman" w:hAnsi="Times New Roman"/>
          <w:bCs/>
          <w:sz w:val="22"/>
          <w:szCs w:val="22"/>
          <w:lang w:val="es-AR"/>
        </w:rPr>
      </w:pPr>
    </w:p>
    <w:p w14:paraId="4558EC0F" w14:textId="77777777" w:rsidR="00915C0D" w:rsidRPr="00915C0D" w:rsidRDefault="00915C0D" w:rsidP="00915C0D">
      <w:pPr>
        <w:autoSpaceDE w:val="0"/>
        <w:autoSpaceDN w:val="0"/>
        <w:adjustRightInd w:val="0"/>
        <w:rPr>
          <w:rFonts w:ascii="Times New Roman" w:hAnsi="Times New Roman"/>
          <w:b/>
          <w:bCs/>
          <w:sz w:val="22"/>
          <w:szCs w:val="22"/>
        </w:rPr>
      </w:pPr>
      <w:r w:rsidRPr="00915C0D">
        <w:rPr>
          <w:rFonts w:ascii="Times New Roman" w:hAnsi="Times New Roman"/>
          <w:bCs/>
          <w:sz w:val="22"/>
          <w:szCs w:val="22"/>
        </w:rPr>
        <w:t>FSC. Global Market Survey Report 2012.</w:t>
      </w:r>
      <w:r w:rsidRPr="00915C0D">
        <w:rPr>
          <w:rFonts w:ascii="Times New Roman" w:hAnsi="Times New Roman"/>
          <w:b/>
          <w:bCs/>
          <w:sz w:val="22"/>
          <w:szCs w:val="22"/>
        </w:rPr>
        <w:t xml:space="preserve"> </w:t>
      </w:r>
    </w:p>
    <w:p w14:paraId="7F64C4CD" w14:textId="77777777" w:rsidR="00915C0D" w:rsidRPr="00915C0D" w:rsidRDefault="00915C0D" w:rsidP="00915C0D">
      <w:pPr>
        <w:autoSpaceDE w:val="0"/>
        <w:autoSpaceDN w:val="0"/>
        <w:adjustRightInd w:val="0"/>
        <w:rPr>
          <w:rFonts w:ascii="Times New Roman" w:hAnsi="Times New Roman"/>
          <w:bCs/>
          <w:sz w:val="22"/>
          <w:szCs w:val="22"/>
        </w:rPr>
      </w:pPr>
    </w:p>
    <w:p w14:paraId="57DEE601" w14:textId="77777777" w:rsidR="00915C0D" w:rsidRPr="00915C0D" w:rsidRDefault="00915C0D" w:rsidP="00915C0D">
      <w:pPr>
        <w:autoSpaceDE w:val="0"/>
        <w:autoSpaceDN w:val="0"/>
        <w:adjustRightInd w:val="0"/>
        <w:rPr>
          <w:rFonts w:ascii="Times New Roman" w:hAnsi="Times New Roman"/>
          <w:color w:val="000000"/>
          <w:sz w:val="22"/>
          <w:szCs w:val="22"/>
          <w:lang w:eastAsia="es-AR"/>
        </w:rPr>
      </w:pPr>
      <w:r w:rsidRPr="00915C0D">
        <w:rPr>
          <w:rFonts w:ascii="Times New Roman" w:hAnsi="Times New Roman"/>
          <w:color w:val="000000"/>
          <w:sz w:val="22"/>
          <w:szCs w:val="22"/>
          <w:lang w:eastAsia="es-AR"/>
        </w:rPr>
        <w:t>Guyana Bureau of Statistics. 2013.</w:t>
      </w:r>
    </w:p>
    <w:p w14:paraId="1D2AA62F" w14:textId="77777777" w:rsidR="00915C0D" w:rsidRPr="00915C0D" w:rsidRDefault="00915C0D" w:rsidP="00915C0D">
      <w:pPr>
        <w:autoSpaceDE w:val="0"/>
        <w:autoSpaceDN w:val="0"/>
        <w:adjustRightInd w:val="0"/>
        <w:rPr>
          <w:rFonts w:ascii="Times New Roman" w:hAnsi="Times New Roman"/>
          <w:bCs/>
          <w:sz w:val="22"/>
          <w:szCs w:val="22"/>
        </w:rPr>
      </w:pPr>
    </w:p>
    <w:p w14:paraId="0836092F" w14:textId="77777777" w:rsidR="00915C0D" w:rsidRPr="00915C0D" w:rsidRDefault="00915C0D" w:rsidP="00915C0D">
      <w:pPr>
        <w:autoSpaceDE w:val="0"/>
        <w:autoSpaceDN w:val="0"/>
        <w:adjustRightInd w:val="0"/>
        <w:rPr>
          <w:rFonts w:ascii="Times New Roman" w:hAnsi="Times New Roman"/>
          <w:bCs/>
          <w:sz w:val="22"/>
          <w:szCs w:val="22"/>
          <w:lang w:val="es-ES"/>
        </w:rPr>
      </w:pPr>
      <w:proofErr w:type="spellStart"/>
      <w:r w:rsidRPr="00915C0D">
        <w:rPr>
          <w:rFonts w:ascii="Times New Roman" w:hAnsi="Times New Roman"/>
          <w:bCs/>
          <w:sz w:val="22"/>
          <w:szCs w:val="22"/>
        </w:rPr>
        <w:t>Heemskerk</w:t>
      </w:r>
      <w:proofErr w:type="spellEnd"/>
      <w:r w:rsidRPr="00915C0D">
        <w:rPr>
          <w:rFonts w:ascii="Times New Roman" w:hAnsi="Times New Roman"/>
          <w:bCs/>
          <w:sz w:val="22"/>
          <w:szCs w:val="22"/>
        </w:rPr>
        <w:t xml:space="preserve">, M. An empirical analysis of small-scale gold mining in Suriname. </w:t>
      </w:r>
      <w:r w:rsidRPr="00915C0D">
        <w:rPr>
          <w:rFonts w:ascii="Times New Roman" w:hAnsi="Times New Roman"/>
          <w:bCs/>
          <w:sz w:val="22"/>
          <w:szCs w:val="22"/>
          <w:lang w:val="es-AR"/>
        </w:rPr>
        <w:t>Ecological Economics  (2001).</w:t>
      </w:r>
    </w:p>
    <w:p w14:paraId="1C0AF4B7" w14:textId="77777777" w:rsidR="00915C0D" w:rsidRPr="00915C0D" w:rsidRDefault="00915C0D" w:rsidP="00915C0D">
      <w:pPr>
        <w:autoSpaceDE w:val="0"/>
        <w:autoSpaceDN w:val="0"/>
        <w:adjustRightInd w:val="0"/>
        <w:rPr>
          <w:rFonts w:ascii="Times New Roman" w:hAnsi="Times New Roman"/>
          <w:sz w:val="18"/>
          <w:szCs w:val="18"/>
          <w:lang w:val="es-AR"/>
        </w:rPr>
      </w:pPr>
    </w:p>
    <w:p w14:paraId="6B5AE380" w14:textId="77777777" w:rsidR="00915C0D" w:rsidRPr="00915C0D" w:rsidRDefault="00915C0D" w:rsidP="00915C0D">
      <w:pPr>
        <w:autoSpaceDE w:val="0"/>
        <w:autoSpaceDN w:val="0"/>
        <w:adjustRightInd w:val="0"/>
        <w:rPr>
          <w:rFonts w:ascii="Times New Roman" w:hAnsi="Times New Roman"/>
          <w:sz w:val="22"/>
          <w:szCs w:val="22"/>
          <w:lang w:val="es-AR"/>
        </w:rPr>
      </w:pPr>
      <w:r w:rsidRPr="00915C0D">
        <w:rPr>
          <w:rFonts w:ascii="Times New Roman" w:hAnsi="Times New Roman"/>
          <w:sz w:val="22"/>
          <w:szCs w:val="22"/>
          <w:lang w:val="es-AR"/>
        </w:rPr>
        <w:t>INEGI. Cuentas económicas y ecológicas de México 2007-2011. Año 2013.</w:t>
      </w:r>
    </w:p>
    <w:p w14:paraId="18D6893B" w14:textId="77777777" w:rsidR="00915C0D" w:rsidRPr="00915C0D" w:rsidRDefault="00915C0D" w:rsidP="00915C0D">
      <w:pPr>
        <w:autoSpaceDE w:val="0"/>
        <w:autoSpaceDN w:val="0"/>
        <w:adjustRightInd w:val="0"/>
        <w:rPr>
          <w:rFonts w:ascii="Times New Roman" w:hAnsi="Times New Roman"/>
          <w:bCs/>
          <w:sz w:val="22"/>
          <w:szCs w:val="22"/>
          <w:lang w:val="es-AR"/>
        </w:rPr>
      </w:pPr>
    </w:p>
    <w:p w14:paraId="795B6D47" w14:textId="77777777" w:rsidR="00915C0D" w:rsidRPr="00915C0D" w:rsidRDefault="00915C0D" w:rsidP="00915C0D">
      <w:pPr>
        <w:autoSpaceDE w:val="0"/>
        <w:autoSpaceDN w:val="0"/>
        <w:adjustRightInd w:val="0"/>
        <w:rPr>
          <w:rFonts w:ascii="Times New Roman" w:hAnsi="Times New Roman"/>
          <w:bCs/>
          <w:sz w:val="22"/>
          <w:szCs w:val="22"/>
          <w:lang w:val="en-GB"/>
        </w:rPr>
      </w:pPr>
      <w:r w:rsidRPr="00915C0D">
        <w:rPr>
          <w:rFonts w:ascii="Times New Roman" w:hAnsi="Times New Roman"/>
          <w:bCs/>
          <w:sz w:val="22"/>
          <w:szCs w:val="22"/>
        </w:rPr>
        <w:t>Strategic Framework for the Ministry of Natural Resources and the Environment 2013-2018. April 2013.  SEA.</w:t>
      </w:r>
    </w:p>
    <w:p w14:paraId="437C3C9F" w14:textId="77777777" w:rsidR="00915C0D" w:rsidRPr="00915C0D" w:rsidRDefault="00915C0D" w:rsidP="00915C0D">
      <w:pPr>
        <w:autoSpaceDE w:val="0"/>
        <w:autoSpaceDN w:val="0"/>
        <w:adjustRightInd w:val="0"/>
        <w:rPr>
          <w:rFonts w:ascii="Times New Roman" w:hAnsi="Times New Roman"/>
          <w:bCs/>
          <w:sz w:val="22"/>
          <w:szCs w:val="22"/>
          <w:lang w:val="en-GB"/>
        </w:rPr>
      </w:pPr>
    </w:p>
    <w:p w14:paraId="102E751C" w14:textId="77777777" w:rsidR="00915C0D" w:rsidRPr="00915C0D" w:rsidRDefault="00915C0D" w:rsidP="00915C0D">
      <w:pPr>
        <w:autoSpaceDE w:val="0"/>
        <w:autoSpaceDN w:val="0"/>
        <w:adjustRightInd w:val="0"/>
        <w:rPr>
          <w:rFonts w:ascii="Times New Roman" w:hAnsi="Times New Roman"/>
          <w:bCs/>
          <w:sz w:val="22"/>
          <w:szCs w:val="22"/>
        </w:rPr>
      </w:pPr>
      <w:r w:rsidRPr="00915C0D">
        <w:rPr>
          <w:rFonts w:ascii="Times New Roman" w:hAnsi="Times New Roman"/>
          <w:bCs/>
          <w:sz w:val="22"/>
          <w:szCs w:val="22"/>
        </w:rPr>
        <w:t xml:space="preserve">Swenson, J.J., Carter C.E., </w:t>
      </w:r>
      <w:proofErr w:type="spellStart"/>
      <w:r w:rsidRPr="00915C0D">
        <w:rPr>
          <w:rFonts w:ascii="Times New Roman" w:hAnsi="Times New Roman"/>
          <w:bCs/>
          <w:sz w:val="22"/>
          <w:szCs w:val="22"/>
        </w:rPr>
        <w:t>Domec</w:t>
      </w:r>
      <w:proofErr w:type="spellEnd"/>
      <w:r w:rsidRPr="00915C0D">
        <w:rPr>
          <w:rFonts w:ascii="Times New Roman" w:hAnsi="Times New Roman"/>
          <w:bCs/>
          <w:sz w:val="22"/>
          <w:szCs w:val="22"/>
        </w:rPr>
        <w:t xml:space="preserve"> J.C. and C.I. Delgado. 2011. Gold mining in the Peruvian Amazon: global prices, deforestation, and mercury imports. </w:t>
      </w:r>
    </w:p>
    <w:p w14:paraId="614F6260" w14:textId="77777777" w:rsidR="00915C0D" w:rsidRPr="00915C0D" w:rsidRDefault="00915C0D">
      <w:pPr>
        <w:autoSpaceDE w:val="0"/>
        <w:autoSpaceDN w:val="0"/>
        <w:adjustRightInd w:val="0"/>
        <w:rPr>
          <w:rFonts w:ascii="Times New Roman" w:hAnsi="Times New Roman"/>
          <w:bCs/>
          <w:sz w:val="22"/>
          <w:szCs w:val="22"/>
          <w:lang w:val="en-GB"/>
        </w:rPr>
      </w:pPr>
    </w:p>
    <w:p w14:paraId="3D7DE759" w14:textId="77777777" w:rsidR="00915C0D" w:rsidRPr="00915C0D" w:rsidRDefault="00915C0D" w:rsidP="00915C0D">
      <w:pPr>
        <w:autoSpaceDE w:val="0"/>
        <w:autoSpaceDN w:val="0"/>
        <w:adjustRightInd w:val="0"/>
        <w:rPr>
          <w:rFonts w:ascii="Times New Roman" w:hAnsi="Times New Roman"/>
          <w:bCs/>
          <w:sz w:val="22"/>
          <w:szCs w:val="22"/>
          <w:lang w:val="es-AR"/>
        </w:rPr>
      </w:pPr>
      <w:r w:rsidRPr="00915C0D">
        <w:rPr>
          <w:rFonts w:ascii="Times New Roman" w:hAnsi="Times New Roman"/>
          <w:bCs/>
          <w:sz w:val="22"/>
          <w:szCs w:val="22"/>
        </w:rPr>
        <w:t xml:space="preserve">UN. Global Impacts of mercury supply and demand in small scales gold mining. </w:t>
      </w:r>
      <w:r w:rsidRPr="00915C0D">
        <w:rPr>
          <w:rFonts w:ascii="Times New Roman" w:hAnsi="Times New Roman"/>
          <w:bCs/>
          <w:sz w:val="22"/>
          <w:szCs w:val="22"/>
          <w:lang w:val="es-AR"/>
        </w:rPr>
        <w:t xml:space="preserve">2007. </w:t>
      </w:r>
    </w:p>
    <w:p w14:paraId="22211F72" w14:textId="77777777" w:rsidR="00915C0D" w:rsidRPr="00915C0D" w:rsidRDefault="00915C0D" w:rsidP="00915C0D">
      <w:pPr>
        <w:autoSpaceDE w:val="0"/>
        <w:autoSpaceDN w:val="0"/>
        <w:adjustRightInd w:val="0"/>
        <w:rPr>
          <w:rFonts w:ascii="Times New Roman" w:hAnsi="Times New Roman"/>
          <w:bCs/>
          <w:sz w:val="22"/>
          <w:szCs w:val="22"/>
          <w:lang w:val="es-AR"/>
        </w:rPr>
      </w:pPr>
    </w:p>
    <w:p w14:paraId="6BC01148" w14:textId="77777777" w:rsidR="00915C0D" w:rsidRPr="00915C0D" w:rsidRDefault="00915C0D" w:rsidP="00915C0D">
      <w:pPr>
        <w:autoSpaceDE w:val="0"/>
        <w:autoSpaceDN w:val="0"/>
        <w:adjustRightInd w:val="0"/>
        <w:rPr>
          <w:rFonts w:ascii="Times New Roman" w:hAnsi="Times New Roman"/>
          <w:bCs/>
          <w:sz w:val="22"/>
          <w:szCs w:val="22"/>
          <w:lang w:val="es-AR"/>
        </w:rPr>
      </w:pPr>
      <w:r w:rsidRPr="00915C0D">
        <w:rPr>
          <w:rFonts w:ascii="Times New Roman" w:hAnsi="Times New Roman"/>
          <w:bCs/>
          <w:sz w:val="22"/>
          <w:szCs w:val="22"/>
          <w:lang w:val="es-AR"/>
        </w:rPr>
        <w:t>World economic outlokk. Abril 2014.</w:t>
      </w:r>
    </w:p>
    <w:p w14:paraId="4263F230" w14:textId="77777777" w:rsidR="00915C0D" w:rsidRPr="00915C0D" w:rsidRDefault="00915C0D" w:rsidP="00915C0D">
      <w:pPr>
        <w:rPr>
          <w:rFonts w:ascii="Times New Roman" w:hAnsi="Times New Roman"/>
          <w:bCs/>
          <w:noProof/>
          <w:color w:val="231F20"/>
          <w:lang w:val="es-ES_tradnl"/>
        </w:rPr>
      </w:pPr>
    </w:p>
    <w:sectPr w:rsidR="00915C0D" w:rsidRPr="00915C0D" w:rsidSect="00915C0D">
      <w:pgSz w:w="11907" w:h="16839" w:code="9"/>
      <w:pgMar w:top="1440" w:right="1797" w:bottom="1440" w:left="1797"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993EC6" w14:textId="77777777" w:rsidR="00C97B7B" w:rsidRDefault="00C97B7B">
      <w:r>
        <w:separator/>
      </w:r>
    </w:p>
  </w:endnote>
  <w:endnote w:type="continuationSeparator" w:id="0">
    <w:p w14:paraId="43B41C3E" w14:textId="77777777" w:rsidR="00C97B7B" w:rsidRDefault="00C97B7B">
      <w:r>
        <w:continuationSeparator/>
      </w:r>
    </w:p>
  </w:endnote>
  <w:endnote w:type="continuationNotice" w:id="1">
    <w:p w14:paraId="7379E104" w14:textId="77777777" w:rsidR="00C97B7B" w:rsidRDefault="00C97B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AENOR Fontana ND">
    <w:altName w:val="Helvetica Neue Black Condensed"/>
    <w:panose1 w:val="00000000000000000000"/>
    <w:charset w:val="00"/>
    <w:family w:val="swiss"/>
    <w:notTrueType/>
    <w:pitch w:val="variable"/>
    <w:sig w:usb0="00000003" w:usb1="00000000" w:usb2="00000000" w:usb3="00000000" w:csb0="00000001" w:csb1="00000000"/>
  </w:font>
  <w:font w:name="Trajan Pro">
    <w:altName w:val="Georgia"/>
    <w:charset w:val="00"/>
    <w:family w:val="auto"/>
    <w:pitch w:val="variable"/>
    <w:sig w:usb0="00000001"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8284C" w14:textId="77777777" w:rsidR="00C97B7B" w:rsidRPr="0006558C" w:rsidRDefault="00C97B7B">
    <w:pPr>
      <w:pStyle w:val="Footer"/>
      <w:jc w:val="right"/>
      <w:rPr>
        <w:i/>
        <w:sz w:val="18"/>
        <w:szCs w:val="18"/>
      </w:rPr>
    </w:pPr>
    <w:proofErr w:type="spellStart"/>
    <w:r>
      <w:rPr>
        <w:i/>
        <w:iCs/>
        <w:sz w:val="18"/>
        <w:szCs w:val="18"/>
      </w:rPr>
      <w:t>October</w:t>
    </w:r>
    <w:proofErr w:type="spellEnd"/>
    <w:r>
      <w:rPr>
        <w:i/>
        <w:iCs/>
        <w:sz w:val="18"/>
        <w:szCs w:val="18"/>
      </w:rPr>
      <w:t xml:space="preserve"> 2014 Page </w:t>
    </w:r>
    <w:r w:rsidRPr="0006558C">
      <w:rPr>
        <w:b/>
        <w:i/>
        <w:sz w:val="18"/>
        <w:szCs w:val="18"/>
      </w:rPr>
      <w:fldChar w:fldCharType="begin"/>
    </w:r>
    <w:r w:rsidRPr="0006558C">
      <w:rPr>
        <w:b/>
        <w:i/>
        <w:sz w:val="18"/>
        <w:szCs w:val="18"/>
      </w:rPr>
      <w:instrText>PAGE</w:instrText>
    </w:r>
    <w:r w:rsidRPr="0006558C">
      <w:rPr>
        <w:b/>
        <w:i/>
        <w:sz w:val="18"/>
        <w:szCs w:val="18"/>
      </w:rPr>
      <w:fldChar w:fldCharType="separate"/>
    </w:r>
    <w:r w:rsidR="00017F75">
      <w:rPr>
        <w:b/>
        <w:i/>
        <w:noProof/>
        <w:sz w:val="18"/>
        <w:szCs w:val="18"/>
      </w:rPr>
      <w:t>42</w:t>
    </w:r>
    <w:r w:rsidRPr="0006558C">
      <w:rPr>
        <w:b/>
        <w:i/>
        <w:sz w:val="18"/>
        <w:szCs w:val="18"/>
      </w:rPr>
      <w:fldChar w:fldCharType="end"/>
    </w:r>
    <w:r>
      <w:rPr>
        <w:i/>
        <w:iCs/>
        <w:sz w:val="18"/>
        <w:szCs w:val="18"/>
      </w:rPr>
      <w:t xml:space="preserve"> of </w:t>
    </w:r>
    <w:r w:rsidRPr="0006558C">
      <w:rPr>
        <w:b/>
        <w:i/>
        <w:sz w:val="18"/>
        <w:szCs w:val="18"/>
      </w:rPr>
      <w:fldChar w:fldCharType="begin"/>
    </w:r>
    <w:r w:rsidRPr="0006558C">
      <w:rPr>
        <w:b/>
        <w:i/>
        <w:sz w:val="18"/>
        <w:szCs w:val="18"/>
      </w:rPr>
      <w:instrText>NUMPAGES</w:instrText>
    </w:r>
    <w:r w:rsidRPr="0006558C">
      <w:rPr>
        <w:b/>
        <w:i/>
        <w:sz w:val="18"/>
        <w:szCs w:val="18"/>
      </w:rPr>
      <w:fldChar w:fldCharType="separate"/>
    </w:r>
    <w:r w:rsidR="00017F75">
      <w:rPr>
        <w:b/>
        <w:i/>
        <w:noProof/>
        <w:sz w:val="18"/>
        <w:szCs w:val="18"/>
      </w:rPr>
      <w:t>52</w:t>
    </w:r>
    <w:r w:rsidRPr="0006558C">
      <w:rPr>
        <w:b/>
        <w:i/>
        <w:sz w:val="18"/>
        <w:szCs w:val="18"/>
      </w:rPr>
      <w:fldChar w:fldCharType="end"/>
    </w:r>
  </w:p>
  <w:p w14:paraId="1C3EE18D" w14:textId="77777777" w:rsidR="00C97B7B" w:rsidRDefault="00C97B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61DC1C" w14:textId="77777777" w:rsidR="00C97B7B" w:rsidRDefault="00C97B7B">
      <w:r>
        <w:separator/>
      </w:r>
    </w:p>
  </w:footnote>
  <w:footnote w:type="continuationSeparator" w:id="0">
    <w:p w14:paraId="1C5022E7" w14:textId="77777777" w:rsidR="00C97B7B" w:rsidRDefault="00C97B7B">
      <w:r>
        <w:continuationSeparator/>
      </w:r>
    </w:p>
  </w:footnote>
  <w:footnote w:type="continuationNotice" w:id="1">
    <w:p w14:paraId="1E31523B" w14:textId="77777777" w:rsidR="00C97B7B" w:rsidRDefault="00C97B7B"/>
  </w:footnote>
  <w:footnote w:id="2">
    <w:p w14:paraId="643B6AE2" w14:textId="6C0C343D" w:rsidR="00C97B7B" w:rsidRPr="00442F4F" w:rsidRDefault="00C97B7B">
      <w:pPr>
        <w:pStyle w:val="FootnoteText"/>
      </w:pPr>
      <w:r w:rsidRPr="00442F4F">
        <w:rPr>
          <w:rStyle w:val="FootnoteReference"/>
        </w:rPr>
        <w:footnoteRef/>
      </w:r>
      <w:r w:rsidRPr="00442F4F">
        <w:t xml:space="preserve"> </w:t>
      </w:r>
      <w:r w:rsidRPr="00442F4F">
        <w:rPr>
          <w:rFonts w:ascii="Times New Roman" w:hAnsi="Times New Roman"/>
          <w:sz w:val="18"/>
          <w:szCs w:val="18"/>
        </w:rPr>
        <w:t>Based on</w:t>
      </w:r>
      <w:r>
        <w:rPr>
          <w:rFonts w:ascii="Times New Roman" w:hAnsi="Times New Roman"/>
          <w:sz w:val="18"/>
          <w:szCs w:val="18"/>
        </w:rPr>
        <w:t xml:space="preserve"> 2006-2010 average gold price, </w:t>
      </w:r>
      <w:r w:rsidRPr="00442F4F">
        <w:rPr>
          <w:rFonts w:ascii="Times New Roman" w:hAnsi="Times New Roman"/>
          <w:sz w:val="18"/>
          <w:szCs w:val="18"/>
        </w:rPr>
        <w:t>e</w:t>
      </w:r>
      <w:r w:rsidRPr="00442F4F">
        <w:rPr>
          <w:rFonts w:ascii="Times New Roman" w:eastAsia="Arial" w:hAnsi="Times New Roman"/>
          <w:sz w:val="18"/>
          <w:szCs w:val="18"/>
        </w:rPr>
        <w:t>quivalent to US</w:t>
      </w:r>
      <w:r>
        <w:rPr>
          <w:rFonts w:ascii="Times New Roman" w:eastAsia="Arial" w:hAnsi="Times New Roman"/>
          <w:sz w:val="18"/>
          <w:szCs w:val="18"/>
        </w:rPr>
        <w:t>$</w:t>
      </w:r>
      <w:r w:rsidRPr="00442F4F">
        <w:rPr>
          <w:rFonts w:ascii="Times New Roman" w:eastAsia="Arial" w:hAnsi="Times New Roman"/>
        </w:rPr>
        <w:t xml:space="preserve"> 874 per ounce. Source: World Bank.</w:t>
      </w:r>
    </w:p>
  </w:footnote>
  <w:footnote w:id="3">
    <w:p w14:paraId="56804208" w14:textId="77777777" w:rsidR="00C97B7B" w:rsidRPr="00017F75" w:rsidRDefault="00C97B7B">
      <w:pPr>
        <w:pStyle w:val="FootnoteText"/>
      </w:pPr>
      <w:r w:rsidRPr="00442F4F">
        <w:rPr>
          <w:rStyle w:val="FootnoteReference"/>
          <w:sz w:val="18"/>
          <w:szCs w:val="18"/>
        </w:rPr>
        <w:footnoteRef/>
      </w:r>
      <w:r w:rsidRPr="00442F4F">
        <w:rPr>
          <w:rFonts w:eastAsia="Arial" w:cs="Arial"/>
          <w:sz w:val="18"/>
          <w:szCs w:val="18"/>
        </w:rPr>
        <w:t xml:space="preserve"> </w:t>
      </w:r>
      <w:r w:rsidRPr="00442F4F">
        <w:rPr>
          <w:rFonts w:ascii="Times New Roman" w:hAnsi="Times New Roman"/>
          <w:sz w:val="18"/>
          <w:szCs w:val="18"/>
        </w:rPr>
        <w:t>The estimated benefits for a 20-year timeframe gradually increase to reach maturation over a period of 10 years. Estimated present value of benefits Pessimistic US$ 183.7 million, Optimistic US$ 267.0 million.</w:t>
      </w:r>
    </w:p>
  </w:footnote>
  <w:footnote w:id="4">
    <w:p w14:paraId="11721642" w14:textId="77777777" w:rsidR="00C97B7B" w:rsidRPr="00017F75" w:rsidRDefault="00C97B7B">
      <w:pPr>
        <w:pStyle w:val="FootnoteText"/>
      </w:pPr>
      <w:r w:rsidRPr="00442F4F">
        <w:rPr>
          <w:rStyle w:val="FootnoteReference"/>
          <w:lang w:val="es-ES"/>
        </w:rPr>
        <w:footnoteRef/>
      </w:r>
      <w:r w:rsidRPr="00442F4F">
        <w:rPr>
          <w:rFonts w:eastAsia="Arial" w:cs="Arial"/>
        </w:rPr>
        <w:t xml:space="preserve"> </w:t>
      </w:r>
      <w:r w:rsidRPr="00442F4F">
        <w:rPr>
          <w:rFonts w:ascii="Times New Roman" w:hAnsi="Times New Roman"/>
          <w:sz w:val="18"/>
          <w:szCs w:val="18"/>
        </w:rPr>
        <w:t>Shown in the Policy Matrix.</w:t>
      </w:r>
    </w:p>
  </w:footnote>
  <w:footnote w:id="5">
    <w:p w14:paraId="60CCA449" w14:textId="77777777" w:rsidR="00C97B7B" w:rsidRPr="00017F75" w:rsidRDefault="00C97B7B">
      <w:pPr>
        <w:pStyle w:val="FootnoteText"/>
      </w:pPr>
      <w:r w:rsidRPr="00442F4F">
        <w:rPr>
          <w:rStyle w:val="FootnoteReference"/>
          <w:lang w:val="es-ES"/>
        </w:rPr>
        <w:footnoteRef/>
      </w:r>
      <w:r w:rsidRPr="00442F4F">
        <w:rPr>
          <w:rFonts w:eastAsia="Arial" w:cs="Arial"/>
        </w:rPr>
        <w:t xml:space="preserve"> </w:t>
      </w:r>
      <w:r w:rsidRPr="00442F4F">
        <w:rPr>
          <w:rFonts w:ascii="Times New Roman" w:hAnsi="Times New Roman"/>
          <w:sz w:val="18"/>
          <w:szCs w:val="18"/>
        </w:rPr>
        <w:t>Detailed in the Results Matrix.</w:t>
      </w:r>
    </w:p>
  </w:footnote>
  <w:footnote w:id="6">
    <w:p w14:paraId="25C77B35" w14:textId="77777777" w:rsidR="00C97B7B" w:rsidRPr="00017F75" w:rsidRDefault="00C97B7B" w:rsidP="00915C0D">
      <w:pPr>
        <w:pStyle w:val="FootnoteText"/>
        <w:jc w:val="both"/>
      </w:pPr>
      <w:r w:rsidRPr="00442F4F">
        <w:rPr>
          <w:rStyle w:val="FootnoteReference"/>
        </w:rPr>
        <w:footnoteRef/>
      </w:r>
      <w:r w:rsidRPr="00442F4F">
        <w:rPr>
          <w:rFonts w:eastAsia="Arial" w:cs="Arial"/>
        </w:rPr>
        <w:t xml:space="preserve"> </w:t>
      </w:r>
      <w:r w:rsidRPr="00442F4F">
        <w:rPr>
          <w:rFonts w:ascii="Times New Roman" w:hAnsi="Times New Roman"/>
          <w:sz w:val="18"/>
          <w:szCs w:val="18"/>
        </w:rPr>
        <w:t xml:space="preserve">The PBP funds are freely available to the </w:t>
      </w:r>
      <w:proofErr w:type="spellStart"/>
      <w:r w:rsidRPr="00442F4F">
        <w:rPr>
          <w:rFonts w:ascii="Times New Roman" w:hAnsi="Times New Roman"/>
          <w:sz w:val="18"/>
          <w:szCs w:val="18"/>
        </w:rPr>
        <w:t>GoG</w:t>
      </w:r>
      <w:proofErr w:type="spellEnd"/>
      <w:r w:rsidRPr="00442F4F">
        <w:rPr>
          <w:rFonts w:ascii="Times New Roman" w:hAnsi="Times New Roman"/>
          <w:sz w:val="18"/>
          <w:szCs w:val="18"/>
        </w:rPr>
        <w:t>, with no commitment to specific attributions or purposes.</w:t>
      </w:r>
    </w:p>
  </w:footnote>
  <w:footnote w:id="7">
    <w:p w14:paraId="70CE6F4D" w14:textId="77777777" w:rsidR="00C97B7B" w:rsidRPr="00442F4F" w:rsidRDefault="00C97B7B" w:rsidP="00915C0D">
      <w:pPr>
        <w:pStyle w:val="FootnoteText"/>
        <w:jc w:val="both"/>
      </w:pPr>
      <w:r w:rsidRPr="00442F4F">
        <w:rPr>
          <w:rStyle w:val="FootnoteReference"/>
        </w:rPr>
        <w:footnoteRef/>
      </w:r>
      <w:r w:rsidRPr="00442F4F">
        <w:rPr>
          <w:rFonts w:eastAsia="Arial" w:cs="Arial"/>
        </w:rPr>
        <w:t xml:space="preserve"> </w:t>
      </w:r>
      <w:r w:rsidRPr="00442F4F">
        <w:rPr>
          <w:rFonts w:ascii="Times New Roman" w:hAnsi="Times New Roman"/>
          <w:sz w:val="18"/>
          <w:szCs w:val="18"/>
        </w:rPr>
        <w:t xml:space="preserve">Instruments and development: An evaluation of the operational modalities of the IDB loan. </w:t>
      </w:r>
      <w:r w:rsidRPr="00442F4F">
        <w:rPr>
          <w:rFonts w:ascii="Times New Roman" w:hAnsi="Times New Roman"/>
          <w:i/>
          <w:iCs/>
          <w:sz w:val="18"/>
          <w:szCs w:val="18"/>
        </w:rPr>
        <w:t>Office of Evaluation and Oversight, IDB 2004.</w:t>
      </w:r>
    </w:p>
  </w:footnote>
  <w:footnote w:id="8">
    <w:p w14:paraId="3A90CF04" w14:textId="77777777" w:rsidR="00C97B7B" w:rsidRPr="00442F4F" w:rsidRDefault="00C97B7B" w:rsidP="00915C0D">
      <w:pPr>
        <w:pStyle w:val="FootnoteText"/>
        <w:rPr>
          <w:lang w:val="es-ES"/>
        </w:rPr>
      </w:pPr>
      <w:r w:rsidRPr="00442F4F">
        <w:rPr>
          <w:rStyle w:val="FootnoteReference"/>
        </w:rPr>
        <w:footnoteRef/>
      </w:r>
      <w:r w:rsidRPr="00442F4F">
        <w:t xml:space="preserve">  </w:t>
      </w:r>
      <w:r w:rsidRPr="00442F4F">
        <w:rPr>
          <w:rFonts w:ascii="Times New Roman" w:hAnsi="Times New Roman"/>
          <w:bCs/>
          <w:sz w:val="18"/>
          <w:szCs w:val="18"/>
          <w:lang w:val="en-GB"/>
        </w:rPr>
        <w:t xml:space="preserve">Toolkit for the Application of the DEM Sovereign Operations. </w:t>
      </w:r>
      <w:r w:rsidRPr="00442F4F">
        <w:rPr>
          <w:rFonts w:ascii="Times New Roman" w:hAnsi="Times New Roman"/>
          <w:bCs/>
          <w:sz w:val="18"/>
          <w:szCs w:val="18"/>
          <w:lang w:val="es-ES_tradnl"/>
        </w:rPr>
        <w:t xml:space="preserve">SPD. </w:t>
      </w:r>
      <w:proofErr w:type="spellStart"/>
      <w:r w:rsidRPr="00442F4F">
        <w:rPr>
          <w:rFonts w:ascii="Times New Roman" w:hAnsi="Times New Roman"/>
          <w:bCs/>
          <w:sz w:val="18"/>
          <w:szCs w:val="18"/>
          <w:lang w:val="es-ES_tradnl"/>
        </w:rPr>
        <w:t>January</w:t>
      </w:r>
      <w:proofErr w:type="spellEnd"/>
      <w:r w:rsidRPr="00442F4F">
        <w:rPr>
          <w:rFonts w:ascii="Times New Roman" w:hAnsi="Times New Roman"/>
          <w:bCs/>
          <w:sz w:val="18"/>
          <w:szCs w:val="18"/>
          <w:lang w:val="es-ES_tradnl"/>
        </w:rPr>
        <w:t xml:space="preserve"> 2013.</w:t>
      </w:r>
    </w:p>
  </w:footnote>
  <w:footnote w:id="9">
    <w:p w14:paraId="6062919C" w14:textId="77777777" w:rsidR="00C97B7B" w:rsidRPr="00017F75" w:rsidRDefault="00C97B7B" w:rsidP="00915C0D">
      <w:pPr>
        <w:pStyle w:val="FootnoteText"/>
      </w:pPr>
      <w:r w:rsidRPr="00442F4F">
        <w:rPr>
          <w:rStyle w:val="FootnoteReference"/>
        </w:rPr>
        <w:footnoteRef/>
      </w:r>
      <w:r w:rsidRPr="00442F4F">
        <w:rPr>
          <w:rFonts w:eastAsia="Arial" w:cs="Arial"/>
        </w:rPr>
        <w:t xml:space="preserve"> </w:t>
      </w:r>
      <w:r w:rsidRPr="00442F4F">
        <w:rPr>
          <w:rFonts w:ascii="Times New Roman" w:hAnsi="Times New Roman"/>
          <w:sz w:val="18"/>
          <w:szCs w:val="18"/>
        </w:rPr>
        <w:t>No. 121 out of 187 countries, according to the Human Development Index, United Nations. 2013 (occupied the same position in 2012). http://hdr.undp.org/es/content/table-1-human-development-index-and-its-components</w:t>
      </w:r>
    </w:p>
  </w:footnote>
  <w:footnote w:id="10">
    <w:p w14:paraId="4079009D" w14:textId="77777777" w:rsidR="00C97B7B" w:rsidRPr="00442F4F" w:rsidRDefault="00C97B7B" w:rsidP="00915C0D">
      <w:pPr>
        <w:pStyle w:val="FootnoteText"/>
        <w:rPr>
          <w:lang w:val="es-AR"/>
        </w:rPr>
      </w:pPr>
      <w:r w:rsidRPr="00442F4F">
        <w:rPr>
          <w:rStyle w:val="FootnoteReference"/>
        </w:rPr>
        <w:footnoteRef/>
      </w:r>
      <w:r w:rsidRPr="00442F4F">
        <w:rPr>
          <w:rFonts w:eastAsia="Arial" w:cs="Arial"/>
        </w:rPr>
        <w:t xml:space="preserve"> </w:t>
      </w:r>
      <w:r w:rsidRPr="00442F4F">
        <w:rPr>
          <w:rFonts w:ascii="Times New Roman" w:hAnsi="Times New Roman"/>
          <w:sz w:val="18"/>
          <w:szCs w:val="18"/>
        </w:rPr>
        <w:t>No. 102 out of 148 countries, according to The Global Competitiveness Report 2013-2014. WEF (occupied position 109 en the 2012-2013 ranking).</w:t>
      </w:r>
    </w:p>
  </w:footnote>
  <w:footnote w:id="11">
    <w:p w14:paraId="7D1952EF" w14:textId="77777777" w:rsidR="00C97B7B" w:rsidRPr="00017F75" w:rsidRDefault="00C97B7B" w:rsidP="00915C0D">
      <w:pPr>
        <w:pStyle w:val="FootnoteText"/>
        <w:jc w:val="both"/>
        <w:rPr>
          <w:rFonts w:ascii="Times New Roman" w:hAnsi="Times New Roman"/>
          <w:color w:val="000000"/>
          <w:sz w:val="18"/>
          <w:szCs w:val="18"/>
        </w:rPr>
      </w:pPr>
      <w:r w:rsidRPr="00442F4F">
        <w:rPr>
          <w:rStyle w:val="FootnoteReference"/>
        </w:rPr>
        <w:footnoteRef/>
      </w:r>
      <w:r w:rsidRPr="00442F4F">
        <w:rPr>
          <w:rFonts w:eastAsia="Arial" w:cs="Arial"/>
        </w:rPr>
        <w:t xml:space="preserve"> </w:t>
      </w:r>
      <w:r w:rsidRPr="00442F4F">
        <w:rPr>
          <w:rFonts w:ascii="Times New Roman" w:hAnsi="Times New Roman"/>
          <w:sz w:val="18"/>
          <w:szCs w:val="18"/>
        </w:rPr>
        <w:t>UN Framework Convention on Climate Change (</w:t>
      </w:r>
      <w:hyperlink r:id="rId1" w:history="1">
        <w:r w:rsidRPr="00442F4F">
          <w:rPr>
            <w:rFonts w:ascii="Times New Roman" w:hAnsi="Times New Roman"/>
            <w:color w:val="0000FF"/>
            <w:sz w:val="18"/>
            <w:szCs w:val="18"/>
            <w:u w:val="single"/>
          </w:rPr>
          <w:t>www.unfccc.int</w:t>
        </w:r>
      </w:hyperlink>
      <w:r w:rsidRPr="00442F4F">
        <w:rPr>
          <w:rFonts w:ascii="Times New Roman" w:hAnsi="Times New Roman"/>
          <w:sz w:val="18"/>
          <w:szCs w:val="18"/>
        </w:rPr>
        <w:t xml:space="preserve">). </w:t>
      </w:r>
      <w:r w:rsidRPr="00442F4F">
        <w:rPr>
          <w:rFonts w:ascii="Times New Roman" w:hAnsi="Times New Roman"/>
          <w:color w:val="000000"/>
          <w:sz w:val="18"/>
          <w:szCs w:val="18"/>
        </w:rPr>
        <w:t xml:space="preserve">In view of the Convention, industrialized countries are committed to supporting climate change-related activities in developing countries, offering them financial support, without prejudice to other assistance. A system of donations and loans has been established, administered by the </w:t>
      </w:r>
      <w:hyperlink r:id="rId2" w:tgtFrame="_blank" w:history="1">
        <w:r w:rsidRPr="00442F4F">
          <w:rPr>
            <w:rFonts w:ascii="Times New Roman" w:hAnsi="Times New Roman"/>
            <w:color w:val="000000"/>
            <w:sz w:val="18"/>
            <w:szCs w:val="18"/>
          </w:rPr>
          <w:t>Global Environment Facility</w:t>
        </w:r>
      </w:hyperlink>
      <w:r w:rsidRPr="00442F4F">
        <w:rPr>
          <w:rFonts w:ascii="Times New Roman" w:hAnsi="Times New Roman"/>
          <w:color w:val="000000"/>
          <w:sz w:val="18"/>
          <w:szCs w:val="18"/>
        </w:rPr>
        <w:t>.</w:t>
      </w:r>
      <w:r w:rsidRPr="00442F4F">
        <w:rPr>
          <w:rFonts w:eastAsia="Arial" w:cs="Arial"/>
        </w:rPr>
        <w:t xml:space="preserve"> </w:t>
      </w:r>
    </w:p>
  </w:footnote>
  <w:footnote w:id="12">
    <w:p w14:paraId="4F8F9B1A" w14:textId="77777777" w:rsidR="00C97B7B" w:rsidRPr="00017F75" w:rsidRDefault="00C97B7B" w:rsidP="00915C0D">
      <w:pPr>
        <w:pStyle w:val="FootnoteText"/>
        <w:jc w:val="both"/>
      </w:pPr>
      <w:r w:rsidRPr="00442F4F">
        <w:rPr>
          <w:rStyle w:val="FootnoteReference"/>
        </w:rPr>
        <w:footnoteRef/>
      </w:r>
      <w:r w:rsidRPr="00442F4F">
        <w:rPr>
          <w:rFonts w:eastAsia="Arial" w:cs="Arial"/>
        </w:rPr>
        <w:t xml:space="preserve"> </w:t>
      </w:r>
      <w:r w:rsidRPr="00442F4F">
        <w:rPr>
          <w:rFonts w:ascii="Times New Roman" w:hAnsi="Times New Roman"/>
          <w:sz w:val="18"/>
          <w:szCs w:val="18"/>
        </w:rPr>
        <w:t xml:space="preserve">Considerations relative to the value of conflicting exploitation patterns (Economic value to the nation vs. Economic value to the world) at the time that the Guyana-Norway agreement was signed are not the focus of this document's analysis. </w:t>
      </w:r>
    </w:p>
  </w:footnote>
  <w:footnote w:id="13">
    <w:p w14:paraId="533E0D16" w14:textId="77777777" w:rsidR="00C97B7B" w:rsidRPr="00017F75" w:rsidRDefault="00C97B7B" w:rsidP="00915C0D">
      <w:pPr>
        <w:pStyle w:val="FootnoteText"/>
      </w:pPr>
      <w:r w:rsidRPr="00442F4F">
        <w:rPr>
          <w:rStyle w:val="FootnoteReference"/>
        </w:rPr>
        <w:footnoteRef/>
      </w:r>
      <w:r w:rsidRPr="00442F4F">
        <w:rPr>
          <w:rFonts w:eastAsia="Arial" w:cs="Arial"/>
        </w:rPr>
        <w:t xml:space="preserve"> </w:t>
      </w:r>
      <w:r w:rsidRPr="00442F4F">
        <w:rPr>
          <w:rFonts w:ascii="Times New Roman" w:hAnsi="Times New Roman"/>
          <w:sz w:val="18"/>
          <w:szCs w:val="18"/>
        </w:rPr>
        <w:t xml:space="preserve">The </w:t>
      </w:r>
      <w:proofErr w:type="spellStart"/>
      <w:r w:rsidRPr="00442F4F">
        <w:rPr>
          <w:rFonts w:ascii="Times New Roman" w:hAnsi="Times New Roman"/>
          <w:sz w:val="18"/>
          <w:szCs w:val="18"/>
        </w:rPr>
        <w:t>GoG</w:t>
      </w:r>
      <w:proofErr w:type="spellEnd"/>
      <w:r w:rsidRPr="00442F4F">
        <w:rPr>
          <w:rFonts w:ascii="Times New Roman" w:hAnsi="Times New Roman"/>
          <w:sz w:val="18"/>
          <w:szCs w:val="18"/>
        </w:rPr>
        <w:t xml:space="preserve"> notes that the success of the initiative would be an exemplary model to be replicated at other sites for the development of the REDD+ mechanism within the framework of the global climate change strategy.</w:t>
      </w:r>
    </w:p>
  </w:footnote>
  <w:footnote w:id="14">
    <w:p w14:paraId="0E88DA44" w14:textId="77777777" w:rsidR="00C97B7B" w:rsidRPr="00017F75" w:rsidRDefault="00C97B7B" w:rsidP="00915C0D">
      <w:pPr>
        <w:pStyle w:val="FootnoteText"/>
        <w:jc w:val="both"/>
      </w:pPr>
      <w:r w:rsidRPr="00442F4F">
        <w:rPr>
          <w:rStyle w:val="FootnoteReference"/>
        </w:rPr>
        <w:footnoteRef/>
      </w:r>
      <w:r w:rsidRPr="00442F4F">
        <w:rPr>
          <w:rFonts w:eastAsia="Arial" w:cs="Arial"/>
        </w:rPr>
        <w:t xml:space="preserve"> </w:t>
      </w:r>
      <w:r w:rsidRPr="00442F4F">
        <w:rPr>
          <w:rFonts w:ascii="Times New Roman" w:hAnsi="Times New Roman"/>
          <w:sz w:val="18"/>
          <w:szCs w:val="18"/>
        </w:rPr>
        <w:t>Norway has contributed US$ 70 million to the fund since December of 2013 and an additional US$ 20 million will be disbursed this year after the audit conducted in 2012. The revision and validation of 2013 afforestation levels (estimated for the first half of 2014), will allow access to an additional disbursement similar to the latter.</w:t>
      </w:r>
    </w:p>
  </w:footnote>
  <w:footnote w:id="15">
    <w:p w14:paraId="332A0AF1" w14:textId="77777777" w:rsidR="00C97B7B" w:rsidRPr="00017F75" w:rsidRDefault="00C97B7B" w:rsidP="00915C0D">
      <w:pPr>
        <w:pStyle w:val="FootnoteText"/>
        <w:jc w:val="both"/>
      </w:pPr>
      <w:r w:rsidRPr="00442F4F">
        <w:rPr>
          <w:rStyle w:val="FootnoteReference"/>
        </w:rPr>
        <w:footnoteRef/>
      </w:r>
      <w:r w:rsidRPr="00442F4F">
        <w:rPr>
          <w:rFonts w:eastAsia="Arial" w:cs="Arial"/>
        </w:rPr>
        <w:t xml:space="preserve"> </w:t>
      </w:r>
      <w:r w:rsidRPr="00442F4F">
        <w:rPr>
          <w:rFonts w:ascii="Times New Roman" w:hAnsi="Times New Roman"/>
          <w:sz w:val="18"/>
          <w:szCs w:val="18"/>
        </w:rPr>
        <w:t>The UNFCC has agreed upon measures to promote the reduction of emissions, deforestation and forest degradation using the REDD+ mechanism.</w:t>
      </w:r>
    </w:p>
  </w:footnote>
  <w:footnote w:id="16">
    <w:p w14:paraId="6EF287C7" w14:textId="77777777" w:rsidR="00C97B7B" w:rsidRPr="00017F75" w:rsidRDefault="00C97B7B" w:rsidP="00915C0D">
      <w:pPr>
        <w:pStyle w:val="FootnoteText"/>
      </w:pPr>
      <w:r w:rsidRPr="00442F4F">
        <w:rPr>
          <w:rStyle w:val="FootnoteReference"/>
        </w:rPr>
        <w:footnoteRef/>
      </w:r>
      <w:r w:rsidRPr="00442F4F">
        <w:rPr>
          <w:rFonts w:eastAsia="Arial" w:cs="Arial"/>
        </w:rPr>
        <w:t xml:space="preserve"> </w:t>
      </w:r>
      <w:r w:rsidRPr="00442F4F">
        <w:rPr>
          <w:rFonts w:ascii="Times New Roman" w:hAnsi="Times New Roman"/>
          <w:sz w:val="18"/>
          <w:szCs w:val="18"/>
        </w:rPr>
        <w:t>Four projects financed through this instrument with the participation of the IDB have been approved.</w:t>
      </w:r>
    </w:p>
  </w:footnote>
  <w:footnote w:id="17">
    <w:p w14:paraId="7A5B78F8" w14:textId="223CAA52" w:rsidR="00C97B7B" w:rsidRPr="00C97B7B" w:rsidRDefault="00C97B7B">
      <w:pPr>
        <w:pStyle w:val="FootnoteText"/>
        <w:rPr>
          <w:rFonts w:ascii="Times New Roman" w:hAnsi="Times New Roman"/>
          <w:color w:val="000000"/>
          <w:sz w:val="18"/>
          <w:szCs w:val="18"/>
        </w:rPr>
      </w:pPr>
      <w:r w:rsidRPr="00442F4F">
        <w:rPr>
          <w:rStyle w:val="FootnoteReference"/>
        </w:rPr>
        <w:footnoteRef/>
      </w:r>
      <w:r w:rsidRPr="00442F4F">
        <w:rPr>
          <w:rFonts w:eastAsia="Arial" w:cs="Arial"/>
        </w:rPr>
        <w:t xml:space="preserve"> </w:t>
      </w:r>
      <w:r w:rsidRPr="00442F4F">
        <w:rPr>
          <w:rFonts w:ascii="Times New Roman" w:hAnsi="Times New Roman"/>
          <w:color w:val="000000"/>
          <w:sz w:val="18"/>
          <w:szCs w:val="18"/>
        </w:rPr>
        <w:t>Consistent with the terms of REDD+.</w:t>
      </w:r>
    </w:p>
  </w:footnote>
  <w:footnote w:id="18">
    <w:p w14:paraId="10C0DAAD" w14:textId="5191D326" w:rsidR="00C97B7B" w:rsidRPr="00C97B7B" w:rsidRDefault="00C97B7B" w:rsidP="00915C0D">
      <w:pPr>
        <w:pStyle w:val="FootnoteText"/>
        <w:jc w:val="both"/>
        <w:rPr>
          <w:rFonts w:ascii="Times New Roman" w:hAnsi="Times New Roman"/>
          <w:sz w:val="18"/>
          <w:szCs w:val="18"/>
        </w:rPr>
      </w:pPr>
      <w:r w:rsidRPr="00442F4F">
        <w:rPr>
          <w:rStyle w:val="FootnoteReference"/>
        </w:rPr>
        <w:footnoteRef/>
      </w:r>
      <w:r w:rsidRPr="00442F4F">
        <w:rPr>
          <w:rFonts w:eastAsia="Arial" w:cs="Arial"/>
        </w:rPr>
        <w:t xml:space="preserve"> </w:t>
      </w:r>
      <w:r w:rsidRPr="00442F4F">
        <w:rPr>
          <w:rFonts w:ascii="Times New Roman" w:hAnsi="Times New Roman"/>
          <w:sz w:val="18"/>
          <w:szCs w:val="18"/>
        </w:rPr>
        <w:t>Concerning management of climate change risks, the proposal conceptually supported by the quantification of avoided losses will be described.</w:t>
      </w:r>
    </w:p>
  </w:footnote>
  <w:footnote w:id="19">
    <w:p w14:paraId="1F219AC7" w14:textId="77777777" w:rsidR="00C97B7B" w:rsidRPr="00017F75" w:rsidRDefault="00C97B7B" w:rsidP="00915C0D">
      <w:pPr>
        <w:pStyle w:val="FootnoteText"/>
        <w:jc w:val="both"/>
      </w:pPr>
      <w:r w:rsidRPr="00442F4F">
        <w:rPr>
          <w:rStyle w:val="FootnoteReference"/>
        </w:rPr>
        <w:footnoteRef/>
      </w:r>
      <w:r w:rsidRPr="00442F4F">
        <w:rPr>
          <w:rStyle w:val="FootnoteReference"/>
        </w:rPr>
        <w:footnoteRef/>
      </w:r>
      <w:r w:rsidRPr="00442F4F">
        <w:rPr>
          <w:rFonts w:eastAsia="Arial" w:cs="Arial"/>
        </w:rPr>
        <w:t xml:space="preserve"> </w:t>
      </w:r>
      <w:r w:rsidRPr="00442F4F">
        <w:rPr>
          <w:rFonts w:ascii="Times New Roman" w:hAnsi="Times New Roman"/>
          <w:sz w:val="18"/>
          <w:szCs w:val="18"/>
        </w:rPr>
        <w:t>Ministry of Natural Resources and Environment (MNRE). Created in 2011, it is responsible for the public policy and regulatory framework of natural resources, including protected areas, meteorology, pollution control, and policy definition and strategic management of environmental issues.</w:t>
      </w:r>
    </w:p>
  </w:footnote>
  <w:footnote w:id="20">
    <w:p w14:paraId="673B7B83" w14:textId="77777777" w:rsidR="00C97B7B" w:rsidRPr="00017F75" w:rsidRDefault="00C97B7B">
      <w:pPr>
        <w:pStyle w:val="FootnoteText"/>
      </w:pPr>
      <w:r w:rsidRPr="00442F4F">
        <w:rPr>
          <w:rStyle w:val="FootnoteReference"/>
        </w:rPr>
        <w:footnoteRef/>
      </w:r>
      <w:r w:rsidRPr="00442F4F">
        <w:rPr>
          <w:rFonts w:eastAsia="Arial" w:cs="Arial"/>
        </w:rPr>
        <w:t xml:space="preserve"> </w:t>
      </w:r>
      <w:r w:rsidRPr="00442F4F">
        <w:rPr>
          <w:rFonts w:ascii="Times New Roman" w:hAnsi="Times New Roman"/>
          <w:sz w:val="18"/>
          <w:szCs w:val="18"/>
        </w:rPr>
        <w:t xml:space="preserve">World Economic Outlook. April 2014. </w:t>
      </w:r>
    </w:p>
  </w:footnote>
  <w:footnote w:id="21">
    <w:p w14:paraId="6FFE4BC5" w14:textId="77777777" w:rsidR="00C97B7B" w:rsidRPr="00017F75" w:rsidRDefault="00C97B7B" w:rsidP="00915C0D">
      <w:pPr>
        <w:pStyle w:val="FootnoteText"/>
        <w:jc w:val="both"/>
      </w:pPr>
      <w:r w:rsidRPr="00442F4F">
        <w:rPr>
          <w:rStyle w:val="FootnoteReference"/>
        </w:rPr>
        <w:footnoteRef/>
      </w:r>
      <w:r w:rsidRPr="00442F4F">
        <w:rPr>
          <w:rFonts w:eastAsia="Arial" w:cs="Arial"/>
        </w:rPr>
        <w:t xml:space="preserve"> </w:t>
      </w:r>
      <w:r w:rsidRPr="00442F4F">
        <w:rPr>
          <w:rFonts w:ascii="Times New Roman" w:hAnsi="Times New Roman"/>
          <w:sz w:val="18"/>
          <w:szCs w:val="18"/>
        </w:rPr>
        <w:t>Growth was stimulated by the solid performance of the rice and gold sectors, as well as results from the construction sector oriented towards large infrastructure projects. Rice production increased markedly (26.9%) supported by the PETROCARIBE agreement using rice exports to balance fuel imports from Venezuela. ECLAC. Guyana economic study. 2014.</w:t>
      </w:r>
    </w:p>
  </w:footnote>
  <w:footnote w:id="22">
    <w:p w14:paraId="09ADB616" w14:textId="77777777" w:rsidR="00C97B7B" w:rsidRPr="00017F75" w:rsidRDefault="00C97B7B">
      <w:pPr>
        <w:pStyle w:val="FootnoteText"/>
      </w:pPr>
      <w:r w:rsidRPr="00442F4F">
        <w:rPr>
          <w:rStyle w:val="FootnoteReference"/>
        </w:rPr>
        <w:footnoteRef/>
      </w:r>
      <w:r w:rsidRPr="00442F4F">
        <w:rPr>
          <w:rFonts w:eastAsia="Arial" w:cs="Arial"/>
        </w:rPr>
        <w:t xml:space="preserve"> </w:t>
      </w:r>
      <w:r w:rsidRPr="00442F4F">
        <w:rPr>
          <w:rFonts w:ascii="Times New Roman" w:hAnsi="Times New Roman"/>
          <w:sz w:val="18"/>
          <w:szCs w:val="18"/>
        </w:rPr>
        <w:t xml:space="preserve">In the first half of 2014, the provisional figures indicate a 0.4% reduction in prices. Mid Year Report. MEF. </w:t>
      </w:r>
      <w:proofErr w:type="spellStart"/>
      <w:r w:rsidRPr="00442F4F">
        <w:rPr>
          <w:rFonts w:ascii="Times New Roman" w:hAnsi="Times New Roman"/>
          <w:sz w:val="18"/>
          <w:szCs w:val="18"/>
        </w:rPr>
        <w:t>GoG</w:t>
      </w:r>
      <w:proofErr w:type="spellEnd"/>
      <w:r w:rsidRPr="00442F4F">
        <w:rPr>
          <w:rFonts w:ascii="Times New Roman" w:hAnsi="Times New Roman"/>
          <w:sz w:val="18"/>
          <w:szCs w:val="18"/>
        </w:rPr>
        <w:t>. 2014.</w:t>
      </w:r>
    </w:p>
  </w:footnote>
  <w:footnote w:id="23">
    <w:p w14:paraId="682F24A9" w14:textId="77777777" w:rsidR="00C97B7B" w:rsidRPr="00017F75" w:rsidRDefault="00C97B7B" w:rsidP="00915C0D">
      <w:pPr>
        <w:pStyle w:val="FootnoteText"/>
        <w:jc w:val="both"/>
      </w:pPr>
      <w:r w:rsidRPr="00442F4F">
        <w:rPr>
          <w:rStyle w:val="FootnoteReference"/>
        </w:rPr>
        <w:footnoteRef/>
      </w:r>
      <w:r w:rsidRPr="00442F4F">
        <w:rPr>
          <w:rFonts w:eastAsia="Arial" w:cs="Arial"/>
        </w:rPr>
        <w:t xml:space="preserve"> </w:t>
      </w:r>
      <w:r w:rsidRPr="00442F4F">
        <w:rPr>
          <w:rFonts w:ascii="Times New Roman" w:hAnsi="Times New Roman"/>
          <w:sz w:val="18"/>
          <w:szCs w:val="18"/>
        </w:rPr>
        <w:t>The Central Bank intervened in the currency market, selling US$ 163.6 million, in order to maintain a stable nominal exchange rate. As a result, Guyana's currency depreciated marginally against the US dollar (0.86%) at the end of 2013, compared to the same period the previous year. ECLAC. LAC Economic Survey. 2014.</w:t>
      </w:r>
    </w:p>
  </w:footnote>
  <w:footnote w:id="24">
    <w:p w14:paraId="739E49D9" w14:textId="77777777" w:rsidR="00C97B7B" w:rsidRPr="00017F75" w:rsidRDefault="00C97B7B">
      <w:pPr>
        <w:pStyle w:val="FootnoteText"/>
      </w:pPr>
      <w:r w:rsidRPr="00442F4F">
        <w:rPr>
          <w:rStyle w:val="FootnoteReference"/>
        </w:rPr>
        <w:footnoteRef/>
      </w:r>
      <w:r w:rsidRPr="00442F4F">
        <w:rPr>
          <w:rFonts w:eastAsia="Arial" w:cs="Arial"/>
        </w:rPr>
        <w:t xml:space="preserve"> </w:t>
      </w:r>
      <w:r w:rsidRPr="00442F4F">
        <w:rPr>
          <w:rFonts w:ascii="Times New Roman" w:hAnsi="Times New Roman"/>
          <w:sz w:val="18"/>
          <w:szCs w:val="18"/>
        </w:rPr>
        <w:t>Foreign direct investment continues to be strong in the mining and telecommunications sectors. ECLAC. Guyana economic study. 2014.</w:t>
      </w:r>
    </w:p>
  </w:footnote>
  <w:footnote w:id="25">
    <w:p w14:paraId="1A83FD99" w14:textId="77777777" w:rsidR="00C97B7B" w:rsidRPr="00017F75" w:rsidRDefault="00C97B7B" w:rsidP="00915C0D">
      <w:pPr>
        <w:pStyle w:val="FootnoteText"/>
        <w:jc w:val="both"/>
      </w:pPr>
      <w:r w:rsidRPr="00442F4F">
        <w:rPr>
          <w:rStyle w:val="FootnoteReference"/>
        </w:rPr>
        <w:footnoteRef/>
      </w:r>
      <w:r w:rsidRPr="00442F4F">
        <w:rPr>
          <w:rFonts w:eastAsia="Arial" w:cs="Arial"/>
        </w:rPr>
        <w:t xml:space="preserve"> </w:t>
      </w:r>
      <w:r w:rsidRPr="00442F4F">
        <w:rPr>
          <w:rFonts w:ascii="Times New Roman" w:hAnsi="Times New Roman"/>
          <w:sz w:val="18"/>
          <w:szCs w:val="18"/>
        </w:rPr>
        <w:t xml:space="preserve">The </w:t>
      </w:r>
      <w:proofErr w:type="spellStart"/>
      <w:r w:rsidRPr="00442F4F">
        <w:rPr>
          <w:rFonts w:ascii="Times New Roman" w:hAnsi="Times New Roman"/>
          <w:sz w:val="18"/>
          <w:szCs w:val="18"/>
        </w:rPr>
        <w:t>GoG</w:t>
      </w:r>
      <w:proofErr w:type="spellEnd"/>
      <w:r w:rsidRPr="00442F4F">
        <w:rPr>
          <w:rFonts w:ascii="Times New Roman" w:hAnsi="Times New Roman"/>
          <w:sz w:val="18"/>
          <w:szCs w:val="18"/>
        </w:rPr>
        <w:t xml:space="preserve"> has been under pressure in this regard since it lost its majority on Parliament in 2011. In 2013, the opposition was able to cut the budget presented by the executive before it was approved in the Parliament. Some government policies have been affected by the situation, including the LCDS, in light of greater difficulties in financing infrastructure projects.  ECLAC. LAC Economic Survey. 2014.</w:t>
      </w:r>
    </w:p>
  </w:footnote>
  <w:footnote w:id="26">
    <w:p w14:paraId="54A4A27C" w14:textId="77777777" w:rsidR="00C97B7B" w:rsidRPr="00017F75" w:rsidRDefault="00C97B7B">
      <w:pPr>
        <w:pStyle w:val="FootnoteText"/>
      </w:pPr>
      <w:r w:rsidRPr="00442F4F">
        <w:rPr>
          <w:rStyle w:val="FootnoteReference"/>
        </w:rPr>
        <w:footnoteRef/>
      </w:r>
      <w:r w:rsidRPr="00442F4F">
        <w:rPr>
          <w:rFonts w:eastAsia="Arial" w:cs="Arial"/>
        </w:rPr>
        <w:t xml:space="preserve"> </w:t>
      </w:r>
      <w:r w:rsidRPr="00442F4F">
        <w:rPr>
          <w:rFonts w:ascii="Times New Roman" w:hAnsi="Times New Roman"/>
          <w:sz w:val="18"/>
          <w:szCs w:val="18"/>
        </w:rPr>
        <w:t>GPL Guyana Power and Light.</w:t>
      </w:r>
    </w:p>
  </w:footnote>
  <w:footnote w:id="27">
    <w:p w14:paraId="4AFA48F6" w14:textId="77777777" w:rsidR="00C97B7B" w:rsidRPr="00017F75" w:rsidRDefault="00C97B7B">
      <w:pPr>
        <w:pStyle w:val="FootnoteText"/>
      </w:pPr>
      <w:r w:rsidRPr="00442F4F">
        <w:rPr>
          <w:rStyle w:val="FootnoteReference"/>
        </w:rPr>
        <w:footnoteRef/>
      </w:r>
      <w:r w:rsidRPr="00442F4F">
        <w:rPr>
          <w:rFonts w:eastAsia="Arial" w:cs="Arial"/>
        </w:rPr>
        <w:t xml:space="preserve"> </w:t>
      </w:r>
      <w:r w:rsidRPr="00442F4F">
        <w:rPr>
          <w:rFonts w:ascii="Times New Roman" w:hAnsi="Times New Roman"/>
          <w:sz w:val="18"/>
          <w:szCs w:val="18"/>
        </w:rPr>
        <w:t>ECLAC. Updated Economic Survey of Latin America and the Caribbean 2013.  April 2014.</w:t>
      </w:r>
    </w:p>
  </w:footnote>
  <w:footnote w:id="28">
    <w:p w14:paraId="7ECDDE01" w14:textId="77777777" w:rsidR="00C97B7B" w:rsidRPr="00442F4F" w:rsidRDefault="00C97B7B" w:rsidP="00915C0D">
      <w:pPr>
        <w:pStyle w:val="FootnoteText"/>
      </w:pPr>
      <w:r w:rsidRPr="00442F4F">
        <w:rPr>
          <w:rStyle w:val="FootnoteReference"/>
        </w:rPr>
        <w:footnoteRef/>
      </w:r>
      <w:r w:rsidRPr="00442F4F">
        <w:rPr>
          <w:rFonts w:eastAsia="Arial" w:cs="Arial"/>
        </w:rPr>
        <w:t xml:space="preserve"> </w:t>
      </w:r>
      <w:r w:rsidRPr="00442F4F">
        <w:rPr>
          <w:rFonts w:ascii="Times New Roman" w:hAnsi="Times New Roman"/>
          <w:sz w:val="18"/>
          <w:szCs w:val="18"/>
        </w:rPr>
        <w:t>Economic Commission for Latin America and the Caribbean (ECLAC). 2013 survey. April 2014.</w:t>
      </w:r>
    </w:p>
  </w:footnote>
  <w:footnote w:id="29">
    <w:p w14:paraId="3ACAC7FF" w14:textId="77777777" w:rsidR="00C97B7B" w:rsidRPr="00442F4F" w:rsidRDefault="00C97B7B" w:rsidP="00915C0D">
      <w:pPr>
        <w:pStyle w:val="FootnoteText"/>
        <w:jc w:val="both"/>
      </w:pPr>
      <w:r w:rsidRPr="00442F4F">
        <w:rPr>
          <w:rStyle w:val="FootnoteReference"/>
        </w:rPr>
        <w:footnoteRef/>
      </w:r>
      <w:r w:rsidRPr="00442F4F">
        <w:rPr>
          <w:sz w:val="18"/>
          <w:szCs w:val="18"/>
        </w:rPr>
        <w:t xml:space="preserve"> </w:t>
      </w:r>
      <w:r w:rsidRPr="00442F4F">
        <w:rPr>
          <w:rFonts w:ascii="Times New Roman" w:hAnsi="Times New Roman"/>
          <w:sz w:val="18"/>
          <w:szCs w:val="18"/>
        </w:rPr>
        <w:t xml:space="preserve">Guyana REDD+ Monitoring Reporting &amp; Verification System (MRVS). GFC. Year 4 Interim Measures Report. Press Release. October 2014. The Final report is currently being finalized and the expected public release date is mid Dec 2014. A second assessment will take the form of an independent third party verification, conducted by a company contracted by the Government of Norway. The Final report of the MRVS 2013 results along with the verification report will be both made public in 2015. </w:t>
      </w:r>
    </w:p>
  </w:footnote>
  <w:footnote w:id="30">
    <w:p w14:paraId="10675064" w14:textId="77777777" w:rsidR="00C97B7B" w:rsidRPr="00442F4F" w:rsidRDefault="00C97B7B" w:rsidP="00915C0D">
      <w:pPr>
        <w:pStyle w:val="FootnoteText"/>
        <w:spacing w:line="0" w:lineRule="atLeast"/>
        <w:jc w:val="both"/>
      </w:pPr>
      <w:r w:rsidRPr="00442F4F">
        <w:rPr>
          <w:rStyle w:val="FootnoteReference"/>
          <w:rFonts w:ascii="Times New Roman" w:hAnsi="Times New Roman"/>
          <w:sz w:val="22"/>
          <w:szCs w:val="22"/>
        </w:rPr>
        <w:footnoteRef/>
      </w:r>
      <w:r w:rsidRPr="00442F4F">
        <w:t xml:space="preserve"> </w:t>
      </w:r>
      <w:r w:rsidRPr="00442F4F">
        <w:rPr>
          <w:rFonts w:ascii="Times New Roman" w:hAnsi="Times New Roman"/>
          <w:sz w:val="18"/>
          <w:szCs w:val="18"/>
        </w:rPr>
        <w:t>For the past 23 year the rate has been between 0.02% and 0.08</w:t>
      </w:r>
      <w:proofErr w:type="gramStart"/>
      <w:r w:rsidRPr="00442F4F">
        <w:rPr>
          <w:rFonts w:ascii="Times New Roman" w:hAnsi="Times New Roman"/>
          <w:sz w:val="18"/>
          <w:szCs w:val="18"/>
        </w:rPr>
        <w:t>%  clearly</w:t>
      </w:r>
      <w:proofErr w:type="gramEnd"/>
      <w:r w:rsidRPr="00442F4F">
        <w:rPr>
          <w:rFonts w:ascii="Times New Roman" w:hAnsi="Times New Roman"/>
          <w:sz w:val="18"/>
          <w:szCs w:val="18"/>
        </w:rPr>
        <w:t xml:space="preserve"> below the international rate of deforestation for tropical countries. FAO reported 0.52% in 2009 </w:t>
      </w:r>
      <w:proofErr w:type="gramStart"/>
      <w:r w:rsidRPr="00442F4F">
        <w:rPr>
          <w:rFonts w:ascii="Times New Roman" w:hAnsi="Times New Roman"/>
          <w:sz w:val="18"/>
          <w:szCs w:val="18"/>
        </w:rPr>
        <w:t>and  0.44</w:t>
      </w:r>
      <w:proofErr w:type="gramEnd"/>
      <w:r w:rsidRPr="00442F4F">
        <w:rPr>
          <w:rFonts w:ascii="Times New Roman" w:hAnsi="Times New Roman"/>
          <w:sz w:val="18"/>
          <w:szCs w:val="18"/>
        </w:rPr>
        <w:t>% in 2012.</w:t>
      </w:r>
    </w:p>
  </w:footnote>
  <w:footnote w:id="31">
    <w:p w14:paraId="6683BC21" w14:textId="7B779E28" w:rsidR="00C97B7B" w:rsidRPr="00442F4F" w:rsidRDefault="00C97B7B" w:rsidP="00915C0D">
      <w:pPr>
        <w:pStyle w:val="Default"/>
        <w:jc w:val="both"/>
        <w:rPr>
          <w:sz w:val="18"/>
          <w:szCs w:val="18"/>
          <w:lang w:val="en-GB" w:eastAsia="es-AR"/>
        </w:rPr>
      </w:pPr>
      <w:r w:rsidRPr="00442F4F">
        <w:rPr>
          <w:rStyle w:val="FootnoteReference"/>
        </w:rPr>
        <w:footnoteRef/>
      </w:r>
      <w:r w:rsidRPr="00442F4F">
        <w:rPr>
          <w:lang w:val="en-US"/>
        </w:rPr>
        <w:t xml:space="preserve"> </w:t>
      </w:r>
      <w:r w:rsidRPr="00442F4F">
        <w:rPr>
          <w:sz w:val="18"/>
          <w:szCs w:val="18"/>
          <w:lang w:val="en-US"/>
        </w:rPr>
        <w:t>Joint Concept Note.  Section 3.1.3 Calculating Payment. “</w:t>
      </w:r>
      <w:r w:rsidRPr="00442F4F">
        <w:rPr>
          <w:sz w:val="18"/>
          <w:szCs w:val="18"/>
          <w:lang w:val="en-US" w:eastAsia="es-AR"/>
        </w:rPr>
        <w:t xml:space="preserve">Economic activities will be permitted within the forest, within a ceiling on deforestation of 0.056 per annum, without any financial penalty apart from the reduction in compensation caused by a smaller margin between the reference level and the verified deforestation level. </w:t>
      </w:r>
      <w:r w:rsidRPr="00442F4F">
        <w:rPr>
          <w:sz w:val="18"/>
          <w:szCs w:val="18"/>
          <w:lang w:val="en-GB" w:eastAsia="es-AR"/>
        </w:rPr>
        <w:t xml:space="preserve">For any deforestation rate up to this level, Guyana will be eligible for payments equalling the full margin between the reference level and the verified deforestation level. For deforestation rates between 0,056 per cent and 0,1 per cent, eligibility for payments would be calculated as a gradually decreasing percentage of the payments that would be due if only the margin between the reference level and the verified deforestation level were taken into account, as set out below. At deforestation rates at or above 0,1 %, no payments would be due to Guyana for that given year.” </w:t>
      </w:r>
    </w:p>
    <w:p w14:paraId="66D539D8" w14:textId="77777777" w:rsidR="00C97B7B" w:rsidRPr="00442F4F" w:rsidRDefault="00C97B7B" w:rsidP="00915C0D">
      <w:pPr>
        <w:pStyle w:val="FootnoteText"/>
      </w:pPr>
    </w:p>
  </w:footnote>
  <w:footnote w:id="32">
    <w:p w14:paraId="1D18F6FA" w14:textId="77777777" w:rsidR="00C97B7B" w:rsidRPr="00017F75" w:rsidRDefault="00C97B7B" w:rsidP="00915C0D">
      <w:pPr>
        <w:pStyle w:val="FootnoteText"/>
        <w:jc w:val="both"/>
      </w:pPr>
      <w:r w:rsidRPr="00442F4F">
        <w:rPr>
          <w:rStyle w:val="FootnoteReference"/>
        </w:rPr>
        <w:footnoteRef/>
      </w:r>
      <w:r w:rsidRPr="00442F4F">
        <w:rPr>
          <w:rFonts w:eastAsia="Arial" w:cs="Arial"/>
        </w:rPr>
        <w:t xml:space="preserve"> </w:t>
      </w:r>
      <w:r w:rsidRPr="00442F4F">
        <w:rPr>
          <w:rFonts w:ascii="Times New Roman" w:hAnsi="Times New Roman"/>
          <w:sz w:val="18"/>
          <w:szCs w:val="18"/>
        </w:rPr>
        <w:t>FDI grew 150% in the three-year period between 2010-2012, relative to 2006, concentrated in the mining and telecommunications sectors. ECLAC report. FDI in Latin America and the Caribbean 2013.</w:t>
      </w:r>
    </w:p>
  </w:footnote>
  <w:footnote w:id="33">
    <w:p w14:paraId="61C790B0" w14:textId="77777777" w:rsidR="00C97B7B" w:rsidRPr="00017F75" w:rsidRDefault="00C97B7B" w:rsidP="00915C0D">
      <w:pPr>
        <w:pStyle w:val="FootnoteText"/>
        <w:jc w:val="both"/>
      </w:pPr>
      <w:r w:rsidRPr="00442F4F">
        <w:rPr>
          <w:rStyle w:val="FootnoteReference"/>
        </w:rPr>
        <w:footnoteRef/>
      </w:r>
      <w:r w:rsidRPr="00442F4F">
        <w:rPr>
          <w:rFonts w:eastAsia="Arial" w:cs="Arial"/>
        </w:rPr>
        <w:t xml:space="preserve"> </w:t>
      </w:r>
      <w:r w:rsidRPr="00442F4F">
        <w:rPr>
          <w:rFonts w:ascii="Times New Roman" w:hAnsi="Times New Roman"/>
          <w:sz w:val="18"/>
          <w:szCs w:val="18"/>
        </w:rPr>
        <w:t>In this respect, Component 2 works together with Component 3, attempting to strengthen the public sector structures for greater application of laws and regulations.</w:t>
      </w:r>
    </w:p>
  </w:footnote>
  <w:footnote w:id="34">
    <w:p w14:paraId="40068ECC" w14:textId="0AA98D50" w:rsidR="00C97B7B" w:rsidRPr="00017F75" w:rsidRDefault="00C97B7B" w:rsidP="00915C0D">
      <w:pPr>
        <w:pStyle w:val="FootnoteText"/>
        <w:jc w:val="both"/>
      </w:pPr>
      <w:r w:rsidRPr="00442F4F">
        <w:rPr>
          <w:rStyle w:val="FootnoteReference"/>
        </w:rPr>
        <w:footnoteRef/>
      </w:r>
      <w:r w:rsidRPr="00442F4F">
        <w:t xml:space="preserve"> </w:t>
      </w:r>
      <w:r w:rsidRPr="00442F4F">
        <w:rPr>
          <w:rFonts w:ascii="Times New Roman" w:hAnsi="Times New Roman"/>
          <w:sz w:val="18"/>
          <w:szCs w:val="18"/>
        </w:rPr>
        <w:t>Bureau of Statistics 2013. Gr</w:t>
      </w:r>
      <w:r w:rsidR="00FA62AD">
        <w:rPr>
          <w:rFonts w:ascii="Times New Roman" w:hAnsi="Times New Roman"/>
          <w:sz w:val="18"/>
          <w:szCs w:val="18"/>
        </w:rPr>
        <w:t>oss Domestic Product at Current</w:t>
      </w:r>
      <w:r w:rsidRPr="00442F4F">
        <w:rPr>
          <w:rFonts w:ascii="Times New Roman" w:hAnsi="Times New Roman"/>
          <w:sz w:val="18"/>
          <w:szCs w:val="18"/>
        </w:rPr>
        <w:t xml:space="preserve"> basic Prices. </w:t>
      </w:r>
      <w:r w:rsidRPr="00017F75">
        <w:rPr>
          <w:rFonts w:ascii="Times New Roman" w:hAnsi="Times New Roman"/>
          <w:sz w:val="18"/>
          <w:szCs w:val="18"/>
        </w:rPr>
        <w:t>Table. 5.3.</w:t>
      </w:r>
    </w:p>
  </w:footnote>
  <w:footnote w:id="35">
    <w:p w14:paraId="56A1004D" w14:textId="77777777" w:rsidR="00C97B7B" w:rsidRPr="00017F75" w:rsidRDefault="00C97B7B" w:rsidP="00915C0D">
      <w:pPr>
        <w:pStyle w:val="FootnoteText"/>
        <w:jc w:val="both"/>
        <w:rPr>
          <w:rFonts w:ascii="Times New Roman" w:hAnsi="Times New Roman"/>
        </w:rPr>
      </w:pPr>
      <w:r w:rsidRPr="00442F4F">
        <w:rPr>
          <w:rStyle w:val="FootnoteReference"/>
        </w:rPr>
        <w:footnoteRef/>
      </w:r>
      <w:r w:rsidRPr="00442F4F">
        <w:rPr>
          <w:rFonts w:eastAsia="Arial" w:cs="Arial"/>
        </w:rPr>
        <w:t xml:space="preserve"> </w:t>
      </w:r>
      <w:r w:rsidRPr="00442F4F">
        <w:rPr>
          <w:rFonts w:ascii="Times New Roman" w:hAnsi="Times New Roman"/>
          <w:sz w:val="18"/>
          <w:szCs w:val="18"/>
        </w:rPr>
        <w:t>In 2013, prices fell in comparison to record levels reached in the preceding years.</w:t>
      </w:r>
      <w:r w:rsidRPr="00442F4F">
        <w:rPr>
          <w:rFonts w:eastAsia="Arial" w:cs="Arial"/>
        </w:rPr>
        <w:t xml:space="preserve"> </w:t>
      </w:r>
      <w:r w:rsidRPr="00442F4F">
        <w:rPr>
          <w:rFonts w:ascii="Times New Roman" w:hAnsi="Times New Roman"/>
          <w:sz w:val="18"/>
          <w:szCs w:val="18"/>
        </w:rPr>
        <w:t>According to recent studies, the sector is facing a cycle change in terms of international prices. Economic perspectives in Latin America and Caribbean (LAC). ECLAC 2014.</w:t>
      </w:r>
    </w:p>
  </w:footnote>
  <w:footnote w:id="36">
    <w:p w14:paraId="79955BCB" w14:textId="77777777" w:rsidR="00C97B7B" w:rsidRPr="00017F75" w:rsidRDefault="00C97B7B" w:rsidP="00915C0D">
      <w:pPr>
        <w:pStyle w:val="FootnoteText"/>
        <w:jc w:val="both"/>
        <w:rPr>
          <w:rFonts w:ascii="Times New Roman" w:hAnsi="Times New Roman"/>
          <w:sz w:val="18"/>
          <w:szCs w:val="18"/>
        </w:rPr>
      </w:pPr>
      <w:r w:rsidRPr="00442F4F">
        <w:rPr>
          <w:rStyle w:val="FootnoteReference"/>
          <w:rFonts w:ascii="Times New Roman" w:hAnsi="Times New Roman"/>
        </w:rPr>
        <w:footnoteRef/>
      </w:r>
      <w:r w:rsidRPr="00442F4F">
        <w:rPr>
          <w:rFonts w:ascii="Times New Roman" w:hAnsi="Times New Roman"/>
        </w:rPr>
        <w:t xml:space="preserve"> </w:t>
      </w:r>
      <w:r w:rsidRPr="00442F4F">
        <w:rPr>
          <w:rFonts w:ascii="Times New Roman" w:hAnsi="Times New Roman"/>
          <w:sz w:val="18"/>
          <w:szCs w:val="18"/>
        </w:rPr>
        <w:t xml:space="preserve">Bureau of Statistics of Guyana (www.statisticsguyana.gov.gy) and </w:t>
      </w:r>
      <w:hyperlink r:id="rId3" w:history="1">
        <w:r w:rsidRPr="00442F4F">
          <w:rPr>
            <w:rFonts w:ascii="Times New Roman" w:hAnsi="Times New Roman"/>
            <w:color w:val="0000FF"/>
            <w:sz w:val="18"/>
            <w:szCs w:val="18"/>
            <w:u w:val="single"/>
          </w:rPr>
          <w:t>Bank of Guyana (www.bankofguyana.org.gy</w:t>
        </w:r>
      </w:hyperlink>
      <w:r w:rsidRPr="00442F4F">
        <w:rPr>
          <w:rFonts w:ascii="Times New Roman" w:hAnsi="Times New Roman"/>
          <w:sz w:val="18"/>
          <w:szCs w:val="18"/>
        </w:rPr>
        <w:t>). Bauxite added additional exports of US$ 135 million in 2013.</w:t>
      </w:r>
    </w:p>
  </w:footnote>
  <w:footnote w:id="37">
    <w:p w14:paraId="71EF6212" w14:textId="77777777" w:rsidR="00C97B7B" w:rsidRPr="00017F75" w:rsidRDefault="00C97B7B" w:rsidP="00915C0D">
      <w:pPr>
        <w:pStyle w:val="FootnoteText"/>
        <w:jc w:val="both"/>
      </w:pPr>
      <w:r w:rsidRPr="00442F4F">
        <w:rPr>
          <w:rStyle w:val="FootnoteReference"/>
        </w:rPr>
        <w:footnoteRef/>
      </w:r>
      <w:r w:rsidRPr="00017F75">
        <w:t xml:space="preserve"> </w:t>
      </w:r>
      <w:r w:rsidRPr="00017F75">
        <w:rPr>
          <w:rFonts w:ascii="Times New Roman" w:hAnsi="Times New Roman"/>
          <w:color w:val="000000" w:themeColor="text1"/>
          <w:sz w:val="18"/>
          <w:szCs w:val="18"/>
        </w:rPr>
        <w:t xml:space="preserve">Fuente: </w:t>
      </w:r>
      <w:r w:rsidRPr="00017F75">
        <w:rPr>
          <w:rFonts w:ascii="Times New Roman" w:hAnsi="Times New Roman"/>
          <w:color w:val="000000" w:themeColor="text1"/>
          <w:sz w:val="18"/>
          <w:szCs w:val="18"/>
          <w:shd w:val="clear" w:color="auto" w:fill="FFFFFF"/>
        </w:rPr>
        <w:t>Guyana Gold and Diamond Miners Association</w:t>
      </w:r>
      <w:r w:rsidRPr="00017F75">
        <w:rPr>
          <w:rStyle w:val="apple-converted-space"/>
          <w:rFonts w:ascii="Times New Roman" w:hAnsi="Times New Roman"/>
          <w:color w:val="000000" w:themeColor="text1"/>
          <w:sz w:val="18"/>
          <w:szCs w:val="18"/>
          <w:shd w:val="clear" w:color="auto" w:fill="FFFFFF"/>
        </w:rPr>
        <w:t> during Mining Week. August 2013.</w:t>
      </w:r>
    </w:p>
  </w:footnote>
  <w:footnote w:id="38">
    <w:p w14:paraId="079238F7" w14:textId="77777777" w:rsidR="00C97B7B" w:rsidRPr="00017F75" w:rsidRDefault="00C97B7B" w:rsidP="00915C0D">
      <w:pPr>
        <w:pStyle w:val="FootnoteText"/>
        <w:jc w:val="both"/>
      </w:pPr>
      <w:r w:rsidRPr="00442F4F">
        <w:rPr>
          <w:rStyle w:val="FootnoteReference"/>
        </w:rPr>
        <w:footnoteRef/>
      </w:r>
      <w:r w:rsidRPr="00442F4F">
        <w:t xml:space="preserve"> </w:t>
      </w:r>
      <w:r w:rsidRPr="00442F4F">
        <w:rPr>
          <w:rFonts w:ascii="Times New Roman" w:hAnsi="Times New Roman"/>
          <w:sz w:val="18"/>
          <w:szCs w:val="18"/>
        </w:rPr>
        <w:t xml:space="preserve">IFC has completed a $185 million financing package for the construction and development of Guyana Goldfield’s Aurora gold mine, located 170 kilometers west of Georgetown. </w:t>
      </w:r>
      <w:r w:rsidRPr="00017F75">
        <w:rPr>
          <w:rFonts w:ascii="Times New Roman" w:hAnsi="Times New Roman"/>
          <w:sz w:val="18"/>
          <w:szCs w:val="18"/>
        </w:rPr>
        <w:t>July. 2014.</w:t>
      </w:r>
    </w:p>
  </w:footnote>
  <w:footnote w:id="39">
    <w:p w14:paraId="0FA008EA" w14:textId="77777777" w:rsidR="00C97B7B" w:rsidRPr="00442F4F" w:rsidRDefault="00C97B7B" w:rsidP="00915C0D">
      <w:pPr>
        <w:pStyle w:val="FootnoteText"/>
        <w:jc w:val="both"/>
      </w:pPr>
      <w:r w:rsidRPr="00442F4F">
        <w:rPr>
          <w:rStyle w:val="FootnoteReference"/>
        </w:rPr>
        <w:footnoteRef/>
      </w:r>
      <w:r w:rsidRPr="00442F4F">
        <w:rPr>
          <w:rFonts w:eastAsia="Arial" w:cs="Arial"/>
        </w:rPr>
        <w:t xml:space="preserve"> </w:t>
      </w:r>
      <w:r w:rsidRPr="00442F4F">
        <w:rPr>
          <w:rFonts w:ascii="Times New Roman" w:hAnsi="Times New Roman"/>
          <w:sz w:val="18"/>
          <w:szCs w:val="18"/>
        </w:rPr>
        <w:t xml:space="preserve">Gold mining activities normally transfer the cost of mitigating these effects to other water users, often affecting the value of the water services at a national level. Potable water suppliers and hydroelectric plants absorb costs linked to the increased sediment loads, which raise the cost of water processing and shorten the life of dams and turbines. But the additional impact is probably felt most in the Guyanese shield region due to the reduced energy of its freshwater systems, the relative absence of other land uses, high levels of forest cover and a high incidence of oligotrophic </w:t>
      </w:r>
      <w:proofErr w:type="spellStart"/>
      <w:r w:rsidRPr="00442F4F">
        <w:rPr>
          <w:rFonts w:ascii="Times New Roman" w:hAnsi="Times New Roman"/>
          <w:sz w:val="18"/>
          <w:szCs w:val="18"/>
        </w:rPr>
        <w:t>blackwater</w:t>
      </w:r>
      <w:proofErr w:type="spellEnd"/>
      <w:r w:rsidRPr="00442F4F">
        <w:rPr>
          <w:rFonts w:ascii="Times New Roman" w:hAnsi="Times New Roman"/>
          <w:sz w:val="18"/>
          <w:szCs w:val="18"/>
        </w:rPr>
        <w:t xml:space="preserve"> systems. Managing the Freshwater Impacts of Surface Mining in Latin America. Hammond, Rosales and. </w:t>
      </w:r>
      <w:proofErr w:type="spellStart"/>
      <w:r w:rsidRPr="00442F4F">
        <w:rPr>
          <w:rFonts w:ascii="Times New Roman" w:hAnsi="Times New Roman"/>
          <w:sz w:val="18"/>
          <w:szCs w:val="18"/>
        </w:rPr>
        <w:t>Ouboter</w:t>
      </w:r>
      <w:proofErr w:type="spellEnd"/>
      <w:r w:rsidRPr="00442F4F">
        <w:rPr>
          <w:rFonts w:ascii="Times New Roman" w:hAnsi="Times New Roman"/>
          <w:sz w:val="18"/>
          <w:szCs w:val="18"/>
        </w:rPr>
        <w:t>.</w:t>
      </w:r>
      <w:r w:rsidRPr="00442F4F">
        <w:rPr>
          <w:rFonts w:eastAsia="Arial" w:cs="Arial"/>
        </w:rPr>
        <w:t xml:space="preserve"> </w:t>
      </w:r>
      <w:r w:rsidRPr="00442F4F">
        <w:rPr>
          <w:rFonts w:ascii="Times New Roman" w:hAnsi="Times New Roman"/>
          <w:sz w:val="18"/>
          <w:szCs w:val="18"/>
        </w:rPr>
        <w:t>March 2013. IDB Technical Note.</w:t>
      </w:r>
    </w:p>
  </w:footnote>
  <w:footnote w:id="40">
    <w:p w14:paraId="0982C0CB" w14:textId="77777777" w:rsidR="00C97B7B" w:rsidRPr="00442F4F" w:rsidRDefault="00C97B7B">
      <w:pPr>
        <w:pStyle w:val="FootnoteText"/>
      </w:pPr>
      <w:r w:rsidRPr="00442F4F">
        <w:rPr>
          <w:rStyle w:val="FootnoteReference"/>
        </w:rPr>
        <w:footnoteRef/>
      </w:r>
      <w:r w:rsidRPr="00442F4F">
        <w:t xml:space="preserve"> </w:t>
      </w:r>
      <w:proofErr w:type="gramStart"/>
      <w:r w:rsidRPr="00442F4F">
        <w:rPr>
          <w:rFonts w:ascii="Times New Roman" w:hAnsi="Times New Roman"/>
          <w:sz w:val="18"/>
          <w:szCs w:val="18"/>
        </w:rPr>
        <w:t>GOG  ratified</w:t>
      </w:r>
      <w:proofErr w:type="gramEnd"/>
      <w:r w:rsidRPr="00442F4F">
        <w:rPr>
          <w:rFonts w:ascii="Times New Roman" w:hAnsi="Times New Roman"/>
          <w:sz w:val="18"/>
          <w:szCs w:val="18"/>
        </w:rPr>
        <w:t xml:space="preserve"> the agreement in September 24, 2014</w:t>
      </w:r>
      <w:r w:rsidRPr="00442F4F">
        <w:t>.</w:t>
      </w:r>
      <w:r w:rsidRPr="00442F4F">
        <w:rPr>
          <w:rFonts w:ascii="Times New Roman" w:hAnsi="Times New Roman"/>
          <w:sz w:val="18"/>
          <w:szCs w:val="18"/>
        </w:rPr>
        <w:t xml:space="preserve"> www.mercuryconvention.org.</w:t>
      </w:r>
    </w:p>
  </w:footnote>
  <w:footnote w:id="41">
    <w:p w14:paraId="782ADFAB" w14:textId="77777777" w:rsidR="00C97B7B" w:rsidRPr="00017F75" w:rsidRDefault="00C97B7B" w:rsidP="00915C0D">
      <w:pPr>
        <w:pStyle w:val="FootnoteText"/>
      </w:pPr>
      <w:r w:rsidRPr="00442F4F">
        <w:rPr>
          <w:rStyle w:val="FootnoteReference"/>
        </w:rPr>
        <w:footnoteRef/>
      </w:r>
      <w:r w:rsidRPr="00017F75">
        <w:t xml:space="preserve"> </w:t>
      </w:r>
      <w:r w:rsidRPr="00017F75">
        <w:rPr>
          <w:rFonts w:ascii="Times New Roman" w:hAnsi="Times New Roman"/>
          <w:sz w:val="18"/>
          <w:szCs w:val="18"/>
        </w:rPr>
        <w:t>MNRE Costed Srategic Framework 2013-2018.</w:t>
      </w:r>
    </w:p>
  </w:footnote>
  <w:footnote w:id="42">
    <w:p w14:paraId="1FD39E9B" w14:textId="77777777" w:rsidR="00C97B7B" w:rsidRPr="00442F4F" w:rsidRDefault="00C97B7B" w:rsidP="00915C0D">
      <w:pPr>
        <w:pStyle w:val="FootnoteText"/>
      </w:pPr>
      <w:r w:rsidRPr="00442F4F">
        <w:rPr>
          <w:rStyle w:val="FootnoteReference"/>
        </w:rPr>
        <w:footnoteRef/>
      </w:r>
      <w:r w:rsidRPr="00442F4F">
        <w:rPr>
          <w:rFonts w:eastAsia="Arial" w:cs="Arial"/>
        </w:rPr>
        <w:t xml:space="preserve"> </w:t>
      </w:r>
      <w:r w:rsidRPr="00442F4F">
        <w:rPr>
          <w:rFonts w:ascii="Times New Roman" w:hAnsi="Times New Roman"/>
          <w:sz w:val="18"/>
          <w:szCs w:val="18"/>
        </w:rPr>
        <w:t>The Economic Value to the World (EVW) estimates the value of GUYANA's environmental services at US$ 40 billion per year. This value is based on willingness-to-pay surveys linked to carbon emission reduction. Source: LCDS. Update 2013.</w:t>
      </w:r>
    </w:p>
  </w:footnote>
  <w:footnote w:id="43">
    <w:p w14:paraId="147860FA" w14:textId="77777777" w:rsidR="00C97B7B" w:rsidRPr="00017F75" w:rsidRDefault="00C97B7B">
      <w:pPr>
        <w:pStyle w:val="FootnoteText"/>
      </w:pPr>
      <w:r w:rsidRPr="00442F4F">
        <w:rPr>
          <w:rStyle w:val="FootnoteReference"/>
        </w:rPr>
        <w:footnoteRef/>
      </w:r>
      <w:r w:rsidRPr="00442F4F">
        <w:t xml:space="preserve"> </w:t>
      </w:r>
      <w:r w:rsidRPr="00442F4F">
        <w:rPr>
          <w:rFonts w:ascii="Times New Roman" w:hAnsi="Times New Roman"/>
          <w:sz w:val="18"/>
          <w:szCs w:val="18"/>
        </w:rPr>
        <w:t>Source:</w:t>
      </w:r>
      <w:r w:rsidRPr="00442F4F">
        <w:t xml:space="preserve"> </w:t>
      </w:r>
      <w:proofErr w:type="spellStart"/>
      <w:r w:rsidRPr="00442F4F">
        <w:rPr>
          <w:rFonts w:ascii="Times New Roman" w:hAnsi="Times New Roman"/>
          <w:sz w:val="18"/>
          <w:szCs w:val="18"/>
        </w:rPr>
        <w:t>Costed</w:t>
      </w:r>
      <w:proofErr w:type="spellEnd"/>
      <w:r w:rsidRPr="00442F4F">
        <w:rPr>
          <w:rFonts w:ascii="Times New Roman" w:hAnsi="Times New Roman"/>
          <w:sz w:val="18"/>
          <w:szCs w:val="18"/>
        </w:rPr>
        <w:t xml:space="preserve"> strategic Framework for MNRE 2013-2018. MNRE. </w:t>
      </w:r>
      <w:r w:rsidRPr="00017F75">
        <w:rPr>
          <w:rFonts w:ascii="Times New Roman" w:hAnsi="Times New Roman"/>
          <w:sz w:val="18"/>
          <w:szCs w:val="18"/>
        </w:rPr>
        <w:t>June 2013.</w:t>
      </w:r>
    </w:p>
  </w:footnote>
  <w:footnote w:id="44">
    <w:p w14:paraId="692D00EE" w14:textId="77777777" w:rsidR="00C97B7B" w:rsidRPr="00442F4F" w:rsidRDefault="00C97B7B" w:rsidP="00915C0D">
      <w:pPr>
        <w:pStyle w:val="FootnoteText"/>
        <w:jc w:val="both"/>
      </w:pPr>
      <w:r w:rsidRPr="00442F4F">
        <w:rPr>
          <w:rStyle w:val="FootnoteReference"/>
        </w:rPr>
        <w:footnoteRef/>
      </w:r>
      <w:r w:rsidRPr="00442F4F">
        <w:t xml:space="preserve"> </w:t>
      </w:r>
      <w:r w:rsidRPr="00442F4F">
        <w:rPr>
          <w:rFonts w:ascii="Times New Roman" w:hAnsi="Times New Roman"/>
          <w:sz w:val="18"/>
          <w:szCs w:val="18"/>
        </w:rPr>
        <w:t xml:space="preserve">Trevin, J. &amp; </w:t>
      </w:r>
      <w:proofErr w:type="spellStart"/>
      <w:r w:rsidRPr="00442F4F">
        <w:rPr>
          <w:rFonts w:ascii="Times New Roman" w:hAnsi="Times New Roman"/>
          <w:sz w:val="18"/>
          <w:szCs w:val="18"/>
        </w:rPr>
        <w:t>Nasi</w:t>
      </w:r>
      <w:proofErr w:type="spellEnd"/>
      <w:r w:rsidRPr="00442F4F">
        <w:rPr>
          <w:rFonts w:ascii="Times New Roman" w:hAnsi="Times New Roman"/>
          <w:sz w:val="18"/>
          <w:szCs w:val="18"/>
        </w:rPr>
        <w:t xml:space="preserve">, R. (2009). Forest law enforcement and governance and forest practices in </w:t>
      </w:r>
      <w:proofErr w:type="spellStart"/>
      <w:r w:rsidRPr="00442F4F">
        <w:rPr>
          <w:rFonts w:ascii="Times New Roman" w:hAnsi="Times New Roman"/>
          <w:sz w:val="18"/>
          <w:szCs w:val="18"/>
        </w:rPr>
        <w:t>Guyana.Center</w:t>
      </w:r>
      <w:proofErr w:type="spellEnd"/>
      <w:r w:rsidRPr="00442F4F">
        <w:rPr>
          <w:rFonts w:ascii="Times New Roman" w:hAnsi="Times New Roman"/>
          <w:sz w:val="18"/>
          <w:szCs w:val="18"/>
        </w:rPr>
        <w:t xml:space="preserve"> for International Forestry Research and </w:t>
      </w:r>
      <w:proofErr w:type="spellStart"/>
      <w:r w:rsidRPr="00442F4F">
        <w:rPr>
          <w:rFonts w:ascii="Times New Roman" w:hAnsi="Times New Roman"/>
          <w:sz w:val="18"/>
          <w:szCs w:val="18"/>
        </w:rPr>
        <w:t>Iwokrama</w:t>
      </w:r>
      <w:proofErr w:type="spellEnd"/>
      <w:r w:rsidRPr="00442F4F">
        <w:rPr>
          <w:rFonts w:ascii="Times New Roman" w:hAnsi="Times New Roman"/>
          <w:sz w:val="18"/>
          <w:szCs w:val="18"/>
        </w:rPr>
        <w:t xml:space="preserve"> International Center for Rainforest Conservation. Reported in </w:t>
      </w:r>
      <w:proofErr w:type="spellStart"/>
      <w:r w:rsidRPr="00442F4F">
        <w:rPr>
          <w:rFonts w:ascii="Times New Roman" w:hAnsi="Times New Roman"/>
          <w:sz w:val="18"/>
          <w:szCs w:val="18"/>
        </w:rPr>
        <w:t>Costed</w:t>
      </w:r>
      <w:proofErr w:type="spellEnd"/>
      <w:r w:rsidRPr="00442F4F">
        <w:rPr>
          <w:rFonts w:ascii="Times New Roman" w:hAnsi="Times New Roman"/>
          <w:sz w:val="18"/>
          <w:szCs w:val="18"/>
        </w:rPr>
        <w:t xml:space="preserve"> </w:t>
      </w:r>
      <w:proofErr w:type="spellStart"/>
      <w:r w:rsidRPr="00442F4F">
        <w:rPr>
          <w:rFonts w:ascii="Times New Roman" w:hAnsi="Times New Roman"/>
          <w:sz w:val="18"/>
          <w:szCs w:val="18"/>
        </w:rPr>
        <w:t>Srategic</w:t>
      </w:r>
      <w:proofErr w:type="spellEnd"/>
      <w:r w:rsidRPr="00442F4F">
        <w:rPr>
          <w:rFonts w:ascii="Times New Roman" w:hAnsi="Times New Roman"/>
          <w:sz w:val="18"/>
          <w:szCs w:val="18"/>
        </w:rPr>
        <w:t xml:space="preserve"> framework for MNRE.</w:t>
      </w:r>
    </w:p>
  </w:footnote>
  <w:footnote w:id="45">
    <w:p w14:paraId="7E898772" w14:textId="77777777" w:rsidR="00C97B7B" w:rsidRPr="00442F4F" w:rsidRDefault="00C97B7B" w:rsidP="00915C0D">
      <w:pPr>
        <w:pStyle w:val="FootnoteText"/>
        <w:jc w:val="both"/>
      </w:pPr>
      <w:r w:rsidRPr="00442F4F">
        <w:rPr>
          <w:rStyle w:val="FootnoteReference"/>
        </w:rPr>
        <w:footnoteRef/>
      </w:r>
      <w:r w:rsidRPr="00442F4F">
        <w:t xml:space="preserve"> </w:t>
      </w:r>
      <w:r w:rsidRPr="00442F4F">
        <w:rPr>
          <w:rFonts w:ascii="Times New Roman" w:hAnsi="Times New Roman"/>
          <w:sz w:val="18"/>
          <w:szCs w:val="18"/>
        </w:rPr>
        <w:t xml:space="preserve">Guyana Forestry Commission &amp; </w:t>
      </w:r>
      <w:proofErr w:type="spellStart"/>
      <w:r w:rsidRPr="00442F4F">
        <w:rPr>
          <w:rFonts w:ascii="Times New Roman" w:hAnsi="Times New Roman"/>
          <w:sz w:val="18"/>
          <w:szCs w:val="18"/>
        </w:rPr>
        <w:t>Pöyry</w:t>
      </w:r>
      <w:proofErr w:type="spellEnd"/>
      <w:r w:rsidRPr="00442F4F">
        <w:rPr>
          <w:rFonts w:ascii="Times New Roman" w:hAnsi="Times New Roman"/>
          <w:sz w:val="18"/>
          <w:szCs w:val="18"/>
        </w:rPr>
        <w:t xml:space="preserve"> Forest Industry (2011). Guyana REDD+ monitoring reporting and verification system (MRVS): Interim measures.</w:t>
      </w:r>
    </w:p>
  </w:footnote>
  <w:footnote w:id="46">
    <w:p w14:paraId="7D1E0A36" w14:textId="77777777" w:rsidR="00C97B7B" w:rsidRPr="00442F4F" w:rsidRDefault="00C97B7B">
      <w:pPr>
        <w:pStyle w:val="FootnoteText"/>
      </w:pPr>
      <w:r w:rsidRPr="00442F4F">
        <w:rPr>
          <w:rStyle w:val="FootnoteReference"/>
        </w:rPr>
        <w:footnoteRef/>
      </w:r>
      <w:r w:rsidRPr="00442F4F">
        <w:t xml:space="preserve"> </w:t>
      </w:r>
      <w:r w:rsidRPr="00442F4F">
        <w:rPr>
          <w:rFonts w:ascii="Times New Roman" w:hAnsi="Times New Roman"/>
          <w:sz w:val="18"/>
          <w:szCs w:val="18"/>
        </w:rPr>
        <w:t xml:space="preserve">Forest sector information report. </w:t>
      </w:r>
      <w:proofErr w:type="gramStart"/>
      <w:r w:rsidRPr="00442F4F">
        <w:rPr>
          <w:rFonts w:ascii="Times New Roman" w:hAnsi="Times New Roman"/>
          <w:sz w:val="18"/>
          <w:szCs w:val="18"/>
        </w:rPr>
        <w:t xml:space="preserve">Half year </w:t>
      </w:r>
      <w:proofErr w:type="spellStart"/>
      <w:r w:rsidRPr="00442F4F">
        <w:rPr>
          <w:rFonts w:ascii="Times New Roman" w:hAnsi="Times New Roman"/>
          <w:sz w:val="18"/>
          <w:szCs w:val="18"/>
        </w:rPr>
        <w:t>reviewt</w:t>
      </w:r>
      <w:proofErr w:type="spellEnd"/>
      <w:r w:rsidRPr="00442F4F">
        <w:rPr>
          <w:rFonts w:ascii="Times New Roman" w:hAnsi="Times New Roman"/>
          <w:sz w:val="18"/>
          <w:szCs w:val="18"/>
        </w:rPr>
        <w:t>.</w:t>
      </w:r>
      <w:proofErr w:type="gramEnd"/>
      <w:r w:rsidRPr="00442F4F">
        <w:rPr>
          <w:rFonts w:ascii="Times New Roman" w:hAnsi="Times New Roman"/>
          <w:sz w:val="18"/>
          <w:szCs w:val="18"/>
        </w:rPr>
        <w:t xml:space="preserve"> GFC. 2012. Annual exports 110.000 cubic meters.</w:t>
      </w:r>
    </w:p>
  </w:footnote>
  <w:footnote w:id="47">
    <w:p w14:paraId="047AA5BE" w14:textId="77777777" w:rsidR="00C97B7B" w:rsidRPr="00442F4F" w:rsidRDefault="00C97B7B" w:rsidP="00915C0D">
      <w:pPr>
        <w:pStyle w:val="FootnoteText"/>
        <w:rPr>
          <w:lang w:val="es-ES"/>
        </w:rPr>
      </w:pPr>
      <w:r w:rsidRPr="00442F4F">
        <w:rPr>
          <w:rStyle w:val="FootnoteReference"/>
        </w:rPr>
        <w:footnoteRef/>
      </w:r>
      <w:r w:rsidRPr="00442F4F">
        <w:rPr>
          <w:rFonts w:eastAsia="Arial" w:cs="Arial"/>
        </w:rPr>
        <w:t xml:space="preserve"> </w:t>
      </w:r>
      <w:r w:rsidRPr="00442F4F">
        <w:rPr>
          <w:rFonts w:ascii="Times New Roman" w:hAnsi="Times New Roman"/>
          <w:sz w:val="18"/>
          <w:szCs w:val="18"/>
        </w:rPr>
        <w:t xml:space="preserve">Managing the Freshwater Impacts of Surface Mining in Latin America. Hammond, Rosales and. </w:t>
      </w:r>
      <w:proofErr w:type="spellStart"/>
      <w:r w:rsidRPr="00442F4F">
        <w:rPr>
          <w:rFonts w:ascii="Times New Roman" w:hAnsi="Times New Roman"/>
          <w:sz w:val="18"/>
          <w:szCs w:val="18"/>
        </w:rPr>
        <w:t>Ouboter</w:t>
      </w:r>
      <w:proofErr w:type="spellEnd"/>
      <w:r w:rsidRPr="00442F4F">
        <w:rPr>
          <w:rFonts w:ascii="Times New Roman" w:hAnsi="Times New Roman"/>
          <w:sz w:val="18"/>
          <w:szCs w:val="18"/>
        </w:rPr>
        <w:t>. March 2013. IDB Technical Note.</w:t>
      </w:r>
    </w:p>
  </w:footnote>
  <w:footnote w:id="48">
    <w:p w14:paraId="703521B1" w14:textId="77777777" w:rsidR="00C97B7B" w:rsidRPr="00017F75" w:rsidRDefault="00C97B7B" w:rsidP="00915C0D">
      <w:pPr>
        <w:pStyle w:val="FootnoteText"/>
        <w:jc w:val="both"/>
      </w:pPr>
      <w:r w:rsidRPr="00442F4F">
        <w:rPr>
          <w:rStyle w:val="FootnoteReference"/>
        </w:rPr>
        <w:footnoteRef/>
      </w:r>
      <w:r w:rsidRPr="00017F75">
        <w:rPr>
          <w:rFonts w:eastAsia="Arial" w:cs="Arial"/>
          <w:lang w:val="es-ES_tradnl"/>
        </w:rPr>
        <w:t xml:space="preserve"> </w:t>
      </w:r>
      <w:proofErr w:type="spellStart"/>
      <w:r w:rsidRPr="00017F75">
        <w:rPr>
          <w:rFonts w:ascii="Times New Roman" w:hAnsi="Times New Roman"/>
          <w:sz w:val="18"/>
          <w:szCs w:val="18"/>
          <w:lang w:val="es-ES_tradnl"/>
        </w:rPr>
        <w:t>Source</w:t>
      </w:r>
      <w:proofErr w:type="spellEnd"/>
      <w:r w:rsidRPr="00017F75">
        <w:rPr>
          <w:rFonts w:ascii="Times New Roman" w:hAnsi="Times New Roman"/>
          <w:sz w:val="18"/>
          <w:szCs w:val="18"/>
          <w:lang w:val="es-ES_tradnl"/>
        </w:rPr>
        <w:t xml:space="preserve">: El mercado de la madera en México.     A. Elizondo 2005 y Encuesta y Análisis de la Cadena de Suministro para Productos Mexicanos de Madera Certificada. </w:t>
      </w:r>
      <w:r w:rsidRPr="00442F4F">
        <w:rPr>
          <w:rFonts w:ascii="Times New Roman" w:hAnsi="Times New Roman"/>
          <w:sz w:val="18"/>
          <w:szCs w:val="18"/>
        </w:rPr>
        <w:t>Michael V. Russo – University of Oregon. Both for the SEMARNAT. Secretariat of the Environment and Natural Resources of Mexico.</w:t>
      </w:r>
    </w:p>
  </w:footnote>
  <w:footnote w:id="49">
    <w:p w14:paraId="415A81EE" w14:textId="77777777" w:rsidR="00C97B7B" w:rsidRPr="00017F75" w:rsidRDefault="00C97B7B">
      <w:pPr>
        <w:pStyle w:val="FootnoteText"/>
      </w:pPr>
      <w:r w:rsidRPr="00442F4F">
        <w:rPr>
          <w:rStyle w:val="FootnoteReference"/>
        </w:rPr>
        <w:footnoteRef/>
      </w:r>
      <w:r w:rsidRPr="00442F4F">
        <w:rPr>
          <w:rFonts w:eastAsia="Arial" w:cs="Arial"/>
        </w:rPr>
        <w:t xml:space="preserve"> </w:t>
      </w:r>
      <w:r w:rsidRPr="00442F4F">
        <w:rPr>
          <w:rFonts w:ascii="Times New Roman" w:hAnsi="Times New Roman"/>
          <w:sz w:val="18"/>
          <w:szCs w:val="18"/>
        </w:rPr>
        <w:t>Paper.</w:t>
      </w:r>
    </w:p>
  </w:footnote>
  <w:footnote w:id="50">
    <w:p w14:paraId="48376067" w14:textId="77777777" w:rsidR="00C97B7B" w:rsidRPr="00017F75" w:rsidRDefault="00C97B7B" w:rsidP="00915C0D">
      <w:pPr>
        <w:pStyle w:val="FootnoteText"/>
        <w:jc w:val="both"/>
      </w:pPr>
      <w:r w:rsidRPr="00442F4F">
        <w:rPr>
          <w:rStyle w:val="FootnoteReference"/>
        </w:rPr>
        <w:footnoteRef/>
      </w:r>
      <w:r w:rsidRPr="00442F4F">
        <w:rPr>
          <w:rFonts w:eastAsia="Arial" w:cs="Arial"/>
        </w:rPr>
        <w:t xml:space="preserve"> </w:t>
      </w:r>
      <w:r w:rsidRPr="00442F4F">
        <w:rPr>
          <w:rFonts w:ascii="Times New Roman" w:hAnsi="Times New Roman"/>
          <w:color w:val="000000"/>
          <w:sz w:val="18"/>
          <w:szCs w:val="18"/>
        </w:rPr>
        <w:t>FLEGT (Forest Law Enforcement, Governance and Trade) program of the EU for the Application of Laws, Governance and Forest Business.</w:t>
      </w:r>
    </w:p>
  </w:footnote>
  <w:footnote w:id="51">
    <w:p w14:paraId="0F7A1A33" w14:textId="77777777" w:rsidR="00C97B7B" w:rsidRPr="00017F75" w:rsidRDefault="00C97B7B" w:rsidP="00915C0D">
      <w:pPr>
        <w:pStyle w:val="FootnoteText"/>
        <w:jc w:val="both"/>
        <w:rPr>
          <w:rFonts w:ascii="Times New Roman" w:hAnsi="Times New Roman"/>
          <w:sz w:val="18"/>
          <w:szCs w:val="18"/>
        </w:rPr>
      </w:pPr>
      <w:r w:rsidRPr="00442F4F">
        <w:rPr>
          <w:rStyle w:val="FootnoteReference"/>
        </w:rPr>
        <w:footnoteRef/>
      </w:r>
      <w:r w:rsidRPr="00442F4F">
        <w:rPr>
          <w:rFonts w:eastAsia="Arial" w:cs="Arial"/>
        </w:rPr>
        <w:t xml:space="preserve"> </w:t>
      </w:r>
      <w:r w:rsidRPr="00442F4F">
        <w:rPr>
          <w:rFonts w:ascii="Times New Roman" w:hAnsi="Times New Roman"/>
          <w:sz w:val="18"/>
          <w:szCs w:val="18"/>
        </w:rPr>
        <w:t xml:space="preserve">To date the associated countries are Belize, Costa Rica, Honduras, Guatemala, the Ivory Coast, and Guyana. Additionally the EU is in negotiations with Liberia, the Central African Republic, Gabon, Indonesia, Malaysia, and Vietnam. Other interested parties are Sierra Leone, Madagascar, Ecuador, Peru, Bolivia, and Papua New Guinea. Source: </w:t>
      </w:r>
      <w:hyperlink r:id="rId4" w:history="1">
        <w:r w:rsidRPr="00442F4F">
          <w:rPr>
            <w:rFonts w:ascii="Times New Roman" w:hAnsi="Times New Roman"/>
            <w:color w:val="0000FF"/>
            <w:sz w:val="18"/>
            <w:szCs w:val="18"/>
            <w:u w:val="single"/>
          </w:rPr>
          <w:t>http://www.fao.org/forestry/eu-flegt/82580/es</w:t>
        </w:r>
      </w:hyperlink>
      <w:r w:rsidRPr="00442F4F">
        <w:rPr>
          <w:rFonts w:ascii="Times New Roman" w:hAnsi="Times New Roman"/>
          <w:sz w:val="18"/>
          <w:szCs w:val="18"/>
        </w:rPr>
        <w:t xml:space="preserve"> and Informational Note 2012.</w:t>
      </w:r>
    </w:p>
  </w:footnote>
  <w:footnote w:id="52">
    <w:p w14:paraId="5A4BD4A4" w14:textId="77777777" w:rsidR="00C97B7B" w:rsidRPr="00017F75" w:rsidRDefault="00C97B7B">
      <w:pPr>
        <w:pStyle w:val="FootnoteText"/>
        <w:rPr>
          <w:lang w:val="fr-FR"/>
        </w:rPr>
      </w:pPr>
      <w:r w:rsidRPr="00442F4F">
        <w:rPr>
          <w:rStyle w:val="FootnoteReference"/>
        </w:rPr>
        <w:footnoteRef/>
      </w:r>
      <w:r w:rsidRPr="00017F75">
        <w:rPr>
          <w:rFonts w:eastAsia="Arial" w:cs="Arial"/>
          <w:lang w:val="fr-FR"/>
        </w:rPr>
        <w:t xml:space="preserve"> </w:t>
      </w:r>
      <w:r w:rsidRPr="00017F75">
        <w:rPr>
          <w:rFonts w:ascii="Times New Roman" w:hAnsi="Times New Roman"/>
          <w:sz w:val="18"/>
          <w:szCs w:val="18"/>
          <w:lang w:val="fr-FR"/>
        </w:rPr>
        <w:t>Source: FAO. EU FAO FLEGT Program.</w:t>
      </w:r>
    </w:p>
  </w:footnote>
  <w:footnote w:id="53">
    <w:p w14:paraId="2A2987AC" w14:textId="77777777" w:rsidR="00C97B7B" w:rsidRPr="00442F4F" w:rsidRDefault="00C97B7B">
      <w:pPr>
        <w:pStyle w:val="FootnoteText"/>
      </w:pPr>
      <w:r w:rsidRPr="00442F4F">
        <w:rPr>
          <w:rStyle w:val="FootnoteReference"/>
        </w:rPr>
        <w:footnoteRef/>
      </w:r>
      <w:r w:rsidRPr="00017F75">
        <w:rPr>
          <w:lang w:val="fr-FR"/>
        </w:rPr>
        <w:t xml:space="preserve"> </w:t>
      </w:r>
      <w:r w:rsidRPr="00017F75">
        <w:rPr>
          <w:rFonts w:ascii="Times New Roman" w:hAnsi="Times New Roman"/>
          <w:sz w:val="18"/>
          <w:szCs w:val="18"/>
          <w:lang w:val="fr-FR"/>
        </w:rPr>
        <w:t xml:space="preserve">National Log export Policy 2012-2014. </w:t>
      </w:r>
      <w:r w:rsidRPr="00442F4F">
        <w:rPr>
          <w:rFonts w:ascii="Times New Roman" w:hAnsi="Times New Roman"/>
          <w:sz w:val="18"/>
          <w:szCs w:val="18"/>
        </w:rPr>
        <w:t>GFC.</w:t>
      </w:r>
    </w:p>
  </w:footnote>
  <w:footnote w:id="54">
    <w:p w14:paraId="1646A123" w14:textId="662CD421" w:rsidR="00C97B7B" w:rsidRPr="00442F4F" w:rsidRDefault="00C97B7B" w:rsidP="00915C0D">
      <w:pPr>
        <w:pStyle w:val="FootnoteText"/>
      </w:pPr>
      <w:r w:rsidRPr="00442F4F">
        <w:rPr>
          <w:rStyle w:val="FootnoteReference"/>
        </w:rPr>
        <w:footnoteRef/>
      </w:r>
      <w:r w:rsidRPr="00442F4F">
        <w:t xml:space="preserve"> </w:t>
      </w:r>
      <w:r w:rsidRPr="00442F4F">
        <w:rPr>
          <w:rFonts w:ascii="Times New Roman" w:hAnsi="Times New Roman"/>
          <w:sz w:val="18"/>
          <w:szCs w:val="18"/>
        </w:rPr>
        <w:t xml:space="preserve">Source: GGMC. August 2013 and MNRE </w:t>
      </w:r>
      <w:proofErr w:type="spellStart"/>
      <w:r w:rsidRPr="00442F4F">
        <w:rPr>
          <w:rFonts w:ascii="Times New Roman" w:hAnsi="Times New Roman"/>
          <w:sz w:val="18"/>
          <w:szCs w:val="18"/>
        </w:rPr>
        <w:t>Costed</w:t>
      </w:r>
      <w:proofErr w:type="spellEnd"/>
      <w:r w:rsidRPr="00442F4F">
        <w:rPr>
          <w:rFonts w:ascii="Times New Roman" w:hAnsi="Times New Roman"/>
          <w:sz w:val="18"/>
          <w:szCs w:val="18"/>
        </w:rPr>
        <w:t xml:space="preserve"> Strategic Framework (“Mineral recovery rates of small mines in Guyana are from all accounts below 40% for fine gold”).</w:t>
      </w:r>
    </w:p>
  </w:footnote>
  <w:footnote w:id="55">
    <w:p w14:paraId="2EA0726A" w14:textId="77777777" w:rsidR="00C97B7B" w:rsidRPr="00442F4F" w:rsidRDefault="00C97B7B">
      <w:pPr>
        <w:pStyle w:val="FootnoteText"/>
      </w:pPr>
      <w:r w:rsidRPr="00442F4F">
        <w:rPr>
          <w:rStyle w:val="FootnoteReference"/>
        </w:rPr>
        <w:footnoteRef/>
      </w:r>
      <w:r w:rsidRPr="00442F4F">
        <w:t xml:space="preserve"> </w:t>
      </w:r>
      <w:proofErr w:type="spellStart"/>
      <w:r w:rsidRPr="00442F4F">
        <w:rPr>
          <w:rFonts w:ascii="Times New Roman" w:hAnsi="Times New Roman"/>
          <w:sz w:val="18"/>
          <w:szCs w:val="18"/>
        </w:rPr>
        <w:t>Minamata</w:t>
      </w:r>
      <w:proofErr w:type="spellEnd"/>
      <w:r w:rsidRPr="00442F4F">
        <w:rPr>
          <w:rFonts w:ascii="Times New Roman" w:hAnsi="Times New Roman"/>
          <w:sz w:val="18"/>
          <w:szCs w:val="18"/>
        </w:rPr>
        <w:t xml:space="preserve"> Convention.</w:t>
      </w:r>
    </w:p>
  </w:footnote>
  <w:footnote w:id="56">
    <w:p w14:paraId="5C5216E9" w14:textId="77777777" w:rsidR="00C97B7B" w:rsidRPr="00442F4F" w:rsidRDefault="00C97B7B" w:rsidP="00915C0D">
      <w:pPr>
        <w:pStyle w:val="FootnoteText"/>
        <w:rPr>
          <w:color w:val="0000FF"/>
        </w:rPr>
      </w:pPr>
      <w:r w:rsidRPr="00442F4F">
        <w:rPr>
          <w:rStyle w:val="FootnoteReference"/>
        </w:rPr>
        <w:footnoteRef/>
      </w:r>
      <w:r w:rsidRPr="00442F4F">
        <w:rPr>
          <w:rFonts w:ascii="Times New Roman" w:hAnsi="Times New Roman"/>
          <w:color w:val="000000" w:themeColor="text1"/>
          <w:sz w:val="18"/>
          <w:szCs w:val="18"/>
        </w:rPr>
        <w:t>Technicians have visited and have assessed the adaptation of successfully applied techniques in Australia and New Zealand, in productive profiles equivalent to Guyana condition. Source. GGMC. August 2013.</w:t>
      </w:r>
    </w:p>
  </w:footnote>
  <w:footnote w:id="57">
    <w:p w14:paraId="5445D0A5" w14:textId="68313F12" w:rsidR="00C97B7B" w:rsidRPr="00442F4F" w:rsidRDefault="00C97B7B" w:rsidP="00915C0D">
      <w:pPr>
        <w:pStyle w:val="FootnoteText"/>
      </w:pPr>
      <w:r w:rsidRPr="00442F4F">
        <w:rPr>
          <w:rStyle w:val="FootnoteReference"/>
        </w:rPr>
        <w:footnoteRef/>
      </w:r>
      <w:r w:rsidRPr="00442F4F">
        <w:rPr>
          <w:rFonts w:eastAsia="Arial" w:cs="Arial"/>
        </w:rPr>
        <w:t xml:space="preserve">  </w:t>
      </w:r>
      <w:r w:rsidRPr="00442F4F">
        <w:rPr>
          <w:rFonts w:ascii="Times New Roman" w:eastAsia="Arial" w:hAnsi="Times New Roman"/>
        </w:rPr>
        <w:t xml:space="preserve">Equivalent to </w:t>
      </w:r>
      <w:r w:rsidR="0096059A">
        <w:rPr>
          <w:rFonts w:ascii="Times New Roman" w:eastAsia="Arial" w:hAnsi="Times New Roman"/>
        </w:rPr>
        <w:t>US$</w:t>
      </w:r>
      <w:r w:rsidRPr="00442F4F">
        <w:rPr>
          <w:rFonts w:ascii="Times New Roman" w:eastAsia="Arial" w:hAnsi="Times New Roman"/>
        </w:rPr>
        <w:t xml:space="preserve"> 874 per </w:t>
      </w:r>
      <w:proofErr w:type="gramStart"/>
      <w:r w:rsidRPr="00442F4F">
        <w:rPr>
          <w:rFonts w:ascii="Times New Roman" w:eastAsia="Arial" w:hAnsi="Times New Roman"/>
        </w:rPr>
        <w:t>ounce .</w:t>
      </w:r>
      <w:proofErr w:type="gramEnd"/>
      <w:r w:rsidRPr="00442F4F">
        <w:rPr>
          <w:rFonts w:ascii="Times New Roman" w:eastAsia="Arial" w:hAnsi="Times New Roman"/>
        </w:rPr>
        <w:t xml:space="preserve"> Source: World </w:t>
      </w:r>
      <w:r w:rsidRPr="00442F4F">
        <w:rPr>
          <w:rFonts w:ascii="Times New Roman" w:eastAsia="Arial" w:hAnsi="Times New Roman"/>
          <w:sz w:val="18"/>
          <w:szCs w:val="18"/>
        </w:rPr>
        <w:t>Bank</w:t>
      </w:r>
      <w:r w:rsidRPr="00442F4F">
        <w:rPr>
          <w:rFonts w:ascii="Times New Roman" w:hAnsi="Times New Roman"/>
          <w:sz w:val="18"/>
          <w:szCs w:val="18"/>
        </w:rPr>
        <w:t>.</w:t>
      </w:r>
    </w:p>
  </w:footnote>
  <w:footnote w:id="58">
    <w:p w14:paraId="15622847" w14:textId="77777777" w:rsidR="00C97B7B" w:rsidRPr="00442F4F" w:rsidRDefault="00C97B7B">
      <w:pPr>
        <w:pStyle w:val="FootnoteText"/>
      </w:pPr>
      <w:r w:rsidRPr="00442F4F">
        <w:rPr>
          <w:rStyle w:val="FootnoteReference"/>
        </w:rPr>
        <w:footnoteRef/>
      </w:r>
      <w:r w:rsidRPr="00442F4F">
        <w:rPr>
          <w:rFonts w:eastAsia="Arial" w:cs="Arial"/>
        </w:rPr>
        <w:t xml:space="preserve"> </w:t>
      </w:r>
      <w:r w:rsidRPr="00442F4F">
        <w:rPr>
          <w:rFonts w:ascii="Times New Roman" w:hAnsi="Times New Roman"/>
          <w:sz w:val="18"/>
          <w:szCs w:val="18"/>
        </w:rPr>
        <w:t>Source:</w:t>
      </w:r>
      <w:r w:rsidRPr="00442F4F">
        <w:rPr>
          <w:rFonts w:eastAsia="Arial" w:cs="Arial"/>
        </w:rPr>
        <w:t xml:space="preserve"> </w:t>
      </w:r>
      <w:r w:rsidRPr="00442F4F">
        <w:rPr>
          <w:rFonts w:ascii="Times New Roman" w:hAnsi="Times New Roman"/>
          <w:sz w:val="18"/>
          <w:szCs w:val="18"/>
        </w:rPr>
        <w:t>Mercury: Time to act. UNEP. 2013.</w:t>
      </w:r>
    </w:p>
  </w:footnote>
  <w:footnote w:id="59">
    <w:p w14:paraId="71AFF991" w14:textId="77777777" w:rsidR="00C97B7B" w:rsidRPr="00017F75" w:rsidRDefault="00C97B7B">
      <w:pPr>
        <w:pStyle w:val="FootnoteText"/>
      </w:pPr>
      <w:r w:rsidRPr="00442F4F">
        <w:rPr>
          <w:rStyle w:val="FootnoteReference"/>
        </w:rPr>
        <w:footnoteRef/>
      </w:r>
      <w:r w:rsidRPr="00442F4F">
        <w:t xml:space="preserve"> </w:t>
      </w:r>
      <w:r w:rsidRPr="00442F4F">
        <w:rPr>
          <w:rFonts w:ascii="Times New Roman" w:hAnsi="Times New Roman"/>
          <w:sz w:val="18"/>
          <w:szCs w:val="18"/>
        </w:rPr>
        <w:t xml:space="preserve">Remediation Control Strategies and Cost Data for an Economic Analysis of a Mercury Total Maximum Daily Load in California. </w:t>
      </w:r>
      <w:r w:rsidRPr="00017F75">
        <w:rPr>
          <w:rFonts w:ascii="Times New Roman" w:hAnsi="Times New Roman"/>
          <w:sz w:val="18"/>
          <w:szCs w:val="18"/>
        </w:rPr>
        <w:t>Alexander Wood. USGS. 2003.</w:t>
      </w:r>
    </w:p>
  </w:footnote>
  <w:footnote w:id="60">
    <w:p w14:paraId="07061E59" w14:textId="77777777" w:rsidR="00C97B7B" w:rsidRPr="00017F75" w:rsidRDefault="00C97B7B">
      <w:pPr>
        <w:pStyle w:val="FootnoteText"/>
      </w:pPr>
      <w:r w:rsidRPr="00442F4F">
        <w:rPr>
          <w:rStyle w:val="FootnoteReference"/>
        </w:rPr>
        <w:footnoteRef/>
      </w:r>
      <w:r w:rsidRPr="00442F4F">
        <w:rPr>
          <w:rFonts w:eastAsia="Arial" w:cs="Arial"/>
        </w:rPr>
        <w:t xml:space="preserve"> </w:t>
      </w:r>
      <w:r w:rsidRPr="00442F4F">
        <w:rPr>
          <w:rFonts w:ascii="Times New Roman" w:hAnsi="Times New Roman"/>
          <w:sz w:val="18"/>
          <w:szCs w:val="18"/>
        </w:rPr>
        <w:t>The theoretical avoided expenses are calculated based on the average value of remediation costs and the volume of earth removed.</w:t>
      </w:r>
    </w:p>
  </w:footnote>
  <w:footnote w:id="61">
    <w:p w14:paraId="10C6FAC0" w14:textId="77777777" w:rsidR="00C97B7B" w:rsidRPr="00017F75" w:rsidRDefault="00C97B7B" w:rsidP="00915C0D">
      <w:pPr>
        <w:pStyle w:val="FootnoteText"/>
        <w:jc w:val="both"/>
      </w:pPr>
      <w:r w:rsidRPr="00442F4F">
        <w:rPr>
          <w:rStyle w:val="FootnoteReference"/>
        </w:rPr>
        <w:footnoteRef/>
      </w:r>
      <w:r w:rsidRPr="00442F4F">
        <w:rPr>
          <w:rFonts w:eastAsia="Arial" w:cs="Arial"/>
        </w:rPr>
        <w:t xml:space="preserve"> </w:t>
      </w:r>
      <w:r w:rsidRPr="00442F4F">
        <w:rPr>
          <w:rFonts w:ascii="Times New Roman" w:hAnsi="Times New Roman"/>
          <w:sz w:val="18"/>
          <w:szCs w:val="18"/>
        </w:rPr>
        <w:t>The REDD+ activities lay out the reduction of emissions in a way that satisfies the efficiency demands of a market-oriented system. Among its expected benefits are: (</w:t>
      </w:r>
      <w:proofErr w:type="spellStart"/>
      <w:r w:rsidRPr="00442F4F">
        <w:rPr>
          <w:rFonts w:ascii="Times New Roman" w:hAnsi="Times New Roman"/>
          <w:sz w:val="18"/>
          <w:szCs w:val="18"/>
        </w:rPr>
        <w:t>i</w:t>
      </w:r>
      <w:proofErr w:type="spellEnd"/>
      <w:r w:rsidRPr="00442F4F">
        <w:rPr>
          <w:rFonts w:ascii="Times New Roman" w:hAnsi="Times New Roman"/>
          <w:sz w:val="18"/>
          <w:szCs w:val="18"/>
        </w:rPr>
        <w:t>) increase in income on a national level (royalties), (ii) creation of jobs, (iii) access to credit and other markets, (iv) creation of new businesses. The application of REDD+ may also create new opportunities for local communities and indigenous groups (alternate sources of income, such as the trade and later processing of sustainable timber and non-timber forest products).</w:t>
      </w:r>
    </w:p>
  </w:footnote>
  <w:footnote w:id="62">
    <w:p w14:paraId="3C8E56FD" w14:textId="77777777" w:rsidR="00C97B7B" w:rsidRPr="00017F75" w:rsidRDefault="00C97B7B">
      <w:pPr>
        <w:pStyle w:val="FootnoteText"/>
      </w:pPr>
      <w:r w:rsidRPr="00442F4F">
        <w:rPr>
          <w:rStyle w:val="FootnoteReference"/>
        </w:rPr>
        <w:footnoteRef/>
      </w:r>
      <w:r w:rsidRPr="00442F4F">
        <w:rPr>
          <w:rFonts w:eastAsia="Arial" w:cs="Arial"/>
        </w:rPr>
        <w:t xml:space="preserve"> </w:t>
      </w:r>
      <w:r w:rsidRPr="00442F4F">
        <w:rPr>
          <w:rFonts w:ascii="Times New Roman" w:hAnsi="Times New Roman"/>
          <w:sz w:val="18"/>
          <w:szCs w:val="18"/>
        </w:rPr>
        <w:t>Given that there are no Policy Commitments oriented toward the agricultural sector, there are no identifiable benefits for this activity.</w:t>
      </w:r>
    </w:p>
  </w:footnote>
  <w:footnote w:id="63">
    <w:p w14:paraId="3BAC0D70" w14:textId="77777777" w:rsidR="00C97B7B" w:rsidRPr="00442F4F" w:rsidRDefault="00C97B7B" w:rsidP="00915C0D">
      <w:pPr>
        <w:pStyle w:val="FootnoteText"/>
      </w:pPr>
      <w:r w:rsidRPr="00442F4F">
        <w:rPr>
          <w:rStyle w:val="FootnoteReference"/>
        </w:rPr>
        <w:footnoteRef/>
      </w:r>
      <w:r w:rsidRPr="00442F4F">
        <w:t xml:space="preserve"> </w:t>
      </w:r>
      <w:r w:rsidRPr="00442F4F">
        <w:rPr>
          <w:rFonts w:ascii="Times New Roman" w:hAnsi="Times New Roman"/>
          <w:sz w:val="18"/>
          <w:szCs w:val="18"/>
        </w:rPr>
        <w:t>Global Market Survey Report 2012. FSC</w:t>
      </w:r>
    </w:p>
  </w:footnote>
  <w:footnote w:id="64">
    <w:p w14:paraId="528C603F" w14:textId="77777777" w:rsidR="00C97B7B" w:rsidRPr="00442F4F" w:rsidRDefault="00C97B7B" w:rsidP="00915C0D">
      <w:pPr>
        <w:pStyle w:val="FootnoteText"/>
        <w:jc w:val="both"/>
      </w:pPr>
      <w:r w:rsidRPr="00442F4F">
        <w:rPr>
          <w:rStyle w:val="FootnoteReference"/>
        </w:rPr>
        <w:footnoteRef/>
      </w:r>
      <w:r w:rsidRPr="00442F4F">
        <w:t xml:space="preserve"> </w:t>
      </w:r>
      <w:r w:rsidRPr="00442F4F">
        <w:rPr>
          <w:rFonts w:ascii="Times New Roman" w:hAnsi="Times New Roman"/>
          <w:sz w:val="18"/>
          <w:szCs w:val="18"/>
        </w:rPr>
        <w:t>Assuming adoption of certification system by 25% of producers under GFC control (80% of total area)</w:t>
      </w:r>
      <w:proofErr w:type="gramStart"/>
      <w:r w:rsidRPr="00442F4F">
        <w:rPr>
          <w:rFonts w:ascii="Times New Roman" w:hAnsi="Times New Roman"/>
          <w:sz w:val="18"/>
          <w:szCs w:val="18"/>
        </w:rPr>
        <w:t>, .</w:t>
      </w:r>
      <w:proofErr w:type="gramEnd"/>
    </w:p>
  </w:footnote>
  <w:footnote w:id="65">
    <w:p w14:paraId="6E553391" w14:textId="732ACC22" w:rsidR="00C97B7B" w:rsidRPr="00442F4F" w:rsidRDefault="00C97B7B" w:rsidP="00915C0D">
      <w:pPr>
        <w:pStyle w:val="FootnoteText"/>
        <w:jc w:val="both"/>
      </w:pPr>
      <w:r w:rsidRPr="00442F4F">
        <w:rPr>
          <w:rStyle w:val="FootnoteReference"/>
        </w:rPr>
        <w:footnoteRef/>
      </w:r>
      <w:r w:rsidRPr="00442F4F">
        <w:rPr>
          <w:rFonts w:ascii="Times New Roman" w:hAnsi="Times New Roman"/>
          <w:sz w:val="18"/>
          <w:szCs w:val="18"/>
        </w:rPr>
        <w:t>While the prices of the different primary fo</w:t>
      </w:r>
      <w:r w:rsidR="0096059A">
        <w:rPr>
          <w:rFonts w:ascii="Times New Roman" w:hAnsi="Times New Roman"/>
          <w:sz w:val="18"/>
          <w:szCs w:val="18"/>
        </w:rPr>
        <w:t>rest products range between US$120 and US</w:t>
      </w:r>
      <w:r w:rsidRPr="00442F4F">
        <w:rPr>
          <w:rFonts w:ascii="Times New Roman" w:hAnsi="Times New Roman"/>
          <w:sz w:val="18"/>
          <w:szCs w:val="18"/>
        </w:rPr>
        <w:t>$300 per cubic meter; higher added value products (first and second transf</w:t>
      </w:r>
      <w:r w:rsidR="0096059A">
        <w:rPr>
          <w:rFonts w:ascii="Times New Roman" w:hAnsi="Times New Roman"/>
          <w:sz w:val="18"/>
          <w:szCs w:val="18"/>
        </w:rPr>
        <w:t>ormation) fluctuate between US$450 and US</w:t>
      </w:r>
      <w:r w:rsidRPr="00442F4F">
        <w:rPr>
          <w:rFonts w:ascii="Times New Roman" w:hAnsi="Times New Roman"/>
          <w:sz w:val="18"/>
          <w:szCs w:val="18"/>
        </w:rPr>
        <w:t xml:space="preserve">$9.000 per cubic meter. Source: GFC. Half year report 2012. </w:t>
      </w:r>
    </w:p>
  </w:footnote>
  <w:footnote w:id="66">
    <w:p w14:paraId="55A823FB" w14:textId="77777777" w:rsidR="00C97B7B" w:rsidRPr="00442F4F" w:rsidRDefault="00C97B7B" w:rsidP="00915C0D">
      <w:pPr>
        <w:pStyle w:val="FootnoteText"/>
        <w:jc w:val="both"/>
        <w:rPr>
          <w:color w:val="0000FF"/>
        </w:rPr>
      </w:pPr>
      <w:r w:rsidRPr="00442F4F">
        <w:rPr>
          <w:rStyle w:val="FootnoteReference"/>
          <w:rFonts w:ascii="Times New Roman" w:hAnsi="Times New Roman"/>
          <w:sz w:val="18"/>
          <w:szCs w:val="18"/>
        </w:rPr>
        <w:footnoteRef/>
      </w:r>
      <w:r w:rsidRPr="00442F4F">
        <w:rPr>
          <w:rFonts w:ascii="Times New Roman" w:hAnsi="Times New Roman"/>
          <w:sz w:val="18"/>
          <w:szCs w:val="18"/>
        </w:rPr>
        <w:t xml:space="preserve"> Because of the difficulty </w:t>
      </w:r>
      <w:proofErr w:type="gramStart"/>
      <w:r w:rsidRPr="00442F4F">
        <w:rPr>
          <w:rFonts w:ascii="Times New Roman" w:hAnsi="Times New Roman"/>
          <w:sz w:val="18"/>
          <w:szCs w:val="18"/>
        </w:rPr>
        <w:t>in  processing</w:t>
      </w:r>
      <w:proofErr w:type="gramEnd"/>
      <w:r w:rsidRPr="00442F4F">
        <w:rPr>
          <w:rFonts w:ascii="Times New Roman" w:hAnsi="Times New Roman"/>
          <w:sz w:val="18"/>
          <w:szCs w:val="18"/>
        </w:rPr>
        <w:t xml:space="preserve">  more demanded species, producers find it more profitable to export them as logs.  The cost of appropriate skills/ </w:t>
      </w:r>
      <w:proofErr w:type="gramStart"/>
      <w:r w:rsidRPr="00442F4F">
        <w:rPr>
          <w:rFonts w:ascii="Times New Roman" w:hAnsi="Times New Roman"/>
          <w:sz w:val="18"/>
          <w:szCs w:val="18"/>
        </w:rPr>
        <w:t>machinery  to</w:t>
      </w:r>
      <w:proofErr w:type="gramEnd"/>
      <w:r w:rsidRPr="00442F4F">
        <w:rPr>
          <w:rFonts w:ascii="Times New Roman" w:hAnsi="Times New Roman"/>
          <w:sz w:val="18"/>
          <w:szCs w:val="18"/>
        </w:rPr>
        <w:t xml:space="preserve"> make  uneconomical to process these species locally. In a continued effort to encourage more value adding, a national consultation was held in 2009 to introduce a mechanism to promote added value production.  Stakeholders opted for a graduated yearly increase in the export commission on log exports. Source: Facts on sustainable management.  GFC. August 2014.</w:t>
      </w:r>
    </w:p>
  </w:footnote>
  <w:footnote w:id="67">
    <w:p w14:paraId="2E793A03" w14:textId="7CECA866" w:rsidR="00C97B7B" w:rsidRPr="00442F4F" w:rsidRDefault="00C97B7B">
      <w:pPr>
        <w:pStyle w:val="FootnoteText"/>
      </w:pPr>
      <w:r w:rsidRPr="00442F4F">
        <w:rPr>
          <w:rStyle w:val="FootnoteReference"/>
        </w:rPr>
        <w:footnoteRef/>
      </w:r>
      <w:r w:rsidRPr="00442F4F">
        <w:t xml:space="preserve"> </w:t>
      </w:r>
      <w:r w:rsidRPr="00442F4F">
        <w:rPr>
          <w:rFonts w:ascii="Times New Roman" w:hAnsi="Times New Roman"/>
          <w:sz w:val="18"/>
          <w:szCs w:val="18"/>
        </w:rPr>
        <w:t xml:space="preserve">Current market </w:t>
      </w:r>
      <w:r w:rsidR="008361A7" w:rsidRPr="00442F4F">
        <w:rPr>
          <w:rFonts w:ascii="Times New Roman" w:hAnsi="Times New Roman"/>
          <w:sz w:val="18"/>
          <w:szCs w:val="18"/>
        </w:rPr>
        <w:t>trends</w:t>
      </w:r>
      <w:r w:rsidRPr="00442F4F">
        <w:rPr>
          <w:rFonts w:ascii="Times New Roman" w:hAnsi="Times New Roman"/>
          <w:sz w:val="18"/>
          <w:szCs w:val="18"/>
        </w:rPr>
        <w:t xml:space="preserve"> represent a strong incentive for membership in certification systems.</w:t>
      </w:r>
    </w:p>
  </w:footnote>
  <w:footnote w:id="68">
    <w:p w14:paraId="7BB35928" w14:textId="77777777" w:rsidR="00C97B7B" w:rsidRPr="00017F75" w:rsidRDefault="00C97B7B" w:rsidP="00915C0D">
      <w:pPr>
        <w:pStyle w:val="FootnoteText"/>
      </w:pPr>
      <w:r w:rsidRPr="00442F4F">
        <w:rPr>
          <w:rStyle w:val="FootnoteReference"/>
        </w:rPr>
        <w:footnoteRef/>
      </w:r>
      <w:r w:rsidRPr="00442F4F">
        <w:rPr>
          <w:rFonts w:eastAsia="Arial" w:cs="Arial"/>
        </w:rPr>
        <w:t xml:space="preserve"> </w:t>
      </w:r>
      <w:r w:rsidRPr="00442F4F">
        <w:rPr>
          <w:rFonts w:ascii="Times New Roman" w:hAnsi="Times New Roman"/>
          <w:sz w:val="18"/>
          <w:szCs w:val="18"/>
        </w:rPr>
        <w:t xml:space="preserve">To that end, </w:t>
      </w:r>
      <w:proofErr w:type="spellStart"/>
      <w:r w:rsidRPr="00442F4F">
        <w:rPr>
          <w:rFonts w:ascii="Times New Roman" w:hAnsi="Times New Roman"/>
          <w:sz w:val="18"/>
          <w:szCs w:val="18"/>
        </w:rPr>
        <w:t>Pöyry</w:t>
      </w:r>
      <w:proofErr w:type="spellEnd"/>
      <w:r w:rsidRPr="00442F4F">
        <w:rPr>
          <w:rFonts w:ascii="Times New Roman" w:hAnsi="Times New Roman"/>
          <w:sz w:val="18"/>
          <w:szCs w:val="18"/>
        </w:rPr>
        <w:t xml:space="preserve"> was contracted in 2011 to develop a model under the </w:t>
      </w:r>
      <w:proofErr w:type="spellStart"/>
      <w:r w:rsidRPr="00442F4F">
        <w:rPr>
          <w:rFonts w:ascii="Times New Roman" w:hAnsi="Times New Roman"/>
          <w:sz w:val="18"/>
          <w:szCs w:val="18"/>
        </w:rPr>
        <w:t>Itto</w:t>
      </w:r>
      <w:proofErr w:type="spellEnd"/>
      <w:r w:rsidRPr="00442F4F">
        <w:rPr>
          <w:rFonts w:ascii="Times New Roman" w:hAnsi="Times New Roman"/>
          <w:sz w:val="18"/>
          <w:szCs w:val="18"/>
        </w:rPr>
        <w:t xml:space="preserve"> </w:t>
      </w:r>
      <w:proofErr w:type="spellStart"/>
      <w:r w:rsidRPr="00442F4F">
        <w:rPr>
          <w:rFonts w:ascii="Times New Roman" w:hAnsi="Times New Roman"/>
          <w:sz w:val="18"/>
          <w:szCs w:val="18"/>
        </w:rPr>
        <w:t>Reddes</w:t>
      </w:r>
      <w:proofErr w:type="spellEnd"/>
      <w:r w:rsidRPr="00442F4F">
        <w:rPr>
          <w:rFonts w:ascii="Times New Roman" w:hAnsi="Times New Roman"/>
          <w:sz w:val="18"/>
          <w:szCs w:val="18"/>
        </w:rPr>
        <w:t xml:space="preserve"> Program.</w:t>
      </w:r>
    </w:p>
  </w:footnote>
  <w:footnote w:id="69">
    <w:p w14:paraId="2A704C18" w14:textId="77777777" w:rsidR="00C97B7B" w:rsidRPr="00442F4F" w:rsidRDefault="00C97B7B">
      <w:pPr>
        <w:pStyle w:val="FootnoteText"/>
      </w:pPr>
      <w:r w:rsidRPr="00442F4F">
        <w:rPr>
          <w:rStyle w:val="FootnoteReference"/>
        </w:rPr>
        <w:footnoteRef/>
      </w:r>
      <w:r w:rsidRPr="00442F4F">
        <w:t xml:space="preserve"> </w:t>
      </w:r>
      <w:r w:rsidRPr="00442F4F">
        <w:rPr>
          <w:rFonts w:ascii="Times New Roman" w:hAnsi="Times New Roman"/>
          <w:sz w:val="18"/>
          <w:szCs w:val="18"/>
        </w:rPr>
        <w:t>Strategic Framework for the Ministry of Natural Resources and the Environment 2013-2018. April 2013.  SEA.</w:t>
      </w:r>
    </w:p>
  </w:footnote>
  <w:footnote w:id="70">
    <w:p w14:paraId="3123F23C" w14:textId="77777777" w:rsidR="00C97B7B" w:rsidRPr="00442F4F" w:rsidRDefault="00C97B7B">
      <w:pPr>
        <w:pStyle w:val="FootnoteText"/>
      </w:pPr>
      <w:r w:rsidRPr="00442F4F">
        <w:rPr>
          <w:rStyle w:val="FootnoteReference"/>
        </w:rPr>
        <w:footnoteRef/>
      </w:r>
      <w:r w:rsidRPr="00442F4F">
        <w:t xml:space="preserve"> </w:t>
      </w:r>
      <w:r w:rsidRPr="00442F4F">
        <w:rPr>
          <w:rFonts w:ascii="Times New Roman" w:hAnsi="Times New Roman"/>
          <w:sz w:val="18"/>
          <w:szCs w:val="18"/>
        </w:rPr>
        <w:t>Real-Time Evaluation of Norway’s International Climate and Forest Initiative.   Norwegian Agency for Development Cooperation. August. 2014</w:t>
      </w:r>
    </w:p>
  </w:footnote>
  <w:footnote w:id="71">
    <w:p w14:paraId="4B10C682" w14:textId="751E3103" w:rsidR="00C97B7B" w:rsidRPr="00442F4F" w:rsidRDefault="00C97B7B">
      <w:pPr>
        <w:pStyle w:val="FootnoteText"/>
      </w:pPr>
      <w:r w:rsidRPr="00442F4F">
        <w:rPr>
          <w:rStyle w:val="FootnoteReference"/>
        </w:rPr>
        <w:footnoteRef/>
      </w:r>
      <w:r w:rsidRPr="00442F4F">
        <w:t xml:space="preserve"> </w:t>
      </w:r>
      <w:r>
        <w:rPr>
          <w:rFonts w:ascii="Times New Roman" w:hAnsi="Times New Roman"/>
          <w:sz w:val="18"/>
          <w:szCs w:val="18"/>
        </w:rPr>
        <w:t xml:space="preserve">Alternative </w:t>
      </w:r>
      <w:proofErr w:type="spellStart"/>
      <w:r>
        <w:rPr>
          <w:rFonts w:ascii="Times New Roman" w:hAnsi="Times New Roman"/>
          <w:sz w:val="18"/>
          <w:szCs w:val="18"/>
        </w:rPr>
        <w:t>analized</w:t>
      </w:r>
      <w:proofErr w:type="spellEnd"/>
      <w:r>
        <w:rPr>
          <w:rFonts w:ascii="Times New Roman" w:hAnsi="Times New Roman"/>
          <w:sz w:val="18"/>
          <w:szCs w:val="18"/>
        </w:rPr>
        <w:t xml:space="preserve"> by the</w:t>
      </w:r>
      <w:r w:rsidRPr="00442F4F">
        <w:rPr>
          <w:rFonts w:ascii="Times New Roman" w:hAnsi="Times New Roman"/>
          <w:sz w:val="18"/>
          <w:szCs w:val="18"/>
        </w:rPr>
        <w:t xml:space="preserve"> Worl</w:t>
      </w:r>
      <w:r>
        <w:rPr>
          <w:rFonts w:ascii="Times New Roman" w:hAnsi="Times New Roman"/>
          <w:sz w:val="18"/>
          <w:szCs w:val="18"/>
        </w:rPr>
        <w:t>d</w:t>
      </w:r>
      <w:r w:rsidRPr="00442F4F">
        <w:rPr>
          <w:rFonts w:ascii="Times New Roman" w:hAnsi="Times New Roman"/>
          <w:sz w:val="18"/>
          <w:szCs w:val="18"/>
        </w:rPr>
        <w:t xml:space="preserve"> Bank, </w:t>
      </w:r>
      <w:r>
        <w:rPr>
          <w:rFonts w:ascii="Times New Roman" w:hAnsi="Times New Roman"/>
          <w:sz w:val="18"/>
          <w:szCs w:val="18"/>
        </w:rPr>
        <w:t>according to the document</w:t>
      </w:r>
      <w:r w:rsidRPr="00442F4F">
        <w:t xml:space="preserve"> </w:t>
      </w:r>
      <w:r w:rsidRPr="00442F4F">
        <w:rPr>
          <w:rFonts w:ascii="Times New Roman" w:hAnsi="Times New Roman"/>
          <w:sz w:val="18"/>
          <w:szCs w:val="18"/>
        </w:rPr>
        <w:t>Real-Time Evaluation of Norway’s International Climate and Forest Initiative.   Norwegian Agency for Development Cooperation. August. 2014</w:t>
      </w:r>
    </w:p>
  </w:footnote>
  <w:footnote w:id="72">
    <w:p w14:paraId="5D9C337B" w14:textId="1E74374E" w:rsidR="00C97B7B" w:rsidRPr="00442F4F" w:rsidRDefault="00C97B7B" w:rsidP="00915C0D">
      <w:pPr>
        <w:pStyle w:val="FootnoteText"/>
      </w:pPr>
      <w:r w:rsidRPr="00442F4F">
        <w:rPr>
          <w:rStyle w:val="FootnoteReference"/>
        </w:rPr>
        <w:footnoteRef/>
      </w:r>
      <w:r w:rsidRPr="00442F4F">
        <w:rPr>
          <w:rFonts w:eastAsia="Arial" w:cs="Arial"/>
        </w:rPr>
        <w:t xml:space="preserve"> </w:t>
      </w:r>
      <w:r w:rsidRPr="00442F4F">
        <w:rPr>
          <w:rFonts w:ascii="Times New Roman" w:hAnsi="Times New Roman"/>
          <w:sz w:val="18"/>
          <w:szCs w:val="18"/>
        </w:rPr>
        <w:t xml:space="preserve">At the same time, the </w:t>
      </w:r>
      <w:proofErr w:type="spellStart"/>
      <w:r w:rsidRPr="00442F4F">
        <w:rPr>
          <w:rFonts w:ascii="Times New Roman" w:hAnsi="Times New Roman"/>
          <w:sz w:val="18"/>
          <w:szCs w:val="18"/>
        </w:rPr>
        <w:t>GoG</w:t>
      </w:r>
      <w:proofErr w:type="spellEnd"/>
      <w:r w:rsidRPr="00442F4F">
        <w:rPr>
          <w:rFonts w:ascii="Times New Roman" w:hAnsi="Times New Roman"/>
          <w:sz w:val="18"/>
          <w:szCs w:val="18"/>
        </w:rPr>
        <w:t xml:space="preserve"> has evaluated other expected benefits due to avoided lo</w:t>
      </w:r>
      <w:r>
        <w:rPr>
          <w:rFonts w:ascii="Times New Roman" w:hAnsi="Times New Roman"/>
          <w:sz w:val="18"/>
          <w:szCs w:val="18"/>
        </w:rPr>
        <w:t>sses linked to disasters and CC</w:t>
      </w:r>
      <w:r w:rsidRPr="00442F4F">
        <w:rPr>
          <w:rFonts w:ascii="Times New Roman" w:hAnsi="Times New Roman"/>
          <w:sz w:val="18"/>
          <w:szCs w:val="18"/>
        </w:rPr>
        <w:t xml:space="preserve">. In this case, the referred values are based on </w:t>
      </w:r>
      <w:proofErr w:type="gramStart"/>
      <w:r w:rsidRPr="00442F4F">
        <w:rPr>
          <w:rFonts w:ascii="Times New Roman" w:hAnsi="Times New Roman"/>
          <w:sz w:val="18"/>
          <w:szCs w:val="18"/>
        </w:rPr>
        <w:t>historical  high</w:t>
      </w:r>
      <w:proofErr w:type="gramEnd"/>
      <w:r w:rsidRPr="00442F4F">
        <w:rPr>
          <w:rFonts w:ascii="Times New Roman" w:hAnsi="Times New Roman"/>
          <w:sz w:val="18"/>
          <w:szCs w:val="18"/>
        </w:rPr>
        <w:t xml:space="preserve"> impact level and low probability of occurrence.</w:t>
      </w:r>
      <w:r w:rsidRPr="00442F4F">
        <w:rPr>
          <w:rFonts w:eastAsia="Arial" w:cs="Arial"/>
        </w:rPr>
        <w:t xml:space="preserve"> </w:t>
      </w:r>
    </w:p>
  </w:footnote>
  <w:footnote w:id="73">
    <w:p w14:paraId="4C6FCFBF" w14:textId="77777777" w:rsidR="00C97B7B" w:rsidRPr="00017F75" w:rsidRDefault="00C97B7B" w:rsidP="00915C0D">
      <w:pPr>
        <w:pStyle w:val="FootnoteText"/>
        <w:jc w:val="both"/>
      </w:pPr>
      <w:r w:rsidRPr="00442F4F">
        <w:rPr>
          <w:rStyle w:val="FootnoteReference"/>
        </w:rPr>
        <w:footnoteRef/>
      </w:r>
      <w:r w:rsidRPr="00442F4F">
        <w:rPr>
          <w:rFonts w:eastAsia="Arial" w:cs="Arial"/>
        </w:rPr>
        <w:t xml:space="preserve"> </w:t>
      </w:r>
      <w:r w:rsidRPr="00442F4F">
        <w:rPr>
          <w:rFonts w:ascii="Times New Roman" w:hAnsi="Times New Roman"/>
          <w:sz w:val="18"/>
          <w:szCs w:val="18"/>
        </w:rPr>
        <w:t>These are costs that have not currently been incurred, because the remediation efforts are not being carried out. However, the negative effects on the environment are real and verifiable.</w:t>
      </w:r>
    </w:p>
  </w:footnote>
  <w:footnote w:id="74">
    <w:p w14:paraId="7881B8F6" w14:textId="77777777" w:rsidR="00C97B7B" w:rsidRPr="00442F4F" w:rsidRDefault="00C97B7B">
      <w:pPr>
        <w:pStyle w:val="FootnoteText"/>
      </w:pPr>
      <w:r w:rsidRPr="00442F4F">
        <w:rPr>
          <w:rStyle w:val="FootnoteReference"/>
          <w:rFonts w:ascii="Times New Roman" w:hAnsi="Times New Roman"/>
          <w:sz w:val="22"/>
          <w:szCs w:val="22"/>
        </w:rPr>
        <w:footnoteRef/>
      </w:r>
      <w:r w:rsidRPr="00442F4F">
        <w:rPr>
          <w:rFonts w:ascii="Times New Roman" w:hAnsi="Times New Roman"/>
          <w:sz w:val="22"/>
          <w:szCs w:val="22"/>
        </w:rPr>
        <w:t xml:space="preserve"> </w:t>
      </w:r>
      <w:r w:rsidRPr="00442F4F">
        <w:t xml:space="preserve"> </w:t>
      </w:r>
      <w:r w:rsidRPr="00442F4F">
        <w:rPr>
          <w:rFonts w:ascii="Times New Roman" w:hAnsi="Times New Roman"/>
          <w:sz w:val="18"/>
          <w:szCs w:val="18"/>
        </w:rPr>
        <w:t xml:space="preserve">Sources: </w:t>
      </w:r>
      <w:r w:rsidRPr="00442F4F">
        <w:rPr>
          <w:rFonts w:ascii="Times New Roman" w:hAnsi="Times New Roman"/>
          <w:bCs/>
          <w:sz w:val="18"/>
          <w:szCs w:val="18"/>
        </w:rPr>
        <w:t>FSC global survey   on the perception of certified companies and a study on the US consumer market.</w:t>
      </w:r>
    </w:p>
  </w:footnote>
  <w:footnote w:id="75">
    <w:p w14:paraId="23A1A8C2" w14:textId="139AEED1" w:rsidR="00C97B7B" w:rsidRPr="00442F4F" w:rsidRDefault="00C97B7B">
      <w:pPr>
        <w:pStyle w:val="FootnoteText"/>
      </w:pPr>
      <w:r w:rsidRPr="00442F4F">
        <w:rPr>
          <w:rStyle w:val="FootnoteReference"/>
          <w:rFonts w:ascii="Times New Roman" w:hAnsi="Times New Roman"/>
          <w:sz w:val="22"/>
          <w:szCs w:val="22"/>
        </w:rPr>
        <w:footnoteRef/>
      </w:r>
      <w:r w:rsidRPr="00442F4F">
        <w:t xml:space="preserve">  </w:t>
      </w:r>
      <w:r w:rsidRPr="00442F4F">
        <w:rPr>
          <w:rFonts w:ascii="Times New Roman" w:hAnsi="Times New Roman"/>
          <w:sz w:val="18"/>
          <w:szCs w:val="18"/>
        </w:rPr>
        <w:t>0.056% is the target level included in Resul</w:t>
      </w:r>
      <w:r>
        <w:rPr>
          <w:rFonts w:ascii="Times New Roman" w:hAnsi="Times New Roman"/>
          <w:sz w:val="18"/>
          <w:szCs w:val="18"/>
        </w:rPr>
        <w:t>t</w:t>
      </w:r>
      <w:r w:rsidRPr="00442F4F">
        <w:rPr>
          <w:rFonts w:ascii="Times New Roman" w:hAnsi="Times New Roman"/>
          <w:sz w:val="18"/>
          <w:szCs w:val="18"/>
        </w:rPr>
        <w:t xml:space="preserve">s Matrix, which maximizes funds under </w:t>
      </w:r>
      <w:proofErr w:type="spellStart"/>
      <w:r w:rsidRPr="00442F4F">
        <w:rPr>
          <w:rFonts w:ascii="Times New Roman" w:hAnsi="Times New Roman"/>
          <w:sz w:val="18"/>
          <w:szCs w:val="18"/>
        </w:rPr>
        <w:t>MoU</w:t>
      </w:r>
      <w:proofErr w:type="spellEnd"/>
      <w:r w:rsidRPr="00442F4F">
        <w:rPr>
          <w:rFonts w:ascii="Times New Roman" w:hAnsi="Times New Roman"/>
          <w:sz w:val="18"/>
          <w:szCs w:val="18"/>
        </w:rPr>
        <w:t xml:space="preserve"> with Norway.</w:t>
      </w:r>
    </w:p>
  </w:footnote>
  <w:footnote w:id="76">
    <w:p w14:paraId="0BD3E9D4" w14:textId="77777777" w:rsidR="00C97B7B" w:rsidRPr="00442F4F" w:rsidRDefault="00C97B7B" w:rsidP="00915C0D">
      <w:pPr>
        <w:pStyle w:val="FootnoteText"/>
        <w:jc w:val="both"/>
      </w:pPr>
      <w:r w:rsidRPr="00442F4F">
        <w:rPr>
          <w:rStyle w:val="FootnoteReference"/>
        </w:rPr>
        <w:footnoteRef/>
      </w:r>
      <w:r w:rsidRPr="00442F4F">
        <w:rPr>
          <w:rFonts w:eastAsia="Arial" w:cs="Arial"/>
        </w:rPr>
        <w:t xml:space="preserve"> </w:t>
      </w:r>
      <w:r w:rsidRPr="00442F4F">
        <w:rPr>
          <w:rFonts w:ascii="Times New Roman" w:hAnsi="Times New Roman"/>
          <w:sz w:val="18"/>
          <w:szCs w:val="18"/>
        </w:rPr>
        <w:t>Based on the 2010 and 2013 documents (update). Transforming Guyana's Economy While Combating Climate Change. Office of the President. Republic of Guyana.</w:t>
      </w:r>
    </w:p>
  </w:footnote>
  <w:footnote w:id="77">
    <w:p w14:paraId="5BBE2B34" w14:textId="77777777" w:rsidR="00C97B7B" w:rsidRPr="00442F4F" w:rsidRDefault="00C97B7B" w:rsidP="00915C0D">
      <w:pPr>
        <w:pStyle w:val="FootnoteText"/>
        <w:jc w:val="both"/>
      </w:pPr>
      <w:r w:rsidRPr="00442F4F">
        <w:rPr>
          <w:rStyle w:val="FootnoteReference"/>
          <w:lang w:val="es-AR"/>
        </w:rPr>
        <w:footnoteRef/>
      </w:r>
      <w:r w:rsidRPr="00442F4F">
        <w:rPr>
          <w:rFonts w:eastAsia="Arial" w:cs="Arial"/>
        </w:rPr>
        <w:t xml:space="preserve"> </w:t>
      </w:r>
      <w:r w:rsidRPr="00442F4F">
        <w:rPr>
          <w:rFonts w:ascii="Times New Roman" w:hAnsi="Times New Roman"/>
          <w:sz w:val="18"/>
          <w:szCs w:val="18"/>
        </w:rPr>
        <w:t xml:space="preserve">Contributes to the regulation of the climate, the regime of rains and, preservation of biodiversity. </w:t>
      </w:r>
      <w:r w:rsidRPr="00442F4F">
        <w:rPr>
          <w:rFonts w:eastAsia="Arial" w:cs="Arial"/>
        </w:rPr>
        <w:t xml:space="preserve"> </w:t>
      </w:r>
    </w:p>
  </w:footnote>
  <w:footnote w:id="78">
    <w:p w14:paraId="298C44C8" w14:textId="77777777" w:rsidR="00C97B7B" w:rsidRPr="00442F4F" w:rsidRDefault="00C97B7B" w:rsidP="00915C0D">
      <w:pPr>
        <w:pStyle w:val="FootnoteText"/>
        <w:jc w:val="both"/>
      </w:pPr>
      <w:r w:rsidRPr="00442F4F">
        <w:rPr>
          <w:rStyle w:val="FootnoteReference"/>
          <w:lang w:val="es-AR"/>
        </w:rPr>
        <w:footnoteRef/>
      </w:r>
      <w:r w:rsidRPr="00442F4F">
        <w:rPr>
          <w:rFonts w:eastAsia="Arial" w:cs="Arial"/>
        </w:rPr>
        <w:t xml:space="preserve"> </w:t>
      </w:r>
      <w:proofErr w:type="gramStart"/>
      <w:r w:rsidRPr="00442F4F">
        <w:rPr>
          <w:rFonts w:ascii="Times New Roman" w:hAnsi="Times New Roman"/>
          <w:sz w:val="18"/>
          <w:szCs w:val="18"/>
        </w:rPr>
        <w:t>On the basis of the study.</w:t>
      </w:r>
      <w:proofErr w:type="gramEnd"/>
      <w:r w:rsidRPr="00442F4F">
        <w:rPr>
          <w:rFonts w:ascii="Times New Roman" w:hAnsi="Times New Roman"/>
          <w:sz w:val="18"/>
          <w:szCs w:val="18"/>
        </w:rPr>
        <w:t xml:space="preserve"> “To for Cost Curve Greenhouse Gas Reduction,” McKinsey Quarterly, 2007. Referred in LCDS Update 2013.</w:t>
      </w:r>
    </w:p>
  </w:footnote>
  <w:footnote w:id="79">
    <w:p w14:paraId="05376CCC" w14:textId="77777777" w:rsidR="00C97B7B" w:rsidRPr="00442F4F" w:rsidRDefault="00C97B7B" w:rsidP="00915C0D">
      <w:pPr>
        <w:pStyle w:val="FootnoteText"/>
      </w:pPr>
      <w:r w:rsidRPr="00442F4F">
        <w:rPr>
          <w:rStyle w:val="FootnoteReference"/>
        </w:rPr>
        <w:footnoteRef/>
      </w:r>
      <w:r w:rsidRPr="00442F4F">
        <w:rPr>
          <w:rFonts w:eastAsia="Arial" w:cs="Arial"/>
        </w:rPr>
        <w:t xml:space="preserve"> </w:t>
      </w:r>
      <w:proofErr w:type="gramStart"/>
      <w:r w:rsidRPr="00442F4F">
        <w:rPr>
          <w:rFonts w:ascii="Times New Roman" w:hAnsi="Times New Roman"/>
          <w:sz w:val="18"/>
          <w:szCs w:val="18"/>
        </w:rPr>
        <w:t>is</w:t>
      </w:r>
      <w:proofErr w:type="gramEnd"/>
      <w:r w:rsidRPr="00442F4F">
        <w:rPr>
          <w:rFonts w:ascii="Times New Roman" w:hAnsi="Times New Roman"/>
          <w:sz w:val="18"/>
          <w:szCs w:val="18"/>
        </w:rPr>
        <w:t xml:space="preserve"> considered an average loss of 10% of the GIP per year by effect of the floods.</w:t>
      </w:r>
    </w:p>
  </w:footnote>
  <w:footnote w:id="80">
    <w:p w14:paraId="3A55942B" w14:textId="77777777" w:rsidR="00C97B7B" w:rsidRPr="00442F4F" w:rsidRDefault="00C97B7B" w:rsidP="00915C0D">
      <w:pPr>
        <w:pStyle w:val="FootnoteText"/>
      </w:pPr>
      <w:r w:rsidRPr="00442F4F">
        <w:rPr>
          <w:rStyle w:val="FootnoteReference"/>
        </w:rPr>
        <w:footnoteRef/>
      </w:r>
      <w:r w:rsidRPr="00442F4F">
        <w:rPr>
          <w:rFonts w:eastAsia="Arial" w:cs="Arial"/>
        </w:rPr>
        <w:t xml:space="preserve"> </w:t>
      </w:r>
      <w:r w:rsidRPr="00442F4F">
        <w:rPr>
          <w:rFonts w:ascii="Times New Roman" w:hAnsi="Times New Roman"/>
          <w:sz w:val="18"/>
          <w:szCs w:val="18"/>
        </w:rPr>
        <w:t>www.nre.gov.gy</w:t>
      </w:r>
    </w:p>
  </w:footnote>
  <w:footnote w:id="81">
    <w:p w14:paraId="00220918" w14:textId="77777777" w:rsidR="00C97B7B" w:rsidRPr="00442F4F" w:rsidRDefault="00C97B7B" w:rsidP="00915C0D">
      <w:pPr>
        <w:pStyle w:val="FootnoteText"/>
      </w:pPr>
      <w:r w:rsidRPr="00442F4F">
        <w:rPr>
          <w:rStyle w:val="FootnoteReference"/>
        </w:rPr>
        <w:footnoteRef/>
      </w:r>
      <w:r w:rsidRPr="00442F4F">
        <w:rPr>
          <w:rFonts w:eastAsia="Arial" w:cs="Arial"/>
        </w:rPr>
        <w:t xml:space="preserve"> </w:t>
      </w:r>
      <w:r w:rsidRPr="00442F4F">
        <w:rPr>
          <w:rFonts w:ascii="Times New Roman" w:hAnsi="Times New Roman"/>
          <w:color w:val="000000"/>
          <w:sz w:val="18"/>
          <w:szCs w:val="18"/>
        </w:rPr>
        <w:t xml:space="preserve">Humphreys, M., J. Sachs, and J. </w:t>
      </w:r>
      <w:proofErr w:type="spellStart"/>
      <w:r w:rsidRPr="00442F4F">
        <w:rPr>
          <w:rFonts w:ascii="Times New Roman" w:hAnsi="Times New Roman"/>
          <w:color w:val="000000"/>
          <w:sz w:val="18"/>
          <w:szCs w:val="18"/>
        </w:rPr>
        <w:t>Stiglitz</w:t>
      </w:r>
      <w:proofErr w:type="spellEnd"/>
      <w:r w:rsidRPr="00442F4F">
        <w:rPr>
          <w:rFonts w:ascii="Times New Roman" w:hAnsi="Times New Roman"/>
          <w:color w:val="000000"/>
          <w:sz w:val="18"/>
          <w:szCs w:val="18"/>
        </w:rPr>
        <w:t xml:space="preserve">, </w:t>
      </w:r>
      <w:r w:rsidRPr="00442F4F">
        <w:rPr>
          <w:rFonts w:ascii="Times New Roman" w:hAnsi="Times New Roman"/>
          <w:i/>
          <w:iCs/>
          <w:color w:val="000000"/>
          <w:sz w:val="18"/>
          <w:szCs w:val="18"/>
        </w:rPr>
        <w:t>What is the Problem with Natural Resource Wealth?</w:t>
      </w:r>
      <w:r w:rsidRPr="00442F4F">
        <w:rPr>
          <w:rFonts w:ascii="Times New Roman" w:hAnsi="Times New Roman"/>
          <w:color w:val="000000"/>
          <w:sz w:val="18"/>
          <w:szCs w:val="18"/>
        </w:rPr>
        <w:t xml:space="preserve">, in </w:t>
      </w:r>
      <w:r w:rsidRPr="00442F4F">
        <w:rPr>
          <w:rFonts w:ascii="Times New Roman" w:hAnsi="Times New Roman"/>
          <w:i/>
          <w:iCs/>
          <w:color w:val="000000"/>
          <w:sz w:val="18"/>
          <w:szCs w:val="18"/>
        </w:rPr>
        <w:t>Escaping the Resource Curse</w:t>
      </w:r>
      <w:r w:rsidRPr="00442F4F">
        <w:rPr>
          <w:rFonts w:ascii="Times New Roman" w:hAnsi="Times New Roman"/>
          <w:color w:val="000000"/>
          <w:sz w:val="18"/>
          <w:szCs w:val="18"/>
        </w:rPr>
        <w:t xml:space="preserve">, M. Humphreys, J. Sachs, and J. </w:t>
      </w:r>
      <w:proofErr w:type="spellStart"/>
      <w:r w:rsidRPr="00442F4F">
        <w:rPr>
          <w:rFonts w:ascii="Times New Roman" w:hAnsi="Times New Roman"/>
          <w:color w:val="000000"/>
          <w:sz w:val="18"/>
          <w:szCs w:val="18"/>
        </w:rPr>
        <w:t>Stiglitz</w:t>
      </w:r>
      <w:proofErr w:type="spellEnd"/>
      <w:r w:rsidRPr="00442F4F">
        <w:rPr>
          <w:rFonts w:ascii="Times New Roman" w:hAnsi="Times New Roman"/>
          <w:color w:val="000000"/>
          <w:sz w:val="18"/>
          <w:szCs w:val="18"/>
        </w:rPr>
        <w:t>, Editors. 2007, Columbia University</w:t>
      </w:r>
    </w:p>
  </w:footnote>
  <w:footnote w:id="82">
    <w:p w14:paraId="34C39E88" w14:textId="77777777" w:rsidR="00C97B7B" w:rsidRPr="00442F4F" w:rsidRDefault="00C97B7B" w:rsidP="00915C0D">
      <w:pPr>
        <w:pStyle w:val="FootnoteText"/>
      </w:pPr>
      <w:r w:rsidRPr="00442F4F">
        <w:rPr>
          <w:rStyle w:val="FootnoteReference"/>
        </w:rPr>
        <w:footnoteRef/>
      </w:r>
      <w:r w:rsidRPr="00442F4F">
        <w:rPr>
          <w:rFonts w:eastAsia="Arial" w:cs="Arial"/>
        </w:rPr>
        <w:t xml:space="preserve"> </w:t>
      </w:r>
      <w:proofErr w:type="spellStart"/>
      <w:r w:rsidRPr="00442F4F">
        <w:rPr>
          <w:rFonts w:ascii="Times New Roman" w:hAnsi="Times New Roman"/>
          <w:sz w:val="18"/>
          <w:szCs w:val="18"/>
        </w:rPr>
        <w:t>Ebrahim-zadeh</w:t>
      </w:r>
      <w:proofErr w:type="spellEnd"/>
      <w:r w:rsidRPr="00442F4F">
        <w:rPr>
          <w:rFonts w:ascii="Times New Roman" w:hAnsi="Times New Roman"/>
          <w:sz w:val="18"/>
          <w:szCs w:val="18"/>
        </w:rPr>
        <w:t>, C., Dutch disease: Too much wealth managed unwisely. Finance &amp; Development, 2003.</w:t>
      </w:r>
    </w:p>
  </w:footnote>
  <w:footnote w:id="83">
    <w:p w14:paraId="4FA5A5D1" w14:textId="77777777" w:rsidR="00C97B7B" w:rsidRPr="00442F4F" w:rsidRDefault="00C97B7B" w:rsidP="00915C0D">
      <w:pPr>
        <w:pStyle w:val="FootnoteText"/>
      </w:pPr>
      <w:r w:rsidRPr="00442F4F">
        <w:rPr>
          <w:rStyle w:val="FootnoteReference"/>
        </w:rPr>
        <w:footnoteRef/>
      </w:r>
      <w:r w:rsidRPr="00442F4F">
        <w:rPr>
          <w:rFonts w:eastAsia="Arial" w:cs="Arial"/>
        </w:rPr>
        <w:t xml:space="preserve"> </w:t>
      </w:r>
      <w:r w:rsidRPr="00442F4F">
        <w:rPr>
          <w:rFonts w:ascii="Times New Roman" w:hAnsi="Times New Roman"/>
          <w:sz w:val="18"/>
          <w:szCs w:val="18"/>
        </w:rPr>
        <w:t>GGMC, Mineral Industry Review. 2012, Guyana Geology and Mines Commission: Georgetown, Guyana.</w:t>
      </w:r>
    </w:p>
  </w:footnote>
  <w:footnote w:id="84">
    <w:p w14:paraId="20D7260F" w14:textId="77777777" w:rsidR="00C97B7B" w:rsidRPr="00442F4F" w:rsidRDefault="00C97B7B" w:rsidP="00915C0D">
      <w:pPr>
        <w:pStyle w:val="FootnoteText"/>
        <w:jc w:val="both"/>
        <w:rPr>
          <w:rFonts w:ascii="Times New Roman" w:hAnsi="Times New Roman"/>
          <w:sz w:val="18"/>
          <w:szCs w:val="18"/>
        </w:rPr>
      </w:pPr>
      <w:r w:rsidRPr="00442F4F">
        <w:rPr>
          <w:rStyle w:val="FootnoteReference"/>
        </w:rPr>
        <w:footnoteRef/>
      </w:r>
      <w:r w:rsidRPr="00442F4F">
        <w:rPr>
          <w:rFonts w:eastAsia="Arial" w:cs="Arial"/>
        </w:rPr>
        <w:t xml:space="preserve"> </w:t>
      </w:r>
      <w:r w:rsidRPr="00442F4F">
        <w:rPr>
          <w:rFonts w:ascii="Times New Roman" w:hAnsi="Times New Roman"/>
          <w:color w:val="000000"/>
          <w:sz w:val="18"/>
          <w:szCs w:val="18"/>
        </w:rPr>
        <w:t xml:space="preserve"> Since 1993, the </w:t>
      </w:r>
      <w:proofErr w:type="spellStart"/>
      <w:r w:rsidRPr="00442F4F">
        <w:rPr>
          <w:rFonts w:ascii="Times New Roman" w:hAnsi="Times New Roman"/>
          <w:color w:val="000000"/>
          <w:sz w:val="18"/>
          <w:szCs w:val="18"/>
        </w:rPr>
        <w:t>Omai</w:t>
      </w:r>
      <w:proofErr w:type="spellEnd"/>
      <w:r w:rsidRPr="00442F4F">
        <w:rPr>
          <w:rFonts w:ascii="Times New Roman" w:hAnsi="Times New Roman"/>
          <w:color w:val="000000"/>
          <w:sz w:val="18"/>
          <w:szCs w:val="18"/>
        </w:rPr>
        <w:t xml:space="preserve"> Gold Mines Limited consortium, formed by a Canadian company and the </w:t>
      </w:r>
      <w:proofErr w:type="spellStart"/>
      <w:r w:rsidRPr="00442F4F">
        <w:rPr>
          <w:rFonts w:ascii="Times New Roman" w:hAnsi="Times New Roman"/>
          <w:color w:val="000000"/>
          <w:sz w:val="18"/>
          <w:szCs w:val="18"/>
        </w:rPr>
        <w:t>GoG</w:t>
      </w:r>
      <w:proofErr w:type="spellEnd"/>
      <w:r w:rsidRPr="00442F4F">
        <w:rPr>
          <w:rFonts w:ascii="Times New Roman" w:hAnsi="Times New Roman"/>
          <w:color w:val="000000"/>
          <w:sz w:val="18"/>
          <w:szCs w:val="18"/>
        </w:rPr>
        <w:t xml:space="preserve">, carried out the operation of the </w:t>
      </w:r>
      <w:proofErr w:type="spellStart"/>
      <w:r w:rsidRPr="00442F4F">
        <w:rPr>
          <w:rFonts w:ascii="Times New Roman" w:hAnsi="Times New Roman"/>
          <w:color w:val="000000"/>
          <w:sz w:val="18"/>
          <w:szCs w:val="18"/>
        </w:rPr>
        <w:t>Omai</w:t>
      </w:r>
      <w:proofErr w:type="spellEnd"/>
      <w:r w:rsidRPr="00442F4F">
        <w:rPr>
          <w:rFonts w:ascii="Times New Roman" w:hAnsi="Times New Roman"/>
          <w:color w:val="000000"/>
          <w:sz w:val="18"/>
          <w:szCs w:val="18"/>
        </w:rPr>
        <w:t xml:space="preserve"> gold mine, one of the largest open-pit gold mines in the world. In 1995, a spill into the </w:t>
      </w:r>
      <w:proofErr w:type="spellStart"/>
      <w:r w:rsidRPr="00442F4F">
        <w:rPr>
          <w:rFonts w:ascii="Times New Roman" w:hAnsi="Times New Roman"/>
          <w:color w:val="000000"/>
          <w:sz w:val="18"/>
          <w:szCs w:val="18"/>
        </w:rPr>
        <w:t>Omai</w:t>
      </w:r>
      <w:proofErr w:type="spellEnd"/>
      <w:r w:rsidRPr="00442F4F">
        <w:rPr>
          <w:rFonts w:ascii="Times New Roman" w:hAnsi="Times New Roman"/>
          <w:color w:val="000000"/>
          <w:sz w:val="18"/>
          <w:szCs w:val="18"/>
        </w:rPr>
        <w:t xml:space="preserve"> </w:t>
      </w:r>
      <w:proofErr w:type="gramStart"/>
      <w:r w:rsidRPr="00442F4F">
        <w:rPr>
          <w:rFonts w:ascii="Times New Roman" w:hAnsi="Times New Roman"/>
          <w:color w:val="000000"/>
          <w:sz w:val="18"/>
          <w:szCs w:val="18"/>
        </w:rPr>
        <w:t>river</w:t>
      </w:r>
      <w:proofErr w:type="gramEnd"/>
      <w:r w:rsidRPr="00442F4F">
        <w:rPr>
          <w:rFonts w:ascii="Times New Roman" w:hAnsi="Times New Roman"/>
          <w:color w:val="000000"/>
          <w:sz w:val="18"/>
          <w:szCs w:val="18"/>
        </w:rPr>
        <w:t xml:space="preserve"> dumped 4 million m</w:t>
      </w:r>
      <w:r w:rsidRPr="00442F4F">
        <w:rPr>
          <w:rFonts w:ascii="Times New Roman" w:hAnsi="Times New Roman"/>
          <w:color w:val="000000"/>
          <w:sz w:val="18"/>
          <w:szCs w:val="18"/>
          <w:vertAlign w:val="superscript"/>
        </w:rPr>
        <w:t>3</w:t>
      </w:r>
      <w:r w:rsidRPr="00442F4F">
        <w:rPr>
          <w:rFonts w:ascii="Times New Roman" w:hAnsi="Times New Roman"/>
          <w:color w:val="000000"/>
          <w:sz w:val="18"/>
          <w:szCs w:val="18"/>
        </w:rPr>
        <w:t xml:space="preserve"> of waste with cyanide coming from the mine. The serious disaster was one of the reasons for the closure of the mine in 2005. USAID. LAC Atlas.</w:t>
      </w:r>
    </w:p>
  </w:footnote>
  <w:footnote w:id="85">
    <w:p w14:paraId="78DBCCD6" w14:textId="77777777" w:rsidR="00C97B7B" w:rsidRPr="00442F4F" w:rsidRDefault="00C97B7B" w:rsidP="00915C0D">
      <w:pPr>
        <w:pStyle w:val="FootnoteText"/>
      </w:pPr>
      <w:r w:rsidRPr="00442F4F">
        <w:rPr>
          <w:rStyle w:val="FootnoteReference"/>
        </w:rPr>
        <w:footnoteRef/>
      </w:r>
      <w:r w:rsidRPr="00442F4F">
        <w:rPr>
          <w:rFonts w:eastAsia="Arial" w:cs="Arial"/>
        </w:rPr>
        <w:t xml:space="preserve"> </w:t>
      </w:r>
      <w:r w:rsidRPr="00442F4F">
        <w:rPr>
          <w:rFonts w:ascii="Times New Roman" w:hAnsi="Times New Roman"/>
          <w:sz w:val="18"/>
          <w:szCs w:val="18"/>
        </w:rPr>
        <w:t>WWH. Global extractive industries sector. 2013.</w:t>
      </w:r>
    </w:p>
  </w:footnote>
  <w:footnote w:id="86">
    <w:p w14:paraId="234E2135" w14:textId="77777777" w:rsidR="00C97B7B" w:rsidRPr="00442F4F" w:rsidRDefault="00C97B7B" w:rsidP="00915C0D">
      <w:pPr>
        <w:pStyle w:val="FootnoteText"/>
      </w:pPr>
      <w:r w:rsidRPr="00442F4F">
        <w:t xml:space="preserve"> </w:t>
      </w:r>
      <w:r w:rsidRPr="00442F4F">
        <w:rPr>
          <w:rStyle w:val="FootnoteReference"/>
        </w:rPr>
        <w:footnoteRef/>
      </w:r>
      <w:r w:rsidRPr="00442F4F">
        <w:rPr>
          <w:rFonts w:eastAsia="Arial" w:cs="Arial"/>
        </w:rPr>
        <w:t xml:space="preserve"> </w:t>
      </w:r>
      <w:r w:rsidRPr="00442F4F">
        <w:rPr>
          <w:rFonts w:ascii="Times New Roman" w:hAnsi="Times New Roman"/>
          <w:sz w:val="18"/>
          <w:szCs w:val="18"/>
        </w:rPr>
        <w:t xml:space="preserve">Source: Guyana Gold Board. </w:t>
      </w:r>
      <w:proofErr w:type="spellStart"/>
      <w:r w:rsidRPr="00442F4F">
        <w:rPr>
          <w:rFonts w:ascii="Times New Roman" w:hAnsi="Times New Roman"/>
          <w:sz w:val="18"/>
          <w:szCs w:val="18"/>
        </w:rPr>
        <w:t>MoNRE</w:t>
      </w:r>
      <w:proofErr w:type="spellEnd"/>
      <w:r w:rsidRPr="00442F4F">
        <w:rPr>
          <w:rFonts w:ascii="Times New Roman" w:hAnsi="Times New Roman"/>
          <w:sz w:val="18"/>
          <w:szCs w:val="18"/>
        </w:rPr>
        <w:t>.</w:t>
      </w:r>
    </w:p>
  </w:footnote>
  <w:footnote w:id="87">
    <w:p w14:paraId="075CC4A6" w14:textId="77777777" w:rsidR="00C97B7B" w:rsidRPr="00442F4F" w:rsidRDefault="00C97B7B" w:rsidP="00915C0D">
      <w:pPr>
        <w:pStyle w:val="FootnoteText"/>
      </w:pPr>
      <w:r w:rsidRPr="00442F4F">
        <w:rPr>
          <w:rStyle w:val="FootnoteReference"/>
        </w:rPr>
        <w:footnoteRef/>
      </w:r>
      <w:r w:rsidRPr="00442F4F">
        <w:rPr>
          <w:rFonts w:eastAsia="Arial" w:cs="Arial"/>
        </w:rPr>
        <w:t xml:space="preserve"> </w:t>
      </w:r>
      <w:r w:rsidRPr="00442F4F">
        <w:rPr>
          <w:rFonts w:ascii="Times New Roman" w:hAnsi="Times New Roman"/>
          <w:color w:val="000000"/>
          <w:sz w:val="18"/>
          <w:szCs w:val="18"/>
        </w:rPr>
        <w:t>Jennifer Swenson, main author from the Nicholas School of the Environment at Duke University.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D4F3E5" w14:textId="77777777" w:rsidR="00C97B7B" w:rsidRPr="001364F9" w:rsidRDefault="00C97B7B" w:rsidP="00915C0D">
    <w:pPr>
      <w:pStyle w:val="Header"/>
      <w:jc w:val="right"/>
      <w:rPr>
        <w:rFonts w:ascii="Times New Roman" w:hAnsi="Times New Roman"/>
        <w:i/>
      </w:rPr>
    </w:pPr>
    <w:r>
      <w:rPr>
        <w:rFonts w:ascii="Times New Roman" w:hAnsi="Times New Roman"/>
        <w:i/>
        <w:iCs/>
      </w:rPr>
      <w:t xml:space="preserve">GY-L 1043 – Economic Evaluation PBP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97746"/>
    <w:multiLevelType w:val="hybridMultilevel"/>
    <w:tmpl w:val="1376EBCE"/>
    <w:lvl w:ilvl="0" w:tplc="1F0EE636">
      <w:start w:val="1"/>
      <w:numFmt w:val="bullet"/>
      <w:lvlText w:val=""/>
      <w:lvlJc w:val="left"/>
      <w:pPr>
        <w:ind w:left="1438" w:hanging="360"/>
      </w:pPr>
      <w:rPr>
        <w:rFonts w:ascii="Symbol" w:hAnsi="Symbol" w:hint="default"/>
      </w:rPr>
    </w:lvl>
    <w:lvl w:ilvl="1" w:tplc="282EC46C" w:tentative="1">
      <w:start w:val="1"/>
      <w:numFmt w:val="bullet"/>
      <w:lvlText w:val="o"/>
      <w:lvlJc w:val="left"/>
      <w:pPr>
        <w:ind w:left="2158" w:hanging="360"/>
      </w:pPr>
      <w:rPr>
        <w:rFonts w:ascii="Courier New" w:hAnsi="Courier New" w:cs="Courier New" w:hint="default"/>
      </w:rPr>
    </w:lvl>
    <w:lvl w:ilvl="2" w:tplc="FC5CF72E" w:tentative="1">
      <w:start w:val="1"/>
      <w:numFmt w:val="bullet"/>
      <w:lvlText w:val=""/>
      <w:lvlJc w:val="left"/>
      <w:pPr>
        <w:ind w:left="2878" w:hanging="360"/>
      </w:pPr>
      <w:rPr>
        <w:rFonts w:ascii="Wingdings" w:hAnsi="Wingdings" w:hint="default"/>
      </w:rPr>
    </w:lvl>
    <w:lvl w:ilvl="3" w:tplc="2850E4B8" w:tentative="1">
      <w:start w:val="1"/>
      <w:numFmt w:val="bullet"/>
      <w:lvlText w:val=""/>
      <w:lvlJc w:val="left"/>
      <w:pPr>
        <w:ind w:left="3598" w:hanging="360"/>
      </w:pPr>
      <w:rPr>
        <w:rFonts w:ascii="Symbol" w:hAnsi="Symbol" w:hint="default"/>
      </w:rPr>
    </w:lvl>
    <w:lvl w:ilvl="4" w:tplc="1CE499A0" w:tentative="1">
      <w:start w:val="1"/>
      <w:numFmt w:val="bullet"/>
      <w:lvlText w:val="o"/>
      <w:lvlJc w:val="left"/>
      <w:pPr>
        <w:ind w:left="4318" w:hanging="360"/>
      </w:pPr>
      <w:rPr>
        <w:rFonts w:ascii="Courier New" w:hAnsi="Courier New" w:cs="Courier New" w:hint="default"/>
      </w:rPr>
    </w:lvl>
    <w:lvl w:ilvl="5" w:tplc="2B108DBA" w:tentative="1">
      <w:start w:val="1"/>
      <w:numFmt w:val="bullet"/>
      <w:lvlText w:val=""/>
      <w:lvlJc w:val="left"/>
      <w:pPr>
        <w:ind w:left="5038" w:hanging="360"/>
      </w:pPr>
      <w:rPr>
        <w:rFonts w:ascii="Wingdings" w:hAnsi="Wingdings" w:hint="default"/>
      </w:rPr>
    </w:lvl>
    <w:lvl w:ilvl="6" w:tplc="C3BA6D7E" w:tentative="1">
      <w:start w:val="1"/>
      <w:numFmt w:val="bullet"/>
      <w:lvlText w:val=""/>
      <w:lvlJc w:val="left"/>
      <w:pPr>
        <w:ind w:left="5758" w:hanging="360"/>
      </w:pPr>
      <w:rPr>
        <w:rFonts w:ascii="Symbol" w:hAnsi="Symbol" w:hint="default"/>
      </w:rPr>
    </w:lvl>
    <w:lvl w:ilvl="7" w:tplc="FDBE2D7A" w:tentative="1">
      <w:start w:val="1"/>
      <w:numFmt w:val="bullet"/>
      <w:lvlText w:val="o"/>
      <w:lvlJc w:val="left"/>
      <w:pPr>
        <w:ind w:left="6478" w:hanging="360"/>
      </w:pPr>
      <w:rPr>
        <w:rFonts w:ascii="Courier New" w:hAnsi="Courier New" w:cs="Courier New" w:hint="default"/>
      </w:rPr>
    </w:lvl>
    <w:lvl w:ilvl="8" w:tplc="15940D7E" w:tentative="1">
      <w:start w:val="1"/>
      <w:numFmt w:val="bullet"/>
      <w:lvlText w:val=""/>
      <w:lvlJc w:val="left"/>
      <w:pPr>
        <w:ind w:left="7198" w:hanging="360"/>
      </w:pPr>
      <w:rPr>
        <w:rFonts w:ascii="Wingdings" w:hAnsi="Wingdings" w:hint="default"/>
      </w:rPr>
    </w:lvl>
  </w:abstractNum>
  <w:abstractNum w:abstractNumId="1">
    <w:nsid w:val="05BE6F3D"/>
    <w:multiLevelType w:val="hybridMultilevel"/>
    <w:tmpl w:val="88BAB3BE"/>
    <w:lvl w:ilvl="0" w:tplc="F57C4616">
      <w:start w:val="1"/>
      <w:numFmt w:val="decimal"/>
      <w:lvlText w:val="%1."/>
      <w:lvlJc w:val="left"/>
      <w:pPr>
        <w:ind w:left="720" w:hanging="360"/>
      </w:pPr>
      <w:rPr>
        <w:rFonts w:hint="default"/>
      </w:rPr>
    </w:lvl>
    <w:lvl w:ilvl="1" w:tplc="279257A4" w:tentative="1">
      <w:start w:val="1"/>
      <w:numFmt w:val="lowerLetter"/>
      <w:lvlText w:val="%2."/>
      <w:lvlJc w:val="left"/>
      <w:pPr>
        <w:ind w:left="1440" w:hanging="360"/>
      </w:pPr>
    </w:lvl>
    <w:lvl w:ilvl="2" w:tplc="91AAAC64" w:tentative="1">
      <w:start w:val="1"/>
      <w:numFmt w:val="lowerRoman"/>
      <w:lvlText w:val="%3."/>
      <w:lvlJc w:val="right"/>
      <w:pPr>
        <w:ind w:left="2160" w:hanging="180"/>
      </w:pPr>
    </w:lvl>
    <w:lvl w:ilvl="3" w:tplc="FE6AC2D0" w:tentative="1">
      <w:start w:val="1"/>
      <w:numFmt w:val="decimal"/>
      <w:lvlText w:val="%4."/>
      <w:lvlJc w:val="left"/>
      <w:pPr>
        <w:ind w:left="2880" w:hanging="360"/>
      </w:pPr>
    </w:lvl>
    <w:lvl w:ilvl="4" w:tplc="1E4EE908" w:tentative="1">
      <w:start w:val="1"/>
      <w:numFmt w:val="lowerLetter"/>
      <w:lvlText w:val="%5."/>
      <w:lvlJc w:val="left"/>
      <w:pPr>
        <w:ind w:left="3600" w:hanging="360"/>
      </w:pPr>
    </w:lvl>
    <w:lvl w:ilvl="5" w:tplc="6C545346" w:tentative="1">
      <w:start w:val="1"/>
      <w:numFmt w:val="lowerRoman"/>
      <w:lvlText w:val="%6."/>
      <w:lvlJc w:val="right"/>
      <w:pPr>
        <w:ind w:left="4320" w:hanging="180"/>
      </w:pPr>
    </w:lvl>
    <w:lvl w:ilvl="6" w:tplc="1378632A" w:tentative="1">
      <w:start w:val="1"/>
      <w:numFmt w:val="decimal"/>
      <w:lvlText w:val="%7."/>
      <w:lvlJc w:val="left"/>
      <w:pPr>
        <w:ind w:left="5040" w:hanging="360"/>
      </w:pPr>
    </w:lvl>
    <w:lvl w:ilvl="7" w:tplc="B290CA08" w:tentative="1">
      <w:start w:val="1"/>
      <w:numFmt w:val="lowerLetter"/>
      <w:lvlText w:val="%8."/>
      <w:lvlJc w:val="left"/>
      <w:pPr>
        <w:ind w:left="5760" w:hanging="360"/>
      </w:pPr>
    </w:lvl>
    <w:lvl w:ilvl="8" w:tplc="4956B84C" w:tentative="1">
      <w:start w:val="1"/>
      <w:numFmt w:val="lowerRoman"/>
      <w:lvlText w:val="%9."/>
      <w:lvlJc w:val="right"/>
      <w:pPr>
        <w:ind w:left="6480" w:hanging="180"/>
      </w:pPr>
    </w:lvl>
  </w:abstractNum>
  <w:abstractNum w:abstractNumId="2">
    <w:nsid w:val="099847C2"/>
    <w:multiLevelType w:val="multilevel"/>
    <w:tmpl w:val="293428DC"/>
    <w:lvl w:ilvl="0">
      <w:start w:val="6"/>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576" w:hanging="1440"/>
      </w:pPr>
    </w:lvl>
  </w:abstractNum>
  <w:abstractNum w:abstractNumId="3">
    <w:nsid w:val="0AB15B6F"/>
    <w:multiLevelType w:val="hybridMultilevel"/>
    <w:tmpl w:val="184A3D30"/>
    <w:lvl w:ilvl="0" w:tplc="A88816CA">
      <w:start w:val="1"/>
      <w:numFmt w:val="lowerLetter"/>
      <w:lvlText w:val="%1."/>
      <w:lvlJc w:val="left"/>
      <w:pPr>
        <w:ind w:left="1078" w:hanging="360"/>
      </w:pPr>
    </w:lvl>
    <w:lvl w:ilvl="1" w:tplc="C5A4A98C">
      <w:start w:val="1"/>
      <w:numFmt w:val="lowerLetter"/>
      <w:lvlText w:val="%2."/>
      <w:lvlJc w:val="left"/>
      <w:pPr>
        <w:ind w:left="1798" w:hanging="360"/>
      </w:pPr>
    </w:lvl>
    <w:lvl w:ilvl="2" w:tplc="0FA8EF40" w:tentative="1">
      <w:start w:val="1"/>
      <w:numFmt w:val="lowerRoman"/>
      <w:lvlText w:val="%3."/>
      <w:lvlJc w:val="right"/>
      <w:pPr>
        <w:ind w:left="2518" w:hanging="180"/>
      </w:pPr>
    </w:lvl>
    <w:lvl w:ilvl="3" w:tplc="24344A72" w:tentative="1">
      <w:start w:val="1"/>
      <w:numFmt w:val="decimal"/>
      <w:lvlText w:val="%4."/>
      <w:lvlJc w:val="left"/>
      <w:pPr>
        <w:ind w:left="3238" w:hanging="360"/>
      </w:pPr>
    </w:lvl>
    <w:lvl w:ilvl="4" w:tplc="7D1E82AA" w:tentative="1">
      <w:start w:val="1"/>
      <w:numFmt w:val="lowerLetter"/>
      <w:lvlText w:val="%5."/>
      <w:lvlJc w:val="left"/>
      <w:pPr>
        <w:ind w:left="3958" w:hanging="360"/>
      </w:pPr>
    </w:lvl>
    <w:lvl w:ilvl="5" w:tplc="14987728" w:tentative="1">
      <w:start w:val="1"/>
      <w:numFmt w:val="lowerRoman"/>
      <w:lvlText w:val="%6."/>
      <w:lvlJc w:val="right"/>
      <w:pPr>
        <w:ind w:left="4678" w:hanging="180"/>
      </w:pPr>
    </w:lvl>
    <w:lvl w:ilvl="6" w:tplc="D5D62D8E" w:tentative="1">
      <w:start w:val="1"/>
      <w:numFmt w:val="decimal"/>
      <w:lvlText w:val="%7."/>
      <w:lvlJc w:val="left"/>
      <w:pPr>
        <w:ind w:left="5398" w:hanging="360"/>
      </w:pPr>
    </w:lvl>
    <w:lvl w:ilvl="7" w:tplc="25D6D3B4" w:tentative="1">
      <w:start w:val="1"/>
      <w:numFmt w:val="lowerLetter"/>
      <w:lvlText w:val="%8."/>
      <w:lvlJc w:val="left"/>
      <w:pPr>
        <w:ind w:left="6118" w:hanging="360"/>
      </w:pPr>
    </w:lvl>
    <w:lvl w:ilvl="8" w:tplc="45BA879C" w:tentative="1">
      <w:start w:val="1"/>
      <w:numFmt w:val="lowerRoman"/>
      <w:lvlText w:val="%9."/>
      <w:lvlJc w:val="right"/>
      <w:pPr>
        <w:ind w:left="6838" w:hanging="180"/>
      </w:pPr>
    </w:lvl>
  </w:abstractNum>
  <w:abstractNum w:abstractNumId="4">
    <w:nsid w:val="0D940B17"/>
    <w:multiLevelType w:val="multilevel"/>
    <w:tmpl w:val="D6726C3E"/>
    <w:lvl w:ilvl="0">
      <w:start w:val="1"/>
      <w:numFmt w:val="decimal"/>
      <w:lvlText w:val="%1"/>
      <w:lvlJc w:val="left"/>
      <w:pPr>
        <w:tabs>
          <w:tab w:val="num" w:pos="432"/>
        </w:tabs>
        <w:ind w:left="432" w:hanging="432"/>
      </w:pPr>
      <w:rPr>
        <w:rFonts w:cs="Times New Roman" w:hint="default"/>
      </w:rPr>
    </w:lvl>
    <w:lvl w:ilvl="1">
      <w:start w:val="1"/>
      <w:numFmt w:val="decimal"/>
      <w:lvlText w:val="4.%2"/>
      <w:lvlJc w:val="left"/>
      <w:pPr>
        <w:tabs>
          <w:tab w:val="num" w:pos="718"/>
        </w:tabs>
        <w:ind w:left="718" w:hanging="576"/>
      </w:pPr>
      <w:rPr>
        <w:rFonts w:cs="Times New Roman" w:hint="default"/>
        <w:i/>
      </w:rPr>
    </w:lvl>
    <w:lvl w:ilvl="2">
      <w:start w:val="3"/>
      <w:numFmt w:val="decimal"/>
      <w:lvlText w:val="%3.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0DAB7FC9"/>
    <w:multiLevelType w:val="multilevel"/>
    <w:tmpl w:val="E6225EE2"/>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810"/>
        </w:tabs>
        <w:ind w:left="810" w:hanging="720"/>
      </w:pPr>
      <w:rPr>
        <w:rFonts w:cs="Times New Roman"/>
        <w:b w:val="0"/>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6">
    <w:nsid w:val="0EF02E03"/>
    <w:multiLevelType w:val="multilevel"/>
    <w:tmpl w:val="C7A2150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718"/>
        </w:tabs>
        <w:ind w:left="718" w:hanging="576"/>
      </w:pPr>
      <w:rPr>
        <w:rFonts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1226678C"/>
    <w:multiLevelType w:val="hybridMultilevel"/>
    <w:tmpl w:val="8382A98E"/>
    <w:lvl w:ilvl="0" w:tplc="2EDE5808">
      <w:start w:val="1"/>
      <w:numFmt w:val="bullet"/>
      <w:lvlText w:val=""/>
      <w:lvlJc w:val="left"/>
      <w:pPr>
        <w:ind w:left="1080" w:hanging="360"/>
      </w:pPr>
      <w:rPr>
        <w:rFonts w:ascii="Symbol" w:hAnsi="Symbol" w:hint="default"/>
      </w:rPr>
    </w:lvl>
    <w:lvl w:ilvl="1" w:tplc="94E6D2C6">
      <w:start w:val="1"/>
      <w:numFmt w:val="bullet"/>
      <w:lvlText w:val="o"/>
      <w:lvlJc w:val="left"/>
      <w:pPr>
        <w:ind w:left="1800" w:hanging="360"/>
      </w:pPr>
      <w:rPr>
        <w:rFonts w:ascii="Courier New" w:hAnsi="Courier New" w:cs="Courier New" w:hint="default"/>
      </w:rPr>
    </w:lvl>
    <w:lvl w:ilvl="2" w:tplc="A81817F8" w:tentative="1">
      <w:start w:val="1"/>
      <w:numFmt w:val="bullet"/>
      <w:lvlText w:val=""/>
      <w:lvlJc w:val="left"/>
      <w:pPr>
        <w:ind w:left="2520" w:hanging="360"/>
      </w:pPr>
      <w:rPr>
        <w:rFonts w:ascii="Wingdings" w:hAnsi="Wingdings" w:hint="default"/>
      </w:rPr>
    </w:lvl>
    <w:lvl w:ilvl="3" w:tplc="D56658DC" w:tentative="1">
      <w:start w:val="1"/>
      <w:numFmt w:val="bullet"/>
      <w:lvlText w:val=""/>
      <w:lvlJc w:val="left"/>
      <w:pPr>
        <w:ind w:left="3240" w:hanging="360"/>
      </w:pPr>
      <w:rPr>
        <w:rFonts w:ascii="Symbol" w:hAnsi="Symbol" w:hint="default"/>
      </w:rPr>
    </w:lvl>
    <w:lvl w:ilvl="4" w:tplc="5898531C" w:tentative="1">
      <w:start w:val="1"/>
      <w:numFmt w:val="bullet"/>
      <w:lvlText w:val="o"/>
      <w:lvlJc w:val="left"/>
      <w:pPr>
        <w:ind w:left="3960" w:hanging="360"/>
      </w:pPr>
      <w:rPr>
        <w:rFonts w:ascii="Courier New" w:hAnsi="Courier New" w:cs="Courier New" w:hint="default"/>
      </w:rPr>
    </w:lvl>
    <w:lvl w:ilvl="5" w:tplc="C00294BC" w:tentative="1">
      <w:start w:val="1"/>
      <w:numFmt w:val="bullet"/>
      <w:lvlText w:val=""/>
      <w:lvlJc w:val="left"/>
      <w:pPr>
        <w:ind w:left="4680" w:hanging="360"/>
      </w:pPr>
      <w:rPr>
        <w:rFonts w:ascii="Wingdings" w:hAnsi="Wingdings" w:hint="default"/>
      </w:rPr>
    </w:lvl>
    <w:lvl w:ilvl="6" w:tplc="872C23F4" w:tentative="1">
      <w:start w:val="1"/>
      <w:numFmt w:val="bullet"/>
      <w:lvlText w:val=""/>
      <w:lvlJc w:val="left"/>
      <w:pPr>
        <w:ind w:left="5400" w:hanging="360"/>
      </w:pPr>
      <w:rPr>
        <w:rFonts w:ascii="Symbol" w:hAnsi="Symbol" w:hint="default"/>
      </w:rPr>
    </w:lvl>
    <w:lvl w:ilvl="7" w:tplc="CC58E276" w:tentative="1">
      <w:start w:val="1"/>
      <w:numFmt w:val="bullet"/>
      <w:lvlText w:val="o"/>
      <w:lvlJc w:val="left"/>
      <w:pPr>
        <w:ind w:left="6120" w:hanging="360"/>
      </w:pPr>
      <w:rPr>
        <w:rFonts w:ascii="Courier New" w:hAnsi="Courier New" w:cs="Courier New" w:hint="default"/>
      </w:rPr>
    </w:lvl>
    <w:lvl w:ilvl="8" w:tplc="484628E8" w:tentative="1">
      <w:start w:val="1"/>
      <w:numFmt w:val="bullet"/>
      <w:lvlText w:val=""/>
      <w:lvlJc w:val="left"/>
      <w:pPr>
        <w:ind w:left="6840" w:hanging="360"/>
      </w:pPr>
      <w:rPr>
        <w:rFonts w:ascii="Wingdings" w:hAnsi="Wingdings" w:hint="default"/>
      </w:rPr>
    </w:lvl>
  </w:abstractNum>
  <w:abstractNum w:abstractNumId="8">
    <w:nsid w:val="13253185"/>
    <w:multiLevelType w:val="hybridMultilevel"/>
    <w:tmpl w:val="F0860698"/>
    <w:lvl w:ilvl="0" w:tplc="AFE4470E">
      <w:start w:val="1"/>
      <w:numFmt w:val="lowerRoman"/>
      <w:lvlText w:val="(%1)"/>
      <w:lvlJc w:val="left"/>
      <w:pPr>
        <w:ind w:left="1080" w:hanging="720"/>
      </w:pPr>
      <w:rPr>
        <w:rFonts w:hint="default"/>
      </w:rPr>
    </w:lvl>
    <w:lvl w:ilvl="1" w:tplc="60E6C1F8" w:tentative="1">
      <w:start w:val="1"/>
      <w:numFmt w:val="lowerLetter"/>
      <w:lvlText w:val="%2."/>
      <w:lvlJc w:val="left"/>
      <w:pPr>
        <w:ind w:left="1440" w:hanging="360"/>
      </w:pPr>
    </w:lvl>
    <w:lvl w:ilvl="2" w:tplc="E306E466" w:tentative="1">
      <w:start w:val="1"/>
      <w:numFmt w:val="lowerRoman"/>
      <w:lvlText w:val="%3."/>
      <w:lvlJc w:val="right"/>
      <w:pPr>
        <w:ind w:left="2160" w:hanging="180"/>
      </w:pPr>
    </w:lvl>
    <w:lvl w:ilvl="3" w:tplc="DC7ACB70" w:tentative="1">
      <w:start w:val="1"/>
      <w:numFmt w:val="decimal"/>
      <w:lvlText w:val="%4."/>
      <w:lvlJc w:val="left"/>
      <w:pPr>
        <w:ind w:left="2880" w:hanging="360"/>
      </w:pPr>
    </w:lvl>
    <w:lvl w:ilvl="4" w:tplc="FFD65B6C" w:tentative="1">
      <w:start w:val="1"/>
      <w:numFmt w:val="lowerLetter"/>
      <w:lvlText w:val="%5."/>
      <w:lvlJc w:val="left"/>
      <w:pPr>
        <w:ind w:left="3600" w:hanging="360"/>
      </w:pPr>
    </w:lvl>
    <w:lvl w:ilvl="5" w:tplc="AF168DD0" w:tentative="1">
      <w:start w:val="1"/>
      <w:numFmt w:val="lowerRoman"/>
      <w:lvlText w:val="%6."/>
      <w:lvlJc w:val="right"/>
      <w:pPr>
        <w:ind w:left="4320" w:hanging="180"/>
      </w:pPr>
    </w:lvl>
    <w:lvl w:ilvl="6" w:tplc="070491D8" w:tentative="1">
      <w:start w:val="1"/>
      <w:numFmt w:val="decimal"/>
      <w:lvlText w:val="%7."/>
      <w:lvlJc w:val="left"/>
      <w:pPr>
        <w:ind w:left="5040" w:hanging="360"/>
      </w:pPr>
    </w:lvl>
    <w:lvl w:ilvl="7" w:tplc="A4886FFE" w:tentative="1">
      <w:start w:val="1"/>
      <w:numFmt w:val="lowerLetter"/>
      <w:lvlText w:val="%8."/>
      <w:lvlJc w:val="left"/>
      <w:pPr>
        <w:ind w:left="5760" w:hanging="360"/>
      </w:pPr>
    </w:lvl>
    <w:lvl w:ilvl="8" w:tplc="03FAD83C" w:tentative="1">
      <w:start w:val="1"/>
      <w:numFmt w:val="lowerRoman"/>
      <w:lvlText w:val="%9."/>
      <w:lvlJc w:val="right"/>
      <w:pPr>
        <w:ind w:left="6480" w:hanging="180"/>
      </w:pPr>
    </w:lvl>
  </w:abstractNum>
  <w:abstractNum w:abstractNumId="9">
    <w:nsid w:val="1DE35398"/>
    <w:multiLevelType w:val="multilevel"/>
    <w:tmpl w:val="F38E499A"/>
    <w:lvl w:ilvl="0">
      <w:start w:val="1"/>
      <w:numFmt w:val="decimal"/>
      <w:lvlText w:val="%1"/>
      <w:lvlJc w:val="left"/>
      <w:pPr>
        <w:tabs>
          <w:tab w:val="num" w:pos="432"/>
        </w:tabs>
        <w:ind w:left="432" w:hanging="432"/>
      </w:pPr>
      <w:rPr>
        <w:rFonts w:cs="Times New Roman" w:hint="default"/>
      </w:rPr>
    </w:lvl>
    <w:lvl w:ilvl="1">
      <w:start w:val="54"/>
      <w:numFmt w:val="decimal"/>
      <w:lvlText w:val="3.%2"/>
      <w:lvlJc w:val="left"/>
      <w:pPr>
        <w:tabs>
          <w:tab w:val="num" w:pos="718"/>
        </w:tabs>
        <w:ind w:left="718" w:hanging="576"/>
      </w:pPr>
      <w:rPr>
        <w:rFonts w:cs="Times New Roman" w:hint="default"/>
        <w:i/>
      </w:rPr>
    </w:lvl>
    <w:lvl w:ilvl="2">
      <w:start w:val="3"/>
      <w:numFmt w:val="decimal"/>
      <w:lvlText w:val="%3.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21B31779"/>
    <w:multiLevelType w:val="hybridMultilevel"/>
    <w:tmpl w:val="437414BE"/>
    <w:lvl w:ilvl="0" w:tplc="7AAC9F02">
      <w:start w:val="1"/>
      <w:numFmt w:val="bullet"/>
      <w:lvlText w:val=""/>
      <w:lvlJc w:val="left"/>
      <w:pPr>
        <w:ind w:left="1440" w:hanging="360"/>
      </w:pPr>
      <w:rPr>
        <w:rFonts w:ascii="Symbol" w:hAnsi="Symbol" w:hint="default"/>
      </w:rPr>
    </w:lvl>
    <w:lvl w:ilvl="1" w:tplc="A6CEB25E" w:tentative="1">
      <w:start w:val="1"/>
      <w:numFmt w:val="bullet"/>
      <w:lvlText w:val="o"/>
      <w:lvlJc w:val="left"/>
      <w:pPr>
        <w:ind w:left="2160" w:hanging="360"/>
      </w:pPr>
      <w:rPr>
        <w:rFonts w:ascii="Courier New" w:hAnsi="Courier New" w:cs="Courier New" w:hint="default"/>
      </w:rPr>
    </w:lvl>
    <w:lvl w:ilvl="2" w:tplc="76728C10" w:tentative="1">
      <w:start w:val="1"/>
      <w:numFmt w:val="bullet"/>
      <w:lvlText w:val=""/>
      <w:lvlJc w:val="left"/>
      <w:pPr>
        <w:ind w:left="2880" w:hanging="360"/>
      </w:pPr>
      <w:rPr>
        <w:rFonts w:ascii="Wingdings" w:hAnsi="Wingdings" w:hint="default"/>
      </w:rPr>
    </w:lvl>
    <w:lvl w:ilvl="3" w:tplc="BE04154C" w:tentative="1">
      <w:start w:val="1"/>
      <w:numFmt w:val="bullet"/>
      <w:lvlText w:val=""/>
      <w:lvlJc w:val="left"/>
      <w:pPr>
        <w:ind w:left="3600" w:hanging="360"/>
      </w:pPr>
      <w:rPr>
        <w:rFonts w:ascii="Symbol" w:hAnsi="Symbol" w:hint="default"/>
      </w:rPr>
    </w:lvl>
    <w:lvl w:ilvl="4" w:tplc="836E88D2" w:tentative="1">
      <w:start w:val="1"/>
      <w:numFmt w:val="bullet"/>
      <w:lvlText w:val="o"/>
      <w:lvlJc w:val="left"/>
      <w:pPr>
        <w:ind w:left="4320" w:hanging="360"/>
      </w:pPr>
      <w:rPr>
        <w:rFonts w:ascii="Courier New" w:hAnsi="Courier New" w:cs="Courier New" w:hint="default"/>
      </w:rPr>
    </w:lvl>
    <w:lvl w:ilvl="5" w:tplc="88A0F3EA" w:tentative="1">
      <w:start w:val="1"/>
      <w:numFmt w:val="bullet"/>
      <w:lvlText w:val=""/>
      <w:lvlJc w:val="left"/>
      <w:pPr>
        <w:ind w:left="5040" w:hanging="360"/>
      </w:pPr>
      <w:rPr>
        <w:rFonts w:ascii="Wingdings" w:hAnsi="Wingdings" w:hint="default"/>
      </w:rPr>
    </w:lvl>
    <w:lvl w:ilvl="6" w:tplc="0E5C249E" w:tentative="1">
      <w:start w:val="1"/>
      <w:numFmt w:val="bullet"/>
      <w:lvlText w:val=""/>
      <w:lvlJc w:val="left"/>
      <w:pPr>
        <w:ind w:left="5760" w:hanging="360"/>
      </w:pPr>
      <w:rPr>
        <w:rFonts w:ascii="Symbol" w:hAnsi="Symbol" w:hint="default"/>
      </w:rPr>
    </w:lvl>
    <w:lvl w:ilvl="7" w:tplc="2DE867CA" w:tentative="1">
      <w:start w:val="1"/>
      <w:numFmt w:val="bullet"/>
      <w:lvlText w:val="o"/>
      <w:lvlJc w:val="left"/>
      <w:pPr>
        <w:ind w:left="6480" w:hanging="360"/>
      </w:pPr>
      <w:rPr>
        <w:rFonts w:ascii="Courier New" w:hAnsi="Courier New" w:cs="Courier New" w:hint="default"/>
      </w:rPr>
    </w:lvl>
    <w:lvl w:ilvl="8" w:tplc="08CE399E" w:tentative="1">
      <w:start w:val="1"/>
      <w:numFmt w:val="bullet"/>
      <w:lvlText w:val=""/>
      <w:lvlJc w:val="left"/>
      <w:pPr>
        <w:ind w:left="7200" w:hanging="360"/>
      </w:pPr>
      <w:rPr>
        <w:rFonts w:ascii="Wingdings" w:hAnsi="Wingdings" w:hint="default"/>
      </w:rPr>
    </w:lvl>
  </w:abstractNum>
  <w:abstractNum w:abstractNumId="11">
    <w:nsid w:val="290A2CA7"/>
    <w:multiLevelType w:val="multilevel"/>
    <w:tmpl w:val="7B70DB8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i/>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2DA71509"/>
    <w:multiLevelType w:val="hybridMultilevel"/>
    <w:tmpl w:val="6CAEE30A"/>
    <w:lvl w:ilvl="0" w:tplc="FE3A9A3A">
      <w:start w:val="1"/>
      <w:numFmt w:val="lowerLetter"/>
      <w:lvlText w:val="%1."/>
      <w:lvlJc w:val="left"/>
      <w:pPr>
        <w:ind w:left="720" w:hanging="360"/>
      </w:pPr>
      <w:rPr>
        <w:rFonts w:cs="Times New Roman"/>
      </w:rPr>
    </w:lvl>
    <w:lvl w:ilvl="1" w:tplc="37007110" w:tentative="1">
      <w:start w:val="1"/>
      <w:numFmt w:val="lowerLetter"/>
      <w:lvlText w:val="%2."/>
      <w:lvlJc w:val="left"/>
      <w:pPr>
        <w:ind w:left="1440" w:hanging="360"/>
      </w:pPr>
    </w:lvl>
    <w:lvl w:ilvl="2" w:tplc="F356ED7E" w:tentative="1">
      <w:start w:val="1"/>
      <w:numFmt w:val="lowerRoman"/>
      <w:lvlText w:val="%3."/>
      <w:lvlJc w:val="right"/>
      <w:pPr>
        <w:ind w:left="2160" w:hanging="180"/>
      </w:pPr>
    </w:lvl>
    <w:lvl w:ilvl="3" w:tplc="98EAD2BA" w:tentative="1">
      <w:start w:val="1"/>
      <w:numFmt w:val="decimal"/>
      <w:lvlText w:val="%4."/>
      <w:lvlJc w:val="left"/>
      <w:pPr>
        <w:ind w:left="2880" w:hanging="360"/>
      </w:pPr>
    </w:lvl>
    <w:lvl w:ilvl="4" w:tplc="B81470CE" w:tentative="1">
      <w:start w:val="1"/>
      <w:numFmt w:val="lowerLetter"/>
      <w:lvlText w:val="%5."/>
      <w:lvlJc w:val="left"/>
      <w:pPr>
        <w:ind w:left="3600" w:hanging="360"/>
      </w:pPr>
    </w:lvl>
    <w:lvl w:ilvl="5" w:tplc="F5DE055A" w:tentative="1">
      <w:start w:val="1"/>
      <w:numFmt w:val="lowerRoman"/>
      <w:lvlText w:val="%6."/>
      <w:lvlJc w:val="right"/>
      <w:pPr>
        <w:ind w:left="4320" w:hanging="180"/>
      </w:pPr>
    </w:lvl>
    <w:lvl w:ilvl="6" w:tplc="CF42BD14" w:tentative="1">
      <w:start w:val="1"/>
      <w:numFmt w:val="decimal"/>
      <w:lvlText w:val="%7."/>
      <w:lvlJc w:val="left"/>
      <w:pPr>
        <w:ind w:left="5040" w:hanging="360"/>
      </w:pPr>
    </w:lvl>
    <w:lvl w:ilvl="7" w:tplc="6122B320" w:tentative="1">
      <w:start w:val="1"/>
      <w:numFmt w:val="lowerLetter"/>
      <w:lvlText w:val="%8."/>
      <w:lvlJc w:val="left"/>
      <w:pPr>
        <w:ind w:left="5760" w:hanging="360"/>
      </w:pPr>
    </w:lvl>
    <w:lvl w:ilvl="8" w:tplc="730885B6" w:tentative="1">
      <w:start w:val="1"/>
      <w:numFmt w:val="lowerRoman"/>
      <w:lvlText w:val="%9."/>
      <w:lvlJc w:val="right"/>
      <w:pPr>
        <w:ind w:left="6480" w:hanging="180"/>
      </w:pPr>
    </w:lvl>
  </w:abstractNum>
  <w:abstractNum w:abstractNumId="13">
    <w:nsid w:val="2DD45565"/>
    <w:multiLevelType w:val="multilevel"/>
    <w:tmpl w:val="52E8289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i/>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2E273C27"/>
    <w:multiLevelType w:val="multilevel"/>
    <w:tmpl w:val="7B70DB8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i/>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5">
    <w:nsid w:val="329B3085"/>
    <w:multiLevelType w:val="hybridMultilevel"/>
    <w:tmpl w:val="8F320DBE"/>
    <w:lvl w:ilvl="0" w:tplc="A4BC5AE8">
      <w:start w:val="1"/>
      <w:numFmt w:val="lowerRoman"/>
      <w:lvlText w:val="(%1)"/>
      <w:lvlJc w:val="left"/>
      <w:pPr>
        <w:ind w:left="1080" w:hanging="720"/>
      </w:pPr>
      <w:rPr>
        <w:rFonts w:hint="default"/>
      </w:rPr>
    </w:lvl>
    <w:lvl w:ilvl="1" w:tplc="EA1027A8" w:tentative="1">
      <w:start w:val="1"/>
      <w:numFmt w:val="lowerLetter"/>
      <w:lvlText w:val="%2."/>
      <w:lvlJc w:val="left"/>
      <w:pPr>
        <w:ind w:left="1440" w:hanging="360"/>
      </w:pPr>
    </w:lvl>
    <w:lvl w:ilvl="2" w:tplc="D3A61F4A" w:tentative="1">
      <w:start w:val="1"/>
      <w:numFmt w:val="lowerRoman"/>
      <w:lvlText w:val="%3."/>
      <w:lvlJc w:val="right"/>
      <w:pPr>
        <w:ind w:left="2160" w:hanging="180"/>
      </w:pPr>
    </w:lvl>
    <w:lvl w:ilvl="3" w:tplc="A3825F7C" w:tentative="1">
      <w:start w:val="1"/>
      <w:numFmt w:val="decimal"/>
      <w:lvlText w:val="%4."/>
      <w:lvlJc w:val="left"/>
      <w:pPr>
        <w:ind w:left="2880" w:hanging="360"/>
      </w:pPr>
    </w:lvl>
    <w:lvl w:ilvl="4" w:tplc="A7E8E5AC" w:tentative="1">
      <w:start w:val="1"/>
      <w:numFmt w:val="lowerLetter"/>
      <w:lvlText w:val="%5."/>
      <w:lvlJc w:val="left"/>
      <w:pPr>
        <w:ind w:left="3600" w:hanging="360"/>
      </w:pPr>
    </w:lvl>
    <w:lvl w:ilvl="5" w:tplc="9D507664" w:tentative="1">
      <w:start w:val="1"/>
      <w:numFmt w:val="lowerRoman"/>
      <w:lvlText w:val="%6."/>
      <w:lvlJc w:val="right"/>
      <w:pPr>
        <w:ind w:left="4320" w:hanging="180"/>
      </w:pPr>
    </w:lvl>
    <w:lvl w:ilvl="6" w:tplc="51325F9E" w:tentative="1">
      <w:start w:val="1"/>
      <w:numFmt w:val="decimal"/>
      <w:lvlText w:val="%7."/>
      <w:lvlJc w:val="left"/>
      <w:pPr>
        <w:ind w:left="5040" w:hanging="360"/>
      </w:pPr>
    </w:lvl>
    <w:lvl w:ilvl="7" w:tplc="A67A2CB2" w:tentative="1">
      <w:start w:val="1"/>
      <w:numFmt w:val="lowerLetter"/>
      <w:lvlText w:val="%8."/>
      <w:lvlJc w:val="left"/>
      <w:pPr>
        <w:ind w:left="5760" w:hanging="360"/>
      </w:pPr>
    </w:lvl>
    <w:lvl w:ilvl="8" w:tplc="36B675D4" w:tentative="1">
      <w:start w:val="1"/>
      <w:numFmt w:val="lowerRoman"/>
      <w:lvlText w:val="%9."/>
      <w:lvlJc w:val="right"/>
      <w:pPr>
        <w:ind w:left="6480" w:hanging="180"/>
      </w:pPr>
    </w:lvl>
  </w:abstractNum>
  <w:abstractNum w:abstractNumId="16">
    <w:nsid w:val="333F3843"/>
    <w:multiLevelType w:val="multilevel"/>
    <w:tmpl w:val="B0D21D1C"/>
    <w:lvl w:ilvl="0">
      <w:start w:val="1"/>
      <w:numFmt w:val="decimal"/>
      <w:lvlText w:val="%1"/>
      <w:lvlJc w:val="left"/>
      <w:pPr>
        <w:tabs>
          <w:tab w:val="num" w:pos="432"/>
        </w:tabs>
        <w:ind w:left="432" w:hanging="432"/>
      </w:pPr>
      <w:rPr>
        <w:rFonts w:cs="Times New Roman" w:hint="default"/>
      </w:rPr>
    </w:lvl>
    <w:lvl w:ilvl="1">
      <w:start w:val="1"/>
      <w:numFmt w:val="none"/>
      <w:lvlText w:val="%23.2"/>
      <w:lvlJc w:val="left"/>
      <w:pPr>
        <w:tabs>
          <w:tab w:val="num" w:pos="718"/>
        </w:tabs>
        <w:ind w:left="718" w:hanging="576"/>
      </w:pPr>
      <w:rPr>
        <w:rFonts w:cs="Times New Roman" w:hint="default"/>
        <w:i/>
      </w:rPr>
    </w:lvl>
    <w:lvl w:ilvl="2">
      <w:start w:val="1"/>
      <w:numFmt w:val="none"/>
      <w:lvlText w:val="3.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nsid w:val="360A5AE8"/>
    <w:multiLevelType w:val="multilevel"/>
    <w:tmpl w:val="2E861BF4"/>
    <w:lvl w:ilvl="0">
      <w:start w:val="1"/>
      <w:numFmt w:val="decimal"/>
      <w:lvlText w:val="%1"/>
      <w:lvlJc w:val="left"/>
      <w:pPr>
        <w:tabs>
          <w:tab w:val="num" w:pos="432"/>
        </w:tabs>
        <w:ind w:left="432" w:hanging="432"/>
      </w:pPr>
      <w:rPr>
        <w:rFonts w:cs="Times New Roman" w:hint="default"/>
      </w:rPr>
    </w:lvl>
    <w:lvl w:ilvl="1">
      <w:start w:val="1"/>
      <w:numFmt w:val="decimal"/>
      <w:lvlText w:val="5.%2"/>
      <w:lvlJc w:val="left"/>
      <w:pPr>
        <w:tabs>
          <w:tab w:val="num" w:pos="718"/>
        </w:tabs>
        <w:ind w:left="718" w:hanging="576"/>
      </w:pPr>
      <w:rPr>
        <w:rFonts w:cs="Times New Roman" w:hint="default"/>
        <w:i/>
      </w:rPr>
    </w:lvl>
    <w:lvl w:ilvl="2">
      <w:start w:val="3"/>
      <w:numFmt w:val="decimal"/>
      <w:lvlText w:val="%3.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3917608A"/>
    <w:multiLevelType w:val="multilevel"/>
    <w:tmpl w:val="DB5271C6"/>
    <w:lvl w:ilvl="0">
      <w:start w:val="4"/>
      <w:numFmt w:val="decimal"/>
      <w:lvlText w:val="%1"/>
      <w:lvlJc w:val="left"/>
      <w:pPr>
        <w:tabs>
          <w:tab w:val="num" w:pos="432"/>
        </w:tabs>
        <w:ind w:left="432" w:hanging="432"/>
      </w:pPr>
      <w:rPr>
        <w:rFonts w:cs="Times New Roman" w:hint="default"/>
      </w:rPr>
    </w:lvl>
    <w:lvl w:ilvl="1">
      <w:start w:val="1"/>
      <w:numFmt w:val="none"/>
      <w:lvlText w:val="%23.3"/>
      <w:lvlJc w:val="left"/>
      <w:pPr>
        <w:tabs>
          <w:tab w:val="num" w:pos="718"/>
        </w:tabs>
        <w:ind w:left="718" w:hanging="576"/>
      </w:pPr>
      <w:rPr>
        <w:rFonts w:cs="Times New Roman" w:hint="default"/>
        <w:i/>
      </w:rPr>
    </w:lvl>
    <w:lvl w:ilvl="2">
      <w:start w:val="1"/>
      <w:numFmt w:val="none"/>
      <w:lvlText w:val="3.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39EA1218"/>
    <w:multiLevelType w:val="hybridMultilevel"/>
    <w:tmpl w:val="908A618C"/>
    <w:lvl w:ilvl="0" w:tplc="4FF01CD4">
      <w:start w:val="1"/>
      <w:numFmt w:val="lowerLetter"/>
      <w:lvlText w:val="(%1)"/>
      <w:lvlJc w:val="left"/>
      <w:pPr>
        <w:ind w:left="1146" w:hanging="360"/>
      </w:pPr>
      <w:rPr>
        <w:rFonts w:hint="default"/>
      </w:rPr>
    </w:lvl>
    <w:lvl w:ilvl="1" w:tplc="4934B974" w:tentative="1">
      <w:start w:val="1"/>
      <w:numFmt w:val="lowerLetter"/>
      <w:lvlText w:val="%2."/>
      <w:lvlJc w:val="left"/>
      <w:pPr>
        <w:ind w:left="1866" w:hanging="360"/>
      </w:pPr>
    </w:lvl>
    <w:lvl w:ilvl="2" w:tplc="1060A51E" w:tentative="1">
      <w:start w:val="1"/>
      <w:numFmt w:val="lowerRoman"/>
      <w:lvlText w:val="%3."/>
      <w:lvlJc w:val="right"/>
      <w:pPr>
        <w:ind w:left="2586" w:hanging="180"/>
      </w:pPr>
    </w:lvl>
    <w:lvl w:ilvl="3" w:tplc="F05E0A66" w:tentative="1">
      <w:start w:val="1"/>
      <w:numFmt w:val="decimal"/>
      <w:lvlText w:val="%4."/>
      <w:lvlJc w:val="left"/>
      <w:pPr>
        <w:ind w:left="3306" w:hanging="360"/>
      </w:pPr>
    </w:lvl>
    <w:lvl w:ilvl="4" w:tplc="410CDBBA" w:tentative="1">
      <w:start w:val="1"/>
      <w:numFmt w:val="lowerLetter"/>
      <w:lvlText w:val="%5."/>
      <w:lvlJc w:val="left"/>
      <w:pPr>
        <w:ind w:left="4026" w:hanging="360"/>
      </w:pPr>
    </w:lvl>
    <w:lvl w:ilvl="5" w:tplc="042089E0" w:tentative="1">
      <w:start w:val="1"/>
      <w:numFmt w:val="lowerRoman"/>
      <w:lvlText w:val="%6."/>
      <w:lvlJc w:val="right"/>
      <w:pPr>
        <w:ind w:left="4746" w:hanging="180"/>
      </w:pPr>
    </w:lvl>
    <w:lvl w:ilvl="6" w:tplc="E87675FA" w:tentative="1">
      <w:start w:val="1"/>
      <w:numFmt w:val="decimal"/>
      <w:lvlText w:val="%7."/>
      <w:lvlJc w:val="left"/>
      <w:pPr>
        <w:ind w:left="5466" w:hanging="360"/>
      </w:pPr>
    </w:lvl>
    <w:lvl w:ilvl="7" w:tplc="5960545C" w:tentative="1">
      <w:start w:val="1"/>
      <w:numFmt w:val="lowerLetter"/>
      <w:lvlText w:val="%8."/>
      <w:lvlJc w:val="left"/>
      <w:pPr>
        <w:ind w:left="6186" w:hanging="360"/>
      </w:pPr>
    </w:lvl>
    <w:lvl w:ilvl="8" w:tplc="E910C9D8" w:tentative="1">
      <w:start w:val="1"/>
      <w:numFmt w:val="lowerRoman"/>
      <w:lvlText w:val="%9."/>
      <w:lvlJc w:val="right"/>
      <w:pPr>
        <w:ind w:left="6906" w:hanging="180"/>
      </w:pPr>
    </w:lvl>
  </w:abstractNum>
  <w:abstractNum w:abstractNumId="20">
    <w:nsid w:val="3BF91012"/>
    <w:multiLevelType w:val="hybridMultilevel"/>
    <w:tmpl w:val="5150BE3E"/>
    <w:lvl w:ilvl="0" w:tplc="A010330E">
      <w:start w:val="1"/>
      <w:numFmt w:val="bullet"/>
      <w:lvlText w:val=""/>
      <w:lvlJc w:val="left"/>
      <w:pPr>
        <w:ind w:left="720" w:hanging="360"/>
      </w:pPr>
      <w:rPr>
        <w:rFonts w:ascii="Symbol" w:hAnsi="Symbol" w:hint="default"/>
      </w:rPr>
    </w:lvl>
    <w:lvl w:ilvl="1" w:tplc="1C426B20" w:tentative="1">
      <w:start w:val="1"/>
      <w:numFmt w:val="bullet"/>
      <w:lvlText w:val="o"/>
      <w:lvlJc w:val="left"/>
      <w:pPr>
        <w:ind w:left="1440" w:hanging="360"/>
      </w:pPr>
      <w:rPr>
        <w:rFonts w:ascii="Courier New" w:hAnsi="Courier New" w:cs="Courier New" w:hint="default"/>
      </w:rPr>
    </w:lvl>
    <w:lvl w:ilvl="2" w:tplc="46904DAE" w:tentative="1">
      <w:start w:val="1"/>
      <w:numFmt w:val="bullet"/>
      <w:lvlText w:val=""/>
      <w:lvlJc w:val="left"/>
      <w:pPr>
        <w:ind w:left="2160" w:hanging="360"/>
      </w:pPr>
      <w:rPr>
        <w:rFonts w:ascii="Wingdings" w:hAnsi="Wingdings" w:hint="default"/>
      </w:rPr>
    </w:lvl>
    <w:lvl w:ilvl="3" w:tplc="6B6456D0" w:tentative="1">
      <w:start w:val="1"/>
      <w:numFmt w:val="bullet"/>
      <w:lvlText w:val=""/>
      <w:lvlJc w:val="left"/>
      <w:pPr>
        <w:ind w:left="2880" w:hanging="360"/>
      </w:pPr>
      <w:rPr>
        <w:rFonts w:ascii="Symbol" w:hAnsi="Symbol" w:hint="default"/>
      </w:rPr>
    </w:lvl>
    <w:lvl w:ilvl="4" w:tplc="00FC4526" w:tentative="1">
      <w:start w:val="1"/>
      <w:numFmt w:val="bullet"/>
      <w:lvlText w:val="o"/>
      <w:lvlJc w:val="left"/>
      <w:pPr>
        <w:ind w:left="3600" w:hanging="360"/>
      </w:pPr>
      <w:rPr>
        <w:rFonts w:ascii="Courier New" w:hAnsi="Courier New" w:cs="Courier New" w:hint="default"/>
      </w:rPr>
    </w:lvl>
    <w:lvl w:ilvl="5" w:tplc="1AB8714A" w:tentative="1">
      <w:start w:val="1"/>
      <w:numFmt w:val="bullet"/>
      <w:lvlText w:val=""/>
      <w:lvlJc w:val="left"/>
      <w:pPr>
        <w:ind w:left="4320" w:hanging="360"/>
      </w:pPr>
      <w:rPr>
        <w:rFonts w:ascii="Wingdings" w:hAnsi="Wingdings" w:hint="default"/>
      </w:rPr>
    </w:lvl>
    <w:lvl w:ilvl="6" w:tplc="BFD27036" w:tentative="1">
      <w:start w:val="1"/>
      <w:numFmt w:val="bullet"/>
      <w:lvlText w:val=""/>
      <w:lvlJc w:val="left"/>
      <w:pPr>
        <w:ind w:left="5040" w:hanging="360"/>
      </w:pPr>
      <w:rPr>
        <w:rFonts w:ascii="Symbol" w:hAnsi="Symbol" w:hint="default"/>
      </w:rPr>
    </w:lvl>
    <w:lvl w:ilvl="7" w:tplc="4618993A" w:tentative="1">
      <w:start w:val="1"/>
      <w:numFmt w:val="bullet"/>
      <w:lvlText w:val="o"/>
      <w:lvlJc w:val="left"/>
      <w:pPr>
        <w:ind w:left="5760" w:hanging="360"/>
      </w:pPr>
      <w:rPr>
        <w:rFonts w:ascii="Courier New" w:hAnsi="Courier New" w:cs="Courier New" w:hint="default"/>
      </w:rPr>
    </w:lvl>
    <w:lvl w:ilvl="8" w:tplc="AF12B6BA" w:tentative="1">
      <w:start w:val="1"/>
      <w:numFmt w:val="bullet"/>
      <w:lvlText w:val=""/>
      <w:lvlJc w:val="left"/>
      <w:pPr>
        <w:ind w:left="6480" w:hanging="360"/>
      </w:pPr>
      <w:rPr>
        <w:rFonts w:ascii="Wingdings" w:hAnsi="Wingdings" w:hint="default"/>
      </w:rPr>
    </w:lvl>
  </w:abstractNum>
  <w:abstractNum w:abstractNumId="21">
    <w:nsid w:val="3C7F169A"/>
    <w:multiLevelType w:val="hybridMultilevel"/>
    <w:tmpl w:val="A2123B5C"/>
    <w:lvl w:ilvl="0" w:tplc="EB2ECCF8">
      <w:start w:val="1"/>
      <w:numFmt w:val="bullet"/>
      <w:lvlText w:val=""/>
      <w:lvlJc w:val="left"/>
      <w:pPr>
        <w:ind w:left="360" w:hanging="360"/>
      </w:pPr>
      <w:rPr>
        <w:rFonts w:ascii="Symbol" w:hAnsi="Symbol" w:hint="default"/>
      </w:rPr>
    </w:lvl>
    <w:lvl w:ilvl="1" w:tplc="FA7895BA" w:tentative="1">
      <w:start w:val="1"/>
      <w:numFmt w:val="bullet"/>
      <w:lvlText w:val="o"/>
      <w:lvlJc w:val="left"/>
      <w:pPr>
        <w:ind w:left="1080" w:hanging="360"/>
      </w:pPr>
      <w:rPr>
        <w:rFonts w:ascii="Courier New" w:hAnsi="Courier New" w:cs="Courier New" w:hint="default"/>
      </w:rPr>
    </w:lvl>
    <w:lvl w:ilvl="2" w:tplc="AEC4037E" w:tentative="1">
      <w:start w:val="1"/>
      <w:numFmt w:val="bullet"/>
      <w:lvlText w:val=""/>
      <w:lvlJc w:val="left"/>
      <w:pPr>
        <w:ind w:left="1800" w:hanging="360"/>
      </w:pPr>
      <w:rPr>
        <w:rFonts w:ascii="Wingdings" w:hAnsi="Wingdings" w:hint="default"/>
      </w:rPr>
    </w:lvl>
    <w:lvl w:ilvl="3" w:tplc="49A263F6" w:tentative="1">
      <w:start w:val="1"/>
      <w:numFmt w:val="bullet"/>
      <w:lvlText w:val=""/>
      <w:lvlJc w:val="left"/>
      <w:pPr>
        <w:ind w:left="2520" w:hanging="360"/>
      </w:pPr>
      <w:rPr>
        <w:rFonts w:ascii="Symbol" w:hAnsi="Symbol" w:hint="default"/>
      </w:rPr>
    </w:lvl>
    <w:lvl w:ilvl="4" w:tplc="3A5AE2A8" w:tentative="1">
      <w:start w:val="1"/>
      <w:numFmt w:val="bullet"/>
      <w:lvlText w:val="o"/>
      <w:lvlJc w:val="left"/>
      <w:pPr>
        <w:ind w:left="3240" w:hanging="360"/>
      </w:pPr>
      <w:rPr>
        <w:rFonts w:ascii="Courier New" w:hAnsi="Courier New" w:cs="Courier New" w:hint="default"/>
      </w:rPr>
    </w:lvl>
    <w:lvl w:ilvl="5" w:tplc="EBA83E98" w:tentative="1">
      <w:start w:val="1"/>
      <w:numFmt w:val="bullet"/>
      <w:lvlText w:val=""/>
      <w:lvlJc w:val="left"/>
      <w:pPr>
        <w:ind w:left="3960" w:hanging="360"/>
      </w:pPr>
      <w:rPr>
        <w:rFonts w:ascii="Wingdings" w:hAnsi="Wingdings" w:hint="default"/>
      </w:rPr>
    </w:lvl>
    <w:lvl w:ilvl="6" w:tplc="D2824812" w:tentative="1">
      <w:start w:val="1"/>
      <w:numFmt w:val="bullet"/>
      <w:lvlText w:val=""/>
      <w:lvlJc w:val="left"/>
      <w:pPr>
        <w:ind w:left="4680" w:hanging="360"/>
      </w:pPr>
      <w:rPr>
        <w:rFonts w:ascii="Symbol" w:hAnsi="Symbol" w:hint="default"/>
      </w:rPr>
    </w:lvl>
    <w:lvl w:ilvl="7" w:tplc="462EDBC4" w:tentative="1">
      <w:start w:val="1"/>
      <w:numFmt w:val="bullet"/>
      <w:lvlText w:val="o"/>
      <w:lvlJc w:val="left"/>
      <w:pPr>
        <w:ind w:left="5400" w:hanging="360"/>
      </w:pPr>
      <w:rPr>
        <w:rFonts w:ascii="Courier New" w:hAnsi="Courier New" w:cs="Courier New" w:hint="default"/>
      </w:rPr>
    </w:lvl>
    <w:lvl w:ilvl="8" w:tplc="AA9EE68E" w:tentative="1">
      <w:start w:val="1"/>
      <w:numFmt w:val="bullet"/>
      <w:lvlText w:val=""/>
      <w:lvlJc w:val="left"/>
      <w:pPr>
        <w:ind w:left="6120" w:hanging="360"/>
      </w:pPr>
      <w:rPr>
        <w:rFonts w:ascii="Wingdings" w:hAnsi="Wingdings" w:hint="default"/>
      </w:rPr>
    </w:lvl>
  </w:abstractNum>
  <w:abstractNum w:abstractNumId="22">
    <w:nsid w:val="3DB21299"/>
    <w:multiLevelType w:val="multilevel"/>
    <w:tmpl w:val="8D126CE0"/>
    <w:lvl w:ilvl="0">
      <w:start w:val="1"/>
      <w:numFmt w:val="upperRoman"/>
      <w:lvlText w:val="%1."/>
      <w:lvlJc w:val="center"/>
      <w:pPr>
        <w:tabs>
          <w:tab w:val="num" w:pos="648"/>
        </w:tabs>
        <w:ind w:left="144" w:firstLine="144"/>
      </w:pPr>
      <w:rPr>
        <w:rFonts w:cs="Times New Roman" w:hint="default"/>
        <w:b/>
        <w:i w:val="0"/>
        <w:sz w:val="24"/>
      </w:rPr>
    </w:lvl>
    <w:lvl w:ilvl="1">
      <w:start w:val="1"/>
      <w:numFmt w:val="decimal"/>
      <w:pStyle w:val="SecHeading"/>
      <w:lvlText w:val="2.%2"/>
      <w:lvlJc w:val="left"/>
      <w:pPr>
        <w:tabs>
          <w:tab w:val="num" w:pos="1440"/>
        </w:tabs>
        <w:ind w:left="810" w:hanging="90"/>
      </w:pPr>
      <w:rPr>
        <w:rFonts w:cs="Times New Roman" w:hint="default"/>
        <w:b w:val="0"/>
        <w:bCs w:val="0"/>
        <w:i w:val="0"/>
        <w:iCs w:val="0"/>
        <w:caps w:val="0"/>
        <w:smallCaps w:val="0"/>
        <w:strike w:val="0"/>
        <w:dstrike w:val="0"/>
        <w:vanish w:val="0"/>
        <w:spacing w:val="0"/>
        <w:kern w:val="0"/>
        <w:position w:val="0"/>
        <w:sz w:val="24"/>
        <w:u w:val="none"/>
        <w:vertAlign w:val="baseline"/>
      </w:rPr>
    </w:lvl>
    <w:lvl w:ilvl="2">
      <w:start w:val="1"/>
      <w:numFmt w:val="decimal"/>
      <w:lvlText w:val="%3."/>
      <w:lvlJc w:val="left"/>
      <w:pPr>
        <w:tabs>
          <w:tab w:val="num" w:pos="2880"/>
        </w:tabs>
        <w:ind w:left="1152" w:firstLine="288"/>
      </w:pPr>
      <w:rPr>
        <w:rFonts w:cs="Times New Roman" w:hint="default"/>
      </w:rPr>
    </w:lvl>
    <w:lvl w:ilvl="3">
      <w:start w:val="1"/>
      <w:numFmt w:val="decimal"/>
      <w:lvlRestart w:val="0"/>
      <w:lvlText w:val="1.%4."/>
      <w:lvlJc w:val="right"/>
      <w:pPr>
        <w:tabs>
          <w:tab w:val="num" w:pos="0"/>
        </w:tabs>
        <w:ind w:left="1440" w:hanging="1440"/>
      </w:pPr>
      <w:rPr>
        <w:rFonts w:cs="Times New Roman" w:hint="default"/>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23">
    <w:nsid w:val="4ADA5B92"/>
    <w:multiLevelType w:val="multilevel"/>
    <w:tmpl w:val="F0E2BAAE"/>
    <w:lvl w:ilvl="0">
      <w:start w:val="1"/>
      <w:numFmt w:val="decimal"/>
      <w:pStyle w:val="SPLAP1"/>
      <w:lvlText w:val="%1."/>
      <w:lvlJc w:val="left"/>
      <w:pPr>
        <w:tabs>
          <w:tab w:val="num" w:pos="360"/>
        </w:tabs>
        <w:ind w:left="360" w:hanging="360"/>
      </w:pPr>
      <w:rPr>
        <w:rFonts w:ascii="Arial" w:hAnsi="Arial" w:cs="Times New Roman" w:hint="default"/>
        <w:b/>
      </w:rPr>
    </w:lvl>
    <w:lvl w:ilvl="1">
      <w:start w:val="1"/>
      <w:numFmt w:val="decimal"/>
      <w:pStyle w:val="SPLAP2"/>
      <w:lvlText w:val="%1.%2."/>
      <w:lvlJc w:val="left"/>
      <w:pPr>
        <w:tabs>
          <w:tab w:val="num" w:pos="720"/>
        </w:tabs>
        <w:ind w:left="432" w:hanging="432"/>
      </w:pPr>
      <w:rPr>
        <w:rFonts w:cs="Times New Roman" w:hint="default"/>
      </w:rPr>
    </w:lvl>
    <w:lvl w:ilvl="2">
      <w:start w:val="1"/>
      <w:numFmt w:val="decimal"/>
      <w:pStyle w:val="SPLAP3"/>
      <w:lvlText w:val="%1.%2.%3."/>
      <w:lvlJc w:val="left"/>
      <w:pPr>
        <w:tabs>
          <w:tab w:val="num" w:pos="2139"/>
        </w:tabs>
        <w:ind w:left="1923"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4">
    <w:nsid w:val="4EBB2351"/>
    <w:multiLevelType w:val="hybridMultilevel"/>
    <w:tmpl w:val="D0CCBB48"/>
    <w:lvl w:ilvl="0" w:tplc="EE442A0C">
      <w:start w:val="1"/>
      <w:numFmt w:val="decimal"/>
      <w:lvlText w:val="%1."/>
      <w:lvlJc w:val="left"/>
      <w:pPr>
        <w:ind w:left="720" w:hanging="360"/>
      </w:pPr>
      <w:rPr>
        <w:rFonts w:hint="default"/>
      </w:rPr>
    </w:lvl>
    <w:lvl w:ilvl="1" w:tplc="63C871EC" w:tentative="1">
      <w:start w:val="1"/>
      <w:numFmt w:val="lowerLetter"/>
      <w:lvlText w:val="%2."/>
      <w:lvlJc w:val="left"/>
      <w:pPr>
        <w:ind w:left="1440" w:hanging="360"/>
      </w:pPr>
    </w:lvl>
    <w:lvl w:ilvl="2" w:tplc="E4AAF5AC" w:tentative="1">
      <w:start w:val="1"/>
      <w:numFmt w:val="lowerRoman"/>
      <w:lvlText w:val="%3."/>
      <w:lvlJc w:val="right"/>
      <w:pPr>
        <w:ind w:left="2160" w:hanging="180"/>
      </w:pPr>
    </w:lvl>
    <w:lvl w:ilvl="3" w:tplc="5A806AD4" w:tentative="1">
      <w:start w:val="1"/>
      <w:numFmt w:val="decimal"/>
      <w:lvlText w:val="%4."/>
      <w:lvlJc w:val="left"/>
      <w:pPr>
        <w:ind w:left="2880" w:hanging="360"/>
      </w:pPr>
    </w:lvl>
    <w:lvl w:ilvl="4" w:tplc="A01AA4AA" w:tentative="1">
      <w:start w:val="1"/>
      <w:numFmt w:val="lowerLetter"/>
      <w:lvlText w:val="%5."/>
      <w:lvlJc w:val="left"/>
      <w:pPr>
        <w:ind w:left="3600" w:hanging="360"/>
      </w:pPr>
    </w:lvl>
    <w:lvl w:ilvl="5" w:tplc="ACA83E22" w:tentative="1">
      <w:start w:val="1"/>
      <w:numFmt w:val="lowerRoman"/>
      <w:lvlText w:val="%6."/>
      <w:lvlJc w:val="right"/>
      <w:pPr>
        <w:ind w:left="4320" w:hanging="180"/>
      </w:pPr>
    </w:lvl>
    <w:lvl w:ilvl="6" w:tplc="15A0214C" w:tentative="1">
      <w:start w:val="1"/>
      <w:numFmt w:val="decimal"/>
      <w:lvlText w:val="%7."/>
      <w:lvlJc w:val="left"/>
      <w:pPr>
        <w:ind w:left="5040" w:hanging="360"/>
      </w:pPr>
    </w:lvl>
    <w:lvl w:ilvl="7" w:tplc="A4CCC176" w:tentative="1">
      <w:start w:val="1"/>
      <w:numFmt w:val="lowerLetter"/>
      <w:lvlText w:val="%8."/>
      <w:lvlJc w:val="left"/>
      <w:pPr>
        <w:ind w:left="5760" w:hanging="360"/>
      </w:pPr>
    </w:lvl>
    <w:lvl w:ilvl="8" w:tplc="877E7FB0" w:tentative="1">
      <w:start w:val="1"/>
      <w:numFmt w:val="lowerRoman"/>
      <w:lvlText w:val="%9."/>
      <w:lvlJc w:val="right"/>
      <w:pPr>
        <w:ind w:left="6480" w:hanging="180"/>
      </w:pPr>
    </w:lvl>
  </w:abstractNum>
  <w:abstractNum w:abstractNumId="25">
    <w:nsid w:val="523B5754"/>
    <w:multiLevelType w:val="hybridMultilevel"/>
    <w:tmpl w:val="FF700CEE"/>
    <w:lvl w:ilvl="0" w:tplc="E47E6E9C">
      <w:start w:val="1"/>
      <w:numFmt w:val="lowerLetter"/>
      <w:lvlText w:val="%1."/>
      <w:lvlJc w:val="left"/>
      <w:pPr>
        <w:ind w:left="1429" w:hanging="360"/>
      </w:pPr>
    </w:lvl>
    <w:lvl w:ilvl="1" w:tplc="D3C845C4">
      <w:start w:val="1"/>
      <w:numFmt w:val="lowerLetter"/>
      <w:lvlText w:val="%2."/>
      <w:lvlJc w:val="left"/>
      <w:pPr>
        <w:ind w:left="2149" w:hanging="360"/>
      </w:pPr>
    </w:lvl>
    <w:lvl w:ilvl="2" w:tplc="07DE14F6" w:tentative="1">
      <w:start w:val="1"/>
      <w:numFmt w:val="lowerRoman"/>
      <w:lvlText w:val="%3."/>
      <w:lvlJc w:val="right"/>
      <w:pPr>
        <w:ind w:left="2869" w:hanging="180"/>
      </w:pPr>
    </w:lvl>
    <w:lvl w:ilvl="3" w:tplc="80FA8FF8" w:tentative="1">
      <w:start w:val="1"/>
      <w:numFmt w:val="decimal"/>
      <w:lvlText w:val="%4."/>
      <w:lvlJc w:val="left"/>
      <w:pPr>
        <w:ind w:left="3589" w:hanging="360"/>
      </w:pPr>
    </w:lvl>
    <w:lvl w:ilvl="4" w:tplc="C040CFC8" w:tentative="1">
      <w:start w:val="1"/>
      <w:numFmt w:val="lowerLetter"/>
      <w:lvlText w:val="%5."/>
      <w:lvlJc w:val="left"/>
      <w:pPr>
        <w:ind w:left="4309" w:hanging="360"/>
      </w:pPr>
    </w:lvl>
    <w:lvl w:ilvl="5" w:tplc="AA9E158E" w:tentative="1">
      <w:start w:val="1"/>
      <w:numFmt w:val="lowerRoman"/>
      <w:lvlText w:val="%6."/>
      <w:lvlJc w:val="right"/>
      <w:pPr>
        <w:ind w:left="5029" w:hanging="180"/>
      </w:pPr>
    </w:lvl>
    <w:lvl w:ilvl="6" w:tplc="2EC8188A" w:tentative="1">
      <w:start w:val="1"/>
      <w:numFmt w:val="decimal"/>
      <w:lvlText w:val="%7."/>
      <w:lvlJc w:val="left"/>
      <w:pPr>
        <w:ind w:left="5749" w:hanging="360"/>
      </w:pPr>
    </w:lvl>
    <w:lvl w:ilvl="7" w:tplc="BABC4CFC" w:tentative="1">
      <w:start w:val="1"/>
      <w:numFmt w:val="lowerLetter"/>
      <w:lvlText w:val="%8."/>
      <w:lvlJc w:val="left"/>
      <w:pPr>
        <w:ind w:left="6469" w:hanging="360"/>
      </w:pPr>
    </w:lvl>
    <w:lvl w:ilvl="8" w:tplc="C2781888" w:tentative="1">
      <w:start w:val="1"/>
      <w:numFmt w:val="lowerRoman"/>
      <w:lvlText w:val="%9."/>
      <w:lvlJc w:val="right"/>
      <w:pPr>
        <w:ind w:left="7189" w:hanging="180"/>
      </w:pPr>
    </w:lvl>
  </w:abstractNum>
  <w:abstractNum w:abstractNumId="26">
    <w:nsid w:val="542E1D4C"/>
    <w:multiLevelType w:val="hybridMultilevel"/>
    <w:tmpl w:val="5158FCF8"/>
    <w:lvl w:ilvl="0" w:tplc="0AC6C7BA">
      <w:numFmt w:val="bullet"/>
      <w:lvlText w:val="-"/>
      <w:lvlJc w:val="left"/>
      <w:pPr>
        <w:ind w:left="720" w:hanging="360"/>
      </w:pPr>
      <w:rPr>
        <w:rFonts w:ascii="Arial" w:eastAsia="Times New Roman" w:hAnsi="Arial" w:cs="Arial" w:hint="default"/>
      </w:rPr>
    </w:lvl>
    <w:lvl w:ilvl="1" w:tplc="D09464B6" w:tentative="1">
      <w:start w:val="1"/>
      <w:numFmt w:val="bullet"/>
      <w:lvlText w:val="o"/>
      <w:lvlJc w:val="left"/>
      <w:pPr>
        <w:ind w:left="1440" w:hanging="360"/>
      </w:pPr>
      <w:rPr>
        <w:rFonts w:ascii="Courier New" w:hAnsi="Courier New" w:cs="Courier New" w:hint="default"/>
      </w:rPr>
    </w:lvl>
    <w:lvl w:ilvl="2" w:tplc="29C822DA" w:tentative="1">
      <w:start w:val="1"/>
      <w:numFmt w:val="bullet"/>
      <w:lvlText w:val=""/>
      <w:lvlJc w:val="left"/>
      <w:pPr>
        <w:ind w:left="2160" w:hanging="360"/>
      </w:pPr>
      <w:rPr>
        <w:rFonts w:ascii="Wingdings" w:hAnsi="Wingdings" w:hint="default"/>
      </w:rPr>
    </w:lvl>
    <w:lvl w:ilvl="3" w:tplc="5ED0C640" w:tentative="1">
      <w:start w:val="1"/>
      <w:numFmt w:val="bullet"/>
      <w:lvlText w:val=""/>
      <w:lvlJc w:val="left"/>
      <w:pPr>
        <w:ind w:left="2880" w:hanging="360"/>
      </w:pPr>
      <w:rPr>
        <w:rFonts w:ascii="Symbol" w:hAnsi="Symbol" w:hint="default"/>
      </w:rPr>
    </w:lvl>
    <w:lvl w:ilvl="4" w:tplc="34945FD2" w:tentative="1">
      <w:start w:val="1"/>
      <w:numFmt w:val="bullet"/>
      <w:lvlText w:val="o"/>
      <w:lvlJc w:val="left"/>
      <w:pPr>
        <w:ind w:left="3600" w:hanging="360"/>
      </w:pPr>
      <w:rPr>
        <w:rFonts w:ascii="Courier New" w:hAnsi="Courier New" w:cs="Courier New" w:hint="default"/>
      </w:rPr>
    </w:lvl>
    <w:lvl w:ilvl="5" w:tplc="957ACC46" w:tentative="1">
      <w:start w:val="1"/>
      <w:numFmt w:val="bullet"/>
      <w:lvlText w:val=""/>
      <w:lvlJc w:val="left"/>
      <w:pPr>
        <w:ind w:left="4320" w:hanging="360"/>
      </w:pPr>
      <w:rPr>
        <w:rFonts w:ascii="Wingdings" w:hAnsi="Wingdings" w:hint="default"/>
      </w:rPr>
    </w:lvl>
    <w:lvl w:ilvl="6" w:tplc="260E4B64" w:tentative="1">
      <w:start w:val="1"/>
      <w:numFmt w:val="bullet"/>
      <w:lvlText w:val=""/>
      <w:lvlJc w:val="left"/>
      <w:pPr>
        <w:ind w:left="5040" w:hanging="360"/>
      </w:pPr>
      <w:rPr>
        <w:rFonts w:ascii="Symbol" w:hAnsi="Symbol" w:hint="default"/>
      </w:rPr>
    </w:lvl>
    <w:lvl w:ilvl="7" w:tplc="CB96EFF6" w:tentative="1">
      <w:start w:val="1"/>
      <w:numFmt w:val="bullet"/>
      <w:lvlText w:val="o"/>
      <w:lvlJc w:val="left"/>
      <w:pPr>
        <w:ind w:left="5760" w:hanging="360"/>
      </w:pPr>
      <w:rPr>
        <w:rFonts w:ascii="Courier New" w:hAnsi="Courier New" w:cs="Courier New" w:hint="default"/>
      </w:rPr>
    </w:lvl>
    <w:lvl w:ilvl="8" w:tplc="58B6A164" w:tentative="1">
      <w:start w:val="1"/>
      <w:numFmt w:val="bullet"/>
      <w:lvlText w:val=""/>
      <w:lvlJc w:val="left"/>
      <w:pPr>
        <w:ind w:left="6480" w:hanging="360"/>
      </w:pPr>
      <w:rPr>
        <w:rFonts w:ascii="Wingdings" w:hAnsi="Wingdings" w:hint="default"/>
      </w:rPr>
    </w:lvl>
  </w:abstractNum>
  <w:abstractNum w:abstractNumId="27">
    <w:nsid w:val="555E3AC0"/>
    <w:multiLevelType w:val="multilevel"/>
    <w:tmpl w:val="E0FEEC48"/>
    <w:lvl w:ilvl="0">
      <w:start w:val="1"/>
      <w:numFmt w:val="decimal"/>
      <w:lvlText w:val="%1"/>
      <w:lvlJc w:val="left"/>
      <w:pPr>
        <w:tabs>
          <w:tab w:val="num" w:pos="432"/>
        </w:tabs>
        <w:ind w:left="432" w:hanging="432"/>
      </w:pPr>
      <w:rPr>
        <w:rFonts w:cs="Times New Roman" w:hint="default"/>
      </w:rPr>
    </w:lvl>
    <w:lvl w:ilvl="1">
      <w:start w:val="1"/>
      <w:numFmt w:val="none"/>
      <w:lvlText w:val="3.1"/>
      <w:lvlJc w:val="left"/>
      <w:pPr>
        <w:tabs>
          <w:tab w:val="num" w:pos="718"/>
        </w:tabs>
        <w:ind w:left="718" w:hanging="576"/>
      </w:pPr>
      <w:rPr>
        <w:rFonts w:cs="Times New Roman" w:hint="default"/>
        <w:i/>
      </w:rPr>
    </w:lvl>
    <w:lvl w:ilvl="2">
      <w:start w:val="1"/>
      <w:numFmt w:val="none"/>
      <w:lvlText w:val="3.1"/>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nsid w:val="58C71E08"/>
    <w:multiLevelType w:val="hybridMultilevel"/>
    <w:tmpl w:val="818A0F48"/>
    <w:lvl w:ilvl="0" w:tplc="C2FCD06C">
      <w:start w:val="1"/>
      <w:numFmt w:val="bullet"/>
      <w:lvlText w:val=""/>
      <w:lvlJc w:val="left"/>
      <w:pPr>
        <w:ind w:left="720" w:hanging="360"/>
      </w:pPr>
      <w:rPr>
        <w:rFonts w:ascii="Symbol" w:hAnsi="Symbol" w:hint="default"/>
      </w:rPr>
    </w:lvl>
    <w:lvl w:ilvl="1" w:tplc="5792E5CE" w:tentative="1">
      <w:start w:val="1"/>
      <w:numFmt w:val="bullet"/>
      <w:lvlText w:val="o"/>
      <w:lvlJc w:val="left"/>
      <w:pPr>
        <w:ind w:left="1440" w:hanging="360"/>
      </w:pPr>
      <w:rPr>
        <w:rFonts w:ascii="Courier New" w:hAnsi="Courier New" w:cs="Courier New" w:hint="default"/>
      </w:rPr>
    </w:lvl>
    <w:lvl w:ilvl="2" w:tplc="8BC8104E" w:tentative="1">
      <w:start w:val="1"/>
      <w:numFmt w:val="bullet"/>
      <w:lvlText w:val=""/>
      <w:lvlJc w:val="left"/>
      <w:pPr>
        <w:ind w:left="2160" w:hanging="360"/>
      </w:pPr>
      <w:rPr>
        <w:rFonts w:ascii="Wingdings" w:hAnsi="Wingdings" w:hint="default"/>
      </w:rPr>
    </w:lvl>
    <w:lvl w:ilvl="3" w:tplc="F96412F6" w:tentative="1">
      <w:start w:val="1"/>
      <w:numFmt w:val="bullet"/>
      <w:lvlText w:val=""/>
      <w:lvlJc w:val="left"/>
      <w:pPr>
        <w:ind w:left="2880" w:hanging="360"/>
      </w:pPr>
      <w:rPr>
        <w:rFonts w:ascii="Symbol" w:hAnsi="Symbol" w:hint="default"/>
      </w:rPr>
    </w:lvl>
    <w:lvl w:ilvl="4" w:tplc="ED2C318C" w:tentative="1">
      <w:start w:val="1"/>
      <w:numFmt w:val="bullet"/>
      <w:lvlText w:val="o"/>
      <w:lvlJc w:val="left"/>
      <w:pPr>
        <w:ind w:left="3600" w:hanging="360"/>
      </w:pPr>
      <w:rPr>
        <w:rFonts w:ascii="Courier New" w:hAnsi="Courier New" w:cs="Courier New" w:hint="default"/>
      </w:rPr>
    </w:lvl>
    <w:lvl w:ilvl="5" w:tplc="2ABAA5E0" w:tentative="1">
      <w:start w:val="1"/>
      <w:numFmt w:val="bullet"/>
      <w:lvlText w:val=""/>
      <w:lvlJc w:val="left"/>
      <w:pPr>
        <w:ind w:left="4320" w:hanging="360"/>
      </w:pPr>
      <w:rPr>
        <w:rFonts w:ascii="Wingdings" w:hAnsi="Wingdings" w:hint="default"/>
      </w:rPr>
    </w:lvl>
    <w:lvl w:ilvl="6" w:tplc="FD8C8ACC" w:tentative="1">
      <w:start w:val="1"/>
      <w:numFmt w:val="bullet"/>
      <w:lvlText w:val=""/>
      <w:lvlJc w:val="left"/>
      <w:pPr>
        <w:ind w:left="5040" w:hanging="360"/>
      </w:pPr>
      <w:rPr>
        <w:rFonts w:ascii="Symbol" w:hAnsi="Symbol" w:hint="default"/>
      </w:rPr>
    </w:lvl>
    <w:lvl w:ilvl="7" w:tplc="4DEE352E" w:tentative="1">
      <w:start w:val="1"/>
      <w:numFmt w:val="bullet"/>
      <w:lvlText w:val="o"/>
      <w:lvlJc w:val="left"/>
      <w:pPr>
        <w:ind w:left="5760" w:hanging="360"/>
      </w:pPr>
      <w:rPr>
        <w:rFonts w:ascii="Courier New" w:hAnsi="Courier New" w:cs="Courier New" w:hint="default"/>
      </w:rPr>
    </w:lvl>
    <w:lvl w:ilvl="8" w:tplc="7E260B5E" w:tentative="1">
      <w:start w:val="1"/>
      <w:numFmt w:val="bullet"/>
      <w:lvlText w:val=""/>
      <w:lvlJc w:val="left"/>
      <w:pPr>
        <w:ind w:left="6480" w:hanging="360"/>
      </w:pPr>
      <w:rPr>
        <w:rFonts w:ascii="Wingdings" w:hAnsi="Wingdings" w:hint="default"/>
      </w:rPr>
    </w:lvl>
  </w:abstractNum>
  <w:abstractNum w:abstractNumId="29">
    <w:nsid w:val="5C41713D"/>
    <w:multiLevelType w:val="multilevel"/>
    <w:tmpl w:val="E006000C"/>
    <w:lvl w:ilvl="0">
      <w:start w:val="3"/>
      <w:numFmt w:val="decimal"/>
      <w:lvlText w:val="%1"/>
      <w:lvlJc w:val="left"/>
      <w:pPr>
        <w:ind w:left="360" w:hanging="360"/>
      </w:pPr>
      <w:rPr>
        <w:rFonts w:hint="default"/>
      </w:rPr>
    </w:lvl>
    <w:lvl w:ilvl="1">
      <w:start w:val="4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5E3F62BB"/>
    <w:multiLevelType w:val="hybridMultilevel"/>
    <w:tmpl w:val="A288C006"/>
    <w:lvl w:ilvl="0" w:tplc="F312A4D8">
      <w:start w:val="1"/>
      <w:numFmt w:val="lowerLetter"/>
      <w:lvlText w:val="(%1)"/>
      <w:lvlJc w:val="left"/>
      <w:pPr>
        <w:ind w:left="1152" w:hanging="360"/>
      </w:pPr>
      <w:rPr>
        <w:rFonts w:hint="default"/>
      </w:rPr>
    </w:lvl>
    <w:lvl w:ilvl="1" w:tplc="82D24E26" w:tentative="1">
      <w:start w:val="1"/>
      <w:numFmt w:val="lowerLetter"/>
      <w:lvlText w:val="%2."/>
      <w:lvlJc w:val="left"/>
      <w:pPr>
        <w:ind w:left="1872" w:hanging="360"/>
      </w:pPr>
    </w:lvl>
    <w:lvl w:ilvl="2" w:tplc="6DEA321C" w:tentative="1">
      <w:start w:val="1"/>
      <w:numFmt w:val="lowerRoman"/>
      <w:lvlText w:val="%3."/>
      <w:lvlJc w:val="right"/>
      <w:pPr>
        <w:ind w:left="2592" w:hanging="180"/>
      </w:pPr>
    </w:lvl>
    <w:lvl w:ilvl="3" w:tplc="A784194C" w:tentative="1">
      <w:start w:val="1"/>
      <w:numFmt w:val="decimal"/>
      <w:lvlText w:val="%4."/>
      <w:lvlJc w:val="left"/>
      <w:pPr>
        <w:ind w:left="3312" w:hanging="360"/>
      </w:pPr>
    </w:lvl>
    <w:lvl w:ilvl="4" w:tplc="DD3E2E9C" w:tentative="1">
      <w:start w:val="1"/>
      <w:numFmt w:val="lowerLetter"/>
      <w:lvlText w:val="%5."/>
      <w:lvlJc w:val="left"/>
      <w:pPr>
        <w:ind w:left="4032" w:hanging="360"/>
      </w:pPr>
    </w:lvl>
    <w:lvl w:ilvl="5" w:tplc="77F6B242" w:tentative="1">
      <w:start w:val="1"/>
      <w:numFmt w:val="lowerRoman"/>
      <w:lvlText w:val="%6."/>
      <w:lvlJc w:val="right"/>
      <w:pPr>
        <w:ind w:left="4752" w:hanging="180"/>
      </w:pPr>
    </w:lvl>
    <w:lvl w:ilvl="6" w:tplc="15DA9640" w:tentative="1">
      <w:start w:val="1"/>
      <w:numFmt w:val="decimal"/>
      <w:lvlText w:val="%7."/>
      <w:lvlJc w:val="left"/>
      <w:pPr>
        <w:ind w:left="5472" w:hanging="360"/>
      </w:pPr>
    </w:lvl>
    <w:lvl w:ilvl="7" w:tplc="92009CA8" w:tentative="1">
      <w:start w:val="1"/>
      <w:numFmt w:val="lowerLetter"/>
      <w:lvlText w:val="%8."/>
      <w:lvlJc w:val="left"/>
      <w:pPr>
        <w:ind w:left="6192" w:hanging="360"/>
      </w:pPr>
    </w:lvl>
    <w:lvl w:ilvl="8" w:tplc="50BC90BE" w:tentative="1">
      <w:start w:val="1"/>
      <w:numFmt w:val="lowerRoman"/>
      <w:lvlText w:val="%9."/>
      <w:lvlJc w:val="right"/>
      <w:pPr>
        <w:ind w:left="6912" w:hanging="180"/>
      </w:pPr>
    </w:lvl>
  </w:abstractNum>
  <w:abstractNum w:abstractNumId="31">
    <w:nsid w:val="5F297548"/>
    <w:multiLevelType w:val="hybridMultilevel"/>
    <w:tmpl w:val="39B8BF66"/>
    <w:lvl w:ilvl="0" w:tplc="DD76BBFC">
      <w:start w:val="1"/>
      <w:numFmt w:val="lowerLetter"/>
      <w:lvlText w:val="%1."/>
      <w:lvlJc w:val="left"/>
      <w:pPr>
        <w:ind w:left="360" w:hanging="360"/>
      </w:pPr>
    </w:lvl>
    <w:lvl w:ilvl="1" w:tplc="6226B0D6">
      <w:start w:val="1"/>
      <w:numFmt w:val="lowerLetter"/>
      <w:lvlText w:val="%2."/>
      <w:lvlJc w:val="left"/>
      <w:pPr>
        <w:ind w:left="1080" w:hanging="360"/>
      </w:pPr>
      <w:rPr>
        <w:rFonts w:cs="Times New Roman"/>
      </w:rPr>
    </w:lvl>
    <w:lvl w:ilvl="2" w:tplc="7B329692">
      <w:start w:val="1"/>
      <w:numFmt w:val="lowerRoman"/>
      <w:lvlText w:val="%3."/>
      <w:lvlJc w:val="right"/>
      <w:pPr>
        <w:ind w:left="1800" w:hanging="180"/>
      </w:pPr>
      <w:rPr>
        <w:rFonts w:cs="Times New Roman"/>
      </w:rPr>
    </w:lvl>
    <w:lvl w:ilvl="3" w:tplc="00C62B52" w:tentative="1">
      <w:start w:val="1"/>
      <w:numFmt w:val="decimal"/>
      <w:lvlText w:val="%4."/>
      <w:lvlJc w:val="left"/>
      <w:pPr>
        <w:ind w:left="2520" w:hanging="360"/>
      </w:pPr>
      <w:rPr>
        <w:rFonts w:cs="Times New Roman"/>
      </w:rPr>
    </w:lvl>
    <w:lvl w:ilvl="4" w:tplc="3FA034F0" w:tentative="1">
      <w:start w:val="1"/>
      <w:numFmt w:val="lowerLetter"/>
      <w:lvlText w:val="%5."/>
      <w:lvlJc w:val="left"/>
      <w:pPr>
        <w:ind w:left="3240" w:hanging="360"/>
      </w:pPr>
      <w:rPr>
        <w:rFonts w:cs="Times New Roman"/>
      </w:rPr>
    </w:lvl>
    <w:lvl w:ilvl="5" w:tplc="23B8B478" w:tentative="1">
      <w:start w:val="1"/>
      <w:numFmt w:val="lowerRoman"/>
      <w:lvlText w:val="%6."/>
      <w:lvlJc w:val="right"/>
      <w:pPr>
        <w:ind w:left="3960" w:hanging="180"/>
      </w:pPr>
      <w:rPr>
        <w:rFonts w:cs="Times New Roman"/>
      </w:rPr>
    </w:lvl>
    <w:lvl w:ilvl="6" w:tplc="16D439AA" w:tentative="1">
      <w:start w:val="1"/>
      <w:numFmt w:val="decimal"/>
      <w:lvlText w:val="%7."/>
      <w:lvlJc w:val="left"/>
      <w:pPr>
        <w:ind w:left="4680" w:hanging="360"/>
      </w:pPr>
      <w:rPr>
        <w:rFonts w:cs="Times New Roman"/>
      </w:rPr>
    </w:lvl>
    <w:lvl w:ilvl="7" w:tplc="A2F04420" w:tentative="1">
      <w:start w:val="1"/>
      <w:numFmt w:val="lowerLetter"/>
      <w:lvlText w:val="%8."/>
      <w:lvlJc w:val="left"/>
      <w:pPr>
        <w:ind w:left="5400" w:hanging="360"/>
      </w:pPr>
      <w:rPr>
        <w:rFonts w:cs="Times New Roman"/>
      </w:rPr>
    </w:lvl>
    <w:lvl w:ilvl="8" w:tplc="F7BC8150" w:tentative="1">
      <w:start w:val="1"/>
      <w:numFmt w:val="lowerRoman"/>
      <w:lvlText w:val="%9."/>
      <w:lvlJc w:val="right"/>
      <w:pPr>
        <w:ind w:left="6120" w:hanging="180"/>
      </w:pPr>
      <w:rPr>
        <w:rFonts w:cs="Times New Roman"/>
      </w:rPr>
    </w:lvl>
  </w:abstractNum>
  <w:abstractNum w:abstractNumId="32">
    <w:nsid w:val="61FC50E8"/>
    <w:multiLevelType w:val="hybridMultilevel"/>
    <w:tmpl w:val="20FE09DE"/>
    <w:lvl w:ilvl="0" w:tplc="0BC4DF24">
      <w:start w:val="1"/>
      <w:numFmt w:val="lowerRoman"/>
      <w:lvlText w:val="%1."/>
      <w:lvlJc w:val="right"/>
      <w:pPr>
        <w:ind w:left="1438" w:hanging="720"/>
      </w:pPr>
    </w:lvl>
    <w:lvl w:ilvl="1" w:tplc="1166EC58">
      <w:start w:val="1"/>
      <w:numFmt w:val="decimal"/>
      <w:lvlText w:val="%2."/>
      <w:lvlJc w:val="left"/>
      <w:pPr>
        <w:tabs>
          <w:tab w:val="num" w:pos="1440"/>
        </w:tabs>
        <w:ind w:left="1440" w:hanging="360"/>
      </w:pPr>
    </w:lvl>
    <w:lvl w:ilvl="2" w:tplc="908E2210">
      <w:start w:val="1"/>
      <w:numFmt w:val="decimal"/>
      <w:lvlText w:val="%3."/>
      <w:lvlJc w:val="left"/>
      <w:pPr>
        <w:tabs>
          <w:tab w:val="num" w:pos="2160"/>
        </w:tabs>
        <w:ind w:left="2160" w:hanging="360"/>
      </w:pPr>
    </w:lvl>
    <w:lvl w:ilvl="3" w:tplc="478AD7AC">
      <w:start w:val="1"/>
      <w:numFmt w:val="decimal"/>
      <w:lvlText w:val="%4."/>
      <w:lvlJc w:val="left"/>
      <w:pPr>
        <w:tabs>
          <w:tab w:val="num" w:pos="2880"/>
        </w:tabs>
        <w:ind w:left="2880" w:hanging="360"/>
      </w:pPr>
    </w:lvl>
    <w:lvl w:ilvl="4" w:tplc="948EA566">
      <w:start w:val="1"/>
      <w:numFmt w:val="decimal"/>
      <w:lvlText w:val="%5."/>
      <w:lvlJc w:val="left"/>
      <w:pPr>
        <w:tabs>
          <w:tab w:val="num" w:pos="3600"/>
        </w:tabs>
        <w:ind w:left="3600" w:hanging="360"/>
      </w:pPr>
    </w:lvl>
    <w:lvl w:ilvl="5" w:tplc="CE066ECA">
      <w:start w:val="1"/>
      <w:numFmt w:val="decimal"/>
      <w:lvlText w:val="%6."/>
      <w:lvlJc w:val="left"/>
      <w:pPr>
        <w:tabs>
          <w:tab w:val="num" w:pos="4320"/>
        </w:tabs>
        <w:ind w:left="4320" w:hanging="360"/>
      </w:pPr>
    </w:lvl>
    <w:lvl w:ilvl="6" w:tplc="9FC2629C">
      <w:start w:val="1"/>
      <w:numFmt w:val="decimal"/>
      <w:lvlText w:val="%7."/>
      <w:lvlJc w:val="left"/>
      <w:pPr>
        <w:tabs>
          <w:tab w:val="num" w:pos="5040"/>
        </w:tabs>
        <w:ind w:left="5040" w:hanging="360"/>
      </w:pPr>
    </w:lvl>
    <w:lvl w:ilvl="7" w:tplc="7A6613CE">
      <w:start w:val="1"/>
      <w:numFmt w:val="decimal"/>
      <w:lvlText w:val="%8."/>
      <w:lvlJc w:val="left"/>
      <w:pPr>
        <w:tabs>
          <w:tab w:val="num" w:pos="5760"/>
        </w:tabs>
        <w:ind w:left="5760" w:hanging="360"/>
      </w:pPr>
    </w:lvl>
    <w:lvl w:ilvl="8" w:tplc="1F207328">
      <w:start w:val="1"/>
      <w:numFmt w:val="decimal"/>
      <w:lvlText w:val="%9."/>
      <w:lvlJc w:val="left"/>
      <w:pPr>
        <w:tabs>
          <w:tab w:val="num" w:pos="6480"/>
        </w:tabs>
        <w:ind w:left="6480" w:hanging="360"/>
      </w:pPr>
    </w:lvl>
  </w:abstractNum>
  <w:abstractNum w:abstractNumId="33">
    <w:nsid w:val="667F568E"/>
    <w:multiLevelType w:val="hybridMultilevel"/>
    <w:tmpl w:val="B3D0B872"/>
    <w:lvl w:ilvl="0" w:tplc="C83E72B8">
      <w:start w:val="1"/>
      <w:numFmt w:val="bullet"/>
      <w:lvlText w:val=""/>
      <w:lvlJc w:val="left"/>
      <w:pPr>
        <w:ind w:left="765" w:hanging="360"/>
      </w:pPr>
      <w:rPr>
        <w:rFonts w:ascii="Symbol" w:hAnsi="Symbol" w:hint="default"/>
      </w:rPr>
    </w:lvl>
    <w:lvl w:ilvl="1" w:tplc="5C76915A" w:tentative="1">
      <w:start w:val="1"/>
      <w:numFmt w:val="bullet"/>
      <w:lvlText w:val="o"/>
      <w:lvlJc w:val="left"/>
      <w:pPr>
        <w:ind w:left="1485" w:hanging="360"/>
      </w:pPr>
      <w:rPr>
        <w:rFonts w:ascii="Courier New" w:hAnsi="Courier New" w:cs="Courier New" w:hint="default"/>
      </w:rPr>
    </w:lvl>
    <w:lvl w:ilvl="2" w:tplc="C762ABD8" w:tentative="1">
      <w:start w:val="1"/>
      <w:numFmt w:val="bullet"/>
      <w:lvlText w:val=""/>
      <w:lvlJc w:val="left"/>
      <w:pPr>
        <w:ind w:left="2205" w:hanging="360"/>
      </w:pPr>
      <w:rPr>
        <w:rFonts w:ascii="Wingdings" w:hAnsi="Wingdings" w:hint="default"/>
      </w:rPr>
    </w:lvl>
    <w:lvl w:ilvl="3" w:tplc="ECC845DE" w:tentative="1">
      <w:start w:val="1"/>
      <w:numFmt w:val="bullet"/>
      <w:lvlText w:val=""/>
      <w:lvlJc w:val="left"/>
      <w:pPr>
        <w:ind w:left="2925" w:hanging="360"/>
      </w:pPr>
      <w:rPr>
        <w:rFonts w:ascii="Symbol" w:hAnsi="Symbol" w:hint="default"/>
      </w:rPr>
    </w:lvl>
    <w:lvl w:ilvl="4" w:tplc="C3541AF2" w:tentative="1">
      <w:start w:val="1"/>
      <w:numFmt w:val="bullet"/>
      <w:lvlText w:val="o"/>
      <w:lvlJc w:val="left"/>
      <w:pPr>
        <w:ind w:left="3645" w:hanging="360"/>
      </w:pPr>
      <w:rPr>
        <w:rFonts w:ascii="Courier New" w:hAnsi="Courier New" w:cs="Courier New" w:hint="default"/>
      </w:rPr>
    </w:lvl>
    <w:lvl w:ilvl="5" w:tplc="0E5EA46C" w:tentative="1">
      <w:start w:val="1"/>
      <w:numFmt w:val="bullet"/>
      <w:lvlText w:val=""/>
      <w:lvlJc w:val="left"/>
      <w:pPr>
        <w:ind w:left="4365" w:hanging="360"/>
      </w:pPr>
      <w:rPr>
        <w:rFonts w:ascii="Wingdings" w:hAnsi="Wingdings" w:hint="default"/>
      </w:rPr>
    </w:lvl>
    <w:lvl w:ilvl="6" w:tplc="4022B21C" w:tentative="1">
      <w:start w:val="1"/>
      <w:numFmt w:val="bullet"/>
      <w:lvlText w:val=""/>
      <w:lvlJc w:val="left"/>
      <w:pPr>
        <w:ind w:left="5085" w:hanging="360"/>
      </w:pPr>
      <w:rPr>
        <w:rFonts w:ascii="Symbol" w:hAnsi="Symbol" w:hint="default"/>
      </w:rPr>
    </w:lvl>
    <w:lvl w:ilvl="7" w:tplc="8C5632AA" w:tentative="1">
      <w:start w:val="1"/>
      <w:numFmt w:val="bullet"/>
      <w:lvlText w:val="o"/>
      <w:lvlJc w:val="left"/>
      <w:pPr>
        <w:ind w:left="5805" w:hanging="360"/>
      </w:pPr>
      <w:rPr>
        <w:rFonts w:ascii="Courier New" w:hAnsi="Courier New" w:cs="Courier New" w:hint="default"/>
      </w:rPr>
    </w:lvl>
    <w:lvl w:ilvl="8" w:tplc="15E4527E" w:tentative="1">
      <w:start w:val="1"/>
      <w:numFmt w:val="bullet"/>
      <w:lvlText w:val=""/>
      <w:lvlJc w:val="left"/>
      <w:pPr>
        <w:ind w:left="6525" w:hanging="360"/>
      </w:pPr>
      <w:rPr>
        <w:rFonts w:ascii="Wingdings" w:hAnsi="Wingdings" w:hint="default"/>
      </w:rPr>
    </w:lvl>
  </w:abstractNum>
  <w:abstractNum w:abstractNumId="34">
    <w:nsid w:val="695541E6"/>
    <w:multiLevelType w:val="hybridMultilevel"/>
    <w:tmpl w:val="DEF626BE"/>
    <w:lvl w:ilvl="0" w:tplc="C448BAEC">
      <w:numFmt w:val="bullet"/>
      <w:lvlText w:val="-"/>
      <w:lvlJc w:val="left"/>
      <w:pPr>
        <w:ind w:left="720" w:hanging="360"/>
      </w:pPr>
      <w:rPr>
        <w:rFonts w:ascii="Arial" w:eastAsia="Times New Roman" w:hAnsi="Arial" w:cs="Arial" w:hint="default"/>
      </w:rPr>
    </w:lvl>
    <w:lvl w:ilvl="1" w:tplc="8474BC6C" w:tentative="1">
      <w:start w:val="1"/>
      <w:numFmt w:val="bullet"/>
      <w:lvlText w:val="o"/>
      <w:lvlJc w:val="left"/>
      <w:pPr>
        <w:ind w:left="1440" w:hanging="360"/>
      </w:pPr>
      <w:rPr>
        <w:rFonts w:ascii="Courier New" w:hAnsi="Courier New" w:cs="Courier New" w:hint="default"/>
      </w:rPr>
    </w:lvl>
    <w:lvl w:ilvl="2" w:tplc="113683C4" w:tentative="1">
      <w:start w:val="1"/>
      <w:numFmt w:val="bullet"/>
      <w:lvlText w:val=""/>
      <w:lvlJc w:val="left"/>
      <w:pPr>
        <w:ind w:left="2160" w:hanging="360"/>
      </w:pPr>
      <w:rPr>
        <w:rFonts w:ascii="Wingdings" w:hAnsi="Wingdings" w:hint="default"/>
      </w:rPr>
    </w:lvl>
    <w:lvl w:ilvl="3" w:tplc="789EBA4A" w:tentative="1">
      <w:start w:val="1"/>
      <w:numFmt w:val="bullet"/>
      <w:lvlText w:val=""/>
      <w:lvlJc w:val="left"/>
      <w:pPr>
        <w:ind w:left="2880" w:hanging="360"/>
      </w:pPr>
      <w:rPr>
        <w:rFonts w:ascii="Symbol" w:hAnsi="Symbol" w:hint="default"/>
      </w:rPr>
    </w:lvl>
    <w:lvl w:ilvl="4" w:tplc="4C8AB5DA" w:tentative="1">
      <w:start w:val="1"/>
      <w:numFmt w:val="bullet"/>
      <w:lvlText w:val="o"/>
      <w:lvlJc w:val="left"/>
      <w:pPr>
        <w:ind w:left="3600" w:hanging="360"/>
      </w:pPr>
      <w:rPr>
        <w:rFonts w:ascii="Courier New" w:hAnsi="Courier New" w:cs="Courier New" w:hint="default"/>
      </w:rPr>
    </w:lvl>
    <w:lvl w:ilvl="5" w:tplc="0410126C" w:tentative="1">
      <w:start w:val="1"/>
      <w:numFmt w:val="bullet"/>
      <w:lvlText w:val=""/>
      <w:lvlJc w:val="left"/>
      <w:pPr>
        <w:ind w:left="4320" w:hanging="360"/>
      </w:pPr>
      <w:rPr>
        <w:rFonts w:ascii="Wingdings" w:hAnsi="Wingdings" w:hint="default"/>
      </w:rPr>
    </w:lvl>
    <w:lvl w:ilvl="6" w:tplc="251E37EA" w:tentative="1">
      <w:start w:val="1"/>
      <w:numFmt w:val="bullet"/>
      <w:lvlText w:val=""/>
      <w:lvlJc w:val="left"/>
      <w:pPr>
        <w:ind w:left="5040" w:hanging="360"/>
      </w:pPr>
      <w:rPr>
        <w:rFonts w:ascii="Symbol" w:hAnsi="Symbol" w:hint="default"/>
      </w:rPr>
    </w:lvl>
    <w:lvl w:ilvl="7" w:tplc="6C241872" w:tentative="1">
      <w:start w:val="1"/>
      <w:numFmt w:val="bullet"/>
      <w:lvlText w:val="o"/>
      <w:lvlJc w:val="left"/>
      <w:pPr>
        <w:ind w:left="5760" w:hanging="360"/>
      </w:pPr>
      <w:rPr>
        <w:rFonts w:ascii="Courier New" w:hAnsi="Courier New" w:cs="Courier New" w:hint="default"/>
      </w:rPr>
    </w:lvl>
    <w:lvl w:ilvl="8" w:tplc="0B5E7DC6" w:tentative="1">
      <w:start w:val="1"/>
      <w:numFmt w:val="bullet"/>
      <w:lvlText w:val=""/>
      <w:lvlJc w:val="left"/>
      <w:pPr>
        <w:ind w:left="6480" w:hanging="360"/>
      </w:pPr>
      <w:rPr>
        <w:rFonts w:ascii="Wingdings" w:hAnsi="Wingdings" w:hint="default"/>
      </w:rPr>
    </w:lvl>
  </w:abstractNum>
  <w:abstractNum w:abstractNumId="35">
    <w:nsid w:val="6EA45F1D"/>
    <w:multiLevelType w:val="multilevel"/>
    <w:tmpl w:val="6C3CC70E"/>
    <w:lvl w:ilvl="0">
      <w:start w:val="1"/>
      <w:numFmt w:val="decimal"/>
      <w:lvlText w:val="%1.1."/>
      <w:lvlJc w:val="left"/>
      <w:pPr>
        <w:ind w:left="720" w:hanging="360"/>
      </w:pPr>
      <w:rPr>
        <w:rFonts w:cs="Times New Roman" w:hint="default"/>
      </w:rPr>
    </w:lvl>
    <w:lvl w:ilvl="1">
      <w:start w:val="1"/>
      <w:numFmt w:val="decimal"/>
      <w:isLgl/>
      <w:lvlText w:val="%1.%2."/>
      <w:lvlJc w:val="left"/>
      <w:pPr>
        <w:ind w:left="1125" w:hanging="40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6">
    <w:nsid w:val="6FF2663F"/>
    <w:multiLevelType w:val="hybridMultilevel"/>
    <w:tmpl w:val="A10CB414"/>
    <w:lvl w:ilvl="0" w:tplc="E7ECD816">
      <w:start w:val="1"/>
      <w:numFmt w:val="bullet"/>
      <w:lvlText w:val=""/>
      <w:lvlJc w:val="left"/>
      <w:pPr>
        <w:ind w:left="1440" w:hanging="360"/>
      </w:pPr>
      <w:rPr>
        <w:rFonts w:ascii="Symbol" w:hAnsi="Symbol" w:hint="default"/>
      </w:rPr>
    </w:lvl>
    <w:lvl w:ilvl="1" w:tplc="7CBA5D68" w:tentative="1">
      <w:start w:val="1"/>
      <w:numFmt w:val="bullet"/>
      <w:lvlText w:val="o"/>
      <w:lvlJc w:val="left"/>
      <w:pPr>
        <w:ind w:left="2160" w:hanging="360"/>
      </w:pPr>
      <w:rPr>
        <w:rFonts w:ascii="Courier New" w:hAnsi="Courier New" w:cs="Courier New" w:hint="default"/>
      </w:rPr>
    </w:lvl>
    <w:lvl w:ilvl="2" w:tplc="DA0CAEF4" w:tentative="1">
      <w:start w:val="1"/>
      <w:numFmt w:val="bullet"/>
      <w:lvlText w:val=""/>
      <w:lvlJc w:val="left"/>
      <w:pPr>
        <w:ind w:left="2880" w:hanging="360"/>
      </w:pPr>
      <w:rPr>
        <w:rFonts w:ascii="Wingdings" w:hAnsi="Wingdings" w:hint="default"/>
      </w:rPr>
    </w:lvl>
    <w:lvl w:ilvl="3" w:tplc="35F43D1A" w:tentative="1">
      <w:start w:val="1"/>
      <w:numFmt w:val="bullet"/>
      <w:lvlText w:val=""/>
      <w:lvlJc w:val="left"/>
      <w:pPr>
        <w:ind w:left="3600" w:hanging="360"/>
      </w:pPr>
      <w:rPr>
        <w:rFonts w:ascii="Symbol" w:hAnsi="Symbol" w:hint="default"/>
      </w:rPr>
    </w:lvl>
    <w:lvl w:ilvl="4" w:tplc="7A269892" w:tentative="1">
      <w:start w:val="1"/>
      <w:numFmt w:val="bullet"/>
      <w:lvlText w:val="o"/>
      <w:lvlJc w:val="left"/>
      <w:pPr>
        <w:ind w:left="4320" w:hanging="360"/>
      </w:pPr>
      <w:rPr>
        <w:rFonts w:ascii="Courier New" w:hAnsi="Courier New" w:cs="Courier New" w:hint="default"/>
      </w:rPr>
    </w:lvl>
    <w:lvl w:ilvl="5" w:tplc="9670DC94" w:tentative="1">
      <w:start w:val="1"/>
      <w:numFmt w:val="bullet"/>
      <w:lvlText w:val=""/>
      <w:lvlJc w:val="left"/>
      <w:pPr>
        <w:ind w:left="5040" w:hanging="360"/>
      </w:pPr>
      <w:rPr>
        <w:rFonts w:ascii="Wingdings" w:hAnsi="Wingdings" w:hint="default"/>
      </w:rPr>
    </w:lvl>
    <w:lvl w:ilvl="6" w:tplc="B1A8F20E" w:tentative="1">
      <w:start w:val="1"/>
      <w:numFmt w:val="bullet"/>
      <w:lvlText w:val=""/>
      <w:lvlJc w:val="left"/>
      <w:pPr>
        <w:ind w:left="5760" w:hanging="360"/>
      </w:pPr>
      <w:rPr>
        <w:rFonts w:ascii="Symbol" w:hAnsi="Symbol" w:hint="default"/>
      </w:rPr>
    </w:lvl>
    <w:lvl w:ilvl="7" w:tplc="C6DC6700" w:tentative="1">
      <w:start w:val="1"/>
      <w:numFmt w:val="bullet"/>
      <w:lvlText w:val="o"/>
      <w:lvlJc w:val="left"/>
      <w:pPr>
        <w:ind w:left="6480" w:hanging="360"/>
      </w:pPr>
      <w:rPr>
        <w:rFonts w:ascii="Courier New" w:hAnsi="Courier New" w:cs="Courier New" w:hint="default"/>
      </w:rPr>
    </w:lvl>
    <w:lvl w:ilvl="8" w:tplc="E28252AE" w:tentative="1">
      <w:start w:val="1"/>
      <w:numFmt w:val="bullet"/>
      <w:lvlText w:val=""/>
      <w:lvlJc w:val="left"/>
      <w:pPr>
        <w:ind w:left="7200" w:hanging="360"/>
      </w:pPr>
      <w:rPr>
        <w:rFonts w:ascii="Wingdings" w:hAnsi="Wingdings" w:hint="default"/>
      </w:rPr>
    </w:lvl>
  </w:abstractNum>
  <w:abstractNum w:abstractNumId="37">
    <w:nsid w:val="73380D10"/>
    <w:multiLevelType w:val="hybridMultilevel"/>
    <w:tmpl w:val="AAAAD356"/>
    <w:lvl w:ilvl="0" w:tplc="58761CF6">
      <w:start w:val="1"/>
      <w:numFmt w:val="lowerRoman"/>
      <w:lvlText w:val="%1."/>
      <w:lvlJc w:val="right"/>
      <w:pPr>
        <w:ind w:left="1800" w:hanging="360"/>
      </w:pPr>
    </w:lvl>
    <w:lvl w:ilvl="1" w:tplc="54C8D98C" w:tentative="1">
      <w:start w:val="1"/>
      <w:numFmt w:val="lowerLetter"/>
      <w:lvlText w:val="%2."/>
      <w:lvlJc w:val="left"/>
      <w:pPr>
        <w:ind w:left="2520" w:hanging="360"/>
      </w:pPr>
    </w:lvl>
    <w:lvl w:ilvl="2" w:tplc="93E2A97E" w:tentative="1">
      <w:start w:val="1"/>
      <w:numFmt w:val="lowerRoman"/>
      <w:lvlText w:val="%3."/>
      <w:lvlJc w:val="right"/>
      <w:pPr>
        <w:ind w:left="3240" w:hanging="180"/>
      </w:pPr>
    </w:lvl>
    <w:lvl w:ilvl="3" w:tplc="F12472FC" w:tentative="1">
      <w:start w:val="1"/>
      <w:numFmt w:val="decimal"/>
      <w:lvlText w:val="%4."/>
      <w:lvlJc w:val="left"/>
      <w:pPr>
        <w:ind w:left="3960" w:hanging="360"/>
      </w:pPr>
    </w:lvl>
    <w:lvl w:ilvl="4" w:tplc="A0765894" w:tentative="1">
      <w:start w:val="1"/>
      <w:numFmt w:val="lowerLetter"/>
      <w:lvlText w:val="%5."/>
      <w:lvlJc w:val="left"/>
      <w:pPr>
        <w:ind w:left="4680" w:hanging="360"/>
      </w:pPr>
    </w:lvl>
    <w:lvl w:ilvl="5" w:tplc="C23C00FE" w:tentative="1">
      <w:start w:val="1"/>
      <w:numFmt w:val="lowerRoman"/>
      <w:lvlText w:val="%6."/>
      <w:lvlJc w:val="right"/>
      <w:pPr>
        <w:ind w:left="5400" w:hanging="180"/>
      </w:pPr>
    </w:lvl>
    <w:lvl w:ilvl="6" w:tplc="6ECC15D8" w:tentative="1">
      <w:start w:val="1"/>
      <w:numFmt w:val="decimal"/>
      <w:lvlText w:val="%7."/>
      <w:lvlJc w:val="left"/>
      <w:pPr>
        <w:ind w:left="6120" w:hanging="360"/>
      </w:pPr>
    </w:lvl>
    <w:lvl w:ilvl="7" w:tplc="62F6FBDE" w:tentative="1">
      <w:start w:val="1"/>
      <w:numFmt w:val="lowerLetter"/>
      <w:lvlText w:val="%8."/>
      <w:lvlJc w:val="left"/>
      <w:pPr>
        <w:ind w:left="6840" w:hanging="360"/>
      </w:pPr>
    </w:lvl>
    <w:lvl w:ilvl="8" w:tplc="2B8269B6" w:tentative="1">
      <w:start w:val="1"/>
      <w:numFmt w:val="lowerRoman"/>
      <w:lvlText w:val="%9."/>
      <w:lvlJc w:val="right"/>
      <w:pPr>
        <w:ind w:left="7560" w:hanging="180"/>
      </w:pPr>
    </w:lvl>
  </w:abstractNum>
  <w:abstractNum w:abstractNumId="38">
    <w:nsid w:val="73FE3A5D"/>
    <w:multiLevelType w:val="hybridMultilevel"/>
    <w:tmpl w:val="998897FC"/>
    <w:lvl w:ilvl="0" w:tplc="975A01D0">
      <w:start w:val="1"/>
      <w:numFmt w:val="bullet"/>
      <w:lvlText w:val=""/>
      <w:lvlJc w:val="left"/>
      <w:pPr>
        <w:ind w:left="720" w:hanging="360"/>
      </w:pPr>
      <w:rPr>
        <w:rFonts w:ascii="Symbol" w:hAnsi="Symbol" w:hint="default"/>
      </w:rPr>
    </w:lvl>
    <w:lvl w:ilvl="1" w:tplc="ED5A4154" w:tentative="1">
      <w:start w:val="1"/>
      <w:numFmt w:val="bullet"/>
      <w:lvlText w:val="o"/>
      <w:lvlJc w:val="left"/>
      <w:pPr>
        <w:ind w:left="1440" w:hanging="360"/>
      </w:pPr>
      <w:rPr>
        <w:rFonts w:ascii="Courier New" w:hAnsi="Courier New" w:cs="Courier New" w:hint="default"/>
      </w:rPr>
    </w:lvl>
    <w:lvl w:ilvl="2" w:tplc="B9DA4E48" w:tentative="1">
      <w:start w:val="1"/>
      <w:numFmt w:val="bullet"/>
      <w:lvlText w:val=""/>
      <w:lvlJc w:val="left"/>
      <w:pPr>
        <w:ind w:left="2160" w:hanging="360"/>
      </w:pPr>
      <w:rPr>
        <w:rFonts w:ascii="Wingdings" w:hAnsi="Wingdings" w:hint="default"/>
      </w:rPr>
    </w:lvl>
    <w:lvl w:ilvl="3" w:tplc="738665F0" w:tentative="1">
      <w:start w:val="1"/>
      <w:numFmt w:val="bullet"/>
      <w:lvlText w:val=""/>
      <w:lvlJc w:val="left"/>
      <w:pPr>
        <w:ind w:left="2880" w:hanging="360"/>
      </w:pPr>
      <w:rPr>
        <w:rFonts w:ascii="Symbol" w:hAnsi="Symbol" w:hint="default"/>
      </w:rPr>
    </w:lvl>
    <w:lvl w:ilvl="4" w:tplc="22A80C06" w:tentative="1">
      <w:start w:val="1"/>
      <w:numFmt w:val="bullet"/>
      <w:lvlText w:val="o"/>
      <w:lvlJc w:val="left"/>
      <w:pPr>
        <w:ind w:left="3600" w:hanging="360"/>
      </w:pPr>
      <w:rPr>
        <w:rFonts w:ascii="Courier New" w:hAnsi="Courier New" w:cs="Courier New" w:hint="default"/>
      </w:rPr>
    </w:lvl>
    <w:lvl w:ilvl="5" w:tplc="8406799A" w:tentative="1">
      <w:start w:val="1"/>
      <w:numFmt w:val="bullet"/>
      <w:lvlText w:val=""/>
      <w:lvlJc w:val="left"/>
      <w:pPr>
        <w:ind w:left="4320" w:hanging="360"/>
      </w:pPr>
      <w:rPr>
        <w:rFonts w:ascii="Wingdings" w:hAnsi="Wingdings" w:hint="default"/>
      </w:rPr>
    </w:lvl>
    <w:lvl w:ilvl="6" w:tplc="A48296D6" w:tentative="1">
      <w:start w:val="1"/>
      <w:numFmt w:val="bullet"/>
      <w:lvlText w:val=""/>
      <w:lvlJc w:val="left"/>
      <w:pPr>
        <w:ind w:left="5040" w:hanging="360"/>
      </w:pPr>
      <w:rPr>
        <w:rFonts w:ascii="Symbol" w:hAnsi="Symbol" w:hint="default"/>
      </w:rPr>
    </w:lvl>
    <w:lvl w:ilvl="7" w:tplc="27E4C366" w:tentative="1">
      <w:start w:val="1"/>
      <w:numFmt w:val="bullet"/>
      <w:lvlText w:val="o"/>
      <w:lvlJc w:val="left"/>
      <w:pPr>
        <w:ind w:left="5760" w:hanging="360"/>
      </w:pPr>
      <w:rPr>
        <w:rFonts w:ascii="Courier New" w:hAnsi="Courier New" w:cs="Courier New" w:hint="default"/>
      </w:rPr>
    </w:lvl>
    <w:lvl w:ilvl="8" w:tplc="99304298" w:tentative="1">
      <w:start w:val="1"/>
      <w:numFmt w:val="bullet"/>
      <w:lvlText w:val=""/>
      <w:lvlJc w:val="left"/>
      <w:pPr>
        <w:ind w:left="6480" w:hanging="360"/>
      </w:pPr>
      <w:rPr>
        <w:rFonts w:ascii="Wingdings" w:hAnsi="Wingdings" w:hint="default"/>
      </w:rPr>
    </w:lvl>
  </w:abstractNum>
  <w:abstractNum w:abstractNumId="39">
    <w:nsid w:val="78A51EA0"/>
    <w:multiLevelType w:val="hybridMultilevel"/>
    <w:tmpl w:val="19645914"/>
    <w:lvl w:ilvl="0" w:tplc="8A3C9706">
      <w:start w:val="1"/>
      <w:numFmt w:val="upperRoman"/>
      <w:lvlText w:val="%1."/>
      <w:lvlJc w:val="left"/>
      <w:pPr>
        <w:ind w:left="1080" w:hanging="720"/>
      </w:pPr>
      <w:rPr>
        <w:rFonts w:hint="default"/>
      </w:rPr>
    </w:lvl>
    <w:lvl w:ilvl="1" w:tplc="337C9DD4" w:tentative="1">
      <w:start w:val="1"/>
      <w:numFmt w:val="lowerLetter"/>
      <w:lvlText w:val="%2."/>
      <w:lvlJc w:val="left"/>
      <w:pPr>
        <w:ind w:left="1440" w:hanging="360"/>
      </w:pPr>
    </w:lvl>
    <w:lvl w:ilvl="2" w:tplc="5B9ABD04" w:tentative="1">
      <w:start w:val="1"/>
      <w:numFmt w:val="lowerRoman"/>
      <w:lvlText w:val="%3."/>
      <w:lvlJc w:val="right"/>
      <w:pPr>
        <w:ind w:left="2160" w:hanging="180"/>
      </w:pPr>
    </w:lvl>
    <w:lvl w:ilvl="3" w:tplc="D230F576" w:tentative="1">
      <w:start w:val="1"/>
      <w:numFmt w:val="decimal"/>
      <w:lvlText w:val="%4."/>
      <w:lvlJc w:val="left"/>
      <w:pPr>
        <w:ind w:left="2880" w:hanging="360"/>
      </w:pPr>
    </w:lvl>
    <w:lvl w:ilvl="4" w:tplc="31F62B46" w:tentative="1">
      <w:start w:val="1"/>
      <w:numFmt w:val="lowerLetter"/>
      <w:lvlText w:val="%5."/>
      <w:lvlJc w:val="left"/>
      <w:pPr>
        <w:ind w:left="3600" w:hanging="360"/>
      </w:pPr>
    </w:lvl>
    <w:lvl w:ilvl="5" w:tplc="5FE069BC" w:tentative="1">
      <w:start w:val="1"/>
      <w:numFmt w:val="lowerRoman"/>
      <w:lvlText w:val="%6."/>
      <w:lvlJc w:val="right"/>
      <w:pPr>
        <w:ind w:left="4320" w:hanging="180"/>
      </w:pPr>
    </w:lvl>
    <w:lvl w:ilvl="6" w:tplc="D6C4BC6A" w:tentative="1">
      <w:start w:val="1"/>
      <w:numFmt w:val="decimal"/>
      <w:lvlText w:val="%7."/>
      <w:lvlJc w:val="left"/>
      <w:pPr>
        <w:ind w:left="5040" w:hanging="360"/>
      </w:pPr>
    </w:lvl>
    <w:lvl w:ilvl="7" w:tplc="9D24E194" w:tentative="1">
      <w:start w:val="1"/>
      <w:numFmt w:val="lowerLetter"/>
      <w:lvlText w:val="%8."/>
      <w:lvlJc w:val="left"/>
      <w:pPr>
        <w:ind w:left="5760" w:hanging="360"/>
      </w:pPr>
    </w:lvl>
    <w:lvl w:ilvl="8" w:tplc="8E886130" w:tentative="1">
      <w:start w:val="1"/>
      <w:numFmt w:val="lowerRoman"/>
      <w:lvlText w:val="%9."/>
      <w:lvlJc w:val="right"/>
      <w:pPr>
        <w:ind w:left="6480" w:hanging="180"/>
      </w:pPr>
    </w:lvl>
  </w:abstractNum>
  <w:abstractNum w:abstractNumId="40">
    <w:nsid w:val="79934461"/>
    <w:multiLevelType w:val="multilevel"/>
    <w:tmpl w:val="5DD67876"/>
    <w:lvl w:ilvl="0">
      <w:start w:val="1"/>
      <w:numFmt w:val="decimal"/>
      <w:lvlText w:val="%1"/>
      <w:lvlJc w:val="left"/>
      <w:pPr>
        <w:tabs>
          <w:tab w:val="num" w:pos="432"/>
        </w:tabs>
        <w:ind w:left="432" w:hanging="432"/>
      </w:pPr>
      <w:rPr>
        <w:rFonts w:cs="Times New Roman" w:hint="default"/>
      </w:rPr>
    </w:lvl>
    <w:lvl w:ilvl="1">
      <w:start w:val="1"/>
      <w:numFmt w:val="none"/>
      <w:lvlText w:val="%23.3"/>
      <w:lvlJc w:val="left"/>
      <w:pPr>
        <w:tabs>
          <w:tab w:val="num" w:pos="718"/>
        </w:tabs>
        <w:ind w:left="718" w:hanging="576"/>
      </w:pPr>
      <w:rPr>
        <w:rFonts w:cs="Times New Roman" w:hint="default"/>
        <w:i/>
      </w:rPr>
    </w:lvl>
    <w:lvl w:ilvl="2">
      <w:start w:val="1"/>
      <w:numFmt w:val="none"/>
      <w:lvlText w:val="3.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nsid w:val="7E584A05"/>
    <w:multiLevelType w:val="multilevel"/>
    <w:tmpl w:val="9490DD18"/>
    <w:lvl w:ilvl="0">
      <w:start w:val="1"/>
      <w:numFmt w:val="decimal"/>
      <w:lvlText w:val="%1"/>
      <w:lvlJc w:val="left"/>
      <w:pPr>
        <w:tabs>
          <w:tab w:val="num" w:pos="432"/>
        </w:tabs>
        <w:ind w:left="432" w:hanging="432"/>
      </w:pPr>
      <w:rPr>
        <w:rFonts w:cs="Times New Roman" w:hint="default"/>
      </w:rPr>
    </w:lvl>
    <w:lvl w:ilvl="1">
      <w:start w:val="4"/>
      <w:numFmt w:val="decimal"/>
      <w:lvlText w:val="3.%2"/>
      <w:lvlJc w:val="left"/>
      <w:pPr>
        <w:tabs>
          <w:tab w:val="num" w:pos="718"/>
        </w:tabs>
        <w:ind w:left="718" w:hanging="576"/>
      </w:pPr>
      <w:rPr>
        <w:rFonts w:cs="Times New Roman" w:hint="default"/>
        <w:i/>
      </w:rPr>
    </w:lvl>
    <w:lvl w:ilvl="2">
      <w:start w:val="3"/>
      <w:numFmt w:val="decimal"/>
      <w:lvlText w:val="%3.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nsid w:val="7E8471F4"/>
    <w:multiLevelType w:val="hybridMultilevel"/>
    <w:tmpl w:val="CF12620C"/>
    <w:lvl w:ilvl="0" w:tplc="57885C80">
      <w:start w:val="1"/>
      <w:numFmt w:val="bullet"/>
      <w:lvlText w:val=""/>
      <w:lvlJc w:val="left"/>
      <w:pPr>
        <w:ind w:left="862" w:hanging="360"/>
      </w:pPr>
      <w:rPr>
        <w:rFonts w:ascii="Symbol" w:hAnsi="Symbol" w:hint="default"/>
      </w:rPr>
    </w:lvl>
    <w:lvl w:ilvl="1" w:tplc="09F8E382" w:tentative="1">
      <w:start w:val="1"/>
      <w:numFmt w:val="bullet"/>
      <w:lvlText w:val="o"/>
      <w:lvlJc w:val="left"/>
      <w:pPr>
        <w:ind w:left="1582" w:hanging="360"/>
      </w:pPr>
      <w:rPr>
        <w:rFonts w:ascii="Courier New" w:hAnsi="Courier New" w:cs="Courier New" w:hint="default"/>
      </w:rPr>
    </w:lvl>
    <w:lvl w:ilvl="2" w:tplc="A3428F20" w:tentative="1">
      <w:start w:val="1"/>
      <w:numFmt w:val="bullet"/>
      <w:lvlText w:val=""/>
      <w:lvlJc w:val="left"/>
      <w:pPr>
        <w:ind w:left="2302" w:hanging="360"/>
      </w:pPr>
      <w:rPr>
        <w:rFonts w:ascii="Wingdings" w:hAnsi="Wingdings" w:hint="default"/>
      </w:rPr>
    </w:lvl>
    <w:lvl w:ilvl="3" w:tplc="3296F6B4" w:tentative="1">
      <w:start w:val="1"/>
      <w:numFmt w:val="bullet"/>
      <w:lvlText w:val=""/>
      <w:lvlJc w:val="left"/>
      <w:pPr>
        <w:ind w:left="3022" w:hanging="360"/>
      </w:pPr>
      <w:rPr>
        <w:rFonts w:ascii="Symbol" w:hAnsi="Symbol" w:hint="default"/>
      </w:rPr>
    </w:lvl>
    <w:lvl w:ilvl="4" w:tplc="E79844BE" w:tentative="1">
      <w:start w:val="1"/>
      <w:numFmt w:val="bullet"/>
      <w:lvlText w:val="o"/>
      <w:lvlJc w:val="left"/>
      <w:pPr>
        <w:ind w:left="3742" w:hanging="360"/>
      </w:pPr>
      <w:rPr>
        <w:rFonts w:ascii="Courier New" w:hAnsi="Courier New" w:cs="Courier New" w:hint="default"/>
      </w:rPr>
    </w:lvl>
    <w:lvl w:ilvl="5" w:tplc="B034328E" w:tentative="1">
      <w:start w:val="1"/>
      <w:numFmt w:val="bullet"/>
      <w:lvlText w:val=""/>
      <w:lvlJc w:val="left"/>
      <w:pPr>
        <w:ind w:left="4462" w:hanging="360"/>
      </w:pPr>
      <w:rPr>
        <w:rFonts w:ascii="Wingdings" w:hAnsi="Wingdings" w:hint="default"/>
      </w:rPr>
    </w:lvl>
    <w:lvl w:ilvl="6" w:tplc="CB9A4C58" w:tentative="1">
      <w:start w:val="1"/>
      <w:numFmt w:val="bullet"/>
      <w:lvlText w:val=""/>
      <w:lvlJc w:val="left"/>
      <w:pPr>
        <w:ind w:left="5182" w:hanging="360"/>
      </w:pPr>
      <w:rPr>
        <w:rFonts w:ascii="Symbol" w:hAnsi="Symbol" w:hint="default"/>
      </w:rPr>
    </w:lvl>
    <w:lvl w:ilvl="7" w:tplc="247AB806" w:tentative="1">
      <w:start w:val="1"/>
      <w:numFmt w:val="bullet"/>
      <w:lvlText w:val="o"/>
      <w:lvlJc w:val="left"/>
      <w:pPr>
        <w:ind w:left="5902" w:hanging="360"/>
      </w:pPr>
      <w:rPr>
        <w:rFonts w:ascii="Courier New" w:hAnsi="Courier New" w:cs="Courier New" w:hint="default"/>
      </w:rPr>
    </w:lvl>
    <w:lvl w:ilvl="8" w:tplc="3FBC84B0" w:tentative="1">
      <w:start w:val="1"/>
      <w:numFmt w:val="bullet"/>
      <w:lvlText w:val=""/>
      <w:lvlJc w:val="left"/>
      <w:pPr>
        <w:ind w:left="6622" w:hanging="360"/>
      </w:pPr>
      <w:rPr>
        <w:rFonts w:ascii="Wingdings" w:hAnsi="Wingdings" w:hint="default"/>
      </w:rPr>
    </w:lvl>
  </w:abstractNum>
  <w:abstractNum w:abstractNumId="43">
    <w:nsid w:val="7F117102"/>
    <w:multiLevelType w:val="hybridMultilevel"/>
    <w:tmpl w:val="338E35EA"/>
    <w:lvl w:ilvl="0" w:tplc="6C2C40BA">
      <w:start w:val="1"/>
      <w:numFmt w:val="bullet"/>
      <w:lvlText w:val=""/>
      <w:lvlJc w:val="left"/>
      <w:pPr>
        <w:ind w:left="720" w:hanging="360"/>
      </w:pPr>
      <w:rPr>
        <w:rFonts w:ascii="Symbol" w:hAnsi="Symbol" w:hint="default"/>
      </w:rPr>
    </w:lvl>
    <w:lvl w:ilvl="1" w:tplc="A96656B2" w:tentative="1">
      <w:start w:val="1"/>
      <w:numFmt w:val="bullet"/>
      <w:lvlText w:val="o"/>
      <w:lvlJc w:val="left"/>
      <w:pPr>
        <w:ind w:left="1440" w:hanging="360"/>
      </w:pPr>
      <w:rPr>
        <w:rFonts w:ascii="Courier New" w:hAnsi="Courier New" w:cs="Courier New" w:hint="default"/>
      </w:rPr>
    </w:lvl>
    <w:lvl w:ilvl="2" w:tplc="70E219FC" w:tentative="1">
      <w:start w:val="1"/>
      <w:numFmt w:val="bullet"/>
      <w:lvlText w:val=""/>
      <w:lvlJc w:val="left"/>
      <w:pPr>
        <w:ind w:left="2160" w:hanging="360"/>
      </w:pPr>
      <w:rPr>
        <w:rFonts w:ascii="Wingdings" w:hAnsi="Wingdings" w:hint="default"/>
      </w:rPr>
    </w:lvl>
    <w:lvl w:ilvl="3" w:tplc="4FF25A4E" w:tentative="1">
      <w:start w:val="1"/>
      <w:numFmt w:val="bullet"/>
      <w:lvlText w:val=""/>
      <w:lvlJc w:val="left"/>
      <w:pPr>
        <w:ind w:left="2880" w:hanging="360"/>
      </w:pPr>
      <w:rPr>
        <w:rFonts w:ascii="Symbol" w:hAnsi="Symbol" w:hint="default"/>
      </w:rPr>
    </w:lvl>
    <w:lvl w:ilvl="4" w:tplc="D01096AC" w:tentative="1">
      <w:start w:val="1"/>
      <w:numFmt w:val="bullet"/>
      <w:lvlText w:val="o"/>
      <w:lvlJc w:val="left"/>
      <w:pPr>
        <w:ind w:left="3600" w:hanging="360"/>
      </w:pPr>
      <w:rPr>
        <w:rFonts w:ascii="Courier New" w:hAnsi="Courier New" w:cs="Courier New" w:hint="default"/>
      </w:rPr>
    </w:lvl>
    <w:lvl w:ilvl="5" w:tplc="BDAE2C0A" w:tentative="1">
      <w:start w:val="1"/>
      <w:numFmt w:val="bullet"/>
      <w:lvlText w:val=""/>
      <w:lvlJc w:val="left"/>
      <w:pPr>
        <w:ind w:left="4320" w:hanging="360"/>
      </w:pPr>
      <w:rPr>
        <w:rFonts w:ascii="Wingdings" w:hAnsi="Wingdings" w:hint="default"/>
      </w:rPr>
    </w:lvl>
    <w:lvl w:ilvl="6" w:tplc="FBDE2B74" w:tentative="1">
      <w:start w:val="1"/>
      <w:numFmt w:val="bullet"/>
      <w:lvlText w:val=""/>
      <w:lvlJc w:val="left"/>
      <w:pPr>
        <w:ind w:left="5040" w:hanging="360"/>
      </w:pPr>
      <w:rPr>
        <w:rFonts w:ascii="Symbol" w:hAnsi="Symbol" w:hint="default"/>
      </w:rPr>
    </w:lvl>
    <w:lvl w:ilvl="7" w:tplc="8214AF0C" w:tentative="1">
      <w:start w:val="1"/>
      <w:numFmt w:val="bullet"/>
      <w:lvlText w:val="o"/>
      <w:lvlJc w:val="left"/>
      <w:pPr>
        <w:ind w:left="5760" w:hanging="360"/>
      </w:pPr>
      <w:rPr>
        <w:rFonts w:ascii="Courier New" w:hAnsi="Courier New" w:cs="Courier New" w:hint="default"/>
      </w:rPr>
    </w:lvl>
    <w:lvl w:ilvl="8" w:tplc="D84A1CF4" w:tentative="1">
      <w:start w:val="1"/>
      <w:numFmt w:val="bullet"/>
      <w:lvlText w:val=""/>
      <w:lvlJc w:val="left"/>
      <w:pPr>
        <w:ind w:left="6480" w:hanging="360"/>
      </w:pPr>
      <w:rPr>
        <w:rFonts w:ascii="Wingdings" w:hAnsi="Wingdings" w:hint="default"/>
      </w:rPr>
    </w:lvl>
  </w:abstractNum>
  <w:num w:numId="1">
    <w:abstractNumId w:val="6"/>
  </w:num>
  <w:num w:numId="2">
    <w:abstractNumId w:val="23"/>
  </w:num>
  <w:num w:numId="3">
    <w:abstractNumId w:val="22"/>
  </w:num>
  <w:num w:numId="4">
    <w:abstractNumId w:val="5"/>
  </w:num>
  <w:num w:numId="5">
    <w:abstractNumId w:val="35"/>
  </w:num>
  <w:num w:numId="6">
    <w:abstractNumId w:val="13"/>
  </w:num>
  <w:num w:numId="7">
    <w:abstractNumId w:val="27"/>
  </w:num>
  <w:num w:numId="8">
    <w:abstractNumId w:val="1"/>
  </w:num>
  <w:num w:numId="9">
    <w:abstractNumId w:val="34"/>
  </w:num>
  <w:num w:numId="10">
    <w:abstractNumId w:val="24"/>
  </w:num>
  <w:num w:numId="11">
    <w:abstractNumId w:val="26"/>
  </w:num>
  <w:num w:numId="12">
    <w:abstractNumId w:val="37"/>
  </w:num>
  <w:num w:numId="13">
    <w:abstractNumId w:val="30"/>
  </w:num>
  <w:num w:numId="14">
    <w:abstractNumId w:val="7"/>
  </w:num>
  <w:num w:numId="15">
    <w:abstractNumId w:val="43"/>
  </w:num>
  <w:num w:numId="16">
    <w:abstractNumId w:val="15"/>
  </w:num>
  <w:num w:numId="17">
    <w:abstractNumId w:val="20"/>
  </w:num>
  <w:num w:numId="18">
    <w:abstractNumId w:val="36"/>
  </w:num>
  <w:num w:numId="19">
    <w:abstractNumId w:val="38"/>
  </w:num>
  <w:num w:numId="20">
    <w:abstractNumId w:val="28"/>
  </w:num>
  <w:num w:numId="21">
    <w:abstractNumId w:val="39"/>
  </w:num>
  <w:num w:numId="22">
    <w:abstractNumId w:val="0"/>
  </w:num>
  <w:num w:numId="23">
    <w:abstractNumId w:val="42"/>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19"/>
  </w:num>
  <w:num w:numId="28">
    <w:abstractNumId w:val="3"/>
  </w:num>
  <w:num w:numId="29">
    <w:abstractNumId w:val="12"/>
  </w:num>
  <w:num w:numId="30">
    <w:abstractNumId w:val="31"/>
  </w:num>
  <w:num w:numId="31">
    <w:abstractNumId w:val="21"/>
  </w:num>
  <w:num w:numId="32">
    <w:abstractNumId w:val="25"/>
  </w:num>
  <w:num w:numId="33">
    <w:abstractNumId w:val="33"/>
  </w:num>
  <w:num w:numId="34">
    <w:abstractNumId w:val="8"/>
  </w:num>
  <w:num w:numId="35">
    <w:abstractNumId w:val="10"/>
  </w:num>
  <w:num w:numId="36">
    <w:abstractNumId w:val="11"/>
  </w:num>
  <w:num w:numId="37">
    <w:abstractNumId w:val="41"/>
  </w:num>
  <w:num w:numId="38">
    <w:abstractNumId w:val="16"/>
  </w:num>
  <w:num w:numId="39">
    <w:abstractNumId w:val="40"/>
  </w:num>
  <w:num w:numId="40">
    <w:abstractNumId w:val="9"/>
  </w:num>
  <w:num w:numId="41">
    <w:abstractNumId w:val="18"/>
  </w:num>
  <w:num w:numId="42">
    <w:abstractNumId w:val="4"/>
  </w:num>
  <w:num w:numId="43">
    <w:abstractNumId w:val="17"/>
  </w:num>
  <w:num w:numId="44">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1BD"/>
    <w:rsid w:val="00017F75"/>
    <w:rsid w:val="00040620"/>
    <w:rsid w:val="00155009"/>
    <w:rsid w:val="00210434"/>
    <w:rsid w:val="002F21BD"/>
    <w:rsid w:val="003869C7"/>
    <w:rsid w:val="003B0403"/>
    <w:rsid w:val="003C3FD6"/>
    <w:rsid w:val="00442F4F"/>
    <w:rsid w:val="004B43F4"/>
    <w:rsid w:val="005E3E93"/>
    <w:rsid w:val="00671563"/>
    <w:rsid w:val="006852C1"/>
    <w:rsid w:val="006859B1"/>
    <w:rsid w:val="006B2036"/>
    <w:rsid w:val="006E170D"/>
    <w:rsid w:val="0071292D"/>
    <w:rsid w:val="00745D14"/>
    <w:rsid w:val="00746DA5"/>
    <w:rsid w:val="00777446"/>
    <w:rsid w:val="007A1198"/>
    <w:rsid w:val="008361A7"/>
    <w:rsid w:val="00915C0D"/>
    <w:rsid w:val="0096059A"/>
    <w:rsid w:val="00AD1241"/>
    <w:rsid w:val="00C32C1C"/>
    <w:rsid w:val="00C35437"/>
    <w:rsid w:val="00C9559B"/>
    <w:rsid w:val="00C97B7B"/>
    <w:rsid w:val="00CE5909"/>
    <w:rsid w:val="00D16E43"/>
    <w:rsid w:val="00D421FA"/>
    <w:rsid w:val="00D71B82"/>
    <w:rsid w:val="00DE2F44"/>
    <w:rsid w:val="00E14474"/>
    <w:rsid w:val="00E40AB1"/>
    <w:rsid w:val="00E92291"/>
    <w:rsid w:val="00F10732"/>
    <w:rsid w:val="00F12424"/>
    <w:rsid w:val="00FA62AD"/>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617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locked="1" w:uiPriority="39"/>
    <w:lsdException w:name="toc 2" w:locked="1" w:uiPriority="39"/>
    <w:lsdException w:name="toc 3" w:locked="1" w:uiPriority="39"/>
    <w:lsdException w:name="footnote text" w:uiPriority="99" w:qFormat="1"/>
    <w:lsdException w:name="annotation text" w:uiPriority="99"/>
    <w:lsdException w:name="header" w:locked="1"/>
    <w:lsdException w:name="footer" w:uiPriority="99"/>
    <w:lsdException w:name="caption" w:locked="1" w:qFormat="1"/>
    <w:lsdException w:name="footnote reference" w:uiPriority="99" w:qFormat="1"/>
    <w:lsdException w:name="annotation reference" w:uiPriority="99"/>
    <w:lsdException w:name="endnote reference" w:locked="1"/>
    <w:lsdException w:name="endnote text" w:locked="1"/>
    <w:lsdException w:name="List Number 2" w:semiHidden="0" w:unhideWhenUsed="0"/>
    <w:lsdException w:name="List Number 5" w:semiHidden="0" w:unhideWhenUsed="0"/>
    <w:lsdException w:name="Title" w:locked="1" w:semiHidden="0" w:unhideWhenUsed="0" w:qFormat="1"/>
    <w:lsdException w:name="Default Paragraph Font" w:uiPriority="1"/>
    <w:lsdException w:name="Subtitle" w:locked="1" w:semiHidden="0" w:unhideWhenUsed="0" w:qFormat="1"/>
    <w:lsdException w:name="Note Heading" w:semiHidden="0"/>
    <w:lsdException w:name="Body Text Indent 3" w:locked="1" w:semiHidden="0" w:unhideWhenUsed="0"/>
    <w:lsdException w:name="Block Text" w:semiHidden="0" w:unhideWhenUsed="0"/>
    <w:lsdException w:name="Hyperlink" w:locked="1" w:semiHidden="0" w:uiPriority="99" w:unhideWhenUsed="0"/>
    <w:lsdException w:name="FollowedHyperlink" w:semiHidden="0" w:unhideWhenUsed="0"/>
    <w:lsdException w:name="Strong" w:locked="1" w:semiHidden="0" w:uiPriority="22" w:unhideWhenUsed="0" w:qFormat="1"/>
    <w:lsdException w:name="Emphasis" w:locked="1" w:semiHidden="0" w:uiPriority="20" w:unhideWhenUsed="0" w:qFormat="1"/>
    <w:lsdException w:name="Normal (Web)" w:uiPriority="99"/>
    <w:lsdException w:name="No List" w:locked="1"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61"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116"/>
    <w:rPr>
      <w:rFonts w:ascii="Arial" w:hAnsi="Arial"/>
      <w:lang w:val="en-US" w:eastAsia="en-US"/>
    </w:rPr>
  </w:style>
  <w:style w:type="paragraph" w:styleId="Heading1">
    <w:name w:val="heading 1"/>
    <w:basedOn w:val="Heading2"/>
    <w:next w:val="Normal"/>
    <w:link w:val="Heading1Char"/>
    <w:qFormat/>
    <w:rsid w:val="00504996"/>
    <w:pPr>
      <w:outlineLvl w:val="0"/>
    </w:pPr>
    <w:rPr>
      <w:i/>
    </w:rPr>
  </w:style>
  <w:style w:type="paragraph" w:styleId="Heading2">
    <w:name w:val="heading 2"/>
    <w:basedOn w:val="Normal"/>
    <w:next w:val="Normal"/>
    <w:qFormat/>
    <w:rsid w:val="004524D3"/>
    <w:pPr>
      <w:keepNext/>
      <w:jc w:val="center"/>
      <w:outlineLvl w:val="1"/>
    </w:pPr>
    <w:rPr>
      <w:rFonts w:ascii="Times New Roman" w:hAnsi="Times New Roman"/>
      <w:b/>
      <w:bCs/>
      <w:iCs/>
      <w:sz w:val="22"/>
      <w:szCs w:val="22"/>
      <w:lang w:val="es-ES_tradnl"/>
    </w:rPr>
  </w:style>
  <w:style w:type="paragraph" w:styleId="Heading3">
    <w:name w:val="heading 3"/>
    <w:basedOn w:val="Normal"/>
    <w:next w:val="Normal"/>
    <w:link w:val="Heading3Char"/>
    <w:qFormat/>
    <w:rsid w:val="00685536"/>
    <w:pPr>
      <w:keepNext/>
      <w:spacing w:before="240" w:after="60"/>
      <w:outlineLvl w:val="2"/>
    </w:pPr>
    <w:rPr>
      <w:rFonts w:ascii="Times New Roman" w:hAnsi="Times New Roman"/>
      <w:i/>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57EEA"/>
    <w:pPr>
      <w:jc w:val="center"/>
    </w:pPr>
    <w:rPr>
      <w:rFonts w:ascii="Times New Roman" w:hAnsi="Times New Roman"/>
      <w:b/>
      <w:sz w:val="24"/>
      <w:lang w:val="es-ES_tradnl"/>
    </w:rPr>
  </w:style>
  <w:style w:type="paragraph" w:styleId="Footer">
    <w:name w:val="footer"/>
    <w:basedOn w:val="Normal"/>
    <w:link w:val="FooterChar"/>
    <w:uiPriority w:val="99"/>
    <w:rsid w:val="00657EEA"/>
    <w:pPr>
      <w:tabs>
        <w:tab w:val="center" w:pos="4320"/>
        <w:tab w:val="right" w:pos="8640"/>
      </w:tabs>
    </w:pPr>
    <w:rPr>
      <w:rFonts w:ascii="Times New Roman" w:hAnsi="Times New Roman"/>
      <w:sz w:val="24"/>
      <w:szCs w:val="24"/>
      <w:lang w:val="es-ES"/>
    </w:rPr>
  </w:style>
  <w:style w:type="character" w:styleId="PageNumber">
    <w:name w:val="page number"/>
    <w:rsid w:val="00657EEA"/>
    <w:rPr>
      <w:rFonts w:cs="Times New Roman"/>
    </w:rPr>
  </w:style>
  <w:style w:type="paragraph" w:styleId="BodyText3">
    <w:name w:val="Body Text 3"/>
    <w:basedOn w:val="Normal"/>
    <w:rsid w:val="00657EEA"/>
    <w:pPr>
      <w:jc w:val="center"/>
    </w:pPr>
    <w:rPr>
      <w:rFonts w:ascii="Times New Roman" w:hAnsi="Times New Roman"/>
      <w:b/>
      <w:bCs/>
      <w:sz w:val="24"/>
      <w:szCs w:val="24"/>
      <w:lang w:val="es-ES_tradnl"/>
    </w:rPr>
  </w:style>
  <w:style w:type="paragraph" w:styleId="FootnoteText">
    <w:name w:val="footnote text"/>
    <w:aliases w:val="Boston 10,FOOTNOTES,Font: Geneva 9,Footnote Text Char,Footnote Text Char Char,Geneva 9,Texto de rodapé,Texto nota pie Car Car,Texto nota pie Car Car Car,Texto nota pie Car1,f,fn,footnote,ft,nota de rodapé,nota_rodapé,single space"/>
    <w:basedOn w:val="Normal"/>
    <w:link w:val="FootnoteTextChar2"/>
    <w:uiPriority w:val="99"/>
    <w:qFormat/>
    <w:rsid w:val="00B2700D"/>
  </w:style>
  <w:style w:type="character" w:styleId="FootnoteReference">
    <w:name w:val="footnote reference"/>
    <w:aliases w:val=" BVI fnr,16 Point,BVI fnr,EN Footnote Reference,FC,Footnote,Footnote Reference Number,Normal + Font:9 Point,Ref,SUPERS,Superscript 3 Point Times,Superscript 6 Point,de nota al pie,ftref,number,referencia nota al pie,titulo 2"/>
    <w:uiPriority w:val="99"/>
    <w:qFormat/>
    <w:rsid w:val="00B2700D"/>
    <w:rPr>
      <w:vertAlign w:val="superscript"/>
    </w:rPr>
  </w:style>
  <w:style w:type="paragraph" w:customStyle="1" w:styleId="Default">
    <w:name w:val="Default"/>
    <w:rsid w:val="0010137A"/>
    <w:pPr>
      <w:autoSpaceDE w:val="0"/>
      <w:autoSpaceDN w:val="0"/>
      <w:adjustRightInd w:val="0"/>
    </w:pPr>
    <w:rPr>
      <w:color w:val="000000"/>
      <w:sz w:val="24"/>
      <w:szCs w:val="24"/>
      <w:lang w:val="es-ES" w:eastAsia="es-ES"/>
    </w:rPr>
  </w:style>
  <w:style w:type="paragraph" w:styleId="NormalWeb">
    <w:name w:val="Normal (Web)"/>
    <w:basedOn w:val="Normal"/>
    <w:uiPriority w:val="99"/>
    <w:rsid w:val="00605042"/>
    <w:rPr>
      <w:rFonts w:ascii="Times New Roman" w:hAnsi="Times New Roman"/>
      <w:sz w:val="24"/>
      <w:szCs w:val="24"/>
    </w:rPr>
  </w:style>
  <w:style w:type="paragraph" w:customStyle="1" w:styleId="TOCHeading1">
    <w:name w:val="TOC Heading1"/>
    <w:basedOn w:val="Heading1"/>
    <w:next w:val="Normal"/>
    <w:rsid w:val="00685536"/>
    <w:pPr>
      <w:keepLines/>
      <w:spacing w:before="480" w:line="276" w:lineRule="auto"/>
      <w:outlineLvl w:val="9"/>
    </w:pPr>
    <w:rPr>
      <w:rFonts w:ascii="Cambria" w:hAnsi="Cambria"/>
      <w:color w:val="365F91"/>
      <w:sz w:val="28"/>
      <w:szCs w:val="28"/>
      <w:lang w:val="es-ES"/>
    </w:rPr>
  </w:style>
  <w:style w:type="paragraph" w:styleId="TOC3">
    <w:name w:val="toc 3"/>
    <w:basedOn w:val="Normal"/>
    <w:next w:val="Normal"/>
    <w:autoRedefine/>
    <w:uiPriority w:val="39"/>
    <w:rsid w:val="00456867"/>
    <w:pPr>
      <w:tabs>
        <w:tab w:val="right" w:leader="dot" w:pos="8630"/>
      </w:tabs>
      <w:ind w:left="400"/>
    </w:pPr>
    <w:rPr>
      <w:rFonts w:ascii="Times New Roman" w:hAnsi="Times New Roman"/>
      <w:i/>
      <w:iCs/>
      <w:noProof/>
      <w:lang w:val="es-ES_tradnl"/>
    </w:rPr>
  </w:style>
  <w:style w:type="paragraph" w:styleId="TOC2">
    <w:name w:val="toc 2"/>
    <w:basedOn w:val="Normal"/>
    <w:next w:val="Normal"/>
    <w:autoRedefine/>
    <w:uiPriority w:val="39"/>
    <w:rsid w:val="00CB3858"/>
    <w:pPr>
      <w:tabs>
        <w:tab w:val="right" w:leader="dot" w:pos="8630"/>
      </w:tabs>
    </w:pPr>
    <w:rPr>
      <w:rFonts w:ascii="Times New Roman" w:hAnsi="Times New Roman"/>
      <w:b/>
      <w:smallCaps/>
      <w:noProof/>
    </w:rPr>
  </w:style>
  <w:style w:type="character" w:styleId="Hyperlink">
    <w:name w:val="Hyperlink"/>
    <w:uiPriority w:val="99"/>
    <w:rsid w:val="00685536"/>
    <w:rPr>
      <w:color w:val="0000FF"/>
      <w:u w:val="single"/>
    </w:rPr>
  </w:style>
  <w:style w:type="paragraph" w:styleId="Subtitle">
    <w:name w:val="Subtitle"/>
    <w:basedOn w:val="Normal"/>
    <w:next w:val="Normal"/>
    <w:link w:val="SubtitleChar"/>
    <w:qFormat/>
    <w:rsid w:val="00685536"/>
    <w:pPr>
      <w:spacing w:after="60"/>
      <w:jc w:val="center"/>
      <w:outlineLvl w:val="1"/>
    </w:pPr>
    <w:rPr>
      <w:rFonts w:ascii="Cambria" w:hAnsi="Cambria"/>
      <w:sz w:val="24"/>
    </w:rPr>
  </w:style>
  <w:style w:type="character" w:customStyle="1" w:styleId="SubtitleChar">
    <w:name w:val="Subtitle Char"/>
    <w:link w:val="Subtitle"/>
    <w:locked/>
    <w:rsid w:val="00685536"/>
    <w:rPr>
      <w:rFonts w:ascii="Cambria" w:hAnsi="Cambria"/>
      <w:sz w:val="24"/>
      <w:lang w:val="en-US" w:eastAsia="en-US"/>
    </w:rPr>
  </w:style>
  <w:style w:type="paragraph" w:styleId="EndnoteText">
    <w:name w:val="endnote text"/>
    <w:basedOn w:val="Normal"/>
    <w:link w:val="EndnoteTextChar"/>
    <w:semiHidden/>
    <w:rsid w:val="00685536"/>
  </w:style>
  <w:style w:type="character" w:customStyle="1" w:styleId="EndnoteTextChar">
    <w:name w:val="Endnote Text Char"/>
    <w:link w:val="EndnoteText"/>
    <w:semiHidden/>
    <w:locked/>
    <w:rsid w:val="00685536"/>
    <w:rPr>
      <w:rFonts w:ascii="Arial" w:hAnsi="Arial"/>
      <w:lang w:val="en-US" w:eastAsia="en-US"/>
    </w:rPr>
  </w:style>
  <w:style w:type="character" w:styleId="EndnoteReference">
    <w:name w:val="endnote reference"/>
    <w:semiHidden/>
    <w:rsid w:val="00685536"/>
    <w:rPr>
      <w:vertAlign w:val="superscript"/>
    </w:rPr>
  </w:style>
  <w:style w:type="paragraph" w:customStyle="1" w:styleId="ListParagraph1">
    <w:name w:val="List Paragraph1"/>
    <w:basedOn w:val="Normal"/>
    <w:rsid w:val="00207B49"/>
    <w:pPr>
      <w:ind w:left="708"/>
    </w:pPr>
  </w:style>
  <w:style w:type="paragraph" w:styleId="TOC1">
    <w:name w:val="toc 1"/>
    <w:basedOn w:val="Normal"/>
    <w:next w:val="Normal"/>
    <w:autoRedefine/>
    <w:uiPriority w:val="39"/>
    <w:rsid w:val="000822B7"/>
    <w:pPr>
      <w:spacing w:before="120" w:after="120"/>
    </w:pPr>
    <w:rPr>
      <w:rFonts w:ascii="Times New Roman" w:hAnsi="Times New Roman"/>
      <w:b/>
      <w:bCs/>
      <w:caps/>
    </w:rPr>
  </w:style>
  <w:style w:type="paragraph" w:styleId="BalloonText">
    <w:name w:val="Balloon Text"/>
    <w:basedOn w:val="Normal"/>
    <w:semiHidden/>
    <w:rsid w:val="00A71618"/>
    <w:rPr>
      <w:rFonts w:ascii="Tahoma" w:hAnsi="Tahoma" w:cs="Tahoma"/>
      <w:sz w:val="16"/>
      <w:szCs w:val="16"/>
    </w:rPr>
  </w:style>
  <w:style w:type="character" w:customStyle="1" w:styleId="Heading3Char">
    <w:name w:val="Heading 3 Char"/>
    <w:link w:val="Heading3"/>
    <w:locked/>
    <w:rsid w:val="00362A45"/>
    <w:rPr>
      <w:i/>
      <w:sz w:val="26"/>
      <w:lang w:val="en-US" w:eastAsia="en-US"/>
    </w:rPr>
  </w:style>
  <w:style w:type="paragraph" w:customStyle="1" w:styleId="Titulo4">
    <w:name w:val="Titulo 4"/>
    <w:basedOn w:val="Normal"/>
    <w:link w:val="Titulo4Car"/>
    <w:rsid w:val="007068FB"/>
    <w:pPr>
      <w:ind w:left="720"/>
    </w:pPr>
    <w:rPr>
      <w:u w:val="single"/>
    </w:rPr>
  </w:style>
  <w:style w:type="character" w:customStyle="1" w:styleId="Titulo4Car">
    <w:name w:val="Titulo 4 Car"/>
    <w:link w:val="Titulo4"/>
    <w:locked/>
    <w:rsid w:val="007068FB"/>
    <w:rPr>
      <w:rFonts w:ascii="Arial" w:hAnsi="Arial"/>
      <w:u w:val="single"/>
      <w:lang w:val="en-US" w:eastAsia="en-US"/>
    </w:rPr>
  </w:style>
  <w:style w:type="paragraph" w:customStyle="1" w:styleId="NormalTimesNewRoman">
    <w:name w:val="Normal + Times New Roman"/>
    <w:aliases w:val="11 pt,Justificado,Titulo4"/>
    <w:basedOn w:val="Normal"/>
    <w:rsid w:val="007068FB"/>
    <w:pPr>
      <w:tabs>
        <w:tab w:val="num" w:pos="958"/>
      </w:tabs>
      <w:ind w:left="144"/>
      <w:jc w:val="both"/>
    </w:pPr>
    <w:rPr>
      <w:rFonts w:ascii="Times New Roman" w:hAnsi="Times New Roman"/>
      <w:sz w:val="22"/>
      <w:szCs w:val="22"/>
    </w:rPr>
  </w:style>
  <w:style w:type="paragraph" w:styleId="TOC5">
    <w:name w:val="toc 5"/>
    <w:basedOn w:val="Normal"/>
    <w:next w:val="Normal"/>
    <w:autoRedefine/>
    <w:semiHidden/>
    <w:rsid w:val="000822B7"/>
    <w:pPr>
      <w:ind w:left="800"/>
    </w:pPr>
    <w:rPr>
      <w:rFonts w:ascii="Times New Roman" w:hAnsi="Times New Roman"/>
      <w:sz w:val="18"/>
      <w:szCs w:val="18"/>
    </w:rPr>
  </w:style>
  <w:style w:type="paragraph" w:styleId="TOC4">
    <w:name w:val="toc 4"/>
    <w:basedOn w:val="Normal"/>
    <w:next w:val="Normal"/>
    <w:autoRedefine/>
    <w:semiHidden/>
    <w:rsid w:val="000822B7"/>
    <w:pPr>
      <w:ind w:left="600"/>
    </w:pPr>
    <w:rPr>
      <w:rFonts w:ascii="Times New Roman" w:hAnsi="Times New Roman"/>
      <w:sz w:val="18"/>
      <w:szCs w:val="18"/>
    </w:rPr>
  </w:style>
  <w:style w:type="paragraph" w:styleId="TOC6">
    <w:name w:val="toc 6"/>
    <w:basedOn w:val="Normal"/>
    <w:next w:val="Normal"/>
    <w:autoRedefine/>
    <w:semiHidden/>
    <w:rsid w:val="000822B7"/>
    <w:pPr>
      <w:ind w:left="1000"/>
    </w:pPr>
    <w:rPr>
      <w:rFonts w:ascii="Times New Roman" w:hAnsi="Times New Roman"/>
      <w:sz w:val="18"/>
      <w:szCs w:val="18"/>
    </w:rPr>
  </w:style>
  <w:style w:type="paragraph" w:styleId="TOC7">
    <w:name w:val="toc 7"/>
    <w:basedOn w:val="Normal"/>
    <w:next w:val="Normal"/>
    <w:autoRedefine/>
    <w:semiHidden/>
    <w:rsid w:val="000822B7"/>
    <w:pPr>
      <w:ind w:left="1200"/>
    </w:pPr>
    <w:rPr>
      <w:rFonts w:ascii="Times New Roman" w:hAnsi="Times New Roman"/>
      <w:sz w:val="18"/>
      <w:szCs w:val="18"/>
    </w:rPr>
  </w:style>
  <w:style w:type="paragraph" w:styleId="TOC8">
    <w:name w:val="toc 8"/>
    <w:basedOn w:val="Normal"/>
    <w:next w:val="Normal"/>
    <w:autoRedefine/>
    <w:semiHidden/>
    <w:rsid w:val="000822B7"/>
    <w:pPr>
      <w:ind w:left="1400"/>
    </w:pPr>
    <w:rPr>
      <w:rFonts w:ascii="Times New Roman" w:hAnsi="Times New Roman"/>
      <w:sz w:val="18"/>
      <w:szCs w:val="18"/>
    </w:rPr>
  </w:style>
  <w:style w:type="paragraph" w:styleId="TOC9">
    <w:name w:val="toc 9"/>
    <w:basedOn w:val="Normal"/>
    <w:next w:val="Normal"/>
    <w:autoRedefine/>
    <w:semiHidden/>
    <w:rsid w:val="000822B7"/>
    <w:pPr>
      <w:ind w:left="1600"/>
    </w:pPr>
    <w:rPr>
      <w:rFonts w:ascii="Times New Roman" w:hAnsi="Times New Roman"/>
      <w:sz w:val="18"/>
      <w:szCs w:val="18"/>
    </w:rPr>
  </w:style>
  <w:style w:type="paragraph" w:customStyle="1" w:styleId="NormalWeb1">
    <w:name w:val="Normal (Web)1"/>
    <w:basedOn w:val="Normal"/>
    <w:rsid w:val="00717681"/>
    <w:pPr>
      <w:spacing w:before="100" w:beforeAutospacing="1" w:after="100" w:afterAutospacing="1"/>
    </w:pPr>
    <w:rPr>
      <w:rFonts w:ascii="Times New Roman" w:hAnsi="Times New Roman"/>
      <w:sz w:val="24"/>
      <w:szCs w:val="24"/>
      <w:lang w:val="es-ES" w:eastAsia="es-ES"/>
    </w:rPr>
  </w:style>
  <w:style w:type="paragraph" w:styleId="Header">
    <w:name w:val="header"/>
    <w:basedOn w:val="Normal"/>
    <w:link w:val="HeaderChar"/>
    <w:rsid w:val="00717681"/>
    <w:pPr>
      <w:tabs>
        <w:tab w:val="center" w:pos="4252"/>
        <w:tab w:val="right" w:pos="8504"/>
      </w:tabs>
    </w:pPr>
  </w:style>
  <w:style w:type="table" w:styleId="TableWeb2">
    <w:name w:val="Table Web 2"/>
    <w:basedOn w:val="TableNormal"/>
    <w:rsid w:val="00D70095"/>
    <w:tblPr>
      <w:tblCellSpacing w:w="20" w:type="dxa"/>
    </w:tblPr>
    <w:trPr>
      <w:tblCellSpacing w:w="20" w:type="dxa"/>
    </w:trPr>
    <w:tcPr>
      <w:shd w:val="clear" w:color="auto" w:fill="F3F3F3"/>
    </w:tcPr>
    <w:tblStylePr w:type="firstRow">
      <w:rPr>
        <w:rFonts w:cs="Times New Roman"/>
        <w:b/>
        <w:color w:val="000000"/>
      </w:rPr>
      <w:tblPr/>
      <w:tcPr>
        <w:shd w:val="clear" w:color="auto" w:fill="CCFFFF"/>
      </w:tcPr>
    </w:tblStylePr>
    <w:tblStylePr w:type="firstCol">
      <w:rPr>
        <w:rFonts w:cs="Times New Roman"/>
        <w:b/>
      </w:rPr>
      <w:tblPr/>
      <w:tcPr>
        <w:shd w:val="clear" w:color="auto" w:fill="CCFFFF"/>
      </w:tcPr>
    </w:tblStylePr>
    <w:tblStylePr w:type="nwCell">
      <w:rPr>
        <w:rFonts w:cs="Times New Roman"/>
        <w:b/>
        <w:color w:val="auto"/>
        <w:sz w:val="24"/>
      </w:rPr>
      <w:tblPr/>
      <w:tcPr>
        <w:shd w:val="clear" w:color="auto" w:fill="CCFFFF"/>
      </w:tcPr>
    </w:tblStylePr>
  </w:style>
  <w:style w:type="character" w:customStyle="1" w:styleId="HeaderChar">
    <w:name w:val="Header Char"/>
    <w:link w:val="Header"/>
    <w:locked/>
    <w:rsid w:val="00DD3757"/>
    <w:rPr>
      <w:rFonts w:ascii="Arial" w:hAnsi="Arial"/>
      <w:lang w:val="en-US" w:eastAsia="en-US"/>
    </w:rPr>
  </w:style>
  <w:style w:type="paragraph" w:customStyle="1" w:styleId="SPLAP1">
    <w:name w:val="SPLAP 1"/>
    <w:basedOn w:val="Heading1"/>
    <w:rsid w:val="00D0244F"/>
    <w:pPr>
      <w:numPr>
        <w:numId w:val="2"/>
      </w:numPr>
      <w:pBdr>
        <w:bottom w:val="single" w:sz="4" w:space="1" w:color="auto"/>
      </w:pBdr>
      <w:spacing w:before="240" w:after="240"/>
      <w:jc w:val="left"/>
    </w:pPr>
    <w:rPr>
      <w:rFonts w:ascii="Arial" w:hAnsi="Arial"/>
      <w:bCs w:val="0"/>
      <w:i w:val="0"/>
      <w:iCs w:val="0"/>
      <w:kern w:val="32"/>
      <w:sz w:val="24"/>
      <w:szCs w:val="32"/>
      <w:lang w:val="en-AU"/>
    </w:rPr>
  </w:style>
  <w:style w:type="paragraph" w:customStyle="1" w:styleId="SPLAP2">
    <w:name w:val="SPLAP 2"/>
    <w:basedOn w:val="Heading2"/>
    <w:rsid w:val="00D0244F"/>
    <w:pPr>
      <w:numPr>
        <w:ilvl w:val="1"/>
        <w:numId w:val="2"/>
      </w:numPr>
      <w:tabs>
        <w:tab w:val="num" w:pos="567"/>
      </w:tabs>
      <w:spacing w:before="240" w:after="60"/>
      <w:ind w:left="567" w:hanging="567"/>
      <w:jc w:val="left"/>
      <w:outlineLvl w:val="0"/>
    </w:pPr>
    <w:rPr>
      <w:rFonts w:ascii="Arial" w:hAnsi="Arial"/>
      <w:bCs w:val="0"/>
      <w:i/>
      <w:iCs w:val="0"/>
      <w:sz w:val="24"/>
      <w:szCs w:val="28"/>
      <w:lang w:val="en-AU"/>
    </w:rPr>
  </w:style>
  <w:style w:type="paragraph" w:customStyle="1" w:styleId="SPLAP3">
    <w:name w:val="SPLAP 3"/>
    <w:basedOn w:val="Heading3"/>
    <w:rsid w:val="00D0244F"/>
    <w:pPr>
      <w:numPr>
        <w:ilvl w:val="2"/>
        <w:numId w:val="2"/>
      </w:numPr>
    </w:pPr>
    <w:rPr>
      <w:rFonts w:ascii="Arial" w:hAnsi="Arial"/>
      <w:bCs/>
      <w:lang w:val="en-AU"/>
    </w:rPr>
  </w:style>
  <w:style w:type="paragraph" w:customStyle="1" w:styleId="ICLEIfont">
    <w:name w:val="ICLEI font"/>
    <w:basedOn w:val="Normal"/>
    <w:rsid w:val="00D0244F"/>
    <w:pPr>
      <w:spacing w:after="120"/>
    </w:pPr>
    <w:rPr>
      <w:sz w:val="22"/>
      <w:lang w:val="en-AU"/>
    </w:rPr>
  </w:style>
  <w:style w:type="paragraph" w:customStyle="1" w:styleId="LAPbodytext">
    <w:name w:val="LAP body text"/>
    <w:basedOn w:val="Normal"/>
    <w:rsid w:val="004701EC"/>
    <w:pPr>
      <w:jc w:val="both"/>
    </w:pPr>
    <w:rPr>
      <w:rFonts w:ascii="Verdana" w:hAnsi="Verdana"/>
      <w:color w:val="003366"/>
      <w:lang w:val="en-AU"/>
    </w:rPr>
  </w:style>
  <w:style w:type="character" w:styleId="FollowedHyperlink">
    <w:name w:val="FollowedHyperlink"/>
    <w:rsid w:val="00C03318"/>
    <w:rPr>
      <w:color w:val="800080"/>
      <w:u w:val="single"/>
    </w:rPr>
  </w:style>
  <w:style w:type="character" w:styleId="Emphasis">
    <w:name w:val="Emphasis"/>
    <w:uiPriority w:val="20"/>
    <w:qFormat/>
    <w:rsid w:val="007A0A9F"/>
    <w:rPr>
      <w:i/>
    </w:rPr>
  </w:style>
  <w:style w:type="paragraph" w:customStyle="1" w:styleId="SecHeading">
    <w:name w:val="SecHeading"/>
    <w:basedOn w:val="Normal"/>
    <w:next w:val="Normal"/>
    <w:rsid w:val="00BA1559"/>
    <w:pPr>
      <w:keepNext/>
      <w:numPr>
        <w:ilvl w:val="1"/>
        <w:numId w:val="3"/>
      </w:numPr>
      <w:tabs>
        <w:tab w:val="left" w:pos="720"/>
      </w:tabs>
      <w:spacing w:before="120" w:after="120"/>
      <w:jc w:val="both"/>
    </w:pPr>
    <w:rPr>
      <w:rFonts w:ascii="Times New Roman" w:hAnsi="Times New Roman"/>
      <w:sz w:val="24"/>
      <w:lang w:val="es-ES_tradnl"/>
    </w:rPr>
  </w:style>
  <w:style w:type="character" w:customStyle="1" w:styleId="FootnoteTextChar2">
    <w:name w:val="Footnote Text Char2"/>
    <w:aliases w:val="Boston 10 Char,FOOTNOTES Char1,Font: Geneva 9 Char,Footnote Text Char Char2,Footnote Text Char Char Char1,Geneva 9 Char,Texto de rodapé Char1,Texto nota pie Car Car Char1,Texto nota pie Car Car Car Char,Texto nota pie Car1 Char"/>
    <w:link w:val="FootnoteText"/>
    <w:uiPriority w:val="99"/>
    <w:locked/>
    <w:rsid w:val="00336BBF"/>
    <w:rPr>
      <w:rFonts w:ascii="Arial" w:hAnsi="Arial"/>
      <w:lang w:val="en-US" w:eastAsia="en-US"/>
    </w:rPr>
  </w:style>
  <w:style w:type="table" w:customStyle="1" w:styleId="Sombreadoclaro1">
    <w:name w:val="Sombreado claro1"/>
    <w:rsid w:val="00E64D3F"/>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styleId="TableClassic1">
    <w:name w:val="Table Classic 1"/>
    <w:basedOn w:val="TableNormal"/>
    <w:rsid w:val="002F12ED"/>
    <w:tblPr>
      <w:tblBorders>
        <w:top w:val="single" w:sz="12" w:space="0" w:color="000000"/>
        <w:bottom w:val="single" w:sz="12" w:space="0" w:color="000000"/>
      </w:tblBorders>
    </w:tblPr>
    <w:tblStylePr w:type="firstRow">
      <w:rPr>
        <w:rFonts w:cs="Times New Roman"/>
        <w:i/>
        <w:iCs/>
      </w:rPr>
      <w:tblPr/>
      <w:tcPr>
        <w:tcBorders>
          <w:bottom w:val="single" w:sz="6" w:space="0" w:color="000000"/>
        </w:tcBorders>
      </w:tcPr>
    </w:tblStylePr>
    <w:tblStylePr w:type="lastRow">
      <w:rPr>
        <w:rFonts w:cs="Times New Roman"/>
        <w:color w:val="auto"/>
      </w:rPr>
      <w:tblPr/>
      <w:tcPr>
        <w:tcBorders>
          <w:top w:val="single" w:sz="6" w:space="0" w:color="000000"/>
        </w:tcBorders>
      </w:tcPr>
    </w:tblStylePr>
    <w:tblStylePr w:type="firstCol">
      <w:rPr>
        <w:rFonts w:cs="Times New Roman"/>
      </w:rPr>
      <w:tblPr/>
      <w:tcPr>
        <w:tcBorders>
          <w:right w:val="single" w:sz="6" w:space="0" w:color="000000"/>
        </w:tcBorders>
      </w:tcPr>
    </w:tblStylePr>
    <w:tblStylePr w:type="neCell">
      <w:rPr>
        <w:rFonts w:cs="Times New Roman"/>
        <w:b/>
        <w:bCs/>
        <w:i w:val="0"/>
        <w:iCs w:val="0"/>
      </w:rPr>
    </w:tblStylePr>
    <w:tblStylePr w:type="swCell">
      <w:rPr>
        <w:rFonts w:cs="Times New Roman"/>
        <w:b/>
        <w:bCs/>
      </w:rPr>
    </w:tblStylePr>
  </w:style>
  <w:style w:type="table" w:styleId="TableClassic2">
    <w:name w:val="Table Classic 2"/>
    <w:basedOn w:val="TableNormal"/>
    <w:rsid w:val="002F12ED"/>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cBorders>
        <w:shd w:val="solid" w:color="800080" w:fill="FFFFFF"/>
      </w:tcPr>
    </w:tblStylePr>
    <w:tblStylePr w:type="lastRow">
      <w:rPr>
        <w:rFonts w:cs="Times New Roman"/>
      </w:rPr>
      <w:tblPr/>
      <w:tcPr>
        <w:tcBorders>
          <w:top w:val="single" w:sz="6" w:space="0" w:color="000000"/>
        </w:tcBorders>
      </w:tcPr>
    </w:tblStylePr>
    <w:tblStylePr w:type="firstCol">
      <w:rPr>
        <w:rFonts w:cs="Times New Roman"/>
        <w:b/>
        <w:bCs/>
      </w:rPr>
      <w:tblPr/>
      <w:tcPr>
        <w:shd w:val="solid" w:color="C0C0C0" w:fill="FFFFFF"/>
      </w:tcPr>
    </w:tblStylePr>
    <w:tblStylePr w:type="neCell">
      <w:rPr>
        <w:rFonts w:cs="Times New Roman"/>
        <w:b/>
        <w:bCs/>
      </w:rPr>
    </w:tblStylePr>
    <w:tblStylePr w:type="nwCell">
      <w:rPr>
        <w:rFonts w:cs="Times New Roman"/>
      </w:rPr>
      <w:tblPr/>
      <w:tcPr>
        <w:shd w:val="solid" w:color="800080" w:fill="FFFFFF"/>
      </w:tcPr>
    </w:tblStylePr>
    <w:tblStylePr w:type="swCell">
      <w:rPr>
        <w:rFonts w:cs="Times New Roman"/>
        <w:color w:val="000080"/>
      </w:rPr>
    </w:tblStylePr>
  </w:style>
  <w:style w:type="paragraph" w:styleId="BodyTextIndent2">
    <w:name w:val="Body Text Indent 2"/>
    <w:basedOn w:val="Normal"/>
    <w:link w:val="BodyTextIndent2Char"/>
    <w:rsid w:val="00D22FC7"/>
    <w:pPr>
      <w:spacing w:after="120" w:line="480" w:lineRule="auto"/>
      <w:ind w:left="283"/>
    </w:pPr>
    <w:rPr>
      <w:rFonts w:ascii="Times New Roman" w:hAnsi="Times New Roman"/>
      <w:sz w:val="24"/>
    </w:rPr>
  </w:style>
  <w:style w:type="character" w:customStyle="1" w:styleId="BodyTextIndent2Char">
    <w:name w:val="Body Text Indent 2 Char"/>
    <w:link w:val="BodyTextIndent2"/>
    <w:locked/>
    <w:rsid w:val="00D22FC7"/>
    <w:rPr>
      <w:sz w:val="24"/>
      <w:lang w:val="en-US" w:eastAsia="en-US"/>
    </w:rPr>
  </w:style>
  <w:style w:type="character" w:customStyle="1" w:styleId="TitleChar">
    <w:name w:val="Title Char"/>
    <w:link w:val="Title"/>
    <w:locked/>
    <w:rsid w:val="00D93270"/>
    <w:rPr>
      <w:b/>
      <w:sz w:val="24"/>
      <w:lang w:val="es-ES_tradnl" w:eastAsia="en-US"/>
    </w:rPr>
  </w:style>
  <w:style w:type="paragraph" w:styleId="BodyText">
    <w:name w:val="Body Text"/>
    <w:basedOn w:val="Normal"/>
    <w:link w:val="BodyTextChar"/>
    <w:rsid w:val="00CD6874"/>
    <w:pPr>
      <w:widowControl w:val="0"/>
      <w:adjustRightInd w:val="0"/>
      <w:spacing w:after="120" w:line="276" w:lineRule="auto"/>
      <w:jc w:val="both"/>
      <w:textAlignment w:val="baseline"/>
    </w:pPr>
    <w:rPr>
      <w:rFonts w:ascii="Times New Roman" w:hAnsi="Times New Roman"/>
      <w:sz w:val="22"/>
      <w:szCs w:val="22"/>
      <w:lang w:val="es-PE"/>
    </w:rPr>
  </w:style>
  <w:style w:type="character" w:customStyle="1" w:styleId="BodyTextChar">
    <w:name w:val="Body Text Char"/>
    <w:link w:val="BodyText"/>
    <w:locked/>
    <w:rsid w:val="00CD6874"/>
    <w:rPr>
      <w:rFonts w:eastAsia="Times New Roman" w:cs="Times New Roman"/>
      <w:sz w:val="22"/>
      <w:szCs w:val="22"/>
      <w:lang w:val="es-PE" w:eastAsia="en-US"/>
    </w:rPr>
  </w:style>
  <w:style w:type="paragraph" w:customStyle="1" w:styleId="NoSpacing1">
    <w:name w:val="No Spacing1"/>
    <w:basedOn w:val="Normal"/>
    <w:link w:val="NoSpacingChar"/>
    <w:rsid w:val="00CB3ADD"/>
    <w:pPr>
      <w:widowControl w:val="0"/>
      <w:adjustRightInd w:val="0"/>
      <w:jc w:val="both"/>
      <w:textAlignment w:val="baseline"/>
    </w:pPr>
    <w:rPr>
      <w:rFonts w:ascii="Times New Roman" w:hAnsi="Times New Roman"/>
      <w:sz w:val="22"/>
      <w:lang w:val="es-PE"/>
    </w:rPr>
  </w:style>
  <w:style w:type="character" w:customStyle="1" w:styleId="NoSpacingChar">
    <w:name w:val="No Spacing Char"/>
    <w:link w:val="NoSpacing1"/>
    <w:locked/>
    <w:rsid w:val="00CB3ADD"/>
    <w:rPr>
      <w:rFonts w:eastAsia="Times New Roman"/>
      <w:sz w:val="22"/>
      <w:lang w:val="es-PE" w:eastAsia="en-US"/>
    </w:rPr>
  </w:style>
  <w:style w:type="paragraph" w:customStyle="1" w:styleId="NoSpacing2">
    <w:name w:val="No Spacing2"/>
    <w:link w:val="NoSpacingChar1"/>
    <w:rsid w:val="00405993"/>
    <w:rPr>
      <w:rFonts w:ascii="Calibri" w:hAnsi="Calibri"/>
      <w:sz w:val="22"/>
      <w:szCs w:val="22"/>
      <w:lang w:val="es-MX" w:eastAsia="en-US"/>
    </w:rPr>
  </w:style>
  <w:style w:type="character" w:customStyle="1" w:styleId="NoSpacingChar1">
    <w:name w:val="No Spacing Char1"/>
    <w:link w:val="NoSpacing2"/>
    <w:locked/>
    <w:rsid w:val="00405993"/>
    <w:rPr>
      <w:rFonts w:ascii="Calibri" w:hAnsi="Calibri"/>
      <w:sz w:val="22"/>
      <w:szCs w:val="22"/>
      <w:lang w:val="es-MX" w:eastAsia="en-US" w:bidi="ar-SA"/>
    </w:rPr>
  </w:style>
  <w:style w:type="paragraph" w:styleId="BodyTextIndent3">
    <w:name w:val="Body Text Indent 3"/>
    <w:basedOn w:val="Normal"/>
    <w:link w:val="BodyTextIndent3Char"/>
    <w:rsid w:val="00405993"/>
    <w:pPr>
      <w:widowControl w:val="0"/>
      <w:spacing w:after="120"/>
      <w:ind w:left="283"/>
    </w:pPr>
    <w:rPr>
      <w:rFonts w:ascii="Times New Roman" w:hAnsi="Times New Roman"/>
      <w:sz w:val="16"/>
      <w:szCs w:val="16"/>
      <w:lang w:val="es-PE" w:eastAsia="es-ES"/>
    </w:rPr>
  </w:style>
  <w:style w:type="character" w:customStyle="1" w:styleId="BodyTextIndent3Char">
    <w:name w:val="Body Text Indent 3 Char"/>
    <w:link w:val="BodyTextIndent3"/>
    <w:locked/>
    <w:rsid w:val="00405993"/>
    <w:rPr>
      <w:rFonts w:cs="Times New Roman"/>
      <w:sz w:val="16"/>
      <w:szCs w:val="16"/>
      <w:lang w:val="es-PE" w:eastAsia="es-ES"/>
    </w:rPr>
  </w:style>
  <w:style w:type="paragraph" w:customStyle="1" w:styleId="Bibliography1">
    <w:name w:val="Bibliography1"/>
    <w:basedOn w:val="Normal"/>
    <w:next w:val="Normal"/>
    <w:semiHidden/>
    <w:rsid w:val="00405993"/>
    <w:rPr>
      <w:rFonts w:ascii="Times New Roman" w:hAnsi="Times New Roman"/>
      <w:sz w:val="24"/>
      <w:szCs w:val="24"/>
      <w:lang w:val="es-PE"/>
    </w:rPr>
  </w:style>
  <w:style w:type="paragraph" w:customStyle="1" w:styleId="reference">
    <w:name w:val="reference"/>
    <w:basedOn w:val="Normal"/>
    <w:rsid w:val="00405993"/>
    <w:pPr>
      <w:ind w:left="1440" w:hanging="720"/>
    </w:pPr>
    <w:rPr>
      <w:rFonts w:ascii="Times New Roman" w:hAnsi="Times New Roman"/>
      <w:sz w:val="22"/>
    </w:rPr>
  </w:style>
  <w:style w:type="paragraph" w:customStyle="1" w:styleId="Reference0">
    <w:name w:val="Reference"/>
    <w:basedOn w:val="Normal"/>
    <w:rsid w:val="00405993"/>
    <w:pPr>
      <w:ind w:left="360" w:hanging="360"/>
    </w:pPr>
    <w:rPr>
      <w:rFonts w:ascii="Times New Roman" w:hAnsi="Times New Roman"/>
      <w:sz w:val="18"/>
      <w:lang w:val="es-ES"/>
    </w:rPr>
  </w:style>
  <w:style w:type="paragraph" w:styleId="ListBullet">
    <w:name w:val="List Bullet"/>
    <w:basedOn w:val="Normal"/>
    <w:rsid w:val="00862836"/>
    <w:pPr>
      <w:contextualSpacing/>
    </w:pPr>
  </w:style>
  <w:style w:type="paragraph" w:customStyle="1" w:styleId="Chapter">
    <w:name w:val="Chapter"/>
    <w:basedOn w:val="Normal"/>
    <w:next w:val="Normal"/>
    <w:rsid w:val="00826AC0"/>
    <w:pPr>
      <w:numPr>
        <w:numId w:val="4"/>
      </w:numPr>
      <w:tabs>
        <w:tab w:val="left" w:pos="1440"/>
      </w:tabs>
      <w:spacing w:after="240"/>
      <w:jc w:val="center"/>
    </w:pPr>
    <w:rPr>
      <w:rFonts w:ascii="Times New Roman" w:hAnsi="Times New Roman"/>
      <w:b/>
      <w:smallCaps/>
      <w:sz w:val="24"/>
      <w:lang w:val="es-ES"/>
    </w:rPr>
  </w:style>
  <w:style w:type="paragraph" w:customStyle="1" w:styleId="Paragraph">
    <w:name w:val="Paragraph"/>
    <w:aliases w:val="PARAGRAPH,PG,at,p,pa,paragraph"/>
    <w:basedOn w:val="BodyTextIndent"/>
    <w:link w:val="ParagraphChar"/>
    <w:rsid w:val="00826AC0"/>
    <w:pPr>
      <w:numPr>
        <w:ilvl w:val="1"/>
        <w:numId w:val="4"/>
      </w:numPr>
      <w:spacing w:before="120"/>
      <w:jc w:val="both"/>
      <w:outlineLvl w:val="1"/>
    </w:pPr>
    <w:rPr>
      <w:rFonts w:ascii="Times New Roman" w:hAnsi="Times New Roman"/>
      <w:sz w:val="24"/>
      <w:lang w:val="es-ES"/>
    </w:rPr>
  </w:style>
  <w:style w:type="paragraph" w:customStyle="1" w:styleId="subpar">
    <w:name w:val="subpar"/>
    <w:basedOn w:val="BodyTextIndent3"/>
    <w:uiPriority w:val="99"/>
    <w:rsid w:val="00826AC0"/>
    <w:pPr>
      <w:widowControl/>
      <w:numPr>
        <w:ilvl w:val="2"/>
        <w:numId w:val="4"/>
      </w:numPr>
      <w:spacing w:before="120"/>
      <w:jc w:val="both"/>
      <w:outlineLvl w:val="2"/>
    </w:pPr>
    <w:rPr>
      <w:sz w:val="24"/>
      <w:szCs w:val="20"/>
      <w:lang w:val="es-ES_tradnl" w:eastAsia="en-US"/>
    </w:rPr>
  </w:style>
  <w:style w:type="paragraph" w:customStyle="1" w:styleId="SubSubPar">
    <w:name w:val="SubSubPar"/>
    <w:basedOn w:val="subpar"/>
    <w:uiPriority w:val="99"/>
    <w:rsid w:val="00826AC0"/>
    <w:pPr>
      <w:numPr>
        <w:ilvl w:val="3"/>
      </w:numPr>
      <w:tabs>
        <w:tab w:val="clear" w:pos="1584"/>
        <w:tab w:val="num" w:pos="1152"/>
      </w:tabs>
      <w:ind w:left="360" w:hanging="360"/>
    </w:pPr>
  </w:style>
  <w:style w:type="character" w:customStyle="1" w:styleId="ParagraphChar">
    <w:name w:val="Paragraph Char"/>
    <w:aliases w:val="PARAGRAPH Char,PG Char,at Char,p Char,pa Char,paragraph Char"/>
    <w:link w:val="Paragraph"/>
    <w:locked/>
    <w:rsid w:val="00826AC0"/>
    <w:rPr>
      <w:sz w:val="24"/>
      <w:lang w:val="es-ES" w:eastAsia="en-US"/>
    </w:rPr>
  </w:style>
  <w:style w:type="paragraph" w:styleId="BodyTextIndent">
    <w:name w:val="Body Text Indent"/>
    <w:basedOn w:val="Normal"/>
    <w:link w:val="BodyTextIndentChar"/>
    <w:rsid w:val="00826AC0"/>
    <w:pPr>
      <w:spacing w:after="120"/>
      <w:ind w:left="283"/>
    </w:pPr>
  </w:style>
  <w:style w:type="character" w:customStyle="1" w:styleId="BodyTextIndentChar">
    <w:name w:val="Body Text Indent Char"/>
    <w:link w:val="BodyTextIndent"/>
    <w:locked/>
    <w:rsid w:val="00826AC0"/>
    <w:rPr>
      <w:rFonts w:ascii="Arial" w:hAnsi="Arial" w:cs="Times New Roman"/>
      <w:lang w:val="en-US" w:eastAsia="en-US"/>
    </w:rPr>
  </w:style>
  <w:style w:type="table" w:styleId="TableSimple2">
    <w:name w:val="Table Simple 2"/>
    <w:basedOn w:val="TableNormal"/>
    <w:rsid w:val="0060492E"/>
    <w:tblPr/>
    <w:tblStylePr w:type="firstRow">
      <w:rPr>
        <w:rFonts w:cs="Times New Roman"/>
        <w:b/>
        <w:bCs/>
      </w:rPr>
      <w:tblPr/>
      <w:tcPr>
        <w:tcBorders>
          <w:bottom w:val="single" w:sz="12" w:space="0" w:color="000000"/>
        </w:tcBorders>
      </w:tcPr>
    </w:tblStylePr>
    <w:tblStylePr w:type="lastRow">
      <w:rPr>
        <w:rFonts w:cs="Times New Roman"/>
        <w:b/>
        <w:bCs/>
        <w:color w:val="auto"/>
      </w:rPr>
      <w:tblPr/>
      <w:tcPr>
        <w:tcBorders>
          <w:top w:val="single" w:sz="6" w:space="0" w:color="000000"/>
        </w:tcBorders>
      </w:tcPr>
    </w:tblStylePr>
    <w:tblStylePr w:type="firstCol">
      <w:rPr>
        <w:rFonts w:cs="Times New Roman"/>
        <w:b/>
        <w:bCs/>
      </w:rPr>
      <w:tblPr/>
      <w:tcPr>
        <w:tcBorders>
          <w:right w:val="single" w:sz="12" w:space="0" w:color="000000"/>
        </w:tcBorders>
      </w:tcPr>
    </w:tblStylePr>
    <w:tblStylePr w:type="lastCol">
      <w:rPr>
        <w:rFonts w:cs="Times New Roman"/>
        <w:b/>
        <w:bCs/>
      </w:rPr>
      <w:tblPr/>
      <w:tcPr>
        <w:tcBorders>
          <w:left w:val="single" w:sz="6" w:space="0" w:color="000000"/>
        </w:tcBorders>
      </w:tcPr>
    </w:tblStylePr>
    <w:tblStylePr w:type="neCell">
      <w:rPr>
        <w:rFonts w:cs="Times New Roman"/>
        <w:b/>
        <w:bCs/>
      </w:rPr>
    </w:tblStylePr>
    <w:tblStylePr w:type="swCell">
      <w:rPr>
        <w:rFonts w:cs="Times New Roman"/>
        <w:b/>
        <w:bCs/>
      </w:rPr>
    </w:tblStylePr>
  </w:style>
  <w:style w:type="character" w:customStyle="1" w:styleId="Heading1Char">
    <w:name w:val="Heading 1 Char"/>
    <w:link w:val="Heading1"/>
    <w:locked/>
    <w:rsid w:val="008E2901"/>
    <w:rPr>
      <w:rFonts w:cs="Times New Roman"/>
      <w:b/>
      <w:bCs/>
      <w:i/>
      <w:iCs/>
      <w:sz w:val="22"/>
      <w:szCs w:val="22"/>
      <w:lang w:val="es-ES_tradnl" w:eastAsia="en-US"/>
    </w:rPr>
  </w:style>
  <w:style w:type="character" w:styleId="CommentReference">
    <w:name w:val="annotation reference"/>
    <w:uiPriority w:val="99"/>
    <w:rsid w:val="00D02D28"/>
    <w:rPr>
      <w:rFonts w:cs="Times New Roman"/>
      <w:sz w:val="16"/>
      <w:szCs w:val="16"/>
    </w:rPr>
  </w:style>
  <w:style w:type="paragraph" w:styleId="CommentText">
    <w:name w:val="annotation text"/>
    <w:basedOn w:val="Normal"/>
    <w:link w:val="CommentTextChar"/>
    <w:uiPriority w:val="99"/>
    <w:rsid w:val="00D02D28"/>
  </w:style>
  <w:style w:type="character" w:customStyle="1" w:styleId="CommentTextChar">
    <w:name w:val="Comment Text Char"/>
    <w:link w:val="CommentText"/>
    <w:uiPriority w:val="99"/>
    <w:locked/>
    <w:rsid w:val="00D02D28"/>
    <w:rPr>
      <w:rFonts w:ascii="Arial" w:hAnsi="Arial" w:cs="Times New Roman"/>
    </w:rPr>
  </w:style>
  <w:style w:type="paragraph" w:styleId="CommentSubject">
    <w:name w:val="annotation subject"/>
    <w:basedOn w:val="CommentText"/>
    <w:next w:val="CommentText"/>
    <w:link w:val="CommentSubjectChar"/>
    <w:rsid w:val="00D02D28"/>
    <w:rPr>
      <w:b/>
      <w:bCs/>
    </w:rPr>
  </w:style>
  <w:style w:type="character" w:customStyle="1" w:styleId="CommentSubjectChar">
    <w:name w:val="Comment Subject Char"/>
    <w:link w:val="CommentSubject"/>
    <w:locked/>
    <w:rsid w:val="00D02D28"/>
    <w:rPr>
      <w:rFonts w:ascii="Arial" w:hAnsi="Arial" w:cs="Times New Roman"/>
      <w:b/>
      <w:bCs/>
    </w:rPr>
  </w:style>
  <w:style w:type="paragraph" w:customStyle="1" w:styleId="Revision1">
    <w:name w:val="Revision1"/>
    <w:hidden/>
    <w:semiHidden/>
    <w:rsid w:val="00DF12C9"/>
    <w:rPr>
      <w:rFonts w:ascii="Arial" w:hAnsi="Arial"/>
      <w:lang w:val="en-US" w:eastAsia="en-US"/>
    </w:rPr>
  </w:style>
  <w:style w:type="paragraph" w:customStyle="1" w:styleId="Pa3">
    <w:name w:val="Pa3"/>
    <w:basedOn w:val="Default"/>
    <w:next w:val="Default"/>
    <w:rsid w:val="00456219"/>
    <w:pPr>
      <w:spacing w:line="201" w:lineRule="atLeast"/>
    </w:pPr>
    <w:rPr>
      <w:rFonts w:ascii="Palatino Linotype" w:hAnsi="Palatino Linotype"/>
      <w:color w:val="auto"/>
    </w:rPr>
  </w:style>
  <w:style w:type="character" w:customStyle="1" w:styleId="A4">
    <w:name w:val="A4"/>
    <w:rsid w:val="00456219"/>
    <w:rPr>
      <w:color w:val="000000"/>
      <w:sz w:val="11"/>
    </w:rPr>
  </w:style>
  <w:style w:type="character" w:customStyle="1" w:styleId="FooterChar">
    <w:name w:val="Footer Char"/>
    <w:link w:val="Footer"/>
    <w:uiPriority w:val="99"/>
    <w:locked/>
    <w:rsid w:val="00D557E8"/>
    <w:rPr>
      <w:rFonts w:cs="Times New Roman"/>
      <w:sz w:val="24"/>
      <w:szCs w:val="24"/>
      <w:lang w:val="es-ES" w:eastAsia="en-US"/>
    </w:rPr>
  </w:style>
  <w:style w:type="paragraph" w:styleId="BodyText2">
    <w:name w:val="Body Text 2"/>
    <w:basedOn w:val="Normal"/>
    <w:link w:val="BodyText2Char"/>
    <w:rsid w:val="00460CB4"/>
    <w:pPr>
      <w:spacing w:after="120" w:line="480" w:lineRule="auto"/>
    </w:pPr>
  </w:style>
  <w:style w:type="character" w:customStyle="1" w:styleId="BodyText2Char">
    <w:name w:val="Body Text 2 Char"/>
    <w:link w:val="BodyText2"/>
    <w:locked/>
    <w:rsid w:val="00460CB4"/>
    <w:rPr>
      <w:rFonts w:ascii="Arial" w:hAnsi="Arial" w:cs="Times New Roman"/>
      <w:lang w:val="en-US" w:eastAsia="en-US"/>
    </w:rPr>
  </w:style>
  <w:style w:type="character" w:customStyle="1" w:styleId="FootnoteTextChar1">
    <w:name w:val="Footnote Text Char1"/>
    <w:aliases w:val="FOOTNOTES Char,Footnote Text Char Char Char,Footnote Text Char Char1,Geneva 9 Ch,Texto de rodapé Char,Texto nota pie Car Car Char,fn Char,footnote Char,footnote text Char,ft Char,nota de rodapé Char,nota_rodapé Char,single space Char"/>
    <w:locked/>
    <w:rsid w:val="002247AD"/>
    <w:rPr>
      <w:rFonts w:ascii="Arial" w:hAnsi="Arial" w:cs="Times New Roman"/>
      <w:sz w:val="20"/>
      <w:szCs w:val="20"/>
      <w:lang w:val="en-US"/>
    </w:rPr>
  </w:style>
  <w:style w:type="paragraph" w:customStyle="1" w:styleId="Prrafodelista1">
    <w:name w:val="Párrafo de lista1"/>
    <w:basedOn w:val="Normal"/>
    <w:rsid w:val="002247AD"/>
    <w:pPr>
      <w:ind w:left="708"/>
    </w:pPr>
  </w:style>
  <w:style w:type="table" w:styleId="TableGrid">
    <w:name w:val="Table Grid"/>
    <w:basedOn w:val="TableNormal"/>
    <w:uiPriority w:val="59"/>
    <w:rsid w:val="00282EB3"/>
    <w:pPr>
      <w:jc w:val="both"/>
    </w:pPr>
    <w:rPr>
      <w:rFonts w:ascii="Calibri" w:hAnsi="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2">
    <w:name w:val="Sombreado claro2"/>
    <w:rsid w:val="0038364F"/>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Sinespaciado1">
    <w:name w:val="Sin espaciado1"/>
    <w:basedOn w:val="Normal"/>
    <w:rsid w:val="0038364F"/>
    <w:pPr>
      <w:widowControl w:val="0"/>
      <w:adjustRightInd w:val="0"/>
      <w:jc w:val="both"/>
      <w:textAlignment w:val="baseline"/>
    </w:pPr>
    <w:rPr>
      <w:rFonts w:ascii="Times New Roman" w:hAnsi="Times New Roman"/>
      <w:sz w:val="22"/>
      <w:szCs w:val="22"/>
      <w:lang w:val="es-PE"/>
    </w:rPr>
  </w:style>
  <w:style w:type="paragraph" w:styleId="Caption">
    <w:name w:val="caption"/>
    <w:basedOn w:val="Normal"/>
    <w:next w:val="Normal"/>
    <w:qFormat/>
    <w:locked/>
    <w:rsid w:val="008C5FEC"/>
    <w:pPr>
      <w:spacing w:after="200" w:line="276" w:lineRule="auto"/>
    </w:pPr>
    <w:rPr>
      <w:rFonts w:ascii="AENOR Fontana ND" w:hAnsi="AENOR Fontana ND"/>
      <w:b/>
      <w:bCs/>
      <w:lang w:val="es-ES"/>
    </w:rPr>
  </w:style>
  <w:style w:type="paragraph" w:customStyle="1" w:styleId="Prrafodelista2">
    <w:name w:val="Párrafo de lista2"/>
    <w:aliases w:val="NIVEL ONE"/>
    <w:basedOn w:val="Normal"/>
    <w:uiPriority w:val="34"/>
    <w:qFormat/>
    <w:rsid w:val="005F66F1"/>
    <w:pPr>
      <w:ind w:left="708"/>
    </w:pPr>
  </w:style>
  <w:style w:type="paragraph" w:customStyle="1" w:styleId="Listavistosa-nfasis11">
    <w:name w:val="Lista vistosa - Énfasis 11"/>
    <w:basedOn w:val="Normal"/>
    <w:uiPriority w:val="34"/>
    <w:qFormat/>
    <w:rsid w:val="00EE5149"/>
    <w:pPr>
      <w:ind w:left="708"/>
    </w:pPr>
  </w:style>
  <w:style w:type="table" w:styleId="DarkList-Accent2">
    <w:name w:val="Dark List Accent 2"/>
    <w:basedOn w:val="TableNormal"/>
    <w:uiPriority w:val="61"/>
    <w:rsid w:val="00802E20"/>
    <w:rPr>
      <w:rFonts w:ascii="Calibri" w:eastAsia="Calibri" w:hAnsi="Calibri"/>
      <w:sz w:val="22"/>
      <w:szCs w:val="22"/>
      <w:lang w:val="es-PE"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TtulodeTDC1">
    <w:name w:val="Título de TDC1"/>
    <w:basedOn w:val="Heading1"/>
    <w:next w:val="Normal"/>
    <w:uiPriority w:val="39"/>
    <w:semiHidden/>
    <w:unhideWhenUsed/>
    <w:qFormat/>
    <w:rsid w:val="00503271"/>
    <w:pPr>
      <w:spacing w:before="240" w:after="60"/>
      <w:jc w:val="left"/>
      <w:outlineLvl w:val="9"/>
    </w:pPr>
    <w:rPr>
      <w:rFonts w:ascii="Cambria" w:hAnsi="Cambria"/>
      <w:i w:val="0"/>
      <w:iCs w:val="0"/>
      <w:kern w:val="32"/>
      <w:sz w:val="32"/>
      <w:szCs w:val="32"/>
      <w:lang w:val="en-US"/>
    </w:rPr>
  </w:style>
  <w:style w:type="paragraph" w:styleId="ListParagraph">
    <w:name w:val="List Paragraph"/>
    <w:basedOn w:val="Normal"/>
    <w:link w:val="ListParagraphChar"/>
    <w:uiPriority w:val="99"/>
    <w:qFormat/>
    <w:rsid w:val="00E60B3A"/>
    <w:pPr>
      <w:ind w:left="720"/>
      <w:contextualSpacing/>
    </w:pPr>
  </w:style>
  <w:style w:type="paragraph" w:styleId="Revision">
    <w:name w:val="Revision"/>
    <w:hidden/>
    <w:uiPriority w:val="99"/>
    <w:semiHidden/>
    <w:rsid w:val="00265E40"/>
    <w:rPr>
      <w:rFonts w:ascii="Arial" w:hAnsi="Arial"/>
      <w:lang w:val="en-US" w:eastAsia="en-US"/>
    </w:rPr>
  </w:style>
  <w:style w:type="table" w:customStyle="1" w:styleId="Tablaconcuadrcula1">
    <w:name w:val="Tabla con cuadrícula1"/>
    <w:basedOn w:val="TableNormal"/>
    <w:next w:val="TableGrid"/>
    <w:uiPriority w:val="59"/>
    <w:rsid w:val="006300B9"/>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locked/>
    <w:rsid w:val="00BC38D3"/>
    <w:rPr>
      <w:b/>
      <w:bCs/>
    </w:rPr>
  </w:style>
  <w:style w:type="character" w:customStyle="1" w:styleId="ListParagraphChar">
    <w:name w:val="List Paragraph Char"/>
    <w:link w:val="ListParagraph"/>
    <w:uiPriority w:val="99"/>
    <w:locked/>
    <w:rsid w:val="009B394E"/>
    <w:rPr>
      <w:rFonts w:ascii="Arial" w:hAnsi="Arial"/>
      <w:lang w:val="en-US" w:eastAsia="en-US"/>
    </w:rPr>
  </w:style>
  <w:style w:type="character" w:customStyle="1" w:styleId="apple-converted-space">
    <w:name w:val="apple-converted-space"/>
    <w:basedOn w:val="DefaultParagraphFont"/>
    <w:rsid w:val="00750B32"/>
  </w:style>
  <w:style w:type="character" w:styleId="LineNumber">
    <w:name w:val="line number"/>
    <w:basedOn w:val="DefaultParagraphFont"/>
    <w:semiHidden/>
    <w:unhideWhenUsed/>
    <w:rsid w:val="00CE59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locked="1" w:uiPriority="39"/>
    <w:lsdException w:name="toc 2" w:locked="1" w:uiPriority="39"/>
    <w:lsdException w:name="toc 3" w:locked="1" w:uiPriority="39"/>
    <w:lsdException w:name="footnote text" w:uiPriority="99" w:qFormat="1"/>
    <w:lsdException w:name="annotation text" w:uiPriority="99"/>
    <w:lsdException w:name="header" w:locked="1"/>
    <w:lsdException w:name="footer" w:uiPriority="99"/>
    <w:lsdException w:name="caption" w:locked="1" w:qFormat="1"/>
    <w:lsdException w:name="footnote reference" w:uiPriority="99" w:qFormat="1"/>
    <w:lsdException w:name="annotation reference" w:uiPriority="99"/>
    <w:lsdException w:name="endnote reference" w:locked="1"/>
    <w:lsdException w:name="endnote text" w:locked="1"/>
    <w:lsdException w:name="List Number 2" w:semiHidden="0" w:unhideWhenUsed="0"/>
    <w:lsdException w:name="List Number 5" w:semiHidden="0" w:unhideWhenUsed="0"/>
    <w:lsdException w:name="Title" w:locked="1" w:semiHidden="0" w:unhideWhenUsed="0" w:qFormat="1"/>
    <w:lsdException w:name="Default Paragraph Font" w:uiPriority="1"/>
    <w:lsdException w:name="Subtitle" w:locked="1" w:semiHidden="0" w:unhideWhenUsed="0" w:qFormat="1"/>
    <w:lsdException w:name="Note Heading" w:semiHidden="0"/>
    <w:lsdException w:name="Body Text Indent 3" w:locked="1" w:semiHidden="0" w:unhideWhenUsed="0"/>
    <w:lsdException w:name="Block Text" w:semiHidden="0" w:unhideWhenUsed="0"/>
    <w:lsdException w:name="Hyperlink" w:locked="1" w:semiHidden="0" w:uiPriority="99" w:unhideWhenUsed="0"/>
    <w:lsdException w:name="FollowedHyperlink" w:semiHidden="0" w:unhideWhenUsed="0"/>
    <w:lsdException w:name="Strong" w:locked="1" w:semiHidden="0" w:uiPriority="22" w:unhideWhenUsed="0" w:qFormat="1"/>
    <w:lsdException w:name="Emphasis" w:locked="1" w:semiHidden="0" w:uiPriority="20" w:unhideWhenUsed="0" w:qFormat="1"/>
    <w:lsdException w:name="Normal (Web)" w:uiPriority="99"/>
    <w:lsdException w:name="No List" w:locked="1"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61"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116"/>
    <w:rPr>
      <w:rFonts w:ascii="Arial" w:hAnsi="Arial"/>
      <w:lang w:val="en-US" w:eastAsia="en-US"/>
    </w:rPr>
  </w:style>
  <w:style w:type="paragraph" w:styleId="Heading1">
    <w:name w:val="heading 1"/>
    <w:basedOn w:val="Heading2"/>
    <w:next w:val="Normal"/>
    <w:link w:val="Heading1Char"/>
    <w:qFormat/>
    <w:rsid w:val="00504996"/>
    <w:pPr>
      <w:outlineLvl w:val="0"/>
    </w:pPr>
    <w:rPr>
      <w:i/>
    </w:rPr>
  </w:style>
  <w:style w:type="paragraph" w:styleId="Heading2">
    <w:name w:val="heading 2"/>
    <w:basedOn w:val="Normal"/>
    <w:next w:val="Normal"/>
    <w:qFormat/>
    <w:rsid w:val="004524D3"/>
    <w:pPr>
      <w:keepNext/>
      <w:jc w:val="center"/>
      <w:outlineLvl w:val="1"/>
    </w:pPr>
    <w:rPr>
      <w:rFonts w:ascii="Times New Roman" w:hAnsi="Times New Roman"/>
      <w:b/>
      <w:bCs/>
      <w:iCs/>
      <w:sz w:val="22"/>
      <w:szCs w:val="22"/>
      <w:lang w:val="es-ES_tradnl"/>
    </w:rPr>
  </w:style>
  <w:style w:type="paragraph" w:styleId="Heading3">
    <w:name w:val="heading 3"/>
    <w:basedOn w:val="Normal"/>
    <w:next w:val="Normal"/>
    <w:link w:val="Heading3Char"/>
    <w:qFormat/>
    <w:rsid w:val="00685536"/>
    <w:pPr>
      <w:keepNext/>
      <w:spacing w:before="240" w:after="60"/>
      <w:outlineLvl w:val="2"/>
    </w:pPr>
    <w:rPr>
      <w:rFonts w:ascii="Times New Roman" w:hAnsi="Times New Roman"/>
      <w:i/>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57EEA"/>
    <w:pPr>
      <w:jc w:val="center"/>
    </w:pPr>
    <w:rPr>
      <w:rFonts w:ascii="Times New Roman" w:hAnsi="Times New Roman"/>
      <w:b/>
      <w:sz w:val="24"/>
      <w:lang w:val="es-ES_tradnl"/>
    </w:rPr>
  </w:style>
  <w:style w:type="paragraph" w:styleId="Footer">
    <w:name w:val="footer"/>
    <w:basedOn w:val="Normal"/>
    <w:link w:val="FooterChar"/>
    <w:uiPriority w:val="99"/>
    <w:rsid w:val="00657EEA"/>
    <w:pPr>
      <w:tabs>
        <w:tab w:val="center" w:pos="4320"/>
        <w:tab w:val="right" w:pos="8640"/>
      </w:tabs>
    </w:pPr>
    <w:rPr>
      <w:rFonts w:ascii="Times New Roman" w:hAnsi="Times New Roman"/>
      <w:sz w:val="24"/>
      <w:szCs w:val="24"/>
      <w:lang w:val="es-ES"/>
    </w:rPr>
  </w:style>
  <w:style w:type="character" w:styleId="PageNumber">
    <w:name w:val="page number"/>
    <w:rsid w:val="00657EEA"/>
    <w:rPr>
      <w:rFonts w:cs="Times New Roman"/>
    </w:rPr>
  </w:style>
  <w:style w:type="paragraph" w:styleId="BodyText3">
    <w:name w:val="Body Text 3"/>
    <w:basedOn w:val="Normal"/>
    <w:rsid w:val="00657EEA"/>
    <w:pPr>
      <w:jc w:val="center"/>
    </w:pPr>
    <w:rPr>
      <w:rFonts w:ascii="Times New Roman" w:hAnsi="Times New Roman"/>
      <w:b/>
      <w:bCs/>
      <w:sz w:val="24"/>
      <w:szCs w:val="24"/>
      <w:lang w:val="es-ES_tradnl"/>
    </w:rPr>
  </w:style>
  <w:style w:type="paragraph" w:styleId="FootnoteText">
    <w:name w:val="footnote text"/>
    <w:aliases w:val="Boston 10,FOOTNOTES,Font: Geneva 9,Footnote Text Char,Footnote Text Char Char,Geneva 9,Texto de rodapé,Texto nota pie Car Car,Texto nota pie Car Car Car,Texto nota pie Car1,f,fn,footnote,ft,nota de rodapé,nota_rodapé,single space"/>
    <w:basedOn w:val="Normal"/>
    <w:link w:val="FootnoteTextChar2"/>
    <w:uiPriority w:val="99"/>
    <w:qFormat/>
    <w:rsid w:val="00B2700D"/>
  </w:style>
  <w:style w:type="character" w:styleId="FootnoteReference">
    <w:name w:val="footnote reference"/>
    <w:aliases w:val=" BVI fnr,16 Point,BVI fnr,EN Footnote Reference,FC,Footnote,Footnote Reference Number,Normal + Font:9 Point,Ref,SUPERS,Superscript 3 Point Times,Superscript 6 Point,de nota al pie,ftref,number,referencia nota al pie,titulo 2"/>
    <w:uiPriority w:val="99"/>
    <w:qFormat/>
    <w:rsid w:val="00B2700D"/>
    <w:rPr>
      <w:vertAlign w:val="superscript"/>
    </w:rPr>
  </w:style>
  <w:style w:type="paragraph" w:customStyle="1" w:styleId="Default">
    <w:name w:val="Default"/>
    <w:rsid w:val="0010137A"/>
    <w:pPr>
      <w:autoSpaceDE w:val="0"/>
      <w:autoSpaceDN w:val="0"/>
      <w:adjustRightInd w:val="0"/>
    </w:pPr>
    <w:rPr>
      <w:color w:val="000000"/>
      <w:sz w:val="24"/>
      <w:szCs w:val="24"/>
      <w:lang w:val="es-ES" w:eastAsia="es-ES"/>
    </w:rPr>
  </w:style>
  <w:style w:type="paragraph" w:styleId="NormalWeb">
    <w:name w:val="Normal (Web)"/>
    <w:basedOn w:val="Normal"/>
    <w:uiPriority w:val="99"/>
    <w:rsid w:val="00605042"/>
    <w:rPr>
      <w:rFonts w:ascii="Times New Roman" w:hAnsi="Times New Roman"/>
      <w:sz w:val="24"/>
      <w:szCs w:val="24"/>
    </w:rPr>
  </w:style>
  <w:style w:type="paragraph" w:customStyle="1" w:styleId="TOCHeading1">
    <w:name w:val="TOC Heading1"/>
    <w:basedOn w:val="Heading1"/>
    <w:next w:val="Normal"/>
    <w:rsid w:val="00685536"/>
    <w:pPr>
      <w:keepLines/>
      <w:spacing w:before="480" w:line="276" w:lineRule="auto"/>
      <w:outlineLvl w:val="9"/>
    </w:pPr>
    <w:rPr>
      <w:rFonts w:ascii="Cambria" w:hAnsi="Cambria"/>
      <w:color w:val="365F91"/>
      <w:sz w:val="28"/>
      <w:szCs w:val="28"/>
      <w:lang w:val="es-ES"/>
    </w:rPr>
  </w:style>
  <w:style w:type="paragraph" w:styleId="TOC3">
    <w:name w:val="toc 3"/>
    <w:basedOn w:val="Normal"/>
    <w:next w:val="Normal"/>
    <w:autoRedefine/>
    <w:uiPriority w:val="39"/>
    <w:rsid w:val="00456867"/>
    <w:pPr>
      <w:tabs>
        <w:tab w:val="right" w:leader="dot" w:pos="8630"/>
      </w:tabs>
      <w:ind w:left="400"/>
    </w:pPr>
    <w:rPr>
      <w:rFonts w:ascii="Times New Roman" w:hAnsi="Times New Roman"/>
      <w:i/>
      <w:iCs/>
      <w:noProof/>
      <w:lang w:val="es-ES_tradnl"/>
    </w:rPr>
  </w:style>
  <w:style w:type="paragraph" w:styleId="TOC2">
    <w:name w:val="toc 2"/>
    <w:basedOn w:val="Normal"/>
    <w:next w:val="Normal"/>
    <w:autoRedefine/>
    <w:uiPriority w:val="39"/>
    <w:rsid w:val="00CB3858"/>
    <w:pPr>
      <w:tabs>
        <w:tab w:val="right" w:leader="dot" w:pos="8630"/>
      </w:tabs>
    </w:pPr>
    <w:rPr>
      <w:rFonts w:ascii="Times New Roman" w:hAnsi="Times New Roman"/>
      <w:b/>
      <w:smallCaps/>
      <w:noProof/>
    </w:rPr>
  </w:style>
  <w:style w:type="character" w:styleId="Hyperlink">
    <w:name w:val="Hyperlink"/>
    <w:uiPriority w:val="99"/>
    <w:rsid w:val="00685536"/>
    <w:rPr>
      <w:color w:val="0000FF"/>
      <w:u w:val="single"/>
    </w:rPr>
  </w:style>
  <w:style w:type="paragraph" w:styleId="Subtitle">
    <w:name w:val="Subtitle"/>
    <w:basedOn w:val="Normal"/>
    <w:next w:val="Normal"/>
    <w:link w:val="SubtitleChar"/>
    <w:qFormat/>
    <w:rsid w:val="00685536"/>
    <w:pPr>
      <w:spacing w:after="60"/>
      <w:jc w:val="center"/>
      <w:outlineLvl w:val="1"/>
    </w:pPr>
    <w:rPr>
      <w:rFonts w:ascii="Cambria" w:hAnsi="Cambria"/>
      <w:sz w:val="24"/>
    </w:rPr>
  </w:style>
  <w:style w:type="character" w:customStyle="1" w:styleId="SubtitleChar">
    <w:name w:val="Subtitle Char"/>
    <w:link w:val="Subtitle"/>
    <w:locked/>
    <w:rsid w:val="00685536"/>
    <w:rPr>
      <w:rFonts w:ascii="Cambria" w:hAnsi="Cambria"/>
      <w:sz w:val="24"/>
      <w:lang w:val="en-US" w:eastAsia="en-US"/>
    </w:rPr>
  </w:style>
  <w:style w:type="paragraph" w:styleId="EndnoteText">
    <w:name w:val="endnote text"/>
    <w:basedOn w:val="Normal"/>
    <w:link w:val="EndnoteTextChar"/>
    <w:semiHidden/>
    <w:rsid w:val="00685536"/>
  </w:style>
  <w:style w:type="character" w:customStyle="1" w:styleId="EndnoteTextChar">
    <w:name w:val="Endnote Text Char"/>
    <w:link w:val="EndnoteText"/>
    <w:semiHidden/>
    <w:locked/>
    <w:rsid w:val="00685536"/>
    <w:rPr>
      <w:rFonts w:ascii="Arial" w:hAnsi="Arial"/>
      <w:lang w:val="en-US" w:eastAsia="en-US"/>
    </w:rPr>
  </w:style>
  <w:style w:type="character" w:styleId="EndnoteReference">
    <w:name w:val="endnote reference"/>
    <w:semiHidden/>
    <w:rsid w:val="00685536"/>
    <w:rPr>
      <w:vertAlign w:val="superscript"/>
    </w:rPr>
  </w:style>
  <w:style w:type="paragraph" w:customStyle="1" w:styleId="ListParagraph1">
    <w:name w:val="List Paragraph1"/>
    <w:basedOn w:val="Normal"/>
    <w:rsid w:val="00207B49"/>
    <w:pPr>
      <w:ind w:left="708"/>
    </w:pPr>
  </w:style>
  <w:style w:type="paragraph" w:styleId="TOC1">
    <w:name w:val="toc 1"/>
    <w:basedOn w:val="Normal"/>
    <w:next w:val="Normal"/>
    <w:autoRedefine/>
    <w:uiPriority w:val="39"/>
    <w:rsid w:val="000822B7"/>
    <w:pPr>
      <w:spacing w:before="120" w:after="120"/>
    </w:pPr>
    <w:rPr>
      <w:rFonts w:ascii="Times New Roman" w:hAnsi="Times New Roman"/>
      <w:b/>
      <w:bCs/>
      <w:caps/>
    </w:rPr>
  </w:style>
  <w:style w:type="paragraph" w:styleId="BalloonText">
    <w:name w:val="Balloon Text"/>
    <w:basedOn w:val="Normal"/>
    <w:semiHidden/>
    <w:rsid w:val="00A71618"/>
    <w:rPr>
      <w:rFonts w:ascii="Tahoma" w:hAnsi="Tahoma" w:cs="Tahoma"/>
      <w:sz w:val="16"/>
      <w:szCs w:val="16"/>
    </w:rPr>
  </w:style>
  <w:style w:type="character" w:customStyle="1" w:styleId="Heading3Char">
    <w:name w:val="Heading 3 Char"/>
    <w:link w:val="Heading3"/>
    <w:locked/>
    <w:rsid w:val="00362A45"/>
    <w:rPr>
      <w:i/>
      <w:sz w:val="26"/>
      <w:lang w:val="en-US" w:eastAsia="en-US"/>
    </w:rPr>
  </w:style>
  <w:style w:type="paragraph" w:customStyle="1" w:styleId="Titulo4">
    <w:name w:val="Titulo 4"/>
    <w:basedOn w:val="Normal"/>
    <w:link w:val="Titulo4Car"/>
    <w:rsid w:val="007068FB"/>
    <w:pPr>
      <w:ind w:left="720"/>
    </w:pPr>
    <w:rPr>
      <w:u w:val="single"/>
    </w:rPr>
  </w:style>
  <w:style w:type="character" w:customStyle="1" w:styleId="Titulo4Car">
    <w:name w:val="Titulo 4 Car"/>
    <w:link w:val="Titulo4"/>
    <w:locked/>
    <w:rsid w:val="007068FB"/>
    <w:rPr>
      <w:rFonts w:ascii="Arial" w:hAnsi="Arial"/>
      <w:u w:val="single"/>
      <w:lang w:val="en-US" w:eastAsia="en-US"/>
    </w:rPr>
  </w:style>
  <w:style w:type="paragraph" w:customStyle="1" w:styleId="NormalTimesNewRoman">
    <w:name w:val="Normal + Times New Roman"/>
    <w:aliases w:val="11 pt,Justificado,Titulo4"/>
    <w:basedOn w:val="Normal"/>
    <w:rsid w:val="007068FB"/>
    <w:pPr>
      <w:tabs>
        <w:tab w:val="num" w:pos="958"/>
      </w:tabs>
      <w:ind w:left="144"/>
      <w:jc w:val="both"/>
    </w:pPr>
    <w:rPr>
      <w:rFonts w:ascii="Times New Roman" w:hAnsi="Times New Roman"/>
      <w:sz w:val="22"/>
      <w:szCs w:val="22"/>
    </w:rPr>
  </w:style>
  <w:style w:type="paragraph" w:styleId="TOC5">
    <w:name w:val="toc 5"/>
    <w:basedOn w:val="Normal"/>
    <w:next w:val="Normal"/>
    <w:autoRedefine/>
    <w:semiHidden/>
    <w:rsid w:val="000822B7"/>
    <w:pPr>
      <w:ind w:left="800"/>
    </w:pPr>
    <w:rPr>
      <w:rFonts w:ascii="Times New Roman" w:hAnsi="Times New Roman"/>
      <w:sz w:val="18"/>
      <w:szCs w:val="18"/>
    </w:rPr>
  </w:style>
  <w:style w:type="paragraph" w:styleId="TOC4">
    <w:name w:val="toc 4"/>
    <w:basedOn w:val="Normal"/>
    <w:next w:val="Normal"/>
    <w:autoRedefine/>
    <w:semiHidden/>
    <w:rsid w:val="000822B7"/>
    <w:pPr>
      <w:ind w:left="600"/>
    </w:pPr>
    <w:rPr>
      <w:rFonts w:ascii="Times New Roman" w:hAnsi="Times New Roman"/>
      <w:sz w:val="18"/>
      <w:szCs w:val="18"/>
    </w:rPr>
  </w:style>
  <w:style w:type="paragraph" w:styleId="TOC6">
    <w:name w:val="toc 6"/>
    <w:basedOn w:val="Normal"/>
    <w:next w:val="Normal"/>
    <w:autoRedefine/>
    <w:semiHidden/>
    <w:rsid w:val="000822B7"/>
    <w:pPr>
      <w:ind w:left="1000"/>
    </w:pPr>
    <w:rPr>
      <w:rFonts w:ascii="Times New Roman" w:hAnsi="Times New Roman"/>
      <w:sz w:val="18"/>
      <w:szCs w:val="18"/>
    </w:rPr>
  </w:style>
  <w:style w:type="paragraph" w:styleId="TOC7">
    <w:name w:val="toc 7"/>
    <w:basedOn w:val="Normal"/>
    <w:next w:val="Normal"/>
    <w:autoRedefine/>
    <w:semiHidden/>
    <w:rsid w:val="000822B7"/>
    <w:pPr>
      <w:ind w:left="1200"/>
    </w:pPr>
    <w:rPr>
      <w:rFonts w:ascii="Times New Roman" w:hAnsi="Times New Roman"/>
      <w:sz w:val="18"/>
      <w:szCs w:val="18"/>
    </w:rPr>
  </w:style>
  <w:style w:type="paragraph" w:styleId="TOC8">
    <w:name w:val="toc 8"/>
    <w:basedOn w:val="Normal"/>
    <w:next w:val="Normal"/>
    <w:autoRedefine/>
    <w:semiHidden/>
    <w:rsid w:val="000822B7"/>
    <w:pPr>
      <w:ind w:left="1400"/>
    </w:pPr>
    <w:rPr>
      <w:rFonts w:ascii="Times New Roman" w:hAnsi="Times New Roman"/>
      <w:sz w:val="18"/>
      <w:szCs w:val="18"/>
    </w:rPr>
  </w:style>
  <w:style w:type="paragraph" w:styleId="TOC9">
    <w:name w:val="toc 9"/>
    <w:basedOn w:val="Normal"/>
    <w:next w:val="Normal"/>
    <w:autoRedefine/>
    <w:semiHidden/>
    <w:rsid w:val="000822B7"/>
    <w:pPr>
      <w:ind w:left="1600"/>
    </w:pPr>
    <w:rPr>
      <w:rFonts w:ascii="Times New Roman" w:hAnsi="Times New Roman"/>
      <w:sz w:val="18"/>
      <w:szCs w:val="18"/>
    </w:rPr>
  </w:style>
  <w:style w:type="paragraph" w:customStyle="1" w:styleId="NormalWeb1">
    <w:name w:val="Normal (Web)1"/>
    <w:basedOn w:val="Normal"/>
    <w:rsid w:val="00717681"/>
    <w:pPr>
      <w:spacing w:before="100" w:beforeAutospacing="1" w:after="100" w:afterAutospacing="1"/>
    </w:pPr>
    <w:rPr>
      <w:rFonts w:ascii="Times New Roman" w:hAnsi="Times New Roman"/>
      <w:sz w:val="24"/>
      <w:szCs w:val="24"/>
      <w:lang w:val="es-ES" w:eastAsia="es-ES"/>
    </w:rPr>
  </w:style>
  <w:style w:type="paragraph" w:styleId="Header">
    <w:name w:val="header"/>
    <w:basedOn w:val="Normal"/>
    <w:link w:val="HeaderChar"/>
    <w:rsid w:val="00717681"/>
    <w:pPr>
      <w:tabs>
        <w:tab w:val="center" w:pos="4252"/>
        <w:tab w:val="right" w:pos="8504"/>
      </w:tabs>
    </w:pPr>
  </w:style>
  <w:style w:type="table" w:styleId="TableWeb2">
    <w:name w:val="Table Web 2"/>
    <w:basedOn w:val="TableNormal"/>
    <w:rsid w:val="00D70095"/>
    <w:tblPr>
      <w:tblCellSpacing w:w="20" w:type="dxa"/>
    </w:tblPr>
    <w:trPr>
      <w:tblCellSpacing w:w="20" w:type="dxa"/>
    </w:trPr>
    <w:tcPr>
      <w:shd w:val="clear" w:color="auto" w:fill="F3F3F3"/>
    </w:tcPr>
    <w:tblStylePr w:type="firstRow">
      <w:rPr>
        <w:rFonts w:cs="Times New Roman"/>
        <w:b/>
        <w:color w:val="000000"/>
      </w:rPr>
      <w:tblPr/>
      <w:tcPr>
        <w:shd w:val="clear" w:color="auto" w:fill="CCFFFF"/>
      </w:tcPr>
    </w:tblStylePr>
    <w:tblStylePr w:type="firstCol">
      <w:rPr>
        <w:rFonts w:cs="Times New Roman"/>
        <w:b/>
      </w:rPr>
      <w:tblPr/>
      <w:tcPr>
        <w:shd w:val="clear" w:color="auto" w:fill="CCFFFF"/>
      </w:tcPr>
    </w:tblStylePr>
    <w:tblStylePr w:type="nwCell">
      <w:rPr>
        <w:rFonts w:cs="Times New Roman"/>
        <w:b/>
        <w:color w:val="auto"/>
        <w:sz w:val="24"/>
      </w:rPr>
      <w:tblPr/>
      <w:tcPr>
        <w:shd w:val="clear" w:color="auto" w:fill="CCFFFF"/>
      </w:tcPr>
    </w:tblStylePr>
  </w:style>
  <w:style w:type="character" w:customStyle="1" w:styleId="HeaderChar">
    <w:name w:val="Header Char"/>
    <w:link w:val="Header"/>
    <w:locked/>
    <w:rsid w:val="00DD3757"/>
    <w:rPr>
      <w:rFonts w:ascii="Arial" w:hAnsi="Arial"/>
      <w:lang w:val="en-US" w:eastAsia="en-US"/>
    </w:rPr>
  </w:style>
  <w:style w:type="paragraph" w:customStyle="1" w:styleId="SPLAP1">
    <w:name w:val="SPLAP 1"/>
    <w:basedOn w:val="Heading1"/>
    <w:rsid w:val="00D0244F"/>
    <w:pPr>
      <w:numPr>
        <w:numId w:val="2"/>
      </w:numPr>
      <w:pBdr>
        <w:bottom w:val="single" w:sz="4" w:space="1" w:color="auto"/>
      </w:pBdr>
      <w:spacing w:before="240" w:after="240"/>
      <w:jc w:val="left"/>
    </w:pPr>
    <w:rPr>
      <w:rFonts w:ascii="Arial" w:hAnsi="Arial"/>
      <w:bCs w:val="0"/>
      <w:i w:val="0"/>
      <w:iCs w:val="0"/>
      <w:kern w:val="32"/>
      <w:sz w:val="24"/>
      <w:szCs w:val="32"/>
      <w:lang w:val="en-AU"/>
    </w:rPr>
  </w:style>
  <w:style w:type="paragraph" w:customStyle="1" w:styleId="SPLAP2">
    <w:name w:val="SPLAP 2"/>
    <w:basedOn w:val="Heading2"/>
    <w:rsid w:val="00D0244F"/>
    <w:pPr>
      <w:numPr>
        <w:ilvl w:val="1"/>
        <w:numId w:val="2"/>
      </w:numPr>
      <w:tabs>
        <w:tab w:val="num" w:pos="567"/>
      </w:tabs>
      <w:spacing w:before="240" w:after="60"/>
      <w:ind w:left="567" w:hanging="567"/>
      <w:jc w:val="left"/>
      <w:outlineLvl w:val="0"/>
    </w:pPr>
    <w:rPr>
      <w:rFonts w:ascii="Arial" w:hAnsi="Arial"/>
      <w:bCs w:val="0"/>
      <w:i/>
      <w:iCs w:val="0"/>
      <w:sz w:val="24"/>
      <w:szCs w:val="28"/>
      <w:lang w:val="en-AU"/>
    </w:rPr>
  </w:style>
  <w:style w:type="paragraph" w:customStyle="1" w:styleId="SPLAP3">
    <w:name w:val="SPLAP 3"/>
    <w:basedOn w:val="Heading3"/>
    <w:rsid w:val="00D0244F"/>
    <w:pPr>
      <w:numPr>
        <w:ilvl w:val="2"/>
        <w:numId w:val="2"/>
      </w:numPr>
    </w:pPr>
    <w:rPr>
      <w:rFonts w:ascii="Arial" w:hAnsi="Arial"/>
      <w:bCs/>
      <w:lang w:val="en-AU"/>
    </w:rPr>
  </w:style>
  <w:style w:type="paragraph" w:customStyle="1" w:styleId="ICLEIfont">
    <w:name w:val="ICLEI font"/>
    <w:basedOn w:val="Normal"/>
    <w:rsid w:val="00D0244F"/>
    <w:pPr>
      <w:spacing w:after="120"/>
    </w:pPr>
    <w:rPr>
      <w:sz w:val="22"/>
      <w:lang w:val="en-AU"/>
    </w:rPr>
  </w:style>
  <w:style w:type="paragraph" w:customStyle="1" w:styleId="LAPbodytext">
    <w:name w:val="LAP body text"/>
    <w:basedOn w:val="Normal"/>
    <w:rsid w:val="004701EC"/>
    <w:pPr>
      <w:jc w:val="both"/>
    </w:pPr>
    <w:rPr>
      <w:rFonts w:ascii="Verdana" w:hAnsi="Verdana"/>
      <w:color w:val="003366"/>
      <w:lang w:val="en-AU"/>
    </w:rPr>
  </w:style>
  <w:style w:type="character" w:styleId="FollowedHyperlink">
    <w:name w:val="FollowedHyperlink"/>
    <w:rsid w:val="00C03318"/>
    <w:rPr>
      <w:color w:val="800080"/>
      <w:u w:val="single"/>
    </w:rPr>
  </w:style>
  <w:style w:type="character" w:styleId="Emphasis">
    <w:name w:val="Emphasis"/>
    <w:uiPriority w:val="20"/>
    <w:qFormat/>
    <w:rsid w:val="007A0A9F"/>
    <w:rPr>
      <w:i/>
    </w:rPr>
  </w:style>
  <w:style w:type="paragraph" w:customStyle="1" w:styleId="SecHeading">
    <w:name w:val="SecHeading"/>
    <w:basedOn w:val="Normal"/>
    <w:next w:val="Normal"/>
    <w:rsid w:val="00BA1559"/>
    <w:pPr>
      <w:keepNext/>
      <w:numPr>
        <w:ilvl w:val="1"/>
        <w:numId w:val="3"/>
      </w:numPr>
      <w:tabs>
        <w:tab w:val="left" w:pos="720"/>
      </w:tabs>
      <w:spacing w:before="120" w:after="120"/>
      <w:jc w:val="both"/>
    </w:pPr>
    <w:rPr>
      <w:rFonts w:ascii="Times New Roman" w:hAnsi="Times New Roman"/>
      <w:sz w:val="24"/>
      <w:lang w:val="es-ES_tradnl"/>
    </w:rPr>
  </w:style>
  <w:style w:type="character" w:customStyle="1" w:styleId="FootnoteTextChar2">
    <w:name w:val="Footnote Text Char2"/>
    <w:aliases w:val="Boston 10 Char,FOOTNOTES Char1,Font: Geneva 9 Char,Footnote Text Char Char2,Footnote Text Char Char Char1,Geneva 9 Char,Texto de rodapé Char1,Texto nota pie Car Car Char1,Texto nota pie Car Car Car Char,Texto nota pie Car1 Char"/>
    <w:link w:val="FootnoteText"/>
    <w:uiPriority w:val="99"/>
    <w:locked/>
    <w:rsid w:val="00336BBF"/>
    <w:rPr>
      <w:rFonts w:ascii="Arial" w:hAnsi="Arial"/>
      <w:lang w:val="en-US" w:eastAsia="en-US"/>
    </w:rPr>
  </w:style>
  <w:style w:type="table" w:customStyle="1" w:styleId="Sombreadoclaro1">
    <w:name w:val="Sombreado claro1"/>
    <w:rsid w:val="00E64D3F"/>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styleId="TableClassic1">
    <w:name w:val="Table Classic 1"/>
    <w:basedOn w:val="TableNormal"/>
    <w:rsid w:val="002F12ED"/>
    <w:tblPr>
      <w:tblBorders>
        <w:top w:val="single" w:sz="12" w:space="0" w:color="000000"/>
        <w:bottom w:val="single" w:sz="12" w:space="0" w:color="000000"/>
      </w:tblBorders>
    </w:tblPr>
    <w:tblStylePr w:type="firstRow">
      <w:rPr>
        <w:rFonts w:cs="Times New Roman"/>
        <w:i/>
        <w:iCs/>
      </w:rPr>
      <w:tblPr/>
      <w:tcPr>
        <w:tcBorders>
          <w:bottom w:val="single" w:sz="6" w:space="0" w:color="000000"/>
        </w:tcBorders>
      </w:tcPr>
    </w:tblStylePr>
    <w:tblStylePr w:type="lastRow">
      <w:rPr>
        <w:rFonts w:cs="Times New Roman"/>
        <w:color w:val="auto"/>
      </w:rPr>
      <w:tblPr/>
      <w:tcPr>
        <w:tcBorders>
          <w:top w:val="single" w:sz="6" w:space="0" w:color="000000"/>
        </w:tcBorders>
      </w:tcPr>
    </w:tblStylePr>
    <w:tblStylePr w:type="firstCol">
      <w:rPr>
        <w:rFonts w:cs="Times New Roman"/>
      </w:rPr>
      <w:tblPr/>
      <w:tcPr>
        <w:tcBorders>
          <w:right w:val="single" w:sz="6" w:space="0" w:color="000000"/>
        </w:tcBorders>
      </w:tcPr>
    </w:tblStylePr>
    <w:tblStylePr w:type="neCell">
      <w:rPr>
        <w:rFonts w:cs="Times New Roman"/>
        <w:b/>
        <w:bCs/>
        <w:i w:val="0"/>
        <w:iCs w:val="0"/>
      </w:rPr>
    </w:tblStylePr>
    <w:tblStylePr w:type="swCell">
      <w:rPr>
        <w:rFonts w:cs="Times New Roman"/>
        <w:b/>
        <w:bCs/>
      </w:rPr>
    </w:tblStylePr>
  </w:style>
  <w:style w:type="table" w:styleId="TableClassic2">
    <w:name w:val="Table Classic 2"/>
    <w:basedOn w:val="TableNormal"/>
    <w:rsid w:val="002F12ED"/>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cBorders>
        <w:shd w:val="solid" w:color="800080" w:fill="FFFFFF"/>
      </w:tcPr>
    </w:tblStylePr>
    <w:tblStylePr w:type="lastRow">
      <w:rPr>
        <w:rFonts w:cs="Times New Roman"/>
      </w:rPr>
      <w:tblPr/>
      <w:tcPr>
        <w:tcBorders>
          <w:top w:val="single" w:sz="6" w:space="0" w:color="000000"/>
        </w:tcBorders>
      </w:tcPr>
    </w:tblStylePr>
    <w:tblStylePr w:type="firstCol">
      <w:rPr>
        <w:rFonts w:cs="Times New Roman"/>
        <w:b/>
        <w:bCs/>
      </w:rPr>
      <w:tblPr/>
      <w:tcPr>
        <w:shd w:val="solid" w:color="C0C0C0" w:fill="FFFFFF"/>
      </w:tcPr>
    </w:tblStylePr>
    <w:tblStylePr w:type="neCell">
      <w:rPr>
        <w:rFonts w:cs="Times New Roman"/>
        <w:b/>
        <w:bCs/>
      </w:rPr>
    </w:tblStylePr>
    <w:tblStylePr w:type="nwCell">
      <w:rPr>
        <w:rFonts w:cs="Times New Roman"/>
      </w:rPr>
      <w:tblPr/>
      <w:tcPr>
        <w:shd w:val="solid" w:color="800080" w:fill="FFFFFF"/>
      </w:tcPr>
    </w:tblStylePr>
    <w:tblStylePr w:type="swCell">
      <w:rPr>
        <w:rFonts w:cs="Times New Roman"/>
        <w:color w:val="000080"/>
      </w:rPr>
    </w:tblStylePr>
  </w:style>
  <w:style w:type="paragraph" w:styleId="BodyTextIndent2">
    <w:name w:val="Body Text Indent 2"/>
    <w:basedOn w:val="Normal"/>
    <w:link w:val="BodyTextIndent2Char"/>
    <w:rsid w:val="00D22FC7"/>
    <w:pPr>
      <w:spacing w:after="120" w:line="480" w:lineRule="auto"/>
      <w:ind w:left="283"/>
    </w:pPr>
    <w:rPr>
      <w:rFonts w:ascii="Times New Roman" w:hAnsi="Times New Roman"/>
      <w:sz w:val="24"/>
    </w:rPr>
  </w:style>
  <w:style w:type="character" w:customStyle="1" w:styleId="BodyTextIndent2Char">
    <w:name w:val="Body Text Indent 2 Char"/>
    <w:link w:val="BodyTextIndent2"/>
    <w:locked/>
    <w:rsid w:val="00D22FC7"/>
    <w:rPr>
      <w:sz w:val="24"/>
      <w:lang w:val="en-US" w:eastAsia="en-US"/>
    </w:rPr>
  </w:style>
  <w:style w:type="character" w:customStyle="1" w:styleId="TitleChar">
    <w:name w:val="Title Char"/>
    <w:link w:val="Title"/>
    <w:locked/>
    <w:rsid w:val="00D93270"/>
    <w:rPr>
      <w:b/>
      <w:sz w:val="24"/>
      <w:lang w:val="es-ES_tradnl" w:eastAsia="en-US"/>
    </w:rPr>
  </w:style>
  <w:style w:type="paragraph" w:styleId="BodyText">
    <w:name w:val="Body Text"/>
    <w:basedOn w:val="Normal"/>
    <w:link w:val="BodyTextChar"/>
    <w:rsid w:val="00CD6874"/>
    <w:pPr>
      <w:widowControl w:val="0"/>
      <w:adjustRightInd w:val="0"/>
      <w:spacing w:after="120" w:line="276" w:lineRule="auto"/>
      <w:jc w:val="both"/>
      <w:textAlignment w:val="baseline"/>
    </w:pPr>
    <w:rPr>
      <w:rFonts w:ascii="Times New Roman" w:hAnsi="Times New Roman"/>
      <w:sz w:val="22"/>
      <w:szCs w:val="22"/>
      <w:lang w:val="es-PE"/>
    </w:rPr>
  </w:style>
  <w:style w:type="character" w:customStyle="1" w:styleId="BodyTextChar">
    <w:name w:val="Body Text Char"/>
    <w:link w:val="BodyText"/>
    <w:locked/>
    <w:rsid w:val="00CD6874"/>
    <w:rPr>
      <w:rFonts w:eastAsia="Times New Roman" w:cs="Times New Roman"/>
      <w:sz w:val="22"/>
      <w:szCs w:val="22"/>
      <w:lang w:val="es-PE" w:eastAsia="en-US"/>
    </w:rPr>
  </w:style>
  <w:style w:type="paragraph" w:customStyle="1" w:styleId="NoSpacing1">
    <w:name w:val="No Spacing1"/>
    <w:basedOn w:val="Normal"/>
    <w:link w:val="NoSpacingChar"/>
    <w:rsid w:val="00CB3ADD"/>
    <w:pPr>
      <w:widowControl w:val="0"/>
      <w:adjustRightInd w:val="0"/>
      <w:jc w:val="both"/>
      <w:textAlignment w:val="baseline"/>
    </w:pPr>
    <w:rPr>
      <w:rFonts w:ascii="Times New Roman" w:hAnsi="Times New Roman"/>
      <w:sz w:val="22"/>
      <w:lang w:val="es-PE"/>
    </w:rPr>
  </w:style>
  <w:style w:type="character" w:customStyle="1" w:styleId="NoSpacingChar">
    <w:name w:val="No Spacing Char"/>
    <w:link w:val="NoSpacing1"/>
    <w:locked/>
    <w:rsid w:val="00CB3ADD"/>
    <w:rPr>
      <w:rFonts w:eastAsia="Times New Roman"/>
      <w:sz w:val="22"/>
      <w:lang w:val="es-PE" w:eastAsia="en-US"/>
    </w:rPr>
  </w:style>
  <w:style w:type="paragraph" w:customStyle="1" w:styleId="NoSpacing2">
    <w:name w:val="No Spacing2"/>
    <w:link w:val="NoSpacingChar1"/>
    <w:rsid w:val="00405993"/>
    <w:rPr>
      <w:rFonts w:ascii="Calibri" w:hAnsi="Calibri"/>
      <w:sz w:val="22"/>
      <w:szCs w:val="22"/>
      <w:lang w:val="es-MX" w:eastAsia="en-US"/>
    </w:rPr>
  </w:style>
  <w:style w:type="character" w:customStyle="1" w:styleId="NoSpacingChar1">
    <w:name w:val="No Spacing Char1"/>
    <w:link w:val="NoSpacing2"/>
    <w:locked/>
    <w:rsid w:val="00405993"/>
    <w:rPr>
      <w:rFonts w:ascii="Calibri" w:hAnsi="Calibri"/>
      <w:sz w:val="22"/>
      <w:szCs w:val="22"/>
      <w:lang w:val="es-MX" w:eastAsia="en-US" w:bidi="ar-SA"/>
    </w:rPr>
  </w:style>
  <w:style w:type="paragraph" w:styleId="BodyTextIndent3">
    <w:name w:val="Body Text Indent 3"/>
    <w:basedOn w:val="Normal"/>
    <w:link w:val="BodyTextIndent3Char"/>
    <w:rsid w:val="00405993"/>
    <w:pPr>
      <w:widowControl w:val="0"/>
      <w:spacing w:after="120"/>
      <w:ind w:left="283"/>
    </w:pPr>
    <w:rPr>
      <w:rFonts w:ascii="Times New Roman" w:hAnsi="Times New Roman"/>
      <w:sz w:val="16"/>
      <w:szCs w:val="16"/>
      <w:lang w:val="es-PE" w:eastAsia="es-ES"/>
    </w:rPr>
  </w:style>
  <w:style w:type="character" w:customStyle="1" w:styleId="BodyTextIndent3Char">
    <w:name w:val="Body Text Indent 3 Char"/>
    <w:link w:val="BodyTextIndent3"/>
    <w:locked/>
    <w:rsid w:val="00405993"/>
    <w:rPr>
      <w:rFonts w:cs="Times New Roman"/>
      <w:sz w:val="16"/>
      <w:szCs w:val="16"/>
      <w:lang w:val="es-PE" w:eastAsia="es-ES"/>
    </w:rPr>
  </w:style>
  <w:style w:type="paragraph" w:customStyle="1" w:styleId="Bibliography1">
    <w:name w:val="Bibliography1"/>
    <w:basedOn w:val="Normal"/>
    <w:next w:val="Normal"/>
    <w:semiHidden/>
    <w:rsid w:val="00405993"/>
    <w:rPr>
      <w:rFonts w:ascii="Times New Roman" w:hAnsi="Times New Roman"/>
      <w:sz w:val="24"/>
      <w:szCs w:val="24"/>
      <w:lang w:val="es-PE"/>
    </w:rPr>
  </w:style>
  <w:style w:type="paragraph" w:customStyle="1" w:styleId="reference">
    <w:name w:val="reference"/>
    <w:basedOn w:val="Normal"/>
    <w:rsid w:val="00405993"/>
    <w:pPr>
      <w:ind w:left="1440" w:hanging="720"/>
    </w:pPr>
    <w:rPr>
      <w:rFonts w:ascii="Times New Roman" w:hAnsi="Times New Roman"/>
      <w:sz w:val="22"/>
    </w:rPr>
  </w:style>
  <w:style w:type="paragraph" w:customStyle="1" w:styleId="Reference0">
    <w:name w:val="Reference"/>
    <w:basedOn w:val="Normal"/>
    <w:rsid w:val="00405993"/>
    <w:pPr>
      <w:ind w:left="360" w:hanging="360"/>
    </w:pPr>
    <w:rPr>
      <w:rFonts w:ascii="Times New Roman" w:hAnsi="Times New Roman"/>
      <w:sz w:val="18"/>
      <w:lang w:val="es-ES"/>
    </w:rPr>
  </w:style>
  <w:style w:type="paragraph" w:styleId="ListBullet">
    <w:name w:val="List Bullet"/>
    <w:basedOn w:val="Normal"/>
    <w:rsid w:val="00862836"/>
    <w:pPr>
      <w:contextualSpacing/>
    </w:pPr>
  </w:style>
  <w:style w:type="paragraph" w:customStyle="1" w:styleId="Chapter">
    <w:name w:val="Chapter"/>
    <w:basedOn w:val="Normal"/>
    <w:next w:val="Normal"/>
    <w:rsid w:val="00826AC0"/>
    <w:pPr>
      <w:numPr>
        <w:numId w:val="4"/>
      </w:numPr>
      <w:tabs>
        <w:tab w:val="left" w:pos="1440"/>
      </w:tabs>
      <w:spacing w:after="240"/>
      <w:jc w:val="center"/>
    </w:pPr>
    <w:rPr>
      <w:rFonts w:ascii="Times New Roman" w:hAnsi="Times New Roman"/>
      <w:b/>
      <w:smallCaps/>
      <w:sz w:val="24"/>
      <w:lang w:val="es-ES"/>
    </w:rPr>
  </w:style>
  <w:style w:type="paragraph" w:customStyle="1" w:styleId="Paragraph">
    <w:name w:val="Paragraph"/>
    <w:aliases w:val="PARAGRAPH,PG,at,p,pa,paragraph"/>
    <w:basedOn w:val="BodyTextIndent"/>
    <w:link w:val="ParagraphChar"/>
    <w:rsid w:val="00826AC0"/>
    <w:pPr>
      <w:numPr>
        <w:ilvl w:val="1"/>
        <w:numId w:val="4"/>
      </w:numPr>
      <w:spacing w:before="120"/>
      <w:jc w:val="both"/>
      <w:outlineLvl w:val="1"/>
    </w:pPr>
    <w:rPr>
      <w:rFonts w:ascii="Times New Roman" w:hAnsi="Times New Roman"/>
      <w:sz w:val="24"/>
      <w:lang w:val="es-ES"/>
    </w:rPr>
  </w:style>
  <w:style w:type="paragraph" w:customStyle="1" w:styleId="subpar">
    <w:name w:val="subpar"/>
    <w:basedOn w:val="BodyTextIndent3"/>
    <w:uiPriority w:val="99"/>
    <w:rsid w:val="00826AC0"/>
    <w:pPr>
      <w:widowControl/>
      <w:numPr>
        <w:ilvl w:val="2"/>
        <w:numId w:val="4"/>
      </w:numPr>
      <w:spacing w:before="120"/>
      <w:jc w:val="both"/>
      <w:outlineLvl w:val="2"/>
    </w:pPr>
    <w:rPr>
      <w:sz w:val="24"/>
      <w:szCs w:val="20"/>
      <w:lang w:val="es-ES_tradnl" w:eastAsia="en-US"/>
    </w:rPr>
  </w:style>
  <w:style w:type="paragraph" w:customStyle="1" w:styleId="SubSubPar">
    <w:name w:val="SubSubPar"/>
    <w:basedOn w:val="subpar"/>
    <w:uiPriority w:val="99"/>
    <w:rsid w:val="00826AC0"/>
    <w:pPr>
      <w:numPr>
        <w:ilvl w:val="3"/>
      </w:numPr>
      <w:tabs>
        <w:tab w:val="clear" w:pos="1584"/>
        <w:tab w:val="num" w:pos="1152"/>
      </w:tabs>
      <w:ind w:left="360" w:hanging="360"/>
    </w:pPr>
  </w:style>
  <w:style w:type="character" w:customStyle="1" w:styleId="ParagraphChar">
    <w:name w:val="Paragraph Char"/>
    <w:aliases w:val="PARAGRAPH Char,PG Char,at Char,p Char,pa Char,paragraph Char"/>
    <w:link w:val="Paragraph"/>
    <w:locked/>
    <w:rsid w:val="00826AC0"/>
    <w:rPr>
      <w:sz w:val="24"/>
      <w:lang w:val="es-ES" w:eastAsia="en-US"/>
    </w:rPr>
  </w:style>
  <w:style w:type="paragraph" w:styleId="BodyTextIndent">
    <w:name w:val="Body Text Indent"/>
    <w:basedOn w:val="Normal"/>
    <w:link w:val="BodyTextIndentChar"/>
    <w:rsid w:val="00826AC0"/>
    <w:pPr>
      <w:spacing w:after="120"/>
      <w:ind w:left="283"/>
    </w:pPr>
  </w:style>
  <w:style w:type="character" w:customStyle="1" w:styleId="BodyTextIndentChar">
    <w:name w:val="Body Text Indent Char"/>
    <w:link w:val="BodyTextIndent"/>
    <w:locked/>
    <w:rsid w:val="00826AC0"/>
    <w:rPr>
      <w:rFonts w:ascii="Arial" w:hAnsi="Arial" w:cs="Times New Roman"/>
      <w:lang w:val="en-US" w:eastAsia="en-US"/>
    </w:rPr>
  </w:style>
  <w:style w:type="table" w:styleId="TableSimple2">
    <w:name w:val="Table Simple 2"/>
    <w:basedOn w:val="TableNormal"/>
    <w:rsid w:val="0060492E"/>
    <w:tblPr/>
    <w:tblStylePr w:type="firstRow">
      <w:rPr>
        <w:rFonts w:cs="Times New Roman"/>
        <w:b/>
        <w:bCs/>
      </w:rPr>
      <w:tblPr/>
      <w:tcPr>
        <w:tcBorders>
          <w:bottom w:val="single" w:sz="12" w:space="0" w:color="000000"/>
        </w:tcBorders>
      </w:tcPr>
    </w:tblStylePr>
    <w:tblStylePr w:type="lastRow">
      <w:rPr>
        <w:rFonts w:cs="Times New Roman"/>
        <w:b/>
        <w:bCs/>
        <w:color w:val="auto"/>
      </w:rPr>
      <w:tblPr/>
      <w:tcPr>
        <w:tcBorders>
          <w:top w:val="single" w:sz="6" w:space="0" w:color="000000"/>
        </w:tcBorders>
      </w:tcPr>
    </w:tblStylePr>
    <w:tblStylePr w:type="firstCol">
      <w:rPr>
        <w:rFonts w:cs="Times New Roman"/>
        <w:b/>
        <w:bCs/>
      </w:rPr>
      <w:tblPr/>
      <w:tcPr>
        <w:tcBorders>
          <w:right w:val="single" w:sz="12" w:space="0" w:color="000000"/>
        </w:tcBorders>
      </w:tcPr>
    </w:tblStylePr>
    <w:tblStylePr w:type="lastCol">
      <w:rPr>
        <w:rFonts w:cs="Times New Roman"/>
        <w:b/>
        <w:bCs/>
      </w:rPr>
      <w:tblPr/>
      <w:tcPr>
        <w:tcBorders>
          <w:left w:val="single" w:sz="6" w:space="0" w:color="000000"/>
        </w:tcBorders>
      </w:tcPr>
    </w:tblStylePr>
    <w:tblStylePr w:type="neCell">
      <w:rPr>
        <w:rFonts w:cs="Times New Roman"/>
        <w:b/>
        <w:bCs/>
      </w:rPr>
    </w:tblStylePr>
    <w:tblStylePr w:type="swCell">
      <w:rPr>
        <w:rFonts w:cs="Times New Roman"/>
        <w:b/>
        <w:bCs/>
      </w:rPr>
    </w:tblStylePr>
  </w:style>
  <w:style w:type="character" w:customStyle="1" w:styleId="Heading1Char">
    <w:name w:val="Heading 1 Char"/>
    <w:link w:val="Heading1"/>
    <w:locked/>
    <w:rsid w:val="008E2901"/>
    <w:rPr>
      <w:rFonts w:cs="Times New Roman"/>
      <w:b/>
      <w:bCs/>
      <w:i/>
      <w:iCs/>
      <w:sz w:val="22"/>
      <w:szCs w:val="22"/>
      <w:lang w:val="es-ES_tradnl" w:eastAsia="en-US"/>
    </w:rPr>
  </w:style>
  <w:style w:type="character" w:styleId="CommentReference">
    <w:name w:val="annotation reference"/>
    <w:uiPriority w:val="99"/>
    <w:rsid w:val="00D02D28"/>
    <w:rPr>
      <w:rFonts w:cs="Times New Roman"/>
      <w:sz w:val="16"/>
      <w:szCs w:val="16"/>
    </w:rPr>
  </w:style>
  <w:style w:type="paragraph" w:styleId="CommentText">
    <w:name w:val="annotation text"/>
    <w:basedOn w:val="Normal"/>
    <w:link w:val="CommentTextChar"/>
    <w:uiPriority w:val="99"/>
    <w:rsid w:val="00D02D28"/>
  </w:style>
  <w:style w:type="character" w:customStyle="1" w:styleId="CommentTextChar">
    <w:name w:val="Comment Text Char"/>
    <w:link w:val="CommentText"/>
    <w:uiPriority w:val="99"/>
    <w:locked/>
    <w:rsid w:val="00D02D28"/>
    <w:rPr>
      <w:rFonts w:ascii="Arial" w:hAnsi="Arial" w:cs="Times New Roman"/>
    </w:rPr>
  </w:style>
  <w:style w:type="paragraph" w:styleId="CommentSubject">
    <w:name w:val="annotation subject"/>
    <w:basedOn w:val="CommentText"/>
    <w:next w:val="CommentText"/>
    <w:link w:val="CommentSubjectChar"/>
    <w:rsid w:val="00D02D28"/>
    <w:rPr>
      <w:b/>
      <w:bCs/>
    </w:rPr>
  </w:style>
  <w:style w:type="character" w:customStyle="1" w:styleId="CommentSubjectChar">
    <w:name w:val="Comment Subject Char"/>
    <w:link w:val="CommentSubject"/>
    <w:locked/>
    <w:rsid w:val="00D02D28"/>
    <w:rPr>
      <w:rFonts w:ascii="Arial" w:hAnsi="Arial" w:cs="Times New Roman"/>
      <w:b/>
      <w:bCs/>
    </w:rPr>
  </w:style>
  <w:style w:type="paragraph" w:customStyle="1" w:styleId="Revision1">
    <w:name w:val="Revision1"/>
    <w:hidden/>
    <w:semiHidden/>
    <w:rsid w:val="00DF12C9"/>
    <w:rPr>
      <w:rFonts w:ascii="Arial" w:hAnsi="Arial"/>
      <w:lang w:val="en-US" w:eastAsia="en-US"/>
    </w:rPr>
  </w:style>
  <w:style w:type="paragraph" w:customStyle="1" w:styleId="Pa3">
    <w:name w:val="Pa3"/>
    <w:basedOn w:val="Default"/>
    <w:next w:val="Default"/>
    <w:rsid w:val="00456219"/>
    <w:pPr>
      <w:spacing w:line="201" w:lineRule="atLeast"/>
    </w:pPr>
    <w:rPr>
      <w:rFonts w:ascii="Palatino Linotype" w:hAnsi="Palatino Linotype"/>
      <w:color w:val="auto"/>
    </w:rPr>
  </w:style>
  <w:style w:type="character" w:customStyle="1" w:styleId="A4">
    <w:name w:val="A4"/>
    <w:rsid w:val="00456219"/>
    <w:rPr>
      <w:color w:val="000000"/>
      <w:sz w:val="11"/>
    </w:rPr>
  </w:style>
  <w:style w:type="character" w:customStyle="1" w:styleId="FooterChar">
    <w:name w:val="Footer Char"/>
    <w:link w:val="Footer"/>
    <w:uiPriority w:val="99"/>
    <w:locked/>
    <w:rsid w:val="00D557E8"/>
    <w:rPr>
      <w:rFonts w:cs="Times New Roman"/>
      <w:sz w:val="24"/>
      <w:szCs w:val="24"/>
      <w:lang w:val="es-ES" w:eastAsia="en-US"/>
    </w:rPr>
  </w:style>
  <w:style w:type="paragraph" w:styleId="BodyText2">
    <w:name w:val="Body Text 2"/>
    <w:basedOn w:val="Normal"/>
    <w:link w:val="BodyText2Char"/>
    <w:rsid w:val="00460CB4"/>
    <w:pPr>
      <w:spacing w:after="120" w:line="480" w:lineRule="auto"/>
    </w:pPr>
  </w:style>
  <w:style w:type="character" w:customStyle="1" w:styleId="BodyText2Char">
    <w:name w:val="Body Text 2 Char"/>
    <w:link w:val="BodyText2"/>
    <w:locked/>
    <w:rsid w:val="00460CB4"/>
    <w:rPr>
      <w:rFonts w:ascii="Arial" w:hAnsi="Arial" w:cs="Times New Roman"/>
      <w:lang w:val="en-US" w:eastAsia="en-US"/>
    </w:rPr>
  </w:style>
  <w:style w:type="character" w:customStyle="1" w:styleId="FootnoteTextChar1">
    <w:name w:val="Footnote Text Char1"/>
    <w:aliases w:val="FOOTNOTES Char,Footnote Text Char Char Char,Footnote Text Char Char1,Geneva 9 Ch,Texto de rodapé Char,Texto nota pie Car Car Char,fn Char,footnote Char,footnote text Char,ft Char,nota de rodapé Char,nota_rodapé Char,single space Char"/>
    <w:locked/>
    <w:rsid w:val="002247AD"/>
    <w:rPr>
      <w:rFonts w:ascii="Arial" w:hAnsi="Arial" w:cs="Times New Roman"/>
      <w:sz w:val="20"/>
      <w:szCs w:val="20"/>
      <w:lang w:val="en-US"/>
    </w:rPr>
  </w:style>
  <w:style w:type="paragraph" w:customStyle="1" w:styleId="Prrafodelista1">
    <w:name w:val="Párrafo de lista1"/>
    <w:basedOn w:val="Normal"/>
    <w:rsid w:val="002247AD"/>
    <w:pPr>
      <w:ind w:left="708"/>
    </w:pPr>
  </w:style>
  <w:style w:type="table" w:styleId="TableGrid">
    <w:name w:val="Table Grid"/>
    <w:basedOn w:val="TableNormal"/>
    <w:uiPriority w:val="59"/>
    <w:rsid w:val="00282EB3"/>
    <w:pPr>
      <w:jc w:val="both"/>
    </w:pPr>
    <w:rPr>
      <w:rFonts w:ascii="Calibri" w:hAnsi="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2">
    <w:name w:val="Sombreado claro2"/>
    <w:rsid w:val="0038364F"/>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Sinespaciado1">
    <w:name w:val="Sin espaciado1"/>
    <w:basedOn w:val="Normal"/>
    <w:rsid w:val="0038364F"/>
    <w:pPr>
      <w:widowControl w:val="0"/>
      <w:adjustRightInd w:val="0"/>
      <w:jc w:val="both"/>
      <w:textAlignment w:val="baseline"/>
    </w:pPr>
    <w:rPr>
      <w:rFonts w:ascii="Times New Roman" w:hAnsi="Times New Roman"/>
      <w:sz w:val="22"/>
      <w:szCs w:val="22"/>
      <w:lang w:val="es-PE"/>
    </w:rPr>
  </w:style>
  <w:style w:type="paragraph" w:styleId="Caption">
    <w:name w:val="caption"/>
    <w:basedOn w:val="Normal"/>
    <w:next w:val="Normal"/>
    <w:qFormat/>
    <w:locked/>
    <w:rsid w:val="008C5FEC"/>
    <w:pPr>
      <w:spacing w:after="200" w:line="276" w:lineRule="auto"/>
    </w:pPr>
    <w:rPr>
      <w:rFonts w:ascii="AENOR Fontana ND" w:hAnsi="AENOR Fontana ND"/>
      <w:b/>
      <w:bCs/>
      <w:lang w:val="es-ES"/>
    </w:rPr>
  </w:style>
  <w:style w:type="paragraph" w:customStyle="1" w:styleId="Prrafodelista2">
    <w:name w:val="Párrafo de lista2"/>
    <w:aliases w:val="NIVEL ONE"/>
    <w:basedOn w:val="Normal"/>
    <w:uiPriority w:val="34"/>
    <w:qFormat/>
    <w:rsid w:val="005F66F1"/>
    <w:pPr>
      <w:ind w:left="708"/>
    </w:pPr>
  </w:style>
  <w:style w:type="paragraph" w:customStyle="1" w:styleId="Listavistosa-nfasis11">
    <w:name w:val="Lista vistosa - Énfasis 11"/>
    <w:basedOn w:val="Normal"/>
    <w:uiPriority w:val="34"/>
    <w:qFormat/>
    <w:rsid w:val="00EE5149"/>
    <w:pPr>
      <w:ind w:left="708"/>
    </w:pPr>
  </w:style>
  <w:style w:type="table" w:styleId="DarkList-Accent2">
    <w:name w:val="Dark List Accent 2"/>
    <w:basedOn w:val="TableNormal"/>
    <w:uiPriority w:val="61"/>
    <w:rsid w:val="00802E20"/>
    <w:rPr>
      <w:rFonts w:ascii="Calibri" w:eastAsia="Calibri" w:hAnsi="Calibri"/>
      <w:sz w:val="22"/>
      <w:szCs w:val="22"/>
      <w:lang w:val="es-PE"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TtulodeTDC1">
    <w:name w:val="Título de TDC1"/>
    <w:basedOn w:val="Heading1"/>
    <w:next w:val="Normal"/>
    <w:uiPriority w:val="39"/>
    <w:semiHidden/>
    <w:unhideWhenUsed/>
    <w:qFormat/>
    <w:rsid w:val="00503271"/>
    <w:pPr>
      <w:spacing w:before="240" w:after="60"/>
      <w:jc w:val="left"/>
      <w:outlineLvl w:val="9"/>
    </w:pPr>
    <w:rPr>
      <w:rFonts w:ascii="Cambria" w:hAnsi="Cambria"/>
      <w:i w:val="0"/>
      <w:iCs w:val="0"/>
      <w:kern w:val="32"/>
      <w:sz w:val="32"/>
      <w:szCs w:val="32"/>
      <w:lang w:val="en-US"/>
    </w:rPr>
  </w:style>
  <w:style w:type="paragraph" w:styleId="ListParagraph">
    <w:name w:val="List Paragraph"/>
    <w:basedOn w:val="Normal"/>
    <w:link w:val="ListParagraphChar"/>
    <w:uiPriority w:val="99"/>
    <w:qFormat/>
    <w:rsid w:val="00E60B3A"/>
    <w:pPr>
      <w:ind w:left="720"/>
      <w:contextualSpacing/>
    </w:pPr>
  </w:style>
  <w:style w:type="paragraph" w:styleId="Revision">
    <w:name w:val="Revision"/>
    <w:hidden/>
    <w:uiPriority w:val="99"/>
    <w:semiHidden/>
    <w:rsid w:val="00265E40"/>
    <w:rPr>
      <w:rFonts w:ascii="Arial" w:hAnsi="Arial"/>
      <w:lang w:val="en-US" w:eastAsia="en-US"/>
    </w:rPr>
  </w:style>
  <w:style w:type="table" w:customStyle="1" w:styleId="Tablaconcuadrcula1">
    <w:name w:val="Tabla con cuadrícula1"/>
    <w:basedOn w:val="TableNormal"/>
    <w:next w:val="TableGrid"/>
    <w:uiPriority w:val="59"/>
    <w:rsid w:val="006300B9"/>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locked/>
    <w:rsid w:val="00BC38D3"/>
    <w:rPr>
      <w:b/>
      <w:bCs/>
    </w:rPr>
  </w:style>
  <w:style w:type="character" w:customStyle="1" w:styleId="ListParagraphChar">
    <w:name w:val="List Paragraph Char"/>
    <w:link w:val="ListParagraph"/>
    <w:uiPriority w:val="99"/>
    <w:locked/>
    <w:rsid w:val="009B394E"/>
    <w:rPr>
      <w:rFonts w:ascii="Arial" w:hAnsi="Arial"/>
      <w:lang w:val="en-US" w:eastAsia="en-US"/>
    </w:rPr>
  </w:style>
  <w:style w:type="character" w:customStyle="1" w:styleId="apple-converted-space">
    <w:name w:val="apple-converted-space"/>
    <w:basedOn w:val="DefaultParagraphFont"/>
    <w:rsid w:val="00750B32"/>
  </w:style>
  <w:style w:type="character" w:styleId="LineNumber">
    <w:name w:val="line number"/>
    <w:basedOn w:val="DefaultParagraphFont"/>
    <w:semiHidden/>
    <w:unhideWhenUsed/>
    <w:rsid w:val="00CE59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9.png"/><Relationship Id="rId26" Type="http://schemas.openxmlformats.org/officeDocument/2006/relationships/image" Target="media/image17.emf"/><Relationship Id="rId39" Type="http://schemas.openxmlformats.org/officeDocument/2006/relationships/customXml" Target="../customXml/item8.xml"/><Relationship Id="rId21" Type="http://schemas.openxmlformats.org/officeDocument/2006/relationships/image" Target="media/image12.emf"/><Relationship Id="rId34"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customXml" Target="../customXml/item2.xml"/><Relationship Id="rId38"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29" Type="http://schemas.openxmlformats.org/officeDocument/2006/relationships/header" Target="header1.xml"/><Relationship Id="rId37" Type="http://schemas.openxmlformats.org/officeDocument/2006/relationships/customXml" Target="../customXml/item6.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5.emf"/><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image" Target="media/image14.png"/><Relationship Id="rId28" Type="http://schemas.openxmlformats.org/officeDocument/2006/relationships/image" Target="media/image19.jpeg"/><Relationship Id="rId36" Type="http://schemas.openxmlformats.org/officeDocument/2006/relationships/customXml" Target="../customXml/item5.xml"/><Relationship Id="rId10" Type="http://schemas.openxmlformats.org/officeDocument/2006/relationships/image" Target="media/image2.png"/><Relationship Id="rId19" Type="http://schemas.openxmlformats.org/officeDocument/2006/relationships/image" Target="media/image10.pn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ankofguyana.org.gy/" TargetMode="External"/><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footer" Target="footer1.xml"/><Relationship Id="rId35" Type="http://schemas.openxmlformats.org/officeDocument/2006/relationships/customXml" Target="../customXml/item4.xml"/><Relationship Id="rId8" Type="http://schemas.openxmlformats.org/officeDocument/2006/relationships/endnotes" Target="endnotes.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bankofguyana.org.gy" TargetMode="External"/><Relationship Id="rId2" Type="http://schemas.openxmlformats.org/officeDocument/2006/relationships/hyperlink" Target="http://www.thegef.org/gef/node/2492" TargetMode="External"/><Relationship Id="rId1" Type="http://schemas.openxmlformats.org/officeDocument/2006/relationships/hyperlink" Target="http://www.unfccc.int/" TargetMode="External"/><Relationship Id="rId4" Type="http://schemas.openxmlformats.org/officeDocument/2006/relationships/hyperlink" Target="http://www.fao.org/forestry/eu-flegt/82580/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C4C4F97E30E1BB40B353D12FA1CD7E9A" ma:contentTypeVersion="20" ma:contentTypeDescription="The base project type from which other project content types inherit their information." ma:contentTypeScope="" ma:versionID="b477d66787db59e270237fe7a320d406">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INE/RND</Division_x0020_or_x0020_Unit>
    <Other_x0020_Author xmlns="cdc7663a-08f0-4737-9e8c-148ce897a09c">Jorge Mendoza</Other_x0020_Author>
    <IDBDocs_x0020_Number xmlns="cdc7663a-08f0-4737-9e8c-148ce897a09c">39194478</IDBDocs_x0020_Number>
    <Document_x0020_Author xmlns="cdc7663a-08f0-4737-9e8c-148ce897a09c">Landazuri, Helena</Document_x0020_Author>
    <Operation_x0020_Type xmlns="cdc7663a-08f0-4737-9e8c-148ce897a09c" xsi:nil="true"/>
    <TaxCatchAll xmlns="cdc7663a-08f0-4737-9e8c-148ce897a09c"/>
    <Fiscal_x0020_Year_x0020_IDB xmlns="cdc7663a-08f0-4737-9e8c-148ce897a09c">2014</Fiscal_x0020_Year_x0020_IDB>
    <Project_x0020_Number xmlns="cdc7663a-08f0-4737-9e8c-148ce897a09c">GY-L1043</Project_x0020_Number>
    <Package_x0020_Code xmlns="cdc7663a-08f0-4737-9e8c-148ce897a09c" xsi:nil="true"/>
    <Migration_x0020_Info xmlns="cdc7663a-08f0-4737-9e8c-148ce897a09c">MS WORDLPLoan Proposal0N</Migration_x0020_Info>
    <Approval_x0020_Number xmlns="cdc7663a-08f0-4737-9e8c-148ce897a09c" xsi:nil="true"/>
    <Business_x0020_Area xmlns="cdc7663a-08f0-4737-9e8c-148ce897a09c" xsi:nil="true"/>
    <SISCOR_x0020_Number xmlns="cdc7663a-08f0-4737-9e8c-148ce897a09c" xsi:nil="true"/>
    <Identifier xmlns="cdc7663a-08f0-4737-9e8c-148ce897a09c">Link-PIC TECFILE</Identifier>
    <Document_x0020_Language_x0020_IDB xmlns="cdc7663a-08f0-4737-9e8c-148ce897a09c">Spanish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EZSHARE-561281106-56</_dlc_DocId>
    <From_x003a_ xmlns="cdc7663a-08f0-4737-9e8c-148ce897a09c">Jorge Mendoza</From_x003a_>
    <To_x003a_ xmlns="cdc7663a-08f0-4737-9e8c-148ce897a09c" xsi:nil="true"/>
    <_dlc_DocIdUrl xmlns="cdc7663a-08f0-4737-9e8c-148ce897a09c">
      <Url>https://idbg.sharepoint.com/teams/EZ-GY-LON/GY-L1043/_layouts/15/DocIdRedir.aspx?ID=EZSHARE-561281106-56</Url>
      <Description>EZSHARE-561281106-56</Description>
    </_dlc_DocIdUrl>
  </documentManagement>
</p:properties>
</file>

<file path=customXml/item7.xml><?xml version="1.0" encoding="utf-8"?>
<?mso-contentType ?>
<SharedContentType xmlns="Microsoft.SharePoint.Taxonomy.ContentTypeSync" SourceId="ae61f9b1-e23d-4f49-b3d7-56b991556c4b" ContentTypeId="0x010100ACF722E9F6B0B149B0CD8BE2560A6672" PreviousValue="false"/>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35E2CE46-47F5-49F7-99FF-DA03EDC55C30}"/>
</file>

<file path=customXml/itemProps2.xml><?xml version="1.0" encoding="utf-8"?>
<ds:datastoreItem xmlns:ds="http://schemas.openxmlformats.org/officeDocument/2006/customXml" ds:itemID="{BE88BF49-4DBA-4D38-9990-64C02B626C2C}"/>
</file>

<file path=customXml/itemProps3.xml><?xml version="1.0" encoding="utf-8"?>
<ds:datastoreItem xmlns:ds="http://schemas.openxmlformats.org/officeDocument/2006/customXml" ds:itemID="{E2142E95-A5C5-42CA-91D2-B918D8B68498}"/>
</file>

<file path=customXml/itemProps4.xml><?xml version="1.0" encoding="utf-8"?>
<ds:datastoreItem xmlns:ds="http://schemas.openxmlformats.org/officeDocument/2006/customXml" ds:itemID="{F3362F1F-C6D8-4189-8987-7D129CEBB61E}"/>
</file>

<file path=customXml/itemProps5.xml><?xml version="1.0" encoding="utf-8"?>
<ds:datastoreItem xmlns:ds="http://schemas.openxmlformats.org/officeDocument/2006/customXml" ds:itemID="{D73F33EC-29B4-47C7-93F6-7391307E56BE}"/>
</file>

<file path=customXml/itemProps6.xml><?xml version="1.0" encoding="utf-8"?>
<ds:datastoreItem xmlns:ds="http://schemas.openxmlformats.org/officeDocument/2006/customXml" ds:itemID="{F748A9FC-8C72-47A7-992B-FCC9383E9626}"/>
</file>

<file path=customXml/itemProps7.xml><?xml version="1.0" encoding="utf-8"?>
<ds:datastoreItem xmlns:ds="http://schemas.openxmlformats.org/officeDocument/2006/customXml" ds:itemID="{312EA40C-EA7F-4EFA-A005-1A8947AFA89B}"/>
</file>

<file path=customXml/itemProps8.xml><?xml version="1.0" encoding="utf-8"?>
<ds:datastoreItem xmlns:ds="http://schemas.openxmlformats.org/officeDocument/2006/customXml" ds:itemID="{97A7EE07-CA2C-42C5-8EC3-FDE14CD79FF7}"/>
</file>

<file path=docProps/app.xml><?xml version="1.0" encoding="utf-8"?>
<Properties xmlns="http://schemas.openxmlformats.org/officeDocument/2006/extended-properties" xmlns:vt="http://schemas.openxmlformats.org/officeDocument/2006/docPropsVTypes">
  <Template>Normal</Template>
  <TotalTime>0</TotalTime>
  <Pages>52</Pages>
  <Words>17615</Words>
  <Characters>101741</Characters>
  <Application>Microsoft Office Word</Application>
  <DocSecurity>4</DocSecurity>
  <Lines>847</Lines>
  <Paragraphs>238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CC Toolkit</vt:lpstr>
      <vt:lpstr>CC Toolkit</vt:lpstr>
    </vt:vector>
  </TitlesOfParts>
  <Company>Inter-American Development Bank</Company>
  <LinksUpToDate>false</LinksUpToDate>
  <CharactersWithSpaces>119118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GY-L1043 - LP - Link Economic Evaluation Report</dc:title>
  <dc:creator>JMENDOZA</dc:creator>
  <cp:lastModifiedBy>HELENAL</cp:lastModifiedBy>
  <cp:revision>2</cp:revision>
  <cp:lastPrinted>2014-09-17T16:38:00Z</cp:lastPrinted>
  <dcterms:created xsi:type="dcterms:W3CDTF">2014-11-06T16:22:00Z</dcterms:created>
  <dcterms:modified xsi:type="dcterms:W3CDTF">2014-11-06T16:22:00Z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0x010100ACF722E9F6B0B149B0CD8BE2560A667200C4C4F97E30E1BB40B353D12FA1CD7E9A</vt:lpwstr>
  </property>
  <property fmtid="{D5CDD505-2E9C-101B-9397-08002B2CF9AE}" pid="5" name="TaxKeywordTaxHTField">
    <vt:lpwstr/>
  </property>
  <property fmtid="{D5CDD505-2E9C-101B-9397-08002B2CF9AE}" pid="6" name="Series Operations IDB">
    <vt:lpwstr>21;#Loan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21;#Loan Proposal|6ee86b6f-6e46-485b-8bfb-87a1f44622ac</vt:lpwstr>
  </property>
  <property fmtid="{D5CDD505-2E9C-101B-9397-08002B2CF9AE}" pid="11" name="To:">
    <vt:lpwstr/>
  </property>
  <property fmtid="{D5CDD505-2E9C-101B-9397-08002B2CF9AE}" pid="12" name="From:">
    <vt:lpwstr>Jorge Mendoza</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Loan Proposal</vt:lpwstr>
  </property>
  <property fmtid="{D5CDD505-2E9C-101B-9397-08002B2CF9AE}" pid="18" name="ATI Disclose Document Workflow v5">
    <vt:lpwstr/>
  </property>
  <property fmtid="{D5CDD505-2E9C-101B-9397-08002B2CF9AE}" pid="21" name="Webtopic">
    <vt:lpwstr>Environmental Programs and Institutions</vt:lpwstr>
  </property>
  <property fmtid="{D5CDD505-2E9C-101B-9397-08002B2CF9AE}" pid="23" name="Disclosed">
    <vt:bool>false</vt:bool>
  </property>
  <property fmtid="{D5CDD505-2E9C-101B-9397-08002B2CF9AE}" pid="25" name="ATI Undisclose Document Workflow">
    <vt:lpwstr/>
  </property>
  <property fmtid="{D5CDD505-2E9C-101B-9397-08002B2CF9AE}" pid="26" name="_dlc_DocIdItemGuid">
    <vt:lpwstr>23ca3e48-cc8f-449d-b786-29dacaf77000</vt:lpwstr>
  </property>
</Properties>
</file>