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13" w:rsidRPr="00D32013" w:rsidRDefault="00056D99" w:rsidP="000F337B">
      <w:pPr>
        <w:spacing w:before="120" w:after="120" w:line="240" w:lineRule="auto"/>
        <w:jc w:val="center"/>
        <w:rPr>
          <w:b/>
        </w:rPr>
      </w:pPr>
      <w:r>
        <w:rPr>
          <w:b/>
        </w:rPr>
        <w:t>GY-L1043</w:t>
      </w:r>
      <w:r w:rsidR="00D32013" w:rsidRPr="00D32013">
        <w:rPr>
          <w:b/>
        </w:rPr>
        <w:t xml:space="preserve"> Environment </w:t>
      </w:r>
      <w:r w:rsidR="000F337B">
        <w:rPr>
          <w:b/>
        </w:rPr>
        <w:t>Sector Strengthening</w:t>
      </w:r>
    </w:p>
    <w:p w:rsidR="00E622C1" w:rsidRDefault="00A17EA8" w:rsidP="000F337B">
      <w:pPr>
        <w:spacing w:before="120" w:after="120" w:line="240" w:lineRule="auto"/>
        <w:jc w:val="center"/>
        <w:rPr>
          <w:u w:val="single"/>
        </w:rPr>
      </w:pPr>
      <w:r>
        <w:t>Annex</w:t>
      </w:r>
      <w:r w:rsidR="000F337B">
        <w:t xml:space="preserve">: </w:t>
      </w:r>
      <w:r w:rsidR="00D32013" w:rsidRPr="00D32013">
        <w:rPr>
          <w:u w:val="single"/>
        </w:rPr>
        <w:t>Enabling indicators in Joint Concept Note</w:t>
      </w:r>
      <w:r w:rsidR="00CB7B47">
        <w:rPr>
          <w:u w:val="single"/>
        </w:rPr>
        <w:t xml:space="preserve"> &amp; their relation to the PBP Program</w:t>
      </w:r>
    </w:p>
    <w:p w:rsidR="000F337B" w:rsidRPr="000F337B" w:rsidRDefault="000F337B" w:rsidP="000F337B">
      <w:pPr>
        <w:spacing w:after="0" w:line="240" w:lineRule="auto"/>
        <w:jc w:val="center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3510"/>
        <w:gridCol w:w="990"/>
        <w:gridCol w:w="2520"/>
        <w:gridCol w:w="2520"/>
        <w:gridCol w:w="2070"/>
      </w:tblGrid>
      <w:tr w:rsidR="00A17EA8" w:rsidRPr="00D32013" w:rsidTr="003D251C">
        <w:trPr>
          <w:tblHeader/>
        </w:trPr>
        <w:tc>
          <w:tcPr>
            <w:tcW w:w="1458" w:type="dxa"/>
            <w:vMerge w:val="restart"/>
            <w:vAlign w:val="center"/>
          </w:tcPr>
          <w:p w:rsidR="00A17EA8" w:rsidRPr="00D32013" w:rsidRDefault="00A17EA8" w:rsidP="00D563B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Categories of activities</w:t>
            </w:r>
          </w:p>
        </w:tc>
        <w:tc>
          <w:tcPr>
            <w:tcW w:w="3510" w:type="dxa"/>
            <w:vMerge w:val="restart"/>
            <w:vAlign w:val="center"/>
          </w:tcPr>
          <w:p w:rsidR="00A17EA8" w:rsidRDefault="00A17EA8" w:rsidP="00D563B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Enabling </w:t>
            </w:r>
            <w:r w:rsidRPr="00D32013">
              <w:rPr>
                <w:b/>
              </w:rPr>
              <w:t>Indicator</w:t>
            </w:r>
            <w:r>
              <w:rPr>
                <w:b/>
              </w:rPr>
              <w:t>s in JCN</w:t>
            </w:r>
          </w:p>
          <w:p w:rsidR="00A17EA8" w:rsidRPr="008B5053" w:rsidRDefault="00A17EA8" w:rsidP="00D8377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B5053">
              <w:rPr>
                <w:sz w:val="18"/>
                <w:szCs w:val="18"/>
              </w:rPr>
              <w:t>(</w:t>
            </w:r>
            <w:r w:rsidR="00D8377E">
              <w:rPr>
                <w:sz w:val="18"/>
                <w:szCs w:val="18"/>
              </w:rPr>
              <w:t>Reference to p</w:t>
            </w:r>
            <w:r w:rsidRPr="008B5053">
              <w:rPr>
                <w:sz w:val="18"/>
                <w:szCs w:val="18"/>
              </w:rPr>
              <w:t xml:space="preserve">age </w:t>
            </w:r>
            <w:r w:rsidR="00D8377E">
              <w:rPr>
                <w:sz w:val="18"/>
                <w:szCs w:val="18"/>
              </w:rPr>
              <w:t xml:space="preserve">in </w:t>
            </w:r>
            <w:r w:rsidRPr="008B5053">
              <w:rPr>
                <w:sz w:val="18"/>
                <w:szCs w:val="18"/>
              </w:rPr>
              <w:t>document in parenthesis)</w:t>
            </w:r>
          </w:p>
        </w:tc>
        <w:tc>
          <w:tcPr>
            <w:tcW w:w="990" w:type="dxa"/>
            <w:vMerge w:val="restart"/>
            <w:vAlign w:val="center"/>
          </w:tcPr>
          <w:p w:rsidR="00A17EA8" w:rsidRPr="00D32013" w:rsidRDefault="00D563B5" w:rsidP="00D563B5">
            <w:pPr>
              <w:spacing w:before="60" w:after="60"/>
              <w:jc w:val="center"/>
              <w:rPr>
                <w:b/>
              </w:rPr>
            </w:pPr>
            <w:r w:rsidRPr="00D563B5">
              <w:rPr>
                <w:b/>
                <w:sz w:val="20"/>
                <w:szCs w:val="20"/>
              </w:rPr>
              <w:t>P</w:t>
            </w:r>
            <w:r w:rsidR="00A17EA8" w:rsidRPr="00D563B5">
              <w:rPr>
                <w:b/>
                <w:sz w:val="20"/>
                <w:szCs w:val="20"/>
              </w:rPr>
              <w:t xml:space="preserve">rogress </w:t>
            </w:r>
            <w:r w:rsidR="00A17EA8">
              <w:rPr>
                <w:b/>
                <w:sz w:val="16"/>
                <w:szCs w:val="16"/>
              </w:rPr>
              <w:t>(as of 05</w:t>
            </w:r>
            <w:r w:rsidR="00A17EA8" w:rsidRPr="00231CC3">
              <w:rPr>
                <w:b/>
                <w:sz w:val="16"/>
                <w:szCs w:val="16"/>
              </w:rPr>
              <w:t>/13)</w:t>
            </w:r>
          </w:p>
        </w:tc>
        <w:tc>
          <w:tcPr>
            <w:tcW w:w="5040" w:type="dxa"/>
            <w:gridSpan w:val="2"/>
            <w:vAlign w:val="center"/>
          </w:tcPr>
          <w:p w:rsidR="00A17EA8" w:rsidRPr="00D32013" w:rsidRDefault="00A17EA8" w:rsidP="00D563B5">
            <w:pPr>
              <w:spacing w:before="60" w:after="60"/>
              <w:jc w:val="center"/>
              <w:rPr>
                <w:b/>
              </w:rPr>
            </w:pPr>
            <w:r w:rsidRPr="00D32013">
              <w:rPr>
                <w:b/>
              </w:rPr>
              <w:t>Relation to GY-L1039</w:t>
            </w:r>
          </w:p>
        </w:tc>
        <w:tc>
          <w:tcPr>
            <w:tcW w:w="2070" w:type="dxa"/>
            <w:vMerge w:val="restart"/>
            <w:vAlign w:val="center"/>
          </w:tcPr>
          <w:p w:rsidR="00A17EA8" w:rsidRDefault="00A17EA8" w:rsidP="00D563B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Relation to other Bank projects</w:t>
            </w:r>
          </w:p>
          <w:p w:rsidR="00A17EA8" w:rsidRPr="00D32013" w:rsidRDefault="00A17EA8" w:rsidP="00D563B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3143B8">
              <w:rPr>
                <w:b/>
                <w:sz w:val="18"/>
                <w:szCs w:val="18"/>
              </w:rPr>
              <w:t>(in parenthesis other organizations)</w:t>
            </w:r>
          </w:p>
        </w:tc>
      </w:tr>
      <w:tr w:rsidR="00A17EA8" w:rsidRPr="00D32013" w:rsidTr="003D251C">
        <w:trPr>
          <w:tblHeader/>
        </w:trPr>
        <w:tc>
          <w:tcPr>
            <w:tcW w:w="1458" w:type="dxa"/>
            <w:vMerge/>
          </w:tcPr>
          <w:p w:rsidR="00A17EA8" w:rsidRDefault="00A17EA8" w:rsidP="00D563B5">
            <w:pPr>
              <w:spacing w:before="60" w:after="60"/>
            </w:pPr>
          </w:p>
        </w:tc>
        <w:tc>
          <w:tcPr>
            <w:tcW w:w="3510" w:type="dxa"/>
            <w:vMerge/>
          </w:tcPr>
          <w:p w:rsidR="00A17EA8" w:rsidRDefault="00A17EA8" w:rsidP="00D563B5">
            <w:pPr>
              <w:spacing w:before="60" w:after="60"/>
            </w:pPr>
          </w:p>
        </w:tc>
        <w:tc>
          <w:tcPr>
            <w:tcW w:w="990" w:type="dxa"/>
            <w:vMerge/>
          </w:tcPr>
          <w:p w:rsidR="00A17EA8" w:rsidRPr="00D32013" w:rsidRDefault="00A17EA8" w:rsidP="00D563B5">
            <w:pPr>
              <w:spacing w:before="60" w:after="60"/>
            </w:pPr>
          </w:p>
        </w:tc>
        <w:tc>
          <w:tcPr>
            <w:tcW w:w="2520" w:type="dxa"/>
          </w:tcPr>
          <w:p w:rsidR="00D23655" w:rsidRDefault="00A17EA8" w:rsidP="00D563B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Condition</w:t>
            </w:r>
            <w:r w:rsidR="00B8264F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 in </w:t>
            </w:r>
          </w:p>
          <w:p w:rsidR="00A17EA8" w:rsidRPr="00231CC3" w:rsidRDefault="00B8264F" w:rsidP="00B8264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PBP</w:t>
            </w:r>
            <w:r w:rsidR="00A17EA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B8264F" w:rsidRDefault="00B8264F" w:rsidP="00D563B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Conditions in </w:t>
            </w:r>
          </w:p>
          <w:p w:rsidR="00A17EA8" w:rsidRPr="00231CC3" w:rsidRDefault="00B8264F" w:rsidP="00D563B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PBP</w:t>
            </w:r>
            <w:r w:rsidR="00A17EA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70" w:type="dxa"/>
            <w:vMerge/>
          </w:tcPr>
          <w:p w:rsidR="00A17EA8" w:rsidRPr="00231CC3" w:rsidRDefault="00A17EA8" w:rsidP="00D563B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A17EA8" w:rsidRPr="00D32013" w:rsidTr="001D7078">
        <w:tc>
          <w:tcPr>
            <w:tcW w:w="1458" w:type="dxa"/>
            <w:vMerge w:val="restart"/>
          </w:tcPr>
          <w:p w:rsidR="00A17EA8" w:rsidRPr="00E42C06" w:rsidRDefault="00A17EA8" w:rsidP="00D563B5">
            <w:pPr>
              <w:spacing w:before="60" w:after="60"/>
              <w:rPr>
                <w:b/>
              </w:rPr>
            </w:pPr>
            <w:r w:rsidRPr="00E42C06">
              <w:rPr>
                <w:b/>
              </w:rPr>
              <w:t xml:space="preserve">Strategic framework </w:t>
            </w:r>
          </w:p>
        </w:tc>
        <w:tc>
          <w:tcPr>
            <w:tcW w:w="3510" w:type="dxa"/>
          </w:tcPr>
          <w:p w:rsidR="00A17EA8" w:rsidRDefault="00A17EA8" w:rsidP="00D563B5">
            <w:pPr>
              <w:spacing w:before="60" w:after="60"/>
            </w:pPr>
            <w:r>
              <w:t>REDD+ efforts will be fully integrated with Guyana’s LCDS (pg.3)</w:t>
            </w:r>
          </w:p>
        </w:tc>
        <w:tc>
          <w:tcPr>
            <w:tcW w:w="990" w:type="dxa"/>
          </w:tcPr>
          <w:p w:rsidR="00A17EA8" w:rsidRPr="00D32013" w:rsidRDefault="00D563B5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563B5" w:rsidRDefault="00932785" w:rsidP="00D563B5">
            <w:pPr>
              <w:spacing w:before="60" w:after="60"/>
            </w:pPr>
            <w:r>
              <w:t xml:space="preserve">1. a. </w:t>
            </w:r>
            <w:r w:rsidR="00D563B5" w:rsidRPr="00D563B5">
              <w:t>Approval, launch and publication of a LCDS Update.</w:t>
            </w:r>
          </w:p>
          <w:p w:rsidR="00A17EA8" w:rsidRPr="00D32013" w:rsidRDefault="00D23655" w:rsidP="00D563B5">
            <w:pPr>
              <w:spacing w:before="60" w:after="60"/>
            </w:pPr>
            <w:r>
              <w:t xml:space="preserve">1.b </w:t>
            </w:r>
            <w:r w:rsidR="00A80B6E">
              <w:t>Implementation of two</w:t>
            </w:r>
            <w:r>
              <w:t xml:space="preserve"> GRIF projects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80B6E" w:rsidRDefault="00A80B6E" w:rsidP="00D563B5">
            <w:pPr>
              <w:spacing w:before="60" w:after="60"/>
            </w:pPr>
            <w:r>
              <w:t>1. At least two additional projects approved</w:t>
            </w:r>
          </w:p>
          <w:p w:rsidR="00A17EA8" w:rsidRPr="00D32013" w:rsidRDefault="00A17EA8" w:rsidP="00D563B5">
            <w:pPr>
              <w:spacing w:before="60" w:after="60"/>
            </w:pPr>
          </w:p>
        </w:tc>
        <w:tc>
          <w:tcPr>
            <w:tcW w:w="2070" w:type="dxa"/>
          </w:tcPr>
          <w:p w:rsidR="00A17EA8" w:rsidRPr="00D32013" w:rsidRDefault="00A17EA8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477BD">
              <w:t>GY-T1068 helped prepare LCDS</w:t>
            </w:r>
          </w:p>
        </w:tc>
      </w:tr>
      <w:tr w:rsidR="00A17EA8" w:rsidRPr="00D32013" w:rsidTr="001D7078">
        <w:tc>
          <w:tcPr>
            <w:tcW w:w="1458" w:type="dxa"/>
            <w:vMerge/>
          </w:tcPr>
          <w:p w:rsidR="00A17EA8" w:rsidRDefault="00A17EA8" w:rsidP="00D563B5">
            <w:pPr>
              <w:spacing w:before="60" w:after="60"/>
            </w:pPr>
          </w:p>
        </w:tc>
        <w:tc>
          <w:tcPr>
            <w:tcW w:w="3510" w:type="dxa"/>
          </w:tcPr>
          <w:p w:rsidR="00A17EA8" w:rsidRDefault="00A17EA8" w:rsidP="00D563B5">
            <w:pPr>
              <w:spacing w:before="60" w:after="60"/>
            </w:pPr>
            <w:r>
              <w:t>Finalize Readiness Preparation Proposal (RPP) during 2012 with IDB (pg.3)</w:t>
            </w:r>
          </w:p>
        </w:tc>
        <w:tc>
          <w:tcPr>
            <w:tcW w:w="990" w:type="dxa"/>
          </w:tcPr>
          <w:p w:rsidR="00A17EA8" w:rsidRPr="00D32013" w:rsidRDefault="00A17EA8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A17EA8" w:rsidRPr="00D32013" w:rsidRDefault="00A17EA8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D23655" w:rsidRPr="00D32013" w:rsidRDefault="00D23655" w:rsidP="00D563B5">
            <w:pPr>
              <w:spacing w:before="60" w:after="60"/>
            </w:pPr>
          </w:p>
        </w:tc>
        <w:tc>
          <w:tcPr>
            <w:tcW w:w="2070" w:type="dxa"/>
          </w:tcPr>
          <w:p w:rsidR="00A17EA8" w:rsidRPr="00D32013" w:rsidRDefault="00A17EA8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GY-T1097</w:t>
            </w:r>
            <w:r w:rsidR="00D8377E">
              <w:t xml:space="preserve"> to be approved on third t</w:t>
            </w:r>
            <w:r w:rsidR="00D23655">
              <w:t xml:space="preserve">rimester </w:t>
            </w:r>
            <w:r w:rsidR="00D8377E">
              <w:t xml:space="preserve">of </w:t>
            </w:r>
            <w:r w:rsidR="00D23655">
              <w:t>2013</w:t>
            </w:r>
          </w:p>
        </w:tc>
      </w:tr>
      <w:tr w:rsidR="00A17EA8" w:rsidRPr="00D32013" w:rsidTr="001D7078">
        <w:tc>
          <w:tcPr>
            <w:tcW w:w="1458" w:type="dxa"/>
            <w:vMerge/>
          </w:tcPr>
          <w:p w:rsidR="00A17EA8" w:rsidRDefault="00A17EA8" w:rsidP="00D563B5">
            <w:pPr>
              <w:spacing w:before="60" w:after="60"/>
            </w:pPr>
          </w:p>
        </w:tc>
        <w:tc>
          <w:tcPr>
            <w:tcW w:w="3510" w:type="dxa"/>
          </w:tcPr>
          <w:p w:rsidR="00A17EA8" w:rsidRPr="003143B8" w:rsidRDefault="00A17EA8" w:rsidP="00D563B5">
            <w:pPr>
              <w:spacing w:before="60" w:after="60"/>
            </w:pPr>
            <w:r w:rsidRPr="003143B8">
              <w:t>IDB Financial and safeguards Intermediary role operational in first half of  2013 (pg.4)</w:t>
            </w:r>
          </w:p>
        </w:tc>
        <w:tc>
          <w:tcPr>
            <w:tcW w:w="990" w:type="dxa"/>
          </w:tcPr>
          <w:p w:rsidR="00A17EA8" w:rsidRPr="003143B8" w:rsidRDefault="003B31EF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7EA8" w:rsidRPr="003143B8" w:rsidRDefault="00A17EA8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B3F0A" w:rsidRDefault="006B3F0A" w:rsidP="00D563B5">
            <w:pPr>
              <w:spacing w:before="60" w:after="60"/>
            </w:pPr>
            <w:r>
              <w:t>3</w:t>
            </w:r>
            <w:r w:rsidR="003B31EF">
              <w:t xml:space="preserve">. Review of </w:t>
            </w:r>
            <w:r>
              <w:t>EPA regulations and guidelines to: (a) strengthen EPA to have overarching responsibilities for environmental compliance; (b) enhance EPA’s capacity to manage environmental and social impacts.</w:t>
            </w:r>
          </w:p>
          <w:p w:rsidR="003B31EF" w:rsidRPr="003143B8" w:rsidRDefault="003B31EF" w:rsidP="006B3F0A">
            <w:pPr>
              <w:spacing w:before="60" w:after="60"/>
            </w:pPr>
            <w:r>
              <w:t xml:space="preserve">10. MNRE has capacity to apply </w:t>
            </w:r>
            <w:r w:rsidR="006B3F0A">
              <w:t xml:space="preserve">environmental regulations </w:t>
            </w:r>
          </w:p>
        </w:tc>
        <w:tc>
          <w:tcPr>
            <w:tcW w:w="2070" w:type="dxa"/>
          </w:tcPr>
          <w:p w:rsidR="00A17EA8" w:rsidRPr="00D32013" w:rsidRDefault="00A17EA8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GY-T1097</w:t>
            </w:r>
            <w:r w:rsidR="002113CB">
              <w:t xml:space="preserve"> supports development of</w:t>
            </w:r>
            <w:r>
              <w:t xml:space="preserve"> </w:t>
            </w:r>
            <w:r w:rsidR="002113CB">
              <w:t>Social &amp; Environmental Strategic Assessment (</w:t>
            </w:r>
            <w:r>
              <w:t>SESA</w:t>
            </w:r>
            <w:r w:rsidR="002113CB">
              <w:t>) tool</w:t>
            </w:r>
          </w:p>
        </w:tc>
      </w:tr>
      <w:tr w:rsidR="00A17EA8" w:rsidRPr="00D32013" w:rsidTr="001D7078">
        <w:tc>
          <w:tcPr>
            <w:tcW w:w="1458" w:type="dxa"/>
            <w:vMerge/>
          </w:tcPr>
          <w:p w:rsidR="00A17EA8" w:rsidRDefault="00A17EA8" w:rsidP="00D563B5">
            <w:pPr>
              <w:spacing w:before="60" w:after="60"/>
            </w:pPr>
          </w:p>
        </w:tc>
        <w:tc>
          <w:tcPr>
            <w:tcW w:w="3510" w:type="dxa"/>
          </w:tcPr>
          <w:p w:rsidR="003D251C" w:rsidRDefault="00A17EA8" w:rsidP="00D563B5">
            <w:pPr>
              <w:spacing w:before="60" w:after="60"/>
            </w:pPr>
            <w:r>
              <w:t xml:space="preserve">Outline strategy setting out how to </w:t>
            </w:r>
            <w:r>
              <w:lastRenderedPageBreak/>
              <w:t>transition interim financial mechanisms into national systems by the end of 2013 (pg.4)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17EA8" w:rsidRPr="00D32013" w:rsidRDefault="00A80B6E" w:rsidP="00D563B5">
            <w:pPr>
              <w:spacing w:before="60" w:after="60"/>
            </w:pPr>
            <w:r>
              <w:lastRenderedPageBreak/>
              <w:t>Not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7EA8" w:rsidRPr="00D32013" w:rsidRDefault="00A17EA8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7EA8" w:rsidRPr="00D32013" w:rsidRDefault="00A17EA8" w:rsidP="00D563B5">
            <w:pPr>
              <w:spacing w:before="60" w:after="60"/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A17EA8" w:rsidRPr="00D32013" w:rsidRDefault="00932785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56" w:hanging="156"/>
              <w:contextualSpacing w:val="0"/>
            </w:pPr>
            <w:r>
              <w:t xml:space="preserve">Contribution by </w:t>
            </w:r>
            <w:r w:rsidR="00A17EA8">
              <w:lastRenderedPageBreak/>
              <w:t>GY-T1101</w:t>
            </w:r>
            <w:r>
              <w:t>:</w:t>
            </w:r>
            <w:r w:rsidR="00A17EA8">
              <w:t xml:space="preserve"> management</w:t>
            </w:r>
            <w:r w:rsidR="00A17EA8" w:rsidRPr="00002987">
              <w:t xml:space="preserve"> by results</w:t>
            </w:r>
          </w:p>
        </w:tc>
      </w:tr>
      <w:tr w:rsidR="003D251C" w:rsidRPr="00D32013" w:rsidTr="003D251C">
        <w:tc>
          <w:tcPr>
            <w:tcW w:w="1458" w:type="dxa"/>
            <w:vMerge w:val="restart"/>
          </w:tcPr>
          <w:p w:rsidR="003D251C" w:rsidRPr="00E42C06" w:rsidRDefault="003D251C" w:rsidP="00D563B5">
            <w:pPr>
              <w:spacing w:before="60" w:after="60"/>
              <w:rPr>
                <w:b/>
              </w:rPr>
            </w:pPr>
            <w:r w:rsidRPr="00E42C06">
              <w:rPr>
                <w:b/>
              </w:rPr>
              <w:lastRenderedPageBreak/>
              <w:t>Multi-stakeholder consultation</w:t>
            </w:r>
          </w:p>
        </w:tc>
        <w:tc>
          <w:tcPr>
            <w:tcW w:w="3510" w:type="dxa"/>
          </w:tcPr>
          <w:p w:rsidR="003D251C" w:rsidRPr="00D32013" w:rsidRDefault="003D251C" w:rsidP="00D563B5">
            <w:pPr>
              <w:spacing w:before="60" w:after="60"/>
            </w:pPr>
            <w:r>
              <w:t>LCDS and REDD+ strategy are subject to institutionalized, systematic and transparent process of multi-stakeholder consultation (pg.4)</w:t>
            </w:r>
          </w:p>
        </w:tc>
        <w:tc>
          <w:tcPr>
            <w:tcW w:w="990" w:type="dxa"/>
          </w:tcPr>
          <w:p w:rsidR="003D251C" w:rsidRPr="00D32013" w:rsidRDefault="003D251C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</w:tcPr>
          <w:p w:rsidR="003D251C" w:rsidRDefault="003D251C" w:rsidP="000F337B">
            <w:pPr>
              <w:spacing w:before="60" w:after="60"/>
            </w:pPr>
            <w:r>
              <w:t>1.c Completion of 2013 Annual Stake-holders Awareness &amp; Engagement Plan, and its implementation through consultation process</w:t>
            </w:r>
          </w:p>
          <w:p w:rsidR="003D251C" w:rsidRPr="00D32013" w:rsidRDefault="003D251C" w:rsidP="000F337B">
            <w:pPr>
              <w:spacing w:before="60" w:after="60"/>
            </w:pPr>
          </w:p>
        </w:tc>
        <w:tc>
          <w:tcPr>
            <w:tcW w:w="2520" w:type="dxa"/>
          </w:tcPr>
          <w:p w:rsidR="003D251C" w:rsidRPr="00D32013" w:rsidRDefault="006B3F0A" w:rsidP="00F377C4">
            <w:pPr>
              <w:spacing w:before="60" w:after="60"/>
            </w:pPr>
            <w:r w:rsidRPr="006B3F0A">
              <w:t xml:space="preserve">2. </w:t>
            </w:r>
            <w:r w:rsidR="00F377C4" w:rsidRPr="00F377C4">
              <w:t xml:space="preserve">Consultations with affected </w:t>
            </w:r>
            <w:r w:rsidR="00F377C4">
              <w:t xml:space="preserve">[…] </w:t>
            </w:r>
            <w:r w:rsidR="00F377C4" w:rsidRPr="00F377C4">
              <w:t xml:space="preserve">groups </w:t>
            </w:r>
            <w:r w:rsidR="00F377C4">
              <w:t xml:space="preserve">concerning […] </w:t>
            </w:r>
            <w:r w:rsidRPr="006B3F0A">
              <w:t xml:space="preserve">REDD+ </w:t>
            </w:r>
          </w:p>
        </w:tc>
        <w:tc>
          <w:tcPr>
            <w:tcW w:w="2070" w:type="dxa"/>
          </w:tcPr>
          <w:p w:rsidR="003D251C" w:rsidRDefault="003D251C" w:rsidP="00BE5A9A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GY-T1068 financed consultations on LCDS</w:t>
            </w:r>
          </w:p>
          <w:p w:rsidR="003D251C" w:rsidRPr="00D32013" w:rsidRDefault="003D251C" w:rsidP="00F377C4">
            <w:pPr>
              <w:spacing w:before="60" w:after="60"/>
            </w:pPr>
          </w:p>
        </w:tc>
      </w:tr>
      <w:tr w:rsidR="003D251C" w:rsidRPr="00D32013" w:rsidTr="003D251C">
        <w:tc>
          <w:tcPr>
            <w:tcW w:w="1458" w:type="dxa"/>
            <w:vMerge/>
          </w:tcPr>
          <w:p w:rsidR="003D251C" w:rsidRDefault="003D251C" w:rsidP="00D563B5">
            <w:pPr>
              <w:spacing w:before="60" w:after="60"/>
            </w:pPr>
          </w:p>
        </w:tc>
        <w:tc>
          <w:tcPr>
            <w:tcW w:w="3510" w:type="dxa"/>
          </w:tcPr>
          <w:p w:rsidR="003D251C" w:rsidRDefault="003D251C" w:rsidP="00D563B5">
            <w:pPr>
              <w:spacing w:before="60" w:after="60"/>
            </w:pPr>
            <w:r>
              <w:t>Particular attention will be given to the full and effective participation of indigenous peoples and other forest-dependent communities (pg.4)</w:t>
            </w:r>
          </w:p>
        </w:tc>
        <w:tc>
          <w:tcPr>
            <w:tcW w:w="990" w:type="dxa"/>
          </w:tcPr>
          <w:p w:rsidR="003D251C" w:rsidRPr="00D32013" w:rsidRDefault="003D251C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</w:tcPr>
          <w:p w:rsidR="003D251C" w:rsidRPr="00D32013" w:rsidRDefault="003D251C" w:rsidP="00D563B5">
            <w:pPr>
              <w:spacing w:before="60" w:after="60"/>
            </w:pPr>
            <w:proofErr w:type="gramStart"/>
            <w:r>
              <w:t>1.c</w:t>
            </w:r>
            <w:proofErr w:type="gramEnd"/>
            <w:r>
              <w:t xml:space="preserve"> Stakeholder consultation process to put special emphasis on the participation of Amerindian villages.</w:t>
            </w:r>
          </w:p>
        </w:tc>
        <w:tc>
          <w:tcPr>
            <w:tcW w:w="2520" w:type="dxa"/>
          </w:tcPr>
          <w:p w:rsidR="003D251C" w:rsidRPr="00D32013" w:rsidRDefault="006B3F0A" w:rsidP="00F377C4">
            <w:pPr>
              <w:spacing w:before="60" w:after="60"/>
            </w:pPr>
            <w:r w:rsidRPr="006B3F0A">
              <w:t>2. Consultation</w:t>
            </w:r>
            <w:r w:rsidR="00F377C4">
              <w:t>s with affected indigenous groups</w:t>
            </w:r>
          </w:p>
        </w:tc>
        <w:tc>
          <w:tcPr>
            <w:tcW w:w="2070" w:type="dxa"/>
          </w:tcPr>
          <w:p w:rsidR="003D251C" w:rsidRDefault="003D251C" w:rsidP="00F377C4">
            <w:pPr>
              <w:spacing w:before="60" w:after="6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spacing w:before="60" w:after="60"/>
            </w:pPr>
            <w:r w:rsidRPr="00EC2AA2">
              <w:t>Monthly meetings of the Multi Stakeholder Steering Committee (MSSC), with comprehensive minutes of every meeting made publicly available</w:t>
            </w:r>
            <w:r>
              <w:t xml:space="preserve"> (pg.4)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377C4" w:rsidRPr="00D32013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D32013" w:rsidRDefault="00F377C4" w:rsidP="00D563B5">
            <w:pPr>
              <w:spacing w:before="60" w:after="60"/>
            </w:pPr>
            <w:r>
              <w:t>Means of Verification: 1.c Minutes of MSSC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D32013" w:rsidRDefault="00F377C4" w:rsidP="00F377C4">
            <w:pPr>
              <w:spacing w:before="60" w:after="60"/>
            </w:pPr>
            <w:r>
              <w:t xml:space="preserve">2. </w:t>
            </w:r>
            <w:r w:rsidRPr="00F377C4">
              <w:t>Consultations with affected […] groups concerning […] REDD+</w:t>
            </w:r>
            <w:r>
              <w:t xml:space="preserve"> Stakeholders Awareness Plan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Default="00F377C4" w:rsidP="00301D2A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GY-T1097 supports stakeholder consultation and p</w:t>
            </w:r>
            <w:r w:rsidRPr="00864ACD">
              <w:t>articipation $ 1,2M</w:t>
            </w:r>
          </w:p>
          <w:p w:rsidR="00F377C4" w:rsidRDefault="00F377C4" w:rsidP="00301D2A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F377C4">
              <w:t>GY-G1002 is financing part of 2013 Annual Stakeholder and Engagement Plan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EC2AA2" w:rsidRDefault="00F377C4" w:rsidP="00D563B5">
            <w:pPr>
              <w:spacing w:before="60" w:after="60"/>
            </w:pPr>
            <w:r w:rsidRPr="00EC2AA2">
              <w:t xml:space="preserve">Information and consultation </w:t>
            </w:r>
            <w:r w:rsidRPr="00EC2AA2">
              <w:lastRenderedPageBreak/>
              <w:t>program in place by June 2013</w:t>
            </w:r>
            <w:r>
              <w:t>:</w:t>
            </w:r>
          </w:p>
        </w:tc>
        <w:tc>
          <w:tcPr>
            <w:tcW w:w="99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GRIF &amp; LCDS web pages updated, Jan 2013</w:t>
            </w:r>
          </w:p>
          <w:p w:rsidR="00F377C4" w:rsidRDefault="00F377C4" w:rsidP="003D251C">
            <w:pPr>
              <w:pStyle w:val="ListParagraph"/>
              <w:spacing w:before="60" w:after="60"/>
              <w:ind w:left="563"/>
              <w:contextualSpacing w:val="0"/>
            </w:pPr>
          </w:p>
          <w:p w:rsidR="00F377C4" w:rsidRPr="00EC2AA2" w:rsidRDefault="00F377C4" w:rsidP="003D251C">
            <w:pPr>
              <w:pStyle w:val="ListParagraph"/>
              <w:spacing w:before="60" w:after="60"/>
              <w:ind w:left="563"/>
              <w:contextualSpacing w:val="0"/>
            </w:pP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</w:tcPr>
          <w:p w:rsidR="00F377C4" w:rsidRDefault="00F377C4" w:rsidP="00D563B5">
            <w:pPr>
              <w:spacing w:before="60" w:after="60"/>
            </w:pPr>
          </w:p>
        </w:tc>
      </w:tr>
      <w:tr w:rsidR="00F377C4" w:rsidRPr="00D32013" w:rsidTr="003D251C">
        <w:tc>
          <w:tcPr>
            <w:tcW w:w="1458" w:type="dxa"/>
            <w:vMerge w:val="restart"/>
          </w:tcPr>
          <w:p w:rsidR="00F377C4" w:rsidRDefault="00F377C4" w:rsidP="00D563B5">
            <w:pPr>
              <w:spacing w:before="60" w:after="60"/>
            </w:pPr>
            <w:r>
              <w:t>…cont. Multi-stakeholder consultation</w:t>
            </w:r>
          </w:p>
        </w:tc>
        <w:tc>
          <w:tcPr>
            <w:tcW w:w="3510" w:type="dxa"/>
          </w:tcPr>
          <w:p w:rsidR="00F377C4" w:rsidRPr="00EC2AA2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Body responsible for communications, information and consultations, Jan 2013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</w:tcPr>
          <w:p w:rsidR="00F377C4" w:rsidRPr="00D32013" w:rsidRDefault="00F377C4" w:rsidP="00D563B5">
            <w:pPr>
              <w:spacing w:before="60" w:after="60"/>
            </w:pPr>
            <w:r>
              <w:t>1.c Support to MSSC multi-stakeholder consultation process</w:t>
            </w:r>
          </w:p>
        </w:tc>
        <w:tc>
          <w:tcPr>
            <w:tcW w:w="2520" w:type="dxa"/>
          </w:tcPr>
          <w:p w:rsidR="00F377C4" w:rsidRDefault="00F377C4" w:rsidP="00D563B5">
            <w:pPr>
              <w:spacing w:before="60" w:after="60"/>
            </w:pPr>
            <w:proofErr w:type="gramStart"/>
            <w:r>
              <w:t>9.a</w:t>
            </w:r>
            <w:proofErr w:type="gramEnd"/>
            <w:r>
              <w:t xml:space="preserve"> MNRE develops a M&amp;E framework to complement its Strategic Plan.</w:t>
            </w:r>
          </w:p>
          <w:p w:rsidR="007476AE" w:rsidRPr="00D32013" w:rsidRDefault="007476AE" w:rsidP="00F377C4">
            <w:pPr>
              <w:spacing w:before="60" w:after="60"/>
            </w:pPr>
            <w:r>
              <w:t xml:space="preserve">9.c MNRE strengthens the Land Reclamation Committee </w:t>
            </w:r>
          </w:p>
        </w:tc>
        <w:tc>
          <w:tcPr>
            <w:tcW w:w="2070" w:type="dxa"/>
          </w:tcPr>
          <w:p w:rsidR="00F377C4" w:rsidRDefault="00F377C4" w:rsidP="00337028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337028">
              <w:t xml:space="preserve">GY-G1002 plans to finance Communication Specialist on </w:t>
            </w:r>
            <w:r>
              <w:t>Office of Climate Change (</w:t>
            </w:r>
            <w:r w:rsidRPr="00337028">
              <w:t>OCC</w:t>
            </w:r>
            <w:r>
              <w:t>)</w:t>
            </w: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EC2AA2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Information &amp; consultation routines tailored to Amerindian communities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</w:tcPr>
          <w:p w:rsidR="00F377C4" w:rsidRPr="00D32013" w:rsidRDefault="00F377C4" w:rsidP="00D563B5">
            <w:pPr>
              <w:spacing w:before="60" w:after="60"/>
            </w:pPr>
            <w:r>
              <w:t>1.c MSSC implements Stakeholder Awareness Plan, with emphasis on Amerindian villages</w:t>
            </w:r>
          </w:p>
        </w:tc>
        <w:tc>
          <w:tcPr>
            <w:tcW w:w="2520" w:type="dxa"/>
          </w:tcPr>
          <w:p w:rsidR="00F377C4" w:rsidRPr="00D32013" w:rsidRDefault="00F377C4" w:rsidP="007476AE">
            <w:pPr>
              <w:spacing w:before="60" w:after="60"/>
            </w:pPr>
            <w:r w:rsidRPr="00CF5547">
              <w:t xml:space="preserve">11. MNRE creates </w:t>
            </w:r>
            <w:r w:rsidR="007476AE">
              <w:t>an instrument to harmonize the relations between the ministry and indigenous groups and agencies</w:t>
            </w:r>
          </w:p>
        </w:tc>
        <w:tc>
          <w:tcPr>
            <w:tcW w:w="2070" w:type="dxa"/>
          </w:tcPr>
          <w:p w:rsidR="00F377C4" w:rsidRDefault="00F377C4" w:rsidP="00337028">
            <w:pPr>
              <w:pStyle w:val="ListParagraph"/>
              <w:spacing w:before="60" w:after="60"/>
              <w:ind w:left="162"/>
              <w:contextualSpacing w:val="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EC2AA2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Coordinated information flows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D32013" w:rsidRDefault="007476AE" w:rsidP="00D563B5">
            <w:pPr>
              <w:spacing w:before="60" w:after="60"/>
            </w:pPr>
            <w:r w:rsidRPr="007476AE">
              <w:t>9.b MNRE has strengthened the Land Use Planning and Coordination to ensure effective planning, management and monitoring of natural resources</w:t>
            </w:r>
          </w:p>
        </w:tc>
        <w:tc>
          <w:tcPr>
            <w:tcW w:w="2070" w:type="dxa"/>
          </w:tcPr>
          <w:p w:rsidR="00F377C4" w:rsidRDefault="00F377C4" w:rsidP="00D563B5">
            <w:pPr>
              <w:spacing w:before="60" w:after="6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EC2AA2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 xml:space="preserve">Strengthen information sharing capabilities National </w:t>
            </w:r>
            <w:proofErr w:type="spellStart"/>
            <w:r>
              <w:t>Toshaos</w:t>
            </w:r>
            <w:proofErr w:type="spellEnd"/>
            <w:r>
              <w:t xml:space="preserve"> Council-MSSC 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</w:tcPr>
          <w:p w:rsidR="00F377C4" w:rsidRDefault="00F377C4" w:rsidP="00600008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 xml:space="preserve">GY-T1097 funding </w:t>
            </w:r>
            <w:proofErr w:type="spellStart"/>
            <w:r>
              <w:t>Toshaos</w:t>
            </w:r>
            <w:proofErr w:type="spellEnd"/>
            <w:r>
              <w:t xml:space="preserve"> Council to strengthen administrative and communications capacity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 w:rsidRPr="0072622D">
              <w:t>Annual stakeholder agreements and awareness plans, early 2014</w:t>
            </w:r>
          </w:p>
          <w:p w:rsidR="00F377C4" w:rsidRDefault="00F377C4" w:rsidP="00352600">
            <w:pPr>
              <w:spacing w:before="60" w:after="60"/>
            </w:pPr>
          </w:p>
          <w:p w:rsidR="00F377C4" w:rsidRDefault="00F377C4" w:rsidP="00352600">
            <w:pPr>
              <w:spacing w:before="60" w:after="60"/>
            </w:pPr>
          </w:p>
          <w:p w:rsidR="00F377C4" w:rsidRPr="00EC2AA2" w:rsidRDefault="00F377C4" w:rsidP="00352600">
            <w:pPr>
              <w:spacing w:before="60" w:after="60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377C4" w:rsidRDefault="00F377C4" w:rsidP="00BE5A9A">
            <w:pPr>
              <w:spacing w:before="60" w:after="60"/>
            </w:pPr>
            <w:r>
              <w:t>Planned- not started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D32013" w:rsidRDefault="00F377C4" w:rsidP="00D563B5">
            <w:pPr>
              <w:spacing w:before="60" w:after="60"/>
            </w:pPr>
            <w:r>
              <w:t>1.c Annual Stakeholder Awareness Plan completed in 2013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476AE" w:rsidRDefault="007476AE" w:rsidP="007476AE">
            <w:pPr>
              <w:spacing w:before="60" w:after="60"/>
            </w:pPr>
            <w:r w:rsidRPr="007476AE">
              <w:t>2. Consultations with affected […] groups concerning […] REDD+ Stakeholders Awareness Plan</w:t>
            </w:r>
          </w:p>
          <w:p w:rsidR="00F377C4" w:rsidRPr="00D32013" w:rsidRDefault="007476AE" w:rsidP="007476AE">
            <w:pPr>
              <w:spacing w:before="60" w:after="60"/>
            </w:pPr>
            <w:r w:rsidRPr="007476AE">
              <w:t>2.b (MOV) Framework for communication ad participation mechanism for REDD+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spacing w:before="60" w:after="60"/>
            </w:pPr>
          </w:p>
        </w:tc>
      </w:tr>
      <w:tr w:rsidR="00F377C4" w:rsidRPr="00D32013" w:rsidTr="001D7078">
        <w:tc>
          <w:tcPr>
            <w:tcW w:w="1458" w:type="dxa"/>
            <w:vMerge w:val="restart"/>
          </w:tcPr>
          <w:p w:rsidR="00F377C4" w:rsidRPr="00E42C06" w:rsidRDefault="00F377C4" w:rsidP="00D563B5">
            <w:pPr>
              <w:spacing w:before="60" w:after="60"/>
              <w:rPr>
                <w:b/>
              </w:rPr>
            </w:pPr>
            <w:r>
              <w:rPr>
                <w:b/>
              </w:rPr>
              <w:t>EU</w:t>
            </w:r>
          </w:p>
        </w:tc>
        <w:tc>
          <w:tcPr>
            <w:tcW w:w="3510" w:type="dxa"/>
          </w:tcPr>
          <w:p w:rsidR="00F377C4" w:rsidRPr="00EF1382" w:rsidRDefault="00F377C4" w:rsidP="00D563B5">
            <w:pPr>
              <w:spacing w:before="60" w:after="60"/>
            </w:pPr>
            <w:r>
              <w:t>T</w:t>
            </w:r>
            <w:r w:rsidRPr="00EC2AA2">
              <w:t>ransparent, rules-based, inclusive forest governance, accountability and enforcement system for forest governance in Guyana is being progressively strengthened</w:t>
            </w:r>
            <w:r>
              <w:t xml:space="preserve"> (pg.5):</w:t>
            </w:r>
          </w:p>
        </w:tc>
        <w:tc>
          <w:tcPr>
            <w:tcW w:w="990" w:type="dxa"/>
            <w:shd w:val="clear" w:color="auto" w:fill="A6A6A6" w:themeFill="background1" w:themeFillShade="A6"/>
          </w:tcPr>
          <w:p w:rsidR="00F377C4" w:rsidRPr="00CB7B47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F377C4" w:rsidRPr="00D32013" w:rsidRDefault="00F377C4" w:rsidP="006C3C0D">
            <w:pPr>
              <w:pStyle w:val="ListParagraph"/>
              <w:spacing w:before="60" w:after="60"/>
              <w:ind w:left="162"/>
              <w:contextualSpacing w:val="0"/>
            </w:pPr>
            <w:r w:rsidRPr="002375A2">
              <w:t>EUROPEAN UNION</w:t>
            </w: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Application for EITI Candidacy presented, May 2013; application for EITI compliance, 2015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</w:tcPr>
          <w:p w:rsidR="00F377C4" w:rsidRDefault="00F377C4" w:rsidP="00D563B5">
            <w:pPr>
              <w:spacing w:before="60" w:after="60"/>
            </w:pPr>
            <w:r>
              <w:t>2.a.ii Initiation of feasibility/scoping study for EITI</w:t>
            </w:r>
          </w:p>
          <w:p w:rsidR="00F377C4" w:rsidRPr="00D32013" w:rsidRDefault="00F377C4" w:rsidP="00D563B5">
            <w:pPr>
              <w:spacing w:before="60" w:after="60"/>
            </w:pPr>
            <w:r>
              <w:t>2.a.iii Pre-candidacy preparation</w:t>
            </w:r>
          </w:p>
        </w:tc>
        <w:tc>
          <w:tcPr>
            <w:tcW w:w="2520" w:type="dxa"/>
          </w:tcPr>
          <w:p w:rsidR="00F377C4" w:rsidRPr="00D32013" w:rsidRDefault="007476AE" w:rsidP="00D563B5">
            <w:pPr>
              <w:spacing w:before="60" w:after="60"/>
            </w:pPr>
            <w:r>
              <w:t>13. Completion of inception repot of scoping study, and implementation of recommendations for implementation of EITI</w:t>
            </w:r>
          </w:p>
        </w:tc>
        <w:tc>
          <w:tcPr>
            <w:tcW w:w="2070" w:type="dxa"/>
          </w:tcPr>
          <w:p w:rsidR="00F377C4" w:rsidRPr="002375A2" w:rsidRDefault="00F377C4" w:rsidP="002375A2">
            <w:pPr>
              <w:spacing w:before="60" w:after="60"/>
            </w:pPr>
            <w:r w:rsidRPr="002375A2">
              <w:t>EUROPEAN UNION</w:t>
            </w:r>
          </w:p>
          <w:p w:rsidR="00F377C4" w:rsidRPr="002375A2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375A2">
              <w:t>RG-X1129: regulatory framework; support to EITI candidacy</w:t>
            </w: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 xml:space="preserve">Formal negotiations with EU </w:t>
            </w:r>
            <w:r>
              <w:lastRenderedPageBreak/>
              <w:t>by end 2012, to agree on a Voluntary Partnership Agreement under EU FLEGT Action Plan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lastRenderedPageBreak/>
              <w:t xml:space="preserve">Partially </w:t>
            </w:r>
            <w:r>
              <w:lastRenderedPageBreak/>
              <w:t>Met</w:t>
            </w:r>
          </w:p>
        </w:tc>
        <w:tc>
          <w:tcPr>
            <w:tcW w:w="2520" w:type="dxa"/>
          </w:tcPr>
          <w:p w:rsidR="00F377C4" w:rsidRPr="00D32013" w:rsidRDefault="00F377C4" w:rsidP="00D563B5">
            <w:pPr>
              <w:spacing w:before="60" w:after="60"/>
            </w:pPr>
            <w:r>
              <w:lastRenderedPageBreak/>
              <w:t xml:space="preserve">2.b.iii Continue </w:t>
            </w:r>
            <w:r>
              <w:lastRenderedPageBreak/>
              <w:t>negotiations of Voluntary Partnership Agreement under EU FLEGT</w:t>
            </w:r>
          </w:p>
        </w:tc>
        <w:tc>
          <w:tcPr>
            <w:tcW w:w="2520" w:type="dxa"/>
          </w:tcPr>
          <w:p w:rsidR="00F377C4" w:rsidRPr="00D32013" w:rsidRDefault="00F377C4" w:rsidP="007476AE">
            <w:pPr>
              <w:spacing w:before="60" w:after="60"/>
            </w:pPr>
            <w:r>
              <w:lastRenderedPageBreak/>
              <w:t xml:space="preserve">6. </w:t>
            </w:r>
            <w:r w:rsidR="007476AE">
              <w:t xml:space="preserve">Second definition of </w:t>
            </w:r>
            <w:r w:rsidR="007476AE">
              <w:lastRenderedPageBreak/>
              <w:t>legality of the agreement, in the context of the Voluntary Partnership Agreement</w:t>
            </w:r>
          </w:p>
        </w:tc>
        <w:tc>
          <w:tcPr>
            <w:tcW w:w="2070" w:type="dxa"/>
          </w:tcPr>
          <w:p w:rsidR="00F377C4" w:rsidRPr="002375A2" w:rsidRDefault="00F377C4" w:rsidP="002375A2">
            <w:pPr>
              <w:spacing w:before="60" w:after="60"/>
            </w:pPr>
            <w:r w:rsidRPr="002375A2">
              <w:lastRenderedPageBreak/>
              <w:t>EUROPEAN UNION</w:t>
            </w:r>
          </w:p>
          <w:p w:rsidR="00F377C4" w:rsidRPr="002375A2" w:rsidRDefault="00F377C4" w:rsidP="00600008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375A2">
              <w:lastRenderedPageBreak/>
              <w:t>GY-T1076 to strengthen Guyana’s forest monitoring system</w:t>
            </w: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Implementation of Independent Forest Monitoring (IFM), first assessment by end of 2013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</w:tcPr>
          <w:p w:rsidR="00F377C4" w:rsidRPr="00D32013" w:rsidRDefault="00F377C4" w:rsidP="00D563B5">
            <w:pPr>
              <w:spacing w:before="60" w:after="60"/>
            </w:pPr>
            <w:r>
              <w:t>2.b.ii Draft definition of legality under EU FLEGT</w:t>
            </w:r>
          </w:p>
        </w:tc>
        <w:tc>
          <w:tcPr>
            <w:tcW w:w="2520" w:type="dxa"/>
          </w:tcPr>
          <w:p w:rsidR="00F377C4" w:rsidRPr="00D32013" w:rsidRDefault="007476AE" w:rsidP="00D563B5">
            <w:pPr>
              <w:spacing w:before="60" w:after="60"/>
            </w:pPr>
            <w:r>
              <w:t>6. (MOV) Approval of revised version of the definition of legality by EU FLEGT</w:t>
            </w:r>
          </w:p>
        </w:tc>
        <w:tc>
          <w:tcPr>
            <w:tcW w:w="2070" w:type="dxa"/>
          </w:tcPr>
          <w:p w:rsidR="00F377C4" w:rsidRPr="002375A2" w:rsidRDefault="00F377C4" w:rsidP="002375A2">
            <w:pPr>
              <w:spacing w:before="60" w:after="60"/>
            </w:pPr>
            <w:r w:rsidRPr="002375A2">
              <w:t>EUROPEAN UNION</w:t>
            </w:r>
          </w:p>
          <w:p w:rsidR="00F377C4" w:rsidRPr="002375A2" w:rsidRDefault="00F377C4" w:rsidP="009F132B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375A2">
              <w:t>GY-G1002: Independent audit report for Year 1 contracted, 2013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Enforcement and implementation of Special Land Use Committee in 2013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10449C" w:rsidRDefault="00F377C4" w:rsidP="00D563B5">
            <w:pPr>
              <w:spacing w:before="60" w:after="60"/>
            </w:pPr>
            <w:r>
              <w:t>2.c Lands &amp; Surveys Commission submits National Land Use Plan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Default="00CA1BB6" w:rsidP="00D563B5">
            <w:pPr>
              <w:spacing w:before="60" w:after="60"/>
            </w:pPr>
            <w:r>
              <w:t>8</w:t>
            </w:r>
            <w:r w:rsidR="00F377C4">
              <w:t>. National Land Use Plan approved</w:t>
            </w:r>
            <w:r>
              <w:t>,</w:t>
            </w:r>
            <w:r w:rsidR="00F377C4">
              <w:t xml:space="preserve"> </w:t>
            </w:r>
            <w:r>
              <w:t>public awareness mechanisms adopted, and regional plans stem from it</w:t>
            </w:r>
          </w:p>
          <w:p w:rsidR="00F377C4" w:rsidRDefault="00CA1BB6" w:rsidP="00CA1BB6">
            <w:pPr>
              <w:spacing w:before="60" w:after="60"/>
            </w:pPr>
            <w:r>
              <w:t xml:space="preserve">8. (MOV) Approval of </w:t>
            </w:r>
            <w:r w:rsidR="00F377C4">
              <w:t xml:space="preserve"> Special Land Use Committee strengthened</w:t>
            </w:r>
          </w:p>
          <w:p w:rsidR="00CA1BB6" w:rsidRPr="00D32013" w:rsidRDefault="00CA1BB6" w:rsidP="00CA1BB6">
            <w:pPr>
              <w:spacing w:before="60" w:after="60"/>
            </w:pPr>
            <w:r>
              <w:t xml:space="preserve">4.b. </w:t>
            </w:r>
            <w:r w:rsidRPr="00CA1BB6">
              <w:t xml:space="preserve">Amendments and regulations to ensure consistency of </w:t>
            </w:r>
            <w:r>
              <w:t xml:space="preserve">Lands &amp; Surveys Commission Act </w:t>
            </w:r>
            <w:r w:rsidRPr="00CA1BB6">
              <w:t>with MNRE mandate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pStyle w:val="ListParagraph"/>
              <w:spacing w:before="60" w:after="60"/>
              <w:ind w:left="162"/>
              <w:contextualSpacing w:val="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2375A2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>
              <w:t>5</w:t>
            </w:r>
            <w:r w:rsidRPr="001D2B70">
              <w:rPr>
                <w:vertAlign w:val="superscript"/>
              </w:rPr>
              <w:t>th</w:t>
            </w:r>
            <w:r>
              <w:t xml:space="preserve"> national report submitted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  <w:shd w:val="clear" w:color="auto" w:fill="auto"/>
          </w:tcPr>
          <w:p w:rsidR="00F377C4" w:rsidRDefault="00F377C4" w:rsidP="00D563B5">
            <w:pPr>
              <w:pStyle w:val="ListParagraph"/>
              <w:spacing w:before="60" w:after="60"/>
              <w:ind w:left="162"/>
              <w:contextualSpacing w:val="0"/>
            </w:pPr>
          </w:p>
        </w:tc>
      </w:tr>
      <w:tr w:rsidR="00F377C4" w:rsidRPr="00D32013" w:rsidTr="001D7078">
        <w:tc>
          <w:tcPr>
            <w:tcW w:w="1458" w:type="dxa"/>
          </w:tcPr>
          <w:p w:rsidR="00F377C4" w:rsidRDefault="00F377C4" w:rsidP="00D563B5">
            <w:pPr>
              <w:spacing w:before="60" w:after="60"/>
            </w:pPr>
            <w:r>
              <w:t>… cont. Governance</w:t>
            </w: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 w:rsidRPr="0072622D">
              <w:t xml:space="preserve">Implement (MNRE) efforts to manage degradation from extractive activities (ex. Miner’s knowledge program; </w:t>
            </w:r>
            <w:r w:rsidRPr="0072622D">
              <w:lastRenderedPageBreak/>
              <w:t>dialogue on best practices)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spacing w:before="60" w:after="60"/>
            </w:pPr>
            <w:r>
              <w:lastRenderedPageBreak/>
              <w:t>Not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spacing w:before="60" w:after="60"/>
            </w:pPr>
            <w:r>
              <w:t>2.a.i Review of legal and regulatory</w:t>
            </w:r>
            <w:r w:rsidR="00CA1BB6">
              <w:t xml:space="preserve"> frameworks of extractive secto</w:t>
            </w:r>
            <w:r>
              <w:t>r</w:t>
            </w:r>
            <w:r w:rsidR="00CA1BB6">
              <w:t>s</w:t>
            </w:r>
            <w:r>
              <w:t xml:space="preserve"> to include environmental </w:t>
            </w:r>
            <w:r>
              <w:lastRenderedPageBreak/>
              <w:t>management</w:t>
            </w:r>
          </w:p>
          <w:p w:rsidR="00F377C4" w:rsidRDefault="00F377C4" w:rsidP="00D563B5">
            <w:pPr>
              <w:spacing w:before="60" w:after="60"/>
            </w:pPr>
            <w:r>
              <w:t>2.a.iv Review of recommendations on Clean Technology for  mining industry</w:t>
            </w:r>
          </w:p>
          <w:p w:rsidR="00F377C4" w:rsidRDefault="00F377C4" w:rsidP="00D563B5">
            <w:pPr>
              <w:spacing w:before="60" w:after="60"/>
            </w:pPr>
            <w:r>
              <w:t>2.b.i Code of Practice for Timber Harvesting comes into force</w:t>
            </w:r>
          </w:p>
          <w:p w:rsidR="00F377C4" w:rsidRDefault="00F377C4" w:rsidP="00D563B5">
            <w:pPr>
              <w:spacing w:before="60" w:after="60"/>
            </w:pPr>
            <w:r>
              <w:t>5. Actions to enhance MNRE capacity for oversight of extractive industries:</w:t>
            </w:r>
          </w:p>
          <w:p w:rsidR="00F377C4" w:rsidRDefault="00F377C4" w:rsidP="00D563B5">
            <w:pPr>
              <w:spacing w:before="60" w:after="60"/>
            </w:pPr>
            <w:r>
              <w:t>5.a, 5.b, 5.c Training of staff &amp; communities</w:t>
            </w:r>
          </w:p>
          <w:p w:rsidR="00F377C4" w:rsidRDefault="00F377C4" w:rsidP="00D563B5">
            <w:pPr>
              <w:spacing w:before="60" w:after="60"/>
            </w:pPr>
            <w:r>
              <w:t>5.d Integration with Land Use Plan</w:t>
            </w:r>
          </w:p>
          <w:p w:rsidR="00F377C4" w:rsidRDefault="00F377C4" w:rsidP="00D563B5">
            <w:pPr>
              <w:spacing w:before="60" w:after="60"/>
            </w:pPr>
            <w:r>
              <w:t>5.e Preparation of draft National Log Tracking System</w:t>
            </w:r>
          </w:p>
          <w:p w:rsidR="00F377C4" w:rsidRPr="00D32013" w:rsidRDefault="00F377C4" w:rsidP="00D563B5">
            <w:pPr>
              <w:spacing w:before="60" w:after="60"/>
            </w:pPr>
            <w:r>
              <w:t>5.f Forest inventory surveys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Default="00CA1BB6" w:rsidP="00D563B5">
            <w:pPr>
              <w:spacing w:before="60" w:after="60"/>
            </w:pPr>
            <w:r>
              <w:lastRenderedPageBreak/>
              <w:t>4.a. Amendments and regulations to ensure consistency of Mining Act with MNRE mandate</w:t>
            </w:r>
          </w:p>
          <w:p w:rsidR="00CA1BB6" w:rsidRDefault="00CA1BB6" w:rsidP="00D563B5">
            <w:pPr>
              <w:spacing w:before="60" w:after="60"/>
            </w:pPr>
            <w:r>
              <w:lastRenderedPageBreak/>
              <w:t>12. Training programs promoting best practices in mining sector identified and delivered</w:t>
            </w:r>
          </w:p>
          <w:p w:rsidR="00F377C4" w:rsidRDefault="00F377C4" w:rsidP="00D563B5">
            <w:pPr>
              <w:spacing w:before="60" w:after="60"/>
            </w:pPr>
            <w:r>
              <w:t xml:space="preserve">14. New technologies &amp; best practices adopted </w:t>
            </w:r>
            <w:r w:rsidR="009C25F0">
              <w:t xml:space="preserve">in mining sector </w:t>
            </w:r>
            <w:r>
              <w:t xml:space="preserve">to improve </w:t>
            </w:r>
            <w:r w:rsidR="00CA1BB6">
              <w:t>technical and enforcement capacity</w:t>
            </w:r>
          </w:p>
          <w:p w:rsidR="009C25F0" w:rsidRDefault="009C25F0" w:rsidP="009C25F0">
            <w:pPr>
              <w:spacing w:before="60" w:after="60"/>
            </w:pPr>
            <w:r>
              <w:t>5. Draft amendments to guidelines in forestry sector prepared, esp. a code of practice for small and large operators</w:t>
            </w:r>
          </w:p>
          <w:p w:rsidR="009C25F0" w:rsidRPr="009C25F0" w:rsidRDefault="009C25F0" w:rsidP="009C25F0">
            <w:pPr>
              <w:spacing w:before="60" w:after="60"/>
            </w:pPr>
            <w:r w:rsidRPr="009C25F0">
              <w:t>12. Sustainable forest management practices continue to be implemented within the forest sector through community training programs</w:t>
            </w:r>
          </w:p>
          <w:p w:rsidR="00F377C4" w:rsidRDefault="009C25F0" w:rsidP="00D563B5">
            <w:pPr>
              <w:spacing w:before="60" w:after="60"/>
            </w:pPr>
            <w:r>
              <w:t>15</w:t>
            </w:r>
            <w:r w:rsidR="00F377C4">
              <w:t>. National Log Tracking System implemented</w:t>
            </w:r>
          </w:p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337028">
              <w:lastRenderedPageBreak/>
              <w:t>GY-T1076 Training for indigenous communities</w:t>
            </w:r>
          </w:p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6C3C0D">
              <w:t xml:space="preserve">GY-T1076 updated </w:t>
            </w:r>
            <w:r w:rsidRPr="006C3C0D">
              <w:lastRenderedPageBreak/>
              <w:t>National Forest Policy &amp; Plan</w:t>
            </w:r>
          </w:p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6C3C0D">
              <w:t>RG-K1314 use of clean technology in mining</w:t>
            </w:r>
            <w:r>
              <w:t xml:space="preserve"> (OP#1) and adoption of new technologies &amp; best practices (OP#2)</w:t>
            </w:r>
          </w:p>
          <w:p w:rsidR="00F377C4" w:rsidRPr="006C3C0D" w:rsidRDefault="00F377C4" w:rsidP="006C3C0D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6C3C0D">
              <w:t>GY-T1106 Technical training in extractive industries</w:t>
            </w:r>
            <w:r>
              <w:t xml:space="preserve"> (OP#1)</w:t>
            </w:r>
          </w:p>
          <w:p w:rsidR="00F377C4" w:rsidRDefault="00F377C4" w:rsidP="006C3C0D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RG-X1129 supports scoping study (OP#2)</w:t>
            </w:r>
          </w:p>
        </w:tc>
      </w:tr>
      <w:tr w:rsidR="00F377C4" w:rsidRPr="00D32013" w:rsidTr="001D7078">
        <w:tc>
          <w:tcPr>
            <w:tcW w:w="1458" w:type="dxa"/>
            <w:vMerge w:val="restart"/>
          </w:tcPr>
          <w:p w:rsidR="00F377C4" w:rsidRPr="00E42C06" w:rsidRDefault="00F377C4" w:rsidP="00D563B5">
            <w:pPr>
              <w:keepNext/>
              <w:keepLines/>
              <w:spacing w:before="60" w:after="60"/>
              <w:rPr>
                <w:b/>
              </w:rPr>
            </w:pPr>
            <w:r w:rsidRPr="00E42C06">
              <w:rPr>
                <w:b/>
              </w:rPr>
              <w:lastRenderedPageBreak/>
              <w:t>Rights of indigenous peoples and other local forest communities as regards REDD+</w:t>
            </w:r>
          </w:p>
        </w:tc>
        <w:tc>
          <w:tcPr>
            <w:tcW w:w="3510" w:type="dxa"/>
          </w:tcPr>
          <w:p w:rsidR="00F377C4" w:rsidRPr="00D32013" w:rsidRDefault="00F377C4" w:rsidP="00D563B5">
            <w:pPr>
              <w:keepNext/>
              <w:keepLines/>
              <w:spacing w:before="60" w:after="60"/>
            </w:pPr>
            <w:r>
              <w:t xml:space="preserve">Mechanism to enable effective participation of </w:t>
            </w:r>
            <w:r w:rsidRPr="00802A5A">
              <w:t>indigenous peoples</w:t>
            </w:r>
            <w:r>
              <w:t xml:space="preserve"> and other local forest communities in planning and implementation of REDD+ strategy and activities (pg.5-6):</w:t>
            </w:r>
          </w:p>
        </w:tc>
        <w:tc>
          <w:tcPr>
            <w:tcW w:w="99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377C4" w:rsidRPr="00D32013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377C4" w:rsidRPr="00D32013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F377C4" w:rsidRPr="00D32013" w:rsidRDefault="00F377C4" w:rsidP="001D7078">
            <w:pPr>
              <w:keepNext/>
              <w:keepLines/>
              <w:spacing w:before="60" w:after="60"/>
            </w:pP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563" w:hanging="162"/>
              <w:contextualSpacing w:val="0"/>
            </w:pPr>
            <w:r>
              <w:t>GRIF funding made available to complete land titling by 2015</w:t>
            </w:r>
          </w:p>
          <w:p w:rsidR="00F377C4" w:rsidRDefault="00F377C4" w:rsidP="003D251C">
            <w:pPr>
              <w:pStyle w:val="ListParagraph"/>
              <w:keepNext/>
              <w:keepLines/>
              <w:spacing w:before="60" w:after="60"/>
              <w:ind w:left="563"/>
              <w:contextualSpacing w:val="0"/>
            </w:pPr>
          </w:p>
        </w:tc>
        <w:tc>
          <w:tcPr>
            <w:tcW w:w="990" w:type="dxa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  <w:r w:rsidRPr="003143B8">
              <w:t>Partially 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070" w:type="dxa"/>
          </w:tcPr>
          <w:p w:rsidR="00F377C4" w:rsidRPr="002375A2" w:rsidRDefault="00F377C4" w:rsidP="00D563B5">
            <w:pPr>
              <w:keepNext/>
              <w:keepLines/>
              <w:spacing w:before="60" w:after="60"/>
            </w:pPr>
            <w:r w:rsidRPr="002375A2">
              <w:t>UNDP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9F132B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563" w:hanging="162"/>
              <w:contextualSpacing w:val="0"/>
            </w:pPr>
            <w:r>
              <w:t>GRIF funding made available for all CDPs through Amerindian Development Fund</w:t>
            </w:r>
          </w:p>
          <w:p w:rsidR="00F377C4" w:rsidRDefault="00F377C4" w:rsidP="003D251C">
            <w:pPr>
              <w:pStyle w:val="ListParagraph"/>
              <w:keepNext/>
              <w:keepLines/>
              <w:spacing w:before="60" w:after="60"/>
              <w:ind w:left="563"/>
              <w:contextualSpacing w:val="0"/>
            </w:pPr>
          </w:p>
        </w:tc>
        <w:tc>
          <w:tcPr>
            <w:tcW w:w="990" w:type="dxa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  <w:r w:rsidRPr="003143B8">
              <w:t>Not met</w:t>
            </w:r>
          </w:p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070" w:type="dxa"/>
          </w:tcPr>
          <w:p w:rsidR="00F377C4" w:rsidRPr="002375A2" w:rsidRDefault="00F377C4" w:rsidP="00D563B5">
            <w:pPr>
              <w:keepNext/>
              <w:keepLines/>
              <w:spacing w:before="60" w:after="60"/>
            </w:pPr>
            <w:r w:rsidRPr="002375A2">
              <w:t>UNDP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563" w:hanging="162"/>
              <w:contextualSpacing w:val="0"/>
            </w:pPr>
            <w:r>
              <w:t>Opt-in mechanism designed</w:t>
            </w:r>
          </w:p>
          <w:p w:rsidR="00F377C4" w:rsidRDefault="00F377C4" w:rsidP="00D563B5">
            <w:pPr>
              <w:keepNext/>
              <w:keepLines/>
              <w:spacing w:before="60" w:after="60"/>
              <w:ind w:left="563" w:hanging="162"/>
            </w:pPr>
          </w:p>
        </w:tc>
        <w:tc>
          <w:tcPr>
            <w:tcW w:w="990" w:type="dxa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  <w:r w:rsidRPr="003143B8">
              <w:t>Not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keepNext/>
              <w:keepLines/>
              <w:spacing w:before="60" w:after="60"/>
            </w:pPr>
            <w:r>
              <w:t xml:space="preserve">7. </w:t>
            </w:r>
            <w:r w:rsidR="009C25F0">
              <w:t xml:space="preserve">A draft </w:t>
            </w:r>
            <w:r>
              <w:t>Opt In</w:t>
            </w:r>
            <w:r w:rsidR="009C25F0">
              <w:t xml:space="preserve"> Strategy prepared for review by </w:t>
            </w:r>
            <w:r>
              <w:t>relevant stakeholders</w:t>
            </w:r>
          </w:p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070" w:type="dxa"/>
          </w:tcPr>
          <w:p w:rsidR="00F377C4" w:rsidRDefault="00F377C4" w:rsidP="00BE5A9A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BE5A9A">
              <w:t>GY-T1097 Consultations and benefit-sharing mechanism</w:t>
            </w:r>
          </w:p>
          <w:p w:rsidR="00F377C4" w:rsidRPr="003143B8" w:rsidRDefault="00F377C4" w:rsidP="001D7078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1D7078">
              <w:t>GY-T1076 training and forest inventory for Small Logger Associations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563" w:hanging="162"/>
              <w:contextualSpacing w:val="0"/>
            </w:pPr>
            <w:r w:rsidRPr="008B22CA">
              <w:t>Outreach program starts implementation, June 2013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  <w:r w:rsidRPr="003143B8">
              <w:t>Not started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77C4" w:rsidRPr="003143B8" w:rsidRDefault="00F377C4" w:rsidP="00D563B5">
            <w:pPr>
              <w:keepNext/>
              <w:keepLines/>
              <w:spacing w:before="60" w:after="60"/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Pr="003143B8" w:rsidRDefault="00F377C4" w:rsidP="001D7078">
            <w:pPr>
              <w:pStyle w:val="ListParagraph"/>
              <w:keepNext/>
              <w:keepLines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3143B8">
              <w:t xml:space="preserve">GY-G1002 dissemination </w:t>
            </w:r>
            <w:r>
              <w:t>mat</w:t>
            </w:r>
          </w:p>
        </w:tc>
      </w:tr>
      <w:tr w:rsidR="00F377C4" w:rsidRPr="00D32013" w:rsidTr="001D7078">
        <w:tc>
          <w:tcPr>
            <w:tcW w:w="1458" w:type="dxa"/>
            <w:vMerge w:val="restart"/>
          </w:tcPr>
          <w:p w:rsidR="00F377C4" w:rsidRPr="00E42C06" w:rsidRDefault="00F377C4" w:rsidP="00D563B5">
            <w:pPr>
              <w:spacing w:before="60" w:after="60"/>
              <w:rPr>
                <w:b/>
              </w:rPr>
            </w:pPr>
            <w:r w:rsidRPr="00E42C06">
              <w:rPr>
                <w:b/>
              </w:rPr>
              <w:lastRenderedPageBreak/>
              <w:t>Integrated land-use planning and management</w:t>
            </w:r>
          </w:p>
        </w:tc>
        <w:tc>
          <w:tcPr>
            <w:tcW w:w="3510" w:type="dxa"/>
          </w:tcPr>
          <w:p w:rsidR="00F377C4" w:rsidRPr="00D32013" w:rsidRDefault="00F377C4" w:rsidP="00D563B5">
            <w:pPr>
              <w:spacing w:before="60" w:after="60"/>
            </w:pPr>
            <w:r>
              <w:t>Formalized system for area planning and management (pg.6):</w:t>
            </w:r>
          </w:p>
        </w:tc>
        <w:tc>
          <w:tcPr>
            <w:tcW w:w="99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Default="00F377C4" w:rsidP="00D563B5">
            <w:pPr>
              <w:spacing w:before="60" w:after="60"/>
            </w:pPr>
          </w:p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spacing w:before="60" w:after="60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F377C4" w:rsidRPr="003143B8" w:rsidRDefault="00F377C4" w:rsidP="00D563B5">
            <w:pPr>
              <w:pStyle w:val="ListParagraph"/>
              <w:spacing w:before="60" w:after="60"/>
              <w:ind w:left="162"/>
              <w:contextualSpacing w:val="0"/>
            </w:pPr>
          </w:p>
          <w:p w:rsidR="00F377C4" w:rsidRPr="003143B8" w:rsidRDefault="00F377C4" w:rsidP="00D563B5">
            <w:pPr>
              <w:spacing w:before="60" w:after="60"/>
            </w:pP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3143B8" w:rsidRDefault="00F377C4" w:rsidP="00D563B5">
            <w:pPr>
              <w:numPr>
                <w:ilvl w:val="0"/>
                <w:numId w:val="2"/>
              </w:numPr>
              <w:spacing w:before="60" w:after="60"/>
              <w:ind w:left="563" w:hanging="180"/>
            </w:pPr>
            <w:r w:rsidRPr="003143B8">
              <w:t>Formal system in place for holistic area planning and management,  Sep.2015</w:t>
            </w:r>
          </w:p>
        </w:tc>
        <w:tc>
          <w:tcPr>
            <w:tcW w:w="990" w:type="dxa"/>
          </w:tcPr>
          <w:p w:rsidR="00F377C4" w:rsidRPr="003143B8" w:rsidRDefault="00F377C4" w:rsidP="00D563B5">
            <w:pPr>
              <w:spacing w:before="60" w:after="60"/>
            </w:pPr>
            <w:r>
              <w:t>S</w:t>
            </w:r>
            <w:r w:rsidRPr="003143B8">
              <w:t>tarted</w:t>
            </w:r>
          </w:p>
        </w:tc>
        <w:tc>
          <w:tcPr>
            <w:tcW w:w="2520" w:type="dxa"/>
          </w:tcPr>
          <w:p w:rsidR="00F377C4" w:rsidRPr="003143B8" w:rsidRDefault="00F377C4" w:rsidP="00D563B5">
            <w:pPr>
              <w:spacing w:before="60" w:after="60"/>
            </w:pPr>
          </w:p>
        </w:tc>
        <w:tc>
          <w:tcPr>
            <w:tcW w:w="2520" w:type="dxa"/>
          </w:tcPr>
          <w:p w:rsidR="00F377C4" w:rsidRPr="003143B8" w:rsidRDefault="009C25F0" w:rsidP="00D563B5">
            <w:pPr>
              <w:spacing w:before="60" w:after="60"/>
            </w:pPr>
            <w:r>
              <w:t>16</w:t>
            </w:r>
            <w:r w:rsidR="00F377C4">
              <w:t>. Integrated access</w:t>
            </w:r>
            <w:r>
              <w:t xml:space="preserve"> system for planning, mapping, </w:t>
            </w:r>
            <w:r w:rsidR="00F377C4">
              <w:t xml:space="preserve">management </w:t>
            </w:r>
            <w:r>
              <w:t xml:space="preserve">and monitoring of forest cover data </w:t>
            </w:r>
            <w:r w:rsidR="00F377C4">
              <w:t>formalized</w:t>
            </w:r>
          </w:p>
        </w:tc>
        <w:tc>
          <w:tcPr>
            <w:tcW w:w="2070" w:type="dxa"/>
          </w:tcPr>
          <w:p w:rsidR="00F377C4" w:rsidRPr="002375A2" w:rsidRDefault="00F377C4" w:rsidP="00D563B5">
            <w:pPr>
              <w:spacing w:before="60" w:after="60"/>
            </w:pPr>
            <w:r w:rsidRPr="002375A2">
              <w:t>EUROPEAN UNION</w:t>
            </w: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3143B8" w:rsidRDefault="00F377C4" w:rsidP="00D563B5">
            <w:pPr>
              <w:numPr>
                <w:ilvl w:val="0"/>
                <w:numId w:val="2"/>
              </w:numPr>
              <w:spacing w:before="60" w:after="60"/>
              <w:ind w:left="563" w:hanging="180"/>
            </w:pPr>
            <w:r w:rsidRPr="003143B8">
              <w:t>Publicly available map on concessions for forestry, mining and industrial agriculture, and Amerindian lands</w:t>
            </w:r>
          </w:p>
        </w:tc>
        <w:tc>
          <w:tcPr>
            <w:tcW w:w="990" w:type="dxa"/>
          </w:tcPr>
          <w:p w:rsidR="00F377C4" w:rsidRPr="003143B8" w:rsidRDefault="00F377C4" w:rsidP="00D563B5">
            <w:pPr>
              <w:spacing w:before="60" w:after="60"/>
            </w:pPr>
            <w:r>
              <w:t>S</w:t>
            </w:r>
            <w:r w:rsidRPr="003143B8">
              <w:t>tarted</w:t>
            </w:r>
          </w:p>
        </w:tc>
        <w:tc>
          <w:tcPr>
            <w:tcW w:w="2520" w:type="dxa"/>
          </w:tcPr>
          <w:p w:rsidR="00F377C4" w:rsidRPr="003143B8" w:rsidRDefault="00F377C4" w:rsidP="00D563B5">
            <w:pPr>
              <w:spacing w:before="60" w:after="60"/>
            </w:pPr>
            <w:r>
              <w:t>10. MRVS report on forest area changes for 2011, draft for 2012</w:t>
            </w:r>
          </w:p>
        </w:tc>
        <w:tc>
          <w:tcPr>
            <w:tcW w:w="2520" w:type="dxa"/>
          </w:tcPr>
          <w:p w:rsidR="00F377C4" w:rsidRDefault="009C25F0" w:rsidP="00D563B5">
            <w:pPr>
              <w:spacing w:before="60" w:after="60"/>
            </w:pPr>
            <w:r>
              <w:t>17. Reports from</w:t>
            </w:r>
            <w:r w:rsidR="00F15548">
              <w:t xml:space="preserve"> MRVS completed and made public</w:t>
            </w:r>
          </w:p>
          <w:p w:rsidR="009C25F0" w:rsidRPr="003143B8" w:rsidRDefault="009C25F0" w:rsidP="00D563B5">
            <w:pPr>
              <w:spacing w:before="60" w:after="60"/>
            </w:pPr>
          </w:p>
        </w:tc>
        <w:tc>
          <w:tcPr>
            <w:tcW w:w="2070" w:type="dxa"/>
          </w:tcPr>
          <w:p w:rsidR="00F377C4" w:rsidRPr="002375A2" w:rsidRDefault="00F377C4" w:rsidP="002375A2">
            <w:pPr>
              <w:spacing w:before="60" w:after="60"/>
            </w:pPr>
            <w:r w:rsidRPr="002375A2">
              <w:t>EUROPEAN UNION</w:t>
            </w:r>
          </w:p>
          <w:p w:rsidR="00F377C4" w:rsidRPr="002375A2" w:rsidRDefault="00F377C4" w:rsidP="00337028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375A2">
              <w:t>GY-G1002 to finance forest area assessment and forest carbon stock change in 2011-2012</w:t>
            </w:r>
          </w:p>
          <w:p w:rsidR="00F377C4" w:rsidRPr="002375A2" w:rsidRDefault="00F377C4" w:rsidP="006C3C0D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2375A2">
              <w:t>RG-K1314 Support to mapping to identify &amp; rectify environmental impact of mining activities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Pr="003143B8" w:rsidRDefault="00F377C4" w:rsidP="00D563B5">
            <w:pPr>
              <w:numPr>
                <w:ilvl w:val="0"/>
                <w:numId w:val="2"/>
              </w:numPr>
              <w:spacing w:before="60" w:after="60"/>
              <w:ind w:left="563" w:hanging="180"/>
            </w:pPr>
            <w:r w:rsidRPr="003143B8">
              <w:t>Formal status awarded to varying degrees of protection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377C4" w:rsidRPr="003143B8" w:rsidRDefault="00F377C4" w:rsidP="00D563B5">
            <w:pPr>
              <w:spacing w:before="60" w:after="60"/>
            </w:pPr>
            <w:r w:rsidRPr="003143B8">
              <w:t>Not started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3143B8" w:rsidRDefault="00F377C4" w:rsidP="00D563B5">
            <w:pPr>
              <w:spacing w:before="60" w:after="60"/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Pr="003143B8" w:rsidRDefault="009C25F0" w:rsidP="009C25F0">
            <w:pPr>
              <w:spacing w:before="60" w:after="60"/>
            </w:pPr>
            <w:r w:rsidRPr="009C25F0">
              <w:t xml:space="preserve">4.a. Amendments and regulations to ensure consistency of </w:t>
            </w:r>
            <w:r>
              <w:t xml:space="preserve">Protected Areas </w:t>
            </w:r>
            <w:r w:rsidRPr="009C25F0">
              <w:t>Act with MNRE mandate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77C4" w:rsidRPr="003143B8" w:rsidRDefault="00F377C4" w:rsidP="00D563B5">
            <w:pPr>
              <w:spacing w:before="60" w:after="60"/>
              <w:rPr>
                <w:highlight w:val="green"/>
              </w:rPr>
            </w:pPr>
          </w:p>
        </w:tc>
      </w:tr>
      <w:tr w:rsidR="00F377C4" w:rsidRPr="00D32013" w:rsidTr="001D7078">
        <w:tc>
          <w:tcPr>
            <w:tcW w:w="1458" w:type="dxa"/>
            <w:vMerge w:val="restart"/>
          </w:tcPr>
          <w:p w:rsidR="00F377C4" w:rsidRPr="00E42C06" w:rsidRDefault="00F377C4" w:rsidP="00D563B5">
            <w:pPr>
              <w:pageBreakBefore/>
              <w:spacing w:before="60" w:after="60"/>
              <w:rPr>
                <w:b/>
              </w:rPr>
            </w:pPr>
            <w:r w:rsidRPr="00E42C06">
              <w:rPr>
                <w:b/>
              </w:rPr>
              <w:lastRenderedPageBreak/>
              <w:t>Monitoring, reporting and verification</w:t>
            </w:r>
          </w:p>
        </w:tc>
        <w:tc>
          <w:tcPr>
            <w:tcW w:w="3510" w:type="dxa"/>
          </w:tcPr>
          <w:p w:rsidR="00F377C4" w:rsidRPr="00D32013" w:rsidRDefault="00F377C4" w:rsidP="003D251C">
            <w:pPr>
              <w:pageBreakBefore/>
              <w:spacing w:before="60" w:after="60"/>
            </w:pPr>
            <w:r>
              <w:t>Develop national MRV system(pg.6):</w:t>
            </w:r>
          </w:p>
        </w:tc>
        <w:tc>
          <w:tcPr>
            <w:tcW w:w="99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pageBreakBefore/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pageBreakBefore/>
              <w:spacing w:before="60" w:after="60"/>
            </w:pPr>
          </w:p>
        </w:tc>
        <w:tc>
          <w:tcPr>
            <w:tcW w:w="252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pageBreakBefore/>
              <w:spacing w:before="60" w:after="60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F377C4" w:rsidRPr="00D32013" w:rsidRDefault="00F377C4" w:rsidP="00D563B5">
            <w:pPr>
              <w:pStyle w:val="ListParagraph"/>
              <w:pageBreakBefore/>
              <w:spacing w:before="60" w:after="60"/>
              <w:ind w:left="162"/>
              <w:contextualSpacing w:val="0"/>
            </w:pPr>
            <w:r>
              <w:t xml:space="preserve">GERMANY’S </w:t>
            </w:r>
            <w:proofErr w:type="spellStart"/>
            <w:r>
              <w:t>KfW</w:t>
            </w:r>
            <w:proofErr w:type="spellEnd"/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spacing w:before="60" w:after="60"/>
              <w:ind w:left="563" w:hanging="180"/>
            </w:pPr>
            <w:r w:rsidRPr="002D7F48">
              <w:t>•</w:t>
            </w:r>
            <w:r w:rsidRPr="002D7F48">
              <w:tab/>
              <w:t>Establish deforestation baseline and perform 2 forest area assessments for years 2009-2010 &amp; 2011-2011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Partially met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77C4" w:rsidRDefault="00F377C4" w:rsidP="00D563B5">
            <w:pPr>
              <w:spacing w:before="60" w:after="60"/>
            </w:pPr>
            <w:r w:rsidRPr="00D563B5">
              <w:t>10. MRVS report on forest area changes for 2011, draft for 2012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15548" w:rsidRPr="00F15548" w:rsidRDefault="00F15548" w:rsidP="00F15548">
            <w:pPr>
              <w:spacing w:before="60" w:after="60"/>
            </w:pPr>
            <w:r w:rsidRPr="00F15548">
              <w:t>17.a Report of Forest Carbon Emissions and Removals (ref. IPCC Guidance)</w:t>
            </w:r>
          </w:p>
          <w:p w:rsidR="00F377C4" w:rsidRPr="00D32013" w:rsidRDefault="00F15548" w:rsidP="00F15548">
            <w:pPr>
              <w:spacing w:before="60" w:after="60"/>
            </w:pPr>
            <w:r w:rsidRPr="00F15548">
              <w:t>17.b Report on forest degradation integrated within MRVS Interim Measuring Reporting</w:t>
            </w:r>
          </w:p>
        </w:tc>
        <w:tc>
          <w:tcPr>
            <w:tcW w:w="207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>GY-T1076 GFC training in forest carbon measurement, remote sensing &amp; GIS; forest resource database;</w:t>
            </w:r>
          </w:p>
          <w:p w:rsidR="00F377C4" w:rsidRPr="00D32013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>
              <w:t xml:space="preserve">GY-G1002 </w:t>
            </w:r>
            <w:r w:rsidRPr="00337028">
              <w:t>to finance forest area assessment and forest carbon stock change in 2011-</w:t>
            </w:r>
            <w:r>
              <w:t>20</w:t>
            </w:r>
            <w:r w:rsidRPr="00337028">
              <w:t>12</w:t>
            </w:r>
          </w:p>
        </w:tc>
      </w:tr>
      <w:tr w:rsidR="00F377C4" w:rsidRPr="00D32013" w:rsidTr="001D7078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2375A2">
            <w:pPr>
              <w:spacing w:before="60"/>
              <w:ind w:left="563" w:hanging="180"/>
            </w:pPr>
            <w:r w:rsidRPr="002D7F48">
              <w:t>•</w:t>
            </w:r>
            <w:r w:rsidRPr="002D7F48">
              <w:tab/>
              <w:t>MRV road map, 2015</w:t>
            </w:r>
          </w:p>
        </w:tc>
        <w:tc>
          <w:tcPr>
            <w:tcW w:w="990" w:type="dxa"/>
          </w:tcPr>
          <w:p w:rsidR="00F377C4" w:rsidRDefault="00F377C4" w:rsidP="002375A2">
            <w:pPr>
              <w:spacing w:before="60"/>
            </w:pPr>
            <w:r>
              <w:t>Met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Default="00F377C4" w:rsidP="002375A2">
            <w:pPr>
              <w:spacing w:before="60"/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F377C4" w:rsidRPr="00D32013" w:rsidRDefault="00F377C4" w:rsidP="002375A2">
            <w:pPr>
              <w:spacing w:before="60"/>
            </w:pPr>
          </w:p>
        </w:tc>
        <w:tc>
          <w:tcPr>
            <w:tcW w:w="2070" w:type="dxa"/>
          </w:tcPr>
          <w:p w:rsidR="00F377C4" w:rsidRDefault="00F377C4" w:rsidP="002375A2">
            <w:pPr>
              <w:pStyle w:val="ListParagraph"/>
              <w:spacing w:before="60"/>
              <w:ind w:left="162"/>
              <w:contextualSpacing w:val="0"/>
            </w:pPr>
          </w:p>
        </w:tc>
      </w:tr>
      <w:tr w:rsidR="00F377C4" w:rsidRPr="00D32013" w:rsidTr="003D251C">
        <w:tc>
          <w:tcPr>
            <w:tcW w:w="1458" w:type="dxa"/>
            <w:vMerge/>
          </w:tcPr>
          <w:p w:rsidR="00F377C4" w:rsidRDefault="00F377C4" w:rsidP="00D563B5">
            <w:pPr>
              <w:spacing w:before="60" w:after="60"/>
            </w:pPr>
          </w:p>
        </w:tc>
        <w:tc>
          <w:tcPr>
            <w:tcW w:w="3510" w:type="dxa"/>
          </w:tcPr>
          <w:p w:rsidR="00F377C4" w:rsidRDefault="00F377C4" w:rsidP="00D563B5">
            <w:pPr>
              <w:pStyle w:val="ListParagraph"/>
              <w:numPr>
                <w:ilvl w:val="0"/>
                <w:numId w:val="2"/>
              </w:numPr>
              <w:spacing w:before="60" w:after="60"/>
              <w:ind w:left="563" w:hanging="180"/>
              <w:contextualSpacing w:val="0"/>
            </w:pPr>
            <w:r w:rsidRPr="002D7F48">
              <w:t>Technical analyses that inform a reference level to submit to UNFCCC</w:t>
            </w:r>
          </w:p>
        </w:tc>
        <w:tc>
          <w:tcPr>
            <w:tcW w:w="990" w:type="dxa"/>
          </w:tcPr>
          <w:p w:rsidR="00F377C4" w:rsidRDefault="00F377C4" w:rsidP="00D563B5">
            <w:pPr>
              <w:spacing w:before="60" w:after="60"/>
            </w:pPr>
            <w:r>
              <w:t>Not started</w:t>
            </w:r>
          </w:p>
        </w:tc>
        <w:tc>
          <w:tcPr>
            <w:tcW w:w="2520" w:type="dxa"/>
          </w:tcPr>
          <w:p w:rsidR="00F377C4" w:rsidRDefault="00F377C4" w:rsidP="00D563B5">
            <w:pPr>
              <w:spacing w:before="60" w:after="60"/>
            </w:pPr>
            <w:r>
              <w:t>12. Assessment Report on Forest Carbon stratification, identifying historical and current drivers and processes affecting forest carbon levels is developed.</w:t>
            </w:r>
          </w:p>
          <w:p w:rsidR="00F377C4" w:rsidRDefault="00F377C4" w:rsidP="002375A2">
            <w:pPr>
              <w:spacing w:before="60"/>
            </w:pPr>
            <w:r>
              <w:t>13. Report containing carbon conversion and expansion factor calculations is developed</w:t>
            </w:r>
          </w:p>
        </w:tc>
        <w:tc>
          <w:tcPr>
            <w:tcW w:w="2520" w:type="dxa"/>
          </w:tcPr>
          <w:p w:rsidR="00F377C4" w:rsidRPr="00D32013" w:rsidRDefault="00F377C4" w:rsidP="00D563B5">
            <w:pPr>
              <w:spacing w:before="60" w:after="60"/>
            </w:pPr>
            <w:bookmarkStart w:id="0" w:name="_GoBack"/>
            <w:bookmarkEnd w:id="0"/>
          </w:p>
        </w:tc>
        <w:tc>
          <w:tcPr>
            <w:tcW w:w="2070" w:type="dxa"/>
          </w:tcPr>
          <w:p w:rsidR="00F377C4" w:rsidRDefault="00F377C4" w:rsidP="00337028">
            <w:pPr>
              <w:pStyle w:val="ListParagraph"/>
              <w:numPr>
                <w:ilvl w:val="0"/>
                <w:numId w:val="2"/>
              </w:numPr>
              <w:spacing w:before="60" w:after="60"/>
              <w:ind w:left="162" w:hanging="162"/>
              <w:contextualSpacing w:val="0"/>
            </w:pPr>
            <w:r w:rsidRPr="00337028">
              <w:t>GY-G1002 to strengthen forest carbon stock assessments</w:t>
            </w:r>
          </w:p>
        </w:tc>
      </w:tr>
    </w:tbl>
    <w:p w:rsidR="00D32013" w:rsidRPr="00D32013" w:rsidRDefault="00D32013" w:rsidP="00D32013">
      <w:pPr>
        <w:spacing w:after="0" w:line="240" w:lineRule="auto"/>
        <w:rPr>
          <w:u w:val="single"/>
        </w:rPr>
      </w:pPr>
    </w:p>
    <w:sectPr w:rsidR="00D32013" w:rsidRPr="00D32013" w:rsidSect="00802A5A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5A" w:rsidRDefault="00802A5A" w:rsidP="00802A5A">
      <w:pPr>
        <w:spacing w:after="0" w:line="240" w:lineRule="auto"/>
      </w:pPr>
      <w:r>
        <w:separator/>
      </w:r>
    </w:p>
  </w:endnote>
  <w:endnote w:type="continuationSeparator" w:id="0">
    <w:p w:rsidR="00802A5A" w:rsidRDefault="00802A5A" w:rsidP="00802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5A" w:rsidRDefault="00802A5A" w:rsidP="00802A5A">
      <w:pPr>
        <w:spacing w:after="0" w:line="240" w:lineRule="auto"/>
      </w:pPr>
      <w:r>
        <w:separator/>
      </w:r>
    </w:p>
  </w:footnote>
  <w:footnote w:type="continuationSeparator" w:id="0">
    <w:p w:rsidR="00802A5A" w:rsidRDefault="00802A5A" w:rsidP="00802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EF6840" w:rsidRDefault="00056D99" w:rsidP="00EF6840">
        <w:pPr>
          <w:pStyle w:val="Header"/>
          <w:jc w:val="right"/>
        </w:pPr>
        <w:r>
          <w:t>GY-L1043</w:t>
        </w:r>
      </w:p>
      <w:p w:rsidR="00EF6840" w:rsidRDefault="00EF6840" w:rsidP="00EF684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F15548">
          <w:rPr>
            <w:b/>
            <w:bCs/>
            <w:noProof/>
          </w:rPr>
          <w:t>9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F15548">
          <w:rPr>
            <w:b/>
            <w:bCs/>
            <w:noProof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EF6840" w:rsidRDefault="00EF68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52D2"/>
    <w:multiLevelType w:val="hybridMultilevel"/>
    <w:tmpl w:val="F0D6F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02CA2"/>
    <w:multiLevelType w:val="hybridMultilevel"/>
    <w:tmpl w:val="118CA9B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55AF7"/>
    <w:multiLevelType w:val="hybridMultilevel"/>
    <w:tmpl w:val="C2EC7CCE"/>
    <w:lvl w:ilvl="0" w:tplc="7B68C6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13"/>
    <w:rsid w:val="00002987"/>
    <w:rsid w:val="00056D99"/>
    <w:rsid w:val="00082F74"/>
    <w:rsid w:val="0009230B"/>
    <w:rsid w:val="000F337B"/>
    <w:rsid w:val="0010449C"/>
    <w:rsid w:val="00104A9E"/>
    <w:rsid w:val="00136B21"/>
    <w:rsid w:val="001868AE"/>
    <w:rsid w:val="001D2B70"/>
    <w:rsid w:val="001D7078"/>
    <w:rsid w:val="002113CB"/>
    <w:rsid w:val="00231CC3"/>
    <w:rsid w:val="002375A2"/>
    <w:rsid w:val="002477BD"/>
    <w:rsid w:val="002D7F48"/>
    <w:rsid w:val="003143B8"/>
    <w:rsid w:val="00337028"/>
    <w:rsid w:val="00352600"/>
    <w:rsid w:val="003803FA"/>
    <w:rsid w:val="003B31EF"/>
    <w:rsid w:val="003D251C"/>
    <w:rsid w:val="003D7BDA"/>
    <w:rsid w:val="004A6671"/>
    <w:rsid w:val="005211D8"/>
    <w:rsid w:val="0059220D"/>
    <w:rsid w:val="00600008"/>
    <w:rsid w:val="006B3F0A"/>
    <w:rsid w:val="006C3C0D"/>
    <w:rsid w:val="00717050"/>
    <w:rsid w:val="0072622D"/>
    <w:rsid w:val="007476AE"/>
    <w:rsid w:val="00753026"/>
    <w:rsid w:val="00782547"/>
    <w:rsid w:val="00802A5A"/>
    <w:rsid w:val="00833326"/>
    <w:rsid w:val="008610C8"/>
    <w:rsid w:val="00864ACD"/>
    <w:rsid w:val="00865438"/>
    <w:rsid w:val="008B1094"/>
    <w:rsid w:val="008B22CA"/>
    <w:rsid w:val="008B5053"/>
    <w:rsid w:val="008E15F5"/>
    <w:rsid w:val="00932785"/>
    <w:rsid w:val="009376FA"/>
    <w:rsid w:val="00975561"/>
    <w:rsid w:val="009C25F0"/>
    <w:rsid w:val="009F132B"/>
    <w:rsid w:val="00A17EA8"/>
    <w:rsid w:val="00A34047"/>
    <w:rsid w:val="00A42661"/>
    <w:rsid w:val="00A622B6"/>
    <w:rsid w:val="00A74EF6"/>
    <w:rsid w:val="00A80B6E"/>
    <w:rsid w:val="00AD3E0F"/>
    <w:rsid w:val="00B8264F"/>
    <w:rsid w:val="00B8577C"/>
    <w:rsid w:val="00BE5A9A"/>
    <w:rsid w:val="00C607A8"/>
    <w:rsid w:val="00CA1BB6"/>
    <w:rsid w:val="00CB7B47"/>
    <w:rsid w:val="00CF5547"/>
    <w:rsid w:val="00D22E85"/>
    <w:rsid w:val="00D23655"/>
    <w:rsid w:val="00D32013"/>
    <w:rsid w:val="00D563B5"/>
    <w:rsid w:val="00D8377E"/>
    <w:rsid w:val="00DC097A"/>
    <w:rsid w:val="00DC740F"/>
    <w:rsid w:val="00E42C06"/>
    <w:rsid w:val="00E622C1"/>
    <w:rsid w:val="00EC2AA2"/>
    <w:rsid w:val="00EF1382"/>
    <w:rsid w:val="00EF6840"/>
    <w:rsid w:val="00F15548"/>
    <w:rsid w:val="00F377C4"/>
    <w:rsid w:val="00F8244F"/>
    <w:rsid w:val="00FF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A5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02A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A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2A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840"/>
  </w:style>
  <w:style w:type="paragraph" w:styleId="Footer">
    <w:name w:val="footer"/>
    <w:basedOn w:val="Normal"/>
    <w:link w:val="FooterChar"/>
    <w:uiPriority w:val="99"/>
    <w:unhideWhenUsed/>
    <w:rsid w:val="00EF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A5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02A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A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2A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840"/>
  </w:style>
  <w:style w:type="paragraph" w:styleId="Footer">
    <w:name w:val="footer"/>
    <w:basedOn w:val="Normal"/>
    <w:link w:val="FooterChar"/>
    <w:uiPriority w:val="99"/>
    <w:unhideWhenUsed/>
    <w:rsid w:val="00EF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39200712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INE/RND</Division_x0020_or_x0020_Unit>
    <Approval_x0020_Number xmlns="cdc7663a-08f0-4737-9e8c-148ce897a09c" xsi:nil="true"/>
    <Document_x0020_Author xmlns="cdc7663a-08f0-4737-9e8c-148ce897a09c">Landazuri, Helena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GY-L1043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Link-PIC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EZSHARE-561281106-57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https://idbg.sharepoint.com/teams/EZ-GY-LON/GY-L1043/_layouts/15/DocIdRedir.aspx?ID=EZSHARE-561281106-57</Url>
      <Description>EZSHARE-561281106-57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4C4F97E30E1BB40B353D12FA1CD7E9A" ma:contentTypeVersion="20" ma:contentTypeDescription="The base project type from which other project content types inherit their information." ma:contentTypeScope="" ma:versionID="b477d66787db59e270237fe7a320d4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E2C7A0E-4044-4A27-8DB4-97742126B11B}"/>
</file>

<file path=customXml/itemProps2.xml><?xml version="1.0" encoding="utf-8"?>
<ds:datastoreItem xmlns:ds="http://schemas.openxmlformats.org/officeDocument/2006/customXml" ds:itemID="{6ED16DC0-C497-4C8F-9E95-D936F074B81B}"/>
</file>

<file path=customXml/itemProps3.xml><?xml version="1.0" encoding="utf-8"?>
<ds:datastoreItem xmlns:ds="http://schemas.openxmlformats.org/officeDocument/2006/customXml" ds:itemID="{60B13512-7AFF-46A0-8E69-2BD54493C4AF}"/>
</file>

<file path=customXml/itemProps4.xml><?xml version="1.0" encoding="utf-8"?>
<ds:datastoreItem xmlns:ds="http://schemas.openxmlformats.org/officeDocument/2006/customXml" ds:itemID="{B2EB8DA9-8853-4C0A-AB69-2A417364FF76}"/>
</file>

<file path=customXml/itemProps5.xml><?xml version="1.0" encoding="utf-8"?>
<ds:datastoreItem xmlns:ds="http://schemas.openxmlformats.org/officeDocument/2006/customXml" ds:itemID="{5B3FEF6F-7A2A-4D22-9DF4-3395DBAEC9E0}"/>
</file>

<file path=customXml/itemProps6.xml><?xml version="1.0" encoding="utf-8"?>
<ds:datastoreItem xmlns:ds="http://schemas.openxmlformats.org/officeDocument/2006/customXml" ds:itemID="{9C7DABCC-F397-4A88-9FB2-AD2A8C5DE07A}"/>
</file>

<file path=customXml/itemProps7.xml><?xml version="1.0" encoding="utf-8"?>
<ds:datastoreItem xmlns:ds="http://schemas.openxmlformats.org/officeDocument/2006/customXml" ds:itemID="{9D9A6B42-AAE3-43AC-8FD3-511DAA74382D}"/>
</file>

<file path=customXml/itemProps8.xml><?xml version="1.0" encoding="utf-8"?>
<ds:datastoreItem xmlns:ds="http://schemas.openxmlformats.org/officeDocument/2006/customXml" ds:itemID="{E2D05976-0E57-421E-AF90-DE9DEFFBA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GY-L1043 - LP - Link Enabling indicators in Joint Concept Note _ their relation to the PBP Program_ Updated for seco</dc:title>
  <dc:subject/>
  <dc:creator>Inter-American Development Bank</dc:creator>
  <cp:keywords/>
  <dc:description/>
  <cp:lastModifiedBy>HELENAL</cp:lastModifiedBy>
  <cp:revision>6</cp:revision>
  <cp:lastPrinted>2013-05-08T22:02:00Z</cp:lastPrinted>
  <dcterms:created xsi:type="dcterms:W3CDTF">2014-11-03T20:05:00Z</dcterms:created>
  <dcterms:modified xsi:type="dcterms:W3CDTF">2014-11-04T22:24:00Z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0x010100ACF722E9F6B0B149B0CD8BE2560A667200C4C4F97E30E1BB40B353D12FA1CD7E9A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21;#Loan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21;#Loan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5700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Loan Proposal</vt:lpwstr>
  </property>
  <property fmtid="{D5CDD505-2E9C-101B-9397-08002B2CF9AE}" pid="24" name="Webtopic">
    <vt:lpwstr>Environmental Programs and Institutions</vt:lpwstr>
  </property>
  <property fmtid="{D5CDD505-2E9C-101B-9397-08002B2CF9AE}" pid="26" name="Disclosed">
    <vt:bool>false</vt:bool>
  </property>
  <property fmtid="{D5CDD505-2E9C-101B-9397-08002B2CF9AE}" pid="27" name="_dlc_DocIdItemGuid">
    <vt:lpwstr>faa0f8d6-499c-48e7-8ac4-df7d2744e2e5</vt:lpwstr>
  </property>
</Properties>
</file>