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2AF2A3" w14:textId="77777777" w:rsidR="009F7D00" w:rsidRPr="00A44648" w:rsidRDefault="009F7D00" w:rsidP="009F7D00">
      <w:pPr>
        <w:pStyle w:val="ListParagraph"/>
        <w:ind w:left="0"/>
        <w:jc w:val="center"/>
        <w:rPr>
          <w:rFonts w:ascii="Arial" w:hAnsi="Arial" w:cs="Arial"/>
          <w:smallCaps/>
          <w:lang w:val="es-ES"/>
        </w:rPr>
      </w:pPr>
      <w:r w:rsidRPr="00A44648">
        <w:rPr>
          <w:rFonts w:ascii="Arial" w:hAnsi="Arial" w:cs="Arial"/>
          <w:smallCaps/>
          <w:lang w:val="es-ES"/>
        </w:rPr>
        <w:t>Documento del Banco Interamericano de Desarrollo</w:t>
      </w:r>
    </w:p>
    <w:p w14:paraId="43AB0106" w14:textId="77777777" w:rsidR="009F7D00" w:rsidRPr="00A44648" w:rsidRDefault="009F7D00" w:rsidP="009F7D00">
      <w:pPr>
        <w:jc w:val="center"/>
        <w:rPr>
          <w:rFonts w:ascii="Arial" w:hAnsi="Arial" w:cs="Arial"/>
          <w:lang w:val="es-ES_tradnl"/>
        </w:rPr>
      </w:pPr>
    </w:p>
    <w:p w14:paraId="12532AA9" w14:textId="77777777" w:rsidR="009F7D00" w:rsidRPr="00A44648" w:rsidRDefault="009F7D00" w:rsidP="009F7D00">
      <w:pPr>
        <w:jc w:val="center"/>
        <w:rPr>
          <w:rFonts w:ascii="Arial" w:hAnsi="Arial" w:cs="Arial"/>
          <w:lang w:val="es-ES_tradnl"/>
        </w:rPr>
      </w:pPr>
    </w:p>
    <w:p w14:paraId="1B9842F4" w14:textId="77777777" w:rsidR="009F7D00" w:rsidRPr="00A44648" w:rsidRDefault="009F7D00" w:rsidP="009F7D00">
      <w:pPr>
        <w:jc w:val="center"/>
        <w:rPr>
          <w:rFonts w:ascii="Arial" w:hAnsi="Arial" w:cs="Arial"/>
          <w:lang w:val="es-ES_tradnl"/>
        </w:rPr>
      </w:pPr>
    </w:p>
    <w:p w14:paraId="3B4D4EE7" w14:textId="77777777" w:rsidR="009F7D00" w:rsidRPr="00A44648" w:rsidRDefault="009F7D00" w:rsidP="009F7D00">
      <w:pPr>
        <w:jc w:val="center"/>
        <w:rPr>
          <w:rFonts w:ascii="Arial" w:hAnsi="Arial" w:cs="Arial"/>
          <w:lang w:val="es-ES_tradnl"/>
        </w:rPr>
      </w:pPr>
    </w:p>
    <w:p w14:paraId="1FD8B99B" w14:textId="77777777" w:rsidR="009F7D00" w:rsidRPr="00A44648" w:rsidRDefault="009F7D00" w:rsidP="009F7D00">
      <w:pPr>
        <w:jc w:val="center"/>
        <w:rPr>
          <w:rFonts w:ascii="Arial" w:hAnsi="Arial" w:cs="Arial"/>
          <w:lang w:val="es-ES_tradnl"/>
        </w:rPr>
      </w:pPr>
    </w:p>
    <w:p w14:paraId="58551FF0" w14:textId="77777777" w:rsidR="009F7D00" w:rsidRPr="00A44648" w:rsidRDefault="009F7D00" w:rsidP="009F7D00">
      <w:pPr>
        <w:pStyle w:val="ListParagraph"/>
        <w:ind w:left="0"/>
        <w:jc w:val="center"/>
        <w:rPr>
          <w:rFonts w:ascii="Arial" w:hAnsi="Arial" w:cs="Arial"/>
          <w:b/>
          <w:smallCaps/>
          <w:lang w:val="es-ES"/>
        </w:rPr>
      </w:pPr>
      <w:r w:rsidRPr="00A44648">
        <w:rPr>
          <w:rFonts w:ascii="Arial" w:hAnsi="Arial" w:cs="Arial"/>
          <w:b/>
          <w:smallCaps/>
          <w:lang w:val="es-ES"/>
        </w:rPr>
        <w:t>México</w:t>
      </w:r>
    </w:p>
    <w:p w14:paraId="54B70F9B" w14:textId="77777777" w:rsidR="009F7D00" w:rsidRPr="00A44648" w:rsidRDefault="009F7D00" w:rsidP="009F7D00">
      <w:pPr>
        <w:jc w:val="center"/>
        <w:rPr>
          <w:rFonts w:ascii="Arial" w:hAnsi="Arial" w:cs="Arial"/>
          <w:lang w:val="es-ES_tradnl"/>
        </w:rPr>
      </w:pPr>
    </w:p>
    <w:p w14:paraId="0DDE89D9" w14:textId="77777777" w:rsidR="009F7D00" w:rsidRPr="00A44648" w:rsidRDefault="009F7D00" w:rsidP="009F7D00">
      <w:pPr>
        <w:jc w:val="center"/>
        <w:rPr>
          <w:rFonts w:ascii="Arial" w:hAnsi="Arial" w:cs="Arial"/>
          <w:lang w:val="es-ES_tradnl"/>
        </w:rPr>
      </w:pPr>
    </w:p>
    <w:p w14:paraId="2D5B09D2" w14:textId="77777777" w:rsidR="009F7D00" w:rsidRPr="00A44648" w:rsidRDefault="009F7D00" w:rsidP="009F7D00">
      <w:pPr>
        <w:jc w:val="center"/>
        <w:rPr>
          <w:rFonts w:ascii="Arial" w:hAnsi="Arial" w:cs="Arial"/>
          <w:lang w:val="es-ES_tradnl"/>
        </w:rPr>
      </w:pPr>
    </w:p>
    <w:p w14:paraId="18949BC7" w14:textId="77777777" w:rsidR="009F7D00" w:rsidRPr="00A44648" w:rsidRDefault="009F7D00" w:rsidP="009F7D00">
      <w:pPr>
        <w:jc w:val="center"/>
        <w:rPr>
          <w:rFonts w:ascii="Arial" w:hAnsi="Arial" w:cs="Arial"/>
          <w:lang w:val="es-ES_tradnl"/>
        </w:rPr>
      </w:pPr>
    </w:p>
    <w:p w14:paraId="1828D6A5" w14:textId="77777777" w:rsidR="009F7D00" w:rsidRPr="00A44648" w:rsidRDefault="009F7D00" w:rsidP="009F7D00">
      <w:pPr>
        <w:jc w:val="center"/>
        <w:rPr>
          <w:rFonts w:ascii="Arial" w:hAnsi="Arial" w:cs="Arial"/>
          <w:lang w:val="es-ES_tradnl"/>
        </w:rPr>
      </w:pPr>
    </w:p>
    <w:p w14:paraId="71BF3801" w14:textId="77777777" w:rsidR="009F7D00" w:rsidRPr="00A44648" w:rsidRDefault="009F7D00" w:rsidP="009F7D00">
      <w:pPr>
        <w:pStyle w:val="ListParagraph"/>
        <w:ind w:left="0"/>
        <w:jc w:val="center"/>
        <w:rPr>
          <w:rFonts w:ascii="Arial" w:hAnsi="Arial" w:cs="Arial"/>
          <w:b/>
          <w:smallCaps/>
          <w:lang w:val="es-ES"/>
        </w:rPr>
      </w:pPr>
      <w:r w:rsidRPr="00A44648">
        <w:rPr>
          <w:rFonts w:ascii="Arial" w:hAnsi="Arial" w:cs="Arial"/>
          <w:b/>
          <w:smallCaps/>
          <w:lang w:val="es-ES"/>
        </w:rPr>
        <w:t>Programa de Financiamiento y Transferencia de Riesgos para Geotermia</w:t>
      </w:r>
    </w:p>
    <w:p w14:paraId="4FD463D1" w14:textId="77777777" w:rsidR="009F7D00" w:rsidRPr="00A44648" w:rsidRDefault="009F7D00" w:rsidP="009F7D00">
      <w:pPr>
        <w:jc w:val="center"/>
        <w:rPr>
          <w:rFonts w:ascii="Arial" w:hAnsi="Arial" w:cs="Arial"/>
          <w:lang w:val="es-ES_tradnl"/>
        </w:rPr>
      </w:pPr>
    </w:p>
    <w:p w14:paraId="220620AB" w14:textId="77777777" w:rsidR="009F7D00" w:rsidRPr="00A44648" w:rsidRDefault="009F7D00" w:rsidP="009F7D00">
      <w:pPr>
        <w:pStyle w:val="ListParagraph"/>
        <w:ind w:left="0"/>
        <w:jc w:val="center"/>
        <w:rPr>
          <w:rFonts w:ascii="Arial" w:hAnsi="Arial" w:cs="Arial"/>
          <w:b/>
          <w:smallCaps/>
          <w:lang w:val="es-ES"/>
        </w:rPr>
      </w:pPr>
      <w:r w:rsidRPr="00A44648">
        <w:rPr>
          <w:rFonts w:ascii="Arial" w:hAnsi="Arial" w:cs="Arial"/>
          <w:b/>
          <w:smallCaps/>
          <w:lang w:val="es-ES"/>
        </w:rPr>
        <w:t>ME-L1148; ME-G1005; ME-X1010</w:t>
      </w:r>
    </w:p>
    <w:p w14:paraId="60200E7F" w14:textId="77777777" w:rsidR="009F7D00" w:rsidRPr="00A44648" w:rsidRDefault="009F7D00" w:rsidP="009F7D00">
      <w:pPr>
        <w:jc w:val="center"/>
        <w:rPr>
          <w:rFonts w:ascii="Arial" w:hAnsi="Arial" w:cs="Arial"/>
          <w:lang w:val="es-ES_tradnl"/>
        </w:rPr>
      </w:pPr>
    </w:p>
    <w:p w14:paraId="48D8F7D3" w14:textId="77777777" w:rsidR="009F7D00" w:rsidRPr="00A44648" w:rsidRDefault="009F7D00" w:rsidP="009F7D00">
      <w:pPr>
        <w:jc w:val="center"/>
        <w:rPr>
          <w:rFonts w:ascii="Arial" w:hAnsi="Arial" w:cs="Arial"/>
          <w:lang w:val="es-ES_tradnl"/>
        </w:rPr>
      </w:pPr>
    </w:p>
    <w:p w14:paraId="46A843C0" w14:textId="77777777" w:rsidR="009F7D00" w:rsidRPr="00A44648" w:rsidRDefault="009F7D00" w:rsidP="009F7D00">
      <w:pPr>
        <w:rPr>
          <w:rFonts w:ascii="Arial" w:hAnsi="Arial" w:cs="Arial"/>
          <w:lang w:val="es-ES_tradnl"/>
        </w:rPr>
      </w:pPr>
    </w:p>
    <w:p w14:paraId="403BFE62" w14:textId="77777777" w:rsidR="009F7D00" w:rsidRPr="00A44648" w:rsidRDefault="009F7D00" w:rsidP="009F7D00">
      <w:pPr>
        <w:pStyle w:val="ListParagraph"/>
        <w:ind w:left="0"/>
        <w:jc w:val="center"/>
        <w:rPr>
          <w:rFonts w:ascii="Arial" w:hAnsi="Arial" w:cs="Arial"/>
          <w:b/>
          <w:smallCaps/>
          <w:lang w:val="es-ES"/>
        </w:rPr>
      </w:pPr>
      <w:r w:rsidRPr="00A44648">
        <w:rPr>
          <w:rFonts w:ascii="Arial" w:hAnsi="Arial" w:cs="Arial"/>
          <w:b/>
          <w:smallCaps/>
          <w:lang w:val="es-ES"/>
        </w:rPr>
        <w:t>Plan de Monitoreo y Evaluación</w:t>
      </w:r>
    </w:p>
    <w:p w14:paraId="589AC314" w14:textId="77777777" w:rsidR="009F7D00" w:rsidRPr="00A44648" w:rsidRDefault="009F7D00" w:rsidP="009F7D00">
      <w:pPr>
        <w:rPr>
          <w:rFonts w:ascii="Arial" w:hAnsi="Arial" w:cs="Arial"/>
          <w:lang w:val="es-ES_tradnl"/>
        </w:rPr>
      </w:pPr>
    </w:p>
    <w:p w14:paraId="443AA910" w14:textId="77777777" w:rsidR="009F7D00" w:rsidRPr="00A44648" w:rsidRDefault="009F7D00" w:rsidP="009F7D00">
      <w:pPr>
        <w:tabs>
          <w:tab w:val="left" w:pos="1440"/>
          <w:tab w:val="left" w:pos="3060"/>
        </w:tabs>
        <w:jc w:val="center"/>
        <w:rPr>
          <w:rFonts w:ascii="Arial" w:hAnsi="Arial" w:cs="Arial"/>
          <w:lang w:val="es-ES"/>
        </w:rPr>
      </w:pPr>
    </w:p>
    <w:p w14:paraId="197499A4" w14:textId="77777777" w:rsidR="009F7D00" w:rsidRPr="00A44648" w:rsidRDefault="009F7D00" w:rsidP="009F7D00">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lang w:val="es-ES_tradnl"/>
        </w:rPr>
      </w:pPr>
      <w:r w:rsidRPr="00A44648">
        <w:rPr>
          <w:rFonts w:ascii="Arial" w:hAnsi="Arial" w:cs="Arial"/>
          <w:lang w:val="es-ES_tradnl"/>
        </w:rPr>
        <w:t>Este documento fue preparado por el equipo de proyecto integrado por: Christiaan Gischler, Jefe de Equipo; José Antonio Urteaga, Jefe de Equipo Alterno; Rodrigo Aragón, Joel Hernández</w:t>
      </w:r>
      <w:r w:rsidRPr="00A44648">
        <w:rPr>
          <w:rFonts w:ascii="Arial" w:hAnsi="Arial" w:cs="Arial"/>
          <w:lang w:val="es-ES_tradnl"/>
        </w:rPr>
        <w:noBreakHyphen/>
        <w:t>Santoyo, Camila González y Jeanette Bonifaz (INE/ENE).</w:t>
      </w:r>
    </w:p>
    <w:p w14:paraId="2936DF5A" w14:textId="77777777" w:rsidR="009F7D00" w:rsidRPr="00A44648" w:rsidRDefault="009F7D00" w:rsidP="009F7D00">
      <w:pPr>
        <w:rPr>
          <w:rFonts w:ascii="Arial" w:hAnsi="Arial" w:cs="Arial"/>
          <w:lang w:val="es-ES_tradnl"/>
        </w:rPr>
      </w:pPr>
    </w:p>
    <w:p w14:paraId="39235111" w14:textId="77777777" w:rsidR="009F7D00" w:rsidRPr="00A44648" w:rsidRDefault="009F7D00" w:rsidP="009F7D00">
      <w:pPr>
        <w:rPr>
          <w:rFonts w:ascii="Arial" w:hAnsi="Arial" w:cs="Arial"/>
          <w:lang w:val="es-ES_tradnl"/>
        </w:rPr>
        <w:sectPr w:rsidR="009F7D00" w:rsidRPr="00A44648" w:rsidSect="009F7D00">
          <w:headerReference w:type="even" r:id="rId14"/>
          <w:headerReference w:type="default" r:id="rId15"/>
          <w:footerReference w:type="even" r:id="rId16"/>
          <w:pgSz w:w="12240" w:h="15840" w:code="1"/>
          <w:pgMar w:top="1440" w:right="1800" w:bottom="1440" w:left="1800" w:header="706" w:footer="706" w:gutter="0"/>
          <w:pgNumType w:fmt="lowerRoman" w:start="1"/>
          <w:cols w:space="720"/>
          <w:formProt w:val="0"/>
          <w:titlePg/>
        </w:sectPr>
      </w:pPr>
    </w:p>
    <w:p w14:paraId="1AE9DD0F" w14:textId="77777777" w:rsidR="009F7D00" w:rsidRPr="00A44648" w:rsidRDefault="009F7D00" w:rsidP="009F7D00">
      <w:pPr>
        <w:pStyle w:val="Newpage"/>
        <w:rPr>
          <w:bCs/>
          <w:iCs/>
          <w:sz w:val="22"/>
          <w:szCs w:val="22"/>
        </w:rPr>
      </w:pPr>
      <w:r w:rsidRPr="00A44648">
        <w:rPr>
          <w:bCs/>
          <w:iCs/>
          <w:sz w:val="22"/>
          <w:szCs w:val="22"/>
        </w:rPr>
        <w:lastRenderedPageBreak/>
        <w:t>Índice</w:t>
      </w:r>
    </w:p>
    <w:p w14:paraId="18D240CC" w14:textId="77777777" w:rsidR="009F7D00" w:rsidRPr="00A44648" w:rsidRDefault="009F7D00" w:rsidP="009F7D00">
      <w:pPr>
        <w:pStyle w:val="TOC1"/>
        <w:rPr>
          <w:rFonts w:ascii="Arial" w:eastAsiaTheme="minorEastAsia" w:hAnsi="Arial" w:cs="Arial"/>
          <w:b w:val="0"/>
          <w:smallCaps/>
          <w:sz w:val="22"/>
          <w:szCs w:val="22"/>
          <w:lang w:val="es-ES_tradnl"/>
        </w:rPr>
      </w:pPr>
      <w:r w:rsidRPr="00A44648">
        <w:rPr>
          <w:rFonts w:ascii="Arial" w:hAnsi="Arial" w:cs="Arial"/>
          <w:sz w:val="22"/>
          <w:szCs w:val="22"/>
          <w:lang w:val="es-ES"/>
        </w:rPr>
        <w:fldChar w:fldCharType="begin"/>
      </w:r>
      <w:r w:rsidRPr="00A44648">
        <w:rPr>
          <w:rFonts w:ascii="Arial" w:hAnsi="Arial" w:cs="Arial"/>
          <w:sz w:val="22"/>
          <w:szCs w:val="22"/>
          <w:lang w:val="es-ES"/>
        </w:rPr>
        <w:instrText xml:space="preserve"> TOC \f \t "Chapter,1,FirstHeading,2,SecHeading,3" </w:instrText>
      </w:r>
      <w:r w:rsidRPr="00A44648">
        <w:rPr>
          <w:rFonts w:ascii="Arial" w:hAnsi="Arial" w:cs="Arial"/>
          <w:sz w:val="22"/>
          <w:szCs w:val="22"/>
          <w:lang w:val="es-ES"/>
        </w:rPr>
        <w:fldChar w:fldCharType="separate"/>
      </w:r>
      <w:r w:rsidRPr="00A44648">
        <w:rPr>
          <w:rFonts w:ascii="Arial" w:eastAsia="Arial" w:hAnsi="Arial" w:cs="Arial"/>
          <w:sz w:val="22"/>
          <w:szCs w:val="22"/>
          <w:lang w:val="es-ES_tradnl"/>
        </w:rPr>
        <w:t>I.</w:t>
      </w:r>
      <w:r w:rsidRPr="00A44648">
        <w:rPr>
          <w:rFonts w:ascii="Arial" w:eastAsiaTheme="minorEastAsia" w:hAnsi="Arial" w:cs="Arial"/>
          <w:b w:val="0"/>
          <w:smallCaps/>
          <w:sz w:val="22"/>
          <w:szCs w:val="22"/>
          <w:lang w:val="es-ES_tradnl"/>
        </w:rPr>
        <w:tab/>
      </w:r>
      <w:r w:rsidRPr="00A44648">
        <w:rPr>
          <w:rFonts w:ascii="Arial" w:eastAsia="Arial" w:hAnsi="Arial" w:cs="Arial"/>
          <w:sz w:val="22"/>
          <w:szCs w:val="22"/>
          <w:lang w:val="es-ES_tradnl"/>
        </w:rPr>
        <w:t>Descripción del Proyecto y Monitoreo de Resultados</w:t>
      </w:r>
      <w:r w:rsidRPr="00A44648">
        <w:rPr>
          <w:rFonts w:ascii="Arial" w:hAnsi="Arial" w:cs="Arial"/>
          <w:sz w:val="22"/>
          <w:szCs w:val="22"/>
          <w:lang w:val="es-ES_tradnl"/>
        </w:rPr>
        <w:tab/>
      </w:r>
      <w:r w:rsidRPr="00A44648">
        <w:rPr>
          <w:rFonts w:ascii="Arial" w:hAnsi="Arial" w:cs="Arial"/>
          <w:sz w:val="22"/>
          <w:szCs w:val="22"/>
        </w:rPr>
        <w:fldChar w:fldCharType="begin"/>
      </w:r>
      <w:r w:rsidRPr="00A44648">
        <w:rPr>
          <w:rFonts w:ascii="Arial" w:hAnsi="Arial" w:cs="Arial"/>
          <w:sz w:val="22"/>
          <w:szCs w:val="22"/>
          <w:lang w:val="es-ES_tradnl"/>
        </w:rPr>
        <w:instrText xml:space="preserve"> PAGEREF _Toc508204046 \h </w:instrText>
      </w:r>
      <w:r w:rsidRPr="00A44648">
        <w:rPr>
          <w:rFonts w:ascii="Arial" w:hAnsi="Arial" w:cs="Arial"/>
          <w:sz w:val="22"/>
          <w:szCs w:val="22"/>
        </w:rPr>
      </w:r>
      <w:r w:rsidRPr="00A44648">
        <w:rPr>
          <w:rFonts w:ascii="Arial" w:hAnsi="Arial" w:cs="Arial"/>
          <w:sz w:val="22"/>
          <w:szCs w:val="22"/>
        </w:rPr>
        <w:fldChar w:fldCharType="separate"/>
      </w:r>
      <w:r w:rsidRPr="00A44648">
        <w:rPr>
          <w:rFonts w:ascii="Arial" w:hAnsi="Arial" w:cs="Arial"/>
          <w:sz w:val="22"/>
          <w:szCs w:val="22"/>
          <w:lang w:val="es-ES_tradnl"/>
        </w:rPr>
        <w:t>1</w:t>
      </w:r>
      <w:r w:rsidRPr="00A44648">
        <w:rPr>
          <w:rFonts w:ascii="Arial" w:hAnsi="Arial" w:cs="Arial"/>
          <w:sz w:val="22"/>
          <w:szCs w:val="22"/>
        </w:rPr>
        <w:fldChar w:fldCharType="end"/>
      </w:r>
    </w:p>
    <w:p w14:paraId="550C9C5D" w14:textId="77777777" w:rsidR="009F7D00" w:rsidRPr="00A44648" w:rsidRDefault="009F7D00" w:rsidP="009F7D00">
      <w:pPr>
        <w:pStyle w:val="TOC2"/>
        <w:rPr>
          <w:rFonts w:ascii="Arial" w:eastAsiaTheme="minorEastAsia" w:hAnsi="Arial" w:cs="Arial"/>
          <w:lang w:val="es-ES_tradnl"/>
        </w:rPr>
      </w:pPr>
      <w:r w:rsidRPr="00A44648">
        <w:rPr>
          <w:rFonts w:ascii="Arial" w:eastAsia="Arial" w:hAnsi="Arial" w:cs="Arial"/>
          <w:lang w:val="es-ES_tradnl"/>
        </w:rPr>
        <w:t>A.</w:t>
      </w:r>
      <w:r w:rsidRPr="00A44648">
        <w:rPr>
          <w:rFonts w:ascii="Arial" w:eastAsiaTheme="minorEastAsia" w:hAnsi="Arial" w:cs="Arial"/>
          <w:lang w:val="es-ES_tradnl"/>
        </w:rPr>
        <w:tab/>
      </w:r>
      <w:r w:rsidRPr="00A44648">
        <w:rPr>
          <w:rFonts w:ascii="Arial" w:eastAsia="Arial" w:hAnsi="Arial" w:cs="Arial"/>
          <w:lang w:val="es-ES_tradnl"/>
        </w:rPr>
        <w:t>Antecedentes del Programa</w:t>
      </w:r>
      <w:r w:rsidRPr="00A44648">
        <w:rPr>
          <w:rFonts w:ascii="Arial" w:hAnsi="Arial" w:cs="Arial"/>
          <w:lang w:val="es-ES_tradnl"/>
        </w:rPr>
        <w:tab/>
      </w:r>
      <w:r w:rsidRPr="00A44648">
        <w:rPr>
          <w:rFonts w:ascii="Arial" w:hAnsi="Arial" w:cs="Arial"/>
        </w:rPr>
        <w:fldChar w:fldCharType="begin"/>
      </w:r>
      <w:r w:rsidRPr="00A44648">
        <w:rPr>
          <w:rFonts w:ascii="Arial" w:hAnsi="Arial" w:cs="Arial"/>
          <w:lang w:val="es-ES_tradnl"/>
        </w:rPr>
        <w:instrText xml:space="preserve"> PAGEREF _Toc508204047 \h </w:instrText>
      </w:r>
      <w:r w:rsidRPr="00A44648">
        <w:rPr>
          <w:rFonts w:ascii="Arial" w:hAnsi="Arial" w:cs="Arial"/>
        </w:rPr>
      </w:r>
      <w:r w:rsidRPr="00A44648">
        <w:rPr>
          <w:rFonts w:ascii="Arial" w:hAnsi="Arial" w:cs="Arial"/>
        </w:rPr>
        <w:fldChar w:fldCharType="separate"/>
      </w:r>
      <w:r w:rsidRPr="00A44648">
        <w:rPr>
          <w:rFonts w:ascii="Arial" w:hAnsi="Arial" w:cs="Arial"/>
          <w:lang w:val="es-ES_tradnl"/>
        </w:rPr>
        <w:t>1</w:t>
      </w:r>
      <w:r w:rsidRPr="00A44648">
        <w:rPr>
          <w:rFonts w:ascii="Arial" w:hAnsi="Arial" w:cs="Arial"/>
        </w:rPr>
        <w:fldChar w:fldCharType="end"/>
      </w:r>
    </w:p>
    <w:p w14:paraId="5FD775D9" w14:textId="77777777" w:rsidR="009F7D00" w:rsidRPr="00A44648" w:rsidRDefault="009F7D00" w:rsidP="009F7D00">
      <w:pPr>
        <w:pStyle w:val="TOC2"/>
        <w:rPr>
          <w:rFonts w:ascii="Arial" w:eastAsiaTheme="minorEastAsia" w:hAnsi="Arial" w:cs="Arial"/>
          <w:lang w:val="es-ES_tradnl"/>
        </w:rPr>
      </w:pPr>
      <w:r w:rsidRPr="00A44648">
        <w:rPr>
          <w:rFonts w:ascii="Arial" w:eastAsia="Arial" w:hAnsi="Arial" w:cs="Arial"/>
          <w:lang w:val="es-ES_tradnl"/>
        </w:rPr>
        <w:t>B.</w:t>
      </w:r>
      <w:r w:rsidRPr="00A44648">
        <w:rPr>
          <w:rFonts w:ascii="Arial" w:eastAsiaTheme="minorEastAsia" w:hAnsi="Arial" w:cs="Arial"/>
          <w:lang w:val="es-ES_tradnl"/>
        </w:rPr>
        <w:tab/>
      </w:r>
      <w:r w:rsidRPr="00A44648">
        <w:rPr>
          <w:rFonts w:ascii="Arial" w:eastAsia="Arial" w:hAnsi="Arial" w:cs="Arial"/>
          <w:lang w:val="es-ES_tradnl"/>
        </w:rPr>
        <w:t>Avances del Programa</w:t>
      </w:r>
      <w:r w:rsidRPr="00A44648">
        <w:rPr>
          <w:rFonts w:ascii="Arial" w:hAnsi="Arial" w:cs="Arial"/>
          <w:lang w:val="es-ES_tradnl"/>
        </w:rPr>
        <w:tab/>
      </w:r>
      <w:r w:rsidRPr="00A44648">
        <w:rPr>
          <w:rFonts w:ascii="Arial" w:hAnsi="Arial" w:cs="Arial"/>
        </w:rPr>
        <w:fldChar w:fldCharType="begin"/>
      </w:r>
      <w:r w:rsidRPr="00A44648">
        <w:rPr>
          <w:rFonts w:ascii="Arial" w:hAnsi="Arial" w:cs="Arial"/>
          <w:lang w:val="es-ES_tradnl"/>
        </w:rPr>
        <w:instrText xml:space="preserve"> PAGEREF _Toc508204048 \h </w:instrText>
      </w:r>
      <w:r w:rsidRPr="00A44648">
        <w:rPr>
          <w:rFonts w:ascii="Arial" w:hAnsi="Arial" w:cs="Arial"/>
        </w:rPr>
      </w:r>
      <w:r w:rsidRPr="00A44648">
        <w:rPr>
          <w:rFonts w:ascii="Arial" w:hAnsi="Arial" w:cs="Arial"/>
        </w:rPr>
        <w:fldChar w:fldCharType="separate"/>
      </w:r>
      <w:r w:rsidRPr="00A44648">
        <w:rPr>
          <w:rFonts w:ascii="Arial" w:hAnsi="Arial" w:cs="Arial"/>
          <w:lang w:val="es-ES_tradnl"/>
        </w:rPr>
        <w:t>3</w:t>
      </w:r>
      <w:r w:rsidRPr="00A44648">
        <w:rPr>
          <w:rFonts w:ascii="Arial" w:hAnsi="Arial" w:cs="Arial"/>
        </w:rPr>
        <w:fldChar w:fldCharType="end"/>
      </w:r>
    </w:p>
    <w:p w14:paraId="67D0EC68" w14:textId="77777777" w:rsidR="009F7D00" w:rsidRPr="00A44648" w:rsidRDefault="009F7D00" w:rsidP="009F7D00">
      <w:pPr>
        <w:pStyle w:val="TOC2"/>
        <w:rPr>
          <w:rFonts w:ascii="Arial" w:eastAsiaTheme="minorEastAsia" w:hAnsi="Arial" w:cs="Arial"/>
          <w:lang w:val="es-ES_tradnl"/>
        </w:rPr>
      </w:pPr>
      <w:r w:rsidRPr="00A44648">
        <w:rPr>
          <w:rFonts w:ascii="Arial" w:eastAsia="Arial" w:hAnsi="Arial" w:cs="Arial"/>
          <w:lang w:val="es-ES_tradnl"/>
        </w:rPr>
        <w:t>C.</w:t>
      </w:r>
      <w:r w:rsidRPr="00A44648">
        <w:rPr>
          <w:rFonts w:ascii="Arial" w:eastAsiaTheme="minorEastAsia" w:hAnsi="Arial" w:cs="Arial"/>
          <w:lang w:val="es-ES_tradnl"/>
        </w:rPr>
        <w:tab/>
      </w:r>
      <w:r w:rsidRPr="00A44648">
        <w:rPr>
          <w:rFonts w:ascii="Arial" w:eastAsia="Arial" w:hAnsi="Arial" w:cs="Arial"/>
          <w:lang w:val="es-ES_tradnl"/>
        </w:rPr>
        <w:t>Solicitud del Prestatario</w:t>
      </w:r>
      <w:r w:rsidRPr="00A44648">
        <w:rPr>
          <w:rFonts w:ascii="Arial" w:hAnsi="Arial" w:cs="Arial"/>
          <w:lang w:val="es-ES_tradnl"/>
        </w:rPr>
        <w:tab/>
      </w:r>
      <w:r w:rsidRPr="00A44648">
        <w:rPr>
          <w:rFonts w:ascii="Arial" w:hAnsi="Arial" w:cs="Arial"/>
        </w:rPr>
        <w:fldChar w:fldCharType="begin"/>
      </w:r>
      <w:r w:rsidRPr="00A44648">
        <w:rPr>
          <w:rFonts w:ascii="Arial" w:hAnsi="Arial" w:cs="Arial"/>
          <w:lang w:val="es-ES_tradnl"/>
        </w:rPr>
        <w:instrText xml:space="preserve"> PAGEREF _Toc508204049 \h </w:instrText>
      </w:r>
      <w:r w:rsidRPr="00A44648">
        <w:rPr>
          <w:rFonts w:ascii="Arial" w:hAnsi="Arial" w:cs="Arial"/>
        </w:rPr>
      </w:r>
      <w:r w:rsidRPr="00A44648">
        <w:rPr>
          <w:rFonts w:ascii="Arial" w:hAnsi="Arial" w:cs="Arial"/>
        </w:rPr>
        <w:fldChar w:fldCharType="separate"/>
      </w:r>
      <w:r w:rsidRPr="00A44648">
        <w:rPr>
          <w:rFonts w:ascii="Arial" w:hAnsi="Arial" w:cs="Arial"/>
          <w:lang w:val="es-ES_tradnl"/>
        </w:rPr>
        <w:t>4</w:t>
      </w:r>
      <w:r w:rsidRPr="00A44648">
        <w:rPr>
          <w:rFonts w:ascii="Arial" w:hAnsi="Arial" w:cs="Arial"/>
        </w:rPr>
        <w:fldChar w:fldCharType="end"/>
      </w:r>
    </w:p>
    <w:p w14:paraId="550A452B" w14:textId="77777777" w:rsidR="009F7D00" w:rsidRPr="00A44648" w:rsidRDefault="009F7D00" w:rsidP="009F7D00">
      <w:pPr>
        <w:pStyle w:val="TOC2"/>
        <w:rPr>
          <w:rFonts w:ascii="Arial" w:eastAsiaTheme="minorEastAsia" w:hAnsi="Arial" w:cs="Arial"/>
          <w:lang w:val="es-ES_tradnl"/>
        </w:rPr>
      </w:pPr>
      <w:r w:rsidRPr="00A44648">
        <w:rPr>
          <w:rFonts w:ascii="Arial" w:eastAsia="Arial" w:hAnsi="Arial" w:cs="Arial"/>
          <w:lang w:val="es-ES_tradnl"/>
        </w:rPr>
        <w:t>D.</w:t>
      </w:r>
      <w:r w:rsidRPr="00A44648">
        <w:rPr>
          <w:rFonts w:ascii="Arial" w:eastAsiaTheme="minorEastAsia" w:hAnsi="Arial" w:cs="Arial"/>
          <w:lang w:val="es-ES_tradnl"/>
        </w:rPr>
        <w:tab/>
      </w:r>
      <w:r w:rsidRPr="00A44648">
        <w:rPr>
          <w:rFonts w:ascii="Arial" w:eastAsia="Arial" w:hAnsi="Arial" w:cs="Arial"/>
          <w:lang w:val="es-ES_tradnl"/>
        </w:rPr>
        <w:t>Justificación de la Modificación</w:t>
      </w:r>
      <w:r w:rsidRPr="00A44648">
        <w:rPr>
          <w:rFonts w:ascii="Arial" w:hAnsi="Arial" w:cs="Arial"/>
          <w:lang w:val="es-ES_tradnl"/>
        </w:rPr>
        <w:tab/>
      </w:r>
      <w:r w:rsidRPr="00A44648">
        <w:rPr>
          <w:rFonts w:ascii="Arial" w:hAnsi="Arial" w:cs="Arial"/>
        </w:rPr>
        <w:fldChar w:fldCharType="begin"/>
      </w:r>
      <w:r w:rsidRPr="00A44648">
        <w:rPr>
          <w:rFonts w:ascii="Arial" w:hAnsi="Arial" w:cs="Arial"/>
          <w:lang w:val="es-ES_tradnl"/>
        </w:rPr>
        <w:instrText xml:space="preserve"> PAGEREF _Toc508204050 \h </w:instrText>
      </w:r>
      <w:r w:rsidRPr="00A44648">
        <w:rPr>
          <w:rFonts w:ascii="Arial" w:hAnsi="Arial" w:cs="Arial"/>
        </w:rPr>
      </w:r>
      <w:r w:rsidRPr="00A44648">
        <w:rPr>
          <w:rFonts w:ascii="Arial" w:hAnsi="Arial" w:cs="Arial"/>
        </w:rPr>
        <w:fldChar w:fldCharType="separate"/>
      </w:r>
      <w:r w:rsidRPr="00A44648">
        <w:rPr>
          <w:rFonts w:ascii="Arial" w:hAnsi="Arial" w:cs="Arial"/>
          <w:lang w:val="es-ES_tradnl"/>
        </w:rPr>
        <w:t>4</w:t>
      </w:r>
      <w:r w:rsidRPr="00A44648">
        <w:rPr>
          <w:rFonts w:ascii="Arial" w:hAnsi="Arial" w:cs="Arial"/>
        </w:rPr>
        <w:fldChar w:fldCharType="end"/>
      </w:r>
    </w:p>
    <w:p w14:paraId="060C7856" w14:textId="77777777" w:rsidR="009F7D00" w:rsidRPr="00A44648" w:rsidRDefault="009F7D00" w:rsidP="009F7D00">
      <w:pPr>
        <w:pStyle w:val="TOC2"/>
        <w:rPr>
          <w:rFonts w:ascii="Arial" w:eastAsiaTheme="minorEastAsia" w:hAnsi="Arial" w:cs="Arial"/>
          <w:lang w:val="es-ES_tradnl"/>
        </w:rPr>
      </w:pPr>
      <w:r w:rsidRPr="00A44648">
        <w:rPr>
          <w:rFonts w:ascii="Arial" w:eastAsia="Arial" w:hAnsi="Arial" w:cs="Arial"/>
          <w:lang w:val="es-ES_tradnl"/>
        </w:rPr>
        <w:t>E.</w:t>
      </w:r>
      <w:r w:rsidRPr="00A44648">
        <w:rPr>
          <w:rFonts w:ascii="Arial" w:eastAsiaTheme="minorEastAsia" w:hAnsi="Arial" w:cs="Arial"/>
          <w:lang w:val="es-ES_tradnl"/>
        </w:rPr>
        <w:tab/>
      </w:r>
      <w:r w:rsidRPr="00A44648">
        <w:rPr>
          <w:rFonts w:ascii="Arial" w:eastAsia="Arial" w:hAnsi="Arial" w:cs="Arial"/>
          <w:lang w:val="es-ES_tradnl"/>
        </w:rPr>
        <w:t>Alineación Estratégica</w:t>
      </w:r>
      <w:r w:rsidRPr="00A44648">
        <w:rPr>
          <w:rFonts w:ascii="Arial" w:hAnsi="Arial" w:cs="Arial"/>
          <w:lang w:val="es-ES_tradnl"/>
        </w:rPr>
        <w:tab/>
      </w:r>
      <w:r w:rsidRPr="00A44648">
        <w:rPr>
          <w:rFonts w:ascii="Arial" w:hAnsi="Arial" w:cs="Arial"/>
        </w:rPr>
        <w:fldChar w:fldCharType="begin"/>
      </w:r>
      <w:r w:rsidRPr="00A44648">
        <w:rPr>
          <w:rFonts w:ascii="Arial" w:hAnsi="Arial" w:cs="Arial"/>
          <w:lang w:val="es-ES_tradnl"/>
        </w:rPr>
        <w:instrText xml:space="preserve"> PAGEREF _Toc508204051 \h </w:instrText>
      </w:r>
      <w:r w:rsidRPr="00A44648">
        <w:rPr>
          <w:rFonts w:ascii="Arial" w:hAnsi="Arial" w:cs="Arial"/>
        </w:rPr>
      </w:r>
      <w:r w:rsidRPr="00A44648">
        <w:rPr>
          <w:rFonts w:ascii="Arial" w:hAnsi="Arial" w:cs="Arial"/>
        </w:rPr>
        <w:fldChar w:fldCharType="separate"/>
      </w:r>
      <w:r w:rsidRPr="00A44648">
        <w:rPr>
          <w:rFonts w:ascii="Arial" w:hAnsi="Arial" w:cs="Arial"/>
          <w:lang w:val="es-ES_tradnl"/>
        </w:rPr>
        <w:t>6</w:t>
      </w:r>
      <w:r w:rsidRPr="00A44648">
        <w:rPr>
          <w:rFonts w:ascii="Arial" w:hAnsi="Arial" w:cs="Arial"/>
        </w:rPr>
        <w:fldChar w:fldCharType="end"/>
      </w:r>
    </w:p>
    <w:p w14:paraId="27713C6E" w14:textId="77777777" w:rsidR="009F7D00" w:rsidRPr="00A44648" w:rsidRDefault="009F7D00" w:rsidP="009F7D00">
      <w:pPr>
        <w:pStyle w:val="TOC1"/>
        <w:rPr>
          <w:rFonts w:ascii="Arial" w:eastAsiaTheme="minorEastAsia" w:hAnsi="Arial" w:cs="Arial"/>
          <w:b w:val="0"/>
          <w:smallCaps/>
          <w:sz w:val="22"/>
          <w:szCs w:val="22"/>
          <w:lang w:val="es-ES_tradnl"/>
        </w:rPr>
      </w:pPr>
      <w:r w:rsidRPr="00A44648">
        <w:rPr>
          <w:rFonts w:ascii="Arial" w:eastAsia="Arial" w:hAnsi="Arial" w:cs="Arial"/>
          <w:sz w:val="22"/>
          <w:szCs w:val="22"/>
          <w:lang w:val="es-ES_tradnl"/>
        </w:rPr>
        <w:t>II.</w:t>
      </w:r>
      <w:r w:rsidRPr="00A44648">
        <w:rPr>
          <w:rFonts w:ascii="Arial" w:eastAsiaTheme="minorEastAsia" w:hAnsi="Arial" w:cs="Arial"/>
          <w:b w:val="0"/>
          <w:smallCaps/>
          <w:sz w:val="22"/>
          <w:szCs w:val="22"/>
          <w:lang w:val="es-ES_tradnl"/>
        </w:rPr>
        <w:tab/>
      </w:r>
      <w:r w:rsidRPr="00A44648">
        <w:rPr>
          <w:rFonts w:ascii="Arial" w:eastAsia="Arial" w:hAnsi="Arial" w:cs="Arial"/>
          <w:sz w:val="22"/>
          <w:szCs w:val="22"/>
          <w:lang w:val="es-ES_tradnl"/>
        </w:rPr>
        <w:t>Descripción de las Modificaciones Propuestas</w:t>
      </w:r>
      <w:r w:rsidRPr="00A44648">
        <w:rPr>
          <w:rFonts w:ascii="Arial" w:hAnsi="Arial" w:cs="Arial"/>
          <w:sz w:val="22"/>
          <w:szCs w:val="22"/>
          <w:lang w:val="es-ES_tradnl"/>
        </w:rPr>
        <w:tab/>
      </w:r>
      <w:r w:rsidRPr="00A44648">
        <w:rPr>
          <w:rFonts w:ascii="Arial" w:hAnsi="Arial" w:cs="Arial"/>
          <w:sz w:val="22"/>
          <w:szCs w:val="22"/>
        </w:rPr>
        <w:fldChar w:fldCharType="begin"/>
      </w:r>
      <w:r w:rsidRPr="00A44648">
        <w:rPr>
          <w:rFonts w:ascii="Arial" w:hAnsi="Arial" w:cs="Arial"/>
          <w:sz w:val="22"/>
          <w:szCs w:val="22"/>
          <w:lang w:val="es-ES_tradnl"/>
        </w:rPr>
        <w:instrText xml:space="preserve"> PAGEREF _Toc508204052 \h </w:instrText>
      </w:r>
      <w:r w:rsidRPr="00A44648">
        <w:rPr>
          <w:rFonts w:ascii="Arial" w:hAnsi="Arial" w:cs="Arial"/>
          <w:sz w:val="22"/>
          <w:szCs w:val="22"/>
        </w:rPr>
      </w:r>
      <w:r w:rsidRPr="00A44648">
        <w:rPr>
          <w:rFonts w:ascii="Arial" w:hAnsi="Arial" w:cs="Arial"/>
          <w:sz w:val="22"/>
          <w:szCs w:val="22"/>
        </w:rPr>
        <w:fldChar w:fldCharType="separate"/>
      </w:r>
      <w:r w:rsidRPr="00A44648">
        <w:rPr>
          <w:rFonts w:ascii="Arial" w:hAnsi="Arial" w:cs="Arial"/>
          <w:sz w:val="22"/>
          <w:szCs w:val="22"/>
          <w:lang w:val="es-ES_tradnl"/>
        </w:rPr>
        <w:t>7</w:t>
      </w:r>
      <w:r w:rsidRPr="00A44648">
        <w:rPr>
          <w:rFonts w:ascii="Arial" w:hAnsi="Arial" w:cs="Arial"/>
          <w:sz w:val="22"/>
          <w:szCs w:val="22"/>
        </w:rPr>
        <w:fldChar w:fldCharType="end"/>
      </w:r>
    </w:p>
    <w:p w14:paraId="3E2822D9" w14:textId="77777777" w:rsidR="009F7D00" w:rsidRPr="00A44648" w:rsidRDefault="009F7D00" w:rsidP="009F7D00">
      <w:pPr>
        <w:pStyle w:val="TOC2"/>
        <w:rPr>
          <w:rFonts w:ascii="Arial" w:eastAsiaTheme="minorEastAsia" w:hAnsi="Arial" w:cs="Arial"/>
          <w:lang w:val="es-ES_tradnl"/>
        </w:rPr>
      </w:pPr>
      <w:r w:rsidRPr="00A44648">
        <w:rPr>
          <w:rFonts w:ascii="Arial" w:eastAsia="Arial" w:hAnsi="Arial" w:cs="Arial"/>
          <w:lang w:val="es-ES_tradnl"/>
        </w:rPr>
        <w:t>A.</w:t>
      </w:r>
      <w:r w:rsidRPr="00A44648">
        <w:rPr>
          <w:rFonts w:ascii="Arial" w:eastAsiaTheme="minorEastAsia" w:hAnsi="Arial" w:cs="Arial"/>
          <w:lang w:val="es-ES_tradnl"/>
        </w:rPr>
        <w:tab/>
      </w:r>
      <w:r w:rsidRPr="00A44648">
        <w:rPr>
          <w:rFonts w:ascii="Arial" w:eastAsia="Arial" w:hAnsi="Arial" w:cs="Arial"/>
          <w:lang w:val="es-ES_tradnl"/>
        </w:rPr>
        <w:t>Objetivo y Componentes del Programa</w:t>
      </w:r>
      <w:r w:rsidRPr="00A44648">
        <w:rPr>
          <w:rFonts w:ascii="Arial" w:hAnsi="Arial" w:cs="Arial"/>
          <w:lang w:val="es-ES_tradnl"/>
        </w:rPr>
        <w:tab/>
      </w:r>
      <w:r w:rsidRPr="00A44648">
        <w:rPr>
          <w:rFonts w:ascii="Arial" w:hAnsi="Arial" w:cs="Arial"/>
        </w:rPr>
        <w:fldChar w:fldCharType="begin"/>
      </w:r>
      <w:r w:rsidRPr="00A44648">
        <w:rPr>
          <w:rFonts w:ascii="Arial" w:hAnsi="Arial" w:cs="Arial"/>
          <w:lang w:val="es-ES_tradnl"/>
        </w:rPr>
        <w:instrText xml:space="preserve"> PAGEREF _Toc508204055 \h </w:instrText>
      </w:r>
      <w:r w:rsidRPr="00A44648">
        <w:rPr>
          <w:rFonts w:ascii="Arial" w:hAnsi="Arial" w:cs="Arial"/>
        </w:rPr>
      </w:r>
      <w:r w:rsidRPr="00A44648">
        <w:rPr>
          <w:rFonts w:ascii="Arial" w:hAnsi="Arial" w:cs="Arial"/>
        </w:rPr>
        <w:fldChar w:fldCharType="separate"/>
      </w:r>
      <w:r w:rsidRPr="00A44648">
        <w:rPr>
          <w:rFonts w:ascii="Arial" w:hAnsi="Arial" w:cs="Arial"/>
          <w:lang w:val="es-ES_tradnl"/>
        </w:rPr>
        <w:t>7</w:t>
      </w:r>
      <w:r w:rsidRPr="00A44648">
        <w:rPr>
          <w:rFonts w:ascii="Arial" w:hAnsi="Arial" w:cs="Arial"/>
        </w:rPr>
        <w:fldChar w:fldCharType="end"/>
      </w:r>
    </w:p>
    <w:p w14:paraId="24CDC556" w14:textId="77777777" w:rsidR="009F7D00" w:rsidRPr="00A44648" w:rsidRDefault="009F7D00" w:rsidP="009F7D00">
      <w:pPr>
        <w:pStyle w:val="TOC2"/>
        <w:rPr>
          <w:rFonts w:ascii="Arial" w:eastAsiaTheme="minorEastAsia" w:hAnsi="Arial" w:cs="Arial"/>
          <w:lang w:val="es-ES_tradnl"/>
        </w:rPr>
      </w:pPr>
      <w:r w:rsidRPr="00A44648">
        <w:rPr>
          <w:rFonts w:ascii="Arial" w:eastAsia="Arial" w:hAnsi="Arial" w:cs="Arial"/>
          <w:lang w:val="es-ES_tradnl"/>
        </w:rPr>
        <w:t>B.</w:t>
      </w:r>
      <w:r w:rsidRPr="00A44648">
        <w:rPr>
          <w:rFonts w:ascii="Arial" w:eastAsiaTheme="minorEastAsia" w:hAnsi="Arial" w:cs="Arial"/>
          <w:lang w:val="es-ES_tradnl"/>
        </w:rPr>
        <w:tab/>
      </w:r>
      <w:r w:rsidRPr="00A44648">
        <w:rPr>
          <w:rFonts w:ascii="Arial" w:eastAsia="Arial" w:hAnsi="Arial" w:cs="Arial"/>
          <w:lang w:val="es-ES_tradnl"/>
        </w:rPr>
        <w:t>Costos y Fuentes de Financiamiento</w:t>
      </w:r>
      <w:r w:rsidRPr="00A44648">
        <w:rPr>
          <w:rFonts w:ascii="Arial" w:hAnsi="Arial" w:cs="Arial"/>
          <w:lang w:val="es-ES_tradnl"/>
        </w:rPr>
        <w:tab/>
      </w:r>
      <w:r w:rsidRPr="00A44648">
        <w:rPr>
          <w:rFonts w:ascii="Arial" w:hAnsi="Arial" w:cs="Arial"/>
        </w:rPr>
        <w:fldChar w:fldCharType="begin"/>
      </w:r>
      <w:r w:rsidRPr="00A44648">
        <w:rPr>
          <w:rFonts w:ascii="Arial" w:hAnsi="Arial" w:cs="Arial"/>
          <w:lang w:val="es-ES_tradnl"/>
        </w:rPr>
        <w:instrText xml:space="preserve"> PAGEREF _Toc508204056 \h </w:instrText>
      </w:r>
      <w:r w:rsidRPr="00A44648">
        <w:rPr>
          <w:rFonts w:ascii="Arial" w:hAnsi="Arial" w:cs="Arial"/>
        </w:rPr>
      </w:r>
      <w:r w:rsidRPr="00A44648">
        <w:rPr>
          <w:rFonts w:ascii="Arial" w:hAnsi="Arial" w:cs="Arial"/>
        </w:rPr>
        <w:fldChar w:fldCharType="separate"/>
      </w:r>
      <w:r w:rsidRPr="00A44648">
        <w:rPr>
          <w:rFonts w:ascii="Arial" w:hAnsi="Arial" w:cs="Arial"/>
          <w:lang w:val="es-ES_tradnl"/>
        </w:rPr>
        <w:t>8</w:t>
      </w:r>
      <w:r w:rsidRPr="00A44648">
        <w:rPr>
          <w:rFonts w:ascii="Arial" w:hAnsi="Arial" w:cs="Arial"/>
        </w:rPr>
        <w:fldChar w:fldCharType="end"/>
      </w:r>
    </w:p>
    <w:p w14:paraId="05183A4E" w14:textId="77777777" w:rsidR="009F7D00" w:rsidRPr="00A44648" w:rsidRDefault="009F7D00" w:rsidP="009F7D00">
      <w:pPr>
        <w:pStyle w:val="TOC2"/>
        <w:rPr>
          <w:rFonts w:ascii="Arial" w:eastAsiaTheme="minorEastAsia" w:hAnsi="Arial" w:cs="Arial"/>
          <w:lang w:val="es-ES_tradnl"/>
        </w:rPr>
      </w:pPr>
      <w:r w:rsidRPr="00A44648">
        <w:rPr>
          <w:rFonts w:ascii="Arial" w:eastAsia="Arial" w:hAnsi="Arial" w:cs="Arial"/>
          <w:lang w:val="es-ES_tradnl"/>
        </w:rPr>
        <w:t>C.</w:t>
      </w:r>
      <w:r w:rsidRPr="00A44648">
        <w:rPr>
          <w:rFonts w:ascii="Arial" w:eastAsiaTheme="minorEastAsia" w:hAnsi="Arial" w:cs="Arial"/>
          <w:lang w:val="es-ES_tradnl"/>
        </w:rPr>
        <w:tab/>
      </w:r>
      <w:r w:rsidRPr="00A44648">
        <w:rPr>
          <w:rFonts w:ascii="Arial" w:eastAsia="Arial" w:hAnsi="Arial" w:cs="Arial"/>
          <w:lang w:val="es-ES_tradnl"/>
        </w:rPr>
        <w:t>Matriz de Resultados</w:t>
      </w:r>
      <w:r w:rsidRPr="00A44648">
        <w:rPr>
          <w:rFonts w:ascii="Arial" w:hAnsi="Arial" w:cs="Arial"/>
          <w:lang w:val="es-ES_tradnl"/>
        </w:rPr>
        <w:tab/>
      </w:r>
      <w:r w:rsidRPr="00A44648">
        <w:rPr>
          <w:rFonts w:ascii="Arial" w:hAnsi="Arial" w:cs="Arial"/>
        </w:rPr>
        <w:fldChar w:fldCharType="begin"/>
      </w:r>
      <w:r w:rsidRPr="00A44648">
        <w:rPr>
          <w:rFonts w:ascii="Arial" w:hAnsi="Arial" w:cs="Arial"/>
          <w:lang w:val="es-ES_tradnl"/>
        </w:rPr>
        <w:instrText xml:space="preserve"> PAGEREF _Toc508204057 \h </w:instrText>
      </w:r>
      <w:r w:rsidRPr="00A44648">
        <w:rPr>
          <w:rFonts w:ascii="Arial" w:hAnsi="Arial" w:cs="Arial"/>
        </w:rPr>
      </w:r>
      <w:r w:rsidRPr="00A44648">
        <w:rPr>
          <w:rFonts w:ascii="Arial" w:hAnsi="Arial" w:cs="Arial"/>
        </w:rPr>
        <w:fldChar w:fldCharType="separate"/>
      </w:r>
      <w:r w:rsidRPr="00A44648">
        <w:rPr>
          <w:rFonts w:ascii="Arial" w:hAnsi="Arial" w:cs="Arial"/>
          <w:lang w:val="es-ES_tradnl"/>
        </w:rPr>
        <w:t>10</w:t>
      </w:r>
      <w:r w:rsidRPr="00A44648">
        <w:rPr>
          <w:rFonts w:ascii="Arial" w:hAnsi="Arial" w:cs="Arial"/>
        </w:rPr>
        <w:fldChar w:fldCharType="end"/>
      </w:r>
    </w:p>
    <w:p w14:paraId="0D816F72" w14:textId="77777777" w:rsidR="009F7D00" w:rsidRPr="00A44648" w:rsidRDefault="009F7D00" w:rsidP="009F7D00">
      <w:pPr>
        <w:pStyle w:val="TOC2"/>
        <w:rPr>
          <w:rFonts w:ascii="Arial" w:eastAsiaTheme="minorEastAsia" w:hAnsi="Arial" w:cs="Arial"/>
          <w:lang w:val="es-ES_tradnl"/>
        </w:rPr>
      </w:pPr>
      <w:r w:rsidRPr="00A44648">
        <w:rPr>
          <w:rFonts w:ascii="Arial" w:eastAsia="Arial" w:hAnsi="Arial" w:cs="Arial"/>
          <w:lang w:val="es-ES_tradnl"/>
        </w:rPr>
        <w:t>D.</w:t>
      </w:r>
      <w:r w:rsidRPr="00A44648">
        <w:rPr>
          <w:rFonts w:ascii="Arial" w:eastAsiaTheme="minorEastAsia" w:hAnsi="Arial" w:cs="Arial"/>
          <w:lang w:val="es-ES_tradnl"/>
        </w:rPr>
        <w:tab/>
      </w:r>
      <w:r w:rsidRPr="00A44648">
        <w:rPr>
          <w:rFonts w:ascii="Arial" w:eastAsia="Arial" w:hAnsi="Arial" w:cs="Arial"/>
          <w:lang w:val="es-ES_tradnl"/>
        </w:rPr>
        <w:t>Riesgos Ambientales y Sociales</w:t>
      </w:r>
      <w:r w:rsidRPr="00A44648">
        <w:rPr>
          <w:rFonts w:ascii="Arial" w:hAnsi="Arial" w:cs="Arial"/>
          <w:lang w:val="es-ES_tradnl"/>
        </w:rPr>
        <w:tab/>
      </w:r>
      <w:r w:rsidRPr="00A44648">
        <w:rPr>
          <w:rFonts w:ascii="Arial" w:hAnsi="Arial" w:cs="Arial"/>
        </w:rPr>
        <w:fldChar w:fldCharType="begin"/>
      </w:r>
      <w:r w:rsidRPr="00A44648">
        <w:rPr>
          <w:rFonts w:ascii="Arial" w:hAnsi="Arial" w:cs="Arial"/>
          <w:lang w:val="es-ES_tradnl"/>
        </w:rPr>
        <w:instrText xml:space="preserve"> PAGEREF _Toc508204058 \h </w:instrText>
      </w:r>
      <w:r w:rsidRPr="00A44648">
        <w:rPr>
          <w:rFonts w:ascii="Arial" w:hAnsi="Arial" w:cs="Arial"/>
        </w:rPr>
      </w:r>
      <w:r w:rsidRPr="00A44648">
        <w:rPr>
          <w:rFonts w:ascii="Arial" w:hAnsi="Arial" w:cs="Arial"/>
        </w:rPr>
        <w:fldChar w:fldCharType="separate"/>
      </w:r>
      <w:r w:rsidRPr="00A44648">
        <w:rPr>
          <w:rFonts w:ascii="Arial" w:hAnsi="Arial" w:cs="Arial"/>
          <w:lang w:val="es-ES_tradnl"/>
        </w:rPr>
        <w:t>10</w:t>
      </w:r>
      <w:r w:rsidRPr="00A44648">
        <w:rPr>
          <w:rFonts w:ascii="Arial" w:hAnsi="Arial" w:cs="Arial"/>
        </w:rPr>
        <w:fldChar w:fldCharType="end"/>
      </w:r>
    </w:p>
    <w:p w14:paraId="399D293A" w14:textId="77777777" w:rsidR="009F7D00" w:rsidRPr="00A44648" w:rsidRDefault="009F7D00" w:rsidP="009F7D00">
      <w:pPr>
        <w:pStyle w:val="TOC2"/>
        <w:rPr>
          <w:rFonts w:ascii="Arial" w:eastAsiaTheme="minorEastAsia" w:hAnsi="Arial" w:cs="Arial"/>
          <w:lang w:val="es-ES_tradnl"/>
        </w:rPr>
      </w:pPr>
      <w:r w:rsidRPr="00A44648">
        <w:rPr>
          <w:rFonts w:ascii="Arial" w:eastAsia="Arial" w:hAnsi="Arial" w:cs="Arial"/>
          <w:lang w:val="es-ES_tradnl"/>
        </w:rPr>
        <w:t>E.</w:t>
      </w:r>
      <w:r w:rsidRPr="00A44648">
        <w:rPr>
          <w:rFonts w:ascii="Arial" w:eastAsiaTheme="minorEastAsia" w:hAnsi="Arial" w:cs="Arial"/>
          <w:lang w:val="es-ES_tradnl"/>
        </w:rPr>
        <w:tab/>
      </w:r>
      <w:r w:rsidRPr="00A44648">
        <w:rPr>
          <w:rFonts w:ascii="Arial" w:eastAsia="Arial" w:hAnsi="Arial" w:cs="Arial"/>
          <w:lang w:val="es-ES_tradnl"/>
        </w:rPr>
        <w:t>Riesgos Fiduciarios y Políticas de Adquisiciones Aplicables</w:t>
      </w:r>
      <w:r w:rsidRPr="00A44648">
        <w:rPr>
          <w:rFonts w:ascii="Arial" w:hAnsi="Arial" w:cs="Arial"/>
          <w:lang w:val="es-ES_tradnl"/>
        </w:rPr>
        <w:tab/>
      </w:r>
      <w:r w:rsidRPr="00A44648">
        <w:rPr>
          <w:rFonts w:ascii="Arial" w:hAnsi="Arial" w:cs="Arial"/>
        </w:rPr>
        <w:fldChar w:fldCharType="begin"/>
      </w:r>
      <w:r w:rsidRPr="00A44648">
        <w:rPr>
          <w:rFonts w:ascii="Arial" w:hAnsi="Arial" w:cs="Arial"/>
          <w:lang w:val="es-ES_tradnl"/>
        </w:rPr>
        <w:instrText xml:space="preserve"> PAGEREF _Toc508204059 \h </w:instrText>
      </w:r>
      <w:r w:rsidRPr="00A44648">
        <w:rPr>
          <w:rFonts w:ascii="Arial" w:hAnsi="Arial" w:cs="Arial"/>
        </w:rPr>
      </w:r>
      <w:r w:rsidRPr="00A44648">
        <w:rPr>
          <w:rFonts w:ascii="Arial" w:hAnsi="Arial" w:cs="Arial"/>
        </w:rPr>
        <w:fldChar w:fldCharType="separate"/>
      </w:r>
      <w:r w:rsidRPr="00A44648">
        <w:rPr>
          <w:rFonts w:ascii="Arial" w:hAnsi="Arial" w:cs="Arial"/>
          <w:lang w:val="es-ES_tradnl"/>
        </w:rPr>
        <w:t>12</w:t>
      </w:r>
      <w:r w:rsidRPr="00A44648">
        <w:rPr>
          <w:rFonts w:ascii="Arial" w:hAnsi="Arial" w:cs="Arial"/>
        </w:rPr>
        <w:fldChar w:fldCharType="end"/>
      </w:r>
    </w:p>
    <w:p w14:paraId="5D43747A" w14:textId="77777777" w:rsidR="009F7D00" w:rsidRPr="00A44648" w:rsidRDefault="009F7D00" w:rsidP="009F7D00">
      <w:pPr>
        <w:pStyle w:val="TOC2"/>
        <w:rPr>
          <w:rFonts w:ascii="Arial" w:eastAsiaTheme="minorEastAsia" w:hAnsi="Arial" w:cs="Arial"/>
          <w:lang w:val="es-ES_tradnl"/>
        </w:rPr>
      </w:pPr>
      <w:r w:rsidRPr="00A44648">
        <w:rPr>
          <w:rFonts w:ascii="Arial" w:eastAsia="Arial" w:hAnsi="Arial" w:cs="Arial"/>
          <w:lang w:val="es-ES_tradnl"/>
        </w:rPr>
        <w:t>F.</w:t>
      </w:r>
      <w:r w:rsidRPr="00A44648">
        <w:rPr>
          <w:rFonts w:ascii="Arial" w:eastAsiaTheme="minorEastAsia" w:hAnsi="Arial" w:cs="Arial"/>
          <w:lang w:val="es-ES_tradnl"/>
        </w:rPr>
        <w:tab/>
      </w:r>
      <w:r w:rsidRPr="00A44648">
        <w:rPr>
          <w:rFonts w:ascii="Arial" w:eastAsia="Arial" w:hAnsi="Arial" w:cs="Arial"/>
          <w:lang w:val="es-ES_tradnl"/>
        </w:rPr>
        <w:t>Arreglos de Implementación</w:t>
      </w:r>
      <w:r w:rsidRPr="00A44648">
        <w:rPr>
          <w:rFonts w:ascii="Arial" w:hAnsi="Arial" w:cs="Arial"/>
          <w:lang w:val="es-ES_tradnl"/>
        </w:rPr>
        <w:tab/>
      </w:r>
      <w:r w:rsidRPr="00A44648">
        <w:rPr>
          <w:rFonts w:ascii="Arial" w:hAnsi="Arial" w:cs="Arial"/>
        </w:rPr>
        <w:fldChar w:fldCharType="begin"/>
      </w:r>
      <w:r w:rsidRPr="00A44648">
        <w:rPr>
          <w:rFonts w:ascii="Arial" w:hAnsi="Arial" w:cs="Arial"/>
          <w:lang w:val="es-ES_tradnl"/>
        </w:rPr>
        <w:instrText xml:space="preserve"> PAGEREF _Toc508204060 \h </w:instrText>
      </w:r>
      <w:r w:rsidRPr="00A44648">
        <w:rPr>
          <w:rFonts w:ascii="Arial" w:hAnsi="Arial" w:cs="Arial"/>
        </w:rPr>
      </w:r>
      <w:r w:rsidRPr="00A44648">
        <w:rPr>
          <w:rFonts w:ascii="Arial" w:hAnsi="Arial" w:cs="Arial"/>
        </w:rPr>
        <w:fldChar w:fldCharType="separate"/>
      </w:r>
      <w:r w:rsidRPr="00A44648">
        <w:rPr>
          <w:rFonts w:ascii="Arial" w:hAnsi="Arial" w:cs="Arial"/>
          <w:lang w:val="es-ES_tradnl"/>
        </w:rPr>
        <w:t>12</w:t>
      </w:r>
      <w:r w:rsidRPr="00A44648">
        <w:rPr>
          <w:rFonts w:ascii="Arial" w:hAnsi="Arial" w:cs="Arial"/>
        </w:rPr>
        <w:fldChar w:fldCharType="end"/>
      </w:r>
    </w:p>
    <w:p w14:paraId="7FD8676D" w14:textId="77777777" w:rsidR="009F7D00" w:rsidRPr="00A44648" w:rsidRDefault="009F7D00" w:rsidP="009F7D00">
      <w:pPr>
        <w:pStyle w:val="TOC2"/>
        <w:rPr>
          <w:rFonts w:ascii="Arial" w:eastAsiaTheme="minorEastAsia" w:hAnsi="Arial" w:cs="Arial"/>
          <w:lang w:val="es-ES_tradnl"/>
        </w:rPr>
      </w:pPr>
      <w:r w:rsidRPr="00A44648">
        <w:rPr>
          <w:rFonts w:ascii="Arial" w:eastAsia="Arial" w:hAnsi="Arial" w:cs="Arial"/>
          <w:lang w:val="es-ES_tradnl"/>
        </w:rPr>
        <w:t>G.</w:t>
      </w:r>
      <w:r w:rsidRPr="00A44648">
        <w:rPr>
          <w:rFonts w:ascii="Arial" w:eastAsiaTheme="minorEastAsia" w:hAnsi="Arial" w:cs="Arial"/>
          <w:lang w:val="es-ES_tradnl"/>
        </w:rPr>
        <w:tab/>
      </w:r>
      <w:r w:rsidRPr="00A44648">
        <w:rPr>
          <w:rFonts w:ascii="Arial" w:eastAsia="Arial" w:hAnsi="Arial" w:cs="Arial"/>
          <w:lang w:val="es-ES_tradnl"/>
        </w:rPr>
        <w:t>Evaluaciones del Programa</w:t>
      </w:r>
      <w:r w:rsidRPr="00A44648">
        <w:rPr>
          <w:rFonts w:ascii="Arial" w:hAnsi="Arial" w:cs="Arial"/>
          <w:lang w:val="es-ES_tradnl"/>
        </w:rPr>
        <w:tab/>
      </w:r>
      <w:r w:rsidRPr="00A44648">
        <w:rPr>
          <w:rFonts w:ascii="Arial" w:hAnsi="Arial" w:cs="Arial"/>
        </w:rPr>
        <w:fldChar w:fldCharType="begin"/>
      </w:r>
      <w:r w:rsidRPr="00A44648">
        <w:rPr>
          <w:rFonts w:ascii="Arial" w:hAnsi="Arial" w:cs="Arial"/>
          <w:lang w:val="es-ES_tradnl"/>
        </w:rPr>
        <w:instrText xml:space="preserve"> PAGEREF _Toc508204061 \h </w:instrText>
      </w:r>
      <w:r w:rsidRPr="00A44648">
        <w:rPr>
          <w:rFonts w:ascii="Arial" w:hAnsi="Arial" w:cs="Arial"/>
        </w:rPr>
      </w:r>
      <w:r w:rsidRPr="00A44648">
        <w:rPr>
          <w:rFonts w:ascii="Arial" w:hAnsi="Arial" w:cs="Arial"/>
        </w:rPr>
        <w:fldChar w:fldCharType="separate"/>
      </w:r>
      <w:r w:rsidRPr="00A44648">
        <w:rPr>
          <w:rFonts w:ascii="Arial" w:hAnsi="Arial" w:cs="Arial"/>
          <w:lang w:val="es-ES_tradnl"/>
        </w:rPr>
        <w:t>15</w:t>
      </w:r>
      <w:r w:rsidRPr="00A44648">
        <w:rPr>
          <w:rFonts w:ascii="Arial" w:hAnsi="Arial" w:cs="Arial"/>
        </w:rPr>
        <w:fldChar w:fldCharType="end"/>
      </w:r>
    </w:p>
    <w:p w14:paraId="2C04AB26" w14:textId="77777777" w:rsidR="009F7D00" w:rsidRPr="00A44648" w:rsidRDefault="009F7D00" w:rsidP="009F7D00">
      <w:pPr>
        <w:pStyle w:val="TOC2"/>
        <w:rPr>
          <w:rFonts w:ascii="Arial" w:eastAsiaTheme="minorEastAsia" w:hAnsi="Arial" w:cs="Arial"/>
        </w:rPr>
      </w:pPr>
      <w:r w:rsidRPr="00A44648">
        <w:rPr>
          <w:rFonts w:ascii="Arial" w:eastAsia="Arial" w:hAnsi="Arial" w:cs="Arial"/>
        </w:rPr>
        <w:t>H.</w:t>
      </w:r>
      <w:r w:rsidRPr="00A44648">
        <w:rPr>
          <w:rFonts w:ascii="Arial" w:eastAsiaTheme="minorEastAsia" w:hAnsi="Arial" w:cs="Arial"/>
        </w:rPr>
        <w:tab/>
      </w:r>
      <w:r w:rsidRPr="00A44648">
        <w:rPr>
          <w:rFonts w:ascii="Arial" w:eastAsia="Arial" w:hAnsi="Arial" w:cs="Arial"/>
        </w:rPr>
        <w:t>Recomendación</w:t>
      </w:r>
      <w:r w:rsidRPr="00A44648">
        <w:rPr>
          <w:rFonts w:ascii="Arial" w:hAnsi="Arial" w:cs="Arial"/>
        </w:rPr>
        <w:tab/>
      </w:r>
      <w:r w:rsidRPr="00A44648">
        <w:rPr>
          <w:rFonts w:ascii="Arial" w:hAnsi="Arial" w:cs="Arial"/>
        </w:rPr>
        <w:fldChar w:fldCharType="begin"/>
      </w:r>
      <w:r w:rsidRPr="00A44648">
        <w:rPr>
          <w:rFonts w:ascii="Arial" w:hAnsi="Arial" w:cs="Arial"/>
        </w:rPr>
        <w:instrText xml:space="preserve"> PAGEREF _Toc508204062 \h </w:instrText>
      </w:r>
      <w:r w:rsidRPr="00A44648">
        <w:rPr>
          <w:rFonts w:ascii="Arial" w:hAnsi="Arial" w:cs="Arial"/>
        </w:rPr>
      </w:r>
      <w:r w:rsidRPr="00A44648">
        <w:rPr>
          <w:rFonts w:ascii="Arial" w:hAnsi="Arial" w:cs="Arial"/>
        </w:rPr>
        <w:fldChar w:fldCharType="separate"/>
      </w:r>
      <w:r w:rsidRPr="00A44648">
        <w:rPr>
          <w:rFonts w:ascii="Arial" w:hAnsi="Arial" w:cs="Arial"/>
        </w:rPr>
        <w:t>15</w:t>
      </w:r>
      <w:r w:rsidRPr="00A44648">
        <w:rPr>
          <w:rFonts w:ascii="Arial" w:hAnsi="Arial" w:cs="Arial"/>
        </w:rPr>
        <w:fldChar w:fldCharType="end"/>
      </w:r>
    </w:p>
    <w:p w14:paraId="4A268FAB" w14:textId="77777777" w:rsidR="009F7D00" w:rsidRPr="00A44648" w:rsidRDefault="009F7D00" w:rsidP="009F7D00">
      <w:pPr>
        <w:rPr>
          <w:rFonts w:ascii="Arial" w:hAnsi="Arial" w:cs="Arial"/>
        </w:rPr>
      </w:pPr>
      <w:r w:rsidRPr="00A44648">
        <w:rPr>
          <w:rFonts w:ascii="Arial" w:hAnsi="Arial" w:cs="Arial"/>
        </w:rPr>
        <w:fldChar w:fldCharType="end"/>
      </w:r>
    </w:p>
    <w:p w14:paraId="44627C2C" w14:textId="77777777" w:rsidR="009F7D00" w:rsidRPr="00A44648" w:rsidRDefault="009F7D00" w:rsidP="00163B83">
      <w:pPr>
        <w:pStyle w:val="ListParagraph"/>
        <w:numPr>
          <w:ilvl w:val="0"/>
          <w:numId w:val="12"/>
        </w:numPr>
        <w:spacing w:after="0" w:line="240" w:lineRule="auto"/>
        <w:rPr>
          <w:rFonts w:ascii="Arial" w:hAnsi="Arial" w:cs="Arial"/>
        </w:rPr>
      </w:pPr>
      <w:r w:rsidRPr="00A44648">
        <w:rPr>
          <w:rFonts w:ascii="Arial" w:hAnsi="Arial" w:cs="Arial"/>
        </w:rPr>
        <w:br w:type="page"/>
      </w:r>
    </w:p>
    <w:p w14:paraId="114270CA" w14:textId="77777777" w:rsidR="009F7D00" w:rsidRPr="00A44648" w:rsidRDefault="009F7D00" w:rsidP="009F7D00">
      <w:pPr>
        <w:spacing w:after="0" w:line="240" w:lineRule="auto"/>
        <w:rPr>
          <w:rFonts w:ascii="Arial" w:hAnsi="Arial" w:cs="Arial"/>
        </w:rPr>
      </w:pPr>
    </w:p>
    <w:tbl>
      <w:tblPr>
        <w:tblW w:w="8640" w:type="dxa"/>
        <w:tblInd w:w="108" w:type="dxa"/>
        <w:tblLook w:val="01E0" w:firstRow="1" w:lastRow="1" w:firstColumn="1" w:lastColumn="1" w:noHBand="0" w:noVBand="0"/>
      </w:tblPr>
      <w:tblGrid>
        <w:gridCol w:w="1243"/>
        <w:gridCol w:w="7397"/>
      </w:tblGrid>
      <w:tr w:rsidR="009F7D00" w:rsidRPr="00A44648" w14:paraId="057F2592" w14:textId="77777777" w:rsidTr="009F7D00">
        <w:trPr>
          <w:cantSplit/>
          <w:trHeight w:val="423"/>
        </w:trPr>
        <w:tc>
          <w:tcPr>
            <w:tcW w:w="8640"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3CEDAFD4" w14:textId="77777777" w:rsidR="009F7D00" w:rsidRPr="00A44648" w:rsidRDefault="009F7D00" w:rsidP="009F7D00">
            <w:pPr>
              <w:spacing w:before="120" w:after="120"/>
              <w:jc w:val="center"/>
              <w:rPr>
                <w:rFonts w:ascii="Arial" w:eastAsia="Arial Unicode MS" w:hAnsi="Arial" w:cs="Arial"/>
              </w:rPr>
            </w:pPr>
            <w:r w:rsidRPr="00A44648">
              <w:rPr>
                <w:rFonts w:ascii="Arial" w:eastAsia="Arial,Arial Unicode MS" w:hAnsi="Arial" w:cs="Arial"/>
                <w:b/>
                <w:smallCaps/>
              </w:rPr>
              <w:t>Abreviaturas</w:t>
            </w:r>
          </w:p>
        </w:tc>
      </w:tr>
      <w:tr w:rsidR="009F7D00" w:rsidRPr="00A44648" w14:paraId="0F39EBB4" w14:textId="77777777" w:rsidTr="009F7D00">
        <w:trPr>
          <w:cantSplit/>
        </w:trPr>
        <w:tc>
          <w:tcPr>
            <w:tcW w:w="1243" w:type="dxa"/>
            <w:tcBorders>
              <w:top w:val="single" w:sz="4" w:space="0" w:color="auto"/>
              <w:left w:val="single" w:sz="4" w:space="0" w:color="auto"/>
            </w:tcBorders>
          </w:tcPr>
          <w:p w14:paraId="79D10570" w14:textId="77777777" w:rsidR="009F7D00" w:rsidRPr="00A44648" w:rsidRDefault="009F7D00" w:rsidP="009F7D00">
            <w:pPr>
              <w:rPr>
                <w:rFonts w:ascii="Arial" w:hAnsi="Arial" w:cs="Arial"/>
              </w:rPr>
            </w:pPr>
            <w:r w:rsidRPr="00A44648">
              <w:rPr>
                <w:rFonts w:ascii="Arial" w:eastAsia="Arial" w:hAnsi="Arial" w:cs="Arial"/>
              </w:rPr>
              <w:t>APP</w:t>
            </w:r>
          </w:p>
        </w:tc>
        <w:tc>
          <w:tcPr>
            <w:tcW w:w="7397" w:type="dxa"/>
            <w:tcBorders>
              <w:top w:val="single" w:sz="4" w:space="0" w:color="auto"/>
              <w:right w:val="single" w:sz="4" w:space="0" w:color="auto"/>
            </w:tcBorders>
          </w:tcPr>
          <w:p w14:paraId="62CA8AC1" w14:textId="77777777" w:rsidR="009F7D00" w:rsidRPr="00A44648" w:rsidRDefault="009F7D00" w:rsidP="009F7D00">
            <w:pPr>
              <w:rPr>
                <w:rFonts w:ascii="Arial" w:eastAsia="Arial" w:hAnsi="Arial" w:cs="Arial"/>
              </w:rPr>
            </w:pPr>
            <w:r w:rsidRPr="00A44648">
              <w:rPr>
                <w:rFonts w:ascii="Arial" w:eastAsia="Arial" w:hAnsi="Arial" w:cs="Arial"/>
              </w:rPr>
              <w:t>Asociaciones Público-Privadas</w:t>
            </w:r>
          </w:p>
        </w:tc>
      </w:tr>
      <w:tr w:rsidR="009F7D00" w:rsidRPr="00A44648" w14:paraId="22890D82" w14:textId="77777777" w:rsidTr="009F7D00">
        <w:trPr>
          <w:cantSplit/>
        </w:trPr>
        <w:tc>
          <w:tcPr>
            <w:tcW w:w="1243" w:type="dxa"/>
            <w:tcBorders>
              <w:left w:val="single" w:sz="4" w:space="0" w:color="auto"/>
            </w:tcBorders>
          </w:tcPr>
          <w:p w14:paraId="3C1406D9" w14:textId="77777777" w:rsidR="009F7D00" w:rsidRPr="00A44648" w:rsidRDefault="009F7D00" w:rsidP="009F7D00">
            <w:pPr>
              <w:rPr>
                <w:rFonts w:ascii="Arial" w:eastAsia="Arial" w:hAnsi="Arial" w:cs="Arial"/>
              </w:rPr>
            </w:pPr>
            <w:r w:rsidRPr="00A44648">
              <w:rPr>
                <w:rFonts w:ascii="Arial" w:eastAsia="Arial" w:hAnsi="Arial" w:cs="Arial"/>
              </w:rPr>
              <w:t>BID</w:t>
            </w:r>
          </w:p>
        </w:tc>
        <w:tc>
          <w:tcPr>
            <w:tcW w:w="7397" w:type="dxa"/>
            <w:tcBorders>
              <w:right w:val="single" w:sz="4" w:space="0" w:color="auto"/>
            </w:tcBorders>
          </w:tcPr>
          <w:p w14:paraId="67577DFC" w14:textId="77777777" w:rsidR="009F7D00" w:rsidRPr="00A44648" w:rsidRDefault="009F7D00" w:rsidP="009F7D00">
            <w:pPr>
              <w:rPr>
                <w:rFonts w:ascii="Arial" w:eastAsia="Arial" w:hAnsi="Arial" w:cs="Arial"/>
              </w:rPr>
            </w:pPr>
            <w:r w:rsidRPr="00A44648">
              <w:rPr>
                <w:rFonts w:ascii="Arial" w:eastAsia="Arial" w:hAnsi="Arial" w:cs="Arial"/>
              </w:rPr>
              <w:t>Banco Interamericano de Desarrollo</w:t>
            </w:r>
          </w:p>
        </w:tc>
      </w:tr>
      <w:tr w:rsidR="009F7D00" w:rsidRPr="00A44648" w14:paraId="30C276CC" w14:textId="77777777" w:rsidTr="009F7D00">
        <w:trPr>
          <w:cantSplit/>
        </w:trPr>
        <w:tc>
          <w:tcPr>
            <w:tcW w:w="1243" w:type="dxa"/>
            <w:tcBorders>
              <w:left w:val="single" w:sz="4" w:space="0" w:color="auto"/>
            </w:tcBorders>
          </w:tcPr>
          <w:p w14:paraId="7ED7E959" w14:textId="77777777" w:rsidR="009F7D00" w:rsidRPr="00A44648" w:rsidRDefault="009F7D00" w:rsidP="009F7D00">
            <w:pPr>
              <w:rPr>
                <w:rFonts w:ascii="Arial" w:eastAsia="Arial" w:hAnsi="Arial" w:cs="Arial"/>
              </w:rPr>
            </w:pPr>
            <w:r w:rsidRPr="00A44648">
              <w:rPr>
                <w:rFonts w:ascii="Arial" w:eastAsia="Arial" w:hAnsi="Arial" w:cs="Arial"/>
              </w:rPr>
              <w:t>CC</w:t>
            </w:r>
          </w:p>
        </w:tc>
        <w:tc>
          <w:tcPr>
            <w:tcW w:w="7397" w:type="dxa"/>
            <w:tcBorders>
              <w:right w:val="single" w:sz="4" w:space="0" w:color="auto"/>
            </w:tcBorders>
          </w:tcPr>
          <w:p w14:paraId="3C1FF338" w14:textId="77777777" w:rsidR="009F7D00" w:rsidRPr="00A44648" w:rsidRDefault="009F7D00" w:rsidP="009F7D00">
            <w:pPr>
              <w:rPr>
                <w:rFonts w:ascii="Arial" w:eastAsia="Arial" w:hAnsi="Arial" w:cs="Arial"/>
              </w:rPr>
            </w:pPr>
            <w:r w:rsidRPr="00A44648">
              <w:rPr>
                <w:rFonts w:ascii="Arial" w:eastAsia="Arial" w:hAnsi="Arial" w:cs="Arial"/>
              </w:rPr>
              <w:t>Cambio Climático</w:t>
            </w:r>
          </w:p>
        </w:tc>
      </w:tr>
      <w:tr w:rsidR="009F7D00" w:rsidRPr="00A44648" w14:paraId="42876696" w14:textId="77777777" w:rsidTr="009F7D00">
        <w:trPr>
          <w:cantSplit/>
        </w:trPr>
        <w:tc>
          <w:tcPr>
            <w:tcW w:w="1243" w:type="dxa"/>
            <w:tcBorders>
              <w:left w:val="single" w:sz="4" w:space="0" w:color="auto"/>
            </w:tcBorders>
          </w:tcPr>
          <w:p w14:paraId="2F544694" w14:textId="77777777" w:rsidR="009F7D00" w:rsidRPr="00A44648" w:rsidRDefault="009F7D00" w:rsidP="009F7D00">
            <w:pPr>
              <w:rPr>
                <w:rFonts w:ascii="Arial" w:eastAsia="Arial" w:hAnsi="Arial" w:cs="Arial"/>
              </w:rPr>
            </w:pPr>
            <w:r w:rsidRPr="00A44648">
              <w:rPr>
                <w:rFonts w:ascii="Arial" w:eastAsia="Arial" w:hAnsi="Arial" w:cs="Arial"/>
              </w:rPr>
              <w:t>CCG</w:t>
            </w:r>
          </w:p>
        </w:tc>
        <w:tc>
          <w:tcPr>
            <w:tcW w:w="7397" w:type="dxa"/>
            <w:tcBorders>
              <w:right w:val="single" w:sz="4" w:space="0" w:color="auto"/>
            </w:tcBorders>
          </w:tcPr>
          <w:p w14:paraId="4F2466C5" w14:textId="77777777" w:rsidR="009F7D00" w:rsidRPr="00A44648" w:rsidRDefault="009F7D00" w:rsidP="009F7D00">
            <w:pPr>
              <w:rPr>
                <w:rFonts w:ascii="Arial" w:eastAsia="Arial" w:hAnsi="Arial" w:cs="Arial"/>
                <w:lang w:val="es-ES_tradnl"/>
              </w:rPr>
            </w:pPr>
            <w:r w:rsidRPr="00A44648">
              <w:rPr>
                <w:rFonts w:ascii="Arial" w:eastAsia="Arial" w:hAnsi="Arial" w:cs="Arial"/>
                <w:lang w:val="es-ES_tradnl"/>
              </w:rPr>
              <w:t>Comité de Coordinación de Geotérmia</w:t>
            </w:r>
          </w:p>
        </w:tc>
      </w:tr>
      <w:tr w:rsidR="009F7D00" w:rsidRPr="00A44648" w14:paraId="50E31C2E" w14:textId="77777777" w:rsidTr="009F7D00">
        <w:trPr>
          <w:cantSplit/>
        </w:trPr>
        <w:tc>
          <w:tcPr>
            <w:tcW w:w="1243" w:type="dxa"/>
            <w:tcBorders>
              <w:left w:val="single" w:sz="4" w:space="0" w:color="auto"/>
            </w:tcBorders>
          </w:tcPr>
          <w:p w14:paraId="5F776C38" w14:textId="77777777" w:rsidR="009F7D00" w:rsidRPr="00A44648" w:rsidRDefault="009F7D00" w:rsidP="009F7D00">
            <w:pPr>
              <w:rPr>
                <w:rFonts w:ascii="Arial" w:eastAsia="Arial" w:hAnsi="Arial" w:cs="Arial"/>
              </w:rPr>
            </w:pPr>
            <w:r w:rsidRPr="00A44648">
              <w:rPr>
                <w:rFonts w:ascii="Arial" w:eastAsia="Arial" w:hAnsi="Arial" w:cs="Arial"/>
              </w:rPr>
              <w:t>CCLIP</w:t>
            </w:r>
          </w:p>
        </w:tc>
        <w:tc>
          <w:tcPr>
            <w:tcW w:w="7397" w:type="dxa"/>
            <w:tcBorders>
              <w:right w:val="single" w:sz="4" w:space="0" w:color="auto"/>
            </w:tcBorders>
          </w:tcPr>
          <w:p w14:paraId="037F977C" w14:textId="77777777" w:rsidR="009F7D00" w:rsidRPr="00A44648" w:rsidRDefault="009F7D00" w:rsidP="009F7D00">
            <w:pPr>
              <w:rPr>
                <w:rFonts w:ascii="Arial" w:eastAsia="Arial" w:hAnsi="Arial" w:cs="Arial"/>
                <w:lang w:val="es-ES_tradnl"/>
              </w:rPr>
            </w:pPr>
            <w:r w:rsidRPr="00A44648">
              <w:rPr>
                <w:rFonts w:ascii="Arial" w:eastAsia="Arial" w:hAnsi="Arial" w:cs="Arial"/>
                <w:lang w:val="es-ES_tradnl"/>
              </w:rPr>
              <w:t>Línea de Crédito Condicional para Proyectos de Inversión</w:t>
            </w:r>
          </w:p>
        </w:tc>
      </w:tr>
      <w:tr w:rsidR="009F7D00" w:rsidRPr="00A44648" w14:paraId="2A98E959" w14:textId="77777777" w:rsidTr="009F7D00">
        <w:trPr>
          <w:cantSplit/>
        </w:trPr>
        <w:tc>
          <w:tcPr>
            <w:tcW w:w="1243" w:type="dxa"/>
            <w:tcBorders>
              <w:left w:val="single" w:sz="4" w:space="0" w:color="auto"/>
            </w:tcBorders>
          </w:tcPr>
          <w:p w14:paraId="33BCEA07" w14:textId="77777777" w:rsidR="009F7D00" w:rsidRPr="00A44648" w:rsidRDefault="009F7D00" w:rsidP="009F7D00">
            <w:pPr>
              <w:rPr>
                <w:rFonts w:ascii="Arial" w:eastAsia="Arial" w:hAnsi="Arial" w:cs="Arial"/>
              </w:rPr>
            </w:pPr>
            <w:r w:rsidRPr="00A44648">
              <w:rPr>
                <w:rFonts w:ascii="Arial" w:eastAsia="Arial" w:hAnsi="Arial" w:cs="Arial"/>
              </w:rPr>
              <w:t>CFE</w:t>
            </w:r>
          </w:p>
        </w:tc>
        <w:tc>
          <w:tcPr>
            <w:tcW w:w="7397" w:type="dxa"/>
            <w:tcBorders>
              <w:right w:val="single" w:sz="4" w:space="0" w:color="auto"/>
            </w:tcBorders>
          </w:tcPr>
          <w:p w14:paraId="716AD5CC" w14:textId="77777777" w:rsidR="009F7D00" w:rsidRPr="00A44648" w:rsidRDefault="009F7D00" w:rsidP="009F7D00">
            <w:pPr>
              <w:rPr>
                <w:rFonts w:ascii="Arial" w:eastAsia="Arial" w:hAnsi="Arial" w:cs="Arial"/>
              </w:rPr>
            </w:pPr>
            <w:r w:rsidRPr="00A44648">
              <w:rPr>
                <w:rFonts w:ascii="Arial" w:eastAsia="Arial" w:hAnsi="Arial" w:cs="Arial"/>
              </w:rPr>
              <w:t>Comisión Federal de Electricidad</w:t>
            </w:r>
          </w:p>
        </w:tc>
      </w:tr>
      <w:tr w:rsidR="009F7D00" w:rsidRPr="00A44648" w14:paraId="1A17A4FB" w14:textId="77777777" w:rsidTr="009F7D00">
        <w:trPr>
          <w:cantSplit/>
        </w:trPr>
        <w:tc>
          <w:tcPr>
            <w:tcW w:w="1243" w:type="dxa"/>
            <w:tcBorders>
              <w:left w:val="single" w:sz="4" w:space="0" w:color="auto"/>
            </w:tcBorders>
          </w:tcPr>
          <w:p w14:paraId="473CC716" w14:textId="77777777" w:rsidR="009F7D00" w:rsidRPr="00A44648" w:rsidRDefault="009F7D00" w:rsidP="009F7D00">
            <w:pPr>
              <w:rPr>
                <w:rFonts w:ascii="Arial" w:eastAsia="Arial" w:hAnsi="Arial" w:cs="Arial"/>
              </w:rPr>
            </w:pPr>
            <w:r w:rsidRPr="00A44648">
              <w:rPr>
                <w:rFonts w:ascii="Arial" w:eastAsia="Arial" w:hAnsi="Arial" w:cs="Arial"/>
              </w:rPr>
              <w:t>CFI</w:t>
            </w:r>
          </w:p>
        </w:tc>
        <w:tc>
          <w:tcPr>
            <w:tcW w:w="7397" w:type="dxa"/>
            <w:tcBorders>
              <w:right w:val="single" w:sz="4" w:space="0" w:color="auto"/>
            </w:tcBorders>
          </w:tcPr>
          <w:p w14:paraId="01AE62F9" w14:textId="77777777" w:rsidR="009F7D00" w:rsidRPr="00A44648" w:rsidRDefault="009F7D00" w:rsidP="009F7D00">
            <w:pPr>
              <w:rPr>
                <w:rFonts w:ascii="Arial" w:eastAsia="Arial" w:hAnsi="Arial" w:cs="Arial"/>
              </w:rPr>
            </w:pPr>
            <w:r w:rsidRPr="00A44648">
              <w:rPr>
                <w:rFonts w:ascii="Arial" w:eastAsia="Arial" w:hAnsi="Arial" w:cs="Arial"/>
              </w:rPr>
              <w:t>Corporación Financiera Internacional</w:t>
            </w:r>
          </w:p>
        </w:tc>
      </w:tr>
      <w:tr w:rsidR="009F7D00" w:rsidRPr="00A44648" w14:paraId="657AF4A0" w14:textId="77777777" w:rsidTr="009F7D00">
        <w:trPr>
          <w:cantSplit/>
        </w:trPr>
        <w:tc>
          <w:tcPr>
            <w:tcW w:w="1243" w:type="dxa"/>
            <w:tcBorders>
              <w:left w:val="single" w:sz="4" w:space="0" w:color="auto"/>
            </w:tcBorders>
          </w:tcPr>
          <w:p w14:paraId="1820DF58" w14:textId="77777777" w:rsidR="009F7D00" w:rsidRPr="00A44648" w:rsidRDefault="009F7D00" w:rsidP="009F7D00">
            <w:pPr>
              <w:rPr>
                <w:rFonts w:ascii="Arial" w:eastAsia="Arial" w:hAnsi="Arial" w:cs="Arial"/>
              </w:rPr>
            </w:pPr>
            <w:r w:rsidRPr="00A44648">
              <w:rPr>
                <w:rFonts w:ascii="Arial" w:eastAsia="Arial" w:hAnsi="Arial" w:cs="Arial"/>
              </w:rPr>
              <w:t>CO</w:t>
            </w:r>
          </w:p>
        </w:tc>
        <w:tc>
          <w:tcPr>
            <w:tcW w:w="7397" w:type="dxa"/>
            <w:tcBorders>
              <w:right w:val="single" w:sz="4" w:space="0" w:color="auto"/>
            </w:tcBorders>
          </w:tcPr>
          <w:p w14:paraId="4024F940" w14:textId="77777777" w:rsidR="009F7D00" w:rsidRPr="00A44648" w:rsidRDefault="009F7D00" w:rsidP="009F7D00">
            <w:pPr>
              <w:rPr>
                <w:rFonts w:ascii="Arial" w:eastAsia="Arial" w:hAnsi="Arial" w:cs="Arial"/>
              </w:rPr>
            </w:pPr>
            <w:r w:rsidRPr="00A44648">
              <w:rPr>
                <w:rFonts w:ascii="Arial" w:eastAsia="Arial" w:hAnsi="Arial" w:cs="Arial"/>
              </w:rPr>
              <w:t>Capital Ordinario</w:t>
            </w:r>
          </w:p>
        </w:tc>
      </w:tr>
      <w:tr w:rsidR="009F7D00" w:rsidRPr="00A44648" w14:paraId="0E1F7964" w14:textId="77777777" w:rsidTr="009F7D00">
        <w:trPr>
          <w:cantSplit/>
        </w:trPr>
        <w:tc>
          <w:tcPr>
            <w:tcW w:w="1243" w:type="dxa"/>
            <w:tcBorders>
              <w:left w:val="single" w:sz="4" w:space="0" w:color="auto"/>
            </w:tcBorders>
          </w:tcPr>
          <w:p w14:paraId="390778F0" w14:textId="77777777" w:rsidR="009F7D00" w:rsidRPr="00A44648" w:rsidRDefault="009F7D00" w:rsidP="009F7D00">
            <w:pPr>
              <w:rPr>
                <w:rFonts w:ascii="Arial" w:eastAsia="Arial" w:hAnsi="Arial" w:cs="Arial"/>
              </w:rPr>
            </w:pPr>
            <w:r w:rsidRPr="00A44648">
              <w:rPr>
                <w:rFonts w:ascii="Arial" w:eastAsia="Arial" w:hAnsi="Arial" w:cs="Arial"/>
              </w:rPr>
              <w:t>CRF</w:t>
            </w:r>
          </w:p>
        </w:tc>
        <w:tc>
          <w:tcPr>
            <w:tcW w:w="7397" w:type="dxa"/>
            <w:tcBorders>
              <w:right w:val="single" w:sz="4" w:space="0" w:color="auto"/>
            </w:tcBorders>
          </w:tcPr>
          <w:p w14:paraId="6EB76EB8" w14:textId="77777777" w:rsidR="009F7D00" w:rsidRPr="00A44648" w:rsidRDefault="009F7D00" w:rsidP="009F7D00">
            <w:pPr>
              <w:rPr>
                <w:rFonts w:ascii="Arial" w:eastAsia="Arial" w:hAnsi="Arial" w:cs="Arial"/>
              </w:rPr>
            </w:pPr>
            <w:r w:rsidRPr="00A44648">
              <w:rPr>
                <w:rFonts w:ascii="Arial" w:eastAsia="Arial" w:hAnsi="Arial" w:cs="Arial"/>
              </w:rPr>
              <w:t>Marco de Resultados Corporativos</w:t>
            </w:r>
          </w:p>
        </w:tc>
      </w:tr>
      <w:tr w:rsidR="009F7D00" w:rsidRPr="00A44648" w14:paraId="6FFFA23C" w14:textId="77777777" w:rsidTr="009F7D00">
        <w:trPr>
          <w:cantSplit/>
        </w:trPr>
        <w:tc>
          <w:tcPr>
            <w:tcW w:w="1243" w:type="dxa"/>
            <w:tcBorders>
              <w:left w:val="single" w:sz="4" w:space="0" w:color="auto"/>
            </w:tcBorders>
          </w:tcPr>
          <w:p w14:paraId="68809E35" w14:textId="77777777" w:rsidR="009F7D00" w:rsidRPr="00A44648" w:rsidRDefault="009F7D00" w:rsidP="009F7D00">
            <w:pPr>
              <w:rPr>
                <w:rFonts w:ascii="Arial" w:eastAsia="Arial" w:hAnsi="Arial" w:cs="Arial"/>
              </w:rPr>
            </w:pPr>
            <w:r w:rsidRPr="00A44648">
              <w:rPr>
                <w:rFonts w:ascii="Arial" w:eastAsia="Arial" w:hAnsi="Arial" w:cs="Arial"/>
              </w:rPr>
              <w:t>CRG</w:t>
            </w:r>
          </w:p>
        </w:tc>
        <w:tc>
          <w:tcPr>
            <w:tcW w:w="7397" w:type="dxa"/>
            <w:tcBorders>
              <w:right w:val="single" w:sz="4" w:space="0" w:color="auto"/>
            </w:tcBorders>
          </w:tcPr>
          <w:p w14:paraId="29424FE4" w14:textId="77777777" w:rsidR="009F7D00" w:rsidRPr="00A44648" w:rsidRDefault="009F7D00" w:rsidP="009F7D00">
            <w:pPr>
              <w:rPr>
                <w:rFonts w:ascii="Arial" w:eastAsia="Arial" w:hAnsi="Arial" w:cs="Arial"/>
              </w:rPr>
            </w:pPr>
            <w:r w:rsidRPr="00A44648">
              <w:rPr>
                <w:rFonts w:ascii="Arial" w:eastAsia="Arial" w:hAnsi="Arial" w:cs="Arial"/>
              </w:rPr>
              <w:t>Donación de Recuperación Contingente</w:t>
            </w:r>
          </w:p>
        </w:tc>
      </w:tr>
      <w:tr w:rsidR="009F7D00" w:rsidRPr="00A44648" w14:paraId="0458CFF4" w14:textId="77777777" w:rsidTr="009F7D00">
        <w:trPr>
          <w:cantSplit/>
        </w:trPr>
        <w:tc>
          <w:tcPr>
            <w:tcW w:w="1243" w:type="dxa"/>
            <w:tcBorders>
              <w:left w:val="single" w:sz="4" w:space="0" w:color="auto"/>
            </w:tcBorders>
          </w:tcPr>
          <w:p w14:paraId="3CFFD1C8" w14:textId="77777777" w:rsidR="009F7D00" w:rsidRPr="00A44648" w:rsidRDefault="009F7D00" w:rsidP="009F7D00">
            <w:pPr>
              <w:rPr>
                <w:rFonts w:ascii="Arial" w:eastAsia="Arial" w:hAnsi="Arial" w:cs="Arial"/>
              </w:rPr>
            </w:pPr>
            <w:r w:rsidRPr="00A44648">
              <w:rPr>
                <w:rFonts w:ascii="Arial" w:eastAsia="Arial" w:hAnsi="Arial" w:cs="Arial"/>
              </w:rPr>
              <w:t>CT</w:t>
            </w:r>
          </w:p>
        </w:tc>
        <w:tc>
          <w:tcPr>
            <w:tcW w:w="7397" w:type="dxa"/>
            <w:tcBorders>
              <w:right w:val="single" w:sz="4" w:space="0" w:color="auto"/>
            </w:tcBorders>
          </w:tcPr>
          <w:p w14:paraId="3D1FB468" w14:textId="77777777" w:rsidR="009F7D00" w:rsidRPr="00A44648" w:rsidRDefault="009F7D00" w:rsidP="009F7D00">
            <w:pPr>
              <w:rPr>
                <w:rFonts w:ascii="Arial" w:eastAsia="Arial" w:hAnsi="Arial" w:cs="Arial"/>
              </w:rPr>
            </w:pPr>
            <w:r w:rsidRPr="00A44648">
              <w:rPr>
                <w:rFonts w:ascii="Arial" w:eastAsia="Arial" w:hAnsi="Arial" w:cs="Arial"/>
              </w:rPr>
              <w:t>Cooperación Técnica</w:t>
            </w:r>
          </w:p>
        </w:tc>
      </w:tr>
      <w:tr w:rsidR="009F7D00" w:rsidRPr="00A44648" w14:paraId="0FAF3BC6" w14:textId="77777777" w:rsidTr="009F7D00">
        <w:trPr>
          <w:cantSplit/>
        </w:trPr>
        <w:tc>
          <w:tcPr>
            <w:tcW w:w="1243" w:type="dxa"/>
            <w:tcBorders>
              <w:left w:val="single" w:sz="4" w:space="0" w:color="auto"/>
            </w:tcBorders>
          </w:tcPr>
          <w:p w14:paraId="5E2E72C5" w14:textId="77777777" w:rsidR="009F7D00" w:rsidRPr="00A44648" w:rsidRDefault="009F7D00" w:rsidP="009F7D00">
            <w:pPr>
              <w:rPr>
                <w:rFonts w:ascii="Arial" w:hAnsi="Arial" w:cs="Arial"/>
              </w:rPr>
            </w:pPr>
            <w:r w:rsidRPr="00A44648">
              <w:rPr>
                <w:rFonts w:ascii="Arial" w:eastAsia="Arial" w:hAnsi="Arial" w:cs="Arial"/>
              </w:rPr>
              <w:t>CTF</w:t>
            </w:r>
          </w:p>
        </w:tc>
        <w:tc>
          <w:tcPr>
            <w:tcW w:w="7397" w:type="dxa"/>
            <w:tcBorders>
              <w:right w:val="single" w:sz="4" w:space="0" w:color="auto"/>
            </w:tcBorders>
          </w:tcPr>
          <w:p w14:paraId="36F5D312" w14:textId="77777777" w:rsidR="009F7D00" w:rsidRPr="00A44648" w:rsidRDefault="009F7D00" w:rsidP="009F7D00">
            <w:pPr>
              <w:rPr>
                <w:rFonts w:ascii="Arial" w:eastAsia="Arial" w:hAnsi="Arial" w:cs="Arial"/>
                <w:lang w:val="es-ES_tradnl"/>
              </w:rPr>
            </w:pPr>
            <w:r w:rsidRPr="00A44648">
              <w:rPr>
                <w:rFonts w:ascii="Arial" w:eastAsia="Arial" w:hAnsi="Arial" w:cs="Arial"/>
                <w:lang w:val="es-ES_tradnl"/>
              </w:rPr>
              <w:t>Fondo para una Tecnología Limpia</w:t>
            </w:r>
          </w:p>
        </w:tc>
      </w:tr>
      <w:tr w:rsidR="009F7D00" w:rsidRPr="00A44648" w14:paraId="5B131B34" w14:textId="77777777" w:rsidTr="009F7D00">
        <w:trPr>
          <w:cantSplit/>
        </w:trPr>
        <w:tc>
          <w:tcPr>
            <w:tcW w:w="1243" w:type="dxa"/>
            <w:tcBorders>
              <w:left w:val="single" w:sz="4" w:space="0" w:color="auto"/>
            </w:tcBorders>
          </w:tcPr>
          <w:p w14:paraId="5094D36D" w14:textId="77777777" w:rsidR="009F7D00" w:rsidRPr="00A44648" w:rsidRDefault="009F7D00" w:rsidP="009F7D00">
            <w:pPr>
              <w:rPr>
                <w:rFonts w:ascii="Arial" w:eastAsia="Arial" w:hAnsi="Arial" w:cs="Arial"/>
              </w:rPr>
            </w:pPr>
            <w:r w:rsidRPr="00A44648">
              <w:rPr>
                <w:rFonts w:ascii="Arial" w:eastAsia="Arial" w:hAnsi="Arial" w:cs="Arial"/>
                <w:lang w:val="pt-BR"/>
              </w:rPr>
              <w:t>EEO</w:t>
            </w:r>
          </w:p>
        </w:tc>
        <w:tc>
          <w:tcPr>
            <w:tcW w:w="7397" w:type="dxa"/>
            <w:tcBorders>
              <w:right w:val="single" w:sz="4" w:space="0" w:color="auto"/>
            </w:tcBorders>
          </w:tcPr>
          <w:p w14:paraId="787FD4C9" w14:textId="77777777" w:rsidR="009F7D00" w:rsidRPr="00A44648" w:rsidRDefault="009F7D00" w:rsidP="009F7D00">
            <w:pPr>
              <w:rPr>
                <w:rFonts w:ascii="Arial" w:eastAsia="Arial" w:hAnsi="Arial" w:cs="Arial"/>
              </w:rPr>
            </w:pPr>
            <w:r w:rsidRPr="00A44648">
              <w:rPr>
                <w:rFonts w:ascii="Arial" w:eastAsia="Arial" w:hAnsi="Arial" w:cs="Arial"/>
              </w:rPr>
              <w:t>Enlace Electrónico Opcional</w:t>
            </w:r>
          </w:p>
        </w:tc>
      </w:tr>
      <w:tr w:rsidR="009F7D00" w:rsidRPr="00A44648" w14:paraId="6426EE04" w14:textId="77777777" w:rsidTr="009F7D00">
        <w:trPr>
          <w:cantSplit/>
        </w:trPr>
        <w:tc>
          <w:tcPr>
            <w:tcW w:w="1243" w:type="dxa"/>
            <w:tcBorders>
              <w:left w:val="single" w:sz="4" w:space="0" w:color="auto"/>
            </w:tcBorders>
          </w:tcPr>
          <w:p w14:paraId="07078138" w14:textId="77777777" w:rsidR="009F7D00" w:rsidRPr="00A44648" w:rsidRDefault="009F7D00" w:rsidP="009F7D00">
            <w:pPr>
              <w:rPr>
                <w:rFonts w:ascii="Arial" w:eastAsia="Arial" w:hAnsi="Arial" w:cs="Arial"/>
              </w:rPr>
            </w:pPr>
            <w:r w:rsidRPr="00A44648">
              <w:rPr>
                <w:rFonts w:ascii="Arial" w:eastAsia="Arial" w:hAnsi="Arial" w:cs="Arial"/>
                <w:lang w:val="pt-BR"/>
              </w:rPr>
              <w:t>EER</w:t>
            </w:r>
          </w:p>
        </w:tc>
        <w:tc>
          <w:tcPr>
            <w:tcW w:w="7397" w:type="dxa"/>
            <w:tcBorders>
              <w:right w:val="single" w:sz="4" w:space="0" w:color="auto"/>
            </w:tcBorders>
          </w:tcPr>
          <w:p w14:paraId="45F50754" w14:textId="77777777" w:rsidR="009F7D00" w:rsidRPr="00A44648" w:rsidRDefault="009F7D00" w:rsidP="009F7D00">
            <w:pPr>
              <w:rPr>
                <w:rFonts w:ascii="Arial" w:eastAsia="Arial" w:hAnsi="Arial" w:cs="Arial"/>
              </w:rPr>
            </w:pPr>
            <w:r w:rsidRPr="00A44648">
              <w:rPr>
                <w:rFonts w:ascii="Arial" w:eastAsia="Arial" w:hAnsi="Arial" w:cs="Arial"/>
              </w:rPr>
              <w:t>Enlace Electrónico Requerido</w:t>
            </w:r>
          </w:p>
        </w:tc>
      </w:tr>
      <w:tr w:rsidR="009F7D00" w:rsidRPr="00A44648" w14:paraId="64407848" w14:textId="77777777" w:rsidTr="009F7D00">
        <w:trPr>
          <w:cantSplit/>
        </w:trPr>
        <w:tc>
          <w:tcPr>
            <w:tcW w:w="1243" w:type="dxa"/>
            <w:tcBorders>
              <w:left w:val="single" w:sz="4" w:space="0" w:color="auto"/>
            </w:tcBorders>
          </w:tcPr>
          <w:p w14:paraId="4485FAC0" w14:textId="77777777" w:rsidR="009F7D00" w:rsidRPr="00A44648" w:rsidRDefault="009F7D00" w:rsidP="009F7D00">
            <w:pPr>
              <w:rPr>
                <w:rFonts w:ascii="Arial" w:eastAsia="Arial" w:hAnsi="Arial" w:cs="Arial"/>
                <w:lang w:val="pt-BR"/>
              </w:rPr>
            </w:pPr>
            <w:r w:rsidRPr="00A44648">
              <w:rPr>
                <w:rFonts w:ascii="Arial" w:eastAsia="Arial" w:hAnsi="Arial" w:cs="Arial"/>
                <w:lang w:val="pt-BR"/>
              </w:rPr>
              <w:t>EIAS</w:t>
            </w:r>
          </w:p>
        </w:tc>
        <w:tc>
          <w:tcPr>
            <w:tcW w:w="7397" w:type="dxa"/>
            <w:tcBorders>
              <w:right w:val="single" w:sz="4" w:space="0" w:color="auto"/>
            </w:tcBorders>
          </w:tcPr>
          <w:p w14:paraId="62F175C8" w14:textId="77777777" w:rsidR="009F7D00" w:rsidRPr="00A44648" w:rsidRDefault="009F7D00" w:rsidP="009F7D00">
            <w:pPr>
              <w:rPr>
                <w:rFonts w:ascii="Arial" w:eastAsia="Arial" w:hAnsi="Arial" w:cs="Arial"/>
                <w:lang w:val="es-ES_tradnl"/>
              </w:rPr>
            </w:pPr>
            <w:r w:rsidRPr="00A44648">
              <w:rPr>
                <w:rFonts w:ascii="Arial" w:eastAsia="Arial" w:hAnsi="Arial" w:cs="Arial"/>
                <w:lang w:val="es-ES_tradnl"/>
              </w:rPr>
              <w:t>Evaluaciones de Impacto Ambiental y Social</w:t>
            </w:r>
          </w:p>
        </w:tc>
      </w:tr>
      <w:tr w:rsidR="009F7D00" w:rsidRPr="00A44648" w14:paraId="25B4E8A4" w14:textId="77777777" w:rsidTr="009F7D00">
        <w:trPr>
          <w:cantSplit/>
        </w:trPr>
        <w:tc>
          <w:tcPr>
            <w:tcW w:w="1243" w:type="dxa"/>
            <w:tcBorders>
              <w:left w:val="single" w:sz="4" w:space="0" w:color="auto"/>
            </w:tcBorders>
          </w:tcPr>
          <w:p w14:paraId="18536150" w14:textId="77777777" w:rsidR="009F7D00" w:rsidRPr="00A44648" w:rsidRDefault="009F7D00" w:rsidP="009F7D00">
            <w:pPr>
              <w:rPr>
                <w:rFonts w:ascii="Arial" w:eastAsia="Arial" w:hAnsi="Arial" w:cs="Arial"/>
              </w:rPr>
            </w:pPr>
            <w:r w:rsidRPr="00A44648">
              <w:rPr>
                <w:rFonts w:ascii="Arial" w:eastAsia="Arial" w:hAnsi="Arial" w:cs="Arial"/>
                <w:lang w:val="pt-BR"/>
              </w:rPr>
              <w:t>EPE</w:t>
            </w:r>
          </w:p>
        </w:tc>
        <w:tc>
          <w:tcPr>
            <w:tcW w:w="7397" w:type="dxa"/>
            <w:tcBorders>
              <w:right w:val="single" w:sz="4" w:space="0" w:color="auto"/>
            </w:tcBorders>
          </w:tcPr>
          <w:p w14:paraId="51C8F6E7" w14:textId="77777777" w:rsidR="009F7D00" w:rsidRPr="00A44648" w:rsidRDefault="009F7D00" w:rsidP="009F7D00">
            <w:pPr>
              <w:rPr>
                <w:rFonts w:ascii="Arial" w:eastAsia="Arial" w:hAnsi="Arial" w:cs="Arial"/>
              </w:rPr>
            </w:pPr>
            <w:r w:rsidRPr="00A44648">
              <w:rPr>
                <w:rFonts w:ascii="Arial" w:eastAsia="Arial" w:hAnsi="Arial" w:cs="Arial"/>
              </w:rPr>
              <w:t>Empresa Productiva del Estado</w:t>
            </w:r>
          </w:p>
        </w:tc>
      </w:tr>
      <w:tr w:rsidR="009F7D00" w:rsidRPr="00A44648" w14:paraId="5FB9EB7C" w14:textId="77777777" w:rsidTr="009F7D00">
        <w:trPr>
          <w:cantSplit/>
        </w:trPr>
        <w:tc>
          <w:tcPr>
            <w:tcW w:w="1243" w:type="dxa"/>
            <w:tcBorders>
              <w:left w:val="single" w:sz="4" w:space="0" w:color="auto"/>
            </w:tcBorders>
          </w:tcPr>
          <w:p w14:paraId="284DA48F" w14:textId="77777777" w:rsidR="009F7D00" w:rsidRPr="00A44648" w:rsidRDefault="009F7D00" w:rsidP="009F7D00">
            <w:pPr>
              <w:rPr>
                <w:rFonts w:ascii="Arial" w:eastAsia="Arial" w:hAnsi="Arial" w:cs="Arial"/>
                <w:lang w:val="pt-BR"/>
              </w:rPr>
            </w:pPr>
            <w:r w:rsidRPr="00A44648">
              <w:rPr>
                <w:rFonts w:ascii="Arial" w:eastAsia="Arial" w:hAnsi="Arial" w:cs="Arial"/>
                <w:lang w:val="pt-BR"/>
              </w:rPr>
              <w:t>FOTEASE</w:t>
            </w:r>
          </w:p>
        </w:tc>
        <w:tc>
          <w:tcPr>
            <w:tcW w:w="7397" w:type="dxa"/>
            <w:tcBorders>
              <w:right w:val="single" w:sz="4" w:space="0" w:color="auto"/>
            </w:tcBorders>
          </w:tcPr>
          <w:p w14:paraId="45AED8A4" w14:textId="77777777" w:rsidR="009F7D00" w:rsidRPr="00A44648" w:rsidRDefault="009F7D00" w:rsidP="009F7D00">
            <w:pPr>
              <w:rPr>
                <w:rFonts w:ascii="Arial" w:eastAsia="Arial" w:hAnsi="Arial" w:cs="Arial"/>
                <w:lang w:val="es-ES_tradnl"/>
              </w:rPr>
            </w:pPr>
            <w:r w:rsidRPr="00A44648">
              <w:rPr>
                <w:rFonts w:ascii="Arial" w:eastAsia="Arial" w:hAnsi="Arial" w:cs="Arial"/>
                <w:lang w:val="es-ES_tradnl"/>
              </w:rPr>
              <w:t>Fondo de Transición Energética y el Aprovechamiento Sustentable de la Energía</w:t>
            </w:r>
          </w:p>
        </w:tc>
      </w:tr>
      <w:tr w:rsidR="009F7D00" w:rsidRPr="00A44648" w14:paraId="1660AF44" w14:textId="77777777" w:rsidTr="009F7D00">
        <w:trPr>
          <w:cantSplit/>
        </w:trPr>
        <w:tc>
          <w:tcPr>
            <w:tcW w:w="1243" w:type="dxa"/>
            <w:tcBorders>
              <w:left w:val="single" w:sz="4" w:space="0" w:color="auto"/>
            </w:tcBorders>
          </w:tcPr>
          <w:p w14:paraId="7A8BE110" w14:textId="77777777" w:rsidR="009F7D00" w:rsidRPr="00A44648" w:rsidRDefault="009F7D00" w:rsidP="009F7D00">
            <w:pPr>
              <w:rPr>
                <w:rFonts w:ascii="Arial" w:hAnsi="Arial" w:cs="Arial"/>
                <w:lang w:val="pt-BR"/>
              </w:rPr>
            </w:pPr>
            <w:r w:rsidRPr="00A44648">
              <w:rPr>
                <w:rFonts w:ascii="Arial" w:eastAsia="Arial" w:hAnsi="Arial" w:cs="Arial"/>
                <w:lang w:val="pt-BR"/>
              </w:rPr>
              <w:t>GdM</w:t>
            </w:r>
          </w:p>
        </w:tc>
        <w:tc>
          <w:tcPr>
            <w:tcW w:w="7397" w:type="dxa"/>
            <w:tcBorders>
              <w:right w:val="single" w:sz="4" w:space="0" w:color="auto"/>
            </w:tcBorders>
          </w:tcPr>
          <w:p w14:paraId="63462E07" w14:textId="77777777" w:rsidR="009F7D00" w:rsidRPr="00A44648" w:rsidRDefault="009F7D00" w:rsidP="009F7D00">
            <w:pPr>
              <w:rPr>
                <w:rFonts w:ascii="Arial" w:hAnsi="Arial" w:cs="Arial"/>
              </w:rPr>
            </w:pPr>
            <w:r w:rsidRPr="00A44648">
              <w:rPr>
                <w:rFonts w:ascii="Arial" w:eastAsia="Arial" w:hAnsi="Arial" w:cs="Arial"/>
              </w:rPr>
              <w:t>Gobierno de México</w:t>
            </w:r>
          </w:p>
        </w:tc>
      </w:tr>
      <w:tr w:rsidR="009F7D00" w:rsidRPr="00A44648" w14:paraId="7C21CC9C" w14:textId="77777777" w:rsidTr="009F7D00">
        <w:trPr>
          <w:cantSplit/>
        </w:trPr>
        <w:tc>
          <w:tcPr>
            <w:tcW w:w="1243" w:type="dxa"/>
            <w:tcBorders>
              <w:left w:val="single" w:sz="4" w:space="0" w:color="auto"/>
            </w:tcBorders>
          </w:tcPr>
          <w:p w14:paraId="16308CB0" w14:textId="77777777" w:rsidR="009F7D00" w:rsidRPr="00A44648" w:rsidRDefault="009F7D00" w:rsidP="009F7D00">
            <w:pPr>
              <w:rPr>
                <w:rFonts w:ascii="Arial" w:eastAsia="Arial" w:hAnsi="Arial" w:cs="Arial"/>
                <w:lang w:val="pt-BR"/>
              </w:rPr>
            </w:pPr>
            <w:r w:rsidRPr="00A44648">
              <w:rPr>
                <w:rFonts w:ascii="Arial" w:eastAsia="Arial" w:hAnsi="Arial" w:cs="Arial"/>
                <w:lang w:val="pt-BR"/>
              </w:rPr>
              <w:t>GEI</w:t>
            </w:r>
          </w:p>
        </w:tc>
        <w:tc>
          <w:tcPr>
            <w:tcW w:w="7397" w:type="dxa"/>
            <w:tcBorders>
              <w:right w:val="single" w:sz="4" w:space="0" w:color="auto"/>
            </w:tcBorders>
          </w:tcPr>
          <w:p w14:paraId="5F91EC44" w14:textId="77777777" w:rsidR="009F7D00" w:rsidRPr="00A44648" w:rsidRDefault="009F7D00" w:rsidP="009F7D00">
            <w:pPr>
              <w:rPr>
                <w:rFonts w:ascii="Arial" w:eastAsia="Arial" w:hAnsi="Arial" w:cs="Arial"/>
              </w:rPr>
            </w:pPr>
            <w:r w:rsidRPr="00A44648">
              <w:rPr>
                <w:rFonts w:ascii="Arial" w:eastAsia="Arial" w:hAnsi="Arial" w:cs="Arial"/>
              </w:rPr>
              <w:t>Gases de Efecto Invernadero</w:t>
            </w:r>
          </w:p>
        </w:tc>
      </w:tr>
      <w:tr w:rsidR="009F7D00" w:rsidRPr="00A44648" w14:paraId="59ABF49C" w14:textId="77777777" w:rsidTr="009F7D00">
        <w:trPr>
          <w:cantSplit/>
        </w:trPr>
        <w:tc>
          <w:tcPr>
            <w:tcW w:w="1243" w:type="dxa"/>
            <w:tcBorders>
              <w:left w:val="single" w:sz="4" w:space="0" w:color="auto"/>
            </w:tcBorders>
          </w:tcPr>
          <w:p w14:paraId="37B369B2" w14:textId="77777777" w:rsidR="009F7D00" w:rsidRPr="00A44648" w:rsidRDefault="009F7D00" w:rsidP="009F7D00">
            <w:pPr>
              <w:rPr>
                <w:rFonts w:ascii="Arial" w:eastAsia="Arial" w:hAnsi="Arial" w:cs="Arial"/>
                <w:lang w:val="pt-BR"/>
              </w:rPr>
            </w:pPr>
            <w:r w:rsidRPr="00A44648">
              <w:rPr>
                <w:rFonts w:ascii="Arial" w:eastAsia="Arial" w:hAnsi="Arial" w:cs="Arial"/>
                <w:lang w:val="pt-BR"/>
              </w:rPr>
              <w:t>GN</w:t>
            </w:r>
          </w:p>
        </w:tc>
        <w:tc>
          <w:tcPr>
            <w:tcW w:w="7397" w:type="dxa"/>
            <w:tcBorders>
              <w:right w:val="single" w:sz="4" w:space="0" w:color="auto"/>
            </w:tcBorders>
          </w:tcPr>
          <w:p w14:paraId="78EA903A" w14:textId="77777777" w:rsidR="009F7D00" w:rsidRPr="00A44648" w:rsidRDefault="009F7D00" w:rsidP="009F7D00">
            <w:pPr>
              <w:rPr>
                <w:rFonts w:ascii="Arial" w:eastAsia="Arial" w:hAnsi="Arial" w:cs="Arial"/>
              </w:rPr>
            </w:pPr>
            <w:r w:rsidRPr="00A44648">
              <w:rPr>
                <w:rFonts w:ascii="Arial" w:eastAsia="Arial" w:hAnsi="Arial" w:cs="Arial"/>
              </w:rPr>
              <w:t>Gas Natural</w:t>
            </w:r>
          </w:p>
        </w:tc>
      </w:tr>
      <w:tr w:rsidR="009F7D00" w:rsidRPr="00A44648" w14:paraId="7B65D37A" w14:textId="77777777" w:rsidTr="009F7D00">
        <w:trPr>
          <w:cantSplit/>
        </w:trPr>
        <w:tc>
          <w:tcPr>
            <w:tcW w:w="1243" w:type="dxa"/>
            <w:tcBorders>
              <w:left w:val="single" w:sz="4" w:space="0" w:color="auto"/>
            </w:tcBorders>
          </w:tcPr>
          <w:p w14:paraId="34D3E21C" w14:textId="77777777" w:rsidR="009F7D00" w:rsidRPr="00A44648" w:rsidRDefault="009F7D00" w:rsidP="009F7D00">
            <w:pPr>
              <w:rPr>
                <w:rFonts w:ascii="Arial" w:eastAsia="Arial" w:hAnsi="Arial" w:cs="Arial"/>
                <w:lang w:val="pt-BR"/>
              </w:rPr>
            </w:pPr>
            <w:r w:rsidRPr="00A44648">
              <w:rPr>
                <w:rFonts w:ascii="Arial" w:eastAsia="Arial" w:hAnsi="Arial" w:cs="Arial"/>
              </w:rPr>
              <w:t>IGAS</w:t>
            </w:r>
          </w:p>
        </w:tc>
        <w:tc>
          <w:tcPr>
            <w:tcW w:w="7397" w:type="dxa"/>
            <w:tcBorders>
              <w:right w:val="single" w:sz="4" w:space="0" w:color="auto"/>
            </w:tcBorders>
          </w:tcPr>
          <w:p w14:paraId="3F96130E" w14:textId="77777777" w:rsidR="009F7D00" w:rsidRPr="00A44648" w:rsidRDefault="009F7D00" w:rsidP="009F7D00">
            <w:pPr>
              <w:rPr>
                <w:rFonts w:ascii="Arial" w:eastAsia="Arial" w:hAnsi="Arial" w:cs="Arial"/>
                <w:lang w:val="es-ES_tradnl"/>
              </w:rPr>
            </w:pPr>
            <w:r w:rsidRPr="00A44648">
              <w:rPr>
                <w:rFonts w:ascii="Arial" w:eastAsia="Arial" w:hAnsi="Arial" w:cs="Arial"/>
                <w:lang w:val="es-ES_tradnl"/>
              </w:rPr>
              <w:t>Informe de Gestión Ambiental y Social</w:t>
            </w:r>
          </w:p>
        </w:tc>
      </w:tr>
      <w:tr w:rsidR="009F7D00" w:rsidRPr="00A44648" w14:paraId="701FB3CA" w14:textId="77777777" w:rsidTr="009F7D00">
        <w:trPr>
          <w:cantSplit/>
        </w:trPr>
        <w:tc>
          <w:tcPr>
            <w:tcW w:w="1243" w:type="dxa"/>
            <w:tcBorders>
              <w:left w:val="single" w:sz="4" w:space="0" w:color="auto"/>
            </w:tcBorders>
          </w:tcPr>
          <w:p w14:paraId="0C6EF5E5" w14:textId="77777777" w:rsidR="009F7D00" w:rsidRPr="00A44648" w:rsidRDefault="009F7D00" w:rsidP="009F7D00">
            <w:pPr>
              <w:rPr>
                <w:rFonts w:ascii="Arial" w:eastAsia="Arial" w:hAnsi="Arial" w:cs="Arial"/>
              </w:rPr>
            </w:pPr>
            <w:r w:rsidRPr="00A44648">
              <w:rPr>
                <w:rFonts w:ascii="Arial" w:eastAsia="Arial" w:hAnsi="Arial" w:cs="Arial"/>
              </w:rPr>
              <w:t>INEEL</w:t>
            </w:r>
          </w:p>
        </w:tc>
        <w:tc>
          <w:tcPr>
            <w:tcW w:w="7397" w:type="dxa"/>
            <w:tcBorders>
              <w:right w:val="single" w:sz="4" w:space="0" w:color="auto"/>
            </w:tcBorders>
          </w:tcPr>
          <w:p w14:paraId="17DC0E5D" w14:textId="77777777" w:rsidR="009F7D00" w:rsidRPr="00A44648" w:rsidRDefault="009F7D00" w:rsidP="009F7D00">
            <w:pPr>
              <w:rPr>
                <w:rFonts w:ascii="Arial" w:eastAsia="Arial" w:hAnsi="Arial" w:cs="Arial"/>
                <w:lang w:val="es-ES_tradnl"/>
              </w:rPr>
            </w:pPr>
            <w:r w:rsidRPr="00A44648">
              <w:rPr>
                <w:rFonts w:ascii="Arial" w:eastAsia="Arial" w:hAnsi="Arial" w:cs="Arial"/>
                <w:lang w:val="es-ES_tradnl"/>
              </w:rPr>
              <w:t>Instituto Nacional de Electricidad y Energías Limpias</w:t>
            </w:r>
          </w:p>
        </w:tc>
      </w:tr>
      <w:tr w:rsidR="009F7D00" w:rsidRPr="00A44648" w14:paraId="350132FA" w14:textId="77777777" w:rsidTr="009F7D00">
        <w:trPr>
          <w:cantSplit/>
        </w:trPr>
        <w:tc>
          <w:tcPr>
            <w:tcW w:w="1243" w:type="dxa"/>
            <w:tcBorders>
              <w:left w:val="single" w:sz="4" w:space="0" w:color="auto"/>
            </w:tcBorders>
          </w:tcPr>
          <w:p w14:paraId="0B413A75" w14:textId="77777777" w:rsidR="009F7D00" w:rsidRPr="00A44648" w:rsidRDefault="009F7D00" w:rsidP="009F7D00">
            <w:pPr>
              <w:rPr>
                <w:rFonts w:ascii="Arial" w:eastAsia="Arial" w:hAnsi="Arial" w:cs="Arial"/>
              </w:rPr>
            </w:pPr>
            <w:r w:rsidRPr="00A44648">
              <w:rPr>
                <w:rFonts w:ascii="Arial" w:eastAsia="Arial" w:hAnsi="Arial" w:cs="Arial"/>
              </w:rPr>
              <w:t>MOP</w:t>
            </w:r>
          </w:p>
        </w:tc>
        <w:tc>
          <w:tcPr>
            <w:tcW w:w="7397" w:type="dxa"/>
            <w:tcBorders>
              <w:right w:val="single" w:sz="4" w:space="0" w:color="auto"/>
            </w:tcBorders>
          </w:tcPr>
          <w:p w14:paraId="606C4789" w14:textId="77777777" w:rsidR="009F7D00" w:rsidRPr="00A44648" w:rsidRDefault="009F7D00" w:rsidP="009F7D00">
            <w:pPr>
              <w:rPr>
                <w:rFonts w:ascii="Arial" w:eastAsia="Arial" w:hAnsi="Arial" w:cs="Arial"/>
              </w:rPr>
            </w:pPr>
            <w:r w:rsidRPr="00A44648">
              <w:rPr>
                <w:rFonts w:ascii="Arial" w:eastAsia="Arial" w:hAnsi="Arial" w:cs="Arial"/>
              </w:rPr>
              <w:t>Manual Operativo del Programa</w:t>
            </w:r>
          </w:p>
        </w:tc>
      </w:tr>
      <w:tr w:rsidR="009F7D00" w:rsidRPr="00A44648" w14:paraId="76F79BE1" w14:textId="77777777" w:rsidTr="009F7D00">
        <w:trPr>
          <w:cantSplit/>
        </w:trPr>
        <w:tc>
          <w:tcPr>
            <w:tcW w:w="1243" w:type="dxa"/>
            <w:tcBorders>
              <w:left w:val="single" w:sz="4" w:space="0" w:color="auto"/>
            </w:tcBorders>
          </w:tcPr>
          <w:p w14:paraId="0A0D835B" w14:textId="77777777" w:rsidR="009F7D00" w:rsidRPr="00A44648" w:rsidRDefault="009F7D00" w:rsidP="009F7D00">
            <w:pPr>
              <w:rPr>
                <w:rFonts w:ascii="Arial" w:eastAsia="Arial" w:hAnsi="Arial" w:cs="Arial"/>
              </w:rPr>
            </w:pPr>
            <w:r w:rsidRPr="00A44648">
              <w:rPr>
                <w:rFonts w:ascii="Arial" w:eastAsia="Arial" w:hAnsi="Arial" w:cs="Arial"/>
              </w:rPr>
              <w:t>NAFIN</w:t>
            </w:r>
          </w:p>
        </w:tc>
        <w:tc>
          <w:tcPr>
            <w:tcW w:w="7397" w:type="dxa"/>
            <w:tcBorders>
              <w:right w:val="single" w:sz="4" w:space="0" w:color="auto"/>
            </w:tcBorders>
          </w:tcPr>
          <w:p w14:paraId="4374E811" w14:textId="77777777" w:rsidR="009F7D00" w:rsidRPr="00A44648" w:rsidRDefault="009F7D00" w:rsidP="009F7D00">
            <w:pPr>
              <w:rPr>
                <w:rFonts w:ascii="Arial" w:eastAsia="Arial" w:hAnsi="Arial" w:cs="Arial"/>
                <w:lang w:val="es-ES_tradnl"/>
              </w:rPr>
            </w:pPr>
            <w:r w:rsidRPr="00A44648">
              <w:rPr>
                <w:rFonts w:ascii="Arial" w:eastAsia="Arial" w:hAnsi="Arial" w:cs="Arial"/>
                <w:lang w:val="es-ES_tradnl"/>
              </w:rPr>
              <w:t>Nacional Financiera</w:t>
            </w:r>
            <w:r w:rsidRPr="00A44648">
              <w:rPr>
                <w:rFonts w:ascii="Arial" w:hAnsi="Arial" w:cs="Arial"/>
                <w:lang w:val="es-ES_tradnl"/>
              </w:rPr>
              <w:t xml:space="preserve"> S.N.C.</w:t>
            </w:r>
          </w:p>
        </w:tc>
      </w:tr>
      <w:tr w:rsidR="009F7D00" w:rsidRPr="00A44648" w14:paraId="281EF09C" w14:textId="77777777" w:rsidTr="009F7D00">
        <w:trPr>
          <w:cantSplit/>
        </w:trPr>
        <w:tc>
          <w:tcPr>
            <w:tcW w:w="1243" w:type="dxa"/>
            <w:tcBorders>
              <w:left w:val="single" w:sz="4" w:space="0" w:color="auto"/>
            </w:tcBorders>
          </w:tcPr>
          <w:p w14:paraId="1424006D" w14:textId="77777777" w:rsidR="009F7D00" w:rsidRPr="00A44648" w:rsidRDefault="009F7D00" w:rsidP="009F7D00">
            <w:pPr>
              <w:rPr>
                <w:rFonts w:ascii="Arial" w:eastAsia="Arial" w:hAnsi="Arial" w:cs="Arial"/>
              </w:rPr>
            </w:pPr>
            <w:r w:rsidRPr="00A44648">
              <w:rPr>
                <w:rFonts w:ascii="Arial" w:hAnsi="Arial" w:cs="Arial"/>
              </w:rPr>
              <w:t>NDC</w:t>
            </w:r>
          </w:p>
        </w:tc>
        <w:tc>
          <w:tcPr>
            <w:tcW w:w="7397" w:type="dxa"/>
            <w:tcBorders>
              <w:right w:val="single" w:sz="4" w:space="0" w:color="auto"/>
            </w:tcBorders>
          </w:tcPr>
          <w:p w14:paraId="44310879" w14:textId="77777777" w:rsidR="009F7D00" w:rsidRPr="00A44648" w:rsidRDefault="009F7D00" w:rsidP="009F7D00">
            <w:pPr>
              <w:rPr>
                <w:rFonts w:ascii="Arial" w:eastAsia="Arial" w:hAnsi="Arial" w:cs="Arial"/>
              </w:rPr>
            </w:pPr>
            <w:r w:rsidRPr="00A44648">
              <w:rPr>
                <w:rFonts w:ascii="Arial" w:eastAsia="Arial" w:hAnsi="Arial" w:cs="Arial"/>
              </w:rPr>
              <w:t>Contribución Nacional Determinada</w:t>
            </w:r>
          </w:p>
        </w:tc>
      </w:tr>
      <w:tr w:rsidR="009F7D00" w:rsidRPr="00A44648" w14:paraId="45DCA142" w14:textId="77777777" w:rsidTr="009F7D00">
        <w:trPr>
          <w:cantSplit/>
        </w:trPr>
        <w:tc>
          <w:tcPr>
            <w:tcW w:w="1243" w:type="dxa"/>
            <w:tcBorders>
              <w:left w:val="single" w:sz="4" w:space="0" w:color="auto"/>
            </w:tcBorders>
          </w:tcPr>
          <w:p w14:paraId="460164AB" w14:textId="77777777" w:rsidR="009F7D00" w:rsidRPr="00A44648" w:rsidRDefault="009F7D00" w:rsidP="009F7D00">
            <w:pPr>
              <w:rPr>
                <w:rFonts w:ascii="Arial" w:eastAsia="Arial" w:hAnsi="Arial" w:cs="Arial"/>
              </w:rPr>
            </w:pPr>
            <w:r w:rsidRPr="00A44648">
              <w:rPr>
                <w:rFonts w:ascii="Arial" w:hAnsi="Arial" w:cs="Arial"/>
              </w:rPr>
              <w:t>OE</w:t>
            </w:r>
          </w:p>
        </w:tc>
        <w:tc>
          <w:tcPr>
            <w:tcW w:w="7397" w:type="dxa"/>
            <w:tcBorders>
              <w:right w:val="single" w:sz="4" w:space="0" w:color="auto"/>
            </w:tcBorders>
          </w:tcPr>
          <w:p w14:paraId="3E7FBF59" w14:textId="77777777" w:rsidR="009F7D00" w:rsidRPr="00A44648" w:rsidRDefault="009F7D00" w:rsidP="009F7D00">
            <w:pPr>
              <w:rPr>
                <w:rFonts w:ascii="Arial" w:eastAsia="Arial" w:hAnsi="Arial" w:cs="Arial"/>
              </w:rPr>
            </w:pPr>
            <w:r w:rsidRPr="00A44648">
              <w:rPr>
                <w:rFonts w:ascii="Arial" w:hAnsi="Arial" w:cs="Arial"/>
              </w:rPr>
              <w:t>Organismo Ejecutor</w:t>
            </w:r>
          </w:p>
        </w:tc>
      </w:tr>
      <w:tr w:rsidR="009F7D00" w:rsidRPr="00A44648" w14:paraId="4FC56194" w14:textId="77777777" w:rsidTr="009F7D00">
        <w:trPr>
          <w:cantSplit/>
        </w:trPr>
        <w:tc>
          <w:tcPr>
            <w:tcW w:w="1243" w:type="dxa"/>
            <w:tcBorders>
              <w:left w:val="single" w:sz="4" w:space="0" w:color="auto"/>
            </w:tcBorders>
          </w:tcPr>
          <w:p w14:paraId="3C233858" w14:textId="77777777" w:rsidR="009F7D00" w:rsidRPr="00A44648" w:rsidRDefault="009F7D00" w:rsidP="009F7D00">
            <w:pPr>
              <w:rPr>
                <w:rFonts w:ascii="Arial" w:hAnsi="Arial" w:cs="Arial"/>
              </w:rPr>
            </w:pPr>
            <w:r w:rsidRPr="00A44648">
              <w:rPr>
                <w:rFonts w:ascii="Arial" w:eastAsia="Arial" w:hAnsi="Arial" w:cs="Arial"/>
              </w:rPr>
              <w:t>PPA</w:t>
            </w:r>
          </w:p>
        </w:tc>
        <w:tc>
          <w:tcPr>
            <w:tcW w:w="7397" w:type="dxa"/>
            <w:tcBorders>
              <w:right w:val="single" w:sz="4" w:space="0" w:color="auto"/>
            </w:tcBorders>
          </w:tcPr>
          <w:p w14:paraId="2E3559DE" w14:textId="77777777" w:rsidR="009F7D00" w:rsidRPr="00A44648" w:rsidRDefault="009F7D00" w:rsidP="009F7D00">
            <w:pPr>
              <w:rPr>
                <w:rFonts w:ascii="Arial" w:hAnsi="Arial" w:cs="Arial"/>
              </w:rPr>
            </w:pPr>
            <w:r w:rsidRPr="00A44648">
              <w:rPr>
                <w:rFonts w:ascii="Arial" w:eastAsia="Arial" w:hAnsi="Arial" w:cs="Arial"/>
              </w:rPr>
              <w:t>Contratos de Compra de Energía Eléctrica</w:t>
            </w:r>
          </w:p>
        </w:tc>
      </w:tr>
      <w:tr w:rsidR="009F7D00" w:rsidRPr="00A44648" w14:paraId="1F0A4495" w14:textId="77777777" w:rsidTr="009F7D00">
        <w:trPr>
          <w:cantSplit/>
        </w:trPr>
        <w:tc>
          <w:tcPr>
            <w:tcW w:w="1243" w:type="dxa"/>
            <w:tcBorders>
              <w:left w:val="single" w:sz="4" w:space="0" w:color="auto"/>
            </w:tcBorders>
          </w:tcPr>
          <w:p w14:paraId="623D52FD" w14:textId="77777777" w:rsidR="009F7D00" w:rsidRPr="00A44648" w:rsidRDefault="009F7D00" w:rsidP="009F7D00">
            <w:pPr>
              <w:rPr>
                <w:rFonts w:ascii="Arial" w:hAnsi="Arial" w:cs="Arial"/>
              </w:rPr>
            </w:pPr>
            <w:r w:rsidRPr="00A44648">
              <w:rPr>
                <w:rFonts w:ascii="Arial" w:hAnsi="Arial" w:cs="Arial"/>
              </w:rPr>
              <w:t>SENER</w:t>
            </w:r>
          </w:p>
        </w:tc>
        <w:tc>
          <w:tcPr>
            <w:tcW w:w="7397" w:type="dxa"/>
            <w:tcBorders>
              <w:right w:val="single" w:sz="4" w:space="0" w:color="auto"/>
            </w:tcBorders>
          </w:tcPr>
          <w:p w14:paraId="65A5A726" w14:textId="77777777" w:rsidR="009F7D00" w:rsidRPr="00A44648" w:rsidRDefault="009F7D00" w:rsidP="009F7D00">
            <w:pPr>
              <w:rPr>
                <w:rFonts w:ascii="Arial" w:hAnsi="Arial" w:cs="Arial"/>
                <w:lang w:val="es-ES_tradnl"/>
              </w:rPr>
            </w:pPr>
            <w:r w:rsidRPr="00A44648">
              <w:rPr>
                <w:rFonts w:ascii="Arial" w:hAnsi="Arial" w:cs="Arial"/>
                <w:lang w:val="es-ES_tradnl"/>
              </w:rPr>
              <w:t>Secretaría de Energía de México</w:t>
            </w:r>
          </w:p>
        </w:tc>
      </w:tr>
      <w:tr w:rsidR="009F7D00" w:rsidRPr="00A44648" w14:paraId="17827A8A" w14:textId="77777777" w:rsidTr="009F7D00">
        <w:trPr>
          <w:cantSplit/>
        </w:trPr>
        <w:tc>
          <w:tcPr>
            <w:tcW w:w="1243" w:type="dxa"/>
            <w:tcBorders>
              <w:left w:val="single" w:sz="4" w:space="0" w:color="auto"/>
            </w:tcBorders>
          </w:tcPr>
          <w:p w14:paraId="67F5D18E" w14:textId="77777777" w:rsidR="009F7D00" w:rsidRPr="00A44648" w:rsidRDefault="009F7D00" w:rsidP="009F7D00">
            <w:pPr>
              <w:rPr>
                <w:rFonts w:ascii="Arial" w:eastAsia="Arial" w:hAnsi="Arial" w:cs="Arial"/>
              </w:rPr>
            </w:pPr>
            <w:r w:rsidRPr="00A44648">
              <w:rPr>
                <w:rFonts w:ascii="Arial" w:hAnsi="Arial" w:cs="Arial"/>
              </w:rPr>
              <w:t>SGAS</w:t>
            </w:r>
          </w:p>
        </w:tc>
        <w:tc>
          <w:tcPr>
            <w:tcW w:w="7397" w:type="dxa"/>
            <w:tcBorders>
              <w:right w:val="single" w:sz="4" w:space="0" w:color="auto"/>
            </w:tcBorders>
          </w:tcPr>
          <w:p w14:paraId="5C753516" w14:textId="77777777" w:rsidR="009F7D00" w:rsidRPr="00A44648" w:rsidRDefault="009F7D00" w:rsidP="009F7D00">
            <w:pPr>
              <w:rPr>
                <w:rFonts w:ascii="Arial" w:eastAsia="Arial" w:hAnsi="Arial" w:cs="Arial"/>
                <w:lang w:val="es-ES_tradnl"/>
              </w:rPr>
            </w:pPr>
            <w:r w:rsidRPr="00A44648">
              <w:rPr>
                <w:rFonts w:ascii="Arial" w:eastAsia="Arial" w:hAnsi="Arial" w:cs="Arial"/>
                <w:lang w:val="es-ES_tradnl"/>
              </w:rPr>
              <w:t>Sistema de Gestión Ambiental y Social</w:t>
            </w:r>
          </w:p>
        </w:tc>
      </w:tr>
      <w:tr w:rsidR="009F7D00" w:rsidRPr="00A44648" w14:paraId="4D050B16" w14:textId="77777777" w:rsidTr="009F7D00">
        <w:trPr>
          <w:cantSplit/>
        </w:trPr>
        <w:tc>
          <w:tcPr>
            <w:tcW w:w="1243" w:type="dxa"/>
            <w:tcBorders>
              <w:left w:val="single" w:sz="4" w:space="0" w:color="auto"/>
              <w:bottom w:val="single" w:sz="4" w:space="0" w:color="auto"/>
            </w:tcBorders>
          </w:tcPr>
          <w:p w14:paraId="03A3C90B" w14:textId="77777777" w:rsidR="009F7D00" w:rsidRPr="00A44648" w:rsidRDefault="009F7D00" w:rsidP="009F7D00">
            <w:pPr>
              <w:rPr>
                <w:rFonts w:ascii="Arial" w:eastAsia="Arial" w:hAnsi="Arial" w:cs="Arial"/>
              </w:rPr>
            </w:pPr>
            <w:r w:rsidRPr="00A44648">
              <w:rPr>
                <w:rFonts w:ascii="Arial" w:eastAsia="Arial" w:hAnsi="Arial" w:cs="Arial"/>
              </w:rPr>
              <w:t>SHCP</w:t>
            </w:r>
          </w:p>
        </w:tc>
        <w:tc>
          <w:tcPr>
            <w:tcW w:w="7397" w:type="dxa"/>
            <w:tcBorders>
              <w:bottom w:val="single" w:sz="4" w:space="0" w:color="auto"/>
              <w:right w:val="single" w:sz="4" w:space="0" w:color="auto"/>
            </w:tcBorders>
          </w:tcPr>
          <w:p w14:paraId="3D64545B" w14:textId="77777777" w:rsidR="009F7D00" w:rsidRPr="00A44648" w:rsidRDefault="009F7D00" w:rsidP="009F7D00">
            <w:pPr>
              <w:rPr>
                <w:rFonts w:ascii="Arial" w:eastAsia="Arial" w:hAnsi="Arial" w:cs="Arial"/>
                <w:lang w:val="es-ES_tradnl"/>
              </w:rPr>
            </w:pPr>
            <w:r w:rsidRPr="00A44648">
              <w:rPr>
                <w:rFonts w:ascii="Arial" w:eastAsia="Arial" w:hAnsi="Arial" w:cs="Arial"/>
                <w:lang w:val="es-ES_tradnl"/>
              </w:rPr>
              <w:t>Secretaría de Hacienda y Crédito Público</w:t>
            </w:r>
          </w:p>
        </w:tc>
      </w:tr>
    </w:tbl>
    <w:p w14:paraId="558737A3" w14:textId="77777777" w:rsidR="009F7D00" w:rsidRPr="00A44648" w:rsidRDefault="009F7D00" w:rsidP="009F7D00">
      <w:pPr>
        <w:rPr>
          <w:rFonts w:ascii="Arial" w:hAnsi="Arial" w:cs="Arial"/>
          <w:lang w:val="es-ES_tradnl"/>
        </w:rPr>
      </w:pPr>
    </w:p>
    <w:p w14:paraId="3F6E5097" w14:textId="77777777" w:rsidR="009F7D00" w:rsidRPr="00A44648" w:rsidRDefault="009F7D00" w:rsidP="00163B83">
      <w:pPr>
        <w:pStyle w:val="ListParagraph"/>
        <w:numPr>
          <w:ilvl w:val="0"/>
          <w:numId w:val="12"/>
        </w:numPr>
        <w:spacing w:after="0" w:line="240" w:lineRule="auto"/>
        <w:rPr>
          <w:rFonts w:ascii="Arial" w:hAnsi="Arial" w:cs="Arial"/>
          <w:lang w:val="es-ES_tradnl"/>
        </w:rPr>
        <w:sectPr w:rsidR="009F7D00" w:rsidRPr="00A44648" w:rsidSect="009F7D00">
          <w:headerReference w:type="first" r:id="rId17"/>
          <w:pgSz w:w="12240" w:h="15840" w:code="1"/>
          <w:pgMar w:top="1440" w:right="1800" w:bottom="1440" w:left="1800" w:header="706" w:footer="706" w:gutter="0"/>
          <w:pgNumType w:fmt="lowerRoman" w:start="1"/>
          <w:cols w:space="720"/>
          <w:formProt w:val="0"/>
          <w:titlePg/>
        </w:sectPr>
      </w:pPr>
    </w:p>
    <w:p w14:paraId="06168BAC" w14:textId="77777777" w:rsidR="009F7D00" w:rsidRPr="00A44648" w:rsidRDefault="009F7D00" w:rsidP="00163B83">
      <w:pPr>
        <w:pStyle w:val="Chapter"/>
        <w:numPr>
          <w:ilvl w:val="0"/>
          <w:numId w:val="11"/>
        </w:numPr>
        <w:rPr>
          <w:rFonts w:ascii="Arial" w:eastAsia="Arial" w:hAnsi="Arial" w:cs="Arial"/>
          <w:sz w:val="22"/>
        </w:rPr>
        <w:sectPr w:rsidR="009F7D00" w:rsidRPr="00A44648" w:rsidSect="009F7D00">
          <w:headerReference w:type="even" r:id="rId18"/>
          <w:headerReference w:type="default" r:id="rId19"/>
          <w:footerReference w:type="even" r:id="rId20"/>
          <w:headerReference w:type="first" r:id="rId21"/>
          <w:type w:val="continuous"/>
          <w:pgSz w:w="12240" w:h="15840" w:code="1"/>
          <w:pgMar w:top="1440" w:right="1800" w:bottom="1440" w:left="1800" w:header="706" w:footer="706" w:gutter="0"/>
          <w:pgNumType w:start="1"/>
          <w:cols w:space="720"/>
          <w:formProt w:val="0"/>
          <w:titlePg/>
        </w:sectPr>
      </w:pPr>
      <w:bookmarkStart w:id="0" w:name="_Toc507693477"/>
      <w:bookmarkStart w:id="1" w:name="_Toc507698576"/>
    </w:p>
    <w:p w14:paraId="29F8FEA8" w14:textId="27FA922A" w:rsidR="009F7D00" w:rsidRPr="00A44648" w:rsidRDefault="009F7D00" w:rsidP="00163B83">
      <w:pPr>
        <w:pStyle w:val="Chapter"/>
        <w:numPr>
          <w:ilvl w:val="0"/>
          <w:numId w:val="11"/>
        </w:numPr>
        <w:tabs>
          <w:tab w:val="clear" w:pos="1440"/>
          <w:tab w:val="clear" w:pos="1800"/>
          <w:tab w:val="num" w:pos="1260"/>
        </w:tabs>
        <w:ind w:left="720" w:firstLine="0"/>
        <w:rPr>
          <w:rFonts w:ascii="Arial" w:eastAsia="Arial" w:hAnsi="Arial" w:cs="Arial"/>
          <w:sz w:val="22"/>
        </w:rPr>
      </w:pPr>
      <w:bookmarkStart w:id="2" w:name="_Toc508204046"/>
      <w:r w:rsidRPr="00A44648">
        <w:rPr>
          <w:rFonts w:ascii="Arial" w:eastAsia="Arial" w:hAnsi="Arial" w:cs="Arial"/>
          <w:sz w:val="22"/>
        </w:rPr>
        <w:t>Descripción del Proyecto y Monitoreo de Resultados</w:t>
      </w:r>
      <w:bookmarkEnd w:id="0"/>
      <w:bookmarkEnd w:id="1"/>
      <w:bookmarkEnd w:id="2"/>
    </w:p>
    <w:p w14:paraId="504E3D36" w14:textId="77777777" w:rsidR="009F7D00" w:rsidRPr="00A44648" w:rsidRDefault="009F7D00" w:rsidP="00163B83">
      <w:pPr>
        <w:pStyle w:val="FirstHeading"/>
        <w:numPr>
          <w:ilvl w:val="0"/>
          <w:numId w:val="10"/>
        </w:numPr>
        <w:rPr>
          <w:rFonts w:eastAsia="Arial"/>
          <w:szCs w:val="22"/>
        </w:rPr>
      </w:pPr>
      <w:bookmarkStart w:id="3" w:name="_Toc507693478"/>
      <w:bookmarkStart w:id="4" w:name="_Toc507698577"/>
      <w:bookmarkStart w:id="5" w:name="_Toc508204047"/>
      <w:r w:rsidRPr="00A44648">
        <w:rPr>
          <w:rFonts w:eastAsia="Arial"/>
          <w:szCs w:val="22"/>
        </w:rPr>
        <w:t>Antecedentes del Programa</w:t>
      </w:r>
      <w:bookmarkEnd w:id="3"/>
      <w:bookmarkEnd w:id="4"/>
      <w:bookmarkEnd w:id="5"/>
    </w:p>
    <w:p w14:paraId="648F13B6" w14:textId="77777777" w:rsidR="009F7D00" w:rsidRPr="00A44648" w:rsidRDefault="009F7D00" w:rsidP="00163B83">
      <w:pPr>
        <w:pStyle w:val="Paragraph"/>
        <w:numPr>
          <w:ilvl w:val="1"/>
          <w:numId w:val="11"/>
        </w:numPr>
        <w:tabs>
          <w:tab w:val="clear" w:pos="1296"/>
          <w:tab w:val="num" w:pos="720"/>
        </w:tabs>
        <w:ind w:left="720" w:hanging="756"/>
        <w:rPr>
          <w:rFonts w:ascii="Arial" w:eastAsia="Arial" w:hAnsi="Arial" w:cs="Arial"/>
          <w:sz w:val="22"/>
        </w:rPr>
      </w:pPr>
      <w:bookmarkStart w:id="6" w:name="_Toc508101876"/>
      <w:bookmarkStart w:id="7" w:name="_Toc508101921"/>
      <w:r w:rsidRPr="00A44648">
        <w:rPr>
          <w:rFonts w:ascii="Arial" w:eastAsia="Arial" w:hAnsi="Arial" w:cs="Arial"/>
          <w:sz w:val="22"/>
        </w:rPr>
        <w:t>El propósito de este documento es solicitar al Directorio Ejecutivo del Banco la aprobación de modificaciones al Programa de Financiamiento y Transferencia de Riesgos para Geotermia (3178/OC-ME, 3179/TC-ME;</w:t>
      </w:r>
      <w:r w:rsidRPr="00A44648">
        <w:rPr>
          <w:rFonts w:ascii="Arial" w:hAnsi="Arial" w:cs="Arial"/>
          <w:sz w:val="22"/>
        </w:rPr>
        <w:t xml:space="preserve"> </w:t>
      </w:r>
      <w:r w:rsidRPr="00A44648">
        <w:rPr>
          <w:rFonts w:ascii="Arial" w:eastAsia="Arial" w:hAnsi="Arial" w:cs="Arial"/>
          <w:sz w:val="22"/>
        </w:rPr>
        <w:t>GRT/TC-14423-ME, GRT/TC-14424-ME). Este programa fue aprobado por el Directorio Ejecutivo del Banco el 29 de mayo de 2014.</w:t>
      </w:r>
      <w:bookmarkEnd w:id="6"/>
      <w:bookmarkEnd w:id="7"/>
    </w:p>
    <w:p w14:paraId="5FF417D0" w14:textId="4EA65B34" w:rsidR="009F7D00" w:rsidRPr="00A44648" w:rsidRDefault="009F7D00" w:rsidP="00163B83">
      <w:pPr>
        <w:pStyle w:val="Paragraph"/>
        <w:numPr>
          <w:ilvl w:val="1"/>
          <w:numId w:val="11"/>
        </w:numPr>
        <w:tabs>
          <w:tab w:val="clear" w:pos="1296"/>
          <w:tab w:val="num" w:pos="720"/>
        </w:tabs>
        <w:ind w:left="720" w:hanging="756"/>
        <w:rPr>
          <w:rFonts w:ascii="Arial" w:eastAsia="Arial" w:hAnsi="Arial" w:cs="Arial"/>
          <w:sz w:val="22"/>
        </w:rPr>
      </w:pPr>
      <w:bookmarkStart w:id="8" w:name="_Toc508101922"/>
      <w:r w:rsidRPr="00A44648">
        <w:rPr>
          <w:rFonts w:ascii="Arial" w:eastAsia="Arial" w:hAnsi="Arial" w:cs="Arial"/>
          <w:sz w:val="22"/>
        </w:rPr>
        <w:t>El objetivo del programa es aumentar la generación de electricidad a partir de fuentes geotérmicas a fin de contribuir a la diversificación de la matriz energética, así como reducir la dependencia de los combustibles fósiles y las emisiones de Gases de Efecto Invernadero (GEI) en México. Para ello, el programa tiene el propósito de aumentar la escala de las inversiones en los proyectos de generación geo-termoeléctrica dando acceso a una serie de mecanismos financieros adaptados para satisfacer las necesidades específicas de cada una de las etapas de desarrollo de los proyectos. Esto incluye mecanismos de mitigación de riesgos y distintos mecanismos de financiamiento para las fases de exploración, perforación, preparación del campo, construcción y operación de proyectos geotérmicos privados.</w:t>
      </w:r>
      <w:bookmarkEnd w:id="8"/>
    </w:p>
    <w:p w14:paraId="32427994" w14:textId="77777777" w:rsidR="009F7D00" w:rsidRPr="00A44648" w:rsidRDefault="009F7D00" w:rsidP="009F7D00">
      <w:pPr>
        <w:pStyle w:val="ListParagraph"/>
        <w:jc w:val="center"/>
        <w:rPr>
          <w:rFonts w:ascii="Arial" w:eastAsia="Arial" w:hAnsi="Arial" w:cs="Arial"/>
          <w:lang w:val="es-ES_tradnl"/>
        </w:rPr>
      </w:pPr>
    </w:p>
    <w:p w14:paraId="3B3EF5A3" w14:textId="77777777" w:rsidR="009F7D00" w:rsidRPr="00A44648" w:rsidRDefault="009F7D00" w:rsidP="00163B83">
      <w:pPr>
        <w:pStyle w:val="Paragraph"/>
        <w:numPr>
          <w:ilvl w:val="1"/>
          <w:numId w:val="11"/>
        </w:numPr>
        <w:tabs>
          <w:tab w:val="clear" w:pos="1296"/>
          <w:tab w:val="num" w:pos="720"/>
        </w:tabs>
        <w:ind w:left="720" w:hanging="720"/>
        <w:rPr>
          <w:rFonts w:ascii="Arial" w:hAnsi="Arial" w:cs="Arial"/>
          <w:sz w:val="22"/>
        </w:rPr>
      </w:pPr>
      <w:bookmarkStart w:id="9" w:name="_Toc508101924"/>
      <w:r w:rsidRPr="00A44648">
        <w:rPr>
          <w:rFonts w:ascii="Arial" w:eastAsia="Arial" w:hAnsi="Arial" w:cs="Arial"/>
          <w:sz w:val="22"/>
        </w:rPr>
        <w:t>El programa se estructura bajo la modalidad Global de Crédito, y consta de dos componentes: (i) Componente 1. Mitigación de riesgos para proyectos geotérmicos en las etapas iniciales de exploración y pruebas de perforación; y (ii) Componente 2. Financiamiento adaptado a diferentes fases de exploración y ejecución de un proyecto. Asimismo, prevé recursos para financiar costos de ejecución y actividades de asistencia técnica.</w:t>
      </w:r>
    </w:p>
    <w:p w14:paraId="79624401" w14:textId="147342D8" w:rsidR="009F7D00" w:rsidRPr="00A44648" w:rsidRDefault="009F7D00" w:rsidP="00163B83">
      <w:pPr>
        <w:pStyle w:val="Paragraph"/>
        <w:numPr>
          <w:ilvl w:val="1"/>
          <w:numId w:val="11"/>
        </w:numPr>
        <w:tabs>
          <w:tab w:val="clear" w:pos="1296"/>
          <w:tab w:val="num" w:pos="720"/>
        </w:tabs>
        <w:ind w:left="720" w:hanging="720"/>
        <w:rPr>
          <w:rFonts w:ascii="Arial" w:hAnsi="Arial" w:cs="Arial"/>
          <w:b/>
          <w:sz w:val="22"/>
        </w:rPr>
      </w:pPr>
      <w:r w:rsidRPr="00A44648">
        <w:rPr>
          <w:rFonts w:ascii="Arial" w:hAnsi="Arial" w:cs="Arial"/>
          <w:sz w:val="22"/>
        </w:rPr>
        <w:t>El ciclo de un proyecto geotérmico comienza con los estudios de superficie que incluyen los estudios: geológico, geoquímico y geofísico, más conocidos como 3G. Después de los 3G, la incertidumbre de donde se encuentra el recurso disminuye. Los 3G ayudan a identificar los lugares donde habría mayor probabilidad de éxito a la hora de perforar. La etapa de 3G generalmente es financiada por los mismos desarrolladores. La etapa de exploración de diámetro reducido</w:t>
      </w:r>
      <w:r w:rsidRPr="00A44648">
        <w:rPr>
          <w:rStyle w:val="FootnoteReference"/>
          <w:rFonts w:ascii="Arial" w:hAnsi="Arial" w:cs="Arial"/>
          <w:sz w:val="22"/>
        </w:rPr>
        <w:footnoteReference w:id="1"/>
      </w:r>
      <w:r w:rsidRPr="00A44648">
        <w:rPr>
          <w:rFonts w:ascii="Arial" w:hAnsi="Arial" w:cs="Arial"/>
          <w:sz w:val="22"/>
        </w:rPr>
        <w:t xml:space="preserve"> se utiliza para reducir más aun la incertidumbre de la ubicación del recurso. El resultado de dicha etapa debería entregar información sobre temperatura, flujo y presión de recurso (vapor de agua), lo cual permite acotar más la ubicación y cantidad del recurso. La siguiente etapa es la exploración de diámetro comercial.</w:t>
      </w:r>
      <w:r w:rsidRPr="00A44648">
        <w:rPr>
          <w:rStyle w:val="FootnoteReference"/>
          <w:rFonts w:ascii="Arial" w:hAnsi="Arial" w:cs="Arial"/>
          <w:sz w:val="22"/>
        </w:rPr>
        <w:footnoteReference w:id="2"/>
      </w:r>
      <w:r w:rsidRPr="00A44648">
        <w:rPr>
          <w:rFonts w:ascii="Arial" w:hAnsi="Arial" w:cs="Arial"/>
          <w:sz w:val="22"/>
        </w:rPr>
        <w:t xml:space="preserve"> Esta es la etapa de mayor riesgo debido al alto costo de la perforación y la alta probabilidad de falla. Una exploración exitosa que verifica la existencia del recurso en la cantidad y condiciones deseadas permite continuar con la siguiente etapa de explotación del recurso. En esta etapa ya no hay riesgo, ya que se captura todo el recurso y se hace pasar por una turbina para la generación y venta eléctrica. Al fin del proceso, el vapor de agua es condensado y éste debe retornar a la profundidad de donde se extrajo con el fin de mantener el equilibrio hidrogeológico. Esta etapa se conoce como la de reinyección de los fluidos.</w:t>
      </w:r>
      <w:bookmarkEnd w:id="9"/>
      <w:r w:rsidRPr="00A44648">
        <w:rPr>
          <w:rFonts w:ascii="Arial" w:hAnsi="Arial" w:cs="Arial"/>
          <w:b/>
          <w:sz w:val="22"/>
        </w:rPr>
        <w:t xml:space="preserve">            </w:t>
      </w:r>
    </w:p>
    <w:p w14:paraId="49D7D9BE" w14:textId="77777777" w:rsidR="009F7D00" w:rsidRPr="00A44648" w:rsidRDefault="009F7D00" w:rsidP="009F7D00">
      <w:pPr>
        <w:jc w:val="center"/>
        <w:rPr>
          <w:rFonts w:ascii="Arial" w:eastAsia="Arial" w:hAnsi="Arial" w:cs="Arial"/>
          <w:b/>
          <w:lang w:val="es-ES_tradnl"/>
        </w:rPr>
      </w:pPr>
      <w:r w:rsidRPr="00A44648">
        <w:rPr>
          <w:rFonts w:ascii="Arial" w:hAnsi="Arial" w:cs="Arial"/>
          <w:b/>
          <w:lang w:val="es-ES_tradnl"/>
        </w:rPr>
        <w:t xml:space="preserve">Figura 1. </w:t>
      </w:r>
      <w:r w:rsidRPr="00A44648">
        <w:rPr>
          <w:rFonts w:ascii="Arial" w:eastAsia="Arial" w:hAnsi="Arial" w:cs="Arial"/>
          <w:b/>
          <w:lang w:val="es-ES_tradnl"/>
        </w:rPr>
        <w:t>Relación del Costo y el Riesgo en el Desarrollo de los Proyectos Geo-termoeléctricos</w:t>
      </w:r>
    </w:p>
    <w:p w14:paraId="78C91FC4" w14:textId="77777777" w:rsidR="009F7D00" w:rsidRPr="00A44648" w:rsidRDefault="009F7D00" w:rsidP="009F7D00">
      <w:pPr>
        <w:spacing w:before="120" w:after="120"/>
        <w:jc w:val="center"/>
        <w:rPr>
          <w:rFonts w:ascii="Arial" w:hAnsi="Arial" w:cs="Arial"/>
        </w:rPr>
      </w:pPr>
      <w:r w:rsidRPr="00A44648">
        <w:rPr>
          <w:rFonts w:ascii="Arial" w:hAnsi="Arial" w:cs="Arial"/>
          <w:noProof/>
          <w:lang w:val="es-ES_tradnl"/>
        </w:rPr>
        <w:t xml:space="preserve">           </w:t>
      </w:r>
      <w:r w:rsidRPr="00A44648">
        <w:rPr>
          <w:rFonts w:ascii="Arial" w:hAnsi="Arial" w:cs="Arial"/>
          <w:noProof/>
        </w:rPr>
        <w:drawing>
          <wp:inline distT="0" distB="0" distL="0" distR="0" wp14:anchorId="06C894D6" wp14:editId="58029235">
            <wp:extent cx="3319463" cy="2168628"/>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42697" cy="2183807"/>
                    </a:xfrm>
                    <a:prstGeom prst="rect">
                      <a:avLst/>
                    </a:prstGeom>
                    <a:noFill/>
                    <a:ln>
                      <a:noFill/>
                    </a:ln>
                  </pic:spPr>
                </pic:pic>
              </a:graphicData>
            </a:graphic>
          </wp:inline>
        </w:drawing>
      </w:r>
    </w:p>
    <w:p w14:paraId="56D4A8EC" w14:textId="77777777" w:rsidR="009F7D00" w:rsidRPr="00A44648" w:rsidRDefault="009F7D00" w:rsidP="009F7D00">
      <w:pPr>
        <w:pStyle w:val="ListParagraph"/>
        <w:rPr>
          <w:rFonts w:ascii="Arial" w:hAnsi="Arial" w:cs="Arial"/>
        </w:rPr>
      </w:pPr>
      <w:r w:rsidRPr="00A44648">
        <w:rPr>
          <w:rFonts w:ascii="Arial" w:eastAsia="Arial" w:hAnsi="Arial" w:cs="Arial"/>
        </w:rPr>
        <w:t>Fuente: Magnus Gehringer y Victor Loksha, Geothermal Handbook: Planning and Financing Power Generation, ESMAP Banco Mundial 2012</w:t>
      </w:r>
    </w:p>
    <w:p w14:paraId="3761565A" w14:textId="77777777" w:rsidR="009F7D00" w:rsidRPr="00A44648" w:rsidRDefault="009F7D00" w:rsidP="009F7D00">
      <w:pPr>
        <w:pStyle w:val="Paragraph"/>
        <w:tabs>
          <w:tab w:val="clear" w:pos="720"/>
        </w:tabs>
        <w:ind w:left="1296" w:firstLine="0"/>
        <w:rPr>
          <w:rFonts w:ascii="Arial" w:hAnsi="Arial" w:cs="Arial"/>
          <w:sz w:val="22"/>
          <w:lang w:val="en-US"/>
        </w:rPr>
      </w:pPr>
      <w:r w:rsidRPr="00A44648" w:rsidDel="009601BF">
        <w:rPr>
          <w:rFonts w:ascii="Arial" w:eastAsia="Arial" w:hAnsi="Arial" w:cs="Arial"/>
          <w:sz w:val="22"/>
          <w:lang w:val="en-US"/>
        </w:rPr>
        <w:t xml:space="preserve"> </w:t>
      </w:r>
    </w:p>
    <w:p w14:paraId="2C3A94C3" w14:textId="77777777" w:rsidR="009F7D00" w:rsidRPr="00A44648" w:rsidRDefault="009F7D00" w:rsidP="00163B83">
      <w:pPr>
        <w:pStyle w:val="Paragraph"/>
        <w:numPr>
          <w:ilvl w:val="1"/>
          <w:numId w:val="11"/>
        </w:numPr>
        <w:tabs>
          <w:tab w:val="clear" w:pos="1296"/>
          <w:tab w:val="num" w:pos="720"/>
        </w:tabs>
        <w:ind w:left="720" w:hanging="756"/>
        <w:rPr>
          <w:rFonts w:ascii="Arial" w:eastAsia="Arial" w:hAnsi="Arial" w:cs="Arial"/>
          <w:sz w:val="22"/>
        </w:rPr>
      </w:pPr>
      <w:bookmarkStart w:id="10" w:name="_Toc508101926"/>
      <w:r w:rsidRPr="00A44648">
        <w:rPr>
          <w:rFonts w:ascii="Arial" w:eastAsia="Arial" w:hAnsi="Arial" w:cs="Arial"/>
          <w:sz w:val="22"/>
        </w:rPr>
        <w:t>El monto total del financiamiento del programa es de US$120.1 millones, distribuidos de la siguiente manera: (i) US$54.3 millones de préstamo de inversión financiados con recursos del Capital Ordinario (CO) del Banco (3178/OC-ME) que constituye la cuarta operación individual bajo la Línea de Crédito Condicional para Proyectos de Inversión (CCLIP, por sus siglas en inglés; ME-X1010); (ii) US$31.5 millones de préstamo de inversión financiado con recursos provenientes del Fondo para una Tecnología Limpia (CTF, por sus siglas en inglés) (3179/TC-ME); (iii) US$20 millones de Donación de Recuperación Contingente (CRG, por sus siglas en inglés) financiado con recursos del CTF (GRT/TC-14424-ME); (iv) US$2.8 millones de cooperación tecnica no reembolsable (GRT/TC-14423-ME); y (v) US$11.5</w:t>
      </w:r>
      <w:r w:rsidRPr="00A44648">
        <w:rPr>
          <w:rFonts w:ascii="Arial" w:eastAsia="Arial" w:hAnsi="Arial" w:cs="Arial"/>
          <w:sz w:val="22"/>
          <w:vertAlign w:val="superscript"/>
        </w:rPr>
        <w:footnoteReference w:id="3"/>
      </w:r>
      <w:r w:rsidRPr="00A44648">
        <w:rPr>
          <w:rFonts w:ascii="Arial" w:eastAsia="Arial" w:hAnsi="Arial" w:cs="Arial"/>
          <w:sz w:val="22"/>
        </w:rPr>
        <w:t xml:space="preserve"> millones provenientes de contrapartida local provistos por el Fondo de Transición Energética y el Aprovechamiento Sustentable de la Energía (FOTEASE).</w:t>
      </w:r>
      <w:bookmarkEnd w:id="10"/>
    </w:p>
    <w:p w14:paraId="5E69BD0D" w14:textId="77777777" w:rsidR="009F7D00" w:rsidRPr="00A44648" w:rsidRDefault="009F7D00" w:rsidP="00163B83">
      <w:pPr>
        <w:pStyle w:val="Paragraph"/>
        <w:numPr>
          <w:ilvl w:val="1"/>
          <w:numId w:val="11"/>
        </w:numPr>
        <w:tabs>
          <w:tab w:val="clear" w:pos="1296"/>
          <w:tab w:val="num" w:pos="720"/>
        </w:tabs>
        <w:ind w:left="720" w:hanging="756"/>
        <w:rPr>
          <w:rFonts w:ascii="Arial" w:eastAsia="Arial" w:hAnsi="Arial" w:cs="Arial"/>
          <w:sz w:val="22"/>
        </w:rPr>
      </w:pPr>
      <w:bookmarkStart w:id="11" w:name="_Toc508101927"/>
      <w:r w:rsidRPr="00A44648">
        <w:rPr>
          <w:rFonts w:ascii="Arial" w:eastAsia="Arial" w:hAnsi="Arial" w:cs="Arial"/>
          <w:sz w:val="22"/>
        </w:rPr>
        <w:t>El prestatario y Organismo Ejecutor (OE) del programa es Nacional Financiera S.N.C. (NAFIN). Los Estados Unidos Mexicanos es el garante de los dos préstamos de inversión. El OE de la cooperación técnica (CT) no reembolsable es el Banco.</w:t>
      </w:r>
      <w:bookmarkEnd w:id="11"/>
    </w:p>
    <w:p w14:paraId="19868F1D" w14:textId="77777777" w:rsidR="009F7D00" w:rsidRPr="00A44648" w:rsidRDefault="009F7D00" w:rsidP="00163B83">
      <w:pPr>
        <w:pStyle w:val="FirstHeading"/>
        <w:numPr>
          <w:ilvl w:val="0"/>
          <w:numId w:val="10"/>
        </w:numPr>
        <w:rPr>
          <w:rFonts w:eastAsia="Arial"/>
          <w:szCs w:val="22"/>
        </w:rPr>
      </w:pPr>
      <w:bookmarkStart w:id="12" w:name="_Toc507693479"/>
      <w:bookmarkStart w:id="13" w:name="_Toc507698578"/>
      <w:bookmarkStart w:id="14" w:name="_Toc508204048"/>
      <w:r w:rsidRPr="00A44648">
        <w:rPr>
          <w:rFonts w:eastAsia="Arial"/>
          <w:szCs w:val="22"/>
        </w:rPr>
        <w:t>Avances del Programa</w:t>
      </w:r>
      <w:bookmarkEnd w:id="12"/>
      <w:bookmarkEnd w:id="13"/>
      <w:bookmarkEnd w:id="14"/>
    </w:p>
    <w:p w14:paraId="5A2D1AE2" w14:textId="77777777" w:rsidR="009F7D00" w:rsidRPr="00A44648" w:rsidRDefault="009F7D00" w:rsidP="00163B83">
      <w:pPr>
        <w:pStyle w:val="Paragraph"/>
        <w:numPr>
          <w:ilvl w:val="1"/>
          <w:numId w:val="11"/>
        </w:numPr>
        <w:tabs>
          <w:tab w:val="clear" w:pos="1296"/>
          <w:tab w:val="num" w:pos="720"/>
        </w:tabs>
        <w:ind w:left="720" w:hanging="720"/>
        <w:rPr>
          <w:rFonts w:ascii="Arial" w:eastAsia="Arial" w:hAnsi="Arial" w:cs="Arial"/>
          <w:sz w:val="22"/>
        </w:rPr>
      </w:pPr>
      <w:bookmarkStart w:id="15" w:name="_Toc508101928"/>
      <w:r w:rsidRPr="00A44648">
        <w:rPr>
          <w:rFonts w:ascii="Arial" w:eastAsia="Arial" w:hAnsi="Arial" w:cs="Arial"/>
          <w:sz w:val="22"/>
        </w:rPr>
        <w:t xml:space="preserve">El 11 de mayo de 2016 se declararon elegibles los préstamos 3178/OC-ME y 3179/TC-ME para realizar desembolsos y la CRG (GRT/TC-14424-ME) el 12 de mayo de 2016. Sin embargo, a la fecha, no se han logrado avances en la ejecución de los mismos, en parte debido a que la estructura original del programa, aunque innovadora, no contribuía a mitigar los riesgos exploratorios en el momento propicio; y por otro lado, resultó poco atractiva para los desarrolladores, ante los resultados recientes observados de compra de energía de otras fuentes renovables no convencionales, impulsadas por las reformas del sector. México experimentó una reforma energética que impulsó la entrada de subastas energéticas que ayudaron a reducir los precios futuros de las energías renovables, particularmente energía solar y eólica, lo cual generaba una presión adicional a la geotermia, esta última sin experiencia previa de participación de capital privado para su desarrollo. Asimismo, la ejecución se dificultó por: </w:t>
      </w:r>
      <w:bookmarkStart w:id="16" w:name="_Hlk509244034"/>
      <w:r w:rsidRPr="00A44648">
        <w:rPr>
          <w:rFonts w:ascii="Arial" w:eastAsia="Arial" w:hAnsi="Arial" w:cs="Arial"/>
          <w:sz w:val="22"/>
        </w:rPr>
        <w:t>(i) la falta de experiencia del OE (NAFIN) en materia geotérmica y en aspectos operativos relacionados a las etapas de exploración y explotación geotérmica; (ii) falta de coordinación entre NAFIN y la Secretaria de Energía (SENER), esta última, ente rector del sector energía; y (iii) la falta de una entidad técnica que pudiera apoyar a NAFIN en materia operativa y ambiental en relación con las distintas fases del ciclo de proyectos geotérmicos.</w:t>
      </w:r>
      <w:bookmarkEnd w:id="15"/>
      <w:bookmarkEnd w:id="16"/>
    </w:p>
    <w:p w14:paraId="0F6D37A8" w14:textId="77777777" w:rsidR="009F7D00" w:rsidRPr="00A44648" w:rsidRDefault="009F7D00" w:rsidP="00163B83">
      <w:pPr>
        <w:pStyle w:val="Paragraph"/>
        <w:numPr>
          <w:ilvl w:val="1"/>
          <w:numId w:val="11"/>
        </w:numPr>
        <w:tabs>
          <w:tab w:val="clear" w:pos="1296"/>
          <w:tab w:val="num" w:pos="720"/>
        </w:tabs>
        <w:ind w:left="720" w:hanging="756"/>
        <w:rPr>
          <w:rFonts w:ascii="Arial" w:eastAsia="Arial" w:hAnsi="Arial" w:cs="Arial"/>
          <w:sz w:val="22"/>
        </w:rPr>
      </w:pPr>
      <w:bookmarkStart w:id="17" w:name="_Toc508101929"/>
      <w:r w:rsidRPr="00A44648">
        <w:rPr>
          <w:rFonts w:ascii="Arial" w:eastAsia="Arial" w:hAnsi="Arial" w:cs="Arial"/>
          <w:sz w:val="22"/>
        </w:rPr>
        <w:t>Los recursos provenientes de la cooperación técnica no reembolsable (GRT/TC-14423-ME) se han ejecutado y/o comprometido por una cantidad de US$700.994, 75 (25,03%) para efectos de financiar servicios de consultoría para el desarrollo del Reglamento Operativo del Programa (ROP), la difusión y promoción del programa con actores geotérmicos y realizar el seguimiento del mercado eléctrico/geotérmico, todas ellas actividades alineadas con los objetivos del programa.</w:t>
      </w:r>
      <w:bookmarkEnd w:id="17"/>
    </w:p>
    <w:p w14:paraId="6BFCDC8E" w14:textId="77777777" w:rsidR="009F7D00" w:rsidRPr="00A44648" w:rsidRDefault="009F7D00" w:rsidP="00163B83">
      <w:pPr>
        <w:pStyle w:val="Paragraph"/>
        <w:numPr>
          <w:ilvl w:val="1"/>
          <w:numId w:val="11"/>
        </w:numPr>
        <w:tabs>
          <w:tab w:val="clear" w:pos="1296"/>
          <w:tab w:val="num" w:pos="720"/>
        </w:tabs>
        <w:ind w:left="720" w:hanging="756"/>
        <w:rPr>
          <w:rFonts w:ascii="Arial" w:eastAsia="Arial" w:hAnsi="Arial" w:cs="Arial"/>
          <w:sz w:val="22"/>
        </w:rPr>
      </w:pPr>
      <w:bookmarkStart w:id="18" w:name="_Toc508101930"/>
      <w:r w:rsidRPr="00A44648">
        <w:rPr>
          <w:rFonts w:ascii="Arial" w:eastAsia="Arial" w:hAnsi="Arial" w:cs="Arial"/>
          <w:sz w:val="22"/>
        </w:rPr>
        <w:t>En enero de 2018, el Comité del CTF aprobó una propuesta de enmienda para abordar las dificultades que imposibilitan el avance en la ejecución del programa. Dicha propuesta incluyó: (i) modificar la naturaleza de los recursos de préstamo financiados por el CTF del monto de US$31.5 millones (3179/TC</w:t>
      </w:r>
      <w:r w:rsidRPr="00A44648">
        <w:rPr>
          <w:rFonts w:ascii="Arial" w:eastAsia="Arial" w:hAnsi="Arial" w:cs="Arial"/>
          <w:sz w:val="22"/>
        </w:rPr>
        <w:noBreakHyphen/>
        <w:t>ME) a CRG. Como resultado, se incrementaría el monto total de CRG (GRT/TC-14424-ME) a US$51.5 millones y se cancelaría el préstamo del CTF (3179/TC-ME)</w:t>
      </w:r>
      <w:r w:rsidRPr="00A44648">
        <w:rPr>
          <w:rStyle w:val="FootnoteReference"/>
          <w:rFonts w:ascii="Arial" w:eastAsia="Arial" w:hAnsi="Arial" w:cs="Arial"/>
          <w:sz w:val="22"/>
        </w:rPr>
        <w:footnoteReference w:id="4"/>
      </w:r>
      <w:r w:rsidRPr="00A44648">
        <w:rPr>
          <w:rFonts w:ascii="Arial" w:eastAsia="Arial" w:hAnsi="Arial" w:cs="Arial"/>
          <w:sz w:val="22"/>
        </w:rPr>
        <w:t xml:space="preserve">. La CRG se mantiene como fondo no reembolsable en caso de fracaso de la fase de exploración y se transforma en reembolsable en caso de éxito de la familia de pozos; (ii) aumentar el período de gracia de los sub-préstamos otorgados por NAFIN a los desarrolladores hasta seis años, para que el repago de los pozos exitosos se lleve a cabo una vez que la planta esté operando y con ventas de electricidad; y (iii) eliminación del mecanismo de reaseguramiento con </w:t>
      </w:r>
      <w:r w:rsidRPr="00A44648">
        <w:rPr>
          <w:rFonts w:ascii="Arial" w:eastAsia="Arial" w:hAnsi="Arial" w:cs="Arial"/>
          <w:i/>
          <w:sz w:val="22"/>
        </w:rPr>
        <w:t>Münich RE</w:t>
      </w:r>
      <w:r w:rsidRPr="00A44648">
        <w:rPr>
          <w:rFonts w:ascii="Arial" w:eastAsia="Arial" w:hAnsi="Arial" w:cs="Arial"/>
          <w:sz w:val="22"/>
        </w:rPr>
        <w:t xml:space="preserve">, el cual se financiaba con recursos de contrapartida local. Como consecuencia de ello, se elimina la contrapartida local del programa. </w:t>
      </w:r>
      <w:r w:rsidRPr="00A44648">
        <w:rPr>
          <w:rFonts w:ascii="Arial" w:eastAsia="Arial" w:hAnsi="Arial" w:cs="Arial"/>
          <w:sz w:val="22"/>
          <w:lang w:val="es-ES_tradnl"/>
        </w:rPr>
        <w:t xml:space="preserve">Sin perjuicio de ello, el Prestatario ha asignado recursos presupuestarios para financiar actividades complementarias e independientes a las financiadas por el programa, los que serán contabilizados como financiamiento paralelo al programa (ver cuadro 2 que contiene la nueva estructura de financiamiento). </w:t>
      </w:r>
      <w:r w:rsidRPr="00A44648">
        <w:rPr>
          <w:rFonts w:ascii="Arial" w:eastAsia="Arial" w:hAnsi="Arial" w:cs="Arial"/>
          <w:sz w:val="22"/>
        </w:rPr>
        <w:t>Para efectos de la implementación de esta propuesta, el comité del CTF requirió la elaboración de un plan de trabajo (ver  Anexo III Cronograma de Actividades 2018; incluido en EEO#6)  y estableció que de no demostrarse avance en el compromiso de los fondos del CTF (en el marco de la CRG) antes de enero 2019, estos podrían ser cancelados.</w:t>
      </w:r>
      <w:bookmarkEnd w:id="18"/>
    </w:p>
    <w:p w14:paraId="5EA61A16" w14:textId="77777777" w:rsidR="009F7D00" w:rsidRPr="00A44648" w:rsidRDefault="009F7D00" w:rsidP="00163B83">
      <w:pPr>
        <w:pStyle w:val="FirstHeading"/>
        <w:numPr>
          <w:ilvl w:val="0"/>
          <w:numId w:val="10"/>
        </w:numPr>
        <w:rPr>
          <w:rFonts w:eastAsia="Arial"/>
          <w:szCs w:val="22"/>
        </w:rPr>
      </w:pPr>
      <w:bookmarkStart w:id="19" w:name="_Toc507693480"/>
      <w:bookmarkStart w:id="20" w:name="_Toc507698579"/>
      <w:bookmarkStart w:id="21" w:name="_Toc508204049"/>
      <w:r w:rsidRPr="00A44648">
        <w:rPr>
          <w:rFonts w:eastAsia="Arial"/>
          <w:szCs w:val="22"/>
        </w:rPr>
        <w:t>Solicitud del Prestatario</w:t>
      </w:r>
      <w:bookmarkEnd w:id="19"/>
      <w:bookmarkEnd w:id="20"/>
      <w:bookmarkEnd w:id="21"/>
    </w:p>
    <w:p w14:paraId="2543AA6A" w14:textId="77777777" w:rsidR="009F7D00" w:rsidRPr="00A44648" w:rsidRDefault="009F7D00" w:rsidP="00163B83">
      <w:pPr>
        <w:pStyle w:val="Paragraph"/>
        <w:numPr>
          <w:ilvl w:val="1"/>
          <w:numId w:val="11"/>
        </w:numPr>
        <w:tabs>
          <w:tab w:val="clear" w:pos="1296"/>
          <w:tab w:val="num" w:pos="720"/>
        </w:tabs>
        <w:ind w:left="720" w:hanging="720"/>
        <w:rPr>
          <w:rFonts w:ascii="Arial" w:eastAsia="Arial" w:hAnsi="Arial" w:cs="Arial"/>
          <w:sz w:val="22"/>
        </w:rPr>
      </w:pPr>
      <w:bookmarkStart w:id="22" w:name="_Toc508101931"/>
      <w:r w:rsidRPr="00A44648">
        <w:rPr>
          <w:rFonts w:ascii="Arial" w:eastAsia="Arial" w:hAnsi="Arial" w:cs="Arial"/>
          <w:sz w:val="22"/>
        </w:rPr>
        <w:t>El GdM, a través de la Secretaría de Hacienda y Crédito Público (SHCP), NAFIN y la SENER, solicitó al Banco la modificación del programa, con el fin de implementar la modificación aprobada por el CTF. Asimismo, solicitó que los recursos de la CT no reembolsable (GRT/TC-14423</w:t>
      </w:r>
      <w:r w:rsidRPr="00A44648">
        <w:rPr>
          <w:rFonts w:ascii="Arial" w:eastAsia="Arial" w:hAnsi="Arial" w:cs="Arial"/>
          <w:sz w:val="22"/>
        </w:rPr>
        <w:noBreakHyphen/>
        <w:t xml:space="preserve">ME) puedan ser utilizados, entre otras actividades, para contratar al Instituto Nacional de Electricidad y Energías Limpias (INEEL), quien brindaría apoyo operativo y técnico para la ejecución del programa. Por otro lado, solicitó la extensión de los plazos de desembolso del programa, por cuanto el ciclo de un proyecto geotérmico requiere de periodos de ejecución extensos. </w:t>
      </w:r>
      <w:bookmarkEnd w:id="22"/>
    </w:p>
    <w:p w14:paraId="2FED77FB" w14:textId="77777777" w:rsidR="00F112F5" w:rsidRPr="00A44648" w:rsidRDefault="009F7D00" w:rsidP="00163B83">
      <w:pPr>
        <w:pStyle w:val="Paragraph"/>
        <w:numPr>
          <w:ilvl w:val="1"/>
          <w:numId w:val="11"/>
        </w:numPr>
        <w:tabs>
          <w:tab w:val="clear" w:pos="1296"/>
          <w:tab w:val="num" w:pos="720"/>
        </w:tabs>
        <w:ind w:left="720" w:hanging="756"/>
        <w:rPr>
          <w:rFonts w:ascii="Arial" w:eastAsia="Arial" w:hAnsi="Arial" w:cs="Arial"/>
          <w:sz w:val="22"/>
        </w:rPr>
      </w:pPr>
      <w:bookmarkStart w:id="23" w:name="_Toc508101932"/>
      <w:r w:rsidRPr="00A44648">
        <w:rPr>
          <w:rFonts w:ascii="Arial" w:eastAsia="Arial" w:hAnsi="Arial" w:cs="Arial"/>
          <w:sz w:val="22"/>
        </w:rPr>
        <w:t>El Prestatario acordó que el programa seguirá siendo ejecutado por NAFIN, esta vez en estrecha coordinación con la SENER como líder del sector, y con apoyo del INEEL como brazo técnico operativo. Para lograr una ejecución coordinada se propone establecer un Comité Coordinador de Geotermia (CCG) que será presidido por la SENER, con participación de NAFIN, INEEL, SHCP y el Banco Interamericano de Desarrollo (BID); éste último en calidad de observador. El CCG facilitará el establecimiento de un mecanismo de ejecución coordinado por las entidades pertinentes, de acuerdo con sus competencias y responsabilidades, garantizando así una ejecución integral y de mayor impacto del programa</w:t>
      </w:r>
      <w:bookmarkEnd w:id="23"/>
      <w:r w:rsidRPr="00A44648">
        <w:rPr>
          <w:rFonts w:ascii="Arial" w:eastAsia="Arial" w:hAnsi="Arial" w:cs="Arial"/>
          <w:sz w:val="22"/>
        </w:rPr>
        <w:t xml:space="preserve">. </w:t>
      </w:r>
    </w:p>
    <w:p w14:paraId="442098FF" w14:textId="77777777" w:rsidR="00F112F5" w:rsidRPr="00A44648" w:rsidRDefault="00F112F5" w:rsidP="00163B83">
      <w:pPr>
        <w:pStyle w:val="Paragraph"/>
        <w:numPr>
          <w:ilvl w:val="1"/>
          <w:numId w:val="11"/>
        </w:numPr>
        <w:tabs>
          <w:tab w:val="clear" w:pos="1296"/>
          <w:tab w:val="num" w:pos="720"/>
        </w:tabs>
        <w:ind w:left="720" w:hanging="756"/>
        <w:rPr>
          <w:rFonts w:ascii="Arial" w:eastAsia="Arial" w:hAnsi="Arial" w:cs="Arial"/>
          <w:b/>
          <w:sz w:val="22"/>
        </w:rPr>
      </w:pPr>
      <w:r w:rsidRPr="00A44648">
        <w:rPr>
          <w:rFonts w:ascii="Arial" w:hAnsi="Arial" w:cs="Arial"/>
          <w:b/>
          <w:sz w:val="22"/>
        </w:rPr>
        <w:t>Costo del p</w:t>
      </w:r>
      <w:r w:rsidR="005D6AAA" w:rsidRPr="00A44648">
        <w:rPr>
          <w:rFonts w:ascii="Arial" w:hAnsi="Arial" w:cs="Arial"/>
          <w:b/>
          <w:sz w:val="22"/>
          <w:lang w:val="es-ES_tradnl"/>
        </w:rPr>
        <w:t>ro</w:t>
      </w:r>
      <w:r w:rsidRPr="00A44648">
        <w:rPr>
          <w:rFonts w:ascii="Arial" w:hAnsi="Arial" w:cs="Arial"/>
          <w:b/>
          <w:sz w:val="22"/>
        </w:rPr>
        <w:t>grama</w:t>
      </w:r>
    </w:p>
    <w:p w14:paraId="319A4D0C" w14:textId="77777777" w:rsidR="00F112F5" w:rsidRPr="00A44648" w:rsidRDefault="00F112F5" w:rsidP="00F112F5">
      <w:pPr>
        <w:pStyle w:val="ListParagraph"/>
        <w:spacing w:before="120" w:after="120"/>
        <w:ind w:left="0"/>
        <w:jc w:val="center"/>
        <w:rPr>
          <w:rFonts w:ascii="Arial" w:eastAsia="Arial" w:hAnsi="Arial" w:cs="Arial"/>
          <w:b/>
          <w:lang w:val="es-ES_tradnl"/>
        </w:rPr>
      </w:pPr>
      <w:r w:rsidRPr="00A44648">
        <w:rPr>
          <w:rFonts w:ascii="Arial" w:eastAsia="Arial" w:hAnsi="Arial" w:cs="Arial"/>
          <w:b/>
          <w:lang w:val="es-ES_tradnl"/>
        </w:rPr>
        <w:t>Tabla 1. Costo del Programa Modificado (expresado en millones de US$) *</w:t>
      </w:r>
    </w:p>
    <w:tbl>
      <w:tblPr>
        <w:tblStyle w:val="TableGrid"/>
        <w:tblW w:w="8630" w:type="dxa"/>
        <w:jc w:val="center"/>
        <w:tblLook w:val="04A0" w:firstRow="1" w:lastRow="0" w:firstColumn="1" w:lastColumn="0" w:noHBand="0" w:noVBand="1"/>
      </w:tblPr>
      <w:tblGrid>
        <w:gridCol w:w="5867"/>
        <w:gridCol w:w="773"/>
        <w:gridCol w:w="661"/>
        <w:gridCol w:w="1329"/>
      </w:tblGrid>
      <w:tr w:rsidR="00F112F5" w:rsidRPr="00A44648" w14:paraId="13B7771E" w14:textId="77777777" w:rsidTr="006A685D">
        <w:trPr>
          <w:cantSplit/>
          <w:trHeight w:val="315"/>
          <w:jc w:val="center"/>
        </w:trPr>
        <w:tc>
          <w:tcPr>
            <w:tcW w:w="5867" w:type="dxa"/>
            <w:shd w:val="clear" w:color="auto" w:fill="A6A6A6" w:themeFill="background1" w:themeFillShade="A6"/>
          </w:tcPr>
          <w:p w14:paraId="078A9A1B" w14:textId="77777777" w:rsidR="00F112F5" w:rsidRPr="00A44648" w:rsidRDefault="00F112F5" w:rsidP="006A685D">
            <w:pPr>
              <w:jc w:val="both"/>
              <w:rPr>
                <w:rFonts w:ascii="Arial" w:hAnsi="Arial" w:cs="Arial"/>
                <w:b/>
              </w:rPr>
            </w:pPr>
            <w:r w:rsidRPr="00A44648">
              <w:rPr>
                <w:rFonts w:ascii="Arial" w:hAnsi="Arial" w:cs="Arial"/>
                <w:b/>
              </w:rPr>
              <w:t>Componentes</w:t>
            </w:r>
          </w:p>
        </w:tc>
        <w:tc>
          <w:tcPr>
            <w:tcW w:w="773" w:type="dxa"/>
            <w:shd w:val="clear" w:color="auto" w:fill="A6A6A6" w:themeFill="background1" w:themeFillShade="A6"/>
            <w:vAlign w:val="center"/>
          </w:tcPr>
          <w:p w14:paraId="6B46C1FE" w14:textId="77777777" w:rsidR="00F112F5" w:rsidRPr="00A44648" w:rsidRDefault="00F112F5" w:rsidP="006A685D">
            <w:pPr>
              <w:jc w:val="center"/>
              <w:rPr>
                <w:rFonts w:ascii="Arial" w:hAnsi="Arial" w:cs="Arial"/>
                <w:b/>
              </w:rPr>
            </w:pPr>
            <w:r w:rsidRPr="00A44648">
              <w:rPr>
                <w:rFonts w:ascii="Arial" w:hAnsi="Arial" w:cs="Arial"/>
                <w:b/>
              </w:rPr>
              <w:t>BID</w:t>
            </w:r>
          </w:p>
        </w:tc>
        <w:tc>
          <w:tcPr>
            <w:tcW w:w="661" w:type="dxa"/>
            <w:shd w:val="clear" w:color="auto" w:fill="A6A6A6" w:themeFill="background1" w:themeFillShade="A6"/>
            <w:vAlign w:val="center"/>
          </w:tcPr>
          <w:p w14:paraId="148D125B" w14:textId="77777777" w:rsidR="00F112F5" w:rsidRPr="00A44648" w:rsidRDefault="00F112F5" w:rsidP="006A685D">
            <w:pPr>
              <w:jc w:val="center"/>
              <w:rPr>
                <w:rFonts w:ascii="Arial" w:hAnsi="Arial" w:cs="Arial"/>
                <w:b/>
              </w:rPr>
            </w:pPr>
            <w:r w:rsidRPr="00A44648">
              <w:rPr>
                <w:rFonts w:ascii="Arial" w:hAnsi="Arial" w:cs="Arial"/>
                <w:b/>
              </w:rPr>
              <w:t>CTF</w:t>
            </w:r>
          </w:p>
        </w:tc>
        <w:tc>
          <w:tcPr>
            <w:tcW w:w="1329" w:type="dxa"/>
            <w:shd w:val="clear" w:color="auto" w:fill="A6A6A6" w:themeFill="background1" w:themeFillShade="A6"/>
            <w:vAlign w:val="center"/>
          </w:tcPr>
          <w:p w14:paraId="0305E1E3" w14:textId="77777777" w:rsidR="00F112F5" w:rsidRPr="00A44648" w:rsidRDefault="00F112F5" w:rsidP="006A685D">
            <w:pPr>
              <w:jc w:val="center"/>
              <w:rPr>
                <w:rFonts w:ascii="Arial" w:hAnsi="Arial" w:cs="Arial"/>
                <w:b/>
              </w:rPr>
            </w:pPr>
            <w:r w:rsidRPr="00A44648">
              <w:rPr>
                <w:rFonts w:ascii="Arial" w:hAnsi="Arial" w:cs="Arial"/>
                <w:b/>
              </w:rPr>
              <w:t>Actual</w:t>
            </w:r>
          </w:p>
        </w:tc>
      </w:tr>
      <w:tr w:rsidR="00F112F5" w:rsidRPr="00A44648" w14:paraId="2F23DDD3" w14:textId="77777777" w:rsidTr="006A685D">
        <w:trPr>
          <w:trHeight w:val="443"/>
          <w:jc w:val="center"/>
        </w:trPr>
        <w:tc>
          <w:tcPr>
            <w:tcW w:w="5867" w:type="dxa"/>
            <w:vAlign w:val="center"/>
          </w:tcPr>
          <w:p w14:paraId="00616F7B" w14:textId="77777777" w:rsidR="00F112F5" w:rsidRPr="00A44648" w:rsidRDefault="00F112F5" w:rsidP="006A685D">
            <w:pPr>
              <w:jc w:val="both"/>
              <w:rPr>
                <w:rFonts w:ascii="Arial" w:hAnsi="Arial" w:cs="Arial"/>
                <w:lang w:val="es-ES_tradnl"/>
              </w:rPr>
            </w:pPr>
            <w:r w:rsidRPr="00A44648">
              <w:rPr>
                <w:rFonts w:ascii="Arial" w:hAnsi="Arial" w:cs="Arial"/>
                <w:lang w:val="es-ES_tradnl"/>
              </w:rPr>
              <w:t>Componente 1. Mitigación de riesgo exploratorio</w:t>
            </w:r>
          </w:p>
        </w:tc>
        <w:tc>
          <w:tcPr>
            <w:tcW w:w="773" w:type="dxa"/>
            <w:vAlign w:val="center"/>
          </w:tcPr>
          <w:p w14:paraId="34FE60EE" w14:textId="77777777" w:rsidR="00F112F5" w:rsidRPr="00A44648" w:rsidRDefault="00F112F5" w:rsidP="00A44648">
            <w:pPr>
              <w:jc w:val="center"/>
              <w:rPr>
                <w:rFonts w:ascii="Arial" w:hAnsi="Arial" w:cs="Arial"/>
              </w:rPr>
            </w:pPr>
            <w:r w:rsidRPr="00A44648">
              <w:rPr>
                <w:rFonts w:ascii="Arial" w:hAnsi="Arial" w:cs="Arial"/>
              </w:rPr>
              <w:t>-</w:t>
            </w:r>
          </w:p>
        </w:tc>
        <w:tc>
          <w:tcPr>
            <w:tcW w:w="661" w:type="dxa"/>
            <w:vAlign w:val="center"/>
          </w:tcPr>
          <w:p w14:paraId="1DD95A7D" w14:textId="77777777" w:rsidR="00F112F5" w:rsidRPr="00A44648" w:rsidRDefault="00F112F5" w:rsidP="00A44648">
            <w:pPr>
              <w:jc w:val="center"/>
              <w:rPr>
                <w:rFonts w:ascii="Arial" w:hAnsi="Arial" w:cs="Arial"/>
              </w:rPr>
            </w:pPr>
            <w:r w:rsidRPr="00A44648">
              <w:rPr>
                <w:rFonts w:ascii="Arial" w:hAnsi="Arial" w:cs="Arial"/>
              </w:rPr>
              <w:t>51.5</w:t>
            </w:r>
          </w:p>
        </w:tc>
        <w:tc>
          <w:tcPr>
            <w:tcW w:w="1329" w:type="dxa"/>
            <w:vAlign w:val="center"/>
          </w:tcPr>
          <w:p w14:paraId="36712EF9" w14:textId="77777777" w:rsidR="00F112F5" w:rsidRPr="00A44648" w:rsidRDefault="00F112F5" w:rsidP="00A44648">
            <w:pPr>
              <w:jc w:val="center"/>
              <w:rPr>
                <w:rFonts w:ascii="Arial" w:hAnsi="Arial" w:cs="Arial"/>
              </w:rPr>
            </w:pPr>
            <w:r w:rsidRPr="00A44648">
              <w:rPr>
                <w:rFonts w:ascii="Arial" w:hAnsi="Arial" w:cs="Arial"/>
              </w:rPr>
              <w:t>51.5</w:t>
            </w:r>
          </w:p>
        </w:tc>
      </w:tr>
      <w:tr w:rsidR="00F112F5" w:rsidRPr="00A44648" w14:paraId="44C6AB52" w14:textId="77777777" w:rsidTr="006A685D">
        <w:trPr>
          <w:trHeight w:val="810"/>
          <w:jc w:val="center"/>
        </w:trPr>
        <w:tc>
          <w:tcPr>
            <w:tcW w:w="5867" w:type="dxa"/>
            <w:vAlign w:val="center"/>
          </w:tcPr>
          <w:p w14:paraId="0E01B98D" w14:textId="77777777" w:rsidR="00F112F5" w:rsidRPr="00A44648" w:rsidRDefault="00F112F5" w:rsidP="006A685D">
            <w:pPr>
              <w:jc w:val="both"/>
              <w:rPr>
                <w:rFonts w:ascii="Arial" w:hAnsi="Arial" w:cs="Arial"/>
                <w:lang w:val="es-ES_tradnl"/>
              </w:rPr>
            </w:pPr>
            <w:r w:rsidRPr="00A44648">
              <w:rPr>
                <w:rFonts w:ascii="Arial" w:hAnsi="Arial" w:cs="Arial"/>
                <w:lang w:val="es-ES_tradnl"/>
              </w:rPr>
              <w:t>Componente 2. Financiamiento para la fase de explotación (incluyendo desarrollo de plantas geotérmicas y líneas de transmisión)</w:t>
            </w:r>
          </w:p>
        </w:tc>
        <w:tc>
          <w:tcPr>
            <w:tcW w:w="773" w:type="dxa"/>
            <w:vAlign w:val="center"/>
          </w:tcPr>
          <w:p w14:paraId="73381E27" w14:textId="77777777" w:rsidR="00F112F5" w:rsidRPr="00A44648" w:rsidRDefault="00F112F5" w:rsidP="00A44648">
            <w:pPr>
              <w:jc w:val="center"/>
              <w:rPr>
                <w:rFonts w:ascii="Arial" w:hAnsi="Arial" w:cs="Arial"/>
              </w:rPr>
            </w:pPr>
            <w:r w:rsidRPr="00A44648">
              <w:rPr>
                <w:rFonts w:ascii="Arial" w:hAnsi="Arial" w:cs="Arial"/>
              </w:rPr>
              <w:t>54.3</w:t>
            </w:r>
          </w:p>
        </w:tc>
        <w:tc>
          <w:tcPr>
            <w:tcW w:w="661" w:type="dxa"/>
            <w:vAlign w:val="center"/>
          </w:tcPr>
          <w:p w14:paraId="4AE9A665" w14:textId="77777777" w:rsidR="00F112F5" w:rsidRPr="00A44648" w:rsidRDefault="00F112F5" w:rsidP="00A44648">
            <w:pPr>
              <w:jc w:val="center"/>
              <w:rPr>
                <w:rFonts w:ascii="Arial" w:hAnsi="Arial" w:cs="Arial"/>
              </w:rPr>
            </w:pPr>
            <w:r w:rsidRPr="00A44648">
              <w:rPr>
                <w:rFonts w:ascii="Arial" w:hAnsi="Arial" w:cs="Arial"/>
              </w:rPr>
              <w:t>-</w:t>
            </w:r>
          </w:p>
        </w:tc>
        <w:tc>
          <w:tcPr>
            <w:tcW w:w="1329" w:type="dxa"/>
            <w:vAlign w:val="center"/>
          </w:tcPr>
          <w:p w14:paraId="00A13DA6" w14:textId="77777777" w:rsidR="00F112F5" w:rsidRPr="00A44648" w:rsidRDefault="00F112F5" w:rsidP="00A44648">
            <w:pPr>
              <w:jc w:val="center"/>
              <w:rPr>
                <w:rFonts w:ascii="Arial" w:hAnsi="Arial" w:cs="Arial"/>
              </w:rPr>
            </w:pPr>
            <w:r w:rsidRPr="00A44648">
              <w:rPr>
                <w:rFonts w:ascii="Arial" w:hAnsi="Arial" w:cs="Arial"/>
              </w:rPr>
              <w:t>54.3</w:t>
            </w:r>
          </w:p>
        </w:tc>
      </w:tr>
      <w:tr w:rsidR="00F112F5" w:rsidRPr="00A44648" w14:paraId="2774A40F" w14:textId="77777777" w:rsidTr="006A685D">
        <w:trPr>
          <w:trHeight w:val="648"/>
          <w:jc w:val="center"/>
        </w:trPr>
        <w:tc>
          <w:tcPr>
            <w:tcW w:w="5867" w:type="dxa"/>
            <w:tcBorders>
              <w:bottom w:val="single" w:sz="4" w:space="0" w:color="auto"/>
            </w:tcBorders>
            <w:vAlign w:val="center"/>
          </w:tcPr>
          <w:p w14:paraId="14A75477" w14:textId="77777777" w:rsidR="00F112F5" w:rsidRPr="00A44648" w:rsidRDefault="00F112F5" w:rsidP="006A685D">
            <w:pPr>
              <w:jc w:val="both"/>
              <w:rPr>
                <w:rFonts w:ascii="Arial" w:hAnsi="Arial" w:cs="Arial"/>
                <w:lang w:val="es-ES_tradnl"/>
              </w:rPr>
            </w:pPr>
            <w:r w:rsidRPr="00A44648">
              <w:rPr>
                <w:rFonts w:ascii="Arial" w:hAnsi="Arial" w:cs="Arial"/>
                <w:lang w:val="es-ES_tradnl"/>
              </w:rPr>
              <w:t>Componente 3. Asistencia técnica de apoyo para la ejecución del programa y otros costos</w:t>
            </w:r>
          </w:p>
        </w:tc>
        <w:tc>
          <w:tcPr>
            <w:tcW w:w="773" w:type="dxa"/>
            <w:tcBorders>
              <w:bottom w:val="single" w:sz="4" w:space="0" w:color="auto"/>
            </w:tcBorders>
            <w:vAlign w:val="center"/>
          </w:tcPr>
          <w:p w14:paraId="726018D8" w14:textId="77777777" w:rsidR="00F112F5" w:rsidRPr="00A44648" w:rsidRDefault="00F112F5" w:rsidP="00A44648">
            <w:pPr>
              <w:jc w:val="center"/>
              <w:rPr>
                <w:rFonts w:ascii="Arial" w:hAnsi="Arial" w:cs="Arial"/>
              </w:rPr>
            </w:pPr>
            <w:r w:rsidRPr="00A44648">
              <w:rPr>
                <w:rFonts w:ascii="Arial" w:hAnsi="Arial" w:cs="Arial"/>
              </w:rPr>
              <w:t>-</w:t>
            </w:r>
          </w:p>
        </w:tc>
        <w:tc>
          <w:tcPr>
            <w:tcW w:w="661" w:type="dxa"/>
            <w:tcBorders>
              <w:bottom w:val="single" w:sz="4" w:space="0" w:color="auto"/>
            </w:tcBorders>
            <w:vAlign w:val="center"/>
          </w:tcPr>
          <w:p w14:paraId="6BA5F879" w14:textId="77777777" w:rsidR="00F112F5" w:rsidRPr="00A44648" w:rsidRDefault="00F112F5" w:rsidP="00A44648">
            <w:pPr>
              <w:jc w:val="center"/>
              <w:rPr>
                <w:rFonts w:ascii="Arial" w:hAnsi="Arial" w:cs="Arial"/>
              </w:rPr>
            </w:pPr>
            <w:r w:rsidRPr="00A44648">
              <w:rPr>
                <w:rFonts w:ascii="Arial" w:hAnsi="Arial" w:cs="Arial"/>
              </w:rPr>
              <w:t>2.8</w:t>
            </w:r>
          </w:p>
        </w:tc>
        <w:tc>
          <w:tcPr>
            <w:tcW w:w="1329" w:type="dxa"/>
            <w:tcBorders>
              <w:bottom w:val="single" w:sz="4" w:space="0" w:color="auto"/>
            </w:tcBorders>
            <w:vAlign w:val="center"/>
          </w:tcPr>
          <w:p w14:paraId="593A2A46" w14:textId="77777777" w:rsidR="00F112F5" w:rsidRPr="00A44648" w:rsidRDefault="00F112F5" w:rsidP="00A44648">
            <w:pPr>
              <w:jc w:val="center"/>
              <w:rPr>
                <w:rFonts w:ascii="Arial" w:hAnsi="Arial" w:cs="Arial"/>
              </w:rPr>
            </w:pPr>
            <w:r w:rsidRPr="00A44648">
              <w:rPr>
                <w:rFonts w:ascii="Arial" w:hAnsi="Arial" w:cs="Arial"/>
              </w:rPr>
              <w:t>2.8</w:t>
            </w:r>
          </w:p>
        </w:tc>
      </w:tr>
      <w:tr w:rsidR="00F112F5" w:rsidRPr="00A44648" w14:paraId="70482869" w14:textId="77777777" w:rsidTr="006A685D">
        <w:trPr>
          <w:trHeight w:val="456"/>
          <w:jc w:val="center"/>
        </w:trPr>
        <w:tc>
          <w:tcPr>
            <w:tcW w:w="5867" w:type="dxa"/>
            <w:shd w:val="pct35" w:color="auto" w:fill="auto"/>
            <w:vAlign w:val="center"/>
          </w:tcPr>
          <w:p w14:paraId="40C6AB1E" w14:textId="77777777" w:rsidR="00F112F5" w:rsidRPr="00A44648" w:rsidRDefault="00F112F5" w:rsidP="006A685D">
            <w:pPr>
              <w:jc w:val="both"/>
              <w:rPr>
                <w:rFonts w:ascii="Arial" w:hAnsi="Arial" w:cs="Arial"/>
                <w:b/>
              </w:rPr>
            </w:pPr>
            <w:r w:rsidRPr="00A44648">
              <w:rPr>
                <w:rFonts w:ascii="Arial" w:hAnsi="Arial" w:cs="Arial"/>
                <w:b/>
              </w:rPr>
              <w:t>Total</w:t>
            </w:r>
          </w:p>
        </w:tc>
        <w:tc>
          <w:tcPr>
            <w:tcW w:w="773" w:type="dxa"/>
            <w:shd w:val="pct35" w:color="auto" w:fill="auto"/>
            <w:vAlign w:val="center"/>
          </w:tcPr>
          <w:p w14:paraId="209F654F" w14:textId="77777777" w:rsidR="00F112F5" w:rsidRPr="00A44648" w:rsidRDefault="00F112F5" w:rsidP="00A44648">
            <w:pPr>
              <w:jc w:val="center"/>
              <w:rPr>
                <w:rFonts w:ascii="Arial" w:hAnsi="Arial" w:cs="Arial"/>
                <w:b/>
              </w:rPr>
            </w:pPr>
            <w:r w:rsidRPr="00A44648">
              <w:rPr>
                <w:rFonts w:ascii="Arial" w:hAnsi="Arial" w:cs="Arial"/>
                <w:b/>
              </w:rPr>
              <w:t>54.3</w:t>
            </w:r>
          </w:p>
        </w:tc>
        <w:tc>
          <w:tcPr>
            <w:tcW w:w="661" w:type="dxa"/>
            <w:shd w:val="pct35" w:color="auto" w:fill="auto"/>
            <w:vAlign w:val="center"/>
          </w:tcPr>
          <w:p w14:paraId="1DFE3F26" w14:textId="77777777" w:rsidR="00F112F5" w:rsidRPr="00A44648" w:rsidRDefault="00F112F5" w:rsidP="00A44648">
            <w:pPr>
              <w:jc w:val="center"/>
              <w:rPr>
                <w:rFonts w:ascii="Arial" w:hAnsi="Arial" w:cs="Arial"/>
                <w:b/>
              </w:rPr>
            </w:pPr>
            <w:r w:rsidRPr="00A44648">
              <w:rPr>
                <w:rFonts w:ascii="Arial" w:hAnsi="Arial" w:cs="Arial"/>
                <w:b/>
              </w:rPr>
              <w:t>54.3</w:t>
            </w:r>
          </w:p>
        </w:tc>
        <w:tc>
          <w:tcPr>
            <w:tcW w:w="1329" w:type="dxa"/>
            <w:shd w:val="pct35" w:color="auto" w:fill="auto"/>
            <w:vAlign w:val="center"/>
          </w:tcPr>
          <w:p w14:paraId="3DC9582A" w14:textId="77777777" w:rsidR="00F112F5" w:rsidRPr="00A44648" w:rsidRDefault="00F112F5" w:rsidP="00A44648">
            <w:pPr>
              <w:jc w:val="center"/>
              <w:rPr>
                <w:rFonts w:ascii="Arial" w:hAnsi="Arial" w:cs="Arial"/>
                <w:b/>
              </w:rPr>
            </w:pPr>
            <w:r w:rsidRPr="00A44648">
              <w:rPr>
                <w:rFonts w:ascii="Arial" w:hAnsi="Arial" w:cs="Arial"/>
                <w:b/>
              </w:rPr>
              <w:t>108.6</w:t>
            </w:r>
          </w:p>
        </w:tc>
      </w:tr>
    </w:tbl>
    <w:p w14:paraId="1B43263A" w14:textId="77777777" w:rsidR="00F112F5" w:rsidRPr="00A44648" w:rsidRDefault="00F112F5" w:rsidP="00F112F5">
      <w:pPr>
        <w:jc w:val="both"/>
        <w:rPr>
          <w:rFonts w:ascii="Arial" w:hAnsi="Arial" w:cs="Arial"/>
          <w:lang w:val="es-ES_tradnl"/>
        </w:rPr>
      </w:pPr>
      <w:r w:rsidRPr="00A44648">
        <w:rPr>
          <w:rFonts w:ascii="Arial" w:hAnsi="Arial" w:cs="Arial"/>
          <w:lang w:val="es-ES_tradnl"/>
        </w:rPr>
        <w:t>*El GdM ha asignado recursos presupuestarios para financiar actividades complementarias e independientes a las financiadas por el programa, los que se contabilizarán como financiamiento paralelo del programa, y que, de no ser financiadas, no afectarán la consecución de las actividades del programa ni el logro de los objetivos del mismo.</w:t>
      </w:r>
    </w:p>
    <w:p w14:paraId="7A1E5011" w14:textId="77777777" w:rsidR="00D609AB" w:rsidRPr="00A44648" w:rsidRDefault="00D609AB" w:rsidP="00031115">
      <w:pPr>
        <w:pStyle w:val="ListParagraph"/>
        <w:tabs>
          <w:tab w:val="left" w:pos="1440"/>
          <w:tab w:val="left" w:pos="3060"/>
        </w:tabs>
        <w:ind w:left="1425"/>
        <w:outlineLvl w:val="0"/>
        <w:rPr>
          <w:rFonts w:ascii="Arial" w:hAnsi="Arial" w:cs="Arial"/>
          <w:b/>
          <w:smallCaps/>
          <w:lang w:val="es-ES_tradnl"/>
        </w:rPr>
      </w:pPr>
    </w:p>
    <w:p w14:paraId="77F28393" w14:textId="77777777" w:rsidR="00937D90" w:rsidRPr="00A44648" w:rsidRDefault="001A7E25" w:rsidP="005D209C">
      <w:pPr>
        <w:pStyle w:val="ListParagraph"/>
        <w:numPr>
          <w:ilvl w:val="0"/>
          <w:numId w:val="2"/>
        </w:numPr>
        <w:tabs>
          <w:tab w:val="left" w:pos="1440"/>
          <w:tab w:val="left" w:pos="3060"/>
        </w:tabs>
        <w:jc w:val="center"/>
        <w:outlineLvl w:val="0"/>
        <w:rPr>
          <w:rFonts w:ascii="Arial" w:hAnsi="Arial" w:cs="Arial"/>
          <w:b/>
          <w:smallCaps/>
        </w:rPr>
      </w:pPr>
      <w:bookmarkStart w:id="24" w:name="_Toc375150055"/>
      <w:bookmarkStart w:id="25" w:name="_Toc381109242"/>
      <w:r w:rsidRPr="00A44648">
        <w:rPr>
          <w:rFonts w:ascii="Arial" w:hAnsi="Arial" w:cs="Arial"/>
          <w:b/>
          <w:smallCaps/>
        </w:rPr>
        <w:t>MONIT</w:t>
      </w:r>
      <w:r w:rsidR="00F112F5" w:rsidRPr="00A44648">
        <w:rPr>
          <w:rFonts w:ascii="Arial" w:hAnsi="Arial" w:cs="Arial"/>
          <w:b/>
          <w:smallCaps/>
        </w:rPr>
        <w:t>OREO</w:t>
      </w:r>
      <w:bookmarkEnd w:id="24"/>
      <w:bookmarkEnd w:id="25"/>
    </w:p>
    <w:p w14:paraId="2DAE91B8" w14:textId="77777777" w:rsidR="006852A4" w:rsidRPr="00A44648" w:rsidRDefault="001A7E25" w:rsidP="00163B83">
      <w:pPr>
        <w:pStyle w:val="ListParagraph"/>
        <w:numPr>
          <w:ilvl w:val="1"/>
          <w:numId w:val="7"/>
        </w:numPr>
        <w:spacing w:after="240"/>
        <w:ind w:left="446"/>
        <w:contextualSpacing w:val="0"/>
        <w:outlineLvl w:val="0"/>
        <w:rPr>
          <w:rFonts w:ascii="Arial" w:hAnsi="Arial" w:cs="Arial"/>
          <w:b/>
          <w:smallCaps/>
          <w:noProof/>
        </w:rPr>
      </w:pPr>
      <w:bookmarkStart w:id="26" w:name="_Toc375150056"/>
      <w:bookmarkStart w:id="27" w:name="_Toc381109243"/>
      <w:r w:rsidRPr="00A44648">
        <w:rPr>
          <w:rFonts w:ascii="Arial" w:hAnsi="Arial" w:cs="Arial"/>
          <w:b/>
          <w:smallCaps/>
          <w:noProof/>
        </w:rPr>
        <w:t>Indica</w:t>
      </w:r>
      <w:r w:rsidR="00F112F5" w:rsidRPr="00A44648">
        <w:rPr>
          <w:rFonts w:ascii="Arial" w:hAnsi="Arial" w:cs="Arial"/>
          <w:b/>
          <w:smallCaps/>
          <w:noProof/>
        </w:rPr>
        <w:t>dores</w:t>
      </w:r>
      <w:bookmarkEnd w:id="26"/>
      <w:bookmarkEnd w:id="27"/>
    </w:p>
    <w:p w14:paraId="1D19084D" w14:textId="77777777" w:rsidR="00F112F5" w:rsidRPr="00A44648" w:rsidRDefault="00F112F5" w:rsidP="00163B83">
      <w:pPr>
        <w:pStyle w:val="FirstHeading"/>
        <w:numPr>
          <w:ilvl w:val="0"/>
          <w:numId w:val="10"/>
        </w:numPr>
        <w:spacing w:before="240"/>
        <w:rPr>
          <w:rFonts w:eastAsia="Arial"/>
          <w:szCs w:val="22"/>
        </w:rPr>
      </w:pPr>
      <w:bookmarkStart w:id="28" w:name="_Toc374371337"/>
      <w:bookmarkStart w:id="29" w:name="_Toc375062477"/>
      <w:bookmarkStart w:id="30" w:name="_Toc375062508"/>
      <w:bookmarkStart w:id="31" w:name="_Toc375062590"/>
      <w:bookmarkStart w:id="32" w:name="_Toc375066792"/>
      <w:bookmarkStart w:id="33" w:name="_Toc375126114"/>
      <w:bookmarkStart w:id="34" w:name="_Toc375126292"/>
      <w:bookmarkStart w:id="35" w:name="_Toc375146668"/>
      <w:bookmarkStart w:id="36" w:name="_Toc375150057"/>
      <w:bookmarkStart w:id="37" w:name="_Toc508204057"/>
      <w:bookmarkEnd w:id="28"/>
      <w:bookmarkEnd w:id="29"/>
      <w:bookmarkEnd w:id="30"/>
      <w:bookmarkEnd w:id="31"/>
      <w:bookmarkEnd w:id="32"/>
      <w:bookmarkEnd w:id="33"/>
      <w:bookmarkEnd w:id="34"/>
      <w:bookmarkEnd w:id="35"/>
      <w:bookmarkEnd w:id="36"/>
      <w:r w:rsidRPr="00A44648">
        <w:rPr>
          <w:rFonts w:eastAsia="Arial"/>
          <w:szCs w:val="22"/>
        </w:rPr>
        <w:t>Matriz de Resultados</w:t>
      </w:r>
      <w:bookmarkEnd w:id="37"/>
    </w:p>
    <w:p w14:paraId="64603E3F" w14:textId="77777777" w:rsidR="00F112F5" w:rsidRPr="00A44648" w:rsidRDefault="00F112F5" w:rsidP="00163B83">
      <w:pPr>
        <w:pStyle w:val="Paragraph"/>
        <w:numPr>
          <w:ilvl w:val="1"/>
          <w:numId w:val="11"/>
        </w:numPr>
        <w:tabs>
          <w:tab w:val="clear" w:pos="1296"/>
          <w:tab w:val="num" w:pos="720"/>
        </w:tabs>
        <w:ind w:left="720" w:hanging="756"/>
        <w:rPr>
          <w:rFonts w:ascii="Arial" w:eastAsia="Arial" w:hAnsi="Arial" w:cs="Arial"/>
          <w:sz w:val="22"/>
        </w:rPr>
      </w:pPr>
      <w:bookmarkStart w:id="38" w:name="_Toc508101947"/>
      <w:r w:rsidRPr="00A44648">
        <w:rPr>
          <w:rFonts w:ascii="Arial" w:eastAsia="Arial" w:hAnsi="Arial" w:cs="Arial"/>
          <w:sz w:val="22"/>
        </w:rPr>
        <w:t>La Matriz de Resultados fue modificada con fin de reflejar las modificaciones del programa e incluye los indicadores de resultados y productos que se detallan a continuación. Los indicadores de producto del Componente 1 son: (i) recursos de reembolso contingente otorgados a proyectos geotérmicos con recursos CRG del programa. Para el Componente 2: (i) préstamos otorgados por el programa para proyectos geotérmicos en cualquier etapa de su desarrollo. Los indicadores de resultados son: (i) proyectos geotérmicos totales financiados por el programa en alguna etapa que alcanzaron su cierre financiero para la construcción de una planta; (ii) proyectos geotérmicos totales financiados por el programa en alguna etapa que están en operación (producen electricidad); (iii) capacidad de generación geotérmica instalada en proyectos financiados en alguna etapa por el programa; (iv) producción de electricidad a partir de proyectos financiados en alguna etapa por el programa; (v) GEI evitados por proyectos geotérmicos financiados en alguna etapa por el programa; y (vi) financiamiento adicional de terceras partes movilizado para desarrollar proyectos geotérmicos financiados en alguna etapa por el programa.</w:t>
      </w:r>
      <w:bookmarkEnd w:id="38"/>
    </w:p>
    <w:p w14:paraId="5B40F3A4" w14:textId="77777777" w:rsidR="00362300" w:rsidRPr="00A44648" w:rsidRDefault="00F112F5" w:rsidP="00463B31">
      <w:pPr>
        <w:pStyle w:val="AutoNumpara"/>
        <w:rPr>
          <w:rFonts w:ascii="Arial" w:hAnsi="Arial" w:cs="Arial"/>
          <w:sz w:val="22"/>
          <w:szCs w:val="22"/>
        </w:rPr>
      </w:pPr>
      <w:r w:rsidRPr="00A44648">
        <w:rPr>
          <w:rFonts w:ascii="Arial" w:hAnsi="Arial" w:cs="Arial"/>
          <w:sz w:val="22"/>
          <w:szCs w:val="22"/>
        </w:rPr>
        <w:t xml:space="preserve">Los indicadores monitoreados serán los están identificados en la matriz de resultados y serán  monitoreados a través del </w:t>
      </w:r>
      <w:r w:rsidR="003333C5" w:rsidRPr="00A44648">
        <w:rPr>
          <w:rFonts w:ascii="Arial" w:hAnsi="Arial" w:cs="Arial"/>
          <w:i/>
          <w:sz w:val="22"/>
          <w:szCs w:val="22"/>
        </w:rPr>
        <w:t>Progress Monitoring Report (PMR)</w:t>
      </w:r>
      <w:r w:rsidR="003333C5" w:rsidRPr="00A44648">
        <w:rPr>
          <w:rFonts w:ascii="Arial" w:hAnsi="Arial" w:cs="Arial"/>
          <w:sz w:val="22"/>
          <w:szCs w:val="22"/>
        </w:rPr>
        <w:t xml:space="preserve">. Table 2 </w:t>
      </w:r>
      <w:r w:rsidRPr="00A44648">
        <w:rPr>
          <w:rFonts w:ascii="Arial" w:hAnsi="Arial" w:cs="Arial"/>
          <w:sz w:val="22"/>
          <w:szCs w:val="22"/>
        </w:rPr>
        <w:t>resume la matriz de resultado</w:t>
      </w:r>
      <w:bookmarkStart w:id="39" w:name="_Hlk510619366"/>
      <w:r w:rsidRPr="00A44648">
        <w:rPr>
          <w:rFonts w:ascii="Arial" w:hAnsi="Arial" w:cs="Arial"/>
          <w:sz w:val="22"/>
          <w:szCs w:val="22"/>
        </w:rPr>
        <w:t xml:space="preserve">, </w:t>
      </w:r>
      <w:r w:rsidR="00320B02" w:rsidRPr="00A44648">
        <w:rPr>
          <w:rFonts w:ascii="Arial" w:hAnsi="Arial" w:cs="Arial"/>
          <w:sz w:val="22"/>
          <w:szCs w:val="22"/>
        </w:rPr>
        <w:t>fuentes de información y la frecnuencia con que se va a recolectar la información</w:t>
      </w:r>
      <w:bookmarkEnd w:id="39"/>
      <w:r w:rsidR="00320B02" w:rsidRPr="00A44648">
        <w:rPr>
          <w:rFonts w:ascii="Arial" w:hAnsi="Arial" w:cs="Arial"/>
          <w:sz w:val="22"/>
          <w:szCs w:val="22"/>
        </w:rPr>
        <w:t xml:space="preserve">. </w:t>
      </w:r>
    </w:p>
    <w:p w14:paraId="65CFC4F9" w14:textId="77777777" w:rsidR="003333C5" w:rsidRPr="00A44648" w:rsidRDefault="00362300" w:rsidP="00362300">
      <w:pPr>
        <w:pStyle w:val="BodyText2"/>
        <w:spacing w:after="0" w:line="240" w:lineRule="auto"/>
        <w:jc w:val="center"/>
        <w:rPr>
          <w:rFonts w:ascii="Arial" w:hAnsi="Arial" w:cs="Arial"/>
          <w:b/>
          <w:sz w:val="22"/>
          <w:szCs w:val="22"/>
          <w:lang w:val="en-US"/>
        </w:rPr>
      </w:pPr>
      <w:r w:rsidRPr="00A44648">
        <w:rPr>
          <w:rFonts w:ascii="Arial" w:hAnsi="Arial" w:cs="Arial"/>
          <w:b/>
          <w:sz w:val="22"/>
          <w:szCs w:val="22"/>
          <w:lang w:val="en-US"/>
        </w:rPr>
        <w:t>Table 2. Indica</w:t>
      </w:r>
      <w:r w:rsidR="00320B02" w:rsidRPr="00A44648">
        <w:rPr>
          <w:rFonts w:ascii="Arial" w:hAnsi="Arial" w:cs="Arial"/>
          <w:b/>
          <w:sz w:val="22"/>
          <w:szCs w:val="22"/>
          <w:lang w:val="en-US"/>
        </w:rPr>
        <w:t>dores</w:t>
      </w:r>
    </w:p>
    <w:tbl>
      <w:tblPr>
        <w:tblpPr w:leftFromText="180" w:rightFromText="180" w:vertAnchor="text" w:horzAnchor="margin" w:tblpXSpec="center" w:tblpY="247"/>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40" w:firstRow="0" w:lastRow="1" w:firstColumn="0" w:lastColumn="0" w:noHBand="0" w:noVBand="0"/>
      </w:tblPr>
      <w:tblGrid>
        <w:gridCol w:w="2268"/>
        <w:gridCol w:w="900"/>
        <w:gridCol w:w="1260"/>
        <w:gridCol w:w="5760"/>
      </w:tblGrid>
      <w:tr w:rsidR="003532D3" w:rsidRPr="00A44648" w14:paraId="4FB3262B" w14:textId="77777777" w:rsidTr="003532D3">
        <w:trPr>
          <w:cantSplit/>
        </w:trPr>
        <w:tc>
          <w:tcPr>
            <w:tcW w:w="2268" w:type="dxa"/>
            <w:tcBorders>
              <w:bottom w:val="single" w:sz="4" w:space="0" w:color="auto"/>
            </w:tcBorders>
            <w:shd w:val="clear" w:color="auto" w:fill="F2F2F2"/>
            <w:vAlign w:val="center"/>
          </w:tcPr>
          <w:p w14:paraId="6EC481F6" w14:textId="77777777" w:rsidR="003532D3" w:rsidRPr="00A44648" w:rsidRDefault="003532D3" w:rsidP="003532D3">
            <w:pPr>
              <w:jc w:val="center"/>
              <w:rPr>
                <w:rFonts w:ascii="Arial" w:hAnsi="Arial" w:cs="Arial"/>
                <w:b/>
                <w:bCs/>
              </w:rPr>
            </w:pPr>
            <w:r w:rsidRPr="00A44648">
              <w:rPr>
                <w:rFonts w:ascii="Arial" w:hAnsi="Arial" w:cs="Arial"/>
                <w:b/>
                <w:bCs/>
              </w:rPr>
              <w:t>Indicadores</w:t>
            </w:r>
          </w:p>
        </w:tc>
        <w:tc>
          <w:tcPr>
            <w:tcW w:w="900" w:type="dxa"/>
            <w:tcBorders>
              <w:bottom w:val="single" w:sz="4" w:space="0" w:color="auto"/>
            </w:tcBorders>
            <w:shd w:val="clear" w:color="auto" w:fill="F2F2F2"/>
            <w:vAlign w:val="center"/>
          </w:tcPr>
          <w:p w14:paraId="03BA9DBA" w14:textId="77777777" w:rsidR="003532D3" w:rsidRPr="00A44648" w:rsidRDefault="003532D3" w:rsidP="003532D3">
            <w:pPr>
              <w:ind w:left="-50" w:firstLine="50"/>
              <w:jc w:val="center"/>
              <w:rPr>
                <w:rFonts w:ascii="Arial" w:hAnsi="Arial" w:cs="Arial"/>
                <w:b/>
                <w:bCs/>
              </w:rPr>
            </w:pPr>
            <w:r w:rsidRPr="00A44648">
              <w:rPr>
                <w:rFonts w:ascii="Arial" w:hAnsi="Arial" w:cs="Arial"/>
                <w:b/>
                <w:bCs/>
              </w:rPr>
              <w:t>Unidad</w:t>
            </w:r>
            <w:r w:rsidRPr="00A44648">
              <w:rPr>
                <w:rStyle w:val="FootnoteReference"/>
                <w:rFonts w:ascii="Arial" w:hAnsi="Arial" w:cs="Arial"/>
                <w:bCs/>
                <w:sz w:val="22"/>
              </w:rPr>
              <w:footnoteReference w:id="5"/>
            </w:r>
          </w:p>
        </w:tc>
        <w:tc>
          <w:tcPr>
            <w:tcW w:w="1260" w:type="dxa"/>
            <w:tcBorders>
              <w:bottom w:val="single" w:sz="4" w:space="0" w:color="auto"/>
            </w:tcBorders>
            <w:shd w:val="clear" w:color="auto" w:fill="F2F2F2"/>
            <w:vAlign w:val="center"/>
          </w:tcPr>
          <w:p w14:paraId="294196A7" w14:textId="77777777" w:rsidR="003532D3" w:rsidRPr="00A44648" w:rsidRDefault="001C6ECD" w:rsidP="003532D3">
            <w:pPr>
              <w:ind w:left="-50" w:firstLine="50"/>
              <w:jc w:val="center"/>
              <w:rPr>
                <w:rFonts w:ascii="Arial" w:hAnsi="Arial" w:cs="Arial"/>
                <w:b/>
                <w:bCs/>
              </w:rPr>
            </w:pPr>
            <w:r w:rsidRPr="00A44648">
              <w:rPr>
                <w:rFonts w:ascii="Arial" w:hAnsi="Arial" w:cs="Arial"/>
                <w:b/>
                <w:bCs/>
              </w:rPr>
              <w:t>Frecuencia de Verificación</w:t>
            </w:r>
          </w:p>
        </w:tc>
        <w:tc>
          <w:tcPr>
            <w:tcW w:w="5760" w:type="dxa"/>
            <w:tcBorders>
              <w:bottom w:val="single" w:sz="4" w:space="0" w:color="auto"/>
            </w:tcBorders>
            <w:shd w:val="clear" w:color="auto" w:fill="F2F2F2"/>
            <w:vAlign w:val="center"/>
          </w:tcPr>
          <w:p w14:paraId="543D5357" w14:textId="77777777" w:rsidR="003532D3" w:rsidRPr="00A44648" w:rsidRDefault="003532D3" w:rsidP="003532D3">
            <w:pPr>
              <w:jc w:val="center"/>
              <w:rPr>
                <w:rFonts w:ascii="Arial" w:hAnsi="Arial" w:cs="Arial"/>
                <w:b/>
                <w:bCs/>
              </w:rPr>
            </w:pPr>
            <w:r w:rsidRPr="00A44648">
              <w:rPr>
                <w:rFonts w:ascii="Arial" w:hAnsi="Arial" w:cs="Arial"/>
                <w:b/>
                <w:bCs/>
              </w:rPr>
              <w:t>Descripción / Fuente de Verificación</w:t>
            </w:r>
          </w:p>
        </w:tc>
      </w:tr>
      <w:tr w:rsidR="003532D3" w:rsidRPr="00A44648" w14:paraId="5116CBBE" w14:textId="77777777" w:rsidTr="003532D3">
        <w:trPr>
          <w:cantSplit/>
        </w:trPr>
        <w:tc>
          <w:tcPr>
            <w:tcW w:w="2268" w:type="dxa"/>
            <w:tcBorders>
              <w:right w:val="nil"/>
            </w:tcBorders>
            <w:shd w:val="clear" w:color="auto" w:fill="BFBFBF" w:themeFill="background1" w:themeFillShade="BF"/>
            <w:vAlign w:val="center"/>
          </w:tcPr>
          <w:p w14:paraId="26CC193D" w14:textId="77777777" w:rsidR="003532D3" w:rsidRPr="00A44648" w:rsidRDefault="003532D3" w:rsidP="003532D3">
            <w:pPr>
              <w:spacing w:before="60" w:after="60"/>
              <w:rPr>
                <w:rFonts w:ascii="Arial" w:hAnsi="Arial" w:cs="Arial"/>
              </w:rPr>
            </w:pPr>
            <w:r w:rsidRPr="00A44648">
              <w:rPr>
                <w:rFonts w:ascii="Arial" w:hAnsi="Arial" w:cs="Arial"/>
                <w:b/>
                <w:smallCaps/>
              </w:rPr>
              <w:t>Productos Componente I</w:t>
            </w:r>
          </w:p>
        </w:tc>
        <w:tc>
          <w:tcPr>
            <w:tcW w:w="900" w:type="dxa"/>
            <w:tcBorders>
              <w:left w:val="nil"/>
              <w:right w:val="nil"/>
            </w:tcBorders>
            <w:shd w:val="clear" w:color="auto" w:fill="BFBFBF" w:themeFill="background1" w:themeFillShade="BF"/>
            <w:vAlign w:val="center"/>
          </w:tcPr>
          <w:p w14:paraId="7EF0F5EC" w14:textId="77777777" w:rsidR="003532D3" w:rsidRPr="00A44648" w:rsidRDefault="003532D3" w:rsidP="003532D3">
            <w:pPr>
              <w:spacing w:before="60" w:after="60"/>
              <w:jc w:val="center"/>
              <w:rPr>
                <w:rFonts w:ascii="Arial" w:hAnsi="Arial" w:cs="Arial"/>
              </w:rPr>
            </w:pPr>
          </w:p>
        </w:tc>
        <w:tc>
          <w:tcPr>
            <w:tcW w:w="1260" w:type="dxa"/>
            <w:tcBorders>
              <w:left w:val="nil"/>
              <w:right w:val="nil"/>
            </w:tcBorders>
            <w:shd w:val="clear" w:color="auto" w:fill="BFBFBF" w:themeFill="background1" w:themeFillShade="BF"/>
            <w:vAlign w:val="center"/>
          </w:tcPr>
          <w:p w14:paraId="7D176AD9" w14:textId="77777777" w:rsidR="003532D3" w:rsidRPr="00A44648" w:rsidRDefault="003532D3" w:rsidP="003532D3">
            <w:pPr>
              <w:spacing w:before="60" w:after="60"/>
              <w:jc w:val="center"/>
              <w:rPr>
                <w:rFonts w:ascii="Arial" w:hAnsi="Arial" w:cs="Arial"/>
              </w:rPr>
            </w:pPr>
          </w:p>
        </w:tc>
        <w:tc>
          <w:tcPr>
            <w:tcW w:w="5760" w:type="dxa"/>
            <w:tcBorders>
              <w:left w:val="nil"/>
            </w:tcBorders>
            <w:shd w:val="clear" w:color="auto" w:fill="BFBFBF" w:themeFill="background1" w:themeFillShade="BF"/>
            <w:vAlign w:val="center"/>
          </w:tcPr>
          <w:p w14:paraId="066AFA73" w14:textId="77777777" w:rsidR="003532D3" w:rsidRPr="00A44648" w:rsidRDefault="003532D3" w:rsidP="003532D3">
            <w:pPr>
              <w:spacing w:before="60" w:after="60"/>
              <w:rPr>
                <w:rFonts w:ascii="Arial" w:hAnsi="Arial" w:cs="Arial"/>
              </w:rPr>
            </w:pPr>
          </w:p>
        </w:tc>
      </w:tr>
      <w:tr w:rsidR="003532D3" w:rsidRPr="00A44648" w14:paraId="197B1D7F" w14:textId="77777777" w:rsidTr="003532D3">
        <w:trPr>
          <w:cantSplit/>
        </w:trPr>
        <w:tc>
          <w:tcPr>
            <w:tcW w:w="2268" w:type="dxa"/>
            <w:tcBorders>
              <w:bottom w:val="single" w:sz="4" w:space="0" w:color="auto"/>
            </w:tcBorders>
            <w:vAlign w:val="center"/>
          </w:tcPr>
          <w:p w14:paraId="72931A2D" w14:textId="77777777" w:rsidR="003532D3" w:rsidRPr="00A44648" w:rsidRDefault="001C6ECD" w:rsidP="003532D3">
            <w:pPr>
              <w:spacing w:before="60" w:after="60"/>
              <w:rPr>
                <w:rFonts w:ascii="Arial" w:hAnsi="Arial" w:cs="Arial"/>
                <w:lang w:val="es-ES_tradnl"/>
              </w:rPr>
            </w:pPr>
            <w:r w:rsidRPr="00A44648">
              <w:rPr>
                <w:rFonts w:ascii="Arial" w:hAnsi="Arial" w:cs="Arial"/>
                <w:lang w:val="es-ES_tradnl"/>
              </w:rPr>
              <w:t>Recursos de Recuperación Contingente (CRG) otorgados a proyectos geotérmicos con recursos del programa.</w:t>
            </w:r>
          </w:p>
        </w:tc>
        <w:tc>
          <w:tcPr>
            <w:tcW w:w="900" w:type="dxa"/>
            <w:tcBorders>
              <w:bottom w:val="single" w:sz="4" w:space="0" w:color="auto"/>
            </w:tcBorders>
            <w:vAlign w:val="center"/>
          </w:tcPr>
          <w:p w14:paraId="10602E9B" w14:textId="77777777" w:rsidR="003532D3" w:rsidRPr="00A44648" w:rsidRDefault="001C6ECD" w:rsidP="003532D3">
            <w:pPr>
              <w:spacing w:before="60" w:after="60"/>
              <w:jc w:val="center"/>
              <w:rPr>
                <w:rFonts w:ascii="Arial" w:hAnsi="Arial" w:cs="Arial"/>
              </w:rPr>
            </w:pPr>
            <w:r w:rsidRPr="00A44648">
              <w:rPr>
                <w:rFonts w:ascii="Arial" w:hAnsi="Arial" w:cs="Arial"/>
                <w:lang w:val="es-ES_tradnl"/>
              </w:rPr>
              <w:t>Número de proyectos (perforados) usando CRG aprobados por NAFIN</w:t>
            </w:r>
          </w:p>
        </w:tc>
        <w:tc>
          <w:tcPr>
            <w:tcW w:w="1260" w:type="dxa"/>
            <w:tcBorders>
              <w:bottom w:val="single" w:sz="4" w:space="0" w:color="auto"/>
            </w:tcBorders>
            <w:vAlign w:val="center"/>
          </w:tcPr>
          <w:p w14:paraId="54E8A655" w14:textId="77777777" w:rsidR="003532D3" w:rsidRPr="00A44648" w:rsidRDefault="003532D3" w:rsidP="003532D3">
            <w:pPr>
              <w:spacing w:before="60" w:after="60"/>
              <w:jc w:val="center"/>
              <w:rPr>
                <w:rFonts w:ascii="Arial" w:hAnsi="Arial" w:cs="Arial"/>
              </w:rPr>
            </w:pPr>
            <w:r w:rsidRPr="00A44648">
              <w:rPr>
                <w:rFonts w:ascii="Arial" w:hAnsi="Arial" w:cs="Arial"/>
              </w:rPr>
              <w:t>Anual</w:t>
            </w:r>
          </w:p>
        </w:tc>
        <w:tc>
          <w:tcPr>
            <w:tcW w:w="5760" w:type="dxa"/>
            <w:tcBorders>
              <w:bottom w:val="single" w:sz="4" w:space="0" w:color="auto"/>
            </w:tcBorders>
            <w:vAlign w:val="center"/>
          </w:tcPr>
          <w:p w14:paraId="7C41E34A" w14:textId="77777777" w:rsidR="001C6ECD" w:rsidRPr="00A44648" w:rsidRDefault="001C6ECD" w:rsidP="001C6ECD">
            <w:pPr>
              <w:spacing w:before="60" w:after="60" w:line="276" w:lineRule="auto"/>
              <w:rPr>
                <w:rFonts w:ascii="Arial" w:hAnsi="Arial" w:cs="Arial"/>
                <w:lang w:val="es-ES_tradnl"/>
              </w:rPr>
            </w:pPr>
            <w:r w:rsidRPr="00A44648">
              <w:rPr>
                <w:rFonts w:ascii="Arial" w:hAnsi="Arial" w:cs="Arial"/>
                <w:lang w:val="es-ES_tradnl"/>
              </w:rPr>
              <w:t>La meta incluye a todos los proyecto apoyados, tanto exitosos como fallidos.</w:t>
            </w:r>
          </w:p>
          <w:p w14:paraId="06B99AFA" w14:textId="77777777" w:rsidR="003532D3" w:rsidRPr="00A44648" w:rsidRDefault="001C6ECD" w:rsidP="001C6ECD">
            <w:pPr>
              <w:spacing w:before="60" w:after="60"/>
              <w:rPr>
                <w:rFonts w:ascii="Arial" w:hAnsi="Arial" w:cs="Arial"/>
                <w:lang w:val="es-ES_tradnl"/>
              </w:rPr>
            </w:pPr>
            <w:r w:rsidRPr="00A44648">
              <w:rPr>
                <w:rFonts w:ascii="Arial" w:hAnsi="Arial" w:cs="Arial"/>
                <w:lang w:val="es-ES_tradnl"/>
              </w:rPr>
              <w:t>Fuente: Reporte del programa elaborado por NAFIN. Las estimaciones consideran que un proyecto beneficiario que es exitoso durante etapas tempranas de exploración podría ser elegible para recibir apoyo del programa en la fase de perforación de producción.</w:t>
            </w:r>
          </w:p>
        </w:tc>
      </w:tr>
      <w:tr w:rsidR="003532D3" w:rsidRPr="00A44648" w14:paraId="6B2925DD" w14:textId="77777777" w:rsidTr="003532D3">
        <w:trPr>
          <w:cantSplit/>
        </w:trPr>
        <w:tc>
          <w:tcPr>
            <w:tcW w:w="2268" w:type="dxa"/>
            <w:tcBorders>
              <w:bottom w:val="single" w:sz="4" w:space="0" w:color="auto"/>
              <w:right w:val="nil"/>
            </w:tcBorders>
            <w:shd w:val="clear" w:color="auto" w:fill="BFBFBF" w:themeFill="background1" w:themeFillShade="BF"/>
            <w:vAlign w:val="center"/>
          </w:tcPr>
          <w:p w14:paraId="23275F37" w14:textId="77777777" w:rsidR="003532D3" w:rsidRPr="00A44648" w:rsidRDefault="001C6ECD" w:rsidP="003532D3">
            <w:pPr>
              <w:spacing w:before="60" w:after="60"/>
              <w:rPr>
                <w:rFonts w:ascii="Arial" w:hAnsi="Arial" w:cs="Arial"/>
                <w:b/>
                <w:smallCaps/>
              </w:rPr>
            </w:pPr>
            <w:r w:rsidRPr="00A44648">
              <w:rPr>
                <w:rFonts w:ascii="Arial" w:hAnsi="Arial" w:cs="Arial"/>
                <w:b/>
                <w:smallCaps/>
              </w:rPr>
              <w:t xml:space="preserve">Productos </w:t>
            </w:r>
            <w:r w:rsidR="003532D3" w:rsidRPr="00A44648">
              <w:rPr>
                <w:rFonts w:ascii="Arial" w:hAnsi="Arial" w:cs="Arial"/>
                <w:b/>
                <w:smallCaps/>
              </w:rPr>
              <w:t>Componente II</w:t>
            </w:r>
          </w:p>
        </w:tc>
        <w:tc>
          <w:tcPr>
            <w:tcW w:w="900" w:type="dxa"/>
            <w:tcBorders>
              <w:left w:val="nil"/>
              <w:bottom w:val="single" w:sz="4" w:space="0" w:color="auto"/>
              <w:right w:val="nil"/>
            </w:tcBorders>
            <w:shd w:val="clear" w:color="auto" w:fill="BFBFBF" w:themeFill="background1" w:themeFillShade="BF"/>
            <w:vAlign w:val="center"/>
          </w:tcPr>
          <w:p w14:paraId="387C7ECC" w14:textId="77777777" w:rsidR="003532D3" w:rsidRPr="00A44648" w:rsidRDefault="003532D3" w:rsidP="003532D3">
            <w:pPr>
              <w:spacing w:before="60" w:after="60"/>
              <w:jc w:val="center"/>
              <w:rPr>
                <w:rFonts w:ascii="Arial" w:hAnsi="Arial" w:cs="Arial"/>
                <w:b/>
                <w:smallCaps/>
              </w:rPr>
            </w:pPr>
          </w:p>
        </w:tc>
        <w:tc>
          <w:tcPr>
            <w:tcW w:w="1260" w:type="dxa"/>
            <w:tcBorders>
              <w:left w:val="nil"/>
              <w:bottom w:val="single" w:sz="4" w:space="0" w:color="auto"/>
              <w:right w:val="nil"/>
            </w:tcBorders>
            <w:shd w:val="clear" w:color="auto" w:fill="BFBFBF" w:themeFill="background1" w:themeFillShade="BF"/>
            <w:vAlign w:val="center"/>
          </w:tcPr>
          <w:p w14:paraId="1B192C55" w14:textId="77777777" w:rsidR="003532D3" w:rsidRPr="00A44648" w:rsidRDefault="003532D3" w:rsidP="003532D3">
            <w:pPr>
              <w:spacing w:before="60" w:after="60"/>
              <w:jc w:val="center"/>
              <w:rPr>
                <w:rFonts w:ascii="Arial" w:hAnsi="Arial" w:cs="Arial"/>
              </w:rPr>
            </w:pPr>
          </w:p>
        </w:tc>
        <w:tc>
          <w:tcPr>
            <w:tcW w:w="5760" w:type="dxa"/>
            <w:tcBorders>
              <w:left w:val="nil"/>
              <w:bottom w:val="single" w:sz="4" w:space="0" w:color="auto"/>
            </w:tcBorders>
            <w:shd w:val="clear" w:color="auto" w:fill="BFBFBF" w:themeFill="background1" w:themeFillShade="BF"/>
            <w:vAlign w:val="center"/>
          </w:tcPr>
          <w:p w14:paraId="2FC672A6" w14:textId="77777777" w:rsidR="003532D3" w:rsidRPr="00A44648" w:rsidRDefault="003532D3" w:rsidP="003532D3">
            <w:pPr>
              <w:spacing w:before="60" w:after="60"/>
              <w:rPr>
                <w:rFonts w:ascii="Arial" w:hAnsi="Arial" w:cs="Arial"/>
              </w:rPr>
            </w:pPr>
          </w:p>
        </w:tc>
      </w:tr>
      <w:tr w:rsidR="003532D3" w:rsidRPr="00A44648" w14:paraId="68ECBAC7" w14:textId="77777777" w:rsidTr="003532D3">
        <w:trPr>
          <w:cantSplit/>
        </w:trPr>
        <w:tc>
          <w:tcPr>
            <w:tcW w:w="2268" w:type="dxa"/>
            <w:tcBorders>
              <w:bottom w:val="single" w:sz="4" w:space="0" w:color="auto"/>
            </w:tcBorders>
            <w:vAlign w:val="center"/>
          </w:tcPr>
          <w:p w14:paraId="249E8E24" w14:textId="77777777" w:rsidR="003532D3" w:rsidRPr="00A44648" w:rsidRDefault="001C6ECD" w:rsidP="003532D3">
            <w:pPr>
              <w:spacing w:before="60" w:after="60"/>
              <w:rPr>
                <w:rFonts w:ascii="Arial" w:hAnsi="Arial" w:cs="Arial"/>
                <w:lang w:val="es-ES_tradnl"/>
              </w:rPr>
            </w:pPr>
            <w:r w:rsidRPr="00A44648">
              <w:rPr>
                <w:rFonts w:ascii="Arial" w:hAnsi="Arial" w:cs="Arial"/>
                <w:lang w:val="es-ES_tradnl"/>
              </w:rPr>
              <w:t>Préstamos otorgados por el programa a proyectos geotérmicos en cualquier etapa de su desarrollo.</w:t>
            </w:r>
          </w:p>
        </w:tc>
        <w:tc>
          <w:tcPr>
            <w:tcW w:w="900" w:type="dxa"/>
            <w:tcBorders>
              <w:bottom w:val="single" w:sz="4" w:space="0" w:color="auto"/>
            </w:tcBorders>
            <w:vAlign w:val="center"/>
          </w:tcPr>
          <w:p w14:paraId="71BFC27B" w14:textId="77777777" w:rsidR="003532D3" w:rsidRPr="00A44648" w:rsidRDefault="001C6ECD" w:rsidP="003532D3">
            <w:pPr>
              <w:spacing w:before="60" w:after="60"/>
              <w:jc w:val="center"/>
              <w:rPr>
                <w:rFonts w:ascii="Arial" w:hAnsi="Arial" w:cs="Arial"/>
                <w:lang w:val="es-ES_tradnl"/>
              </w:rPr>
            </w:pPr>
            <w:r w:rsidRPr="00A44648">
              <w:rPr>
                <w:rFonts w:ascii="Arial" w:hAnsi="Arial" w:cs="Arial"/>
                <w:lang w:val="es-ES_tradnl"/>
              </w:rPr>
              <w:t>Número de préstamos aprobados por NAFIN</w:t>
            </w:r>
          </w:p>
        </w:tc>
        <w:tc>
          <w:tcPr>
            <w:tcW w:w="1260" w:type="dxa"/>
            <w:tcBorders>
              <w:bottom w:val="single" w:sz="4" w:space="0" w:color="auto"/>
            </w:tcBorders>
            <w:vAlign w:val="center"/>
          </w:tcPr>
          <w:p w14:paraId="6494ECDB" w14:textId="77777777" w:rsidR="003532D3" w:rsidRPr="00A44648" w:rsidRDefault="003532D3" w:rsidP="003532D3">
            <w:pPr>
              <w:spacing w:before="60" w:after="60"/>
              <w:jc w:val="center"/>
              <w:rPr>
                <w:rFonts w:ascii="Arial" w:hAnsi="Arial" w:cs="Arial"/>
              </w:rPr>
            </w:pPr>
            <w:r w:rsidRPr="00A44648">
              <w:rPr>
                <w:rFonts w:ascii="Arial" w:hAnsi="Arial" w:cs="Arial"/>
              </w:rPr>
              <w:t>Anual</w:t>
            </w:r>
          </w:p>
        </w:tc>
        <w:tc>
          <w:tcPr>
            <w:tcW w:w="5760" w:type="dxa"/>
            <w:tcBorders>
              <w:bottom w:val="single" w:sz="4" w:space="0" w:color="auto"/>
            </w:tcBorders>
            <w:vAlign w:val="center"/>
          </w:tcPr>
          <w:p w14:paraId="404F7748" w14:textId="77777777" w:rsidR="001C6ECD" w:rsidRPr="00A44648" w:rsidRDefault="001C6ECD" w:rsidP="001C6ECD">
            <w:pPr>
              <w:spacing w:before="60" w:after="60" w:line="276" w:lineRule="auto"/>
              <w:rPr>
                <w:rFonts w:ascii="Arial" w:hAnsi="Arial" w:cs="Arial"/>
                <w:lang w:val="es-ES_tradnl"/>
              </w:rPr>
            </w:pPr>
            <w:r w:rsidRPr="00A44648">
              <w:rPr>
                <w:rFonts w:ascii="Arial" w:hAnsi="Arial" w:cs="Arial"/>
                <w:lang w:val="es-ES_tradnl"/>
              </w:rPr>
              <w:t xml:space="preserve">Valores con base en acuerdos de préstamos, financiados con recursos del programa. Las cifras toman en cuenta prestamos en cualquier etapa del desarrollo incluyendo, préstamos asegurados, préstamos blandos, y/o refinanciamiento de proyectos que avanzaron de la etapa de exploración temprana a las etapas de perforación de producción y construcción. No incluye CRG que ya son monitoreados con otro indicador. </w:t>
            </w:r>
          </w:p>
          <w:p w14:paraId="439FEA4F" w14:textId="77777777" w:rsidR="003532D3" w:rsidRPr="00A44648" w:rsidRDefault="001C6ECD" w:rsidP="001C6ECD">
            <w:pPr>
              <w:spacing w:before="60" w:after="60"/>
              <w:rPr>
                <w:rFonts w:ascii="Arial" w:hAnsi="Arial" w:cs="Arial"/>
              </w:rPr>
            </w:pPr>
            <w:r w:rsidRPr="00A44648">
              <w:rPr>
                <w:rFonts w:ascii="Arial" w:hAnsi="Arial" w:cs="Arial"/>
                <w:lang w:val="es-ES_tradnl"/>
              </w:rPr>
              <w:t>Fuente: Reporte del programa elaborado por NAFIN.</w:t>
            </w:r>
          </w:p>
        </w:tc>
      </w:tr>
      <w:tr w:rsidR="003532D3" w:rsidRPr="00A44648" w14:paraId="40B41D33" w14:textId="77777777" w:rsidTr="003532D3">
        <w:trPr>
          <w:cantSplit/>
        </w:trPr>
        <w:tc>
          <w:tcPr>
            <w:tcW w:w="10188" w:type="dxa"/>
            <w:gridSpan w:val="4"/>
            <w:tcBorders>
              <w:bottom w:val="single" w:sz="4" w:space="0" w:color="auto"/>
            </w:tcBorders>
            <w:shd w:val="clear" w:color="auto" w:fill="BFBFBF" w:themeFill="background1" w:themeFillShade="BF"/>
            <w:vAlign w:val="center"/>
          </w:tcPr>
          <w:p w14:paraId="5CC65B94" w14:textId="77777777" w:rsidR="003532D3" w:rsidRPr="00A44648" w:rsidRDefault="003532D3" w:rsidP="003532D3">
            <w:pPr>
              <w:spacing w:before="60" w:after="60"/>
              <w:rPr>
                <w:rFonts w:ascii="Arial" w:hAnsi="Arial" w:cs="Arial"/>
              </w:rPr>
            </w:pPr>
            <w:r w:rsidRPr="00A44648">
              <w:rPr>
                <w:rFonts w:ascii="Arial" w:hAnsi="Arial" w:cs="Arial"/>
                <w:b/>
                <w:smallCaps/>
              </w:rPr>
              <w:t>RESULTADOS</w:t>
            </w:r>
          </w:p>
        </w:tc>
      </w:tr>
      <w:tr w:rsidR="003532D3" w:rsidRPr="00A44648" w14:paraId="61703AF9" w14:textId="77777777" w:rsidTr="003532D3">
        <w:trPr>
          <w:cantSplit/>
        </w:trPr>
        <w:tc>
          <w:tcPr>
            <w:tcW w:w="2268" w:type="dxa"/>
            <w:tcBorders>
              <w:bottom w:val="single" w:sz="4" w:space="0" w:color="auto"/>
            </w:tcBorders>
            <w:vAlign w:val="center"/>
          </w:tcPr>
          <w:p w14:paraId="58D0FE99" w14:textId="77777777" w:rsidR="003532D3" w:rsidRPr="00A44648" w:rsidRDefault="001C6ECD" w:rsidP="003532D3">
            <w:pPr>
              <w:spacing w:before="60" w:after="60"/>
              <w:rPr>
                <w:rFonts w:ascii="Arial" w:hAnsi="Arial" w:cs="Arial"/>
                <w:lang w:val="es-ES_tradnl"/>
              </w:rPr>
            </w:pPr>
            <w:r w:rsidRPr="00A44648">
              <w:rPr>
                <w:rFonts w:ascii="Arial" w:hAnsi="Arial" w:cs="Arial"/>
                <w:lang w:val="es-ES_tradnl"/>
              </w:rPr>
              <w:t>Proyectos geotérmicos totales financiados por el programa en alguna etapa que alcanzaron su cierre financiero para la construcción de una planta.</w:t>
            </w:r>
          </w:p>
        </w:tc>
        <w:tc>
          <w:tcPr>
            <w:tcW w:w="900" w:type="dxa"/>
            <w:tcBorders>
              <w:bottom w:val="single" w:sz="4" w:space="0" w:color="auto"/>
            </w:tcBorders>
            <w:vAlign w:val="center"/>
          </w:tcPr>
          <w:p w14:paraId="64C421F3" w14:textId="77777777" w:rsidR="003532D3" w:rsidRPr="00A44648" w:rsidRDefault="001C6ECD" w:rsidP="003532D3">
            <w:pPr>
              <w:spacing w:before="60" w:after="60"/>
              <w:jc w:val="center"/>
              <w:rPr>
                <w:rFonts w:ascii="Arial" w:hAnsi="Arial" w:cs="Arial"/>
              </w:rPr>
            </w:pPr>
            <w:r w:rsidRPr="00A44648">
              <w:rPr>
                <w:rFonts w:ascii="Arial" w:hAnsi="Arial" w:cs="Arial"/>
              </w:rPr>
              <w:t>Número</w:t>
            </w:r>
            <w:r w:rsidR="003532D3" w:rsidRPr="00A44648">
              <w:rPr>
                <w:rFonts w:ascii="Arial" w:hAnsi="Arial" w:cs="Arial"/>
              </w:rPr>
              <w:t xml:space="preserve"> </w:t>
            </w:r>
          </w:p>
        </w:tc>
        <w:tc>
          <w:tcPr>
            <w:tcW w:w="1260" w:type="dxa"/>
            <w:tcBorders>
              <w:bottom w:val="single" w:sz="4" w:space="0" w:color="auto"/>
            </w:tcBorders>
            <w:vAlign w:val="center"/>
          </w:tcPr>
          <w:p w14:paraId="53575678" w14:textId="77777777" w:rsidR="003532D3" w:rsidRPr="00A44648" w:rsidRDefault="001C6ECD" w:rsidP="003532D3">
            <w:pPr>
              <w:spacing w:before="60" w:after="60"/>
              <w:jc w:val="center"/>
              <w:rPr>
                <w:rFonts w:ascii="Arial" w:hAnsi="Arial" w:cs="Arial"/>
                <w:lang w:val="es-ES_tradnl"/>
              </w:rPr>
            </w:pPr>
            <w:r w:rsidRPr="00A44648">
              <w:rPr>
                <w:rFonts w:ascii="Arial" w:hAnsi="Arial" w:cs="Arial"/>
                <w:lang w:val="es-ES_tradnl"/>
              </w:rPr>
              <w:t>Una vez</w:t>
            </w:r>
            <w:r w:rsidR="003532D3" w:rsidRPr="00A44648">
              <w:rPr>
                <w:rFonts w:ascii="Arial" w:hAnsi="Arial" w:cs="Arial"/>
                <w:lang w:val="es-ES_tradnl"/>
              </w:rPr>
              <w:t xml:space="preserve">, </w:t>
            </w:r>
            <w:r w:rsidRPr="00A44648">
              <w:rPr>
                <w:rFonts w:ascii="Arial" w:hAnsi="Arial" w:cs="Arial"/>
                <w:lang w:val="es-ES_tradnl"/>
              </w:rPr>
              <w:t>al final del período de ejecución</w:t>
            </w:r>
          </w:p>
        </w:tc>
        <w:tc>
          <w:tcPr>
            <w:tcW w:w="5760" w:type="dxa"/>
            <w:tcBorders>
              <w:bottom w:val="single" w:sz="4" w:space="0" w:color="auto"/>
            </w:tcBorders>
            <w:vAlign w:val="center"/>
          </w:tcPr>
          <w:p w14:paraId="589D28B6" w14:textId="77777777" w:rsidR="001C6ECD" w:rsidRPr="00A44648" w:rsidRDefault="001C6ECD" w:rsidP="001C6ECD">
            <w:pPr>
              <w:spacing w:before="60" w:after="60" w:line="276" w:lineRule="auto"/>
              <w:rPr>
                <w:rFonts w:ascii="Arial" w:hAnsi="Arial" w:cs="Arial"/>
                <w:lang w:val="es-ES_tradnl"/>
              </w:rPr>
            </w:pPr>
            <w:r w:rsidRPr="00A44648">
              <w:rPr>
                <w:rFonts w:ascii="Arial" w:hAnsi="Arial" w:cs="Arial"/>
                <w:lang w:val="es-ES_tradnl"/>
              </w:rPr>
              <w:t>Incluye la cantidad total de proyectos que han logrado asegurar financiamiento total para la construcción de la planta en el año indicado. Debido a los largos períodos de vencimiento asociados con estos proyectos, los proyectos financiados desde la etapa de exploración temprana podrían no haber alcanzado esta etapa hasta pasado el período de monitoreo (ver meta año 10).</w:t>
            </w:r>
          </w:p>
          <w:p w14:paraId="202FB645" w14:textId="77777777" w:rsidR="003532D3" w:rsidRPr="00A44648" w:rsidRDefault="003532D3" w:rsidP="003532D3">
            <w:pPr>
              <w:spacing w:before="60" w:after="60"/>
              <w:rPr>
                <w:rFonts w:ascii="Arial" w:hAnsi="Arial" w:cs="Arial"/>
                <w:lang w:val="es-ES_tradnl"/>
              </w:rPr>
            </w:pPr>
          </w:p>
        </w:tc>
      </w:tr>
      <w:tr w:rsidR="003532D3" w:rsidRPr="00A44648" w14:paraId="6AE273AF" w14:textId="77777777" w:rsidTr="003532D3">
        <w:trPr>
          <w:cantSplit/>
        </w:trPr>
        <w:tc>
          <w:tcPr>
            <w:tcW w:w="2268" w:type="dxa"/>
            <w:tcBorders>
              <w:bottom w:val="single" w:sz="4" w:space="0" w:color="auto"/>
            </w:tcBorders>
            <w:vAlign w:val="center"/>
          </w:tcPr>
          <w:p w14:paraId="29934E5B" w14:textId="77777777" w:rsidR="003532D3" w:rsidRPr="00A44648" w:rsidRDefault="001C6ECD" w:rsidP="003532D3">
            <w:pPr>
              <w:spacing w:before="60" w:after="60"/>
              <w:rPr>
                <w:rFonts w:ascii="Arial" w:hAnsi="Arial" w:cs="Arial"/>
                <w:lang w:val="es-ES_tradnl"/>
              </w:rPr>
            </w:pPr>
            <w:r w:rsidRPr="00A44648">
              <w:rPr>
                <w:rFonts w:ascii="Arial" w:hAnsi="Arial" w:cs="Arial"/>
                <w:lang w:val="es-ES_tradnl"/>
              </w:rPr>
              <w:t>Proyectos geotérmicos totales financiados por el programa en alguna etapa que están en operación (producen electricidad)</w:t>
            </w:r>
          </w:p>
        </w:tc>
        <w:tc>
          <w:tcPr>
            <w:tcW w:w="900" w:type="dxa"/>
            <w:tcBorders>
              <w:bottom w:val="single" w:sz="4" w:space="0" w:color="auto"/>
            </w:tcBorders>
            <w:vAlign w:val="center"/>
          </w:tcPr>
          <w:p w14:paraId="1331C21E" w14:textId="77777777" w:rsidR="003532D3" w:rsidRPr="00A44648" w:rsidRDefault="001C6ECD" w:rsidP="003532D3">
            <w:pPr>
              <w:spacing w:before="60" w:after="60"/>
              <w:jc w:val="center"/>
              <w:rPr>
                <w:rFonts w:ascii="Arial" w:hAnsi="Arial" w:cs="Arial"/>
              </w:rPr>
            </w:pPr>
            <w:r w:rsidRPr="00A44648">
              <w:rPr>
                <w:rFonts w:ascii="Arial" w:hAnsi="Arial" w:cs="Arial"/>
                <w:lang w:val="es-ES_tradnl"/>
              </w:rPr>
              <w:t>Número</w:t>
            </w:r>
          </w:p>
        </w:tc>
        <w:tc>
          <w:tcPr>
            <w:tcW w:w="1260" w:type="dxa"/>
            <w:tcBorders>
              <w:bottom w:val="single" w:sz="4" w:space="0" w:color="auto"/>
            </w:tcBorders>
            <w:vAlign w:val="center"/>
          </w:tcPr>
          <w:p w14:paraId="76F0B031" w14:textId="77777777" w:rsidR="003532D3" w:rsidRPr="00A44648" w:rsidRDefault="001C6ECD" w:rsidP="003532D3">
            <w:pPr>
              <w:spacing w:before="60" w:after="60"/>
              <w:jc w:val="center"/>
              <w:rPr>
                <w:rFonts w:ascii="Arial" w:hAnsi="Arial" w:cs="Arial"/>
                <w:lang w:val="es-ES_tradnl"/>
              </w:rPr>
            </w:pPr>
            <w:r w:rsidRPr="00A44648">
              <w:rPr>
                <w:rFonts w:ascii="Arial" w:hAnsi="Arial" w:cs="Arial"/>
                <w:lang w:val="es-ES_tradnl"/>
              </w:rPr>
              <w:t>Una vez</w:t>
            </w:r>
            <w:r w:rsidR="003532D3" w:rsidRPr="00A44648">
              <w:rPr>
                <w:rFonts w:ascii="Arial" w:hAnsi="Arial" w:cs="Arial"/>
                <w:lang w:val="es-ES_tradnl"/>
              </w:rPr>
              <w:t xml:space="preserve">, </w:t>
            </w:r>
            <w:r w:rsidRPr="00A44648">
              <w:rPr>
                <w:rFonts w:ascii="Arial" w:hAnsi="Arial" w:cs="Arial"/>
                <w:lang w:val="es-ES_tradnl"/>
              </w:rPr>
              <w:t xml:space="preserve">al final del período de ejecución </w:t>
            </w:r>
            <w:r w:rsidR="003532D3" w:rsidRPr="00A44648">
              <w:rPr>
                <w:rFonts w:ascii="Arial" w:hAnsi="Arial" w:cs="Arial"/>
                <w:lang w:val="es-ES_tradnl"/>
              </w:rPr>
              <w:t>(</w:t>
            </w:r>
            <w:r w:rsidRPr="00A44648">
              <w:rPr>
                <w:rFonts w:ascii="Arial" w:hAnsi="Arial" w:cs="Arial"/>
                <w:lang w:val="es-ES_tradnl"/>
              </w:rPr>
              <w:t>incluyendo valores proyectados para el año 10. Ver Matriz de resultados</w:t>
            </w:r>
            <w:r w:rsidR="003532D3" w:rsidRPr="00A44648">
              <w:rPr>
                <w:rFonts w:ascii="Arial" w:hAnsi="Arial" w:cs="Arial"/>
                <w:lang w:val="es-ES_tradnl"/>
              </w:rPr>
              <w:t>)</w:t>
            </w:r>
          </w:p>
        </w:tc>
        <w:tc>
          <w:tcPr>
            <w:tcW w:w="5760" w:type="dxa"/>
            <w:tcBorders>
              <w:bottom w:val="single" w:sz="4" w:space="0" w:color="auto"/>
            </w:tcBorders>
            <w:vAlign w:val="center"/>
          </w:tcPr>
          <w:p w14:paraId="0AA449F4" w14:textId="77777777" w:rsidR="001C6ECD" w:rsidRPr="00A44648" w:rsidRDefault="001C6ECD" w:rsidP="001C6ECD">
            <w:pPr>
              <w:spacing w:before="60" w:after="60" w:line="276" w:lineRule="auto"/>
              <w:rPr>
                <w:rFonts w:ascii="Arial" w:hAnsi="Arial" w:cs="Arial"/>
                <w:lang w:val="es-ES_tradnl"/>
              </w:rPr>
            </w:pPr>
            <w:r w:rsidRPr="00A44648">
              <w:rPr>
                <w:rFonts w:ascii="Arial" w:hAnsi="Arial" w:cs="Arial"/>
                <w:lang w:val="es-ES_tradnl"/>
              </w:rPr>
              <w:t xml:space="preserve">Incluye la cantidad total de proyectos operando en el ano indicado. Debido a los largos períodos de vencimiento asociados con estos proyectos, los proyectos financiados desde la etapa de exploración temprana podrían no estar en operación total sino hasta pasado el periodo de monitoreo (ver meta año 10). </w:t>
            </w:r>
          </w:p>
          <w:p w14:paraId="5BB5DCBF" w14:textId="77777777" w:rsidR="003532D3" w:rsidRPr="00A44648" w:rsidRDefault="001C6ECD" w:rsidP="001C6ECD">
            <w:pPr>
              <w:spacing w:before="60" w:after="60"/>
              <w:rPr>
                <w:rFonts w:ascii="Arial" w:hAnsi="Arial" w:cs="Arial"/>
              </w:rPr>
            </w:pPr>
            <w:r w:rsidRPr="00A44648">
              <w:rPr>
                <w:rFonts w:ascii="Arial" w:hAnsi="Arial" w:cs="Arial"/>
                <w:lang w:val="es-ES_tradnl"/>
              </w:rPr>
              <w:t>Fuente: Reporte del programa elaborado por NAFIN.</w:t>
            </w:r>
          </w:p>
        </w:tc>
      </w:tr>
      <w:tr w:rsidR="003532D3" w:rsidRPr="00A44648" w14:paraId="2E989FF6" w14:textId="77777777" w:rsidTr="003532D3">
        <w:trPr>
          <w:cantSplit/>
        </w:trPr>
        <w:tc>
          <w:tcPr>
            <w:tcW w:w="2268" w:type="dxa"/>
            <w:tcBorders>
              <w:bottom w:val="single" w:sz="4" w:space="0" w:color="auto"/>
            </w:tcBorders>
            <w:vAlign w:val="center"/>
          </w:tcPr>
          <w:p w14:paraId="0C7CFAC9" w14:textId="77777777" w:rsidR="003532D3" w:rsidRPr="00A44648" w:rsidRDefault="001C6ECD" w:rsidP="003532D3">
            <w:pPr>
              <w:spacing w:before="60" w:after="60"/>
              <w:rPr>
                <w:rFonts w:ascii="Arial" w:hAnsi="Arial" w:cs="Arial"/>
                <w:lang w:val="es-ES_tradnl"/>
              </w:rPr>
            </w:pPr>
            <w:r w:rsidRPr="00A44648">
              <w:rPr>
                <w:rFonts w:ascii="Arial" w:hAnsi="Arial" w:cs="Arial"/>
                <w:lang w:val="es-ES_tradnl"/>
              </w:rPr>
              <w:t>Capacidad de generación geotérmica instalada en proyectos financiados en alguna etapa por el programa</w:t>
            </w:r>
          </w:p>
        </w:tc>
        <w:tc>
          <w:tcPr>
            <w:tcW w:w="900" w:type="dxa"/>
            <w:tcBorders>
              <w:bottom w:val="single" w:sz="4" w:space="0" w:color="auto"/>
            </w:tcBorders>
            <w:vAlign w:val="center"/>
          </w:tcPr>
          <w:p w14:paraId="31ADAE63" w14:textId="77777777" w:rsidR="003532D3" w:rsidRPr="00A44648" w:rsidRDefault="003532D3" w:rsidP="003532D3">
            <w:pPr>
              <w:spacing w:before="60" w:after="60"/>
              <w:jc w:val="center"/>
              <w:rPr>
                <w:rFonts w:ascii="Arial" w:hAnsi="Arial" w:cs="Arial"/>
              </w:rPr>
            </w:pPr>
            <w:r w:rsidRPr="00A44648">
              <w:rPr>
                <w:rFonts w:ascii="Arial" w:hAnsi="Arial" w:cs="Arial"/>
              </w:rPr>
              <w:t>MWe</w:t>
            </w:r>
          </w:p>
        </w:tc>
        <w:tc>
          <w:tcPr>
            <w:tcW w:w="1260" w:type="dxa"/>
            <w:tcBorders>
              <w:bottom w:val="single" w:sz="4" w:space="0" w:color="auto"/>
            </w:tcBorders>
            <w:vAlign w:val="center"/>
          </w:tcPr>
          <w:p w14:paraId="6F07DCBC" w14:textId="77777777" w:rsidR="003532D3" w:rsidRPr="00A44648" w:rsidRDefault="001C6ECD" w:rsidP="003532D3">
            <w:pPr>
              <w:spacing w:before="60" w:after="60"/>
              <w:jc w:val="center"/>
              <w:rPr>
                <w:rFonts w:ascii="Arial" w:hAnsi="Arial" w:cs="Arial"/>
              </w:rPr>
            </w:pPr>
            <w:r w:rsidRPr="00A44648">
              <w:rPr>
                <w:rFonts w:ascii="Arial" w:hAnsi="Arial" w:cs="Arial"/>
                <w:lang w:val="es-ES_tradnl"/>
              </w:rPr>
              <w:t>Una vez, al final del período de ejecución (incluyendo valores proyectados para el año 10. Ver Matriz de resultados)</w:t>
            </w:r>
          </w:p>
        </w:tc>
        <w:tc>
          <w:tcPr>
            <w:tcW w:w="5760" w:type="dxa"/>
            <w:tcBorders>
              <w:bottom w:val="single" w:sz="4" w:space="0" w:color="auto"/>
            </w:tcBorders>
            <w:vAlign w:val="center"/>
          </w:tcPr>
          <w:p w14:paraId="1BAC1129" w14:textId="77777777" w:rsidR="001C6ECD" w:rsidRPr="00A44648" w:rsidRDefault="001C6ECD" w:rsidP="001C6ECD">
            <w:pPr>
              <w:spacing w:before="60" w:after="60" w:line="276" w:lineRule="auto"/>
              <w:rPr>
                <w:rFonts w:ascii="Arial" w:hAnsi="Arial" w:cs="Arial"/>
                <w:lang w:val="es-ES_tradnl"/>
              </w:rPr>
            </w:pPr>
            <w:r w:rsidRPr="00A44648">
              <w:rPr>
                <w:rFonts w:ascii="Arial" w:hAnsi="Arial" w:cs="Arial"/>
                <w:lang w:val="es-ES_tradnl"/>
              </w:rPr>
              <w:t>Solamente incluye la capacidad lista para producción</w:t>
            </w:r>
            <w:r w:rsidRPr="00A44648">
              <w:rPr>
                <w:rFonts w:ascii="Arial" w:hAnsi="Arial" w:cs="Arial"/>
                <w:vertAlign w:val="superscript"/>
                <w:lang w:val="es-ES_tradnl"/>
              </w:rPr>
              <w:footnoteReference w:id="6"/>
            </w:r>
            <w:r w:rsidRPr="00A44648">
              <w:rPr>
                <w:rFonts w:ascii="Arial" w:hAnsi="Arial" w:cs="Arial"/>
                <w:lang w:val="es-ES_tradnl"/>
              </w:rPr>
              <w:t xml:space="preserve">. Debido a los largos períodos de vencimiento asociados con estos proyectos, la capacidad resultante de proyectos financiados desde la etapa de exploración temprana podrían no estar instalados hasta pasado el período de monitoreo (ver meta año 10). </w:t>
            </w:r>
          </w:p>
          <w:p w14:paraId="331B04EC" w14:textId="77777777" w:rsidR="003532D3" w:rsidRPr="00A44648" w:rsidRDefault="003532D3" w:rsidP="003532D3">
            <w:pPr>
              <w:spacing w:before="60" w:after="60"/>
              <w:rPr>
                <w:rFonts w:ascii="Arial" w:hAnsi="Arial" w:cs="Arial"/>
                <w:lang w:val="es-ES_tradnl"/>
              </w:rPr>
            </w:pPr>
          </w:p>
        </w:tc>
      </w:tr>
      <w:tr w:rsidR="003532D3" w:rsidRPr="00A44648" w14:paraId="39B23D99" w14:textId="77777777" w:rsidTr="003532D3">
        <w:trPr>
          <w:cantSplit/>
        </w:trPr>
        <w:tc>
          <w:tcPr>
            <w:tcW w:w="2268" w:type="dxa"/>
            <w:tcBorders>
              <w:bottom w:val="single" w:sz="4" w:space="0" w:color="auto"/>
            </w:tcBorders>
            <w:vAlign w:val="center"/>
          </w:tcPr>
          <w:p w14:paraId="303D6C1F" w14:textId="77777777" w:rsidR="003532D3" w:rsidRPr="00A44648" w:rsidRDefault="00CF41AC" w:rsidP="003532D3">
            <w:pPr>
              <w:spacing w:before="60" w:after="60"/>
              <w:rPr>
                <w:rFonts w:ascii="Arial" w:hAnsi="Arial" w:cs="Arial"/>
                <w:lang w:val="es-ES_tradnl"/>
              </w:rPr>
            </w:pPr>
            <w:r w:rsidRPr="00A44648">
              <w:rPr>
                <w:rFonts w:ascii="Arial" w:hAnsi="Arial" w:cs="Arial"/>
                <w:lang w:val="es-ES_tradnl"/>
              </w:rPr>
              <w:t>Producción de electricidad a partir de proyectos financiados en alguna etapa por el programa</w:t>
            </w:r>
          </w:p>
        </w:tc>
        <w:tc>
          <w:tcPr>
            <w:tcW w:w="900" w:type="dxa"/>
            <w:tcBorders>
              <w:bottom w:val="single" w:sz="4" w:space="0" w:color="auto"/>
            </w:tcBorders>
            <w:vAlign w:val="center"/>
          </w:tcPr>
          <w:p w14:paraId="3F69AD3D" w14:textId="62093507" w:rsidR="003532D3" w:rsidRPr="00A44648" w:rsidRDefault="003532D3" w:rsidP="003532D3">
            <w:pPr>
              <w:spacing w:before="60" w:after="60"/>
              <w:jc w:val="center"/>
              <w:rPr>
                <w:rFonts w:ascii="Arial" w:hAnsi="Arial" w:cs="Arial"/>
              </w:rPr>
            </w:pPr>
            <w:r w:rsidRPr="00A44648">
              <w:rPr>
                <w:rFonts w:ascii="Arial" w:hAnsi="Arial" w:cs="Arial"/>
              </w:rPr>
              <w:t>GWh/</w:t>
            </w:r>
            <w:r w:rsidR="002E0F93" w:rsidRPr="00A44648">
              <w:rPr>
                <w:rFonts w:ascii="Arial" w:hAnsi="Arial" w:cs="Arial"/>
              </w:rPr>
              <w:t xml:space="preserve"> año</w:t>
            </w:r>
          </w:p>
        </w:tc>
        <w:tc>
          <w:tcPr>
            <w:tcW w:w="1260" w:type="dxa"/>
            <w:tcBorders>
              <w:bottom w:val="single" w:sz="4" w:space="0" w:color="auto"/>
            </w:tcBorders>
            <w:vAlign w:val="center"/>
          </w:tcPr>
          <w:p w14:paraId="5427DE0B" w14:textId="77777777" w:rsidR="003532D3" w:rsidRPr="00A44648" w:rsidRDefault="00CF41AC" w:rsidP="003532D3">
            <w:pPr>
              <w:spacing w:before="60" w:after="60"/>
              <w:jc w:val="center"/>
              <w:rPr>
                <w:rFonts w:ascii="Arial" w:hAnsi="Arial" w:cs="Arial"/>
              </w:rPr>
            </w:pPr>
            <w:r w:rsidRPr="00A44648">
              <w:rPr>
                <w:rFonts w:ascii="Arial" w:hAnsi="Arial" w:cs="Arial"/>
                <w:lang w:val="es-ES_tradnl"/>
              </w:rPr>
              <w:t>Una vez, al final del período de ejecución (incluyendo valores proyectados para el año 10. Ver Matriz de resultados)</w:t>
            </w:r>
          </w:p>
        </w:tc>
        <w:tc>
          <w:tcPr>
            <w:tcW w:w="5760" w:type="dxa"/>
            <w:tcBorders>
              <w:bottom w:val="single" w:sz="4" w:space="0" w:color="auto"/>
            </w:tcBorders>
            <w:vAlign w:val="center"/>
          </w:tcPr>
          <w:p w14:paraId="187E2085" w14:textId="77777777" w:rsidR="003532D3" w:rsidRPr="00A44648" w:rsidRDefault="00CF41AC" w:rsidP="003532D3">
            <w:pPr>
              <w:spacing w:before="60" w:after="60"/>
              <w:rPr>
                <w:rFonts w:ascii="Arial" w:hAnsi="Arial" w:cs="Arial"/>
                <w:lang w:val="es-ES_tradnl"/>
              </w:rPr>
            </w:pPr>
            <w:r w:rsidRPr="00A44648">
              <w:rPr>
                <w:rFonts w:ascii="Arial" w:hAnsi="Arial" w:cs="Arial"/>
                <w:lang w:val="es-ES_tradnl"/>
              </w:rPr>
              <w:t>Fuente: Reporte del programa elaborado por NAFIN. Estimaciones con base en la capacidad instalada esperada, un factor de producción promedio en México de 24 horas/día, los 365 días/ año.</w:t>
            </w:r>
          </w:p>
        </w:tc>
      </w:tr>
      <w:tr w:rsidR="003532D3" w:rsidRPr="00A44648" w14:paraId="3EEA286A" w14:textId="77777777" w:rsidTr="003532D3">
        <w:trPr>
          <w:cantSplit/>
        </w:trPr>
        <w:tc>
          <w:tcPr>
            <w:tcW w:w="2268" w:type="dxa"/>
            <w:tcBorders>
              <w:bottom w:val="single" w:sz="4" w:space="0" w:color="auto"/>
            </w:tcBorders>
            <w:vAlign w:val="center"/>
          </w:tcPr>
          <w:p w14:paraId="05F1E1AA" w14:textId="77777777" w:rsidR="003532D3" w:rsidRPr="00A44648" w:rsidRDefault="00CF41AC" w:rsidP="003532D3">
            <w:pPr>
              <w:spacing w:before="60" w:after="60"/>
              <w:rPr>
                <w:rFonts w:ascii="Arial" w:hAnsi="Arial" w:cs="Arial"/>
                <w:lang w:val="es-ES_tradnl"/>
              </w:rPr>
            </w:pPr>
            <w:r w:rsidRPr="00A44648">
              <w:rPr>
                <w:rFonts w:ascii="Arial" w:hAnsi="Arial" w:cs="Arial"/>
                <w:lang w:val="es-ES_tradnl"/>
              </w:rPr>
              <w:t>Gases de Efecto Invernadero (GEI) evitados por proyectos geotérmicos financiados en alguna etapa por el programa</w:t>
            </w:r>
          </w:p>
        </w:tc>
        <w:tc>
          <w:tcPr>
            <w:tcW w:w="900" w:type="dxa"/>
            <w:tcBorders>
              <w:bottom w:val="single" w:sz="4" w:space="0" w:color="auto"/>
            </w:tcBorders>
            <w:vAlign w:val="center"/>
          </w:tcPr>
          <w:p w14:paraId="2B6AEA63" w14:textId="33D225C2" w:rsidR="003532D3" w:rsidRPr="00A44648" w:rsidRDefault="00D748B3" w:rsidP="003532D3">
            <w:pPr>
              <w:spacing w:before="60" w:after="60"/>
              <w:rPr>
                <w:rFonts w:ascii="Arial" w:hAnsi="Arial" w:cs="Arial"/>
              </w:rPr>
            </w:pPr>
            <w:r w:rsidRPr="00A44648">
              <w:rPr>
                <w:rFonts w:ascii="Arial" w:hAnsi="Arial" w:cs="Arial"/>
              </w:rPr>
              <w:t>k</w:t>
            </w:r>
            <w:r w:rsidR="003532D3" w:rsidRPr="00A44648">
              <w:rPr>
                <w:rFonts w:ascii="Arial" w:hAnsi="Arial" w:cs="Arial"/>
              </w:rPr>
              <w:t>tCO</w:t>
            </w:r>
            <w:r w:rsidR="003532D3" w:rsidRPr="00A44648">
              <w:rPr>
                <w:rFonts w:ascii="Arial" w:hAnsi="Arial" w:cs="Arial"/>
                <w:vertAlign w:val="subscript"/>
              </w:rPr>
              <w:t>2</w:t>
            </w:r>
            <w:r w:rsidR="003532D3" w:rsidRPr="00A44648">
              <w:rPr>
                <w:rFonts w:ascii="Arial" w:hAnsi="Arial" w:cs="Arial"/>
              </w:rPr>
              <w:t>e/</w:t>
            </w:r>
            <w:r w:rsidR="002E0F93" w:rsidRPr="00A44648">
              <w:rPr>
                <w:rFonts w:ascii="Arial" w:hAnsi="Arial" w:cs="Arial"/>
              </w:rPr>
              <w:t xml:space="preserve"> año</w:t>
            </w:r>
          </w:p>
          <w:p w14:paraId="3FAE9136" w14:textId="77777777" w:rsidR="003532D3" w:rsidRPr="00A44648" w:rsidRDefault="003532D3" w:rsidP="003532D3">
            <w:pPr>
              <w:spacing w:before="60" w:after="60"/>
              <w:jc w:val="center"/>
              <w:rPr>
                <w:rFonts w:ascii="Arial" w:hAnsi="Arial" w:cs="Arial"/>
              </w:rPr>
            </w:pPr>
          </w:p>
        </w:tc>
        <w:tc>
          <w:tcPr>
            <w:tcW w:w="1260" w:type="dxa"/>
            <w:tcBorders>
              <w:bottom w:val="single" w:sz="4" w:space="0" w:color="auto"/>
            </w:tcBorders>
            <w:vAlign w:val="center"/>
          </w:tcPr>
          <w:p w14:paraId="270595C4" w14:textId="77777777" w:rsidR="003532D3" w:rsidRPr="00A44648" w:rsidRDefault="00CF41AC" w:rsidP="003532D3">
            <w:pPr>
              <w:spacing w:before="60" w:after="60"/>
              <w:jc w:val="center"/>
              <w:rPr>
                <w:rFonts w:ascii="Arial" w:hAnsi="Arial" w:cs="Arial"/>
              </w:rPr>
            </w:pPr>
            <w:r w:rsidRPr="00A44648">
              <w:rPr>
                <w:rFonts w:ascii="Arial" w:hAnsi="Arial" w:cs="Arial"/>
                <w:lang w:val="es-ES_tradnl"/>
              </w:rPr>
              <w:t>Una vez, al final del período de ejecución (incluyendo valores proyectados para el año 10. Ver Matriz de resultados)</w:t>
            </w:r>
          </w:p>
        </w:tc>
        <w:tc>
          <w:tcPr>
            <w:tcW w:w="5760" w:type="dxa"/>
            <w:tcBorders>
              <w:bottom w:val="single" w:sz="4" w:space="0" w:color="auto"/>
            </w:tcBorders>
            <w:vAlign w:val="center"/>
          </w:tcPr>
          <w:p w14:paraId="1C4F4F2E" w14:textId="77777777" w:rsidR="00CF41AC" w:rsidRPr="00A44648" w:rsidRDefault="00CF41AC" w:rsidP="00CF41AC">
            <w:pPr>
              <w:spacing w:before="60" w:after="60" w:line="276" w:lineRule="auto"/>
              <w:rPr>
                <w:rFonts w:ascii="Arial" w:hAnsi="Arial" w:cs="Arial"/>
                <w:lang w:val="es-ES_tradnl"/>
              </w:rPr>
            </w:pPr>
            <w:r w:rsidRPr="00A44648">
              <w:rPr>
                <w:rFonts w:ascii="Arial" w:hAnsi="Arial" w:cs="Arial"/>
                <w:lang w:val="es-ES_tradnl"/>
              </w:rPr>
              <w:t>Toneladas de emisiones de GEI que serán reducidas o evitadas una vez que las plantas financiadas por el programa sean comisionadas.</w:t>
            </w:r>
          </w:p>
          <w:p w14:paraId="299D5C6C" w14:textId="31BC1EEB" w:rsidR="00CF41AC" w:rsidRPr="00A44648" w:rsidRDefault="00CF41AC" w:rsidP="00CF41AC">
            <w:pPr>
              <w:spacing w:before="60" w:after="60" w:line="276" w:lineRule="auto"/>
              <w:rPr>
                <w:rFonts w:ascii="Arial" w:hAnsi="Arial" w:cs="Arial"/>
                <w:lang w:val="es-ES_tradnl"/>
              </w:rPr>
            </w:pPr>
            <w:r w:rsidRPr="00A44648">
              <w:rPr>
                <w:rFonts w:ascii="Arial" w:hAnsi="Arial" w:cs="Arial"/>
                <w:lang w:val="es-ES_tradnl"/>
              </w:rPr>
              <w:t>Fuente: Estimaciones realizadas siguiendo la metodología del BID, con base en capacidad instalada (ver indicador arriba), producción prevista, y un factor de conversión promedio de 0.5</w:t>
            </w:r>
            <w:r w:rsidR="002E0F93" w:rsidRPr="00A44648">
              <w:rPr>
                <w:rFonts w:ascii="Arial" w:hAnsi="Arial" w:cs="Arial"/>
                <w:lang w:val="es-ES_tradnl"/>
              </w:rPr>
              <w:t>82</w:t>
            </w:r>
            <w:r w:rsidRPr="00A44648">
              <w:rPr>
                <w:rFonts w:ascii="Arial" w:hAnsi="Arial" w:cs="Arial"/>
                <w:lang w:val="es-ES_tradnl"/>
              </w:rPr>
              <w:t xml:space="preserve"> </w:t>
            </w:r>
            <w:r w:rsidR="00D748B3" w:rsidRPr="00A44648">
              <w:rPr>
                <w:rFonts w:ascii="Arial" w:hAnsi="Arial" w:cs="Arial"/>
                <w:lang w:val="es-ES_tradnl"/>
              </w:rPr>
              <w:t xml:space="preserve">tCO2/MWh </w:t>
            </w:r>
            <w:r w:rsidRPr="00A44648">
              <w:rPr>
                <w:rFonts w:ascii="Arial" w:hAnsi="Arial" w:cs="Arial"/>
                <w:lang w:val="es-ES_tradnl"/>
              </w:rPr>
              <w:t>para generación eléctrica en México.</w:t>
            </w:r>
          </w:p>
          <w:p w14:paraId="14EF645E" w14:textId="5A40EFBD" w:rsidR="003532D3" w:rsidRPr="00A44648" w:rsidRDefault="00D748B3" w:rsidP="003532D3">
            <w:pPr>
              <w:spacing w:before="60" w:after="60"/>
              <w:rPr>
                <w:rFonts w:ascii="Arial" w:hAnsi="Arial" w:cs="Arial"/>
              </w:rPr>
            </w:pPr>
            <w:r w:rsidRPr="00A44648">
              <w:rPr>
                <w:rFonts w:ascii="Arial" w:hAnsi="Arial" w:cs="Arial"/>
                <w:lang w:val="es-ES_tradnl"/>
              </w:rPr>
              <w:t>k</w:t>
            </w:r>
            <w:r w:rsidR="00CF41AC" w:rsidRPr="00A44648">
              <w:rPr>
                <w:rFonts w:ascii="Arial" w:hAnsi="Arial" w:cs="Arial"/>
                <w:lang w:val="es-ES_tradnl"/>
              </w:rPr>
              <w:t xml:space="preserve">tCO2e = </w:t>
            </w:r>
            <w:r w:rsidR="002E0F93" w:rsidRPr="00A44648">
              <w:rPr>
                <w:rFonts w:ascii="Arial" w:hAnsi="Arial" w:cs="Arial"/>
                <w:lang w:val="es-ES_tradnl"/>
              </w:rPr>
              <w:t>Miles</w:t>
            </w:r>
            <w:r w:rsidR="00CF41AC" w:rsidRPr="00A44648">
              <w:rPr>
                <w:rFonts w:ascii="Arial" w:hAnsi="Arial" w:cs="Arial"/>
                <w:lang w:val="es-ES_tradnl"/>
              </w:rPr>
              <w:t xml:space="preserve"> de toneladas de CO2 equivalente.</w:t>
            </w:r>
          </w:p>
        </w:tc>
      </w:tr>
      <w:tr w:rsidR="00CF41AC" w:rsidRPr="00A44648" w14:paraId="55807FC1" w14:textId="77777777" w:rsidTr="00CF41AC">
        <w:trPr>
          <w:cantSplit/>
        </w:trPr>
        <w:tc>
          <w:tcPr>
            <w:tcW w:w="10188" w:type="dxa"/>
            <w:gridSpan w:val="4"/>
            <w:shd w:val="clear" w:color="auto" w:fill="BFBFBF" w:themeFill="background1" w:themeFillShade="BF"/>
            <w:vAlign w:val="center"/>
          </w:tcPr>
          <w:p w14:paraId="381D422D" w14:textId="77777777" w:rsidR="00CF41AC" w:rsidRPr="00A44648" w:rsidRDefault="00CF41AC" w:rsidP="003532D3">
            <w:pPr>
              <w:spacing w:before="60" w:after="60"/>
              <w:rPr>
                <w:rFonts w:ascii="Arial" w:hAnsi="Arial" w:cs="Arial"/>
              </w:rPr>
            </w:pPr>
            <w:r w:rsidRPr="00A44648">
              <w:rPr>
                <w:rFonts w:ascii="Arial" w:hAnsi="Arial" w:cs="Arial"/>
                <w:b/>
                <w:smallCaps/>
              </w:rPr>
              <w:t>IMPACTO</w:t>
            </w:r>
          </w:p>
        </w:tc>
      </w:tr>
      <w:tr w:rsidR="00CF41AC" w:rsidRPr="00A44648" w14:paraId="45B47CB8" w14:textId="77777777" w:rsidTr="00CF41AC">
        <w:trPr>
          <w:cantSplit/>
        </w:trPr>
        <w:tc>
          <w:tcPr>
            <w:tcW w:w="2268" w:type="dxa"/>
            <w:vAlign w:val="center"/>
          </w:tcPr>
          <w:p w14:paraId="3DB1ECED" w14:textId="77777777" w:rsidR="00CF41AC" w:rsidRPr="00A44648" w:rsidRDefault="00CF41AC" w:rsidP="003532D3">
            <w:pPr>
              <w:spacing w:before="60" w:after="60"/>
              <w:rPr>
                <w:rFonts w:ascii="Arial" w:hAnsi="Arial" w:cs="Arial"/>
                <w:lang w:val="es-ES_tradnl"/>
              </w:rPr>
            </w:pPr>
            <w:r w:rsidRPr="00A44648">
              <w:rPr>
                <w:rFonts w:ascii="Arial" w:hAnsi="Arial" w:cs="Arial"/>
                <w:lang w:val="es-ES_tradnl"/>
              </w:rPr>
              <w:t>Financiamiento adicional de terceras partes movilizado para desarrollar proyectos geotérmicos financiados en alguna etapa por el programa.</w:t>
            </w:r>
          </w:p>
        </w:tc>
        <w:tc>
          <w:tcPr>
            <w:tcW w:w="900" w:type="dxa"/>
            <w:vAlign w:val="center"/>
          </w:tcPr>
          <w:p w14:paraId="6DDB0375" w14:textId="77777777" w:rsidR="00CF41AC" w:rsidRPr="00A44648" w:rsidRDefault="00CF41AC" w:rsidP="003532D3">
            <w:pPr>
              <w:spacing w:before="60" w:after="60"/>
              <w:jc w:val="center"/>
              <w:rPr>
                <w:rFonts w:ascii="Arial" w:hAnsi="Arial" w:cs="Arial"/>
                <w:lang w:val="es-ES_tradnl"/>
              </w:rPr>
            </w:pPr>
            <w:r w:rsidRPr="00A44648">
              <w:rPr>
                <w:rFonts w:ascii="Arial" w:hAnsi="Arial" w:cs="Arial"/>
                <w:lang w:val="es-ES_tradnl"/>
              </w:rPr>
              <w:t>Millones de US$</w:t>
            </w:r>
          </w:p>
        </w:tc>
        <w:tc>
          <w:tcPr>
            <w:tcW w:w="1260" w:type="dxa"/>
            <w:vAlign w:val="center"/>
          </w:tcPr>
          <w:p w14:paraId="062084A9" w14:textId="77777777" w:rsidR="00CF41AC" w:rsidRPr="00A44648" w:rsidRDefault="00CF41AC" w:rsidP="003532D3">
            <w:pPr>
              <w:spacing w:before="60" w:after="60"/>
              <w:jc w:val="center"/>
              <w:rPr>
                <w:rFonts w:ascii="Arial" w:hAnsi="Arial" w:cs="Arial"/>
                <w:lang w:val="es-ES_tradnl"/>
              </w:rPr>
            </w:pPr>
            <w:r w:rsidRPr="00A44648">
              <w:rPr>
                <w:rFonts w:ascii="Arial" w:hAnsi="Arial" w:cs="Arial"/>
                <w:lang w:val="es-ES_tradnl"/>
              </w:rPr>
              <w:t>A lo largo de la ejecución</w:t>
            </w:r>
          </w:p>
        </w:tc>
        <w:tc>
          <w:tcPr>
            <w:tcW w:w="5760" w:type="dxa"/>
            <w:vAlign w:val="center"/>
          </w:tcPr>
          <w:p w14:paraId="288E0344" w14:textId="77777777" w:rsidR="00CF41AC" w:rsidRPr="00A44648" w:rsidRDefault="00CF41AC" w:rsidP="00CF41AC">
            <w:pPr>
              <w:spacing w:before="60" w:after="60" w:line="276" w:lineRule="auto"/>
              <w:rPr>
                <w:rFonts w:ascii="Arial" w:eastAsiaTheme="minorEastAsia" w:hAnsi="Arial" w:cs="Arial"/>
                <w:lang w:val="es-ES_tradnl"/>
              </w:rPr>
            </w:pPr>
            <w:r w:rsidRPr="00A44648">
              <w:rPr>
                <w:rFonts w:ascii="Arial" w:eastAsiaTheme="minorEastAsia" w:hAnsi="Arial" w:cs="Arial"/>
                <w:lang w:val="es-ES_tradnl"/>
              </w:rPr>
              <w:t xml:space="preserve">Volumen de financiamiento directo de terceras partes apalancado a través del programa incluyendo todas las fuentes de financiamiento adicionales del gobierno, NAFIN iones financieras, además de aportes de capital privado o público, (excepto los aportes del BID y CTF). </w:t>
            </w:r>
          </w:p>
          <w:p w14:paraId="6B200032" w14:textId="77777777" w:rsidR="00CF41AC" w:rsidRPr="00A44648" w:rsidRDefault="00CF41AC" w:rsidP="00CF41AC">
            <w:pPr>
              <w:spacing w:before="60" w:after="60"/>
              <w:rPr>
                <w:rFonts w:ascii="Arial" w:hAnsi="Arial" w:cs="Arial"/>
                <w:lang w:val="es-ES_tradnl"/>
              </w:rPr>
            </w:pPr>
            <w:r w:rsidRPr="00A44648">
              <w:rPr>
                <w:rFonts w:ascii="Arial" w:eastAsiaTheme="minorEastAsia" w:hAnsi="Arial" w:cs="Arial"/>
                <w:lang w:val="es-ES_tradnl"/>
              </w:rPr>
              <w:t>Fuente:   Reporte del programa elaborado por NAFIN. Estimaciones con base en un coeficiente de endeudamiento de 70:30 (para la fase de explotación), costo de inversión de US$5 millones por pozo y US$2 a US$4 millones por MW instalado.</w:t>
            </w:r>
          </w:p>
        </w:tc>
      </w:tr>
      <w:tr w:rsidR="00CF41AC" w:rsidRPr="00A44648" w14:paraId="01FFF155" w14:textId="77777777" w:rsidTr="00CF41AC">
        <w:trPr>
          <w:cantSplit/>
        </w:trPr>
        <w:tc>
          <w:tcPr>
            <w:tcW w:w="2268" w:type="dxa"/>
            <w:vAlign w:val="center"/>
          </w:tcPr>
          <w:p w14:paraId="382170BE" w14:textId="77777777" w:rsidR="00CF41AC" w:rsidRPr="00A44648" w:rsidRDefault="00CF41AC" w:rsidP="003532D3">
            <w:pPr>
              <w:spacing w:before="60" w:after="60"/>
              <w:rPr>
                <w:rFonts w:ascii="Arial" w:hAnsi="Arial" w:cs="Arial"/>
                <w:lang w:val="es-ES_tradnl"/>
              </w:rPr>
            </w:pPr>
            <w:r w:rsidRPr="00A44648">
              <w:rPr>
                <w:rFonts w:ascii="Arial" w:hAnsi="Arial" w:cs="Arial"/>
                <w:lang w:val="es-ES_tradnl"/>
              </w:rPr>
              <w:t>Capacidad geotérmica total instalada en México</w:t>
            </w:r>
          </w:p>
        </w:tc>
        <w:tc>
          <w:tcPr>
            <w:tcW w:w="900" w:type="dxa"/>
            <w:vAlign w:val="center"/>
          </w:tcPr>
          <w:p w14:paraId="75EEF0F4" w14:textId="77777777" w:rsidR="00CF41AC" w:rsidRPr="00A44648" w:rsidRDefault="00CF41AC" w:rsidP="003532D3">
            <w:pPr>
              <w:spacing w:before="60" w:after="60"/>
              <w:jc w:val="center"/>
              <w:rPr>
                <w:rFonts w:ascii="Arial" w:hAnsi="Arial" w:cs="Arial"/>
                <w:lang w:val="es-ES_tradnl"/>
              </w:rPr>
            </w:pPr>
            <w:r w:rsidRPr="00A44648">
              <w:rPr>
                <w:rFonts w:ascii="Arial" w:hAnsi="Arial" w:cs="Arial"/>
              </w:rPr>
              <w:t>MWe</w:t>
            </w:r>
          </w:p>
        </w:tc>
        <w:tc>
          <w:tcPr>
            <w:tcW w:w="1260" w:type="dxa"/>
            <w:vAlign w:val="center"/>
          </w:tcPr>
          <w:p w14:paraId="6A9EA8DD" w14:textId="77777777" w:rsidR="00CF41AC" w:rsidRPr="00A44648" w:rsidRDefault="00CF41AC" w:rsidP="003532D3">
            <w:pPr>
              <w:spacing w:before="60" w:after="60"/>
              <w:jc w:val="center"/>
              <w:rPr>
                <w:rFonts w:ascii="Arial" w:hAnsi="Arial" w:cs="Arial"/>
                <w:lang w:val="es-ES_tradnl"/>
              </w:rPr>
            </w:pPr>
            <w:r w:rsidRPr="00A44648">
              <w:rPr>
                <w:rFonts w:ascii="Arial" w:hAnsi="Arial" w:cs="Arial"/>
                <w:lang w:val="es-ES_tradnl"/>
              </w:rPr>
              <w:t>Dos veces, línea de base y al final de la ejecución</w:t>
            </w:r>
          </w:p>
        </w:tc>
        <w:tc>
          <w:tcPr>
            <w:tcW w:w="5760" w:type="dxa"/>
            <w:vAlign w:val="center"/>
          </w:tcPr>
          <w:p w14:paraId="63C11999" w14:textId="77777777" w:rsidR="00CF41AC" w:rsidRPr="00A44648" w:rsidRDefault="00CF41AC" w:rsidP="003532D3">
            <w:pPr>
              <w:spacing w:before="60" w:after="60"/>
              <w:rPr>
                <w:rFonts w:ascii="Arial" w:hAnsi="Arial" w:cs="Arial"/>
                <w:lang w:val="es-ES_tradnl"/>
              </w:rPr>
            </w:pPr>
            <w:r w:rsidRPr="00A44648">
              <w:rPr>
                <w:rFonts w:ascii="Arial" w:hAnsi="Arial" w:cs="Arial"/>
                <w:lang w:val="es-ES_tradnl"/>
              </w:rPr>
              <w:t>Fuente: SENER, Balance Nacional de Energía</w:t>
            </w:r>
          </w:p>
        </w:tc>
      </w:tr>
      <w:tr w:rsidR="00CF41AC" w:rsidRPr="00A44648" w14:paraId="00663C53" w14:textId="77777777" w:rsidTr="00CF41AC">
        <w:trPr>
          <w:cantSplit/>
        </w:trPr>
        <w:tc>
          <w:tcPr>
            <w:tcW w:w="2268" w:type="dxa"/>
            <w:vAlign w:val="center"/>
          </w:tcPr>
          <w:p w14:paraId="52D9E8D3" w14:textId="77777777" w:rsidR="00CF41AC" w:rsidRPr="00A44648" w:rsidRDefault="00CF41AC" w:rsidP="003532D3">
            <w:pPr>
              <w:spacing w:before="60" w:after="60"/>
              <w:rPr>
                <w:rFonts w:ascii="Arial" w:hAnsi="Arial" w:cs="Arial"/>
                <w:lang w:val="es-ES_tradnl"/>
              </w:rPr>
            </w:pPr>
            <w:r w:rsidRPr="00A44648">
              <w:rPr>
                <w:rFonts w:ascii="Arial" w:hAnsi="Arial" w:cs="Arial"/>
                <w:lang w:val="es-ES_tradnl"/>
              </w:rPr>
              <w:t>Producción de electricidad a partir de fuentes geotérmicas en México</w:t>
            </w:r>
          </w:p>
        </w:tc>
        <w:tc>
          <w:tcPr>
            <w:tcW w:w="900" w:type="dxa"/>
            <w:vAlign w:val="center"/>
          </w:tcPr>
          <w:p w14:paraId="0CC5C12C" w14:textId="77777777" w:rsidR="00CF41AC" w:rsidRPr="00A44648" w:rsidRDefault="00CF41AC" w:rsidP="003532D3">
            <w:pPr>
              <w:spacing w:before="60" w:after="60"/>
              <w:jc w:val="center"/>
              <w:rPr>
                <w:rFonts w:ascii="Arial" w:hAnsi="Arial" w:cs="Arial"/>
                <w:lang w:val="es-ES_tradnl"/>
              </w:rPr>
            </w:pPr>
            <w:r w:rsidRPr="00A44648">
              <w:rPr>
                <w:rFonts w:ascii="Arial" w:hAnsi="Arial" w:cs="Arial"/>
              </w:rPr>
              <w:t>GWh/ año</w:t>
            </w:r>
          </w:p>
        </w:tc>
        <w:tc>
          <w:tcPr>
            <w:tcW w:w="1260" w:type="dxa"/>
            <w:vAlign w:val="center"/>
          </w:tcPr>
          <w:p w14:paraId="19906949" w14:textId="77777777" w:rsidR="00CF41AC" w:rsidRPr="00A44648" w:rsidRDefault="00CF41AC" w:rsidP="003532D3">
            <w:pPr>
              <w:spacing w:before="60" w:after="60"/>
              <w:jc w:val="center"/>
              <w:rPr>
                <w:rFonts w:ascii="Arial" w:hAnsi="Arial" w:cs="Arial"/>
                <w:lang w:val="es-ES_tradnl"/>
              </w:rPr>
            </w:pPr>
            <w:r w:rsidRPr="00A44648">
              <w:rPr>
                <w:rFonts w:ascii="Arial" w:hAnsi="Arial" w:cs="Arial"/>
                <w:lang w:val="es-ES_tradnl"/>
              </w:rPr>
              <w:t>Dos veces, línea de base y al final de la ejecución</w:t>
            </w:r>
          </w:p>
        </w:tc>
        <w:tc>
          <w:tcPr>
            <w:tcW w:w="5760" w:type="dxa"/>
            <w:vAlign w:val="center"/>
          </w:tcPr>
          <w:p w14:paraId="5423E71E" w14:textId="77777777" w:rsidR="00CF41AC" w:rsidRPr="00A44648" w:rsidRDefault="00CF41AC" w:rsidP="003532D3">
            <w:pPr>
              <w:spacing w:before="60" w:after="60"/>
              <w:rPr>
                <w:rFonts w:ascii="Arial" w:hAnsi="Arial" w:cs="Arial"/>
                <w:lang w:val="es-ES_tradnl"/>
              </w:rPr>
            </w:pPr>
            <w:r w:rsidRPr="00A44648">
              <w:rPr>
                <w:rFonts w:ascii="Arial" w:hAnsi="Arial" w:cs="Arial"/>
                <w:lang w:val="es-ES_tradnl"/>
              </w:rPr>
              <w:t>Fuente: Información pública de la Comisión Reguladora de Energía (CRE) y la CFE. Estimaciones realizadas con base en el factor de producción promedio en México.</w:t>
            </w:r>
          </w:p>
        </w:tc>
      </w:tr>
      <w:tr w:rsidR="00CF41AC" w:rsidRPr="00A44648" w14:paraId="47FD266A" w14:textId="77777777" w:rsidTr="00CF41AC">
        <w:trPr>
          <w:cantSplit/>
        </w:trPr>
        <w:tc>
          <w:tcPr>
            <w:tcW w:w="2268" w:type="dxa"/>
            <w:vAlign w:val="center"/>
          </w:tcPr>
          <w:p w14:paraId="6D24E822" w14:textId="77777777" w:rsidR="00CF41AC" w:rsidRPr="00A44648" w:rsidRDefault="00CF41AC" w:rsidP="003532D3">
            <w:pPr>
              <w:spacing w:before="60" w:after="60"/>
              <w:rPr>
                <w:rFonts w:ascii="Arial" w:hAnsi="Arial" w:cs="Arial"/>
                <w:lang w:val="es-ES_tradnl"/>
              </w:rPr>
            </w:pPr>
            <w:r w:rsidRPr="00A44648">
              <w:rPr>
                <w:rFonts w:ascii="Arial" w:hAnsi="Arial" w:cs="Arial"/>
                <w:lang w:val="es-ES_tradnl"/>
              </w:rPr>
              <w:t>Gases de Efecto Invernadero (GEI) en el sector energético mexicano</w:t>
            </w:r>
          </w:p>
        </w:tc>
        <w:tc>
          <w:tcPr>
            <w:tcW w:w="900" w:type="dxa"/>
            <w:vAlign w:val="center"/>
          </w:tcPr>
          <w:p w14:paraId="3BEA5218" w14:textId="6B1C3021" w:rsidR="00CF41AC" w:rsidRPr="00A44648" w:rsidRDefault="00D748B3" w:rsidP="003532D3">
            <w:pPr>
              <w:spacing w:before="60" w:after="60"/>
              <w:jc w:val="center"/>
              <w:rPr>
                <w:rFonts w:ascii="Arial" w:hAnsi="Arial" w:cs="Arial"/>
                <w:lang w:val="es-ES_tradnl"/>
              </w:rPr>
            </w:pPr>
            <w:r w:rsidRPr="00A44648">
              <w:rPr>
                <w:rFonts w:ascii="Arial" w:hAnsi="Arial" w:cs="Arial"/>
              </w:rPr>
              <w:t>k</w:t>
            </w:r>
            <w:r w:rsidR="00CF41AC" w:rsidRPr="00A44648">
              <w:rPr>
                <w:rFonts w:ascii="Arial" w:hAnsi="Arial" w:cs="Arial"/>
              </w:rPr>
              <w:t>t CO2e</w:t>
            </w:r>
          </w:p>
        </w:tc>
        <w:tc>
          <w:tcPr>
            <w:tcW w:w="1260" w:type="dxa"/>
            <w:vAlign w:val="center"/>
          </w:tcPr>
          <w:p w14:paraId="275C409B" w14:textId="77777777" w:rsidR="00CF41AC" w:rsidRPr="00A44648" w:rsidRDefault="00CF41AC" w:rsidP="003532D3">
            <w:pPr>
              <w:spacing w:before="60" w:after="60"/>
              <w:jc w:val="center"/>
              <w:rPr>
                <w:rFonts w:ascii="Arial" w:hAnsi="Arial" w:cs="Arial"/>
                <w:lang w:val="es-ES_tradnl"/>
              </w:rPr>
            </w:pPr>
            <w:r w:rsidRPr="00A44648">
              <w:rPr>
                <w:rFonts w:ascii="Arial" w:hAnsi="Arial" w:cs="Arial"/>
                <w:lang w:val="es-ES_tradnl"/>
              </w:rPr>
              <w:t>Dos veces, línea de base y al final de la ejecución</w:t>
            </w:r>
          </w:p>
        </w:tc>
        <w:tc>
          <w:tcPr>
            <w:tcW w:w="5760" w:type="dxa"/>
            <w:vAlign w:val="center"/>
          </w:tcPr>
          <w:p w14:paraId="192744A4" w14:textId="77777777" w:rsidR="00CF41AC" w:rsidRPr="00A44648" w:rsidRDefault="00CF41AC" w:rsidP="003532D3">
            <w:pPr>
              <w:spacing w:before="60" w:after="60"/>
              <w:rPr>
                <w:rFonts w:ascii="Arial" w:hAnsi="Arial" w:cs="Arial"/>
                <w:lang w:val="es-ES_tradnl"/>
              </w:rPr>
            </w:pPr>
            <w:r w:rsidRPr="00A44648">
              <w:rPr>
                <w:rFonts w:ascii="Arial" w:hAnsi="Arial" w:cs="Arial"/>
                <w:lang w:val="es-ES_tradnl"/>
              </w:rPr>
              <w:t xml:space="preserve">Fuente: BID estimaciones con base en la </w:t>
            </w:r>
            <w:hyperlink r:id="rId23" w:history="1">
              <w:r w:rsidRPr="00A44648">
                <w:rPr>
                  <w:rStyle w:val="Hyperlink"/>
                  <w:rFonts w:ascii="Arial" w:hAnsi="Arial" w:cs="Arial"/>
                  <w:lang w:val="es-ES_tradnl"/>
                </w:rPr>
                <w:t>Estrategia Nacional de Cambio Climático</w:t>
              </w:r>
            </w:hyperlink>
            <w:r w:rsidRPr="00A44648">
              <w:rPr>
                <w:rFonts w:ascii="Arial" w:hAnsi="Arial" w:cs="Arial"/>
                <w:lang w:val="es-ES_tradnl"/>
              </w:rPr>
              <w:t xml:space="preserve"> (ENACC) y la </w:t>
            </w:r>
            <w:hyperlink r:id="rId24" w:history="1">
              <w:r w:rsidRPr="00A44648">
                <w:rPr>
                  <w:rStyle w:val="Hyperlink"/>
                  <w:rFonts w:ascii="Arial" w:hAnsi="Arial" w:cs="Arial"/>
                  <w:lang w:val="es-ES_tradnl"/>
                </w:rPr>
                <w:t>Contribución sectorial a las emisiones, Quinta Comunicación al UNFCCC</w:t>
              </w:r>
            </w:hyperlink>
          </w:p>
          <w:p w14:paraId="12810240" w14:textId="77777777" w:rsidR="00CF41AC" w:rsidRPr="00A44648" w:rsidRDefault="00CF41AC" w:rsidP="00CF41AC">
            <w:pPr>
              <w:spacing w:before="60" w:after="60"/>
              <w:rPr>
                <w:rFonts w:ascii="Arial" w:hAnsi="Arial" w:cs="Arial"/>
                <w:lang w:val="es-ES_tradnl"/>
              </w:rPr>
            </w:pPr>
            <w:r w:rsidRPr="00A44648">
              <w:rPr>
                <w:rFonts w:ascii="Arial" w:hAnsi="Arial" w:cs="Arial"/>
                <w:lang w:val="es-ES_tradnl"/>
              </w:rPr>
              <w:t>Línea de base de GEI en 2024 y 2030 es 900MtCO</w:t>
            </w:r>
            <w:r w:rsidRPr="00A44648">
              <w:rPr>
                <w:rFonts w:ascii="Arial" w:hAnsi="Arial" w:cs="Arial"/>
                <w:vertAlign w:val="subscript"/>
                <w:lang w:val="es-ES_tradnl"/>
              </w:rPr>
              <w:t>2</w:t>
            </w:r>
            <w:r w:rsidRPr="00A44648">
              <w:rPr>
                <w:rFonts w:ascii="Arial" w:hAnsi="Arial" w:cs="Arial"/>
                <w:lang w:val="es-ES_tradnl"/>
              </w:rPr>
              <w:t>e/año y 996MtCO</w:t>
            </w:r>
            <w:r w:rsidRPr="00A44648">
              <w:rPr>
                <w:rFonts w:ascii="Arial" w:hAnsi="Arial" w:cs="Arial"/>
                <w:vertAlign w:val="subscript"/>
                <w:lang w:val="es-ES_tradnl"/>
              </w:rPr>
              <w:t>2</w:t>
            </w:r>
            <w:r w:rsidRPr="00A44648">
              <w:rPr>
                <w:rFonts w:ascii="Arial" w:hAnsi="Arial" w:cs="Arial"/>
                <w:lang w:val="es-ES_tradnl"/>
              </w:rPr>
              <w:t>e/ año respectivamente, y el potencial de abatimiento de emisiones en 2024 y 2030 es 86MtCO</w:t>
            </w:r>
            <w:r w:rsidRPr="00A44648">
              <w:rPr>
                <w:rFonts w:ascii="Arial" w:hAnsi="Arial" w:cs="Arial"/>
                <w:vertAlign w:val="subscript"/>
                <w:lang w:val="es-ES_tradnl"/>
              </w:rPr>
              <w:t>2</w:t>
            </w:r>
            <w:r w:rsidRPr="00A44648">
              <w:rPr>
                <w:rFonts w:ascii="Arial" w:hAnsi="Arial" w:cs="Arial"/>
                <w:lang w:val="es-ES_tradnl"/>
              </w:rPr>
              <w:t>e/año y 172MtCO</w:t>
            </w:r>
            <w:r w:rsidRPr="00A44648">
              <w:rPr>
                <w:rFonts w:ascii="Arial" w:hAnsi="Arial" w:cs="Arial"/>
                <w:vertAlign w:val="subscript"/>
                <w:lang w:val="es-ES_tradnl"/>
              </w:rPr>
              <w:t>2</w:t>
            </w:r>
            <w:r w:rsidRPr="00A44648">
              <w:rPr>
                <w:rFonts w:ascii="Arial" w:hAnsi="Arial" w:cs="Arial"/>
                <w:lang w:val="es-ES_tradnl"/>
              </w:rPr>
              <w:t xml:space="preserve">e/año respectivamente,  de acuerdo a la </w:t>
            </w:r>
            <w:hyperlink r:id="rId25" w:history="1">
              <w:r w:rsidRPr="00A44648">
                <w:rPr>
                  <w:rStyle w:val="Hyperlink"/>
                  <w:rFonts w:ascii="Arial" w:hAnsi="Arial" w:cs="Arial"/>
                  <w:lang w:val="es-ES_tradnl"/>
                </w:rPr>
                <w:t>Contribución sectorial a las emisiones, Quinta Comunicación al UNFCCC</w:t>
              </w:r>
            </w:hyperlink>
            <w:r w:rsidRPr="00A44648">
              <w:rPr>
                <w:rFonts w:ascii="Arial" w:hAnsi="Arial" w:cs="Arial"/>
                <w:lang w:val="es-ES_tradnl"/>
              </w:rPr>
              <w:t>.</w:t>
            </w:r>
          </w:p>
          <w:p w14:paraId="7A400D57" w14:textId="77777777" w:rsidR="00CF41AC" w:rsidRPr="00A44648" w:rsidRDefault="00CF41AC" w:rsidP="00CF41AC">
            <w:pPr>
              <w:spacing w:before="60" w:after="60"/>
              <w:rPr>
                <w:rFonts w:ascii="Arial" w:hAnsi="Arial" w:cs="Arial"/>
                <w:lang w:val="es-ES_tradnl"/>
              </w:rPr>
            </w:pPr>
          </w:p>
          <w:p w14:paraId="064CB660" w14:textId="636B6EBF" w:rsidR="00CF41AC" w:rsidRPr="00A44648" w:rsidRDefault="00D748B3" w:rsidP="00CF41AC">
            <w:pPr>
              <w:spacing w:before="60" w:after="60"/>
              <w:rPr>
                <w:rFonts w:ascii="Arial" w:hAnsi="Arial" w:cs="Arial"/>
                <w:lang w:val="es-ES_tradnl"/>
              </w:rPr>
            </w:pPr>
            <w:r w:rsidRPr="00A44648">
              <w:rPr>
                <w:rFonts w:ascii="Arial" w:hAnsi="Arial" w:cs="Arial"/>
                <w:lang w:val="pt-BR"/>
              </w:rPr>
              <w:t>k</w:t>
            </w:r>
            <w:r w:rsidR="00CF41AC" w:rsidRPr="00A44648">
              <w:rPr>
                <w:rFonts w:ascii="Arial" w:hAnsi="Arial" w:cs="Arial"/>
                <w:lang w:val="pt-BR"/>
              </w:rPr>
              <w:t>tCO</w:t>
            </w:r>
            <w:r w:rsidR="00CF41AC" w:rsidRPr="00A44648">
              <w:rPr>
                <w:rFonts w:ascii="Arial" w:hAnsi="Arial" w:cs="Arial"/>
                <w:vertAlign w:val="subscript"/>
                <w:lang w:val="pt-BR"/>
              </w:rPr>
              <w:t>2</w:t>
            </w:r>
            <w:r w:rsidR="00CF41AC" w:rsidRPr="00A44648">
              <w:rPr>
                <w:rFonts w:ascii="Arial" w:hAnsi="Arial" w:cs="Arial"/>
                <w:lang w:val="pt-BR"/>
              </w:rPr>
              <w:t>e = Mil</w:t>
            </w:r>
            <w:r w:rsidRPr="00A44648">
              <w:rPr>
                <w:rFonts w:ascii="Arial" w:hAnsi="Arial" w:cs="Arial"/>
                <w:lang w:val="pt-BR"/>
              </w:rPr>
              <w:t>es</w:t>
            </w:r>
            <w:r w:rsidR="00CF41AC" w:rsidRPr="00A44648">
              <w:rPr>
                <w:rFonts w:ascii="Arial" w:hAnsi="Arial" w:cs="Arial"/>
                <w:lang w:val="pt-BR"/>
              </w:rPr>
              <w:t xml:space="preserve"> de toneladas de CO</w:t>
            </w:r>
            <w:r w:rsidR="00CF41AC" w:rsidRPr="00A44648">
              <w:rPr>
                <w:rFonts w:ascii="Arial" w:hAnsi="Arial" w:cs="Arial"/>
                <w:vertAlign w:val="subscript"/>
                <w:lang w:val="pt-BR"/>
              </w:rPr>
              <w:t>2</w:t>
            </w:r>
            <w:r w:rsidR="00CF41AC" w:rsidRPr="00A44648">
              <w:rPr>
                <w:rFonts w:ascii="Arial" w:hAnsi="Arial" w:cs="Arial"/>
                <w:lang w:val="pt-BR"/>
              </w:rPr>
              <w:t xml:space="preserve"> equivalente.</w:t>
            </w:r>
          </w:p>
        </w:tc>
      </w:tr>
      <w:tr w:rsidR="00CF41AC" w:rsidRPr="00A44648" w14:paraId="48517C16" w14:textId="77777777" w:rsidTr="003532D3">
        <w:trPr>
          <w:cantSplit/>
        </w:trPr>
        <w:tc>
          <w:tcPr>
            <w:tcW w:w="2268" w:type="dxa"/>
            <w:tcBorders>
              <w:bottom w:val="single" w:sz="4" w:space="0" w:color="auto"/>
            </w:tcBorders>
            <w:vAlign w:val="center"/>
          </w:tcPr>
          <w:p w14:paraId="55B78A6C" w14:textId="77777777" w:rsidR="00CF41AC" w:rsidRPr="00A44648" w:rsidRDefault="00CF41AC" w:rsidP="003532D3">
            <w:pPr>
              <w:spacing w:before="60" w:after="60"/>
              <w:rPr>
                <w:rFonts w:ascii="Arial" w:hAnsi="Arial" w:cs="Arial"/>
                <w:lang w:val="es-ES_tradnl"/>
              </w:rPr>
            </w:pPr>
            <w:r w:rsidRPr="00A44648">
              <w:rPr>
                <w:rFonts w:ascii="Arial" w:hAnsi="Arial" w:cs="Arial"/>
                <w:lang w:val="es-ES_tradnl"/>
              </w:rPr>
              <w:t>Porcentaje de energía renovable en la matriz eléctrica</w:t>
            </w:r>
          </w:p>
        </w:tc>
        <w:tc>
          <w:tcPr>
            <w:tcW w:w="900" w:type="dxa"/>
            <w:tcBorders>
              <w:bottom w:val="single" w:sz="4" w:space="0" w:color="auto"/>
            </w:tcBorders>
            <w:vAlign w:val="center"/>
          </w:tcPr>
          <w:p w14:paraId="7D4629DF" w14:textId="77777777" w:rsidR="00CF41AC" w:rsidRPr="00A44648" w:rsidRDefault="00CF41AC" w:rsidP="003532D3">
            <w:pPr>
              <w:spacing w:before="60" w:after="60"/>
              <w:jc w:val="center"/>
              <w:rPr>
                <w:rFonts w:ascii="Arial" w:hAnsi="Arial" w:cs="Arial"/>
              </w:rPr>
            </w:pPr>
            <w:r w:rsidRPr="00A44648">
              <w:rPr>
                <w:rFonts w:ascii="Arial" w:hAnsi="Arial" w:cs="Arial"/>
              </w:rPr>
              <w:t>Generación</w:t>
            </w:r>
          </w:p>
          <w:p w14:paraId="07C14BA6" w14:textId="77777777" w:rsidR="00CF41AC" w:rsidRPr="00A44648" w:rsidRDefault="00CF41AC" w:rsidP="003532D3">
            <w:pPr>
              <w:spacing w:before="60" w:after="60"/>
              <w:jc w:val="center"/>
              <w:rPr>
                <w:rFonts w:ascii="Arial" w:hAnsi="Arial" w:cs="Arial"/>
                <w:lang w:val="es-ES_tradnl"/>
              </w:rPr>
            </w:pPr>
            <w:r w:rsidRPr="00A44648">
              <w:rPr>
                <w:rFonts w:ascii="Arial" w:hAnsi="Arial" w:cs="Arial"/>
                <w:lang w:val="es-ES_tradnl"/>
              </w:rPr>
              <w:t>(%)</w:t>
            </w:r>
          </w:p>
        </w:tc>
        <w:tc>
          <w:tcPr>
            <w:tcW w:w="1260" w:type="dxa"/>
            <w:tcBorders>
              <w:bottom w:val="single" w:sz="4" w:space="0" w:color="auto"/>
            </w:tcBorders>
            <w:vAlign w:val="center"/>
          </w:tcPr>
          <w:p w14:paraId="1D7FC7B2" w14:textId="77777777" w:rsidR="00CF41AC" w:rsidRPr="00A44648" w:rsidRDefault="00CF41AC" w:rsidP="003532D3">
            <w:pPr>
              <w:spacing w:before="60" w:after="60"/>
              <w:jc w:val="center"/>
              <w:rPr>
                <w:rFonts w:ascii="Arial" w:hAnsi="Arial" w:cs="Arial"/>
                <w:lang w:val="es-ES_tradnl"/>
              </w:rPr>
            </w:pPr>
            <w:r w:rsidRPr="00A44648">
              <w:rPr>
                <w:rFonts w:ascii="Arial" w:hAnsi="Arial" w:cs="Arial"/>
                <w:lang w:val="es-ES_tradnl"/>
              </w:rPr>
              <w:t>Dos veces, línea de base y al final de la ejecución</w:t>
            </w:r>
          </w:p>
        </w:tc>
        <w:tc>
          <w:tcPr>
            <w:tcW w:w="5760" w:type="dxa"/>
            <w:tcBorders>
              <w:bottom w:val="single" w:sz="4" w:space="0" w:color="auto"/>
            </w:tcBorders>
            <w:vAlign w:val="center"/>
          </w:tcPr>
          <w:p w14:paraId="4A1CA778" w14:textId="77777777" w:rsidR="00CF41AC" w:rsidRPr="00A44648" w:rsidRDefault="00CF41AC" w:rsidP="003532D3">
            <w:pPr>
              <w:spacing w:before="60" w:after="60"/>
              <w:rPr>
                <w:rFonts w:ascii="Arial" w:hAnsi="Arial" w:cs="Arial"/>
                <w:lang w:val="es-ES_tradnl"/>
              </w:rPr>
            </w:pPr>
            <w:r w:rsidRPr="00A44648">
              <w:rPr>
                <w:rFonts w:ascii="Arial" w:hAnsi="Arial" w:cs="Arial"/>
                <w:lang w:val="es-ES_tradnl"/>
              </w:rPr>
              <w:t>Fuente: Información pública de la CRE y la CFE.</w:t>
            </w:r>
          </w:p>
        </w:tc>
      </w:tr>
    </w:tbl>
    <w:p w14:paraId="79123B7E" w14:textId="77777777" w:rsidR="003532D3" w:rsidRPr="00A44648" w:rsidRDefault="003532D3" w:rsidP="00362300">
      <w:pPr>
        <w:pStyle w:val="BodyText2"/>
        <w:spacing w:after="0" w:line="240" w:lineRule="auto"/>
        <w:jc w:val="center"/>
        <w:rPr>
          <w:rFonts w:ascii="Arial" w:hAnsi="Arial" w:cs="Arial"/>
          <w:b/>
          <w:sz w:val="22"/>
          <w:szCs w:val="22"/>
        </w:rPr>
      </w:pPr>
    </w:p>
    <w:p w14:paraId="4B81595E" w14:textId="77777777" w:rsidR="00320B02" w:rsidRPr="00A44648" w:rsidRDefault="00320B02" w:rsidP="00163B83">
      <w:pPr>
        <w:pStyle w:val="Paragraph"/>
        <w:numPr>
          <w:ilvl w:val="1"/>
          <w:numId w:val="11"/>
        </w:numPr>
        <w:tabs>
          <w:tab w:val="clear" w:pos="1296"/>
          <w:tab w:val="num" w:pos="720"/>
        </w:tabs>
        <w:ind w:left="720" w:hanging="720"/>
        <w:rPr>
          <w:rFonts w:ascii="Arial" w:eastAsia="Arial" w:hAnsi="Arial" w:cs="Arial"/>
          <w:sz w:val="22"/>
        </w:rPr>
      </w:pPr>
      <w:bookmarkStart w:id="40" w:name="_Toc508101948"/>
      <w:r w:rsidRPr="00A44648">
        <w:rPr>
          <w:rFonts w:ascii="Arial" w:eastAsia="Arial" w:hAnsi="Arial" w:cs="Arial"/>
          <w:sz w:val="22"/>
        </w:rPr>
        <w:t>Como un Programa de Crédito Global, el programa es una operación de Intermediario Financiero (IF) para la cual la clasificación de impacto ex-ante aún no es factible según las disposiciones de la Directiva B.13 de la Política de Medio Ambiente y Cumplimiento de Salvaguardias del BID (OP-703). El programa contemplado incluye subproyectos geotérmicos de alto riesgo. Como resultado, esta operación se clasifica como de alto riesgo (FI-1), y de alto riesgo de desastres naturales (Tipo 1). Los proyectos geotérmicos ofrecen reducciones de emisiones de GEI a largo plazo y se consideran proyectos respetuosos con el medio ambiente ya que implican una producción de energía más limpia. Sin embargo, la mayoría de los proyectos geotérmicos se pueden considerar de alto riesgo (incluida la exploración) y pueden tener impactos ambientales o sociales adversos que pueden ser significativos y que deben evaluarse y gestionarse proyecto por proyecto</w:t>
      </w:r>
      <w:r w:rsidRPr="00A44648">
        <w:rPr>
          <w:rStyle w:val="FootnoteReference"/>
          <w:rFonts w:ascii="Arial" w:eastAsia="Arial" w:hAnsi="Arial" w:cs="Arial"/>
          <w:sz w:val="22"/>
          <w:lang w:val="es-ES_tradnl"/>
        </w:rPr>
        <w:footnoteReference w:id="7"/>
      </w:r>
      <w:r w:rsidRPr="00A44648">
        <w:rPr>
          <w:rFonts w:ascii="Arial" w:eastAsia="Arial" w:hAnsi="Arial" w:cs="Arial"/>
          <w:sz w:val="22"/>
        </w:rPr>
        <w:t xml:space="preserve">. </w:t>
      </w:r>
    </w:p>
    <w:p w14:paraId="3C4E4A15" w14:textId="782746A8" w:rsidR="00320B02" w:rsidRPr="00A44648" w:rsidRDefault="00320B02" w:rsidP="00163B83">
      <w:pPr>
        <w:pStyle w:val="Paragraph"/>
        <w:numPr>
          <w:ilvl w:val="1"/>
          <w:numId w:val="11"/>
        </w:numPr>
        <w:tabs>
          <w:tab w:val="clear" w:pos="1296"/>
          <w:tab w:val="num" w:pos="720"/>
        </w:tabs>
        <w:ind w:left="720" w:hanging="720"/>
        <w:rPr>
          <w:rFonts w:ascii="Arial" w:eastAsia="Arial" w:hAnsi="Arial" w:cs="Arial"/>
          <w:sz w:val="22"/>
        </w:rPr>
      </w:pPr>
      <w:r w:rsidRPr="00A44648">
        <w:rPr>
          <w:rFonts w:ascii="Arial" w:eastAsia="Arial" w:hAnsi="Arial" w:cs="Arial"/>
          <w:sz w:val="22"/>
          <w:lang w:val="es-ES_tradnl"/>
        </w:rPr>
        <w:t>Debido a la naturaleza de alto riesgo de los subproyectos, el Sistema de Gestión Ambiental y Social (SGAS) previamente acordado</w:t>
      </w:r>
      <w:r w:rsidRPr="00A44648">
        <w:rPr>
          <w:rStyle w:val="FootnoteReference"/>
          <w:rFonts w:ascii="Arial" w:eastAsia="Arial" w:hAnsi="Arial" w:cs="Arial"/>
          <w:sz w:val="22"/>
          <w:lang w:val="es-ES_tradnl"/>
        </w:rPr>
        <w:footnoteReference w:id="8"/>
      </w:r>
      <w:r w:rsidRPr="00A44648">
        <w:rPr>
          <w:rFonts w:ascii="Arial" w:eastAsia="Arial" w:hAnsi="Arial" w:cs="Arial"/>
          <w:sz w:val="22"/>
          <w:lang w:val="es-ES_tradnl"/>
        </w:rPr>
        <w:t xml:space="preserve"> entre Banco y NAFIN para el programa contempla la ejecución, con el apoyo de una firma consultora, de un proceso de debida diligencia ambiental y social "mano a mano" para todos los subproyectos geotérmicos conforme con la Política de Medio Ambiente y Cumplimiento de Salvaguardias del BID. Como parte de este proceso, la firma consultora hará un screening ambiental y social de cada campo geotérmico para clasificarlos de “A”, “B,” o “Inelegible”, y desarrollará un Sistema de Información Geográfica (SIG) que permitirá la identificación de posibles impactos y riesgos y garantizará que los beneficiarios del financiamiento implementen evaluaciones de impacto ambiental y social (EIAS), medidas de mitigación y gestión consistentes con las políticas del BID y la Corporación Financiera Internacional (CFI). El BID y la firma consultora apoyarán a NAFIN en la realización de consultas públicas para cada subproyecto, realizará misiones de debida diligencia junto con NAFIN a los sitios seleccionados, brindará su no-objeción final, y monitoreará de cerca la implementación de cada proyecto. El SGAS se integra al ROP, e integra todas las normas mexicanas aplicables, la Política de Medio Ambiente y Cumplimiento de Salvaguardias del BID, las mejores prácticas internacionales en la divulgación de información, la lista de actividades excluidas del BID, los principios fundamentales de los derechos en el trabajo y los Normas de Desempeño (PS por sus siglas en inglés) de la </w:t>
      </w:r>
      <w:bookmarkStart w:id="41" w:name="_Hlk510439762"/>
      <w:r w:rsidRPr="00A44648">
        <w:rPr>
          <w:rFonts w:ascii="Arial" w:eastAsia="Arial" w:hAnsi="Arial" w:cs="Arial"/>
          <w:sz w:val="22"/>
          <w:lang w:val="es-ES_tradnl"/>
        </w:rPr>
        <w:t xml:space="preserve">CFI, </w:t>
      </w:r>
      <w:bookmarkEnd w:id="41"/>
      <w:r w:rsidRPr="00A44648">
        <w:rPr>
          <w:rFonts w:ascii="Arial" w:eastAsia="Arial" w:hAnsi="Arial" w:cs="Arial"/>
          <w:sz w:val="22"/>
          <w:lang w:val="es-ES_tradnl"/>
        </w:rPr>
        <w:t xml:space="preserve">y las directivas aplicables del Banco Mundial en temas de ambiente, salud y seguridad (Directrices EHS por sus siglas en inglés). </w:t>
      </w:r>
      <w:r w:rsidRPr="00A44648">
        <w:rPr>
          <w:rFonts w:ascii="Arial" w:eastAsia="Arial" w:hAnsi="Arial" w:cs="Arial"/>
          <w:sz w:val="22"/>
        </w:rPr>
        <w:t>El SGAS original del programa ha sido divulgado en la página web del BID desde la aprobación de la operación original en 2014. El SGAS se integra al ROP y, como tal, será revisado como condición previa al primer desembolso de los recursos del programa modificado para incluir los ajustes pertinentes. La aplicación de este SGAS asegurará el cumplimiento de las salvaguardas ambientales y sociales de la operación durante la vigencia del Programa.</w:t>
      </w:r>
      <w:bookmarkEnd w:id="40"/>
    </w:p>
    <w:p w14:paraId="227CE6CA" w14:textId="7C867400" w:rsidR="00937D90" w:rsidRPr="00A44648" w:rsidRDefault="00320B02" w:rsidP="00163B83">
      <w:pPr>
        <w:pStyle w:val="ListParagraph"/>
        <w:numPr>
          <w:ilvl w:val="1"/>
          <w:numId w:val="7"/>
        </w:numPr>
        <w:ind w:left="450"/>
        <w:outlineLvl w:val="0"/>
        <w:rPr>
          <w:rFonts w:ascii="Arial" w:hAnsi="Arial" w:cs="Arial"/>
          <w:b/>
          <w:smallCaps/>
          <w:noProof/>
        </w:rPr>
      </w:pPr>
      <w:bookmarkStart w:id="42" w:name="_Toc375150058"/>
      <w:bookmarkStart w:id="43" w:name="_Toc381109244"/>
      <w:r w:rsidRPr="00A44648">
        <w:rPr>
          <w:rFonts w:ascii="Arial" w:hAnsi="Arial" w:cs="Arial"/>
          <w:b/>
          <w:smallCaps/>
          <w:noProof/>
        </w:rPr>
        <w:t xml:space="preserve">Recolección de datos e instrumentos </w:t>
      </w:r>
      <w:bookmarkEnd w:id="42"/>
      <w:bookmarkEnd w:id="43"/>
    </w:p>
    <w:p w14:paraId="2CAEA116" w14:textId="77777777" w:rsidR="00937D90" w:rsidRPr="00A44648" w:rsidRDefault="00AA642A" w:rsidP="00AA642A">
      <w:pPr>
        <w:pStyle w:val="AutoNumpara"/>
        <w:rPr>
          <w:rFonts w:ascii="Arial" w:hAnsi="Arial" w:cs="Arial"/>
          <w:sz w:val="22"/>
          <w:szCs w:val="22"/>
        </w:rPr>
      </w:pPr>
      <w:r w:rsidRPr="00A44648">
        <w:rPr>
          <w:rFonts w:ascii="Arial" w:hAnsi="Arial" w:cs="Arial"/>
          <w:sz w:val="22"/>
          <w:szCs w:val="22"/>
        </w:rPr>
        <w:t>NAFIN</w:t>
      </w:r>
      <w:r w:rsidR="00937D90" w:rsidRPr="00A44648">
        <w:rPr>
          <w:rFonts w:ascii="Arial" w:hAnsi="Arial" w:cs="Arial"/>
          <w:sz w:val="22"/>
          <w:szCs w:val="22"/>
        </w:rPr>
        <w:t xml:space="preserve"> </w:t>
      </w:r>
      <w:r w:rsidR="00320B02" w:rsidRPr="00A44648">
        <w:rPr>
          <w:rFonts w:ascii="Arial" w:hAnsi="Arial" w:cs="Arial"/>
          <w:sz w:val="22"/>
          <w:szCs w:val="22"/>
        </w:rPr>
        <w:t>recolectará toda la informacion necesaria para el monitoreo con el apoyo de SENER e INEEL. El</w:t>
      </w:r>
      <w:r w:rsidR="007B5D7C" w:rsidRPr="00A44648">
        <w:rPr>
          <w:rFonts w:ascii="Arial" w:hAnsi="Arial" w:cs="Arial"/>
          <w:sz w:val="22"/>
          <w:szCs w:val="22"/>
        </w:rPr>
        <w:t xml:space="preserve"> IDB </w:t>
      </w:r>
      <w:r w:rsidR="00320B02" w:rsidRPr="00A44648">
        <w:rPr>
          <w:rFonts w:ascii="Arial" w:hAnsi="Arial" w:cs="Arial"/>
          <w:sz w:val="22"/>
          <w:szCs w:val="22"/>
        </w:rPr>
        <w:t xml:space="preserve">reportará anualmente al </w:t>
      </w:r>
      <w:r w:rsidR="007B5D7C" w:rsidRPr="00A44648">
        <w:rPr>
          <w:rFonts w:ascii="Arial" w:hAnsi="Arial" w:cs="Arial"/>
          <w:sz w:val="22"/>
          <w:szCs w:val="22"/>
        </w:rPr>
        <w:t xml:space="preserve">the </w:t>
      </w:r>
      <w:r w:rsidR="00320B02" w:rsidRPr="00A44648">
        <w:rPr>
          <w:rFonts w:ascii="Arial" w:hAnsi="Arial" w:cs="Arial"/>
          <w:sz w:val="22"/>
          <w:szCs w:val="22"/>
        </w:rPr>
        <w:t>Comité de CTF los</w:t>
      </w:r>
      <w:r w:rsidR="007B5D7C" w:rsidRPr="00A44648">
        <w:rPr>
          <w:rFonts w:ascii="Arial" w:hAnsi="Arial" w:cs="Arial"/>
          <w:sz w:val="22"/>
          <w:szCs w:val="22"/>
        </w:rPr>
        <w:t xml:space="preserve"> result</w:t>
      </w:r>
      <w:r w:rsidR="00320B02" w:rsidRPr="00A44648">
        <w:rPr>
          <w:rFonts w:ascii="Arial" w:hAnsi="Arial" w:cs="Arial"/>
          <w:sz w:val="22"/>
          <w:szCs w:val="22"/>
        </w:rPr>
        <w:t>ado</w:t>
      </w:r>
      <w:r w:rsidR="007B5D7C" w:rsidRPr="00A44648">
        <w:rPr>
          <w:rFonts w:ascii="Arial" w:hAnsi="Arial" w:cs="Arial"/>
          <w:sz w:val="22"/>
          <w:szCs w:val="22"/>
        </w:rPr>
        <w:t xml:space="preserve">s </w:t>
      </w:r>
      <w:r w:rsidR="00DF7E96" w:rsidRPr="00A44648">
        <w:rPr>
          <w:rFonts w:ascii="Arial" w:hAnsi="Arial" w:cs="Arial"/>
          <w:sz w:val="22"/>
          <w:szCs w:val="22"/>
        </w:rPr>
        <w:t>o</w:t>
      </w:r>
      <w:r w:rsidR="007B5D7C" w:rsidRPr="00A44648">
        <w:rPr>
          <w:rFonts w:ascii="Arial" w:hAnsi="Arial" w:cs="Arial"/>
          <w:sz w:val="22"/>
          <w:szCs w:val="22"/>
        </w:rPr>
        <w:t xml:space="preserve"> estima</w:t>
      </w:r>
      <w:r w:rsidR="00320B02" w:rsidRPr="00A44648">
        <w:rPr>
          <w:rFonts w:ascii="Arial" w:hAnsi="Arial" w:cs="Arial"/>
          <w:sz w:val="22"/>
          <w:szCs w:val="22"/>
        </w:rPr>
        <w:t>ciones/ proyecciones de resultados</w:t>
      </w:r>
      <w:r w:rsidR="007B5D7C" w:rsidRPr="00A44648">
        <w:rPr>
          <w:rFonts w:ascii="Arial" w:hAnsi="Arial" w:cs="Arial"/>
          <w:sz w:val="22"/>
          <w:szCs w:val="22"/>
        </w:rPr>
        <w:t xml:space="preserve">. </w:t>
      </w:r>
      <w:r w:rsidR="00320B02" w:rsidRPr="00A44648">
        <w:rPr>
          <w:rFonts w:ascii="Arial" w:hAnsi="Arial" w:cs="Arial"/>
          <w:sz w:val="22"/>
          <w:szCs w:val="22"/>
        </w:rPr>
        <w:t>La t</w:t>
      </w:r>
      <w:r w:rsidRPr="00A44648">
        <w:rPr>
          <w:rFonts w:ascii="Arial" w:hAnsi="Arial" w:cs="Arial"/>
          <w:sz w:val="22"/>
          <w:szCs w:val="22"/>
        </w:rPr>
        <w:t>abl</w:t>
      </w:r>
      <w:r w:rsidR="00320B02" w:rsidRPr="00A44648">
        <w:rPr>
          <w:rFonts w:ascii="Arial" w:hAnsi="Arial" w:cs="Arial"/>
          <w:sz w:val="22"/>
          <w:szCs w:val="22"/>
        </w:rPr>
        <w:t>a</w:t>
      </w:r>
      <w:r w:rsidRPr="00A44648">
        <w:rPr>
          <w:rFonts w:ascii="Arial" w:hAnsi="Arial" w:cs="Arial"/>
          <w:sz w:val="22"/>
          <w:szCs w:val="22"/>
        </w:rPr>
        <w:t xml:space="preserve"> </w:t>
      </w:r>
      <w:r w:rsidR="008A7D44" w:rsidRPr="00A44648">
        <w:rPr>
          <w:rFonts w:ascii="Arial" w:hAnsi="Arial" w:cs="Arial"/>
          <w:sz w:val="22"/>
          <w:szCs w:val="22"/>
        </w:rPr>
        <w:t>2</w:t>
      </w:r>
      <w:r w:rsidRPr="00A44648">
        <w:rPr>
          <w:rFonts w:ascii="Arial" w:hAnsi="Arial" w:cs="Arial"/>
          <w:sz w:val="22"/>
          <w:szCs w:val="22"/>
        </w:rPr>
        <w:t xml:space="preserve"> present</w:t>
      </w:r>
      <w:r w:rsidR="00320B02" w:rsidRPr="00A44648">
        <w:rPr>
          <w:rFonts w:ascii="Arial" w:hAnsi="Arial" w:cs="Arial"/>
          <w:sz w:val="22"/>
          <w:szCs w:val="22"/>
        </w:rPr>
        <w:t>a</w:t>
      </w:r>
      <w:r w:rsidRPr="00A44648">
        <w:rPr>
          <w:rFonts w:ascii="Arial" w:hAnsi="Arial" w:cs="Arial"/>
          <w:sz w:val="22"/>
          <w:szCs w:val="22"/>
        </w:rPr>
        <w:t xml:space="preserve"> </w:t>
      </w:r>
      <w:r w:rsidR="00320B02" w:rsidRPr="00A44648">
        <w:rPr>
          <w:rFonts w:ascii="Arial" w:hAnsi="Arial" w:cs="Arial"/>
          <w:sz w:val="22"/>
          <w:szCs w:val="22"/>
        </w:rPr>
        <w:t>los indicadores principales que serán monitoreados durante la ejecucion de la operación, fuentes de información y la frecnuencia con que se va a recolectar la información y quien será el responsable de recolectar dichos datos</w:t>
      </w:r>
      <w:r w:rsidRPr="00A44648">
        <w:rPr>
          <w:rFonts w:ascii="Arial" w:hAnsi="Arial" w:cs="Arial"/>
          <w:sz w:val="22"/>
          <w:szCs w:val="22"/>
        </w:rPr>
        <w:t xml:space="preserve">. </w:t>
      </w:r>
    </w:p>
    <w:p w14:paraId="42668A54" w14:textId="0F5E404D" w:rsidR="001A7E25" w:rsidRPr="00A44648" w:rsidRDefault="001A7E25" w:rsidP="00163B83">
      <w:pPr>
        <w:pStyle w:val="ListParagraph"/>
        <w:numPr>
          <w:ilvl w:val="1"/>
          <w:numId w:val="7"/>
        </w:numPr>
        <w:ind w:left="450"/>
        <w:outlineLvl w:val="0"/>
        <w:rPr>
          <w:rFonts w:ascii="Arial" w:hAnsi="Arial" w:cs="Arial"/>
          <w:b/>
          <w:smallCaps/>
          <w:noProof/>
          <w:lang w:val="es-ES_tradnl"/>
        </w:rPr>
      </w:pPr>
      <w:bookmarkStart w:id="44" w:name="_Toc375150059"/>
      <w:bookmarkStart w:id="45" w:name="_Toc381109245"/>
      <w:r w:rsidRPr="00A44648">
        <w:rPr>
          <w:rFonts w:ascii="Arial" w:hAnsi="Arial" w:cs="Arial"/>
          <w:b/>
          <w:smallCaps/>
          <w:noProof/>
          <w:lang w:val="es-ES_tradnl"/>
        </w:rPr>
        <w:t>Report</w:t>
      </w:r>
      <w:r w:rsidR="00320B02" w:rsidRPr="00A44648">
        <w:rPr>
          <w:rFonts w:ascii="Arial" w:hAnsi="Arial" w:cs="Arial"/>
          <w:b/>
          <w:smallCaps/>
          <w:noProof/>
          <w:lang w:val="es-ES_tradnl"/>
        </w:rPr>
        <w:t xml:space="preserve">e y Monitoreo de </w:t>
      </w:r>
      <w:r w:rsidRPr="00A44648">
        <w:rPr>
          <w:rFonts w:ascii="Arial" w:hAnsi="Arial" w:cs="Arial"/>
          <w:b/>
          <w:smallCaps/>
          <w:noProof/>
          <w:lang w:val="es-ES_tradnl"/>
        </w:rPr>
        <w:t>Result</w:t>
      </w:r>
      <w:r w:rsidR="00320B02" w:rsidRPr="00A44648">
        <w:rPr>
          <w:rFonts w:ascii="Arial" w:hAnsi="Arial" w:cs="Arial"/>
          <w:b/>
          <w:smallCaps/>
          <w:noProof/>
          <w:lang w:val="es-ES_tradnl"/>
        </w:rPr>
        <w:t>ado</w:t>
      </w:r>
      <w:r w:rsidRPr="00A44648">
        <w:rPr>
          <w:rFonts w:ascii="Arial" w:hAnsi="Arial" w:cs="Arial"/>
          <w:b/>
          <w:smallCaps/>
          <w:noProof/>
          <w:lang w:val="es-ES_tradnl"/>
        </w:rPr>
        <w:t>s</w:t>
      </w:r>
      <w:bookmarkEnd w:id="44"/>
      <w:bookmarkEnd w:id="45"/>
    </w:p>
    <w:p w14:paraId="72D5A156" w14:textId="77777777" w:rsidR="00362300" w:rsidRPr="00A44648" w:rsidRDefault="00112914" w:rsidP="00112914">
      <w:pPr>
        <w:pStyle w:val="AutoNumpara"/>
        <w:rPr>
          <w:rFonts w:ascii="Arial" w:hAnsi="Arial" w:cs="Arial"/>
          <w:sz w:val="22"/>
          <w:szCs w:val="22"/>
        </w:rPr>
      </w:pPr>
      <w:r w:rsidRPr="00A44648">
        <w:rPr>
          <w:rFonts w:ascii="Arial" w:hAnsi="Arial" w:cs="Arial"/>
          <w:sz w:val="22"/>
          <w:szCs w:val="22"/>
        </w:rPr>
        <w:t>NAFIN</w:t>
      </w:r>
      <w:r w:rsidR="00937D90" w:rsidRPr="00A44648">
        <w:rPr>
          <w:rFonts w:ascii="Arial" w:hAnsi="Arial" w:cs="Arial"/>
          <w:sz w:val="22"/>
          <w:szCs w:val="22"/>
        </w:rPr>
        <w:t xml:space="preserve"> </w:t>
      </w:r>
      <w:r w:rsidR="00320B02" w:rsidRPr="00A44648">
        <w:rPr>
          <w:rFonts w:ascii="Arial" w:hAnsi="Arial" w:cs="Arial"/>
          <w:sz w:val="22"/>
          <w:szCs w:val="22"/>
        </w:rPr>
        <w:t xml:space="preserve">con el apoyo de SENERR e INEEL </w:t>
      </w:r>
      <w:r w:rsidR="00F10617" w:rsidRPr="00A44648">
        <w:rPr>
          <w:rFonts w:ascii="Arial" w:hAnsi="Arial" w:cs="Arial"/>
          <w:sz w:val="22"/>
          <w:szCs w:val="22"/>
        </w:rPr>
        <w:t>reportarán al BID mendiante informes semestrales de progreso el monitoreo de los indicadores descritos en la tabla 2. Dicho informe monitoreará la e</w:t>
      </w:r>
      <w:r w:rsidR="00937D90" w:rsidRPr="00A44648">
        <w:rPr>
          <w:rFonts w:ascii="Arial" w:hAnsi="Arial" w:cs="Arial"/>
          <w:sz w:val="22"/>
          <w:szCs w:val="22"/>
        </w:rPr>
        <w:t>volu</w:t>
      </w:r>
      <w:r w:rsidR="00F10617" w:rsidRPr="00A44648">
        <w:rPr>
          <w:rFonts w:ascii="Arial" w:hAnsi="Arial" w:cs="Arial"/>
          <w:sz w:val="22"/>
          <w:szCs w:val="22"/>
        </w:rPr>
        <w:t xml:space="preserve">ción de los </w:t>
      </w:r>
      <w:r w:rsidR="00937D90" w:rsidRPr="00A44648">
        <w:rPr>
          <w:rFonts w:ascii="Arial" w:hAnsi="Arial" w:cs="Arial"/>
          <w:sz w:val="22"/>
          <w:szCs w:val="22"/>
        </w:rPr>
        <w:t>indica</w:t>
      </w:r>
      <w:r w:rsidR="00F10617" w:rsidRPr="00A44648">
        <w:rPr>
          <w:rFonts w:ascii="Arial" w:hAnsi="Arial" w:cs="Arial"/>
          <w:sz w:val="22"/>
          <w:szCs w:val="22"/>
        </w:rPr>
        <w:t>dores</w:t>
      </w:r>
      <w:r w:rsidR="00937D90" w:rsidRPr="00A44648">
        <w:rPr>
          <w:rFonts w:ascii="Arial" w:hAnsi="Arial" w:cs="Arial"/>
          <w:sz w:val="22"/>
          <w:szCs w:val="22"/>
        </w:rPr>
        <w:t>, as</w:t>
      </w:r>
      <w:r w:rsidR="00F10617" w:rsidRPr="00A44648">
        <w:rPr>
          <w:rFonts w:ascii="Arial" w:hAnsi="Arial" w:cs="Arial"/>
          <w:sz w:val="22"/>
          <w:szCs w:val="22"/>
        </w:rPr>
        <w:t>í como tambien, la informacion financiera del uso de los recurosos del porgrama</w:t>
      </w:r>
      <w:r w:rsidR="00937D90" w:rsidRPr="00A44648">
        <w:rPr>
          <w:rFonts w:ascii="Arial" w:hAnsi="Arial" w:cs="Arial"/>
          <w:sz w:val="22"/>
          <w:szCs w:val="22"/>
        </w:rPr>
        <w:t xml:space="preserve">. </w:t>
      </w:r>
      <w:r w:rsidR="00F10617" w:rsidRPr="00A44648">
        <w:rPr>
          <w:rFonts w:ascii="Arial" w:hAnsi="Arial" w:cs="Arial"/>
          <w:sz w:val="22"/>
          <w:szCs w:val="22"/>
        </w:rPr>
        <w:t>En caso de ser necesario, el Banco podrá solicitar infomación adicional a NAFIN, SENER e INEEL.</w:t>
      </w:r>
    </w:p>
    <w:p w14:paraId="089B64DE" w14:textId="14E77228" w:rsidR="00937D90" w:rsidRPr="00A44648" w:rsidRDefault="001A7E25" w:rsidP="00163B83">
      <w:pPr>
        <w:pStyle w:val="ListParagraph"/>
        <w:numPr>
          <w:ilvl w:val="1"/>
          <w:numId w:val="7"/>
        </w:numPr>
        <w:ind w:left="450"/>
        <w:outlineLvl w:val="0"/>
        <w:rPr>
          <w:rFonts w:ascii="Arial" w:hAnsi="Arial" w:cs="Arial"/>
          <w:b/>
          <w:smallCaps/>
          <w:noProof/>
        </w:rPr>
      </w:pPr>
      <w:bookmarkStart w:id="46" w:name="_Toc375150060"/>
      <w:bookmarkStart w:id="47" w:name="_Toc381109246"/>
      <w:r w:rsidRPr="00A44648">
        <w:rPr>
          <w:rFonts w:ascii="Arial" w:hAnsi="Arial" w:cs="Arial"/>
          <w:b/>
          <w:smallCaps/>
          <w:noProof/>
        </w:rPr>
        <w:t>Monitoring Coordination, Work Plan and Budget</w:t>
      </w:r>
      <w:bookmarkEnd w:id="46"/>
      <w:bookmarkEnd w:id="47"/>
    </w:p>
    <w:p w14:paraId="4C795F9B" w14:textId="77777777" w:rsidR="00937D90" w:rsidRPr="00A44648" w:rsidRDefault="00112914" w:rsidP="00071593">
      <w:pPr>
        <w:pStyle w:val="AutoNumpara"/>
        <w:rPr>
          <w:rFonts w:ascii="Arial" w:hAnsi="Arial" w:cs="Arial"/>
          <w:sz w:val="22"/>
          <w:szCs w:val="22"/>
        </w:rPr>
      </w:pPr>
      <w:r w:rsidRPr="00A44648">
        <w:rPr>
          <w:rFonts w:ascii="Arial" w:hAnsi="Arial" w:cs="Arial"/>
          <w:sz w:val="22"/>
          <w:szCs w:val="22"/>
        </w:rPr>
        <w:t>NAFIN</w:t>
      </w:r>
      <w:r w:rsidR="002E1306" w:rsidRPr="00A44648">
        <w:rPr>
          <w:rFonts w:ascii="Arial" w:hAnsi="Arial" w:cs="Arial"/>
          <w:sz w:val="22"/>
          <w:szCs w:val="22"/>
        </w:rPr>
        <w:t>, con el apoyo de SENER e INEEL</w:t>
      </w:r>
      <w:r w:rsidR="00F73ADD" w:rsidRPr="00A44648">
        <w:rPr>
          <w:rFonts w:ascii="Arial" w:hAnsi="Arial" w:cs="Arial"/>
          <w:sz w:val="22"/>
          <w:szCs w:val="22"/>
        </w:rPr>
        <w:t xml:space="preserve">, </w:t>
      </w:r>
      <w:r w:rsidR="00937D90" w:rsidRPr="00A44648">
        <w:rPr>
          <w:rFonts w:ascii="Arial" w:hAnsi="Arial" w:cs="Arial"/>
          <w:sz w:val="22"/>
          <w:szCs w:val="22"/>
        </w:rPr>
        <w:t xml:space="preserve"> </w:t>
      </w:r>
      <w:r w:rsidR="002E1306" w:rsidRPr="00A44648">
        <w:rPr>
          <w:rFonts w:ascii="Arial" w:hAnsi="Arial" w:cs="Arial"/>
          <w:sz w:val="22"/>
          <w:szCs w:val="22"/>
        </w:rPr>
        <w:t>será</w:t>
      </w:r>
      <w:r w:rsidR="00F73ADD" w:rsidRPr="00A44648">
        <w:rPr>
          <w:rFonts w:ascii="Arial" w:hAnsi="Arial" w:cs="Arial"/>
          <w:sz w:val="22"/>
          <w:szCs w:val="22"/>
        </w:rPr>
        <w:t>n responsables de la</w:t>
      </w:r>
      <w:r w:rsidR="00937D90" w:rsidRPr="00A44648">
        <w:rPr>
          <w:rFonts w:ascii="Arial" w:hAnsi="Arial" w:cs="Arial"/>
          <w:sz w:val="22"/>
          <w:szCs w:val="22"/>
        </w:rPr>
        <w:t xml:space="preserve"> supervisi</w:t>
      </w:r>
      <w:r w:rsidR="00F73ADD" w:rsidRPr="00A44648">
        <w:rPr>
          <w:rFonts w:ascii="Arial" w:hAnsi="Arial" w:cs="Arial"/>
          <w:sz w:val="22"/>
          <w:szCs w:val="22"/>
        </w:rPr>
        <w:t>ó</w:t>
      </w:r>
      <w:r w:rsidR="00937D90" w:rsidRPr="00A44648">
        <w:rPr>
          <w:rFonts w:ascii="Arial" w:hAnsi="Arial" w:cs="Arial"/>
          <w:sz w:val="22"/>
          <w:szCs w:val="22"/>
        </w:rPr>
        <w:t>n</w:t>
      </w:r>
      <w:r w:rsidR="00F73ADD" w:rsidRPr="00A44648">
        <w:rPr>
          <w:rFonts w:ascii="Arial" w:hAnsi="Arial" w:cs="Arial"/>
          <w:sz w:val="22"/>
          <w:szCs w:val="22"/>
        </w:rPr>
        <w:t xml:space="preserve"> del </w:t>
      </w:r>
      <w:r w:rsidR="00294BA4" w:rsidRPr="00A44648">
        <w:rPr>
          <w:rFonts w:ascii="Arial" w:hAnsi="Arial" w:cs="Arial"/>
          <w:sz w:val="22"/>
          <w:szCs w:val="22"/>
        </w:rPr>
        <w:t>p</w:t>
      </w:r>
      <w:r w:rsidR="00937D90" w:rsidRPr="00A44648">
        <w:rPr>
          <w:rFonts w:ascii="Arial" w:hAnsi="Arial" w:cs="Arial"/>
          <w:sz w:val="22"/>
          <w:szCs w:val="22"/>
        </w:rPr>
        <w:t>rogram</w:t>
      </w:r>
      <w:r w:rsidR="00F73ADD" w:rsidRPr="00A44648">
        <w:rPr>
          <w:rFonts w:ascii="Arial" w:hAnsi="Arial" w:cs="Arial"/>
          <w:sz w:val="22"/>
          <w:szCs w:val="22"/>
        </w:rPr>
        <w:t>a</w:t>
      </w:r>
      <w:r w:rsidR="00937D90" w:rsidRPr="00A44648">
        <w:rPr>
          <w:rFonts w:ascii="Arial" w:hAnsi="Arial" w:cs="Arial"/>
          <w:sz w:val="22"/>
          <w:szCs w:val="22"/>
        </w:rPr>
        <w:t xml:space="preserve">. </w:t>
      </w:r>
    </w:p>
    <w:p w14:paraId="675597AC" w14:textId="1A2FF6EA" w:rsidR="00F73ADD" w:rsidRPr="00A44648" w:rsidRDefault="00F73ADD" w:rsidP="00F73ADD">
      <w:pPr>
        <w:pStyle w:val="AutoNumpara"/>
        <w:rPr>
          <w:rFonts w:ascii="Arial" w:hAnsi="Arial" w:cs="Arial"/>
          <w:sz w:val="22"/>
          <w:szCs w:val="22"/>
          <w:lang w:val="es-ES"/>
        </w:rPr>
      </w:pPr>
      <w:bookmarkStart w:id="48" w:name="_Toc508101949"/>
      <w:r w:rsidRPr="00A44648">
        <w:rPr>
          <w:rFonts w:ascii="Arial" w:hAnsi="Arial" w:cs="Arial"/>
          <w:sz w:val="22"/>
          <w:szCs w:val="22"/>
          <w:lang w:val="es-ES"/>
        </w:rPr>
        <w:t>Las evaluaciones de capacidad institucional, realizadas en el marco de la CCLIP (ME-X1010), concluyen que el OE cuenta con la capacidad suficiente para realizar la gestión fiduciaria del préstamo. Sin embargo, la falta de experiencia del OE en materia geotérmica y en aspectos operativos relacionados a las etapas de exploración y explotación geotérmica se van a mitigar con una coordinación más estrecha entre NAFIN y SENER, y el apoyo técnico del INEEL tanto en materia operativa como ambiental en relación a las distintas fases del ciclo de proyectos geotérmicos. No se identifican riesgos financieros y de adquisiciones que requieran una acción de mitigación. No obstante, lo anterior, para apoyar la parte técnica y operática del programa se requiere reforzar el mecanismo de ejecución tal y como se detalla en la Sección F sobre los arreglos de implementación.</w:t>
      </w:r>
      <w:bookmarkEnd w:id="48"/>
    </w:p>
    <w:p w14:paraId="59A87D92" w14:textId="12FED466" w:rsidR="00F73ADD" w:rsidRPr="00A44648" w:rsidRDefault="00F73ADD" w:rsidP="00F73ADD">
      <w:pPr>
        <w:pStyle w:val="AutoNumpara"/>
        <w:rPr>
          <w:rFonts w:ascii="Arial" w:hAnsi="Arial" w:cs="Arial"/>
          <w:sz w:val="22"/>
          <w:szCs w:val="22"/>
          <w:lang w:val="es-ES"/>
        </w:rPr>
      </w:pPr>
      <w:bookmarkStart w:id="49" w:name="_Toc508101950"/>
      <w:bookmarkStart w:id="50" w:name="_Ref508183790"/>
      <w:r w:rsidRPr="00A44648">
        <w:rPr>
          <w:rFonts w:ascii="Arial" w:hAnsi="Arial" w:cs="Arial"/>
          <w:sz w:val="22"/>
          <w:szCs w:val="22"/>
          <w:lang w:val="es-ES"/>
        </w:rPr>
        <w:t>La adquisición de bienes, obras y servicios y la selección y contratación de servicios de consultoría se realizarán conforme a las Políticas del Banco (GN-2349-9 y GN</w:t>
      </w:r>
      <w:r w:rsidRPr="00A44648">
        <w:rPr>
          <w:rFonts w:ascii="Arial" w:hAnsi="Arial" w:cs="Arial"/>
          <w:sz w:val="22"/>
          <w:szCs w:val="22"/>
          <w:lang w:val="es-ES"/>
        </w:rPr>
        <w:noBreakHyphen/>
        <w:t xml:space="preserve">2350-9), con base en el Plan de Adquisiciones y Contrataciones. </w:t>
      </w:r>
      <w:bookmarkEnd w:id="49"/>
      <w:bookmarkEnd w:id="50"/>
    </w:p>
    <w:p w14:paraId="2FE62CF2" w14:textId="08F612C2" w:rsidR="00F73ADD" w:rsidRPr="00A44648" w:rsidRDefault="00F73ADD" w:rsidP="00F73ADD">
      <w:pPr>
        <w:pStyle w:val="AutoNumpara"/>
        <w:rPr>
          <w:rFonts w:ascii="Arial" w:hAnsi="Arial" w:cs="Arial"/>
          <w:b/>
          <w:sz w:val="22"/>
          <w:szCs w:val="22"/>
          <w:lang w:val="es-ES"/>
        </w:rPr>
      </w:pPr>
      <w:bookmarkStart w:id="51" w:name="_Toc507693490"/>
      <w:bookmarkStart w:id="52" w:name="_Toc507698588"/>
      <w:bookmarkStart w:id="53" w:name="_Toc508204060"/>
      <w:r w:rsidRPr="00A44648">
        <w:rPr>
          <w:rFonts w:ascii="Arial" w:hAnsi="Arial" w:cs="Arial"/>
          <w:b/>
          <w:sz w:val="22"/>
          <w:szCs w:val="22"/>
          <w:lang w:val="es-ES"/>
        </w:rPr>
        <w:t>Arreglos de Implementación</w:t>
      </w:r>
      <w:bookmarkEnd w:id="51"/>
      <w:bookmarkEnd w:id="52"/>
      <w:bookmarkEnd w:id="53"/>
    </w:p>
    <w:p w14:paraId="2C5710C3" w14:textId="77777777" w:rsidR="00F73ADD" w:rsidRPr="00A44648" w:rsidRDefault="00F73ADD" w:rsidP="00F73ADD">
      <w:pPr>
        <w:pStyle w:val="AutoNumpara"/>
        <w:rPr>
          <w:rFonts w:ascii="Arial" w:hAnsi="Arial" w:cs="Arial"/>
          <w:sz w:val="22"/>
          <w:szCs w:val="22"/>
          <w:lang w:val="es-ES"/>
        </w:rPr>
      </w:pPr>
      <w:bookmarkStart w:id="54" w:name="_Toc508101952"/>
      <w:r w:rsidRPr="00A44648">
        <w:rPr>
          <w:rFonts w:ascii="Arial" w:hAnsi="Arial" w:cs="Arial"/>
          <w:sz w:val="22"/>
          <w:szCs w:val="22"/>
          <w:lang w:val="es-ES"/>
        </w:rPr>
        <w:t xml:space="preserve">La estructura de ejecución original del programa no se modifica. El Prestatario y OE continuará siendo NAFIN, con el aval de los Estados Unidos Mexicanos de los para el préstamo de inversión financiado con CO (3178/OC-ME). Asimismo, el Banco se mantendrá como OE de la CT no reembolsable. </w:t>
      </w:r>
    </w:p>
    <w:p w14:paraId="232AE24E" w14:textId="77777777" w:rsidR="00F73ADD" w:rsidRPr="00A44648" w:rsidRDefault="00F73ADD" w:rsidP="00F73ADD">
      <w:pPr>
        <w:pStyle w:val="AutoNumpara"/>
        <w:rPr>
          <w:rFonts w:ascii="Arial" w:hAnsi="Arial" w:cs="Arial"/>
          <w:sz w:val="22"/>
          <w:szCs w:val="22"/>
          <w:lang w:val="es-ES"/>
        </w:rPr>
      </w:pPr>
      <w:r w:rsidRPr="00A44648">
        <w:rPr>
          <w:rFonts w:ascii="Arial" w:hAnsi="Arial" w:cs="Arial"/>
          <w:sz w:val="22"/>
          <w:szCs w:val="22"/>
        </w:rPr>
        <w:t>Se ha conformado un grupo de trabajo entre SENER, NAFIN, INEEL y BID. Este grupo tiene la función de coordinar los trabajos necesarios entre sus miembros, previos y en preparación, a la aprobación de la modificación del programa por parte del Directorio Ejecutivo del BID. Durante la preparación de esta propuesta, este grupo de trabajo se ha reunido de manera mensual desde enero de 2018. Una vez que se haya aprobado la modificación del programa, este grupo de trabajo se transformará en el Comité de Coordinación de Geotermia (CCG) y estará integrado por las mismas instituciones más la SHCP, y el cual será presidido por la SENER. En este comité, el BID únicamente tendrá un rol de observador. El CCG sesionará en forma semestral, a menos que cualquiera de sus miembros estime la necesidad de realizar reuniones extraordinarias. Un mayor detalle sobre el rol y responsabilidades del CCG será incluido en el ROP.</w:t>
      </w:r>
    </w:p>
    <w:p w14:paraId="3F389F88" w14:textId="7A1934CC" w:rsidR="00F73ADD" w:rsidRPr="00A44648" w:rsidRDefault="00F73ADD" w:rsidP="00F73ADD">
      <w:pPr>
        <w:pStyle w:val="AutoNumpara"/>
        <w:rPr>
          <w:rFonts w:ascii="Arial" w:hAnsi="Arial" w:cs="Arial"/>
          <w:sz w:val="22"/>
          <w:szCs w:val="22"/>
          <w:lang w:val="es-ES"/>
        </w:rPr>
      </w:pPr>
      <w:r w:rsidRPr="00A44648">
        <w:rPr>
          <w:rFonts w:ascii="Arial" w:hAnsi="Arial" w:cs="Arial"/>
          <w:sz w:val="22"/>
          <w:szCs w:val="22"/>
          <w:lang w:val="es-ES"/>
        </w:rPr>
        <w:t>Como parte de esta modificación se propone que la SENER en apoyo al OE, lleve a cabo las siguientes actividades: (i) colaborar en la identificación de los desarrolladores de los proyectos que podrán participar en una convocatoria pública; (ii) apoyar en la revisión de los modelos de contratos que se van a celebrar con la/s empresa/s adjudicatarias para llevar a cabo las perforaciones; (iii) apoyar en la revisión de los modelos de contratos entre NAFIN y el desarrollador geotérmico privado para la fase de exploración. Dicho contrato debe de incluir las cláusulas aplicables en caso de éxito y sus obligaciones (repago y construcción de la planta y líneas de transmisión, haciendo uso de los recursos del préstamo de CO); y (iv) apoyar en la revisión de los contratos entre NAFIN y el desarrollador para la fase de construcción de la planta y las líneas de transmisión.</w:t>
      </w:r>
      <w:bookmarkEnd w:id="54"/>
    </w:p>
    <w:p w14:paraId="7A4CEC09" w14:textId="77777777" w:rsidR="00F73ADD" w:rsidRPr="00A44648" w:rsidRDefault="00F73ADD" w:rsidP="00F73ADD">
      <w:pPr>
        <w:pStyle w:val="AutoNumpara"/>
        <w:rPr>
          <w:rFonts w:ascii="Arial" w:hAnsi="Arial" w:cs="Arial"/>
          <w:sz w:val="22"/>
          <w:szCs w:val="22"/>
          <w:lang w:val="es-ES"/>
        </w:rPr>
      </w:pPr>
      <w:r w:rsidRPr="00A44648">
        <w:rPr>
          <w:rFonts w:ascii="Arial" w:hAnsi="Arial" w:cs="Arial"/>
          <w:sz w:val="22"/>
          <w:szCs w:val="22"/>
        </w:rPr>
        <w:t>El INEEL, proporcionará apoyo técnico y asesoría a OE, y para ello llevará cabo las siguientes actividades: (i) seleccionar y contratar a los perforadores; (ii) establecer criterios y mecanismos para la selección de áreas de perforación y de los desarrolladores usando mejores prácticas; (iii) proveer acompañamiento ambiental y social de las áreas seleccionadas para la perforación; (iv) dar continuidad en el proceso de la obtención de la concesión geotérmica en el caso de que la perforación sea exitosa y el desarrollador no esté dispuesto o no pueda seguir adelante; en tal caso se obtendrán todos los permisos necesarios para obtener la concesión y se dará apoyo a SENER, que es la líder del sector energético en México y la única institución facultada, de acuerdo a la Ley de Energía Geotérmica y su Reglamento, para licitar dicha concesión; y (v) apoyar en la evaluación y dar recomendación a NAFIN sobre la viabilidad de otorgar financiamiento a los proyectos que cuenten con recursos geotérmicos probados.</w:t>
      </w:r>
    </w:p>
    <w:p w14:paraId="740807FB" w14:textId="77777777" w:rsidR="00F73ADD" w:rsidRPr="00A44648" w:rsidRDefault="00F73ADD" w:rsidP="00F73ADD">
      <w:pPr>
        <w:pStyle w:val="AutoNumpara"/>
        <w:numPr>
          <w:ilvl w:val="0"/>
          <w:numId w:val="0"/>
        </w:numPr>
        <w:ind w:left="720"/>
        <w:rPr>
          <w:rFonts w:ascii="Arial" w:hAnsi="Arial" w:cs="Arial"/>
          <w:b/>
          <w:sz w:val="22"/>
          <w:szCs w:val="22"/>
        </w:rPr>
      </w:pPr>
    </w:p>
    <w:p w14:paraId="73272BFB" w14:textId="77777777" w:rsidR="00F73ADD" w:rsidRPr="00A44648" w:rsidRDefault="00F73ADD" w:rsidP="00F73ADD">
      <w:pPr>
        <w:pStyle w:val="AutoNumpara"/>
        <w:rPr>
          <w:rFonts w:ascii="Arial" w:hAnsi="Arial" w:cs="Arial"/>
          <w:b/>
          <w:sz w:val="22"/>
          <w:szCs w:val="22"/>
        </w:rPr>
      </w:pPr>
      <w:r w:rsidRPr="00A44648">
        <w:rPr>
          <w:rFonts w:ascii="Arial" w:hAnsi="Arial" w:cs="Arial"/>
          <w:b/>
          <w:sz w:val="22"/>
          <w:szCs w:val="22"/>
        </w:rPr>
        <w:t>Figura 2. Esquema del Nuevo Programa</w:t>
      </w:r>
    </w:p>
    <w:p w14:paraId="40CF2981" w14:textId="77777777" w:rsidR="00F73ADD" w:rsidRPr="00A44648" w:rsidRDefault="00F73ADD" w:rsidP="00F73ADD">
      <w:pPr>
        <w:pStyle w:val="AutoNumpara"/>
        <w:numPr>
          <w:ilvl w:val="0"/>
          <w:numId w:val="0"/>
        </w:numPr>
        <w:ind w:left="720"/>
        <w:rPr>
          <w:rFonts w:ascii="Arial" w:hAnsi="Arial" w:cs="Arial"/>
          <w:sz w:val="22"/>
          <w:szCs w:val="22"/>
        </w:rPr>
      </w:pPr>
      <w:r w:rsidRPr="00A44648">
        <w:rPr>
          <w:rFonts w:ascii="Arial" w:hAnsi="Arial" w:cs="Arial"/>
          <w:sz w:val="22"/>
          <w:szCs w:val="22"/>
        </w:rPr>
        <w:drawing>
          <wp:inline distT="0" distB="0" distL="0" distR="0" wp14:anchorId="75AFEB7E" wp14:editId="78EA44B8">
            <wp:extent cx="4356100" cy="2469343"/>
            <wp:effectExtent l="0" t="0" r="6350"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4361045" cy="2472146"/>
                    </a:xfrm>
                    <a:prstGeom prst="rect">
                      <a:avLst/>
                    </a:prstGeom>
                  </pic:spPr>
                </pic:pic>
              </a:graphicData>
            </a:graphic>
          </wp:inline>
        </w:drawing>
      </w:r>
    </w:p>
    <w:p w14:paraId="6678144D" w14:textId="77777777" w:rsidR="00F73ADD" w:rsidRPr="00A44648" w:rsidRDefault="00F73ADD" w:rsidP="00F73ADD">
      <w:pPr>
        <w:pStyle w:val="AutoNumpara"/>
        <w:numPr>
          <w:ilvl w:val="0"/>
          <w:numId w:val="0"/>
        </w:numPr>
        <w:ind w:left="720"/>
        <w:rPr>
          <w:rFonts w:ascii="Arial" w:hAnsi="Arial" w:cs="Arial"/>
          <w:sz w:val="22"/>
          <w:szCs w:val="22"/>
          <w:lang w:val="es-ES"/>
        </w:rPr>
      </w:pPr>
    </w:p>
    <w:p w14:paraId="27AFB108" w14:textId="77777777" w:rsidR="00F73ADD" w:rsidRPr="00A44648" w:rsidRDefault="00F73ADD" w:rsidP="00F73ADD">
      <w:pPr>
        <w:pStyle w:val="AutoNumpara"/>
        <w:rPr>
          <w:rFonts w:ascii="Arial" w:hAnsi="Arial" w:cs="Arial"/>
          <w:sz w:val="22"/>
          <w:szCs w:val="22"/>
          <w:lang w:val="es-ES"/>
        </w:rPr>
      </w:pPr>
      <w:bookmarkStart w:id="55" w:name="_Toc508101955"/>
      <w:r w:rsidRPr="00A44648">
        <w:rPr>
          <w:rFonts w:ascii="Arial" w:hAnsi="Arial" w:cs="Arial"/>
          <w:sz w:val="22"/>
          <w:szCs w:val="22"/>
          <w:lang w:val="es-ES"/>
        </w:rPr>
        <w:t xml:space="preserve">Los desembolsos de los recursos objeto de esta modificación estarán condicionados a: (i) que se haya suscrito y entrado en vigencia un acuerdo de colaboración entre NAFIN, SENER y el INEEL mediante el cual se describan los roles y responsabilidades de cada uno, según lo descrito en esta sección; (ii) que se haya constituido el CCG que este presidido por SENER y conformado por NAFIN, INEEL, SHCP y el Banco (en su calidad de observador); y, (ii) que se haya presentado, </w:t>
      </w:r>
      <w:bookmarkStart w:id="56" w:name="_Toc508101956"/>
      <w:bookmarkEnd w:id="55"/>
      <w:r w:rsidRPr="00A44648">
        <w:rPr>
          <w:rFonts w:ascii="Arial" w:hAnsi="Arial" w:cs="Arial"/>
          <w:sz w:val="22"/>
          <w:szCs w:val="22"/>
          <w:lang w:val="es-ES"/>
        </w:rPr>
        <w:t>a satisfacción del Banco, el ROP actualizado, tomando en consideración las modificaciones identificadas en esta propuesta.</w:t>
      </w:r>
      <w:bookmarkEnd w:id="56"/>
    </w:p>
    <w:p w14:paraId="1A273854" w14:textId="4BAFFE9C" w:rsidR="00F73ADD" w:rsidRPr="00A44648" w:rsidRDefault="00F73ADD" w:rsidP="00F73ADD">
      <w:pPr>
        <w:pStyle w:val="AutoNumpara"/>
        <w:rPr>
          <w:rFonts w:ascii="Arial" w:hAnsi="Arial" w:cs="Arial"/>
          <w:sz w:val="22"/>
          <w:szCs w:val="22"/>
          <w:lang w:val="es-ES"/>
        </w:rPr>
      </w:pPr>
      <w:bookmarkStart w:id="57" w:name="_Toc508101957"/>
      <w:r w:rsidRPr="00A44648">
        <w:rPr>
          <w:rFonts w:ascii="Arial" w:hAnsi="Arial" w:cs="Arial"/>
          <w:sz w:val="22"/>
          <w:szCs w:val="22"/>
        </w:rPr>
        <w:t>Considerando que el ciclo de un proyecto geotérmico requiere de plazos extensos para una ejecución eficiente, y tomando en cuenta proyección de desembolsos estimados (ver cuadro 3) a raíz de esta modificación, se requiere la extensión de los plazos de desembolsos de los instrumentos del Programa tal como figura a continuación: (i) para la CRG financiada con recursos del CTF (GRT/TC-14424-ME), cuyo plazo original de desembolsos era de tres años, una extensión de seis años, para un plazo total de nueve  años, tomando en cuenta que tres de esos nueve años ya trascurrieron; (ii) para el préstamo de inversión con recursos del CO del Banco (3178/OC-ME), cuyo plazo original de desembolsos era de seis años, una extensión de cinco  años, para un total de once años, tomando en cuenta que tres de esos once años ya trascurrieron; y (iii) para la CT no reembolsable (GRT/CT</w:t>
      </w:r>
      <w:r w:rsidRPr="00A44648">
        <w:rPr>
          <w:rFonts w:ascii="Arial" w:hAnsi="Arial" w:cs="Arial"/>
          <w:sz w:val="22"/>
          <w:szCs w:val="22"/>
        </w:rPr>
        <w:noBreakHyphen/>
        <w:t>14423-ME), cuyo plazo original de desembolsos era de tres años, una extensión de seis  años, para un total de nueve años, tomando en cuenta los tres de esos nueve años  ya trascurrieron. Ello se justifica por las siguientes razones: (i) la fase de exploración (Componente 1) tendrá una duración de entre dos a seis años, en la cual se tendrá que perforar, evaluar la calidad del recurso, repagar el costo de la familia de pozos exitosos y tomar la decisión de inversión en la planta de geotermia; (ii) la fase explotación (Componente2) financiará la construcción de plantas y líneas de transmisión, que, en muchos de los casos, solo podrán llevarse a cabo una vez que se haya realizado la etapa de exploración, y son actividades que, por su naturaleza, requieren de un plazo de ejecución extenso, dependiendo del proyecto; y (iii)  los recursos que financian las actividades de apoyo y asistencia técnica (Componente 3) deben estar disponibles durante la ejecución de las fase de exploración y explotación del programa para efectos de asegurar una ejecución eficiente y coordinada.</w:t>
      </w:r>
      <w:bookmarkEnd w:id="57"/>
      <w:r w:rsidRPr="00A44648">
        <w:rPr>
          <w:rFonts w:ascii="Arial" w:hAnsi="Arial" w:cs="Arial"/>
          <w:sz w:val="22"/>
          <w:szCs w:val="22"/>
          <w:lang w:val="es-ES"/>
        </w:rPr>
        <w:t xml:space="preserve"> </w:t>
      </w:r>
    </w:p>
    <w:p w14:paraId="6DA8BFBC" w14:textId="77777777" w:rsidR="00F73ADD" w:rsidRPr="00A44648" w:rsidRDefault="00F73ADD" w:rsidP="00F73ADD">
      <w:pPr>
        <w:pStyle w:val="AutoNumpara"/>
        <w:rPr>
          <w:rFonts w:ascii="Arial" w:hAnsi="Arial" w:cs="Arial"/>
          <w:sz w:val="22"/>
          <w:szCs w:val="22"/>
          <w:lang w:val="es-ES"/>
        </w:rPr>
      </w:pPr>
      <w:r w:rsidRPr="00A44648">
        <w:rPr>
          <w:rFonts w:ascii="Arial" w:hAnsi="Arial" w:cs="Arial"/>
          <w:sz w:val="22"/>
          <w:szCs w:val="22"/>
        </w:rPr>
        <w:t>Para lograr una ejecución eficiente y coordinada se requiere contratar de manera directa al INEEL. Su contratación directa se justifica de acuerdo al Apartado 1.11 inciso “(c)” de la Política GN-2350-9, por tratarse de un centro de investigación del país del Prestatario que, dada la naturaleza única y excepcional de sus servicios, su participación es vital para la ejecución del programa.  En este sentido, el INEEL es el organismo público descentralizado de la Administración Pública Federal de investigación del sector energía dedicado principalmente al área eléctrica de México. Entre sus objetivos principales se encuentran la innovación aplicada, el desarrollo tecnológico, la ingeniería y los servicios técnicos especializados en áreas como la eficiencia energética, la planeación y expansión del sistema eléctrico nacional, la confiabilidad, seguridad, simulación, las energías renovables, la automatización, y las nuevas tecnologías de información. El INEEL cuenta con una gerencia enfocada exclusivamente al desarrollo de la geotermia con más de 30 años de experiencia que ha acompañado a la CFE en la exploración, desarrollo y explotación de recursos geotérmicos de México, lo que lo ha colocado a la vanguardia en este campo en México y Latinoamérica. Cuenta con una base de datos que incluye 2.361 manifestaciones geotérmicas distribuidas en 27 de los 32 estados de la República Mexicana. La información incluye localización, tipo de manifestación, fuente de calor, edad geológica, química del agua, temperatura de la muestra y una estimación de la temperatura del yacimiento. Se enfoca principalmente en las siguientes áreas de desarrollo geotérmico: exploración de recursos, caracterización de formaciones y pozos, desarrollo de modelos conceptuales del yacimiento, estudios relacionados con la explotación del yacimiento, estudios de impacto ambiental, aprovechamiento de fluidos de mediana y baja entalpia. El INEEL ha desarrollado más de 350 proyectos en los campos y zonas geotérmicas de México y también ha realizado proyectos o servicios en países como Argentina, Bolivia, Colombia, Costa Rica, Ecuador, El Salvador, Estados Unidos, Guatemala, Haití, Jamaica, Nicaragua, Panamá, Perú y República Dominicana. El INEEL, recibe la mayor parte de sus ingresos por ofrecer servicios especializados al sector público y privado en el país.</w:t>
      </w:r>
    </w:p>
    <w:p w14:paraId="7DD08B99" w14:textId="77777777" w:rsidR="00F73ADD" w:rsidRPr="00A44648" w:rsidRDefault="00F73ADD" w:rsidP="00F73ADD">
      <w:pPr>
        <w:pStyle w:val="AutoNumpara"/>
        <w:rPr>
          <w:rFonts w:ascii="Arial" w:hAnsi="Arial" w:cs="Arial"/>
          <w:sz w:val="22"/>
          <w:szCs w:val="22"/>
        </w:rPr>
      </w:pPr>
      <w:r w:rsidRPr="00A44648">
        <w:rPr>
          <w:rFonts w:ascii="Arial" w:hAnsi="Arial" w:cs="Arial"/>
          <w:sz w:val="22"/>
          <w:szCs w:val="22"/>
        </w:rPr>
        <w:t>En cuanto a la contratación de las empresas que realizarán las perforaciones, éstas se realizarán a través de la modalidad de licitación pública internacional bajo la modalidad de Licitación Pública Internacional (LPI) siguiendo el proceso señalado en la GN-2349-9 “Políticas para la Adquisición de bienes y obras financiadas por el BID”. Lo anterior permitirá comprometer la totalidad de los recursos CTF antes de enero de 2019 tal cual se ha solicitado por CTF (ver párrafo 1.9).</w:t>
      </w:r>
    </w:p>
    <w:p w14:paraId="448879F9" w14:textId="77777777" w:rsidR="00F73ADD" w:rsidRPr="00A44648" w:rsidRDefault="00F73ADD" w:rsidP="00F73ADD">
      <w:pPr>
        <w:rPr>
          <w:rFonts w:ascii="Arial" w:hAnsi="Arial" w:cs="Arial"/>
          <w:lang w:val="es-ES" w:eastAsia="es-ES"/>
        </w:rPr>
      </w:pPr>
    </w:p>
    <w:p w14:paraId="42BC1601" w14:textId="77777777" w:rsidR="00937D90" w:rsidRPr="00A44648" w:rsidRDefault="00937D90" w:rsidP="00071593">
      <w:pPr>
        <w:pStyle w:val="BodyText2"/>
        <w:spacing w:after="0" w:line="240" w:lineRule="auto"/>
        <w:jc w:val="center"/>
        <w:rPr>
          <w:rFonts w:ascii="Arial" w:hAnsi="Arial" w:cs="Arial"/>
          <w:b/>
          <w:sz w:val="22"/>
          <w:szCs w:val="22"/>
        </w:rPr>
      </w:pPr>
      <w:r w:rsidRPr="00A44648">
        <w:rPr>
          <w:rFonts w:ascii="Arial" w:hAnsi="Arial" w:cs="Arial"/>
          <w:b/>
          <w:sz w:val="22"/>
          <w:szCs w:val="22"/>
        </w:rPr>
        <w:t>Tabl</w:t>
      </w:r>
      <w:r w:rsidR="00813B43" w:rsidRPr="00A44648">
        <w:rPr>
          <w:rFonts w:ascii="Arial" w:hAnsi="Arial" w:cs="Arial"/>
          <w:b/>
          <w:sz w:val="22"/>
          <w:szCs w:val="22"/>
        </w:rPr>
        <w:t>a</w:t>
      </w:r>
      <w:r w:rsidRPr="00A44648">
        <w:rPr>
          <w:rFonts w:ascii="Arial" w:hAnsi="Arial" w:cs="Arial"/>
          <w:b/>
          <w:sz w:val="22"/>
          <w:szCs w:val="22"/>
        </w:rPr>
        <w:t xml:space="preserve"> </w:t>
      </w:r>
      <w:r w:rsidR="00F73ADD" w:rsidRPr="00A44648">
        <w:rPr>
          <w:rFonts w:ascii="Arial" w:hAnsi="Arial" w:cs="Arial"/>
          <w:b/>
          <w:sz w:val="22"/>
          <w:szCs w:val="22"/>
        </w:rPr>
        <w:t>3</w:t>
      </w:r>
      <w:r w:rsidRPr="00A44648">
        <w:rPr>
          <w:rFonts w:ascii="Arial" w:hAnsi="Arial" w:cs="Arial"/>
          <w:b/>
          <w:sz w:val="22"/>
          <w:szCs w:val="22"/>
        </w:rPr>
        <w:t>: Monitor</w:t>
      </w:r>
      <w:r w:rsidR="00F73ADD" w:rsidRPr="00A44648">
        <w:rPr>
          <w:rFonts w:ascii="Arial" w:hAnsi="Arial" w:cs="Arial"/>
          <w:b/>
          <w:sz w:val="22"/>
          <w:szCs w:val="22"/>
        </w:rPr>
        <w:t>eo del Plan de Trabajo</w:t>
      </w:r>
    </w:p>
    <w:tbl>
      <w:tblPr>
        <w:tblW w:w="11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85"/>
        <w:gridCol w:w="450"/>
        <w:gridCol w:w="450"/>
        <w:gridCol w:w="450"/>
        <w:gridCol w:w="360"/>
        <w:gridCol w:w="450"/>
        <w:gridCol w:w="360"/>
        <w:gridCol w:w="360"/>
        <w:gridCol w:w="360"/>
        <w:gridCol w:w="360"/>
        <w:gridCol w:w="450"/>
        <w:gridCol w:w="360"/>
        <w:gridCol w:w="360"/>
        <w:gridCol w:w="450"/>
        <w:gridCol w:w="360"/>
        <w:gridCol w:w="450"/>
        <w:gridCol w:w="360"/>
        <w:gridCol w:w="360"/>
        <w:gridCol w:w="450"/>
        <w:gridCol w:w="1260"/>
        <w:gridCol w:w="1170"/>
      </w:tblGrid>
      <w:tr w:rsidR="003532D3" w:rsidRPr="00A44648" w14:paraId="1CD10CE7" w14:textId="77777777" w:rsidTr="003532D3">
        <w:trPr>
          <w:trHeight w:val="368"/>
          <w:jc w:val="center"/>
        </w:trPr>
        <w:tc>
          <w:tcPr>
            <w:tcW w:w="1885" w:type="dxa"/>
            <w:vMerge w:val="restart"/>
            <w:shd w:val="clear" w:color="auto" w:fill="A6A6A6" w:themeFill="background1" w:themeFillShade="A6"/>
            <w:vAlign w:val="center"/>
          </w:tcPr>
          <w:p w14:paraId="44A50851" w14:textId="77777777" w:rsidR="003532D3" w:rsidRPr="00A44648" w:rsidRDefault="003532D3" w:rsidP="003532D3">
            <w:pPr>
              <w:spacing w:before="60" w:after="60"/>
              <w:jc w:val="center"/>
              <w:rPr>
                <w:rFonts w:ascii="Arial" w:hAnsi="Arial" w:cs="Arial"/>
                <w:b/>
              </w:rPr>
            </w:pPr>
            <w:bookmarkStart w:id="58" w:name="_Toc375150061"/>
            <w:bookmarkStart w:id="59" w:name="_Toc381109247"/>
            <w:r w:rsidRPr="00A44648">
              <w:rPr>
                <w:rFonts w:ascii="Arial" w:hAnsi="Arial" w:cs="Arial"/>
                <w:b/>
              </w:rPr>
              <w:t>Actividades</w:t>
            </w:r>
          </w:p>
        </w:tc>
        <w:tc>
          <w:tcPr>
            <w:tcW w:w="900" w:type="dxa"/>
            <w:gridSpan w:val="2"/>
            <w:shd w:val="clear" w:color="auto" w:fill="A6A6A6" w:themeFill="background1" w:themeFillShade="A6"/>
            <w:vAlign w:val="center"/>
          </w:tcPr>
          <w:p w14:paraId="0A3CF11B" w14:textId="77777777" w:rsidR="003532D3" w:rsidRPr="00A44648" w:rsidRDefault="003532D3" w:rsidP="003532D3">
            <w:pPr>
              <w:spacing w:before="60" w:after="60"/>
              <w:jc w:val="center"/>
              <w:rPr>
                <w:rFonts w:ascii="Arial" w:hAnsi="Arial" w:cs="Arial"/>
                <w:b/>
              </w:rPr>
            </w:pPr>
            <w:r w:rsidRPr="00A44648">
              <w:rPr>
                <w:rFonts w:ascii="Arial" w:hAnsi="Arial" w:cs="Arial"/>
                <w:b/>
              </w:rPr>
              <w:t xml:space="preserve">Año 1 </w:t>
            </w:r>
          </w:p>
        </w:tc>
        <w:tc>
          <w:tcPr>
            <w:tcW w:w="810" w:type="dxa"/>
            <w:gridSpan w:val="2"/>
            <w:shd w:val="clear" w:color="auto" w:fill="A6A6A6" w:themeFill="background1" w:themeFillShade="A6"/>
          </w:tcPr>
          <w:p w14:paraId="5EFA5EF1" w14:textId="77777777" w:rsidR="003532D3" w:rsidRPr="00A44648" w:rsidRDefault="003532D3" w:rsidP="003532D3">
            <w:pPr>
              <w:spacing w:before="60" w:after="60"/>
              <w:jc w:val="center"/>
              <w:rPr>
                <w:rFonts w:ascii="Arial" w:hAnsi="Arial" w:cs="Arial"/>
                <w:b/>
              </w:rPr>
            </w:pPr>
            <w:r w:rsidRPr="00A44648">
              <w:rPr>
                <w:rFonts w:ascii="Arial" w:hAnsi="Arial" w:cs="Arial"/>
                <w:b/>
              </w:rPr>
              <w:t xml:space="preserve">Año 2 </w:t>
            </w:r>
          </w:p>
        </w:tc>
        <w:tc>
          <w:tcPr>
            <w:tcW w:w="810" w:type="dxa"/>
            <w:gridSpan w:val="2"/>
            <w:shd w:val="clear" w:color="auto" w:fill="A6A6A6" w:themeFill="background1" w:themeFillShade="A6"/>
          </w:tcPr>
          <w:p w14:paraId="46191DFD" w14:textId="77777777" w:rsidR="003532D3" w:rsidRPr="00A44648" w:rsidRDefault="003532D3" w:rsidP="003532D3">
            <w:pPr>
              <w:spacing w:before="60" w:after="60"/>
              <w:jc w:val="center"/>
              <w:rPr>
                <w:rFonts w:ascii="Arial" w:hAnsi="Arial" w:cs="Arial"/>
                <w:b/>
              </w:rPr>
            </w:pPr>
            <w:r w:rsidRPr="00A44648">
              <w:rPr>
                <w:rFonts w:ascii="Arial" w:hAnsi="Arial" w:cs="Arial"/>
                <w:b/>
              </w:rPr>
              <w:t xml:space="preserve">Año 3 </w:t>
            </w:r>
          </w:p>
        </w:tc>
        <w:tc>
          <w:tcPr>
            <w:tcW w:w="720" w:type="dxa"/>
            <w:gridSpan w:val="2"/>
            <w:shd w:val="clear" w:color="auto" w:fill="A6A6A6" w:themeFill="background1" w:themeFillShade="A6"/>
          </w:tcPr>
          <w:p w14:paraId="4CA055F7" w14:textId="77777777" w:rsidR="003532D3" w:rsidRPr="00A44648" w:rsidRDefault="003532D3" w:rsidP="003532D3">
            <w:pPr>
              <w:spacing w:before="60" w:after="60"/>
              <w:jc w:val="center"/>
              <w:rPr>
                <w:rFonts w:ascii="Arial" w:hAnsi="Arial" w:cs="Arial"/>
                <w:b/>
              </w:rPr>
            </w:pPr>
            <w:r w:rsidRPr="00A44648">
              <w:rPr>
                <w:rFonts w:ascii="Arial" w:hAnsi="Arial" w:cs="Arial"/>
                <w:b/>
              </w:rPr>
              <w:t xml:space="preserve">Año 4 </w:t>
            </w:r>
          </w:p>
        </w:tc>
        <w:tc>
          <w:tcPr>
            <w:tcW w:w="810" w:type="dxa"/>
            <w:gridSpan w:val="2"/>
            <w:shd w:val="clear" w:color="auto" w:fill="A6A6A6" w:themeFill="background1" w:themeFillShade="A6"/>
          </w:tcPr>
          <w:p w14:paraId="3E0EC384" w14:textId="77777777" w:rsidR="003532D3" w:rsidRPr="00A44648" w:rsidRDefault="003532D3" w:rsidP="003532D3">
            <w:pPr>
              <w:spacing w:before="60" w:after="60"/>
              <w:jc w:val="center"/>
              <w:rPr>
                <w:rFonts w:ascii="Arial" w:hAnsi="Arial" w:cs="Arial"/>
                <w:b/>
              </w:rPr>
            </w:pPr>
            <w:r w:rsidRPr="00A44648">
              <w:rPr>
                <w:rFonts w:ascii="Arial" w:hAnsi="Arial" w:cs="Arial"/>
                <w:b/>
              </w:rPr>
              <w:t>Año 5</w:t>
            </w:r>
          </w:p>
        </w:tc>
        <w:tc>
          <w:tcPr>
            <w:tcW w:w="720" w:type="dxa"/>
            <w:gridSpan w:val="2"/>
            <w:shd w:val="clear" w:color="auto" w:fill="A6A6A6" w:themeFill="background1" w:themeFillShade="A6"/>
          </w:tcPr>
          <w:p w14:paraId="576F702D" w14:textId="77777777" w:rsidR="003532D3" w:rsidRPr="00A44648" w:rsidRDefault="003532D3" w:rsidP="003532D3">
            <w:pPr>
              <w:spacing w:before="60" w:after="60"/>
              <w:jc w:val="center"/>
              <w:rPr>
                <w:rFonts w:ascii="Arial" w:hAnsi="Arial" w:cs="Arial"/>
                <w:b/>
              </w:rPr>
            </w:pPr>
            <w:r w:rsidRPr="00A44648">
              <w:rPr>
                <w:rFonts w:ascii="Arial" w:hAnsi="Arial" w:cs="Arial"/>
                <w:b/>
              </w:rPr>
              <w:t>Año 6</w:t>
            </w:r>
          </w:p>
        </w:tc>
        <w:tc>
          <w:tcPr>
            <w:tcW w:w="810" w:type="dxa"/>
            <w:gridSpan w:val="2"/>
            <w:shd w:val="clear" w:color="auto" w:fill="A6A6A6" w:themeFill="background1" w:themeFillShade="A6"/>
          </w:tcPr>
          <w:p w14:paraId="692F444A" w14:textId="77777777" w:rsidR="003532D3" w:rsidRPr="00A44648" w:rsidRDefault="003532D3" w:rsidP="003532D3">
            <w:pPr>
              <w:spacing w:before="60" w:after="60"/>
              <w:jc w:val="center"/>
              <w:rPr>
                <w:rFonts w:ascii="Arial" w:hAnsi="Arial" w:cs="Arial"/>
                <w:b/>
              </w:rPr>
            </w:pPr>
            <w:r w:rsidRPr="00A44648">
              <w:rPr>
                <w:rFonts w:ascii="Arial" w:hAnsi="Arial" w:cs="Arial"/>
                <w:b/>
              </w:rPr>
              <w:t xml:space="preserve">Año 7 </w:t>
            </w:r>
          </w:p>
        </w:tc>
        <w:tc>
          <w:tcPr>
            <w:tcW w:w="810" w:type="dxa"/>
            <w:gridSpan w:val="2"/>
            <w:shd w:val="clear" w:color="auto" w:fill="A6A6A6" w:themeFill="background1" w:themeFillShade="A6"/>
          </w:tcPr>
          <w:p w14:paraId="555BB1D5" w14:textId="77777777" w:rsidR="003532D3" w:rsidRPr="00A44648" w:rsidRDefault="003532D3" w:rsidP="003532D3">
            <w:pPr>
              <w:spacing w:before="60" w:after="60"/>
              <w:jc w:val="center"/>
              <w:rPr>
                <w:rFonts w:ascii="Arial" w:hAnsi="Arial" w:cs="Arial"/>
                <w:b/>
              </w:rPr>
            </w:pPr>
            <w:r w:rsidRPr="00A44648">
              <w:rPr>
                <w:rFonts w:ascii="Arial" w:hAnsi="Arial" w:cs="Arial"/>
                <w:b/>
              </w:rPr>
              <w:t xml:space="preserve">Año 8 </w:t>
            </w:r>
          </w:p>
        </w:tc>
        <w:tc>
          <w:tcPr>
            <w:tcW w:w="810" w:type="dxa"/>
            <w:gridSpan w:val="2"/>
            <w:shd w:val="clear" w:color="auto" w:fill="A6A6A6" w:themeFill="background1" w:themeFillShade="A6"/>
          </w:tcPr>
          <w:p w14:paraId="39C2283F" w14:textId="77777777" w:rsidR="003532D3" w:rsidRPr="00A44648" w:rsidRDefault="003532D3" w:rsidP="003532D3">
            <w:pPr>
              <w:spacing w:before="60" w:after="60"/>
              <w:jc w:val="center"/>
              <w:rPr>
                <w:rFonts w:ascii="Arial" w:hAnsi="Arial" w:cs="Arial"/>
                <w:b/>
              </w:rPr>
            </w:pPr>
            <w:r w:rsidRPr="00A44648">
              <w:rPr>
                <w:rFonts w:ascii="Arial" w:hAnsi="Arial" w:cs="Arial"/>
                <w:b/>
              </w:rPr>
              <w:t>Año 9</w:t>
            </w:r>
          </w:p>
        </w:tc>
        <w:tc>
          <w:tcPr>
            <w:tcW w:w="1260" w:type="dxa"/>
            <w:vMerge w:val="restart"/>
            <w:shd w:val="clear" w:color="auto" w:fill="A6A6A6" w:themeFill="background1" w:themeFillShade="A6"/>
            <w:vAlign w:val="center"/>
          </w:tcPr>
          <w:p w14:paraId="688ED9FE" w14:textId="77777777" w:rsidR="003532D3" w:rsidRPr="00A44648" w:rsidRDefault="003532D3" w:rsidP="003532D3">
            <w:pPr>
              <w:spacing w:before="60" w:after="60"/>
              <w:jc w:val="center"/>
              <w:rPr>
                <w:rFonts w:ascii="Arial" w:hAnsi="Arial" w:cs="Arial"/>
                <w:b/>
              </w:rPr>
            </w:pPr>
            <w:r w:rsidRPr="00A44648">
              <w:rPr>
                <w:rFonts w:ascii="Arial" w:hAnsi="Arial" w:cs="Arial"/>
                <w:b/>
              </w:rPr>
              <w:t>Responsable</w:t>
            </w:r>
          </w:p>
        </w:tc>
        <w:tc>
          <w:tcPr>
            <w:tcW w:w="1170" w:type="dxa"/>
            <w:vMerge w:val="restart"/>
            <w:shd w:val="clear" w:color="auto" w:fill="A6A6A6" w:themeFill="background1" w:themeFillShade="A6"/>
          </w:tcPr>
          <w:p w14:paraId="4B4DCEB2" w14:textId="77777777" w:rsidR="003532D3" w:rsidRPr="00A44648" w:rsidRDefault="003532D3" w:rsidP="003532D3">
            <w:pPr>
              <w:spacing w:before="60" w:after="60"/>
              <w:jc w:val="center"/>
              <w:rPr>
                <w:rFonts w:ascii="Arial" w:hAnsi="Arial" w:cs="Arial"/>
                <w:b/>
              </w:rPr>
            </w:pPr>
            <w:r w:rsidRPr="00A44648">
              <w:rPr>
                <w:rFonts w:ascii="Arial" w:hAnsi="Arial" w:cs="Arial"/>
                <w:b/>
              </w:rPr>
              <w:t>Presupuesto</w:t>
            </w:r>
          </w:p>
          <w:p w14:paraId="02FF7250" w14:textId="77777777" w:rsidR="003532D3" w:rsidRPr="00A44648" w:rsidRDefault="003532D3" w:rsidP="003532D3">
            <w:pPr>
              <w:spacing w:before="60" w:after="60"/>
              <w:jc w:val="center"/>
              <w:rPr>
                <w:rFonts w:ascii="Arial" w:hAnsi="Arial" w:cs="Arial"/>
                <w:b/>
              </w:rPr>
            </w:pPr>
            <w:r w:rsidRPr="00A44648">
              <w:rPr>
                <w:rFonts w:ascii="Arial" w:hAnsi="Arial" w:cs="Arial"/>
                <w:b/>
              </w:rPr>
              <w:t>(USD)</w:t>
            </w:r>
          </w:p>
        </w:tc>
      </w:tr>
      <w:tr w:rsidR="003532D3" w:rsidRPr="00A44648" w14:paraId="59EA9648" w14:textId="77777777" w:rsidTr="003532D3">
        <w:trPr>
          <w:trHeight w:val="260"/>
          <w:jc w:val="center"/>
        </w:trPr>
        <w:tc>
          <w:tcPr>
            <w:tcW w:w="1885" w:type="dxa"/>
            <w:vMerge/>
            <w:shd w:val="clear" w:color="auto" w:fill="D9D9D9" w:themeFill="background1" w:themeFillShade="D9"/>
            <w:vAlign w:val="center"/>
          </w:tcPr>
          <w:p w14:paraId="1AE8C959" w14:textId="77777777" w:rsidR="003532D3" w:rsidRPr="00A44648" w:rsidRDefault="003532D3" w:rsidP="003532D3">
            <w:pPr>
              <w:spacing w:before="60" w:after="60"/>
              <w:jc w:val="center"/>
              <w:rPr>
                <w:rFonts w:ascii="Arial" w:hAnsi="Arial" w:cs="Arial"/>
                <w:b/>
              </w:rPr>
            </w:pPr>
          </w:p>
        </w:tc>
        <w:tc>
          <w:tcPr>
            <w:tcW w:w="450" w:type="dxa"/>
            <w:shd w:val="clear" w:color="auto" w:fill="A6A6A6" w:themeFill="background1" w:themeFillShade="A6"/>
            <w:vAlign w:val="center"/>
          </w:tcPr>
          <w:p w14:paraId="6F811420" w14:textId="77777777" w:rsidR="003532D3" w:rsidRPr="00A44648" w:rsidRDefault="003532D3" w:rsidP="003532D3">
            <w:pPr>
              <w:spacing w:after="0"/>
              <w:jc w:val="center"/>
              <w:rPr>
                <w:rFonts w:ascii="Arial" w:hAnsi="Arial" w:cs="Arial"/>
                <w:b/>
              </w:rPr>
            </w:pPr>
            <w:r w:rsidRPr="00A44648">
              <w:rPr>
                <w:rFonts w:ascii="Arial" w:hAnsi="Arial" w:cs="Arial"/>
                <w:b/>
              </w:rPr>
              <w:t>I</w:t>
            </w:r>
          </w:p>
        </w:tc>
        <w:tc>
          <w:tcPr>
            <w:tcW w:w="450" w:type="dxa"/>
            <w:shd w:val="clear" w:color="auto" w:fill="A6A6A6" w:themeFill="background1" w:themeFillShade="A6"/>
            <w:vAlign w:val="center"/>
          </w:tcPr>
          <w:p w14:paraId="45EE03B0" w14:textId="77777777" w:rsidR="003532D3" w:rsidRPr="00A44648" w:rsidRDefault="003532D3" w:rsidP="003532D3">
            <w:pPr>
              <w:spacing w:after="0"/>
              <w:jc w:val="center"/>
              <w:rPr>
                <w:rFonts w:ascii="Arial" w:hAnsi="Arial" w:cs="Arial"/>
                <w:b/>
              </w:rPr>
            </w:pPr>
            <w:r w:rsidRPr="00A44648">
              <w:rPr>
                <w:rFonts w:ascii="Arial" w:hAnsi="Arial" w:cs="Arial"/>
                <w:b/>
              </w:rPr>
              <w:t>II</w:t>
            </w:r>
          </w:p>
        </w:tc>
        <w:tc>
          <w:tcPr>
            <w:tcW w:w="450" w:type="dxa"/>
            <w:shd w:val="clear" w:color="auto" w:fill="A6A6A6" w:themeFill="background1" w:themeFillShade="A6"/>
            <w:vAlign w:val="center"/>
          </w:tcPr>
          <w:p w14:paraId="57105EB6" w14:textId="77777777" w:rsidR="003532D3" w:rsidRPr="00A44648" w:rsidRDefault="003532D3" w:rsidP="003532D3">
            <w:pPr>
              <w:spacing w:after="0"/>
              <w:jc w:val="center"/>
              <w:rPr>
                <w:rFonts w:ascii="Arial" w:hAnsi="Arial" w:cs="Arial"/>
                <w:b/>
              </w:rPr>
            </w:pPr>
            <w:r w:rsidRPr="00A44648">
              <w:rPr>
                <w:rFonts w:ascii="Arial" w:hAnsi="Arial" w:cs="Arial"/>
                <w:b/>
              </w:rPr>
              <w:t>I</w:t>
            </w:r>
          </w:p>
        </w:tc>
        <w:tc>
          <w:tcPr>
            <w:tcW w:w="360" w:type="dxa"/>
            <w:shd w:val="clear" w:color="auto" w:fill="A6A6A6" w:themeFill="background1" w:themeFillShade="A6"/>
            <w:vAlign w:val="center"/>
          </w:tcPr>
          <w:p w14:paraId="2A0E5BE9" w14:textId="77777777" w:rsidR="003532D3" w:rsidRPr="00A44648" w:rsidRDefault="003532D3" w:rsidP="003532D3">
            <w:pPr>
              <w:spacing w:after="0"/>
              <w:jc w:val="center"/>
              <w:rPr>
                <w:rFonts w:ascii="Arial" w:hAnsi="Arial" w:cs="Arial"/>
                <w:b/>
              </w:rPr>
            </w:pPr>
            <w:r w:rsidRPr="00A44648">
              <w:rPr>
                <w:rFonts w:ascii="Arial" w:hAnsi="Arial" w:cs="Arial"/>
                <w:b/>
              </w:rPr>
              <w:t>II</w:t>
            </w:r>
          </w:p>
        </w:tc>
        <w:tc>
          <w:tcPr>
            <w:tcW w:w="450" w:type="dxa"/>
            <w:shd w:val="clear" w:color="auto" w:fill="A6A6A6" w:themeFill="background1" w:themeFillShade="A6"/>
            <w:vAlign w:val="center"/>
          </w:tcPr>
          <w:p w14:paraId="03E8D3CA" w14:textId="77777777" w:rsidR="003532D3" w:rsidRPr="00A44648" w:rsidRDefault="003532D3" w:rsidP="003532D3">
            <w:pPr>
              <w:spacing w:after="0"/>
              <w:jc w:val="center"/>
              <w:rPr>
                <w:rFonts w:ascii="Arial" w:hAnsi="Arial" w:cs="Arial"/>
                <w:b/>
              </w:rPr>
            </w:pPr>
            <w:r w:rsidRPr="00A44648">
              <w:rPr>
                <w:rFonts w:ascii="Arial" w:hAnsi="Arial" w:cs="Arial"/>
                <w:b/>
              </w:rPr>
              <w:t>I</w:t>
            </w:r>
          </w:p>
        </w:tc>
        <w:tc>
          <w:tcPr>
            <w:tcW w:w="360" w:type="dxa"/>
            <w:shd w:val="clear" w:color="auto" w:fill="A6A6A6" w:themeFill="background1" w:themeFillShade="A6"/>
            <w:vAlign w:val="center"/>
          </w:tcPr>
          <w:p w14:paraId="16118D34" w14:textId="77777777" w:rsidR="003532D3" w:rsidRPr="00A44648" w:rsidRDefault="003532D3" w:rsidP="003532D3">
            <w:pPr>
              <w:spacing w:after="0"/>
              <w:jc w:val="center"/>
              <w:rPr>
                <w:rFonts w:ascii="Arial" w:hAnsi="Arial" w:cs="Arial"/>
                <w:b/>
              </w:rPr>
            </w:pPr>
            <w:r w:rsidRPr="00A44648">
              <w:rPr>
                <w:rFonts w:ascii="Arial" w:hAnsi="Arial" w:cs="Arial"/>
                <w:b/>
              </w:rPr>
              <w:t>II</w:t>
            </w:r>
          </w:p>
        </w:tc>
        <w:tc>
          <w:tcPr>
            <w:tcW w:w="360" w:type="dxa"/>
            <w:shd w:val="clear" w:color="auto" w:fill="A6A6A6" w:themeFill="background1" w:themeFillShade="A6"/>
            <w:vAlign w:val="center"/>
          </w:tcPr>
          <w:p w14:paraId="3A62CCCC" w14:textId="77777777" w:rsidR="003532D3" w:rsidRPr="00A44648" w:rsidRDefault="003532D3" w:rsidP="003532D3">
            <w:pPr>
              <w:spacing w:after="0"/>
              <w:jc w:val="center"/>
              <w:rPr>
                <w:rFonts w:ascii="Arial" w:hAnsi="Arial" w:cs="Arial"/>
                <w:b/>
              </w:rPr>
            </w:pPr>
            <w:r w:rsidRPr="00A44648">
              <w:rPr>
                <w:rFonts w:ascii="Arial" w:hAnsi="Arial" w:cs="Arial"/>
                <w:b/>
              </w:rPr>
              <w:t>I</w:t>
            </w:r>
          </w:p>
        </w:tc>
        <w:tc>
          <w:tcPr>
            <w:tcW w:w="360" w:type="dxa"/>
            <w:shd w:val="clear" w:color="auto" w:fill="A6A6A6" w:themeFill="background1" w:themeFillShade="A6"/>
            <w:vAlign w:val="center"/>
          </w:tcPr>
          <w:p w14:paraId="7B577DD4" w14:textId="77777777" w:rsidR="003532D3" w:rsidRPr="00A44648" w:rsidRDefault="003532D3" w:rsidP="003532D3">
            <w:pPr>
              <w:spacing w:after="0"/>
              <w:jc w:val="center"/>
              <w:rPr>
                <w:rFonts w:ascii="Arial" w:hAnsi="Arial" w:cs="Arial"/>
                <w:b/>
              </w:rPr>
            </w:pPr>
            <w:r w:rsidRPr="00A44648">
              <w:rPr>
                <w:rFonts w:ascii="Arial" w:hAnsi="Arial" w:cs="Arial"/>
                <w:b/>
              </w:rPr>
              <w:t>II</w:t>
            </w:r>
          </w:p>
        </w:tc>
        <w:tc>
          <w:tcPr>
            <w:tcW w:w="360" w:type="dxa"/>
            <w:shd w:val="clear" w:color="auto" w:fill="A6A6A6" w:themeFill="background1" w:themeFillShade="A6"/>
            <w:vAlign w:val="center"/>
          </w:tcPr>
          <w:p w14:paraId="66833868" w14:textId="77777777" w:rsidR="003532D3" w:rsidRPr="00A44648" w:rsidRDefault="003532D3" w:rsidP="003532D3">
            <w:pPr>
              <w:spacing w:after="0"/>
              <w:jc w:val="center"/>
              <w:rPr>
                <w:rFonts w:ascii="Arial" w:hAnsi="Arial" w:cs="Arial"/>
                <w:b/>
              </w:rPr>
            </w:pPr>
            <w:r w:rsidRPr="00A44648">
              <w:rPr>
                <w:rFonts w:ascii="Arial" w:hAnsi="Arial" w:cs="Arial"/>
                <w:b/>
              </w:rPr>
              <w:t>I</w:t>
            </w:r>
          </w:p>
        </w:tc>
        <w:tc>
          <w:tcPr>
            <w:tcW w:w="450" w:type="dxa"/>
            <w:shd w:val="clear" w:color="auto" w:fill="A6A6A6" w:themeFill="background1" w:themeFillShade="A6"/>
            <w:vAlign w:val="center"/>
          </w:tcPr>
          <w:p w14:paraId="5317DA80" w14:textId="77777777" w:rsidR="003532D3" w:rsidRPr="00A44648" w:rsidRDefault="003532D3" w:rsidP="003532D3">
            <w:pPr>
              <w:spacing w:after="0"/>
              <w:jc w:val="center"/>
              <w:rPr>
                <w:rFonts w:ascii="Arial" w:hAnsi="Arial" w:cs="Arial"/>
                <w:b/>
              </w:rPr>
            </w:pPr>
            <w:r w:rsidRPr="00A44648">
              <w:rPr>
                <w:rFonts w:ascii="Arial" w:hAnsi="Arial" w:cs="Arial"/>
                <w:b/>
              </w:rPr>
              <w:t>II</w:t>
            </w:r>
          </w:p>
        </w:tc>
        <w:tc>
          <w:tcPr>
            <w:tcW w:w="360" w:type="dxa"/>
            <w:shd w:val="clear" w:color="auto" w:fill="A6A6A6" w:themeFill="background1" w:themeFillShade="A6"/>
            <w:vAlign w:val="center"/>
          </w:tcPr>
          <w:p w14:paraId="55264FD8" w14:textId="77777777" w:rsidR="003532D3" w:rsidRPr="00A44648" w:rsidRDefault="003532D3" w:rsidP="003532D3">
            <w:pPr>
              <w:spacing w:after="0"/>
              <w:jc w:val="center"/>
              <w:rPr>
                <w:rFonts w:ascii="Arial" w:hAnsi="Arial" w:cs="Arial"/>
                <w:b/>
              </w:rPr>
            </w:pPr>
            <w:r w:rsidRPr="00A44648">
              <w:rPr>
                <w:rFonts w:ascii="Arial" w:hAnsi="Arial" w:cs="Arial"/>
                <w:b/>
              </w:rPr>
              <w:t>I</w:t>
            </w:r>
          </w:p>
        </w:tc>
        <w:tc>
          <w:tcPr>
            <w:tcW w:w="360" w:type="dxa"/>
            <w:shd w:val="clear" w:color="auto" w:fill="A6A6A6" w:themeFill="background1" w:themeFillShade="A6"/>
            <w:vAlign w:val="center"/>
          </w:tcPr>
          <w:p w14:paraId="39D1E829" w14:textId="77777777" w:rsidR="003532D3" w:rsidRPr="00A44648" w:rsidRDefault="003532D3" w:rsidP="003532D3">
            <w:pPr>
              <w:spacing w:after="0"/>
              <w:jc w:val="center"/>
              <w:rPr>
                <w:rFonts w:ascii="Arial" w:hAnsi="Arial" w:cs="Arial"/>
                <w:b/>
              </w:rPr>
            </w:pPr>
            <w:r w:rsidRPr="00A44648">
              <w:rPr>
                <w:rFonts w:ascii="Arial" w:hAnsi="Arial" w:cs="Arial"/>
                <w:b/>
              </w:rPr>
              <w:t>II</w:t>
            </w:r>
          </w:p>
        </w:tc>
        <w:tc>
          <w:tcPr>
            <w:tcW w:w="450" w:type="dxa"/>
            <w:shd w:val="clear" w:color="auto" w:fill="A6A6A6" w:themeFill="background1" w:themeFillShade="A6"/>
            <w:vAlign w:val="center"/>
          </w:tcPr>
          <w:p w14:paraId="44C44CCE" w14:textId="77777777" w:rsidR="003532D3" w:rsidRPr="00A44648" w:rsidRDefault="003532D3" w:rsidP="003532D3">
            <w:pPr>
              <w:spacing w:after="0"/>
              <w:jc w:val="center"/>
              <w:rPr>
                <w:rFonts w:ascii="Arial" w:hAnsi="Arial" w:cs="Arial"/>
                <w:b/>
              </w:rPr>
            </w:pPr>
            <w:r w:rsidRPr="00A44648">
              <w:rPr>
                <w:rFonts w:ascii="Arial" w:hAnsi="Arial" w:cs="Arial"/>
                <w:b/>
              </w:rPr>
              <w:t>I</w:t>
            </w:r>
          </w:p>
        </w:tc>
        <w:tc>
          <w:tcPr>
            <w:tcW w:w="360" w:type="dxa"/>
            <w:shd w:val="clear" w:color="auto" w:fill="A6A6A6" w:themeFill="background1" w:themeFillShade="A6"/>
            <w:vAlign w:val="center"/>
          </w:tcPr>
          <w:p w14:paraId="39C3417E" w14:textId="77777777" w:rsidR="003532D3" w:rsidRPr="00A44648" w:rsidRDefault="003532D3" w:rsidP="003532D3">
            <w:pPr>
              <w:spacing w:after="0"/>
              <w:jc w:val="center"/>
              <w:rPr>
                <w:rFonts w:ascii="Arial" w:hAnsi="Arial" w:cs="Arial"/>
                <w:b/>
              </w:rPr>
            </w:pPr>
            <w:r w:rsidRPr="00A44648">
              <w:rPr>
                <w:rFonts w:ascii="Arial" w:hAnsi="Arial" w:cs="Arial"/>
                <w:b/>
              </w:rPr>
              <w:t>II</w:t>
            </w:r>
          </w:p>
        </w:tc>
        <w:tc>
          <w:tcPr>
            <w:tcW w:w="450" w:type="dxa"/>
            <w:shd w:val="clear" w:color="auto" w:fill="A6A6A6" w:themeFill="background1" w:themeFillShade="A6"/>
            <w:vAlign w:val="center"/>
          </w:tcPr>
          <w:p w14:paraId="12B463A1" w14:textId="77777777" w:rsidR="003532D3" w:rsidRPr="00A44648" w:rsidRDefault="003532D3" w:rsidP="003532D3">
            <w:pPr>
              <w:spacing w:after="0"/>
              <w:jc w:val="center"/>
              <w:rPr>
                <w:rFonts w:ascii="Arial" w:hAnsi="Arial" w:cs="Arial"/>
                <w:b/>
              </w:rPr>
            </w:pPr>
            <w:r w:rsidRPr="00A44648">
              <w:rPr>
                <w:rFonts w:ascii="Arial" w:hAnsi="Arial" w:cs="Arial"/>
                <w:b/>
              </w:rPr>
              <w:t>I</w:t>
            </w:r>
          </w:p>
        </w:tc>
        <w:tc>
          <w:tcPr>
            <w:tcW w:w="360" w:type="dxa"/>
            <w:shd w:val="clear" w:color="auto" w:fill="A6A6A6" w:themeFill="background1" w:themeFillShade="A6"/>
            <w:vAlign w:val="center"/>
          </w:tcPr>
          <w:p w14:paraId="2D5EDDB3" w14:textId="77777777" w:rsidR="003532D3" w:rsidRPr="00A44648" w:rsidRDefault="003532D3" w:rsidP="003532D3">
            <w:pPr>
              <w:spacing w:after="0"/>
              <w:jc w:val="center"/>
              <w:rPr>
                <w:rFonts w:ascii="Arial" w:hAnsi="Arial" w:cs="Arial"/>
                <w:b/>
              </w:rPr>
            </w:pPr>
            <w:r w:rsidRPr="00A44648">
              <w:rPr>
                <w:rFonts w:ascii="Arial" w:hAnsi="Arial" w:cs="Arial"/>
                <w:b/>
              </w:rPr>
              <w:t>II</w:t>
            </w:r>
          </w:p>
        </w:tc>
        <w:tc>
          <w:tcPr>
            <w:tcW w:w="360" w:type="dxa"/>
            <w:shd w:val="clear" w:color="auto" w:fill="A6A6A6" w:themeFill="background1" w:themeFillShade="A6"/>
            <w:vAlign w:val="center"/>
          </w:tcPr>
          <w:p w14:paraId="2B6BD713" w14:textId="77777777" w:rsidR="003532D3" w:rsidRPr="00A44648" w:rsidRDefault="003532D3" w:rsidP="003532D3">
            <w:pPr>
              <w:spacing w:before="60" w:after="60"/>
              <w:jc w:val="center"/>
              <w:rPr>
                <w:rFonts w:ascii="Arial" w:hAnsi="Arial" w:cs="Arial"/>
                <w:b/>
              </w:rPr>
            </w:pPr>
            <w:r w:rsidRPr="00A44648">
              <w:rPr>
                <w:rFonts w:ascii="Arial" w:hAnsi="Arial" w:cs="Arial"/>
                <w:b/>
              </w:rPr>
              <w:t>I</w:t>
            </w:r>
          </w:p>
        </w:tc>
        <w:tc>
          <w:tcPr>
            <w:tcW w:w="450" w:type="dxa"/>
            <w:shd w:val="clear" w:color="auto" w:fill="A6A6A6" w:themeFill="background1" w:themeFillShade="A6"/>
            <w:vAlign w:val="center"/>
          </w:tcPr>
          <w:p w14:paraId="6326AC79" w14:textId="77777777" w:rsidR="003532D3" w:rsidRPr="00A44648" w:rsidRDefault="003532D3" w:rsidP="003532D3">
            <w:pPr>
              <w:spacing w:before="60" w:after="60"/>
              <w:jc w:val="center"/>
              <w:rPr>
                <w:rFonts w:ascii="Arial" w:hAnsi="Arial" w:cs="Arial"/>
                <w:b/>
              </w:rPr>
            </w:pPr>
            <w:r w:rsidRPr="00A44648">
              <w:rPr>
                <w:rFonts w:ascii="Arial" w:hAnsi="Arial" w:cs="Arial"/>
                <w:b/>
              </w:rPr>
              <w:t>II</w:t>
            </w:r>
          </w:p>
        </w:tc>
        <w:tc>
          <w:tcPr>
            <w:tcW w:w="1260" w:type="dxa"/>
            <w:vMerge/>
            <w:shd w:val="clear" w:color="auto" w:fill="D9D9D9" w:themeFill="background1" w:themeFillShade="D9"/>
            <w:vAlign w:val="center"/>
          </w:tcPr>
          <w:p w14:paraId="5DB37D1D" w14:textId="77777777" w:rsidR="003532D3" w:rsidRPr="00A44648" w:rsidRDefault="003532D3" w:rsidP="003532D3">
            <w:pPr>
              <w:spacing w:before="60" w:after="60"/>
              <w:jc w:val="center"/>
              <w:rPr>
                <w:rFonts w:ascii="Arial" w:hAnsi="Arial" w:cs="Arial"/>
                <w:b/>
              </w:rPr>
            </w:pPr>
          </w:p>
        </w:tc>
        <w:tc>
          <w:tcPr>
            <w:tcW w:w="1170" w:type="dxa"/>
            <w:vMerge/>
            <w:shd w:val="clear" w:color="auto" w:fill="D9D9D9" w:themeFill="background1" w:themeFillShade="D9"/>
          </w:tcPr>
          <w:p w14:paraId="49D3B599" w14:textId="77777777" w:rsidR="003532D3" w:rsidRPr="00A44648" w:rsidRDefault="003532D3" w:rsidP="003532D3">
            <w:pPr>
              <w:spacing w:before="60" w:after="60"/>
              <w:jc w:val="center"/>
              <w:rPr>
                <w:rFonts w:ascii="Arial" w:hAnsi="Arial" w:cs="Arial"/>
                <w:b/>
              </w:rPr>
            </w:pPr>
          </w:p>
        </w:tc>
      </w:tr>
      <w:tr w:rsidR="003532D3" w:rsidRPr="00A44648" w14:paraId="0F8B1FBF" w14:textId="77777777" w:rsidTr="003532D3">
        <w:trPr>
          <w:jc w:val="center"/>
        </w:trPr>
        <w:tc>
          <w:tcPr>
            <w:tcW w:w="1885" w:type="dxa"/>
          </w:tcPr>
          <w:p w14:paraId="179430FC" w14:textId="77777777" w:rsidR="003532D3" w:rsidRPr="00A44648" w:rsidRDefault="003532D3" w:rsidP="003532D3">
            <w:pPr>
              <w:spacing w:after="0"/>
              <w:rPr>
                <w:rFonts w:ascii="Arial" w:hAnsi="Arial" w:cs="Arial"/>
                <w:b/>
                <w:lang w:val="es-ES_tradnl"/>
              </w:rPr>
            </w:pPr>
            <w:r w:rsidRPr="00A44648">
              <w:rPr>
                <w:rFonts w:ascii="Arial" w:hAnsi="Arial" w:cs="Arial"/>
                <w:b/>
                <w:lang w:val="es-ES_tradnl"/>
              </w:rPr>
              <w:t>Reuniones de coordinación y visitas de supervisión</w:t>
            </w:r>
          </w:p>
        </w:tc>
        <w:tc>
          <w:tcPr>
            <w:tcW w:w="450" w:type="dxa"/>
            <w:tcBorders>
              <w:bottom w:val="single" w:sz="4" w:space="0" w:color="auto"/>
            </w:tcBorders>
            <w:shd w:val="clear" w:color="auto" w:fill="auto"/>
            <w:vAlign w:val="center"/>
          </w:tcPr>
          <w:p w14:paraId="2B27EB72" w14:textId="77777777" w:rsidR="003532D3" w:rsidRPr="00A44648" w:rsidRDefault="003532D3" w:rsidP="003532D3">
            <w:pPr>
              <w:spacing w:after="0"/>
              <w:jc w:val="center"/>
              <w:rPr>
                <w:rFonts w:ascii="Arial" w:hAnsi="Arial" w:cs="Arial"/>
                <w:lang w:val="es-ES_tradnl"/>
              </w:rPr>
            </w:pPr>
            <w:r w:rsidRPr="00A44648">
              <w:rPr>
                <w:rFonts w:ascii="Arial" w:hAnsi="Arial" w:cs="Arial"/>
                <w:lang w:val="es-ES_tradnl"/>
              </w:rPr>
              <w:t>X</w:t>
            </w:r>
          </w:p>
        </w:tc>
        <w:tc>
          <w:tcPr>
            <w:tcW w:w="450" w:type="dxa"/>
            <w:tcBorders>
              <w:bottom w:val="single" w:sz="4" w:space="0" w:color="auto"/>
            </w:tcBorders>
            <w:shd w:val="clear" w:color="auto" w:fill="auto"/>
            <w:vAlign w:val="center"/>
          </w:tcPr>
          <w:p w14:paraId="35803B39"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450" w:type="dxa"/>
            <w:tcBorders>
              <w:bottom w:val="single" w:sz="4" w:space="0" w:color="auto"/>
            </w:tcBorders>
            <w:shd w:val="clear" w:color="auto" w:fill="auto"/>
            <w:vAlign w:val="center"/>
          </w:tcPr>
          <w:p w14:paraId="136CC623"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bottom w:val="single" w:sz="4" w:space="0" w:color="auto"/>
            </w:tcBorders>
            <w:shd w:val="clear" w:color="auto" w:fill="auto"/>
            <w:vAlign w:val="center"/>
          </w:tcPr>
          <w:p w14:paraId="4EF9EAAE"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450" w:type="dxa"/>
            <w:tcBorders>
              <w:bottom w:val="single" w:sz="4" w:space="0" w:color="auto"/>
            </w:tcBorders>
            <w:shd w:val="clear" w:color="auto" w:fill="auto"/>
            <w:vAlign w:val="center"/>
          </w:tcPr>
          <w:p w14:paraId="64ACF75D"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bottom w:val="single" w:sz="4" w:space="0" w:color="auto"/>
            </w:tcBorders>
            <w:shd w:val="clear" w:color="auto" w:fill="auto"/>
            <w:vAlign w:val="center"/>
          </w:tcPr>
          <w:p w14:paraId="5A9AA90A"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bottom w:val="single" w:sz="4" w:space="0" w:color="auto"/>
            </w:tcBorders>
            <w:shd w:val="clear" w:color="auto" w:fill="auto"/>
            <w:vAlign w:val="center"/>
          </w:tcPr>
          <w:p w14:paraId="7A53C0F1"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bottom w:val="single" w:sz="4" w:space="0" w:color="auto"/>
            </w:tcBorders>
            <w:shd w:val="clear" w:color="auto" w:fill="auto"/>
            <w:vAlign w:val="center"/>
          </w:tcPr>
          <w:p w14:paraId="7A1DD55C"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bottom w:val="single" w:sz="4" w:space="0" w:color="auto"/>
            </w:tcBorders>
            <w:shd w:val="clear" w:color="auto" w:fill="auto"/>
            <w:vAlign w:val="center"/>
          </w:tcPr>
          <w:p w14:paraId="658F1558"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450" w:type="dxa"/>
            <w:tcBorders>
              <w:bottom w:val="single" w:sz="4" w:space="0" w:color="auto"/>
            </w:tcBorders>
            <w:shd w:val="clear" w:color="auto" w:fill="auto"/>
            <w:vAlign w:val="center"/>
          </w:tcPr>
          <w:p w14:paraId="3D32B29A"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bottom w:val="single" w:sz="4" w:space="0" w:color="auto"/>
            </w:tcBorders>
            <w:shd w:val="clear" w:color="auto" w:fill="auto"/>
            <w:vAlign w:val="center"/>
          </w:tcPr>
          <w:p w14:paraId="5CFA8B6B"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bottom w:val="single" w:sz="4" w:space="0" w:color="auto"/>
            </w:tcBorders>
            <w:shd w:val="clear" w:color="auto" w:fill="auto"/>
            <w:vAlign w:val="center"/>
          </w:tcPr>
          <w:p w14:paraId="12C38109"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450" w:type="dxa"/>
            <w:tcBorders>
              <w:bottom w:val="single" w:sz="4" w:space="0" w:color="auto"/>
            </w:tcBorders>
            <w:shd w:val="clear" w:color="auto" w:fill="auto"/>
            <w:vAlign w:val="center"/>
          </w:tcPr>
          <w:p w14:paraId="7139DEBA"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bottom w:val="single" w:sz="4" w:space="0" w:color="auto"/>
            </w:tcBorders>
            <w:shd w:val="clear" w:color="auto" w:fill="auto"/>
            <w:vAlign w:val="center"/>
          </w:tcPr>
          <w:p w14:paraId="54228912"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450" w:type="dxa"/>
            <w:tcBorders>
              <w:bottom w:val="single" w:sz="4" w:space="0" w:color="auto"/>
            </w:tcBorders>
            <w:shd w:val="clear" w:color="auto" w:fill="auto"/>
            <w:vAlign w:val="center"/>
          </w:tcPr>
          <w:p w14:paraId="4BF148FC"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bottom w:val="single" w:sz="4" w:space="0" w:color="auto"/>
            </w:tcBorders>
            <w:shd w:val="clear" w:color="auto" w:fill="auto"/>
            <w:vAlign w:val="center"/>
          </w:tcPr>
          <w:p w14:paraId="0289D666"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vAlign w:val="center"/>
          </w:tcPr>
          <w:p w14:paraId="7CF2BB47"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450" w:type="dxa"/>
            <w:vAlign w:val="center"/>
          </w:tcPr>
          <w:p w14:paraId="070783CA"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1260" w:type="dxa"/>
            <w:vAlign w:val="center"/>
          </w:tcPr>
          <w:p w14:paraId="4657A3A4" w14:textId="77777777" w:rsidR="003532D3" w:rsidRPr="00A44648" w:rsidRDefault="003532D3" w:rsidP="003532D3">
            <w:pPr>
              <w:spacing w:after="0"/>
              <w:jc w:val="center"/>
              <w:rPr>
                <w:rFonts w:ascii="Arial" w:hAnsi="Arial" w:cs="Arial"/>
              </w:rPr>
            </w:pPr>
            <w:r w:rsidRPr="00A44648">
              <w:rPr>
                <w:rFonts w:ascii="Arial" w:hAnsi="Arial" w:cs="Arial"/>
              </w:rPr>
              <w:t>CCG</w:t>
            </w:r>
          </w:p>
        </w:tc>
        <w:tc>
          <w:tcPr>
            <w:tcW w:w="1170" w:type="dxa"/>
            <w:vAlign w:val="center"/>
          </w:tcPr>
          <w:p w14:paraId="2B2D9A74" w14:textId="77777777" w:rsidR="003532D3" w:rsidRPr="00A44648" w:rsidRDefault="003532D3" w:rsidP="003532D3">
            <w:pPr>
              <w:spacing w:after="0"/>
              <w:jc w:val="center"/>
              <w:rPr>
                <w:rFonts w:ascii="Arial" w:hAnsi="Arial" w:cs="Arial"/>
                <w:b/>
              </w:rPr>
            </w:pPr>
            <w:r w:rsidRPr="00A44648">
              <w:rPr>
                <w:rFonts w:ascii="Arial" w:hAnsi="Arial" w:cs="Arial"/>
                <w:b/>
              </w:rPr>
              <w:t>24,000</w:t>
            </w:r>
            <w:r w:rsidRPr="00A44648">
              <w:rPr>
                <w:rStyle w:val="FootnoteReference"/>
                <w:rFonts w:ascii="Arial" w:hAnsi="Arial" w:cs="Arial"/>
                <w:b/>
                <w:sz w:val="22"/>
              </w:rPr>
              <w:footnoteReference w:id="9"/>
            </w:r>
          </w:p>
        </w:tc>
      </w:tr>
      <w:tr w:rsidR="003532D3" w:rsidRPr="00A44648" w14:paraId="42AF3806" w14:textId="77777777" w:rsidTr="003532D3">
        <w:trPr>
          <w:jc w:val="center"/>
        </w:trPr>
        <w:tc>
          <w:tcPr>
            <w:tcW w:w="1885" w:type="dxa"/>
            <w:tcBorders>
              <w:bottom w:val="single" w:sz="4" w:space="0" w:color="auto"/>
            </w:tcBorders>
            <w:shd w:val="clear" w:color="auto" w:fill="auto"/>
            <w:vAlign w:val="center"/>
          </w:tcPr>
          <w:p w14:paraId="674DA06D" w14:textId="77777777" w:rsidR="003532D3" w:rsidRPr="00A44648" w:rsidDel="00356E79" w:rsidRDefault="003532D3" w:rsidP="003532D3">
            <w:pPr>
              <w:spacing w:after="0"/>
              <w:rPr>
                <w:rFonts w:ascii="Arial" w:hAnsi="Arial" w:cs="Arial"/>
                <w:b/>
                <w:lang w:val="es-ES_tradnl"/>
              </w:rPr>
            </w:pPr>
            <w:r w:rsidRPr="00A44648">
              <w:rPr>
                <w:rFonts w:ascii="Arial" w:hAnsi="Arial" w:cs="Arial"/>
                <w:b/>
                <w:lang w:val="es-ES_tradnl"/>
              </w:rPr>
              <w:t>Recolección de datos por indicador de producto</w:t>
            </w:r>
          </w:p>
        </w:tc>
        <w:tc>
          <w:tcPr>
            <w:tcW w:w="450" w:type="dxa"/>
            <w:tcBorders>
              <w:bottom w:val="single" w:sz="4" w:space="0" w:color="auto"/>
              <w:right w:val="nil"/>
            </w:tcBorders>
            <w:shd w:val="clear" w:color="auto" w:fill="auto"/>
            <w:vAlign w:val="center"/>
          </w:tcPr>
          <w:p w14:paraId="28105EB9" w14:textId="77777777" w:rsidR="003532D3" w:rsidRPr="00A44648" w:rsidRDefault="003532D3" w:rsidP="003532D3">
            <w:pPr>
              <w:spacing w:after="0"/>
              <w:jc w:val="center"/>
              <w:rPr>
                <w:rFonts w:ascii="Arial" w:hAnsi="Arial" w:cs="Arial"/>
                <w:lang w:val="es-ES_tradnl"/>
              </w:rPr>
            </w:pPr>
          </w:p>
        </w:tc>
        <w:tc>
          <w:tcPr>
            <w:tcW w:w="450" w:type="dxa"/>
            <w:tcBorders>
              <w:left w:val="nil"/>
              <w:bottom w:val="single" w:sz="4" w:space="0" w:color="auto"/>
              <w:right w:val="nil"/>
            </w:tcBorders>
            <w:shd w:val="clear" w:color="auto" w:fill="auto"/>
            <w:vAlign w:val="center"/>
          </w:tcPr>
          <w:p w14:paraId="170EB2FB" w14:textId="77777777" w:rsidR="003532D3" w:rsidRPr="00A44648" w:rsidRDefault="003532D3" w:rsidP="003532D3">
            <w:pPr>
              <w:spacing w:after="0"/>
              <w:jc w:val="center"/>
              <w:rPr>
                <w:rFonts w:ascii="Arial" w:hAnsi="Arial" w:cs="Arial"/>
                <w:lang w:val="es-ES_tradnl"/>
              </w:rPr>
            </w:pPr>
          </w:p>
        </w:tc>
        <w:tc>
          <w:tcPr>
            <w:tcW w:w="450" w:type="dxa"/>
            <w:tcBorders>
              <w:left w:val="nil"/>
              <w:bottom w:val="single" w:sz="4" w:space="0" w:color="auto"/>
              <w:right w:val="nil"/>
            </w:tcBorders>
            <w:shd w:val="clear" w:color="auto" w:fill="auto"/>
            <w:vAlign w:val="center"/>
          </w:tcPr>
          <w:p w14:paraId="29F4FD82" w14:textId="77777777" w:rsidR="003532D3" w:rsidRPr="00A44648" w:rsidRDefault="003532D3" w:rsidP="003532D3">
            <w:pPr>
              <w:spacing w:after="0"/>
              <w:jc w:val="center"/>
              <w:rPr>
                <w:rFonts w:ascii="Arial" w:hAnsi="Arial" w:cs="Arial"/>
                <w:lang w:val="es-ES_tradnl"/>
              </w:rPr>
            </w:pPr>
          </w:p>
        </w:tc>
        <w:tc>
          <w:tcPr>
            <w:tcW w:w="360" w:type="dxa"/>
            <w:tcBorders>
              <w:left w:val="nil"/>
              <w:bottom w:val="single" w:sz="4" w:space="0" w:color="auto"/>
              <w:right w:val="nil"/>
            </w:tcBorders>
            <w:shd w:val="clear" w:color="auto" w:fill="auto"/>
            <w:vAlign w:val="center"/>
          </w:tcPr>
          <w:p w14:paraId="36AE3227" w14:textId="77777777" w:rsidR="003532D3" w:rsidRPr="00A44648" w:rsidRDefault="003532D3" w:rsidP="003532D3">
            <w:pPr>
              <w:spacing w:after="0"/>
              <w:jc w:val="center"/>
              <w:rPr>
                <w:rFonts w:ascii="Arial" w:hAnsi="Arial" w:cs="Arial"/>
                <w:lang w:val="es-ES_tradnl"/>
              </w:rPr>
            </w:pPr>
          </w:p>
        </w:tc>
        <w:tc>
          <w:tcPr>
            <w:tcW w:w="450" w:type="dxa"/>
            <w:tcBorders>
              <w:left w:val="nil"/>
              <w:bottom w:val="single" w:sz="4" w:space="0" w:color="auto"/>
              <w:right w:val="nil"/>
            </w:tcBorders>
            <w:shd w:val="clear" w:color="auto" w:fill="auto"/>
            <w:vAlign w:val="center"/>
          </w:tcPr>
          <w:p w14:paraId="53C6D869" w14:textId="77777777" w:rsidR="003532D3" w:rsidRPr="00A44648" w:rsidRDefault="003532D3" w:rsidP="003532D3">
            <w:pPr>
              <w:spacing w:after="0"/>
              <w:jc w:val="center"/>
              <w:rPr>
                <w:rFonts w:ascii="Arial" w:hAnsi="Arial" w:cs="Arial"/>
                <w:lang w:val="es-ES_tradnl"/>
              </w:rPr>
            </w:pPr>
          </w:p>
        </w:tc>
        <w:tc>
          <w:tcPr>
            <w:tcW w:w="360" w:type="dxa"/>
            <w:tcBorders>
              <w:left w:val="nil"/>
              <w:bottom w:val="single" w:sz="4" w:space="0" w:color="auto"/>
              <w:right w:val="nil"/>
            </w:tcBorders>
            <w:shd w:val="clear" w:color="auto" w:fill="auto"/>
            <w:vAlign w:val="center"/>
          </w:tcPr>
          <w:p w14:paraId="0E69109C" w14:textId="77777777" w:rsidR="003532D3" w:rsidRPr="00A44648" w:rsidRDefault="003532D3" w:rsidP="003532D3">
            <w:pPr>
              <w:spacing w:after="0"/>
              <w:jc w:val="center"/>
              <w:rPr>
                <w:rFonts w:ascii="Arial" w:hAnsi="Arial" w:cs="Arial"/>
                <w:lang w:val="es-ES_tradnl"/>
              </w:rPr>
            </w:pPr>
          </w:p>
        </w:tc>
        <w:tc>
          <w:tcPr>
            <w:tcW w:w="360" w:type="dxa"/>
            <w:tcBorders>
              <w:left w:val="nil"/>
              <w:bottom w:val="single" w:sz="4" w:space="0" w:color="auto"/>
              <w:right w:val="nil"/>
            </w:tcBorders>
            <w:shd w:val="clear" w:color="auto" w:fill="auto"/>
            <w:vAlign w:val="center"/>
          </w:tcPr>
          <w:p w14:paraId="6FAEE9B1" w14:textId="77777777" w:rsidR="003532D3" w:rsidRPr="00A44648" w:rsidRDefault="003532D3" w:rsidP="003532D3">
            <w:pPr>
              <w:spacing w:after="0"/>
              <w:jc w:val="center"/>
              <w:rPr>
                <w:rFonts w:ascii="Arial" w:hAnsi="Arial" w:cs="Arial"/>
                <w:lang w:val="es-ES_tradnl"/>
              </w:rPr>
            </w:pPr>
          </w:p>
        </w:tc>
        <w:tc>
          <w:tcPr>
            <w:tcW w:w="360" w:type="dxa"/>
            <w:tcBorders>
              <w:left w:val="nil"/>
              <w:bottom w:val="single" w:sz="4" w:space="0" w:color="auto"/>
              <w:right w:val="nil"/>
            </w:tcBorders>
            <w:shd w:val="clear" w:color="auto" w:fill="auto"/>
            <w:vAlign w:val="center"/>
          </w:tcPr>
          <w:p w14:paraId="24480DE9" w14:textId="77777777" w:rsidR="003532D3" w:rsidRPr="00A44648" w:rsidRDefault="003532D3" w:rsidP="003532D3">
            <w:pPr>
              <w:spacing w:after="0"/>
              <w:jc w:val="center"/>
              <w:rPr>
                <w:rFonts w:ascii="Arial" w:hAnsi="Arial" w:cs="Arial"/>
                <w:lang w:val="es-ES_tradnl"/>
              </w:rPr>
            </w:pPr>
          </w:p>
        </w:tc>
        <w:tc>
          <w:tcPr>
            <w:tcW w:w="360" w:type="dxa"/>
            <w:tcBorders>
              <w:left w:val="nil"/>
              <w:bottom w:val="single" w:sz="4" w:space="0" w:color="auto"/>
              <w:right w:val="nil"/>
            </w:tcBorders>
          </w:tcPr>
          <w:p w14:paraId="7B4A589E" w14:textId="77777777" w:rsidR="003532D3" w:rsidRPr="00A44648" w:rsidRDefault="003532D3" w:rsidP="003532D3">
            <w:pPr>
              <w:spacing w:after="0"/>
              <w:jc w:val="center"/>
              <w:rPr>
                <w:rFonts w:ascii="Arial" w:hAnsi="Arial" w:cs="Arial"/>
                <w:lang w:val="es-ES_tradnl"/>
              </w:rPr>
            </w:pPr>
          </w:p>
        </w:tc>
        <w:tc>
          <w:tcPr>
            <w:tcW w:w="450" w:type="dxa"/>
            <w:tcBorders>
              <w:left w:val="nil"/>
              <w:bottom w:val="single" w:sz="4" w:space="0" w:color="auto"/>
              <w:right w:val="nil"/>
            </w:tcBorders>
          </w:tcPr>
          <w:p w14:paraId="6E368F58" w14:textId="77777777" w:rsidR="003532D3" w:rsidRPr="00A44648" w:rsidRDefault="003532D3" w:rsidP="003532D3">
            <w:pPr>
              <w:spacing w:after="0"/>
              <w:jc w:val="center"/>
              <w:rPr>
                <w:rFonts w:ascii="Arial" w:hAnsi="Arial" w:cs="Arial"/>
                <w:lang w:val="es-ES_tradnl"/>
              </w:rPr>
            </w:pPr>
          </w:p>
        </w:tc>
        <w:tc>
          <w:tcPr>
            <w:tcW w:w="360" w:type="dxa"/>
            <w:tcBorders>
              <w:left w:val="nil"/>
              <w:bottom w:val="single" w:sz="4" w:space="0" w:color="auto"/>
              <w:right w:val="nil"/>
            </w:tcBorders>
          </w:tcPr>
          <w:p w14:paraId="3E261D2D" w14:textId="77777777" w:rsidR="003532D3" w:rsidRPr="00A44648" w:rsidRDefault="003532D3" w:rsidP="003532D3">
            <w:pPr>
              <w:spacing w:after="0"/>
              <w:jc w:val="center"/>
              <w:rPr>
                <w:rFonts w:ascii="Arial" w:hAnsi="Arial" w:cs="Arial"/>
                <w:lang w:val="es-ES_tradnl"/>
              </w:rPr>
            </w:pPr>
          </w:p>
        </w:tc>
        <w:tc>
          <w:tcPr>
            <w:tcW w:w="360" w:type="dxa"/>
            <w:tcBorders>
              <w:left w:val="nil"/>
              <w:bottom w:val="single" w:sz="4" w:space="0" w:color="auto"/>
              <w:right w:val="nil"/>
            </w:tcBorders>
          </w:tcPr>
          <w:p w14:paraId="573A2B13" w14:textId="77777777" w:rsidR="003532D3" w:rsidRPr="00A44648" w:rsidRDefault="003532D3" w:rsidP="003532D3">
            <w:pPr>
              <w:spacing w:after="0"/>
              <w:jc w:val="center"/>
              <w:rPr>
                <w:rFonts w:ascii="Arial" w:hAnsi="Arial" w:cs="Arial"/>
                <w:lang w:val="es-ES_tradnl"/>
              </w:rPr>
            </w:pPr>
          </w:p>
        </w:tc>
        <w:tc>
          <w:tcPr>
            <w:tcW w:w="450" w:type="dxa"/>
            <w:tcBorders>
              <w:left w:val="nil"/>
              <w:bottom w:val="single" w:sz="4" w:space="0" w:color="auto"/>
              <w:right w:val="nil"/>
            </w:tcBorders>
            <w:shd w:val="clear" w:color="auto" w:fill="auto"/>
            <w:vAlign w:val="center"/>
          </w:tcPr>
          <w:p w14:paraId="6D936F09" w14:textId="77777777" w:rsidR="003532D3" w:rsidRPr="00A44648" w:rsidRDefault="003532D3" w:rsidP="003532D3">
            <w:pPr>
              <w:spacing w:after="0"/>
              <w:jc w:val="center"/>
              <w:rPr>
                <w:rFonts w:ascii="Arial" w:hAnsi="Arial" w:cs="Arial"/>
                <w:lang w:val="es-ES_tradnl"/>
              </w:rPr>
            </w:pPr>
          </w:p>
        </w:tc>
        <w:tc>
          <w:tcPr>
            <w:tcW w:w="360" w:type="dxa"/>
            <w:tcBorders>
              <w:left w:val="nil"/>
              <w:bottom w:val="single" w:sz="4" w:space="0" w:color="auto"/>
              <w:right w:val="nil"/>
            </w:tcBorders>
            <w:shd w:val="clear" w:color="auto" w:fill="auto"/>
            <w:vAlign w:val="center"/>
          </w:tcPr>
          <w:p w14:paraId="4C17A521" w14:textId="77777777" w:rsidR="003532D3" w:rsidRPr="00A44648" w:rsidRDefault="003532D3" w:rsidP="003532D3">
            <w:pPr>
              <w:spacing w:after="0"/>
              <w:jc w:val="center"/>
              <w:rPr>
                <w:rFonts w:ascii="Arial" w:hAnsi="Arial" w:cs="Arial"/>
                <w:lang w:val="es-ES_tradnl"/>
              </w:rPr>
            </w:pPr>
          </w:p>
        </w:tc>
        <w:tc>
          <w:tcPr>
            <w:tcW w:w="450" w:type="dxa"/>
            <w:tcBorders>
              <w:left w:val="nil"/>
              <w:bottom w:val="single" w:sz="4" w:space="0" w:color="auto"/>
              <w:right w:val="nil"/>
            </w:tcBorders>
            <w:shd w:val="clear" w:color="auto" w:fill="auto"/>
            <w:vAlign w:val="center"/>
          </w:tcPr>
          <w:p w14:paraId="4226BC61" w14:textId="77777777" w:rsidR="003532D3" w:rsidRPr="00A44648" w:rsidRDefault="003532D3" w:rsidP="003532D3">
            <w:pPr>
              <w:spacing w:after="0"/>
              <w:jc w:val="center"/>
              <w:rPr>
                <w:rFonts w:ascii="Arial" w:hAnsi="Arial" w:cs="Arial"/>
                <w:lang w:val="es-ES_tradnl"/>
              </w:rPr>
            </w:pPr>
          </w:p>
        </w:tc>
        <w:tc>
          <w:tcPr>
            <w:tcW w:w="360" w:type="dxa"/>
            <w:tcBorders>
              <w:left w:val="nil"/>
              <w:bottom w:val="single" w:sz="4" w:space="0" w:color="auto"/>
            </w:tcBorders>
            <w:shd w:val="clear" w:color="auto" w:fill="auto"/>
            <w:vAlign w:val="center"/>
          </w:tcPr>
          <w:p w14:paraId="6315A376" w14:textId="77777777" w:rsidR="003532D3" w:rsidRPr="00A44648" w:rsidRDefault="003532D3" w:rsidP="003532D3">
            <w:pPr>
              <w:spacing w:after="0"/>
              <w:jc w:val="center"/>
              <w:rPr>
                <w:rFonts w:ascii="Arial" w:hAnsi="Arial" w:cs="Arial"/>
                <w:lang w:val="es-ES_tradnl"/>
              </w:rPr>
            </w:pPr>
          </w:p>
        </w:tc>
        <w:tc>
          <w:tcPr>
            <w:tcW w:w="360" w:type="dxa"/>
            <w:tcBorders>
              <w:bottom w:val="single" w:sz="4" w:space="0" w:color="auto"/>
            </w:tcBorders>
          </w:tcPr>
          <w:p w14:paraId="502CD7FB" w14:textId="77777777" w:rsidR="003532D3" w:rsidRPr="00A44648" w:rsidRDefault="003532D3" w:rsidP="003532D3">
            <w:pPr>
              <w:spacing w:after="0"/>
              <w:jc w:val="center"/>
              <w:rPr>
                <w:rFonts w:ascii="Arial" w:hAnsi="Arial" w:cs="Arial"/>
                <w:lang w:val="es-ES_tradnl"/>
              </w:rPr>
            </w:pPr>
          </w:p>
        </w:tc>
        <w:tc>
          <w:tcPr>
            <w:tcW w:w="450" w:type="dxa"/>
            <w:tcBorders>
              <w:bottom w:val="single" w:sz="4" w:space="0" w:color="auto"/>
            </w:tcBorders>
          </w:tcPr>
          <w:p w14:paraId="6366AA86" w14:textId="77777777" w:rsidR="003532D3" w:rsidRPr="00A44648" w:rsidRDefault="003532D3" w:rsidP="003532D3">
            <w:pPr>
              <w:spacing w:after="0"/>
              <w:jc w:val="center"/>
              <w:rPr>
                <w:rFonts w:ascii="Arial" w:hAnsi="Arial" w:cs="Arial"/>
                <w:lang w:val="es-ES_tradnl"/>
              </w:rPr>
            </w:pPr>
          </w:p>
        </w:tc>
        <w:tc>
          <w:tcPr>
            <w:tcW w:w="1260" w:type="dxa"/>
            <w:tcBorders>
              <w:bottom w:val="single" w:sz="4" w:space="0" w:color="auto"/>
            </w:tcBorders>
            <w:shd w:val="clear" w:color="auto" w:fill="auto"/>
            <w:vAlign w:val="center"/>
          </w:tcPr>
          <w:p w14:paraId="74A8B78F" w14:textId="77777777" w:rsidR="003532D3" w:rsidRPr="00A44648" w:rsidRDefault="003532D3" w:rsidP="003532D3">
            <w:pPr>
              <w:spacing w:after="0"/>
              <w:jc w:val="center"/>
              <w:rPr>
                <w:rFonts w:ascii="Arial" w:hAnsi="Arial" w:cs="Arial"/>
                <w:lang w:val="es-ES_tradnl"/>
              </w:rPr>
            </w:pPr>
          </w:p>
        </w:tc>
        <w:tc>
          <w:tcPr>
            <w:tcW w:w="1170" w:type="dxa"/>
            <w:tcBorders>
              <w:bottom w:val="single" w:sz="4" w:space="0" w:color="auto"/>
            </w:tcBorders>
            <w:shd w:val="clear" w:color="auto" w:fill="auto"/>
            <w:vAlign w:val="center"/>
          </w:tcPr>
          <w:p w14:paraId="0796E3D6" w14:textId="77777777" w:rsidR="003532D3" w:rsidRPr="00A44648" w:rsidRDefault="003532D3" w:rsidP="003532D3">
            <w:pPr>
              <w:spacing w:after="0"/>
              <w:jc w:val="center"/>
              <w:rPr>
                <w:rFonts w:ascii="Arial" w:hAnsi="Arial" w:cs="Arial"/>
                <w:b/>
              </w:rPr>
            </w:pPr>
            <w:r w:rsidRPr="00A44648">
              <w:rPr>
                <w:rFonts w:ascii="Arial" w:hAnsi="Arial" w:cs="Arial"/>
                <w:b/>
              </w:rPr>
              <w:t>20,000</w:t>
            </w:r>
          </w:p>
        </w:tc>
      </w:tr>
      <w:tr w:rsidR="003532D3" w:rsidRPr="00A44648" w14:paraId="56B4DB01" w14:textId="77777777" w:rsidTr="00740E59">
        <w:trPr>
          <w:jc w:val="center"/>
        </w:trPr>
        <w:tc>
          <w:tcPr>
            <w:tcW w:w="1885" w:type="dxa"/>
            <w:tcBorders>
              <w:bottom w:val="single" w:sz="4" w:space="0" w:color="auto"/>
            </w:tcBorders>
            <w:shd w:val="clear" w:color="auto" w:fill="auto"/>
            <w:vAlign w:val="center"/>
          </w:tcPr>
          <w:p w14:paraId="57050942" w14:textId="77777777" w:rsidR="003532D3" w:rsidRPr="00A44648" w:rsidRDefault="003532D3" w:rsidP="003532D3">
            <w:pPr>
              <w:pStyle w:val="ListParagraph"/>
              <w:numPr>
                <w:ilvl w:val="0"/>
                <w:numId w:val="8"/>
              </w:numPr>
              <w:spacing w:after="0"/>
              <w:ind w:left="180" w:hanging="180"/>
              <w:rPr>
                <w:rFonts w:ascii="Arial" w:hAnsi="Arial" w:cs="Arial"/>
                <w:b/>
                <w:lang w:val="es-ES_tradnl"/>
              </w:rPr>
            </w:pPr>
            <w:r w:rsidRPr="00A44648">
              <w:rPr>
                <w:rFonts w:ascii="Arial" w:hAnsi="Arial" w:cs="Arial"/>
                <w:b/>
                <w:lang w:val="es-ES_tradnl"/>
              </w:rPr>
              <w:t>Recursos de Recuperación Contingente (CRG) otorgados a proyectos geotérmicos con recursos del programa.</w:t>
            </w:r>
          </w:p>
        </w:tc>
        <w:tc>
          <w:tcPr>
            <w:tcW w:w="450" w:type="dxa"/>
            <w:tcBorders>
              <w:bottom w:val="single" w:sz="4" w:space="0" w:color="auto"/>
            </w:tcBorders>
            <w:shd w:val="clear" w:color="auto" w:fill="auto"/>
            <w:vAlign w:val="center"/>
          </w:tcPr>
          <w:p w14:paraId="774102F6" w14:textId="77777777" w:rsidR="003532D3" w:rsidRPr="00A44648" w:rsidRDefault="003532D3" w:rsidP="003532D3">
            <w:pPr>
              <w:spacing w:after="0"/>
              <w:jc w:val="center"/>
              <w:rPr>
                <w:rFonts w:ascii="Arial" w:hAnsi="Arial" w:cs="Arial"/>
                <w:lang w:val="es-ES_tradnl"/>
              </w:rPr>
            </w:pPr>
          </w:p>
        </w:tc>
        <w:tc>
          <w:tcPr>
            <w:tcW w:w="450" w:type="dxa"/>
            <w:tcBorders>
              <w:bottom w:val="single" w:sz="4" w:space="0" w:color="auto"/>
            </w:tcBorders>
            <w:shd w:val="clear" w:color="auto" w:fill="auto"/>
            <w:vAlign w:val="center"/>
          </w:tcPr>
          <w:p w14:paraId="141B9D58" w14:textId="77777777" w:rsidR="003532D3" w:rsidRPr="00A44648" w:rsidRDefault="003532D3" w:rsidP="003532D3">
            <w:pPr>
              <w:spacing w:after="0"/>
              <w:jc w:val="center"/>
              <w:rPr>
                <w:rFonts w:ascii="Arial" w:hAnsi="Arial" w:cs="Arial"/>
                <w:lang w:val="es-ES_tradnl"/>
              </w:rPr>
            </w:pPr>
          </w:p>
        </w:tc>
        <w:tc>
          <w:tcPr>
            <w:tcW w:w="450" w:type="dxa"/>
            <w:tcBorders>
              <w:bottom w:val="single" w:sz="4" w:space="0" w:color="auto"/>
            </w:tcBorders>
            <w:shd w:val="clear" w:color="auto" w:fill="auto"/>
            <w:vAlign w:val="center"/>
          </w:tcPr>
          <w:p w14:paraId="026FE3C2" w14:textId="77777777" w:rsidR="003532D3" w:rsidRPr="00A44648" w:rsidRDefault="003532D3" w:rsidP="003532D3">
            <w:pPr>
              <w:spacing w:after="0"/>
              <w:jc w:val="center"/>
              <w:rPr>
                <w:rFonts w:ascii="Arial" w:hAnsi="Arial" w:cs="Arial"/>
                <w:lang w:val="es-ES_tradnl"/>
              </w:rPr>
            </w:pPr>
          </w:p>
        </w:tc>
        <w:tc>
          <w:tcPr>
            <w:tcW w:w="360" w:type="dxa"/>
            <w:tcBorders>
              <w:bottom w:val="single" w:sz="4" w:space="0" w:color="auto"/>
            </w:tcBorders>
            <w:shd w:val="clear" w:color="auto" w:fill="auto"/>
            <w:vAlign w:val="center"/>
          </w:tcPr>
          <w:p w14:paraId="19813217" w14:textId="77777777" w:rsidR="003532D3" w:rsidRPr="00A44648" w:rsidRDefault="003532D3" w:rsidP="003532D3">
            <w:pPr>
              <w:spacing w:after="0"/>
              <w:jc w:val="center"/>
              <w:rPr>
                <w:rFonts w:ascii="Arial" w:hAnsi="Arial" w:cs="Arial"/>
                <w:lang w:val="es-ES_tradnl"/>
              </w:rPr>
            </w:pPr>
          </w:p>
        </w:tc>
        <w:tc>
          <w:tcPr>
            <w:tcW w:w="450" w:type="dxa"/>
            <w:tcBorders>
              <w:bottom w:val="single" w:sz="4" w:space="0" w:color="auto"/>
            </w:tcBorders>
            <w:shd w:val="clear" w:color="auto" w:fill="auto"/>
            <w:vAlign w:val="center"/>
          </w:tcPr>
          <w:p w14:paraId="0C6B6112" w14:textId="77777777" w:rsidR="003532D3" w:rsidRPr="00A44648" w:rsidRDefault="003532D3" w:rsidP="003532D3">
            <w:pPr>
              <w:spacing w:after="0"/>
              <w:jc w:val="center"/>
              <w:rPr>
                <w:rFonts w:ascii="Arial" w:hAnsi="Arial" w:cs="Arial"/>
                <w:lang w:val="es-ES_tradnl"/>
              </w:rPr>
            </w:pPr>
          </w:p>
        </w:tc>
        <w:tc>
          <w:tcPr>
            <w:tcW w:w="360" w:type="dxa"/>
            <w:tcBorders>
              <w:bottom w:val="single" w:sz="4" w:space="0" w:color="auto"/>
            </w:tcBorders>
            <w:shd w:val="clear" w:color="auto" w:fill="auto"/>
            <w:vAlign w:val="center"/>
          </w:tcPr>
          <w:p w14:paraId="0E77A950" w14:textId="77777777" w:rsidR="003532D3" w:rsidRPr="00A44648" w:rsidRDefault="003532D3" w:rsidP="003532D3">
            <w:pPr>
              <w:spacing w:after="0"/>
              <w:jc w:val="center"/>
              <w:rPr>
                <w:rFonts w:ascii="Arial" w:hAnsi="Arial" w:cs="Arial"/>
                <w:lang w:val="es-ES_tradnl"/>
              </w:rPr>
            </w:pPr>
          </w:p>
        </w:tc>
        <w:tc>
          <w:tcPr>
            <w:tcW w:w="360" w:type="dxa"/>
            <w:tcBorders>
              <w:bottom w:val="single" w:sz="4" w:space="0" w:color="auto"/>
            </w:tcBorders>
            <w:shd w:val="clear" w:color="auto" w:fill="auto"/>
            <w:vAlign w:val="center"/>
          </w:tcPr>
          <w:p w14:paraId="1FA71744" w14:textId="77777777" w:rsidR="003532D3" w:rsidRPr="00A44648" w:rsidRDefault="00740E59" w:rsidP="003532D3">
            <w:pPr>
              <w:spacing w:after="0"/>
              <w:jc w:val="center"/>
              <w:rPr>
                <w:rFonts w:ascii="Arial" w:hAnsi="Arial" w:cs="Arial"/>
                <w:lang w:val="es-ES_tradnl"/>
              </w:rPr>
            </w:pPr>
            <w:r w:rsidRPr="00A44648">
              <w:rPr>
                <w:rFonts w:ascii="Arial" w:hAnsi="Arial" w:cs="Arial"/>
              </w:rPr>
              <w:t>X</w:t>
            </w:r>
          </w:p>
        </w:tc>
        <w:tc>
          <w:tcPr>
            <w:tcW w:w="360" w:type="dxa"/>
            <w:tcBorders>
              <w:bottom w:val="single" w:sz="4" w:space="0" w:color="auto"/>
            </w:tcBorders>
            <w:shd w:val="clear" w:color="auto" w:fill="auto"/>
            <w:vAlign w:val="center"/>
          </w:tcPr>
          <w:p w14:paraId="68343DD4" w14:textId="77777777" w:rsidR="003532D3" w:rsidRPr="00A44648" w:rsidRDefault="003532D3" w:rsidP="003532D3">
            <w:pPr>
              <w:spacing w:after="0"/>
              <w:jc w:val="center"/>
              <w:rPr>
                <w:rFonts w:ascii="Arial" w:hAnsi="Arial" w:cs="Arial"/>
                <w:lang w:val="es-ES_tradnl"/>
              </w:rPr>
            </w:pPr>
            <w:r w:rsidRPr="00A44648">
              <w:rPr>
                <w:rFonts w:ascii="Arial" w:hAnsi="Arial" w:cs="Arial"/>
              </w:rPr>
              <w:t>X</w:t>
            </w:r>
          </w:p>
        </w:tc>
        <w:tc>
          <w:tcPr>
            <w:tcW w:w="360" w:type="dxa"/>
            <w:tcBorders>
              <w:bottom w:val="single" w:sz="4" w:space="0" w:color="auto"/>
            </w:tcBorders>
            <w:shd w:val="clear" w:color="auto" w:fill="auto"/>
            <w:vAlign w:val="center"/>
          </w:tcPr>
          <w:p w14:paraId="3734DBB6" w14:textId="77777777" w:rsidR="003532D3" w:rsidRPr="00A44648" w:rsidRDefault="003532D3" w:rsidP="003532D3">
            <w:pPr>
              <w:spacing w:after="0"/>
              <w:jc w:val="center"/>
              <w:rPr>
                <w:rFonts w:ascii="Arial" w:hAnsi="Arial" w:cs="Arial"/>
                <w:lang w:val="es-ES_tradnl"/>
              </w:rPr>
            </w:pPr>
            <w:r w:rsidRPr="00A44648">
              <w:rPr>
                <w:rFonts w:ascii="Arial" w:hAnsi="Arial" w:cs="Arial"/>
              </w:rPr>
              <w:t>X</w:t>
            </w:r>
          </w:p>
        </w:tc>
        <w:tc>
          <w:tcPr>
            <w:tcW w:w="450" w:type="dxa"/>
            <w:tcBorders>
              <w:bottom w:val="single" w:sz="4" w:space="0" w:color="auto"/>
            </w:tcBorders>
            <w:shd w:val="clear" w:color="auto" w:fill="auto"/>
            <w:vAlign w:val="center"/>
          </w:tcPr>
          <w:p w14:paraId="01DDABF7" w14:textId="77777777" w:rsidR="003532D3" w:rsidRPr="00A44648" w:rsidRDefault="003532D3" w:rsidP="003532D3">
            <w:pPr>
              <w:spacing w:after="0"/>
              <w:jc w:val="center"/>
              <w:rPr>
                <w:rFonts w:ascii="Arial" w:hAnsi="Arial" w:cs="Arial"/>
                <w:lang w:val="es-ES_tradnl"/>
              </w:rPr>
            </w:pPr>
            <w:r w:rsidRPr="00A44648">
              <w:rPr>
                <w:rFonts w:ascii="Arial" w:hAnsi="Arial" w:cs="Arial"/>
              </w:rPr>
              <w:t>X</w:t>
            </w:r>
          </w:p>
        </w:tc>
        <w:tc>
          <w:tcPr>
            <w:tcW w:w="360" w:type="dxa"/>
            <w:tcBorders>
              <w:bottom w:val="single" w:sz="4" w:space="0" w:color="auto"/>
            </w:tcBorders>
            <w:shd w:val="clear" w:color="auto" w:fill="auto"/>
            <w:vAlign w:val="center"/>
          </w:tcPr>
          <w:p w14:paraId="301AC3DA" w14:textId="77777777" w:rsidR="003532D3" w:rsidRPr="00A44648" w:rsidRDefault="00740E59" w:rsidP="003532D3">
            <w:pPr>
              <w:spacing w:after="0"/>
              <w:jc w:val="center"/>
              <w:rPr>
                <w:rFonts w:ascii="Arial" w:hAnsi="Arial" w:cs="Arial"/>
                <w:lang w:val="es-ES_tradnl"/>
              </w:rPr>
            </w:pPr>
            <w:r w:rsidRPr="00A44648">
              <w:rPr>
                <w:rFonts w:ascii="Arial" w:hAnsi="Arial" w:cs="Arial"/>
                <w:lang w:val="es-ES_tradnl"/>
              </w:rPr>
              <w:t>X</w:t>
            </w:r>
          </w:p>
        </w:tc>
        <w:tc>
          <w:tcPr>
            <w:tcW w:w="360" w:type="dxa"/>
            <w:tcBorders>
              <w:bottom w:val="single" w:sz="4" w:space="0" w:color="auto"/>
            </w:tcBorders>
            <w:shd w:val="clear" w:color="auto" w:fill="auto"/>
            <w:vAlign w:val="center"/>
          </w:tcPr>
          <w:p w14:paraId="0DD8409E" w14:textId="77777777" w:rsidR="003532D3" w:rsidRPr="00A44648" w:rsidRDefault="00740E59" w:rsidP="003532D3">
            <w:pPr>
              <w:spacing w:after="0"/>
              <w:jc w:val="center"/>
              <w:rPr>
                <w:rFonts w:ascii="Arial" w:hAnsi="Arial" w:cs="Arial"/>
                <w:lang w:val="es-ES_tradnl"/>
              </w:rPr>
            </w:pPr>
            <w:r w:rsidRPr="00A44648">
              <w:rPr>
                <w:rFonts w:ascii="Arial" w:hAnsi="Arial" w:cs="Arial"/>
                <w:lang w:val="es-ES_tradnl"/>
              </w:rPr>
              <w:t>X</w:t>
            </w:r>
          </w:p>
        </w:tc>
        <w:tc>
          <w:tcPr>
            <w:tcW w:w="450" w:type="dxa"/>
            <w:tcBorders>
              <w:bottom w:val="single" w:sz="4" w:space="0" w:color="auto"/>
            </w:tcBorders>
            <w:shd w:val="clear" w:color="auto" w:fill="auto"/>
            <w:vAlign w:val="center"/>
          </w:tcPr>
          <w:p w14:paraId="3C339D47" w14:textId="77777777" w:rsidR="003532D3" w:rsidRPr="00A44648" w:rsidRDefault="00740E59" w:rsidP="003532D3">
            <w:pPr>
              <w:spacing w:after="0"/>
              <w:jc w:val="center"/>
              <w:rPr>
                <w:rFonts w:ascii="Arial" w:hAnsi="Arial" w:cs="Arial"/>
                <w:lang w:val="es-ES_tradnl"/>
              </w:rPr>
            </w:pPr>
            <w:r w:rsidRPr="00A44648">
              <w:rPr>
                <w:rFonts w:ascii="Arial" w:hAnsi="Arial" w:cs="Arial"/>
                <w:lang w:val="es-ES_tradnl"/>
              </w:rPr>
              <w:t>X</w:t>
            </w:r>
          </w:p>
        </w:tc>
        <w:tc>
          <w:tcPr>
            <w:tcW w:w="360" w:type="dxa"/>
            <w:tcBorders>
              <w:bottom w:val="single" w:sz="4" w:space="0" w:color="auto"/>
            </w:tcBorders>
            <w:shd w:val="clear" w:color="auto" w:fill="auto"/>
            <w:vAlign w:val="center"/>
          </w:tcPr>
          <w:p w14:paraId="23258942" w14:textId="77777777" w:rsidR="003532D3" w:rsidRPr="00A44648" w:rsidRDefault="00740E59" w:rsidP="003532D3">
            <w:pPr>
              <w:spacing w:after="0"/>
              <w:jc w:val="center"/>
              <w:rPr>
                <w:rFonts w:ascii="Arial" w:hAnsi="Arial" w:cs="Arial"/>
                <w:lang w:val="es-ES_tradnl"/>
              </w:rPr>
            </w:pPr>
            <w:r w:rsidRPr="00A44648">
              <w:rPr>
                <w:rFonts w:ascii="Arial" w:hAnsi="Arial" w:cs="Arial"/>
                <w:lang w:val="es-ES_tradnl"/>
              </w:rPr>
              <w:t>X</w:t>
            </w:r>
          </w:p>
        </w:tc>
        <w:tc>
          <w:tcPr>
            <w:tcW w:w="450" w:type="dxa"/>
            <w:tcBorders>
              <w:bottom w:val="single" w:sz="4" w:space="0" w:color="auto"/>
            </w:tcBorders>
            <w:shd w:val="clear" w:color="auto" w:fill="auto"/>
            <w:vAlign w:val="center"/>
          </w:tcPr>
          <w:p w14:paraId="720F61FF" w14:textId="77777777" w:rsidR="003532D3" w:rsidRPr="00A44648" w:rsidRDefault="00740E59" w:rsidP="003532D3">
            <w:pPr>
              <w:spacing w:after="0"/>
              <w:jc w:val="center"/>
              <w:rPr>
                <w:rFonts w:ascii="Arial" w:hAnsi="Arial" w:cs="Arial"/>
                <w:lang w:val="es-ES_tradnl"/>
              </w:rPr>
            </w:pPr>
            <w:r w:rsidRPr="00A44648">
              <w:rPr>
                <w:rFonts w:ascii="Arial" w:hAnsi="Arial" w:cs="Arial"/>
                <w:lang w:val="es-ES_tradnl"/>
              </w:rPr>
              <w:t>X</w:t>
            </w:r>
          </w:p>
        </w:tc>
        <w:tc>
          <w:tcPr>
            <w:tcW w:w="360" w:type="dxa"/>
            <w:tcBorders>
              <w:bottom w:val="single" w:sz="4" w:space="0" w:color="auto"/>
            </w:tcBorders>
            <w:shd w:val="clear" w:color="auto" w:fill="auto"/>
            <w:vAlign w:val="center"/>
          </w:tcPr>
          <w:p w14:paraId="532F563E" w14:textId="77777777" w:rsidR="003532D3" w:rsidRPr="00A44648" w:rsidRDefault="00740E59" w:rsidP="003532D3">
            <w:pPr>
              <w:spacing w:after="0"/>
              <w:jc w:val="center"/>
              <w:rPr>
                <w:rFonts w:ascii="Arial" w:hAnsi="Arial" w:cs="Arial"/>
                <w:lang w:val="es-ES_tradnl"/>
              </w:rPr>
            </w:pPr>
            <w:r w:rsidRPr="00A44648">
              <w:rPr>
                <w:rFonts w:ascii="Arial" w:hAnsi="Arial" w:cs="Arial"/>
                <w:lang w:val="es-ES_tradnl"/>
              </w:rPr>
              <w:t>X</w:t>
            </w:r>
          </w:p>
        </w:tc>
        <w:tc>
          <w:tcPr>
            <w:tcW w:w="360" w:type="dxa"/>
            <w:tcBorders>
              <w:bottom w:val="single" w:sz="4" w:space="0" w:color="auto"/>
            </w:tcBorders>
            <w:vAlign w:val="center"/>
          </w:tcPr>
          <w:p w14:paraId="5A0C63DC" w14:textId="77777777" w:rsidR="003532D3" w:rsidRPr="00A44648" w:rsidRDefault="00740E59" w:rsidP="003532D3">
            <w:pPr>
              <w:spacing w:after="0"/>
              <w:jc w:val="center"/>
              <w:rPr>
                <w:rFonts w:ascii="Arial" w:hAnsi="Arial" w:cs="Arial"/>
                <w:lang w:val="es-ES_tradnl"/>
              </w:rPr>
            </w:pPr>
            <w:r w:rsidRPr="00A44648">
              <w:rPr>
                <w:rFonts w:ascii="Arial" w:hAnsi="Arial" w:cs="Arial"/>
                <w:lang w:val="es-ES_tradnl"/>
              </w:rPr>
              <w:t>X</w:t>
            </w:r>
          </w:p>
        </w:tc>
        <w:tc>
          <w:tcPr>
            <w:tcW w:w="450" w:type="dxa"/>
            <w:tcBorders>
              <w:bottom w:val="single" w:sz="4" w:space="0" w:color="auto"/>
            </w:tcBorders>
            <w:vAlign w:val="center"/>
          </w:tcPr>
          <w:p w14:paraId="285FD8DF" w14:textId="77777777" w:rsidR="003532D3" w:rsidRPr="00A44648" w:rsidRDefault="00740E59" w:rsidP="003532D3">
            <w:pPr>
              <w:spacing w:after="0"/>
              <w:jc w:val="center"/>
              <w:rPr>
                <w:rFonts w:ascii="Arial" w:hAnsi="Arial" w:cs="Arial"/>
                <w:lang w:val="es-ES_tradnl"/>
              </w:rPr>
            </w:pPr>
            <w:r w:rsidRPr="00A44648">
              <w:rPr>
                <w:rFonts w:ascii="Arial" w:hAnsi="Arial" w:cs="Arial"/>
                <w:lang w:val="es-ES_tradnl"/>
              </w:rPr>
              <w:t>X</w:t>
            </w:r>
          </w:p>
        </w:tc>
        <w:tc>
          <w:tcPr>
            <w:tcW w:w="1260" w:type="dxa"/>
            <w:tcBorders>
              <w:bottom w:val="single" w:sz="4" w:space="0" w:color="auto"/>
            </w:tcBorders>
            <w:shd w:val="clear" w:color="auto" w:fill="auto"/>
            <w:vAlign w:val="center"/>
          </w:tcPr>
          <w:p w14:paraId="000FB6B6" w14:textId="77777777" w:rsidR="003532D3" w:rsidRPr="00A44648" w:rsidRDefault="003532D3" w:rsidP="003532D3">
            <w:pPr>
              <w:spacing w:after="0"/>
              <w:jc w:val="center"/>
              <w:rPr>
                <w:rFonts w:ascii="Arial" w:hAnsi="Arial" w:cs="Arial"/>
                <w:lang w:val="es-ES_tradnl"/>
              </w:rPr>
            </w:pPr>
            <w:r w:rsidRPr="00A44648">
              <w:rPr>
                <w:rFonts w:ascii="Arial" w:hAnsi="Arial" w:cs="Arial"/>
                <w:lang w:val="es-ES_tradnl"/>
              </w:rPr>
              <w:t>NAFIN</w:t>
            </w:r>
          </w:p>
        </w:tc>
        <w:tc>
          <w:tcPr>
            <w:tcW w:w="1170" w:type="dxa"/>
            <w:tcBorders>
              <w:bottom w:val="single" w:sz="4" w:space="0" w:color="auto"/>
            </w:tcBorders>
            <w:shd w:val="clear" w:color="auto" w:fill="auto"/>
            <w:vAlign w:val="center"/>
          </w:tcPr>
          <w:p w14:paraId="75E11378" w14:textId="77777777" w:rsidR="003532D3" w:rsidRPr="00A44648" w:rsidRDefault="003532D3" w:rsidP="003532D3">
            <w:pPr>
              <w:spacing w:after="0"/>
              <w:jc w:val="center"/>
              <w:rPr>
                <w:rFonts w:ascii="Arial" w:hAnsi="Arial" w:cs="Arial"/>
                <w:lang w:val="es-ES_tradnl"/>
              </w:rPr>
            </w:pPr>
            <w:r w:rsidRPr="00A44648">
              <w:rPr>
                <w:rFonts w:ascii="Arial" w:hAnsi="Arial" w:cs="Arial"/>
                <w:lang w:val="es-ES_tradnl"/>
              </w:rPr>
              <w:t>5,000</w:t>
            </w:r>
          </w:p>
        </w:tc>
      </w:tr>
      <w:tr w:rsidR="003532D3" w:rsidRPr="00A44648" w14:paraId="1551FB3E" w14:textId="77777777" w:rsidTr="00740E59">
        <w:trPr>
          <w:jc w:val="center"/>
        </w:trPr>
        <w:tc>
          <w:tcPr>
            <w:tcW w:w="1885" w:type="dxa"/>
            <w:tcBorders>
              <w:bottom w:val="single" w:sz="4" w:space="0" w:color="auto"/>
            </w:tcBorders>
            <w:shd w:val="clear" w:color="auto" w:fill="auto"/>
            <w:vAlign w:val="center"/>
          </w:tcPr>
          <w:p w14:paraId="734298F1" w14:textId="77777777" w:rsidR="003532D3" w:rsidRPr="00A44648" w:rsidRDefault="003532D3" w:rsidP="003532D3">
            <w:pPr>
              <w:pStyle w:val="ListParagraph"/>
              <w:numPr>
                <w:ilvl w:val="0"/>
                <w:numId w:val="8"/>
              </w:numPr>
              <w:spacing w:after="0"/>
              <w:ind w:left="180" w:hanging="180"/>
              <w:rPr>
                <w:rFonts w:ascii="Arial" w:hAnsi="Arial" w:cs="Arial"/>
                <w:b/>
                <w:lang w:val="es-ES_tradnl"/>
              </w:rPr>
            </w:pPr>
            <w:r w:rsidRPr="00A44648">
              <w:rPr>
                <w:rFonts w:ascii="Arial" w:hAnsi="Arial" w:cs="Arial"/>
                <w:b/>
                <w:lang w:val="es-ES_tradnl"/>
              </w:rPr>
              <w:t>Préstamos otorgados por el programa a proyectos geotérmicos en cualquier etapa de su desarrollo.</w:t>
            </w:r>
          </w:p>
        </w:tc>
        <w:tc>
          <w:tcPr>
            <w:tcW w:w="450" w:type="dxa"/>
            <w:tcBorders>
              <w:bottom w:val="single" w:sz="4" w:space="0" w:color="auto"/>
            </w:tcBorders>
            <w:shd w:val="clear" w:color="auto" w:fill="auto"/>
            <w:vAlign w:val="center"/>
          </w:tcPr>
          <w:p w14:paraId="5CF23EC0" w14:textId="77777777" w:rsidR="003532D3" w:rsidRPr="00A44648" w:rsidRDefault="003532D3" w:rsidP="003532D3">
            <w:pPr>
              <w:spacing w:after="0"/>
              <w:jc w:val="center"/>
              <w:rPr>
                <w:rFonts w:ascii="Arial" w:hAnsi="Arial" w:cs="Arial"/>
                <w:lang w:val="es-ES_tradnl"/>
              </w:rPr>
            </w:pPr>
          </w:p>
        </w:tc>
        <w:tc>
          <w:tcPr>
            <w:tcW w:w="450" w:type="dxa"/>
            <w:tcBorders>
              <w:bottom w:val="single" w:sz="4" w:space="0" w:color="auto"/>
            </w:tcBorders>
            <w:shd w:val="clear" w:color="auto" w:fill="auto"/>
            <w:vAlign w:val="center"/>
          </w:tcPr>
          <w:p w14:paraId="545E267D" w14:textId="77777777" w:rsidR="003532D3" w:rsidRPr="00A44648" w:rsidRDefault="003532D3" w:rsidP="003532D3">
            <w:pPr>
              <w:spacing w:after="0"/>
              <w:jc w:val="center"/>
              <w:rPr>
                <w:rFonts w:ascii="Arial" w:hAnsi="Arial" w:cs="Arial"/>
                <w:lang w:val="es-ES_tradnl"/>
              </w:rPr>
            </w:pPr>
          </w:p>
        </w:tc>
        <w:tc>
          <w:tcPr>
            <w:tcW w:w="450" w:type="dxa"/>
            <w:tcBorders>
              <w:bottom w:val="single" w:sz="4" w:space="0" w:color="auto"/>
            </w:tcBorders>
            <w:shd w:val="clear" w:color="auto" w:fill="auto"/>
            <w:vAlign w:val="center"/>
          </w:tcPr>
          <w:p w14:paraId="3AF761FA" w14:textId="77777777" w:rsidR="003532D3" w:rsidRPr="00A44648" w:rsidRDefault="003532D3" w:rsidP="003532D3">
            <w:pPr>
              <w:spacing w:after="0"/>
              <w:jc w:val="center"/>
              <w:rPr>
                <w:rFonts w:ascii="Arial" w:hAnsi="Arial" w:cs="Arial"/>
                <w:lang w:val="es-ES_tradnl"/>
              </w:rPr>
            </w:pPr>
          </w:p>
        </w:tc>
        <w:tc>
          <w:tcPr>
            <w:tcW w:w="360" w:type="dxa"/>
            <w:tcBorders>
              <w:bottom w:val="single" w:sz="4" w:space="0" w:color="auto"/>
            </w:tcBorders>
            <w:shd w:val="clear" w:color="auto" w:fill="auto"/>
            <w:vAlign w:val="center"/>
          </w:tcPr>
          <w:p w14:paraId="3F76821F" w14:textId="77777777" w:rsidR="003532D3" w:rsidRPr="00A44648" w:rsidRDefault="003532D3" w:rsidP="003532D3">
            <w:pPr>
              <w:spacing w:after="0"/>
              <w:jc w:val="center"/>
              <w:rPr>
                <w:rFonts w:ascii="Arial" w:hAnsi="Arial" w:cs="Arial"/>
                <w:lang w:val="es-ES_tradnl"/>
              </w:rPr>
            </w:pPr>
          </w:p>
        </w:tc>
        <w:tc>
          <w:tcPr>
            <w:tcW w:w="450" w:type="dxa"/>
            <w:tcBorders>
              <w:bottom w:val="single" w:sz="4" w:space="0" w:color="auto"/>
            </w:tcBorders>
            <w:shd w:val="clear" w:color="auto" w:fill="auto"/>
            <w:vAlign w:val="center"/>
          </w:tcPr>
          <w:p w14:paraId="406AB1FC" w14:textId="77777777" w:rsidR="003532D3" w:rsidRPr="00A44648" w:rsidRDefault="003532D3" w:rsidP="003532D3">
            <w:pPr>
              <w:spacing w:after="0"/>
              <w:jc w:val="center"/>
              <w:rPr>
                <w:rFonts w:ascii="Arial" w:hAnsi="Arial" w:cs="Arial"/>
                <w:lang w:val="es-ES_tradnl"/>
              </w:rPr>
            </w:pPr>
          </w:p>
        </w:tc>
        <w:tc>
          <w:tcPr>
            <w:tcW w:w="360" w:type="dxa"/>
            <w:tcBorders>
              <w:bottom w:val="single" w:sz="4" w:space="0" w:color="auto"/>
            </w:tcBorders>
            <w:shd w:val="clear" w:color="auto" w:fill="auto"/>
            <w:vAlign w:val="center"/>
          </w:tcPr>
          <w:p w14:paraId="583AD867" w14:textId="77777777" w:rsidR="003532D3" w:rsidRPr="00A44648" w:rsidRDefault="003532D3" w:rsidP="003532D3">
            <w:pPr>
              <w:spacing w:after="0"/>
              <w:jc w:val="center"/>
              <w:rPr>
                <w:rFonts w:ascii="Arial" w:hAnsi="Arial" w:cs="Arial"/>
                <w:lang w:val="es-ES_tradnl"/>
              </w:rPr>
            </w:pPr>
          </w:p>
        </w:tc>
        <w:tc>
          <w:tcPr>
            <w:tcW w:w="360" w:type="dxa"/>
            <w:tcBorders>
              <w:bottom w:val="single" w:sz="4" w:space="0" w:color="auto"/>
            </w:tcBorders>
            <w:shd w:val="clear" w:color="auto" w:fill="auto"/>
            <w:vAlign w:val="center"/>
          </w:tcPr>
          <w:p w14:paraId="648CC8AC" w14:textId="77777777" w:rsidR="003532D3" w:rsidRPr="00A44648" w:rsidRDefault="003532D3" w:rsidP="003532D3">
            <w:pPr>
              <w:spacing w:after="0"/>
              <w:jc w:val="center"/>
              <w:rPr>
                <w:rFonts w:ascii="Arial" w:hAnsi="Arial" w:cs="Arial"/>
                <w:lang w:val="es-ES_tradnl"/>
              </w:rPr>
            </w:pPr>
          </w:p>
        </w:tc>
        <w:tc>
          <w:tcPr>
            <w:tcW w:w="360" w:type="dxa"/>
            <w:tcBorders>
              <w:bottom w:val="single" w:sz="4" w:space="0" w:color="auto"/>
            </w:tcBorders>
            <w:shd w:val="clear" w:color="auto" w:fill="auto"/>
            <w:vAlign w:val="center"/>
          </w:tcPr>
          <w:p w14:paraId="07FB65D9" w14:textId="77777777" w:rsidR="003532D3" w:rsidRPr="00A44648" w:rsidRDefault="003532D3" w:rsidP="003532D3">
            <w:pPr>
              <w:spacing w:after="0"/>
              <w:jc w:val="center"/>
              <w:rPr>
                <w:rFonts w:ascii="Arial" w:hAnsi="Arial" w:cs="Arial"/>
                <w:lang w:val="es-ES_tradnl"/>
              </w:rPr>
            </w:pPr>
          </w:p>
        </w:tc>
        <w:tc>
          <w:tcPr>
            <w:tcW w:w="360" w:type="dxa"/>
            <w:tcBorders>
              <w:bottom w:val="single" w:sz="4" w:space="0" w:color="auto"/>
            </w:tcBorders>
            <w:shd w:val="clear" w:color="auto" w:fill="auto"/>
            <w:vAlign w:val="center"/>
          </w:tcPr>
          <w:p w14:paraId="527EF6DE" w14:textId="77777777" w:rsidR="003532D3" w:rsidRPr="00A44648" w:rsidRDefault="00740E59" w:rsidP="003532D3">
            <w:pPr>
              <w:spacing w:after="0"/>
              <w:jc w:val="center"/>
              <w:rPr>
                <w:rFonts w:ascii="Arial" w:hAnsi="Arial" w:cs="Arial"/>
                <w:lang w:val="es-ES_tradnl"/>
              </w:rPr>
            </w:pPr>
            <w:r w:rsidRPr="00A44648">
              <w:rPr>
                <w:rFonts w:ascii="Arial" w:hAnsi="Arial" w:cs="Arial"/>
                <w:lang w:val="es-ES_tradnl"/>
              </w:rPr>
              <w:t>X</w:t>
            </w:r>
          </w:p>
        </w:tc>
        <w:tc>
          <w:tcPr>
            <w:tcW w:w="450" w:type="dxa"/>
            <w:tcBorders>
              <w:bottom w:val="single" w:sz="4" w:space="0" w:color="auto"/>
            </w:tcBorders>
            <w:shd w:val="clear" w:color="auto" w:fill="auto"/>
            <w:vAlign w:val="center"/>
          </w:tcPr>
          <w:p w14:paraId="6BD195F6" w14:textId="77777777" w:rsidR="003532D3" w:rsidRPr="00A44648" w:rsidRDefault="003532D3" w:rsidP="003532D3">
            <w:pPr>
              <w:spacing w:after="0"/>
              <w:jc w:val="center"/>
              <w:rPr>
                <w:rFonts w:ascii="Arial" w:hAnsi="Arial" w:cs="Arial"/>
                <w:lang w:val="es-ES_tradnl"/>
              </w:rPr>
            </w:pPr>
            <w:r w:rsidRPr="00A44648">
              <w:rPr>
                <w:rFonts w:ascii="Arial" w:hAnsi="Arial" w:cs="Arial"/>
                <w:lang w:val="es-ES_tradnl"/>
              </w:rPr>
              <w:t>X</w:t>
            </w:r>
          </w:p>
        </w:tc>
        <w:tc>
          <w:tcPr>
            <w:tcW w:w="360" w:type="dxa"/>
            <w:tcBorders>
              <w:bottom w:val="single" w:sz="4" w:space="0" w:color="auto"/>
            </w:tcBorders>
            <w:shd w:val="clear" w:color="auto" w:fill="auto"/>
            <w:vAlign w:val="center"/>
          </w:tcPr>
          <w:p w14:paraId="6272ED1C" w14:textId="77777777" w:rsidR="003532D3" w:rsidRPr="00A44648" w:rsidRDefault="003532D3" w:rsidP="003532D3">
            <w:pPr>
              <w:spacing w:after="0"/>
              <w:jc w:val="center"/>
              <w:rPr>
                <w:rFonts w:ascii="Arial" w:hAnsi="Arial" w:cs="Arial"/>
                <w:lang w:val="es-ES_tradnl"/>
              </w:rPr>
            </w:pPr>
            <w:r w:rsidRPr="00A44648">
              <w:rPr>
                <w:rFonts w:ascii="Arial" w:hAnsi="Arial" w:cs="Arial"/>
                <w:lang w:val="es-ES_tradnl"/>
              </w:rPr>
              <w:t>X</w:t>
            </w:r>
          </w:p>
        </w:tc>
        <w:tc>
          <w:tcPr>
            <w:tcW w:w="360" w:type="dxa"/>
            <w:tcBorders>
              <w:bottom w:val="single" w:sz="4" w:space="0" w:color="auto"/>
            </w:tcBorders>
            <w:shd w:val="clear" w:color="auto" w:fill="auto"/>
            <w:vAlign w:val="center"/>
          </w:tcPr>
          <w:p w14:paraId="6DFF36FE" w14:textId="77777777" w:rsidR="003532D3" w:rsidRPr="00A44648" w:rsidRDefault="003532D3" w:rsidP="003532D3">
            <w:pPr>
              <w:spacing w:after="0"/>
              <w:jc w:val="center"/>
              <w:rPr>
                <w:rFonts w:ascii="Arial" w:hAnsi="Arial" w:cs="Arial"/>
                <w:lang w:val="es-ES_tradnl"/>
              </w:rPr>
            </w:pPr>
            <w:r w:rsidRPr="00A44648">
              <w:rPr>
                <w:rFonts w:ascii="Arial" w:hAnsi="Arial" w:cs="Arial"/>
                <w:lang w:val="es-ES_tradnl"/>
              </w:rPr>
              <w:t>X</w:t>
            </w:r>
          </w:p>
        </w:tc>
        <w:tc>
          <w:tcPr>
            <w:tcW w:w="450" w:type="dxa"/>
            <w:tcBorders>
              <w:bottom w:val="single" w:sz="4" w:space="0" w:color="auto"/>
            </w:tcBorders>
            <w:shd w:val="clear" w:color="auto" w:fill="auto"/>
            <w:vAlign w:val="center"/>
          </w:tcPr>
          <w:p w14:paraId="72ED96B9" w14:textId="77777777" w:rsidR="003532D3" w:rsidRPr="00A44648" w:rsidRDefault="00740E59" w:rsidP="003532D3">
            <w:pPr>
              <w:spacing w:after="0"/>
              <w:jc w:val="center"/>
              <w:rPr>
                <w:rFonts w:ascii="Arial" w:hAnsi="Arial" w:cs="Arial"/>
                <w:lang w:val="es-ES_tradnl"/>
              </w:rPr>
            </w:pPr>
            <w:r w:rsidRPr="00A44648">
              <w:rPr>
                <w:rFonts w:ascii="Arial" w:hAnsi="Arial" w:cs="Arial"/>
                <w:lang w:val="es-ES_tradnl"/>
              </w:rPr>
              <w:t>X</w:t>
            </w:r>
          </w:p>
        </w:tc>
        <w:tc>
          <w:tcPr>
            <w:tcW w:w="360" w:type="dxa"/>
            <w:tcBorders>
              <w:bottom w:val="single" w:sz="4" w:space="0" w:color="auto"/>
            </w:tcBorders>
            <w:shd w:val="clear" w:color="auto" w:fill="auto"/>
            <w:vAlign w:val="center"/>
          </w:tcPr>
          <w:p w14:paraId="1FBC1924" w14:textId="77777777" w:rsidR="003532D3" w:rsidRPr="00A44648" w:rsidRDefault="00740E59" w:rsidP="003532D3">
            <w:pPr>
              <w:spacing w:after="0"/>
              <w:jc w:val="center"/>
              <w:rPr>
                <w:rFonts w:ascii="Arial" w:hAnsi="Arial" w:cs="Arial"/>
                <w:lang w:val="es-ES_tradnl"/>
              </w:rPr>
            </w:pPr>
            <w:r w:rsidRPr="00A44648">
              <w:rPr>
                <w:rFonts w:ascii="Arial" w:hAnsi="Arial" w:cs="Arial"/>
                <w:lang w:val="es-ES_tradnl"/>
              </w:rPr>
              <w:t>X</w:t>
            </w:r>
          </w:p>
        </w:tc>
        <w:tc>
          <w:tcPr>
            <w:tcW w:w="450" w:type="dxa"/>
            <w:tcBorders>
              <w:bottom w:val="single" w:sz="4" w:space="0" w:color="auto"/>
            </w:tcBorders>
            <w:shd w:val="clear" w:color="auto" w:fill="auto"/>
            <w:vAlign w:val="center"/>
          </w:tcPr>
          <w:p w14:paraId="0E1D3D24" w14:textId="77777777" w:rsidR="003532D3" w:rsidRPr="00A44648" w:rsidRDefault="00740E59" w:rsidP="003532D3">
            <w:pPr>
              <w:spacing w:after="0"/>
              <w:jc w:val="center"/>
              <w:rPr>
                <w:rFonts w:ascii="Arial" w:hAnsi="Arial" w:cs="Arial"/>
                <w:lang w:val="es-ES_tradnl"/>
              </w:rPr>
            </w:pPr>
            <w:r w:rsidRPr="00A44648">
              <w:rPr>
                <w:rFonts w:ascii="Arial" w:hAnsi="Arial" w:cs="Arial"/>
                <w:lang w:val="es-ES_tradnl"/>
              </w:rPr>
              <w:t>X</w:t>
            </w:r>
          </w:p>
        </w:tc>
        <w:tc>
          <w:tcPr>
            <w:tcW w:w="360" w:type="dxa"/>
            <w:tcBorders>
              <w:bottom w:val="single" w:sz="4" w:space="0" w:color="auto"/>
            </w:tcBorders>
            <w:shd w:val="clear" w:color="auto" w:fill="auto"/>
            <w:vAlign w:val="center"/>
          </w:tcPr>
          <w:p w14:paraId="12BF575C" w14:textId="77777777" w:rsidR="003532D3" w:rsidRPr="00A44648" w:rsidRDefault="00740E59" w:rsidP="003532D3">
            <w:pPr>
              <w:spacing w:after="0"/>
              <w:jc w:val="center"/>
              <w:rPr>
                <w:rFonts w:ascii="Arial" w:hAnsi="Arial" w:cs="Arial"/>
                <w:lang w:val="es-ES_tradnl"/>
              </w:rPr>
            </w:pPr>
            <w:r w:rsidRPr="00A44648">
              <w:rPr>
                <w:rFonts w:ascii="Arial" w:hAnsi="Arial" w:cs="Arial"/>
                <w:lang w:val="es-ES_tradnl"/>
              </w:rPr>
              <w:t>X</w:t>
            </w:r>
          </w:p>
        </w:tc>
        <w:tc>
          <w:tcPr>
            <w:tcW w:w="360" w:type="dxa"/>
            <w:tcBorders>
              <w:bottom w:val="single" w:sz="4" w:space="0" w:color="auto"/>
            </w:tcBorders>
            <w:vAlign w:val="center"/>
          </w:tcPr>
          <w:p w14:paraId="518730A0" w14:textId="77777777" w:rsidR="003532D3" w:rsidRPr="00A44648" w:rsidRDefault="00740E59" w:rsidP="003532D3">
            <w:pPr>
              <w:spacing w:after="0"/>
              <w:jc w:val="center"/>
              <w:rPr>
                <w:rFonts w:ascii="Arial" w:hAnsi="Arial" w:cs="Arial"/>
                <w:lang w:val="es-ES_tradnl"/>
              </w:rPr>
            </w:pPr>
            <w:r w:rsidRPr="00A44648">
              <w:rPr>
                <w:rFonts w:ascii="Arial" w:hAnsi="Arial" w:cs="Arial"/>
                <w:lang w:val="es-ES_tradnl"/>
              </w:rPr>
              <w:t>X</w:t>
            </w:r>
          </w:p>
        </w:tc>
        <w:tc>
          <w:tcPr>
            <w:tcW w:w="450" w:type="dxa"/>
            <w:tcBorders>
              <w:bottom w:val="single" w:sz="4" w:space="0" w:color="auto"/>
            </w:tcBorders>
            <w:vAlign w:val="center"/>
          </w:tcPr>
          <w:p w14:paraId="4A61398C" w14:textId="77777777" w:rsidR="003532D3" w:rsidRPr="00A44648" w:rsidRDefault="00740E59" w:rsidP="003532D3">
            <w:pPr>
              <w:spacing w:after="0"/>
              <w:jc w:val="center"/>
              <w:rPr>
                <w:rFonts w:ascii="Arial" w:hAnsi="Arial" w:cs="Arial"/>
                <w:lang w:val="es-ES_tradnl"/>
              </w:rPr>
            </w:pPr>
            <w:r w:rsidRPr="00A44648">
              <w:rPr>
                <w:rFonts w:ascii="Arial" w:hAnsi="Arial" w:cs="Arial"/>
                <w:lang w:val="es-ES_tradnl"/>
              </w:rPr>
              <w:t>X</w:t>
            </w:r>
          </w:p>
        </w:tc>
        <w:tc>
          <w:tcPr>
            <w:tcW w:w="1260" w:type="dxa"/>
            <w:tcBorders>
              <w:bottom w:val="single" w:sz="4" w:space="0" w:color="auto"/>
            </w:tcBorders>
            <w:shd w:val="clear" w:color="auto" w:fill="auto"/>
            <w:vAlign w:val="center"/>
          </w:tcPr>
          <w:p w14:paraId="0EE99E62" w14:textId="77777777" w:rsidR="003532D3" w:rsidRPr="00A44648" w:rsidRDefault="003532D3" w:rsidP="003532D3">
            <w:pPr>
              <w:spacing w:after="0"/>
              <w:jc w:val="center"/>
              <w:rPr>
                <w:rFonts w:ascii="Arial" w:hAnsi="Arial" w:cs="Arial"/>
                <w:lang w:val="es-ES_tradnl"/>
              </w:rPr>
            </w:pPr>
            <w:r w:rsidRPr="00A44648">
              <w:rPr>
                <w:rFonts w:ascii="Arial" w:hAnsi="Arial" w:cs="Arial"/>
                <w:lang w:val="es-ES_tradnl"/>
              </w:rPr>
              <w:t>NAFIN</w:t>
            </w:r>
          </w:p>
        </w:tc>
        <w:tc>
          <w:tcPr>
            <w:tcW w:w="1170" w:type="dxa"/>
            <w:tcBorders>
              <w:bottom w:val="single" w:sz="4" w:space="0" w:color="auto"/>
            </w:tcBorders>
            <w:shd w:val="clear" w:color="auto" w:fill="auto"/>
            <w:vAlign w:val="center"/>
          </w:tcPr>
          <w:p w14:paraId="336DC602" w14:textId="77777777" w:rsidR="003532D3" w:rsidRPr="00A44648" w:rsidRDefault="003532D3" w:rsidP="003532D3">
            <w:pPr>
              <w:spacing w:after="0"/>
              <w:jc w:val="center"/>
              <w:rPr>
                <w:rFonts w:ascii="Arial" w:hAnsi="Arial" w:cs="Arial"/>
                <w:lang w:val="es-ES_tradnl"/>
              </w:rPr>
            </w:pPr>
            <w:r w:rsidRPr="00A44648">
              <w:rPr>
                <w:rFonts w:ascii="Arial" w:hAnsi="Arial" w:cs="Arial"/>
                <w:lang w:val="es-ES_tradnl"/>
              </w:rPr>
              <w:t>5,000</w:t>
            </w:r>
          </w:p>
        </w:tc>
      </w:tr>
      <w:tr w:rsidR="003532D3" w:rsidRPr="00A44648" w14:paraId="136C0DAA" w14:textId="77777777" w:rsidTr="003532D3">
        <w:trPr>
          <w:jc w:val="center"/>
        </w:trPr>
        <w:tc>
          <w:tcPr>
            <w:tcW w:w="1885" w:type="dxa"/>
            <w:tcBorders>
              <w:bottom w:val="nil"/>
            </w:tcBorders>
            <w:vAlign w:val="center"/>
          </w:tcPr>
          <w:p w14:paraId="05203C10" w14:textId="77777777" w:rsidR="003532D3" w:rsidRPr="00A44648" w:rsidRDefault="003532D3" w:rsidP="003532D3">
            <w:pPr>
              <w:pStyle w:val="ListParagraph"/>
              <w:numPr>
                <w:ilvl w:val="0"/>
                <w:numId w:val="8"/>
              </w:numPr>
              <w:spacing w:after="0"/>
              <w:ind w:left="180" w:hanging="180"/>
              <w:rPr>
                <w:rFonts w:ascii="Arial" w:hAnsi="Arial" w:cs="Arial"/>
                <w:b/>
              </w:rPr>
            </w:pPr>
            <w:r w:rsidRPr="00A44648">
              <w:rPr>
                <w:rFonts w:ascii="Arial" w:hAnsi="Arial" w:cs="Arial"/>
                <w:b/>
              </w:rPr>
              <w:t>Componente I</w:t>
            </w:r>
          </w:p>
        </w:tc>
        <w:tc>
          <w:tcPr>
            <w:tcW w:w="450" w:type="dxa"/>
            <w:tcBorders>
              <w:bottom w:val="nil"/>
            </w:tcBorders>
            <w:shd w:val="clear" w:color="auto" w:fill="auto"/>
            <w:vAlign w:val="center"/>
          </w:tcPr>
          <w:p w14:paraId="40ACF0AD"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450" w:type="dxa"/>
            <w:tcBorders>
              <w:bottom w:val="nil"/>
            </w:tcBorders>
            <w:shd w:val="clear" w:color="auto" w:fill="auto"/>
            <w:vAlign w:val="center"/>
          </w:tcPr>
          <w:p w14:paraId="459A05E6" w14:textId="77777777" w:rsidR="003532D3" w:rsidRPr="00A44648" w:rsidRDefault="003532D3" w:rsidP="003532D3">
            <w:pPr>
              <w:spacing w:after="0"/>
              <w:jc w:val="center"/>
              <w:rPr>
                <w:rFonts w:ascii="Arial" w:hAnsi="Arial" w:cs="Arial"/>
              </w:rPr>
            </w:pPr>
          </w:p>
        </w:tc>
        <w:tc>
          <w:tcPr>
            <w:tcW w:w="450" w:type="dxa"/>
            <w:tcBorders>
              <w:bottom w:val="nil"/>
            </w:tcBorders>
            <w:shd w:val="clear" w:color="auto" w:fill="auto"/>
            <w:vAlign w:val="center"/>
          </w:tcPr>
          <w:p w14:paraId="40E1155B"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bottom w:val="nil"/>
            </w:tcBorders>
            <w:shd w:val="clear" w:color="auto" w:fill="auto"/>
            <w:vAlign w:val="center"/>
          </w:tcPr>
          <w:p w14:paraId="15FD24DE" w14:textId="77777777" w:rsidR="003532D3" w:rsidRPr="00A44648" w:rsidRDefault="003532D3" w:rsidP="003532D3">
            <w:pPr>
              <w:spacing w:after="0"/>
              <w:jc w:val="center"/>
              <w:rPr>
                <w:rFonts w:ascii="Arial" w:hAnsi="Arial" w:cs="Arial"/>
              </w:rPr>
            </w:pPr>
          </w:p>
        </w:tc>
        <w:tc>
          <w:tcPr>
            <w:tcW w:w="450" w:type="dxa"/>
            <w:tcBorders>
              <w:bottom w:val="nil"/>
            </w:tcBorders>
            <w:shd w:val="clear" w:color="auto" w:fill="auto"/>
            <w:vAlign w:val="center"/>
          </w:tcPr>
          <w:p w14:paraId="2B7C2633"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bottom w:val="nil"/>
            </w:tcBorders>
            <w:shd w:val="clear" w:color="auto" w:fill="auto"/>
            <w:vAlign w:val="center"/>
          </w:tcPr>
          <w:p w14:paraId="54D24C4A" w14:textId="77777777" w:rsidR="003532D3" w:rsidRPr="00A44648" w:rsidRDefault="003532D3" w:rsidP="003532D3">
            <w:pPr>
              <w:spacing w:after="0"/>
              <w:jc w:val="center"/>
              <w:rPr>
                <w:rFonts w:ascii="Arial" w:hAnsi="Arial" w:cs="Arial"/>
              </w:rPr>
            </w:pPr>
          </w:p>
        </w:tc>
        <w:tc>
          <w:tcPr>
            <w:tcW w:w="360" w:type="dxa"/>
            <w:tcBorders>
              <w:bottom w:val="nil"/>
            </w:tcBorders>
            <w:shd w:val="clear" w:color="auto" w:fill="auto"/>
            <w:vAlign w:val="center"/>
          </w:tcPr>
          <w:p w14:paraId="22C5A3F4"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bottom w:val="nil"/>
            </w:tcBorders>
            <w:shd w:val="clear" w:color="auto" w:fill="auto"/>
            <w:vAlign w:val="center"/>
          </w:tcPr>
          <w:p w14:paraId="132F7ECA" w14:textId="77777777" w:rsidR="003532D3" w:rsidRPr="00A44648" w:rsidRDefault="003532D3" w:rsidP="003532D3">
            <w:pPr>
              <w:spacing w:after="0"/>
              <w:jc w:val="center"/>
              <w:rPr>
                <w:rFonts w:ascii="Arial" w:hAnsi="Arial" w:cs="Arial"/>
              </w:rPr>
            </w:pPr>
          </w:p>
        </w:tc>
        <w:tc>
          <w:tcPr>
            <w:tcW w:w="360" w:type="dxa"/>
            <w:tcBorders>
              <w:bottom w:val="nil"/>
            </w:tcBorders>
            <w:shd w:val="clear" w:color="auto" w:fill="auto"/>
            <w:vAlign w:val="center"/>
          </w:tcPr>
          <w:p w14:paraId="201FD93C"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450" w:type="dxa"/>
            <w:tcBorders>
              <w:bottom w:val="nil"/>
            </w:tcBorders>
            <w:shd w:val="clear" w:color="auto" w:fill="auto"/>
            <w:vAlign w:val="center"/>
          </w:tcPr>
          <w:p w14:paraId="00DDA213" w14:textId="77777777" w:rsidR="003532D3" w:rsidRPr="00A44648" w:rsidRDefault="003532D3" w:rsidP="003532D3">
            <w:pPr>
              <w:spacing w:after="0"/>
              <w:jc w:val="center"/>
              <w:rPr>
                <w:rFonts w:ascii="Arial" w:hAnsi="Arial" w:cs="Arial"/>
              </w:rPr>
            </w:pPr>
          </w:p>
        </w:tc>
        <w:tc>
          <w:tcPr>
            <w:tcW w:w="360" w:type="dxa"/>
            <w:tcBorders>
              <w:bottom w:val="nil"/>
            </w:tcBorders>
            <w:shd w:val="clear" w:color="auto" w:fill="auto"/>
            <w:vAlign w:val="center"/>
          </w:tcPr>
          <w:p w14:paraId="519F6D1F"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bottom w:val="nil"/>
            </w:tcBorders>
            <w:shd w:val="clear" w:color="auto" w:fill="auto"/>
            <w:vAlign w:val="center"/>
          </w:tcPr>
          <w:p w14:paraId="6C2A1D45" w14:textId="77777777" w:rsidR="003532D3" w:rsidRPr="00A44648" w:rsidRDefault="003532D3" w:rsidP="003532D3">
            <w:pPr>
              <w:spacing w:after="0"/>
              <w:jc w:val="center"/>
              <w:rPr>
                <w:rFonts w:ascii="Arial" w:hAnsi="Arial" w:cs="Arial"/>
              </w:rPr>
            </w:pPr>
          </w:p>
        </w:tc>
        <w:tc>
          <w:tcPr>
            <w:tcW w:w="450" w:type="dxa"/>
            <w:tcBorders>
              <w:bottom w:val="nil"/>
            </w:tcBorders>
            <w:shd w:val="clear" w:color="auto" w:fill="auto"/>
            <w:vAlign w:val="center"/>
          </w:tcPr>
          <w:p w14:paraId="26B1D1A9"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bottom w:val="nil"/>
            </w:tcBorders>
            <w:shd w:val="clear" w:color="auto" w:fill="auto"/>
            <w:vAlign w:val="center"/>
          </w:tcPr>
          <w:p w14:paraId="0EC501F6" w14:textId="77777777" w:rsidR="003532D3" w:rsidRPr="00A44648" w:rsidRDefault="003532D3" w:rsidP="003532D3">
            <w:pPr>
              <w:spacing w:after="0"/>
              <w:jc w:val="center"/>
              <w:rPr>
                <w:rFonts w:ascii="Arial" w:hAnsi="Arial" w:cs="Arial"/>
              </w:rPr>
            </w:pPr>
          </w:p>
        </w:tc>
        <w:tc>
          <w:tcPr>
            <w:tcW w:w="450" w:type="dxa"/>
            <w:tcBorders>
              <w:bottom w:val="nil"/>
            </w:tcBorders>
            <w:shd w:val="clear" w:color="auto" w:fill="auto"/>
            <w:vAlign w:val="center"/>
          </w:tcPr>
          <w:p w14:paraId="36E8EB5F"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bottom w:val="nil"/>
            </w:tcBorders>
            <w:shd w:val="clear" w:color="auto" w:fill="auto"/>
            <w:vAlign w:val="center"/>
          </w:tcPr>
          <w:p w14:paraId="209A6D69" w14:textId="77777777" w:rsidR="003532D3" w:rsidRPr="00A44648" w:rsidRDefault="003532D3" w:rsidP="003532D3">
            <w:pPr>
              <w:spacing w:after="0"/>
              <w:jc w:val="center"/>
              <w:rPr>
                <w:rFonts w:ascii="Arial" w:hAnsi="Arial" w:cs="Arial"/>
              </w:rPr>
            </w:pPr>
          </w:p>
        </w:tc>
        <w:tc>
          <w:tcPr>
            <w:tcW w:w="360" w:type="dxa"/>
            <w:tcBorders>
              <w:bottom w:val="nil"/>
            </w:tcBorders>
          </w:tcPr>
          <w:p w14:paraId="5F641D13" w14:textId="77777777" w:rsidR="003532D3" w:rsidRPr="00A44648" w:rsidRDefault="003532D3" w:rsidP="003532D3">
            <w:pPr>
              <w:spacing w:after="0"/>
              <w:jc w:val="center"/>
              <w:rPr>
                <w:rFonts w:ascii="Arial" w:hAnsi="Arial" w:cs="Arial"/>
              </w:rPr>
            </w:pPr>
          </w:p>
        </w:tc>
        <w:tc>
          <w:tcPr>
            <w:tcW w:w="450" w:type="dxa"/>
            <w:tcBorders>
              <w:bottom w:val="nil"/>
            </w:tcBorders>
          </w:tcPr>
          <w:p w14:paraId="1EBC4A21" w14:textId="77777777" w:rsidR="003532D3" w:rsidRPr="00A44648" w:rsidRDefault="003532D3" w:rsidP="003532D3">
            <w:pPr>
              <w:spacing w:after="0"/>
              <w:jc w:val="center"/>
              <w:rPr>
                <w:rFonts w:ascii="Arial" w:hAnsi="Arial" w:cs="Arial"/>
              </w:rPr>
            </w:pPr>
          </w:p>
        </w:tc>
        <w:tc>
          <w:tcPr>
            <w:tcW w:w="1260" w:type="dxa"/>
            <w:tcBorders>
              <w:bottom w:val="nil"/>
            </w:tcBorders>
            <w:vAlign w:val="center"/>
          </w:tcPr>
          <w:p w14:paraId="3874A0DE" w14:textId="77777777" w:rsidR="003532D3" w:rsidRPr="00A44648" w:rsidRDefault="003532D3" w:rsidP="003532D3">
            <w:pPr>
              <w:spacing w:after="0"/>
              <w:jc w:val="center"/>
              <w:rPr>
                <w:rFonts w:ascii="Arial" w:hAnsi="Arial" w:cs="Arial"/>
              </w:rPr>
            </w:pPr>
            <w:r w:rsidRPr="00A44648">
              <w:rPr>
                <w:rFonts w:ascii="Arial" w:hAnsi="Arial" w:cs="Arial"/>
              </w:rPr>
              <w:t>NAFIN CCG/</w:t>
            </w:r>
          </w:p>
          <w:p w14:paraId="6D4C260F" w14:textId="77777777" w:rsidR="003532D3" w:rsidRPr="00A44648" w:rsidRDefault="003532D3" w:rsidP="003532D3">
            <w:pPr>
              <w:spacing w:after="0"/>
              <w:jc w:val="center"/>
              <w:rPr>
                <w:rFonts w:ascii="Arial" w:hAnsi="Arial" w:cs="Arial"/>
              </w:rPr>
            </w:pPr>
            <w:r w:rsidRPr="00A44648">
              <w:rPr>
                <w:rFonts w:ascii="Arial" w:hAnsi="Arial" w:cs="Arial"/>
              </w:rPr>
              <w:t>IDB</w:t>
            </w:r>
          </w:p>
        </w:tc>
        <w:tc>
          <w:tcPr>
            <w:tcW w:w="1170" w:type="dxa"/>
            <w:tcBorders>
              <w:bottom w:val="nil"/>
            </w:tcBorders>
            <w:vAlign w:val="center"/>
          </w:tcPr>
          <w:p w14:paraId="1D5CFD3F" w14:textId="77777777" w:rsidR="003532D3" w:rsidRPr="00A44648" w:rsidRDefault="003532D3" w:rsidP="003532D3">
            <w:pPr>
              <w:spacing w:after="0"/>
              <w:jc w:val="center"/>
              <w:rPr>
                <w:rFonts w:ascii="Arial" w:hAnsi="Arial" w:cs="Arial"/>
              </w:rPr>
            </w:pPr>
            <w:r w:rsidRPr="00A44648">
              <w:rPr>
                <w:rFonts w:ascii="Arial" w:hAnsi="Arial" w:cs="Arial"/>
              </w:rPr>
              <w:t>5,000</w:t>
            </w:r>
          </w:p>
        </w:tc>
      </w:tr>
      <w:tr w:rsidR="003532D3" w:rsidRPr="00A44648" w14:paraId="4B90F032" w14:textId="77777777" w:rsidTr="003532D3">
        <w:trPr>
          <w:jc w:val="center"/>
        </w:trPr>
        <w:tc>
          <w:tcPr>
            <w:tcW w:w="1885" w:type="dxa"/>
            <w:tcBorders>
              <w:top w:val="nil"/>
            </w:tcBorders>
            <w:vAlign w:val="center"/>
          </w:tcPr>
          <w:p w14:paraId="3354F9F1" w14:textId="77777777" w:rsidR="003532D3" w:rsidRPr="00A44648" w:rsidRDefault="003532D3" w:rsidP="003532D3">
            <w:pPr>
              <w:pStyle w:val="ListParagraph"/>
              <w:numPr>
                <w:ilvl w:val="0"/>
                <w:numId w:val="8"/>
              </w:numPr>
              <w:spacing w:after="0"/>
              <w:ind w:left="180" w:hanging="180"/>
              <w:rPr>
                <w:rFonts w:ascii="Arial" w:hAnsi="Arial" w:cs="Arial"/>
                <w:b/>
              </w:rPr>
            </w:pPr>
            <w:r w:rsidRPr="00A44648">
              <w:rPr>
                <w:rFonts w:ascii="Arial" w:hAnsi="Arial" w:cs="Arial"/>
                <w:b/>
              </w:rPr>
              <w:t>Componente II</w:t>
            </w:r>
          </w:p>
        </w:tc>
        <w:tc>
          <w:tcPr>
            <w:tcW w:w="450" w:type="dxa"/>
            <w:tcBorders>
              <w:top w:val="nil"/>
              <w:bottom w:val="single" w:sz="4" w:space="0" w:color="auto"/>
            </w:tcBorders>
            <w:shd w:val="clear" w:color="auto" w:fill="auto"/>
            <w:vAlign w:val="center"/>
          </w:tcPr>
          <w:p w14:paraId="5E055B74" w14:textId="77777777" w:rsidR="003532D3" w:rsidRPr="00A44648" w:rsidRDefault="003532D3" w:rsidP="003532D3">
            <w:pPr>
              <w:spacing w:after="0"/>
              <w:jc w:val="center"/>
              <w:rPr>
                <w:rFonts w:ascii="Arial" w:hAnsi="Arial" w:cs="Arial"/>
              </w:rPr>
            </w:pPr>
          </w:p>
        </w:tc>
        <w:tc>
          <w:tcPr>
            <w:tcW w:w="450" w:type="dxa"/>
            <w:tcBorders>
              <w:top w:val="nil"/>
              <w:bottom w:val="single" w:sz="4" w:space="0" w:color="auto"/>
            </w:tcBorders>
            <w:shd w:val="clear" w:color="auto" w:fill="auto"/>
            <w:vAlign w:val="center"/>
          </w:tcPr>
          <w:p w14:paraId="0E92673B"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450" w:type="dxa"/>
            <w:tcBorders>
              <w:top w:val="nil"/>
              <w:bottom w:val="single" w:sz="4" w:space="0" w:color="auto"/>
            </w:tcBorders>
            <w:shd w:val="clear" w:color="auto" w:fill="auto"/>
            <w:vAlign w:val="center"/>
          </w:tcPr>
          <w:p w14:paraId="218F001A" w14:textId="77777777" w:rsidR="003532D3" w:rsidRPr="00A44648" w:rsidRDefault="003532D3" w:rsidP="003532D3">
            <w:pPr>
              <w:spacing w:after="0"/>
              <w:jc w:val="center"/>
              <w:rPr>
                <w:rFonts w:ascii="Arial" w:hAnsi="Arial" w:cs="Arial"/>
              </w:rPr>
            </w:pPr>
          </w:p>
        </w:tc>
        <w:tc>
          <w:tcPr>
            <w:tcW w:w="360" w:type="dxa"/>
            <w:tcBorders>
              <w:top w:val="nil"/>
              <w:bottom w:val="single" w:sz="4" w:space="0" w:color="auto"/>
            </w:tcBorders>
            <w:shd w:val="clear" w:color="auto" w:fill="auto"/>
            <w:vAlign w:val="center"/>
          </w:tcPr>
          <w:p w14:paraId="0603ABBB"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450" w:type="dxa"/>
            <w:tcBorders>
              <w:top w:val="nil"/>
              <w:bottom w:val="single" w:sz="4" w:space="0" w:color="auto"/>
            </w:tcBorders>
            <w:shd w:val="clear" w:color="auto" w:fill="auto"/>
            <w:vAlign w:val="center"/>
          </w:tcPr>
          <w:p w14:paraId="55DFE6F2" w14:textId="77777777" w:rsidR="003532D3" w:rsidRPr="00A44648" w:rsidRDefault="003532D3" w:rsidP="003532D3">
            <w:pPr>
              <w:spacing w:after="0"/>
              <w:jc w:val="center"/>
              <w:rPr>
                <w:rFonts w:ascii="Arial" w:hAnsi="Arial" w:cs="Arial"/>
              </w:rPr>
            </w:pPr>
          </w:p>
        </w:tc>
        <w:tc>
          <w:tcPr>
            <w:tcW w:w="360" w:type="dxa"/>
            <w:tcBorders>
              <w:top w:val="nil"/>
              <w:bottom w:val="single" w:sz="4" w:space="0" w:color="auto"/>
            </w:tcBorders>
            <w:shd w:val="clear" w:color="auto" w:fill="auto"/>
            <w:vAlign w:val="center"/>
          </w:tcPr>
          <w:p w14:paraId="09ABACBB"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top w:val="nil"/>
              <w:bottom w:val="single" w:sz="4" w:space="0" w:color="auto"/>
            </w:tcBorders>
            <w:shd w:val="clear" w:color="auto" w:fill="auto"/>
            <w:vAlign w:val="center"/>
          </w:tcPr>
          <w:p w14:paraId="1A0E3B1B" w14:textId="77777777" w:rsidR="003532D3" w:rsidRPr="00A44648" w:rsidRDefault="003532D3" w:rsidP="003532D3">
            <w:pPr>
              <w:spacing w:after="0"/>
              <w:jc w:val="center"/>
              <w:rPr>
                <w:rFonts w:ascii="Arial" w:hAnsi="Arial" w:cs="Arial"/>
              </w:rPr>
            </w:pPr>
          </w:p>
        </w:tc>
        <w:tc>
          <w:tcPr>
            <w:tcW w:w="360" w:type="dxa"/>
            <w:tcBorders>
              <w:top w:val="nil"/>
              <w:bottom w:val="single" w:sz="4" w:space="0" w:color="auto"/>
            </w:tcBorders>
            <w:shd w:val="clear" w:color="auto" w:fill="auto"/>
            <w:vAlign w:val="center"/>
          </w:tcPr>
          <w:p w14:paraId="2EFE44FD"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top w:val="nil"/>
              <w:bottom w:val="single" w:sz="4" w:space="0" w:color="auto"/>
            </w:tcBorders>
          </w:tcPr>
          <w:p w14:paraId="6BA97101" w14:textId="77777777" w:rsidR="003532D3" w:rsidRPr="00A44648" w:rsidRDefault="003532D3" w:rsidP="003532D3">
            <w:pPr>
              <w:spacing w:after="0"/>
              <w:jc w:val="center"/>
              <w:rPr>
                <w:rFonts w:ascii="Arial" w:hAnsi="Arial" w:cs="Arial"/>
              </w:rPr>
            </w:pPr>
          </w:p>
        </w:tc>
        <w:tc>
          <w:tcPr>
            <w:tcW w:w="450" w:type="dxa"/>
            <w:tcBorders>
              <w:top w:val="nil"/>
              <w:bottom w:val="single" w:sz="4" w:space="0" w:color="auto"/>
            </w:tcBorders>
          </w:tcPr>
          <w:p w14:paraId="5E611E0F"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top w:val="nil"/>
              <w:bottom w:val="single" w:sz="4" w:space="0" w:color="auto"/>
            </w:tcBorders>
          </w:tcPr>
          <w:p w14:paraId="4ECB1877" w14:textId="77777777" w:rsidR="003532D3" w:rsidRPr="00A44648" w:rsidRDefault="003532D3" w:rsidP="003532D3">
            <w:pPr>
              <w:spacing w:after="0"/>
              <w:jc w:val="center"/>
              <w:rPr>
                <w:rFonts w:ascii="Arial" w:hAnsi="Arial" w:cs="Arial"/>
              </w:rPr>
            </w:pPr>
          </w:p>
        </w:tc>
        <w:tc>
          <w:tcPr>
            <w:tcW w:w="360" w:type="dxa"/>
            <w:tcBorders>
              <w:top w:val="nil"/>
              <w:bottom w:val="single" w:sz="4" w:space="0" w:color="auto"/>
            </w:tcBorders>
          </w:tcPr>
          <w:p w14:paraId="60766019"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450" w:type="dxa"/>
            <w:tcBorders>
              <w:top w:val="nil"/>
              <w:bottom w:val="single" w:sz="4" w:space="0" w:color="auto"/>
            </w:tcBorders>
            <w:shd w:val="clear" w:color="auto" w:fill="auto"/>
            <w:vAlign w:val="center"/>
          </w:tcPr>
          <w:p w14:paraId="38519B3D" w14:textId="77777777" w:rsidR="003532D3" w:rsidRPr="00A44648" w:rsidRDefault="003532D3" w:rsidP="003532D3">
            <w:pPr>
              <w:spacing w:after="0"/>
              <w:jc w:val="center"/>
              <w:rPr>
                <w:rFonts w:ascii="Arial" w:hAnsi="Arial" w:cs="Arial"/>
              </w:rPr>
            </w:pPr>
          </w:p>
        </w:tc>
        <w:tc>
          <w:tcPr>
            <w:tcW w:w="360" w:type="dxa"/>
            <w:tcBorders>
              <w:top w:val="nil"/>
              <w:bottom w:val="single" w:sz="4" w:space="0" w:color="auto"/>
            </w:tcBorders>
            <w:shd w:val="clear" w:color="auto" w:fill="auto"/>
            <w:vAlign w:val="center"/>
          </w:tcPr>
          <w:p w14:paraId="2DBD4C2D"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450" w:type="dxa"/>
            <w:tcBorders>
              <w:top w:val="nil"/>
              <w:bottom w:val="single" w:sz="4" w:space="0" w:color="auto"/>
            </w:tcBorders>
            <w:shd w:val="clear" w:color="auto" w:fill="auto"/>
            <w:vAlign w:val="center"/>
          </w:tcPr>
          <w:p w14:paraId="52202C18" w14:textId="77777777" w:rsidR="003532D3" w:rsidRPr="00A44648" w:rsidRDefault="003532D3" w:rsidP="003532D3">
            <w:pPr>
              <w:spacing w:after="0"/>
              <w:jc w:val="center"/>
              <w:rPr>
                <w:rFonts w:ascii="Arial" w:hAnsi="Arial" w:cs="Arial"/>
              </w:rPr>
            </w:pPr>
          </w:p>
        </w:tc>
        <w:tc>
          <w:tcPr>
            <w:tcW w:w="360" w:type="dxa"/>
            <w:tcBorders>
              <w:top w:val="nil"/>
              <w:bottom w:val="single" w:sz="4" w:space="0" w:color="auto"/>
            </w:tcBorders>
            <w:shd w:val="clear" w:color="auto" w:fill="auto"/>
            <w:vAlign w:val="center"/>
          </w:tcPr>
          <w:p w14:paraId="37487514"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top w:val="nil"/>
            </w:tcBorders>
          </w:tcPr>
          <w:p w14:paraId="71C04A5E" w14:textId="77777777" w:rsidR="003532D3" w:rsidRPr="00A44648" w:rsidRDefault="003532D3" w:rsidP="003532D3">
            <w:pPr>
              <w:spacing w:after="0"/>
              <w:jc w:val="center"/>
              <w:rPr>
                <w:rFonts w:ascii="Arial" w:hAnsi="Arial" w:cs="Arial"/>
              </w:rPr>
            </w:pPr>
          </w:p>
        </w:tc>
        <w:tc>
          <w:tcPr>
            <w:tcW w:w="450" w:type="dxa"/>
            <w:tcBorders>
              <w:top w:val="nil"/>
            </w:tcBorders>
          </w:tcPr>
          <w:p w14:paraId="78F1EAA3" w14:textId="77777777" w:rsidR="003532D3" w:rsidRPr="00A44648" w:rsidRDefault="003532D3" w:rsidP="003532D3">
            <w:pPr>
              <w:spacing w:after="0"/>
              <w:jc w:val="center"/>
              <w:rPr>
                <w:rFonts w:ascii="Arial" w:hAnsi="Arial" w:cs="Arial"/>
              </w:rPr>
            </w:pPr>
          </w:p>
        </w:tc>
        <w:tc>
          <w:tcPr>
            <w:tcW w:w="1260" w:type="dxa"/>
            <w:tcBorders>
              <w:top w:val="nil"/>
            </w:tcBorders>
            <w:vAlign w:val="center"/>
          </w:tcPr>
          <w:p w14:paraId="73C35E08" w14:textId="77777777" w:rsidR="003532D3" w:rsidRPr="00A44648" w:rsidRDefault="003532D3" w:rsidP="003532D3">
            <w:pPr>
              <w:spacing w:after="0"/>
              <w:jc w:val="center"/>
              <w:rPr>
                <w:rFonts w:ascii="Arial" w:hAnsi="Arial" w:cs="Arial"/>
              </w:rPr>
            </w:pPr>
          </w:p>
        </w:tc>
        <w:tc>
          <w:tcPr>
            <w:tcW w:w="1170" w:type="dxa"/>
            <w:tcBorders>
              <w:top w:val="nil"/>
            </w:tcBorders>
            <w:vAlign w:val="center"/>
          </w:tcPr>
          <w:p w14:paraId="28FB4BA0" w14:textId="77777777" w:rsidR="003532D3" w:rsidRPr="00A44648" w:rsidRDefault="003532D3" w:rsidP="003532D3">
            <w:pPr>
              <w:spacing w:after="0"/>
              <w:jc w:val="center"/>
              <w:rPr>
                <w:rFonts w:ascii="Arial" w:hAnsi="Arial" w:cs="Arial"/>
              </w:rPr>
            </w:pPr>
            <w:r w:rsidRPr="00A44648">
              <w:rPr>
                <w:rFonts w:ascii="Arial" w:hAnsi="Arial" w:cs="Arial"/>
              </w:rPr>
              <w:t>5,000</w:t>
            </w:r>
          </w:p>
        </w:tc>
      </w:tr>
      <w:tr w:rsidR="003532D3" w:rsidRPr="00A44648" w14:paraId="296E5142" w14:textId="77777777" w:rsidTr="003532D3">
        <w:trPr>
          <w:trHeight w:val="170"/>
          <w:jc w:val="center"/>
        </w:trPr>
        <w:tc>
          <w:tcPr>
            <w:tcW w:w="1885" w:type="dxa"/>
            <w:tcBorders>
              <w:bottom w:val="single" w:sz="4" w:space="0" w:color="auto"/>
            </w:tcBorders>
            <w:vAlign w:val="center"/>
          </w:tcPr>
          <w:p w14:paraId="125B9B6A" w14:textId="77777777" w:rsidR="003532D3" w:rsidRPr="00A44648" w:rsidRDefault="003532D3" w:rsidP="003532D3">
            <w:pPr>
              <w:spacing w:after="0"/>
              <w:rPr>
                <w:rFonts w:ascii="Arial" w:hAnsi="Arial" w:cs="Arial"/>
                <w:b/>
                <w:lang w:val="es-ES_tradnl"/>
              </w:rPr>
            </w:pPr>
            <w:r w:rsidRPr="00A44648">
              <w:rPr>
                <w:rFonts w:ascii="Arial" w:hAnsi="Arial" w:cs="Arial"/>
                <w:b/>
                <w:lang w:val="es-ES_tradnl"/>
              </w:rPr>
              <w:t>Recolección de datos por indicador</w:t>
            </w:r>
          </w:p>
        </w:tc>
        <w:tc>
          <w:tcPr>
            <w:tcW w:w="450" w:type="dxa"/>
            <w:tcBorders>
              <w:bottom w:val="single" w:sz="4" w:space="0" w:color="auto"/>
              <w:right w:val="nil"/>
            </w:tcBorders>
            <w:shd w:val="clear" w:color="auto" w:fill="auto"/>
            <w:vAlign w:val="center"/>
          </w:tcPr>
          <w:p w14:paraId="5F65DE8A" w14:textId="77777777" w:rsidR="003532D3" w:rsidRPr="00A44648" w:rsidRDefault="003532D3" w:rsidP="003532D3">
            <w:pPr>
              <w:spacing w:after="0"/>
              <w:jc w:val="center"/>
              <w:rPr>
                <w:rFonts w:ascii="Arial" w:hAnsi="Arial" w:cs="Arial"/>
                <w:lang w:val="es-ES_tradnl"/>
              </w:rPr>
            </w:pPr>
          </w:p>
        </w:tc>
        <w:tc>
          <w:tcPr>
            <w:tcW w:w="450" w:type="dxa"/>
            <w:tcBorders>
              <w:left w:val="nil"/>
              <w:bottom w:val="single" w:sz="4" w:space="0" w:color="auto"/>
              <w:right w:val="nil"/>
            </w:tcBorders>
            <w:shd w:val="clear" w:color="auto" w:fill="auto"/>
            <w:vAlign w:val="center"/>
          </w:tcPr>
          <w:p w14:paraId="62173457" w14:textId="77777777" w:rsidR="003532D3" w:rsidRPr="00A44648" w:rsidRDefault="003532D3" w:rsidP="003532D3">
            <w:pPr>
              <w:spacing w:after="0"/>
              <w:jc w:val="center"/>
              <w:rPr>
                <w:rFonts w:ascii="Arial" w:hAnsi="Arial" w:cs="Arial"/>
                <w:lang w:val="es-ES_tradnl"/>
              </w:rPr>
            </w:pPr>
          </w:p>
        </w:tc>
        <w:tc>
          <w:tcPr>
            <w:tcW w:w="450" w:type="dxa"/>
            <w:tcBorders>
              <w:left w:val="nil"/>
              <w:bottom w:val="single" w:sz="4" w:space="0" w:color="auto"/>
              <w:right w:val="nil"/>
            </w:tcBorders>
            <w:shd w:val="clear" w:color="auto" w:fill="auto"/>
            <w:vAlign w:val="center"/>
          </w:tcPr>
          <w:p w14:paraId="2F3FD023" w14:textId="77777777" w:rsidR="003532D3" w:rsidRPr="00A44648" w:rsidRDefault="003532D3" w:rsidP="003532D3">
            <w:pPr>
              <w:spacing w:after="0"/>
              <w:jc w:val="center"/>
              <w:rPr>
                <w:rFonts w:ascii="Arial" w:hAnsi="Arial" w:cs="Arial"/>
                <w:lang w:val="es-ES_tradnl"/>
              </w:rPr>
            </w:pPr>
          </w:p>
        </w:tc>
        <w:tc>
          <w:tcPr>
            <w:tcW w:w="360" w:type="dxa"/>
            <w:tcBorders>
              <w:left w:val="nil"/>
              <w:bottom w:val="single" w:sz="4" w:space="0" w:color="auto"/>
              <w:right w:val="nil"/>
            </w:tcBorders>
            <w:shd w:val="clear" w:color="auto" w:fill="auto"/>
            <w:vAlign w:val="center"/>
          </w:tcPr>
          <w:p w14:paraId="3E20A316" w14:textId="77777777" w:rsidR="003532D3" w:rsidRPr="00A44648" w:rsidRDefault="003532D3" w:rsidP="003532D3">
            <w:pPr>
              <w:spacing w:after="0"/>
              <w:jc w:val="center"/>
              <w:rPr>
                <w:rFonts w:ascii="Arial" w:hAnsi="Arial" w:cs="Arial"/>
                <w:lang w:val="es-ES_tradnl"/>
              </w:rPr>
            </w:pPr>
          </w:p>
        </w:tc>
        <w:tc>
          <w:tcPr>
            <w:tcW w:w="450" w:type="dxa"/>
            <w:tcBorders>
              <w:left w:val="nil"/>
              <w:bottom w:val="single" w:sz="4" w:space="0" w:color="auto"/>
              <w:right w:val="nil"/>
            </w:tcBorders>
            <w:shd w:val="clear" w:color="auto" w:fill="auto"/>
            <w:vAlign w:val="center"/>
          </w:tcPr>
          <w:p w14:paraId="051D4AB4" w14:textId="77777777" w:rsidR="003532D3" w:rsidRPr="00A44648" w:rsidRDefault="003532D3" w:rsidP="003532D3">
            <w:pPr>
              <w:spacing w:after="0"/>
              <w:jc w:val="center"/>
              <w:rPr>
                <w:rFonts w:ascii="Arial" w:hAnsi="Arial" w:cs="Arial"/>
                <w:lang w:val="es-ES_tradnl"/>
              </w:rPr>
            </w:pPr>
          </w:p>
        </w:tc>
        <w:tc>
          <w:tcPr>
            <w:tcW w:w="360" w:type="dxa"/>
            <w:tcBorders>
              <w:left w:val="nil"/>
              <w:bottom w:val="single" w:sz="4" w:space="0" w:color="auto"/>
              <w:right w:val="nil"/>
            </w:tcBorders>
            <w:shd w:val="clear" w:color="auto" w:fill="auto"/>
            <w:vAlign w:val="center"/>
          </w:tcPr>
          <w:p w14:paraId="4FC78859" w14:textId="77777777" w:rsidR="003532D3" w:rsidRPr="00A44648" w:rsidRDefault="003532D3" w:rsidP="003532D3">
            <w:pPr>
              <w:spacing w:after="0"/>
              <w:jc w:val="center"/>
              <w:rPr>
                <w:rFonts w:ascii="Arial" w:hAnsi="Arial" w:cs="Arial"/>
                <w:lang w:val="es-ES_tradnl"/>
              </w:rPr>
            </w:pPr>
          </w:p>
        </w:tc>
        <w:tc>
          <w:tcPr>
            <w:tcW w:w="360" w:type="dxa"/>
            <w:tcBorders>
              <w:left w:val="nil"/>
              <w:bottom w:val="single" w:sz="4" w:space="0" w:color="auto"/>
              <w:right w:val="nil"/>
            </w:tcBorders>
            <w:shd w:val="clear" w:color="auto" w:fill="auto"/>
            <w:vAlign w:val="center"/>
          </w:tcPr>
          <w:p w14:paraId="34C69793" w14:textId="77777777" w:rsidR="003532D3" w:rsidRPr="00A44648" w:rsidRDefault="003532D3" w:rsidP="003532D3">
            <w:pPr>
              <w:spacing w:after="0"/>
              <w:jc w:val="center"/>
              <w:rPr>
                <w:rFonts w:ascii="Arial" w:hAnsi="Arial" w:cs="Arial"/>
                <w:lang w:val="es-ES_tradnl"/>
              </w:rPr>
            </w:pPr>
          </w:p>
        </w:tc>
        <w:tc>
          <w:tcPr>
            <w:tcW w:w="360" w:type="dxa"/>
            <w:tcBorders>
              <w:left w:val="nil"/>
              <w:bottom w:val="single" w:sz="4" w:space="0" w:color="auto"/>
              <w:right w:val="nil"/>
            </w:tcBorders>
            <w:shd w:val="clear" w:color="auto" w:fill="auto"/>
            <w:vAlign w:val="center"/>
          </w:tcPr>
          <w:p w14:paraId="41B1A2B1" w14:textId="77777777" w:rsidR="003532D3" w:rsidRPr="00A44648" w:rsidRDefault="003532D3" w:rsidP="003532D3">
            <w:pPr>
              <w:spacing w:after="0"/>
              <w:jc w:val="center"/>
              <w:rPr>
                <w:rFonts w:ascii="Arial" w:hAnsi="Arial" w:cs="Arial"/>
                <w:lang w:val="es-ES_tradnl"/>
              </w:rPr>
            </w:pPr>
          </w:p>
        </w:tc>
        <w:tc>
          <w:tcPr>
            <w:tcW w:w="360" w:type="dxa"/>
            <w:tcBorders>
              <w:left w:val="nil"/>
              <w:bottom w:val="single" w:sz="4" w:space="0" w:color="auto"/>
              <w:right w:val="nil"/>
            </w:tcBorders>
          </w:tcPr>
          <w:p w14:paraId="56BB344B" w14:textId="77777777" w:rsidR="003532D3" w:rsidRPr="00A44648" w:rsidRDefault="003532D3" w:rsidP="003532D3">
            <w:pPr>
              <w:spacing w:after="0"/>
              <w:jc w:val="center"/>
              <w:rPr>
                <w:rFonts w:ascii="Arial" w:hAnsi="Arial" w:cs="Arial"/>
                <w:lang w:val="es-ES_tradnl"/>
              </w:rPr>
            </w:pPr>
          </w:p>
        </w:tc>
        <w:tc>
          <w:tcPr>
            <w:tcW w:w="450" w:type="dxa"/>
            <w:tcBorders>
              <w:left w:val="nil"/>
              <w:bottom w:val="single" w:sz="4" w:space="0" w:color="auto"/>
              <w:right w:val="nil"/>
            </w:tcBorders>
          </w:tcPr>
          <w:p w14:paraId="66D212D6" w14:textId="77777777" w:rsidR="003532D3" w:rsidRPr="00A44648" w:rsidRDefault="003532D3" w:rsidP="003532D3">
            <w:pPr>
              <w:spacing w:after="0"/>
              <w:jc w:val="center"/>
              <w:rPr>
                <w:rFonts w:ascii="Arial" w:hAnsi="Arial" w:cs="Arial"/>
                <w:lang w:val="es-ES_tradnl"/>
              </w:rPr>
            </w:pPr>
          </w:p>
        </w:tc>
        <w:tc>
          <w:tcPr>
            <w:tcW w:w="360" w:type="dxa"/>
            <w:tcBorders>
              <w:left w:val="nil"/>
              <w:bottom w:val="single" w:sz="4" w:space="0" w:color="auto"/>
              <w:right w:val="nil"/>
            </w:tcBorders>
          </w:tcPr>
          <w:p w14:paraId="242983AB" w14:textId="77777777" w:rsidR="003532D3" w:rsidRPr="00A44648" w:rsidRDefault="003532D3" w:rsidP="003532D3">
            <w:pPr>
              <w:spacing w:after="0"/>
              <w:jc w:val="center"/>
              <w:rPr>
                <w:rFonts w:ascii="Arial" w:hAnsi="Arial" w:cs="Arial"/>
                <w:lang w:val="es-ES_tradnl"/>
              </w:rPr>
            </w:pPr>
          </w:p>
        </w:tc>
        <w:tc>
          <w:tcPr>
            <w:tcW w:w="360" w:type="dxa"/>
            <w:tcBorders>
              <w:left w:val="nil"/>
              <w:bottom w:val="single" w:sz="4" w:space="0" w:color="auto"/>
              <w:right w:val="nil"/>
            </w:tcBorders>
          </w:tcPr>
          <w:p w14:paraId="67AD0E7C" w14:textId="77777777" w:rsidR="003532D3" w:rsidRPr="00A44648" w:rsidRDefault="003532D3" w:rsidP="003532D3">
            <w:pPr>
              <w:spacing w:after="0"/>
              <w:jc w:val="center"/>
              <w:rPr>
                <w:rFonts w:ascii="Arial" w:hAnsi="Arial" w:cs="Arial"/>
                <w:lang w:val="es-ES_tradnl"/>
              </w:rPr>
            </w:pPr>
          </w:p>
        </w:tc>
        <w:tc>
          <w:tcPr>
            <w:tcW w:w="450" w:type="dxa"/>
            <w:tcBorders>
              <w:left w:val="nil"/>
              <w:bottom w:val="single" w:sz="4" w:space="0" w:color="auto"/>
              <w:right w:val="nil"/>
            </w:tcBorders>
            <w:shd w:val="clear" w:color="auto" w:fill="auto"/>
            <w:vAlign w:val="center"/>
          </w:tcPr>
          <w:p w14:paraId="7511A34E" w14:textId="77777777" w:rsidR="003532D3" w:rsidRPr="00A44648" w:rsidRDefault="003532D3" w:rsidP="003532D3">
            <w:pPr>
              <w:spacing w:after="0"/>
              <w:jc w:val="center"/>
              <w:rPr>
                <w:rFonts w:ascii="Arial" w:hAnsi="Arial" w:cs="Arial"/>
                <w:lang w:val="es-ES_tradnl"/>
              </w:rPr>
            </w:pPr>
          </w:p>
        </w:tc>
        <w:tc>
          <w:tcPr>
            <w:tcW w:w="360" w:type="dxa"/>
            <w:tcBorders>
              <w:left w:val="nil"/>
              <w:bottom w:val="single" w:sz="4" w:space="0" w:color="auto"/>
              <w:right w:val="nil"/>
            </w:tcBorders>
            <w:shd w:val="clear" w:color="auto" w:fill="auto"/>
            <w:vAlign w:val="center"/>
          </w:tcPr>
          <w:p w14:paraId="40B2D5A1" w14:textId="77777777" w:rsidR="003532D3" w:rsidRPr="00A44648" w:rsidRDefault="003532D3" w:rsidP="003532D3">
            <w:pPr>
              <w:spacing w:after="0"/>
              <w:jc w:val="center"/>
              <w:rPr>
                <w:rFonts w:ascii="Arial" w:hAnsi="Arial" w:cs="Arial"/>
                <w:lang w:val="es-ES_tradnl"/>
              </w:rPr>
            </w:pPr>
          </w:p>
        </w:tc>
        <w:tc>
          <w:tcPr>
            <w:tcW w:w="450" w:type="dxa"/>
            <w:tcBorders>
              <w:left w:val="nil"/>
              <w:bottom w:val="single" w:sz="4" w:space="0" w:color="auto"/>
              <w:right w:val="nil"/>
            </w:tcBorders>
            <w:shd w:val="clear" w:color="auto" w:fill="auto"/>
            <w:vAlign w:val="center"/>
          </w:tcPr>
          <w:p w14:paraId="27BA69B7" w14:textId="77777777" w:rsidR="003532D3" w:rsidRPr="00A44648" w:rsidRDefault="003532D3" w:rsidP="003532D3">
            <w:pPr>
              <w:spacing w:after="0"/>
              <w:jc w:val="center"/>
              <w:rPr>
                <w:rFonts w:ascii="Arial" w:hAnsi="Arial" w:cs="Arial"/>
                <w:lang w:val="es-ES_tradnl"/>
              </w:rPr>
            </w:pPr>
          </w:p>
        </w:tc>
        <w:tc>
          <w:tcPr>
            <w:tcW w:w="360" w:type="dxa"/>
            <w:tcBorders>
              <w:left w:val="nil"/>
              <w:bottom w:val="single" w:sz="4" w:space="0" w:color="auto"/>
            </w:tcBorders>
            <w:shd w:val="clear" w:color="auto" w:fill="auto"/>
            <w:vAlign w:val="center"/>
          </w:tcPr>
          <w:p w14:paraId="35765E5C" w14:textId="77777777" w:rsidR="003532D3" w:rsidRPr="00A44648" w:rsidRDefault="003532D3" w:rsidP="003532D3">
            <w:pPr>
              <w:spacing w:after="0"/>
              <w:jc w:val="center"/>
              <w:rPr>
                <w:rFonts w:ascii="Arial" w:hAnsi="Arial" w:cs="Arial"/>
                <w:lang w:val="es-ES_tradnl"/>
              </w:rPr>
            </w:pPr>
          </w:p>
        </w:tc>
        <w:tc>
          <w:tcPr>
            <w:tcW w:w="360" w:type="dxa"/>
            <w:tcBorders>
              <w:bottom w:val="single" w:sz="4" w:space="0" w:color="auto"/>
            </w:tcBorders>
          </w:tcPr>
          <w:p w14:paraId="190EB0D6" w14:textId="77777777" w:rsidR="003532D3" w:rsidRPr="00A44648" w:rsidRDefault="003532D3" w:rsidP="003532D3">
            <w:pPr>
              <w:spacing w:after="0"/>
              <w:jc w:val="center"/>
              <w:rPr>
                <w:rFonts w:ascii="Arial" w:hAnsi="Arial" w:cs="Arial"/>
                <w:lang w:val="es-ES_tradnl"/>
              </w:rPr>
            </w:pPr>
          </w:p>
        </w:tc>
        <w:tc>
          <w:tcPr>
            <w:tcW w:w="450" w:type="dxa"/>
            <w:tcBorders>
              <w:bottom w:val="single" w:sz="4" w:space="0" w:color="auto"/>
            </w:tcBorders>
          </w:tcPr>
          <w:p w14:paraId="63A2CB2C" w14:textId="77777777" w:rsidR="003532D3" w:rsidRPr="00A44648" w:rsidRDefault="003532D3" w:rsidP="003532D3">
            <w:pPr>
              <w:spacing w:after="0"/>
              <w:jc w:val="center"/>
              <w:rPr>
                <w:rFonts w:ascii="Arial" w:hAnsi="Arial" w:cs="Arial"/>
                <w:lang w:val="es-ES_tradnl"/>
              </w:rPr>
            </w:pPr>
          </w:p>
        </w:tc>
        <w:tc>
          <w:tcPr>
            <w:tcW w:w="1260" w:type="dxa"/>
            <w:tcBorders>
              <w:bottom w:val="single" w:sz="4" w:space="0" w:color="auto"/>
            </w:tcBorders>
            <w:vAlign w:val="center"/>
          </w:tcPr>
          <w:p w14:paraId="7759311F" w14:textId="77777777" w:rsidR="003532D3" w:rsidRPr="00A44648" w:rsidRDefault="003532D3" w:rsidP="003532D3">
            <w:pPr>
              <w:spacing w:after="0"/>
              <w:jc w:val="center"/>
              <w:rPr>
                <w:rFonts w:ascii="Arial" w:hAnsi="Arial" w:cs="Arial"/>
                <w:lang w:val="es-ES_tradnl"/>
              </w:rPr>
            </w:pPr>
          </w:p>
        </w:tc>
        <w:tc>
          <w:tcPr>
            <w:tcW w:w="1170" w:type="dxa"/>
            <w:tcBorders>
              <w:bottom w:val="single" w:sz="4" w:space="0" w:color="auto"/>
            </w:tcBorders>
            <w:vAlign w:val="center"/>
          </w:tcPr>
          <w:p w14:paraId="33BE5FCF" w14:textId="77777777" w:rsidR="003532D3" w:rsidRPr="00A44648" w:rsidRDefault="003532D3" w:rsidP="003532D3">
            <w:pPr>
              <w:spacing w:after="0"/>
              <w:jc w:val="center"/>
              <w:rPr>
                <w:rFonts w:ascii="Arial" w:hAnsi="Arial" w:cs="Arial"/>
                <w:b/>
              </w:rPr>
            </w:pPr>
            <w:r w:rsidRPr="00A44648">
              <w:rPr>
                <w:rFonts w:ascii="Arial" w:hAnsi="Arial" w:cs="Arial"/>
                <w:b/>
              </w:rPr>
              <w:t>40,000</w:t>
            </w:r>
          </w:p>
        </w:tc>
      </w:tr>
      <w:tr w:rsidR="003532D3" w:rsidRPr="00A44648" w14:paraId="73E98829" w14:textId="77777777" w:rsidTr="003532D3">
        <w:trPr>
          <w:jc w:val="center"/>
        </w:trPr>
        <w:tc>
          <w:tcPr>
            <w:tcW w:w="1885" w:type="dxa"/>
            <w:tcBorders>
              <w:bottom w:val="nil"/>
            </w:tcBorders>
            <w:vAlign w:val="center"/>
          </w:tcPr>
          <w:p w14:paraId="08300847" w14:textId="77777777" w:rsidR="003532D3" w:rsidRPr="00A44648" w:rsidRDefault="003532D3" w:rsidP="003532D3">
            <w:pPr>
              <w:spacing w:after="0"/>
              <w:rPr>
                <w:rFonts w:ascii="Arial" w:hAnsi="Arial" w:cs="Arial"/>
                <w:b/>
              </w:rPr>
            </w:pPr>
          </w:p>
        </w:tc>
        <w:tc>
          <w:tcPr>
            <w:tcW w:w="450" w:type="dxa"/>
            <w:tcBorders>
              <w:bottom w:val="nil"/>
            </w:tcBorders>
            <w:shd w:val="clear" w:color="auto" w:fill="auto"/>
            <w:vAlign w:val="center"/>
          </w:tcPr>
          <w:p w14:paraId="35BA4138" w14:textId="77777777" w:rsidR="003532D3" w:rsidRPr="00A44648" w:rsidRDefault="003532D3" w:rsidP="003532D3">
            <w:pPr>
              <w:spacing w:after="0"/>
              <w:jc w:val="center"/>
              <w:rPr>
                <w:rFonts w:ascii="Arial" w:hAnsi="Arial" w:cs="Arial"/>
              </w:rPr>
            </w:pPr>
          </w:p>
        </w:tc>
        <w:tc>
          <w:tcPr>
            <w:tcW w:w="450" w:type="dxa"/>
            <w:tcBorders>
              <w:bottom w:val="nil"/>
            </w:tcBorders>
            <w:shd w:val="clear" w:color="auto" w:fill="auto"/>
            <w:vAlign w:val="center"/>
          </w:tcPr>
          <w:p w14:paraId="4564C860" w14:textId="77777777" w:rsidR="003532D3" w:rsidRPr="00A44648" w:rsidRDefault="003532D3" w:rsidP="003532D3">
            <w:pPr>
              <w:spacing w:after="0"/>
              <w:jc w:val="center"/>
              <w:rPr>
                <w:rFonts w:ascii="Arial" w:hAnsi="Arial" w:cs="Arial"/>
              </w:rPr>
            </w:pPr>
          </w:p>
        </w:tc>
        <w:tc>
          <w:tcPr>
            <w:tcW w:w="450" w:type="dxa"/>
            <w:tcBorders>
              <w:bottom w:val="nil"/>
            </w:tcBorders>
            <w:shd w:val="clear" w:color="auto" w:fill="auto"/>
            <w:vAlign w:val="center"/>
          </w:tcPr>
          <w:p w14:paraId="4667EC35" w14:textId="77777777" w:rsidR="003532D3" w:rsidRPr="00A44648" w:rsidRDefault="003532D3" w:rsidP="003532D3">
            <w:pPr>
              <w:spacing w:after="0"/>
              <w:jc w:val="center"/>
              <w:rPr>
                <w:rFonts w:ascii="Arial" w:hAnsi="Arial" w:cs="Arial"/>
              </w:rPr>
            </w:pPr>
          </w:p>
        </w:tc>
        <w:tc>
          <w:tcPr>
            <w:tcW w:w="360" w:type="dxa"/>
            <w:tcBorders>
              <w:bottom w:val="nil"/>
            </w:tcBorders>
            <w:shd w:val="clear" w:color="auto" w:fill="auto"/>
            <w:vAlign w:val="center"/>
          </w:tcPr>
          <w:p w14:paraId="1BDD8539" w14:textId="77777777" w:rsidR="003532D3" w:rsidRPr="00A44648" w:rsidRDefault="003532D3" w:rsidP="003532D3">
            <w:pPr>
              <w:spacing w:after="0"/>
              <w:jc w:val="center"/>
              <w:rPr>
                <w:rFonts w:ascii="Arial" w:hAnsi="Arial" w:cs="Arial"/>
              </w:rPr>
            </w:pPr>
          </w:p>
        </w:tc>
        <w:tc>
          <w:tcPr>
            <w:tcW w:w="450" w:type="dxa"/>
            <w:tcBorders>
              <w:bottom w:val="nil"/>
            </w:tcBorders>
            <w:shd w:val="clear" w:color="auto" w:fill="auto"/>
            <w:vAlign w:val="center"/>
          </w:tcPr>
          <w:p w14:paraId="1C4C98A0" w14:textId="77777777" w:rsidR="003532D3" w:rsidRPr="00A44648" w:rsidRDefault="003532D3" w:rsidP="003532D3">
            <w:pPr>
              <w:spacing w:after="0"/>
              <w:jc w:val="center"/>
              <w:rPr>
                <w:rFonts w:ascii="Arial" w:hAnsi="Arial" w:cs="Arial"/>
              </w:rPr>
            </w:pPr>
          </w:p>
        </w:tc>
        <w:tc>
          <w:tcPr>
            <w:tcW w:w="360" w:type="dxa"/>
            <w:tcBorders>
              <w:bottom w:val="nil"/>
            </w:tcBorders>
            <w:shd w:val="clear" w:color="auto" w:fill="auto"/>
            <w:vAlign w:val="center"/>
          </w:tcPr>
          <w:p w14:paraId="4187FF74" w14:textId="77777777" w:rsidR="003532D3" w:rsidRPr="00A44648" w:rsidRDefault="003532D3" w:rsidP="003532D3">
            <w:pPr>
              <w:spacing w:after="0"/>
              <w:jc w:val="center"/>
              <w:rPr>
                <w:rFonts w:ascii="Arial" w:hAnsi="Arial" w:cs="Arial"/>
              </w:rPr>
            </w:pPr>
          </w:p>
        </w:tc>
        <w:tc>
          <w:tcPr>
            <w:tcW w:w="360" w:type="dxa"/>
            <w:tcBorders>
              <w:bottom w:val="nil"/>
            </w:tcBorders>
            <w:shd w:val="clear" w:color="auto" w:fill="auto"/>
            <w:vAlign w:val="center"/>
          </w:tcPr>
          <w:p w14:paraId="195FCA01" w14:textId="77777777" w:rsidR="003532D3" w:rsidRPr="00A44648" w:rsidRDefault="003532D3" w:rsidP="003532D3">
            <w:pPr>
              <w:spacing w:after="0"/>
              <w:jc w:val="center"/>
              <w:rPr>
                <w:rFonts w:ascii="Arial" w:hAnsi="Arial" w:cs="Arial"/>
              </w:rPr>
            </w:pPr>
          </w:p>
        </w:tc>
        <w:tc>
          <w:tcPr>
            <w:tcW w:w="360" w:type="dxa"/>
            <w:tcBorders>
              <w:bottom w:val="nil"/>
            </w:tcBorders>
            <w:shd w:val="clear" w:color="auto" w:fill="auto"/>
            <w:vAlign w:val="center"/>
          </w:tcPr>
          <w:p w14:paraId="0AD53912" w14:textId="77777777" w:rsidR="003532D3" w:rsidRPr="00A44648" w:rsidRDefault="003532D3" w:rsidP="003532D3">
            <w:pPr>
              <w:spacing w:after="0"/>
              <w:jc w:val="center"/>
              <w:rPr>
                <w:rFonts w:ascii="Arial" w:hAnsi="Arial" w:cs="Arial"/>
              </w:rPr>
            </w:pPr>
          </w:p>
        </w:tc>
        <w:tc>
          <w:tcPr>
            <w:tcW w:w="360" w:type="dxa"/>
            <w:tcBorders>
              <w:bottom w:val="nil"/>
            </w:tcBorders>
          </w:tcPr>
          <w:p w14:paraId="30FB1D90" w14:textId="77777777" w:rsidR="003532D3" w:rsidRPr="00A44648" w:rsidRDefault="003532D3" w:rsidP="003532D3">
            <w:pPr>
              <w:spacing w:after="0"/>
              <w:jc w:val="center"/>
              <w:rPr>
                <w:rFonts w:ascii="Arial" w:hAnsi="Arial" w:cs="Arial"/>
              </w:rPr>
            </w:pPr>
          </w:p>
        </w:tc>
        <w:tc>
          <w:tcPr>
            <w:tcW w:w="450" w:type="dxa"/>
            <w:tcBorders>
              <w:bottom w:val="nil"/>
            </w:tcBorders>
          </w:tcPr>
          <w:p w14:paraId="2CA9F5BB" w14:textId="77777777" w:rsidR="003532D3" w:rsidRPr="00A44648" w:rsidRDefault="003532D3" w:rsidP="003532D3">
            <w:pPr>
              <w:spacing w:after="0"/>
              <w:jc w:val="center"/>
              <w:rPr>
                <w:rFonts w:ascii="Arial" w:hAnsi="Arial" w:cs="Arial"/>
              </w:rPr>
            </w:pPr>
          </w:p>
        </w:tc>
        <w:tc>
          <w:tcPr>
            <w:tcW w:w="360" w:type="dxa"/>
            <w:tcBorders>
              <w:bottom w:val="nil"/>
            </w:tcBorders>
          </w:tcPr>
          <w:p w14:paraId="0F44C74D" w14:textId="77777777" w:rsidR="003532D3" w:rsidRPr="00A44648" w:rsidRDefault="003532D3" w:rsidP="003532D3">
            <w:pPr>
              <w:spacing w:after="0"/>
              <w:jc w:val="center"/>
              <w:rPr>
                <w:rFonts w:ascii="Arial" w:hAnsi="Arial" w:cs="Arial"/>
              </w:rPr>
            </w:pPr>
          </w:p>
        </w:tc>
        <w:tc>
          <w:tcPr>
            <w:tcW w:w="360" w:type="dxa"/>
            <w:tcBorders>
              <w:bottom w:val="nil"/>
            </w:tcBorders>
          </w:tcPr>
          <w:p w14:paraId="5C9E8992" w14:textId="77777777" w:rsidR="003532D3" w:rsidRPr="00A44648" w:rsidRDefault="003532D3" w:rsidP="003532D3">
            <w:pPr>
              <w:spacing w:after="0"/>
              <w:jc w:val="center"/>
              <w:rPr>
                <w:rFonts w:ascii="Arial" w:hAnsi="Arial" w:cs="Arial"/>
              </w:rPr>
            </w:pPr>
          </w:p>
        </w:tc>
        <w:tc>
          <w:tcPr>
            <w:tcW w:w="450" w:type="dxa"/>
            <w:tcBorders>
              <w:bottom w:val="nil"/>
            </w:tcBorders>
            <w:shd w:val="clear" w:color="auto" w:fill="auto"/>
            <w:vAlign w:val="center"/>
          </w:tcPr>
          <w:p w14:paraId="49109382" w14:textId="77777777" w:rsidR="003532D3" w:rsidRPr="00A44648" w:rsidRDefault="003532D3" w:rsidP="003532D3">
            <w:pPr>
              <w:spacing w:after="0"/>
              <w:jc w:val="center"/>
              <w:rPr>
                <w:rFonts w:ascii="Arial" w:hAnsi="Arial" w:cs="Arial"/>
              </w:rPr>
            </w:pPr>
          </w:p>
        </w:tc>
        <w:tc>
          <w:tcPr>
            <w:tcW w:w="360" w:type="dxa"/>
            <w:tcBorders>
              <w:bottom w:val="nil"/>
            </w:tcBorders>
            <w:shd w:val="clear" w:color="auto" w:fill="auto"/>
            <w:vAlign w:val="center"/>
          </w:tcPr>
          <w:p w14:paraId="1BF7CA87" w14:textId="77777777" w:rsidR="003532D3" w:rsidRPr="00A44648" w:rsidRDefault="003532D3" w:rsidP="003532D3">
            <w:pPr>
              <w:spacing w:after="0"/>
              <w:jc w:val="center"/>
              <w:rPr>
                <w:rFonts w:ascii="Arial" w:hAnsi="Arial" w:cs="Arial"/>
              </w:rPr>
            </w:pPr>
          </w:p>
        </w:tc>
        <w:tc>
          <w:tcPr>
            <w:tcW w:w="450" w:type="dxa"/>
            <w:tcBorders>
              <w:bottom w:val="nil"/>
            </w:tcBorders>
            <w:shd w:val="clear" w:color="auto" w:fill="auto"/>
            <w:vAlign w:val="center"/>
          </w:tcPr>
          <w:p w14:paraId="0C2170E4" w14:textId="77777777" w:rsidR="003532D3" w:rsidRPr="00A44648" w:rsidRDefault="003532D3" w:rsidP="003532D3">
            <w:pPr>
              <w:spacing w:after="0"/>
              <w:jc w:val="center"/>
              <w:rPr>
                <w:rFonts w:ascii="Arial" w:hAnsi="Arial" w:cs="Arial"/>
              </w:rPr>
            </w:pPr>
          </w:p>
        </w:tc>
        <w:tc>
          <w:tcPr>
            <w:tcW w:w="360" w:type="dxa"/>
            <w:tcBorders>
              <w:bottom w:val="nil"/>
            </w:tcBorders>
            <w:shd w:val="clear" w:color="auto" w:fill="auto"/>
            <w:vAlign w:val="center"/>
          </w:tcPr>
          <w:p w14:paraId="79F4981E" w14:textId="77777777" w:rsidR="003532D3" w:rsidRPr="00A44648" w:rsidRDefault="003532D3" w:rsidP="003532D3">
            <w:pPr>
              <w:spacing w:after="0"/>
              <w:jc w:val="center"/>
              <w:rPr>
                <w:rFonts w:ascii="Arial" w:hAnsi="Arial" w:cs="Arial"/>
              </w:rPr>
            </w:pPr>
          </w:p>
        </w:tc>
        <w:tc>
          <w:tcPr>
            <w:tcW w:w="360" w:type="dxa"/>
            <w:tcBorders>
              <w:bottom w:val="nil"/>
            </w:tcBorders>
          </w:tcPr>
          <w:p w14:paraId="377CA711" w14:textId="77777777" w:rsidR="003532D3" w:rsidRPr="00A44648" w:rsidRDefault="003532D3" w:rsidP="003532D3">
            <w:pPr>
              <w:spacing w:after="0"/>
              <w:jc w:val="center"/>
              <w:rPr>
                <w:rFonts w:ascii="Arial" w:hAnsi="Arial" w:cs="Arial"/>
              </w:rPr>
            </w:pPr>
          </w:p>
        </w:tc>
        <w:tc>
          <w:tcPr>
            <w:tcW w:w="450" w:type="dxa"/>
            <w:tcBorders>
              <w:bottom w:val="nil"/>
            </w:tcBorders>
          </w:tcPr>
          <w:p w14:paraId="44220DDE" w14:textId="77777777" w:rsidR="003532D3" w:rsidRPr="00A44648" w:rsidRDefault="003532D3" w:rsidP="003532D3">
            <w:pPr>
              <w:spacing w:after="0"/>
              <w:jc w:val="center"/>
              <w:rPr>
                <w:rFonts w:ascii="Arial" w:hAnsi="Arial" w:cs="Arial"/>
              </w:rPr>
            </w:pPr>
          </w:p>
        </w:tc>
        <w:tc>
          <w:tcPr>
            <w:tcW w:w="1260" w:type="dxa"/>
            <w:tcBorders>
              <w:bottom w:val="nil"/>
            </w:tcBorders>
            <w:vAlign w:val="center"/>
          </w:tcPr>
          <w:p w14:paraId="697ADD8E" w14:textId="77777777" w:rsidR="003532D3" w:rsidRPr="00A44648" w:rsidRDefault="003532D3" w:rsidP="003532D3">
            <w:pPr>
              <w:spacing w:after="0"/>
              <w:jc w:val="center"/>
              <w:rPr>
                <w:rFonts w:ascii="Arial" w:hAnsi="Arial" w:cs="Arial"/>
              </w:rPr>
            </w:pPr>
            <w:r w:rsidRPr="00A44648">
              <w:rPr>
                <w:rFonts w:ascii="Arial" w:hAnsi="Arial" w:cs="Arial"/>
              </w:rPr>
              <w:t xml:space="preserve"> </w:t>
            </w:r>
          </w:p>
        </w:tc>
        <w:tc>
          <w:tcPr>
            <w:tcW w:w="1170" w:type="dxa"/>
            <w:tcBorders>
              <w:bottom w:val="nil"/>
            </w:tcBorders>
            <w:vAlign w:val="center"/>
          </w:tcPr>
          <w:p w14:paraId="29927D9C" w14:textId="77777777" w:rsidR="003532D3" w:rsidRPr="00A44648" w:rsidRDefault="003532D3" w:rsidP="003532D3">
            <w:pPr>
              <w:spacing w:after="0"/>
              <w:jc w:val="center"/>
              <w:rPr>
                <w:rFonts w:ascii="Arial" w:hAnsi="Arial" w:cs="Arial"/>
              </w:rPr>
            </w:pPr>
          </w:p>
        </w:tc>
      </w:tr>
      <w:tr w:rsidR="003532D3" w:rsidRPr="00A44648" w14:paraId="56179F71" w14:textId="77777777" w:rsidTr="003532D3">
        <w:trPr>
          <w:jc w:val="center"/>
        </w:trPr>
        <w:tc>
          <w:tcPr>
            <w:tcW w:w="1885" w:type="dxa"/>
            <w:tcBorders>
              <w:top w:val="nil"/>
              <w:bottom w:val="nil"/>
            </w:tcBorders>
            <w:vAlign w:val="center"/>
          </w:tcPr>
          <w:p w14:paraId="61197977" w14:textId="77777777" w:rsidR="003532D3" w:rsidRPr="00A44648" w:rsidRDefault="003532D3" w:rsidP="003532D3">
            <w:pPr>
              <w:pStyle w:val="ListParagraph"/>
              <w:numPr>
                <w:ilvl w:val="0"/>
                <w:numId w:val="8"/>
              </w:numPr>
              <w:spacing w:after="0"/>
              <w:ind w:left="180" w:hanging="180"/>
              <w:rPr>
                <w:rFonts w:ascii="Arial" w:hAnsi="Arial" w:cs="Arial"/>
                <w:b/>
                <w:lang w:val="es-ES_tradnl"/>
              </w:rPr>
            </w:pPr>
            <w:r w:rsidRPr="00A44648">
              <w:rPr>
                <w:rFonts w:ascii="Arial" w:hAnsi="Arial" w:cs="Arial"/>
                <w:b/>
                <w:lang w:val="es-ES_tradnl"/>
              </w:rPr>
              <w:t>Proyectos geotérmicos totales financiados por el programa en alguna etapa que alcanzaron su cierre financiero para la construcción de una planta.</w:t>
            </w:r>
          </w:p>
        </w:tc>
        <w:tc>
          <w:tcPr>
            <w:tcW w:w="450" w:type="dxa"/>
            <w:tcBorders>
              <w:top w:val="nil"/>
              <w:bottom w:val="nil"/>
            </w:tcBorders>
            <w:shd w:val="clear" w:color="auto" w:fill="auto"/>
            <w:vAlign w:val="center"/>
          </w:tcPr>
          <w:p w14:paraId="2955ABB7"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56A94B05"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37AFD9DB"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704574A2"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33984F08"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751CBA33"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6A201DA0"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6D1D80ED"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tcPr>
          <w:p w14:paraId="1FE80354"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vAlign w:val="center"/>
          </w:tcPr>
          <w:p w14:paraId="22D4717A"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vAlign w:val="center"/>
          </w:tcPr>
          <w:p w14:paraId="4B12257E"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top w:val="nil"/>
              <w:bottom w:val="nil"/>
            </w:tcBorders>
            <w:vAlign w:val="center"/>
          </w:tcPr>
          <w:p w14:paraId="12353A41"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450" w:type="dxa"/>
            <w:tcBorders>
              <w:top w:val="nil"/>
              <w:bottom w:val="nil"/>
            </w:tcBorders>
            <w:shd w:val="clear" w:color="auto" w:fill="auto"/>
            <w:vAlign w:val="center"/>
          </w:tcPr>
          <w:p w14:paraId="1F087D2C"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top w:val="nil"/>
              <w:bottom w:val="nil"/>
            </w:tcBorders>
            <w:shd w:val="clear" w:color="auto" w:fill="auto"/>
            <w:vAlign w:val="center"/>
          </w:tcPr>
          <w:p w14:paraId="23B6C53F"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450" w:type="dxa"/>
            <w:tcBorders>
              <w:top w:val="nil"/>
              <w:bottom w:val="nil"/>
            </w:tcBorders>
            <w:shd w:val="clear" w:color="auto" w:fill="auto"/>
            <w:vAlign w:val="center"/>
          </w:tcPr>
          <w:p w14:paraId="35B9C792" w14:textId="77777777" w:rsidR="003532D3" w:rsidRPr="00A44648" w:rsidRDefault="003532D3" w:rsidP="003532D3">
            <w:pPr>
              <w:spacing w:after="0"/>
              <w:jc w:val="center"/>
              <w:rPr>
                <w:rFonts w:ascii="Arial" w:hAnsi="Arial" w:cs="Arial"/>
              </w:rPr>
            </w:pPr>
          </w:p>
        </w:tc>
        <w:tc>
          <w:tcPr>
            <w:tcW w:w="360" w:type="dxa"/>
            <w:tcBorders>
              <w:top w:val="nil"/>
              <w:bottom w:val="nil"/>
            </w:tcBorders>
            <w:shd w:val="clear" w:color="auto" w:fill="auto"/>
            <w:vAlign w:val="center"/>
          </w:tcPr>
          <w:p w14:paraId="332A0308" w14:textId="77777777" w:rsidR="003532D3" w:rsidRPr="00A44648" w:rsidRDefault="003532D3" w:rsidP="003532D3">
            <w:pPr>
              <w:spacing w:after="0"/>
              <w:jc w:val="center"/>
              <w:rPr>
                <w:rFonts w:ascii="Arial" w:hAnsi="Arial" w:cs="Arial"/>
              </w:rPr>
            </w:pPr>
          </w:p>
        </w:tc>
        <w:tc>
          <w:tcPr>
            <w:tcW w:w="360" w:type="dxa"/>
            <w:tcBorders>
              <w:top w:val="nil"/>
              <w:bottom w:val="nil"/>
            </w:tcBorders>
          </w:tcPr>
          <w:p w14:paraId="6DC31F52" w14:textId="77777777" w:rsidR="003532D3" w:rsidRPr="00A44648" w:rsidRDefault="003532D3" w:rsidP="003532D3">
            <w:pPr>
              <w:spacing w:after="0"/>
              <w:jc w:val="center"/>
              <w:rPr>
                <w:rFonts w:ascii="Arial" w:hAnsi="Arial" w:cs="Arial"/>
              </w:rPr>
            </w:pPr>
          </w:p>
        </w:tc>
        <w:tc>
          <w:tcPr>
            <w:tcW w:w="450" w:type="dxa"/>
            <w:tcBorders>
              <w:top w:val="nil"/>
              <w:bottom w:val="nil"/>
            </w:tcBorders>
          </w:tcPr>
          <w:p w14:paraId="71958FB0" w14:textId="77777777" w:rsidR="003532D3" w:rsidRPr="00A44648" w:rsidRDefault="003532D3" w:rsidP="003532D3">
            <w:pPr>
              <w:spacing w:after="0"/>
              <w:jc w:val="center"/>
              <w:rPr>
                <w:rFonts w:ascii="Arial" w:hAnsi="Arial" w:cs="Arial"/>
              </w:rPr>
            </w:pPr>
          </w:p>
        </w:tc>
        <w:tc>
          <w:tcPr>
            <w:tcW w:w="1260" w:type="dxa"/>
            <w:tcBorders>
              <w:top w:val="nil"/>
              <w:bottom w:val="nil"/>
            </w:tcBorders>
            <w:vAlign w:val="center"/>
          </w:tcPr>
          <w:p w14:paraId="11B6395E" w14:textId="77777777" w:rsidR="003532D3" w:rsidRPr="00A44648" w:rsidRDefault="003532D3" w:rsidP="003532D3">
            <w:pPr>
              <w:spacing w:after="0"/>
              <w:jc w:val="center"/>
              <w:rPr>
                <w:rFonts w:ascii="Arial" w:hAnsi="Arial" w:cs="Arial"/>
              </w:rPr>
            </w:pPr>
            <w:r w:rsidRPr="00A44648">
              <w:rPr>
                <w:rFonts w:ascii="Arial" w:hAnsi="Arial" w:cs="Arial"/>
              </w:rPr>
              <w:t>NAFIN CCG/</w:t>
            </w:r>
          </w:p>
          <w:p w14:paraId="16C38A51" w14:textId="77777777" w:rsidR="003532D3" w:rsidRPr="00A44648" w:rsidRDefault="003532D3" w:rsidP="003532D3">
            <w:pPr>
              <w:spacing w:after="0"/>
              <w:jc w:val="center"/>
              <w:rPr>
                <w:rFonts w:ascii="Arial" w:hAnsi="Arial" w:cs="Arial"/>
              </w:rPr>
            </w:pPr>
            <w:r w:rsidRPr="00A44648">
              <w:rPr>
                <w:rFonts w:ascii="Arial" w:hAnsi="Arial" w:cs="Arial"/>
              </w:rPr>
              <w:t>IDB</w:t>
            </w:r>
          </w:p>
        </w:tc>
        <w:tc>
          <w:tcPr>
            <w:tcW w:w="1170" w:type="dxa"/>
            <w:tcBorders>
              <w:top w:val="nil"/>
              <w:bottom w:val="nil"/>
            </w:tcBorders>
            <w:vAlign w:val="center"/>
          </w:tcPr>
          <w:p w14:paraId="669DFD9F" w14:textId="77777777" w:rsidR="003532D3" w:rsidRPr="00A44648" w:rsidRDefault="003532D3" w:rsidP="003532D3">
            <w:pPr>
              <w:spacing w:after="0"/>
              <w:jc w:val="center"/>
              <w:rPr>
                <w:rFonts w:ascii="Arial" w:hAnsi="Arial" w:cs="Arial"/>
              </w:rPr>
            </w:pPr>
            <w:r w:rsidRPr="00A44648">
              <w:rPr>
                <w:rFonts w:ascii="Arial" w:hAnsi="Arial" w:cs="Arial"/>
              </w:rPr>
              <w:t>10,000</w:t>
            </w:r>
          </w:p>
        </w:tc>
      </w:tr>
      <w:tr w:rsidR="003532D3" w:rsidRPr="00A44648" w14:paraId="13952829" w14:textId="77777777" w:rsidTr="003532D3">
        <w:trPr>
          <w:jc w:val="center"/>
        </w:trPr>
        <w:tc>
          <w:tcPr>
            <w:tcW w:w="1885" w:type="dxa"/>
            <w:tcBorders>
              <w:top w:val="nil"/>
              <w:bottom w:val="nil"/>
            </w:tcBorders>
            <w:vAlign w:val="center"/>
          </w:tcPr>
          <w:p w14:paraId="634C945B" w14:textId="77777777" w:rsidR="003532D3" w:rsidRPr="00A44648" w:rsidRDefault="003532D3" w:rsidP="003532D3">
            <w:pPr>
              <w:pStyle w:val="ListParagraph"/>
              <w:numPr>
                <w:ilvl w:val="0"/>
                <w:numId w:val="8"/>
              </w:numPr>
              <w:spacing w:after="0"/>
              <w:ind w:left="180" w:hanging="180"/>
              <w:rPr>
                <w:rFonts w:ascii="Arial" w:hAnsi="Arial" w:cs="Arial"/>
                <w:b/>
                <w:lang w:val="es-ES_tradnl"/>
              </w:rPr>
            </w:pPr>
            <w:r w:rsidRPr="00A44648">
              <w:rPr>
                <w:rFonts w:ascii="Arial" w:hAnsi="Arial" w:cs="Arial"/>
                <w:b/>
                <w:lang w:val="es-ES_tradnl"/>
              </w:rPr>
              <w:t>Proyectos geotérmicos totales financiados por el programa en alguna etapa que están en operación (producen electricidad)</w:t>
            </w:r>
          </w:p>
        </w:tc>
        <w:tc>
          <w:tcPr>
            <w:tcW w:w="450" w:type="dxa"/>
            <w:tcBorders>
              <w:top w:val="nil"/>
              <w:bottom w:val="nil"/>
            </w:tcBorders>
            <w:shd w:val="clear" w:color="auto" w:fill="auto"/>
            <w:vAlign w:val="center"/>
          </w:tcPr>
          <w:p w14:paraId="0BE44CE4"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50667489"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05917DF8"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399A5089"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70106F82"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4192C2F7"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364E5792"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76824DB5"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vAlign w:val="center"/>
          </w:tcPr>
          <w:p w14:paraId="7FEC1881"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vAlign w:val="center"/>
          </w:tcPr>
          <w:p w14:paraId="1F750187"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vAlign w:val="center"/>
          </w:tcPr>
          <w:p w14:paraId="66C86AD6"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vAlign w:val="center"/>
          </w:tcPr>
          <w:p w14:paraId="31B788EE"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690CEF98"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305091F5"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1DFC2186"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6C9ECA06"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vAlign w:val="center"/>
          </w:tcPr>
          <w:p w14:paraId="22B938CD"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450" w:type="dxa"/>
            <w:tcBorders>
              <w:top w:val="nil"/>
              <w:bottom w:val="nil"/>
            </w:tcBorders>
            <w:vAlign w:val="center"/>
          </w:tcPr>
          <w:p w14:paraId="36C4C440"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1260" w:type="dxa"/>
            <w:tcBorders>
              <w:top w:val="nil"/>
              <w:bottom w:val="nil"/>
            </w:tcBorders>
            <w:vAlign w:val="center"/>
          </w:tcPr>
          <w:p w14:paraId="35A9926F" w14:textId="77777777" w:rsidR="003532D3" w:rsidRPr="00A44648" w:rsidRDefault="003532D3" w:rsidP="003532D3">
            <w:pPr>
              <w:spacing w:after="0"/>
              <w:jc w:val="center"/>
              <w:rPr>
                <w:rFonts w:ascii="Arial" w:hAnsi="Arial" w:cs="Arial"/>
              </w:rPr>
            </w:pPr>
            <w:r w:rsidRPr="00A44648">
              <w:rPr>
                <w:rFonts w:ascii="Arial" w:hAnsi="Arial" w:cs="Arial"/>
              </w:rPr>
              <w:t>NAFIN</w:t>
            </w:r>
          </w:p>
        </w:tc>
        <w:tc>
          <w:tcPr>
            <w:tcW w:w="1170" w:type="dxa"/>
            <w:tcBorders>
              <w:top w:val="nil"/>
              <w:bottom w:val="nil"/>
            </w:tcBorders>
            <w:vAlign w:val="center"/>
          </w:tcPr>
          <w:p w14:paraId="4563753B" w14:textId="77777777" w:rsidR="003532D3" w:rsidRPr="00A44648" w:rsidRDefault="003532D3" w:rsidP="003532D3">
            <w:pPr>
              <w:spacing w:after="0"/>
              <w:jc w:val="center"/>
              <w:rPr>
                <w:rFonts w:ascii="Arial" w:hAnsi="Arial" w:cs="Arial"/>
              </w:rPr>
            </w:pPr>
            <w:r w:rsidRPr="00A44648">
              <w:rPr>
                <w:rFonts w:ascii="Arial" w:hAnsi="Arial" w:cs="Arial"/>
              </w:rPr>
              <w:t>5,000</w:t>
            </w:r>
          </w:p>
        </w:tc>
      </w:tr>
      <w:tr w:rsidR="003532D3" w:rsidRPr="00A44648" w14:paraId="6B87835B" w14:textId="77777777" w:rsidTr="003532D3">
        <w:trPr>
          <w:jc w:val="center"/>
        </w:trPr>
        <w:tc>
          <w:tcPr>
            <w:tcW w:w="1885" w:type="dxa"/>
            <w:tcBorders>
              <w:top w:val="nil"/>
              <w:bottom w:val="nil"/>
            </w:tcBorders>
            <w:vAlign w:val="center"/>
          </w:tcPr>
          <w:p w14:paraId="5C326A8F" w14:textId="77777777" w:rsidR="003532D3" w:rsidRPr="00A44648" w:rsidRDefault="003532D3" w:rsidP="003532D3">
            <w:pPr>
              <w:pStyle w:val="ListParagraph"/>
              <w:numPr>
                <w:ilvl w:val="0"/>
                <w:numId w:val="8"/>
              </w:numPr>
              <w:spacing w:after="0"/>
              <w:ind w:left="180" w:hanging="180"/>
              <w:rPr>
                <w:rFonts w:ascii="Arial" w:hAnsi="Arial" w:cs="Arial"/>
                <w:b/>
                <w:lang w:val="es-ES_tradnl"/>
              </w:rPr>
            </w:pPr>
            <w:r w:rsidRPr="00A44648">
              <w:rPr>
                <w:rFonts w:ascii="Arial" w:hAnsi="Arial" w:cs="Arial"/>
                <w:b/>
                <w:lang w:val="es-ES_tradnl"/>
              </w:rPr>
              <w:t>Capacidad de generación geotérmica instalada en proyectos financiados en alguna etapa por el programa</w:t>
            </w:r>
          </w:p>
        </w:tc>
        <w:tc>
          <w:tcPr>
            <w:tcW w:w="450" w:type="dxa"/>
            <w:tcBorders>
              <w:top w:val="nil"/>
              <w:bottom w:val="nil"/>
            </w:tcBorders>
            <w:shd w:val="clear" w:color="auto" w:fill="auto"/>
            <w:vAlign w:val="center"/>
          </w:tcPr>
          <w:p w14:paraId="152EDC99"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41D19B98"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214AF109"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530D9F70"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4CAA7C3B"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436CB687"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3CA343BE"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5E6A9CAC"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vAlign w:val="center"/>
          </w:tcPr>
          <w:p w14:paraId="3B096BB8"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vAlign w:val="center"/>
          </w:tcPr>
          <w:p w14:paraId="737647A2"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vAlign w:val="center"/>
          </w:tcPr>
          <w:p w14:paraId="1BA7113B"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vAlign w:val="center"/>
          </w:tcPr>
          <w:p w14:paraId="734CD62D"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65C18311"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4BCE13CB"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3BDA2CCF"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3BF5E7C7"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vAlign w:val="center"/>
          </w:tcPr>
          <w:p w14:paraId="63C98A51"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450" w:type="dxa"/>
            <w:tcBorders>
              <w:top w:val="nil"/>
              <w:bottom w:val="nil"/>
            </w:tcBorders>
            <w:vAlign w:val="center"/>
          </w:tcPr>
          <w:p w14:paraId="45CC3B23"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1260" w:type="dxa"/>
            <w:tcBorders>
              <w:top w:val="nil"/>
              <w:bottom w:val="nil"/>
            </w:tcBorders>
            <w:vAlign w:val="center"/>
          </w:tcPr>
          <w:p w14:paraId="47059544" w14:textId="77777777" w:rsidR="003532D3" w:rsidRPr="00A44648" w:rsidRDefault="003532D3" w:rsidP="003532D3">
            <w:pPr>
              <w:spacing w:after="0"/>
              <w:jc w:val="center"/>
              <w:rPr>
                <w:rFonts w:ascii="Arial" w:hAnsi="Arial" w:cs="Arial"/>
              </w:rPr>
            </w:pPr>
            <w:r w:rsidRPr="00A44648">
              <w:rPr>
                <w:rFonts w:ascii="Arial" w:hAnsi="Arial" w:cs="Arial"/>
              </w:rPr>
              <w:t>NAFIN</w:t>
            </w:r>
          </w:p>
        </w:tc>
        <w:tc>
          <w:tcPr>
            <w:tcW w:w="1170" w:type="dxa"/>
            <w:tcBorders>
              <w:top w:val="nil"/>
              <w:bottom w:val="nil"/>
            </w:tcBorders>
            <w:vAlign w:val="center"/>
          </w:tcPr>
          <w:p w14:paraId="3C3C2C97" w14:textId="77777777" w:rsidR="003532D3" w:rsidRPr="00A44648" w:rsidRDefault="003532D3" w:rsidP="003532D3">
            <w:pPr>
              <w:spacing w:after="0"/>
              <w:jc w:val="center"/>
              <w:rPr>
                <w:rFonts w:ascii="Arial" w:hAnsi="Arial" w:cs="Arial"/>
              </w:rPr>
            </w:pPr>
            <w:r w:rsidRPr="00A44648">
              <w:rPr>
                <w:rFonts w:ascii="Arial" w:hAnsi="Arial" w:cs="Arial"/>
              </w:rPr>
              <w:t>5,000</w:t>
            </w:r>
          </w:p>
        </w:tc>
      </w:tr>
      <w:tr w:rsidR="003532D3" w:rsidRPr="00A44648" w14:paraId="2C271CAE" w14:textId="77777777" w:rsidTr="003532D3">
        <w:trPr>
          <w:jc w:val="center"/>
        </w:trPr>
        <w:tc>
          <w:tcPr>
            <w:tcW w:w="1885" w:type="dxa"/>
            <w:tcBorders>
              <w:top w:val="nil"/>
              <w:bottom w:val="nil"/>
            </w:tcBorders>
            <w:vAlign w:val="center"/>
          </w:tcPr>
          <w:p w14:paraId="48C7267B" w14:textId="77777777" w:rsidR="003532D3" w:rsidRPr="00A44648" w:rsidRDefault="003532D3" w:rsidP="003532D3">
            <w:pPr>
              <w:pStyle w:val="ListParagraph"/>
              <w:numPr>
                <w:ilvl w:val="0"/>
                <w:numId w:val="8"/>
              </w:numPr>
              <w:spacing w:after="0"/>
              <w:ind w:left="180" w:hanging="180"/>
              <w:rPr>
                <w:rFonts w:ascii="Arial" w:hAnsi="Arial" w:cs="Arial"/>
                <w:b/>
                <w:lang w:val="es-ES_tradnl"/>
              </w:rPr>
            </w:pPr>
            <w:r w:rsidRPr="00A44648">
              <w:rPr>
                <w:rFonts w:ascii="Arial" w:hAnsi="Arial" w:cs="Arial"/>
                <w:b/>
                <w:lang w:val="es-ES_tradnl"/>
              </w:rPr>
              <w:t>Producción de electricidad a partir de proyectos financiados en alguna etapa por el programa</w:t>
            </w:r>
          </w:p>
        </w:tc>
        <w:tc>
          <w:tcPr>
            <w:tcW w:w="450" w:type="dxa"/>
            <w:tcBorders>
              <w:top w:val="nil"/>
              <w:bottom w:val="nil"/>
            </w:tcBorders>
            <w:shd w:val="clear" w:color="auto" w:fill="auto"/>
            <w:vAlign w:val="center"/>
          </w:tcPr>
          <w:p w14:paraId="1B1C103B"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1EA76F38"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18626B46"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12BA0B30"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064BF11B"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2A6D42EC"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3CAD0E5C"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560CA2DB"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vAlign w:val="center"/>
          </w:tcPr>
          <w:p w14:paraId="3DD097AE"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vAlign w:val="center"/>
          </w:tcPr>
          <w:p w14:paraId="0657CC2D"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vAlign w:val="center"/>
          </w:tcPr>
          <w:p w14:paraId="71408547"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vAlign w:val="center"/>
          </w:tcPr>
          <w:p w14:paraId="5345F811"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3E4A8702"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4C2A219B"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075814E6"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59266A02"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vAlign w:val="center"/>
          </w:tcPr>
          <w:p w14:paraId="31BDC03E"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450" w:type="dxa"/>
            <w:tcBorders>
              <w:top w:val="nil"/>
              <w:bottom w:val="nil"/>
            </w:tcBorders>
            <w:vAlign w:val="center"/>
          </w:tcPr>
          <w:p w14:paraId="5784EB7B"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1260" w:type="dxa"/>
            <w:tcBorders>
              <w:top w:val="nil"/>
              <w:bottom w:val="nil"/>
            </w:tcBorders>
            <w:vAlign w:val="center"/>
          </w:tcPr>
          <w:p w14:paraId="214AA92C" w14:textId="77777777" w:rsidR="003532D3" w:rsidRPr="00A44648" w:rsidRDefault="003532D3" w:rsidP="003532D3">
            <w:pPr>
              <w:spacing w:after="0"/>
              <w:jc w:val="center"/>
              <w:rPr>
                <w:rFonts w:ascii="Arial" w:hAnsi="Arial" w:cs="Arial"/>
              </w:rPr>
            </w:pPr>
            <w:r w:rsidRPr="00A44648">
              <w:rPr>
                <w:rFonts w:ascii="Arial" w:hAnsi="Arial" w:cs="Arial"/>
              </w:rPr>
              <w:t>IDB</w:t>
            </w:r>
          </w:p>
        </w:tc>
        <w:tc>
          <w:tcPr>
            <w:tcW w:w="1170" w:type="dxa"/>
            <w:tcBorders>
              <w:top w:val="nil"/>
              <w:bottom w:val="nil"/>
            </w:tcBorders>
            <w:vAlign w:val="center"/>
          </w:tcPr>
          <w:p w14:paraId="4848CE82" w14:textId="77777777" w:rsidR="003532D3" w:rsidRPr="00A44648" w:rsidRDefault="003532D3" w:rsidP="003532D3">
            <w:pPr>
              <w:spacing w:after="0"/>
              <w:jc w:val="center"/>
              <w:rPr>
                <w:rFonts w:ascii="Arial" w:hAnsi="Arial" w:cs="Arial"/>
              </w:rPr>
            </w:pPr>
            <w:r w:rsidRPr="00A44648">
              <w:rPr>
                <w:rFonts w:ascii="Arial" w:hAnsi="Arial" w:cs="Arial"/>
              </w:rPr>
              <w:t>5,000</w:t>
            </w:r>
          </w:p>
        </w:tc>
      </w:tr>
      <w:tr w:rsidR="003532D3" w:rsidRPr="00A44648" w14:paraId="70531B79" w14:textId="77777777" w:rsidTr="003532D3">
        <w:trPr>
          <w:jc w:val="center"/>
        </w:trPr>
        <w:tc>
          <w:tcPr>
            <w:tcW w:w="1885" w:type="dxa"/>
            <w:tcBorders>
              <w:top w:val="nil"/>
              <w:bottom w:val="nil"/>
            </w:tcBorders>
            <w:vAlign w:val="center"/>
          </w:tcPr>
          <w:p w14:paraId="738415AD" w14:textId="77777777" w:rsidR="003532D3" w:rsidRPr="00A44648" w:rsidRDefault="003532D3" w:rsidP="003532D3">
            <w:pPr>
              <w:pStyle w:val="ListParagraph"/>
              <w:numPr>
                <w:ilvl w:val="0"/>
                <w:numId w:val="8"/>
              </w:numPr>
              <w:spacing w:after="0"/>
              <w:ind w:left="180" w:hanging="180"/>
              <w:rPr>
                <w:rFonts w:ascii="Arial" w:hAnsi="Arial" w:cs="Arial"/>
                <w:b/>
                <w:lang w:val="es-ES_tradnl"/>
              </w:rPr>
            </w:pPr>
            <w:r w:rsidRPr="00A44648">
              <w:rPr>
                <w:rFonts w:ascii="Arial" w:hAnsi="Arial" w:cs="Arial"/>
                <w:b/>
                <w:lang w:val="es-ES_tradnl"/>
              </w:rPr>
              <w:t>Gases de Efecto Invernadero (GEI) evitados por proyectos geotérmicos financiados en alguna etapa por el programa</w:t>
            </w:r>
          </w:p>
        </w:tc>
        <w:tc>
          <w:tcPr>
            <w:tcW w:w="450" w:type="dxa"/>
            <w:tcBorders>
              <w:top w:val="nil"/>
              <w:bottom w:val="nil"/>
            </w:tcBorders>
            <w:shd w:val="clear" w:color="auto" w:fill="auto"/>
            <w:vAlign w:val="center"/>
          </w:tcPr>
          <w:p w14:paraId="2D407F37"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1E5D3414"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78A3A799"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39618B99"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6E353F86"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0BD2FACF"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37EC85E1"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07D8E8CD"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vAlign w:val="center"/>
          </w:tcPr>
          <w:p w14:paraId="2767AEB5"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vAlign w:val="center"/>
          </w:tcPr>
          <w:p w14:paraId="4FA60C00"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vAlign w:val="center"/>
          </w:tcPr>
          <w:p w14:paraId="30274952"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vAlign w:val="center"/>
          </w:tcPr>
          <w:p w14:paraId="6E34A926"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754A1940"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36B7B598"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40BE601C"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shd w:val="clear" w:color="auto" w:fill="auto"/>
            <w:vAlign w:val="center"/>
          </w:tcPr>
          <w:p w14:paraId="6279EE7B" w14:textId="77777777" w:rsidR="003532D3" w:rsidRPr="00A44648" w:rsidRDefault="003532D3" w:rsidP="003532D3">
            <w:pPr>
              <w:spacing w:after="0"/>
              <w:jc w:val="center"/>
              <w:rPr>
                <w:rFonts w:ascii="Arial" w:hAnsi="Arial" w:cs="Arial"/>
                <w:lang w:val="es-ES_tradnl"/>
              </w:rPr>
            </w:pPr>
          </w:p>
        </w:tc>
        <w:tc>
          <w:tcPr>
            <w:tcW w:w="360" w:type="dxa"/>
            <w:tcBorders>
              <w:top w:val="nil"/>
              <w:bottom w:val="nil"/>
            </w:tcBorders>
            <w:vAlign w:val="center"/>
          </w:tcPr>
          <w:p w14:paraId="7ABEDC7E"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450" w:type="dxa"/>
            <w:tcBorders>
              <w:top w:val="nil"/>
              <w:bottom w:val="nil"/>
            </w:tcBorders>
            <w:vAlign w:val="center"/>
          </w:tcPr>
          <w:p w14:paraId="071DB8A0"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1260" w:type="dxa"/>
            <w:tcBorders>
              <w:top w:val="nil"/>
              <w:bottom w:val="nil"/>
            </w:tcBorders>
            <w:vAlign w:val="center"/>
          </w:tcPr>
          <w:p w14:paraId="1A408681" w14:textId="77777777" w:rsidR="003532D3" w:rsidRPr="00A44648" w:rsidRDefault="003532D3" w:rsidP="003532D3">
            <w:pPr>
              <w:spacing w:after="0"/>
              <w:jc w:val="center"/>
              <w:rPr>
                <w:rFonts w:ascii="Arial" w:hAnsi="Arial" w:cs="Arial"/>
              </w:rPr>
            </w:pPr>
            <w:r w:rsidRPr="00A44648">
              <w:rPr>
                <w:rFonts w:ascii="Arial" w:hAnsi="Arial" w:cs="Arial"/>
              </w:rPr>
              <w:t>IDB</w:t>
            </w:r>
          </w:p>
        </w:tc>
        <w:tc>
          <w:tcPr>
            <w:tcW w:w="1170" w:type="dxa"/>
            <w:tcBorders>
              <w:top w:val="nil"/>
              <w:bottom w:val="nil"/>
            </w:tcBorders>
            <w:vAlign w:val="center"/>
          </w:tcPr>
          <w:p w14:paraId="3874B511" w14:textId="77777777" w:rsidR="003532D3" w:rsidRPr="00A44648" w:rsidRDefault="003532D3" w:rsidP="003532D3">
            <w:pPr>
              <w:spacing w:after="0"/>
              <w:jc w:val="center"/>
              <w:rPr>
                <w:rFonts w:ascii="Arial" w:hAnsi="Arial" w:cs="Arial"/>
              </w:rPr>
            </w:pPr>
            <w:r w:rsidRPr="00A44648">
              <w:rPr>
                <w:rFonts w:ascii="Arial" w:hAnsi="Arial" w:cs="Arial"/>
              </w:rPr>
              <w:t>5,000</w:t>
            </w:r>
          </w:p>
        </w:tc>
      </w:tr>
      <w:tr w:rsidR="003532D3" w:rsidRPr="00A44648" w14:paraId="7AB62AF1" w14:textId="77777777" w:rsidTr="003532D3">
        <w:trPr>
          <w:jc w:val="center"/>
        </w:trPr>
        <w:tc>
          <w:tcPr>
            <w:tcW w:w="1885" w:type="dxa"/>
            <w:tcBorders>
              <w:top w:val="nil"/>
              <w:bottom w:val="nil"/>
            </w:tcBorders>
            <w:vAlign w:val="center"/>
          </w:tcPr>
          <w:p w14:paraId="3F51EA0B" w14:textId="77777777" w:rsidR="003532D3" w:rsidRPr="00A44648" w:rsidRDefault="003532D3" w:rsidP="003532D3">
            <w:pPr>
              <w:pStyle w:val="ListParagraph"/>
              <w:numPr>
                <w:ilvl w:val="0"/>
                <w:numId w:val="8"/>
              </w:numPr>
              <w:spacing w:after="0"/>
              <w:ind w:left="180" w:hanging="180"/>
              <w:rPr>
                <w:rFonts w:ascii="Arial" w:hAnsi="Arial" w:cs="Arial"/>
                <w:b/>
                <w:lang w:val="es-ES_tradnl"/>
              </w:rPr>
            </w:pPr>
            <w:r w:rsidRPr="00A44648">
              <w:rPr>
                <w:rFonts w:ascii="Arial" w:hAnsi="Arial" w:cs="Arial"/>
                <w:b/>
                <w:lang w:val="es-ES_tradnl"/>
              </w:rPr>
              <w:t>Financiamiento adicional de terceras partes movilizado para desarrollar proyectos geotérmicos financiados en alguna etapa por el programa.</w:t>
            </w:r>
          </w:p>
        </w:tc>
        <w:tc>
          <w:tcPr>
            <w:tcW w:w="450" w:type="dxa"/>
            <w:tcBorders>
              <w:top w:val="nil"/>
              <w:bottom w:val="nil"/>
            </w:tcBorders>
            <w:shd w:val="clear" w:color="auto" w:fill="auto"/>
            <w:vAlign w:val="center"/>
          </w:tcPr>
          <w:p w14:paraId="448C6FDA" w14:textId="77777777" w:rsidR="003532D3" w:rsidRPr="00A44648" w:rsidRDefault="003532D3" w:rsidP="003532D3">
            <w:pPr>
              <w:spacing w:after="0"/>
              <w:jc w:val="center"/>
              <w:rPr>
                <w:rFonts w:ascii="Arial" w:hAnsi="Arial" w:cs="Arial"/>
                <w:lang w:val="es-ES_tradnl"/>
              </w:rPr>
            </w:pPr>
          </w:p>
        </w:tc>
        <w:tc>
          <w:tcPr>
            <w:tcW w:w="450" w:type="dxa"/>
            <w:tcBorders>
              <w:top w:val="nil"/>
              <w:bottom w:val="nil"/>
            </w:tcBorders>
            <w:shd w:val="clear" w:color="auto" w:fill="auto"/>
            <w:vAlign w:val="center"/>
          </w:tcPr>
          <w:p w14:paraId="5AABDF73"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450" w:type="dxa"/>
            <w:tcBorders>
              <w:top w:val="nil"/>
              <w:bottom w:val="nil"/>
            </w:tcBorders>
            <w:shd w:val="clear" w:color="auto" w:fill="auto"/>
            <w:vAlign w:val="center"/>
          </w:tcPr>
          <w:p w14:paraId="0EA83624" w14:textId="77777777" w:rsidR="003532D3" w:rsidRPr="00A44648" w:rsidRDefault="003532D3" w:rsidP="003532D3">
            <w:pPr>
              <w:spacing w:after="0"/>
              <w:jc w:val="center"/>
              <w:rPr>
                <w:rFonts w:ascii="Arial" w:hAnsi="Arial" w:cs="Arial"/>
              </w:rPr>
            </w:pPr>
          </w:p>
        </w:tc>
        <w:tc>
          <w:tcPr>
            <w:tcW w:w="360" w:type="dxa"/>
            <w:tcBorders>
              <w:top w:val="nil"/>
              <w:bottom w:val="nil"/>
            </w:tcBorders>
            <w:shd w:val="clear" w:color="auto" w:fill="auto"/>
            <w:vAlign w:val="center"/>
          </w:tcPr>
          <w:p w14:paraId="6631C41D"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450" w:type="dxa"/>
            <w:tcBorders>
              <w:top w:val="nil"/>
              <w:bottom w:val="nil"/>
            </w:tcBorders>
            <w:shd w:val="clear" w:color="auto" w:fill="auto"/>
            <w:vAlign w:val="center"/>
          </w:tcPr>
          <w:p w14:paraId="1E3D7FDA" w14:textId="77777777" w:rsidR="003532D3" w:rsidRPr="00A44648" w:rsidRDefault="003532D3" w:rsidP="003532D3">
            <w:pPr>
              <w:spacing w:after="0"/>
              <w:jc w:val="center"/>
              <w:rPr>
                <w:rFonts w:ascii="Arial" w:hAnsi="Arial" w:cs="Arial"/>
              </w:rPr>
            </w:pPr>
          </w:p>
        </w:tc>
        <w:tc>
          <w:tcPr>
            <w:tcW w:w="360" w:type="dxa"/>
            <w:tcBorders>
              <w:top w:val="nil"/>
              <w:bottom w:val="nil"/>
            </w:tcBorders>
            <w:shd w:val="clear" w:color="auto" w:fill="auto"/>
            <w:vAlign w:val="center"/>
          </w:tcPr>
          <w:p w14:paraId="385E9694"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top w:val="nil"/>
              <w:bottom w:val="nil"/>
            </w:tcBorders>
            <w:shd w:val="clear" w:color="auto" w:fill="auto"/>
            <w:vAlign w:val="center"/>
          </w:tcPr>
          <w:p w14:paraId="1FC37114" w14:textId="77777777" w:rsidR="003532D3" w:rsidRPr="00A44648" w:rsidRDefault="003532D3" w:rsidP="003532D3">
            <w:pPr>
              <w:spacing w:after="0"/>
              <w:jc w:val="center"/>
              <w:rPr>
                <w:rFonts w:ascii="Arial" w:hAnsi="Arial" w:cs="Arial"/>
              </w:rPr>
            </w:pPr>
          </w:p>
        </w:tc>
        <w:tc>
          <w:tcPr>
            <w:tcW w:w="360" w:type="dxa"/>
            <w:tcBorders>
              <w:top w:val="nil"/>
              <w:bottom w:val="nil"/>
            </w:tcBorders>
            <w:shd w:val="clear" w:color="auto" w:fill="auto"/>
            <w:vAlign w:val="center"/>
          </w:tcPr>
          <w:p w14:paraId="27D5C06B"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top w:val="nil"/>
              <w:bottom w:val="nil"/>
            </w:tcBorders>
            <w:vAlign w:val="center"/>
          </w:tcPr>
          <w:p w14:paraId="4E438C88" w14:textId="77777777" w:rsidR="003532D3" w:rsidRPr="00A44648" w:rsidRDefault="003532D3" w:rsidP="003532D3">
            <w:pPr>
              <w:spacing w:after="0"/>
              <w:jc w:val="center"/>
              <w:rPr>
                <w:rFonts w:ascii="Arial" w:hAnsi="Arial" w:cs="Arial"/>
              </w:rPr>
            </w:pPr>
          </w:p>
        </w:tc>
        <w:tc>
          <w:tcPr>
            <w:tcW w:w="450" w:type="dxa"/>
            <w:tcBorders>
              <w:top w:val="nil"/>
              <w:bottom w:val="nil"/>
            </w:tcBorders>
            <w:vAlign w:val="center"/>
          </w:tcPr>
          <w:p w14:paraId="10731813" w14:textId="77777777" w:rsidR="003532D3" w:rsidRPr="00A44648" w:rsidRDefault="003532D3" w:rsidP="003532D3">
            <w:pPr>
              <w:spacing w:after="0"/>
              <w:jc w:val="center"/>
              <w:rPr>
                <w:rFonts w:ascii="Arial" w:hAnsi="Arial" w:cs="Arial"/>
              </w:rPr>
            </w:pPr>
          </w:p>
        </w:tc>
        <w:tc>
          <w:tcPr>
            <w:tcW w:w="360" w:type="dxa"/>
            <w:tcBorders>
              <w:top w:val="nil"/>
              <w:bottom w:val="nil"/>
            </w:tcBorders>
            <w:vAlign w:val="center"/>
          </w:tcPr>
          <w:p w14:paraId="2A6F3C23" w14:textId="77777777" w:rsidR="003532D3" w:rsidRPr="00A44648" w:rsidRDefault="003532D3" w:rsidP="003532D3">
            <w:pPr>
              <w:spacing w:after="0"/>
              <w:jc w:val="center"/>
              <w:rPr>
                <w:rFonts w:ascii="Arial" w:hAnsi="Arial" w:cs="Arial"/>
              </w:rPr>
            </w:pPr>
          </w:p>
        </w:tc>
        <w:tc>
          <w:tcPr>
            <w:tcW w:w="360" w:type="dxa"/>
            <w:tcBorders>
              <w:top w:val="nil"/>
              <w:bottom w:val="nil"/>
            </w:tcBorders>
            <w:vAlign w:val="center"/>
          </w:tcPr>
          <w:p w14:paraId="0862DD24" w14:textId="77777777" w:rsidR="003532D3" w:rsidRPr="00A44648" w:rsidRDefault="003532D3" w:rsidP="003532D3">
            <w:pPr>
              <w:spacing w:after="0"/>
              <w:jc w:val="center"/>
              <w:rPr>
                <w:rFonts w:ascii="Arial" w:hAnsi="Arial" w:cs="Arial"/>
              </w:rPr>
            </w:pPr>
          </w:p>
        </w:tc>
        <w:tc>
          <w:tcPr>
            <w:tcW w:w="450" w:type="dxa"/>
            <w:tcBorders>
              <w:top w:val="nil"/>
              <w:bottom w:val="nil"/>
            </w:tcBorders>
            <w:shd w:val="clear" w:color="auto" w:fill="auto"/>
            <w:vAlign w:val="center"/>
          </w:tcPr>
          <w:p w14:paraId="53CA5A0F" w14:textId="77777777" w:rsidR="003532D3" w:rsidRPr="00A44648" w:rsidRDefault="003532D3" w:rsidP="003532D3">
            <w:pPr>
              <w:spacing w:after="0"/>
              <w:jc w:val="center"/>
              <w:rPr>
                <w:rFonts w:ascii="Arial" w:hAnsi="Arial" w:cs="Arial"/>
              </w:rPr>
            </w:pPr>
          </w:p>
        </w:tc>
        <w:tc>
          <w:tcPr>
            <w:tcW w:w="360" w:type="dxa"/>
            <w:tcBorders>
              <w:top w:val="nil"/>
              <w:bottom w:val="nil"/>
            </w:tcBorders>
            <w:shd w:val="clear" w:color="auto" w:fill="auto"/>
            <w:vAlign w:val="center"/>
          </w:tcPr>
          <w:p w14:paraId="14EDE331"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450" w:type="dxa"/>
            <w:tcBorders>
              <w:top w:val="nil"/>
              <w:bottom w:val="nil"/>
            </w:tcBorders>
            <w:shd w:val="clear" w:color="auto" w:fill="auto"/>
            <w:vAlign w:val="center"/>
          </w:tcPr>
          <w:p w14:paraId="05319E4E" w14:textId="77777777" w:rsidR="003532D3" w:rsidRPr="00A44648" w:rsidRDefault="003532D3" w:rsidP="003532D3">
            <w:pPr>
              <w:spacing w:after="0"/>
              <w:jc w:val="center"/>
              <w:rPr>
                <w:rFonts w:ascii="Arial" w:hAnsi="Arial" w:cs="Arial"/>
              </w:rPr>
            </w:pPr>
          </w:p>
        </w:tc>
        <w:tc>
          <w:tcPr>
            <w:tcW w:w="360" w:type="dxa"/>
            <w:tcBorders>
              <w:top w:val="nil"/>
              <w:bottom w:val="nil"/>
            </w:tcBorders>
            <w:shd w:val="clear" w:color="auto" w:fill="auto"/>
            <w:vAlign w:val="center"/>
          </w:tcPr>
          <w:p w14:paraId="5B92BF18"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360" w:type="dxa"/>
            <w:tcBorders>
              <w:top w:val="nil"/>
              <w:bottom w:val="nil"/>
            </w:tcBorders>
            <w:vAlign w:val="center"/>
          </w:tcPr>
          <w:p w14:paraId="27B9F4BB" w14:textId="77777777" w:rsidR="003532D3" w:rsidRPr="00A44648" w:rsidRDefault="003532D3" w:rsidP="003532D3">
            <w:pPr>
              <w:spacing w:after="0"/>
              <w:jc w:val="center"/>
              <w:rPr>
                <w:rFonts w:ascii="Arial" w:hAnsi="Arial" w:cs="Arial"/>
              </w:rPr>
            </w:pPr>
          </w:p>
        </w:tc>
        <w:tc>
          <w:tcPr>
            <w:tcW w:w="450" w:type="dxa"/>
            <w:tcBorders>
              <w:top w:val="nil"/>
              <w:bottom w:val="nil"/>
            </w:tcBorders>
            <w:vAlign w:val="center"/>
          </w:tcPr>
          <w:p w14:paraId="23EE6AD3" w14:textId="77777777" w:rsidR="003532D3" w:rsidRPr="00A44648" w:rsidRDefault="003532D3" w:rsidP="003532D3">
            <w:pPr>
              <w:spacing w:after="0"/>
              <w:jc w:val="center"/>
              <w:rPr>
                <w:rFonts w:ascii="Arial" w:hAnsi="Arial" w:cs="Arial"/>
              </w:rPr>
            </w:pPr>
          </w:p>
        </w:tc>
        <w:tc>
          <w:tcPr>
            <w:tcW w:w="1260" w:type="dxa"/>
            <w:tcBorders>
              <w:top w:val="nil"/>
              <w:bottom w:val="nil"/>
            </w:tcBorders>
            <w:vAlign w:val="center"/>
          </w:tcPr>
          <w:p w14:paraId="0C84DFAC" w14:textId="77777777" w:rsidR="003532D3" w:rsidRPr="00A44648" w:rsidRDefault="003532D3" w:rsidP="003532D3">
            <w:pPr>
              <w:spacing w:after="0"/>
              <w:jc w:val="center"/>
              <w:rPr>
                <w:rFonts w:ascii="Arial" w:hAnsi="Arial" w:cs="Arial"/>
              </w:rPr>
            </w:pPr>
            <w:r w:rsidRPr="00A44648">
              <w:rPr>
                <w:rFonts w:ascii="Arial" w:hAnsi="Arial" w:cs="Arial"/>
              </w:rPr>
              <w:t>NAFIN/IDB</w:t>
            </w:r>
          </w:p>
        </w:tc>
        <w:tc>
          <w:tcPr>
            <w:tcW w:w="1170" w:type="dxa"/>
            <w:tcBorders>
              <w:top w:val="nil"/>
              <w:bottom w:val="nil"/>
            </w:tcBorders>
            <w:vAlign w:val="center"/>
          </w:tcPr>
          <w:p w14:paraId="608573BE" w14:textId="77777777" w:rsidR="003532D3" w:rsidRPr="00A44648" w:rsidRDefault="003532D3" w:rsidP="003532D3">
            <w:pPr>
              <w:spacing w:after="0"/>
              <w:jc w:val="center"/>
              <w:rPr>
                <w:rFonts w:ascii="Arial" w:hAnsi="Arial" w:cs="Arial"/>
              </w:rPr>
            </w:pPr>
            <w:r w:rsidRPr="00A44648">
              <w:rPr>
                <w:rFonts w:ascii="Arial" w:hAnsi="Arial" w:cs="Arial"/>
              </w:rPr>
              <w:t>10,000</w:t>
            </w:r>
          </w:p>
        </w:tc>
      </w:tr>
      <w:tr w:rsidR="003532D3" w:rsidRPr="00A44648" w14:paraId="5254C477" w14:textId="77777777" w:rsidTr="003532D3">
        <w:trPr>
          <w:jc w:val="center"/>
        </w:trPr>
        <w:tc>
          <w:tcPr>
            <w:tcW w:w="1885" w:type="dxa"/>
            <w:vAlign w:val="center"/>
          </w:tcPr>
          <w:p w14:paraId="399A6779" w14:textId="77777777" w:rsidR="003532D3" w:rsidRPr="00A44648" w:rsidRDefault="003532D3" w:rsidP="003532D3">
            <w:pPr>
              <w:spacing w:after="0"/>
              <w:rPr>
                <w:rFonts w:ascii="Arial" w:hAnsi="Arial" w:cs="Arial"/>
                <w:b/>
              </w:rPr>
            </w:pPr>
            <w:r w:rsidRPr="00A44648">
              <w:rPr>
                <w:rFonts w:ascii="Arial" w:hAnsi="Arial" w:cs="Arial"/>
                <w:b/>
              </w:rPr>
              <w:t>Informe Final (insumo para PCR)</w:t>
            </w:r>
          </w:p>
        </w:tc>
        <w:tc>
          <w:tcPr>
            <w:tcW w:w="450" w:type="dxa"/>
            <w:shd w:val="clear" w:color="auto" w:fill="auto"/>
            <w:vAlign w:val="center"/>
          </w:tcPr>
          <w:p w14:paraId="7380539D" w14:textId="77777777" w:rsidR="003532D3" w:rsidRPr="00A44648" w:rsidRDefault="003532D3" w:rsidP="003532D3">
            <w:pPr>
              <w:spacing w:after="0"/>
              <w:jc w:val="center"/>
              <w:rPr>
                <w:rFonts w:ascii="Arial" w:hAnsi="Arial" w:cs="Arial"/>
              </w:rPr>
            </w:pPr>
          </w:p>
        </w:tc>
        <w:tc>
          <w:tcPr>
            <w:tcW w:w="450" w:type="dxa"/>
            <w:shd w:val="clear" w:color="auto" w:fill="auto"/>
            <w:vAlign w:val="center"/>
          </w:tcPr>
          <w:p w14:paraId="1D1492E4" w14:textId="77777777" w:rsidR="003532D3" w:rsidRPr="00A44648" w:rsidRDefault="003532D3" w:rsidP="003532D3">
            <w:pPr>
              <w:spacing w:after="0"/>
              <w:jc w:val="center"/>
              <w:rPr>
                <w:rFonts w:ascii="Arial" w:hAnsi="Arial" w:cs="Arial"/>
              </w:rPr>
            </w:pPr>
          </w:p>
        </w:tc>
        <w:tc>
          <w:tcPr>
            <w:tcW w:w="450" w:type="dxa"/>
            <w:shd w:val="clear" w:color="auto" w:fill="auto"/>
            <w:vAlign w:val="center"/>
          </w:tcPr>
          <w:p w14:paraId="3953FB30" w14:textId="77777777" w:rsidR="003532D3" w:rsidRPr="00A44648" w:rsidRDefault="003532D3" w:rsidP="003532D3">
            <w:pPr>
              <w:spacing w:after="0"/>
              <w:jc w:val="center"/>
              <w:rPr>
                <w:rFonts w:ascii="Arial" w:hAnsi="Arial" w:cs="Arial"/>
              </w:rPr>
            </w:pPr>
          </w:p>
        </w:tc>
        <w:tc>
          <w:tcPr>
            <w:tcW w:w="360" w:type="dxa"/>
            <w:shd w:val="clear" w:color="auto" w:fill="auto"/>
            <w:vAlign w:val="center"/>
          </w:tcPr>
          <w:p w14:paraId="65D8296A" w14:textId="77777777" w:rsidR="003532D3" w:rsidRPr="00A44648" w:rsidRDefault="003532D3" w:rsidP="003532D3">
            <w:pPr>
              <w:spacing w:after="0"/>
              <w:jc w:val="center"/>
              <w:rPr>
                <w:rFonts w:ascii="Arial" w:hAnsi="Arial" w:cs="Arial"/>
              </w:rPr>
            </w:pPr>
          </w:p>
        </w:tc>
        <w:tc>
          <w:tcPr>
            <w:tcW w:w="450" w:type="dxa"/>
            <w:shd w:val="clear" w:color="auto" w:fill="auto"/>
            <w:vAlign w:val="center"/>
          </w:tcPr>
          <w:p w14:paraId="30B9C490" w14:textId="77777777" w:rsidR="003532D3" w:rsidRPr="00A44648" w:rsidRDefault="003532D3" w:rsidP="003532D3">
            <w:pPr>
              <w:spacing w:after="0"/>
              <w:jc w:val="center"/>
              <w:rPr>
                <w:rFonts w:ascii="Arial" w:hAnsi="Arial" w:cs="Arial"/>
              </w:rPr>
            </w:pPr>
          </w:p>
        </w:tc>
        <w:tc>
          <w:tcPr>
            <w:tcW w:w="360" w:type="dxa"/>
            <w:shd w:val="clear" w:color="auto" w:fill="auto"/>
            <w:vAlign w:val="center"/>
          </w:tcPr>
          <w:p w14:paraId="61B6A838" w14:textId="77777777" w:rsidR="003532D3" w:rsidRPr="00A44648" w:rsidRDefault="003532D3" w:rsidP="003532D3">
            <w:pPr>
              <w:spacing w:after="0"/>
              <w:jc w:val="center"/>
              <w:rPr>
                <w:rFonts w:ascii="Arial" w:hAnsi="Arial" w:cs="Arial"/>
              </w:rPr>
            </w:pPr>
          </w:p>
        </w:tc>
        <w:tc>
          <w:tcPr>
            <w:tcW w:w="360" w:type="dxa"/>
            <w:shd w:val="clear" w:color="auto" w:fill="auto"/>
            <w:vAlign w:val="center"/>
          </w:tcPr>
          <w:p w14:paraId="3760595E" w14:textId="77777777" w:rsidR="003532D3" w:rsidRPr="00A44648" w:rsidRDefault="003532D3" w:rsidP="003532D3">
            <w:pPr>
              <w:spacing w:after="0"/>
              <w:jc w:val="center"/>
              <w:rPr>
                <w:rFonts w:ascii="Arial" w:hAnsi="Arial" w:cs="Arial"/>
              </w:rPr>
            </w:pPr>
          </w:p>
        </w:tc>
        <w:tc>
          <w:tcPr>
            <w:tcW w:w="360" w:type="dxa"/>
            <w:shd w:val="clear" w:color="auto" w:fill="auto"/>
            <w:vAlign w:val="center"/>
          </w:tcPr>
          <w:p w14:paraId="065129A4" w14:textId="77777777" w:rsidR="003532D3" w:rsidRPr="00A44648" w:rsidRDefault="003532D3" w:rsidP="003532D3">
            <w:pPr>
              <w:spacing w:after="0"/>
              <w:jc w:val="center"/>
              <w:rPr>
                <w:rFonts w:ascii="Arial" w:hAnsi="Arial" w:cs="Arial"/>
              </w:rPr>
            </w:pPr>
          </w:p>
        </w:tc>
        <w:tc>
          <w:tcPr>
            <w:tcW w:w="360" w:type="dxa"/>
          </w:tcPr>
          <w:p w14:paraId="72B73EC8" w14:textId="77777777" w:rsidR="003532D3" w:rsidRPr="00A44648" w:rsidRDefault="003532D3" w:rsidP="003532D3">
            <w:pPr>
              <w:spacing w:after="0"/>
              <w:jc w:val="center"/>
              <w:rPr>
                <w:rFonts w:ascii="Arial" w:hAnsi="Arial" w:cs="Arial"/>
              </w:rPr>
            </w:pPr>
          </w:p>
        </w:tc>
        <w:tc>
          <w:tcPr>
            <w:tcW w:w="450" w:type="dxa"/>
          </w:tcPr>
          <w:p w14:paraId="7AF0866C" w14:textId="77777777" w:rsidR="003532D3" w:rsidRPr="00A44648" w:rsidRDefault="003532D3" w:rsidP="003532D3">
            <w:pPr>
              <w:spacing w:after="0"/>
              <w:jc w:val="center"/>
              <w:rPr>
                <w:rFonts w:ascii="Arial" w:hAnsi="Arial" w:cs="Arial"/>
              </w:rPr>
            </w:pPr>
          </w:p>
        </w:tc>
        <w:tc>
          <w:tcPr>
            <w:tcW w:w="360" w:type="dxa"/>
          </w:tcPr>
          <w:p w14:paraId="7861E287" w14:textId="77777777" w:rsidR="003532D3" w:rsidRPr="00A44648" w:rsidRDefault="003532D3" w:rsidP="003532D3">
            <w:pPr>
              <w:spacing w:after="0"/>
              <w:jc w:val="center"/>
              <w:rPr>
                <w:rFonts w:ascii="Arial" w:hAnsi="Arial" w:cs="Arial"/>
              </w:rPr>
            </w:pPr>
          </w:p>
        </w:tc>
        <w:tc>
          <w:tcPr>
            <w:tcW w:w="360" w:type="dxa"/>
          </w:tcPr>
          <w:p w14:paraId="5E3C5AA3" w14:textId="77777777" w:rsidR="003532D3" w:rsidRPr="00A44648" w:rsidRDefault="003532D3" w:rsidP="003532D3">
            <w:pPr>
              <w:spacing w:after="0"/>
              <w:jc w:val="center"/>
              <w:rPr>
                <w:rFonts w:ascii="Arial" w:hAnsi="Arial" w:cs="Arial"/>
              </w:rPr>
            </w:pPr>
          </w:p>
        </w:tc>
        <w:tc>
          <w:tcPr>
            <w:tcW w:w="450" w:type="dxa"/>
            <w:shd w:val="clear" w:color="auto" w:fill="auto"/>
            <w:vAlign w:val="center"/>
          </w:tcPr>
          <w:p w14:paraId="4C6E1A52" w14:textId="77777777" w:rsidR="003532D3" w:rsidRPr="00A44648" w:rsidRDefault="003532D3" w:rsidP="003532D3">
            <w:pPr>
              <w:spacing w:after="0"/>
              <w:jc w:val="center"/>
              <w:rPr>
                <w:rFonts w:ascii="Arial" w:hAnsi="Arial" w:cs="Arial"/>
              </w:rPr>
            </w:pPr>
          </w:p>
        </w:tc>
        <w:tc>
          <w:tcPr>
            <w:tcW w:w="360" w:type="dxa"/>
            <w:shd w:val="clear" w:color="auto" w:fill="auto"/>
            <w:vAlign w:val="center"/>
          </w:tcPr>
          <w:p w14:paraId="36F4A657" w14:textId="77777777" w:rsidR="003532D3" w:rsidRPr="00A44648" w:rsidRDefault="003532D3" w:rsidP="003532D3">
            <w:pPr>
              <w:spacing w:after="0"/>
              <w:jc w:val="center"/>
              <w:rPr>
                <w:rFonts w:ascii="Arial" w:hAnsi="Arial" w:cs="Arial"/>
              </w:rPr>
            </w:pPr>
          </w:p>
        </w:tc>
        <w:tc>
          <w:tcPr>
            <w:tcW w:w="450" w:type="dxa"/>
            <w:shd w:val="clear" w:color="auto" w:fill="auto"/>
            <w:vAlign w:val="center"/>
          </w:tcPr>
          <w:p w14:paraId="629E1652" w14:textId="77777777" w:rsidR="003532D3" w:rsidRPr="00A44648" w:rsidRDefault="003532D3" w:rsidP="003532D3">
            <w:pPr>
              <w:spacing w:after="0"/>
              <w:jc w:val="center"/>
              <w:rPr>
                <w:rFonts w:ascii="Arial" w:hAnsi="Arial" w:cs="Arial"/>
              </w:rPr>
            </w:pPr>
          </w:p>
        </w:tc>
        <w:tc>
          <w:tcPr>
            <w:tcW w:w="360" w:type="dxa"/>
            <w:shd w:val="clear" w:color="auto" w:fill="auto"/>
            <w:vAlign w:val="center"/>
          </w:tcPr>
          <w:p w14:paraId="65CB22E6" w14:textId="77777777" w:rsidR="003532D3" w:rsidRPr="00A44648" w:rsidRDefault="003532D3" w:rsidP="003532D3">
            <w:pPr>
              <w:spacing w:after="0"/>
              <w:jc w:val="center"/>
              <w:rPr>
                <w:rFonts w:ascii="Arial" w:hAnsi="Arial" w:cs="Arial"/>
              </w:rPr>
            </w:pPr>
          </w:p>
        </w:tc>
        <w:tc>
          <w:tcPr>
            <w:tcW w:w="360" w:type="dxa"/>
            <w:vAlign w:val="center"/>
          </w:tcPr>
          <w:p w14:paraId="3D06CCF6"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450" w:type="dxa"/>
            <w:vAlign w:val="center"/>
          </w:tcPr>
          <w:p w14:paraId="48F1D96D" w14:textId="77777777" w:rsidR="003532D3" w:rsidRPr="00A44648" w:rsidRDefault="003532D3" w:rsidP="003532D3">
            <w:pPr>
              <w:spacing w:after="0"/>
              <w:jc w:val="center"/>
              <w:rPr>
                <w:rFonts w:ascii="Arial" w:hAnsi="Arial" w:cs="Arial"/>
              </w:rPr>
            </w:pPr>
            <w:r w:rsidRPr="00A44648">
              <w:rPr>
                <w:rFonts w:ascii="Arial" w:hAnsi="Arial" w:cs="Arial"/>
              </w:rPr>
              <w:t>X</w:t>
            </w:r>
          </w:p>
        </w:tc>
        <w:tc>
          <w:tcPr>
            <w:tcW w:w="1260" w:type="dxa"/>
            <w:vAlign w:val="center"/>
          </w:tcPr>
          <w:p w14:paraId="012EFF32" w14:textId="77777777" w:rsidR="003532D3" w:rsidRPr="00A44648" w:rsidRDefault="003532D3" w:rsidP="003532D3">
            <w:pPr>
              <w:spacing w:after="0"/>
              <w:jc w:val="center"/>
              <w:rPr>
                <w:rFonts w:ascii="Arial" w:hAnsi="Arial" w:cs="Arial"/>
              </w:rPr>
            </w:pPr>
            <w:r w:rsidRPr="00A44648">
              <w:rPr>
                <w:rFonts w:ascii="Arial" w:hAnsi="Arial" w:cs="Arial"/>
              </w:rPr>
              <w:t>NAFINCCG /IDB</w:t>
            </w:r>
          </w:p>
        </w:tc>
        <w:tc>
          <w:tcPr>
            <w:tcW w:w="1170" w:type="dxa"/>
            <w:shd w:val="clear" w:color="auto" w:fill="auto"/>
            <w:vAlign w:val="center"/>
          </w:tcPr>
          <w:p w14:paraId="0300D76B" w14:textId="77777777" w:rsidR="003532D3" w:rsidRPr="00A44648" w:rsidRDefault="003532D3" w:rsidP="003532D3">
            <w:pPr>
              <w:spacing w:after="0"/>
              <w:jc w:val="center"/>
              <w:rPr>
                <w:rFonts w:ascii="Arial" w:hAnsi="Arial" w:cs="Arial"/>
                <w:b/>
              </w:rPr>
            </w:pPr>
            <w:r w:rsidRPr="00A44648">
              <w:rPr>
                <w:rFonts w:ascii="Arial" w:hAnsi="Arial" w:cs="Arial"/>
                <w:b/>
              </w:rPr>
              <w:t>30,000</w:t>
            </w:r>
          </w:p>
        </w:tc>
      </w:tr>
      <w:tr w:rsidR="003532D3" w:rsidRPr="00A44648" w14:paraId="6BDB0C7C" w14:textId="77777777" w:rsidTr="003532D3">
        <w:trPr>
          <w:trHeight w:val="80"/>
          <w:jc w:val="center"/>
        </w:trPr>
        <w:tc>
          <w:tcPr>
            <w:tcW w:w="1885" w:type="dxa"/>
            <w:tcBorders>
              <w:top w:val="single" w:sz="4" w:space="0" w:color="auto"/>
              <w:left w:val="nil"/>
              <w:bottom w:val="nil"/>
              <w:right w:val="nil"/>
            </w:tcBorders>
          </w:tcPr>
          <w:p w14:paraId="1901EF19" w14:textId="77777777" w:rsidR="003532D3" w:rsidRPr="00A44648" w:rsidRDefault="003532D3" w:rsidP="003532D3">
            <w:pPr>
              <w:spacing w:after="0"/>
              <w:jc w:val="center"/>
              <w:rPr>
                <w:rFonts w:ascii="Arial" w:hAnsi="Arial" w:cs="Arial"/>
                <w:b/>
              </w:rPr>
            </w:pPr>
          </w:p>
        </w:tc>
        <w:tc>
          <w:tcPr>
            <w:tcW w:w="900" w:type="dxa"/>
            <w:gridSpan w:val="2"/>
            <w:tcBorders>
              <w:top w:val="single" w:sz="4" w:space="0" w:color="auto"/>
              <w:left w:val="nil"/>
              <w:bottom w:val="nil"/>
              <w:right w:val="nil"/>
            </w:tcBorders>
            <w:vAlign w:val="center"/>
          </w:tcPr>
          <w:p w14:paraId="7A3E3F7C" w14:textId="77777777" w:rsidR="003532D3" w:rsidRPr="00A44648" w:rsidRDefault="003532D3" w:rsidP="003532D3">
            <w:pPr>
              <w:spacing w:after="0"/>
              <w:jc w:val="center"/>
              <w:rPr>
                <w:rFonts w:ascii="Arial" w:hAnsi="Arial" w:cs="Arial"/>
              </w:rPr>
            </w:pPr>
          </w:p>
        </w:tc>
        <w:tc>
          <w:tcPr>
            <w:tcW w:w="810" w:type="dxa"/>
            <w:gridSpan w:val="2"/>
            <w:tcBorders>
              <w:top w:val="single" w:sz="4" w:space="0" w:color="auto"/>
              <w:left w:val="nil"/>
              <w:bottom w:val="nil"/>
              <w:right w:val="nil"/>
            </w:tcBorders>
            <w:vAlign w:val="center"/>
          </w:tcPr>
          <w:p w14:paraId="41167B19" w14:textId="77777777" w:rsidR="003532D3" w:rsidRPr="00A44648" w:rsidRDefault="003532D3" w:rsidP="003532D3">
            <w:pPr>
              <w:spacing w:after="0"/>
              <w:jc w:val="center"/>
              <w:rPr>
                <w:rFonts w:ascii="Arial" w:hAnsi="Arial" w:cs="Arial"/>
              </w:rPr>
            </w:pPr>
          </w:p>
        </w:tc>
        <w:tc>
          <w:tcPr>
            <w:tcW w:w="810" w:type="dxa"/>
            <w:gridSpan w:val="2"/>
            <w:tcBorders>
              <w:top w:val="single" w:sz="4" w:space="0" w:color="auto"/>
              <w:left w:val="nil"/>
              <w:bottom w:val="nil"/>
              <w:right w:val="nil"/>
            </w:tcBorders>
            <w:vAlign w:val="center"/>
          </w:tcPr>
          <w:p w14:paraId="167D3C16" w14:textId="77777777" w:rsidR="003532D3" w:rsidRPr="00A44648" w:rsidRDefault="003532D3" w:rsidP="003532D3">
            <w:pPr>
              <w:spacing w:after="0"/>
              <w:jc w:val="center"/>
              <w:rPr>
                <w:rFonts w:ascii="Arial" w:hAnsi="Arial" w:cs="Arial"/>
              </w:rPr>
            </w:pPr>
          </w:p>
        </w:tc>
        <w:tc>
          <w:tcPr>
            <w:tcW w:w="720" w:type="dxa"/>
            <w:gridSpan w:val="2"/>
            <w:tcBorders>
              <w:top w:val="single" w:sz="4" w:space="0" w:color="auto"/>
              <w:left w:val="nil"/>
              <w:bottom w:val="nil"/>
              <w:right w:val="nil"/>
            </w:tcBorders>
            <w:vAlign w:val="center"/>
          </w:tcPr>
          <w:p w14:paraId="5D76CED7" w14:textId="77777777" w:rsidR="003532D3" w:rsidRPr="00A44648" w:rsidRDefault="003532D3" w:rsidP="003532D3">
            <w:pPr>
              <w:spacing w:after="0"/>
              <w:jc w:val="center"/>
              <w:rPr>
                <w:rFonts w:ascii="Arial" w:hAnsi="Arial" w:cs="Arial"/>
              </w:rPr>
            </w:pPr>
          </w:p>
        </w:tc>
        <w:tc>
          <w:tcPr>
            <w:tcW w:w="360" w:type="dxa"/>
            <w:tcBorders>
              <w:top w:val="single" w:sz="4" w:space="0" w:color="auto"/>
              <w:left w:val="nil"/>
              <w:bottom w:val="nil"/>
              <w:right w:val="nil"/>
            </w:tcBorders>
          </w:tcPr>
          <w:p w14:paraId="31E9E672" w14:textId="77777777" w:rsidR="003532D3" w:rsidRPr="00A44648" w:rsidRDefault="003532D3" w:rsidP="003532D3">
            <w:pPr>
              <w:spacing w:after="0"/>
              <w:jc w:val="center"/>
              <w:rPr>
                <w:rFonts w:ascii="Arial" w:hAnsi="Arial" w:cs="Arial"/>
              </w:rPr>
            </w:pPr>
          </w:p>
        </w:tc>
        <w:tc>
          <w:tcPr>
            <w:tcW w:w="450" w:type="dxa"/>
            <w:tcBorders>
              <w:top w:val="single" w:sz="4" w:space="0" w:color="auto"/>
              <w:left w:val="nil"/>
              <w:bottom w:val="nil"/>
              <w:right w:val="nil"/>
            </w:tcBorders>
          </w:tcPr>
          <w:p w14:paraId="753A832B" w14:textId="77777777" w:rsidR="003532D3" w:rsidRPr="00A44648" w:rsidRDefault="003532D3" w:rsidP="003532D3">
            <w:pPr>
              <w:spacing w:after="0"/>
              <w:jc w:val="center"/>
              <w:rPr>
                <w:rFonts w:ascii="Arial" w:hAnsi="Arial" w:cs="Arial"/>
              </w:rPr>
            </w:pPr>
          </w:p>
        </w:tc>
        <w:tc>
          <w:tcPr>
            <w:tcW w:w="360" w:type="dxa"/>
            <w:tcBorders>
              <w:top w:val="single" w:sz="4" w:space="0" w:color="auto"/>
              <w:left w:val="nil"/>
              <w:bottom w:val="nil"/>
              <w:right w:val="nil"/>
            </w:tcBorders>
          </w:tcPr>
          <w:p w14:paraId="60C70E11" w14:textId="77777777" w:rsidR="003532D3" w:rsidRPr="00A44648" w:rsidRDefault="003532D3" w:rsidP="003532D3">
            <w:pPr>
              <w:spacing w:after="0"/>
              <w:jc w:val="center"/>
              <w:rPr>
                <w:rFonts w:ascii="Arial" w:hAnsi="Arial" w:cs="Arial"/>
              </w:rPr>
            </w:pPr>
          </w:p>
        </w:tc>
        <w:tc>
          <w:tcPr>
            <w:tcW w:w="360" w:type="dxa"/>
            <w:tcBorders>
              <w:top w:val="single" w:sz="4" w:space="0" w:color="auto"/>
              <w:left w:val="nil"/>
              <w:bottom w:val="nil"/>
              <w:right w:val="nil"/>
            </w:tcBorders>
          </w:tcPr>
          <w:p w14:paraId="4F738F58" w14:textId="77777777" w:rsidR="003532D3" w:rsidRPr="00A44648" w:rsidRDefault="003532D3" w:rsidP="003532D3">
            <w:pPr>
              <w:spacing w:after="0"/>
              <w:jc w:val="center"/>
              <w:rPr>
                <w:rFonts w:ascii="Arial" w:hAnsi="Arial" w:cs="Arial"/>
              </w:rPr>
            </w:pPr>
          </w:p>
        </w:tc>
        <w:tc>
          <w:tcPr>
            <w:tcW w:w="810" w:type="dxa"/>
            <w:gridSpan w:val="2"/>
            <w:tcBorders>
              <w:top w:val="single" w:sz="4" w:space="0" w:color="auto"/>
              <w:left w:val="nil"/>
              <w:bottom w:val="nil"/>
              <w:right w:val="nil"/>
            </w:tcBorders>
            <w:vAlign w:val="center"/>
          </w:tcPr>
          <w:p w14:paraId="1F4F15C3" w14:textId="77777777" w:rsidR="003532D3" w:rsidRPr="00A44648" w:rsidRDefault="003532D3" w:rsidP="003532D3">
            <w:pPr>
              <w:spacing w:after="0"/>
              <w:jc w:val="center"/>
              <w:rPr>
                <w:rFonts w:ascii="Arial" w:hAnsi="Arial" w:cs="Arial"/>
              </w:rPr>
            </w:pPr>
          </w:p>
        </w:tc>
        <w:tc>
          <w:tcPr>
            <w:tcW w:w="810" w:type="dxa"/>
            <w:gridSpan w:val="2"/>
            <w:tcBorders>
              <w:left w:val="single" w:sz="4" w:space="0" w:color="auto"/>
              <w:right w:val="single" w:sz="4" w:space="0" w:color="auto"/>
            </w:tcBorders>
          </w:tcPr>
          <w:p w14:paraId="380297CE" w14:textId="77777777" w:rsidR="003532D3" w:rsidRPr="00A44648" w:rsidRDefault="003532D3" w:rsidP="003532D3">
            <w:pPr>
              <w:spacing w:after="0"/>
              <w:jc w:val="center"/>
              <w:rPr>
                <w:rFonts w:ascii="Arial" w:hAnsi="Arial" w:cs="Arial"/>
                <w:b/>
              </w:rPr>
            </w:pPr>
          </w:p>
        </w:tc>
        <w:tc>
          <w:tcPr>
            <w:tcW w:w="360" w:type="dxa"/>
            <w:tcBorders>
              <w:left w:val="single" w:sz="4" w:space="0" w:color="auto"/>
              <w:right w:val="single" w:sz="4" w:space="0" w:color="auto"/>
            </w:tcBorders>
          </w:tcPr>
          <w:p w14:paraId="56869BFE" w14:textId="77777777" w:rsidR="003532D3" w:rsidRPr="00A44648" w:rsidRDefault="003532D3" w:rsidP="003532D3">
            <w:pPr>
              <w:spacing w:after="0"/>
              <w:jc w:val="center"/>
              <w:rPr>
                <w:rFonts w:ascii="Arial" w:hAnsi="Arial" w:cs="Arial"/>
                <w:b/>
              </w:rPr>
            </w:pPr>
          </w:p>
        </w:tc>
        <w:tc>
          <w:tcPr>
            <w:tcW w:w="1710" w:type="dxa"/>
            <w:gridSpan w:val="2"/>
            <w:tcBorders>
              <w:left w:val="single" w:sz="4" w:space="0" w:color="auto"/>
            </w:tcBorders>
            <w:vAlign w:val="center"/>
          </w:tcPr>
          <w:p w14:paraId="051B372B" w14:textId="77777777" w:rsidR="003532D3" w:rsidRPr="00A44648" w:rsidRDefault="003532D3" w:rsidP="003532D3">
            <w:pPr>
              <w:spacing w:after="0"/>
              <w:jc w:val="center"/>
              <w:rPr>
                <w:rFonts w:ascii="Arial" w:hAnsi="Arial" w:cs="Arial"/>
                <w:b/>
              </w:rPr>
            </w:pPr>
            <w:r w:rsidRPr="00A44648">
              <w:rPr>
                <w:rFonts w:ascii="Arial" w:hAnsi="Arial" w:cs="Arial"/>
                <w:b/>
              </w:rPr>
              <w:t>Total</w:t>
            </w:r>
          </w:p>
        </w:tc>
        <w:tc>
          <w:tcPr>
            <w:tcW w:w="1170" w:type="dxa"/>
            <w:vAlign w:val="center"/>
          </w:tcPr>
          <w:p w14:paraId="00202293" w14:textId="77777777" w:rsidR="003532D3" w:rsidRPr="00A44648" w:rsidRDefault="003532D3" w:rsidP="003532D3">
            <w:pPr>
              <w:spacing w:after="0"/>
              <w:jc w:val="center"/>
              <w:rPr>
                <w:rFonts w:ascii="Arial" w:hAnsi="Arial" w:cs="Arial"/>
                <w:b/>
              </w:rPr>
            </w:pPr>
            <w:r w:rsidRPr="00A44648">
              <w:rPr>
                <w:rFonts w:ascii="Arial" w:hAnsi="Arial" w:cs="Arial"/>
                <w:b/>
              </w:rPr>
              <w:t>114.000</w:t>
            </w:r>
          </w:p>
        </w:tc>
      </w:tr>
    </w:tbl>
    <w:p w14:paraId="4D7ADBE5" w14:textId="77777777" w:rsidR="007C39FF" w:rsidRPr="00A44648" w:rsidRDefault="007C39FF" w:rsidP="007C39FF">
      <w:pPr>
        <w:pStyle w:val="ListParagraph"/>
        <w:tabs>
          <w:tab w:val="left" w:pos="1440"/>
          <w:tab w:val="left" w:pos="3060"/>
        </w:tabs>
        <w:ind w:left="1425"/>
        <w:outlineLvl w:val="0"/>
        <w:rPr>
          <w:rFonts w:ascii="Arial" w:hAnsi="Arial" w:cs="Arial"/>
          <w:b/>
          <w:smallCaps/>
        </w:rPr>
      </w:pPr>
    </w:p>
    <w:p w14:paraId="7D52C92A" w14:textId="77777777" w:rsidR="007C39FF" w:rsidRPr="00A44648" w:rsidRDefault="007C39FF" w:rsidP="007C39FF">
      <w:pPr>
        <w:pStyle w:val="ListParagraph"/>
        <w:tabs>
          <w:tab w:val="left" w:pos="1440"/>
          <w:tab w:val="left" w:pos="3060"/>
        </w:tabs>
        <w:ind w:left="1425"/>
        <w:outlineLvl w:val="0"/>
        <w:rPr>
          <w:rFonts w:ascii="Arial" w:hAnsi="Arial" w:cs="Arial"/>
          <w:b/>
          <w:smallCaps/>
        </w:rPr>
      </w:pPr>
    </w:p>
    <w:p w14:paraId="6BFC3C74" w14:textId="77777777" w:rsidR="00463B31" w:rsidRPr="00A44648" w:rsidRDefault="001A7E25" w:rsidP="00090B99">
      <w:pPr>
        <w:pStyle w:val="ListParagraph"/>
        <w:numPr>
          <w:ilvl w:val="0"/>
          <w:numId w:val="2"/>
        </w:numPr>
        <w:tabs>
          <w:tab w:val="left" w:pos="1440"/>
          <w:tab w:val="left" w:pos="3060"/>
        </w:tabs>
        <w:jc w:val="center"/>
        <w:outlineLvl w:val="0"/>
        <w:rPr>
          <w:rFonts w:ascii="Arial" w:hAnsi="Arial" w:cs="Arial"/>
          <w:b/>
          <w:smallCaps/>
        </w:rPr>
      </w:pPr>
      <w:r w:rsidRPr="00A44648">
        <w:rPr>
          <w:rFonts w:ascii="Arial" w:hAnsi="Arial" w:cs="Arial"/>
          <w:b/>
          <w:smallCaps/>
        </w:rPr>
        <w:t>EVALUA</w:t>
      </w:r>
      <w:r w:rsidR="002D452D" w:rsidRPr="00A44648">
        <w:rPr>
          <w:rFonts w:ascii="Arial" w:hAnsi="Arial" w:cs="Arial"/>
          <w:b/>
          <w:smallCaps/>
        </w:rPr>
        <w:t>C</w:t>
      </w:r>
      <w:r w:rsidRPr="00A44648">
        <w:rPr>
          <w:rFonts w:ascii="Arial" w:hAnsi="Arial" w:cs="Arial"/>
          <w:b/>
          <w:smallCaps/>
        </w:rPr>
        <w:t>I</w:t>
      </w:r>
      <w:r w:rsidR="002D452D" w:rsidRPr="00A44648">
        <w:rPr>
          <w:rFonts w:ascii="Arial" w:hAnsi="Arial" w:cs="Arial"/>
          <w:b/>
          <w:smallCaps/>
        </w:rPr>
        <w:t>Ó</w:t>
      </w:r>
      <w:r w:rsidRPr="00A44648">
        <w:rPr>
          <w:rFonts w:ascii="Arial" w:hAnsi="Arial" w:cs="Arial"/>
          <w:b/>
          <w:smallCaps/>
        </w:rPr>
        <w:t>N</w:t>
      </w:r>
      <w:bookmarkStart w:id="60" w:name="_Toc375062483"/>
      <w:bookmarkStart w:id="61" w:name="_Toc375062514"/>
      <w:bookmarkStart w:id="62" w:name="_Toc375062596"/>
      <w:bookmarkStart w:id="63" w:name="_Toc375066798"/>
      <w:bookmarkStart w:id="64" w:name="_Toc375126120"/>
      <w:bookmarkStart w:id="65" w:name="_Toc375126298"/>
      <w:bookmarkStart w:id="66" w:name="_Toc375146674"/>
      <w:bookmarkStart w:id="67" w:name="_Toc375150063"/>
      <w:bookmarkEnd w:id="58"/>
      <w:bookmarkEnd w:id="59"/>
      <w:bookmarkEnd w:id="60"/>
      <w:bookmarkEnd w:id="61"/>
      <w:bookmarkEnd w:id="62"/>
      <w:bookmarkEnd w:id="63"/>
      <w:bookmarkEnd w:id="64"/>
      <w:bookmarkEnd w:id="65"/>
      <w:bookmarkEnd w:id="66"/>
      <w:bookmarkEnd w:id="67"/>
    </w:p>
    <w:p w14:paraId="46A81312" w14:textId="77777777" w:rsidR="007C39FF" w:rsidRPr="00A44648" w:rsidRDefault="00772BBF" w:rsidP="007C39FF">
      <w:pPr>
        <w:pStyle w:val="AutoNumpara"/>
        <w:rPr>
          <w:rFonts w:ascii="Arial" w:hAnsi="Arial" w:cs="Arial"/>
          <w:sz w:val="22"/>
          <w:szCs w:val="22"/>
          <w:lang w:val="es-ES"/>
        </w:rPr>
      </w:pPr>
      <w:r w:rsidRPr="00A44648">
        <w:rPr>
          <w:rFonts w:ascii="Arial" w:hAnsi="Arial" w:cs="Arial"/>
          <w:sz w:val="22"/>
          <w:szCs w:val="22"/>
        </w:rPr>
        <w:t>T</w:t>
      </w:r>
      <w:r w:rsidR="001A4410" w:rsidRPr="00A44648">
        <w:rPr>
          <w:rFonts w:ascii="Arial" w:hAnsi="Arial" w:cs="Arial"/>
          <w:sz w:val="22"/>
          <w:szCs w:val="22"/>
        </w:rPr>
        <w:t>he evalua</w:t>
      </w:r>
      <w:r w:rsidR="007C39FF" w:rsidRPr="00A44648">
        <w:rPr>
          <w:rFonts w:ascii="Arial" w:hAnsi="Arial" w:cs="Arial"/>
          <w:sz w:val="22"/>
          <w:szCs w:val="22"/>
        </w:rPr>
        <w:t>ción del programa medirá el resultado economico de la implementación del mismo.</w:t>
      </w:r>
      <w:r w:rsidR="001A4410" w:rsidRPr="00A44648">
        <w:rPr>
          <w:rFonts w:ascii="Arial" w:hAnsi="Arial" w:cs="Arial"/>
          <w:sz w:val="22"/>
          <w:szCs w:val="22"/>
        </w:rPr>
        <w:t xml:space="preserve"> </w:t>
      </w:r>
      <w:bookmarkStart w:id="68" w:name="_Hlk510623284"/>
      <w:r w:rsidR="007C39FF" w:rsidRPr="00A44648">
        <w:rPr>
          <w:rFonts w:ascii="Arial" w:hAnsi="Arial" w:cs="Arial"/>
          <w:sz w:val="22"/>
          <w:szCs w:val="22"/>
        </w:rPr>
        <w:t xml:space="preserve">Con este fin, </w:t>
      </w:r>
      <w:bookmarkStart w:id="69" w:name="_Toc508101958"/>
      <w:r w:rsidR="007C39FF" w:rsidRPr="00A44648">
        <w:rPr>
          <w:rFonts w:ascii="Arial" w:hAnsi="Arial" w:cs="Arial"/>
          <w:sz w:val="22"/>
          <w:szCs w:val="22"/>
          <w:lang w:val="es-ES"/>
        </w:rPr>
        <w:t>NAFIN realizará la evaluación de medio término una vez desembolsado 50% de la totalidad de los recursos.</w:t>
      </w:r>
      <w:bookmarkEnd w:id="69"/>
      <w:r w:rsidR="007C39FF" w:rsidRPr="00A44648">
        <w:rPr>
          <w:rFonts w:ascii="Arial" w:hAnsi="Arial" w:cs="Arial"/>
          <w:sz w:val="22"/>
          <w:szCs w:val="22"/>
          <w:lang w:val="es-ES"/>
        </w:rPr>
        <w:t xml:space="preserve"> De la misma manera NAFIN entregará un informe en donde se reporte el progreso alcanzado. Este reporte se preparará cada seis meses. Al finalizar el programa se llevará a cabo tanto un análisis de costo-beneficio ex post, así como también informe de cierre del proyecto (PCR con sus siglas en inglés). Cabe destacar que NAFIN en coordinación con SENER serán encargados de realizar el PCR y el análisis de costo-beneficio ex post.</w:t>
      </w:r>
      <w:bookmarkEnd w:id="68"/>
      <w:r w:rsidR="007C39FF" w:rsidRPr="00A44648">
        <w:rPr>
          <w:rFonts w:ascii="Arial" w:hAnsi="Arial" w:cs="Arial"/>
          <w:sz w:val="22"/>
          <w:szCs w:val="22"/>
          <w:lang w:val="es-ES"/>
        </w:rPr>
        <w:t xml:space="preserve"> </w:t>
      </w:r>
    </w:p>
    <w:p w14:paraId="38F066CA" w14:textId="48E227B5" w:rsidR="00F65CDC" w:rsidRPr="00A44648" w:rsidRDefault="007C39FF" w:rsidP="00163B83">
      <w:pPr>
        <w:pStyle w:val="ListParagraph"/>
        <w:numPr>
          <w:ilvl w:val="0"/>
          <w:numId w:val="9"/>
        </w:numPr>
        <w:ind w:left="360"/>
        <w:outlineLvl w:val="0"/>
        <w:rPr>
          <w:rFonts w:ascii="Arial" w:hAnsi="Arial" w:cs="Arial"/>
          <w:b/>
          <w:smallCaps/>
          <w:noProof/>
        </w:rPr>
      </w:pPr>
      <w:bookmarkStart w:id="70" w:name="_Toc375150065"/>
      <w:bookmarkStart w:id="71" w:name="_Toc381109250"/>
      <w:r w:rsidRPr="00A44648">
        <w:rPr>
          <w:rFonts w:ascii="Arial" w:hAnsi="Arial" w:cs="Arial"/>
          <w:b/>
          <w:smallCaps/>
          <w:noProof/>
        </w:rPr>
        <w:t xml:space="preserve">Indicadores de Resultados </w:t>
      </w:r>
      <w:bookmarkEnd w:id="70"/>
      <w:bookmarkEnd w:id="71"/>
      <w:r w:rsidR="001A7E25" w:rsidRPr="00A44648">
        <w:rPr>
          <w:rFonts w:ascii="Arial" w:hAnsi="Arial" w:cs="Arial"/>
          <w:b/>
          <w:smallCaps/>
          <w:noProof/>
        </w:rPr>
        <w:tab/>
      </w:r>
    </w:p>
    <w:p w14:paraId="79A437A2" w14:textId="77777777" w:rsidR="00C21513" w:rsidRPr="00A44648" w:rsidRDefault="007C39FF" w:rsidP="00C21513">
      <w:pPr>
        <w:pStyle w:val="AutoNumpara"/>
        <w:rPr>
          <w:rFonts w:ascii="Arial" w:hAnsi="Arial" w:cs="Arial"/>
          <w:sz w:val="22"/>
          <w:szCs w:val="22"/>
        </w:rPr>
      </w:pPr>
      <w:r w:rsidRPr="00A44648">
        <w:rPr>
          <w:rFonts w:ascii="Arial" w:hAnsi="Arial" w:cs="Arial"/>
          <w:sz w:val="22"/>
          <w:szCs w:val="22"/>
        </w:rPr>
        <w:t>La tabla 4 muestra los indicadores de resultados</w:t>
      </w:r>
      <w:r w:rsidR="00C21513" w:rsidRPr="00A44648">
        <w:rPr>
          <w:rFonts w:ascii="Arial" w:hAnsi="Arial" w:cs="Arial"/>
          <w:sz w:val="22"/>
          <w:szCs w:val="22"/>
        </w:rPr>
        <w:t xml:space="preserve">, </w:t>
      </w:r>
      <w:r w:rsidRPr="00A44648">
        <w:rPr>
          <w:rFonts w:ascii="Arial" w:hAnsi="Arial" w:cs="Arial"/>
          <w:sz w:val="22"/>
          <w:szCs w:val="22"/>
        </w:rPr>
        <w:t>fuentes de información y la frecnuencia con que se va a recolectar la información</w:t>
      </w:r>
      <w:r w:rsidR="008938B6" w:rsidRPr="00A44648">
        <w:rPr>
          <w:rFonts w:ascii="Arial" w:hAnsi="Arial" w:cs="Arial"/>
          <w:sz w:val="22"/>
          <w:szCs w:val="22"/>
        </w:rPr>
        <w:t>.</w:t>
      </w:r>
    </w:p>
    <w:p w14:paraId="2BF74367" w14:textId="77777777" w:rsidR="00C94A61" w:rsidRPr="00A44648" w:rsidRDefault="00937D90">
      <w:pPr>
        <w:pStyle w:val="BodyText2"/>
        <w:spacing w:after="0" w:line="240" w:lineRule="auto"/>
        <w:jc w:val="center"/>
        <w:rPr>
          <w:rFonts w:ascii="Arial" w:hAnsi="Arial" w:cs="Arial"/>
          <w:b/>
          <w:sz w:val="22"/>
          <w:szCs w:val="22"/>
          <w:lang w:val="en-US"/>
        </w:rPr>
      </w:pPr>
      <w:r w:rsidRPr="00A44648">
        <w:rPr>
          <w:rFonts w:ascii="Arial" w:hAnsi="Arial" w:cs="Arial"/>
          <w:b/>
          <w:sz w:val="22"/>
          <w:szCs w:val="22"/>
          <w:lang w:val="en-US"/>
        </w:rPr>
        <w:t>Tabl</w:t>
      </w:r>
      <w:r w:rsidR="007C39FF" w:rsidRPr="00A44648">
        <w:rPr>
          <w:rFonts w:ascii="Arial" w:hAnsi="Arial" w:cs="Arial"/>
          <w:b/>
          <w:sz w:val="22"/>
          <w:szCs w:val="22"/>
          <w:lang w:val="en-US"/>
        </w:rPr>
        <w:t>a</w:t>
      </w:r>
      <w:r w:rsidRPr="00A44648">
        <w:rPr>
          <w:rFonts w:ascii="Arial" w:hAnsi="Arial" w:cs="Arial"/>
          <w:b/>
          <w:sz w:val="22"/>
          <w:szCs w:val="22"/>
          <w:lang w:val="en-US"/>
        </w:rPr>
        <w:t xml:space="preserve"> </w:t>
      </w:r>
      <w:r w:rsidR="007C39FF" w:rsidRPr="00A44648">
        <w:rPr>
          <w:rFonts w:ascii="Arial" w:hAnsi="Arial" w:cs="Arial"/>
          <w:b/>
          <w:sz w:val="22"/>
          <w:szCs w:val="22"/>
          <w:lang w:val="en-US"/>
        </w:rPr>
        <w:t>4</w:t>
      </w:r>
      <w:r w:rsidR="007969EB" w:rsidRPr="00A44648">
        <w:rPr>
          <w:rFonts w:ascii="Arial" w:hAnsi="Arial" w:cs="Arial"/>
          <w:b/>
          <w:sz w:val="22"/>
          <w:szCs w:val="22"/>
          <w:lang w:val="en-US"/>
        </w:rPr>
        <w:t>:</w:t>
      </w:r>
      <w:r w:rsidRPr="00A44648">
        <w:rPr>
          <w:rFonts w:ascii="Arial" w:hAnsi="Arial" w:cs="Arial"/>
          <w:b/>
          <w:sz w:val="22"/>
          <w:szCs w:val="22"/>
          <w:lang w:val="en-US"/>
        </w:rPr>
        <w:t xml:space="preserve"> Indica</w:t>
      </w:r>
      <w:r w:rsidR="007C39FF" w:rsidRPr="00A44648">
        <w:rPr>
          <w:rFonts w:ascii="Arial" w:hAnsi="Arial" w:cs="Arial"/>
          <w:b/>
          <w:sz w:val="22"/>
          <w:szCs w:val="22"/>
          <w:lang w:val="en-US"/>
        </w:rPr>
        <w:t>d</w:t>
      </w:r>
      <w:r w:rsidRPr="00A44648">
        <w:rPr>
          <w:rFonts w:ascii="Arial" w:hAnsi="Arial" w:cs="Arial"/>
          <w:b/>
          <w:sz w:val="22"/>
          <w:szCs w:val="22"/>
          <w:lang w:val="en-US"/>
        </w:rPr>
        <w:t>or</w:t>
      </w:r>
      <w:r w:rsidR="007C39FF" w:rsidRPr="00A44648">
        <w:rPr>
          <w:rFonts w:ascii="Arial" w:hAnsi="Arial" w:cs="Arial"/>
          <w:b/>
          <w:sz w:val="22"/>
          <w:szCs w:val="22"/>
          <w:lang w:val="en-US"/>
        </w:rPr>
        <w:t>e</w:t>
      </w:r>
      <w:r w:rsidRPr="00A44648">
        <w:rPr>
          <w:rFonts w:ascii="Arial" w:hAnsi="Arial" w:cs="Arial"/>
          <w:b/>
          <w:sz w:val="22"/>
          <w:szCs w:val="22"/>
          <w:lang w:val="en-US"/>
        </w:rPr>
        <w:t>s</w:t>
      </w:r>
      <w:r w:rsidR="007C39FF" w:rsidRPr="00A44648">
        <w:rPr>
          <w:rFonts w:ascii="Arial" w:hAnsi="Arial" w:cs="Arial"/>
          <w:b/>
          <w:sz w:val="22"/>
          <w:szCs w:val="22"/>
          <w:lang w:val="en-US"/>
        </w:rPr>
        <w:t xml:space="preserve"> de Resultados</w:t>
      </w:r>
    </w:p>
    <w:tbl>
      <w:tblPr>
        <w:tblpPr w:leftFromText="180" w:rightFromText="180" w:vertAnchor="text" w:horzAnchor="margin" w:tblpXSpec="center" w:tblpY="247"/>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40" w:firstRow="0" w:lastRow="1" w:firstColumn="0" w:lastColumn="0" w:noHBand="0" w:noVBand="0"/>
      </w:tblPr>
      <w:tblGrid>
        <w:gridCol w:w="2394"/>
        <w:gridCol w:w="900"/>
        <w:gridCol w:w="1404"/>
        <w:gridCol w:w="5490"/>
      </w:tblGrid>
      <w:tr w:rsidR="003532D3" w:rsidRPr="00A44648" w14:paraId="371BEFA7" w14:textId="77777777" w:rsidTr="003532D3">
        <w:trPr>
          <w:cantSplit/>
        </w:trPr>
        <w:tc>
          <w:tcPr>
            <w:tcW w:w="2394" w:type="dxa"/>
            <w:tcBorders>
              <w:bottom w:val="single" w:sz="4" w:space="0" w:color="auto"/>
            </w:tcBorders>
            <w:shd w:val="clear" w:color="auto" w:fill="F2F2F2"/>
            <w:vAlign w:val="center"/>
          </w:tcPr>
          <w:p w14:paraId="47E1A281" w14:textId="77777777" w:rsidR="003532D3" w:rsidRPr="00A44648" w:rsidRDefault="003532D3" w:rsidP="003532D3">
            <w:pPr>
              <w:jc w:val="center"/>
              <w:rPr>
                <w:rFonts w:ascii="Arial" w:hAnsi="Arial" w:cs="Arial"/>
                <w:b/>
                <w:bCs/>
              </w:rPr>
            </w:pPr>
            <w:r w:rsidRPr="00A44648">
              <w:rPr>
                <w:rFonts w:ascii="Arial" w:hAnsi="Arial" w:cs="Arial"/>
                <w:b/>
                <w:bCs/>
              </w:rPr>
              <w:t>Indicadores</w:t>
            </w:r>
          </w:p>
        </w:tc>
        <w:tc>
          <w:tcPr>
            <w:tcW w:w="900" w:type="dxa"/>
            <w:tcBorders>
              <w:bottom w:val="single" w:sz="4" w:space="0" w:color="auto"/>
            </w:tcBorders>
            <w:shd w:val="clear" w:color="auto" w:fill="F2F2F2"/>
            <w:vAlign w:val="center"/>
          </w:tcPr>
          <w:p w14:paraId="362411C5" w14:textId="77777777" w:rsidR="003532D3" w:rsidRPr="00A44648" w:rsidRDefault="003532D3" w:rsidP="003532D3">
            <w:pPr>
              <w:ind w:left="-50" w:firstLine="50"/>
              <w:jc w:val="center"/>
              <w:rPr>
                <w:rFonts w:ascii="Arial" w:hAnsi="Arial" w:cs="Arial"/>
                <w:b/>
                <w:bCs/>
              </w:rPr>
            </w:pPr>
            <w:r w:rsidRPr="00A44648">
              <w:rPr>
                <w:rFonts w:ascii="Arial" w:hAnsi="Arial" w:cs="Arial"/>
                <w:b/>
                <w:bCs/>
              </w:rPr>
              <w:t>Unidad</w:t>
            </w:r>
            <w:r w:rsidRPr="00A44648">
              <w:rPr>
                <w:rStyle w:val="FootnoteReference"/>
                <w:rFonts w:ascii="Arial" w:hAnsi="Arial" w:cs="Arial"/>
                <w:bCs/>
                <w:sz w:val="22"/>
              </w:rPr>
              <w:footnoteReference w:id="10"/>
            </w:r>
          </w:p>
        </w:tc>
        <w:tc>
          <w:tcPr>
            <w:tcW w:w="1404" w:type="dxa"/>
            <w:tcBorders>
              <w:bottom w:val="single" w:sz="4" w:space="0" w:color="auto"/>
            </w:tcBorders>
            <w:shd w:val="clear" w:color="auto" w:fill="F2F2F2"/>
            <w:vAlign w:val="center"/>
          </w:tcPr>
          <w:p w14:paraId="20CA836B" w14:textId="77777777" w:rsidR="003532D3" w:rsidRPr="00A44648" w:rsidRDefault="003532D3" w:rsidP="003532D3">
            <w:pPr>
              <w:ind w:left="-50" w:firstLine="50"/>
              <w:jc w:val="center"/>
              <w:rPr>
                <w:rFonts w:ascii="Arial" w:hAnsi="Arial" w:cs="Arial"/>
                <w:b/>
                <w:bCs/>
              </w:rPr>
            </w:pPr>
            <w:r w:rsidRPr="00A44648">
              <w:rPr>
                <w:rFonts w:ascii="Arial" w:hAnsi="Arial" w:cs="Arial"/>
                <w:b/>
                <w:bCs/>
              </w:rPr>
              <w:t>Frecuencia de medición</w:t>
            </w:r>
          </w:p>
        </w:tc>
        <w:tc>
          <w:tcPr>
            <w:tcW w:w="5490" w:type="dxa"/>
            <w:tcBorders>
              <w:bottom w:val="single" w:sz="4" w:space="0" w:color="auto"/>
            </w:tcBorders>
            <w:shd w:val="clear" w:color="auto" w:fill="F2F2F2"/>
            <w:vAlign w:val="center"/>
          </w:tcPr>
          <w:p w14:paraId="142052FA" w14:textId="77777777" w:rsidR="003532D3" w:rsidRPr="00A44648" w:rsidRDefault="003532D3" w:rsidP="003532D3">
            <w:pPr>
              <w:jc w:val="center"/>
              <w:rPr>
                <w:rFonts w:ascii="Arial" w:hAnsi="Arial" w:cs="Arial"/>
                <w:b/>
                <w:bCs/>
              </w:rPr>
            </w:pPr>
            <w:r w:rsidRPr="00A44648">
              <w:rPr>
                <w:rFonts w:ascii="Arial" w:hAnsi="Arial" w:cs="Arial"/>
                <w:b/>
                <w:bCs/>
              </w:rPr>
              <w:t>Descripción / Fuente de Verificación</w:t>
            </w:r>
          </w:p>
        </w:tc>
      </w:tr>
      <w:tr w:rsidR="003532D3" w:rsidRPr="00A44648" w14:paraId="3888BB2A" w14:textId="77777777" w:rsidTr="003532D3">
        <w:trPr>
          <w:cantSplit/>
        </w:trPr>
        <w:tc>
          <w:tcPr>
            <w:tcW w:w="2394" w:type="dxa"/>
            <w:tcBorders>
              <w:right w:val="nil"/>
            </w:tcBorders>
            <w:shd w:val="clear" w:color="auto" w:fill="BFBFBF" w:themeFill="background1" w:themeFillShade="BF"/>
            <w:vAlign w:val="center"/>
          </w:tcPr>
          <w:p w14:paraId="45C5A14D" w14:textId="77777777" w:rsidR="003532D3" w:rsidRPr="00A44648" w:rsidRDefault="003532D3" w:rsidP="003532D3">
            <w:pPr>
              <w:spacing w:before="60" w:after="60"/>
              <w:rPr>
                <w:rFonts w:ascii="Arial" w:hAnsi="Arial" w:cs="Arial"/>
              </w:rPr>
            </w:pPr>
            <w:r w:rsidRPr="00A44648">
              <w:rPr>
                <w:rFonts w:ascii="Arial" w:hAnsi="Arial" w:cs="Arial"/>
                <w:b/>
                <w:smallCaps/>
              </w:rPr>
              <w:t>Resultados</w:t>
            </w:r>
          </w:p>
        </w:tc>
        <w:tc>
          <w:tcPr>
            <w:tcW w:w="900" w:type="dxa"/>
            <w:tcBorders>
              <w:left w:val="nil"/>
              <w:right w:val="nil"/>
            </w:tcBorders>
            <w:shd w:val="clear" w:color="auto" w:fill="BFBFBF" w:themeFill="background1" w:themeFillShade="BF"/>
            <w:vAlign w:val="center"/>
          </w:tcPr>
          <w:p w14:paraId="49C9D353" w14:textId="77777777" w:rsidR="003532D3" w:rsidRPr="00A44648" w:rsidRDefault="003532D3" w:rsidP="003532D3">
            <w:pPr>
              <w:spacing w:before="60" w:after="60"/>
              <w:jc w:val="center"/>
              <w:rPr>
                <w:rFonts w:ascii="Arial" w:hAnsi="Arial" w:cs="Arial"/>
              </w:rPr>
            </w:pPr>
          </w:p>
        </w:tc>
        <w:tc>
          <w:tcPr>
            <w:tcW w:w="1404" w:type="dxa"/>
            <w:tcBorders>
              <w:left w:val="nil"/>
              <w:right w:val="nil"/>
            </w:tcBorders>
            <w:shd w:val="clear" w:color="auto" w:fill="BFBFBF" w:themeFill="background1" w:themeFillShade="BF"/>
            <w:vAlign w:val="center"/>
          </w:tcPr>
          <w:p w14:paraId="5EBCF483" w14:textId="77777777" w:rsidR="003532D3" w:rsidRPr="00A44648" w:rsidRDefault="003532D3" w:rsidP="003532D3">
            <w:pPr>
              <w:spacing w:before="60" w:after="60"/>
              <w:jc w:val="center"/>
              <w:rPr>
                <w:rFonts w:ascii="Arial" w:hAnsi="Arial" w:cs="Arial"/>
              </w:rPr>
            </w:pPr>
          </w:p>
        </w:tc>
        <w:tc>
          <w:tcPr>
            <w:tcW w:w="5490" w:type="dxa"/>
            <w:tcBorders>
              <w:left w:val="nil"/>
            </w:tcBorders>
            <w:shd w:val="clear" w:color="auto" w:fill="BFBFBF" w:themeFill="background1" w:themeFillShade="BF"/>
            <w:vAlign w:val="center"/>
          </w:tcPr>
          <w:p w14:paraId="11FD2BDF" w14:textId="77777777" w:rsidR="003532D3" w:rsidRPr="00A44648" w:rsidRDefault="003532D3" w:rsidP="003532D3">
            <w:pPr>
              <w:spacing w:before="60" w:after="60"/>
              <w:rPr>
                <w:rFonts w:ascii="Arial" w:hAnsi="Arial" w:cs="Arial"/>
              </w:rPr>
            </w:pPr>
          </w:p>
        </w:tc>
      </w:tr>
      <w:tr w:rsidR="003532D3" w:rsidRPr="00A44648" w14:paraId="4997F01F" w14:textId="77777777" w:rsidTr="003532D3">
        <w:trPr>
          <w:cantSplit/>
        </w:trPr>
        <w:tc>
          <w:tcPr>
            <w:tcW w:w="2394" w:type="dxa"/>
            <w:vAlign w:val="center"/>
          </w:tcPr>
          <w:p w14:paraId="78297511" w14:textId="77777777" w:rsidR="003532D3" w:rsidRPr="00A44648" w:rsidRDefault="003532D3" w:rsidP="003532D3">
            <w:pPr>
              <w:pStyle w:val="ListParagraph"/>
              <w:ind w:left="0"/>
              <w:rPr>
                <w:rFonts w:ascii="Arial" w:hAnsi="Arial" w:cs="Arial"/>
                <w:lang w:val="es-ES_tradnl"/>
              </w:rPr>
            </w:pPr>
            <w:r w:rsidRPr="00A44648">
              <w:rPr>
                <w:rFonts w:ascii="Arial" w:hAnsi="Arial" w:cs="Arial"/>
                <w:lang w:val="es-ES_tradnl"/>
              </w:rPr>
              <w:t>Proyectos geotérmicos totales financiados por el programa en alguna etapa que alcanzaron su cierre financiero para la construcción de una planta.</w:t>
            </w:r>
          </w:p>
        </w:tc>
        <w:tc>
          <w:tcPr>
            <w:tcW w:w="900" w:type="dxa"/>
            <w:vAlign w:val="center"/>
          </w:tcPr>
          <w:p w14:paraId="697D09C8" w14:textId="77777777" w:rsidR="003532D3" w:rsidRPr="00A44648" w:rsidRDefault="003532D3" w:rsidP="003532D3">
            <w:pPr>
              <w:spacing w:before="60" w:after="60"/>
              <w:jc w:val="center"/>
              <w:rPr>
                <w:rFonts w:ascii="Arial" w:hAnsi="Arial" w:cs="Arial"/>
              </w:rPr>
            </w:pPr>
            <w:r w:rsidRPr="00A44648">
              <w:rPr>
                <w:rFonts w:ascii="Arial" w:hAnsi="Arial" w:cs="Arial"/>
              </w:rPr>
              <w:t xml:space="preserve">Número </w:t>
            </w:r>
          </w:p>
        </w:tc>
        <w:tc>
          <w:tcPr>
            <w:tcW w:w="1404" w:type="dxa"/>
            <w:vAlign w:val="center"/>
          </w:tcPr>
          <w:p w14:paraId="7CED1A30" w14:textId="77777777" w:rsidR="003532D3" w:rsidRPr="00A44648" w:rsidRDefault="003532D3" w:rsidP="003532D3">
            <w:pPr>
              <w:spacing w:before="60" w:after="60"/>
              <w:jc w:val="center"/>
              <w:rPr>
                <w:rFonts w:ascii="Arial" w:hAnsi="Arial" w:cs="Arial"/>
                <w:lang w:val="es-ES_tradnl"/>
              </w:rPr>
            </w:pPr>
            <w:r w:rsidRPr="00A44648">
              <w:rPr>
                <w:rFonts w:ascii="Arial" w:hAnsi="Arial" w:cs="Arial"/>
                <w:lang w:val="es-ES_tradnl"/>
              </w:rPr>
              <w:t>Una vez, al final del período de ejecución</w:t>
            </w:r>
          </w:p>
        </w:tc>
        <w:tc>
          <w:tcPr>
            <w:tcW w:w="5490" w:type="dxa"/>
            <w:vAlign w:val="center"/>
          </w:tcPr>
          <w:p w14:paraId="2F12B027" w14:textId="77777777" w:rsidR="003532D3" w:rsidRPr="00A44648" w:rsidRDefault="003532D3" w:rsidP="003532D3">
            <w:pPr>
              <w:spacing w:before="60" w:after="60"/>
              <w:rPr>
                <w:rFonts w:ascii="Arial" w:hAnsi="Arial" w:cs="Arial"/>
                <w:lang w:val="es-ES_tradnl"/>
              </w:rPr>
            </w:pPr>
            <w:r w:rsidRPr="00A44648">
              <w:rPr>
                <w:rFonts w:ascii="Arial" w:hAnsi="Arial" w:cs="Arial"/>
                <w:lang w:val="es-ES_tradnl"/>
              </w:rPr>
              <w:t>Incluye la cantidad total de proyectos que han logrado asegurar financiamiento total para la construcción de la planta en el año indicado. Debido a los largos períodos de vencimiento asociados con estos proyectos, los proyectos financiados desde la etapa de exploración temprana podrían no haber alcanzado esta etapa hasta pasado el período de monitoreo (ver meta año 10).</w:t>
            </w:r>
          </w:p>
          <w:p w14:paraId="7AFCA6CD" w14:textId="77777777" w:rsidR="003532D3" w:rsidRPr="00A44648" w:rsidRDefault="003532D3" w:rsidP="003532D3">
            <w:pPr>
              <w:spacing w:before="60" w:after="60"/>
              <w:rPr>
                <w:rFonts w:ascii="Arial" w:hAnsi="Arial" w:cs="Arial"/>
                <w:lang w:val="es-ES_tradnl"/>
              </w:rPr>
            </w:pPr>
          </w:p>
        </w:tc>
      </w:tr>
      <w:tr w:rsidR="003532D3" w:rsidRPr="00A44648" w14:paraId="0DB62AED" w14:textId="77777777" w:rsidTr="003532D3">
        <w:trPr>
          <w:cantSplit/>
        </w:trPr>
        <w:tc>
          <w:tcPr>
            <w:tcW w:w="2394" w:type="dxa"/>
            <w:vAlign w:val="center"/>
          </w:tcPr>
          <w:p w14:paraId="64E3B398" w14:textId="77777777" w:rsidR="003532D3" w:rsidRPr="00A44648" w:rsidRDefault="003532D3" w:rsidP="003532D3">
            <w:pPr>
              <w:pStyle w:val="ListParagraph"/>
              <w:ind w:left="0"/>
              <w:rPr>
                <w:rFonts w:ascii="Arial" w:hAnsi="Arial" w:cs="Arial"/>
                <w:lang w:val="es-ES_tradnl"/>
              </w:rPr>
            </w:pPr>
            <w:r w:rsidRPr="00A44648">
              <w:rPr>
                <w:rFonts w:ascii="Arial" w:hAnsi="Arial" w:cs="Arial"/>
                <w:lang w:val="es-ES_tradnl"/>
              </w:rPr>
              <w:t>Proyectos geotérmicos totales financiados por el programa en alguna etapa que están en operación (producen electricidad)</w:t>
            </w:r>
          </w:p>
        </w:tc>
        <w:tc>
          <w:tcPr>
            <w:tcW w:w="900" w:type="dxa"/>
            <w:vAlign w:val="center"/>
          </w:tcPr>
          <w:p w14:paraId="0E6DC25C" w14:textId="77777777" w:rsidR="003532D3" w:rsidRPr="00A44648" w:rsidRDefault="003532D3" w:rsidP="003532D3">
            <w:pPr>
              <w:spacing w:before="60" w:after="60"/>
              <w:jc w:val="center"/>
              <w:rPr>
                <w:rFonts w:ascii="Arial" w:hAnsi="Arial" w:cs="Arial"/>
              </w:rPr>
            </w:pPr>
            <w:r w:rsidRPr="00A44648">
              <w:rPr>
                <w:rFonts w:ascii="Arial" w:hAnsi="Arial" w:cs="Arial"/>
              </w:rPr>
              <w:t>Número</w:t>
            </w:r>
          </w:p>
        </w:tc>
        <w:tc>
          <w:tcPr>
            <w:tcW w:w="1404" w:type="dxa"/>
            <w:vAlign w:val="center"/>
          </w:tcPr>
          <w:p w14:paraId="23C60BBB" w14:textId="77777777" w:rsidR="003532D3" w:rsidRPr="00A44648" w:rsidRDefault="003532D3" w:rsidP="003532D3">
            <w:pPr>
              <w:spacing w:before="60" w:after="60"/>
              <w:jc w:val="center"/>
              <w:rPr>
                <w:rFonts w:ascii="Arial" w:hAnsi="Arial" w:cs="Arial"/>
                <w:lang w:val="es-ES_tradnl"/>
              </w:rPr>
            </w:pPr>
            <w:r w:rsidRPr="00A44648">
              <w:rPr>
                <w:rFonts w:ascii="Arial" w:hAnsi="Arial" w:cs="Arial"/>
                <w:lang w:val="es-ES_tradnl"/>
              </w:rPr>
              <w:t>Una vez, al final del año 9 (incluye el valor proyectado para el año 10 en la matriz de resultados)</w:t>
            </w:r>
          </w:p>
        </w:tc>
        <w:tc>
          <w:tcPr>
            <w:tcW w:w="5490" w:type="dxa"/>
            <w:vAlign w:val="center"/>
          </w:tcPr>
          <w:p w14:paraId="7FBCC345" w14:textId="77777777" w:rsidR="003532D3" w:rsidRPr="00A44648" w:rsidRDefault="003532D3" w:rsidP="003532D3">
            <w:pPr>
              <w:spacing w:before="60" w:after="60"/>
              <w:rPr>
                <w:rFonts w:ascii="Arial" w:hAnsi="Arial" w:cs="Arial"/>
                <w:lang w:val="es-ES_tradnl"/>
              </w:rPr>
            </w:pPr>
            <w:r w:rsidRPr="00A44648">
              <w:rPr>
                <w:rFonts w:ascii="Arial" w:hAnsi="Arial" w:cs="Arial"/>
                <w:lang w:val="es-ES_tradnl"/>
              </w:rPr>
              <w:t xml:space="preserve">Incluye la cantidad total de proyectos operando en el ano indicado. Debido a los largos períodos de vencimiento asociados con estos proyectos, los proyectos financiados desde la etapa de exploración temprana podrían no estar en operación total sino hasta pasado el periodo de monitoreo (ver meta año 10). </w:t>
            </w:r>
          </w:p>
          <w:p w14:paraId="079C3311" w14:textId="77777777" w:rsidR="003532D3" w:rsidRPr="00A44648" w:rsidRDefault="003532D3" w:rsidP="003532D3">
            <w:pPr>
              <w:spacing w:before="60" w:after="60"/>
              <w:rPr>
                <w:rFonts w:ascii="Arial" w:hAnsi="Arial" w:cs="Arial"/>
                <w:lang w:val="es-ES_tradnl"/>
              </w:rPr>
            </w:pPr>
            <w:r w:rsidRPr="00A44648">
              <w:rPr>
                <w:rFonts w:ascii="Arial" w:hAnsi="Arial" w:cs="Arial"/>
                <w:lang w:val="es-ES_tradnl"/>
              </w:rPr>
              <w:t>Fuente: Reporte del programa elaborado por NAFIN.</w:t>
            </w:r>
          </w:p>
          <w:p w14:paraId="0E5FD68A" w14:textId="77777777" w:rsidR="003532D3" w:rsidRPr="00A44648" w:rsidRDefault="003532D3" w:rsidP="003532D3">
            <w:pPr>
              <w:spacing w:before="60" w:after="60"/>
              <w:rPr>
                <w:rFonts w:ascii="Arial" w:hAnsi="Arial" w:cs="Arial"/>
              </w:rPr>
            </w:pPr>
          </w:p>
        </w:tc>
      </w:tr>
      <w:tr w:rsidR="003532D3" w:rsidRPr="00A44648" w14:paraId="519435CD" w14:textId="77777777" w:rsidTr="003532D3">
        <w:trPr>
          <w:cantSplit/>
        </w:trPr>
        <w:tc>
          <w:tcPr>
            <w:tcW w:w="2394" w:type="dxa"/>
            <w:vAlign w:val="center"/>
          </w:tcPr>
          <w:p w14:paraId="209981D1" w14:textId="77777777" w:rsidR="003532D3" w:rsidRPr="00A44648" w:rsidRDefault="003532D3" w:rsidP="003532D3">
            <w:pPr>
              <w:pStyle w:val="ListParagraph"/>
              <w:ind w:left="0"/>
              <w:rPr>
                <w:rFonts w:ascii="Arial" w:hAnsi="Arial" w:cs="Arial"/>
                <w:lang w:val="es-ES_tradnl"/>
              </w:rPr>
            </w:pPr>
            <w:r w:rsidRPr="00A44648">
              <w:rPr>
                <w:rFonts w:ascii="Arial" w:hAnsi="Arial" w:cs="Arial"/>
                <w:lang w:val="es-ES_tradnl"/>
              </w:rPr>
              <w:t>Capacidad de generación geotérmica instalada en proyectos financiados en alguna etapa por el programa</w:t>
            </w:r>
          </w:p>
        </w:tc>
        <w:tc>
          <w:tcPr>
            <w:tcW w:w="900" w:type="dxa"/>
            <w:vAlign w:val="center"/>
          </w:tcPr>
          <w:p w14:paraId="3C15FFD9" w14:textId="77777777" w:rsidR="003532D3" w:rsidRPr="00A44648" w:rsidRDefault="003532D3" w:rsidP="003532D3">
            <w:pPr>
              <w:spacing w:before="60" w:after="60"/>
              <w:jc w:val="center"/>
              <w:rPr>
                <w:rFonts w:ascii="Arial" w:hAnsi="Arial" w:cs="Arial"/>
              </w:rPr>
            </w:pPr>
            <w:r w:rsidRPr="00A44648">
              <w:rPr>
                <w:rFonts w:ascii="Arial" w:hAnsi="Arial" w:cs="Arial"/>
              </w:rPr>
              <w:t>MWe</w:t>
            </w:r>
          </w:p>
        </w:tc>
        <w:tc>
          <w:tcPr>
            <w:tcW w:w="1404" w:type="dxa"/>
            <w:vAlign w:val="center"/>
          </w:tcPr>
          <w:p w14:paraId="33050844" w14:textId="77777777" w:rsidR="003532D3" w:rsidRPr="00A44648" w:rsidRDefault="003532D3" w:rsidP="003532D3">
            <w:pPr>
              <w:spacing w:before="60" w:after="60"/>
              <w:jc w:val="center"/>
              <w:rPr>
                <w:rFonts w:ascii="Arial" w:hAnsi="Arial" w:cs="Arial"/>
                <w:lang w:val="es-ES_tradnl"/>
              </w:rPr>
            </w:pPr>
            <w:r w:rsidRPr="00A44648">
              <w:rPr>
                <w:rFonts w:ascii="Arial" w:hAnsi="Arial" w:cs="Arial"/>
                <w:lang w:val="es-ES_tradnl"/>
              </w:rPr>
              <w:t>Una vez, al final del año 9 (incluye el valor proyectado para el año 10 en la matriz de resultados)</w:t>
            </w:r>
          </w:p>
        </w:tc>
        <w:tc>
          <w:tcPr>
            <w:tcW w:w="5490" w:type="dxa"/>
            <w:vAlign w:val="center"/>
          </w:tcPr>
          <w:p w14:paraId="631AE9C6" w14:textId="77777777" w:rsidR="003532D3" w:rsidRPr="00A44648" w:rsidRDefault="003532D3" w:rsidP="003532D3">
            <w:pPr>
              <w:spacing w:before="60" w:after="60"/>
              <w:rPr>
                <w:rFonts w:ascii="Arial" w:hAnsi="Arial" w:cs="Arial"/>
                <w:lang w:val="es-ES_tradnl"/>
              </w:rPr>
            </w:pPr>
            <w:r w:rsidRPr="00A44648">
              <w:rPr>
                <w:rFonts w:ascii="Arial" w:hAnsi="Arial" w:cs="Arial"/>
                <w:lang w:val="es-ES_tradnl"/>
              </w:rPr>
              <w:t>Solamente incluye la capacidad lista para producción</w:t>
            </w:r>
            <w:r w:rsidRPr="00A44648">
              <w:rPr>
                <w:rFonts w:ascii="Arial" w:hAnsi="Arial" w:cs="Arial"/>
                <w:vertAlign w:val="superscript"/>
                <w:lang w:val="es-ES_tradnl"/>
              </w:rPr>
              <w:footnoteReference w:id="11"/>
            </w:r>
            <w:r w:rsidRPr="00A44648">
              <w:rPr>
                <w:rFonts w:ascii="Arial" w:hAnsi="Arial" w:cs="Arial"/>
                <w:lang w:val="es-ES_tradnl"/>
              </w:rPr>
              <w:t>. Debido a los largos períodos de vencimiento asociados con estos proyectos, la capacidad resultante de proyectos financiados desde la etapa de exploración temprana podrían no estar instalados hasta pasado el período de monitoreo (ver meta año 10)</w:t>
            </w:r>
          </w:p>
          <w:p w14:paraId="1A873F4D" w14:textId="77777777" w:rsidR="003532D3" w:rsidRPr="00A44648" w:rsidRDefault="003532D3" w:rsidP="003532D3">
            <w:pPr>
              <w:spacing w:before="60" w:after="60"/>
              <w:rPr>
                <w:rFonts w:ascii="Arial" w:hAnsi="Arial" w:cs="Arial"/>
              </w:rPr>
            </w:pPr>
            <w:r w:rsidRPr="00A44648">
              <w:rPr>
                <w:rFonts w:ascii="Arial" w:hAnsi="Arial" w:cs="Arial"/>
                <w:lang w:val="es-ES_tradnl"/>
              </w:rPr>
              <w:t>Fuente: Reporte del programa elaborado por NAFIN.</w:t>
            </w:r>
          </w:p>
        </w:tc>
      </w:tr>
      <w:tr w:rsidR="003532D3" w:rsidRPr="00A44648" w14:paraId="0657CFC1" w14:textId="77777777" w:rsidTr="003532D3">
        <w:trPr>
          <w:cantSplit/>
        </w:trPr>
        <w:tc>
          <w:tcPr>
            <w:tcW w:w="2394" w:type="dxa"/>
            <w:vAlign w:val="center"/>
          </w:tcPr>
          <w:p w14:paraId="3DE0E897" w14:textId="77777777" w:rsidR="003532D3" w:rsidRPr="00A44648" w:rsidRDefault="003532D3" w:rsidP="003532D3">
            <w:pPr>
              <w:pStyle w:val="ListParagraph"/>
              <w:ind w:left="0"/>
              <w:rPr>
                <w:rFonts w:ascii="Arial" w:hAnsi="Arial" w:cs="Arial"/>
                <w:lang w:val="es-ES_tradnl"/>
              </w:rPr>
            </w:pPr>
            <w:r w:rsidRPr="00A44648">
              <w:rPr>
                <w:rFonts w:ascii="Arial" w:hAnsi="Arial" w:cs="Arial"/>
                <w:lang w:val="es-ES_tradnl"/>
              </w:rPr>
              <w:t>Producción de electricidad a partir de proyectos financiados en alguna etapa por el programa</w:t>
            </w:r>
          </w:p>
        </w:tc>
        <w:tc>
          <w:tcPr>
            <w:tcW w:w="900" w:type="dxa"/>
            <w:vAlign w:val="center"/>
          </w:tcPr>
          <w:p w14:paraId="7847D101" w14:textId="69023EAC" w:rsidR="003532D3" w:rsidRPr="00A44648" w:rsidRDefault="003532D3" w:rsidP="003532D3">
            <w:pPr>
              <w:spacing w:before="60" w:after="60"/>
              <w:rPr>
                <w:rFonts w:ascii="Arial" w:hAnsi="Arial" w:cs="Arial"/>
                <w:lang w:val="es-ES_tradnl"/>
              </w:rPr>
            </w:pPr>
            <w:r w:rsidRPr="00A44648">
              <w:rPr>
                <w:rFonts w:ascii="Arial" w:hAnsi="Arial" w:cs="Arial"/>
                <w:lang w:val="es-ES_tradnl"/>
              </w:rPr>
              <w:t>GWh/</w:t>
            </w:r>
            <w:r w:rsidR="002E0F93" w:rsidRPr="00A44648">
              <w:rPr>
                <w:rFonts w:ascii="Arial" w:hAnsi="Arial" w:cs="Arial"/>
              </w:rPr>
              <w:t xml:space="preserve"> año</w:t>
            </w:r>
          </w:p>
        </w:tc>
        <w:tc>
          <w:tcPr>
            <w:tcW w:w="1404" w:type="dxa"/>
            <w:vAlign w:val="center"/>
          </w:tcPr>
          <w:p w14:paraId="7629FFA2" w14:textId="77777777" w:rsidR="003532D3" w:rsidRPr="00A44648" w:rsidRDefault="003532D3" w:rsidP="003532D3">
            <w:pPr>
              <w:spacing w:before="60" w:after="60"/>
              <w:jc w:val="center"/>
              <w:rPr>
                <w:rFonts w:ascii="Arial" w:hAnsi="Arial" w:cs="Arial"/>
                <w:lang w:val="es-ES_tradnl"/>
              </w:rPr>
            </w:pPr>
            <w:r w:rsidRPr="00A44648">
              <w:rPr>
                <w:rFonts w:ascii="Arial" w:hAnsi="Arial" w:cs="Arial"/>
                <w:lang w:val="es-ES_tradnl"/>
              </w:rPr>
              <w:t>Una vez, al final del año 9 (incluye el valor proyectado para el año 10 en la matriz de resultados)</w:t>
            </w:r>
          </w:p>
        </w:tc>
        <w:tc>
          <w:tcPr>
            <w:tcW w:w="5490" w:type="dxa"/>
            <w:vAlign w:val="center"/>
          </w:tcPr>
          <w:p w14:paraId="4440D5D3" w14:textId="77777777" w:rsidR="003532D3" w:rsidRPr="00A44648" w:rsidRDefault="003532D3" w:rsidP="003532D3">
            <w:pPr>
              <w:spacing w:before="60" w:after="60"/>
              <w:rPr>
                <w:rFonts w:ascii="Arial" w:hAnsi="Arial" w:cs="Arial"/>
                <w:lang w:val="es-ES_tradnl"/>
              </w:rPr>
            </w:pPr>
            <w:r w:rsidRPr="00A44648">
              <w:rPr>
                <w:rFonts w:ascii="Arial" w:hAnsi="Arial" w:cs="Arial"/>
                <w:lang w:val="es-ES_tradnl"/>
              </w:rPr>
              <w:t>Fuente: Reporte del programa elaborado por NAFIN. Estimaciones con base en la capacidad instalada esperada, un factor de producción promedio en México de 24 horas/día, los 365 días/ año.</w:t>
            </w:r>
          </w:p>
        </w:tc>
      </w:tr>
      <w:tr w:rsidR="003532D3" w:rsidRPr="00A44648" w14:paraId="52D46DDB" w14:textId="77777777" w:rsidTr="003532D3">
        <w:trPr>
          <w:cantSplit/>
          <w:trHeight w:val="2438"/>
        </w:trPr>
        <w:tc>
          <w:tcPr>
            <w:tcW w:w="2394" w:type="dxa"/>
            <w:vAlign w:val="center"/>
          </w:tcPr>
          <w:p w14:paraId="71C9D941" w14:textId="77777777" w:rsidR="003532D3" w:rsidRPr="00A44648" w:rsidRDefault="003532D3" w:rsidP="003532D3">
            <w:pPr>
              <w:pStyle w:val="ListParagraph"/>
              <w:ind w:left="0"/>
              <w:rPr>
                <w:rFonts w:ascii="Arial" w:hAnsi="Arial" w:cs="Arial"/>
                <w:lang w:val="es-ES_tradnl"/>
              </w:rPr>
            </w:pPr>
            <w:r w:rsidRPr="00A44648">
              <w:rPr>
                <w:rFonts w:ascii="Arial" w:hAnsi="Arial" w:cs="Arial"/>
                <w:lang w:val="es-ES_tradnl"/>
              </w:rPr>
              <w:t>Gases de Efecto Invernadero (GEI) evitados por proyectos geotérmicos financiados en alguna etapa por el programa</w:t>
            </w:r>
          </w:p>
        </w:tc>
        <w:tc>
          <w:tcPr>
            <w:tcW w:w="900" w:type="dxa"/>
            <w:vAlign w:val="center"/>
          </w:tcPr>
          <w:p w14:paraId="67A09104" w14:textId="32B408D7" w:rsidR="003532D3" w:rsidRPr="00A44648" w:rsidRDefault="00D748B3" w:rsidP="003532D3">
            <w:pPr>
              <w:spacing w:before="60" w:after="60"/>
              <w:rPr>
                <w:rFonts w:ascii="Arial" w:hAnsi="Arial" w:cs="Arial"/>
                <w:lang w:val="es-ES_tradnl"/>
              </w:rPr>
            </w:pPr>
            <w:r w:rsidRPr="00A44648">
              <w:rPr>
                <w:rFonts w:ascii="Arial" w:hAnsi="Arial" w:cs="Arial"/>
                <w:lang w:val="es-ES_tradnl"/>
              </w:rPr>
              <w:t>k</w:t>
            </w:r>
            <w:r w:rsidR="003532D3" w:rsidRPr="00A44648">
              <w:rPr>
                <w:rFonts w:ascii="Arial" w:hAnsi="Arial" w:cs="Arial"/>
                <w:lang w:val="es-ES_tradnl"/>
              </w:rPr>
              <w:t>tCO2e/</w:t>
            </w:r>
            <w:r w:rsidR="002E0F93" w:rsidRPr="00A44648">
              <w:rPr>
                <w:rFonts w:ascii="Arial" w:hAnsi="Arial" w:cs="Arial"/>
              </w:rPr>
              <w:t xml:space="preserve"> año</w:t>
            </w:r>
          </w:p>
          <w:p w14:paraId="15E830C7" w14:textId="77777777" w:rsidR="003532D3" w:rsidRPr="00A44648" w:rsidRDefault="003532D3" w:rsidP="003532D3">
            <w:pPr>
              <w:spacing w:before="60" w:after="60"/>
              <w:jc w:val="center"/>
              <w:rPr>
                <w:rFonts w:ascii="Arial" w:hAnsi="Arial" w:cs="Arial"/>
                <w:lang w:val="es-ES_tradnl"/>
              </w:rPr>
            </w:pPr>
          </w:p>
        </w:tc>
        <w:tc>
          <w:tcPr>
            <w:tcW w:w="1404" w:type="dxa"/>
            <w:vAlign w:val="center"/>
          </w:tcPr>
          <w:p w14:paraId="07A41278" w14:textId="77777777" w:rsidR="003532D3" w:rsidRPr="00A44648" w:rsidRDefault="003532D3" w:rsidP="003532D3">
            <w:pPr>
              <w:spacing w:before="60" w:after="60"/>
              <w:jc w:val="center"/>
              <w:rPr>
                <w:rFonts w:ascii="Arial" w:hAnsi="Arial" w:cs="Arial"/>
                <w:lang w:val="es-ES_tradnl"/>
              </w:rPr>
            </w:pPr>
            <w:r w:rsidRPr="00A44648">
              <w:rPr>
                <w:rFonts w:ascii="Arial" w:hAnsi="Arial" w:cs="Arial"/>
                <w:lang w:val="es-ES_tradnl"/>
              </w:rPr>
              <w:t>Una vez, al final del año 9 (incluye el valor proyectado para el año 10 en la matriz de resultados)</w:t>
            </w:r>
          </w:p>
        </w:tc>
        <w:tc>
          <w:tcPr>
            <w:tcW w:w="5490" w:type="dxa"/>
            <w:vAlign w:val="center"/>
          </w:tcPr>
          <w:p w14:paraId="3C6546B5" w14:textId="77777777" w:rsidR="003532D3" w:rsidRPr="00A44648" w:rsidRDefault="003532D3" w:rsidP="003532D3">
            <w:pPr>
              <w:rPr>
                <w:rFonts w:ascii="Arial" w:hAnsi="Arial" w:cs="Arial"/>
                <w:lang w:val="es-ES_tradnl"/>
              </w:rPr>
            </w:pPr>
            <w:r w:rsidRPr="00A44648">
              <w:rPr>
                <w:rFonts w:ascii="Arial" w:hAnsi="Arial" w:cs="Arial"/>
                <w:lang w:val="es-ES_tradnl"/>
              </w:rPr>
              <w:t>Toneladas de emisiones de GEI que serán reducidas o evitadas una vez que las plantas financiadas por el programa sean comisionadas.</w:t>
            </w:r>
          </w:p>
          <w:p w14:paraId="145661AD" w14:textId="0CF86C58" w:rsidR="003532D3" w:rsidRPr="00A44648" w:rsidRDefault="003532D3" w:rsidP="003532D3">
            <w:pPr>
              <w:rPr>
                <w:rFonts w:ascii="Arial" w:hAnsi="Arial" w:cs="Arial"/>
                <w:lang w:val="es-ES_tradnl"/>
              </w:rPr>
            </w:pPr>
            <w:r w:rsidRPr="00A44648">
              <w:rPr>
                <w:rFonts w:ascii="Arial" w:hAnsi="Arial" w:cs="Arial"/>
                <w:lang w:val="es-ES_tradnl"/>
              </w:rPr>
              <w:t>Fuente: Estimaciones realizadas siguiendo la metodología del BID, con base en capacidad instalada (ver indicador arriba), producción prevista, y un factor de conversión promedio de 0.5</w:t>
            </w:r>
            <w:r w:rsidR="002E0F93" w:rsidRPr="00A44648">
              <w:rPr>
                <w:rFonts w:ascii="Arial" w:hAnsi="Arial" w:cs="Arial"/>
                <w:lang w:val="es-ES_tradnl"/>
              </w:rPr>
              <w:t>82</w:t>
            </w:r>
            <w:r w:rsidRPr="00A44648">
              <w:rPr>
                <w:rFonts w:ascii="Arial" w:hAnsi="Arial" w:cs="Arial"/>
                <w:lang w:val="es-ES_tradnl"/>
              </w:rPr>
              <w:t xml:space="preserve"> para generación eléctrica en México.</w:t>
            </w:r>
          </w:p>
          <w:p w14:paraId="50EDEE1B" w14:textId="1729A204" w:rsidR="003532D3" w:rsidRPr="00A44648" w:rsidRDefault="00D748B3" w:rsidP="003532D3">
            <w:pPr>
              <w:spacing w:before="60" w:after="60"/>
              <w:rPr>
                <w:rFonts w:ascii="Arial" w:hAnsi="Arial" w:cs="Arial"/>
                <w:lang w:val="es-ES_tradnl"/>
              </w:rPr>
            </w:pPr>
            <w:r w:rsidRPr="00A44648">
              <w:rPr>
                <w:rFonts w:ascii="Arial" w:hAnsi="Arial" w:cs="Arial"/>
                <w:lang w:val="es-ES_tradnl"/>
              </w:rPr>
              <w:t>k</w:t>
            </w:r>
            <w:r w:rsidR="003532D3" w:rsidRPr="00A44648">
              <w:rPr>
                <w:rFonts w:ascii="Arial" w:hAnsi="Arial" w:cs="Arial"/>
                <w:lang w:val="es-ES_tradnl"/>
              </w:rPr>
              <w:t xml:space="preserve">tCO2e = </w:t>
            </w:r>
            <w:r w:rsidR="002E0F93" w:rsidRPr="00A44648">
              <w:rPr>
                <w:rFonts w:ascii="Arial" w:hAnsi="Arial" w:cs="Arial"/>
                <w:lang w:val="es-ES_tradnl"/>
              </w:rPr>
              <w:t>Miles</w:t>
            </w:r>
            <w:r w:rsidR="003532D3" w:rsidRPr="00A44648">
              <w:rPr>
                <w:rFonts w:ascii="Arial" w:hAnsi="Arial" w:cs="Arial"/>
                <w:lang w:val="es-ES_tradnl"/>
              </w:rPr>
              <w:t xml:space="preserve"> de toneladas de CO2 equivalente.</w:t>
            </w:r>
          </w:p>
        </w:tc>
      </w:tr>
      <w:tr w:rsidR="003532D3" w:rsidRPr="00A44648" w14:paraId="292B17D2" w14:textId="77777777" w:rsidTr="003532D3">
        <w:trPr>
          <w:cantSplit/>
        </w:trPr>
        <w:tc>
          <w:tcPr>
            <w:tcW w:w="2394" w:type="dxa"/>
            <w:tcBorders>
              <w:right w:val="nil"/>
            </w:tcBorders>
            <w:shd w:val="clear" w:color="auto" w:fill="BFBFBF" w:themeFill="background1" w:themeFillShade="BF"/>
            <w:vAlign w:val="center"/>
          </w:tcPr>
          <w:p w14:paraId="3A87418D" w14:textId="77777777" w:rsidR="003532D3" w:rsidRPr="00A44648" w:rsidRDefault="003532D3" w:rsidP="003532D3">
            <w:pPr>
              <w:spacing w:before="60" w:after="60"/>
              <w:rPr>
                <w:rFonts w:ascii="Arial" w:hAnsi="Arial" w:cs="Arial"/>
                <w:b/>
              </w:rPr>
            </w:pPr>
            <w:r w:rsidRPr="00A44648">
              <w:rPr>
                <w:rFonts w:ascii="Arial" w:hAnsi="Arial" w:cs="Arial"/>
                <w:b/>
                <w:smallCaps/>
              </w:rPr>
              <w:t>Impactos</w:t>
            </w:r>
          </w:p>
        </w:tc>
        <w:tc>
          <w:tcPr>
            <w:tcW w:w="900" w:type="dxa"/>
            <w:tcBorders>
              <w:left w:val="nil"/>
              <w:right w:val="nil"/>
            </w:tcBorders>
            <w:shd w:val="clear" w:color="auto" w:fill="BFBFBF" w:themeFill="background1" w:themeFillShade="BF"/>
            <w:vAlign w:val="center"/>
          </w:tcPr>
          <w:p w14:paraId="71EA93A3" w14:textId="77777777" w:rsidR="003532D3" w:rsidRPr="00A44648" w:rsidRDefault="003532D3" w:rsidP="003532D3">
            <w:pPr>
              <w:tabs>
                <w:tab w:val="center" w:pos="4252"/>
                <w:tab w:val="right" w:pos="8504"/>
              </w:tabs>
              <w:spacing w:before="60" w:after="60"/>
              <w:jc w:val="center"/>
              <w:rPr>
                <w:rFonts w:ascii="Arial" w:hAnsi="Arial" w:cs="Arial"/>
              </w:rPr>
            </w:pPr>
          </w:p>
        </w:tc>
        <w:tc>
          <w:tcPr>
            <w:tcW w:w="1404" w:type="dxa"/>
            <w:tcBorders>
              <w:left w:val="nil"/>
              <w:right w:val="nil"/>
            </w:tcBorders>
            <w:shd w:val="clear" w:color="auto" w:fill="BFBFBF" w:themeFill="background1" w:themeFillShade="BF"/>
            <w:vAlign w:val="center"/>
          </w:tcPr>
          <w:p w14:paraId="4F2ED71D" w14:textId="77777777" w:rsidR="003532D3" w:rsidRPr="00A44648" w:rsidRDefault="003532D3" w:rsidP="003532D3">
            <w:pPr>
              <w:spacing w:before="60" w:after="60"/>
              <w:jc w:val="center"/>
              <w:rPr>
                <w:rFonts w:ascii="Arial" w:hAnsi="Arial" w:cs="Arial"/>
              </w:rPr>
            </w:pPr>
          </w:p>
        </w:tc>
        <w:tc>
          <w:tcPr>
            <w:tcW w:w="5490" w:type="dxa"/>
            <w:tcBorders>
              <w:left w:val="nil"/>
            </w:tcBorders>
            <w:shd w:val="clear" w:color="auto" w:fill="BFBFBF" w:themeFill="background1" w:themeFillShade="BF"/>
            <w:vAlign w:val="center"/>
          </w:tcPr>
          <w:p w14:paraId="52FF59F6" w14:textId="77777777" w:rsidR="003532D3" w:rsidRPr="00A44648" w:rsidRDefault="003532D3" w:rsidP="003532D3">
            <w:pPr>
              <w:spacing w:before="60" w:after="60"/>
              <w:rPr>
                <w:rFonts w:ascii="Arial" w:hAnsi="Arial" w:cs="Arial"/>
              </w:rPr>
            </w:pPr>
          </w:p>
        </w:tc>
      </w:tr>
      <w:tr w:rsidR="003532D3" w:rsidRPr="00A44648" w14:paraId="440BA15D" w14:textId="77777777" w:rsidTr="003532D3">
        <w:trPr>
          <w:cantSplit/>
        </w:trPr>
        <w:tc>
          <w:tcPr>
            <w:tcW w:w="2394" w:type="dxa"/>
            <w:vAlign w:val="center"/>
          </w:tcPr>
          <w:p w14:paraId="753DAAE1" w14:textId="77777777" w:rsidR="003532D3" w:rsidRPr="00A44648" w:rsidRDefault="003532D3" w:rsidP="003532D3">
            <w:pPr>
              <w:pStyle w:val="ListParagraph"/>
              <w:ind w:left="0"/>
              <w:rPr>
                <w:rFonts w:ascii="Arial" w:hAnsi="Arial" w:cs="Arial"/>
                <w:lang w:val="es-ES_tradnl"/>
              </w:rPr>
            </w:pPr>
            <w:r w:rsidRPr="00A44648">
              <w:rPr>
                <w:rFonts w:ascii="Arial" w:hAnsi="Arial" w:cs="Arial"/>
                <w:lang w:val="es-ES_tradnl"/>
              </w:rPr>
              <w:t xml:space="preserve"> Financiamiento adicional de terceras partes movilizado para desarrollar proyectos geotérmicos financiados en alguna etapa por el programa.</w:t>
            </w:r>
          </w:p>
        </w:tc>
        <w:tc>
          <w:tcPr>
            <w:tcW w:w="900" w:type="dxa"/>
            <w:vAlign w:val="center"/>
          </w:tcPr>
          <w:p w14:paraId="59D1608A" w14:textId="77777777" w:rsidR="003532D3" w:rsidRPr="00A44648" w:rsidRDefault="003532D3" w:rsidP="003532D3">
            <w:pPr>
              <w:tabs>
                <w:tab w:val="center" w:pos="4252"/>
                <w:tab w:val="right" w:pos="8504"/>
              </w:tabs>
              <w:spacing w:before="60" w:after="60"/>
              <w:jc w:val="center"/>
              <w:rPr>
                <w:rFonts w:ascii="Arial" w:hAnsi="Arial" w:cs="Arial"/>
                <w:lang w:val="es-ES_tradnl"/>
              </w:rPr>
            </w:pPr>
            <w:r w:rsidRPr="00A44648">
              <w:rPr>
                <w:rFonts w:ascii="Arial" w:hAnsi="Arial" w:cs="Arial"/>
                <w:lang w:val="es-ES_tradnl"/>
              </w:rPr>
              <w:t>Millones de US$</w:t>
            </w:r>
          </w:p>
        </w:tc>
        <w:tc>
          <w:tcPr>
            <w:tcW w:w="1404" w:type="dxa"/>
            <w:vAlign w:val="center"/>
          </w:tcPr>
          <w:p w14:paraId="50717010" w14:textId="77777777" w:rsidR="003532D3" w:rsidRPr="00A44648" w:rsidRDefault="003532D3" w:rsidP="003532D3">
            <w:pPr>
              <w:spacing w:before="60" w:after="60"/>
              <w:jc w:val="center"/>
              <w:rPr>
                <w:rFonts w:ascii="Arial" w:hAnsi="Arial" w:cs="Arial"/>
                <w:lang w:val="es-ES_tradnl"/>
              </w:rPr>
            </w:pPr>
            <w:r w:rsidRPr="00A44648">
              <w:rPr>
                <w:rFonts w:ascii="Arial" w:hAnsi="Arial" w:cs="Arial"/>
                <w:lang w:val="es-ES_tradnl"/>
              </w:rPr>
              <w:t>Anual</w:t>
            </w:r>
          </w:p>
        </w:tc>
        <w:tc>
          <w:tcPr>
            <w:tcW w:w="5490" w:type="dxa"/>
            <w:vAlign w:val="center"/>
          </w:tcPr>
          <w:p w14:paraId="2AE4FF2A" w14:textId="77777777" w:rsidR="003532D3" w:rsidRPr="00A44648" w:rsidRDefault="003532D3" w:rsidP="003532D3">
            <w:pPr>
              <w:spacing w:before="60" w:after="60"/>
              <w:rPr>
                <w:rFonts w:ascii="Arial" w:hAnsi="Arial" w:cs="Arial"/>
                <w:lang w:val="es-ES_tradnl"/>
              </w:rPr>
            </w:pPr>
            <w:r w:rsidRPr="00A44648">
              <w:rPr>
                <w:rFonts w:ascii="Arial" w:hAnsi="Arial" w:cs="Arial"/>
                <w:lang w:val="es-ES_tradnl"/>
              </w:rPr>
              <w:t xml:space="preserve">Volumen de financiamiento directo de terceras partes apalancado a través del programa incluyendo todas las fuentes de financiamiento adicionales del gobierno, NAFIN iones financieras, además de aportes de capital privado o público, (excepto los aportes del BID y CTF). </w:t>
            </w:r>
          </w:p>
          <w:p w14:paraId="2E1DB092" w14:textId="77777777" w:rsidR="003532D3" w:rsidRPr="00A44648" w:rsidRDefault="003532D3" w:rsidP="003532D3">
            <w:pPr>
              <w:spacing w:before="60" w:after="60"/>
              <w:rPr>
                <w:rFonts w:ascii="Arial" w:hAnsi="Arial" w:cs="Arial"/>
                <w:lang w:val="es-ES_tradnl"/>
              </w:rPr>
            </w:pPr>
            <w:r w:rsidRPr="00A44648">
              <w:rPr>
                <w:rFonts w:ascii="Arial" w:hAnsi="Arial" w:cs="Arial"/>
                <w:lang w:val="es-ES_tradnl"/>
              </w:rPr>
              <w:t>Fuente:   Reporte del programa elaborado por NAFIN. Estimaciones con base en un coeficiente de endeudamiento de 70:30 (para la fase de explotación), costo de inversión de US$5 millones por pozo y US$2 a US$4 millones por MW instalado</w:t>
            </w:r>
          </w:p>
        </w:tc>
      </w:tr>
      <w:tr w:rsidR="003532D3" w:rsidRPr="00A44648" w14:paraId="48D93230" w14:textId="77777777" w:rsidTr="003532D3">
        <w:trPr>
          <w:cantSplit/>
        </w:trPr>
        <w:tc>
          <w:tcPr>
            <w:tcW w:w="2394" w:type="dxa"/>
            <w:vAlign w:val="center"/>
          </w:tcPr>
          <w:p w14:paraId="0D3A3BD7" w14:textId="77777777" w:rsidR="003532D3" w:rsidRPr="00A44648" w:rsidRDefault="003532D3" w:rsidP="003532D3">
            <w:pPr>
              <w:pStyle w:val="ListParagraph"/>
              <w:ind w:left="0"/>
              <w:rPr>
                <w:rFonts w:ascii="Arial" w:hAnsi="Arial" w:cs="Arial"/>
                <w:lang w:val="es-ES_tradnl"/>
              </w:rPr>
            </w:pPr>
            <w:r w:rsidRPr="00A44648">
              <w:rPr>
                <w:rFonts w:ascii="Arial" w:hAnsi="Arial" w:cs="Arial"/>
                <w:lang w:val="es-ES_tradnl"/>
              </w:rPr>
              <w:t>Capacidad geotérmica total instalada en México</w:t>
            </w:r>
          </w:p>
        </w:tc>
        <w:tc>
          <w:tcPr>
            <w:tcW w:w="900" w:type="dxa"/>
            <w:vAlign w:val="center"/>
          </w:tcPr>
          <w:p w14:paraId="0E164C6C" w14:textId="77777777" w:rsidR="003532D3" w:rsidRPr="00A44648" w:rsidRDefault="003532D3" w:rsidP="003532D3">
            <w:pPr>
              <w:tabs>
                <w:tab w:val="center" w:pos="4252"/>
                <w:tab w:val="right" w:pos="8504"/>
              </w:tabs>
              <w:spacing w:before="60" w:after="60"/>
              <w:jc w:val="center"/>
              <w:rPr>
                <w:rFonts w:ascii="Arial" w:hAnsi="Arial" w:cs="Arial"/>
                <w:lang w:val="es-ES_tradnl"/>
              </w:rPr>
            </w:pPr>
            <w:r w:rsidRPr="00A44648">
              <w:rPr>
                <w:rFonts w:ascii="Arial" w:hAnsi="Arial" w:cs="Arial"/>
                <w:lang w:val="es-ES_tradnl"/>
              </w:rPr>
              <w:t>MWe</w:t>
            </w:r>
          </w:p>
        </w:tc>
        <w:tc>
          <w:tcPr>
            <w:tcW w:w="1404" w:type="dxa"/>
            <w:vAlign w:val="center"/>
          </w:tcPr>
          <w:p w14:paraId="087E903F" w14:textId="77777777" w:rsidR="003532D3" w:rsidRPr="00A44648" w:rsidRDefault="003532D3" w:rsidP="003532D3">
            <w:pPr>
              <w:spacing w:before="60" w:after="60"/>
              <w:jc w:val="center"/>
              <w:rPr>
                <w:rFonts w:ascii="Arial" w:hAnsi="Arial" w:cs="Arial"/>
                <w:lang w:val="es-ES_tradnl"/>
              </w:rPr>
            </w:pPr>
            <w:r w:rsidRPr="00A44648">
              <w:rPr>
                <w:rFonts w:ascii="Arial" w:hAnsi="Arial" w:cs="Arial"/>
                <w:lang w:val="es-ES_tradnl"/>
              </w:rPr>
              <w:t xml:space="preserve">Dos veces, línea de base y al final del período de ejecución (incluyendo el valor proyectado para el año 10 en la matriz de resultados) </w:t>
            </w:r>
          </w:p>
        </w:tc>
        <w:tc>
          <w:tcPr>
            <w:tcW w:w="5490" w:type="dxa"/>
            <w:vAlign w:val="center"/>
          </w:tcPr>
          <w:p w14:paraId="7A707F86" w14:textId="77777777" w:rsidR="003532D3" w:rsidRPr="00A44648" w:rsidRDefault="003532D3" w:rsidP="003532D3">
            <w:pPr>
              <w:spacing w:before="60" w:after="60"/>
              <w:rPr>
                <w:rFonts w:ascii="Arial" w:hAnsi="Arial" w:cs="Arial"/>
                <w:lang w:val="es-ES_tradnl"/>
              </w:rPr>
            </w:pPr>
            <w:r w:rsidRPr="00A44648">
              <w:rPr>
                <w:rFonts w:ascii="Arial" w:hAnsi="Arial" w:cs="Arial"/>
                <w:lang w:val="es-ES_tradnl"/>
              </w:rPr>
              <w:t>Fuente: SENER, Balance Nacional de Energía</w:t>
            </w:r>
          </w:p>
        </w:tc>
      </w:tr>
      <w:tr w:rsidR="003532D3" w:rsidRPr="00A44648" w14:paraId="395FA3B6" w14:textId="77777777" w:rsidTr="003532D3">
        <w:trPr>
          <w:cantSplit/>
        </w:trPr>
        <w:tc>
          <w:tcPr>
            <w:tcW w:w="2394" w:type="dxa"/>
            <w:vAlign w:val="center"/>
          </w:tcPr>
          <w:p w14:paraId="4F6734AD" w14:textId="77777777" w:rsidR="003532D3" w:rsidRPr="00A44648" w:rsidRDefault="003532D3" w:rsidP="003532D3">
            <w:pPr>
              <w:pStyle w:val="ListParagraph"/>
              <w:ind w:left="0"/>
              <w:rPr>
                <w:rFonts w:ascii="Arial" w:hAnsi="Arial" w:cs="Arial"/>
                <w:lang w:val="es-ES_tradnl"/>
              </w:rPr>
            </w:pPr>
            <w:r w:rsidRPr="00A44648">
              <w:rPr>
                <w:rFonts w:ascii="Arial" w:hAnsi="Arial" w:cs="Arial"/>
                <w:lang w:val="es-ES_tradnl"/>
              </w:rPr>
              <w:t>Producción de electricidad a partir de fuentes geotérmicas en México</w:t>
            </w:r>
          </w:p>
        </w:tc>
        <w:tc>
          <w:tcPr>
            <w:tcW w:w="900" w:type="dxa"/>
            <w:vAlign w:val="center"/>
          </w:tcPr>
          <w:p w14:paraId="455CB780" w14:textId="39A2EFE2" w:rsidR="003532D3" w:rsidRPr="00A44648" w:rsidRDefault="003532D3" w:rsidP="003532D3">
            <w:pPr>
              <w:tabs>
                <w:tab w:val="center" w:pos="4252"/>
                <w:tab w:val="right" w:pos="8504"/>
              </w:tabs>
              <w:spacing w:before="60" w:after="60"/>
              <w:jc w:val="center"/>
              <w:rPr>
                <w:rFonts w:ascii="Arial" w:hAnsi="Arial" w:cs="Arial"/>
                <w:lang w:val="es-ES_tradnl"/>
              </w:rPr>
            </w:pPr>
            <w:r w:rsidRPr="00A44648">
              <w:rPr>
                <w:rFonts w:ascii="Arial" w:hAnsi="Arial" w:cs="Arial"/>
                <w:lang w:val="es-ES_tradnl"/>
              </w:rPr>
              <w:t>GWh/</w:t>
            </w:r>
            <w:r w:rsidR="002E0F93" w:rsidRPr="00A44648">
              <w:rPr>
                <w:rFonts w:ascii="Arial" w:hAnsi="Arial" w:cs="Arial"/>
              </w:rPr>
              <w:t xml:space="preserve"> año</w:t>
            </w:r>
          </w:p>
        </w:tc>
        <w:tc>
          <w:tcPr>
            <w:tcW w:w="1404" w:type="dxa"/>
            <w:vAlign w:val="center"/>
          </w:tcPr>
          <w:p w14:paraId="10F87D7F" w14:textId="77777777" w:rsidR="003532D3" w:rsidRPr="00A44648" w:rsidRDefault="003532D3" w:rsidP="003532D3">
            <w:pPr>
              <w:spacing w:before="60" w:after="60"/>
              <w:jc w:val="center"/>
              <w:rPr>
                <w:rFonts w:ascii="Arial" w:hAnsi="Arial" w:cs="Arial"/>
                <w:lang w:val="es-ES_tradnl"/>
              </w:rPr>
            </w:pPr>
            <w:r w:rsidRPr="00A44648">
              <w:rPr>
                <w:rFonts w:ascii="Arial" w:hAnsi="Arial" w:cs="Arial"/>
                <w:lang w:val="es-ES_tradnl"/>
              </w:rPr>
              <w:t>Dos veces, línea de base y al final del período de ejecución (incluyendo el valor proyectado para el año 10 en la matriz de resultados)</w:t>
            </w:r>
          </w:p>
        </w:tc>
        <w:tc>
          <w:tcPr>
            <w:tcW w:w="5490" w:type="dxa"/>
            <w:vAlign w:val="center"/>
          </w:tcPr>
          <w:p w14:paraId="27F33C5E" w14:textId="77777777" w:rsidR="003532D3" w:rsidRPr="00A44648" w:rsidRDefault="003532D3" w:rsidP="003532D3">
            <w:pPr>
              <w:spacing w:before="60" w:after="60"/>
              <w:rPr>
                <w:rFonts w:ascii="Arial" w:hAnsi="Arial" w:cs="Arial"/>
                <w:lang w:val="es-ES_tradnl"/>
              </w:rPr>
            </w:pPr>
            <w:r w:rsidRPr="00A44648">
              <w:rPr>
                <w:rFonts w:ascii="Arial" w:hAnsi="Arial" w:cs="Arial"/>
                <w:lang w:val="es-ES_tradnl"/>
              </w:rPr>
              <w:t>Fuente: Información pública de la Comisión Reguladora de Energía (CRE) y la CFE. Estimaciones realizadas con base en el factor de producción promedio en México.</w:t>
            </w:r>
          </w:p>
        </w:tc>
      </w:tr>
      <w:tr w:rsidR="003532D3" w:rsidRPr="00A44648" w14:paraId="723FA00A" w14:textId="77777777" w:rsidTr="003532D3">
        <w:trPr>
          <w:cantSplit/>
        </w:trPr>
        <w:tc>
          <w:tcPr>
            <w:tcW w:w="2394" w:type="dxa"/>
            <w:vAlign w:val="center"/>
          </w:tcPr>
          <w:p w14:paraId="2518547C" w14:textId="77777777" w:rsidR="003532D3" w:rsidRPr="00A44648" w:rsidRDefault="003532D3" w:rsidP="003532D3">
            <w:pPr>
              <w:pStyle w:val="ListParagraph"/>
              <w:spacing w:before="60" w:after="60"/>
              <w:ind w:left="0"/>
              <w:rPr>
                <w:rFonts w:ascii="Arial" w:hAnsi="Arial" w:cs="Arial"/>
                <w:lang w:val="es-ES_tradnl"/>
              </w:rPr>
            </w:pPr>
            <w:r w:rsidRPr="00A44648">
              <w:rPr>
                <w:rFonts w:ascii="Arial" w:hAnsi="Arial" w:cs="Arial"/>
                <w:lang w:val="es-ES_tradnl"/>
              </w:rPr>
              <w:t>Gases de Efecto Invernadero (GEI) en el sector energético mexicano</w:t>
            </w:r>
          </w:p>
        </w:tc>
        <w:tc>
          <w:tcPr>
            <w:tcW w:w="900" w:type="dxa"/>
            <w:vAlign w:val="center"/>
          </w:tcPr>
          <w:p w14:paraId="316DEAF2" w14:textId="77777777" w:rsidR="003532D3" w:rsidRPr="00A44648" w:rsidRDefault="003532D3" w:rsidP="003532D3">
            <w:pPr>
              <w:spacing w:before="60" w:after="60"/>
              <w:jc w:val="center"/>
              <w:rPr>
                <w:rFonts w:ascii="Arial" w:hAnsi="Arial" w:cs="Arial"/>
                <w:lang w:val="es-ES_tradnl"/>
              </w:rPr>
            </w:pPr>
            <w:r w:rsidRPr="00A44648">
              <w:rPr>
                <w:rFonts w:ascii="Arial" w:hAnsi="Arial" w:cs="Arial"/>
                <w:lang w:val="es-ES_tradnl"/>
              </w:rPr>
              <w:t>Mt CO2e</w:t>
            </w:r>
          </w:p>
        </w:tc>
        <w:tc>
          <w:tcPr>
            <w:tcW w:w="1404" w:type="dxa"/>
            <w:vAlign w:val="center"/>
          </w:tcPr>
          <w:p w14:paraId="60DB0DD8" w14:textId="77777777" w:rsidR="003532D3" w:rsidRPr="00A44648" w:rsidRDefault="003532D3" w:rsidP="003532D3">
            <w:pPr>
              <w:spacing w:before="60" w:after="60"/>
              <w:jc w:val="center"/>
              <w:rPr>
                <w:rFonts w:ascii="Arial" w:hAnsi="Arial" w:cs="Arial"/>
                <w:lang w:val="es-ES_tradnl"/>
              </w:rPr>
            </w:pPr>
            <w:r w:rsidRPr="00A44648">
              <w:rPr>
                <w:rFonts w:ascii="Arial" w:hAnsi="Arial" w:cs="Arial"/>
                <w:lang w:val="es-ES_tradnl"/>
              </w:rPr>
              <w:t>Dos veces, línea de base y al final del período de ejecución (incluyendo el valor proyectado para el año 10 en la matriz de resultados)</w:t>
            </w:r>
          </w:p>
        </w:tc>
        <w:tc>
          <w:tcPr>
            <w:tcW w:w="5490" w:type="dxa"/>
            <w:vAlign w:val="center"/>
          </w:tcPr>
          <w:p w14:paraId="4EAEFFB2" w14:textId="77777777" w:rsidR="003532D3" w:rsidRPr="00A44648" w:rsidRDefault="003532D3" w:rsidP="003532D3">
            <w:pPr>
              <w:spacing w:before="60" w:after="60"/>
              <w:rPr>
                <w:rFonts w:ascii="Arial" w:hAnsi="Arial" w:cs="Arial"/>
                <w:lang w:val="es-ES_tradnl"/>
              </w:rPr>
            </w:pPr>
            <w:r w:rsidRPr="00A44648">
              <w:rPr>
                <w:rFonts w:ascii="Arial" w:hAnsi="Arial" w:cs="Arial"/>
                <w:lang w:val="es-ES_tradnl"/>
              </w:rPr>
              <w:t xml:space="preserve">Fuente: BID estimaciones con base en la </w:t>
            </w:r>
            <w:hyperlink r:id="rId27" w:history="1">
              <w:r w:rsidRPr="00A44648">
                <w:rPr>
                  <w:rFonts w:ascii="Arial" w:hAnsi="Arial" w:cs="Arial"/>
                  <w:lang w:val="es-ES_tradnl"/>
                </w:rPr>
                <w:t>Estrategia Nacional de Cambio Climático</w:t>
              </w:r>
            </w:hyperlink>
            <w:r w:rsidRPr="00A44648">
              <w:rPr>
                <w:rFonts w:ascii="Arial" w:hAnsi="Arial" w:cs="Arial"/>
                <w:lang w:val="es-ES_tradnl"/>
              </w:rPr>
              <w:t xml:space="preserve"> (ENACC) y la </w:t>
            </w:r>
            <w:hyperlink r:id="rId28" w:history="1">
              <w:r w:rsidRPr="00A44648">
                <w:rPr>
                  <w:rFonts w:ascii="Arial" w:hAnsi="Arial" w:cs="Arial"/>
                  <w:lang w:val="es-ES_tradnl"/>
                </w:rPr>
                <w:t>Contribución sectorial a las emisiones, Quinta Comunicación al UNFCCC</w:t>
              </w:r>
            </w:hyperlink>
            <w:r w:rsidRPr="00A44648">
              <w:rPr>
                <w:rFonts w:ascii="Arial" w:hAnsi="Arial" w:cs="Arial"/>
                <w:lang w:val="es-ES_tradnl"/>
              </w:rPr>
              <w:t>.</w:t>
            </w:r>
          </w:p>
          <w:p w14:paraId="2A941C8B" w14:textId="77777777" w:rsidR="003532D3" w:rsidRPr="00A44648" w:rsidRDefault="003532D3" w:rsidP="003532D3">
            <w:pPr>
              <w:spacing w:before="60" w:after="60"/>
              <w:rPr>
                <w:rFonts w:ascii="Arial" w:hAnsi="Arial" w:cs="Arial"/>
                <w:lang w:val="es-ES_tradnl"/>
              </w:rPr>
            </w:pPr>
            <w:r w:rsidRPr="00A44648">
              <w:rPr>
                <w:rFonts w:ascii="Arial" w:hAnsi="Arial" w:cs="Arial"/>
                <w:lang w:val="es-ES_tradnl"/>
              </w:rPr>
              <w:t xml:space="preserve">Línea de base de GEI en 2024 y 2030 es 900MtCO2e/año y 996MtCO2e/ año respectivamente, y el potencial de abatimiento de emisiones en 2024 y 2030 es 86MtCO2e/año y 172MtCO2e/año respectivamente,  de acuerdo a la </w:t>
            </w:r>
            <w:hyperlink r:id="rId29" w:history="1">
              <w:r w:rsidRPr="00A44648">
                <w:rPr>
                  <w:rFonts w:ascii="Arial" w:hAnsi="Arial" w:cs="Arial"/>
                  <w:lang w:val="es-ES_tradnl"/>
                </w:rPr>
                <w:t>Contribución sectorial a las emisiones, Quinta Comunicación al UNFCCC</w:t>
              </w:r>
            </w:hyperlink>
            <w:r w:rsidRPr="00A44648">
              <w:rPr>
                <w:rFonts w:ascii="Arial" w:hAnsi="Arial" w:cs="Arial"/>
                <w:lang w:val="es-ES_tradnl"/>
              </w:rPr>
              <w:t>.</w:t>
            </w:r>
          </w:p>
          <w:p w14:paraId="0F17C1E9" w14:textId="77777777" w:rsidR="003532D3" w:rsidRPr="00A44648" w:rsidRDefault="003532D3" w:rsidP="003532D3">
            <w:pPr>
              <w:spacing w:before="60" w:after="60"/>
              <w:rPr>
                <w:rFonts w:ascii="Arial" w:hAnsi="Arial" w:cs="Arial"/>
                <w:lang w:val="es-ES_tradnl"/>
              </w:rPr>
            </w:pPr>
          </w:p>
          <w:p w14:paraId="1D76D114" w14:textId="77777777" w:rsidR="003532D3" w:rsidRPr="00A44648" w:rsidRDefault="003532D3" w:rsidP="003532D3">
            <w:pPr>
              <w:spacing w:before="60" w:after="60"/>
              <w:rPr>
                <w:rFonts w:ascii="Arial" w:hAnsi="Arial" w:cs="Arial"/>
                <w:lang w:val="es-ES_tradnl"/>
              </w:rPr>
            </w:pPr>
            <w:r w:rsidRPr="00A44648">
              <w:rPr>
                <w:rFonts w:ascii="Arial" w:hAnsi="Arial" w:cs="Arial"/>
                <w:lang w:val="es-ES_tradnl"/>
              </w:rPr>
              <w:t>MtCO2e = Millones de toneladas de CO2 equivalente</w:t>
            </w:r>
          </w:p>
        </w:tc>
      </w:tr>
      <w:tr w:rsidR="003532D3" w:rsidRPr="00A44648" w14:paraId="54E80BEF" w14:textId="77777777" w:rsidTr="003532D3">
        <w:trPr>
          <w:cantSplit/>
        </w:trPr>
        <w:tc>
          <w:tcPr>
            <w:tcW w:w="2394" w:type="dxa"/>
            <w:vAlign w:val="center"/>
          </w:tcPr>
          <w:p w14:paraId="0DEB8D2E" w14:textId="77777777" w:rsidR="003532D3" w:rsidRPr="00A44648" w:rsidRDefault="003532D3" w:rsidP="003532D3">
            <w:pPr>
              <w:pStyle w:val="ListParagraph"/>
              <w:spacing w:before="60" w:after="60"/>
              <w:ind w:left="0"/>
              <w:rPr>
                <w:rFonts w:ascii="Arial" w:hAnsi="Arial" w:cs="Arial"/>
                <w:lang w:val="es-ES_tradnl"/>
              </w:rPr>
            </w:pPr>
            <w:r w:rsidRPr="00A44648">
              <w:rPr>
                <w:rFonts w:ascii="Arial" w:hAnsi="Arial" w:cs="Arial"/>
                <w:lang w:val="es-ES_tradnl"/>
              </w:rPr>
              <w:t>Porcentaje de energía renovable en la matriz eléctrica</w:t>
            </w:r>
          </w:p>
        </w:tc>
        <w:tc>
          <w:tcPr>
            <w:tcW w:w="900" w:type="dxa"/>
            <w:vAlign w:val="center"/>
          </w:tcPr>
          <w:p w14:paraId="2093E6C5" w14:textId="77777777" w:rsidR="003532D3" w:rsidRPr="00A44648" w:rsidRDefault="003532D3" w:rsidP="003532D3">
            <w:pPr>
              <w:spacing w:before="60" w:after="60"/>
              <w:jc w:val="center"/>
              <w:rPr>
                <w:rFonts w:ascii="Arial" w:hAnsi="Arial" w:cs="Arial"/>
                <w:lang w:val="es-ES_tradnl"/>
              </w:rPr>
            </w:pPr>
            <w:r w:rsidRPr="00A44648">
              <w:rPr>
                <w:rFonts w:ascii="Arial" w:hAnsi="Arial" w:cs="Arial"/>
                <w:lang w:val="es-ES_tradnl"/>
              </w:rPr>
              <w:t>% de generación</w:t>
            </w:r>
          </w:p>
        </w:tc>
        <w:tc>
          <w:tcPr>
            <w:tcW w:w="1404" w:type="dxa"/>
            <w:vAlign w:val="center"/>
          </w:tcPr>
          <w:p w14:paraId="6508CADD" w14:textId="77777777" w:rsidR="003532D3" w:rsidRPr="00A44648" w:rsidRDefault="003532D3" w:rsidP="003532D3">
            <w:pPr>
              <w:spacing w:before="60" w:after="60"/>
              <w:jc w:val="center"/>
              <w:rPr>
                <w:rFonts w:ascii="Arial" w:hAnsi="Arial" w:cs="Arial"/>
                <w:lang w:val="es-ES_tradnl"/>
              </w:rPr>
            </w:pPr>
            <w:r w:rsidRPr="00A44648">
              <w:rPr>
                <w:rFonts w:ascii="Arial" w:hAnsi="Arial" w:cs="Arial"/>
                <w:lang w:val="es-ES_tradnl"/>
              </w:rPr>
              <w:t>Dos veces, línea de base y al final del período de ejecución (incluyendo el valor proyectado para el año 10 en la matriz de resultados)</w:t>
            </w:r>
          </w:p>
        </w:tc>
        <w:tc>
          <w:tcPr>
            <w:tcW w:w="5490" w:type="dxa"/>
            <w:vAlign w:val="center"/>
          </w:tcPr>
          <w:p w14:paraId="1D5B5C13" w14:textId="77777777" w:rsidR="003532D3" w:rsidRPr="00A44648" w:rsidRDefault="003532D3" w:rsidP="003532D3">
            <w:pPr>
              <w:spacing w:before="60" w:after="60"/>
              <w:rPr>
                <w:rFonts w:ascii="Arial" w:hAnsi="Arial" w:cs="Arial"/>
                <w:lang w:val="es-ES_tradnl"/>
              </w:rPr>
            </w:pPr>
            <w:r w:rsidRPr="00A44648">
              <w:rPr>
                <w:rFonts w:ascii="Arial" w:hAnsi="Arial" w:cs="Arial"/>
                <w:lang w:val="es-ES_tradnl"/>
              </w:rPr>
              <w:t>Fuente: Información pública de la CRE y la CFE.</w:t>
            </w:r>
          </w:p>
        </w:tc>
      </w:tr>
    </w:tbl>
    <w:p w14:paraId="651EB127" w14:textId="77777777" w:rsidR="00FB7282" w:rsidRPr="00A44648" w:rsidRDefault="00FB7282" w:rsidP="00E80F57">
      <w:pPr>
        <w:pStyle w:val="BodyText2"/>
        <w:spacing w:after="0" w:line="240" w:lineRule="auto"/>
        <w:jc w:val="center"/>
        <w:rPr>
          <w:rFonts w:ascii="Arial" w:hAnsi="Arial" w:cs="Arial"/>
          <w:b/>
          <w:sz w:val="22"/>
          <w:szCs w:val="22"/>
        </w:rPr>
      </w:pPr>
    </w:p>
    <w:p w14:paraId="657F237F" w14:textId="77777777" w:rsidR="001F6893" w:rsidRPr="00A44648" w:rsidRDefault="001F6893" w:rsidP="00E80F57">
      <w:pPr>
        <w:pStyle w:val="BodyText2"/>
        <w:spacing w:after="0" w:line="240" w:lineRule="auto"/>
        <w:jc w:val="center"/>
        <w:rPr>
          <w:rFonts w:ascii="Arial" w:hAnsi="Arial" w:cs="Arial"/>
          <w:b/>
          <w:sz w:val="22"/>
          <w:szCs w:val="22"/>
        </w:rPr>
      </w:pPr>
    </w:p>
    <w:p w14:paraId="5981A26A" w14:textId="77777777" w:rsidR="009A3D7F" w:rsidRPr="00A44648" w:rsidRDefault="001A7E25" w:rsidP="00163B83">
      <w:pPr>
        <w:pStyle w:val="ListParagraph"/>
        <w:numPr>
          <w:ilvl w:val="0"/>
          <w:numId w:val="9"/>
        </w:numPr>
        <w:tabs>
          <w:tab w:val="left" w:pos="1440"/>
        </w:tabs>
        <w:ind w:left="360"/>
        <w:outlineLvl w:val="0"/>
        <w:rPr>
          <w:rFonts w:ascii="Arial" w:hAnsi="Arial" w:cs="Arial"/>
          <w:b/>
          <w:smallCaps/>
          <w:noProof/>
          <w:lang w:val="es-ES_tradnl"/>
        </w:rPr>
      </w:pPr>
      <w:bookmarkStart w:id="72" w:name="_Toc375150066"/>
      <w:bookmarkStart w:id="73" w:name="_Toc381109251"/>
      <w:r w:rsidRPr="00A44648">
        <w:rPr>
          <w:rFonts w:ascii="Arial" w:hAnsi="Arial" w:cs="Arial"/>
          <w:b/>
          <w:smallCaps/>
          <w:noProof/>
          <w:lang w:val="es-ES_tradnl"/>
        </w:rPr>
        <w:t>Methodolog</w:t>
      </w:r>
      <w:bookmarkEnd w:id="72"/>
      <w:bookmarkEnd w:id="73"/>
      <w:r w:rsidR="007C39FF" w:rsidRPr="00A44648">
        <w:rPr>
          <w:rFonts w:ascii="Arial" w:hAnsi="Arial" w:cs="Arial"/>
          <w:b/>
          <w:smallCaps/>
          <w:noProof/>
          <w:lang w:val="es-ES_tradnl"/>
        </w:rPr>
        <w:t>ía de la Evaluación</w:t>
      </w:r>
    </w:p>
    <w:p w14:paraId="5D40B032" w14:textId="77777777" w:rsidR="00C21513" w:rsidRPr="00A44648" w:rsidRDefault="007C39FF" w:rsidP="00C21513">
      <w:pPr>
        <w:pStyle w:val="AutoNumpara"/>
        <w:rPr>
          <w:rFonts w:ascii="Arial" w:hAnsi="Arial" w:cs="Arial"/>
          <w:sz w:val="22"/>
          <w:szCs w:val="22"/>
        </w:rPr>
      </w:pPr>
      <w:r w:rsidRPr="00A44648">
        <w:rPr>
          <w:rFonts w:ascii="Arial" w:hAnsi="Arial" w:cs="Arial"/>
          <w:sz w:val="22"/>
          <w:szCs w:val="22"/>
        </w:rPr>
        <w:t>Para el an</w:t>
      </w:r>
      <w:r w:rsidR="003E6B2F" w:rsidRPr="00A44648">
        <w:rPr>
          <w:rFonts w:ascii="Arial" w:hAnsi="Arial" w:cs="Arial"/>
          <w:sz w:val="22"/>
          <w:szCs w:val="22"/>
        </w:rPr>
        <w:t>á</w:t>
      </w:r>
      <w:r w:rsidRPr="00A44648">
        <w:rPr>
          <w:rFonts w:ascii="Arial" w:hAnsi="Arial" w:cs="Arial"/>
          <w:sz w:val="22"/>
          <w:szCs w:val="22"/>
        </w:rPr>
        <w:t>lisis de costo beneficio ex post</w:t>
      </w:r>
      <w:r w:rsidR="00C21513" w:rsidRPr="00A44648">
        <w:rPr>
          <w:rFonts w:ascii="Arial" w:hAnsi="Arial" w:cs="Arial"/>
          <w:sz w:val="22"/>
          <w:szCs w:val="22"/>
        </w:rPr>
        <w:t xml:space="preserve">, </w:t>
      </w:r>
      <w:r w:rsidRPr="00A44648">
        <w:rPr>
          <w:rFonts w:ascii="Arial" w:hAnsi="Arial" w:cs="Arial"/>
          <w:sz w:val="22"/>
          <w:szCs w:val="22"/>
        </w:rPr>
        <w:t xml:space="preserve">el valor presente neto </w:t>
      </w:r>
      <w:r w:rsidR="00C21513" w:rsidRPr="00A44648">
        <w:rPr>
          <w:rFonts w:ascii="Arial" w:hAnsi="Arial" w:cs="Arial"/>
          <w:sz w:val="22"/>
          <w:szCs w:val="22"/>
        </w:rPr>
        <w:t>(</w:t>
      </w:r>
      <w:r w:rsidRPr="00A44648">
        <w:rPr>
          <w:rFonts w:ascii="Arial" w:hAnsi="Arial" w:cs="Arial"/>
          <w:sz w:val="22"/>
          <w:szCs w:val="22"/>
        </w:rPr>
        <w:t>VPN</w:t>
      </w:r>
      <w:r w:rsidR="00C21513" w:rsidRPr="00A44648">
        <w:rPr>
          <w:rFonts w:ascii="Arial" w:hAnsi="Arial" w:cs="Arial"/>
          <w:sz w:val="22"/>
          <w:szCs w:val="22"/>
        </w:rPr>
        <w:t xml:space="preserve">) </w:t>
      </w:r>
      <w:r w:rsidRPr="00A44648">
        <w:rPr>
          <w:rFonts w:ascii="Arial" w:hAnsi="Arial" w:cs="Arial"/>
          <w:sz w:val="22"/>
          <w:szCs w:val="22"/>
        </w:rPr>
        <w:t xml:space="preserve">y la tasa interna de retorno </w:t>
      </w:r>
      <w:r w:rsidR="00C21513" w:rsidRPr="00A44648">
        <w:rPr>
          <w:rFonts w:ascii="Arial" w:hAnsi="Arial" w:cs="Arial"/>
          <w:sz w:val="22"/>
          <w:szCs w:val="22"/>
        </w:rPr>
        <w:t>(</w:t>
      </w:r>
      <w:r w:rsidRPr="00A44648">
        <w:rPr>
          <w:rFonts w:ascii="Arial" w:hAnsi="Arial" w:cs="Arial"/>
          <w:sz w:val="22"/>
          <w:szCs w:val="22"/>
        </w:rPr>
        <w:t>T</w:t>
      </w:r>
      <w:r w:rsidR="00C21513" w:rsidRPr="00A44648">
        <w:rPr>
          <w:rFonts w:ascii="Arial" w:hAnsi="Arial" w:cs="Arial"/>
          <w:sz w:val="22"/>
          <w:szCs w:val="22"/>
        </w:rPr>
        <w:t xml:space="preserve">IR) </w:t>
      </w:r>
      <w:r w:rsidRPr="00A44648">
        <w:rPr>
          <w:rFonts w:ascii="Arial" w:hAnsi="Arial" w:cs="Arial"/>
          <w:sz w:val="22"/>
          <w:szCs w:val="22"/>
        </w:rPr>
        <w:t xml:space="preserve">serán calculadas por el perdiod total del porgrama considerando una </w:t>
      </w:r>
      <w:r w:rsidR="003E6B2F" w:rsidRPr="00A44648">
        <w:rPr>
          <w:rFonts w:ascii="Arial" w:hAnsi="Arial" w:cs="Arial"/>
          <w:sz w:val="22"/>
          <w:szCs w:val="22"/>
        </w:rPr>
        <w:t>tasa de descuento del</w:t>
      </w:r>
      <w:r w:rsidR="00C21513" w:rsidRPr="00A44648">
        <w:rPr>
          <w:rFonts w:ascii="Arial" w:hAnsi="Arial" w:cs="Arial"/>
          <w:sz w:val="22"/>
          <w:szCs w:val="22"/>
        </w:rPr>
        <w:t xml:space="preserve"> 12%. </w:t>
      </w:r>
      <w:r w:rsidR="003E6B2F" w:rsidRPr="00A44648">
        <w:rPr>
          <w:rFonts w:ascii="Arial" w:hAnsi="Arial" w:cs="Arial"/>
          <w:sz w:val="22"/>
          <w:szCs w:val="22"/>
        </w:rPr>
        <w:t xml:space="preserve">Para este programa se considerará la inversión como costo y los beneficios serán </w:t>
      </w:r>
      <w:r w:rsidR="00C21513" w:rsidRPr="00A44648">
        <w:rPr>
          <w:rFonts w:ascii="Arial" w:hAnsi="Arial" w:cs="Arial"/>
          <w:sz w:val="22"/>
          <w:szCs w:val="22"/>
        </w:rPr>
        <w:t xml:space="preserve">(i) </w:t>
      </w:r>
      <w:r w:rsidR="003E6B2F" w:rsidRPr="00A44648">
        <w:rPr>
          <w:rFonts w:ascii="Arial" w:hAnsi="Arial" w:cs="Arial"/>
          <w:sz w:val="22"/>
          <w:szCs w:val="22"/>
        </w:rPr>
        <w:t>ahorros en generación eléctrica, y</w:t>
      </w:r>
      <w:r w:rsidR="00C21513" w:rsidRPr="00A44648">
        <w:rPr>
          <w:rFonts w:ascii="Arial" w:hAnsi="Arial" w:cs="Arial"/>
          <w:sz w:val="22"/>
          <w:szCs w:val="22"/>
        </w:rPr>
        <w:t xml:space="preserve"> (ii) </w:t>
      </w:r>
      <w:r w:rsidR="003E6B2F" w:rsidRPr="00A44648">
        <w:rPr>
          <w:rFonts w:ascii="Arial" w:hAnsi="Arial" w:cs="Arial"/>
          <w:sz w:val="22"/>
          <w:szCs w:val="22"/>
        </w:rPr>
        <w:t xml:space="preserve">emisiones de </w:t>
      </w:r>
      <w:r w:rsidR="00C21513" w:rsidRPr="00A44648">
        <w:rPr>
          <w:rFonts w:ascii="Arial" w:hAnsi="Arial" w:cs="Arial"/>
          <w:sz w:val="22"/>
          <w:szCs w:val="22"/>
        </w:rPr>
        <w:t>G</w:t>
      </w:r>
      <w:r w:rsidR="003E6B2F" w:rsidRPr="00A44648">
        <w:rPr>
          <w:rFonts w:ascii="Arial" w:hAnsi="Arial" w:cs="Arial"/>
          <w:sz w:val="22"/>
          <w:szCs w:val="22"/>
        </w:rPr>
        <w:t>EI</w:t>
      </w:r>
      <w:r w:rsidR="00C21513" w:rsidRPr="00A44648">
        <w:rPr>
          <w:rFonts w:ascii="Arial" w:hAnsi="Arial" w:cs="Arial"/>
          <w:sz w:val="22"/>
          <w:szCs w:val="22"/>
        </w:rPr>
        <w:t xml:space="preserve"> </w:t>
      </w:r>
      <w:r w:rsidR="003E6B2F" w:rsidRPr="00A44648">
        <w:rPr>
          <w:rFonts w:ascii="Arial" w:hAnsi="Arial" w:cs="Arial"/>
          <w:sz w:val="22"/>
          <w:szCs w:val="22"/>
        </w:rPr>
        <w:t>reducidas</w:t>
      </w:r>
      <w:r w:rsidR="00C21513" w:rsidRPr="00A44648">
        <w:rPr>
          <w:rFonts w:ascii="Arial" w:hAnsi="Arial" w:cs="Arial"/>
          <w:sz w:val="22"/>
          <w:szCs w:val="22"/>
        </w:rPr>
        <w:t>.</w:t>
      </w:r>
    </w:p>
    <w:p w14:paraId="15B45964" w14:textId="77777777" w:rsidR="009A3D7F" w:rsidRPr="00A44648" w:rsidRDefault="003E6B2F" w:rsidP="00165E48">
      <w:pPr>
        <w:pStyle w:val="AutoNumpara"/>
        <w:rPr>
          <w:rFonts w:ascii="Arial" w:hAnsi="Arial" w:cs="Arial"/>
          <w:sz w:val="22"/>
          <w:szCs w:val="22"/>
        </w:rPr>
      </w:pPr>
      <w:r w:rsidRPr="00A44648">
        <w:rPr>
          <w:rFonts w:ascii="Arial" w:hAnsi="Arial" w:cs="Arial"/>
          <w:sz w:val="22"/>
          <w:szCs w:val="22"/>
        </w:rPr>
        <w:t xml:space="preserve">Para el </w:t>
      </w:r>
      <w:bookmarkStart w:id="74" w:name="_Hlk510622161"/>
      <w:r w:rsidRPr="00A44648">
        <w:rPr>
          <w:rFonts w:ascii="Arial" w:hAnsi="Arial" w:cs="Arial"/>
          <w:sz w:val="22"/>
          <w:szCs w:val="22"/>
        </w:rPr>
        <w:t>análisis de costo beneficio ex post</w:t>
      </w:r>
      <w:bookmarkEnd w:id="74"/>
      <w:r w:rsidR="009A3D7F" w:rsidRPr="00A44648">
        <w:rPr>
          <w:rFonts w:ascii="Arial" w:hAnsi="Arial" w:cs="Arial"/>
          <w:sz w:val="22"/>
          <w:szCs w:val="22"/>
        </w:rPr>
        <w:t xml:space="preserve">, </w:t>
      </w:r>
      <w:r w:rsidR="00B510AB" w:rsidRPr="00A44648">
        <w:rPr>
          <w:rFonts w:ascii="Arial" w:hAnsi="Arial" w:cs="Arial"/>
          <w:sz w:val="22"/>
          <w:szCs w:val="22"/>
        </w:rPr>
        <w:t xml:space="preserve">se tomará en cuenta: </w:t>
      </w:r>
    </w:p>
    <w:p w14:paraId="42D60208" w14:textId="77777777" w:rsidR="00CA7DCF" w:rsidRPr="00A44648" w:rsidRDefault="00E6532B" w:rsidP="00163B83">
      <w:pPr>
        <w:pStyle w:val="AutoNumpara"/>
        <w:numPr>
          <w:ilvl w:val="0"/>
          <w:numId w:val="5"/>
        </w:numPr>
        <w:ind w:left="1170"/>
        <w:rPr>
          <w:rFonts w:ascii="Arial" w:hAnsi="Arial" w:cs="Arial"/>
          <w:b/>
          <w:sz w:val="22"/>
          <w:szCs w:val="22"/>
          <w:lang w:val="en-US"/>
        </w:rPr>
      </w:pPr>
      <w:r w:rsidRPr="00A44648">
        <w:rPr>
          <w:rFonts w:ascii="Arial" w:hAnsi="Arial" w:cs="Arial"/>
          <w:b/>
          <w:sz w:val="22"/>
          <w:szCs w:val="22"/>
          <w:lang w:val="en-US"/>
        </w:rPr>
        <w:t>Inve</w:t>
      </w:r>
      <w:r w:rsidR="00B510AB" w:rsidRPr="00A44648">
        <w:rPr>
          <w:rFonts w:ascii="Arial" w:hAnsi="Arial" w:cs="Arial"/>
          <w:b/>
          <w:sz w:val="22"/>
          <w:szCs w:val="22"/>
          <w:lang w:val="en-US"/>
        </w:rPr>
        <w:t>rsión</w:t>
      </w:r>
    </w:p>
    <w:p w14:paraId="2718C94B" w14:textId="77777777" w:rsidR="00E6532B" w:rsidRPr="00A44648" w:rsidRDefault="0079117E" w:rsidP="004424E9">
      <w:pPr>
        <w:pStyle w:val="AutoNumpara"/>
        <w:numPr>
          <w:ilvl w:val="0"/>
          <w:numId w:val="0"/>
        </w:numPr>
        <w:ind w:left="1170"/>
        <w:rPr>
          <w:rFonts w:ascii="Arial" w:hAnsi="Arial" w:cs="Arial"/>
          <w:sz w:val="22"/>
          <w:szCs w:val="22"/>
        </w:rPr>
      </w:pPr>
      <w:r w:rsidRPr="00A44648">
        <w:rPr>
          <w:rFonts w:ascii="Arial" w:hAnsi="Arial" w:cs="Arial"/>
          <w:sz w:val="22"/>
          <w:szCs w:val="22"/>
        </w:rPr>
        <w:t xml:space="preserve">Informacion del informe semestral de progreso. </w:t>
      </w:r>
      <w:r w:rsidR="00E6532B" w:rsidRPr="00A44648">
        <w:rPr>
          <w:rFonts w:ascii="Arial" w:hAnsi="Arial" w:cs="Arial"/>
          <w:sz w:val="22"/>
          <w:szCs w:val="22"/>
        </w:rPr>
        <w:t xml:space="preserve"> </w:t>
      </w:r>
    </w:p>
    <w:p w14:paraId="7CEF1AA8" w14:textId="77777777" w:rsidR="00E6532B" w:rsidRPr="00A44648" w:rsidRDefault="00E6532B" w:rsidP="00163B83">
      <w:pPr>
        <w:pStyle w:val="AutoNumpara"/>
        <w:numPr>
          <w:ilvl w:val="0"/>
          <w:numId w:val="5"/>
        </w:numPr>
        <w:ind w:left="1170"/>
        <w:rPr>
          <w:rFonts w:ascii="Arial" w:hAnsi="Arial" w:cs="Arial"/>
          <w:b/>
          <w:sz w:val="22"/>
          <w:szCs w:val="22"/>
          <w:lang w:val="en-US"/>
        </w:rPr>
      </w:pPr>
      <w:r w:rsidRPr="00A44648">
        <w:rPr>
          <w:rFonts w:ascii="Arial" w:hAnsi="Arial" w:cs="Arial"/>
          <w:b/>
          <w:sz w:val="22"/>
          <w:szCs w:val="22"/>
          <w:lang w:val="en-US"/>
        </w:rPr>
        <w:t>Benefi</w:t>
      </w:r>
      <w:r w:rsidR="00B510AB" w:rsidRPr="00A44648">
        <w:rPr>
          <w:rFonts w:ascii="Arial" w:hAnsi="Arial" w:cs="Arial"/>
          <w:b/>
          <w:sz w:val="22"/>
          <w:szCs w:val="22"/>
          <w:lang w:val="en-US"/>
        </w:rPr>
        <w:t>cios</w:t>
      </w:r>
    </w:p>
    <w:p w14:paraId="7BDEAC1E" w14:textId="77777777" w:rsidR="00711F14" w:rsidRPr="00A44648" w:rsidRDefault="0079117E" w:rsidP="00163B83">
      <w:pPr>
        <w:pStyle w:val="AutoNumpara"/>
        <w:numPr>
          <w:ilvl w:val="0"/>
          <w:numId w:val="6"/>
        </w:numPr>
        <w:ind w:left="1170"/>
        <w:rPr>
          <w:rFonts w:ascii="Arial" w:hAnsi="Arial" w:cs="Arial"/>
          <w:sz w:val="22"/>
          <w:szCs w:val="22"/>
          <w:lang w:val="en-US"/>
        </w:rPr>
      </w:pPr>
      <w:r w:rsidRPr="00A44648">
        <w:rPr>
          <w:rFonts w:ascii="Arial" w:hAnsi="Arial" w:cs="Arial"/>
          <w:sz w:val="22"/>
          <w:szCs w:val="22"/>
          <w:lang w:val="en-US"/>
        </w:rPr>
        <w:t>Ahorros de electricidad</w:t>
      </w:r>
      <w:r w:rsidR="002351F0" w:rsidRPr="00A44648">
        <w:rPr>
          <w:rFonts w:ascii="Arial" w:hAnsi="Arial" w:cs="Arial"/>
          <w:sz w:val="22"/>
          <w:szCs w:val="22"/>
          <w:lang w:val="en-US"/>
        </w:rPr>
        <w:t xml:space="preserve"> </w:t>
      </w:r>
    </w:p>
    <w:p w14:paraId="287DFC4D" w14:textId="77777777" w:rsidR="00437912" w:rsidRPr="00A44648" w:rsidRDefault="0079117E" w:rsidP="0079117E">
      <w:pPr>
        <w:pStyle w:val="AutoNumpara"/>
        <w:numPr>
          <w:ilvl w:val="0"/>
          <w:numId w:val="0"/>
        </w:numPr>
        <w:ind w:left="1170"/>
        <w:rPr>
          <w:rFonts w:ascii="Arial" w:hAnsi="Arial" w:cs="Arial"/>
          <w:sz w:val="22"/>
          <w:szCs w:val="22"/>
        </w:rPr>
      </w:pPr>
      <w:r w:rsidRPr="00A44648">
        <w:rPr>
          <w:rFonts w:ascii="Arial" w:hAnsi="Arial" w:cs="Arial"/>
          <w:sz w:val="22"/>
          <w:szCs w:val="22"/>
        </w:rPr>
        <w:t xml:space="preserve">Se comparará entre los costos de generación de otras tecnologías (principalmente gas natural) y geotermia. </w:t>
      </w:r>
    </w:p>
    <w:p w14:paraId="0444E420" w14:textId="77777777" w:rsidR="00E6532B" w:rsidRPr="00A44648" w:rsidRDefault="0079117E" w:rsidP="00163B83">
      <w:pPr>
        <w:pStyle w:val="AutoNumpara"/>
        <w:numPr>
          <w:ilvl w:val="0"/>
          <w:numId w:val="6"/>
        </w:numPr>
        <w:ind w:left="1170"/>
        <w:rPr>
          <w:rFonts w:ascii="Arial" w:hAnsi="Arial" w:cs="Arial"/>
          <w:sz w:val="22"/>
          <w:szCs w:val="22"/>
        </w:rPr>
      </w:pPr>
      <w:r w:rsidRPr="00A44648">
        <w:rPr>
          <w:rFonts w:ascii="Arial" w:hAnsi="Arial" w:cs="Arial"/>
          <w:sz w:val="22"/>
          <w:szCs w:val="22"/>
        </w:rPr>
        <w:t>Emisiones de Gases de efecto Invernadero (GEI) reducidas y certificados energía limpias (CELs)</w:t>
      </w:r>
    </w:p>
    <w:p w14:paraId="61F06468" w14:textId="77777777" w:rsidR="00EF2452" w:rsidRPr="00A44648" w:rsidRDefault="0079117E" w:rsidP="008D4B06">
      <w:pPr>
        <w:pStyle w:val="AutoNumpara"/>
        <w:numPr>
          <w:ilvl w:val="0"/>
          <w:numId w:val="0"/>
        </w:numPr>
        <w:ind w:left="1170"/>
        <w:rPr>
          <w:rFonts w:ascii="Arial" w:hAnsi="Arial" w:cs="Arial"/>
          <w:sz w:val="22"/>
          <w:szCs w:val="22"/>
        </w:rPr>
      </w:pPr>
      <w:r w:rsidRPr="00A44648">
        <w:rPr>
          <w:rFonts w:ascii="Arial" w:hAnsi="Arial" w:cs="Arial"/>
          <w:sz w:val="22"/>
          <w:szCs w:val="22"/>
        </w:rPr>
        <w:t xml:space="preserve">Para calcular la emisiones GEI reducidas se multiplicará el factor de emision de la red de México </w:t>
      </w:r>
      <w:r w:rsidR="00EF2452" w:rsidRPr="00A44648">
        <w:rPr>
          <w:rFonts w:ascii="Arial" w:hAnsi="Arial" w:cs="Arial"/>
          <w:sz w:val="22"/>
          <w:szCs w:val="22"/>
        </w:rPr>
        <w:t>(0.5 kgCO</w:t>
      </w:r>
      <w:r w:rsidR="00EF2452" w:rsidRPr="00A44648">
        <w:rPr>
          <w:rFonts w:ascii="Arial" w:hAnsi="Arial" w:cs="Arial"/>
          <w:sz w:val="22"/>
          <w:szCs w:val="22"/>
          <w:vertAlign w:val="subscript"/>
        </w:rPr>
        <w:t>2</w:t>
      </w:r>
      <w:r w:rsidR="00EF2452" w:rsidRPr="00A44648">
        <w:rPr>
          <w:rFonts w:ascii="Arial" w:hAnsi="Arial" w:cs="Arial"/>
          <w:sz w:val="22"/>
          <w:szCs w:val="22"/>
        </w:rPr>
        <w:t>/</w:t>
      </w:r>
      <w:r w:rsidRPr="00A44648">
        <w:rPr>
          <w:rFonts w:ascii="Arial" w:hAnsi="Arial" w:cs="Arial"/>
          <w:sz w:val="22"/>
          <w:szCs w:val="22"/>
        </w:rPr>
        <w:t>M</w:t>
      </w:r>
      <w:r w:rsidR="00EF2452" w:rsidRPr="00A44648">
        <w:rPr>
          <w:rFonts w:ascii="Arial" w:hAnsi="Arial" w:cs="Arial"/>
          <w:sz w:val="22"/>
          <w:szCs w:val="22"/>
        </w:rPr>
        <w:t xml:space="preserve">Wh) </w:t>
      </w:r>
      <w:r w:rsidRPr="00A44648">
        <w:rPr>
          <w:rFonts w:ascii="Arial" w:hAnsi="Arial" w:cs="Arial"/>
          <w:sz w:val="22"/>
          <w:szCs w:val="22"/>
        </w:rPr>
        <w:t>por el factor de planta de la planta geotérmica (entre</w:t>
      </w:r>
      <w:r w:rsidR="00EF2452" w:rsidRPr="00A44648">
        <w:rPr>
          <w:rFonts w:ascii="Arial" w:hAnsi="Arial" w:cs="Arial"/>
          <w:sz w:val="22"/>
          <w:szCs w:val="22"/>
        </w:rPr>
        <w:t xml:space="preserve"> 84</w:t>
      </w:r>
      <w:r w:rsidRPr="00A44648">
        <w:rPr>
          <w:rFonts w:ascii="Arial" w:hAnsi="Arial" w:cs="Arial"/>
          <w:sz w:val="22"/>
          <w:szCs w:val="22"/>
        </w:rPr>
        <w:t>-95</w:t>
      </w:r>
      <w:r w:rsidR="00EF2452" w:rsidRPr="00A44648">
        <w:rPr>
          <w:rFonts w:ascii="Arial" w:hAnsi="Arial" w:cs="Arial"/>
          <w:sz w:val="22"/>
          <w:szCs w:val="22"/>
        </w:rPr>
        <w:t xml:space="preserve">% </w:t>
      </w:r>
      <w:r w:rsidRPr="00A44648">
        <w:rPr>
          <w:rFonts w:ascii="Arial" w:hAnsi="Arial" w:cs="Arial"/>
          <w:sz w:val="22"/>
          <w:szCs w:val="22"/>
        </w:rPr>
        <w:t xml:space="preserve">) y cantidad de energía producida por la planta geotérmica (en MWh). </w:t>
      </w:r>
    </w:p>
    <w:p w14:paraId="5E48E03E" w14:textId="77777777" w:rsidR="0079117E" w:rsidRPr="00A44648" w:rsidRDefault="00C64C69" w:rsidP="008D4B06">
      <w:pPr>
        <w:pStyle w:val="AutoNumpara"/>
        <w:numPr>
          <w:ilvl w:val="0"/>
          <w:numId w:val="0"/>
        </w:numPr>
        <w:ind w:left="1170"/>
        <w:rPr>
          <w:rFonts w:ascii="Arial" w:hAnsi="Arial" w:cs="Arial"/>
          <w:sz w:val="22"/>
          <w:szCs w:val="22"/>
        </w:rPr>
      </w:pPr>
      <w:r w:rsidRPr="00A44648">
        <w:rPr>
          <w:rFonts w:ascii="Arial" w:hAnsi="Arial" w:cs="Arial"/>
          <w:sz w:val="22"/>
          <w:szCs w:val="22"/>
        </w:rPr>
        <w:t xml:space="preserve">Dichos emisiones se pueden vender en mercados de carbono o transformar a CELs es decir 1 MWh de energía según la metodología presentada en:  </w:t>
      </w:r>
      <w:hyperlink r:id="rId30" w:history="1">
        <w:r w:rsidRPr="00A44648">
          <w:rPr>
            <w:rStyle w:val="Hyperlink"/>
            <w:rFonts w:ascii="Arial" w:hAnsi="Arial" w:cs="Arial"/>
            <w:sz w:val="22"/>
            <w:szCs w:val="22"/>
          </w:rPr>
          <w:t>https://www.gob.mx/cre/acciones-y-programas/certificados-de-energias-limpias-51673</w:t>
        </w:r>
      </w:hyperlink>
    </w:p>
    <w:p w14:paraId="2CCF8B08" w14:textId="77777777" w:rsidR="00C64C69" w:rsidRPr="00A44648" w:rsidRDefault="00C64C69" w:rsidP="008D4B06">
      <w:pPr>
        <w:pStyle w:val="AutoNumpara"/>
        <w:numPr>
          <w:ilvl w:val="0"/>
          <w:numId w:val="0"/>
        </w:numPr>
        <w:ind w:left="1170"/>
        <w:rPr>
          <w:rFonts w:ascii="Arial" w:hAnsi="Arial" w:cs="Arial"/>
          <w:sz w:val="22"/>
          <w:szCs w:val="22"/>
        </w:rPr>
      </w:pPr>
    </w:p>
    <w:p w14:paraId="311589F3" w14:textId="77777777" w:rsidR="00582806" w:rsidRPr="00A44648" w:rsidRDefault="00C64C69" w:rsidP="00163B83">
      <w:pPr>
        <w:pStyle w:val="AutoNumpara"/>
        <w:numPr>
          <w:ilvl w:val="0"/>
          <w:numId w:val="5"/>
        </w:numPr>
        <w:ind w:left="1170"/>
        <w:rPr>
          <w:rFonts w:ascii="Arial" w:hAnsi="Arial" w:cs="Arial"/>
          <w:b/>
          <w:sz w:val="22"/>
          <w:szCs w:val="22"/>
          <w:lang w:val="en-US"/>
        </w:rPr>
      </w:pPr>
      <w:r w:rsidRPr="00A44648">
        <w:rPr>
          <w:rFonts w:ascii="Arial" w:hAnsi="Arial" w:cs="Arial"/>
          <w:b/>
          <w:sz w:val="22"/>
          <w:szCs w:val="22"/>
          <w:lang w:val="en-US"/>
        </w:rPr>
        <w:t>TIR y VPN</w:t>
      </w:r>
    </w:p>
    <w:p w14:paraId="2259F32A" w14:textId="77777777" w:rsidR="00E6532B" w:rsidRPr="00A44648" w:rsidRDefault="00C64C69" w:rsidP="008D3404">
      <w:pPr>
        <w:pStyle w:val="AutoNumpara"/>
        <w:numPr>
          <w:ilvl w:val="0"/>
          <w:numId w:val="0"/>
        </w:numPr>
        <w:ind w:left="1170"/>
        <w:rPr>
          <w:rFonts w:ascii="Arial" w:hAnsi="Arial" w:cs="Arial"/>
          <w:sz w:val="22"/>
          <w:szCs w:val="22"/>
        </w:rPr>
      </w:pPr>
      <w:r w:rsidRPr="00A44648">
        <w:rPr>
          <w:rFonts w:ascii="Arial" w:hAnsi="Arial" w:cs="Arial"/>
          <w:sz w:val="22"/>
          <w:szCs w:val="22"/>
        </w:rPr>
        <w:t xml:space="preserve">El resultado que se medirá es en análisis de </w:t>
      </w:r>
      <w:r w:rsidR="00582806" w:rsidRPr="00A44648">
        <w:rPr>
          <w:rFonts w:ascii="Arial" w:hAnsi="Arial" w:cs="Arial"/>
          <w:sz w:val="22"/>
          <w:szCs w:val="22"/>
        </w:rPr>
        <w:t>"</w:t>
      </w:r>
      <w:r w:rsidRPr="00A44648">
        <w:rPr>
          <w:rFonts w:ascii="Arial" w:hAnsi="Arial" w:cs="Arial"/>
          <w:sz w:val="22"/>
          <w:szCs w:val="22"/>
        </w:rPr>
        <w:t>sin</w:t>
      </w:r>
      <w:r w:rsidR="00582806" w:rsidRPr="00A44648">
        <w:rPr>
          <w:rFonts w:ascii="Arial" w:hAnsi="Arial" w:cs="Arial"/>
          <w:sz w:val="22"/>
          <w:szCs w:val="22"/>
        </w:rPr>
        <w:t xml:space="preserve">" </w:t>
      </w:r>
      <w:r w:rsidRPr="00A44648">
        <w:rPr>
          <w:rFonts w:ascii="Arial" w:hAnsi="Arial" w:cs="Arial"/>
          <w:sz w:val="22"/>
          <w:szCs w:val="22"/>
        </w:rPr>
        <w:t>y</w:t>
      </w:r>
      <w:r w:rsidR="00582806" w:rsidRPr="00A44648">
        <w:rPr>
          <w:rFonts w:ascii="Arial" w:hAnsi="Arial" w:cs="Arial"/>
          <w:sz w:val="22"/>
          <w:szCs w:val="22"/>
        </w:rPr>
        <w:t xml:space="preserve"> "</w:t>
      </w:r>
      <w:r w:rsidRPr="00A44648">
        <w:rPr>
          <w:rFonts w:ascii="Arial" w:hAnsi="Arial" w:cs="Arial"/>
          <w:sz w:val="22"/>
          <w:szCs w:val="22"/>
        </w:rPr>
        <w:t>con</w:t>
      </w:r>
      <w:r w:rsidR="00582806" w:rsidRPr="00A44648">
        <w:rPr>
          <w:rFonts w:ascii="Arial" w:hAnsi="Arial" w:cs="Arial"/>
          <w:sz w:val="22"/>
          <w:szCs w:val="22"/>
        </w:rPr>
        <w:t xml:space="preserve">" </w:t>
      </w:r>
      <w:r w:rsidRPr="00A44648">
        <w:rPr>
          <w:rFonts w:ascii="Arial" w:hAnsi="Arial" w:cs="Arial"/>
          <w:sz w:val="22"/>
          <w:szCs w:val="22"/>
        </w:rPr>
        <w:t xml:space="preserve">intervención del </w:t>
      </w:r>
      <w:r w:rsidR="00582806" w:rsidRPr="00A44648">
        <w:rPr>
          <w:rFonts w:ascii="Arial" w:hAnsi="Arial" w:cs="Arial"/>
          <w:sz w:val="22"/>
          <w:szCs w:val="22"/>
        </w:rPr>
        <w:t xml:space="preserve">program. </w:t>
      </w:r>
    </w:p>
    <w:p w14:paraId="6FD25B76" w14:textId="77777777" w:rsidR="008D3404" w:rsidRPr="00A44648" w:rsidRDefault="00C64C69" w:rsidP="008D3404">
      <w:pPr>
        <w:pStyle w:val="AutoNumpara"/>
        <w:rPr>
          <w:rFonts w:ascii="Arial" w:hAnsi="Arial" w:cs="Arial"/>
          <w:sz w:val="22"/>
          <w:szCs w:val="22"/>
        </w:rPr>
      </w:pPr>
      <w:r w:rsidRPr="00A44648">
        <w:rPr>
          <w:rFonts w:ascii="Arial" w:hAnsi="Arial" w:cs="Arial"/>
          <w:sz w:val="22"/>
          <w:szCs w:val="22"/>
        </w:rPr>
        <w:t>Esta medología es apropaida porque</w:t>
      </w:r>
      <w:r w:rsidR="008D3404" w:rsidRPr="00A44648">
        <w:rPr>
          <w:rFonts w:ascii="Arial" w:hAnsi="Arial" w:cs="Arial"/>
          <w:sz w:val="22"/>
          <w:szCs w:val="22"/>
        </w:rPr>
        <w:t xml:space="preserve">: (i) </w:t>
      </w:r>
      <w:r w:rsidRPr="00A44648">
        <w:rPr>
          <w:rFonts w:ascii="Arial" w:hAnsi="Arial" w:cs="Arial"/>
          <w:sz w:val="22"/>
          <w:szCs w:val="22"/>
        </w:rPr>
        <w:t xml:space="preserve">porque existe relativamente pequeño de desarrolladores geotérmicos con lo cual se puede conocer con exactitud la condición sin programa (línea de base) y </w:t>
      </w:r>
      <w:r w:rsidR="00D542A5" w:rsidRPr="00A44648">
        <w:rPr>
          <w:rFonts w:ascii="Arial" w:hAnsi="Arial" w:cs="Arial"/>
          <w:sz w:val="22"/>
          <w:szCs w:val="22"/>
        </w:rPr>
        <w:t>(</w:t>
      </w:r>
      <w:r w:rsidR="008D3404" w:rsidRPr="00A44648">
        <w:rPr>
          <w:rFonts w:ascii="Arial" w:hAnsi="Arial" w:cs="Arial"/>
          <w:sz w:val="22"/>
          <w:szCs w:val="22"/>
        </w:rPr>
        <w:t xml:space="preserve">ii) </w:t>
      </w:r>
      <w:r w:rsidRPr="00A44648">
        <w:rPr>
          <w:rFonts w:ascii="Arial" w:hAnsi="Arial" w:cs="Arial"/>
          <w:sz w:val="22"/>
          <w:szCs w:val="22"/>
        </w:rPr>
        <w:t xml:space="preserve">la disponibilidad  </w:t>
      </w:r>
      <w:r w:rsidR="00876C87" w:rsidRPr="00A44648">
        <w:rPr>
          <w:rFonts w:ascii="Arial" w:hAnsi="Arial" w:cs="Arial"/>
          <w:sz w:val="22"/>
          <w:szCs w:val="22"/>
        </w:rPr>
        <w:t xml:space="preserve">y robustez de los indicadores de resultado (nuevas desarrolladores geotérmicos que entrarán en el mercado). </w:t>
      </w:r>
    </w:p>
    <w:p w14:paraId="740BA976" w14:textId="77777777" w:rsidR="008D3404" w:rsidRPr="00A44648" w:rsidRDefault="00876C87" w:rsidP="00C85C72">
      <w:pPr>
        <w:pStyle w:val="AutoNumpara"/>
        <w:rPr>
          <w:rFonts w:ascii="Arial" w:hAnsi="Arial" w:cs="Arial"/>
          <w:sz w:val="22"/>
          <w:szCs w:val="22"/>
        </w:rPr>
      </w:pPr>
      <w:r w:rsidRPr="00A44648">
        <w:rPr>
          <w:rFonts w:ascii="Arial" w:hAnsi="Arial" w:cs="Arial"/>
          <w:sz w:val="22"/>
          <w:szCs w:val="22"/>
        </w:rPr>
        <w:t>Es responsabilidad de la Division de Energía (ENE), la supervisión de la ejecución análisis de costo beneficio ex post</w:t>
      </w:r>
      <w:r w:rsidR="00FF7E75" w:rsidRPr="00A44648">
        <w:rPr>
          <w:rFonts w:ascii="Arial" w:hAnsi="Arial" w:cs="Arial"/>
          <w:sz w:val="22"/>
          <w:szCs w:val="22"/>
        </w:rPr>
        <w:t xml:space="preserve">. </w:t>
      </w:r>
    </w:p>
    <w:p w14:paraId="7E710DC6" w14:textId="77777777" w:rsidR="007666B9" w:rsidRPr="00A44648" w:rsidRDefault="007666B9" w:rsidP="007666B9">
      <w:pPr>
        <w:pStyle w:val="AutoNumpara"/>
        <w:rPr>
          <w:rFonts w:ascii="Arial" w:hAnsi="Arial" w:cs="Arial"/>
          <w:sz w:val="22"/>
          <w:szCs w:val="22"/>
        </w:rPr>
      </w:pPr>
      <w:r w:rsidRPr="00A44648">
        <w:rPr>
          <w:rFonts w:ascii="Arial" w:hAnsi="Arial" w:cs="Arial"/>
          <w:b/>
          <w:sz w:val="22"/>
          <w:szCs w:val="22"/>
        </w:rPr>
        <w:t>Tr</w:t>
      </w:r>
      <w:r w:rsidR="00876C87" w:rsidRPr="00A44648">
        <w:rPr>
          <w:rFonts w:ascii="Arial" w:hAnsi="Arial" w:cs="Arial"/>
          <w:b/>
          <w:sz w:val="22"/>
          <w:szCs w:val="22"/>
        </w:rPr>
        <w:t>atamiento y grupos de control</w:t>
      </w:r>
      <w:r w:rsidRPr="00A44648">
        <w:rPr>
          <w:rFonts w:ascii="Arial" w:hAnsi="Arial" w:cs="Arial"/>
          <w:sz w:val="22"/>
          <w:szCs w:val="22"/>
        </w:rPr>
        <w:t xml:space="preserve">. </w:t>
      </w:r>
      <w:r w:rsidR="00876C87" w:rsidRPr="00A44648">
        <w:rPr>
          <w:rFonts w:ascii="Arial" w:hAnsi="Arial" w:cs="Arial"/>
          <w:sz w:val="22"/>
          <w:szCs w:val="22"/>
        </w:rPr>
        <w:t xml:space="preserve">La metodología seleccionanda no requiere de asiganción de tratamiento y grupos de control. </w:t>
      </w:r>
    </w:p>
    <w:p w14:paraId="522A5326" w14:textId="77777777" w:rsidR="00876C87" w:rsidRPr="00A44648" w:rsidRDefault="00876C87" w:rsidP="00876C87">
      <w:pPr>
        <w:pStyle w:val="AutoNumpara"/>
        <w:rPr>
          <w:rFonts w:ascii="Arial" w:hAnsi="Arial" w:cs="Arial"/>
          <w:sz w:val="22"/>
          <w:szCs w:val="22"/>
        </w:rPr>
      </w:pPr>
      <w:r w:rsidRPr="00A44648">
        <w:rPr>
          <w:rFonts w:ascii="Arial" w:hAnsi="Arial" w:cs="Arial"/>
          <w:b/>
          <w:sz w:val="22"/>
          <w:szCs w:val="22"/>
        </w:rPr>
        <w:t>Rec</w:t>
      </w:r>
      <w:r w:rsidR="00E079A5" w:rsidRPr="00A44648">
        <w:rPr>
          <w:rFonts w:ascii="Arial" w:hAnsi="Arial" w:cs="Arial"/>
          <w:b/>
          <w:sz w:val="22"/>
          <w:szCs w:val="22"/>
        </w:rPr>
        <w:t>olec</w:t>
      </w:r>
      <w:r w:rsidRPr="00A44648">
        <w:rPr>
          <w:rFonts w:ascii="Arial" w:hAnsi="Arial" w:cs="Arial"/>
          <w:b/>
          <w:sz w:val="22"/>
          <w:szCs w:val="22"/>
        </w:rPr>
        <w:t>ción de Datos</w:t>
      </w:r>
      <w:r w:rsidR="00E079A5" w:rsidRPr="00A44648">
        <w:rPr>
          <w:rFonts w:ascii="Arial" w:hAnsi="Arial" w:cs="Arial"/>
          <w:sz w:val="22"/>
          <w:szCs w:val="22"/>
        </w:rPr>
        <w:t>. NAFIN</w:t>
      </w:r>
      <w:r w:rsidRPr="00A44648">
        <w:rPr>
          <w:rFonts w:ascii="Arial" w:hAnsi="Arial" w:cs="Arial"/>
          <w:sz w:val="22"/>
          <w:szCs w:val="22"/>
        </w:rPr>
        <w:t>, con el apoyo de SENER e INEEL, se encragará de la recolección de datos indicados en la tabla 4 e informará semestralemnte al BID mediante informes semestrales de progreso.</w:t>
      </w:r>
    </w:p>
    <w:p w14:paraId="3CC4BA23" w14:textId="77777777" w:rsidR="001F6893" w:rsidRPr="00A44648" w:rsidRDefault="001F6893" w:rsidP="001F6893">
      <w:pPr>
        <w:pStyle w:val="AutoNumpara"/>
        <w:numPr>
          <w:ilvl w:val="0"/>
          <w:numId w:val="0"/>
        </w:numPr>
        <w:ind w:left="720"/>
        <w:jc w:val="center"/>
        <w:rPr>
          <w:rFonts w:ascii="Arial" w:hAnsi="Arial" w:cs="Arial"/>
          <w:b/>
          <w:sz w:val="22"/>
          <w:szCs w:val="22"/>
        </w:rPr>
      </w:pPr>
    </w:p>
    <w:p w14:paraId="6225A8AE" w14:textId="77777777" w:rsidR="00DB4181" w:rsidRPr="00A44648" w:rsidRDefault="001F6893" w:rsidP="001F6893">
      <w:pPr>
        <w:pStyle w:val="AutoNumpara"/>
        <w:numPr>
          <w:ilvl w:val="0"/>
          <w:numId w:val="0"/>
        </w:numPr>
        <w:ind w:left="720"/>
        <w:jc w:val="center"/>
        <w:rPr>
          <w:rFonts w:ascii="Arial" w:hAnsi="Arial" w:cs="Arial"/>
          <w:b/>
          <w:sz w:val="22"/>
          <w:szCs w:val="22"/>
          <w:lang w:val="en-US"/>
        </w:rPr>
      </w:pPr>
      <w:r w:rsidRPr="00A44648">
        <w:rPr>
          <w:rFonts w:ascii="Arial" w:hAnsi="Arial" w:cs="Arial"/>
          <w:b/>
          <w:sz w:val="22"/>
          <w:szCs w:val="22"/>
          <w:lang w:val="en-US"/>
        </w:rPr>
        <w:t>Tabla 3.2: Recolección de datos</w:t>
      </w:r>
    </w:p>
    <w:tbl>
      <w:tblPr>
        <w:tblStyle w:val="LightList"/>
        <w:tblW w:w="10182" w:type="dxa"/>
        <w:jc w:val="center"/>
        <w:tblLayout w:type="fixed"/>
        <w:tblLook w:val="04A0" w:firstRow="1" w:lastRow="0" w:firstColumn="1" w:lastColumn="0" w:noHBand="0" w:noVBand="1"/>
      </w:tblPr>
      <w:tblGrid>
        <w:gridCol w:w="1708"/>
        <w:gridCol w:w="715"/>
        <w:gridCol w:w="715"/>
        <w:gridCol w:w="716"/>
        <w:gridCol w:w="716"/>
        <w:gridCol w:w="650"/>
        <w:gridCol w:w="43"/>
        <w:gridCol w:w="677"/>
        <w:gridCol w:w="16"/>
        <w:gridCol w:w="681"/>
        <w:gridCol w:w="13"/>
        <w:gridCol w:w="100"/>
        <w:gridCol w:w="585"/>
        <w:gridCol w:w="8"/>
        <w:gridCol w:w="37"/>
        <w:gridCol w:w="31"/>
        <w:gridCol w:w="599"/>
        <w:gridCol w:w="26"/>
        <w:gridCol w:w="21"/>
        <w:gridCol w:w="15"/>
        <w:gridCol w:w="662"/>
        <w:gridCol w:w="724"/>
        <w:gridCol w:w="724"/>
      </w:tblGrid>
      <w:tr w:rsidR="001F6893" w:rsidRPr="00A44648" w14:paraId="62EBE112" w14:textId="77777777" w:rsidTr="00D748B3">
        <w:trPr>
          <w:cnfStyle w:val="100000000000" w:firstRow="1" w:lastRow="0" w:firstColumn="0" w:lastColumn="0" w:oddVBand="0" w:evenVBand="0" w:oddHBand="0" w:evenHBand="0" w:firstRowFirstColumn="0" w:firstRowLastColumn="0" w:lastRowFirstColumn="0" w:lastRowLastColumn="0"/>
          <w:trHeight w:val="60"/>
          <w:jc w:val="center"/>
        </w:trPr>
        <w:tc>
          <w:tcPr>
            <w:cnfStyle w:val="001000000000" w:firstRow="0" w:lastRow="0" w:firstColumn="1" w:lastColumn="0" w:oddVBand="0" w:evenVBand="0" w:oddHBand="0" w:evenHBand="0" w:firstRowFirstColumn="0" w:firstRowLastColumn="0" w:lastRowFirstColumn="0" w:lastRowLastColumn="0"/>
            <w:tcW w:w="1708" w:type="dxa"/>
            <w:tcBorders>
              <w:top w:val="single" w:sz="8" w:space="0" w:color="000000" w:themeColor="text1"/>
              <w:left w:val="single" w:sz="8" w:space="0" w:color="000000" w:themeColor="text1"/>
              <w:bottom w:val="nil"/>
              <w:right w:val="nil"/>
            </w:tcBorders>
            <w:vAlign w:val="center"/>
            <w:hideMark/>
          </w:tcPr>
          <w:p w14:paraId="59C4FE7D" w14:textId="77777777" w:rsidR="001F6893" w:rsidRPr="00A44648" w:rsidRDefault="001F6893" w:rsidP="00D748B3">
            <w:pPr>
              <w:pStyle w:val="Paragraph"/>
              <w:tabs>
                <w:tab w:val="clear" w:pos="720"/>
                <w:tab w:val="left" w:pos="708"/>
              </w:tabs>
              <w:spacing w:before="0" w:after="0"/>
              <w:ind w:left="0" w:firstLine="0"/>
              <w:jc w:val="center"/>
              <w:rPr>
                <w:rFonts w:ascii="Arial" w:eastAsiaTheme="minorEastAsia" w:hAnsi="Arial" w:cs="Arial"/>
                <w:sz w:val="22"/>
                <w:lang w:val="en-US" w:eastAsia="en-US"/>
              </w:rPr>
            </w:pPr>
            <w:r w:rsidRPr="00A44648">
              <w:rPr>
                <w:rFonts w:ascii="Arial" w:hAnsi="Arial" w:cs="Arial"/>
                <w:sz w:val="22"/>
                <w:lang w:val="en-US"/>
              </w:rPr>
              <w:t>Proyecto</w:t>
            </w:r>
          </w:p>
        </w:tc>
        <w:tc>
          <w:tcPr>
            <w:tcW w:w="715" w:type="dxa"/>
            <w:tcBorders>
              <w:top w:val="single" w:sz="8" w:space="0" w:color="000000" w:themeColor="text1"/>
              <w:left w:val="nil"/>
              <w:bottom w:val="nil"/>
              <w:right w:val="nil"/>
            </w:tcBorders>
            <w:vAlign w:val="center"/>
            <w:hideMark/>
          </w:tcPr>
          <w:p w14:paraId="7563F519" w14:textId="77777777" w:rsidR="001F6893" w:rsidRPr="00A44648" w:rsidRDefault="001F6893" w:rsidP="00D748B3">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bookmarkStart w:id="75" w:name="_Toc381109253"/>
            <w:r w:rsidRPr="00A44648">
              <w:rPr>
                <w:rFonts w:ascii="Arial" w:hAnsi="Arial" w:cs="Arial"/>
                <w:sz w:val="22"/>
              </w:rPr>
              <w:t>2015</w:t>
            </w:r>
            <w:bookmarkEnd w:id="75"/>
          </w:p>
        </w:tc>
        <w:tc>
          <w:tcPr>
            <w:tcW w:w="715" w:type="dxa"/>
            <w:tcBorders>
              <w:top w:val="single" w:sz="8" w:space="0" w:color="000000" w:themeColor="text1"/>
              <w:left w:val="nil"/>
              <w:bottom w:val="nil"/>
              <w:right w:val="nil"/>
            </w:tcBorders>
            <w:vAlign w:val="center"/>
            <w:hideMark/>
          </w:tcPr>
          <w:p w14:paraId="16BEAB4F" w14:textId="77777777" w:rsidR="001F6893" w:rsidRPr="00A44648" w:rsidRDefault="001F6893" w:rsidP="00D748B3">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bookmarkStart w:id="76" w:name="_Toc381109254"/>
            <w:r w:rsidRPr="00A44648">
              <w:rPr>
                <w:rFonts w:ascii="Arial" w:hAnsi="Arial" w:cs="Arial"/>
                <w:sz w:val="22"/>
              </w:rPr>
              <w:t>2016</w:t>
            </w:r>
            <w:bookmarkEnd w:id="76"/>
          </w:p>
        </w:tc>
        <w:tc>
          <w:tcPr>
            <w:tcW w:w="716" w:type="dxa"/>
            <w:tcBorders>
              <w:top w:val="single" w:sz="8" w:space="0" w:color="000000" w:themeColor="text1"/>
              <w:left w:val="nil"/>
              <w:bottom w:val="nil"/>
              <w:right w:val="nil"/>
            </w:tcBorders>
            <w:vAlign w:val="center"/>
            <w:hideMark/>
          </w:tcPr>
          <w:p w14:paraId="2BBEA67B" w14:textId="77777777" w:rsidR="001F6893" w:rsidRPr="00A44648" w:rsidRDefault="001F6893" w:rsidP="00D748B3">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bookmarkStart w:id="77" w:name="_Toc381109255"/>
            <w:r w:rsidRPr="00A44648">
              <w:rPr>
                <w:rFonts w:ascii="Arial" w:hAnsi="Arial" w:cs="Arial"/>
                <w:sz w:val="22"/>
              </w:rPr>
              <w:t>2017</w:t>
            </w:r>
            <w:bookmarkEnd w:id="77"/>
          </w:p>
        </w:tc>
        <w:tc>
          <w:tcPr>
            <w:tcW w:w="716" w:type="dxa"/>
            <w:tcBorders>
              <w:top w:val="single" w:sz="8" w:space="0" w:color="000000" w:themeColor="text1"/>
              <w:left w:val="nil"/>
              <w:bottom w:val="nil"/>
              <w:right w:val="nil"/>
            </w:tcBorders>
            <w:vAlign w:val="center"/>
            <w:hideMark/>
          </w:tcPr>
          <w:p w14:paraId="4C0579AD" w14:textId="77777777" w:rsidR="001F6893" w:rsidRPr="00A44648" w:rsidRDefault="001F6893" w:rsidP="00D748B3">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bookmarkStart w:id="78" w:name="_Toc381109256"/>
            <w:r w:rsidRPr="00A44648">
              <w:rPr>
                <w:rFonts w:ascii="Arial" w:hAnsi="Arial" w:cs="Arial"/>
                <w:sz w:val="22"/>
              </w:rPr>
              <w:t>2018</w:t>
            </w:r>
            <w:bookmarkEnd w:id="78"/>
          </w:p>
        </w:tc>
        <w:tc>
          <w:tcPr>
            <w:tcW w:w="650" w:type="dxa"/>
            <w:tcBorders>
              <w:top w:val="single" w:sz="8" w:space="0" w:color="000000" w:themeColor="text1"/>
              <w:left w:val="nil"/>
              <w:bottom w:val="nil"/>
              <w:right w:val="nil"/>
            </w:tcBorders>
            <w:vAlign w:val="center"/>
            <w:hideMark/>
          </w:tcPr>
          <w:p w14:paraId="0919B625" w14:textId="77777777" w:rsidR="001F6893" w:rsidRPr="00A44648" w:rsidRDefault="001F6893" w:rsidP="00D748B3">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bookmarkStart w:id="79" w:name="_Toc381109257"/>
            <w:r w:rsidRPr="00A44648">
              <w:rPr>
                <w:rFonts w:ascii="Arial" w:hAnsi="Arial" w:cs="Arial"/>
                <w:sz w:val="22"/>
              </w:rPr>
              <w:t>2019</w:t>
            </w:r>
            <w:bookmarkEnd w:id="79"/>
          </w:p>
        </w:tc>
        <w:tc>
          <w:tcPr>
            <w:tcW w:w="720" w:type="dxa"/>
            <w:gridSpan w:val="2"/>
            <w:tcBorders>
              <w:top w:val="single" w:sz="8" w:space="0" w:color="000000" w:themeColor="text1"/>
              <w:left w:val="nil"/>
              <w:bottom w:val="nil"/>
              <w:right w:val="nil"/>
            </w:tcBorders>
            <w:vAlign w:val="center"/>
            <w:hideMark/>
          </w:tcPr>
          <w:p w14:paraId="3A6D6A2E" w14:textId="77777777" w:rsidR="001F6893" w:rsidRPr="00A44648" w:rsidRDefault="001F6893" w:rsidP="00D748B3">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bookmarkStart w:id="80" w:name="_Toc381109258"/>
            <w:r w:rsidRPr="00A44648">
              <w:rPr>
                <w:rFonts w:ascii="Arial" w:hAnsi="Arial" w:cs="Arial"/>
                <w:sz w:val="22"/>
              </w:rPr>
              <w:t>2020</w:t>
            </w:r>
            <w:bookmarkEnd w:id="80"/>
          </w:p>
        </w:tc>
        <w:tc>
          <w:tcPr>
            <w:tcW w:w="810" w:type="dxa"/>
            <w:gridSpan w:val="4"/>
            <w:tcBorders>
              <w:top w:val="single" w:sz="8" w:space="0" w:color="000000" w:themeColor="text1"/>
              <w:left w:val="nil"/>
              <w:bottom w:val="nil"/>
              <w:right w:val="nil"/>
            </w:tcBorders>
            <w:vAlign w:val="center"/>
            <w:hideMark/>
          </w:tcPr>
          <w:p w14:paraId="128F3E28" w14:textId="77777777" w:rsidR="001F6893" w:rsidRPr="00A44648" w:rsidRDefault="001F6893" w:rsidP="00D748B3">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bookmarkStart w:id="81" w:name="_Toc381109259"/>
            <w:r w:rsidRPr="00A44648">
              <w:rPr>
                <w:rFonts w:ascii="Arial" w:hAnsi="Arial" w:cs="Arial"/>
                <w:sz w:val="22"/>
              </w:rPr>
              <w:t>2021</w:t>
            </w:r>
            <w:bookmarkEnd w:id="81"/>
          </w:p>
        </w:tc>
        <w:tc>
          <w:tcPr>
            <w:tcW w:w="630" w:type="dxa"/>
            <w:gridSpan w:val="3"/>
            <w:tcBorders>
              <w:top w:val="single" w:sz="8" w:space="0" w:color="000000" w:themeColor="text1"/>
              <w:left w:val="nil"/>
              <w:bottom w:val="nil"/>
              <w:right w:val="nil"/>
            </w:tcBorders>
            <w:vAlign w:val="center"/>
            <w:hideMark/>
          </w:tcPr>
          <w:p w14:paraId="1C503709" w14:textId="77777777" w:rsidR="001F6893" w:rsidRPr="00A44648" w:rsidRDefault="001F6893" w:rsidP="00D748B3">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bookmarkStart w:id="82" w:name="_Toc381109260"/>
            <w:r w:rsidRPr="00A44648">
              <w:rPr>
                <w:rFonts w:ascii="Arial" w:hAnsi="Arial" w:cs="Arial"/>
                <w:sz w:val="22"/>
              </w:rPr>
              <w:t>2022</w:t>
            </w:r>
            <w:bookmarkEnd w:id="82"/>
          </w:p>
        </w:tc>
        <w:tc>
          <w:tcPr>
            <w:tcW w:w="630" w:type="dxa"/>
            <w:gridSpan w:val="2"/>
            <w:tcBorders>
              <w:top w:val="single" w:sz="8" w:space="0" w:color="000000" w:themeColor="text1"/>
              <w:left w:val="nil"/>
              <w:bottom w:val="nil"/>
              <w:right w:val="nil"/>
            </w:tcBorders>
            <w:vAlign w:val="center"/>
            <w:hideMark/>
          </w:tcPr>
          <w:p w14:paraId="4C5C1814" w14:textId="77777777" w:rsidR="001F6893" w:rsidRPr="00A44648" w:rsidRDefault="001F6893" w:rsidP="00D748B3">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bookmarkStart w:id="83" w:name="_Toc381109261"/>
            <w:r w:rsidRPr="00A44648">
              <w:rPr>
                <w:rFonts w:ascii="Arial" w:hAnsi="Arial" w:cs="Arial"/>
                <w:sz w:val="22"/>
              </w:rPr>
              <w:t>2023</w:t>
            </w:r>
            <w:bookmarkEnd w:id="83"/>
          </w:p>
        </w:tc>
        <w:tc>
          <w:tcPr>
            <w:tcW w:w="724" w:type="dxa"/>
            <w:gridSpan w:val="4"/>
            <w:tcBorders>
              <w:top w:val="single" w:sz="8" w:space="0" w:color="000000" w:themeColor="text1"/>
              <w:left w:val="nil"/>
              <w:bottom w:val="single" w:sz="8" w:space="0" w:color="000000" w:themeColor="text1"/>
              <w:right w:val="single" w:sz="8" w:space="0" w:color="000000" w:themeColor="text1"/>
            </w:tcBorders>
          </w:tcPr>
          <w:p w14:paraId="04149FDF" w14:textId="77777777" w:rsidR="001F6893" w:rsidRPr="00A44648" w:rsidRDefault="001F6893" w:rsidP="00D748B3">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sz w:val="22"/>
                <w:lang w:val="es-ES"/>
              </w:rPr>
            </w:pPr>
            <w:bookmarkStart w:id="84" w:name="_Toc381109262"/>
            <w:r w:rsidRPr="00A44648">
              <w:rPr>
                <w:rFonts w:ascii="Arial" w:hAnsi="Arial" w:cs="Arial"/>
                <w:sz w:val="22"/>
                <w:lang w:val="es-ES"/>
              </w:rPr>
              <w:t>2024</w:t>
            </w:r>
            <w:bookmarkEnd w:id="84"/>
          </w:p>
        </w:tc>
        <w:tc>
          <w:tcPr>
            <w:tcW w:w="724" w:type="dxa"/>
            <w:tcBorders>
              <w:top w:val="single" w:sz="8" w:space="0" w:color="000000" w:themeColor="text1"/>
              <w:left w:val="nil"/>
              <w:bottom w:val="single" w:sz="8" w:space="0" w:color="000000" w:themeColor="text1"/>
              <w:right w:val="nil"/>
            </w:tcBorders>
          </w:tcPr>
          <w:p w14:paraId="2645D101" w14:textId="77777777" w:rsidR="001F6893" w:rsidRPr="00A44648" w:rsidRDefault="001F6893" w:rsidP="00D748B3">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sz w:val="22"/>
                <w:lang w:val="es-ES"/>
              </w:rPr>
            </w:pPr>
            <w:bookmarkStart w:id="85" w:name="_Toc381109263"/>
            <w:r w:rsidRPr="00A44648">
              <w:rPr>
                <w:rFonts w:ascii="Arial" w:hAnsi="Arial" w:cs="Arial"/>
                <w:sz w:val="22"/>
                <w:lang w:val="es-ES"/>
              </w:rPr>
              <w:t>…</w:t>
            </w:r>
            <w:bookmarkEnd w:id="85"/>
          </w:p>
        </w:tc>
        <w:tc>
          <w:tcPr>
            <w:tcW w:w="724" w:type="dxa"/>
            <w:tcBorders>
              <w:top w:val="single" w:sz="8" w:space="0" w:color="000000" w:themeColor="text1"/>
              <w:left w:val="nil"/>
              <w:bottom w:val="single" w:sz="8" w:space="0" w:color="000000" w:themeColor="text1"/>
              <w:right w:val="single" w:sz="8" w:space="0" w:color="000000" w:themeColor="text1"/>
            </w:tcBorders>
          </w:tcPr>
          <w:p w14:paraId="5F6FE688" w14:textId="77777777" w:rsidR="001F6893" w:rsidRPr="00A44648" w:rsidRDefault="001F6893" w:rsidP="00D748B3">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rFonts w:ascii="Arial" w:hAnsi="Arial" w:cs="Arial"/>
                <w:sz w:val="22"/>
                <w:lang w:val="es-ES"/>
              </w:rPr>
            </w:pPr>
            <w:bookmarkStart w:id="86" w:name="_Toc381109264"/>
            <w:r w:rsidRPr="00A44648">
              <w:rPr>
                <w:rFonts w:ascii="Arial" w:hAnsi="Arial" w:cs="Arial"/>
                <w:sz w:val="22"/>
                <w:lang w:val="es-ES"/>
              </w:rPr>
              <w:t>2044</w:t>
            </w:r>
            <w:bookmarkEnd w:id="86"/>
          </w:p>
        </w:tc>
      </w:tr>
      <w:tr w:rsidR="001F6893" w:rsidRPr="00A44648" w14:paraId="7AB8C35B" w14:textId="77777777" w:rsidTr="00D748B3">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1708" w:type="dxa"/>
            <w:tcBorders>
              <w:right w:val="nil"/>
            </w:tcBorders>
            <w:vAlign w:val="center"/>
            <w:hideMark/>
          </w:tcPr>
          <w:p w14:paraId="0E265E70" w14:textId="616BB36C" w:rsidR="001F6893" w:rsidRPr="00A44648" w:rsidRDefault="001F6893" w:rsidP="00D748B3">
            <w:pPr>
              <w:pStyle w:val="Paragraph"/>
              <w:tabs>
                <w:tab w:val="clear" w:pos="720"/>
                <w:tab w:val="left" w:pos="708"/>
              </w:tabs>
              <w:spacing w:before="0" w:after="0"/>
              <w:ind w:left="0" w:firstLine="0"/>
              <w:jc w:val="center"/>
              <w:rPr>
                <w:rFonts w:ascii="Arial" w:eastAsiaTheme="minorEastAsia" w:hAnsi="Arial" w:cs="Arial"/>
                <w:sz w:val="22"/>
                <w:lang w:val="en-US" w:eastAsia="en-US"/>
              </w:rPr>
            </w:pPr>
            <w:bookmarkStart w:id="87" w:name="_Toc381109265"/>
            <w:r w:rsidRPr="00A44648">
              <w:rPr>
                <w:rFonts w:ascii="Arial" w:hAnsi="Arial" w:cs="Arial"/>
                <w:sz w:val="22"/>
                <w:lang w:val="en-US"/>
              </w:rPr>
              <w:t>Geotermia</w:t>
            </w:r>
            <w:r w:rsidRPr="00A44648">
              <w:rPr>
                <w:rFonts w:ascii="Arial" w:hAnsi="Arial" w:cs="Arial"/>
                <w:sz w:val="22"/>
              </w:rPr>
              <w:t xml:space="preserve"> 1</w:t>
            </w:r>
            <w:bookmarkEnd w:id="87"/>
          </w:p>
        </w:tc>
        <w:tc>
          <w:tcPr>
            <w:tcW w:w="715" w:type="dxa"/>
            <w:tcBorders>
              <w:left w:val="nil"/>
              <w:right w:val="nil"/>
            </w:tcBorders>
            <w:shd w:val="clear" w:color="auto" w:fill="FFFFFF" w:themeFill="background1"/>
            <w:vAlign w:val="center"/>
          </w:tcPr>
          <w:p w14:paraId="71019B91"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c>
          <w:tcPr>
            <w:tcW w:w="715" w:type="dxa"/>
            <w:tcBorders>
              <w:left w:val="nil"/>
              <w:right w:val="nil"/>
            </w:tcBorders>
            <w:shd w:val="clear" w:color="auto" w:fill="auto"/>
            <w:vAlign w:val="center"/>
          </w:tcPr>
          <w:p w14:paraId="65BA024F"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c>
          <w:tcPr>
            <w:tcW w:w="716" w:type="dxa"/>
            <w:tcBorders>
              <w:left w:val="nil"/>
              <w:right w:val="nil"/>
            </w:tcBorders>
            <w:shd w:val="clear" w:color="auto" w:fill="auto"/>
            <w:vAlign w:val="center"/>
          </w:tcPr>
          <w:p w14:paraId="2BF77BA0"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c>
          <w:tcPr>
            <w:tcW w:w="716" w:type="dxa"/>
            <w:tcBorders>
              <w:left w:val="nil"/>
              <w:right w:val="nil"/>
            </w:tcBorders>
            <w:shd w:val="clear" w:color="auto" w:fill="9BBB59" w:themeFill="accent3"/>
            <w:vAlign w:val="center"/>
          </w:tcPr>
          <w:p w14:paraId="504E6451"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c>
          <w:tcPr>
            <w:tcW w:w="650" w:type="dxa"/>
            <w:tcBorders>
              <w:left w:val="nil"/>
              <w:right w:val="nil"/>
            </w:tcBorders>
            <w:shd w:val="clear" w:color="auto" w:fill="DBE5F1" w:themeFill="accent1" w:themeFillTint="33"/>
            <w:vAlign w:val="center"/>
          </w:tcPr>
          <w:p w14:paraId="6A6B644B"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bookmarkStart w:id="88" w:name="_Toc381109268"/>
            <w:r w:rsidRPr="00A44648">
              <w:rPr>
                <w:rFonts w:ascii="Arial" w:eastAsiaTheme="minorEastAsia" w:hAnsi="Arial" w:cs="Arial"/>
                <w:sz w:val="22"/>
                <w:lang w:val="en-US" w:eastAsia="en-US"/>
              </w:rPr>
              <w:t>RD</w:t>
            </w:r>
            <w:bookmarkEnd w:id="88"/>
          </w:p>
        </w:tc>
        <w:tc>
          <w:tcPr>
            <w:tcW w:w="720" w:type="dxa"/>
            <w:gridSpan w:val="2"/>
            <w:tcBorders>
              <w:left w:val="nil"/>
              <w:right w:val="nil"/>
            </w:tcBorders>
            <w:shd w:val="clear" w:color="auto" w:fill="DBE5F1" w:themeFill="accent1" w:themeFillTint="33"/>
            <w:vAlign w:val="center"/>
            <w:hideMark/>
          </w:tcPr>
          <w:p w14:paraId="34F38E87"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bookmarkStart w:id="89" w:name="_Toc381109269"/>
            <w:r w:rsidRPr="00A44648">
              <w:rPr>
                <w:rFonts w:ascii="Arial" w:eastAsiaTheme="minorEastAsia" w:hAnsi="Arial" w:cs="Arial"/>
                <w:sz w:val="22"/>
                <w:lang w:val="en-US" w:eastAsia="en-US"/>
              </w:rPr>
              <w:t>RD</w:t>
            </w:r>
            <w:bookmarkEnd w:id="89"/>
          </w:p>
        </w:tc>
        <w:tc>
          <w:tcPr>
            <w:tcW w:w="697" w:type="dxa"/>
            <w:gridSpan w:val="2"/>
            <w:tcBorders>
              <w:left w:val="nil"/>
            </w:tcBorders>
            <w:shd w:val="clear" w:color="auto" w:fill="DBE5F1" w:themeFill="accent1" w:themeFillTint="33"/>
            <w:vAlign w:val="center"/>
          </w:tcPr>
          <w:p w14:paraId="7EAF9F7D"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bookmarkStart w:id="90" w:name="_Toc381109270"/>
            <w:r w:rsidRPr="00A44648">
              <w:rPr>
                <w:rFonts w:ascii="Arial" w:eastAsiaTheme="minorEastAsia" w:hAnsi="Arial" w:cs="Arial"/>
                <w:sz w:val="22"/>
                <w:lang w:val="en-US" w:eastAsia="en-US"/>
              </w:rPr>
              <w:t>RD</w:t>
            </w:r>
            <w:bookmarkEnd w:id="90"/>
          </w:p>
        </w:tc>
        <w:tc>
          <w:tcPr>
            <w:tcW w:w="698" w:type="dxa"/>
            <w:gridSpan w:val="3"/>
            <w:tcBorders>
              <w:left w:val="nil"/>
            </w:tcBorders>
            <w:shd w:val="clear" w:color="auto" w:fill="DBE5F1" w:themeFill="accent1" w:themeFillTint="33"/>
            <w:vAlign w:val="center"/>
          </w:tcPr>
          <w:p w14:paraId="3286856F"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bookmarkStart w:id="91" w:name="_Toc381109271"/>
            <w:r w:rsidRPr="00A44648">
              <w:rPr>
                <w:rFonts w:ascii="Arial" w:eastAsiaTheme="minorEastAsia" w:hAnsi="Arial" w:cs="Arial"/>
                <w:sz w:val="22"/>
                <w:lang w:val="en-US" w:eastAsia="en-US"/>
              </w:rPr>
              <w:t>RD</w:t>
            </w:r>
            <w:bookmarkEnd w:id="91"/>
          </w:p>
        </w:tc>
        <w:tc>
          <w:tcPr>
            <w:tcW w:w="701" w:type="dxa"/>
            <w:gridSpan w:val="5"/>
            <w:tcBorders>
              <w:left w:val="nil"/>
            </w:tcBorders>
            <w:shd w:val="clear" w:color="auto" w:fill="FDE9D9" w:themeFill="accent6" w:themeFillTint="33"/>
            <w:vAlign w:val="center"/>
          </w:tcPr>
          <w:p w14:paraId="6DB9B316"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bookmarkStart w:id="92" w:name="_Toc381109272"/>
            <w:r w:rsidRPr="00A44648">
              <w:rPr>
                <w:rFonts w:ascii="Arial" w:eastAsiaTheme="minorEastAsia" w:hAnsi="Arial" w:cs="Arial"/>
                <w:sz w:val="22"/>
                <w:lang w:val="en-US" w:eastAsia="en-US"/>
              </w:rPr>
              <w:t>P</w:t>
            </w:r>
            <w:bookmarkEnd w:id="92"/>
          </w:p>
        </w:tc>
        <w:tc>
          <w:tcPr>
            <w:tcW w:w="698" w:type="dxa"/>
            <w:gridSpan w:val="3"/>
            <w:tcBorders>
              <w:left w:val="nil"/>
            </w:tcBorders>
            <w:shd w:val="clear" w:color="auto" w:fill="FDE9D9" w:themeFill="accent6" w:themeFillTint="33"/>
            <w:vAlign w:val="center"/>
          </w:tcPr>
          <w:p w14:paraId="081842F0"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bookmarkStart w:id="93" w:name="_Toc381109273"/>
            <w:r w:rsidRPr="00A44648">
              <w:rPr>
                <w:rFonts w:ascii="Arial" w:eastAsiaTheme="minorEastAsia" w:hAnsi="Arial" w:cs="Arial"/>
                <w:sz w:val="22"/>
                <w:lang w:val="en-US" w:eastAsia="en-US"/>
              </w:rPr>
              <w:t>P</w:t>
            </w:r>
            <w:bookmarkEnd w:id="93"/>
          </w:p>
        </w:tc>
        <w:tc>
          <w:tcPr>
            <w:tcW w:w="724" w:type="dxa"/>
            <w:tcBorders>
              <w:left w:val="nil"/>
              <w:right w:val="nil"/>
            </w:tcBorders>
            <w:shd w:val="clear" w:color="auto" w:fill="FDE9D9" w:themeFill="accent6" w:themeFillTint="33"/>
          </w:tcPr>
          <w:p w14:paraId="25CCB30D"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bookmarkStart w:id="94" w:name="_Toc381109274"/>
            <w:r w:rsidRPr="00A44648">
              <w:rPr>
                <w:rFonts w:ascii="Arial" w:eastAsiaTheme="minorEastAsia" w:hAnsi="Arial" w:cs="Arial"/>
                <w:sz w:val="22"/>
                <w:lang w:val="en-US" w:eastAsia="en-US"/>
              </w:rPr>
              <w:t>…</w:t>
            </w:r>
            <w:bookmarkEnd w:id="94"/>
          </w:p>
        </w:tc>
        <w:tc>
          <w:tcPr>
            <w:tcW w:w="724" w:type="dxa"/>
            <w:tcBorders>
              <w:left w:val="nil"/>
            </w:tcBorders>
            <w:shd w:val="clear" w:color="auto" w:fill="FDE9D9" w:themeFill="accent6" w:themeFillTint="33"/>
          </w:tcPr>
          <w:p w14:paraId="38FDC69A"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r>
      <w:tr w:rsidR="00DC3A1A" w:rsidRPr="00A44648" w14:paraId="69F3C85E" w14:textId="77777777" w:rsidTr="00D748B3">
        <w:trPr>
          <w:trHeight w:val="60"/>
          <w:jc w:val="center"/>
        </w:trPr>
        <w:tc>
          <w:tcPr>
            <w:cnfStyle w:val="001000000000" w:firstRow="0" w:lastRow="0" w:firstColumn="1" w:lastColumn="0" w:oddVBand="0" w:evenVBand="0" w:oddHBand="0" w:evenHBand="0" w:firstRowFirstColumn="0" w:firstRowLastColumn="0" w:lastRowFirstColumn="0" w:lastRowLastColumn="0"/>
            <w:tcW w:w="1708" w:type="dxa"/>
            <w:tcBorders>
              <w:top w:val="nil"/>
              <w:left w:val="single" w:sz="8" w:space="0" w:color="000000" w:themeColor="text1"/>
              <w:bottom w:val="nil"/>
              <w:right w:val="nil"/>
            </w:tcBorders>
            <w:vAlign w:val="center"/>
            <w:hideMark/>
          </w:tcPr>
          <w:p w14:paraId="1D2B69DB" w14:textId="011410D7" w:rsidR="001F6893" w:rsidRPr="00A44648" w:rsidRDefault="001F6893" w:rsidP="00D748B3">
            <w:pPr>
              <w:pStyle w:val="Paragraph"/>
              <w:tabs>
                <w:tab w:val="clear" w:pos="720"/>
                <w:tab w:val="left" w:pos="708"/>
              </w:tabs>
              <w:spacing w:before="0" w:after="0"/>
              <w:ind w:left="0" w:firstLine="0"/>
              <w:jc w:val="center"/>
              <w:rPr>
                <w:rFonts w:ascii="Arial" w:eastAsiaTheme="minorEastAsia" w:hAnsi="Arial" w:cs="Arial"/>
                <w:sz w:val="22"/>
                <w:lang w:val="en-US" w:eastAsia="en-US"/>
              </w:rPr>
            </w:pPr>
            <w:bookmarkStart w:id="95" w:name="_Toc381109275"/>
            <w:r w:rsidRPr="00A44648">
              <w:rPr>
                <w:rFonts w:ascii="Arial" w:hAnsi="Arial" w:cs="Arial"/>
                <w:sz w:val="22"/>
                <w:lang w:val="en-US"/>
              </w:rPr>
              <w:t>Geotermia</w:t>
            </w:r>
            <w:r w:rsidRPr="00A44648">
              <w:rPr>
                <w:rFonts w:ascii="Arial" w:hAnsi="Arial" w:cs="Arial"/>
                <w:sz w:val="22"/>
              </w:rPr>
              <w:t xml:space="preserve"> 2</w:t>
            </w:r>
            <w:bookmarkEnd w:id="95"/>
          </w:p>
        </w:tc>
        <w:tc>
          <w:tcPr>
            <w:tcW w:w="715" w:type="dxa"/>
            <w:tcBorders>
              <w:top w:val="nil"/>
              <w:left w:val="nil"/>
              <w:bottom w:val="nil"/>
              <w:right w:val="nil"/>
            </w:tcBorders>
            <w:shd w:val="clear" w:color="auto" w:fill="FFFFFF" w:themeFill="background1"/>
            <w:vAlign w:val="center"/>
          </w:tcPr>
          <w:p w14:paraId="2588AA56"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715" w:type="dxa"/>
            <w:tcBorders>
              <w:top w:val="nil"/>
              <w:left w:val="nil"/>
              <w:bottom w:val="nil"/>
              <w:right w:val="nil"/>
            </w:tcBorders>
            <w:shd w:val="clear" w:color="auto" w:fill="FFFFFF" w:themeFill="background1"/>
            <w:vAlign w:val="center"/>
          </w:tcPr>
          <w:p w14:paraId="06FB6C6E"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716" w:type="dxa"/>
            <w:tcBorders>
              <w:top w:val="nil"/>
              <w:left w:val="nil"/>
              <w:bottom w:val="nil"/>
              <w:right w:val="nil"/>
            </w:tcBorders>
            <w:shd w:val="clear" w:color="auto" w:fill="FFFFFF" w:themeFill="background1"/>
            <w:vAlign w:val="center"/>
          </w:tcPr>
          <w:p w14:paraId="767B5A80"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716" w:type="dxa"/>
            <w:tcBorders>
              <w:top w:val="nil"/>
              <w:left w:val="nil"/>
              <w:bottom w:val="nil"/>
              <w:right w:val="nil"/>
            </w:tcBorders>
            <w:shd w:val="clear" w:color="auto" w:fill="auto"/>
            <w:vAlign w:val="center"/>
          </w:tcPr>
          <w:p w14:paraId="754BD696"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650" w:type="dxa"/>
            <w:tcBorders>
              <w:top w:val="nil"/>
              <w:left w:val="nil"/>
              <w:bottom w:val="nil"/>
              <w:right w:val="nil"/>
            </w:tcBorders>
            <w:shd w:val="clear" w:color="auto" w:fill="auto"/>
            <w:vAlign w:val="center"/>
          </w:tcPr>
          <w:p w14:paraId="79741C85"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720" w:type="dxa"/>
            <w:gridSpan w:val="2"/>
            <w:tcBorders>
              <w:top w:val="nil"/>
              <w:left w:val="nil"/>
              <w:bottom w:val="nil"/>
              <w:right w:val="nil"/>
            </w:tcBorders>
            <w:shd w:val="clear" w:color="auto" w:fill="9BBB59" w:themeFill="accent3"/>
            <w:vAlign w:val="center"/>
          </w:tcPr>
          <w:p w14:paraId="76770709"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810" w:type="dxa"/>
            <w:gridSpan w:val="4"/>
            <w:tcBorders>
              <w:top w:val="nil"/>
              <w:left w:val="nil"/>
              <w:bottom w:val="nil"/>
              <w:right w:val="nil"/>
            </w:tcBorders>
            <w:shd w:val="clear" w:color="auto" w:fill="DBE5F1" w:themeFill="accent1" w:themeFillTint="33"/>
            <w:hideMark/>
          </w:tcPr>
          <w:p w14:paraId="4F55D3B0"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bookmarkStart w:id="96" w:name="_Toc381109278"/>
            <w:r w:rsidRPr="00A44648">
              <w:rPr>
                <w:rFonts w:ascii="Arial" w:eastAsiaTheme="minorEastAsia" w:hAnsi="Arial" w:cs="Arial"/>
                <w:sz w:val="22"/>
                <w:lang w:val="en-US" w:eastAsia="en-US"/>
              </w:rPr>
              <w:t>RD</w:t>
            </w:r>
            <w:bookmarkEnd w:id="96"/>
          </w:p>
        </w:tc>
        <w:tc>
          <w:tcPr>
            <w:tcW w:w="661" w:type="dxa"/>
            <w:gridSpan w:val="4"/>
            <w:tcBorders>
              <w:top w:val="nil"/>
              <w:left w:val="nil"/>
              <w:bottom w:val="single" w:sz="8" w:space="0" w:color="000000" w:themeColor="text1"/>
              <w:right w:val="nil"/>
            </w:tcBorders>
            <w:shd w:val="clear" w:color="auto" w:fill="DBE5F1" w:themeFill="accent1" w:themeFillTint="33"/>
          </w:tcPr>
          <w:p w14:paraId="2AA6E4AD"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bookmarkStart w:id="97" w:name="_Toc381109279"/>
            <w:r w:rsidRPr="00A44648">
              <w:rPr>
                <w:rFonts w:ascii="Arial" w:eastAsiaTheme="minorEastAsia" w:hAnsi="Arial" w:cs="Arial"/>
                <w:sz w:val="22"/>
                <w:lang w:val="en-US" w:eastAsia="en-US"/>
              </w:rPr>
              <w:t>RD</w:t>
            </w:r>
            <w:bookmarkEnd w:id="97"/>
          </w:p>
        </w:tc>
        <w:tc>
          <w:tcPr>
            <w:tcW w:w="661" w:type="dxa"/>
            <w:gridSpan w:val="4"/>
            <w:tcBorders>
              <w:top w:val="nil"/>
              <w:left w:val="nil"/>
              <w:bottom w:val="single" w:sz="8" w:space="0" w:color="000000" w:themeColor="text1"/>
              <w:right w:val="nil"/>
            </w:tcBorders>
            <w:shd w:val="clear" w:color="auto" w:fill="FDE9D9" w:themeFill="accent6" w:themeFillTint="33"/>
            <w:vAlign w:val="center"/>
          </w:tcPr>
          <w:p w14:paraId="5F9F7D3D"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bookmarkStart w:id="98" w:name="_Toc381109280"/>
            <w:r w:rsidRPr="00A44648">
              <w:rPr>
                <w:rFonts w:ascii="Arial" w:eastAsiaTheme="minorEastAsia" w:hAnsi="Arial" w:cs="Arial"/>
                <w:sz w:val="22"/>
                <w:lang w:val="en-US" w:eastAsia="en-US"/>
              </w:rPr>
              <w:t>P</w:t>
            </w:r>
            <w:bookmarkEnd w:id="98"/>
          </w:p>
        </w:tc>
        <w:tc>
          <w:tcPr>
            <w:tcW w:w="662" w:type="dxa"/>
            <w:tcBorders>
              <w:top w:val="nil"/>
              <w:left w:val="nil"/>
              <w:bottom w:val="single" w:sz="8" w:space="0" w:color="000000" w:themeColor="text1"/>
              <w:right w:val="nil"/>
            </w:tcBorders>
            <w:shd w:val="clear" w:color="auto" w:fill="FDE9D9" w:themeFill="accent6" w:themeFillTint="33"/>
            <w:vAlign w:val="center"/>
          </w:tcPr>
          <w:p w14:paraId="04947670"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bookmarkStart w:id="99" w:name="_Toc381109281"/>
            <w:r w:rsidRPr="00A44648">
              <w:rPr>
                <w:rFonts w:ascii="Arial" w:eastAsiaTheme="minorEastAsia" w:hAnsi="Arial" w:cs="Arial"/>
                <w:sz w:val="22"/>
                <w:lang w:val="en-US" w:eastAsia="en-US"/>
              </w:rPr>
              <w:t>P</w:t>
            </w:r>
            <w:bookmarkEnd w:id="99"/>
          </w:p>
        </w:tc>
        <w:tc>
          <w:tcPr>
            <w:tcW w:w="724" w:type="dxa"/>
            <w:tcBorders>
              <w:top w:val="nil"/>
              <w:left w:val="nil"/>
              <w:bottom w:val="nil"/>
              <w:right w:val="nil"/>
            </w:tcBorders>
            <w:shd w:val="clear" w:color="auto" w:fill="FDE9D9" w:themeFill="accent6" w:themeFillTint="33"/>
          </w:tcPr>
          <w:p w14:paraId="4E906208"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bookmarkStart w:id="100" w:name="_Toc381109282"/>
            <w:r w:rsidRPr="00A44648">
              <w:rPr>
                <w:rFonts w:ascii="Arial" w:eastAsiaTheme="minorEastAsia" w:hAnsi="Arial" w:cs="Arial"/>
                <w:sz w:val="22"/>
                <w:lang w:val="en-US" w:eastAsia="en-US"/>
              </w:rPr>
              <w:t>…</w:t>
            </w:r>
            <w:bookmarkEnd w:id="100"/>
          </w:p>
        </w:tc>
        <w:tc>
          <w:tcPr>
            <w:tcW w:w="724" w:type="dxa"/>
            <w:tcBorders>
              <w:top w:val="nil"/>
              <w:left w:val="nil"/>
              <w:bottom w:val="nil"/>
              <w:right w:val="single" w:sz="8" w:space="0" w:color="000000" w:themeColor="text1"/>
            </w:tcBorders>
            <w:shd w:val="clear" w:color="auto" w:fill="FDE9D9" w:themeFill="accent6" w:themeFillTint="33"/>
          </w:tcPr>
          <w:p w14:paraId="140DA15A"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r>
      <w:tr w:rsidR="001F6893" w:rsidRPr="00A44648" w14:paraId="7E3B7EA3" w14:textId="77777777" w:rsidTr="00D748B3">
        <w:trPr>
          <w:cnfStyle w:val="000000100000" w:firstRow="0" w:lastRow="0" w:firstColumn="0" w:lastColumn="0" w:oddVBand="0" w:evenVBand="0" w:oddHBand="1" w:evenHBand="0" w:firstRowFirstColumn="0" w:firstRowLastColumn="0" w:lastRowFirstColumn="0" w:lastRowLastColumn="0"/>
          <w:trHeight w:val="115"/>
          <w:jc w:val="center"/>
        </w:trPr>
        <w:tc>
          <w:tcPr>
            <w:cnfStyle w:val="001000000000" w:firstRow="0" w:lastRow="0" w:firstColumn="1" w:lastColumn="0" w:oddVBand="0" w:evenVBand="0" w:oddHBand="0" w:evenHBand="0" w:firstRowFirstColumn="0" w:firstRowLastColumn="0" w:lastRowFirstColumn="0" w:lastRowLastColumn="0"/>
            <w:tcW w:w="1708" w:type="dxa"/>
            <w:tcBorders>
              <w:right w:val="nil"/>
            </w:tcBorders>
            <w:vAlign w:val="center"/>
            <w:hideMark/>
          </w:tcPr>
          <w:p w14:paraId="485AB3B6" w14:textId="3444E2F6" w:rsidR="001F6893" w:rsidRPr="00A44648" w:rsidRDefault="001F6893" w:rsidP="00D748B3">
            <w:pPr>
              <w:pStyle w:val="Paragraph"/>
              <w:tabs>
                <w:tab w:val="clear" w:pos="720"/>
                <w:tab w:val="left" w:pos="708"/>
              </w:tabs>
              <w:spacing w:before="0" w:after="0"/>
              <w:ind w:left="0" w:firstLine="0"/>
              <w:jc w:val="center"/>
              <w:rPr>
                <w:rFonts w:ascii="Arial" w:eastAsiaTheme="minorEastAsia" w:hAnsi="Arial" w:cs="Arial"/>
                <w:sz w:val="22"/>
                <w:lang w:val="en-US" w:eastAsia="en-US"/>
              </w:rPr>
            </w:pPr>
            <w:bookmarkStart w:id="101" w:name="_Toc381109283"/>
            <w:r w:rsidRPr="00A44648">
              <w:rPr>
                <w:rFonts w:ascii="Arial" w:hAnsi="Arial" w:cs="Arial"/>
                <w:sz w:val="22"/>
                <w:lang w:val="en-US"/>
              </w:rPr>
              <w:t>Geotermia</w:t>
            </w:r>
            <w:r w:rsidRPr="00A44648">
              <w:rPr>
                <w:rFonts w:ascii="Arial" w:hAnsi="Arial" w:cs="Arial"/>
                <w:sz w:val="22"/>
              </w:rPr>
              <w:t xml:space="preserve"> 3</w:t>
            </w:r>
            <w:bookmarkEnd w:id="101"/>
          </w:p>
        </w:tc>
        <w:tc>
          <w:tcPr>
            <w:tcW w:w="715" w:type="dxa"/>
            <w:tcBorders>
              <w:left w:val="nil"/>
              <w:right w:val="nil"/>
            </w:tcBorders>
            <w:shd w:val="clear" w:color="auto" w:fill="FFFFFF" w:themeFill="background1"/>
            <w:vAlign w:val="center"/>
          </w:tcPr>
          <w:p w14:paraId="5AAD26BB"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c>
          <w:tcPr>
            <w:tcW w:w="715" w:type="dxa"/>
            <w:tcBorders>
              <w:left w:val="nil"/>
              <w:right w:val="nil"/>
            </w:tcBorders>
            <w:shd w:val="clear" w:color="auto" w:fill="FFFFFF" w:themeFill="background1"/>
            <w:vAlign w:val="center"/>
          </w:tcPr>
          <w:p w14:paraId="3FB3B710"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c>
          <w:tcPr>
            <w:tcW w:w="716" w:type="dxa"/>
            <w:tcBorders>
              <w:left w:val="nil"/>
              <w:right w:val="nil"/>
            </w:tcBorders>
            <w:shd w:val="clear" w:color="auto" w:fill="FFFFFF" w:themeFill="background1"/>
            <w:vAlign w:val="center"/>
          </w:tcPr>
          <w:p w14:paraId="6C82C690"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c>
          <w:tcPr>
            <w:tcW w:w="716" w:type="dxa"/>
            <w:tcBorders>
              <w:left w:val="nil"/>
              <w:right w:val="nil"/>
            </w:tcBorders>
            <w:shd w:val="clear" w:color="auto" w:fill="FFFFFF" w:themeFill="background1"/>
            <w:vAlign w:val="center"/>
          </w:tcPr>
          <w:p w14:paraId="700875C6"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c>
          <w:tcPr>
            <w:tcW w:w="650" w:type="dxa"/>
            <w:tcBorders>
              <w:left w:val="nil"/>
              <w:right w:val="nil"/>
            </w:tcBorders>
            <w:shd w:val="clear" w:color="auto" w:fill="auto"/>
            <w:vAlign w:val="center"/>
          </w:tcPr>
          <w:p w14:paraId="0F9B29B0"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c>
          <w:tcPr>
            <w:tcW w:w="720" w:type="dxa"/>
            <w:gridSpan w:val="2"/>
            <w:tcBorders>
              <w:left w:val="nil"/>
              <w:right w:val="nil"/>
            </w:tcBorders>
            <w:shd w:val="clear" w:color="auto" w:fill="auto"/>
            <w:vAlign w:val="center"/>
            <w:hideMark/>
          </w:tcPr>
          <w:p w14:paraId="4E9B090C"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c>
          <w:tcPr>
            <w:tcW w:w="810" w:type="dxa"/>
            <w:gridSpan w:val="4"/>
            <w:tcBorders>
              <w:left w:val="nil"/>
              <w:right w:val="nil"/>
            </w:tcBorders>
            <w:shd w:val="clear" w:color="auto" w:fill="auto"/>
            <w:vAlign w:val="center"/>
          </w:tcPr>
          <w:p w14:paraId="2CB6EF79"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c>
          <w:tcPr>
            <w:tcW w:w="661" w:type="dxa"/>
            <w:gridSpan w:val="4"/>
            <w:tcBorders>
              <w:left w:val="nil"/>
            </w:tcBorders>
            <w:shd w:val="clear" w:color="auto" w:fill="9BBB59" w:themeFill="accent3"/>
            <w:vAlign w:val="center"/>
          </w:tcPr>
          <w:p w14:paraId="010DADD5"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c>
          <w:tcPr>
            <w:tcW w:w="661" w:type="dxa"/>
            <w:gridSpan w:val="4"/>
            <w:tcBorders>
              <w:left w:val="nil"/>
            </w:tcBorders>
            <w:shd w:val="clear" w:color="auto" w:fill="FDE9D9" w:themeFill="accent6" w:themeFillTint="33"/>
            <w:vAlign w:val="center"/>
          </w:tcPr>
          <w:p w14:paraId="04D272B0"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bookmarkStart w:id="102" w:name="_Toc381109286"/>
            <w:r w:rsidRPr="00A44648">
              <w:rPr>
                <w:rFonts w:ascii="Arial" w:eastAsiaTheme="minorEastAsia" w:hAnsi="Arial" w:cs="Arial"/>
                <w:sz w:val="22"/>
                <w:lang w:val="en-US" w:eastAsia="en-US"/>
              </w:rPr>
              <w:t>P</w:t>
            </w:r>
            <w:bookmarkEnd w:id="102"/>
          </w:p>
        </w:tc>
        <w:tc>
          <w:tcPr>
            <w:tcW w:w="662" w:type="dxa"/>
            <w:tcBorders>
              <w:left w:val="nil"/>
            </w:tcBorders>
            <w:shd w:val="clear" w:color="auto" w:fill="FDE9D9" w:themeFill="accent6" w:themeFillTint="33"/>
            <w:vAlign w:val="center"/>
          </w:tcPr>
          <w:p w14:paraId="18868728"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bookmarkStart w:id="103" w:name="_Toc381109287"/>
            <w:r w:rsidRPr="00A44648">
              <w:rPr>
                <w:rFonts w:ascii="Arial" w:eastAsiaTheme="minorEastAsia" w:hAnsi="Arial" w:cs="Arial"/>
                <w:sz w:val="22"/>
                <w:lang w:val="en-US" w:eastAsia="en-US"/>
              </w:rPr>
              <w:t>P</w:t>
            </w:r>
            <w:bookmarkEnd w:id="103"/>
          </w:p>
        </w:tc>
        <w:tc>
          <w:tcPr>
            <w:tcW w:w="724" w:type="dxa"/>
            <w:tcBorders>
              <w:left w:val="nil"/>
              <w:right w:val="nil"/>
            </w:tcBorders>
            <w:shd w:val="clear" w:color="auto" w:fill="FDE9D9" w:themeFill="accent6" w:themeFillTint="33"/>
          </w:tcPr>
          <w:p w14:paraId="7BFBD7DC"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bookmarkStart w:id="104" w:name="_Toc381109288"/>
            <w:r w:rsidRPr="00A44648">
              <w:rPr>
                <w:rFonts w:ascii="Arial" w:eastAsiaTheme="minorEastAsia" w:hAnsi="Arial" w:cs="Arial"/>
                <w:sz w:val="22"/>
                <w:lang w:val="en-US" w:eastAsia="en-US"/>
              </w:rPr>
              <w:t>…</w:t>
            </w:r>
            <w:bookmarkEnd w:id="104"/>
          </w:p>
        </w:tc>
        <w:tc>
          <w:tcPr>
            <w:tcW w:w="724" w:type="dxa"/>
            <w:tcBorders>
              <w:left w:val="nil"/>
            </w:tcBorders>
            <w:shd w:val="clear" w:color="auto" w:fill="FDE9D9" w:themeFill="accent6" w:themeFillTint="33"/>
          </w:tcPr>
          <w:p w14:paraId="07951B0D"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r>
      <w:tr w:rsidR="001F6893" w:rsidRPr="00A44648" w14:paraId="3AC0F273" w14:textId="77777777" w:rsidTr="00D748B3">
        <w:trPr>
          <w:trHeight w:val="88"/>
          <w:jc w:val="center"/>
        </w:trPr>
        <w:tc>
          <w:tcPr>
            <w:cnfStyle w:val="001000000000" w:firstRow="0" w:lastRow="0" w:firstColumn="1" w:lastColumn="0" w:oddVBand="0" w:evenVBand="0" w:oddHBand="0" w:evenHBand="0" w:firstRowFirstColumn="0" w:firstRowLastColumn="0" w:lastRowFirstColumn="0" w:lastRowLastColumn="0"/>
            <w:tcW w:w="1708" w:type="dxa"/>
            <w:tcBorders>
              <w:top w:val="nil"/>
              <w:left w:val="single" w:sz="8" w:space="0" w:color="000000" w:themeColor="text1"/>
              <w:bottom w:val="nil"/>
              <w:right w:val="nil"/>
            </w:tcBorders>
            <w:vAlign w:val="center"/>
            <w:hideMark/>
          </w:tcPr>
          <w:p w14:paraId="4B7626E7" w14:textId="21F29789" w:rsidR="001F6893" w:rsidRPr="00A44648" w:rsidRDefault="001F6893" w:rsidP="00D748B3">
            <w:pPr>
              <w:pStyle w:val="Paragraph"/>
              <w:tabs>
                <w:tab w:val="clear" w:pos="720"/>
                <w:tab w:val="left" w:pos="708"/>
              </w:tabs>
              <w:spacing w:before="0" w:after="0"/>
              <w:ind w:left="0" w:firstLine="0"/>
              <w:jc w:val="center"/>
              <w:rPr>
                <w:rFonts w:ascii="Arial" w:eastAsiaTheme="minorEastAsia" w:hAnsi="Arial" w:cs="Arial"/>
                <w:sz w:val="22"/>
                <w:lang w:val="en-US" w:eastAsia="en-US"/>
              </w:rPr>
            </w:pPr>
            <w:bookmarkStart w:id="105" w:name="_Toc381109289"/>
            <w:r w:rsidRPr="00A44648">
              <w:rPr>
                <w:rFonts w:ascii="Arial" w:hAnsi="Arial" w:cs="Arial"/>
                <w:sz w:val="22"/>
                <w:lang w:val="en-US"/>
              </w:rPr>
              <w:t>Geotermia</w:t>
            </w:r>
            <w:r w:rsidRPr="00A44648">
              <w:rPr>
                <w:rFonts w:ascii="Arial" w:hAnsi="Arial" w:cs="Arial"/>
                <w:sz w:val="22"/>
              </w:rPr>
              <w:t xml:space="preserve"> 4</w:t>
            </w:r>
            <w:bookmarkEnd w:id="105"/>
          </w:p>
        </w:tc>
        <w:tc>
          <w:tcPr>
            <w:tcW w:w="715" w:type="dxa"/>
            <w:tcBorders>
              <w:top w:val="nil"/>
              <w:left w:val="nil"/>
              <w:bottom w:val="nil"/>
              <w:right w:val="nil"/>
            </w:tcBorders>
            <w:shd w:val="clear" w:color="auto" w:fill="FFFFFF" w:themeFill="background1"/>
            <w:vAlign w:val="center"/>
          </w:tcPr>
          <w:p w14:paraId="0EBF5725"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715" w:type="dxa"/>
            <w:tcBorders>
              <w:top w:val="nil"/>
              <w:left w:val="nil"/>
              <w:bottom w:val="nil"/>
              <w:right w:val="nil"/>
            </w:tcBorders>
            <w:shd w:val="clear" w:color="auto" w:fill="FFFFFF" w:themeFill="background1"/>
            <w:vAlign w:val="center"/>
          </w:tcPr>
          <w:p w14:paraId="5D7ED725"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716" w:type="dxa"/>
            <w:tcBorders>
              <w:top w:val="nil"/>
              <w:left w:val="nil"/>
              <w:bottom w:val="nil"/>
              <w:right w:val="nil"/>
            </w:tcBorders>
            <w:shd w:val="clear" w:color="auto" w:fill="FFFFFF" w:themeFill="background1"/>
            <w:vAlign w:val="center"/>
          </w:tcPr>
          <w:p w14:paraId="661082D3"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716" w:type="dxa"/>
            <w:tcBorders>
              <w:top w:val="nil"/>
              <w:left w:val="nil"/>
              <w:bottom w:val="nil"/>
              <w:right w:val="nil"/>
            </w:tcBorders>
            <w:shd w:val="clear" w:color="auto" w:fill="FFFFFF" w:themeFill="background1"/>
            <w:vAlign w:val="center"/>
          </w:tcPr>
          <w:p w14:paraId="2277D76F"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650" w:type="dxa"/>
            <w:tcBorders>
              <w:top w:val="nil"/>
              <w:left w:val="nil"/>
              <w:bottom w:val="nil"/>
              <w:right w:val="nil"/>
            </w:tcBorders>
            <w:shd w:val="clear" w:color="auto" w:fill="FFFFFF" w:themeFill="background1"/>
            <w:vAlign w:val="center"/>
          </w:tcPr>
          <w:p w14:paraId="6A907DAF"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720" w:type="dxa"/>
            <w:gridSpan w:val="2"/>
            <w:tcBorders>
              <w:top w:val="nil"/>
              <w:left w:val="nil"/>
              <w:bottom w:val="nil"/>
              <w:right w:val="nil"/>
            </w:tcBorders>
            <w:shd w:val="clear" w:color="auto" w:fill="FFFFFF" w:themeFill="background1"/>
            <w:vAlign w:val="center"/>
            <w:hideMark/>
          </w:tcPr>
          <w:p w14:paraId="4432A3E7"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810" w:type="dxa"/>
            <w:gridSpan w:val="4"/>
            <w:tcBorders>
              <w:top w:val="nil"/>
              <w:left w:val="nil"/>
              <w:bottom w:val="nil"/>
              <w:right w:val="nil"/>
            </w:tcBorders>
            <w:shd w:val="clear" w:color="auto" w:fill="auto"/>
            <w:vAlign w:val="center"/>
            <w:hideMark/>
          </w:tcPr>
          <w:p w14:paraId="65C69C06"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630" w:type="dxa"/>
            <w:gridSpan w:val="3"/>
            <w:tcBorders>
              <w:top w:val="nil"/>
              <w:left w:val="nil"/>
              <w:bottom w:val="nil"/>
              <w:right w:val="nil"/>
            </w:tcBorders>
            <w:shd w:val="clear" w:color="auto" w:fill="auto"/>
            <w:vAlign w:val="center"/>
          </w:tcPr>
          <w:p w14:paraId="0F5C7A7C"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677" w:type="dxa"/>
            <w:gridSpan w:val="4"/>
            <w:tcBorders>
              <w:top w:val="nil"/>
              <w:left w:val="nil"/>
              <w:bottom w:val="nil"/>
              <w:right w:val="nil"/>
            </w:tcBorders>
            <w:shd w:val="clear" w:color="auto" w:fill="9BBB59" w:themeFill="accent3"/>
            <w:vAlign w:val="center"/>
          </w:tcPr>
          <w:p w14:paraId="69D39487"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677" w:type="dxa"/>
            <w:gridSpan w:val="2"/>
            <w:tcBorders>
              <w:top w:val="nil"/>
              <w:left w:val="nil"/>
              <w:bottom w:val="nil"/>
              <w:right w:val="nil"/>
            </w:tcBorders>
            <w:shd w:val="clear" w:color="auto" w:fill="FDE9D9" w:themeFill="accent6" w:themeFillTint="33"/>
            <w:vAlign w:val="center"/>
          </w:tcPr>
          <w:p w14:paraId="74F5E2B2"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bookmarkStart w:id="106" w:name="_Toc381109292"/>
            <w:r w:rsidRPr="00A44648">
              <w:rPr>
                <w:rFonts w:ascii="Arial" w:eastAsiaTheme="minorEastAsia" w:hAnsi="Arial" w:cs="Arial"/>
                <w:sz w:val="22"/>
                <w:lang w:val="en-US" w:eastAsia="en-US"/>
              </w:rPr>
              <w:t>P</w:t>
            </w:r>
            <w:bookmarkEnd w:id="106"/>
          </w:p>
        </w:tc>
        <w:tc>
          <w:tcPr>
            <w:tcW w:w="724" w:type="dxa"/>
            <w:tcBorders>
              <w:top w:val="nil"/>
              <w:left w:val="nil"/>
              <w:bottom w:val="nil"/>
              <w:right w:val="nil"/>
            </w:tcBorders>
            <w:shd w:val="clear" w:color="auto" w:fill="FDE9D9" w:themeFill="accent6" w:themeFillTint="33"/>
          </w:tcPr>
          <w:p w14:paraId="1806B6D6"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bookmarkStart w:id="107" w:name="_Toc381109293"/>
            <w:r w:rsidRPr="00A44648">
              <w:rPr>
                <w:rFonts w:ascii="Arial" w:eastAsiaTheme="minorEastAsia" w:hAnsi="Arial" w:cs="Arial"/>
                <w:sz w:val="22"/>
                <w:lang w:val="en-US" w:eastAsia="en-US"/>
              </w:rPr>
              <w:t>…</w:t>
            </w:r>
            <w:bookmarkEnd w:id="107"/>
          </w:p>
        </w:tc>
        <w:tc>
          <w:tcPr>
            <w:tcW w:w="724" w:type="dxa"/>
            <w:tcBorders>
              <w:top w:val="nil"/>
              <w:left w:val="nil"/>
              <w:bottom w:val="nil"/>
              <w:right w:val="single" w:sz="8" w:space="0" w:color="000000" w:themeColor="text1"/>
            </w:tcBorders>
            <w:shd w:val="clear" w:color="auto" w:fill="FDE9D9" w:themeFill="accent6" w:themeFillTint="33"/>
          </w:tcPr>
          <w:p w14:paraId="54A0E012"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r>
      <w:tr w:rsidR="001F6893" w:rsidRPr="00A44648" w14:paraId="5653DE9B" w14:textId="77777777" w:rsidTr="00D748B3">
        <w:trPr>
          <w:cnfStyle w:val="000000100000" w:firstRow="0" w:lastRow="0" w:firstColumn="0" w:lastColumn="0" w:oddVBand="0" w:evenVBand="0" w:oddHBand="1" w:evenHBand="0" w:firstRowFirstColumn="0" w:firstRowLastColumn="0" w:lastRowFirstColumn="0" w:lastRowLastColumn="0"/>
          <w:trHeight w:val="60"/>
          <w:jc w:val="center"/>
        </w:trPr>
        <w:tc>
          <w:tcPr>
            <w:cnfStyle w:val="001000000000" w:firstRow="0" w:lastRow="0" w:firstColumn="1" w:lastColumn="0" w:oddVBand="0" w:evenVBand="0" w:oddHBand="0" w:evenHBand="0" w:firstRowFirstColumn="0" w:firstRowLastColumn="0" w:lastRowFirstColumn="0" w:lastRowLastColumn="0"/>
            <w:tcW w:w="1708" w:type="dxa"/>
            <w:tcBorders>
              <w:right w:val="nil"/>
            </w:tcBorders>
            <w:vAlign w:val="center"/>
            <w:hideMark/>
          </w:tcPr>
          <w:p w14:paraId="1721EC70" w14:textId="7E197CD1" w:rsidR="001F6893" w:rsidRPr="00A44648" w:rsidRDefault="001F6893" w:rsidP="00D748B3">
            <w:pPr>
              <w:pStyle w:val="Paragraph"/>
              <w:tabs>
                <w:tab w:val="clear" w:pos="720"/>
                <w:tab w:val="left" w:pos="708"/>
              </w:tabs>
              <w:spacing w:before="0" w:after="0"/>
              <w:ind w:left="0" w:firstLine="0"/>
              <w:jc w:val="center"/>
              <w:rPr>
                <w:rFonts w:ascii="Arial" w:eastAsiaTheme="minorEastAsia" w:hAnsi="Arial" w:cs="Arial"/>
                <w:sz w:val="22"/>
                <w:lang w:val="en-US" w:eastAsia="en-US"/>
              </w:rPr>
            </w:pPr>
            <w:bookmarkStart w:id="108" w:name="_Toc381109294"/>
            <w:r w:rsidRPr="00A44648">
              <w:rPr>
                <w:rFonts w:ascii="Arial" w:hAnsi="Arial" w:cs="Arial"/>
                <w:sz w:val="22"/>
                <w:lang w:val="en-US"/>
              </w:rPr>
              <w:t>Geotermia</w:t>
            </w:r>
            <w:r w:rsidRPr="00A44648">
              <w:rPr>
                <w:rFonts w:ascii="Arial" w:hAnsi="Arial" w:cs="Arial"/>
                <w:sz w:val="22"/>
              </w:rPr>
              <w:t xml:space="preserve"> 5</w:t>
            </w:r>
            <w:bookmarkEnd w:id="108"/>
          </w:p>
        </w:tc>
        <w:tc>
          <w:tcPr>
            <w:tcW w:w="715" w:type="dxa"/>
            <w:tcBorders>
              <w:left w:val="nil"/>
              <w:right w:val="nil"/>
            </w:tcBorders>
            <w:shd w:val="clear" w:color="auto" w:fill="FFFFFF" w:themeFill="background1"/>
            <w:vAlign w:val="center"/>
          </w:tcPr>
          <w:p w14:paraId="0B78432E"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c>
          <w:tcPr>
            <w:tcW w:w="715" w:type="dxa"/>
            <w:tcBorders>
              <w:left w:val="nil"/>
              <w:right w:val="nil"/>
            </w:tcBorders>
            <w:shd w:val="clear" w:color="auto" w:fill="FFFFFF" w:themeFill="background1"/>
            <w:vAlign w:val="center"/>
          </w:tcPr>
          <w:p w14:paraId="1FB601EC"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c>
          <w:tcPr>
            <w:tcW w:w="716" w:type="dxa"/>
            <w:tcBorders>
              <w:left w:val="nil"/>
              <w:right w:val="nil"/>
            </w:tcBorders>
            <w:shd w:val="clear" w:color="auto" w:fill="FFFFFF" w:themeFill="background1"/>
            <w:vAlign w:val="center"/>
          </w:tcPr>
          <w:p w14:paraId="247475C8"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c>
          <w:tcPr>
            <w:tcW w:w="716" w:type="dxa"/>
            <w:tcBorders>
              <w:left w:val="nil"/>
              <w:right w:val="nil"/>
            </w:tcBorders>
            <w:shd w:val="clear" w:color="auto" w:fill="FFFFFF" w:themeFill="background1"/>
            <w:vAlign w:val="center"/>
          </w:tcPr>
          <w:p w14:paraId="22D7323B"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c>
          <w:tcPr>
            <w:tcW w:w="650" w:type="dxa"/>
            <w:tcBorders>
              <w:left w:val="nil"/>
              <w:right w:val="nil"/>
            </w:tcBorders>
            <w:shd w:val="clear" w:color="auto" w:fill="FFFFFF" w:themeFill="background1"/>
            <w:vAlign w:val="center"/>
          </w:tcPr>
          <w:p w14:paraId="34AEBA3B"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c>
          <w:tcPr>
            <w:tcW w:w="720" w:type="dxa"/>
            <w:gridSpan w:val="2"/>
            <w:tcBorders>
              <w:left w:val="nil"/>
              <w:right w:val="nil"/>
            </w:tcBorders>
            <w:shd w:val="clear" w:color="auto" w:fill="FFFFFF" w:themeFill="background1"/>
            <w:vAlign w:val="center"/>
            <w:hideMark/>
          </w:tcPr>
          <w:p w14:paraId="2E2B3723"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c>
          <w:tcPr>
            <w:tcW w:w="810" w:type="dxa"/>
            <w:gridSpan w:val="4"/>
            <w:tcBorders>
              <w:left w:val="nil"/>
              <w:right w:val="nil"/>
            </w:tcBorders>
            <w:shd w:val="clear" w:color="auto" w:fill="FFFFFF" w:themeFill="background1"/>
            <w:vAlign w:val="center"/>
            <w:hideMark/>
          </w:tcPr>
          <w:p w14:paraId="4AEEFB0D"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c>
          <w:tcPr>
            <w:tcW w:w="630" w:type="dxa"/>
            <w:gridSpan w:val="3"/>
            <w:tcBorders>
              <w:left w:val="nil"/>
              <w:right w:val="nil"/>
            </w:tcBorders>
            <w:shd w:val="clear" w:color="auto" w:fill="FFFFFF" w:themeFill="background1"/>
            <w:vAlign w:val="center"/>
            <w:hideMark/>
          </w:tcPr>
          <w:p w14:paraId="4D220A8C"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c>
          <w:tcPr>
            <w:tcW w:w="630" w:type="dxa"/>
            <w:gridSpan w:val="2"/>
            <w:tcBorders>
              <w:left w:val="nil"/>
            </w:tcBorders>
            <w:shd w:val="clear" w:color="auto" w:fill="auto"/>
            <w:vAlign w:val="center"/>
            <w:hideMark/>
          </w:tcPr>
          <w:p w14:paraId="2DFB7B1F"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c>
          <w:tcPr>
            <w:tcW w:w="724" w:type="dxa"/>
            <w:gridSpan w:val="4"/>
            <w:tcBorders>
              <w:left w:val="nil"/>
            </w:tcBorders>
            <w:shd w:val="clear" w:color="auto" w:fill="FDE9D9" w:themeFill="accent6" w:themeFillTint="33"/>
          </w:tcPr>
          <w:p w14:paraId="23AF1B12"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hAnsi="Arial" w:cs="Arial"/>
                <w:sz w:val="22"/>
                <w:lang w:val="es-ES"/>
              </w:rPr>
            </w:pPr>
            <w:bookmarkStart w:id="109" w:name="_Toc381109295"/>
            <w:r w:rsidRPr="00A44648">
              <w:rPr>
                <w:rFonts w:ascii="Arial" w:eastAsiaTheme="minorEastAsia" w:hAnsi="Arial" w:cs="Arial"/>
                <w:sz w:val="22"/>
                <w:lang w:val="en-US" w:eastAsia="en-US"/>
              </w:rPr>
              <w:t>P</w:t>
            </w:r>
            <w:bookmarkEnd w:id="109"/>
          </w:p>
        </w:tc>
        <w:tc>
          <w:tcPr>
            <w:tcW w:w="724" w:type="dxa"/>
            <w:tcBorders>
              <w:left w:val="nil"/>
              <w:right w:val="nil"/>
            </w:tcBorders>
            <w:shd w:val="clear" w:color="auto" w:fill="FDE9D9" w:themeFill="accent6" w:themeFillTint="33"/>
          </w:tcPr>
          <w:p w14:paraId="0FAE4DF8"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bookmarkStart w:id="110" w:name="_Toc381109296"/>
            <w:r w:rsidRPr="00A44648">
              <w:rPr>
                <w:rFonts w:ascii="Arial" w:eastAsiaTheme="minorEastAsia" w:hAnsi="Arial" w:cs="Arial"/>
                <w:sz w:val="22"/>
                <w:lang w:val="en-US" w:eastAsia="en-US"/>
              </w:rPr>
              <w:t>…</w:t>
            </w:r>
            <w:bookmarkEnd w:id="110"/>
          </w:p>
        </w:tc>
        <w:tc>
          <w:tcPr>
            <w:tcW w:w="724" w:type="dxa"/>
            <w:tcBorders>
              <w:left w:val="nil"/>
            </w:tcBorders>
            <w:shd w:val="clear" w:color="auto" w:fill="FDE9D9" w:themeFill="accent6" w:themeFillTint="33"/>
          </w:tcPr>
          <w:p w14:paraId="2CF1E110"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p>
        </w:tc>
      </w:tr>
      <w:tr w:rsidR="001F6893" w:rsidRPr="00A44648" w14:paraId="25FA5D2A" w14:textId="77777777" w:rsidTr="00D748B3">
        <w:trPr>
          <w:trHeight w:val="60"/>
          <w:jc w:val="center"/>
        </w:trPr>
        <w:tc>
          <w:tcPr>
            <w:cnfStyle w:val="001000000000" w:firstRow="0" w:lastRow="0" w:firstColumn="1" w:lastColumn="0" w:oddVBand="0" w:evenVBand="0" w:oddHBand="0" w:evenHBand="0" w:firstRowFirstColumn="0" w:firstRowLastColumn="0" w:lastRowFirstColumn="0" w:lastRowLastColumn="0"/>
            <w:tcW w:w="1708" w:type="dxa"/>
            <w:tcBorders>
              <w:top w:val="single" w:sz="8" w:space="0" w:color="000000" w:themeColor="text1"/>
              <w:left w:val="single" w:sz="8" w:space="0" w:color="000000" w:themeColor="text1"/>
              <w:bottom w:val="single" w:sz="8" w:space="0" w:color="000000" w:themeColor="text1"/>
              <w:right w:val="nil"/>
            </w:tcBorders>
            <w:vAlign w:val="center"/>
            <w:hideMark/>
          </w:tcPr>
          <w:p w14:paraId="6A8FB832" w14:textId="63CDABE0" w:rsidR="001F6893" w:rsidRPr="00A44648" w:rsidRDefault="001F6893" w:rsidP="00D748B3">
            <w:pPr>
              <w:pStyle w:val="Paragraph"/>
              <w:tabs>
                <w:tab w:val="clear" w:pos="720"/>
                <w:tab w:val="left" w:pos="708"/>
              </w:tabs>
              <w:spacing w:before="0" w:after="0"/>
              <w:ind w:left="0" w:firstLine="0"/>
              <w:jc w:val="center"/>
              <w:rPr>
                <w:rFonts w:ascii="Arial" w:eastAsiaTheme="minorEastAsia" w:hAnsi="Arial" w:cs="Arial"/>
                <w:sz w:val="22"/>
                <w:lang w:val="en-US" w:eastAsia="en-US"/>
              </w:rPr>
            </w:pPr>
            <w:bookmarkStart w:id="111" w:name="_Toc381109297"/>
            <w:r w:rsidRPr="00A44648">
              <w:rPr>
                <w:rFonts w:ascii="Arial" w:hAnsi="Arial" w:cs="Arial"/>
                <w:sz w:val="22"/>
                <w:lang w:val="en-US"/>
              </w:rPr>
              <w:t>Geotermia</w:t>
            </w:r>
            <w:r w:rsidRPr="00A44648">
              <w:rPr>
                <w:rFonts w:ascii="Arial" w:hAnsi="Arial" w:cs="Arial"/>
                <w:sz w:val="22"/>
              </w:rPr>
              <w:t xml:space="preserve"> 6</w:t>
            </w:r>
            <w:bookmarkEnd w:id="111"/>
          </w:p>
        </w:tc>
        <w:tc>
          <w:tcPr>
            <w:tcW w:w="715" w:type="dxa"/>
            <w:tcBorders>
              <w:top w:val="single" w:sz="8" w:space="0" w:color="000000" w:themeColor="text1"/>
              <w:left w:val="nil"/>
              <w:bottom w:val="single" w:sz="8" w:space="0" w:color="000000" w:themeColor="text1"/>
              <w:right w:val="nil"/>
            </w:tcBorders>
            <w:shd w:val="clear" w:color="auto" w:fill="FFFFFF" w:themeFill="background1"/>
            <w:vAlign w:val="center"/>
          </w:tcPr>
          <w:p w14:paraId="269A58D7"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715" w:type="dxa"/>
            <w:tcBorders>
              <w:top w:val="single" w:sz="8" w:space="0" w:color="000000" w:themeColor="text1"/>
              <w:left w:val="nil"/>
              <w:bottom w:val="single" w:sz="8" w:space="0" w:color="000000" w:themeColor="text1"/>
              <w:right w:val="nil"/>
            </w:tcBorders>
            <w:shd w:val="clear" w:color="auto" w:fill="FFFFFF" w:themeFill="background1"/>
            <w:vAlign w:val="center"/>
          </w:tcPr>
          <w:p w14:paraId="0A4F018E"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716" w:type="dxa"/>
            <w:tcBorders>
              <w:top w:val="single" w:sz="8" w:space="0" w:color="000000" w:themeColor="text1"/>
              <w:left w:val="nil"/>
              <w:bottom w:val="single" w:sz="8" w:space="0" w:color="000000" w:themeColor="text1"/>
              <w:right w:val="nil"/>
            </w:tcBorders>
            <w:shd w:val="clear" w:color="auto" w:fill="FFFFFF" w:themeFill="background1"/>
            <w:vAlign w:val="center"/>
          </w:tcPr>
          <w:p w14:paraId="13FB6913"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716" w:type="dxa"/>
            <w:tcBorders>
              <w:top w:val="single" w:sz="8" w:space="0" w:color="000000" w:themeColor="text1"/>
              <w:left w:val="nil"/>
              <w:bottom w:val="single" w:sz="8" w:space="0" w:color="000000" w:themeColor="text1"/>
              <w:right w:val="nil"/>
            </w:tcBorders>
            <w:shd w:val="clear" w:color="auto" w:fill="FFFFFF" w:themeFill="background1"/>
            <w:vAlign w:val="center"/>
          </w:tcPr>
          <w:p w14:paraId="2EFAB221"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693" w:type="dxa"/>
            <w:gridSpan w:val="2"/>
            <w:tcBorders>
              <w:top w:val="single" w:sz="8" w:space="0" w:color="000000" w:themeColor="text1"/>
              <w:left w:val="nil"/>
              <w:bottom w:val="single" w:sz="8" w:space="0" w:color="000000" w:themeColor="text1"/>
              <w:right w:val="nil"/>
            </w:tcBorders>
            <w:shd w:val="clear" w:color="auto" w:fill="FFFFFF" w:themeFill="background1"/>
            <w:vAlign w:val="center"/>
          </w:tcPr>
          <w:p w14:paraId="6290669D"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693" w:type="dxa"/>
            <w:gridSpan w:val="2"/>
            <w:tcBorders>
              <w:top w:val="single" w:sz="8" w:space="0" w:color="000000" w:themeColor="text1"/>
              <w:left w:val="nil"/>
              <w:bottom w:val="single" w:sz="8" w:space="0" w:color="000000" w:themeColor="text1"/>
              <w:right w:val="nil"/>
            </w:tcBorders>
            <w:shd w:val="clear" w:color="auto" w:fill="FFFFFF" w:themeFill="background1"/>
            <w:vAlign w:val="center"/>
          </w:tcPr>
          <w:p w14:paraId="58BD91F0"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694" w:type="dxa"/>
            <w:gridSpan w:val="2"/>
            <w:tcBorders>
              <w:top w:val="single" w:sz="8" w:space="0" w:color="000000" w:themeColor="text1"/>
              <w:left w:val="nil"/>
              <w:bottom w:val="single" w:sz="8" w:space="0" w:color="000000" w:themeColor="text1"/>
              <w:right w:val="nil"/>
            </w:tcBorders>
            <w:shd w:val="clear" w:color="auto" w:fill="FFFFFF" w:themeFill="background1"/>
            <w:vAlign w:val="center"/>
          </w:tcPr>
          <w:p w14:paraId="7B949C85"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693" w:type="dxa"/>
            <w:gridSpan w:val="3"/>
            <w:tcBorders>
              <w:top w:val="single" w:sz="8" w:space="0" w:color="000000" w:themeColor="text1"/>
              <w:left w:val="nil"/>
              <w:bottom w:val="single" w:sz="8" w:space="0" w:color="000000" w:themeColor="text1"/>
              <w:right w:val="nil"/>
            </w:tcBorders>
            <w:shd w:val="clear" w:color="auto" w:fill="FFFFFF" w:themeFill="background1"/>
            <w:vAlign w:val="center"/>
          </w:tcPr>
          <w:p w14:paraId="0F458F95"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693" w:type="dxa"/>
            <w:gridSpan w:val="4"/>
            <w:tcBorders>
              <w:top w:val="single" w:sz="8" w:space="0" w:color="000000" w:themeColor="text1"/>
              <w:left w:val="nil"/>
              <w:bottom w:val="single" w:sz="8" w:space="0" w:color="000000" w:themeColor="text1"/>
              <w:right w:val="nil"/>
            </w:tcBorders>
            <w:shd w:val="clear" w:color="auto" w:fill="FFFFFF" w:themeFill="background1"/>
            <w:vAlign w:val="center"/>
          </w:tcPr>
          <w:p w14:paraId="7AA204F1"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698" w:type="dxa"/>
            <w:gridSpan w:val="3"/>
            <w:tcBorders>
              <w:top w:val="single" w:sz="8" w:space="0" w:color="000000" w:themeColor="text1"/>
              <w:left w:val="nil"/>
              <w:bottom w:val="single" w:sz="8" w:space="0" w:color="000000" w:themeColor="text1"/>
              <w:right w:val="nil"/>
            </w:tcBorders>
            <w:shd w:val="clear" w:color="auto" w:fill="9BBB59" w:themeFill="accent3"/>
            <w:vAlign w:val="center"/>
          </w:tcPr>
          <w:p w14:paraId="34A48C22"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724" w:type="dxa"/>
            <w:tcBorders>
              <w:top w:val="single" w:sz="8" w:space="0" w:color="000000" w:themeColor="text1"/>
              <w:left w:val="nil"/>
              <w:bottom w:val="single" w:sz="8" w:space="0" w:color="000000" w:themeColor="text1"/>
              <w:right w:val="nil"/>
            </w:tcBorders>
            <w:shd w:val="clear" w:color="auto" w:fill="FDE9D9" w:themeFill="accent6" w:themeFillTint="33"/>
          </w:tcPr>
          <w:p w14:paraId="27A0D47D"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c>
          <w:tcPr>
            <w:tcW w:w="724" w:type="dxa"/>
            <w:tcBorders>
              <w:top w:val="single" w:sz="8" w:space="0" w:color="000000" w:themeColor="text1"/>
              <w:left w:val="nil"/>
              <w:bottom w:val="single" w:sz="8" w:space="0" w:color="000000" w:themeColor="text1"/>
              <w:right w:val="single" w:sz="8" w:space="0" w:color="000000" w:themeColor="text1"/>
            </w:tcBorders>
            <w:shd w:val="clear" w:color="auto" w:fill="FDE9D9" w:themeFill="accent6" w:themeFillTint="33"/>
          </w:tcPr>
          <w:p w14:paraId="6004749C" w14:textId="77777777" w:rsidR="001F6893" w:rsidRPr="00A44648" w:rsidRDefault="001F6893" w:rsidP="00D748B3">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2"/>
                <w:lang w:val="en-US" w:eastAsia="en-US"/>
              </w:rPr>
            </w:pPr>
          </w:p>
        </w:tc>
      </w:tr>
      <w:tr w:rsidR="001F6893" w:rsidRPr="00A44648" w14:paraId="40530801" w14:textId="77777777" w:rsidTr="00D748B3">
        <w:trPr>
          <w:cnfStyle w:val="000000100000" w:firstRow="0" w:lastRow="0" w:firstColumn="0" w:lastColumn="0" w:oddVBand="0" w:evenVBand="0" w:oddHBand="1" w:evenHBand="0" w:firstRowFirstColumn="0" w:firstRowLastColumn="0" w:lastRowFirstColumn="0" w:lastRowLastColumn="0"/>
          <w:trHeight w:val="60"/>
          <w:jc w:val="center"/>
        </w:trPr>
        <w:tc>
          <w:tcPr>
            <w:cnfStyle w:val="001000000000" w:firstRow="0" w:lastRow="0" w:firstColumn="1" w:lastColumn="0" w:oddVBand="0" w:evenVBand="0" w:oddHBand="0" w:evenHBand="0" w:firstRowFirstColumn="0" w:firstRowLastColumn="0" w:lastRowFirstColumn="0" w:lastRowLastColumn="0"/>
            <w:tcW w:w="1708" w:type="dxa"/>
            <w:tcBorders>
              <w:bottom w:val="single" w:sz="4" w:space="0" w:color="000000" w:themeColor="text1"/>
              <w:right w:val="nil"/>
            </w:tcBorders>
            <w:shd w:val="clear" w:color="auto" w:fill="9BBB59" w:themeFill="accent3"/>
            <w:vAlign w:val="center"/>
          </w:tcPr>
          <w:p w14:paraId="10D4DB98" w14:textId="77777777" w:rsidR="001F6893" w:rsidRPr="00A44648" w:rsidRDefault="001F6893" w:rsidP="00D748B3">
            <w:pPr>
              <w:pStyle w:val="Paragraph"/>
              <w:tabs>
                <w:tab w:val="clear" w:pos="720"/>
                <w:tab w:val="left" w:pos="708"/>
              </w:tabs>
              <w:spacing w:before="0" w:after="0"/>
              <w:ind w:left="0" w:firstLine="0"/>
              <w:jc w:val="center"/>
              <w:rPr>
                <w:rFonts w:ascii="Arial" w:hAnsi="Arial" w:cs="Arial"/>
                <w:sz w:val="22"/>
                <w:lang w:val="en-US"/>
              </w:rPr>
            </w:pPr>
            <w:r w:rsidRPr="00A44648">
              <w:rPr>
                <w:rFonts w:ascii="Arial" w:hAnsi="Arial" w:cs="Arial"/>
                <w:sz w:val="22"/>
                <w:lang w:val="en-US"/>
              </w:rPr>
              <w:t>Inicio de Generación</w:t>
            </w:r>
          </w:p>
        </w:tc>
        <w:tc>
          <w:tcPr>
            <w:tcW w:w="4248" w:type="dxa"/>
            <w:gridSpan w:val="8"/>
            <w:tcBorders>
              <w:left w:val="nil"/>
              <w:bottom w:val="single" w:sz="4" w:space="0" w:color="000000" w:themeColor="text1"/>
              <w:right w:val="nil"/>
            </w:tcBorders>
            <w:shd w:val="clear" w:color="auto" w:fill="DBE5F1" w:themeFill="accent1" w:themeFillTint="33"/>
            <w:vAlign w:val="center"/>
          </w:tcPr>
          <w:p w14:paraId="50F906B2"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bookmarkStart w:id="112" w:name="_Toc381109299"/>
            <w:r w:rsidRPr="00A44648">
              <w:rPr>
                <w:rFonts w:ascii="Arial" w:eastAsiaTheme="minorEastAsia" w:hAnsi="Arial" w:cs="Arial"/>
                <w:sz w:val="22"/>
                <w:lang w:val="en-US" w:eastAsia="en-US"/>
              </w:rPr>
              <w:t xml:space="preserve">RD = </w:t>
            </w:r>
            <w:bookmarkEnd w:id="112"/>
            <w:r w:rsidRPr="00A44648">
              <w:rPr>
                <w:rFonts w:ascii="Arial" w:eastAsiaTheme="minorEastAsia" w:hAnsi="Arial" w:cs="Arial"/>
                <w:sz w:val="22"/>
                <w:lang w:val="en-US" w:eastAsia="en-US"/>
              </w:rPr>
              <w:t>Recolección de Datos</w:t>
            </w:r>
          </w:p>
        </w:tc>
        <w:tc>
          <w:tcPr>
            <w:tcW w:w="4226" w:type="dxa"/>
            <w:gridSpan w:val="14"/>
            <w:tcBorders>
              <w:left w:val="nil"/>
              <w:bottom w:val="single" w:sz="4" w:space="0" w:color="000000" w:themeColor="text1"/>
            </w:tcBorders>
            <w:shd w:val="clear" w:color="auto" w:fill="FDE9D9" w:themeFill="accent6" w:themeFillTint="33"/>
            <w:vAlign w:val="center"/>
          </w:tcPr>
          <w:p w14:paraId="7C82C881" w14:textId="77777777" w:rsidR="001F6893" w:rsidRPr="00A44648" w:rsidRDefault="001F6893" w:rsidP="00D748B3">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2"/>
                <w:lang w:val="en-US" w:eastAsia="en-US"/>
              </w:rPr>
            </w:pPr>
            <w:bookmarkStart w:id="113" w:name="_Toc381109300"/>
            <w:r w:rsidRPr="00A44648">
              <w:rPr>
                <w:rFonts w:ascii="Arial" w:eastAsiaTheme="minorEastAsia" w:hAnsi="Arial" w:cs="Arial"/>
                <w:sz w:val="22"/>
                <w:lang w:val="en-US" w:eastAsia="en-US"/>
              </w:rPr>
              <w:t xml:space="preserve">P = </w:t>
            </w:r>
            <w:bookmarkEnd w:id="113"/>
            <w:r w:rsidRPr="00A44648">
              <w:rPr>
                <w:rFonts w:ascii="Arial" w:eastAsiaTheme="minorEastAsia" w:hAnsi="Arial" w:cs="Arial"/>
                <w:sz w:val="22"/>
                <w:lang w:val="en-US" w:eastAsia="en-US"/>
              </w:rPr>
              <w:t>Proyecciones</w:t>
            </w:r>
          </w:p>
        </w:tc>
      </w:tr>
    </w:tbl>
    <w:p w14:paraId="4C66F40A" w14:textId="77777777" w:rsidR="001F6893" w:rsidRPr="00A44648" w:rsidRDefault="001F6893" w:rsidP="001F6893">
      <w:pPr>
        <w:pStyle w:val="AutoNumpara"/>
        <w:numPr>
          <w:ilvl w:val="0"/>
          <w:numId w:val="0"/>
        </w:numPr>
        <w:ind w:left="720"/>
        <w:jc w:val="center"/>
        <w:rPr>
          <w:rFonts w:ascii="Arial" w:hAnsi="Arial" w:cs="Arial"/>
          <w:sz w:val="22"/>
          <w:szCs w:val="22"/>
        </w:rPr>
      </w:pPr>
    </w:p>
    <w:p w14:paraId="24AD1022" w14:textId="77777777" w:rsidR="009A3D7F" w:rsidRPr="00A44648" w:rsidRDefault="001A7E25" w:rsidP="00163B83">
      <w:pPr>
        <w:pStyle w:val="ListParagraph"/>
        <w:numPr>
          <w:ilvl w:val="0"/>
          <w:numId w:val="9"/>
        </w:numPr>
        <w:tabs>
          <w:tab w:val="left" w:pos="1440"/>
          <w:tab w:val="left" w:pos="3060"/>
        </w:tabs>
        <w:spacing w:after="120"/>
        <w:ind w:left="360"/>
        <w:outlineLvl w:val="0"/>
        <w:rPr>
          <w:rFonts w:ascii="Arial" w:hAnsi="Arial" w:cs="Arial"/>
          <w:b/>
          <w:smallCaps/>
          <w:noProof/>
          <w:lang w:val="es-ES_tradnl"/>
        </w:rPr>
      </w:pPr>
      <w:bookmarkStart w:id="114" w:name="_Toc375150070"/>
      <w:bookmarkStart w:id="115" w:name="_Toc381109304"/>
      <w:r w:rsidRPr="00A44648">
        <w:rPr>
          <w:rFonts w:ascii="Arial" w:hAnsi="Arial" w:cs="Arial"/>
          <w:b/>
          <w:smallCaps/>
          <w:noProof/>
          <w:lang w:val="es-ES_tradnl"/>
        </w:rPr>
        <w:t>Evalua</w:t>
      </w:r>
      <w:r w:rsidR="00876C87" w:rsidRPr="00A44648">
        <w:rPr>
          <w:rFonts w:ascii="Arial" w:hAnsi="Arial" w:cs="Arial"/>
          <w:b/>
          <w:smallCaps/>
          <w:noProof/>
          <w:lang w:val="es-ES_tradnl"/>
        </w:rPr>
        <w:t>c</w:t>
      </w:r>
      <w:r w:rsidRPr="00A44648">
        <w:rPr>
          <w:rFonts w:ascii="Arial" w:hAnsi="Arial" w:cs="Arial"/>
          <w:b/>
          <w:smallCaps/>
          <w:noProof/>
          <w:lang w:val="es-ES_tradnl"/>
        </w:rPr>
        <w:t>i</w:t>
      </w:r>
      <w:r w:rsidR="00876C87" w:rsidRPr="00A44648">
        <w:rPr>
          <w:rFonts w:ascii="Arial" w:hAnsi="Arial" w:cs="Arial"/>
          <w:b/>
          <w:smallCaps/>
          <w:noProof/>
          <w:lang w:val="es-ES_tradnl"/>
        </w:rPr>
        <w:t>ó</w:t>
      </w:r>
      <w:r w:rsidRPr="00A44648">
        <w:rPr>
          <w:rFonts w:ascii="Arial" w:hAnsi="Arial" w:cs="Arial"/>
          <w:b/>
          <w:smallCaps/>
          <w:noProof/>
          <w:lang w:val="es-ES_tradnl"/>
        </w:rPr>
        <w:t>n</w:t>
      </w:r>
      <w:r w:rsidR="00876C87" w:rsidRPr="00A44648">
        <w:rPr>
          <w:rFonts w:ascii="Arial" w:hAnsi="Arial" w:cs="Arial"/>
          <w:b/>
          <w:smallCaps/>
          <w:noProof/>
          <w:lang w:val="es-ES_tradnl"/>
        </w:rPr>
        <w:t>,</w:t>
      </w:r>
      <w:r w:rsidRPr="00A44648">
        <w:rPr>
          <w:rFonts w:ascii="Arial" w:hAnsi="Arial" w:cs="Arial"/>
          <w:b/>
          <w:smallCaps/>
          <w:noProof/>
          <w:lang w:val="es-ES_tradnl"/>
        </w:rPr>
        <w:t xml:space="preserve"> Coordina</w:t>
      </w:r>
      <w:r w:rsidR="00876C87" w:rsidRPr="00A44648">
        <w:rPr>
          <w:rFonts w:ascii="Arial" w:hAnsi="Arial" w:cs="Arial"/>
          <w:b/>
          <w:smallCaps/>
          <w:noProof/>
          <w:lang w:val="es-ES_tradnl"/>
        </w:rPr>
        <w:t>c</w:t>
      </w:r>
      <w:r w:rsidRPr="00A44648">
        <w:rPr>
          <w:rFonts w:ascii="Arial" w:hAnsi="Arial" w:cs="Arial"/>
          <w:b/>
          <w:smallCaps/>
          <w:noProof/>
          <w:lang w:val="es-ES_tradnl"/>
        </w:rPr>
        <w:t>i</w:t>
      </w:r>
      <w:r w:rsidR="00876C87" w:rsidRPr="00A44648">
        <w:rPr>
          <w:rFonts w:ascii="Arial" w:hAnsi="Arial" w:cs="Arial"/>
          <w:b/>
          <w:smallCaps/>
          <w:noProof/>
          <w:lang w:val="es-ES_tradnl"/>
        </w:rPr>
        <w:t>ó</w:t>
      </w:r>
      <w:r w:rsidRPr="00A44648">
        <w:rPr>
          <w:rFonts w:ascii="Arial" w:hAnsi="Arial" w:cs="Arial"/>
          <w:b/>
          <w:smallCaps/>
          <w:noProof/>
          <w:lang w:val="es-ES_tradnl"/>
        </w:rPr>
        <w:t xml:space="preserve">n, </w:t>
      </w:r>
      <w:r w:rsidR="00876C87" w:rsidRPr="00A44648">
        <w:rPr>
          <w:rFonts w:ascii="Arial" w:hAnsi="Arial" w:cs="Arial"/>
          <w:b/>
          <w:smallCaps/>
          <w:noProof/>
          <w:lang w:val="es-ES_tradnl"/>
        </w:rPr>
        <w:t>Plan de Trabajo y Presup</w:t>
      </w:r>
      <w:r w:rsidR="000341D4" w:rsidRPr="00A44648">
        <w:rPr>
          <w:rFonts w:ascii="Arial" w:hAnsi="Arial" w:cs="Arial"/>
          <w:b/>
          <w:smallCaps/>
          <w:noProof/>
          <w:lang w:val="es-ES_tradnl"/>
        </w:rPr>
        <w:t>uesto</w:t>
      </w:r>
      <w:bookmarkEnd w:id="114"/>
      <w:bookmarkEnd w:id="115"/>
    </w:p>
    <w:p w14:paraId="1E509C6E" w14:textId="77777777" w:rsidR="009A3D7F" w:rsidRPr="00A44648" w:rsidRDefault="00977678" w:rsidP="00CD7231">
      <w:pPr>
        <w:pStyle w:val="AutoNumpara"/>
        <w:rPr>
          <w:rFonts w:ascii="Arial" w:hAnsi="Arial" w:cs="Arial"/>
          <w:sz w:val="22"/>
          <w:szCs w:val="22"/>
        </w:rPr>
      </w:pPr>
      <w:r w:rsidRPr="00A44648">
        <w:rPr>
          <w:rFonts w:ascii="Arial" w:hAnsi="Arial" w:cs="Arial"/>
          <w:sz w:val="22"/>
          <w:szCs w:val="22"/>
        </w:rPr>
        <w:t>NAFIN</w:t>
      </w:r>
      <w:r w:rsidR="000341D4" w:rsidRPr="00A44648">
        <w:rPr>
          <w:rFonts w:ascii="Arial" w:hAnsi="Arial" w:cs="Arial"/>
          <w:sz w:val="22"/>
          <w:szCs w:val="22"/>
        </w:rPr>
        <w:t>, con el apoyo de SENER e INEEL,</w:t>
      </w:r>
      <w:r w:rsidR="009A3D7F" w:rsidRPr="00A44648">
        <w:rPr>
          <w:rFonts w:ascii="Arial" w:hAnsi="Arial" w:cs="Arial"/>
          <w:sz w:val="22"/>
          <w:szCs w:val="22"/>
        </w:rPr>
        <w:t xml:space="preserve"> </w:t>
      </w:r>
      <w:r w:rsidR="000341D4" w:rsidRPr="00A44648">
        <w:rPr>
          <w:rFonts w:ascii="Arial" w:hAnsi="Arial" w:cs="Arial"/>
          <w:sz w:val="22"/>
          <w:szCs w:val="22"/>
        </w:rPr>
        <w:t>será el</w:t>
      </w:r>
      <w:r w:rsidR="009A3D7F" w:rsidRPr="00A44648">
        <w:rPr>
          <w:rFonts w:ascii="Arial" w:hAnsi="Arial" w:cs="Arial"/>
          <w:sz w:val="22"/>
          <w:szCs w:val="22"/>
        </w:rPr>
        <w:t xml:space="preserve"> </w:t>
      </w:r>
      <w:r w:rsidR="000341D4" w:rsidRPr="00A44648">
        <w:rPr>
          <w:rFonts w:ascii="Arial" w:hAnsi="Arial" w:cs="Arial"/>
          <w:sz w:val="22"/>
          <w:szCs w:val="22"/>
        </w:rPr>
        <w:t xml:space="preserve">responsible de la </w:t>
      </w:r>
      <w:r w:rsidR="009A3D7F" w:rsidRPr="00A44648">
        <w:rPr>
          <w:rFonts w:ascii="Arial" w:hAnsi="Arial" w:cs="Arial"/>
          <w:sz w:val="22"/>
          <w:szCs w:val="22"/>
        </w:rPr>
        <w:t>supervisi</w:t>
      </w:r>
      <w:r w:rsidR="000341D4" w:rsidRPr="00A44648">
        <w:rPr>
          <w:rFonts w:ascii="Arial" w:hAnsi="Arial" w:cs="Arial"/>
          <w:sz w:val="22"/>
          <w:szCs w:val="22"/>
        </w:rPr>
        <w:t>ó</w:t>
      </w:r>
      <w:r w:rsidR="009A3D7F" w:rsidRPr="00A44648">
        <w:rPr>
          <w:rFonts w:ascii="Arial" w:hAnsi="Arial" w:cs="Arial"/>
          <w:sz w:val="22"/>
          <w:szCs w:val="22"/>
        </w:rPr>
        <w:t>n</w:t>
      </w:r>
      <w:r w:rsidR="000341D4" w:rsidRPr="00A44648">
        <w:rPr>
          <w:rFonts w:ascii="Arial" w:hAnsi="Arial" w:cs="Arial"/>
          <w:sz w:val="22"/>
          <w:szCs w:val="22"/>
        </w:rPr>
        <w:t xml:space="preserve"> y c</w:t>
      </w:r>
      <w:r w:rsidR="009A3D7F" w:rsidRPr="00A44648">
        <w:rPr>
          <w:rFonts w:ascii="Arial" w:hAnsi="Arial" w:cs="Arial"/>
          <w:sz w:val="22"/>
          <w:szCs w:val="22"/>
        </w:rPr>
        <w:t>oordina</w:t>
      </w:r>
      <w:r w:rsidR="000341D4" w:rsidRPr="00A44648">
        <w:rPr>
          <w:rFonts w:ascii="Arial" w:hAnsi="Arial" w:cs="Arial"/>
          <w:sz w:val="22"/>
          <w:szCs w:val="22"/>
        </w:rPr>
        <w:t>c</w:t>
      </w:r>
      <w:r w:rsidR="009A3D7F" w:rsidRPr="00A44648">
        <w:rPr>
          <w:rFonts w:ascii="Arial" w:hAnsi="Arial" w:cs="Arial"/>
          <w:sz w:val="22"/>
          <w:szCs w:val="22"/>
        </w:rPr>
        <w:t>i</w:t>
      </w:r>
      <w:r w:rsidR="000341D4" w:rsidRPr="00A44648">
        <w:rPr>
          <w:rFonts w:ascii="Arial" w:hAnsi="Arial" w:cs="Arial"/>
          <w:sz w:val="22"/>
          <w:szCs w:val="22"/>
        </w:rPr>
        <w:t>ó</w:t>
      </w:r>
      <w:r w:rsidR="009A3D7F" w:rsidRPr="00A44648">
        <w:rPr>
          <w:rFonts w:ascii="Arial" w:hAnsi="Arial" w:cs="Arial"/>
          <w:sz w:val="22"/>
          <w:szCs w:val="22"/>
        </w:rPr>
        <w:t xml:space="preserve">n </w:t>
      </w:r>
      <w:r w:rsidR="000341D4" w:rsidRPr="00A44648">
        <w:rPr>
          <w:rFonts w:ascii="Arial" w:hAnsi="Arial" w:cs="Arial"/>
          <w:sz w:val="22"/>
          <w:szCs w:val="22"/>
        </w:rPr>
        <w:t>del</w:t>
      </w:r>
      <w:r w:rsidR="009A3D7F" w:rsidRPr="00A44648">
        <w:rPr>
          <w:rFonts w:ascii="Arial" w:hAnsi="Arial" w:cs="Arial"/>
          <w:sz w:val="22"/>
          <w:szCs w:val="22"/>
        </w:rPr>
        <w:t xml:space="preserve"> </w:t>
      </w:r>
      <w:r w:rsidR="005E6AAD" w:rsidRPr="00A44648">
        <w:rPr>
          <w:rFonts w:ascii="Arial" w:hAnsi="Arial" w:cs="Arial"/>
          <w:sz w:val="22"/>
          <w:szCs w:val="22"/>
        </w:rPr>
        <w:t>p</w:t>
      </w:r>
      <w:r w:rsidR="009A3D7F" w:rsidRPr="00A44648">
        <w:rPr>
          <w:rFonts w:ascii="Arial" w:hAnsi="Arial" w:cs="Arial"/>
          <w:sz w:val="22"/>
          <w:szCs w:val="22"/>
        </w:rPr>
        <w:t>rogram</w:t>
      </w:r>
      <w:r w:rsidR="000341D4" w:rsidRPr="00A44648">
        <w:rPr>
          <w:rFonts w:ascii="Arial" w:hAnsi="Arial" w:cs="Arial"/>
          <w:sz w:val="22"/>
          <w:szCs w:val="22"/>
        </w:rPr>
        <w:t xml:space="preserve"> y de realizar los informes semestrales de progreso para el Banco</w:t>
      </w:r>
      <w:r w:rsidR="009A3D7F" w:rsidRPr="00A44648">
        <w:rPr>
          <w:rFonts w:ascii="Arial" w:hAnsi="Arial" w:cs="Arial"/>
          <w:sz w:val="22"/>
          <w:szCs w:val="22"/>
        </w:rPr>
        <w:t>.</w:t>
      </w:r>
      <w:r w:rsidR="00D85573" w:rsidRPr="00A44648">
        <w:rPr>
          <w:rFonts w:ascii="Arial" w:hAnsi="Arial" w:cs="Arial"/>
          <w:sz w:val="22"/>
          <w:szCs w:val="22"/>
        </w:rPr>
        <w:t xml:space="preserve"> </w:t>
      </w:r>
    </w:p>
    <w:p w14:paraId="158DE4A8" w14:textId="77777777" w:rsidR="00D85573" w:rsidRPr="00A44648" w:rsidRDefault="000341D4" w:rsidP="00CD7231">
      <w:pPr>
        <w:pStyle w:val="AutoNumpara"/>
        <w:rPr>
          <w:rFonts w:ascii="Arial" w:hAnsi="Arial" w:cs="Arial"/>
          <w:sz w:val="22"/>
          <w:szCs w:val="22"/>
        </w:rPr>
      </w:pPr>
      <w:r w:rsidRPr="00A44648">
        <w:rPr>
          <w:rFonts w:ascii="Arial" w:hAnsi="Arial" w:cs="Arial"/>
          <w:sz w:val="22"/>
          <w:szCs w:val="22"/>
        </w:rPr>
        <w:t xml:space="preserve">Para la implementación de la supervisión y coordinación se creará el comite CCG, se usará personal propio de NAFIN y SENER, y se contratará consultores de apoyo tanto para NAFIN como SENER. El INEEL será contrado en forma directa para brindar apoyo técnico y operativo tanto a NAFIN como a SENER. </w:t>
      </w:r>
    </w:p>
    <w:p w14:paraId="7F89B973" w14:textId="77777777" w:rsidR="009A3D7F" w:rsidRPr="00A44648" w:rsidRDefault="006A685D" w:rsidP="009A3D7F">
      <w:pPr>
        <w:pStyle w:val="AutoNumpara"/>
        <w:rPr>
          <w:rFonts w:ascii="Arial" w:hAnsi="Arial" w:cs="Arial"/>
          <w:sz w:val="22"/>
          <w:szCs w:val="22"/>
        </w:rPr>
      </w:pPr>
      <w:r w:rsidRPr="00A44648">
        <w:rPr>
          <w:rFonts w:ascii="Arial" w:hAnsi="Arial" w:cs="Arial"/>
          <w:sz w:val="22"/>
          <w:szCs w:val="22"/>
          <w:lang w:val="es-ES"/>
        </w:rPr>
        <w:t xml:space="preserve">NAFIN realizará la evaluación de medio término una vez desembolsado 50% de la totalidad de los recursos. De la misma manera NAFIN entregará un informe en donde se reporte el progreso alcanzado. Este reporte se preparará cada seis meses. Al finalizar el programa se llevará a cabo tanto un análisis de costo-beneficio ex post, así como también informe de cierre del proyecto (PCR con sus siglas en inglés). </w:t>
      </w:r>
    </w:p>
    <w:p w14:paraId="619C685C" w14:textId="3AD98519" w:rsidR="00212E53" w:rsidRPr="00A44648" w:rsidRDefault="006A685D" w:rsidP="005E6AAD">
      <w:pPr>
        <w:pStyle w:val="AutoNumpara"/>
        <w:rPr>
          <w:rFonts w:ascii="Arial" w:hAnsi="Arial" w:cs="Arial"/>
          <w:sz w:val="22"/>
          <w:szCs w:val="22"/>
        </w:rPr>
      </w:pPr>
      <w:r w:rsidRPr="00A44648">
        <w:rPr>
          <w:rFonts w:ascii="Arial" w:hAnsi="Arial" w:cs="Arial"/>
          <w:sz w:val="22"/>
          <w:szCs w:val="22"/>
        </w:rPr>
        <w:t xml:space="preserve">El costo de las actividades listadas en el plan de trabajo serán financiadas como gastos de supervisión con cargo a </w:t>
      </w:r>
      <w:r w:rsidRPr="00A44648">
        <w:rPr>
          <w:rFonts w:ascii="Arial" w:eastAsia="Arial" w:hAnsi="Arial" w:cs="Arial"/>
          <w:noProof w:val="0"/>
          <w:spacing w:val="0"/>
          <w:sz w:val="22"/>
          <w:szCs w:val="22"/>
          <w:lang w:eastAsia="en-US"/>
        </w:rPr>
        <w:t>GRT/CT</w:t>
      </w:r>
      <w:r w:rsidRPr="00A44648">
        <w:rPr>
          <w:rFonts w:ascii="Arial" w:eastAsia="Arial" w:hAnsi="Arial" w:cs="Arial"/>
          <w:noProof w:val="0"/>
          <w:spacing w:val="0"/>
          <w:sz w:val="22"/>
          <w:szCs w:val="22"/>
          <w:lang w:eastAsia="en-US"/>
        </w:rPr>
        <w:noBreakHyphen/>
        <w:t>14423-ME</w:t>
      </w:r>
      <w:r w:rsidRPr="00A44648">
        <w:rPr>
          <w:rFonts w:ascii="Arial" w:hAnsi="Arial" w:cs="Arial"/>
          <w:sz w:val="22"/>
          <w:szCs w:val="22"/>
        </w:rPr>
        <w:t xml:space="preserve"> y la division de energía (ENE), ver tabla 5. </w:t>
      </w:r>
    </w:p>
    <w:p w14:paraId="485C8DBA" w14:textId="77777777" w:rsidR="006A685D" w:rsidRPr="00A44648" w:rsidRDefault="006A685D" w:rsidP="006A685D">
      <w:pPr>
        <w:pStyle w:val="Heading1"/>
        <w:numPr>
          <w:ilvl w:val="0"/>
          <w:numId w:val="0"/>
        </w:numPr>
        <w:ind w:left="288"/>
        <w:jc w:val="left"/>
        <w:rPr>
          <w:rFonts w:ascii="Arial" w:hAnsi="Arial" w:cs="Arial"/>
          <w:sz w:val="22"/>
          <w:szCs w:val="22"/>
        </w:rPr>
      </w:pPr>
    </w:p>
    <w:p w14:paraId="21B5FF86" w14:textId="77777777" w:rsidR="006A685D" w:rsidRPr="00A44648" w:rsidRDefault="006A685D" w:rsidP="006A685D">
      <w:pPr>
        <w:rPr>
          <w:rFonts w:ascii="Arial" w:hAnsi="Arial" w:cs="Arial"/>
          <w:lang w:val="es-ES" w:eastAsia="es-ES"/>
        </w:rPr>
      </w:pPr>
    </w:p>
    <w:p w14:paraId="5E18812F" w14:textId="77777777" w:rsidR="001F6893" w:rsidRPr="00A44648" w:rsidRDefault="001F6893">
      <w:pPr>
        <w:pStyle w:val="BodyText2"/>
        <w:spacing w:after="0" w:line="240" w:lineRule="auto"/>
        <w:jc w:val="center"/>
        <w:rPr>
          <w:rFonts w:ascii="Arial" w:hAnsi="Arial" w:cs="Arial"/>
          <w:b/>
          <w:sz w:val="22"/>
          <w:szCs w:val="22"/>
        </w:rPr>
        <w:sectPr w:rsidR="001F6893" w:rsidRPr="00A44648">
          <w:headerReference w:type="default" r:id="rId31"/>
          <w:pgSz w:w="12240" w:h="15840"/>
          <w:pgMar w:top="1440" w:right="1440" w:bottom="1440" w:left="1440" w:header="720" w:footer="720" w:gutter="0"/>
          <w:cols w:space="720"/>
          <w:docGrid w:linePitch="360"/>
        </w:sectPr>
      </w:pPr>
    </w:p>
    <w:p w14:paraId="6D20C92E" w14:textId="77777777" w:rsidR="00C836B2" w:rsidRPr="00A44648" w:rsidRDefault="009A3D7F">
      <w:pPr>
        <w:pStyle w:val="BodyText2"/>
        <w:spacing w:after="0" w:line="240" w:lineRule="auto"/>
        <w:jc w:val="center"/>
        <w:rPr>
          <w:rFonts w:ascii="Arial" w:hAnsi="Arial" w:cs="Arial"/>
          <w:b/>
          <w:sz w:val="22"/>
          <w:szCs w:val="22"/>
        </w:rPr>
      </w:pPr>
      <w:r w:rsidRPr="00A44648">
        <w:rPr>
          <w:rFonts w:ascii="Arial" w:hAnsi="Arial" w:cs="Arial"/>
          <w:b/>
          <w:sz w:val="22"/>
          <w:szCs w:val="22"/>
        </w:rPr>
        <w:t xml:space="preserve">Table </w:t>
      </w:r>
      <w:r w:rsidR="000341D4" w:rsidRPr="00A44648">
        <w:rPr>
          <w:rFonts w:ascii="Arial" w:hAnsi="Arial" w:cs="Arial"/>
          <w:b/>
          <w:sz w:val="22"/>
          <w:szCs w:val="22"/>
        </w:rPr>
        <w:t>5</w:t>
      </w:r>
      <w:bookmarkStart w:id="116" w:name="_GoBack"/>
      <w:bookmarkEnd w:id="116"/>
      <w:r w:rsidR="00937632" w:rsidRPr="00A44648">
        <w:rPr>
          <w:rFonts w:ascii="Arial" w:hAnsi="Arial" w:cs="Arial"/>
          <w:b/>
          <w:sz w:val="22"/>
          <w:szCs w:val="22"/>
        </w:rPr>
        <w:t>.</w:t>
      </w:r>
      <w:r w:rsidRPr="00A44648">
        <w:rPr>
          <w:rFonts w:ascii="Arial" w:hAnsi="Arial" w:cs="Arial"/>
          <w:b/>
          <w:sz w:val="22"/>
          <w:szCs w:val="22"/>
        </w:rPr>
        <w:t xml:space="preserve"> Evalua</w:t>
      </w:r>
      <w:r w:rsidR="000341D4" w:rsidRPr="00A44648">
        <w:rPr>
          <w:rFonts w:ascii="Arial" w:hAnsi="Arial" w:cs="Arial"/>
          <w:b/>
          <w:sz w:val="22"/>
          <w:szCs w:val="22"/>
        </w:rPr>
        <w:t>ción del Plan de Trabajo</w:t>
      </w:r>
    </w:p>
    <w:tbl>
      <w:tblPr>
        <w:tblW w:w="12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68"/>
        <w:gridCol w:w="360"/>
        <w:gridCol w:w="360"/>
        <w:gridCol w:w="360"/>
        <w:gridCol w:w="360"/>
        <w:gridCol w:w="360"/>
        <w:gridCol w:w="360"/>
        <w:gridCol w:w="360"/>
        <w:gridCol w:w="360"/>
        <w:gridCol w:w="360"/>
        <w:gridCol w:w="360"/>
        <w:gridCol w:w="360"/>
        <w:gridCol w:w="360"/>
        <w:gridCol w:w="337"/>
        <w:gridCol w:w="360"/>
        <w:gridCol w:w="360"/>
        <w:gridCol w:w="360"/>
        <w:gridCol w:w="360"/>
        <w:gridCol w:w="450"/>
        <w:gridCol w:w="810"/>
        <w:gridCol w:w="1034"/>
      </w:tblGrid>
      <w:tr w:rsidR="001F6893" w:rsidRPr="00A44648" w14:paraId="6A2EFA22" w14:textId="77777777" w:rsidTr="00D748B3">
        <w:trPr>
          <w:trHeight w:val="368"/>
          <w:jc w:val="center"/>
        </w:trPr>
        <w:tc>
          <w:tcPr>
            <w:tcW w:w="4068" w:type="dxa"/>
            <w:vMerge w:val="restart"/>
            <w:shd w:val="clear" w:color="auto" w:fill="A6A6A6" w:themeFill="background1" w:themeFillShade="A6"/>
            <w:vAlign w:val="center"/>
          </w:tcPr>
          <w:p w14:paraId="1DD2D323" w14:textId="77777777" w:rsidR="001F6893" w:rsidRPr="00A44648" w:rsidRDefault="001F6893" w:rsidP="00D748B3">
            <w:pPr>
              <w:spacing w:before="60" w:after="60"/>
              <w:jc w:val="center"/>
              <w:rPr>
                <w:rFonts w:ascii="Arial" w:hAnsi="Arial" w:cs="Arial"/>
                <w:b/>
              </w:rPr>
            </w:pPr>
            <w:r w:rsidRPr="00A44648">
              <w:rPr>
                <w:rFonts w:ascii="Arial" w:hAnsi="Arial" w:cs="Arial"/>
                <w:b/>
              </w:rPr>
              <w:t>Actividades</w:t>
            </w:r>
          </w:p>
        </w:tc>
        <w:tc>
          <w:tcPr>
            <w:tcW w:w="720" w:type="dxa"/>
            <w:gridSpan w:val="2"/>
            <w:shd w:val="clear" w:color="auto" w:fill="A6A6A6" w:themeFill="background1" w:themeFillShade="A6"/>
            <w:vAlign w:val="center"/>
          </w:tcPr>
          <w:p w14:paraId="3BFAAF12" w14:textId="77777777" w:rsidR="001F6893" w:rsidRPr="00A44648" w:rsidRDefault="001F6893" w:rsidP="00D748B3">
            <w:pPr>
              <w:spacing w:before="60" w:after="60"/>
              <w:jc w:val="center"/>
              <w:rPr>
                <w:rFonts w:ascii="Arial" w:hAnsi="Arial" w:cs="Arial"/>
                <w:b/>
              </w:rPr>
            </w:pPr>
            <w:r w:rsidRPr="00A44648">
              <w:rPr>
                <w:rFonts w:ascii="Arial" w:hAnsi="Arial" w:cs="Arial"/>
                <w:b/>
              </w:rPr>
              <w:t xml:space="preserve">Año 1 </w:t>
            </w:r>
          </w:p>
        </w:tc>
        <w:tc>
          <w:tcPr>
            <w:tcW w:w="720" w:type="dxa"/>
            <w:gridSpan w:val="2"/>
            <w:shd w:val="clear" w:color="auto" w:fill="A6A6A6" w:themeFill="background1" w:themeFillShade="A6"/>
            <w:vAlign w:val="center"/>
          </w:tcPr>
          <w:p w14:paraId="1B1B18B6" w14:textId="77777777" w:rsidR="001F6893" w:rsidRPr="00A44648" w:rsidRDefault="001F6893" w:rsidP="00D748B3">
            <w:pPr>
              <w:spacing w:before="60" w:after="60"/>
              <w:jc w:val="center"/>
              <w:rPr>
                <w:rFonts w:ascii="Arial" w:hAnsi="Arial" w:cs="Arial"/>
                <w:b/>
              </w:rPr>
            </w:pPr>
            <w:r w:rsidRPr="00A44648">
              <w:rPr>
                <w:rFonts w:ascii="Arial" w:hAnsi="Arial" w:cs="Arial"/>
                <w:b/>
              </w:rPr>
              <w:t>Año</w:t>
            </w:r>
            <w:r w:rsidRPr="00A44648" w:rsidDel="00752B1F">
              <w:rPr>
                <w:rFonts w:ascii="Arial" w:hAnsi="Arial" w:cs="Arial"/>
                <w:b/>
              </w:rPr>
              <w:t xml:space="preserve"> </w:t>
            </w:r>
            <w:r w:rsidRPr="00A44648">
              <w:rPr>
                <w:rFonts w:ascii="Arial" w:hAnsi="Arial" w:cs="Arial"/>
                <w:b/>
              </w:rPr>
              <w:t>2</w:t>
            </w:r>
          </w:p>
        </w:tc>
        <w:tc>
          <w:tcPr>
            <w:tcW w:w="720" w:type="dxa"/>
            <w:gridSpan w:val="2"/>
            <w:shd w:val="clear" w:color="auto" w:fill="A6A6A6" w:themeFill="background1" w:themeFillShade="A6"/>
            <w:vAlign w:val="center"/>
          </w:tcPr>
          <w:p w14:paraId="798FC96B" w14:textId="77777777" w:rsidR="001F6893" w:rsidRPr="00A44648" w:rsidRDefault="001F6893" w:rsidP="00D748B3">
            <w:pPr>
              <w:spacing w:before="60" w:after="60"/>
              <w:jc w:val="center"/>
              <w:rPr>
                <w:rFonts w:ascii="Arial" w:hAnsi="Arial" w:cs="Arial"/>
                <w:b/>
              </w:rPr>
            </w:pPr>
            <w:r w:rsidRPr="00A44648">
              <w:rPr>
                <w:rFonts w:ascii="Arial" w:hAnsi="Arial" w:cs="Arial"/>
                <w:b/>
              </w:rPr>
              <w:t>Año</w:t>
            </w:r>
            <w:r w:rsidRPr="00A44648" w:rsidDel="00752B1F">
              <w:rPr>
                <w:rFonts w:ascii="Arial" w:hAnsi="Arial" w:cs="Arial"/>
                <w:b/>
              </w:rPr>
              <w:t xml:space="preserve"> </w:t>
            </w:r>
            <w:r w:rsidRPr="00A44648">
              <w:rPr>
                <w:rFonts w:ascii="Arial" w:hAnsi="Arial" w:cs="Arial"/>
                <w:b/>
              </w:rPr>
              <w:t>3</w:t>
            </w:r>
          </w:p>
        </w:tc>
        <w:tc>
          <w:tcPr>
            <w:tcW w:w="720" w:type="dxa"/>
            <w:gridSpan w:val="2"/>
            <w:shd w:val="clear" w:color="auto" w:fill="A6A6A6" w:themeFill="background1" w:themeFillShade="A6"/>
            <w:vAlign w:val="center"/>
          </w:tcPr>
          <w:p w14:paraId="1C2EFCC4" w14:textId="77777777" w:rsidR="001F6893" w:rsidRPr="00A44648" w:rsidRDefault="001F6893" w:rsidP="00D748B3">
            <w:pPr>
              <w:spacing w:before="60" w:after="60"/>
              <w:jc w:val="center"/>
              <w:rPr>
                <w:rFonts w:ascii="Arial" w:hAnsi="Arial" w:cs="Arial"/>
                <w:b/>
              </w:rPr>
            </w:pPr>
            <w:r w:rsidRPr="00A44648">
              <w:rPr>
                <w:rFonts w:ascii="Arial" w:hAnsi="Arial" w:cs="Arial"/>
                <w:b/>
              </w:rPr>
              <w:t>Año</w:t>
            </w:r>
            <w:r w:rsidRPr="00A44648" w:rsidDel="00752B1F">
              <w:rPr>
                <w:rFonts w:ascii="Arial" w:hAnsi="Arial" w:cs="Arial"/>
                <w:b/>
              </w:rPr>
              <w:t xml:space="preserve"> </w:t>
            </w:r>
            <w:r w:rsidRPr="00A44648">
              <w:rPr>
                <w:rFonts w:ascii="Arial" w:hAnsi="Arial" w:cs="Arial"/>
                <w:b/>
              </w:rPr>
              <w:t>4</w:t>
            </w:r>
          </w:p>
        </w:tc>
        <w:tc>
          <w:tcPr>
            <w:tcW w:w="720" w:type="dxa"/>
            <w:gridSpan w:val="2"/>
            <w:shd w:val="clear" w:color="auto" w:fill="A6A6A6" w:themeFill="background1" w:themeFillShade="A6"/>
            <w:vAlign w:val="center"/>
          </w:tcPr>
          <w:p w14:paraId="51A3BE73" w14:textId="77777777" w:rsidR="001F6893" w:rsidRPr="00A44648" w:rsidRDefault="001F6893" w:rsidP="00D748B3">
            <w:pPr>
              <w:spacing w:before="60" w:after="60"/>
              <w:jc w:val="center"/>
              <w:rPr>
                <w:rFonts w:ascii="Arial" w:hAnsi="Arial" w:cs="Arial"/>
                <w:b/>
              </w:rPr>
            </w:pPr>
            <w:r w:rsidRPr="00A44648">
              <w:rPr>
                <w:rFonts w:ascii="Arial" w:hAnsi="Arial" w:cs="Arial"/>
                <w:b/>
              </w:rPr>
              <w:t>Año</w:t>
            </w:r>
            <w:r w:rsidRPr="00A44648" w:rsidDel="00752B1F">
              <w:rPr>
                <w:rFonts w:ascii="Arial" w:hAnsi="Arial" w:cs="Arial"/>
                <w:b/>
              </w:rPr>
              <w:t xml:space="preserve"> </w:t>
            </w:r>
            <w:r w:rsidRPr="00A44648">
              <w:rPr>
                <w:rFonts w:ascii="Arial" w:hAnsi="Arial" w:cs="Arial"/>
                <w:b/>
              </w:rPr>
              <w:t>5</w:t>
            </w:r>
          </w:p>
        </w:tc>
        <w:tc>
          <w:tcPr>
            <w:tcW w:w="720" w:type="dxa"/>
            <w:gridSpan w:val="2"/>
            <w:shd w:val="clear" w:color="auto" w:fill="A6A6A6" w:themeFill="background1" w:themeFillShade="A6"/>
            <w:vAlign w:val="center"/>
          </w:tcPr>
          <w:p w14:paraId="11CE140D" w14:textId="77777777" w:rsidR="001F6893" w:rsidRPr="00A44648" w:rsidRDefault="001F6893" w:rsidP="00D748B3">
            <w:pPr>
              <w:spacing w:before="60" w:after="60"/>
              <w:jc w:val="center"/>
              <w:rPr>
                <w:rFonts w:ascii="Arial" w:hAnsi="Arial" w:cs="Arial"/>
                <w:b/>
              </w:rPr>
            </w:pPr>
            <w:r w:rsidRPr="00A44648">
              <w:rPr>
                <w:rFonts w:ascii="Arial" w:hAnsi="Arial" w:cs="Arial"/>
                <w:b/>
              </w:rPr>
              <w:t>Año</w:t>
            </w:r>
            <w:r w:rsidRPr="00A44648" w:rsidDel="00752B1F">
              <w:rPr>
                <w:rFonts w:ascii="Arial" w:hAnsi="Arial" w:cs="Arial"/>
                <w:b/>
              </w:rPr>
              <w:t xml:space="preserve"> </w:t>
            </w:r>
            <w:r w:rsidRPr="00A44648">
              <w:rPr>
                <w:rFonts w:ascii="Arial" w:hAnsi="Arial" w:cs="Arial"/>
                <w:b/>
              </w:rPr>
              <w:t>6</w:t>
            </w:r>
          </w:p>
        </w:tc>
        <w:tc>
          <w:tcPr>
            <w:tcW w:w="697" w:type="dxa"/>
            <w:gridSpan w:val="2"/>
            <w:shd w:val="clear" w:color="auto" w:fill="A6A6A6" w:themeFill="background1" w:themeFillShade="A6"/>
          </w:tcPr>
          <w:p w14:paraId="29E3FB22" w14:textId="77777777" w:rsidR="001F6893" w:rsidRPr="00A44648" w:rsidDel="00752B1F" w:rsidRDefault="001F6893" w:rsidP="00D748B3">
            <w:pPr>
              <w:spacing w:before="60" w:after="60"/>
              <w:jc w:val="center"/>
              <w:rPr>
                <w:rFonts w:ascii="Arial" w:hAnsi="Arial" w:cs="Arial"/>
                <w:b/>
              </w:rPr>
            </w:pPr>
            <w:r w:rsidRPr="00A44648">
              <w:rPr>
                <w:rFonts w:ascii="Arial" w:hAnsi="Arial" w:cs="Arial"/>
                <w:b/>
              </w:rPr>
              <w:t>Año</w:t>
            </w:r>
            <w:r w:rsidRPr="00A44648" w:rsidDel="00752B1F">
              <w:rPr>
                <w:rFonts w:ascii="Arial" w:hAnsi="Arial" w:cs="Arial"/>
                <w:b/>
              </w:rPr>
              <w:t xml:space="preserve"> </w:t>
            </w:r>
            <w:r w:rsidRPr="00A44648">
              <w:rPr>
                <w:rFonts w:ascii="Arial" w:hAnsi="Arial" w:cs="Arial"/>
                <w:b/>
              </w:rPr>
              <w:t>7</w:t>
            </w:r>
          </w:p>
        </w:tc>
        <w:tc>
          <w:tcPr>
            <w:tcW w:w="720" w:type="dxa"/>
            <w:gridSpan w:val="2"/>
            <w:shd w:val="clear" w:color="auto" w:fill="A6A6A6" w:themeFill="background1" w:themeFillShade="A6"/>
          </w:tcPr>
          <w:p w14:paraId="2A261AF9" w14:textId="77777777" w:rsidR="001F6893" w:rsidRPr="00A44648" w:rsidDel="00752B1F" w:rsidRDefault="001F6893" w:rsidP="00D748B3">
            <w:pPr>
              <w:spacing w:before="60" w:after="60"/>
              <w:jc w:val="center"/>
              <w:rPr>
                <w:rFonts w:ascii="Arial" w:hAnsi="Arial" w:cs="Arial"/>
                <w:b/>
              </w:rPr>
            </w:pPr>
            <w:r w:rsidRPr="00A44648">
              <w:rPr>
                <w:rFonts w:ascii="Arial" w:hAnsi="Arial" w:cs="Arial"/>
                <w:b/>
              </w:rPr>
              <w:t>Año</w:t>
            </w:r>
            <w:r w:rsidRPr="00A44648" w:rsidDel="00752B1F">
              <w:rPr>
                <w:rFonts w:ascii="Arial" w:hAnsi="Arial" w:cs="Arial"/>
                <w:b/>
              </w:rPr>
              <w:t xml:space="preserve"> </w:t>
            </w:r>
            <w:r w:rsidRPr="00A44648">
              <w:rPr>
                <w:rFonts w:ascii="Arial" w:hAnsi="Arial" w:cs="Arial"/>
                <w:b/>
              </w:rPr>
              <w:t>8</w:t>
            </w:r>
          </w:p>
        </w:tc>
        <w:tc>
          <w:tcPr>
            <w:tcW w:w="810" w:type="dxa"/>
            <w:gridSpan w:val="2"/>
            <w:shd w:val="clear" w:color="auto" w:fill="A6A6A6" w:themeFill="background1" w:themeFillShade="A6"/>
          </w:tcPr>
          <w:p w14:paraId="12E59136" w14:textId="77777777" w:rsidR="001F6893" w:rsidRPr="00A44648" w:rsidDel="00752B1F" w:rsidRDefault="001F6893" w:rsidP="00D748B3">
            <w:pPr>
              <w:spacing w:before="60" w:after="60"/>
              <w:jc w:val="center"/>
              <w:rPr>
                <w:rFonts w:ascii="Arial" w:hAnsi="Arial" w:cs="Arial"/>
                <w:b/>
              </w:rPr>
            </w:pPr>
            <w:r w:rsidRPr="00A44648">
              <w:rPr>
                <w:rFonts w:ascii="Arial" w:hAnsi="Arial" w:cs="Arial"/>
                <w:b/>
              </w:rPr>
              <w:t>Año</w:t>
            </w:r>
            <w:r w:rsidRPr="00A44648" w:rsidDel="00752B1F">
              <w:rPr>
                <w:rFonts w:ascii="Arial" w:hAnsi="Arial" w:cs="Arial"/>
                <w:b/>
              </w:rPr>
              <w:t xml:space="preserve"> </w:t>
            </w:r>
            <w:r w:rsidRPr="00A44648">
              <w:rPr>
                <w:rFonts w:ascii="Arial" w:hAnsi="Arial" w:cs="Arial"/>
                <w:b/>
              </w:rPr>
              <w:t>9</w:t>
            </w:r>
          </w:p>
        </w:tc>
        <w:tc>
          <w:tcPr>
            <w:tcW w:w="810" w:type="dxa"/>
            <w:vMerge w:val="restart"/>
            <w:shd w:val="clear" w:color="auto" w:fill="A6A6A6" w:themeFill="background1" w:themeFillShade="A6"/>
            <w:vAlign w:val="center"/>
          </w:tcPr>
          <w:p w14:paraId="0C00746D" w14:textId="77777777" w:rsidR="001F6893" w:rsidRPr="00A44648" w:rsidRDefault="001F6893" w:rsidP="00D748B3">
            <w:pPr>
              <w:spacing w:before="60" w:after="60"/>
              <w:jc w:val="center"/>
              <w:rPr>
                <w:rFonts w:ascii="Arial" w:hAnsi="Arial" w:cs="Arial"/>
                <w:b/>
              </w:rPr>
            </w:pPr>
            <w:r w:rsidRPr="00A44648">
              <w:rPr>
                <w:rFonts w:ascii="Arial" w:hAnsi="Arial" w:cs="Arial"/>
                <w:b/>
              </w:rPr>
              <w:t>Responsable</w:t>
            </w:r>
          </w:p>
        </w:tc>
        <w:tc>
          <w:tcPr>
            <w:tcW w:w="1034" w:type="dxa"/>
            <w:vMerge w:val="restart"/>
            <w:shd w:val="clear" w:color="auto" w:fill="A6A6A6" w:themeFill="background1" w:themeFillShade="A6"/>
          </w:tcPr>
          <w:p w14:paraId="087F28BB" w14:textId="77777777" w:rsidR="001F6893" w:rsidRPr="00A44648" w:rsidRDefault="001F6893" w:rsidP="00D748B3">
            <w:pPr>
              <w:spacing w:before="60" w:after="60"/>
              <w:jc w:val="center"/>
              <w:rPr>
                <w:rFonts w:ascii="Arial" w:hAnsi="Arial" w:cs="Arial"/>
                <w:b/>
              </w:rPr>
            </w:pPr>
            <w:r w:rsidRPr="00A44648">
              <w:rPr>
                <w:rFonts w:ascii="Arial" w:hAnsi="Arial" w:cs="Arial"/>
                <w:b/>
              </w:rPr>
              <w:t>Presupuesto</w:t>
            </w:r>
          </w:p>
          <w:p w14:paraId="114A4B14" w14:textId="77777777" w:rsidR="001F6893" w:rsidRPr="00A44648" w:rsidRDefault="001F6893" w:rsidP="00D748B3">
            <w:pPr>
              <w:spacing w:before="60" w:after="60"/>
              <w:jc w:val="center"/>
              <w:rPr>
                <w:rFonts w:ascii="Arial" w:hAnsi="Arial" w:cs="Arial"/>
                <w:b/>
              </w:rPr>
            </w:pPr>
            <w:r w:rsidRPr="00A44648">
              <w:rPr>
                <w:rFonts w:ascii="Arial" w:hAnsi="Arial" w:cs="Arial"/>
                <w:b/>
              </w:rPr>
              <w:t>(USD)</w:t>
            </w:r>
          </w:p>
        </w:tc>
      </w:tr>
      <w:tr w:rsidR="001F6893" w:rsidRPr="00A44648" w14:paraId="2DB5C6BF" w14:textId="77777777" w:rsidTr="00D748B3">
        <w:trPr>
          <w:trHeight w:val="260"/>
          <w:jc w:val="center"/>
        </w:trPr>
        <w:tc>
          <w:tcPr>
            <w:tcW w:w="4068" w:type="dxa"/>
            <w:vMerge/>
            <w:shd w:val="clear" w:color="auto" w:fill="D9D9D9" w:themeFill="background1" w:themeFillShade="D9"/>
            <w:vAlign w:val="center"/>
          </w:tcPr>
          <w:p w14:paraId="273EC936" w14:textId="77777777" w:rsidR="001F6893" w:rsidRPr="00A44648" w:rsidRDefault="001F6893" w:rsidP="00D748B3">
            <w:pPr>
              <w:spacing w:before="60" w:after="60"/>
              <w:jc w:val="center"/>
              <w:rPr>
                <w:rFonts w:ascii="Arial" w:hAnsi="Arial" w:cs="Arial"/>
                <w:b/>
              </w:rPr>
            </w:pPr>
          </w:p>
        </w:tc>
        <w:tc>
          <w:tcPr>
            <w:tcW w:w="360" w:type="dxa"/>
            <w:shd w:val="clear" w:color="auto" w:fill="A6A6A6" w:themeFill="background1" w:themeFillShade="A6"/>
            <w:vAlign w:val="center"/>
          </w:tcPr>
          <w:p w14:paraId="2EB9F4CF" w14:textId="77777777" w:rsidR="001F6893" w:rsidRPr="00A44648" w:rsidRDefault="001F6893" w:rsidP="00D748B3">
            <w:pPr>
              <w:spacing w:after="0"/>
              <w:jc w:val="center"/>
              <w:rPr>
                <w:rFonts w:ascii="Arial" w:hAnsi="Arial" w:cs="Arial"/>
                <w:b/>
              </w:rPr>
            </w:pPr>
            <w:r w:rsidRPr="00A44648">
              <w:rPr>
                <w:rFonts w:ascii="Arial" w:hAnsi="Arial" w:cs="Arial"/>
                <w:b/>
              </w:rPr>
              <w:t>I</w:t>
            </w:r>
          </w:p>
        </w:tc>
        <w:tc>
          <w:tcPr>
            <w:tcW w:w="360" w:type="dxa"/>
            <w:shd w:val="clear" w:color="auto" w:fill="A6A6A6" w:themeFill="background1" w:themeFillShade="A6"/>
            <w:vAlign w:val="center"/>
          </w:tcPr>
          <w:p w14:paraId="2EF17B06" w14:textId="77777777" w:rsidR="001F6893" w:rsidRPr="00A44648" w:rsidRDefault="001F6893" w:rsidP="00D748B3">
            <w:pPr>
              <w:spacing w:after="0"/>
              <w:jc w:val="center"/>
              <w:rPr>
                <w:rFonts w:ascii="Arial" w:hAnsi="Arial" w:cs="Arial"/>
                <w:b/>
              </w:rPr>
            </w:pPr>
            <w:r w:rsidRPr="00A44648">
              <w:rPr>
                <w:rFonts w:ascii="Arial" w:hAnsi="Arial" w:cs="Arial"/>
                <w:b/>
              </w:rPr>
              <w:t>II</w:t>
            </w:r>
          </w:p>
        </w:tc>
        <w:tc>
          <w:tcPr>
            <w:tcW w:w="360" w:type="dxa"/>
            <w:shd w:val="clear" w:color="auto" w:fill="A6A6A6" w:themeFill="background1" w:themeFillShade="A6"/>
            <w:vAlign w:val="center"/>
          </w:tcPr>
          <w:p w14:paraId="01095626" w14:textId="77777777" w:rsidR="001F6893" w:rsidRPr="00A44648" w:rsidRDefault="001F6893" w:rsidP="00D748B3">
            <w:pPr>
              <w:spacing w:after="0"/>
              <w:jc w:val="center"/>
              <w:rPr>
                <w:rFonts w:ascii="Arial" w:hAnsi="Arial" w:cs="Arial"/>
                <w:b/>
              </w:rPr>
            </w:pPr>
            <w:r w:rsidRPr="00A44648">
              <w:rPr>
                <w:rFonts w:ascii="Arial" w:hAnsi="Arial" w:cs="Arial"/>
                <w:b/>
              </w:rPr>
              <w:t>I</w:t>
            </w:r>
          </w:p>
        </w:tc>
        <w:tc>
          <w:tcPr>
            <w:tcW w:w="360" w:type="dxa"/>
            <w:shd w:val="clear" w:color="auto" w:fill="A6A6A6" w:themeFill="background1" w:themeFillShade="A6"/>
            <w:vAlign w:val="center"/>
          </w:tcPr>
          <w:p w14:paraId="5E3A8F6C" w14:textId="77777777" w:rsidR="001F6893" w:rsidRPr="00A44648" w:rsidRDefault="001F6893" w:rsidP="00D748B3">
            <w:pPr>
              <w:spacing w:after="0"/>
              <w:jc w:val="center"/>
              <w:rPr>
                <w:rFonts w:ascii="Arial" w:hAnsi="Arial" w:cs="Arial"/>
                <w:b/>
              </w:rPr>
            </w:pPr>
            <w:r w:rsidRPr="00A44648">
              <w:rPr>
                <w:rFonts w:ascii="Arial" w:hAnsi="Arial" w:cs="Arial"/>
                <w:b/>
              </w:rPr>
              <w:t>II</w:t>
            </w:r>
          </w:p>
        </w:tc>
        <w:tc>
          <w:tcPr>
            <w:tcW w:w="360" w:type="dxa"/>
            <w:shd w:val="clear" w:color="auto" w:fill="A6A6A6" w:themeFill="background1" w:themeFillShade="A6"/>
            <w:vAlign w:val="center"/>
          </w:tcPr>
          <w:p w14:paraId="079D151B" w14:textId="77777777" w:rsidR="001F6893" w:rsidRPr="00A44648" w:rsidRDefault="001F6893" w:rsidP="00D748B3">
            <w:pPr>
              <w:spacing w:after="0"/>
              <w:jc w:val="center"/>
              <w:rPr>
                <w:rFonts w:ascii="Arial" w:hAnsi="Arial" w:cs="Arial"/>
                <w:b/>
              </w:rPr>
            </w:pPr>
            <w:r w:rsidRPr="00A44648">
              <w:rPr>
                <w:rFonts w:ascii="Arial" w:hAnsi="Arial" w:cs="Arial"/>
                <w:b/>
              </w:rPr>
              <w:t>I</w:t>
            </w:r>
          </w:p>
        </w:tc>
        <w:tc>
          <w:tcPr>
            <w:tcW w:w="360" w:type="dxa"/>
            <w:shd w:val="clear" w:color="auto" w:fill="A6A6A6" w:themeFill="background1" w:themeFillShade="A6"/>
            <w:vAlign w:val="center"/>
          </w:tcPr>
          <w:p w14:paraId="303F56D8" w14:textId="77777777" w:rsidR="001F6893" w:rsidRPr="00A44648" w:rsidRDefault="001F6893" w:rsidP="00D748B3">
            <w:pPr>
              <w:spacing w:after="0"/>
              <w:jc w:val="center"/>
              <w:rPr>
                <w:rFonts w:ascii="Arial" w:hAnsi="Arial" w:cs="Arial"/>
                <w:b/>
              </w:rPr>
            </w:pPr>
            <w:r w:rsidRPr="00A44648">
              <w:rPr>
                <w:rFonts w:ascii="Arial" w:hAnsi="Arial" w:cs="Arial"/>
                <w:b/>
              </w:rPr>
              <w:t>II</w:t>
            </w:r>
          </w:p>
        </w:tc>
        <w:tc>
          <w:tcPr>
            <w:tcW w:w="360" w:type="dxa"/>
            <w:shd w:val="clear" w:color="auto" w:fill="A6A6A6" w:themeFill="background1" w:themeFillShade="A6"/>
            <w:vAlign w:val="center"/>
          </w:tcPr>
          <w:p w14:paraId="08F3727D" w14:textId="77777777" w:rsidR="001F6893" w:rsidRPr="00A44648" w:rsidRDefault="001F6893" w:rsidP="00D748B3">
            <w:pPr>
              <w:spacing w:after="0"/>
              <w:jc w:val="center"/>
              <w:rPr>
                <w:rFonts w:ascii="Arial" w:hAnsi="Arial" w:cs="Arial"/>
                <w:b/>
              </w:rPr>
            </w:pPr>
            <w:r w:rsidRPr="00A44648">
              <w:rPr>
                <w:rFonts w:ascii="Arial" w:hAnsi="Arial" w:cs="Arial"/>
                <w:b/>
              </w:rPr>
              <w:t>I</w:t>
            </w:r>
          </w:p>
        </w:tc>
        <w:tc>
          <w:tcPr>
            <w:tcW w:w="360" w:type="dxa"/>
            <w:shd w:val="clear" w:color="auto" w:fill="A6A6A6" w:themeFill="background1" w:themeFillShade="A6"/>
            <w:vAlign w:val="center"/>
          </w:tcPr>
          <w:p w14:paraId="7E7BECF7" w14:textId="77777777" w:rsidR="001F6893" w:rsidRPr="00A44648" w:rsidRDefault="001F6893" w:rsidP="00D748B3">
            <w:pPr>
              <w:spacing w:after="0"/>
              <w:jc w:val="center"/>
              <w:rPr>
                <w:rFonts w:ascii="Arial" w:hAnsi="Arial" w:cs="Arial"/>
                <w:b/>
              </w:rPr>
            </w:pPr>
            <w:r w:rsidRPr="00A44648">
              <w:rPr>
                <w:rFonts w:ascii="Arial" w:hAnsi="Arial" w:cs="Arial"/>
                <w:b/>
              </w:rPr>
              <w:t>II</w:t>
            </w:r>
          </w:p>
        </w:tc>
        <w:tc>
          <w:tcPr>
            <w:tcW w:w="360" w:type="dxa"/>
            <w:shd w:val="clear" w:color="auto" w:fill="A6A6A6" w:themeFill="background1" w:themeFillShade="A6"/>
            <w:vAlign w:val="center"/>
          </w:tcPr>
          <w:p w14:paraId="733EAB79" w14:textId="77777777" w:rsidR="001F6893" w:rsidRPr="00A44648" w:rsidRDefault="001F6893" w:rsidP="00D748B3">
            <w:pPr>
              <w:spacing w:after="0"/>
              <w:jc w:val="center"/>
              <w:rPr>
                <w:rFonts w:ascii="Arial" w:hAnsi="Arial" w:cs="Arial"/>
                <w:b/>
              </w:rPr>
            </w:pPr>
            <w:r w:rsidRPr="00A44648">
              <w:rPr>
                <w:rFonts w:ascii="Arial" w:hAnsi="Arial" w:cs="Arial"/>
                <w:b/>
              </w:rPr>
              <w:t>I</w:t>
            </w:r>
          </w:p>
        </w:tc>
        <w:tc>
          <w:tcPr>
            <w:tcW w:w="360" w:type="dxa"/>
            <w:shd w:val="clear" w:color="auto" w:fill="A6A6A6" w:themeFill="background1" w:themeFillShade="A6"/>
            <w:vAlign w:val="center"/>
          </w:tcPr>
          <w:p w14:paraId="464548F4" w14:textId="77777777" w:rsidR="001F6893" w:rsidRPr="00A44648" w:rsidRDefault="001F6893" w:rsidP="00D748B3">
            <w:pPr>
              <w:spacing w:after="0"/>
              <w:jc w:val="center"/>
              <w:rPr>
                <w:rFonts w:ascii="Arial" w:hAnsi="Arial" w:cs="Arial"/>
                <w:b/>
              </w:rPr>
            </w:pPr>
            <w:r w:rsidRPr="00A44648">
              <w:rPr>
                <w:rFonts w:ascii="Arial" w:hAnsi="Arial" w:cs="Arial"/>
                <w:b/>
              </w:rPr>
              <w:t>II</w:t>
            </w:r>
          </w:p>
        </w:tc>
        <w:tc>
          <w:tcPr>
            <w:tcW w:w="360" w:type="dxa"/>
            <w:shd w:val="clear" w:color="auto" w:fill="A6A6A6" w:themeFill="background1" w:themeFillShade="A6"/>
            <w:vAlign w:val="center"/>
          </w:tcPr>
          <w:p w14:paraId="6B0C8630" w14:textId="77777777" w:rsidR="001F6893" w:rsidRPr="00A44648" w:rsidRDefault="001F6893" w:rsidP="00D748B3">
            <w:pPr>
              <w:spacing w:after="0"/>
              <w:jc w:val="center"/>
              <w:rPr>
                <w:rFonts w:ascii="Arial" w:hAnsi="Arial" w:cs="Arial"/>
                <w:b/>
              </w:rPr>
            </w:pPr>
            <w:r w:rsidRPr="00A44648">
              <w:rPr>
                <w:rFonts w:ascii="Arial" w:hAnsi="Arial" w:cs="Arial"/>
                <w:b/>
              </w:rPr>
              <w:t>I</w:t>
            </w:r>
          </w:p>
        </w:tc>
        <w:tc>
          <w:tcPr>
            <w:tcW w:w="360" w:type="dxa"/>
            <w:shd w:val="clear" w:color="auto" w:fill="A6A6A6" w:themeFill="background1" w:themeFillShade="A6"/>
            <w:vAlign w:val="center"/>
          </w:tcPr>
          <w:p w14:paraId="5A84DF90" w14:textId="77777777" w:rsidR="001F6893" w:rsidRPr="00A44648" w:rsidRDefault="001F6893" w:rsidP="00D748B3">
            <w:pPr>
              <w:spacing w:after="0"/>
              <w:jc w:val="center"/>
              <w:rPr>
                <w:rFonts w:ascii="Arial" w:hAnsi="Arial" w:cs="Arial"/>
                <w:b/>
              </w:rPr>
            </w:pPr>
            <w:r w:rsidRPr="00A44648">
              <w:rPr>
                <w:rFonts w:ascii="Arial" w:hAnsi="Arial" w:cs="Arial"/>
                <w:b/>
              </w:rPr>
              <w:t>II</w:t>
            </w:r>
          </w:p>
        </w:tc>
        <w:tc>
          <w:tcPr>
            <w:tcW w:w="337" w:type="dxa"/>
            <w:shd w:val="clear" w:color="auto" w:fill="D9D9D9" w:themeFill="background1" w:themeFillShade="D9"/>
          </w:tcPr>
          <w:p w14:paraId="36818888" w14:textId="77777777" w:rsidR="001F6893" w:rsidRPr="00A44648" w:rsidRDefault="001F6893" w:rsidP="00D748B3">
            <w:pPr>
              <w:spacing w:before="60" w:after="60"/>
              <w:jc w:val="center"/>
              <w:rPr>
                <w:rFonts w:ascii="Arial" w:hAnsi="Arial" w:cs="Arial"/>
                <w:b/>
              </w:rPr>
            </w:pPr>
            <w:r w:rsidRPr="00A44648">
              <w:rPr>
                <w:rFonts w:ascii="Arial" w:hAnsi="Arial" w:cs="Arial"/>
                <w:b/>
              </w:rPr>
              <w:t>I</w:t>
            </w:r>
          </w:p>
        </w:tc>
        <w:tc>
          <w:tcPr>
            <w:tcW w:w="360" w:type="dxa"/>
            <w:shd w:val="clear" w:color="auto" w:fill="D9D9D9" w:themeFill="background1" w:themeFillShade="D9"/>
          </w:tcPr>
          <w:p w14:paraId="225F8E7E" w14:textId="77777777" w:rsidR="001F6893" w:rsidRPr="00A44648" w:rsidRDefault="001F6893" w:rsidP="00D748B3">
            <w:pPr>
              <w:spacing w:before="60" w:after="60"/>
              <w:jc w:val="center"/>
              <w:rPr>
                <w:rFonts w:ascii="Arial" w:hAnsi="Arial" w:cs="Arial"/>
                <w:b/>
              </w:rPr>
            </w:pPr>
            <w:r w:rsidRPr="00A44648">
              <w:rPr>
                <w:rFonts w:ascii="Arial" w:hAnsi="Arial" w:cs="Arial"/>
                <w:b/>
              </w:rPr>
              <w:t>II</w:t>
            </w:r>
          </w:p>
        </w:tc>
        <w:tc>
          <w:tcPr>
            <w:tcW w:w="360" w:type="dxa"/>
            <w:shd w:val="clear" w:color="auto" w:fill="D9D9D9" w:themeFill="background1" w:themeFillShade="D9"/>
          </w:tcPr>
          <w:p w14:paraId="46EA3D62" w14:textId="77777777" w:rsidR="001F6893" w:rsidRPr="00A44648" w:rsidRDefault="001F6893" w:rsidP="00D748B3">
            <w:pPr>
              <w:spacing w:before="60" w:after="60"/>
              <w:jc w:val="center"/>
              <w:rPr>
                <w:rFonts w:ascii="Arial" w:hAnsi="Arial" w:cs="Arial"/>
                <w:b/>
              </w:rPr>
            </w:pPr>
            <w:r w:rsidRPr="00A44648">
              <w:rPr>
                <w:rFonts w:ascii="Arial" w:hAnsi="Arial" w:cs="Arial"/>
                <w:b/>
              </w:rPr>
              <w:t>I</w:t>
            </w:r>
          </w:p>
        </w:tc>
        <w:tc>
          <w:tcPr>
            <w:tcW w:w="360" w:type="dxa"/>
            <w:shd w:val="clear" w:color="auto" w:fill="D9D9D9" w:themeFill="background1" w:themeFillShade="D9"/>
          </w:tcPr>
          <w:p w14:paraId="2341A8A1" w14:textId="77777777" w:rsidR="001F6893" w:rsidRPr="00A44648" w:rsidRDefault="001F6893" w:rsidP="00D748B3">
            <w:pPr>
              <w:spacing w:before="60" w:after="60"/>
              <w:jc w:val="center"/>
              <w:rPr>
                <w:rFonts w:ascii="Arial" w:hAnsi="Arial" w:cs="Arial"/>
                <w:b/>
              </w:rPr>
            </w:pPr>
            <w:r w:rsidRPr="00A44648">
              <w:rPr>
                <w:rFonts w:ascii="Arial" w:hAnsi="Arial" w:cs="Arial"/>
                <w:b/>
              </w:rPr>
              <w:t>II</w:t>
            </w:r>
          </w:p>
        </w:tc>
        <w:tc>
          <w:tcPr>
            <w:tcW w:w="360" w:type="dxa"/>
            <w:shd w:val="clear" w:color="auto" w:fill="D9D9D9" w:themeFill="background1" w:themeFillShade="D9"/>
          </w:tcPr>
          <w:p w14:paraId="28EEDBAB" w14:textId="77777777" w:rsidR="001F6893" w:rsidRPr="00A44648" w:rsidRDefault="001F6893" w:rsidP="00D748B3">
            <w:pPr>
              <w:spacing w:before="60" w:after="60"/>
              <w:jc w:val="center"/>
              <w:rPr>
                <w:rFonts w:ascii="Arial" w:hAnsi="Arial" w:cs="Arial"/>
                <w:b/>
              </w:rPr>
            </w:pPr>
            <w:r w:rsidRPr="00A44648">
              <w:rPr>
                <w:rFonts w:ascii="Arial" w:hAnsi="Arial" w:cs="Arial"/>
                <w:b/>
              </w:rPr>
              <w:t>I</w:t>
            </w:r>
          </w:p>
        </w:tc>
        <w:tc>
          <w:tcPr>
            <w:tcW w:w="450" w:type="dxa"/>
            <w:shd w:val="clear" w:color="auto" w:fill="D9D9D9" w:themeFill="background1" w:themeFillShade="D9"/>
          </w:tcPr>
          <w:p w14:paraId="6E6DE4EB" w14:textId="77777777" w:rsidR="001F6893" w:rsidRPr="00A44648" w:rsidRDefault="001F6893" w:rsidP="00D748B3">
            <w:pPr>
              <w:spacing w:before="60" w:after="60"/>
              <w:jc w:val="center"/>
              <w:rPr>
                <w:rFonts w:ascii="Arial" w:hAnsi="Arial" w:cs="Arial"/>
                <w:b/>
              </w:rPr>
            </w:pPr>
            <w:r w:rsidRPr="00A44648">
              <w:rPr>
                <w:rFonts w:ascii="Arial" w:hAnsi="Arial" w:cs="Arial"/>
                <w:b/>
              </w:rPr>
              <w:t>II</w:t>
            </w:r>
          </w:p>
        </w:tc>
        <w:tc>
          <w:tcPr>
            <w:tcW w:w="810" w:type="dxa"/>
            <w:vMerge/>
            <w:shd w:val="clear" w:color="auto" w:fill="D9D9D9" w:themeFill="background1" w:themeFillShade="D9"/>
            <w:vAlign w:val="center"/>
          </w:tcPr>
          <w:p w14:paraId="08F3F540" w14:textId="77777777" w:rsidR="001F6893" w:rsidRPr="00A44648" w:rsidRDefault="001F6893" w:rsidP="00D748B3">
            <w:pPr>
              <w:spacing w:before="60" w:after="60"/>
              <w:jc w:val="center"/>
              <w:rPr>
                <w:rFonts w:ascii="Arial" w:hAnsi="Arial" w:cs="Arial"/>
                <w:b/>
              </w:rPr>
            </w:pPr>
          </w:p>
        </w:tc>
        <w:tc>
          <w:tcPr>
            <w:tcW w:w="1034" w:type="dxa"/>
            <w:vMerge/>
            <w:shd w:val="clear" w:color="auto" w:fill="D9D9D9" w:themeFill="background1" w:themeFillShade="D9"/>
          </w:tcPr>
          <w:p w14:paraId="12143EB1" w14:textId="77777777" w:rsidR="001F6893" w:rsidRPr="00A44648" w:rsidRDefault="001F6893" w:rsidP="00D748B3">
            <w:pPr>
              <w:spacing w:before="60" w:after="60"/>
              <w:jc w:val="center"/>
              <w:rPr>
                <w:rFonts w:ascii="Arial" w:hAnsi="Arial" w:cs="Arial"/>
                <w:b/>
              </w:rPr>
            </w:pPr>
          </w:p>
        </w:tc>
      </w:tr>
      <w:tr w:rsidR="001F6893" w:rsidRPr="00A44648" w14:paraId="2CB79B25" w14:textId="77777777" w:rsidTr="00D748B3">
        <w:trPr>
          <w:trHeight w:val="170"/>
          <w:jc w:val="center"/>
        </w:trPr>
        <w:tc>
          <w:tcPr>
            <w:tcW w:w="4068" w:type="dxa"/>
            <w:tcBorders>
              <w:bottom w:val="single" w:sz="4" w:space="0" w:color="auto"/>
            </w:tcBorders>
            <w:vAlign w:val="center"/>
          </w:tcPr>
          <w:p w14:paraId="31965AF0" w14:textId="77777777" w:rsidR="001F6893" w:rsidRPr="00A44648" w:rsidDel="00356E79" w:rsidRDefault="001F6893" w:rsidP="00D748B3">
            <w:pPr>
              <w:spacing w:after="0"/>
              <w:rPr>
                <w:rFonts w:ascii="Arial" w:hAnsi="Arial" w:cs="Arial"/>
                <w:b/>
                <w:lang w:val="es-ES_tradnl"/>
              </w:rPr>
            </w:pPr>
            <w:r w:rsidRPr="00A44648">
              <w:rPr>
                <w:rFonts w:ascii="Arial" w:hAnsi="Arial" w:cs="Arial"/>
                <w:b/>
                <w:lang w:val="es-ES_tradnl"/>
              </w:rPr>
              <w:t>Recolección de información para indicadores de resultado</w:t>
            </w:r>
          </w:p>
        </w:tc>
        <w:tc>
          <w:tcPr>
            <w:tcW w:w="360" w:type="dxa"/>
            <w:tcBorders>
              <w:bottom w:val="single" w:sz="4" w:space="0" w:color="auto"/>
              <w:right w:val="nil"/>
            </w:tcBorders>
            <w:shd w:val="clear" w:color="auto" w:fill="auto"/>
            <w:vAlign w:val="center"/>
          </w:tcPr>
          <w:p w14:paraId="702B82F3" w14:textId="77777777" w:rsidR="001F6893" w:rsidRPr="00A44648" w:rsidRDefault="001F6893" w:rsidP="00D748B3">
            <w:pPr>
              <w:spacing w:after="0"/>
              <w:jc w:val="center"/>
              <w:rPr>
                <w:rFonts w:ascii="Arial" w:hAnsi="Arial" w:cs="Arial"/>
                <w:lang w:val="es-ES_tradnl"/>
              </w:rPr>
            </w:pPr>
          </w:p>
        </w:tc>
        <w:tc>
          <w:tcPr>
            <w:tcW w:w="360" w:type="dxa"/>
            <w:tcBorders>
              <w:left w:val="nil"/>
              <w:bottom w:val="single" w:sz="4" w:space="0" w:color="auto"/>
              <w:right w:val="nil"/>
            </w:tcBorders>
            <w:shd w:val="clear" w:color="auto" w:fill="auto"/>
            <w:vAlign w:val="center"/>
          </w:tcPr>
          <w:p w14:paraId="504B9558" w14:textId="77777777" w:rsidR="001F6893" w:rsidRPr="00A44648" w:rsidRDefault="001F6893" w:rsidP="00D748B3">
            <w:pPr>
              <w:spacing w:after="0"/>
              <w:jc w:val="center"/>
              <w:rPr>
                <w:rFonts w:ascii="Arial" w:hAnsi="Arial" w:cs="Arial"/>
                <w:lang w:val="es-ES_tradnl"/>
              </w:rPr>
            </w:pPr>
          </w:p>
        </w:tc>
        <w:tc>
          <w:tcPr>
            <w:tcW w:w="360" w:type="dxa"/>
            <w:tcBorders>
              <w:left w:val="nil"/>
              <w:bottom w:val="single" w:sz="4" w:space="0" w:color="auto"/>
              <w:right w:val="nil"/>
            </w:tcBorders>
            <w:shd w:val="clear" w:color="auto" w:fill="auto"/>
            <w:vAlign w:val="center"/>
          </w:tcPr>
          <w:p w14:paraId="7EAD2E8D" w14:textId="77777777" w:rsidR="001F6893" w:rsidRPr="00A44648" w:rsidRDefault="001F6893" w:rsidP="00D748B3">
            <w:pPr>
              <w:spacing w:after="0"/>
              <w:jc w:val="center"/>
              <w:rPr>
                <w:rFonts w:ascii="Arial" w:hAnsi="Arial" w:cs="Arial"/>
                <w:lang w:val="es-ES_tradnl"/>
              </w:rPr>
            </w:pPr>
          </w:p>
        </w:tc>
        <w:tc>
          <w:tcPr>
            <w:tcW w:w="360" w:type="dxa"/>
            <w:tcBorders>
              <w:left w:val="nil"/>
              <w:bottom w:val="single" w:sz="4" w:space="0" w:color="auto"/>
              <w:right w:val="nil"/>
            </w:tcBorders>
            <w:shd w:val="clear" w:color="auto" w:fill="auto"/>
            <w:vAlign w:val="center"/>
          </w:tcPr>
          <w:p w14:paraId="54DFD267" w14:textId="77777777" w:rsidR="001F6893" w:rsidRPr="00A44648" w:rsidRDefault="001F6893" w:rsidP="00D748B3">
            <w:pPr>
              <w:spacing w:after="0"/>
              <w:jc w:val="center"/>
              <w:rPr>
                <w:rFonts w:ascii="Arial" w:hAnsi="Arial" w:cs="Arial"/>
                <w:lang w:val="es-ES_tradnl"/>
              </w:rPr>
            </w:pPr>
          </w:p>
        </w:tc>
        <w:tc>
          <w:tcPr>
            <w:tcW w:w="5917" w:type="dxa"/>
            <w:gridSpan w:val="15"/>
            <w:tcBorders>
              <w:left w:val="nil"/>
              <w:bottom w:val="single" w:sz="4" w:space="0" w:color="auto"/>
            </w:tcBorders>
            <w:shd w:val="clear" w:color="auto" w:fill="auto"/>
            <w:vAlign w:val="center"/>
          </w:tcPr>
          <w:p w14:paraId="2997AAF0" w14:textId="77777777" w:rsidR="001F6893" w:rsidRPr="00A44648" w:rsidRDefault="001F6893" w:rsidP="00D748B3">
            <w:pPr>
              <w:spacing w:after="0"/>
              <w:jc w:val="center"/>
              <w:rPr>
                <w:rFonts w:ascii="Arial" w:hAnsi="Arial" w:cs="Arial"/>
                <w:lang w:val="es-ES_tradnl"/>
              </w:rPr>
            </w:pPr>
          </w:p>
        </w:tc>
        <w:tc>
          <w:tcPr>
            <w:tcW w:w="1034" w:type="dxa"/>
            <w:tcBorders>
              <w:bottom w:val="single" w:sz="4" w:space="0" w:color="auto"/>
            </w:tcBorders>
            <w:vAlign w:val="center"/>
          </w:tcPr>
          <w:p w14:paraId="3A8573C8" w14:textId="77777777" w:rsidR="001F6893" w:rsidRPr="00A44648" w:rsidRDefault="001F6893" w:rsidP="00D748B3">
            <w:pPr>
              <w:spacing w:after="0"/>
              <w:jc w:val="center"/>
              <w:rPr>
                <w:rFonts w:ascii="Arial" w:hAnsi="Arial" w:cs="Arial"/>
                <w:b/>
              </w:rPr>
            </w:pPr>
            <w:r w:rsidRPr="00A44648">
              <w:rPr>
                <w:rFonts w:ascii="Arial" w:hAnsi="Arial" w:cs="Arial"/>
                <w:b/>
              </w:rPr>
              <w:t>40,000</w:t>
            </w:r>
          </w:p>
        </w:tc>
      </w:tr>
      <w:tr w:rsidR="001F6893" w:rsidRPr="00A44648" w14:paraId="2CE502A9" w14:textId="77777777" w:rsidTr="00D748B3">
        <w:trPr>
          <w:jc w:val="center"/>
        </w:trPr>
        <w:tc>
          <w:tcPr>
            <w:tcW w:w="4068" w:type="dxa"/>
            <w:tcBorders>
              <w:bottom w:val="nil"/>
            </w:tcBorders>
            <w:vAlign w:val="center"/>
          </w:tcPr>
          <w:p w14:paraId="1AC7ABF7" w14:textId="77777777" w:rsidR="001F6893" w:rsidRPr="00A44648" w:rsidDel="00356E79" w:rsidRDefault="001F6893" w:rsidP="001F6893">
            <w:pPr>
              <w:pStyle w:val="ListParagraph"/>
              <w:numPr>
                <w:ilvl w:val="0"/>
                <w:numId w:val="8"/>
              </w:numPr>
              <w:spacing w:after="0"/>
              <w:ind w:left="180" w:hanging="180"/>
              <w:rPr>
                <w:rFonts w:ascii="Arial" w:hAnsi="Arial" w:cs="Arial"/>
                <w:b/>
              </w:rPr>
            </w:pPr>
          </w:p>
        </w:tc>
        <w:tc>
          <w:tcPr>
            <w:tcW w:w="360" w:type="dxa"/>
            <w:tcBorders>
              <w:bottom w:val="nil"/>
            </w:tcBorders>
            <w:shd w:val="clear" w:color="auto" w:fill="auto"/>
            <w:vAlign w:val="center"/>
          </w:tcPr>
          <w:p w14:paraId="791CEE2E" w14:textId="77777777" w:rsidR="001F6893" w:rsidRPr="00A44648" w:rsidRDefault="001F6893" w:rsidP="00D748B3">
            <w:pPr>
              <w:spacing w:after="0"/>
              <w:jc w:val="center"/>
              <w:rPr>
                <w:rFonts w:ascii="Arial" w:hAnsi="Arial" w:cs="Arial"/>
              </w:rPr>
            </w:pPr>
          </w:p>
        </w:tc>
        <w:tc>
          <w:tcPr>
            <w:tcW w:w="360" w:type="dxa"/>
            <w:tcBorders>
              <w:bottom w:val="nil"/>
            </w:tcBorders>
            <w:shd w:val="clear" w:color="auto" w:fill="auto"/>
            <w:vAlign w:val="center"/>
          </w:tcPr>
          <w:p w14:paraId="65EA578A" w14:textId="77777777" w:rsidR="001F6893" w:rsidRPr="00A44648" w:rsidRDefault="001F6893" w:rsidP="00D748B3">
            <w:pPr>
              <w:spacing w:after="0"/>
              <w:jc w:val="center"/>
              <w:rPr>
                <w:rFonts w:ascii="Arial" w:hAnsi="Arial" w:cs="Arial"/>
              </w:rPr>
            </w:pPr>
          </w:p>
        </w:tc>
        <w:tc>
          <w:tcPr>
            <w:tcW w:w="360" w:type="dxa"/>
            <w:tcBorders>
              <w:bottom w:val="nil"/>
            </w:tcBorders>
            <w:shd w:val="clear" w:color="auto" w:fill="auto"/>
            <w:vAlign w:val="center"/>
          </w:tcPr>
          <w:p w14:paraId="6A2D3AA6" w14:textId="77777777" w:rsidR="001F6893" w:rsidRPr="00A44648" w:rsidRDefault="001F6893" w:rsidP="00D748B3">
            <w:pPr>
              <w:spacing w:after="0"/>
              <w:jc w:val="center"/>
              <w:rPr>
                <w:rFonts w:ascii="Arial" w:hAnsi="Arial" w:cs="Arial"/>
              </w:rPr>
            </w:pPr>
          </w:p>
        </w:tc>
        <w:tc>
          <w:tcPr>
            <w:tcW w:w="360" w:type="dxa"/>
            <w:tcBorders>
              <w:bottom w:val="nil"/>
            </w:tcBorders>
            <w:shd w:val="clear" w:color="auto" w:fill="auto"/>
            <w:vAlign w:val="center"/>
          </w:tcPr>
          <w:p w14:paraId="642FD343" w14:textId="77777777" w:rsidR="001F6893" w:rsidRPr="00A44648" w:rsidRDefault="001F6893" w:rsidP="00D748B3">
            <w:pPr>
              <w:spacing w:after="0"/>
              <w:jc w:val="center"/>
              <w:rPr>
                <w:rFonts w:ascii="Arial" w:hAnsi="Arial" w:cs="Arial"/>
              </w:rPr>
            </w:pPr>
          </w:p>
        </w:tc>
        <w:tc>
          <w:tcPr>
            <w:tcW w:w="360" w:type="dxa"/>
            <w:tcBorders>
              <w:bottom w:val="nil"/>
            </w:tcBorders>
            <w:shd w:val="clear" w:color="auto" w:fill="auto"/>
            <w:vAlign w:val="center"/>
          </w:tcPr>
          <w:p w14:paraId="19C88CD4" w14:textId="77777777" w:rsidR="001F6893" w:rsidRPr="00A44648" w:rsidRDefault="001F6893" w:rsidP="00D748B3">
            <w:pPr>
              <w:spacing w:after="0"/>
              <w:jc w:val="center"/>
              <w:rPr>
                <w:rFonts w:ascii="Arial" w:hAnsi="Arial" w:cs="Arial"/>
              </w:rPr>
            </w:pPr>
          </w:p>
        </w:tc>
        <w:tc>
          <w:tcPr>
            <w:tcW w:w="360" w:type="dxa"/>
            <w:tcBorders>
              <w:bottom w:val="nil"/>
            </w:tcBorders>
            <w:shd w:val="clear" w:color="auto" w:fill="auto"/>
            <w:vAlign w:val="center"/>
          </w:tcPr>
          <w:p w14:paraId="3DCF728A" w14:textId="77777777" w:rsidR="001F6893" w:rsidRPr="00A44648" w:rsidRDefault="001F6893" w:rsidP="00D748B3">
            <w:pPr>
              <w:spacing w:after="0"/>
              <w:jc w:val="center"/>
              <w:rPr>
                <w:rFonts w:ascii="Arial" w:hAnsi="Arial" w:cs="Arial"/>
              </w:rPr>
            </w:pPr>
          </w:p>
        </w:tc>
        <w:tc>
          <w:tcPr>
            <w:tcW w:w="360" w:type="dxa"/>
            <w:tcBorders>
              <w:bottom w:val="nil"/>
            </w:tcBorders>
            <w:shd w:val="clear" w:color="auto" w:fill="auto"/>
            <w:vAlign w:val="center"/>
          </w:tcPr>
          <w:p w14:paraId="5A69E396" w14:textId="77777777" w:rsidR="001F6893" w:rsidRPr="00A44648" w:rsidRDefault="001F6893" w:rsidP="00D748B3">
            <w:pPr>
              <w:spacing w:after="0"/>
              <w:jc w:val="center"/>
              <w:rPr>
                <w:rFonts w:ascii="Arial" w:hAnsi="Arial" w:cs="Arial"/>
              </w:rPr>
            </w:pPr>
          </w:p>
        </w:tc>
        <w:tc>
          <w:tcPr>
            <w:tcW w:w="360" w:type="dxa"/>
            <w:tcBorders>
              <w:bottom w:val="nil"/>
            </w:tcBorders>
            <w:shd w:val="clear" w:color="auto" w:fill="auto"/>
            <w:vAlign w:val="center"/>
          </w:tcPr>
          <w:p w14:paraId="2B4CC7F6" w14:textId="77777777" w:rsidR="001F6893" w:rsidRPr="00A44648" w:rsidRDefault="001F6893" w:rsidP="00D748B3">
            <w:pPr>
              <w:spacing w:after="0"/>
              <w:jc w:val="center"/>
              <w:rPr>
                <w:rFonts w:ascii="Arial" w:hAnsi="Arial" w:cs="Arial"/>
              </w:rPr>
            </w:pPr>
          </w:p>
        </w:tc>
        <w:tc>
          <w:tcPr>
            <w:tcW w:w="360" w:type="dxa"/>
            <w:tcBorders>
              <w:bottom w:val="nil"/>
            </w:tcBorders>
            <w:shd w:val="clear" w:color="auto" w:fill="auto"/>
            <w:vAlign w:val="center"/>
          </w:tcPr>
          <w:p w14:paraId="3B9FF35F" w14:textId="77777777" w:rsidR="001F6893" w:rsidRPr="00A44648" w:rsidRDefault="001F6893" w:rsidP="00D748B3">
            <w:pPr>
              <w:spacing w:after="0"/>
              <w:jc w:val="center"/>
              <w:rPr>
                <w:rFonts w:ascii="Arial" w:hAnsi="Arial" w:cs="Arial"/>
              </w:rPr>
            </w:pPr>
          </w:p>
        </w:tc>
        <w:tc>
          <w:tcPr>
            <w:tcW w:w="360" w:type="dxa"/>
            <w:tcBorders>
              <w:bottom w:val="nil"/>
            </w:tcBorders>
            <w:shd w:val="clear" w:color="auto" w:fill="auto"/>
            <w:vAlign w:val="center"/>
          </w:tcPr>
          <w:p w14:paraId="02485689" w14:textId="77777777" w:rsidR="001F6893" w:rsidRPr="00A44648" w:rsidRDefault="001F6893" w:rsidP="00D748B3">
            <w:pPr>
              <w:spacing w:after="0"/>
              <w:jc w:val="center"/>
              <w:rPr>
                <w:rFonts w:ascii="Arial" w:hAnsi="Arial" w:cs="Arial"/>
              </w:rPr>
            </w:pPr>
          </w:p>
        </w:tc>
        <w:tc>
          <w:tcPr>
            <w:tcW w:w="360" w:type="dxa"/>
            <w:tcBorders>
              <w:bottom w:val="nil"/>
            </w:tcBorders>
            <w:shd w:val="clear" w:color="auto" w:fill="auto"/>
            <w:vAlign w:val="center"/>
          </w:tcPr>
          <w:p w14:paraId="2C2C8323" w14:textId="77777777" w:rsidR="001F6893" w:rsidRPr="00A44648" w:rsidRDefault="001F6893" w:rsidP="00D748B3">
            <w:pPr>
              <w:spacing w:after="0"/>
              <w:jc w:val="center"/>
              <w:rPr>
                <w:rFonts w:ascii="Arial" w:hAnsi="Arial" w:cs="Arial"/>
              </w:rPr>
            </w:pPr>
          </w:p>
        </w:tc>
        <w:tc>
          <w:tcPr>
            <w:tcW w:w="360" w:type="dxa"/>
            <w:tcBorders>
              <w:bottom w:val="nil"/>
            </w:tcBorders>
            <w:shd w:val="clear" w:color="auto" w:fill="auto"/>
            <w:vAlign w:val="center"/>
          </w:tcPr>
          <w:p w14:paraId="42AFA67D" w14:textId="77777777" w:rsidR="001F6893" w:rsidRPr="00A44648" w:rsidRDefault="001F6893" w:rsidP="00D748B3">
            <w:pPr>
              <w:spacing w:after="0"/>
              <w:jc w:val="center"/>
              <w:rPr>
                <w:rFonts w:ascii="Arial" w:hAnsi="Arial" w:cs="Arial"/>
              </w:rPr>
            </w:pPr>
          </w:p>
        </w:tc>
        <w:tc>
          <w:tcPr>
            <w:tcW w:w="337" w:type="dxa"/>
            <w:tcBorders>
              <w:bottom w:val="nil"/>
            </w:tcBorders>
          </w:tcPr>
          <w:p w14:paraId="6792F2E8" w14:textId="77777777" w:rsidR="001F6893" w:rsidRPr="00A44648" w:rsidRDefault="001F6893" w:rsidP="00D748B3">
            <w:pPr>
              <w:spacing w:after="0"/>
              <w:jc w:val="center"/>
              <w:rPr>
                <w:rFonts w:ascii="Arial" w:hAnsi="Arial" w:cs="Arial"/>
              </w:rPr>
            </w:pPr>
          </w:p>
        </w:tc>
        <w:tc>
          <w:tcPr>
            <w:tcW w:w="360" w:type="dxa"/>
            <w:tcBorders>
              <w:bottom w:val="nil"/>
            </w:tcBorders>
          </w:tcPr>
          <w:p w14:paraId="0B7DA4E5" w14:textId="77777777" w:rsidR="001F6893" w:rsidRPr="00A44648" w:rsidRDefault="001F6893" w:rsidP="00D748B3">
            <w:pPr>
              <w:spacing w:after="0"/>
              <w:jc w:val="center"/>
              <w:rPr>
                <w:rFonts w:ascii="Arial" w:hAnsi="Arial" w:cs="Arial"/>
              </w:rPr>
            </w:pPr>
          </w:p>
        </w:tc>
        <w:tc>
          <w:tcPr>
            <w:tcW w:w="360" w:type="dxa"/>
            <w:tcBorders>
              <w:bottom w:val="nil"/>
            </w:tcBorders>
          </w:tcPr>
          <w:p w14:paraId="6E2BAD45" w14:textId="77777777" w:rsidR="001F6893" w:rsidRPr="00A44648" w:rsidRDefault="001F6893" w:rsidP="00D748B3">
            <w:pPr>
              <w:spacing w:after="0"/>
              <w:jc w:val="center"/>
              <w:rPr>
                <w:rFonts w:ascii="Arial" w:hAnsi="Arial" w:cs="Arial"/>
              </w:rPr>
            </w:pPr>
          </w:p>
        </w:tc>
        <w:tc>
          <w:tcPr>
            <w:tcW w:w="360" w:type="dxa"/>
            <w:tcBorders>
              <w:bottom w:val="nil"/>
            </w:tcBorders>
          </w:tcPr>
          <w:p w14:paraId="1CA3263B" w14:textId="77777777" w:rsidR="001F6893" w:rsidRPr="00A44648" w:rsidRDefault="001F6893" w:rsidP="00D748B3">
            <w:pPr>
              <w:spacing w:after="0"/>
              <w:jc w:val="center"/>
              <w:rPr>
                <w:rFonts w:ascii="Arial" w:hAnsi="Arial" w:cs="Arial"/>
              </w:rPr>
            </w:pPr>
          </w:p>
        </w:tc>
        <w:tc>
          <w:tcPr>
            <w:tcW w:w="360" w:type="dxa"/>
            <w:tcBorders>
              <w:bottom w:val="nil"/>
            </w:tcBorders>
          </w:tcPr>
          <w:p w14:paraId="39FE6A25" w14:textId="77777777" w:rsidR="001F6893" w:rsidRPr="00A44648" w:rsidRDefault="001F6893" w:rsidP="00D748B3">
            <w:pPr>
              <w:spacing w:after="0"/>
              <w:jc w:val="center"/>
              <w:rPr>
                <w:rFonts w:ascii="Arial" w:hAnsi="Arial" w:cs="Arial"/>
              </w:rPr>
            </w:pPr>
          </w:p>
        </w:tc>
        <w:tc>
          <w:tcPr>
            <w:tcW w:w="450" w:type="dxa"/>
            <w:tcBorders>
              <w:bottom w:val="nil"/>
            </w:tcBorders>
          </w:tcPr>
          <w:p w14:paraId="703AD692" w14:textId="77777777" w:rsidR="001F6893" w:rsidRPr="00A44648" w:rsidRDefault="001F6893" w:rsidP="00D748B3">
            <w:pPr>
              <w:spacing w:after="0"/>
              <w:jc w:val="center"/>
              <w:rPr>
                <w:rFonts w:ascii="Arial" w:hAnsi="Arial" w:cs="Arial"/>
              </w:rPr>
            </w:pPr>
          </w:p>
        </w:tc>
        <w:tc>
          <w:tcPr>
            <w:tcW w:w="810" w:type="dxa"/>
            <w:tcBorders>
              <w:bottom w:val="nil"/>
            </w:tcBorders>
            <w:vAlign w:val="center"/>
          </w:tcPr>
          <w:p w14:paraId="1C4683AC" w14:textId="77777777" w:rsidR="001F6893" w:rsidRPr="00A44648" w:rsidRDefault="001F6893" w:rsidP="00D748B3">
            <w:pPr>
              <w:spacing w:after="0"/>
              <w:jc w:val="center"/>
              <w:rPr>
                <w:rFonts w:ascii="Arial" w:hAnsi="Arial" w:cs="Arial"/>
              </w:rPr>
            </w:pPr>
          </w:p>
        </w:tc>
        <w:tc>
          <w:tcPr>
            <w:tcW w:w="1034" w:type="dxa"/>
            <w:tcBorders>
              <w:bottom w:val="nil"/>
            </w:tcBorders>
            <w:vAlign w:val="center"/>
          </w:tcPr>
          <w:p w14:paraId="58360EDC" w14:textId="77777777" w:rsidR="001F6893" w:rsidRPr="00A44648" w:rsidRDefault="001F6893" w:rsidP="00D748B3">
            <w:pPr>
              <w:spacing w:after="0"/>
              <w:jc w:val="center"/>
              <w:rPr>
                <w:rFonts w:ascii="Arial" w:hAnsi="Arial" w:cs="Arial"/>
              </w:rPr>
            </w:pPr>
          </w:p>
        </w:tc>
      </w:tr>
      <w:tr w:rsidR="001F6893" w:rsidRPr="00A44648" w14:paraId="1E1B5E41" w14:textId="77777777" w:rsidTr="00D748B3">
        <w:trPr>
          <w:jc w:val="center"/>
        </w:trPr>
        <w:tc>
          <w:tcPr>
            <w:tcW w:w="4068" w:type="dxa"/>
            <w:tcBorders>
              <w:top w:val="nil"/>
              <w:bottom w:val="nil"/>
            </w:tcBorders>
            <w:vAlign w:val="center"/>
          </w:tcPr>
          <w:p w14:paraId="68A3E715" w14:textId="77777777" w:rsidR="001F6893" w:rsidRPr="00A44648" w:rsidDel="00356E79" w:rsidRDefault="001F6893" w:rsidP="001F6893">
            <w:pPr>
              <w:pStyle w:val="ListParagraph"/>
              <w:numPr>
                <w:ilvl w:val="0"/>
                <w:numId w:val="8"/>
              </w:numPr>
              <w:spacing w:after="0"/>
              <w:ind w:left="180" w:hanging="180"/>
              <w:rPr>
                <w:rFonts w:ascii="Arial" w:hAnsi="Arial" w:cs="Arial"/>
                <w:b/>
                <w:lang w:val="es-ES_tradnl"/>
              </w:rPr>
            </w:pPr>
            <w:r w:rsidRPr="00A44648">
              <w:rPr>
                <w:rFonts w:ascii="Arial" w:hAnsi="Arial" w:cs="Arial"/>
                <w:b/>
                <w:lang w:val="es-ES_tradnl"/>
              </w:rPr>
              <w:t>Proyectos geotérmicos totales financiados por el programa en alguna etapa que alcanzaron su cierre financiero para la construcción de una planta.</w:t>
            </w:r>
          </w:p>
        </w:tc>
        <w:tc>
          <w:tcPr>
            <w:tcW w:w="360" w:type="dxa"/>
            <w:tcBorders>
              <w:top w:val="nil"/>
              <w:bottom w:val="nil"/>
            </w:tcBorders>
            <w:shd w:val="clear" w:color="auto" w:fill="auto"/>
            <w:vAlign w:val="center"/>
          </w:tcPr>
          <w:p w14:paraId="72E4FAB9"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55739333"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4DE2FF71"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186E6BD1"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5F2AFBA1"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0F042D01"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2E3F26DA"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47C24878"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0363042E"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08A4115C"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193AB630"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7C6C1904" w14:textId="77777777" w:rsidR="001F6893" w:rsidRPr="00A44648" w:rsidRDefault="001F6893" w:rsidP="00D748B3">
            <w:pPr>
              <w:spacing w:after="0"/>
              <w:jc w:val="center"/>
              <w:rPr>
                <w:rFonts w:ascii="Arial" w:hAnsi="Arial" w:cs="Arial"/>
                <w:lang w:val="es-ES_tradnl"/>
              </w:rPr>
            </w:pPr>
          </w:p>
        </w:tc>
        <w:tc>
          <w:tcPr>
            <w:tcW w:w="337" w:type="dxa"/>
            <w:tcBorders>
              <w:top w:val="nil"/>
              <w:bottom w:val="nil"/>
            </w:tcBorders>
            <w:vAlign w:val="center"/>
          </w:tcPr>
          <w:p w14:paraId="5A089687"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vAlign w:val="center"/>
          </w:tcPr>
          <w:p w14:paraId="16839E6C"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vAlign w:val="center"/>
          </w:tcPr>
          <w:p w14:paraId="526165DB" w14:textId="77777777" w:rsidR="001F6893" w:rsidRPr="00A44648" w:rsidRDefault="001F6893" w:rsidP="00D748B3">
            <w:pPr>
              <w:spacing w:after="0"/>
              <w:jc w:val="center"/>
              <w:rPr>
                <w:rFonts w:ascii="Arial" w:hAnsi="Arial" w:cs="Arial"/>
              </w:rPr>
            </w:pPr>
            <w:r w:rsidRPr="00A44648">
              <w:rPr>
                <w:rFonts w:ascii="Arial" w:hAnsi="Arial" w:cs="Arial"/>
              </w:rPr>
              <w:t>X</w:t>
            </w:r>
          </w:p>
        </w:tc>
        <w:tc>
          <w:tcPr>
            <w:tcW w:w="360" w:type="dxa"/>
            <w:tcBorders>
              <w:top w:val="nil"/>
              <w:bottom w:val="nil"/>
            </w:tcBorders>
            <w:vAlign w:val="center"/>
          </w:tcPr>
          <w:p w14:paraId="7D8D6D7A" w14:textId="77777777" w:rsidR="001F6893" w:rsidRPr="00A44648" w:rsidRDefault="001F6893" w:rsidP="00D748B3">
            <w:pPr>
              <w:spacing w:after="0"/>
              <w:jc w:val="center"/>
              <w:rPr>
                <w:rFonts w:ascii="Arial" w:hAnsi="Arial" w:cs="Arial"/>
              </w:rPr>
            </w:pPr>
            <w:r w:rsidRPr="00A44648">
              <w:rPr>
                <w:rFonts w:ascii="Arial" w:hAnsi="Arial" w:cs="Arial"/>
              </w:rPr>
              <w:t>X</w:t>
            </w:r>
          </w:p>
        </w:tc>
        <w:tc>
          <w:tcPr>
            <w:tcW w:w="360" w:type="dxa"/>
            <w:tcBorders>
              <w:top w:val="nil"/>
              <w:bottom w:val="nil"/>
            </w:tcBorders>
            <w:vAlign w:val="center"/>
          </w:tcPr>
          <w:p w14:paraId="35ADE93E" w14:textId="77777777" w:rsidR="001F6893" w:rsidRPr="00A44648" w:rsidRDefault="001F6893" w:rsidP="00D748B3">
            <w:pPr>
              <w:spacing w:after="0"/>
              <w:jc w:val="center"/>
              <w:rPr>
                <w:rFonts w:ascii="Arial" w:hAnsi="Arial" w:cs="Arial"/>
              </w:rPr>
            </w:pPr>
            <w:r w:rsidRPr="00A44648">
              <w:rPr>
                <w:rFonts w:ascii="Arial" w:hAnsi="Arial" w:cs="Arial"/>
              </w:rPr>
              <w:t>X</w:t>
            </w:r>
          </w:p>
        </w:tc>
        <w:tc>
          <w:tcPr>
            <w:tcW w:w="450" w:type="dxa"/>
            <w:tcBorders>
              <w:top w:val="nil"/>
              <w:bottom w:val="nil"/>
            </w:tcBorders>
            <w:vAlign w:val="center"/>
          </w:tcPr>
          <w:p w14:paraId="6BD9B62E" w14:textId="77777777" w:rsidR="001F6893" w:rsidRPr="00A44648" w:rsidRDefault="001F6893" w:rsidP="00D748B3">
            <w:pPr>
              <w:spacing w:after="0"/>
              <w:jc w:val="center"/>
              <w:rPr>
                <w:rFonts w:ascii="Arial" w:hAnsi="Arial" w:cs="Arial"/>
              </w:rPr>
            </w:pPr>
            <w:r w:rsidRPr="00A44648">
              <w:rPr>
                <w:rFonts w:ascii="Arial" w:hAnsi="Arial" w:cs="Arial"/>
              </w:rPr>
              <w:t>X</w:t>
            </w:r>
          </w:p>
        </w:tc>
        <w:tc>
          <w:tcPr>
            <w:tcW w:w="810" w:type="dxa"/>
            <w:tcBorders>
              <w:top w:val="nil"/>
              <w:bottom w:val="nil"/>
            </w:tcBorders>
            <w:vAlign w:val="center"/>
          </w:tcPr>
          <w:p w14:paraId="1A2EE791" w14:textId="77777777" w:rsidR="001F6893" w:rsidRPr="00A44648" w:rsidRDefault="001F6893" w:rsidP="00D748B3">
            <w:pPr>
              <w:spacing w:after="0"/>
              <w:jc w:val="center"/>
              <w:rPr>
                <w:rFonts w:ascii="Arial" w:hAnsi="Arial" w:cs="Arial"/>
              </w:rPr>
            </w:pPr>
            <w:r w:rsidRPr="00A44648">
              <w:rPr>
                <w:rFonts w:ascii="Arial" w:hAnsi="Arial" w:cs="Arial"/>
              </w:rPr>
              <w:t>NAFIN</w:t>
            </w:r>
          </w:p>
        </w:tc>
        <w:tc>
          <w:tcPr>
            <w:tcW w:w="1034" w:type="dxa"/>
            <w:tcBorders>
              <w:top w:val="nil"/>
              <w:bottom w:val="nil"/>
            </w:tcBorders>
            <w:vAlign w:val="center"/>
          </w:tcPr>
          <w:p w14:paraId="14766C09" w14:textId="77777777" w:rsidR="001F6893" w:rsidRPr="00A44648" w:rsidRDefault="001F6893" w:rsidP="00D748B3">
            <w:pPr>
              <w:spacing w:after="0"/>
              <w:jc w:val="center"/>
              <w:rPr>
                <w:rFonts w:ascii="Arial" w:hAnsi="Arial" w:cs="Arial"/>
              </w:rPr>
            </w:pPr>
            <w:r w:rsidRPr="00A44648">
              <w:rPr>
                <w:rFonts w:ascii="Arial" w:hAnsi="Arial" w:cs="Arial"/>
              </w:rPr>
              <w:t>10,000</w:t>
            </w:r>
          </w:p>
        </w:tc>
      </w:tr>
      <w:tr w:rsidR="001F6893" w:rsidRPr="00A44648" w14:paraId="1EB5D334" w14:textId="77777777" w:rsidTr="00D748B3">
        <w:trPr>
          <w:jc w:val="center"/>
        </w:trPr>
        <w:tc>
          <w:tcPr>
            <w:tcW w:w="4068" w:type="dxa"/>
            <w:tcBorders>
              <w:top w:val="nil"/>
              <w:bottom w:val="nil"/>
            </w:tcBorders>
            <w:vAlign w:val="center"/>
          </w:tcPr>
          <w:p w14:paraId="1AFB93F2" w14:textId="77777777" w:rsidR="001F6893" w:rsidRPr="00A44648" w:rsidDel="00356E79" w:rsidRDefault="001F6893" w:rsidP="001F6893">
            <w:pPr>
              <w:pStyle w:val="ListParagraph"/>
              <w:numPr>
                <w:ilvl w:val="0"/>
                <w:numId w:val="8"/>
              </w:numPr>
              <w:spacing w:after="0"/>
              <w:ind w:left="180" w:hanging="180"/>
              <w:rPr>
                <w:rFonts w:ascii="Arial" w:hAnsi="Arial" w:cs="Arial"/>
                <w:b/>
                <w:lang w:val="es-ES_tradnl"/>
              </w:rPr>
            </w:pPr>
            <w:bookmarkStart w:id="117" w:name="_Hlk510625296"/>
            <w:r w:rsidRPr="00A44648">
              <w:rPr>
                <w:rFonts w:ascii="Arial" w:hAnsi="Arial" w:cs="Arial"/>
                <w:b/>
                <w:lang w:val="es-ES_tradnl"/>
              </w:rPr>
              <w:t>Proyectos geotérmicos totales financiados por el programa en alguna etapa que están en operación (producen electricidad)</w:t>
            </w:r>
            <w:bookmarkEnd w:id="117"/>
          </w:p>
        </w:tc>
        <w:tc>
          <w:tcPr>
            <w:tcW w:w="360" w:type="dxa"/>
            <w:tcBorders>
              <w:top w:val="nil"/>
              <w:bottom w:val="nil"/>
            </w:tcBorders>
            <w:shd w:val="clear" w:color="auto" w:fill="auto"/>
            <w:vAlign w:val="center"/>
          </w:tcPr>
          <w:p w14:paraId="40676476"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5985C986"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7C90FE88"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618193FA"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4316BF4D"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5AB5D2E0"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0C67B66B"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01CDCE96"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4F7B0E4F"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3EE0C0EC"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4F55EE82"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2EABC3B9" w14:textId="77777777" w:rsidR="001F6893" w:rsidRPr="00A44648" w:rsidRDefault="001F6893" w:rsidP="00D748B3">
            <w:pPr>
              <w:spacing w:after="0"/>
              <w:jc w:val="center"/>
              <w:rPr>
                <w:rFonts w:ascii="Arial" w:hAnsi="Arial" w:cs="Arial"/>
                <w:lang w:val="es-ES_tradnl"/>
              </w:rPr>
            </w:pPr>
          </w:p>
        </w:tc>
        <w:tc>
          <w:tcPr>
            <w:tcW w:w="337" w:type="dxa"/>
            <w:tcBorders>
              <w:top w:val="nil"/>
              <w:bottom w:val="nil"/>
            </w:tcBorders>
          </w:tcPr>
          <w:p w14:paraId="0E806986"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tcPr>
          <w:p w14:paraId="6F5D00EF"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tcPr>
          <w:p w14:paraId="5DF9C70F"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tcPr>
          <w:p w14:paraId="52567C90"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vAlign w:val="center"/>
          </w:tcPr>
          <w:p w14:paraId="5AF592A7" w14:textId="77777777" w:rsidR="001F6893" w:rsidRPr="00A44648" w:rsidRDefault="001F6893" w:rsidP="00D748B3">
            <w:pPr>
              <w:spacing w:after="0"/>
              <w:jc w:val="center"/>
              <w:rPr>
                <w:rFonts w:ascii="Arial" w:hAnsi="Arial" w:cs="Arial"/>
              </w:rPr>
            </w:pPr>
            <w:r w:rsidRPr="00A44648">
              <w:rPr>
                <w:rFonts w:ascii="Arial" w:hAnsi="Arial" w:cs="Arial"/>
              </w:rPr>
              <w:t>X</w:t>
            </w:r>
          </w:p>
        </w:tc>
        <w:tc>
          <w:tcPr>
            <w:tcW w:w="450" w:type="dxa"/>
            <w:tcBorders>
              <w:top w:val="nil"/>
              <w:bottom w:val="nil"/>
            </w:tcBorders>
            <w:vAlign w:val="center"/>
          </w:tcPr>
          <w:p w14:paraId="1A07F18E" w14:textId="77777777" w:rsidR="001F6893" w:rsidRPr="00A44648" w:rsidRDefault="001F6893" w:rsidP="00D748B3">
            <w:pPr>
              <w:spacing w:after="0"/>
              <w:jc w:val="center"/>
              <w:rPr>
                <w:rFonts w:ascii="Arial" w:hAnsi="Arial" w:cs="Arial"/>
              </w:rPr>
            </w:pPr>
            <w:r w:rsidRPr="00A44648">
              <w:rPr>
                <w:rFonts w:ascii="Arial" w:hAnsi="Arial" w:cs="Arial"/>
              </w:rPr>
              <w:t>X</w:t>
            </w:r>
          </w:p>
        </w:tc>
        <w:tc>
          <w:tcPr>
            <w:tcW w:w="810" w:type="dxa"/>
            <w:tcBorders>
              <w:top w:val="nil"/>
              <w:bottom w:val="nil"/>
            </w:tcBorders>
            <w:vAlign w:val="center"/>
          </w:tcPr>
          <w:p w14:paraId="3DCA82BE" w14:textId="77777777" w:rsidR="001F6893" w:rsidRPr="00A44648" w:rsidRDefault="001F6893" w:rsidP="00D748B3">
            <w:pPr>
              <w:spacing w:after="0"/>
              <w:jc w:val="center"/>
              <w:rPr>
                <w:rFonts w:ascii="Arial" w:hAnsi="Arial" w:cs="Arial"/>
              </w:rPr>
            </w:pPr>
            <w:r w:rsidRPr="00A44648">
              <w:rPr>
                <w:rFonts w:ascii="Arial" w:hAnsi="Arial" w:cs="Arial"/>
              </w:rPr>
              <w:t>NAFIN</w:t>
            </w:r>
          </w:p>
        </w:tc>
        <w:tc>
          <w:tcPr>
            <w:tcW w:w="1034" w:type="dxa"/>
            <w:tcBorders>
              <w:top w:val="nil"/>
              <w:bottom w:val="nil"/>
            </w:tcBorders>
            <w:vAlign w:val="center"/>
          </w:tcPr>
          <w:p w14:paraId="1D0688AB" w14:textId="77777777" w:rsidR="001F6893" w:rsidRPr="00A44648" w:rsidRDefault="001F6893" w:rsidP="00D748B3">
            <w:pPr>
              <w:spacing w:after="0"/>
              <w:jc w:val="center"/>
              <w:rPr>
                <w:rFonts w:ascii="Arial" w:hAnsi="Arial" w:cs="Arial"/>
              </w:rPr>
            </w:pPr>
            <w:r w:rsidRPr="00A44648">
              <w:rPr>
                <w:rFonts w:ascii="Arial" w:hAnsi="Arial" w:cs="Arial"/>
              </w:rPr>
              <w:t>5,000</w:t>
            </w:r>
          </w:p>
        </w:tc>
      </w:tr>
      <w:tr w:rsidR="001F6893" w:rsidRPr="00A44648" w14:paraId="129E74C4" w14:textId="77777777" w:rsidTr="00D748B3">
        <w:trPr>
          <w:jc w:val="center"/>
        </w:trPr>
        <w:tc>
          <w:tcPr>
            <w:tcW w:w="4068" w:type="dxa"/>
            <w:tcBorders>
              <w:top w:val="nil"/>
              <w:bottom w:val="nil"/>
            </w:tcBorders>
            <w:vAlign w:val="center"/>
          </w:tcPr>
          <w:p w14:paraId="40742584" w14:textId="77777777" w:rsidR="001F6893" w:rsidRPr="00A44648" w:rsidDel="00356E79" w:rsidRDefault="001F6893" w:rsidP="001F6893">
            <w:pPr>
              <w:pStyle w:val="ListParagraph"/>
              <w:numPr>
                <w:ilvl w:val="0"/>
                <w:numId w:val="8"/>
              </w:numPr>
              <w:spacing w:after="0"/>
              <w:ind w:left="180" w:hanging="180"/>
              <w:rPr>
                <w:rFonts w:ascii="Arial" w:hAnsi="Arial" w:cs="Arial"/>
                <w:b/>
                <w:lang w:val="es-ES_tradnl"/>
              </w:rPr>
            </w:pPr>
            <w:r w:rsidRPr="00A44648">
              <w:rPr>
                <w:rFonts w:ascii="Arial" w:hAnsi="Arial" w:cs="Arial"/>
                <w:b/>
                <w:lang w:val="es-ES_tradnl"/>
              </w:rPr>
              <w:t>Capacidad de generación geotérmica instalada en proyectos financiados en alguna etapa por el programa</w:t>
            </w:r>
          </w:p>
        </w:tc>
        <w:tc>
          <w:tcPr>
            <w:tcW w:w="360" w:type="dxa"/>
            <w:tcBorders>
              <w:top w:val="nil"/>
              <w:bottom w:val="nil"/>
            </w:tcBorders>
            <w:shd w:val="clear" w:color="auto" w:fill="auto"/>
            <w:vAlign w:val="center"/>
          </w:tcPr>
          <w:p w14:paraId="42D01890"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444B1D76"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10B606D8"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3231512E"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29041AD8"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1D868EBD"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4E1E99F6"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07056024"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7445FC86"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3BF58A67"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55CB76A5"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799380FD" w14:textId="77777777" w:rsidR="001F6893" w:rsidRPr="00A44648" w:rsidRDefault="001F6893" w:rsidP="00D748B3">
            <w:pPr>
              <w:spacing w:after="0"/>
              <w:jc w:val="center"/>
              <w:rPr>
                <w:rFonts w:ascii="Arial" w:hAnsi="Arial" w:cs="Arial"/>
                <w:lang w:val="es-ES_tradnl"/>
              </w:rPr>
            </w:pPr>
          </w:p>
        </w:tc>
        <w:tc>
          <w:tcPr>
            <w:tcW w:w="337" w:type="dxa"/>
            <w:tcBorders>
              <w:top w:val="nil"/>
              <w:bottom w:val="nil"/>
            </w:tcBorders>
          </w:tcPr>
          <w:p w14:paraId="2AC85D14"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tcPr>
          <w:p w14:paraId="63A782C8"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tcPr>
          <w:p w14:paraId="2C512D8A"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tcPr>
          <w:p w14:paraId="414CDCC7"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vAlign w:val="center"/>
          </w:tcPr>
          <w:p w14:paraId="3CBE895F" w14:textId="77777777" w:rsidR="001F6893" w:rsidRPr="00A44648" w:rsidRDefault="001F6893" w:rsidP="00D748B3">
            <w:pPr>
              <w:spacing w:after="0"/>
              <w:jc w:val="center"/>
              <w:rPr>
                <w:rFonts w:ascii="Arial" w:hAnsi="Arial" w:cs="Arial"/>
                <w:lang w:val="es-ES_tradnl"/>
              </w:rPr>
            </w:pPr>
            <w:r w:rsidRPr="00A44648">
              <w:rPr>
                <w:rFonts w:ascii="Arial" w:hAnsi="Arial" w:cs="Arial"/>
                <w:lang w:val="es-ES_tradnl"/>
              </w:rPr>
              <w:t>X</w:t>
            </w:r>
          </w:p>
        </w:tc>
        <w:tc>
          <w:tcPr>
            <w:tcW w:w="450" w:type="dxa"/>
            <w:tcBorders>
              <w:top w:val="nil"/>
              <w:bottom w:val="nil"/>
            </w:tcBorders>
            <w:vAlign w:val="center"/>
          </w:tcPr>
          <w:p w14:paraId="74A8DB7F" w14:textId="77777777" w:rsidR="001F6893" w:rsidRPr="00A44648" w:rsidRDefault="001F6893" w:rsidP="00D748B3">
            <w:pPr>
              <w:spacing w:after="0"/>
              <w:jc w:val="center"/>
              <w:rPr>
                <w:rFonts w:ascii="Arial" w:hAnsi="Arial" w:cs="Arial"/>
                <w:lang w:val="es-ES_tradnl"/>
              </w:rPr>
            </w:pPr>
            <w:r w:rsidRPr="00A44648">
              <w:rPr>
                <w:rFonts w:ascii="Arial" w:hAnsi="Arial" w:cs="Arial"/>
                <w:lang w:val="es-ES_tradnl"/>
              </w:rPr>
              <w:t>X</w:t>
            </w:r>
          </w:p>
        </w:tc>
        <w:tc>
          <w:tcPr>
            <w:tcW w:w="810" w:type="dxa"/>
            <w:tcBorders>
              <w:top w:val="nil"/>
              <w:bottom w:val="nil"/>
            </w:tcBorders>
            <w:vAlign w:val="center"/>
          </w:tcPr>
          <w:p w14:paraId="0CF99D1D" w14:textId="77777777" w:rsidR="001F6893" w:rsidRPr="00A44648" w:rsidRDefault="001F6893" w:rsidP="00D748B3">
            <w:pPr>
              <w:spacing w:after="0"/>
              <w:jc w:val="center"/>
              <w:rPr>
                <w:rFonts w:ascii="Arial" w:hAnsi="Arial" w:cs="Arial"/>
              </w:rPr>
            </w:pPr>
            <w:r w:rsidRPr="00A44648">
              <w:rPr>
                <w:rFonts w:ascii="Arial" w:hAnsi="Arial" w:cs="Arial"/>
              </w:rPr>
              <w:t>NAFIN</w:t>
            </w:r>
          </w:p>
        </w:tc>
        <w:tc>
          <w:tcPr>
            <w:tcW w:w="1034" w:type="dxa"/>
            <w:tcBorders>
              <w:top w:val="nil"/>
              <w:bottom w:val="nil"/>
            </w:tcBorders>
            <w:vAlign w:val="center"/>
          </w:tcPr>
          <w:p w14:paraId="5F0D0C51" w14:textId="77777777" w:rsidR="001F6893" w:rsidRPr="00A44648" w:rsidRDefault="001F6893" w:rsidP="00D748B3">
            <w:pPr>
              <w:spacing w:after="0"/>
              <w:jc w:val="center"/>
              <w:rPr>
                <w:rFonts w:ascii="Arial" w:hAnsi="Arial" w:cs="Arial"/>
              </w:rPr>
            </w:pPr>
            <w:r w:rsidRPr="00A44648">
              <w:rPr>
                <w:rFonts w:ascii="Arial" w:hAnsi="Arial" w:cs="Arial"/>
              </w:rPr>
              <w:t>5,000</w:t>
            </w:r>
          </w:p>
        </w:tc>
      </w:tr>
      <w:tr w:rsidR="001F6893" w:rsidRPr="00A44648" w14:paraId="5358DD7F" w14:textId="77777777" w:rsidTr="00D748B3">
        <w:trPr>
          <w:jc w:val="center"/>
        </w:trPr>
        <w:tc>
          <w:tcPr>
            <w:tcW w:w="4068" w:type="dxa"/>
            <w:tcBorders>
              <w:top w:val="nil"/>
              <w:bottom w:val="nil"/>
            </w:tcBorders>
            <w:vAlign w:val="center"/>
          </w:tcPr>
          <w:p w14:paraId="63F247E9" w14:textId="77777777" w:rsidR="001F6893" w:rsidRPr="00A44648" w:rsidDel="00356E79" w:rsidRDefault="001F6893" w:rsidP="001F6893">
            <w:pPr>
              <w:pStyle w:val="ListParagraph"/>
              <w:numPr>
                <w:ilvl w:val="0"/>
                <w:numId w:val="8"/>
              </w:numPr>
              <w:spacing w:after="0"/>
              <w:ind w:left="180" w:hanging="180"/>
              <w:rPr>
                <w:rFonts w:ascii="Arial" w:hAnsi="Arial" w:cs="Arial"/>
                <w:b/>
                <w:lang w:val="es-ES_tradnl"/>
              </w:rPr>
            </w:pPr>
            <w:r w:rsidRPr="00A44648">
              <w:rPr>
                <w:rFonts w:ascii="Arial" w:hAnsi="Arial" w:cs="Arial"/>
                <w:b/>
                <w:lang w:val="es-ES_tradnl"/>
              </w:rPr>
              <w:t>Producción de electricidad a partir de proyectos financiados en alguna etapa por el programa</w:t>
            </w:r>
          </w:p>
        </w:tc>
        <w:tc>
          <w:tcPr>
            <w:tcW w:w="360" w:type="dxa"/>
            <w:tcBorders>
              <w:top w:val="nil"/>
              <w:bottom w:val="nil"/>
            </w:tcBorders>
            <w:shd w:val="clear" w:color="auto" w:fill="auto"/>
            <w:vAlign w:val="center"/>
          </w:tcPr>
          <w:p w14:paraId="60BDA523"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66751457"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349A4BA3"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1E5473A0"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28E47893"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5FF262C3"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70C3B7FE"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1F766D5B"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1D4E0D0F"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5657B97C"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7E73BD5C"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3934612B" w14:textId="77777777" w:rsidR="001F6893" w:rsidRPr="00A44648" w:rsidRDefault="001F6893" w:rsidP="00D748B3">
            <w:pPr>
              <w:spacing w:after="0"/>
              <w:jc w:val="center"/>
              <w:rPr>
                <w:rFonts w:ascii="Arial" w:hAnsi="Arial" w:cs="Arial"/>
                <w:lang w:val="es-ES_tradnl"/>
              </w:rPr>
            </w:pPr>
          </w:p>
        </w:tc>
        <w:tc>
          <w:tcPr>
            <w:tcW w:w="337" w:type="dxa"/>
            <w:tcBorders>
              <w:top w:val="nil"/>
              <w:bottom w:val="nil"/>
            </w:tcBorders>
          </w:tcPr>
          <w:p w14:paraId="29807415"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tcPr>
          <w:p w14:paraId="3FF20BB7"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tcPr>
          <w:p w14:paraId="43B84D43"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tcPr>
          <w:p w14:paraId="1078DEC1"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vAlign w:val="center"/>
          </w:tcPr>
          <w:p w14:paraId="08065CAC" w14:textId="77777777" w:rsidR="001F6893" w:rsidRPr="00A44648" w:rsidRDefault="001F6893" w:rsidP="00D748B3">
            <w:pPr>
              <w:spacing w:after="0"/>
              <w:jc w:val="center"/>
              <w:rPr>
                <w:rFonts w:ascii="Arial" w:hAnsi="Arial" w:cs="Arial"/>
              </w:rPr>
            </w:pPr>
            <w:r w:rsidRPr="00A44648">
              <w:rPr>
                <w:rFonts w:ascii="Arial" w:hAnsi="Arial" w:cs="Arial"/>
              </w:rPr>
              <w:t>X</w:t>
            </w:r>
          </w:p>
        </w:tc>
        <w:tc>
          <w:tcPr>
            <w:tcW w:w="450" w:type="dxa"/>
            <w:tcBorders>
              <w:top w:val="nil"/>
              <w:bottom w:val="nil"/>
            </w:tcBorders>
            <w:vAlign w:val="center"/>
          </w:tcPr>
          <w:p w14:paraId="771DDBB1" w14:textId="77777777" w:rsidR="001F6893" w:rsidRPr="00A44648" w:rsidRDefault="001F6893" w:rsidP="00D748B3">
            <w:pPr>
              <w:spacing w:after="0"/>
              <w:jc w:val="center"/>
              <w:rPr>
                <w:rFonts w:ascii="Arial" w:hAnsi="Arial" w:cs="Arial"/>
              </w:rPr>
            </w:pPr>
            <w:r w:rsidRPr="00A44648">
              <w:rPr>
                <w:rFonts w:ascii="Arial" w:hAnsi="Arial" w:cs="Arial"/>
              </w:rPr>
              <w:t>X</w:t>
            </w:r>
          </w:p>
        </w:tc>
        <w:tc>
          <w:tcPr>
            <w:tcW w:w="810" w:type="dxa"/>
            <w:tcBorders>
              <w:top w:val="nil"/>
              <w:bottom w:val="nil"/>
            </w:tcBorders>
            <w:vAlign w:val="center"/>
          </w:tcPr>
          <w:p w14:paraId="4F8211C2" w14:textId="77777777" w:rsidR="001F6893" w:rsidRPr="00A44648" w:rsidRDefault="001F6893" w:rsidP="00D748B3">
            <w:pPr>
              <w:spacing w:after="0"/>
              <w:jc w:val="center"/>
              <w:rPr>
                <w:rFonts w:ascii="Arial" w:hAnsi="Arial" w:cs="Arial"/>
              </w:rPr>
            </w:pPr>
            <w:r w:rsidRPr="00A44648">
              <w:rPr>
                <w:rFonts w:ascii="Arial" w:hAnsi="Arial" w:cs="Arial"/>
              </w:rPr>
              <w:t>IDB</w:t>
            </w:r>
          </w:p>
        </w:tc>
        <w:tc>
          <w:tcPr>
            <w:tcW w:w="1034" w:type="dxa"/>
            <w:tcBorders>
              <w:top w:val="nil"/>
              <w:bottom w:val="nil"/>
            </w:tcBorders>
            <w:vAlign w:val="center"/>
          </w:tcPr>
          <w:p w14:paraId="4BF00E13" w14:textId="77777777" w:rsidR="001F6893" w:rsidRPr="00A44648" w:rsidRDefault="001F6893" w:rsidP="00D748B3">
            <w:pPr>
              <w:spacing w:after="0"/>
              <w:jc w:val="center"/>
              <w:rPr>
                <w:rFonts w:ascii="Arial" w:hAnsi="Arial" w:cs="Arial"/>
              </w:rPr>
            </w:pPr>
            <w:r w:rsidRPr="00A44648">
              <w:rPr>
                <w:rFonts w:ascii="Arial" w:hAnsi="Arial" w:cs="Arial"/>
              </w:rPr>
              <w:t>5,000</w:t>
            </w:r>
          </w:p>
        </w:tc>
      </w:tr>
      <w:tr w:rsidR="001F6893" w:rsidRPr="00A44648" w14:paraId="1012DB8F" w14:textId="77777777" w:rsidTr="00D748B3">
        <w:trPr>
          <w:jc w:val="center"/>
        </w:trPr>
        <w:tc>
          <w:tcPr>
            <w:tcW w:w="4068" w:type="dxa"/>
            <w:tcBorders>
              <w:top w:val="nil"/>
              <w:bottom w:val="nil"/>
            </w:tcBorders>
            <w:vAlign w:val="center"/>
          </w:tcPr>
          <w:p w14:paraId="13362EE0" w14:textId="77777777" w:rsidR="001F6893" w:rsidRPr="00A44648" w:rsidDel="00356E79" w:rsidRDefault="001F6893" w:rsidP="001F6893">
            <w:pPr>
              <w:pStyle w:val="ListParagraph"/>
              <w:numPr>
                <w:ilvl w:val="0"/>
                <w:numId w:val="8"/>
              </w:numPr>
              <w:spacing w:after="0"/>
              <w:ind w:left="180" w:hanging="180"/>
              <w:rPr>
                <w:rFonts w:ascii="Arial" w:hAnsi="Arial" w:cs="Arial"/>
                <w:b/>
                <w:lang w:val="es-ES_tradnl"/>
              </w:rPr>
            </w:pPr>
            <w:r w:rsidRPr="00A44648">
              <w:rPr>
                <w:rFonts w:ascii="Arial" w:hAnsi="Arial" w:cs="Arial"/>
                <w:b/>
                <w:lang w:val="es-ES_tradnl"/>
              </w:rPr>
              <w:t>Gases de Efecto Invernadero (GEI) evitados por proyectos geotérmicos financiados en alguna etapa por el programa</w:t>
            </w:r>
          </w:p>
        </w:tc>
        <w:tc>
          <w:tcPr>
            <w:tcW w:w="360" w:type="dxa"/>
            <w:tcBorders>
              <w:top w:val="nil"/>
              <w:bottom w:val="nil"/>
            </w:tcBorders>
            <w:shd w:val="clear" w:color="auto" w:fill="auto"/>
            <w:vAlign w:val="center"/>
          </w:tcPr>
          <w:p w14:paraId="20B103C5"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41EA5F7A"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575DAD07"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3FC3B9FD"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52C2ED96"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1B2162B2"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6AD3F9EA"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61276923"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3FF9498B"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59872D90"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31EBE5E0"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shd w:val="clear" w:color="auto" w:fill="auto"/>
            <w:vAlign w:val="center"/>
          </w:tcPr>
          <w:p w14:paraId="41DE7FD1" w14:textId="77777777" w:rsidR="001F6893" w:rsidRPr="00A44648" w:rsidRDefault="001F6893" w:rsidP="00D748B3">
            <w:pPr>
              <w:spacing w:after="0"/>
              <w:jc w:val="center"/>
              <w:rPr>
                <w:rFonts w:ascii="Arial" w:hAnsi="Arial" w:cs="Arial"/>
                <w:lang w:val="es-ES_tradnl"/>
              </w:rPr>
            </w:pPr>
          </w:p>
        </w:tc>
        <w:tc>
          <w:tcPr>
            <w:tcW w:w="337" w:type="dxa"/>
            <w:tcBorders>
              <w:top w:val="nil"/>
              <w:bottom w:val="nil"/>
            </w:tcBorders>
          </w:tcPr>
          <w:p w14:paraId="0FDA4CAC"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tcPr>
          <w:p w14:paraId="44BC0A7F"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tcPr>
          <w:p w14:paraId="7CEB83D3"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tcPr>
          <w:p w14:paraId="722D1FC0" w14:textId="77777777" w:rsidR="001F6893" w:rsidRPr="00A44648" w:rsidRDefault="001F6893" w:rsidP="00D748B3">
            <w:pPr>
              <w:spacing w:after="0"/>
              <w:jc w:val="center"/>
              <w:rPr>
                <w:rFonts w:ascii="Arial" w:hAnsi="Arial" w:cs="Arial"/>
                <w:lang w:val="es-ES_tradnl"/>
              </w:rPr>
            </w:pPr>
          </w:p>
        </w:tc>
        <w:tc>
          <w:tcPr>
            <w:tcW w:w="360" w:type="dxa"/>
            <w:tcBorders>
              <w:top w:val="nil"/>
              <w:bottom w:val="nil"/>
            </w:tcBorders>
            <w:vAlign w:val="center"/>
          </w:tcPr>
          <w:p w14:paraId="4827EA62" w14:textId="77777777" w:rsidR="001F6893" w:rsidRPr="00A44648" w:rsidRDefault="001F6893" w:rsidP="00D748B3">
            <w:pPr>
              <w:spacing w:after="0"/>
              <w:jc w:val="center"/>
              <w:rPr>
                <w:rFonts w:ascii="Arial" w:hAnsi="Arial" w:cs="Arial"/>
              </w:rPr>
            </w:pPr>
            <w:r w:rsidRPr="00A44648">
              <w:rPr>
                <w:rFonts w:ascii="Arial" w:hAnsi="Arial" w:cs="Arial"/>
              </w:rPr>
              <w:t>X</w:t>
            </w:r>
          </w:p>
        </w:tc>
        <w:tc>
          <w:tcPr>
            <w:tcW w:w="450" w:type="dxa"/>
            <w:tcBorders>
              <w:top w:val="nil"/>
              <w:bottom w:val="nil"/>
            </w:tcBorders>
            <w:vAlign w:val="center"/>
          </w:tcPr>
          <w:p w14:paraId="3E577F27" w14:textId="77777777" w:rsidR="001F6893" w:rsidRPr="00A44648" w:rsidRDefault="001F6893" w:rsidP="00D748B3">
            <w:pPr>
              <w:spacing w:after="0"/>
              <w:jc w:val="center"/>
              <w:rPr>
                <w:rFonts w:ascii="Arial" w:hAnsi="Arial" w:cs="Arial"/>
              </w:rPr>
            </w:pPr>
            <w:r w:rsidRPr="00A44648">
              <w:rPr>
                <w:rFonts w:ascii="Arial" w:hAnsi="Arial" w:cs="Arial"/>
              </w:rPr>
              <w:t>X</w:t>
            </w:r>
          </w:p>
        </w:tc>
        <w:tc>
          <w:tcPr>
            <w:tcW w:w="810" w:type="dxa"/>
            <w:tcBorders>
              <w:top w:val="nil"/>
              <w:bottom w:val="nil"/>
            </w:tcBorders>
            <w:vAlign w:val="center"/>
          </w:tcPr>
          <w:p w14:paraId="3DB5D4EF" w14:textId="77777777" w:rsidR="001F6893" w:rsidRPr="00A44648" w:rsidRDefault="001F6893" w:rsidP="00D748B3">
            <w:pPr>
              <w:spacing w:after="0"/>
              <w:jc w:val="center"/>
              <w:rPr>
                <w:rFonts w:ascii="Arial" w:hAnsi="Arial" w:cs="Arial"/>
              </w:rPr>
            </w:pPr>
            <w:r w:rsidRPr="00A44648">
              <w:rPr>
                <w:rFonts w:ascii="Arial" w:hAnsi="Arial" w:cs="Arial"/>
              </w:rPr>
              <w:t>IDB</w:t>
            </w:r>
          </w:p>
        </w:tc>
        <w:tc>
          <w:tcPr>
            <w:tcW w:w="1034" w:type="dxa"/>
            <w:tcBorders>
              <w:top w:val="nil"/>
              <w:bottom w:val="nil"/>
            </w:tcBorders>
            <w:vAlign w:val="center"/>
          </w:tcPr>
          <w:p w14:paraId="03B69F88" w14:textId="77777777" w:rsidR="001F6893" w:rsidRPr="00A44648" w:rsidRDefault="001F6893" w:rsidP="00D748B3">
            <w:pPr>
              <w:spacing w:after="0"/>
              <w:jc w:val="center"/>
              <w:rPr>
                <w:rFonts w:ascii="Arial" w:hAnsi="Arial" w:cs="Arial"/>
              </w:rPr>
            </w:pPr>
            <w:r w:rsidRPr="00A44648">
              <w:rPr>
                <w:rFonts w:ascii="Arial" w:hAnsi="Arial" w:cs="Arial"/>
              </w:rPr>
              <w:t>5,000</w:t>
            </w:r>
          </w:p>
        </w:tc>
      </w:tr>
      <w:tr w:rsidR="001F6893" w:rsidRPr="00A44648" w14:paraId="19F7F581" w14:textId="77777777" w:rsidTr="002E0F93">
        <w:trPr>
          <w:jc w:val="center"/>
        </w:trPr>
        <w:tc>
          <w:tcPr>
            <w:tcW w:w="4068" w:type="dxa"/>
            <w:tcBorders>
              <w:top w:val="nil"/>
              <w:bottom w:val="single" w:sz="4" w:space="0" w:color="auto"/>
            </w:tcBorders>
            <w:vAlign w:val="center"/>
          </w:tcPr>
          <w:p w14:paraId="3E7DA470" w14:textId="77777777" w:rsidR="001F6893" w:rsidRPr="00A44648" w:rsidRDefault="001F6893" w:rsidP="001F6893">
            <w:pPr>
              <w:pStyle w:val="ListParagraph"/>
              <w:numPr>
                <w:ilvl w:val="0"/>
                <w:numId w:val="8"/>
              </w:numPr>
              <w:spacing w:after="0"/>
              <w:ind w:left="180" w:hanging="180"/>
              <w:rPr>
                <w:rFonts w:ascii="Arial" w:hAnsi="Arial" w:cs="Arial"/>
                <w:b/>
                <w:lang w:val="es-ES_tradnl"/>
              </w:rPr>
            </w:pPr>
            <w:r w:rsidRPr="00A44648">
              <w:rPr>
                <w:rFonts w:ascii="Arial" w:hAnsi="Arial" w:cs="Arial"/>
                <w:b/>
                <w:lang w:val="es-ES_tradnl"/>
              </w:rPr>
              <w:t>Financiamiento adicional de terceras partes movilizado para desarrollar proyectos geotérmicos financiados en alguna etapa por el programa.</w:t>
            </w:r>
          </w:p>
        </w:tc>
        <w:tc>
          <w:tcPr>
            <w:tcW w:w="360" w:type="dxa"/>
            <w:tcBorders>
              <w:top w:val="nil"/>
              <w:bottom w:val="single" w:sz="4" w:space="0" w:color="auto"/>
            </w:tcBorders>
            <w:shd w:val="clear" w:color="auto" w:fill="auto"/>
            <w:vAlign w:val="center"/>
          </w:tcPr>
          <w:p w14:paraId="751A2BF5" w14:textId="14D64648" w:rsidR="001F6893" w:rsidRPr="00A44648" w:rsidRDefault="002E0F93" w:rsidP="00D748B3">
            <w:pPr>
              <w:spacing w:after="0"/>
              <w:jc w:val="center"/>
              <w:rPr>
                <w:rFonts w:ascii="Arial" w:hAnsi="Arial" w:cs="Arial"/>
                <w:lang w:val="es-ES_tradnl"/>
              </w:rPr>
            </w:pPr>
            <w:r w:rsidRPr="00A44648">
              <w:rPr>
                <w:rFonts w:ascii="Arial" w:hAnsi="Arial" w:cs="Arial"/>
                <w:lang w:val="es-ES_tradnl"/>
              </w:rPr>
              <w:t>X</w:t>
            </w:r>
          </w:p>
        </w:tc>
        <w:tc>
          <w:tcPr>
            <w:tcW w:w="360" w:type="dxa"/>
            <w:tcBorders>
              <w:top w:val="nil"/>
              <w:bottom w:val="single" w:sz="4" w:space="0" w:color="auto"/>
            </w:tcBorders>
            <w:shd w:val="clear" w:color="auto" w:fill="auto"/>
            <w:vAlign w:val="center"/>
          </w:tcPr>
          <w:p w14:paraId="08155CF4" w14:textId="7B52FD03" w:rsidR="001F6893" w:rsidRPr="00A44648" w:rsidRDefault="002E0F93" w:rsidP="00D748B3">
            <w:pPr>
              <w:spacing w:after="0"/>
              <w:jc w:val="center"/>
              <w:rPr>
                <w:rFonts w:ascii="Arial" w:hAnsi="Arial" w:cs="Arial"/>
                <w:lang w:val="es-ES_tradnl"/>
              </w:rPr>
            </w:pPr>
            <w:r w:rsidRPr="00A44648">
              <w:rPr>
                <w:rFonts w:ascii="Arial" w:hAnsi="Arial" w:cs="Arial"/>
                <w:lang w:val="es-ES_tradnl"/>
              </w:rPr>
              <w:t>X</w:t>
            </w:r>
          </w:p>
        </w:tc>
        <w:tc>
          <w:tcPr>
            <w:tcW w:w="360" w:type="dxa"/>
            <w:tcBorders>
              <w:top w:val="nil"/>
              <w:bottom w:val="single" w:sz="4" w:space="0" w:color="auto"/>
            </w:tcBorders>
            <w:shd w:val="clear" w:color="auto" w:fill="auto"/>
            <w:vAlign w:val="center"/>
          </w:tcPr>
          <w:p w14:paraId="369BB55D" w14:textId="39C15985" w:rsidR="001F6893" w:rsidRPr="00A44648" w:rsidRDefault="002E0F93" w:rsidP="00D748B3">
            <w:pPr>
              <w:spacing w:after="0"/>
              <w:jc w:val="center"/>
              <w:rPr>
                <w:rFonts w:ascii="Arial" w:hAnsi="Arial" w:cs="Arial"/>
                <w:lang w:val="es-ES_tradnl"/>
              </w:rPr>
            </w:pPr>
            <w:r w:rsidRPr="00A44648">
              <w:rPr>
                <w:rFonts w:ascii="Arial" w:hAnsi="Arial" w:cs="Arial"/>
                <w:lang w:val="es-ES_tradnl"/>
              </w:rPr>
              <w:t>X</w:t>
            </w:r>
          </w:p>
        </w:tc>
        <w:tc>
          <w:tcPr>
            <w:tcW w:w="360" w:type="dxa"/>
            <w:tcBorders>
              <w:top w:val="nil"/>
              <w:bottom w:val="single" w:sz="4" w:space="0" w:color="auto"/>
            </w:tcBorders>
            <w:shd w:val="clear" w:color="auto" w:fill="auto"/>
            <w:vAlign w:val="center"/>
          </w:tcPr>
          <w:p w14:paraId="0E897785" w14:textId="49941FDA" w:rsidR="001F6893" w:rsidRPr="00A44648" w:rsidRDefault="002E0F93" w:rsidP="00D748B3">
            <w:pPr>
              <w:spacing w:after="0"/>
              <w:jc w:val="center"/>
              <w:rPr>
                <w:rFonts w:ascii="Arial" w:hAnsi="Arial" w:cs="Arial"/>
                <w:lang w:val="es-ES_tradnl"/>
              </w:rPr>
            </w:pPr>
            <w:r w:rsidRPr="00A44648">
              <w:rPr>
                <w:rFonts w:ascii="Arial" w:hAnsi="Arial" w:cs="Arial"/>
                <w:lang w:val="es-ES_tradnl"/>
              </w:rPr>
              <w:t>X</w:t>
            </w:r>
          </w:p>
        </w:tc>
        <w:tc>
          <w:tcPr>
            <w:tcW w:w="360" w:type="dxa"/>
            <w:tcBorders>
              <w:top w:val="nil"/>
              <w:bottom w:val="single" w:sz="4" w:space="0" w:color="auto"/>
            </w:tcBorders>
            <w:shd w:val="clear" w:color="auto" w:fill="auto"/>
            <w:vAlign w:val="center"/>
          </w:tcPr>
          <w:p w14:paraId="4ABAEEC6" w14:textId="5296D48C" w:rsidR="001F6893" w:rsidRPr="00A44648" w:rsidRDefault="002E0F93" w:rsidP="00D748B3">
            <w:pPr>
              <w:spacing w:after="0"/>
              <w:jc w:val="center"/>
              <w:rPr>
                <w:rFonts w:ascii="Arial" w:hAnsi="Arial" w:cs="Arial"/>
                <w:lang w:val="es-ES_tradnl"/>
              </w:rPr>
            </w:pPr>
            <w:r w:rsidRPr="00A44648">
              <w:rPr>
                <w:rFonts w:ascii="Arial" w:hAnsi="Arial" w:cs="Arial"/>
                <w:lang w:val="es-ES_tradnl"/>
              </w:rPr>
              <w:t>X</w:t>
            </w:r>
          </w:p>
        </w:tc>
        <w:tc>
          <w:tcPr>
            <w:tcW w:w="360" w:type="dxa"/>
            <w:tcBorders>
              <w:top w:val="nil"/>
              <w:bottom w:val="single" w:sz="4" w:space="0" w:color="auto"/>
            </w:tcBorders>
            <w:shd w:val="clear" w:color="auto" w:fill="auto"/>
            <w:vAlign w:val="center"/>
          </w:tcPr>
          <w:p w14:paraId="00670A62" w14:textId="7F64DD57" w:rsidR="001F6893" w:rsidRPr="00A44648" w:rsidRDefault="002E0F93" w:rsidP="00D748B3">
            <w:pPr>
              <w:spacing w:after="0"/>
              <w:jc w:val="center"/>
              <w:rPr>
                <w:rFonts w:ascii="Arial" w:hAnsi="Arial" w:cs="Arial"/>
                <w:lang w:val="es-ES_tradnl"/>
              </w:rPr>
            </w:pPr>
            <w:r w:rsidRPr="00A44648">
              <w:rPr>
                <w:rFonts w:ascii="Arial" w:hAnsi="Arial" w:cs="Arial"/>
                <w:lang w:val="es-ES_tradnl"/>
              </w:rPr>
              <w:t>X</w:t>
            </w:r>
          </w:p>
        </w:tc>
        <w:tc>
          <w:tcPr>
            <w:tcW w:w="360" w:type="dxa"/>
            <w:tcBorders>
              <w:top w:val="nil"/>
              <w:bottom w:val="single" w:sz="4" w:space="0" w:color="auto"/>
            </w:tcBorders>
            <w:shd w:val="clear" w:color="auto" w:fill="auto"/>
            <w:vAlign w:val="center"/>
          </w:tcPr>
          <w:p w14:paraId="0C060D06" w14:textId="5B8C54AE" w:rsidR="001F6893" w:rsidRPr="00A44648" w:rsidRDefault="002E0F93" w:rsidP="00D748B3">
            <w:pPr>
              <w:spacing w:after="0"/>
              <w:jc w:val="center"/>
              <w:rPr>
                <w:rFonts w:ascii="Arial" w:hAnsi="Arial" w:cs="Arial"/>
                <w:lang w:val="es-ES_tradnl"/>
              </w:rPr>
            </w:pPr>
            <w:r w:rsidRPr="00A44648">
              <w:rPr>
                <w:rFonts w:ascii="Arial" w:hAnsi="Arial" w:cs="Arial"/>
                <w:lang w:val="es-ES_tradnl"/>
              </w:rPr>
              <w:t>X</w:t>
            </w:r>
          </w:p>
        </w:tc>
        <w:tc>
          <w:tcPr>
            <w:tcW w:w="360" w:type="dxa"/>
            <w:tcBorders>
              <w:top w:val="nil"/>
              <w:bottom w:val="single" w:sz="4" w:space="0" w:color="auto"/>
            </w:tcBorders>
            <w:shd w:val="clear" w:color="auto" w:fill="auto"/>
            <w:vAlign w:val="center"/>
          </w:tcPr>
          <w:p w14:paraId="5F2E543B" w14:textId="31997DA4" w:rsidR="001F6893" w:rsidRPr="00A44648" w:rsidRDefault="002E0F93" w:rsidP="00D748B3">
            <w:pPr>
              <w:spacing w:after="0"/>
              <w:jc w:val="center"/>
              <w:rPr>
                <w:rFonts w:ascii="Arial" w:hAnsi="Arial" w:cs="Arial"/>
                <w:lang w:val="es-ES_tradnl"/>
              </w:rPr>
            </w:pPr>
            <w:r w:rsidRPr="00A44648">
              <w:rPr>
                <w:rFonts w:ascii="Arial" w:hAnsi="Arial" w:cs="Arial"/>
                <w:lang w:val="es-ES_tradnl"/>
              </w:rPr>
              <w:t>X</w:t>
            </w:r>
          </w:p>
        </w:tc>
        <w:tc>
          <w:tcPr>
            <w:tcW w:w="360" w:type="dxa"/>
            <w:tcBorders>
              <w:top w:val="nil"/>
              <w:bottom w:val="single" w:sz="4" w:space="0" w:color="auto"/>
            </w:tcBorders>
            <w:shd w:val="clear" w:color="auto" w:fill="auto"/>
            <w:vAlign w:val="center"/>
          </w:tcPr>
          <w:p w14:paraId="0F62345E" w14:textId="6875BBAA" w:rsidR="001F6893" w:rsidRPr="00A44648" w:rsidRDefault="002E0F93" w:rsidP="00D748B3">
            <w:pPr>
              <w:spacing w:after="0"/>
              <w:jc w:val="center"/>
              <w:rPr>
                <w:rFonts w:ascii="Arial" w:hAnsi="Arial" w:cs="Arial"/>
                <w:lang w:val="es-ES_tradnl"/>
              </w:rPr>
            </w:pPr>
            <w:r w:rsidRPr="00A44648">
              <w:rPr>
                <w:rFonts w:ascii="Arial" w:hAnsi="Arial" w:cs="Arial"/>
                <w:lang w:val="es-ES_tradnl"/>
              </w:rPr>
              <w:t>X</w:t>
            </w:r>
          </w:p>
        </w:tc>
        <w:tc>
          <w:tcPr>
            <w:tcW w:w="360" w:type="dxa"/>
            <w:tcBorders>
              <w:top w:val="nil"/>
              <w:bottom w:val="single" w:sz="4" w:space="0" w:color="auto"/>
            </w:tcBorders>
            <w:shd w:val="clear" w:color="auto" w:fill="auto"/>
            <w:vAlign w:val="center"/>
          </w:tcPr>
          <w:p w14:paraId="457FB5A4" w14:textId="07AD66B7" w:rsidR="001F6893" w:rsidRPr="00A44648" w:rsidRDefault="002E0F93" w:rsidP="00D748B3">
            <w:pPr>
              <w:spacing w:after="0"/>
              <w:jc w:val="center"/>
              <w:rPr>
                <w:rFonts w:ascii="Arial" w:hAnsi="Arial" w:cs="Arial"/>
                <w:lang w:val="es-ES_tradnl"/>
              </w:rPr>
            </w:pPr>
            <w:r w:rsidRPr="00A44648">
              <w:rPr>
                <w:rFonts w:ascii="Arial" w:hAnsi="Arial" w:cs="Arial"/>
                <w:lang w:val="es-ES_tradnl"/>
              </w:rPr>
              <w:t>X</w:t>
            </w:r>
          </w:p>
        </w:tc>
        <w:tc>
          <w:tcPr>
            <w:tcW w:w="360" w:type="dxa"/>
            <w:tcBorders>
              <w:top w:val="nil"/>
              <w:bottom w:val="single" w:sz="4" w:space="0" w:color="auto"/>
            </w:tcBorders>
            <w:shd w:val="clear" w:color="auto" w:fill="auto"/>
            <w:vAlign w:val="center"/>
          </w:tcPr>
          <w:p w14:paraId="4F6836F5" w14:textId="224A3AEC" w:rsidR="001F6893" w:rsidRPr="00A44648" w:rsidRDefault="002E0F93" w:rsidP="00D748B3">
            <w:pPr>
              <w:spacing w:after="0"/>
              <w:jc w:val="center"/>
              <w:rPr>
                <w:rFonts w:ascii="Arial" w:hAnsi="Arial" w:cs="Arial"/>
                <w:lang w:val="es-ES_tradnl"/>
              </w:rPr>
            </w:pPr>
            <w:r w:rsidRPr="00A44648">
              <w:rPr>
                <w:rFonts w:ascii="Arial" w:hAnsi="Arial" w:cs="Arial"/>
                <w:lang w:val="es-ES_tradnl"/>
              </w:rPr>
              <w:t>X</w:t>
            </w:r>
          </w:p>
        </w:tc>
        <w:tc>
          <w:tcPr>
            <w:tcW w:w="360" w:type="dxa"/>
            <w:tcBorders>
              <w:top w:val="nil"/>
              <w:bottom w:val="single" w:sz="4" w:space="0" w:color="auto"/>
            </w:tcBorders>
            <w:shd w:val="clear" w:color="auto" w:fill="auto"/>
            <w:vAlign w:val="center"/>
          </w:tcPr>
          <w:p w14:paraId="6C1141CC" w14:textId="14C32B4E" w:rsidR="001F6893" w:rsidRPr="00A44648" w:rsidRDefault="002E0F93" w:rsidP="00D748B3">
            <w:pPr>
              <w:spacing w:after="0"/>
              <w:jc w:val="center"/>
              <w:rPr>
                <w:rFonts w:ascii="Arial" w:hAnsi="Arial" w:cs="Arial"/>
                <w:lang w:val="es-ES_tradnl"/>
              </w:rPr>
            </w:pPr>
            <w:r w:rsidRPr="00A44648">
              <w:rPr>
                <w:rFonts w:ascii="Arial" w:hAnsi="Arial" w:cs="Arial"/>
                <w:lang w:val="es-ES_tradnl"/>
              </w:rPr>
              <w:t>X</w:t>
            </w:r>
          </w:p>
        </w:tc>
        <w:tc>
          <w:tcPr>
            <w:tcW w:w="337" w:type="dxa"/>
            <w:tcBorders>
              <w:top w:val="nil"/>
              <w:bottom w:val="single" w:sz="4" w:space="0" w:color="auto"/>
            </w:tcBorders>
            <w:vAlign w:val="center"/>
          </w:tcPr>
          <w:p w14:paraId="6D16256B" w14:textId="1E611253" w:rsidR="001F6893" w:rsidRPr="00A44648" w:rsidRDefault="002E0F93" w:rsidP="00D748B3">
            <w:pPr>
              <w:spacing w:after="0"/>
              <w:jc w:val="center"/>
              <w:rPr>
                <w:rFonts w:ascii="Arial" w:hAnsi="Arial" w:cs="Arial"/>
                <w:lang w:val="es-ES_tradnl"/>
              </w:rPr>
            </w:pPr>
            <w:r w:rsidRPr="00A44648">
              <w:rPr>
                <w:rFonts w:ascii="Arial" w:hAnsi="Arial" w:cs="Arial"/>
                <w:lang w:val="es-ES_tradnl"/>
              </w:rPr>
              <w:t>X</w:t>
            </w:r>
          </w:p>
        </w:tc>
        <w:tc>
          <w:tcPr>
            <w:tcW w:w="360" w:type="dxa"/>
            <w:tcBorders>
              <w:top w:val="nil"/>
              <w:bottom w:val="single" w:sz="4" w:space="0" w:color="auto"/>
            </w:tcBorders>
            <w:vAlign w:val="center"/>
          </w:tcPr>
          <w:p w14:paraId="05A672E2" w14:textId="0D08BC78" w:rsidR="001F6893" w:rsidRPr="00A44648" w:rsidRDefault="002E0F93" w:rsidP="00D748B3">
            <w:pPr>
              <w:spacing w:after="0"/>
              <w:jc w:val="center"/>
              <w:rPr>
                <w:rFonts w:ascii="Arial" w:hAnsi="Arial" w:cs="Arial"/>
                <w:lang w:val="es-ES_tradnl"/>
              </w:rPr>
            </w:pPr>
            <w:r w:rsidRPr="00A44648">
              <w:rPr>
                <w:rFonts w:ascii="Arial" w:hAnsi="Arial" w:cs="Arial"/>
                <w:lang w:val="es-ES_tradnl"/>
              </w:rPr>
              <w:t>X</w:t>
            </w:r>
          </w:p>
        </w:tc>
        <w:tc>
          <w:tcPr>
            <w:tcW w:w="360" w:type="dxa"/>
            <w:tcBorders>
              <w:top w:val="nil"/>
              <w:bottom w:val="single" w:sz="4" w:space="0" w:color="auto"/>
            </w:tcBorders>
            <w:vAlign w:val="center"/>
          </w:tcPr>
          <w:p w14:paraId="5D920910" w14:textId="2332F18E" w:rsidR="001F6893" w:rsidRPr="00A44648" w:rsidRDefault="002E0F93" w:rsidP="00D748B3">
            <w:pPr>
              <w:spacing w:after="0"/>
              <w:jc w:val="center"/>
              <w:rPr>
                <w:rFonts w:ascii="Arial" w:hAnsi="Arial" w:cs="Arial"/>
                <w:lang w:val="es-ES_tradnl"/>
              </w:rPr>
            </w:pPr>
            <w:r w:rsidRPr="00A44648">
              <w:rPr>
                <w:rFonts w:ascii="Arial" w:hAnsi="Arial" w:cs="Arial"/>
                <w:lang w:val="es-ES_tradnl"/>
              </w:rPr>
              <w:t>X</w:t>
            </w:r>
          </w:p>
        </w:tc>
        <w:tc>
          <w:tcPr>
            <w:tcW w:w="360" w:type="dxa"/>
            <w:tcBorders>
              <w:top w:val="nil"/>
              <w:bottom w:val="single" w:sz="4" w:space="0" w:color="auto"/>
            </w:tcBorders>
            <w:vAlign w:val="center"/>
          </w:tcPr>
          <w:p w14:paraId="46729729" w14:textId="7469A3A2" w:rsidR="001F6893" w:rsidRPr="00A44648" w:rsidRDefault="002E0F93" w:rsidP="00D748B3">
            <w:pPr>
              <w:spacing w:after="0"/>
              <w:jc w:val="center"/>
              <w:rPr>
                <w:rFonts w:ascii="Arial" w:hAnsi="Arial" w:cs="Arial"/>
                <w:lang w:val="es-ES_tradnl"/>
              </w:rPr>
            </w:pPr>
            <w:r w:rsidRPr="00A44648">
              <w:rPr>
                <w:rFonts w:ascii="Arial" w:hAnsi="Arial" w:cs="Arial"/>
                <w:lang w:val="es-ES_tradnl"/>
              </w:rPr>
              <w:t>X</w:t>
            </w:r>
          </w:p>
        </w:tc>
        <w:tc>
          <w:tcPr>
            <w:tcW w:w="360" w:type="dxa"/>
            <w:tcBorders>
              <w:top w:val="nil"/>
              <w:bottom w:val="single" w:sz="4" w:space="0" w:color="auto"/>
            </w:tcBorders>
            <w:vAlign w:val="center"/>
          </w:tcPr>
          <w:p w14:paraId="351DCC66" w14:textId="77777777" w:rsidR="001F6893" w:rsidRPr="00A44648" w:rsidRDefault="001F6893" w:rsidP="00D748B3">
            <w:pPr>
              <w:spacing w:after="0"/>
              <w:jc w:val="center"/>
              <w:rPr>
                <w:rFonts w:ascii="Arial" w:hAnsi="Arial" w:cs="Arial"/>
                <w:lang w:val="es-ES_tradnl"/>
              </w:rPr>
            </w:pPr>
            <w:r w:rsidRPr="00A44648">
              <w:rPr>
                <w:rFonts w:ascii="Arial" w:hAnsi="Arial" w:cs="Arial"/>
                <w:lang w:val="es-ES_tradnl"/>
              </w:rPr>
              <w:t>X</w:t>
            </w:r>
          </w:p>
        </w:tc>
        <w:tc>
          <w:tcPr>
            <w:tcW w:w="450" w:type="dxa"/>
            <w:tcBorders>
              <w:top w:val="nil"/>
              <w:bottom w:val="single" w:sz="4" w:space="0" w:color="auto"/>
            </w:tcBorders>
            <w:vAlign w:val="center"/>
          </w:tcPr>
          <w:p w14:paraId="533729FD" w14:textId="77777777" w:rsidR="001F6893" w:rsidRPr="00A44648" w:rsidRDefault="001F6893" w:rsidP="00D748B3">
            <w:pPr>
              <w:spacing w:after="0"/>
              <w:jc w:val="center"/>
              <w:rPr>
                <w:rFonts w:ascii="Arial" w:hAnsi="Arial" w:cs="Arial"/>
                <w:lang w:val="es-ES_tradnl"/>
              </w:rPr>
            </w:pPr>
            <w:r w:rsidRPr="00A44648">
              <w:rPr>
                <w:rFonts w:ascii="Arial" w:hAnsi="Arial" w:cs="Arial"/>
                <w:lang w:val="es-ES_tradnl"/>
              </w:rPr>
              <w:t>X</w:t>
            </w:r>
          </w:p>
        </w:tc>
        <w:tc>
          <w:tcPr>
            <w:tcW w:w="810" w:type="dxa"/>
            <w:tcBorders>
              <w:top w:val="nil"/>
              <w:bottom w:val="single" w:sz="4" w:space="0" w:color="auto"/>
            </w:tcBorders>
            <w:vAlign w:val="center"/>
          </w:tcPr>
          <w:p w14:paraId="0652ACF3" w14:textId="77777777" w:rsidR="001F6893" w:rsidRPr="00A44648" w:rsidRDefault="001F6893" w:rsidP="00D748B3">
            <w:pPr>
              <w:spacing w:after="0"/>
              <w:jc w:val="center"/>
              <w:rPr>
                <w:rFonts w:ascii="Arial" w:hAnsi="Arial" w:cs="Arial"/>
              </w:rPr>
            </w:pPr>
            <w:r w:rsidRPr="00A44648">
              <w:rPr>
                <w:rFonts w:ascii="Arial" w:hAnsi="Arial" w:cs="Arial"/>
              </w:rPr>
              <w:t>NAFIN/ IDB</w:t>
            </w:r>
          </w:p>
        </w:tc>
        <w:tc>
          <w:tcPr>
            <w:tcW w:w="1034" w:type="dxa"/>
            <w:tcBorders>
              <w:top w:val="nil"/>
              <w:bottom w:val="single" w:sz="4" w:space="0" w:color="auto"/>
            </w:tcBorders>
            <w:vAlign w:val="center"/>
          </w:tcPr>
          <w:p w14:paraId="2CC1982E" w14:textId="77777777" w:rsidR="001F6893" w:rsidRPr="00A44648" w:rsidRDefault="001F6893" w:rsidP="00D748B3">
            <w:pPr>
              <w:spacing w:after="0"/>
              <w:jc w:val="center"/>
              <w:rPr>
                <w:rFonts w:ascii="Arial" w:hAnsi="Arial" w:cs="Arial"/>
              </w:rPr>
            </w:pPr>
            <w:r w:rsidRPr="00A44648">
              <w:rPr>
                <w:rFonts w:ascii="Arial" w:hAnsi="Arial" w:cs="Arial"/>
              </w:rPr>
              <w:t>10,000</w:t>
            </w:r>
          </w:p>
        </w:tc>
      </w:tr>
      <w:tr w:rsidR="001F6893" w:rsidRPr="00A44648" w14:paraId="7AAD52D9" w14:textId="77777777" w:rsidTr="00D748B3">
        <w:trPr>
          <w:jc w:val="center"/>
        </w:trPr>
        <w:tc>
          <w:tcPr>
            <w:tcW w:w="4068" w:type="dxa"/>
            <w:tcBorders>
              <w:top w:val="single" w:sz="4" w:space="0" w:color="auto"/>
            </w:tcBorders>
            <w:vAlign w:val="center"/>
          </w:tcPr>
          <w:p w14:paraId="589212B4" w14:textId="77777777" w:rsidR="001F6893" w:rsidRPr="00A44648" w:rsidRDefault="001F6893" w:rsidP="00D748B3">
            <w:pPr>
              <w:spacing w:after="0"/>
              <w:rPr>
                <w:rFonts w:ascii="Arial" w:hAnsi="Arial" w:cs="Arial"/>
                <w:b/>
                <w:lang w:val="es-ES_tradnl"/>
              </w:rPr>
            </w:pPr>
            <w:r w:rsidRPr="00A44648">
              <w:rPr>
                <w:rFonts w:ascii="Arial" w:hAnsi="Arial" w:cs="Arial"/>
                <w:b/>
                <w:lang w:val="es-ES_tradnl"/>
              </w:rPr>
              <w:t xml:space="preserve">Proyección y análisis de información </w:t>
            </w:r>
          </w:p>
        </w:tc>
        <w:tc>
          <w:tcPr>
            <w:tcW w:w="360" w:type="dxa"/>
            <w:tcBorders>
              <w:top w:val="single" w:sz="4" w:space="0" w:color="auto"/>
            </w:tcBorders>
            <w:shd w:val="clear" w:color="auto" w:fill="auto"/>
            <w:vAlign w:val="center"/>
          </w:tcPr>
          <w:p w14:paraId="76E4701C" w14:textId="77777777" w:rsidR="001F6893" w:rsidRPr="00A44648" w:rsidRDefault="001F6893" w:rsidP="00D748B3">
            <w:pPr>
              <w:spacing w:after="0"/>
              <w:jc w:val="center"/>
              <w:rPr>
                <w:rFonts w:ascii="Arial" w:hAnsi="Arial" w:cs="Arial"/>
                <w:lang w:val="es-ES_tradnl"/>
              </w:rPr>
            </w:pPr>
          </w:p>
        </w:tc>
        <w:tc>
          <w:tcPr>
            <w:tcW w:w="360" w:type="dxa"/>
            <w:tcBorders>
              <w:top w:val="single" w:sz="4" w:space="0" w:color="auto"/>
            </w:tcBorders>
            <w:shd w:val="clear" w:color="auto" w:fill="auto"/>
            <w:vAlign w:val="center"/>
          </w:tcPr>
          <w:p w14:paraId="34ADD184" w14:textId="77777777" w:rsidR="001F6893" w:rsidRPr="00A44648" w:rsidRDefault="001F6893" w:rsidP="00D748B3">
            <w:pPr>
              <w:spacing w:after="0"/>
              <w:jc w:val="center"/>
              <w:rPr>
                <w:rFonts w:ascii="Arial" w:hAnsi="Arial" w:cs="Arial"/>
                <w:lang w:val="es-ES_tradnl"/>
              </w:rPr>
            </w:pPr>
          </w:p>
        </w:tc>
        <w:tc>
          <w:tcPr>
            <w:tcW w:w="360" w:type="dxa"/>
            <w:tcBorders>
              <w:top w:val="single" w:sz="4" w:space="0" w:color="auto"/>
            </w:tcBorders>
            <w:shd w:val="clear" w:color="auto" w:fill="auto"/>
            <w:vAlign w:val="center"/>
          </w:tcPr>
          <w:p w14:paraId="0B4B8BCC" w14:textId="77777777" w:rsidR="001F6893" w:rsidRPr="00A44648" w:rsidRDefault="001F6893" w:rsidP="00D748B3">
            <w:pPr>
              <w:spacing w:after="0"/>
              <w:jc w:val="center"/>
              <w:rPr>
                <w:rFonts w:ascii="Arial" w:hAnsi="Arial" w:cs="Arial"/>
                <w:lang w:val="es-ES_tradnl"/>
              </w:rPr>
            </w:pPr>
          </w:p>
        </w:tc>
        <w:tc>
          <w:tcPr>
            <w:tcW w:w="360" w:type="dxa"/>
            <w:tcBorders>
              <w:top w:val="single" w:sz="4" w:space="0" w:color="auto"/>
            </w:tcBorders>
            <w:shd w:val="clear" w:color="auto" w:fill="auto"/>
            <w:vAlign w:val="center"/>
          </w:tcPr>
          <w:p w14:paraId="6C3ED897" w14:textId="77777777" w:rsidR="001F6893" w:rsidRPr="00A44648" w:rsidRDefault="001F6893" w:rsidP="00D748B3">
            <w:pPr>
              <w:spacing w:after="0"/>
              <w:jc w:val="center"/>
              <w:rPr>
                <w:rFonts w:ascii="Arial" w:hAnsi="Arial" w:cs="Arial"/>
                <w:lang w:val="es-ES_tradnl"/>
              </w:rPr>
            </w:pPr>
          </w:p>
        </w:tc>
        <w:tc>
          <w:tcPr>
            <w:tcW w:w="360" w:type="dxa"/>
            <w:tcBorders>
              <w:top w:val="single" w:sz="4" w:space="0" w:color="auto"/>
            </w:tcBorders>
            <w:shd w:val="clear" w:color="auto" w:fill="auto"/>
            <w:vAlign w:val="center"/>
          </w:tcPr>
          <w:p w14:paraId="4207FDA2" w14:textId="77777777" w:rsidR="001F6893" w:rsidRPr="00A44648" w:rsidRDefault="001F6893" w:rsidP="00D748B3">
            <w:pPr>
              <w:spacing w:after="0"/>
              <w:jc w:val="center"/>
              <w:rPr>
                <w:rFonts w:ascii="Arial" w:hAnsi="Arial" w:cs="Arial"/>
                <w:lang w:val="es-ES_tradnl"/>
              </w:rPr>
            </w:pPr>
          </w:p>
        </w:tc>
        <w:tc>
          <w:tcPr>
            <w:tcW w:w="360" w:type="dxa"/>
            <w:tcBorders>
              <w:top w:val="single" w:sz="4" w:space="0" w:color="auto"/>
            </w:tcBorders>
            <w:shd w:val="clear" w:color="auto" w:fill="auto"/>
            <w:vAlign w:val="center"/>
          </w:tcPr>
          <w:p w14:paraId="479A1587" w14:textId="77777777" w:rsidR="001F6893" w:rsidRPr="00A44648" w:rsidRDefault="001F6893" w:rsidP="00D748B3">
            <w:pPr>
              <w:spacing w:after="0"/>
              <w:jc w:val="center"/>
              <w:rPr>
                <w:rFonts w:ascii="Arial" w:hAnsi="Arial" w:cs="Arial"/>
                <w:lang w:val="es-ES_tradnl"/>
              </w:rPr>
            </w:pPr>
          </w:p>
        </w:tc>
        <w:tc>
          <w:tcPr>
            <w:tcW w:w="360" w:type="dxa"/>
            <w:tcBorders>
              <w:top w:val="single" w:sz="4" w:space="0" w:color="auto"/>
            </w:tcBorders>
            <w:shd w:val="clear" w:color="auto" w:fill="auto"/>
            <w:vAlign w:val="center"/>
          </w:tcPr>
          <w:p w14:paraId="7D38C889" w14:textId="77777777" w:rsidR="001F6893" w:rsidRPr="00A44648" w:rsidRDefault="001F6893" w:rsidP="00D748B3">
            <w:pPr>
              <w:spacing w:after="0"/>
              <w:jc w:val="center"/>
              <w:rPr>
                <w:rFonts w:ascii="Arial" w:hAnsi="Arial" w:cs="Arial"/>
                <w:lang w:val="es-ES_tradnl"/>
              </w:rPr>
            </w:pPr>
          </w:p>
        </w:tc>
        <w:tc>
          <w:tcPr>
            <w:tcW w:w="360" w:type="dxa"/>
            <w:tcBorders>
              <w:top w:val="single" w:sz="4" w:space="0" w:color="auto"/>
            </w:tcBorders>
            <w:shd w:val="clear" w:color="auto" w:fill="auto"/>
            <w:vAlign w:val="center"/>
          </w:tcPr>
          <w:p w14:paraId="06723093" w14:textId="77777777" w:rsidR="001F6893" w:rsidRPr="00A44648" w:rsidRDefault="001F6893" w:rsidP="00D748B3">
            <w:pPr>
              <w:spacing w:after="0"/>
              <w:jc w:val="center"/>
              <w:rPr>
                <w:rFonts w:ascii="Arial" w:hAnsi="Arial" w:cs="Arial"/>
                <w:lang w:val="es-ES_tradnl"/>
              </w:rPr>
            </w:pPr>
          </w:p>
        </w:tc>
        <w:tc>
          <w:tcPr>
            <w:tcW w:w="360" w:type="dxa"/>
            <w:tcBorders>
              <w:top w:val="single" w:sz="4" w:space="0" w:color="auto"/>
            </w:tcBorders>
            <w:shd w:val="clear" w:color="auto" w:fill="auto"/>
            <w:vAlign w:val="center"/>
          </w:tcPr>
          <w:p w14:paraId="65BE342B" w14:textId="77777777" w:rsidR="001F6893" w:rsidRPr="00A44648" w:rsidRDefault="001F6893" w:rsidP="00D748B3">
            <w:pPr>
              <w:spacing w:after="0"/>
              <w:jc w:val="center"/>
              <w:rPr>
                <w:rFonts w:ascii="Arial" w:hAnsi="Arial" w:cs="Arial"/>
                <w:lang w:val="es-ES_tradnl"/>
              </w:rPr>
            </w:pPr>
          </w:p>
        </w:tc>
        <w:tc>
          <w:tcPr>
            <w:tcW w:w="360" w:type="dxa"/>
            <w:tcBorders>
              <w:top w:val="single" w:sz="4" w:space="0" w:color="auto"/>
            </w:tcBorders>
            <w:shd w:val="clear" w:color="auto" w:fill="auto"/>
            <w:vAlign w:val="center"/>
          </w:tcPr>
          <w:p w14:paraId="4CE43B60" w14:textId="77777777" w:rsidR="001F6893" w:rsidRPr="00A44648" w:rsidRDefault="001F6893" w:rsidP="00D748B3">
            <w:pPr>
              <w:spacing w:after="0"/>
              <w:jc w:val="center"/>
              <w:rPr>
                <w:rFonts w:ascii="Arial" w:hAnsi="Arial" w:cs="Arial"/>
                <w:lang w:val="es-ES_tradnl"/>
              </w:rPr>
            </w:pPr>
          </w:p>
        </w:tc>
        <w:tc>
          <w:tcPr>
            <w:tcW w:w="360" w:type="dxa"/>
            <w:tcBorders>
              <w:top w:val="single" w:sz="4" w:space="0" w:color="auto"/>
            </w:tcBorders>
            <w:shd w:val="clear" w:color="auto" w:fill="auto"/>
            <w:vAlign w:val="center"/>
          </w:tcPr>
          <w:p w14:paraId="6AC69EF9" w14:textId="77777777" w:rsidR="001F6893" w:rsidRPr="00A44648" w:rsidRDefault="001F6893" w:rsidP="00D748B3">
            <w:pPr>
              <w:spacing w:after="0"/>
              <w:jc w:val="center"/>
              <w:rPr>
                <w:rFonts w:ascii="Arial" w:hAnsi="Arial" w:cs="Arial"/>
                <w:lang w:val="es-ES_tradnl"/>
              </w:rPr>
            </w:pPr>
          </w:p>
        </w:tc>
        <w:tc>
          <w:tcPr>
            <w:tcW w:w="360" w:type="dxa"/>
            <w:tcBorders>
              <w:top w:val="single" w:sz="4" w:space="0" w:color="auto"/>
            </w:tcBorders>
            <w:shd w:val="clear" w:color="auto" w:fill="auto"/>
            <w:vAlign w:val="center"/>
          </w:tcPr>
          <w:p w14:paraId="60CDB323" w14:textId="77777777" w:rsidR="001F6893" w:rsidRPr="00A44648" w:rsidRDefault="001F6893" w:rsidP="00D748B3">
            <w:pPr>
              <w:spacing w:after="0"/>
              <w:jc w:val="center"/>
              <w:rPr>
                <w:rFonts w:ascii="Arial" w:hAnsi="Arial" w:cs="Arial"/>
                <w:lang w:val="es-ES_tradnl"/>
              </w:rPr>
            </w:pPr>
          </w:p>
        </w:tc>
        <w:tc>
          <w:tcPr>
            <w:tcW w:w="337" w:type="dxa"/>
            <w:tcBorders>
              <w:top w:val="single" w:sz="4" w:space="0" w:color="auto"/>
            </w:tcBorders>
          </w:tcPr>
          <w:p w14:paraId="4E5E2925" w14:textId="77777777" w:rsidR="001F6893" w:rsidRPr="00A44648" w:rsidRDefault="001F6893" w:rsidP="00D748B3">
            <w:pPr>
              <w:spacing w:after="0"/>
              <w:jc w:val="center"/>
              <w:rPr>
                <w:rFonts w:ascii="Arial" w:hAnsi="Arial" w:cs="Arial"/>
                <w:lang w:val="es-ES_tradnl"/>
              </w:rPr>
            </w:pPr>
          </w:p>
        </w:tc>
        <w:tc>
          <w:tcPr>
            <w:tcW w:w="360" w:type="dxa"/>
            <w:tcBorders>
              <w:top w:val="single" w:sz="4" w:space="0" w:color="auto"/>
            </w:tcBorders>
          </w:tcPr>
          <w:p w14:paraId="0D5D4BB5" w14:textId="77777777" w:rsidR="001F6893" w:rsidRPr="00A44648" w:rsidRDefault="001F6893" w:rsidP="00D748B3">
            <w:pPr>
              <w:spacing w:after="0"/>
              <w:jc w:val="center"/>
              <w:rPr>
                <w:rFonts w:ascii="Arial" w:hAnsi="Arial" w:cs="Arial"/>
                <w:lang w:val="es-ES_tradnl"/>
              </w:rPr>
            </w:pPr>
          </w:p>
        </w:tc>
        <w:tc>
          <w:tcPr>
            <w:tcW w:w="360" w:type="dxa"/>
            <w:tcBorders>
              <w:top w:val="single" w:sz="4" w:space="0" w:color="auto"/>
            </w:tcBorders>
          </w:tcPr>
          <w:p w14:paraId="4F2E1B5F" w14:textId="77777777" w:rsidR="001F6893" w:rsidRPr="00A44648" w:rsidRDefault="001F6893" w:rsidP="00D748B3">
            <w:pPr>
              <w:spacing w:after="0"/>
              <w:jc w:val="center"/>
              <w:rPr>
                <w:rFonts w:ascii="Arial" w:hAnsi="Arial" w:cs="Arial"/>
                <w:lang w:val="es-ES_tradnl"/>
              </w:rPr>
            </w:pPr>
          </w:p>
        </w:tc>
        <w:tc>
          <w:tcPr>
            <w:tcW w:w="360" w:type="dxa"/>
            <w:tcBorders>
              <w:top w:val="single" w:sz="4" w:space="0" w:color="auto"/>
            </w:tcBorders>
          </w:tcPr>
          <w:p w14:paraId="36DCE354" w14:textId="77777777" w:rsidR="001F6893" w:rsidRPr="00A44648" w:rsidRDefault="001F6893" w:rsidP="00D748B3">
            <w:pPr>
              <w:spacing w:after="0"/>
              <w:jc w:val="center"/>
              <w:rPr>
                <w:rFonts w:ascii="Arial" w:hAnsi="Arial" w:cs="Arial"/>
                <w:lang w:val="es-ES_tradnl"/>
              </w:rPr>
            </w:pPr>
          </w:p>
        </w:tc>
        <w:tc>
          <w:tcPr>
            <w:tcW w:w="360" w:type="dxa"/>
            <w:tcBorders>
              <w:top w:val="single" w:sz="4" w:space="0" w:color="auto"/>
            </w:tcBorders>
            <w:vAlign w:val="center"/>
          </w:tcPr>
          <w:p w14:paraId="5309E2DC" w14:textId="77777777" w:rsidR="001F6893" w:rsidRPr="00A44648" w:rsidRDefault="001F6893" w:rsidP="00D748B3">
            <w:pPr>
              <w:spacing w:after="0"/>
              <w:jc w:val="center"/>
              <w:rPr>
                <w:rFonts w:ascii="Arial" w:hAnsi="Arial" w:cs="Arial"/>
              </w:rPr>
            </w:pPr>
            <w:r w:rsidRPr="00A44648">
              <w:rPr>
                <w:rFonts w:ascii="Arial" w:hAnsi="Arial" w:cs="Arial"/>
              </w:rPr>
              <w:t>X</w:t>
            </w:r>
          </w:p>
        </w:tc>
        <w:tc>
          <w:tcPr>
            <w:tcW w:w="450" w:type="dxa"/>
            <w:tcBorders>
              <w:top w:val="single" w:sz="4" w:space="0" w:color="auto"/>
            </w:tcBorders>
            <w:vAlign w:val="center"/>
          </w:tcPr>
          <w:p w14:paraId="3D50E77E" w14:textId="77777777" w:rsidR="001F6893" w:rsidRPr="00A44648" w:rsidRDefault="001F6893" w:rsidP="00D748B3">
            <w:pPr>
              <w:spacing w:after="0"/>
              <w:jc w:val="center"/>
              <w:rPr>
                <w:rFonts w:ascii="Arial" w:hAnsi="Arial" w:cs="Arial"/>
              </w:rPr>
            </w:pPr>
            <w:r w:rsidRPr="00A44648">
              <w:rPr>
                <w:rFonts w:ascii="Arial" w:hAnsi="Arial" w:cs="Arial"/>
              </w:rPr>
              <w:t>X</w:t>
            </w:r>
          </w:p>
        </w:tc>
        <w:tc>
          <w:tcPr>
            <w:tcW w:w="810" w:type="dxa"/>
            <w:tcBorders>
              <w:top w:val="single" w:sz="4" w:space="0" w:color="auto"/>
            </w:tcBorders>
            <w:vAlign w:val="center"/>
          </w:tcPr>
          <w:p w14:paraId="63CD90E2" w14:textId="77777777" w:rsidR="001F6893" w:rsidRPr="00A44648" w:rsidRDefault="001F6893" w:rsidP="00D748B3">
            <w:pPr>
              <w:spacing w:after="0"/>
              <w:jc w:val="center"/>
              <w:rPr>
                <w:rFonts w:ascii="Arial" w:hAnsi="Arial" w:cs="Arial"/>
              </w:rPr>
            </w:pPr>
            <w:r w:rsidRPr="00A44648">
              <w:rPr>
                <w:rFonts w:ascii="Arial" w:hAnsi="Arial" w:cs="Arial"/>
              </w:rPr>
              <w:t>Consul-tant</w:t>
            </w:r>
          </w:p>
        </w:tc>
        <w:tc>
          <w:tcPr>
            <w:tcW w:w="1034" w:type="dxa"/>
            <w:tcBorders>
              <w:top w:val="single" w:sz="4" w:space="0" w:color="auto"/>
            </w:tcBorders>
            <w:vAlign w:val="center"/>
          </w:tcPr>
          <w:p w14:paraId="603C0C36" w14:textId="77777777" w:rsidR="001F6893" w:rsidRPr="00A44648" w:rsidRDefault="001F6893" w:rsidP="00D748B3">
            <w:pPr>
              <w:spacing w:after="0"/>
              <w:jc w:val="center"/>
              <w:rPr>
                <w:rFonts w:ascii="Arial" w:hAnsi="Arial" w:cs="Arial"/>
                <w:b/>
              </w:rPr>
            </w:pPr>
            <w:r w:rsidRPr="00A44648">
              <w:rPr>
                <w:rFonts w:ascii="Arial" w:hAnsi="Arial" w:cs="Arial"/>
                <w:b/>
              </w:rPr>
              <w:t>15,000</w:t>
            </w:r>
          </w:p>
        </w:tc>
      </w:tr>
      <w:tr w:rsidR="001F6893" w:rsidRPr="00A44648" w14:paraId="3928CE9A" w14:textId="77777777" w:rsidTr="00D748B3">
        <w:trPr>
          <w:jc w:val="center"/>
        </w:trPr>
        <w:tc>
          <w:tcPr>
            <w:tcW w:w="4068" w:type="dxa"/>
            <w:tcBorders>
              <w:top w:val="nil"/>
            </w:tcBorders>
            <w:vAlign w:val="center"/>
          </w:tcPr>
          <w:p w14:paraId="665049DD" w14:textId="77777777" w:rsidR="001F6893" w:rsidRPr="00A44648" w:rsidRDefault="001F6893" w:rsidP="00D748B3">
            <w:pPr>
              <w:spacing w:after="0"/>
              <w:rPr>
                <w:rFonts w:ascii="Arial" w:hAnsi="Arial" w:cs="Arial"/>
                <w:b/>
                <w:lang w:val="es-ES_tradnl"/>
              </w:rPr>
            </w:pPr>
            <w:r w:rsidRPr="00A44648">
              <w:rPr>
                <w:rFonts w:ascii="Arial" w:hAnsi="Arial" w:cs="Arial"/>
                <w:b/>
                <w:lang w:val="es-ES_tradnl"/>
              </w:rPr>
              <w:t xml:space="preserve">Evaluación Final: Análisis Costo-Beneficio </w:t>
            </w:r>
          </w:p>
        </w:tc>
        <w:tc>
          <w:tcPr>
            <w:tcW w:w="360" w:type="dxa"/>
            <w:tcBorders>
              <w:top w:val="nil"/>
            </w:tcBorders>
            <w:shd w:val="clear" w:color="auto" w:fill="auto"/>
            <w:vAlign w:val="center"/>
          </w:tcPr>
          <w:p w14:paraId="312E8704" w14:textId="77777777" w:rsidR="001F6893" w:rsidRPr="00A44648" w:rsidRDefault="001F6893" w:rsidP="00D748B3">
            <w:pPr>
              <w:spacing w:after="0"/>
              <w:jc w:val="center"/>
              <w:rPr>
                <w:rFonts w:ascii="Arial" w:hAnsi="Arial" w:cs="Arial"/>
                <w:lang w:val="es-ES_tradnl"/>
              </w:rPr>
            </w:pPr>
          </w:p>
        </w:tc>
        <w:tc>
          <w:tcPr>
            <w:tcW w:w="360" w:type="dxa"/>
            <w:tcBorders>
              <w:top w:val="nil"/>
            </w:tcBorders>
            <w:shd w:val="clear" w:color="auto" w:fill="auto"/>
            <w:vAlign w:val="center"/>
          </w:tcPr>
          <w:p w14:paraId="60FE7539" w14:textId="77777777" w:rsidR="001F6893" w:rsidRPr="00A44648" w:rsidRDefault="001F6893" w:rsidP="00D748B3">
            <w:pPr>
              <w:spacing w:after="0"/>
              <w:jc w:val="center"/>
              <w:rPr>
                <w:rFonts w:ascii="Arial" w:hAnsi="Arial" w:cs="Arial"/>
                <w:lang w:val="es-ES_tradnl"/>
              </w:rPr>
            </w:pPr>
          </w:p>
        </w:tc>
        <w:tc>
          <w:tcPr>
            <w:tcW w:w="360" w:type="dxa"/>
            <w:tcBorders>
              <w:top w:val="nil"/>
            </w:tcBorders>
            <w:shd w:val="clear" w:color="auto" w:fill="auto"/>
            <w:vAlign w:val="center"/>
          </w:tcPr>
          <w:p w14:paraId="1CE40492" w14:textId="77777777" w:rsidR="001F6893" w:rsidRPr="00A44648" w:rsidRDefault="001F6893" w:rsidP="00D748B3">
            <w:pPr>
              <w:spacing w:after="0"/>
              <w:jc w:val="center"/>
              <w:rPr>
                <w:rFonts w:ascii="Arial" w:hAnsi="Arial" w:cs="Arial"/>
                <w:lang w:val="es-ES_tradnl"/>
              </w:rPr>
            </w:pPr>
          </w:p>
        </w:tc>
        <w:tc>
          <w:tcPr>
            <w:tcW w:w="360" w:type="dxa"/>
            <w:tcBorders>
              <w:top w:val="nil"/>
            </w:tcBorders>
            <w:shd w:val="clear" w:color="auto" w:fill="auto"/>
            <w:vAlign w:val="center"/>
          </w:tcPr>
          <w:p w14:paraId="729007FD" w14:textId="77777777" w:rsidR="001F6893" w:rsidRPr="00A44648" w:rsidRDefault="001F6893" w:rsidP="00D748B3">
            <w:pPr>
              <w:spacing w:after="0"/>
              <w:jc w:val="center"/>
              <w:rPr>
                <w:rFonts w:ascii="Arial" w:hAnsi="Arial" w:cs="Arial"/>
                <w:lang w:val="es-ES_tradnl"/>
              </w:rPr>
            </w:pPr>
          </w:p>
        </w:tc>
        <w:tc>
          <w:tcPr>
            <w:tcW w:w="360" w:type="dxa"/>
            <w:tcBorders>
              <w:top w:val="nil"/>
            </w:tcBorders>
            <w:shd w:val="clear" w:color="auto" w:fill="auto"/>
            <w:vAlign w:val="center"/>
          </w:tcPr>
          <w:p w14:paraId="1A8F6288" w14:textId="77777777" w:rsidR="001F6893" w:rsidRPr="00A44648" w:rsidRDefault="001F6893" w:rsidP="00D748B3">
            <w:pPr>
              <w:spacing w:after="0"/>
              <w:jc w:val="center"/>
              <w:rPr>
                <w:rFonts w:ascii="Arial" w:hAnsi="Arial" w:cs="Arial"/>
                <w:lang w:val="es-ES_tradnl"/>
              </w:rPr>
            </w:pPr>
          </w:p>
        </w:tc>
        <w:tc>
          <w:tcPr>
            <w:tcW w:w="360" w:type="dxa"/>
            <w:tcBorders>
              <w:top w:val="nil"/>
            </w:tcBorders>
            <w:shd w:val="clear" w:color="auto" w:fill="auto"/>
            <w:vAlign w:val="center"/>
          </w:tcPr>
          <w:p w14:paraId="09C3CB5C" w14:textId="77777777" w:rsidR="001F6893" w:rsidRPr="00A44648" w:rsidRDefault="001F6893" w:rsidP="00D748B3">
            <w:pPr>
              <w:spacing w:after="0"/>
              <w:jc w:val="center"/>
              <w:rPr>
                <w:rFonts w:ascii="Arial" w:hAnsi="Arial" w:cs="Arial"/>
                <w:lang w:val="es-ES_tradnl"/>
              </w:rPr>
            </w:pPr>
          </w:p>
        </w:tc>
        <w:tc>
          <w:tcPr>
            <w:tcW w:w="360" w:type="dxa"/>
            <w:tcBorders>
              <w:top w:val="nil"/>
            </w:tcBorders>
            <w:shd w:val="clear" w:color="auto" w:fill="auto"/>
            <w:vAlign w:val="center"/>
          </w:tcPr>
          <w:p w14:paraId="375D34A1" w14:textId="77777777" w:rsidR="001F6893" w:rsidRPr="00A44648" w:rsidRDefault="001F6893" w:rsidP="00D748B3">
            <w:pPr>
              <w:spacing w:after="0"/>
              <w:jc w:val="center"/>
              <w:rPr>
                <w:rFonts w:ascii="Arial" w:hAnsi="Arial" w:cs="Arial"/>
                <w:lang w:val="es-ES_tradnl"/>
              </w:rPr>
            </w:pPr>
          </w:p>
        </w:tc>
        <w:tc>
          <w:tcPr>
            <w:tcW w:w="360" w:type="dxa"/>
            <w:tcBorders>
              <w:top w:val="nil"/>
            </w:tcBorders>
            <w:shd w:val="clear" w:color="auto" w:fill="auto"/>
            <w:vAlign w:val="center"/>
          </w:tcPr>
          <w:p w14:paraId="0DB8E4C6" w14:textId="77777777" w:rsidR="001F6893" w:rsidRPr="00A44648" w:rsidRDefault="001F6893" w:rsidP="00D748B3">
            <w:pPr>
              <w:spacing w:after="0"/>
              <w:jc w:val="center"/>
              <w:rPr>
                <w:rFonts w:ascii="Arial" w:hAnsi="Arial" w:cs="Arial"/>
                <w:lang w:val="es-ES_tradnl"/>
              </w:rPr>
            </w:pPr>
          </w:p>
        </w:tc>
        <w:tc>
          <w:tcPr>
            <w:tcW w:w="360" w:type="dxa"/>
            <w:tcBorders>
              <w:top w:val="nil"/>
            </w:tcBorders>
            <w:shd w:val="clear" w:color="auto" w:fill="auto"/>
            <w:vAlign w:val="center"/>
          </w:tcPr>
          <w:p w14:paraId="092D4312" w14:textId="77777777" w:rsidR="001F6893" w:rsidRPr="00A44648" w:rsidRDefault="001F6893" w:rsidP="00D748B3">
            <w:pPr>
              <w:spacing w:after="0"/>
              <w:jc w:val="center"/>
              <w:rPr>
                <w:rFonts w:ascii="Arial" w:hAnsi="Arial" w:cs="Arial"/>
                <w:lang w:val="es-ES_tradnl"/>
              </w:rPr>
            </w:pPr>
          </w:p>
        </w:tc>
        <w:tc>
          <w:tcPr>
            <w:tcW w:w="360" w:type="dxa"/>
            <w:tcBorders>
              <w:top w:val="nil"/>
            </w:tcBorders>
            <w:shd w:val="clear" w:color="auto" w:fill="auto"/>
            <w:vAlign w:val="center"/>
          </w:tcPr>
          <w:p w14:paraId="2872B36D" w14:textId="77777777" w:rsidR="001F6893" w:rsidRPr="00A44648" w:rsidRDefault="001F6893" w:rsidP="00D748B3">
            <w:pPr>
              <w:spacing w:after="0"/>
              <w:jc w:val="center"/>
              <w:rPr>
                <w:rFonts w:ascii="Arial" w:hAnsi="Arial" w:cs="Arial"/>
                <w:lang w:val="es-ES_tradnl"/>
              </w:rPr>
            </w:pPr>
          </w:p>
        </w:tc>
        <w:tc>
          <w:tcPr>
            <w:tcW w:w="360" w:type="dxa"/>
            <w:tcBorders>
              <w:top w:val="nil"/>
            </w:tcBorders>
            <w:shd w:val="clear" w:color="auto" w:fill="auto"/>
            <w:vAlign w:val="center"/>
          </w:tcPr>
          <w:p w14:paraId="535A24AE" w14:textId="77777777" w:rsidR="001F6893" w:rsidRPr="00A44648" w:rsidRDefault="001F6893" w:rsidP="00D748B3">
            <w:pPr>
              <w:spacing w:after="0"/>
              <w:jc w:val="center"/>
              <w:rPr>
                <w:rFonts w:ascii="Arial" w:hAnsi="Arial" w:cs="Arial"/>
                <w:lang w:val="es-ES_tradnl"/>
              </w:rPr>
            </w:pPr>
          </w:p>
        </w:tc>
        <w:tc>
          <w:tcPr>
            <w:tcW w:w="360" w:type="dxa"/>
            <w:tcBorders>
              <w:top w:val="nil"/>
            </w:tcBorders>
            <w:shd w:val="clear" w:color="auto" w:fill="auto"/>
            <w:vAlign w:val="center"/>
          </w:tcPr>
          <w:p w14:paraId="443DF702" w14:textId="77777777" w:rsidR="001F6893" w:rsidRPr="00A44648" w:rsidRDefault="001F6893" w:rsidP="00D748B3">
            <w:pPr>
              <w:spacing w:after="0"/>
              <w:jc w:val="center"/>
              <w:rPr>
                <w:rFonts w:ascii="Arial" w:hAnsi="Arial" w:cs="Arial"/>
                <w:lang w:val="es-ES_tradnl"/>
              </w:rPr>
            </w:pPr>
          </w:p>
        </w:tc>
        <w:tc>
          <w:tcPr>
            <w:tcW w:w="337" w:type="dxa"/>
            <w:tcBorders>
              <w:top w:val="nil"/>
            </w:tcBorders>
          </w:tcPr>
          <w:p w14:paraId="1839F2BA" w14:textId="77777777" w:rsidR="001F6893" w:rsidRPr="00A44648" w:rsidRDefault="001F6893" w:rsidP="00D748B3">
            <w:pPr>
              <w:spacing w:after="0"/>
              <w:jc w:val="center"/>
              <w:rPr>
                <w:rFonts w:ascii="Arial" w:hAnsi="Arial" w:cs="Arial"/>
                <w:lang w:val="es-ES_tradnl"/>
              </w:rPr>
            </w:pPr>
          </w:p>
        </w:tc>
        <w:tc>
          <w:tcPr>
            <w:tcW w:w="360" w:type="dxa"/>
            <w:tcBorders>
              <w:top w:val="nil"/>
            </w:tcBorders>
          </w:tcPr>
          <w:p w14:paraId="02218BBC" w14:textId="77777777" w:rsidR="001F6893" w:rsidRPr="00A44648" w:rsidRDefault="001F6893" w:rsidP="00D748B3">
            <w:pPr>
              <w:spacing w:after="0"/>
              <w:jc w:val="center"/>
              <w:rPr>
                <w:rFonts w:ascii="Arial" w:hAnsi="Arial" w:cs="Arial"/>
                <w:lang w:val="es-ES_tradnl"/>
              </w:rPr>
            </w:pPr>
          </w:p>
        </w:tc>
        <w:tc>
          <w:tcPr>
            <w:tcW w:w="360" w:type="dxa"/>
            <w:tcBorders>
              <w:top w:val="nil"/>
            </w:tcBorders>
          </w:tcPr>
          <w:p w14:paraId="5BFA6DAF" w14:textId="77777777" w:rsidR="001F6893" w:rsidRPr="00A44648" w:rsidRDefault="001F6893" w:rsidP="00D748B3">
            <w:pPr>
              <w:spacing w:after="0"/>
              <w:jc w:val="center"/>
              <w:rPr>
                <w:rFonts w:ascii="Arial" w:hAnsi="Arial" w:cs="Arial"/>
                <w:lang w:val="es-ES_tradnl"/>
              </w:rPr>
            </w:pPr>
          </w:p>
        </w:tc>
        <w:tc>
          <w:tcPr>
            <w:tcW w:w="360" w:type="dxa"/>
            <w:tcBorders>
              <w:top w:val="nil"/>
            </w:tcBorders>
          </w:tcPr>
          <w:p w14:paraId="314EA9DF" w14:textId="77777777" w:rsidR="001F6893" w:rsidRPr="00A44648" w:rsidRDefault="001F6893" w:rsidP="00D748B3">
            <w:pPr>
              <w:spacing w:after="0"/>
              <w:jc w:val="center"/>
              <w:rPr>
                <w:rFonts w:ascii="Arial" w:hAnsi="Arial" w:cs="Arial"/>
                <w:lang w:val="es-ES_tradnl"/>
              </w:rPr>
            </w:pPr>
          </w:p>
        </w:tc>
        <w:tc>
          <w:tcPr>
            <w:tcW w:w="360" w:type="dxa"/>
            <w:tcBorders>
              <w:top w:val="nil"/>
            </w:tcBorders>
            <w:vAlign w:val="center"/>
          </w:tcPr>
          <w:p w14:paraId="31D78B95" w14:textId="77777777" w:rsidR="001F6893" w:rsidRPr="00A44648" w:rsidRDefault="001F6893" w:rsidP="00D748B3">
            <w:pPr>
              <w:spacing w:after="0"/>
              <w:jc w:val="center"/>
              <w:rPr>
                <w:rFonts w:ascii="Arial" w:hAnsi="Arial" w:cs="Arial"/>
              </w:rPr>
            </w:pPr>
            <w:r w:rsidRPr="00A44648">
              <w:rPr>
                <w:rFonts w:ascii="Arial" w:hAnsi="Arial" w:cs="Arial"/>
              </w:rPr>
              <w:t>X</w:t>
            </w:r>
          </w:p>
        </w:tc>
        <w:tc>
          <w:tcPr>
            <w:tcW w:w="450" w:type="dxa"/>
            <w:tcBorders>
              <w:top w:val="nil"/>
            </w:tcBorders>
            <w:vAlign w:val="center"/>
          </w:tcPr>
          <w:p w14:paraId="3512961E" w14:textId="77777777" w:rsidR="001F6893" w:rsidRPr="00A44648" w:rsidRDefault="001F6893" w:rsidP="00D748B3">
            <w:pPr>
              <w:spacing w:after="0"/>
              <w:jc w:val="center"/>
              <w:rPr>
                <w:rFonts w:ascii="Arial" w:hAnsi="Arial" w:cs="Arial"/>
              </w:rPr>
            </w:pPr>
            <w:r w:rsidRPr="00A44648">
              <w:rPr>
                <w:rFonts w:ascii="Arial" w:hAnsi="Arial" w:cs="Arial"/>
              </w:rPr>
              <w:t>X</w:t>
            </w:r>
          </w:p>
        </w:tc>
        <w:tc>
          <w:tcPr>
            <w:tcW w:w="810" w:type="dxa"/>
            <w:tcBorders>
              <w:top w:val="nil"/>
            </w:tcBorders>
            <w:vAlign w:val="center"/>
          </w:tcPr>
          <w:p w14:paraId="2515BF36" w14:textId="77777777" w:rsidR="001F6893" w:rsidRPr="00A44648" w:rsidRDefault="001F6893" w:rsidP="00D748B3">
            <w:pPr>
              <w:spacing w:after="0"/>
              <w:jc w:val="center"/>
              <w:rPr>
                <w:rFonts w:ascii="Arial" w:hAnsi="Arial" w:cs="Arial"/>
              </w:rPr>
            </w:pPr>
            <w:r w:rsidRPr="00A44648">
              <w:rPr>
                <w:rFonts w:ascii="Arial" w:hAnsi="Arial" w:cs="Arial"/>
              </w:rPr>
              <w:t>(Consul-tant/Firm)</w:t>
            </w:r>
          </w:p>
        </w:tc>
        <w:tc>
          <w:tcPr>
            <w:tcW w:w="1034" w:type="dxa"/>
            <w:tcBorders>
              <w:top w:val="nil"/>
            </w:tcBorders>
            <w:vAlign w:val="center"/>
          </w:tcPr>
          <w:p w14:paraId="4E554AF1" w14:textId="77777777" w:rsidR="001F6893" w:rsidRPr="00A44648" w:rsidRDefault="001F6893" w:rsidP="00D748B3">
            <w:pPr>
              <w:spacing w:after="0"/>
              <w:jc w:val="center"/>
              <w:rPr>
                <w:rFonts w:ascii="Arial" w:hAnsi="Arial" w:cs="Arial"/>
                <w:b/>
              </w:rPr>
            </w:pPr>
            <w:r w:rsidRPr="00A44648">
              <w:rPr>
                <w:rFonts w:ascii="Arial" w:hAnsi="Arial" w:cs="Arial"/>
                <w:b/>
              </w:rPr>
              <w:t>20,000</w:t>
            </w:r>
          </w:p>
        </w:tc>
      </w:tr>
      <w:tr w:rsidR="001F6893" w:rsidRPr="00A44648" w14:paraId="21E180AF" w14:textId="77777777" w:rsidTr="00D748B3">
        <w:trPr>
          <w:jc w:val="center"/>
        </w:trPr>
        <w:tc>
          <w:tcPr>
            <w:tcW w:w="4068" w:type="dxa"/>
            <w:tcBorders>
              <w:top w:val="nil"/>
            </w:tcBorders>
            <w:vAlign w:val="center"/>
          </w:tcPr>
          <w:p w14:paraId="6D8AB59F" w14:textId="77777777" w:rsidR="001F6893" w:rsidRPr="00A44648" w:rsidRDefault="001F6893" w:rsidP="00D748B3">
            <w:pPr>
              <w:spacing w:after="0"/>
              <w:rPr>
                <w:rFonts w:ascii="Arial" w:hAnsi="Arial" w:cs="Arial"/>
                <w:b/>
                <w:lang w:val="es-ES_tradnl"/>
              </w:rPr>
            </w:pPr>
            <w:r w:rsidRPr="00A44648">
              <w:rPr>
                <w:rFonts w:ascii="Arial" w:hAnsi="Arial" w:cs="Arial"/>
                <w:b/>
                <w:lang w:val="es-ES_tradnl"/>
              </w:rPr>
              <w:t>Distribución y discusión del reporte</w:t>
            </w:r>
          </w:p>
        </w:tc>
        <w:tc>
          <w:tcPr>
            <w:tcW w:w="360" w:type="dxa"/>
            <w:tcBorders>
              <w:top w:val="nil"/>
            </w:tcBorders>
            <w:shd w:val="clear" w:color="auto" w:fill="auto"/>
            <w:vAlign w:val="center"/>
          </w:tcPr>
          <w:p w14:paraId="7D668021" w14:textId="77777777" w:rsidR="001F6893" w:rsidRPr="00A44648" w:rsidRDefault="001F6893" w:rsidP="00D748B3">
            <w:pPr>
              <w:spacing w:after="0"/>
              <w:jc w:val="center"/>
              <w:rPr>
                <w:rFonts w:ascii="Arial" w:hAnsi="Arial" w:cs="Arial"/>
                <w:lang w:val="es-ES_tradnl"/>
              </w:rPr>
            </w:pPr>
          </w:p>
        </w:tc>
        <w:tc>
          <w:tcPr>
            <w:tcW w:w="360" w:type="dxa"/>
            <w:tcBorders>
              <w:top w:val="nil"/>
            </w:tcBorders>
            <w:shd w:val="clear" w:color="auto" w:fill="auto"/>
            <w:vAlign w:val="center"/>
          </w:tcPr>
          <w:p w14:paraId="604E7D6E" w14:textId="77777777" w:rsidR="001F6893" w:rsidRPr="00A44648" w:rsidRDefault="001F6893" w:rsidP="00D748B3">
            <w:pPr>
              <w:spacing w:after="0"/>
              <w:jc w:val="center"/>
              <w:rPr>
                <w:rFonts w:ascii="Arial" w:hAnsi="Arial" w:cs="Arial"/>
                <w:lang w:val="es-ES_tradnl"/>
              </w:rPr>
            </w:pPr>
          </w:p>
        </w:tc>
        <w:tc>
          <w:tcPr>
            <w:tcW w:w="360" w:type="dxa"/>
            <w:tcBorders>
              <w:top w:val="nil"/>
            </w:tcBorders>
            <w:shd w:val="clear" w:color="auto" w:fill="auto"/>
            <w:vAlign w:val="center"/>
          </w:tcPr>
          <w:p w14:paraId="3E2EC026" w14:textId="77777777" w:rsidR="001F6893" w:rsidRPr="00A44648" w:rsidRDefault="001F6893" w:rsidP="00D748B3">
            <w:pPr>
              <w:spacing w:after="0"/>
              <w:jc w:val="center"/>
              <w:rPr>
                <w:rFonts w:ascii="Arial" w:hAnsi="Arial" w:cs="Arial"/>
                <w:lang w:val="es-ES_tradnl"/>
              </w:rPr>
            </w:pPr>
          </w:p>
        </w:tc>
        <w:tc>
          <w:tcPr>
            <w:tcW w:w="360" w:type="dxa"/>
            <w:tcBorders>
              <w:top w:val="nil"/>
            </w:tcBorders>
            <w:shd w:val="clear" w:color="auto" w:fill="auto"/>
            <w:vAlign w:val="center"/>
          </w:tcPr>
          <w:p w14:paraId="228E4DD2" w14:textId="77777777" w:rsidR="001F6893" w:rsidRPr="00A44648" w:rsidRDefault="001F6893" w:rsidP="00D748B3">
            <w:pPr>
              <w:spacing w:after="0"/>
              <w:jc w:val="center"/>
              <w:rPr>
                <w:rFonts w:ascii="Arial" w:hAnsi="Arial" w:cs="Arial"/>
                <w:lang w:val="es-ES_tradnl"/>
              </w:rPr>
            </w:pPr>
          </w:p>
        </w:tc>
        <w:tc>
          <w:tcPr>
            <w:tcW w:w="360" w:type="dxa"/>
            <w:tcBorders>
              <w:top w:val="nil"/>
            </w:tcBorders>
            <w:shd w:val="clear" w:color="auto" w:fill="auto"/>
            <w:vAlign w:val="center"/>
          </w:tcPr>
          <w:p w14:paraId="484C26DD" w14:textId="77777777" w:rsidR="001F6893" w:rsidRPr="00A44648" w:rsidRDefault="001F6893" w:rsidP="00D748B3">
            <w:pPr>
              <w:spacing w:after="0"/>
              <w:jc w:val="center"/>
              <w:rPr>
                <w:rFonts w:ascii="Arial" w:hAnsi="Arial" w:cs="Arial"/>
                <w:lang w:val="es-ES_tradnl"/>
              </w:rPr>
            </w:pPr>
          </w:p>
        </w:tc>
        <w:tc>
          <w:tcPr>
            <w:tcW w:w="360" w:type="dxa"/>
            <w:tcBorders>
              <w:top w:val="nil"/>
            </w:tcBorders>
            <w:shd w:val="clear" w:color="auto" w:fill="auto"/>
            <w:vAlign w:val="center"/>
          </w:tcPr>
          <w:p w14:paraId="2C7BC141" w14:textId="77777777" w:rsidR="001F6893" w:rsidRPr="00A44648" w:rsidRDefault="001F6893" w:rsidP="00D748B3">
            <w:pPr>
              <w:spacing w:after="0"/>
              <w:jc w:val="center"/>
              <w:rPr>
                <w:rFonts w:ascii="Arial" w:hAnsi="Arial" w:cs="Arial"/>
                <w:lang w:val="es-ES_tradnl"/>
              </w:rPr>
            </w:pPr>
          </w:p>
        </w:tc>
        <w:tc>
          <w:tcPr>
            <w:tcW w:w="360" w:type="dxa"/>
            <w:tcBorders>
              <w:top w:val="nil"/>
            </w:tcBorders>
            <w:shd w:val="clear" w:color="auto" w:fill="auto"/>
            <w:vAlign w:val="center"/>
          </w:tcPr>
          <w:p w14:paraId="22B1B3B5" w14:textId="77777777" w:rsidR="001F6893" w:rsidRPr="00A44648" w:rsidRDefault="001F6893" w:rsidP="00D748B3">
            <w:pPr>
              <w:spacing w:after="0"/>
              <w:jc w:val="center"/>
              <w:rPr>
                <w:rFonts w:ascii="Arial" w:hAnsi="Arial" w:cs="Arial"/>
                <w:lang w:val="es-ES_tradnl"/>
              </w:rPr>
            </w:pPr>
          </w:p>
        </w:tc>
        <w:tc>
          <w:tcPr>
            <w:tcW w:w="360" w:type="dxa"/>
            <w:tcBorders>
              <w:top w:val="nil"/>
            </w:tcBorders>
            <w:shd w:val="clear" w:color="auto" w:fill="auto"/>
            <w:vAlign w:val="center"/>
          </w:tcPr>
          <w:p w14:paraId="1647D91C" w14:textId="77777777" w:rsidR="001F6893" w:rsidRPr="00A44648" w:rsidRDefault="001F6893" w:rsidP="00D748B3">
            <w:pPr>
              <w:spacing w:after="0"/>
              <w:jc w:val="center"/>
              <w:rPr>
                <w:rFonts w:ascii="Arial" w:hAnsi="Arial" w:cs="Arial"/>
                <w:lang w:val="es-ES_tradnl"/>
              </w:rPr>
            </w:pPr>
          </w:p>
        </w:tc>
        <w:tc>
          <w:tcPr>
            <w:tcW w:w="360" w:type="dxa"/>
            <w:tcBorders>
              <w:top w:val="nil"/>
            </w:tcBorders>
            <w:shd w:val="clear" w:color="auto" w:fill="auto"/>
            <w:vAlign w:val="center"/>
          </w:tcPr>
          <w:p w14:paraId="5D60BD0B" w14:textId="77777777" w:rsidR="001F6893" w:rsidRPr="00A44648" w:rsidRDefault="001F6893" w:rsidP="00D748B3">
            <w:pPr>
              <w:spacing w:after="0"/>
              <w:jc w:val="center"/>
              <w:rPr>
                <w:rFonts w:ascii="Arial" w:hAnsi="Arial" w:cs="Arial"/>
                <w:lang w:val="es-ES_tradnl"/>
              </w:rPr>
            </w:pPr>
          </w:p>
        </w:tc>
        <w:tc>
          <w:tcPr>
            <w:tcW w:w="360" w:type="dxa"/>
            <w:tcBorders>
              <w:top w:val="nil"/>
            </w:tcBorders>
            <w:shd w:val="clear" w:color="auto" w:fill="auto"/>
            <w:vAlign w:val="center"/>
          </w:tcPr>
          <w:p w14:paraId="63413FD6" w14:textId="77777777" w:rsidR="001F6893" w:rsidRPr="00A44648" w:rsidRDefault="001F6893" w:rsidP="00D748B3">
            <w:pPr>
              <w:spacing w:after="0"/>
              <w:jc w:val="center"/>
              <w:rPr>
                <w:rFonts w:ascii="Arial" w:hAnsi="Arial" w:cs="Arial"/>
                <w:lang w:val="es-ES_tradnl"/>
              </w:rPr>
            </w:pPr>
          </w:p>
        </w:tc>
        <w:tc>
          <w:tcPr>
            <w:tcW w:w="360" w:type="dxa"/>
            <w:tcBorders>
              <w:top w:val="nil"/>
            </w:tcBorders>
            <w:shd w:val="clear" w:color="auto" w:fill="auto"/>
            <w:vAlign w:val="center"/>
          </w:tcPr>
          <w:p w14:paraId="593AE3B6" w14:textId="77777777" w:rsidR="001F6893" w:rsidRPr="00A44648" w:rsidRDefault="001F6893" w:rsidP="00D748B3">
            <w:pPr>
              <w:spacing w:after="0"/>
              <w:jc w:val="center"/>
              <w:rPr>
                <w:rFonts w:ascii="Arial" w:hAnsi="Arial" w:cs="Arial"/>
                <w:lang w:val="es-ES_tradnl"/>
              </w:rPr>
            </w:pPr>
          </w:p>
        </w:tc>
        <w:tc>
          <w:tcPr>
            <w:tcW w:w="360" w:type="dxa"/>
            <w:tcBorders>
              <w:top w:val="nil"/>
            </w:tcBorders>
            <w:shd w:val="clear" w:color="auto" w:fill="auto"/>
            <w:vAlign w:val="center"/>
          </w:tcPr>
          <w:p w14:paraId="433E9755" w14:textId="77777777" w:rsidR="001F6893" w:rsidRPr="00A44648" w:rsidRDefault="001F6893" w:rsidP="00D748B3">
            <w:pPr>
              <w:spacing w:after="0"/>
              <w:jc w:val="center"/>
              <w:rPr>
                <w:rFonts w:ascii="Arial" w:hAnsi="Arial" w:cs="Arial"/>
                <w:lang w:val="es-ES_tradnl"/>
              </w:rPr>
            </w:pPr>
          </w:p>
        </w:tc>
        <w:tc>
          <w:tcPr>
            <w:tcW w:w="337" w:type="dxa"/>
            <w:tcBorders>
              <w:top w:val="nil"/>
            </w:tcBorders>
          </w:tcPr>
          <w:p w14:paraId="53406607" w14:textId="77777777" w:rsidR="001F6893" w:rsidRPr="00A44648" w:rsidRDefault="001F6893" w:rsidP="00D748B3">
            <w:pPr>
              <w:spacing w:after="0"/>
              <w:jc w:val="center"/>
              <w:rPr>
                <w:rFonts w:ascii="Arial" w:hAnsi="Arial" w:cs="Arial"/>
                <w:lang w:val="es-ES_tradnl"/>
              </w:rPr>
            </w:pPr>
          </w:p>
        </w:tc>
        <w:tc>
          <w:tcPr>
            <w:tcW w:w="360" w:type="dxa"/>
            <w:tcBorders>
              <w:top w:val="nil"/>
            </w:tcBorders>
          </w:tcPr>
          <w:p w14:paraId="689705B0" w14:textId="77777777" w:rsidR="001F6893" w:rsidRPr="00A44648" w:rsidRDefault="001F6893" w:rsidP="00D748B3">
            <w:pPr>
              <w:spacing w:after="0"/>
              <w:jc w:val="center"/>
              <w:rPr>
                <w:rFonts w:ascii="Arial" w:hAnsi="Arial" w:cs="Arial"/>
                <w:lang w:val="es-ES_tradnl"/>
              </w:rPr>
            </w:pPr>
          </w:p>
        </w:tc>
        <w:tc>
          <w:tcPr>
            <w:tcW w:w="360" w:type="dxa"/>
            <w:tcBorders>
              <w:top w:val="nil"/>
            </w:tcBorders>
          </w:tcPr>
          <w:p w14:paraId="04C22767" w14:textId="77777777" w:rsidR="001F6893" w:rsidRPr="00A44648" w:rsidRDefault="001F6893" w:rsidP="00D748B3">
            <w:pPr>
              <w:spacing w:after="0"/>
              <w:jc w:val="center"/>
              <w:rPr>
                <w:rFonts w:ascii="Arial" w:hAnsi="Arial" w:cs="Arial"/>
                <w:lang w:val="es-ES_tradnl"/>
              </w:rPr>
            </w:pPr>
          </w:p>
        </w:tc>
        <w:tc>
          <w:tcPr>
            <w:tcW w:w="360" w:type="dxa"/>
            <w:tcBorders>
              <w:top w:val="nil"/>
            </w:tcBorders>
          </w:tcPr>
          <w:p w14:paraId="276E5490" w14:textId="77777777" w:rsidR="001F6893" w:rsidRPr="00A44648" w:rsidRDefault="001F6893" w:rsidP="00D748B3">
            <w:pPr>
              <w:spacing w:after="0"/>
              <w:jc w:val="center"/>
              <w:rPr>
                <w:rFonts w:ascii="Arial" w:hAnsi="Arial" w:cs="Arial"/>
                <w:lang w:val="es-ES_tradnl"/>
              </w:rPr>
            </w:pPr>
          </w:p>
        </w:tc>
        <w:tc>
          <w:tcPr>
            <w:tcW w:w="360" w:type="dxa"/>
            <w:tcBorders>
              <w:top w:val="nil"/>
            </w:tcBorders>
            <w:vAlign w:val="center"/>
          </w:tcPr>
          <w:p w14:paraId="4EAEF05A" w14:textId="77777777" w:rsidR="001F6893" w:rsidRPr="00A44648" w:rsidRDefault="001F6893" w:rsidP="00D748B3">
            <w:pPr>
              <w:spacing w:after="0"/>
              <w:jc w:val="center"/>
              <w:rPr>
                <w:rFonts w:ascii="Arial" w:hAnsi="Arial" w:cs="Arial"/>
              </w:rPr>
            </w:pPr>
            <w:r w:rsidRPr="00A44648">
              <w:rPr>
                <w:rFonts w:ascii="Arial" w:hAnsi="Arial" w:cs="Arial"/>
              </w:rPr>
              <w:t>X</w:t>
            </w:r>
          </w:p>
        </w:tc>
        <w:tc>
          <w:tcPr>
            <w:tcW w:w="450" w:type="dxa"/>
            <w:tcBorders>
              <w:top w:val="nil"/>
            </w:tcBorders>
            <w:vAlign w:val="center"/>
          </w:tcPr>
          <w:p w14:paraId="284796F2" w14:textId="77777777" w:rsidR="001F6893" w:rsidRPr="00A44648" w:rsidRDefault="001F6893" w:rsidP="00D748B3">
            <w:pPr>
              <w:spacing w:after="0"/>
              <w:jc w:val="center"/>
              <w:rPr>
                <w:rFonts w:ascii="Arial" w:hAnsi="Arial" w:cs="Arial"/>
              </w:rPr>
            </w:pPr>
            <w:r w:rsidRPr="00A44648">
              <w:rPr>
                <w:rFonts w:ascii="Arial" w:hAnsi="Arial" w:cs="Arial"/>
              </w:rPr>
              <w:t>X</w:t>
            </w:r>
          </w:p>
        </w:tc>
        <w:tc>
          <w:tcPr>
            <w:tcW w:w="810" w:type="dxa"/>
            <w:tcBorders>
              <w:top w:val="nil"/>
            </w:tcBorders>
            <w:vAlign w:val="center"/>
          </w:tcPr>
          <w:p w14:paraId="5D768B1E" w14:textId="77777777" w:rsidR="001F6893" w:rsidRPr="00A44648" w:rsidRDefault="001F6893" w:rsidP="00D748B3">
            <w:pPr>
              <w:spacing w:after="0"/>
              <w:jc w:val="center"/>
              <w:rPr>
                <w:rFonts w:ascii="Arial" w:hAnsi="Arial" w:cs="Arial"/>
              </w:rPr>
            </w:pPr>
            <w:r w:rsidRPr="00A44648">
              <w:rPr>
                <w:rFonts w:ascii="Arial" w:hAnsi="Arial" w:cs="Arial"/>
              </w:rPr>
              <w:t>NAFIN/ IDB</w:t>
            </w:r>
          </w:p>
        </w:tc>
        <w:tc>
          <w:tcPr>
            <w:tcW w:w="1034" w:type="dxa"/>
            <w:tcBorders>
              <w:top w:val="nil"/>
            </w:tcBorders>
            <w:vAlign w:val="center"/>
          </w:tcPr>
          <w:p w14:paraId="27C3E97F" w14:textId="77777777" w:rsidR="001F6893" w:rsidRPr="00A44648" w:rsidRDefault="001F6893" w:rsidP="00D748B3">
            <w:pPr>
              <w:spacing w:after="0"/>
              <w:jc w:val="center"/>
              <w:rPr>
                <w:rFonts w:ascii="Arial" w:hAnsi="Arial" w:cs="Arial"/>
                <w:b/>
              </w:rPr>
            </w:pPr>
            <w:r w:rsidRPr="00A44648">
              <w:rPr>
                <w:rFonts w:ascii="Arial" w:hAnsi="Arial" w:cs="Arial"/>
                <w:b/>
              </w:rPr>
              <w:t>5,000</w:t>
            </w:r>
          </w:p>
        </w:tc>
      </w:tr>
      <w:tr w:rsidR="001F6893" w:rsidRPr="00A44648" w14:paraId="0F8094D1" w14:textId="77777777" w:rsidTr="00D748B3">
        <w:trPr>
          <w:trHeight w:val="80"/>
          <w:jc w:val="center"/>
        </w:trPr>
        <w:tc>
          <w:tcPr>
            <w:tcW w:w="4068" w:type="dxa"/>
            <w:tcBorders>
              <w:top w:val="single" w:sz="4" w:space="0" w:color="auto"/>
              <w:left w:val="nil"/>
              <w:bottom w:val="nil"/>
              <w:right w:val="nil"/>
            </w:tcBorders>
          </w:tcPr>
          <w:p w14:paraId="6312815B" w14:textId="77777777" w:rsidR="001F6893" w:rsidRPr="00A44648" w:rsidRDefault="001F6893" w:rsidP="00D748B3">
            <w:pPr>
              <w:spacing w:after="0"/>
              <w:jc w:val="center"/>
              <w:rPr>
                <w:rFonts w:ascii="Arial" w:hAnsi="Arial" w:cs="Arial"/>
                <w:b/>
              </w:rPr>
            </w:pPr>
          </w:p>
        </w:tc>
        <w:tc>
          <w:tcPr>
            <w:tcW w:w="720" w:type="dxa"/>
            <w:gridSpan w:val="2"/>
            <w:tcBorders>
              <w:top w:val="single" w:sz="4" w:space="0" w:color="auto"/>
              <w:left w:val="nil"/>
              <w:bottom w:val="nil"/>
              <w:right w:val="nil"/>
            </w:tcBorders>
            <w:vAlign w:val="center"/>
          </w:tcPr>
          <w:p w14:paraId="57F95A59" w14:textId="77777777" w:rsidR="001F6893" w:rsidRPr="00A44648" w:rsidRDefault="001F6893" w:rsidP="00D748B3">
            <w:pPr>
              <w:spacing w:after="0"/>
              <w:jc w:val="center"/>
              <w:rPr>
                <w:rFonts w:ascii="Arial" w:hAnsi="Arial" w:cs="Arial"/>
              </w:rPr>
            </w:pPr>
          </w:p>
        </w:tc>
        <w:tc>
          <w:tcPr>
            <w:tcW w:w="720" w:type="dxa"/>
            <w:gridSpan w:val="2"/>
            <w:tcBorders>
              <w:top w:val="single" w:sz="4" w:space="0" w:color="auto"/>
              <w:left w:val="nil"/>
              <w:bottom w:val="nil"/>
              <w:right w:val="nil"/>
            </w:tcBorders>
            <w:vAlign w:val="center"/>
          </w:tcPr>
          <w:p w14:paraId="140BDD74" w14:textId="77777777" w:rsidR="001F6893" w:rsidRPr="00A44648" w:rsidRDefault="001F6893" w:rsidP="00D748B3">
            <w:pPr>
              <w:spacing w:after="0"/>
              <w:jc w:val="center"/>
              <w:rPr>
                <w:rFonts w:ascii="Arial" w:hAnsi="Arial" w:cs="Arial"/>
              </w:rPr>
            </w:pPr>
          </w:p>
        </w:tc>
        <w:tc>
          <w:tcPr>
            <w:tcW w:w="720" w:type="dxa"/>
            <w:gridSpan w:val="2"/>
            <w:tcBorders>
              <w:top w:val="single" w:sz="4" w:space="0" w:color="auto"/>
              <w:left w:val="nil"/>
              <w:bottom w:val="nil"/>
              <w:right w:val="nil"/>
            </w:tcBorders>
            <w:vAlign w:val="center"/>
          </w:tcPr>
          <w:p w14:paraId="263B6BCE" w14:textId="77777777" w:rsidR="001F6893" w:rsidRPr="00A44648" w:rsidRDefault="001F6893" w:rsidP="00D748B3">
            <w:pPr>
              <w:spacing w:after="0"/>
              <w:jc w:val="center"/>
              <w:rPr>
                <w:rFonts w:ascii="Arial" w:hAnsi="Arial" w:cs="Arial"/>
              </w:rPr>
            </w:pPr>
          </w:p>
        </w:tc>
        <w:tc>
          <w:tcPr>
            <w:tcW w:w="720" w:type="dxa"/>
            <w:gridSpan w:val="2"/>
            <w:tcBorders>
              <w:top w:val="single" w:sz="4" w:space="0" w:color="auto"/>
              <w:left w:val="nil"/>
              <w:bottom w:val="nil"/>
              <w:right w:val="nil"/>
            </w:tcBorders>
            <w:vAlign w:val="center"/>
          </w:tcPr>
          <w:p w14:paraId="50A38E4F" w14:textId="77777777" w:rsidR="001F6893" w:rsidRPr="00A44648" w:rsidRDefault="001F6893" w:rsidP="00D748B3">
            <w:pPr>
              <w:spacing w:after="0"/>
              <w:jc w:val="center"/>
              <w:rPr>
                <w:rFonts w:ascii="Arial" w:hAnsi="Arial" w:cs="Arial"/>
              </w:rPr>
            </w:pPr>
          </w:p>
        </w:tc>
        <w:tc>
          <w:tcPr>
            <w:tcW w:w="2857" w:type="dxa"/>
            <w:gridSpan w:val="8"/>
            <w:tcBorders>
              <w:top w:val="single" w:sz="4" w:space="0" w:color="auto"/>
              <w:left w:val="nil"/>
              <w:bottom w:val="nil"/>
              <w:right w:val="nil"/>
            </w:tcBorders>
            <w:vAlign w:val="center"/>
          </w:tcPr>
          <w:p w14:paraId="2D9749B0" w14:textId="77777777" w:rsidR="001F6893" w:rsidRPr="00A44648" w:rsidRDefault="001F6893" w:rsidP="00D748B3">
            <w:pPr>
              <w:spacing w:after="0"/>
              <w:jc w:val="center"/>
              <w:rPr>
                <w:rFonts w:ascii="Arial" w:hAnsi="Arial" w:cs="Arial"/>
              </w:rPr>
            </w:pPr>
          </w:p>
        </w:tc>
        <w:tc>
          <w:tcPr>
            <w:tcW w:w="1620" w:type="dxa"/>
            <w:gridSpan w:val="3"/>
            <w:tcBorders>
              <w:left w:val="single" w:sz="4" w:space="0" w:color="auto"/>
            </w:tcBorders>
          </w:tcPr>
          <w:p w14:paraId="1FF2A860" w14:textId="77777777" w:rsidR="001F6893" w:rsidRPr="00A44648" w:rsidRDefault="001F6893" w:rsidP="00D748B3">
            <w:pPr>
              <w:spacing w:after="0"/>
              <w:jc w:val="center"/>
              <w:rPr>
                <w:rFonts w:ascii="Arial" w:hAnsi="Arial" w:cs="Arial"/>
                <w:b/>
              </w:rPr>
            </w:pPr>
            <w:r w:rsidRPr="00A44648">
              <w:rPr>
                <w:rFonts w:ascii="Arial" w:hAnsi="Arial" w:cs="Arial"/>
                <w:b/>
              </w:rPr>
              <w:t>Total</w:t>
            </w:r>
          </w:p>
        </w:tc>
        <w:tc>
          <w:tcPr>
            <w:tcW w:w="1034" w:type="dxa"/>
            <w:vAlign w:val="center"/>
          </w:tcPr>
          <w:p w14:paraId="3B3230A2" w14:textId="77777777" w:rsidR="001F6893" w:rsidRPr="00A44648" w:rsidRDefault="001F6893" w:rsidP="00D748B3">
            <w:pPr>
              <w:spacing w:after="0"/>
              <w:jc w:val="center"/>
              <w:rPr>
                <w:rFonts w:ascii="Arial" w:hAnsi="Arial" w:cs="Arial"/>
                <w:b/>
              </w:rPr>
            </w:pPr>
            <w:r w:rsidRPr="00A44648">
              <w:rPr>
                <w:rFonts w:ascii="Arial" w:hAnsi="Arial" w:cs="Arial"/>
                <w:b/>
              </w:rPr>
              <w:t>80,000</w:t>
            </w:r>
          </w:p>
        </w:tc>
      </w:tr>
    </w:tbl>
    <w:p w14:paraId="52D9C0DC" w14:textId="77777777" w:rsidR="00D85573" w:rsidRPr="00A44648" w:rsidRDefault="00D85573" w:rsidP="004424E9">
      <w:pPr>
        <w:pStyle w:val="Paragraph"/>
        <w:tabs>
          <w:tab w:val="clear" w:pos="720"/>
        </w:tabs>
        <w:ind w:left="0" w:firstLine="0"/>
        <w:rPr>
          <w:rFonts w:ascii="Arial" w:hAnsi="Arial" w:cs="Arial"/>
          <w:sz w:val="22"/>
          <w:lang w:val="en-US"/>
        </w:rPr>
      </w:pPr>
    </w:p>
    <w:sectPr w:rsidR="00D85573" w:rsidRPr="00A44648" w:rsidSect="001F689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DF5E9" w14:textId="77777777" w:rsidR="001B2D6E" w:rsidRDefault="001B2D6E" w:rsidP="000B27AA">
      <w:pPr>
        <w:spacing w:after="0" w:line="240" w:lineRule="auto"/>
      </w:pPr>
      <w:r>
        <w:separator/>
      </w:r>
    </w:p>
  </w:endnote>
  <w:endnote w:type="continuationSeparator" w:id="0">
    <w:p w14:paraId="4DDBB74B" w14:textId="77777777" w:rsidR="001B2D6E" w:rsidRDefault="001B2D6E" w:rsidP="000B2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Arial Unicode M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C9B44" w14:textId="77777777" w:rsidR="00D748B3" w:rsidRDefault="00D748B3">
    <w:pPr>
      <w:pStyle w:val="Footer"/>
      <w:framePr w:wrap="around" w:vAnchor="text" w:hAnchor="margin" w:xAlign="right" w:y="1"/>
      <w:rPr>
        <w:rStyle w:val="PageNumber"/>
      </w:rPr>
    </w:pPr>
  </w:p>
  <w:p w14:paraId="587D44A3" w14:textId="77777777" w:rsidR="00D748B3" w:rsidRDefault="00D748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A1038" w14:textId="77777777" w:rsidR="00D748B3" w:rsidRDefault="00D748B3">
    <w:pPr>
      <w:pStyle w:val="Footer"/>
      <w:rPr>
        <w:sz w:val="16"/>
      </w:rPr>
    </w:pPr>
  </w:p>
  <w:p w14:paraId="428CF3E2" w14:textId="7257C6F5" w:rsidR="00D748B3" w:rsidRDefault="00D748B3">
    <w:pPr>
      <w:pStyle w:val="Footer"/>
    </w:pPr>
    <w:r w:rsidRPr="4183E0E2">
      <w:fldChar w:fldCharType="begin"/>
    </w:r>
    <w:r w:rsidRPr="0006112F">
      <w:rPr>
        <w:sz w:val="16"/>
        <w:lang w:val="en-US"/>
      </w:rPr>
      <w:instrText xml:space="preserve"> REF Book15 </w:instrText>
    </w:r>
    <w:r w:rsidRPr="4183E0E2">
      <w:rPr>
        <w:sz w:val="16"/>
      </w:rPr>
      <w:fldChar w:fldCharType="separate"/>
    </w:r>
    <w:r>
      <w:rPr>
        <w:b/>
        <w:bCs/>
        <w:sz w:val="16"/>
        <w:lang w:val="en-US"/>
      </w:rPr>
      <w:t>Error! Reference source not found.</w:t>
    </w:r>
    <w:r w:rsidRPr="4183E0E2">
      <w:fldChar w:fldCharType="end"/>
    </w:r>
    <w:r>
      <w:fldChar w:fldCharType="begin"/>
    </w:r>
    <w:r w:rsidRPr="0006112F">
      <w:rPr>
        <w:caps/>
        <w:sz w:val="16"/>
        <w:lang w:val="en-US"/>
      </w:rPr>
      <w:instrText xml:space="preserve"> MACROBUTTON AllCaps \RESUMEN EJECUTIVO </w:instrText>
    </w:r>
    <w:r>
      <w:rPr>
        <w:caps/>
        <w:sz w:val="16"/>
      </w:rPr>
      <w:fldChar w:fldCharType="end"/>
    </w:r>
    <w:r w:rsidRPr="0006112F">
      <w:rPr>
        <w:sz w:val="16"/>
        <w:lang w:val="en-US"/>
      </w:rPr>
      <w:tab/>
    </w:r>
    <w:r w:rsidRPr="0006112F">
      <w:rPr>
        <w:sz w:val="16"/>
        <w:lang w:val="en-US"/>
      </w:rPr>
      <w:tab/>
    </w:r>
    <w:r w:rsidRPr="4183E0E2">
      <w:rPr>
        <w:noProof/>
        <w:sz w:val="16"/>
        <w:szCs w:val="16"/>
        <w:lang w:val="es-ES"/>
      </w:rPr>
      <w:t>20/07/2016 17:56:00</w:t>
    </w:r>
    <w:r w:rsidRPr="4183E0E2">
      <w:t>￼</w:t>
    </w:r>
    <w:fldSimple w:instr=" SAVEDATE  \* MERGEFORMAT ">
      <w:r w:rsidR="00DC3A1A" w:rsidRPr="00DC3A1A">
        <w:rPr>
          <w:noProof/>
          <w:sz w:val="16"/>
        </w:rPr>
        <w:t>05/04/2018 11:39:00</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BA807D" w14:textId="77777777" w:rsidR="001B2D6E" w:rsidRDefault="001B2D6E" w:rsidP="000B27AA">
      <w:pPr>
        <w:spacing w:after="0" w:line="240" w:lineRule="auto"/>
      </w:pPr>
      <w:r>
        <w:separator/>
      </w:r>
    </w:p>
  </w:footnote>
  <w:footnote w:type="continuationSeparator" w:id="0">
    <w:p w14:paraId="3C863B87" w14:textId="77777777" w:rsidR="001B2D6E" w:rsidRDefault="001B2D6E" w:rsidP="000B27AA">
      <w:pPr>
        <w:spacing w:after="0" w:line="240" w:lineRule="auto"/>
      </w:pPr>
      <w:r>
        <w:continuationSeparator/>
      </w:r>
    </w:p>
  </w:footnote>
  <w:footnote w:id="1">
    <w:p w14:paraId="04B044F3" w14:textId="77777777" w:rsidR="00D748B3" w:rsidRPr="00490DFE" w:rsidRDefault="00D748B3" w:rsidP="009F7D00">
      <w:pPr>
        <w:pStyle w:val="FootnoteText"/>
        <w:spacing w:after="0"/>
        <w:rPr>
          <w:sz w:val="18"/>
          <w:szCs w:val="18"/>
        </w:rPr>
      </w:pPr>
      <w:r w:rsidRPr="00490DFE">
        <w:rPr>
          <w:rStyle w:val="FootnoteReference"/>
          <w:sz w:val="18"/>
          <w:szCs w:val="18"/>
        </w:rPr>
        <w:footnoteRef/>
      </w:r>
      <w:r w:rsidRPr="00490DFE">
        <w:rPr>
          <w:sz w:val="18"/>
          <w:szCs w:val="18"/>
        </w:rPr>
        <w:t xml:space="preserve"> </w:t>
      </w:r>
      <w:r w:rsidRPr="00490DFE">
        <w:rPr>
          <w:sz w:val="18"/>
          <w:szCs w:val="18"/>
        </w:rPr>
        <w:tab/>
        <w:t>La exploración de diámetro reducido son orificios de perforación angostos y poco profundos, usualmente menores de 500 metros de profundidad y menos de 6 pulgadas de diámetro, perforados para medir el aumento de temperatura con la profundidad.</w:t>
      </w:r>
    </w:p>
  </w:footnote>
  <w:footnote w:id="2">
    <w:p w14:paraId="7951CEC1" w14:textId="77777777" w:rsidR="00D748B3" w:rsidRPr="0060359C" w:rsidRDefault="00D748B3" w:rsidP="009F7D00">
      <w:pPr>
        <w:pStyle w:val="FootnoteText"/>
        <w:spacing w:after="0"/>
      </w:pPr>
      <w:r w:rsidRPr="00490DFE">
        <w:rPr>
          <w:rStyle w:val="FootnoteReference"/>
          <w:sz w:val="18"/>
          <w:szCs w:val="18"/>
        </w:rPr>
        <w:footnoteRef/>
      </w:r>
      <w:r w:rsidRPr="00490DFE">
        <w:rPr>
          <w:sz w:val="18"/>
          <w:szCs w:val="18"/>
        </w:rPr>
        <w:t xml:space="preserve"> </w:t>
      </w:r>
      <w:r w:rsidRPr="00490DFE">
        <w:rPr>
          <w:sz w:val="18"/>
          <w:szCs w:val="18"/>
        </w:rPr>
        <w:tab/>
        <w:t>Lo pozos de diámetro comercial (o real) podría tener profundidad de 1.5 a 3.5 km y tener un diámetro interior del orificio de 6 a 8 pulgadas; el diámetro superior (en la superficie) puede ser mayor a 20 pulgadas.</w:t>
      </w:r>
    </w:p>
  </w:footnote>
  <w:footnote w:id="3">
    <w:p w14:paraId="5275AFF5" w14:textId="77777777" w:rsidR="00D748B3" w:rsidRPr="00490DFE" w:rsidRDefault="00D748B3" w:rsidP="009F7D00">
      <w:pPr>
        <w:pStyle w:val="FootnoteText"/>
        <w:spacing w:after="0"/>
        <w:ind w:left="187" w:hanging="187"/>
        <w:rPr>
          <w:sz w:val="18"/>
          <w:szCs w:val="18"/>
        </w:rPr>
      </w:pPr>
      <w:r w:rsidRPr="00490DFE">
        <w:rPr>
          <w:rStyle w:val="FootnoteReference"/>
          <w:sz w:val="18"/>
          <w:szCs w:val="18"/>
        </w:rPr>
        <w:footnoteRef/>
      </w:r>
      <w:r w:rsidRPr="00490DFE">
        <w:rPr>
          <w:sz w:val="18"/>
          <w:szCs w:val="18"/>
        </w:rPr>
        <w:t xml:space="preserve"> </w:t>
      </w:r>
      <w:r w:rsidRPr="00490DFE">
        <w:rPr>
          <w:sz w:val="18"/>
          <w:szCs w:val="18"/>
        </w:rPr>
        <w:tab/>
        <w:t>Valor aproximado de 150 millones de pesos mexicanos, que fue calculado en base a una tasa de conversión promedio de 13 pesos mexicanos por dólar estadounidense en mayo de 2014.</w:t>
      </w:r>
    </w:p>
  </w:footnote>
  <w:footnote w:id="4">
    <w:p w14:paraId="07EC2EF0" w14:textId="77777777" w:rsidR="00D748B3" w:rsidRPr="00490DFE" w:rsidRDefault="00D748B3" w:rsidP="009F7D00">
      <w:pPr>
        <w:pStyle w:val="FootnoteText"/>
        <w:rPr>
          <w:sz w:val="18"/>
          <w:szCs w:val="18"/>
        </w:rPr>
      </w:pPr>
      <w:r w:rsidRPr="00490DFE">
        <w:rPr>
          <w:rStyle w:val="FootnoteReference"/>
          <w:sz w:val="18"/>
          <w:szCs w:val="18"/>
        </w:rPr>
        <w:footnoteRef/>
      </w:r>
      <w:r w:rsidRPr="00490DFE">
        <w:rPr>
          <w:sz w:val="18"/>
          <w:szCs w:val="18"/>
        </w:rPr>
        <w:t xml:space="preserve"> </w:t>
      </w:r>
      <w:r>
        <w:rPr>
          <w:sz w:val="18"/>
          <w:szCs w:val="18"/>
        </w:rPr>
        <w:tab/>
      </w:r>
      <w:r w:rsidRPr="00490DFE">
        <w:rPr>
          <w:sz w:val="18"/>
          <w:szCs w:val="18"/>
        </w:rPr>
        <w:t xml:space="preserve">El Prestatario, con anuencia del Garante, </w:t>
      </w:r>
      <w:r>
        <w:rPr>
          <w:sz w:val="18"/>
          <w:szCs w:val="18"/>
        </w:rPr>
        <w:t xml:space="preserve">estará enviando próximamente al Banco una </w:t>
      </w:r>
      <w:r w:rsidRPr="00490DFE">
        <w:rPr>
          <w:sz w:val="18"/>
          <w:szCs w:val="18"/>
        </w:rPr>
        <w:t xml:space="preserve">comunicación </w:t>
      </w:r>
      <w:r>
        <w:rPr>
          <w:sz w:val="18"/>
          <w:szCs w:val="18"/>
        </w:rPr>
        <w:t xml:space="preserve">mediante la cual renunciará a los recursos del préstamo </w:t>
      </w:r>
      <w:r w:rsidRPr="00490DFE">
        <w:rPr>
          <w:sz w:val="18"/>
          <w:szCs w:val="18"/>
        </w:rPr>
        <w:t>3179/TC-ME.</w:t>
      </w:r>
    </w:p>
  </w:footnote>
  <w:footnote w:id="5">
    <w:p w14:paraId="0AD15401" w14:textId="77777777" w:rsidR="00D748B3" w:rsidRPr="00320B02" w:rsidRDefault="00D748B3" w:rsidP="003532D3">
      <w:pPr>
        <w:pStyle w:val="FootnoteText"/>
        <w:spacing w:after="0"/>
      </w:pPr>
      <w:r>
        <w:rPr>
          <w:rStyle w:val="FootnoteReference"/>
        </w:rPr>
        <w:footnoteRef/>
      </w:r>
      <w:r w:rsidRPr="00320B02">
        <w:t xml:space="preserve"> </w:t>
      </w:r>
      <w:r>
        <w:t>Todas las cifras son acumuladas</w:t>
      </w:r>
      <w:r w:rsidRPr="00320B02">
        <w:t>.</w:t>
      </w:r>
    </w:p>
  </w:footnote>
  <w:footnote w:id="6">
    <w:p w14:paraId="1B90614A" w14:textId="77777777" w:rsidR="00D748B3" w:rsidRDefault="00D748B3" w:rsidP="001C6ECD">
      <w:pPr>
        <w:pStyle w:val="FootnoteText"/>
        <w:rPr>
          <w:rFonts w:ascii="Arial" w:hAnsi="Arial" w:cs="Arial"/>
        </w:rPr>
      </w:pPr>
      <w:r>
        <w:rPr>
          <w:rStyle w:val="FootnoteReference"/>
          <w:rFonts w:ascii="Arial" w:hAnsi="Arial" w:cs="Arial"/>
          <w:sz w:val="18"/>
        </w:rPr>
        <w:footnoteRef/>
      </w:r>
      <w:r>
        <w:rPr>
          <w:rFonts w:ascii="Arial" w:hAnsi="Arial" w:cs="Arial"/>
          <w:sz w:val="18"/>
        </w:rPr>
        <w:t xml:space="preserve"> Para términos prácticos, el análisis asume que se desarrollarán 30MW en dos plantas de generación geotérmica con un promedio de 15MW de capacidad instalada cada una de ellas. </w:t>
      </w:r>
    </w:p>
  </w:footnote>
  <w:footnote w:id="7">
    <w:p w14:paraId="0CF10CD5" w14:textId="77777777" w:rsidR="00D748B3" w:rsidRDefault="00D748B3" w:rsidP="00320B02">
      <w:pPr>
        <w:pStyle w:val="FootnoteText"/>
        <w:spacing w:after="0"/>
        <w:ind w:left="180" w:hanging="180"/>
      </w:pPr>
      <w:r w:rsidRPr="009F342E">
        <w:rPr>
          <w:rStyle w:val="FootnoteReference"/>
          <w:sz w:val="18"/>
          <w:szCs w:val="18"/>
        </w:rPr>
        <w:footnoteRef/>
      </w:r>
      <w:r w:rsidRPr="009F342E">
        <w:rPr>
          <w:sz w:val="18"/>
          <w:szCs w:val="18"/>
        </w:rPr>
        <w:t xml:space="preserve"> </w:t>
      </w:r>
      <w:r>
        <w:rPr>
          <w:sz w:val="18"/>
          <w:szCs w:val="18"/>
        </w:rPr>
        <w:tab/>
      </w:r>
      <w:r w:rsidRPr="00CE648B">
        <w:rPr>
          <w:sz w:val="18"/>
          <w:szCs w:val="18"/>
        </w:rPr>
        <w:t xml:space="preserve">Los principales impactos y riesgos ambientales y sociales relacionados con los proyectos geotérmicos son: la contaminación causada por los fluidos de perforación y </w:t>
      </w:r>
      <w:r w:rsidRPr="00476C7E">
        <w:rPr>
          <w:sz w:val="18"/>
          <w:szCs w:val="18"/>
        </w:rPr>
        <w:t xml:space="preserve">lodos extraídos que pueden contener contaminantes </w:t>
      </w:r>
      <w:r w:rsidRPr="00CE648B">
        <w:rPr>
          <w:sz w:val="18"/>
          <w:szCs w:val="18"/>
        </w:rPr>
        <w:t>relacionados con el petróleo y aditivos químicos que pueden necesitar un tratamiento especial y eliminación; las emisiones al aire, incluido el sulfuro de hidrógeno; la generación de desechos sólidos que en ocasiones pueden ser peligrosos, incluido el mercurio; reventones de pozo y fallas de tuberías; un aumento en la extracción y consumo de agua superficial o subterráneo; exposición a gases geotérmicos, calor y ruido; subsidencia del suelo debido a la abstracción y reinserción de fluidos; micro-sismicidad inducida con la posibilidad de exacerbar ciertos tipos de desastres naturales; aumento de tráfico pesado y posibles accidentes de tráfico en las proximidades del sitio del proyecto; erosión del suelo y pérdida de vegetación;</w:t>
      </w:r>
      <w:r w:rsidRPr="009F342E">
        <w:rPr>
          <w:sz w:val="18"/>
          <w:szCs w:val="18"/>
        </w:rPr>
        <w:t xml:space="preserve"> </w:t>
      </w:r>
      <w:r w:rsidRPr="00CE648B">
        <w:rPr>
          <w:sz w:val="18"/>
          <w:szCs w:val="18"/>
        </w:rPr>
        <w:t>impactos asociados con los área</w:t>
      </w:r>
      <w:r w:rsidRPr="00476C7E">
        <w:rPr>
          <w:sz w:val="18"/>
          <w:szCs w:val="18"/>
        </w:rPr>
        <w:t>s de servidumbre y construcción de líneas de transmisión;</w:t>
      </w:r>
      <w:r w:rsidRPr="00C67127">
        <w:rPr>
          <w:sz w:val="18"/>
          <w:szCs w:val="18"/>
        </w:rPr>
        <w:t xml:space="preserve"> y los impactos potenciales en hábitats naturales críticos y sitios culturales críticos.</w:t>
      </w:r>
    </w:p>
  </w:footnote>
  <w:footnote w:id="8">
    <w:p w14:paraId="1685FCA8" w14:textId="77777777" w:rsidR="00D748B3" w:rsidRPr="009F342E" w:rsidRDefault="00D748B3" w:rsidP="00320B02">
      <w:pPr>
        <w:pStyle w:val="FootnoteText"/>
        <w:spacing w:after="0"/>
        <w:rPr>
          <w:sz w:val="18"/>
          <w:szCs w:val="18"/>
        </w:rPr>
      </w:pPr>
      <w:r w:rsidRPr="009F342E">
        <w:rPr>
          <w:rStyle w:val="FootnoteReference"/>
          <w:sz w:val="18"/>
          <w:szCs w:val="18"/>
        </w:rPr>
        <w:footnoteRef/>
      </w:r>
      <w:r w:rsidRPr="009F342E">
        <w:rPr>
          <w:sz w:val="18"/>
          <w:szCs w:val="18"/>
        </w:rPr>
        <w:t xml:space="preserve"> </w:t>
      </w:r>
      <w:r>
        <w:rPr>
          <w:sz w:val="18"/>
          <w:szCs w:val="18"/>
        </w:rPr>
        <w:tab/>
      </w:r>
      <w:r w:rsidRPr="009F342E">
        <w:rPr>
          <w:sz w:val="18"/>
          <w:szCs w:val="18"/>
        </w:rPr>
        <w:t xml:space="preserve">La presente operación es una modificación de una operación existente, para la cual un Informe de Gestión Ambiental y Social (IGAS) y un Sistema de Gestión Ambiental y Social (SGAS) habían sido acordados previamente con el prestatario. ESG está de acuerdo con utilizar estos documentos, </w:t>
      </w:r>
      <w:r>
        <w:rPr>
          <w:sz w:val="18"/>
          <w:szCs w:val="18"/>
        </w:rPr>
        <w:t>incorporándole</w:t>
      </w:r>
      <w:r w:rsidRPr="009F342E">
        <w:rPr>
          <w:sz w:val="18"/>
          <w:szCs w:val="18"/>
        </w:rPr>
        <w:t xml:space="preserve"> algunas modificaciones</w:t>
      </w:r>
      <w:r>
        <w:rPr>
          <w:sz w:val="18"/>
          <w:szCs w:val="18"/>
        </w:rPr>
        <w:t xml:space="preserve"> tal como se describen en el IGAS.</w:t>
      </w:r>
    </w:p>
    <w:p w14:paraId="2D3A7221" w14:textId="77777777" w:rsidR="00D748B3" w:rsidRPr="00D748B3" w:rsidRDefault="00D748B3" w:rsidP="00320B02">
      <w:pPr>
        <w:pStyle w:val="FootnoteText"/>
        <w:rPr>
          <w:sz w:val="18"/>
          <w:szCs w:val="18"/>
        </w:rPr>
      </w:pPr>
      <w:r w:rsidRPr="00D748B3">
        <w:rPr>
          <w:sz w:val="18"/>
          <w:szCs w:val="18"/>
        </w:rPr>
        <w:t>.</w:t>
      </w:r>
    </w:p>
  </w:footnote>
  <w:footnote w:id="9">
    <w:p w14:paraId="36391F33" w14:textId="65AF6583" w:rsidR="00D748B3" w:rsidRPr="002E0F93" w:rsidRDefault="00D748B3" w:rsidP="003532D3">
      <w:pPr>
        <w:pStyle w:val="FootnoteText"/>
        <w:spacing w:after="0"/>
      </w:pPr>
      <w:r>
        <w:rPr>
          <w:rStyle w:val="FootnoteReference"/>
        </w:rPr>
        <w:footnoteRef/>
      </w:r>
      <w:r w:rsidRPr="002E0F93">
        <w:t xml:space="preserve"> Incluye costos de viaje y per diem de las misiones de supervision requeridas.                                                                                                              </w:t>
      </w:r>
    </w:p>
  </w:footnote>
  <w:footnote w:id="10">
    <w:p w14:paraId="486EBEBE" w14:textId="77777777" w:rsidR="00D748B3" w:rsidRPr="003532D3" w:rsidRDefault="00D748B3" w:rsidP="003532D3">
      <w:pPr>
        <w:pStyle w:val="FootnoteText"/>
      </w:pPr>
      <w:r>
        <w:rPr>
          <w:rStyle w:val="FootnoteReference"/>
        </w:rPr>
        <w:footnoteRef/>
      </w:r>
      <w:r w:rsidRPr="003532D3">
        <w:t xml:space="preserve"> All figures are accumulated.</w:t>
      </w:r>
    </w:p>
  </w:footnote>
  <w:footnote w:id="11">
    <w:p w14:paraId="5B986958" w14:textId="77777777" w:rsidR="00D748B3" w:rsidRPr="00FC04CA" w:rsidRDefault="00D748B3" w:rsidP="003532D3">
      <w:pPr>
        <w:pStyle w:val="FootnoteText"/>
        <w:rPr>
          <w:rFonts w:ascii="Arial" w:hAnsi="Arial" w:cs="Arial"/>
        </w:rPr>
      </w:pPr>
      <w:r w:rsidRPr="00FC04CA">
        <w:rPr>
          <w:rStyle w:val="FootnoteReference"/>
          <w:rFonts w:ascii="Arial" w:hAnsi="Arial" w:cs="Arial"/>
          <w:sz w:val="18"/>
        </w:rPr>
        <w:footnoteRef/>
      </w:r>
      <w:r w:rsidRPr="00FC04CA">
        <w:rPr>
          <w:rFonts w:ascii="Arial" w:hAnsi="Arial" w:cs="Arial"/>
          <w:sz w:val="18"/>
        </w:rPr>
        <w:t xml:space="preserve"> Para términos prácticos, el análisis asume que se desarrollarán </w:t>
      </w:r>
      <w:r>
        <w:rPr>
          <w:rFonts w:ascii="Arial" w:hAnsi="Arial" w:cs="Arial"/>
          <w:sz w:val="18"/>
        </w:rPr>
        <w:t>30</w:t>
      </w:r>
      <w:r w:rsidRPr="00FC04CA">
        <w:rPr>
          <w:rFonts w:ascii="Arial" w:hAnsi="Arial" w:cs="Arial"/>
          <w:sz w:val="18"/>
        </w:rPr>
        <w:t xml:space="preserve">MW en dos plantas de generación geotérmica con un promedio de </w:t>
      </w:r>
      <w:r>
        <w:rPr>
          <w:rFonts w:ascii="Arial" w:hAnsi="Arial" w:cs="Arial"/>
          <w:sz w:val="18"/>
        </w:rPr>
        <w:t>15</w:t>
      </w:r>
      <w:r w:rsidRPr="00FC04CA">
        <w:rPr>
          <w:rFonts w:ascii="Arial" w:hAnsi="Arial" w:cs="Arial"/>
          <w:sz w:val="18"/>
        </w:rPr>
        <w:t xml:space="preserve">MW de capacidad instalada cada una de ellas.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6A224" w14:textId="77777777" w:rsidR="00D748B3" w:rsidRDefault="00D748B3">
    <w:pPr>
      <w:pStyle w:val="Header"/>
      <w:ind w:right="360"/>
      <w:jc w:val="both"/>
      <w:rPr>
        <w:rStyle w:val="PageNumber"/>
        <w:snapToGrid w:val="0"/>
      </w:rPr>
    </w:pPr>
    <w:r>
      <w:rPr>
        <w:rStyle w:val="PageNumber"/>
        <w:snapToGrid w:val="0"/>
      </w:rPr>
      <w:tab/>
      <w:t xml:space="preserve">- </w:t>
    </w:r>
    <w:r w:rsidRPr="4183E0E2">
      <w:rPr>
        <w:rStyle w:val="PageNumber"/>
        <w:noProof/>
        <w:snapToGrid w:val="0"/>
      </w:rPr>
      <w:fldChar w:fldCharType="begin"/>
    </w:r>
    <w:r>
      <w:rPr>
        <w:rStyle w:val="PageNumber"/>
        <w:snapToGrid w:val="0"/>
      </w:rPr>
      <w:instrText xml:space="preserve"> PAGE </w:instrText>
    </w:r>
    <w:r w:rsidRPr="4183E0E2">
      <w:rPr>
        <w:rStyle w:val="PageNumber"/>
        <w:snapToGrid w:val="0"/>
      </w:rPr>
      <w:fldChar w:fldCharType="separate"/>
    </w:r>
    <w:r>
      <w:rPr>
        <w:rStyle w:val="PageNumber"/>
        <w:noProof/>
        <w:snapToGrid w:val="0"/>
      </w:rPr>
      <w:t>iii</w:t>
    </w:r>
    <w:r w:rsidRPr="4183E0E2">
      <w:rPr>
        <w:rStyle w:val="PageNumber"/>
        <w:noProof/>
        <w:snapToGrid w:val="0"/>
      </w:rPr>
      <w:fldChar w:fldCharType="end"/>
    </w:r>
    <w:r>
      <w:rPr>
        <w:rStyle w:val="PageNumber"/>
        <w:snapToGrid w:val="0"/>
      </w:rPr>
      <w:t xml:space="preserve"> -</w:t>
    </w:r>
  </w:p>
  <w:p w14:paraId="4347116D" w14:textId="77777777" w:rsidR="00D748B3" w:rsidRDefault="00D748B3">
    <w:pPr>
      <w:pStyle w:val="Header"/>
      <w:ind w:right="360"/>
      <w:jc w:val="both"/>
      <w:rPr>
        <w:rStyle w:val="PageNumber"/>
        <w:snapToGrid w:val="0"/>
      </w:rPr>
    </w:pPr>
    <w:r>
      <w:rPr>
        <w:rStyle w:val="PageNumber"/>
        <w:snapToGrid w:val="0"/>
      </w:rPr>
      <w:tab/>
    </w:r>
  </w:p>
  <w:p w14:paraId="18744DFA" w14:textId="77777777" w:rsidR="00D748B3" w:rsidRDefault="00D748B3">
    <w:pPr>
      <w:pStyle w:val="Header"/>
      <w:ind w:right="360"/>
      <w:jc w:val="both"/>
    </w:pPr>
    <w:r>
      <w:rPr>
        <w:snapToGrid w:val="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9FBE9" w14:textId="77777777" w:rsidR="00D748B3" w:rsidRPr="00706FA8" w:rsidRDefault="00D748B3">
    <w:pPr>
      <w:pStyle w:val="Header"/>
      <w:jc w:val="center"/>
      <w:rPr>
        <w:rFonts w:ascii="Arial" w:hAnsi="Arial" w:cs="Arial"/>
        <w:snapToGrid w:val="0"/>
        <w:sz w:val="18"/>
      </w:rPr>
    </w:pPr>
    <w:r w:rsidRPr="4183E0E2">
      <w:rPr>
        <w:rFonts w:ascii="Arial" w:eastAsia="Arial" w:hAnsi="Arial" w:cs="Arial"/>
        <w:snapToGrid w:val="0"/>
        <w:sz w:val="18"/>
        <w:szCs w:val="18"/>
      </w:rPr>
      <w:t xml:space="preserve">- </w:t>
    </w:r>
    <w:r w:rsidRPr="4183E0E2">
      <w:rPr>
        <w:rFonts w:ascii="Arial" w:eastAsia="Arial" w:hAnsi="Arial" w:cs="Arial"/>
        <w:noProof/>
        <w:snapToGrid w:val="0"/>
        <w:sz w:val="18"/>
        <w:szCs w:val="18"/>
      </w:rPr>
      <w:fldChar w:fldCharType="begin"/>
    </w:r>
    <w:r w:rsidRPr="00706FA8">
      <w:rPr>
        <w:rFonts w:ascii="Arial" w:hAnsi="Arial" w:cs="Arial"/>
        <w:snapToGrid w:val="0"/>
        <w:sz w:val="18"/>
      </w:rPr>
      <w:instrText xml:space="preserve"> PAGE </w:instrText>
    </w:r>
    <w:r w:rsidRPr="4183E0E2">
      <w:rPr>
        <w:rFonts w:ascii="Arial" w:hAnsi="Arial" w:cs="Arial"/>
        <w:snapToGrid w:val="0"/>
        <w:sz w:val="18"/>
      </w:rPr>
      <w:fldChar w:fldCharType="separate"/>
    </w:r>
    <w:r>
      <w:rPr>
        <w:rFonts w:ascii="Arial" w:hAnsi="Arial" w:cs="Arial"/>
        <w:noProof/>
        <w:snapToGrid w:val="0"/>
        <w:sz w:val="18"/>
      </w:rPr>
      <w:t>iii</w:t>
    </w:r>
    <w:r w:rsidRPr="4183E0E2">
      <w:rPr>
        <w:rFonts w:ascii="Arial" w:eastAsia="Arial" w:hAnsi="Arial" w:cs="Arial"/>
        <w:noProof/>
        <w:snapToGrid w:val="0"/>
        <w:sz w:val="18"/>
        <w:szCs w:val="18"/>
      </w:rPr>
      <w:fldChar w:fldCharType="end"/>
    </w:r>
    <w:r w:rsidRPr="4183E0E2">
      <w:rPr>
        <w:rFonts w:ascii="Arial" w:eastAsia="Arial" w:hAnsi="Arial" w:cs="Arial"/>
        <w:snapToGrid w:val="0"/>
        <w:sz w:val="18"/>
        <w:szCs w:val="18"/>
      </w:rPr>
      <w:t xml:space="preserve"> - </w:t>
    </w:r>
  </w:p>
  <w:p w14:paraId="2C7212A8" w14:textId="77777777" w:rsidR="00D748B3" w:rsidRDefault="00D748B3">
    <w:pPr>
      <w:pStyle w:val="Header"/>
      <w:jc w:val="center"/>
    </w:pPr>
  </w:p>
  <w:p w14:paraId="2F4277FF" w14:textId="77777777" w:rsidR="00D748B3" w:rsidRDefault="00D748B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31284" w14:textId="77777777" w:rsidR="00D748B3" w:rsidRPr="00C751CD" w:rsidRDefault="007310DB">
    <w:pPr>
      <w:pStyle w:val="Header"/>
      <w:jc w:val="center"/>
      <w:rPr>
        <w:rFonts w:ascii="Arial" w:hAnsi="Arial" w:cs="Arial"/>
        <w:sz w:val="18"/>
      </w:rPr>
    </w:pPr>
    <w:sdt>
      <w:sdtPr>
        <w:rPr>
          <w:rFonts w:ascii="Arial" w:hAnsi="Arial" w:cs="Arial"/>
          <w:sz w:val="18"/>
        </w:rPr>
        <w:id w:val="368576792"/>
        <w:docPartObj>
          <w:docPartGallery w:val="Page Numbers (Top of Page)"/>
          <w:docPartUnique/>
        </w:docPartObj>
      </w:sdtPr>
      <w:sdtEndPr>
        <w:rPr>
          <w:noProof/>
        </w:rPr>
      </w:sdtEndPr>
      <w:sdtContent>
        <w:r w:rsidR="00D748B3" w:rsidRPr="00C751CD">
          <w:rPr>
            <w:rFonts w:ascii="Arial" w:hAnsi="Arial" w:cs="Arial"/>
            <w:sz w:val="18"/>
          </w:rPr>
          <w:fldChar w:fldCharType="begin"/>
        </w:r>
        <w:r w:rsidR="00D748B3" w:rsidRPr="00C751CD">
          <w:rPr>
            <w:rFonts w:ascii="Arial" w:hAnsi="Arial" w:cs="Arial"/>
            <w:sz w:val="18"/>
          </w:rPr>
          <w:instrText xml:space="preserve"> PAGE   \* MERGEFORMAT </w:instrText>
        </w:r>
        <w:r w:rsidR="00D748B3" w:rsidRPr="00C751CD">
          <w:rPr>
            <w:rFonts w:ascii="Arial" w:hAnsi="Arial" w:cs="Arial"/>
            <w:sz w:val="18"/>
          </w:rPr>
          <w:fldChar w:fldCharType="separate"/>
        </w:r>
        <w:r w:rsidR="00D748B3">
          <w:rPr>
            <w:rFonts w:ascii="Arial" w:hAnsi="Arial" w:cs="Arial"/>
            <w:noProof/>
            <w:sz w:val="18"/>
          </w:rPr>
          <w:t>i</w:t>
        </w:r>
        <w:r w:rsidR="00D748B3" w:rsidRPr="00C751CD">
          <w:rPr>
            <w:rFonts w:ascii="Arial" w:hAnsi="Arial" w:cs="Arial"/>
            <w:noProof/>
            <w:sz w:val="18"/>
          </w:rPr>
          <w:fldChar w:fldCharType="end"/>
        </w:r>
      </w:sdtContent>
    </w:sdt>
  </w:p>
  <w:p w14:paraId="37FA2ABE" w14:textId="77777777" w:rsidR="00D748B3" w:rsidRPr="008175A8" w:rsidRDefault="00D748B3" w:rsidP="009F7D0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103CB" w14:textId="77777777" w:rsidR="00D748B3" w:rsidRDefault="00D748B3">
    <w:pPr>
      <w:pStyle w:val="Header"/>
      <w:framePr w:wrap="around" w:vAnchor="text" w:hAnchor="margin" w:xAlign="center" w:y="1"/>
      <w:rPr>
        <w:rStyle w:val="PageNumber"/>
      </w:rPr>
    </w:pPr>
  </w:p>
  <w:p w14:paraId="4E6B4BBA" w14:textId="77777777" w:rsidR="00D748B3" w:rsidRDefault="00D748B3">
    <w:pPr>
      <w:pStyle w:val="Header"/>
      <w:ind w:right="360"/>
      <w:jc w:val="both"/>
      <w:rPr>
        <w:rStyle w:val="PageNumber"/>
        <w:snapToGrid w:val="0"/>
      </w:rPr>
    </w:pPr>
    <w:r w:rsidRPr="7F0B48DF">
      <w:rPr>
        <w:rStyle w:val="PageNumber"/>
        <w:snapToGrid w:val="0"/>
        <w:sz w:val="20"/>
        <w:lang w:val="es-ES"/>
      </w:rPr>
      <w:t xml:space="preserve">Página </w:t>
    </w:r>
    <w:r w:rsidRPr="7F0B48DF">
      <w:rPr>
        <w:rStyle w:val="PageNumber"/>
        <w:noProof/>
        <w:snapToGrid w:val="0"/>
        <w:sz w:val="20"/>
        <w:lang w:val="es-ES"/>
      </w:rPr>
      <w:fldChar w:fldCharType="begin"/>
    </w:r>
    <w:r>
      <w:rPr>
        <w:rStyle w:val="PageNumber"/>
        <w:snapToGrid w:val="0"/>
        <w:sz w:val="20"/>
        <w:lang w:val="es-ES"/>
      </w:rPr>
      <w:instrText xml:space="preserve"> PAGE </w:instrText>
    </w:r>
    <w:r w:rsidRPr="7F0B48DF">
      <w:rPr>
        <w:rStyle w:val="PageNumber"/>
        <w:snapToGrid w:val="0"/>
        <w:sz w:val="20"/>
        <w:lang w:val="es-ES"/>
      </w:rPr>
      <w:fldChar w:fldCharType="separate"/>
    </w:r>
    <w:r w:rsidRPr="7F0B48DF">
      <w:rPr>
        <w:rStyle w:val="PageNumber"/>
        <w:noProof/>
        <w:snapToGrid w:val="0"/>
        <w:sz w:val="20"/>
        <w:lang w:val="es-ES"/>
      </w:rPr>
      <w:t>2</w:t>
    </w:r>
    <w:r w:rsidRPr="7F0B48DF">
      <w:rPr>
        <w:rStyle w:val="PageNumber"/>
        <w:noProof/>
        <w:snapToGrid w:val="0"/>
        <w:sz w:val="20"/>
        <w:lang w:val="es-ES"/>
      </w:rPr>
      <w:fldChar w:fldCharType="end"/>
    </w:r>
    <w:r w:rsidRPr="7F0B48DF">
      <w:rPr>
        <w:rStyle w:val="PageNumber"/>
        <w:snapToGrid w:val="0"/>
        <w:sz w:val="20"/>
        <w:lang w:val="es-ES"/>
      </w:rPr>
      <w:t xml:space="preserve"> de </w:t>
    </w:r>
    <w:r w:rsidRPr="4183E0E2">
      <w:fldChar w:fldCharType="begin"/>
    </w:r>
    <w:r>
      <w:instrText xml:space="preserve"> PAGEREF ESSectionPages  \* MERGEFORMAT </w:instrText>
    </w:r>
    <w:r w:rsidRPr="4183E0E2">
      <w:fldChar w:fldCharType="separate"/>
    </w:r>
    <w:r>
      <w:rPr>
        <w:b/>
        <w:bCs/>
        <w:noProof/>
      </w:rPr>
      <w:t>Error! Bookmark not defined.</w:t>
    </w:r>
    <w:r w:rsidRPr="4183E0E2">
      <w:fldChar w:fldCharType="end"/>
    </w:r>
  </w:p>
  <w:p w14:paraId="0544F544" w14:textId="77777777" w:rsidR="00D748B3" w:rsidRDefault="00D748B3">
    <w:pPr>
      <w:pStyle w:val="Header"/>
      <w:pBdr>
        <w:top w:val="single" w:sz="4" w:space="1" w:color="auto"/>
      </w:pBdr>
      <w:tabs>
        <w:tab w:val="right" w:pos="8730"/>
      </w:tabs>
      <w:ind w:right="25"/>
      <w:jc w:val="both"/>
      <w:rPr>
        <w:rStyle w:val="PageNumber"/>
        <w:snapToGrid w:val="0"/>
      </w:rPr>
    </w:pPr>
  </w:p>
  <w:p w14:paraId="4181EB40" w14:textId="77777777" w:rsidR="00D748B3" w:rsidRDefault="00D748B3">
    <w:pPr>
      <w:pStyle w:val="Header"/>
      <w:ind w:right="360"/>
      <w:jc w:val="both"/>
      <w:rPr>
        <w:rStyle w:val="PageNumber"/>
        <w:snapToGrid w:val="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DF522" w14:textId="77777777" w:rsidR="00D748B3" w:rsidRPr="00EB0154" w:rsidRDefault="00D748B3" w:rsidP="009F7D00">
    <w:pPr>
      <w:pStyle w:val="Header"/>
      <w:tabs>
        <w:tab w:val="left" w:pos="3840"/>
        <w:tab w:val="center" w:pos="4140"/>
      </w:tabs>
      <w:ind w:right="360"/>
      <w:rPr>
        <w:rFonts w:ascii="Arial" w:hAnsi="Arial" w:cs="Arial"/>
        <w:snapToGrid w:val="0"/>
      </w:rPr>
    </w:pPr>
    <w:r>
      <w:rPr>
        <w:snapToGrid w:val="0"/>
      </w:rPr>
      <w:tab/>
    </w:r>
    <w:r w:rsidRPr="4183E0E2">
      <w:rPr>
        <w:rFonts w:ascii="Arial" w:eastAsia="Arial" w:hAnsi="Arial" w:cs="Arial"/>
        <w:snapToGrid w:val="0"/>
        <w:sz w:val="18"/>
        <w:szCs w:val="18"/>
      </w:rPr>
      <w:t xml:space="preserve">- </w:t>
    </w:r>
    <w:r w:rsidRPr="4183E0E2">
      <w:rPr>
        <w:rFonts w:ascii="Arial" w:eastAsia="Arial" w:hAnsi="Arial" w:cs="Arial"/>
        <w:noProof/>
        <w:snapToGrid w:val="0"/>
        <w:sz w:val="18"/>
        <w:szCs w:val="18"/>
      </w:rPr>
      <w:fldChar w:fldCharType="begin"/>
    </w:r>
    <w:r w:rsidRPr="00706FA8">
      <w:rPr>
        <w:rFonts w:ascii="Arial" w:hAnsi="Arial" w:cs="Arial"/>
        <w:snapToGrid w:val="0"/>
        <w:sz w:val="18"/>
      </w:rPr>
      <w:instrText xml:space="preserve"> PAGE </w:instrText>
    </w:r>
    <w:r w:rsidRPr="4183E0E2">
      <w:rPr>
        <w:rFonts w:ascii="Arial" w:hAnsi="Arial" w:cs="Arial"/>
        <w:snapToGrid w:val="0"/>
        <w:sz w:val="18"/>
      </w:rPr>
      <w:fldChar w:fldCharType="separate"/>
    </w:r>
    <w:r>
      <w:rPr>
        <w:rFonts w:ascii="Arial" w:hAnsi="Arial" w:cs="Arial"/>
        <w:noProof/>
        <w:snapToGrid w:val="0"/>
        <w:sz w:val="18"/>
      </w:rPr>
      <w:t>13</w:t>
    </w:r>
    <w:r w:rsidRPr="4183E0E2">
      <w:rPr>
        <w:rFonts w:ascii="Arial" w:eastAsia="Arial" w:hAnsi="Arial" w:cs="Arial"/>
        <w:noProof/>
        <w:snapToGrid w:val="0"/>
        <w:sz w:val="18"/>
        <w:szCs w:val="18"/>
      </w:rPr>
      <w:fldChar w:fldCharType="end"/>
    </w:r>
    <w:r w:rsidRPr="4183E0E2">
      <w:rPr>
        <w:rFonts w:ascii="Arial" w:eastAsia="Arial" w:hAnsi="Arial" w:cs="Arial"/>
        <w:snapToGrid w:val="0"/>
        <w:sz w:val="18"/>
        <w:szCs w:val="18"/>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845592580"/>
      <w:docPartObj>
        <w:docPartGallery w:val="Page Numbers (Top of Page)"/>
        <w:docPartUnique/>
      </w:docPartObj>
    </w:sdtPr>
    <w:sdtEndPr>
      <w:rPr>
        <w:noProof/>
      </w:rPr>
    </w:sdtEndPr>
    <w:sdtContent>
      <w:p w14:paraId="07933328" w14:textId="77777777" w:rsidR="00D748B3" w:rsidRPr="00023B06" w:rsidRDefault="00D748B3">
        <w:pPr>
          <w:pStyle w:val="Header"/>
          <w:jc w:val="center"/>
          <w:rPr>
            <w:rFonts w:ascii="Arial" w:hAnsi="Arial" w:cs="Arial"/>
            <w:sz w:val="20"/>
          </w:rPr>
        </w:pPr>
        <w:r w:rsidRPr="00023B06">
          <w:rPr>
            <w:rFonts w:ascii="Arial" w:hAnsi="Arial" w:cs="Arial"/>
            <w:sz w:val="20"/>
          </w:rPr>
          <w:t>-</w:t>
        </w:r>
        <w:r w:rsidRPr="00023B06">
          <w:rPr>
            <w:rFonts w:ascii="Arial" w:hAnsi="Arial" w:cs="Arial"/>
            <w:sz w:val="20"/>
          </w:rPr>
          <w:fldChar w:fldCharType="begin"/>
        </w:r>
        <w:r w:rsidRPr="00023B06">
          <w:rPr>
            <w:rFonts w:ascii="Arial" w:hAnsi="Arial" w:cs="Arial"/>
            <w:sz w:val="20"/>
          </w:rPr>
          <w:instrText xml:space="preserve"> PAGE   \* MERGEFORMAT </w:instrText>
        </w:r>
        <w:r w:rsidRPr="00023B06">
          <w:rPr>
            <w:rFonts w:ascii="Arial" w:hAnsi="Arial" w:cs="Arial"/>
            <w:sz w:val="20"/>
          </w:rPr>
          <w:fldChar w:fldCharType="separate"/>
        </w:r>
        <w:r w:rsidRPr="00023B06">
          <w:rPr>
            <w:rFonts w:ascii="Arial" w:hAnsi="Arial" w:cs="Arial"/>
            <w:noProof/>
            <w:sz w:val="20"/>
          </w:rPr>
          <w:t>16</w:t>
        </w:r>
        <w:r w:rsidRPr="00023B06">
          <w:rPr>
            <w:rFonts w:ascii="Arial" w:hAnsi="Arial" w:cs="Arial"/>
            <w:noProof/>
            <w:sz w:val="20"/>
          </w:rPr>
          <w:fldChar w:fldCharType="end"/>
        </w:r>
        <w:r w:rsidRPr="00023B06">
          <w:rPr>
            <w:rFonts w:ascii="Arial" w:hAnsi="Arial" w:cs="Arial"/>
            <w:noProof/>
            <w:sz w:val="20"/>
          </w:rPr>
          <w:t>-</w:t>
        </w:r>
      </w:p>
    </w:sdtContent>
  </w:sdt>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1708990278"/>
      <w:docPartObj>
        <w:docPartGallery w:val="Page Numbers (Top of Page)"/>
        <w:docPartUnique/>
      </w:docPartObj>
    </w:sdtPr>
    <w:sdtEndPr/>
    <w:sdtContent>
      <w:p w14:paraId="650A818D" w14:textId="77777777" w:rsidR="00D748B3" w:rsidRPr="00276D50" w:rsidRDefault="00D748B3" w:rsidP="00276D50">
        <w:pPr>
          <w:pStyle w:val="Header"/>
          <w:ind w:firstLine="1440"/>
          <w:jc w:val="right"/>
          <w:rPr>
            <w:rFonts w:ascii="Times New Roman" w:hAnsi="Times New Roman" w:cs="Times New Roman"/>
          </w:rPr>
        </w:pPr>
        <w:r>
          <w:rPr>
            <w:rFonts w:ascii="Times New Roman" w:hAnsi="Times New Roman" w:cs="Times New Roman"/>
          </w:rPr>
          <w:t>Required Document 1:</w:t>
        </w:r>
        <w:r w:rsidRPr="00276D50">
          <w:rPr>
            <w:rFonts w:ascii="Times New Roman" w:hAnsi="Times New Roman" w:cs="Times New Roman"/>
          </w:rPr>
          <w:t xml:space="preserve"> Page </w:t>
        </w:r>
        <w:r w:rsidRPr="00276D50">
          <w:rPr>
            <w:rFonts w:ascii="Times New Roman" w:hAnsi="Times New Roman" w:cs="Times New Roman"/>
            <w:bCs/>
            <w:sz w:val="24"/>
            <w:szCs w:val="24"/>
          </w:rPr>
          <w:fldChar w:fldCharType="begin"/>
        </w:r>
        <w:r w:rsidRPr="00276D50">
          <w:rPr>
            <w:rFonts w:ascii="Times New Roman" w:hAnsi="Times New Roman" w:cs="Times New Roman"/>
            <w:bCs/>
          </w:rPr>
          <w:instrText xml:space="preserve"> PAGE </w:instrText>
        </w:r>
        <w:r w:rsidRPr="00276D50">
          <w:rPr>
            <w:rFonts w:ascii="Times New Roman" w:hAnsi="Times New Roman" w:cs="Times New Roman"/>
            <w:bCs/>
            <w:sz w:val="24"/>
            <w:szCs w:val="24"/>
          </w:rPr>
          <w:fldChar w:fldCharType="separate"/>
        </w:r>
        <w:r>
          <w:rPr>
            <w:rFonts w:ascii="Times New Roman" w:hAnsi="Times New Roman" w:cs="Times New Roman"/>
            <w:bCs/>
            <w:noProof/>
          </w:rPr>
          <w:t>10</w:t>
        </w:r>
        <w:r w:rsidRPr="00276D50">
          <w:rPr>
            <w:rFonts w:ascii="Times New Roman" w:hAnsi="Times New Roman" w:cs="Times New Roman"/>
            <w:bCs/>
            <w:sz w:val="24"/>
            <w:szCs w:val="24"/>
          </w:rPr>
          <w:fldChar w:fldCharType="end"/>
        </w:r>
        <w:r w:rsidRPr="00276D50">
          <w:rPr>
            <w:rFonts w:ascii="Times New Roman" w:hAnsi="Times New Roman" w:cs="Times New Roman"/>
          </w:rPr>
          <w:t xml:space="preserve"> of </w:t>
        </w:r>
        <w:r w:rsidRPr="00276D50">
          <w:rPr>
            <w:rFonts w:ascii="Times New Roman" w:hAnsi="Times New Roman" w:cs="Times New Roman"/>
            <w:bCs/>
            <w:sz w:val="24"/>
            <w:szCs w:val="24"/>
          </w:rPr>
          <w:fldChar w:fldCharType="begin"/>
        </w:r>
        <w:r w:rsidRPr="00276D50">
          <w:rPr>
            <w:rFonts w:ascii="Times New Roman" w:hAnsi="Times New Roman" w:cs="Times New Roman"/>
            <w:bCs/>
          </w:rPr>
          <w:instrText xml:space="preserve"> NUMPAGES  </w:instrText>
        </w:r>
        <w:r w:rsidRPr="00276D50">
          <w:rPr>
            <w:rFonts w:ascii="Times New Roman" w:hAnsi="Times New Roman" w:cs="Times New Roman"/>
            <w:bCs/>
            <w:sz w:val="24"/>
            <w:szCs w:val="24"/>
          </w:rPr>
          <w:fldChar w:fldCharType="separate"/>
        </w:r>
        <w:r>
          <w:rPr>
            <w:rFonts w:ascii="Times New Roman" w:hAnsi="Times New Roman" w:cs="Times New Roman"/>
            <w:bCs/>
            <w:noProof/>
          </w:rPr>
          <w:t>19</w:t>
        </w:r>
        <w:r w:rsidRPr="00276D50">
          <w:rPr>
            <w:rFonts w:ascii="Times New Roman" w:hAnsi="Times New Roman" w:cs="Times New Roman"/>
            <w:bCs/>
            <w:sz w:val="24"/>
            <w:szCs w:val="24"/>
          </w:rPr>
          <w:fldChar w:fldCharType="end"/>
        </w:r>
      </w:p>
    </w:sdtContent>
  </w:sdt>
  <w:p w14:paraId="5F18DE5B" w14:textId="77777777" w:rsidR="00D748B3" w:rsidRDefault="00D748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4D1EF7"/>
    <w:multiLevelType w:val="multilevel"/>
    <w:tmpl w:val="098C9E7E"/>
    <w:lvl w:ilvl="0">
      <w:start w:val="1"/>
      <w:numFmt w:val="upperRoman"/>
      <w:lvlRestart w:val="0"/>
      <w:lvlText w:val="%1."/>
      <w:lvlJc w:val="center"/>
      <w:pPr>
        <w:tabs>
          <w:tab w:val="num" w:pos="1170"/>
        </w:tabs>
        <w:ind w:left="522" w:firstLine="288"/>
      </w:pPr>
      <w:rPr>
        <w:rFonts w:cs="Times New Roman" w:hint="default"/>
        <w:b/>
        <w:i w:val="0"/>
      </w:rPr>
    </w:lvl>
    <w:lvl w:ilvl="1">
      <w:start w:val="1"/>
      <w:numFmt w:val="decimal"/>
      <w:pStyle w:val="TOC7"/>
      <w:isLgl/>
      <w:lvlText w:val="%1.%2"/>
      <w:lvlJc w:val="left"/>
      <w:pPr>
        <w:tabs>
          <w:tab w:val="num" w:pos="1386"/>
        </w:tabs>
        <w:ind w:left="720" w:hanging="630"/>
      </w:pPr>
      <w:rPr>
        <w:rFonts w:cs="Times New Roman" w:hint="default"/>
        <w:b w:val="0"/>
      </w:rPr>
    </w:lvl>
    <w:lvl w:ilvl="2">
      <w:start w:val="1"/>
      <w:numFmt w:val="lowerLetter"/>
      <w:pStyle w:val="TOC9"/>
      <w:lvlText w:val="%3."/>
      <w:lvlJc w:val="left"/>
      <w:pPr>
        <w:tabs>
          <w:tab w:val="num" w:pos="1674"/>
        </w:tabs>
        <w:ind w:left="1674" w:hanging="432"/>
      </w:pPr>
      <w:rPr>
        <w:rFonts w:cs="Times New Roman" w:hint="default"/>
      </w:rPr>
    </w:lvl>
    <w:lvl w:ilvl="3">
      <w:start w:val="1"/>
      <w:numFmt w:val="lowerRoman"/>
      <w:pStyle w:val="CommentText"/>
      <w:lvlText w:val="%4."/>
      <w:lvlJc w:val="right"/>
      <w:pPr>
        <w:tabs>
          <w:tab w:val="num" w:pos="2106"/>
        </w:tabs>
        <w:ind w:left="2106" w:hanging="288"/>
      </w:pPr>
      <w:rPr>
        <w:rFonts w:cs="Times New Roman" w:hint="default"/>
      </w:rPr>
    </w:lvl>
    <w:lvl w:ilvl="4">
      <w:start w:val="1"/>
      <w:numFmt w:val="decimal"/>
      <w:lvlText w:val="%1.%2.%3.%4.%5"/>
      <w:lvlJc w:val="left"/>
      <w:pPr>
        <w:ind w:left="1530" w:hanging="1008"/>
      </w:pPr>
      <w:rPr>
        <w:rFonts w:cs="Times New Roman" w:hint="default"/>
      </w:rPr>
    </w:lvl>
    <w:lvl w:ilvl="5">
      <w:start w:val="1"/>
      <w:numFmt w:val="decimal"/>
      <w:lvlText w:val="%1.%2.%3.%4.%5.%6"/>
      <w:lvlJc w:val="left"/>
      <w:pPr>
        <w:ind w:left="1674" w:hanging="1152"/>
      </w:pPr>
      <w:rPr>
        <w:rFonts w:cs="Times New Roman" w:hint="default"/>
      </w:rPr>
    </w:lvl>
    <w:lvl w:ilvl="6">
      <w:start w:val="1"/>
      <w:numFmt w:val="decimal"/>
      <w:lvlText w:val="%1.%2.%3.%4.%5.%6.%7"/>
      <w:lvlJc w:val="left"/>
      <w:pPr>
        <w:ind w:left="1818" w:hanging="1296"/>
      </w:pPr>
      <w:rPr>
        <w:rFonts w:cs="Times New Roman" w:hint="default"/>
      </w:rPr>
    </w:lvl>
    <w:lvl w:ilvl="7">
      <w:start w:val="1"/>
      <w:numFmt w:val="decimal"/>
      <w:lvlText w:val="%1.%2.%3.%4.%5.%6.%7.%8"/>
      <w:lvlJc w:val="left"/>
      <w:pPr>
        <w:ind w:left="1962" w:hanging="1440"/>
      </w:pPr>
      <w:rPr>
        <w:rFonts w:cs="Times New Roman" w:hint="default"/>
      </w:rPr>
    </w:lvl>
    <w:lvl w:ilvl="8">
      <w:start w:val="1"/>
      <w:numFmt w:val="decimal"/>
      <w:lvlText w:val="%1.%2.%3.%4.%5.%6.%7.%8.%9"/>
      <w:lvlJc w:val="left"/>
      <w:pPr>
        <w:ind w:left="2106" w:hanging="1584"/>
      </w:pPr>
      <w:rPr>
        <w:rFonts w:cs="Times New Roman" w:hint="default"/>
      </w:rPr>
    </w:lvl>
  </w:abstractNum>
  <w:abstractNum w:abstractNumId="1" w15:restartNumberingAfterBreak="0">
    <w:nsid w:val="254C1D8F"/>
    <w:multiLevelType w:val="hybridMultilevel"/>
    <w:tmpl w:val="7FCC3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6370BB"/>
    <w:multiLevelType w:val="multilevel"/>
    <w:tmpl w:val="23D056AA"/>
    <w:lvl w:ilvl="0">
      <w:start w:val="1"/>
      <w:numFmt w:val="upperLetter"/>
      <w:lvlRestart w:val="0"/>
      <w:lvlText w:val="%1."/>
      <w:lvlJc w:val="left"/>
      <w:pPr>
        <w:ind w:left="720" w:hanging="720"/>
      </w:pPr>
      <w:rPr>
        <w:b/>
        <w:i w:val="0"/>
      </w:r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3" w15:restartNumberingAfterBreak="0">
    <w:nsid w:val="359B4991"/>
    <w:multiLevelType w:val="multilevel"/>
    <w:tmpl w:val="CFACA586"/>
    <w:lvl w:ilvl="0">
      <w:start w:val="1"/>
      <w:numFmt w:val="upperRoman"/>
      <w:lvlRestart w:val="0"/>
      <w:lvlText w:val="%1."/>
      <w:lvlJc w:val="center"/>
      <w:pPr>
        <w:tabs>
          <w:tab w:val="num" w:pos="1800"/>
        </w:tabs>
        <w:ind w:left="1152" w:firstLine="288"/>
      </w:pPr>
      <w:rPr>
        <w:rFonts w:hint="default"/>
        <w:b/>
        <w:i w:val="0"/>
      </w:rPr>
    </w:lvl>
    <w:lvl w:ilvl="1">
      <w:start w:val="1"/>
      <w:numFmt w:val="decimal"/>
      <w:isLgl/>
      <w:lvlText w:val="%1.%2"/>
      <w:lvlJc w:val="left"/>
      <w:pPr>
        <w:tabs>
          <w:tab w:val="num" w:pos="1296"/>
        </w:tabs>
        <w:ind w:left="1296" w:hanging="1296"/>
      </w:pPr>
      <w:rPr>
        <w:rFonts w:ascii="Arial" w:hAnsi="Arial" w:cs="Arial" w:hint="default"/>
        <w:b w:val="0"/>
        <w:color w:val="auto"/>
        <w:sz w:val="22"/>
        <w:szCs w:val="22"/>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4" w15:restartNumberingAfterBreak="0">
    <w:nsid w:val="5FF509F5"/>
    <w:multiLevelType w:val="hybridMultilevel"/>
    <w:tmpl w:val="179C1E48"/>
    <w:lvl w:ilvl="0" w:tplc="1904FABE">
      <w:start w:val="1"/>
      <w:numFmt w:val="upperRoman"/>
      <w:lvlText w:val="%1."/>
      <w:lvlJc w:val="left"/>
      <w:pPr>
        <w:ind w:left="1425" w:hanging="720"/>
      </w:pPr>
      <w:rPr>
        <w:rFonts w:hint="default"/>
      </w:rPr>
    </w:lvl>
    <w:lvl w:ilvl="1" w:tplc="04090015">
      <w:start w:val="1"/>
      <w:numFmt w:val="upperLetter"/>
      <w:lvlText w:val="%2."/>
      <w:lvlJc w:val="left"/>
      <w:pPr>
        <w:ind w:left="1785" w:hanging="360"/>
      </w:pPr>
      <w:rPr>
        <w:sz w:val="28"/>
        <w:szCs w:val="28"/>
      </w:r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 w15:restartNumberingAfterBreak="0">
    <w:nsid w:val="609923C8"/>
    <w:multiLevelType w:val="multilevel"/>
    <w:tmpl w:val="FFF87884"/>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b w:val="0"/>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val="0"/>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15:restartNumberingAfterBreak="0">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7" w15:restartNumberingAfterBreak="0">
    <w:nsid w:val="74CF0769"/>
    <w:multiLevelType w:val="multilevel"/>
    <w:tmpl w:val="2F4611D2"/>
    <w:lvl w:ilvl="0">
      <w:start w:val="1"/>
      <w:numFmt w:val="upperLetter"/>
      <w:lvlRestart w:val="0"/>
      <w:lvlText w:val="%1."/>
      <w:lvlJc w:val="left"/>
      <w:pPr>
        <w:ind w:left="720" w:hanging="720"/>
      </w:pPr>
      <w:rPr>
        <w:b/>
      </w:r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8" w15:restartNumberingAfterBreak="0">
    <w:nsid w:val="765F72A4"/>
    <w:multiLevelType w:val="hybridMultilevel"/>
    <w:tmpl w:val="B0DEA0CA"/>
    <w:lvl w:ilvl="0" w:tplc="0409000F">
      <w:start w:val="1"/>
      <w:numFmt w:val="upperRoman"/>
      <w:lvlText w:val="%1."/>
      <w:lvlJc w:val="left"/>
      <w:pPr>
        <w:ind w:left="1425" w:hanging="720"/>
      </w:pPr>
      <w:rPr>
        <w:rFonts w:hint="default"/>
      </w:rPr>
    </w:lvl>
    <w:lvl w:ilvl="1" w:tplc="04090015">
      <w:start w:val="1"/>
      <w:numFmt w:val="upperLetter"/>
      <w:lvlText w:val="%2."/>
      <w:lvlJc w:val="left"/>
      <w:pPr>
        <w:ind w:left="1785" w:hanging="360"/>
      </w:pPr>
      <w:rPr>
        <w:sz w:val="28"/>
        <w:szCs w:val="28"/>
      </w:r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9" w15:restartNumberingAfterBreak="0">
    <w:nsid w:val="76D066DD"/>
    <w:multiLevelType w:val="hybridMultilevel"/>
    <w:tmpl w:val="9E36F9EE"/>
    <w:lvl w:ilvl="0" w:tplc="B46C3034">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15:restartNumberingAfterBreak="0">
    <w:nsid w:val="79B44BBB"/>
    <w:multiLevelType w:val="hybridMultilevel"/>
    <w:tmpl w:val="31E213D6"/>
    <w:lvl w:ilvl="0" w:tplc="C506EDA8">
      <w:start w:val="3"/>
      <w:numFmt w:val="upperLetter"/>
      <w:lvlText w:val="%1."/>
      <w:lvlJc w:val="left"/>
      <w:pPr>
        <w:ind w:left="1785"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E05CB3"/>
    <w:multiLevelType w:val="hybridMultilevel"/>
    <w:tmpl w:val="81180636"/>
    <w:lvl w:ilvl="0" w:tplc="B770D05E">
      <w:start w:val="1"/>
      <w:numFmt w:val="lowerRoman"/>
      <w:lvlText w:val="%1."/>
      <w:lvlJc w:val="right"/>
      <w:pPr>
        <w:ind w:left="1440" w:hanging="360"/>
      </w:pPr>
      <w:rPr>
        <w:rFonts w:ascii="Times New Roman" w:hAnsi="Times New Roman" w:cs="Times New Roman" w:hint="default"/>
        <w:b/>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1B">
      <w:start w:val="1"/>
      <w:numFmt w:val="lowerRoman"/>
      <w:lvlText w:val="%4."/>
      <w:lvlJc w:val="righ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6"/>
  </w:num>
  <w:num w:numId="2">
    <w:abstractNumId w:val="4"/>
  </w:num>
  <w:num w:numId="3">
    <w:abstractNumId w:val="0"/>
  </w:num>
  <w:num w:numId="4">
    <w:abstractNumId w:val="5"/>
  </w:num>
  <w:num w:numId="5">
    <w:abstractNumId w:val="11"/>
  </w:num>
  <w:num w:numId="6">
    <w:abstractNumId w:val="9"/>
  </w:num>
  <w:num w:numId="7">
    <w:abstractNumId w:val="8"/>
  </w:num>
  <w:num w:numId="8">
    <w:abstractNumId w:val="1"/>
  </w:num>
  <w:num w:numId="9">
    <w:abstractNumId w:val="10"/>
  </w:num>
  <w:num w:numId="10">
    <w:abstractNumId w:val="2"/>
  </w:num>
  <w:num w:numId="11">
    <w:abstractNumId w:val="3"/>
  </w:num>
  <w:num w:numId="1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B40"/>
    <w:rsid w:val="0001130F"/>
    <w:rsid w:val="00017C02"/>
    <w:rsid w:val="00017F6F"/>
    <w:rsid w:val="000251DB"/>
    <w:rsid w:val="0002686F"/>
    <w:rsid w:val="00031115"/>
    <w:rsid w:val="000315E2"/>
    <w:rsid w:val="00031DC0"/>
    <w:rsid w:val="000341D4"/>
    <w:rsid w:val="00055FFF"/>
    <w:rsid w:val="00056697"/>
    <w:rsid w:val="000569FD"/>
    <w:rsid w:val="00060FD6"/>
    <w:rsid w:val="000672EB"/>
    <w:rsid w:val="00067598"/>
    <w:rsid w:val="00070889"/>
    <w:rsid w:val="00071593"/>
    <w:rsid w:val="00083A59"/>
    <w:rsid w:val="00084AEE"/>
    <w:rsid w:val="00090B99"/>
    <w:rsid w:val="0009138A"/>
    <w:rsid w:val="00094B85"/>
    <w:rsid w:val="000A5732"/>
    <w:rsid w:val="000A7135"/>
    <w:rsid w:val="000B1D03"/>
    <w:rsid w:val="000B27AA"/>
    <w:rsid w:val="000B7769"/>
    <w:rsid w:val="000D41DE"/>
    <w:rsid w:val="000E03AD"/>
    <w:rsid w:val="000E1E3E"/>
    <w:rsid w:val="000E5269"/>
    <w:rsid w:val="000F102A"/>
    <w:rsid w:val="00103A9E"/>
    <w:rsid w:val="00110492"/>
    <w:rsid w:val="00112914"/>
    <w:rsid w:val="0011340A"/>
    <w:rsid w:val="00115738"/>
    <w:rsid w:val="001203BD"/>
    <w:rsid w:val="0012377F"/>
    <w:rsid w:val="0012405D"/>
    <w:rsid w:val="001248E4"/>
    <w:rsid w:val="0012572B"/>
    <w:rsid w:val="00132DD5"/>
    <w:rsid w:val="001406B1"/>
    <w:rsid w:val="00140830"/>
    <w:rsid w:val="00155B5B"/>
    <w:rsid w:val="00163B83"/>
    <w:rsid w:val="00165E48"/>
    <w:rsid w:val="00172EDB"/>
    <w:rsid w:val="001755EB"/>
    <w:rsid w:val="0018131E"/>
    <w:rsid w:val="00186AC2"/>
    <w:rsid w:val="00186EF1"/>
    <w:rsid w:val="001873D0"/>
    <w:rsid w:val="00192671"/>
    <w:rsid w:val="001A0D09"/>
    <w:rsid w:val="001A4410"/>
    <w:rsid w:val="001A606C"/>
    <w:rsid w:val="001A7E25"/>
    <w:rsid w:val="001B2D6E"/>
    <w:rsid w:val="001B6B40"/>
    <w:rsid w:val="001C123A"/>
    <w:rsid w:val="001C2BFE"/>
    <w:rsid w:val="001C6ECD"/>
    <w:rsid w:val="001D6011"/>
    <w:rsid w:val="001D62C4"/>
    <w:rsid w:val="001E5795"/>
    <w:rsid w:val="001F32B5"/>
    <w:rsid w:val="001F6893"/>
    <w:rsid w:val="0020026B"/>
    <w:rsid w:val="0020225D"/>
    <w:rsid w:val="002029F9"/>
    <w:rsid w:val="00212E53"/>
    <w:rsid w:val="00213EF3"/>
    <w:rsid w:val="00216360"/>
    <w:rsid w:val="00217C45"/>
    <w:rsid w:val="002351F0"/>
    <w:rsid w:val="00244406"/>
    <w:rsid w:val="002527A8"/>
    <w:rsid w:val="00252D7E"/>
    <w:rsid w:val="002637D1"/>
    <w:rsid w:val="00276D50"/>
    <w:rsid w:val="002814E0"/>
    <w:rsid w:val="002928F3"/>
    <w:rsid w:val="00294BA4"/>
    <w:rsid w:val="002974F3"/>
    <w:rsid w:val="002A5ADD"/>
    <w:rsid w:val="002B2F04"/>
    <w:rsid w:val="002B361A"/>
    <w:rsid w:val="002C4004"/>
    <w:rsid w:val="002D2B95"/>
    <w:rsid w:val="002D452D"/>
    <w:rsid w:val="002E0081"/>
    <w:rsid w:val="002E0F93"/>
    <w:rsid w:val="002E1306"/>
    <w:rsid w:val="002F275D"/>
    <w:rsid w:val="002F7446"/>
    <w:rsid w:val="00301794"/>
    <w:rsid w:val="00304EEA"/>
    <w:rsid w:val="003105DB"/>
    <w:rsid w:val="00314225"/>
    <w:rsid w:val="003151BF"/>
    <w:rsid w:val="00320B02"/>
    <w:rsid w:val="00323B78"/>
    <w:rsid w:val="003255CB"/>
    <w:rsid w:val="0033130A"/>
    <w:rsid w:val="003333C5"/>
    <w:rsid w:val="003364A0"/>
    <w:rsid w:val="00337A14"/>
    <w:rsid w:val="003532D3"/>
    <w:rsid w:val="00356E79"/>
    <w:rsid w:val="00362300"/>
    <w:rsid w:val="00364A42"/>
    <w:rsid w:val="003748B2"/>
    <w:rsid w:val="00377881"/>
    <w:rsid w:val="00381EE9"/>
    <w:rsid w:val="003848DB"/>
    <w:rsid w:val="003A10C1"/>
    <w:rsid w:val="003A240C"/>
    <w:rsid w:val="003A2AFC"/>
    <w:rsid w:val="003A45B5"/>
    <w:rsid w:val="003A509B"/>
    <w:rsid w:val="003A57BC"/>
    <w:rsid w:val="003A79B2"/>
    <w:rsid w:val="003B24DD"/>
    <w:rsid w:val="003B6920"/>
    <w:rsid w:val="003C132F"/>
    <w:rsid w:val="003C31A0"/>
    <w:rsid w:val="003E1D93"/>
    <w:rsid w:val="003E41B6"/>
    <w:rsid w:val="003E6B2F"/>
    <w:rsid w:val="003F1F05"/>
    <w:rsid w:val="003F44DC"/>
    <w:rsid w:val="003F6BA0"/>
    <w:rsid w:val="00401CE5"/>
    <w:rsid w:val="004022C0"/>
    <w:rsid w:val="00405566"/>
    <w:rsid w:val="00407449"/>
    <w:rsid w:val="00407C1A"/>
    <w:rsid w:val="00410BA2"/>
    <w:rsid w:val="00410E01"/>
    <w:rsid w:val="004131D3"/>
    <w:rsid w:val="00416033"/>
    <w:rsid w:val="004259D9"/>
    <w:rsid w:val="00434653"/>
    <w:rsid w:val="00435253"/>
    <w:rsid w:val="00437912"/>
    <w:rsid w:val="00440B31"/>
    <w:rsid w:val="00441C41"/>
    <w:rsid w:val="004424E9"/>
    <w:rsid w:val="00444420"/>
    <w:rsid w:val="00444491"/>
    <w:rsid w:val="0046083A"/>
    <w:rsid w:val="00463B31"/>
    <w:rsid w:val="00467E0C"/>
    <w:rsid w:val="00472F6E"/>
    <w:rsid w:val="00473CC8"/>
    <w:rsid w:val="00475D9A"/>
    <w:rsid w:val="00477129"/>
    <w:rsid w:val="00483DA7"/>
    <w:rsid w:val="004859FF"/>
    <w:rsid w:val="00495148"/>
    <w:rsid w:val="00496945"/>
    <w:rsid w:val="004B00C8"/>
    <w:rsid w:val="004C720B"/>
    <w:rsid w:val="004D2DDB"/>
    <w:rsid w:val="004D5C97"/>
    <w:rsid w:val="004D5F81"/>
    <w:rsid w:val="004E03F0"/>
    <w:rsid w:val="004E5700"/>
    <w:rsid w:val="004F304B"/>
    <w:rsid w:val="004F39FF"/>
    <w:rsid w:val="004F51C2"/>
    <w:rsid w:val="004F750B"/>
    <w:rsid w:val="00500E1F"/>
    <w:rsid w:val="00503B63"/>
    <w:rsid w:val="00505ED8"/>
    <w:rsid w:val="0052468A"/>
    <w:rsid w:val="00557DF6"/>
    <w:rsid w:val="00560875"/>
    <w:rsid w:val="00562D11"/>
    <w:rsid w:val="005712DA"/>
    <w:rsid w:val="00573D78"/>
    <w:rsid w:val="005753A4"/>
    <w:rsid w:val="00582806"/>
    <w:rsid w:val="00591D7C"/>
    <w:rsid w:val="005A4426"/>
    <w:rsid w:val="005A63CB"/>
    <w:rsid w:val="005B2811"/>
    <w:rsid w:val="005C1642"/>
    <w:rsid w:val="005C4608"/>
    <w:rsid w:val="005D209C"/>
    <w:rsid w:val="005D3CC7"/>
    <w:rsid w:val="005D487C"/>
    <w:rsid w:val="005D6AAA"/>
    <w:rsid w:val="005D7900"/>
    <w:rsid w:val="005E13EC"/>
    <w:rsid w:val="005E6AAD"/>
    <w:rsid w:val="005F4AA7"/>
    <w:rsid w:val="006060A0"/>
    <w:rsid w:val="00611297"/>
    <w:rsid w:val="00611794"/>
    <w:rsid w:val="00612C47"/>
    <w:rsid w:val="006162FF"/>
    <w:rsid w:val="00633E0E"/>
    <w:rsid w:val="006350D4"/>
    <w:rsid w:val="00637A98"/>
    <w:rsid w:val="00646B17"/>
    <w:rsid w:val="0064752C"/>
    <w:rsid w:val="00647E73"/>
    <w:rsid w:val="00652EC0"/>
    <w:rsid w:val="0065741A"/>
    <w:rsid w:val="006575A2"/>
    <w:rsid w:val="00667958"/>
    <w:rsid w:val="00671297"/>
    <w:rsid w:val="00676DCC"/>
    <w:rsid w:val="00680792"/>
    <w:rsid w:val="0068373D"/>
    <w:rsid w:val="006852A4"/>
    <w:rsid w:val="006A5E4D"/>
    <w:rsid w:val="006A685D"/>
    <w:rsid w:val="006B60AB"/>
    <w:rsid w:val="006D699A"/>
    <w:rsid w:val="006D7C67"/>
    <w:rsid w:val="006E1A2E"/>
    <w:rsid w:val="006E6916"/>
    <w:rsid w:val="006E6DD2"/>
    <w:rsid w:val="006F1DD3"/>
    <w:rsid w:val="006F2674"/>
    <w:rsid w:val="006F7371"/>
    <w:rsid w:val="00711F14"/>
    <w:rsid w:val="00714D27"/>
    <w:rsid w:val="00720E03"/>
    <w:rsid w:val="007224D6"/>
    <w:rsid w:val="00726C1B"/>
    <w:rsid w:val="007310DB"/>
    <w:rsid w:val="00732B47"/>
    <w:rsid w:val="00735435"/>
    <w:rsid w:val="00737205"/>
    <w:rsid w:val="007408A0"/>
    <w:rsid w:val="00740E59"/>
    <w:rsid w:val="00745F1F"/>
    <w:rsid w:val="0075215E"/>
    <w:rsid w:val="007535FC"/>
    <w:rsid w:val="00753BCF"/>
    <w:rsid w:val="0075638A"/>
    <w:rsid w:val="00760FC7"/>
    <w:rsid w:val="007666B9"/>
    <w:rsid w:val="00767D2C"/>
    <w:rsid w:val="007721FF"/>
    <w:rsid w:val="00772831"/>
    <w:rsid w:val="00772BBF"/>
    <w:rsid w:val="00775095"/>
    <w:rsid w:val="007810A0"/>
    <w:rsid w:val="00785416"/>
    <w:rsid w:val="007910B3"/>
    <w:rsid w:val="0079117E"/>
    <w:rsid w:val="00792933"/>
    <w:rsid w:val="007935C3"/>
    <w:rsid w:val="00796575"/>
    <w:rsid w:val="007969EB"/>
    <w:rsid w:val="007A0F85"/>
    <w:rsid w:val="007A3A3E"/>
    <w:rsid w:val="007A6B85"/>
    <w:rsid w:val="007B0619"/>
    <w:rsid w:val="007B5D7C"/>
    <w:rsid w:val="007C39FF"/>
    <w:rsid w:val="007C49D8"/>
    <w:rsid w:val="007D21D6"/>
    <w:rsid w:val="007D66C3"/>
    <w:rsid w:val="007F10EA"/>
    <w:rsid w:val="007F298A"/>
    <w:rsid w:val="007F2D17"/>
    <w:rsid w:val="007F3EBA"/>
    <w:rsid w:val="007F46DC"/>
    <w:rsid w:val="00800BB2"/>
    <w:rsid w:val="00802B83"/>
    <w:rsid w:val="00805EBD"/>
    <w:rsid w:val="00807988"/>
    <w:rsid w:val="00812A81"/>
    <w:rsid w:val="00813B43"/>
    <w:rsid w:val="00813D35"/>
    <w:rsid w:val="00820556"/>
    <w:rsid w:val="00827BC1"/>
    <w:rsid w:val="008307B0"/>
    <w:rsid w:val="008363D7"/>
    <w:rsid w:val="00851149"/>
    <w:rsid w:val="00854D83"/>
    <w:rsid w:val="008639E8"/>
    <w:rsid w:val="00865ECA"/>
    <w:rsid w:val="00867EAB"/>
    <w:rsid w:val="00871F42"/>
    <w:rsid w:val="00874A98"/>
    <w:rsid w:val="00876C87"/>
    <w:rsid w:val="008938B6"/>
    <w:rsid w:val="008A3DD8"/>
    <w:rsid w:val="008A7D44"/>
    <w:rsid w:val="008B7CFC"/>
    <w:rsid w:val="008C7DB5"/>
    <w:rsid w:val="008D3404"/>
    <w:rsid w:val="008D4B06"/>
    <w:rsid w:val="008E6C50"/>
    <w:rsid w:val="008E7382"/>
    <w:rsid w:val="008F47AC"/>
    <w:rsid w:val="008F7E79"/>
    <w:rsid w:val="00900F0D"/>
    <w:rsid w:val="009044EF"/>
    <w:rsid w:val="00904B6B"/>
    <w:rsid w:val="009056EF"/>
    <w:rsid w:val="009063ED"/>
    <w:rsid w:val="00906C8E"/>
    <w:rsid w:val="0091246A"/>
    <w:rsid w:val="009157FA"/>
    <w:rsid w:val="009219B9"/>
    <w:rsid w:val="00937632"/>
    <w:rsid w:val="00937D90"/>
    <w:rsid w:val="00955F80"/>
    <w:rsid w:val="00956E9A"/>
    <w:rsid w:val="009615BB"/>
    <w:rsid w:val="00970F70"/>
    <w:rsid w:val="00977678"/>
    <w:rsid w:val="00980ADE"/>
    <w:rsid w:val="0098528A"/>
    <w:rsid w:val="009907B5"/>
    <w:rsid w:val="009A0CC8"/>
    <w:rsid w:val="009A3D7F"/>
    <w:rsid w:val="009A4B8B"/>
    <w:rsid w:val="009B0DED"/>
    <w:rsid w:val="009B3D00"/>
    <w:rsid w:val="009B42CC"/>
    <w:rsid w:val="009B5525"/>
    <w:rsid w:val="009C1E41"/>
    <w:rsid w:val="009C50CE"/>
    <w:rsid w:val="009C686F"/>
    <w:rsid w:val="009D012F"/>
    <w:rsid w:val="009D4877"/>
    <w:rsid w:val="009E2027"/>
    <w:rsid w:val="009E3941"/>
    <w:rsid w:val="009E6363"/>
    <w:rsid w:val="009F7166"/>
    <w:rsid w:val="009F7400"/>
    <w:rsid w:val="009F7D00"/>
    <w:rsid w:val="00A02DBF"/>
    <w:rsid w:val="00A061C0"/>
    <w:rsid w:val="00A13A12"/>
    <w:rsid w:val="00A17C89"/>
    <w:rsid w:val="00A2222B"/>
    <w:rsid w:val="00A23B20"/>
    <w:rsid w:val="00A37D3E"/>
    <w:rsid w:val="00A4375D"/>
    <w:rsid w:val="00A44648"/>
    <w:rsid w:val="00A51EF6"/>
    <w:rsid w:val="00A54BEF"/>
    <w:rsid w:val="00A63C7C"/>
    <w:rsid w:val="00A659B6"/>
    <w:rsid w:val="00A6797B"/>
    <w:rsid w:val="00A74294"/>
    <w:rsid w:val="00A857AF"/>
    <w:rsid w:val="00AA33A0"/>
    <w:rsid w:val="00AA642A"/>
    <w:rsid w:val="00AB04BB"/>
    <w:rsid w:val="00AB2857"/>
    <w:rsid w:val="00AC260A"/>
    <w:rsid w:val="00AC59A7"/>
    <w:rsid w:val="00AC6B33"/>
    <w:rsid w:val="00AC7003"/>
    <w:rsid w:val="00AD6F11"/>
    <w:rsid w:val="00AD74A9"/>
    <w:rsid w:val="00AE799D"/>
    <w:rsid w:val="00AF3B57"/>
    <w:rsid w:val="00AF41D5"/>
    <w:rsid w:val="00AF76D2"/>
    <w:rsid w:val="00B04DBD"/>
    <w:rsid w:val="00B14110"/>
    <w:rsid w:val="00B1462E"/>
    <w:rsid w:val="00B15E1B"/>
    <w:rsid w:val="00B223D4"/>
    <w:rsid w:val="00B306C1"/>
    <w:rsid w:val="00B316FB"/>
    <w:rsid w:val="00B32DAD"/>
    <w:rsid w:val="00B36E59"/>
    <w:rsid w:val="00B510AB"/>
    <w:rsid w:val="00B52A41"/>
    <w:rsid w:val="00B566C4"/>
    <w:rsid w:val="00B602D1"/>
    <w:rsid w:val="00B6374F"/>
    <w:rsid w:val="00B7210F"/>
    <w:rsid w:val="00B7388C"/>
    <w:rsid w:val="00B80223"/>
    <w:rsid w:val="00B80D2E"/>
    <w:rsid w:val="00B83FB0"/>
    <w:rsid w:val="00B866B4"/>
    <w:rsid w:val="00B90156"/>
    <w:rsid w:val="00B91352"/>
    <w:rsid w:val="00B9272F"/>
    <w:rsid w:val="00BA5F46"/>
    <w:rsid w:val="00BB0280"/>
    <w:rsid w:val="00BB5B06"/>
    <w:rsid w:val="00BC6B41"/>
    <w:rsid w:val="00BD56BA"/>
    <w:rsid w:val="00BE3417"/>
    <w:rsid w:val="00BE6315"/>
    <w:rsid w:val="00BE7825"/>
    <w:rsid w:val="00BF4FC3"/>
    <w:rsid w:val="00C01841"/>
    <w:rsid w:val="00C11038"/>
    <w:rsid w:val="00C206B9"/>
    <w:rsid w:val="00C21513"/>
    <w:rsid w:val="00C355F3"/>
    <w:rsid w:val="00C465D8"/>
    <w:rsid w:val="00C5302B"/>
    <w:rsid w:val="00C54AA7"/>
    <w:rsid w:val="00C55C41"/>
    <w:rsid w:val="00C64C69"/>
    <w:rsid w:val="00C65A37"/>
    <w:rsid w:val="00C8107D"/>
    <w:rsid w:val="00C82B52"/>
    <w:rsid w:val="00C836B2"/>
    <w:rsid w:val="00C85C72"/>
    <w:rsid w:val="00C8642F"/>
    <w:rsid w:val="00C92A14"/>
    <w:rsid w:val="00C94A61"/>
    <w:rsid w:val="00C95189"/>
    <w:rsid w:val="00CA1A28"/>
    <w:rsid w:val="00CA7693"/>
    <w:rsid w:val="00CA7DCF"/>
    <w:rsid w:val="00CB6CD3"/>
    <w:rsid w:val="00CC7434"/>
    <w:rsid w:val="00CD7231"/>
    <w:rsid w:val="00CD740B"/>
    <w:rsid w:val="00CE2795"/>
    <w:rsid w:val="00CE3FAF"/>
    <w:rsid w:val="00CE506D"/>
    <w:rsid w:val="00CF0297"/>
    <w:rsid w:val="00CF41AC"/>
    <w:rsid w:val="00CF4AAE"/>
    <w:rsid w:val="00D001D4"/>
    <w:rsid w:val="00D1083E"/>
    <w:rsid w:val="00D20BFD"/>
    <w:rsid w:val="00D26876"/>
    <w:rsid w:val="00D32C5C"/>
    <w:rsid w:val="00D37A0D"/>
    <w:rsid w:val="00D37F9D"/>
    <w:rsid w:val="00D45AFF"/>
    <w:rsid w:val="00D53B5C"/>
    <w:rsid w:val="00D542A5"/>
    <w:rsid w:val="00D569A9"/>
    <w:rsid w:val="00D609AB"/>
    <w:rsid w:val="00D62BC0"/>
    <w:rsid w:val="00D732D3"/>
    <w:rsid w:val="00D748B3"/>
    <w:rsid w:val="00D8336B"/>
    <w:rsid w:val="00D85573"/>
    <w:rsid w:val="00D8723E"/>
    <w:rsid w:val="00DA3CFF"/>
    <w:rsid w:val="00DA6F08"/>
    <w:rsid w:val="00DB14E8"/>
    <w:rsid w:val="00DB21F4"/>
    <w:rsid w:val="00DB354B"/>
    <w:rsid w:val="00DB36F7"/>
    <w:rsid w:val="00DB4181"/>
    <w:rsid w:val="00DB4BA1"/>
    <w:rsid w:val="00DB6447"/>
    <w:rsid w:val="00DB6AA5"/>
    <w:rsid w:val="00DC077D"/>
    <w:rsid w:val="00DC0A8E"/>
    <w:rsid w:val="00DC1359"/>
    <w:rsid w:val="00DC3A1A"/>
    <w:rsid w:val="00DC5247"/>
    <w:rsid w:val="00DC7203"/>
    <w:rsid w:val="00DD1827"/>
    <w:rsid w:val="00DE0778"/>
    <w:rsid w:val="00DE6CFA"/>
    <w:rsid w:val="00DE78EC"/>
    <w:rsid w:val="00DF7E96"/>
    <w:rsid w:val="00E03B6C"/>
    <w:rsid w:val="00E06AE9"/>
    <w:rsid w:val="00E07320"/>
    <w:rsid w:val="00E079A5"/>
    <w:rsid w:val="00E11A3C"/>
    <w:rsid w:val="00E154A1"/>
    <w:rsid w:val="00E15B8F"/>
    <w:rsid w:val="00E16BB9"/>
    <w:rsid w:val="00E31015"/>
    <w:rsid w:val="00E31B65"/>
    <w:rsid w:val="00E41C65"/>
    <w:rsid w:val="00E468DC"/>
    <w:rsid w:val="00E46F3F"/>
    <w:rsid w:val="00E478ED"/>
    <w:rsid w:val="00E5007E"/>
    <w:rsid w:val="00E50593"/>
    <w:rsid w:val="00E50DBC"/>
    <w:rsid w:val="00E53F08"/>
    <w:rsid w:val="00E569AB"/>
    <w:rsid w:val="00E626E1"/>
    <w:rsid w:val="00E64A70"/>
    <w:rsid w:val="00E6532B"/>
    <w:rsid w:val="00E72811"/>
    <w:rsid w:val="00E7550C"/>
    <w:rsid w:val="00E75694"/>
    <w:rsid w:val="00E803EF"/>
    <w:rsid w:val="00E80F57"/>
    <w:rsid w:val="00E84514"/>
    <w:rsid w:val="00E91504"/>
    <w:rsid w:val="00E92C77"/>
    <w:rsid w:val="00E953E1"/>
    <w:rsid w:val="00EA7ED3"/>
    <w:rsid w:val="00EB233D"/>
    <w:rsid w:val="00EB4619"/>
    <w:rsid w:val="00EB5703"/>
    <w:rsid w:val="00EC16D3"/>
    <w:rsid w:val="00EC549A"/>
    <w:rsid w:val="00ED065C"/>
    <w:rsid w:val="00ED3238"/>
    <w:rsid w:val="00EE6A31"/>
    <w:rsid w:val="00EF2452"/>
    <w:rsid w:val="00EF3DB3"/>
    <w:rsid w:val="00F04E37"/>
    <w:rsid w:val="00F10617"/>
    <w:rsid w:val="00F112F5"/>
    <w:rsid w:val="00F1231C"/>
    <w:rsid w:val="00F14B75"/>
    <w:rsid w:val="00F21ADE"/>
    <w:rsid w:val="00F3413D"/>
    <w:rsid w:val="00F46869"/>
    <w:rsid w:val="00F479AD"/>
    <w:rsid w:val="00F64105"/>
    <w:rsid w:val="00F64416"/>
    <w:rsid w:val="00F65B38"/>
    <w:rsid w:val="00F65CDC"/>
    <w:rsid w:val="00F6686A"/>
    <w:rsid w:val="00F70863"/>
    <w:rsid w:val="00F70C3D"/>
    <w:rsid w:val="00F73ADD"/>
    <w:rsid w:val="00F810E1"/>
    <w:rsid w:val="00F94420"/>
    <w:rsid w:val="00F950BC"/>
    <w:rsid w:val="00F957DF"/>
    <w:rsid w:val="00FA4145"/>
    <w:rsid w:val="00FB5D67"/>
    <w:rsid w:val="00FB7282"/>
    <w:rsid w:val="00FC2009"/>
    <w:rsid w:val="00FC22AC"/>
    <w:rsid w:val="00FD3D26"/>
    <w:rsid w:val="00FD41F8"/>
    <w:rsid w:val="00FE3774"/>
    <w:rsid w:val="00FF1D20"/>
    <w:rsid w:val="00FF67B1"/>
    <w:rsid w:val="00FF7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8FC0F6"/>
  <w15:docId w15:val="{56352DA3-37C8-409B-B129-55E33315F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41AC"/>
    <w:pPr>
      <w:spacing w:after="160" w:line="256" w:lineRule="auto"/>
    </w:pPr>
  </w:style>
  <w:style w:type="paragraph" w:styleId="Heading1">
    <w:name w:val="heading 1"/>
    <w:aliases w:val="Heading 1.I"/>
    <w:next w:val="Normal"/>
    <w:link w:val="Heading1Char"/>
    <w:qFormat/>
    <w:rsid w:val="00737205"/>
    <w:pPr>
      <w:keepNext/>
      <w:numPr>
        <w:numId w:val="4"/>
      </w:numPr>
      <w:spacing w:before="240" w:after="240" w:line="240" w:lineRule="auto"/>
      <w:jc w:val="center"/>
      <w:outlineLvl w:val="0"/>
    </w:pPr>
    <w:rPr>
      <w:rFonts w:ascii="Times New Roman Bold" w:eastAsia="Times New Roman" w:hAnsi="Times New Roman Bold" w:cs="Times New Roman"/>
      <w:b/>
      <w:smallCaps/>
      <w:noProof/>
      <w:sz w:val="28"/>
      <w:szCs w:val="20"/>
      <w:lang w:val="es-ES" w:eastAsia="es-ES"/>
    </w:rPr>
  </w:style>
  <w:style w:type="paragraph" w:styleId="Heading2">
    <w:name w:val="heading 2"/>
    <w:basedOn w:val="Normal"/>
    <w:next w:val="Normal"/>
    <w:link w:val="Heading2Char"/>
    <w:qFormat/>
    <w:rsid w:val="00937D90"/>
    <w:pPr>
      <w:keepNext/>
      <w:tabs>
        <w:tab w:val="num" w:pos="1080"/>
      </w:tabs>
      <w:spacing w:before="240" w:after="60" w:line="240" w:lineRule="auto"/>
      <w:ind w:left="720"/>
      <w:outlineLvl w:val="1"/>
    </w:pPr>
    <w:rPr>
      <w:rFonts w:ascii="Arial" w:eastAsia="Times New Roman" w:hAnsi="Arial" w:cs="Times New Roman"/>
      <w:b/>
      <w:i/>
      <w:sz w:val="24"/>
      <w:szCs w:val="24"/>
    </w:rPr>
  </w:style>
  <w:style w:type="paragraph" w:styleId="Heading3">
    <w:name w:val="heading 3"/>
    <w:basedOn w:val="Normal"/>
    <w:next w:val="Normal"/>
    <w:link w:val="Heading3Char"/>
    <w:qFormat/>
    <w:rsid w:val="00937D90"/>
    <w:pPr>
      <w:keepNext/>
      <w:tabs>
        <w:tab w:val="num" w:pos="1800"/>
      </w:tabs>
      <w:spacing w:before="240" w:after="60" w:line="240" w:lineRule="auto"/>
      <w:ind w:left="1440"/>
      <w:outlineLvl w:val="2"/>
    </w:pPr>
    <w:rPr>
      <w:rFonts w:ascii="Arial" w:eastAsia="Times New Roman" w:hAnsi="Arial" w:cs="Times New Roman"/>
      <w:sz w:val="24"/>
      <w:szCs w:val="24"/>
    </w:rPr>
  </w:style>
  <w:style w:type="paragraph" w:styleId="Heading4">
    <w:name w:val="heading 4"/>
    <w:aliases w:val="Heading 4.a"/>
    <w:next w:val="Normal"/>
    <w:link w:val="Heading4Char"/>
    <w:qFormat/>
    <w:rsid w:val="00737205"/>
    <w:pPr>
      <w:keepNext/>
      <w:numPr>
        <w:ilvl w:val="2"/>
        <w:numId w:val="4"/>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s-ES" w:eastAsia="es-ES"/>
    </w:rPr>
  </w:style>
  <w:style w:type="paragraph" w:styleId="Heading5">
    <w:name w:val="heading 5"/>
    <w:aliases w:val="Heading 5.(i)"/>
    <w:next w:val="Normal"/>
    <w:link w:val="Heading5Char"/>
    <w:qFormat/>
    <w:rsid w:val="00737205"/>
    <w:pPr>
      <w:keepNext/>
      <w:numPr>
        <w:ilvl w:val="3"/>
        <w:numId w:val="4"/>
      </w:numPr>
      <w:spacing w:before="120" w:after="120" w:line="240" w:lineRule="auto"/>
      <w:jc w:val="both"/>
      <w:outlineLvl w:val="4"/>
    </w:pPr>
    <w:rPr>
      <w:rFonts w:ascii="Times New Roman Bold" w:eastAsia="Times New Roman" w:hAnsi="Times New Roman Bold" w:cs="Times New Roman"/>
      <w:b/>
      <w:noProof/>
      <w:sz w:val="24"/>
      <w:szCs w:val="20"/>
      <w:lang w:val="es-ES" w:eastAsia="es-ES"/>
    </w:rPr>
  </w:style>
  <w:style w:type="paragraph" w:styleId="Heading6">
    <w:name w:val="heading 6"/>
    <w:basedOn w:val="Normal"/>
    <w:next w:val="Normal"/>
    <w:link w:val="Heading6Char"/>
    <w:unhideWhenUsed/>
    <w:qFormat/>
    <w:rsid w:val="009F7D00"/>
    <w:pPr>
      <w:keepNext/>
      <w:keepLines/>
      <w:spacing w:before="200" w:after="0" w:line="240" w:lineRule="auto"/>
      <w:ind w:left="5256" w:hanging="432"/>
      <w:outlineLvl w:val="5"/>
    </w:pPr>
    <w:rPr>
      <w:rFonts w:asciiTheme="majorHAnsi" w:eastAsiaTheme="majorEastAsia" w:hAnsiTheme="majorHAnsi" w:cstheme="majorBidi"/>
      <w:i/>
      <w:iCs/>
      <w:color w:val="243F60" w:themeColor="accent1" w:themeShade="7F"/>
      <w:sz w:val="24"/>
      <w:szCs w:val="20"/>
      <w:lang w:val="es-ES_tradnl"/>
    </w:rPr>
  </w:style>
  <w:style w:type="paragraph" w:styleId="Heading7">
    <w:name w:val="heading 7"/>
    <w:basedOn w:val="Normal"/>
    <w:next w:val="Normal"/>
    <w:link w:val="Heading7Char"/>
    <w:qFormat/>
    <w:rsid w:val="00737205"/>
    <w:pPr>
      <w:numPr>
        <w:ilvl w:val="6"/>
        <w:numId w:val="1"/>
      </w:numPr>
      <w:spacing w:before="240" w:after="60" w:line="240" w:lineRule="auto"/>
      <w:outlineLvl w:val="6"/>
    </w:pPr>
    <w:rPr>
      <w:rFonts w:ascii="Calibri" w:eastAsia="Times New Roman" w:hAnsi="Calibri" w:cs="Times New Roman"/>
      <w:sz w:val="24"/>
      <w:szCs w:val="24"/>
      <w:lang w:val="x-none" w:eastAsia="x-none"/>
    </w:rPr>
  </w:style>
  <w:style w:type="paragraph" w:styleId="Heading8">
    <w:name w:val="heading 8"/>
    <w:basedOn w:val="Normal"/>
    <w:next w:val="Normal"/>
    <w:link w:val="Heading8Char"/>
    <w:qFormat/>
    <w:rsid w:val="00737205"/>
    <w:pPr>
      <w:numPr>
        <w:ilvl w:val="7"/>
        <w:numId w:val="1"/>
      </w:numPr>
      <w:spacing w:before="240" w:after="60" w:line="240" w:lineRule="auto"/>
      <w:outlineLvl w:val="7"/>
    </w:pPr>
    <w:rPr>
      <w:rFonts w:ascii="Calibri" w:eastAsia="Times New Roman" w:hAnsi="Calibri" w:cs="Times New Roman"/>
      <w:i/>
      <w:iCs/>
      <w:sz w:val="24"/>
      <w:szCs w:val="24"/>
      <w:lang w:val="x-none" w:eastAsia="x-none"/>
    </w:rPr>
  </w:style>
  <w:style w:type="paragraph" w:styleId="Heading9">
    <w:name w:val="heading 9"/>
    <w:basedOn w:val="Normal"/>
    <w:next w:val="Normal"/>
    <w:link w:val="Heading9Char"/>
    <w:qFormat/>
    <w:rsid w:val="00737205"/>
    <w:pPr>
      <w:numPr>
        <w:ilvl w:val="8"/>
        <w:numId w:val="1"/>
      </w:numPr>
      <w:spacing w:before="240" w:after="60" w:line="240" w:lineRule="auto"/>
      <w:outlineLvl w:val="8"/>
    </w:pPr>
    <w:rPr>
      <w:rFonts w:ascii="Cambria" w:eastAsia="Times New Roman" w:hAnsi="Cambria"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99"/>
    <w:qFormat/>
    <w:rsid w:val="00F14B75"/>
    <w:pPr>
      <w:spacing w:after="0" w:line="240" w:lineRule="auto"/>
      <w:ind w:left="720"/>
      <w:contextualSpacing/>
    </w:pPr>
    <w:rPr>
      <w:rFonts w:ascii="Calibri" w:eastAsia="Calibri" w:hAnsi="Calibri" w:cs="Times New Roman"/>
      <w:lang w:val="x-none" w:eastAsia="x-none"/>
    </w:rPr>
  </w:style>
  <w:style w:type="character" w:customStyle="1" w:styleId="ColorfulList-Accent1Char">
    <w:name w:val="Colorful List - Accent 1 Char"/>
    <w:link w:val="ColorfulList-Accent11"/>
    <w:uiPriority w:val="99"/>
    <w:rsid w:val="00F14B75"/>
    <w:rPr>
      <w:rFonts w:ascii="Calibri" w:eastAsia="Calibri" w:hAnsi="Calibri" w:cs="Times New Roman"/>
      <w:lang w:val="x-none" w:eastAsia="x-none"/>
    </w:rPr>
  </w:style>
  <w:style w:type="character" w:customStyle="1" w:styleId="Heading1Char">
    <w:name w:val="Heading 1 Char"/>
    <w:aliases w:val="Heading 1.I Char"/>
    <w:basedOn w:val="DefaultParagraphFont"/>
    <w:link w:val="Heading1"/>
    <w:rsid w:val="00737205"/>
    <w:rPr>
      <w:rFonts w:ascii="Times New Roman Bold" w:eastAsia="Times New Roman" w:hAnsi="Times New Roman Bold" w:cs="Times New Roman"/>
      <w:b/>
      <w:smallCaps/>
      <w:noProof/>
      <w:sz w:val="28"/>
      <w:szCs w:val="20"/>
      <w:lang w:val="es-ES" w:eastAsia="es-ES"/>
    </w:rPr>
  </w:style>
  <w:style w:type="character" w:customStyle="1" w:styleId="Heading4Char">
    <w:name w:val="Heading 4 Char"/>
    <w:aliases w:val="Heading 4.a Char"/>
    <w:basedOn w:val="DefaultParagraphFont"/>
    <w:link w:val="Heading4"/>
    <w:rsid w:val="00737205"/>
    <w:rPr>
      <w:rFonts w:ascii="Times New Roman Bold" w:eastAsia="Times New Roman" w:hAnsi="Times New Roman Bold" w:cs="Times New Roman"/>
      <w:b/>
      <w:noProof/>
      <w:sz w:val="24"/>
      <w:szCs w:val="20"/>
      <w:lang w:val="es-ES" w:eastAsia="es-ES"/>
    </w:rPr>
  </w:style>
  <w:style w:type="character" w:customStyle="1" w:styleId="Heading5Char">
    <w:name w:val="Heading 5 Char"/>
    <w:aliases w:val="Heading 5.(i) Char"/>
    <w:basedOn w:val="DefaultParagraphFont"/>
    <w:link w:val="Heading5"/>
    <w:rsid w:val="00737205"/>
    <w:rPr>
      <w:rFonts w:ascii="Times New Roman Bold" w:eastAsia="Times New Roman" w:hAnsi="Times New Roman Bold" w:cs="Times New Roman"/>
      <w:b/>
      <w:noProof/>
      <w:sz w:val="24"/>
      <w:szCs w:val="20"/>
      <w:lang w:val="es-ES" w:eastAsia="es-ES"/>
    </w:rPr>
  </w:style>
  <w:style w:type="character" w:customStyle="1" w:styleId="Heading7Char">
    <w:name w:val="Heading 7 Char"/>
    <w:basedOn w:val="DefaultParagraphFont"/>
    <w:link w:val="Heading7"/>
    <w:rsid w:val="00737205"/>
    <w:rPr>
      <w:rFonts w:ascii="Calibri" w:eastAsia="Times New Roman" w:hAnsi="Calibri" w:cs="Times New Roman"/>
      <w:sz w:val="24"/>
      <w:szCs w:val="24"/>
      <w:lang w:val="x-none" w:eastAsia="x-none"/>
    </w:rPr>
  </w:style>
  <w:style w:type="character" w:customStyle="1" w:styleId="Heading8Char">
    <w:name w:val="Heading 8 Char"/>
    <w:basedOn w:val="DefaultParagraphFont"/>
    <w:link w:val="Heading8"/>
    <w:rsid w:val="00737205"/>
    <w:rPr>
      <w:rFonts w:ascii="Calibri" w:eastAsia="Times New Roman" w:hAnsi="Calibri" w:cs="Times New Roman"/>
      <w:i/>
      <w:iCs/>
      <w:sz w:val="24"/>
      <w:szCs w:val="24"/>
      <w:lang w:val="x-none" w:eastAsia="x-none"/>
    </w:rPr>
  </w:style>
  <w:style w:type="character" w:customStyle="1" w:styleId="Heading9Char">
    <w:name w:val="Heading 9 Char"/>
    <w:basedOn w:val="DefaultParagraphFont"/>
    <w:link w:val="Heading9"/>
    <w:rsid w:val="00737205"/>
    <w:rPr>
      <w:rFonts w:ascii="Cambria" w:eastAsia="Times New Roman" w:hAnsi="Cambria" w:cs="Times New Roman"/>
      <w:lang w:val="x-none" w:eastAsia="x-none"/>
    </w:rPr>
  </w:style>
  <w:style w:type="paragraph" w:styleId="Footer">
    <w:name w:val="footer"/>
    <w:basedOn w:val="Normal"/>
    <w:link w:val="FooterChar"/>
    <w:rsid w:val="00737205"/>
    <w:pPr>
      <w:tabs>
        <w:tab w:val="center" w:pos="4320"/>
        <w:tab w:val="right" w:pos="8640"/>
      </w:tabs>
      <w:spacing w:after="0" w:line="240" w:lineRule="auto"/>
    </w:pPr>
    <w:rPr>
      <w:rFonts w:ascii="Times New Roman" w:eastAsia="Times New Roman" w:hAnsi="Times New Roman" w:cs="Times New Roman"/>
      <w:spacing w:val="-3"/>
      <w:sz w:val="20"/>
      <w:szCs w:val="20"/>
      <w:lang w:val="es-ES_tradnl"/>
    </w:rPr>
  </w:style>
  <w:style w:type="character" w:customStyle="1" w:styleId="FooterChar">
    <w:name w:val="Footer Char"/>
    <w:basedOn w:val="DefaultParagraphFont"/>
    <w:link w:val="Footer"/>
    <w:rsid w:val="00737205"/>
    <w:rPr>
      <w:rFonts w:ascii="Times New Roman" w:eastAsia="Times New Roman" w:hAnsi="Times New Roman" w:cs="Times New Roman"/>
      <w:spacing w:val="-3"/>
      <w:sz w:val="20"/>
      <w:szCs w:val="20"/>
      <w:lang w:val="es-ES_tradnl"/>
    </w:rPr>
  </w:style>
  <w:style w:type="paragraph" w:customStyle="1" w:styleId="Chapter">
    <w:name w:val="Chapter"/>
    <w:basedOn w:val="Normal"/>
    <w:next w:val="Normal"/>
    <w:link w:val="ChapterChar"/>
    <w:rsid w:val="00737205"/>
    <w:pPr>
      <w:keepNext/>
      <w:numPr>
        <w:numId w:val="1"/>
      </w:numPr>
      <w:tabs>
        <w:tab w:val="left" w:pos="1440"/>
      </w:tabs>
      <w:spacing w:before="240" w:after="240" w:line="240" w:lineRule="auto"/>
      <w:jc w:val="center"/>
    </w:pPr>
    <w:rPr>
      <w:rFonts w:ascii="Times New Roman" w:eastAsia="Calibri" w:hAnsi="Times New Roman" w:cs="Times New Roman"/>
      <w:b/>
      <w:smallCaps/>
      <w:sz w:val="24"/>
      <w:lang w:val="x-none" w:eastAsia="x-none"/>
    </w:rPr>
  </w:style>
  <w:style w:type="character" w:customStyle="1" w:styleId="ChapterChar">
    <w:name w:val="Chapter Char"/>
    <w:link w:val="Chapter"/>
    <w:rsid w:val="00737205"/>
    <w:rPr>
      <w:rFonts w:ascii="Times New Roman" w:eastAsia="Calibri" w:hAnsi="Times New Roman" w:cs="Times New Roman"/>
      <w:b/>
      <w:smallCaps/>
      <w:sz w:val="24"/>
      <w:lang w:val="x-none" w:eastAsia="x-none"/>
    </w:rPr>
  </w:style>
  <w:style w:type="paragraph" w:customStyle="1" w:styleId="Paragraph">
    <w:name w:val="Paragraph"/>
    <w:aliases w:val="paragraph,p,PARAGRAPH,PG,pa,at"/>
    <w:basedOn w:val="BodyTextIndent"/>
    <w:link w:val="ParagraphChar"/>
    <w:qFormat/>
    <w:rsid w:val="00737205"/>
    <w:pPr>
      <w:tabs>
        <w:tab w:val="num" w:pos="720"/>
      </w:tabs>
      <w:spacing w:before="120" w:line="240" w:lineRule="auto"/>
      <w:ind w:hanging="720"/>
      <w:jc w:val="both"/>
      <w:outlineLvl w:val="1"/>
    </w:pPr>
    <w:rPr>
      <w:rFonts w:ascii="Times New Roman" w:eastAsia="Calibri" w:hAnsi="Times New Roman" w:cs="Times New Roman"/>
      <w:sz w:val="24"/>
      <w:lang w:val="x-none" w:eastAsia="x-none"/>
    </w:rPr>
  </w:style>
  <w:style w:type="character" w:customStyle="1" w:styleId="ParagraphChar">
    <w:name w:val="Paragraph Char"/>
    <w:link w:val="Paragraph"/>
    <w:rsid w:val="00737205"/>
    <w:rPr>
      <w:rFonts w:ascii="Times New Roman" w:eastAsia="Calibri" w:hAnsi="Times New Roman" w:cs="Times New Roman"/>
      <w:sz w:val="24"/>
      <w:lang w:val="x-none" w:eastAsia="x-none"/>
    </w:rPr>
  </w:style>
  <w:style w:type="paragraph" w:customStyle="1" w:styleId="AutoNumpara">
    <w:name w:val="AutoNumpara"/>
    <w:basedOn w:val="BodyTextIndent"/>
    <w:uiPriority w:val="99"/>
    <w:rsid w:val="00737205"/>
    <w:pPr>
      <w:numPr>
        <w:ilvl w:val="1"/>
        <w:numId w:val="4"/>
      </w:numPr>
      <w:spacing w:before="120" w:line="240" w:lineRule="auto"/>
      <w:jc w:val="both"/>
    </w:pPr>
    <w:rPr>
      <w:rFonts w:ascii="Times New Roman" w:eastAsia="Times New Roman" w:hAnsi="Times New Roman" w:cs="Times New Roman"/>
      <w:noProof/>
      <w:spacing w:val="-2"/>
      <w:sz w:val="24"/>
      <w:szCs w:val="20"/>
      <w:lang w:val="es-ES_tradnl" w:eastAsia="x-none"/>
    </w:rPr>
  </w:style>
  <w:style w:type="paragraph" w:styleId="BodyText2">
    <w:name w:val="Body Text 2"/>
    <w:basedOn w:val="Normal"/>
    <w:link w:val="BodyText2Char"/>
    <w:rsid w:val="00737205"/>
    <w:pPr>
      <w:spacing w:after="120" w:line="480" w:lineRule="auto"/>
    </w:pPr>
    <w:rPr>
      <w:rFonts w:ascii="Times New Roman" w:eastAsia="Times New Roman" w:hAnsi="Times New Roman" w:cs="Times New Roman"/>
      <w:spacing w:val="-3"/>
      <w:sz w:val="24"/>
      <w:szCs w:val="20"/>
      <w:lang w:val="es-ES_tradnl"/>
    </w:rPr>
  </w:style>
  <w:style w:type="character" w:customStyle="1" w:styleId="BodyText2Char">
    <w:name w:val="Body Text 2 Char"/>
    <w:basedOn w:val="DefaultParagraphFont"/>
    <w:link w:val="BodyText2"/>
    <w:rsid w:val="00737205"/>
    <w:rPr>
      <w:rFonts w:ascii="Times New Roman" w:eastAsia="Times New Roman" w:hAnsi="Times New Roman" w:cs="Times New Roman"/>
      <w:spacing w:val="-3"/>
      <w:sz w:val="24"/>
      <w:szCs w:val="20"/>
      <w:lang w:val="es-ES_tradnl"/>
    </w:rPr>
  </w:style>
  <w:style w:type="paragraph" w:styleId="BodyTextIndent">
    <w:name w:val="Body Text Indent"/>
    <w:basedOn w:val="Normal"/>
    <w:link w:val="BodyTextIndentChar"/>
    <w:uiPriority w:val="99"/>
    <w:semiHidden/>
    <w:unhideWhenUsed/>
    <w:rsid w:val="00737205"/>
    <w:pPr>
      <w:spacing w:after="120" w:line="276" w:lineRule="auto"/>
      <w:ind w:left="360"/>
    </w:pPr>
    <w:rPr>
      <w:rFonts w:eastAsiaTheme="minorEastAsia"/>
    </w:rPr>
  </w:style>
  <w:style w:type="character" w:customStyle="1" w:styleId="BodyTextIndentChar">
    <w:name w:val="Body Text Indent Char"/>
    <w:basedOn w:val="DefaultParagraphFont"/>
    <w:link w:val="BodyTextIndent"/>
    <w:uiPriority w:val="99"/>
    <w:semiHidden/>
    <w:rsid w:val="00737205"/>
    <w:rPr>
      <w:rFonts w:eastAsiaTheme="minorEastAsia"/>
    </w:rPr>
  </w:style>
  <w:style w:type="paragraph" w:styleId="TOC1">
    <w:name w:val="toc 1"/>
    <w:basedOn w:val="Normal"/>
    <w:next w:val="Normal"/>
    <w:uiPriority w:val="39"/>
    <w:rsid w:val="00807988"/>
    <w:pPr>
      <w:spacing w:before="120" w:after="0" w:line="276" w:lineRule="auto"/>
    </w:pPr>
    <w:rPr>
      <w:rFonts w:ascii="Times New Roman" w:eastAsia="ヒラギノ角ゴ Pro W3" w:hAnsi="Times New Roman" w:cs="Times New Roman"/>
      <w:b/>
      <w:i/>
      <w:color w:val="000000"/>
      <w:sz w:val="24"/>
      <w:szCs w:val="24"/>
    </w:rPr>
  </w:style>
  <w:style w:type="paragraph" w:styleId="TOC2">
    <w:name w:val="toc 2"/>
    <w:basedOn w:val="Normal"/>
    <w:next w:val="Normal"/>
    <w:uiPriority w:val="39"/>
    <w:rsid w:val="00807988"/>
    <w:pPr>
      <w:spacing w:before="120" w:after="0" w:line="276" w:lineRule="auto"/>
      <w:ind w:left="220"/>
    </w:pPr>
    <w:rPr>
      <w:rFonts w:ascii="Times New Roman" w:eastAsia="ヒラギノ角ゴ Pro W3" w:hAnsi="Times New Roman" w:cs="Times New Roman"/>
      <w:b/>
      <w:color w:val="000000"/>
    </w:rPr>
  </w:style>
  <w:style w:type="paragraph" w:styleId="ListParagraph">
    <w:name w:val="List Paragraph"/>
    <w:basedOn w:val="Normal"/>
    <w:uiPriority w:val="34"/>
    <w:qFormat/>
    <w:rsid w:val="006D699A"/>
    <w:pPr>
      <w:spacing w:after="200" w:line="276" w:lineRule="auto"/>
      <w:ind w:left="720"/>
      <w:contextualSpacing/>
    </w:pPr>
    <w:rPr>
      <w:rFonts w:eastAsiaTheme="minorEastAsia"/>
    </w:rPr>
  </w:style>
  <w:style w:type="paragraph" w:styleId="TOCHeading">
    <w:name w:val="TOC Heading"/>
    <w:basedOn w:val="Heading1"/>
    <w:next w:val="Normal"/>
    <w:uiPriority w:val="39"/>
    <w:semiHidden/>
    <w:unhideWhenUsed/>
    <w:qFormat/>
    <w:rsid w:val="00CF0297"/>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ja-JP"/>
    </w:rPr>
  </w:style>
  <w:style w:type="character" w:styleId="Hyperlink">
    <w:name w:val="Hyperlink"/>
    <w:basedOn w:val="DefaultParagraphFont"/>
    <w:uiPriority w:val="99"/>
    <w:unhideWhenUsed/>
    <w:rsid w:val="00CF0297"/>
    <w:rPr>
      <w:color w:val="0000FF" w:themeColor="hyperlink"/>
      <w:u w:val="single"/>
    </w:rPr>
  </w:style>
  <w:style w:type="paragraph" w:styleId="BalloonText">
    <w:name w:val="Balloon Text"/>
    <w:basedOn w:val="Normal"/>
    <w:link w:val="BalloonTextChar"/>
    <w:uiPriority w:val="99"/>
    <w:semiHidden/>
    <w:unhideWhenUsed/>
    <w:rsid w:val="00CF0297"/>
    <w:pPr>
      <w:spacing w:after="0" w:line="240" w:lineRule="auto"/>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CF0297"/>
    <w:rPr>
      <w:rFonts w:ascii="Tahoma" w:eastAsiaTheme="minorEastAsia" w:hAnsi="Tahoma" w:cs="Tahoma"/>
      <w:sz w:val="16"/>
      <w:szCs w:val="16"/>
    </w:rPr>
  </w:style>
  <w:style w:type="paragraph" w:styleId="FootnoteText">
    <w:name w:val="footnote text"/>
    <w:aliases w:val="fn,Texto nota pie IIRSA,ft,foottextfra,footnote,F,Footnote Text Char Char Char Char Char Char,Footnote Text Char Char Char Char1,Footnote Text Char Char Char Char Char1,Footnote Text Char Char Char Char Char,Footnote Text Char Char Char,f"/>
    <w:basedOn w:val="Normal"/>
    <w:link w:val="FootnoteTextChar"/>
    <w:uiPriority w:val="99"/>
    <w:qFormat/>
    <w:rsid w:val="00F6686A"/>
    <w:pPr>
      <w:keepNext/>
      <w:keepLines/>
      <w:spacing w:after="120" w:line="240" w:lineRule="auto"/>
      <w:ind w:left="288" w:hanging="288"/>
      <w:jc w:val="both"/>
    </w:pPr>
    <w:rPr>
      <w:rFonts w:ascii="Times New Roman" w:eastAsia="MS Mincho" w:hAnsi="Times New Roman" w:cs="Times New Roman"/>
      <w:spacing w:val="-3"/>
      <w:sz w:val="20"/>
      <w:szCs w:val="20"/>
      <w:lang w:val="es-ES_tradnl" w:eastAsia="zh-CN"/>
    </w:rPr>
  </w:style>
  <w:style w:type="character" w:customStyle="1" w:styleId="FootnoteTextChar">
    <w:name w:val="Footnote Text Char"/>
    <w:aliases w:val="fn Char,Texto nota pie IIRSA Char,ft Char,foottextfra Char,footnote Char,F Char,Footnote Text Char Char Char Char Char Char Char,Footnote Text Char Char Char Char1 Char,Footnote Text Char Char Char Char Char1 Char,f Char"/>
    <w:basedOn w:val="DefaultParagraphFont"/>
    <w:link w:val="FootnoteText"/>
    <w:uiPriority w:val="99"/>
    <w:rsid w:val="00F6686A"/>
    <w:rPr>
      <w:rFonts w:ascii="Times New Roman" w:eastAsia="MS Mincho" w:hAnsi="Times New Roman" w:cs="Times New Roman"/>
      <w:spacing w:val="-3"/>
      <w:sz w:val="20"/>
      <w:szCs w:val="20"/>
      <w:lang w:val="es-ES_tradnl" w:eastAsia="zh-CN"/>
    </w:rPr>
  </w:style>
  <w:style w:type="paragraph" w:customStyle="1" w:styleId="ABBR">
    <w:name w:val="ABBR"/>
    <w:basedOn w:val="Normal"/>
    <w:rsid w:val="00F6686A"/>
    <w:pPr>
      <w:spacing w:after="0" w:line="240" w:lineRule="auto"/>
    </w:pPr>
    <w:rPr>
      <w:rFonts w:ascii="Times New Roman" w:eastAsia="MS Mincho" w:hAnsi="Times New Roman" w:cs="Times New Roman"/>
      <w:caps/>
      <w:sz w:val="24"/>
      <w:szCs w:val="24"/>
    </w:rPr>
  </w:style>
  <w:style w:type="paragraph" w:customStyle="1" w:styleId="AbbrDesc">
    <w:name w:val="AbbrDesc"/>
    <w:basedOn w:val="Normal"/>
    <w:rsid w:val="00F6686A"/>
    <w:pPr>
      <w:tabs>
        <w:tab w:val="left" w:pos="3060"/>
      </w:tabs>
      <w:spacing w:after="0" w:line="240" w:lineRule="auto"/>
      <w:jc w:val="both"/>
    </w:pPr>
    <w:rPr>
      <w:rFonts w:ascii="Times New Roman" w:eastAsia="MS Mincho" w:hAnsi="Times New Roman" w:cs="Times New Roman"/>
      <w:sz w:val="24"/>
      <w:szCs w:val="24"/>
    </w:rPr>
  </w:style>
  <w:style w:type="character" w:styleId="FootnoteReference">
    <w:name w:val="footnote reference"/>
    <w:aliases w:val="ftref,titulo 2,FC,referencia nota al pie,Fußnotenzeichen DISS,Footnote Reference Number,Footnote Reference_LVL6,Footnote Reference_LVL61,Footnote Reference_LVL62,Footnote Reference_LVL63,Footnote Reference_LVL64,16 Point,Style 24"/>
    <w:basedOn w:val="DefaultParagraphFont"/>
    <w:uiPriority w:val="99"/>
    <w:rsid w:val="000B27AA"/>
    <w:rPr>
      <w:rFonts w:ascii="Times New Roman" w:hAnsi="Times New Roman" w:cs="Times New Roman"/>
      <w:sz w:val="20"/>
      <w:vertAlign w:val="superscript"/>
    </w:rPr>
  </w:style>
  <w:style w:type="paragraph" w:customStyle="1" w:styleId="subpar">
    <w:name w:val="subpar"/>
    <w:basedOn w:val="BodyTextIndent3"/>
    <w:link w:val="subparChar"/>
    <w:rsid w:val="000B27AA"/>
    <w:pPr>
      <w:tabs>
        <w:tab w:val="num" w:pos="1674"/>
      </w:tabs>
      <w:spacing w:before="120" w:line="240" w:lineRule="auto"/>
      <w:ind w:left="1674" w:hanging="432"/>
      <w:jc w:val="both"/>
      <w:outlineLvl w:val="2"/>
    </w:pPr>
    <w:rPr>
      <w:rFonts w:ascii="Times New Roman" w:eastAsia="MS Mincho" w:hAnsi="Times New Roman" w:cs="Times New Roman"/>
      <w:sz w:val="24"/>
      <w:lang w:val="es-ES_tradnl" w:eastAsia="zh-CN"/>
    </w:rPr>
  </w:style>
  <w:style w:type="character" w:customStyle="1" w:styleId="subparChar">
    <w:name w:val="subpar Char"/>
    <w:link w:val="subpar"/>
    <w:locked/>
    <w:rsid w:val="000B27AA"/>
    <w:rPr>
      <w:rFonts w:ascii="Times New Roman" w:eastAsia="MS Mincho" w:hAnsi="Times New Roman" w:cs="Times New Roman"/>
      <w:sz w:val="24"/>
      <w:szCs w:val="16"/>
      <w:lang w:val="es-ES_tradnl" w:eastAsia="zh-CN"/>
    </w:rPr>
  </w:style>
  <w:style w:type="paragraph" w:customStyle="1" w:styleId="SubSubPar">
    <w:name w:val="SubSubPar"/>
    <w:basedOn w:val="subpar"/>
    <w:link w:val="SubSubParChar"/>
    <w:rsid w:val="000B27AA"/>
    <w:pPr>
      <w:tabs>
        <w:tab w:val="left" w:pos="0"/>
        <w:tab w:val="num" w:pos="1296"/>
      </w:tabs>
      <w:ind w:left="1296" w:hanging="360"/>
    </w:pPr>
  </w:style>
  <w:style w:type="paragraph" w:styleId="BodyTextIndent3">
    <w:name w:val="Body Text Indent 3"/>
    <w:basedOn w:val="Normal"/>
    <w:link w:val="BodyTextIndent3Char"/>
    <w:uiPriority w:val="99"/>
    <w:unhideWhenUsed/>
    <w:rsid w:val="000B27AA"/>
    <w:pPr>
      <w:spacing w:after="120" w:line="276" w:lineRule="auto"/>
      <w:ind w:left="360"/>
    </w:pPr>
    <w:rPr>
      <w:rFonts w:eastAsiaTheme="minorEastAsia"/>
      <w:sz w:val="16"/>
      <w:szCs w:val="16"/>
    </w:rPr>
  </w:style>
  <w:style w:type="character" w:customStyle="1" w:styleId="BodyTextIndent3Char">
    <w:name w:val="Body Text Indent 3 Char"/>
    <w:basedOn w:val="DefaultParagraphFont"/>
    <w:link w:val="BodyTextIndent3"/>
    <w:uiPriority w:val="99"/>
    <w:rsid w:val="000B27AA"/>
    <w:rPr>
      <w:rFonts w:eastAsiaTheme="minorEastAsia"/>
      <w:sz w:val="16"/>
      <w:szCs w:val="16"/>
    </w:rPr>
  </w:style>
  <w:style w:type="character" w:customStyle="1" w:styleId="Heading2Char">
    <w:name w:val="Heading 2 Char"/>
    <w:basedOn w:val="DefaultParagraphFont"/>
    <w:link w:val="Heading2"/>
    <w:rsid w:val="00937D90"/>
    <w:rPr>
      <w:rFonts w:ascii="Arial" w:eastAsia="Times New Roman" w:hAnsi="Arial" w:cs="Times New Roman"/>
      <w:b/>
      <w:i/>
      <w:sz w:val="24"/>
      <w:szCs w:val="24"/>
    </w:rPr>
  </w:style>
  <w:style w:type="character" w:customStyle="1" w:styleId="Heading3Char">
    <w:name w:val="Heading 3 Char"/>
    <w:basedOn w:val="DefaultParagraphFont"/>
    <w:link w:val="Heading3"/>
    <w:rsid w:val="00937D90"/>
    <w:rPr>
      <w:rFonts w:ascii="Arial" w:eastAsia="Times New Roman" w:hAnsi="Arial" w:cs="Times New Roman"/>
      <w:sz w:val="24"/>
      <w:szCs w:val="24"/>
    </w:rPr>
  </w:style>
  <w:style w:type="paragraph" w:styleId="BodyText">
    <w:name w:val="Body Text"/>
    <w:basedOn w:val="Normal"/>
    <w:link w:val="BodyTextChar"/>
    <w:uiPriority w:val="99"/>
    <w:semiHidden/>
    <w:unhideWhenUsed/>
    <w:rsid w:val="00937D90"/>
    <w:pPr>
      <w:spacing w:after="120" w:line="276" w:lineRule="auto"/>
    </w:pPr>
    <w:rPr>
      <w:rFonts w:eastAsiaTheme="minorEastAsia"/>
    </w:rPr>
  </w:style>
  <w:style w:type="character" w:customStyle="1" w:styleId="BodyTextChar">
    <w:name w:val="Body Text Char"/>
    <w:basedOn w:val="DefaultParagraphFont"/>
    <w:link w:val="BodyText"/>
    <w:uiPriority w:val="99"/>
    <w:semiHidden/>
    <w:rsid w:val="00937D90"/>
    <w:rPr>
      <w:rFonts w:eastAsiaTheme="minorEastAsia"/>
    </w:rPr>
  </w:style>
  <w:style w:type="paragraph" w:styleId="Caption">
    <w:name w:val="caption"/>
    <w:basedOn w:val="Normal"/>
    <w:next w:val="Normal"/>
    <w:uiPriority w:val="99"/>
    <w:qFormat/>
    <w:rsid w:val="00937D90"/>
    <w:pPr>
      <w:widowControl w:val="0"/>
      <w:spacing w:after="0" w:line="240" w:lineRule="auto"/>
    </w:pPr>
    <w:rPr>
      <w:rFonts w:ascii="Times New Roman" w:eastAsia="MS Mincho" w:hAnsi="Times New Roman" w:cs="Times New Roman"/>
      <w:spacing w:val="-3"/>
      <w:sz w:val="24"/>
      <w:szCs w:val="20"/>
      <w:lang w:val="es-ES_tradnl"/>
    </w:rPr>
  </w:style>
  <w:style w:type="paragraph" w:customStyle="1" w:styleId="Default">
    <w:name w:val="Default"/>
    <w:uiPriority w:val="99"/>
    <w:rsid w:val="00937D90"/>
    <w:pPr>
      <w:autoSpaceDE w:val="0"/>
      <w:autoSpaceDN w:val="0"/>
      <w:adjustRightInd w:val="0"/>
      <w:spacing w:after="0" w:line="240" w:lineRule="auto"/>
    </w:pPr>
    <w:rPr>
      <w:rFonts w:ascii="Times New Roman" w:eastAsia="MS Mincho" w:hAnsi="Times New Roman" w:cs="Times New Roman"/>
      <w:color w:val="000000"/>
      <w:sz w:val="24"/>
      <w:szCs w:val="24"/>
    </w:rPr>
  </w:style>
  <w:style w:type="paragraph" w:styleId="TOC3">
    <w:name w:val="toc 3"/>
    <w:basedOn w:val="Normal"/>
    <w:next w:val="Normal"/>
    <w:autoRedefine/>
    <w:uiPriority w:val="39"/>
    <w:unhideWhenUsed/>
    <w:rsid w:val="00FD3D26"/>
    <w:pPr>
      <w:spacing w:after="100" w:line="276" w:lineRule="auto"/>
      <w:ind w:left="440"/>
    </w:pPr>
    <w:rPr>
      <w:rFonts w:eastAsiaTheme="minorEastAsia"/>
    </w:rPr>
  </w:style>
  <w:style w:type="paragraph" w:styleId="TOC4">
    <w:name w:val="toc 4"/>
    <w:basedOn w:val="Normal"/>
    <w:next w:val="Normal"/>
    <w:autoRedefine/>
    <w:uiPriority w:val="39"/>
    <w:unhideWhenUsed/>
    <w:rsid w:val="00FD3D26"/>
    <w:pPr>
      <w:spacing w:after="100" w:line="276" w:lineRule="auto"/>
      <w:ind w:left="660"/>
    </w:pPr>
    <w:rPr>
      <w:rFonts w:eastAsiaTheme="minorEastAsia"/>
      <w:lang w:val="es-ES" w:eastAsia="es-ES"/>
    </w:rPr>
  </w:style>
  <w:style w:type="paragraph" w:styleId="TOC5">
    <w:name w:val="toc 5"/>
    <w:basedOn w:val="Normal"/>
    <w:next w:val="Normal"/>
    <w:autoRedefine/>
    <w:uiPriority w:val="39"/>
    <w:unhideWhenUsed/>
    <w:rsid w:val="00FD3D26"/>
    <w:pPr>
      <w:spacing w:after="100" w:line="276" w:lineRule="auto"/>
      <w:ind w:left="880"/>
    </w:pPr>
    <w:rPr>
      <w:rFonts w:eastAsiaTheme="minorEastAsia"/>
      <w:lang w:val="es-ES" w:eastAsia="es-ES"/>
    </w:rPr>
  </w:style>
  <w:style w:type="paragraph" w:styleId="TOC6">
    <w:name w:val="toc 6"/>
    <w:basedOn w:val="Normal"/>
    <w:next w:val="Normal"/>
    <w:autoRedefine/>
    <w:uiPriority w:val="39"/>
    <w:unhideWhenUsed/>
    <w:rsid w:val="00FD3D26"/>
    <w:pPr>
      <w:spacing w:after="100" w:line="276" w:lineRule="auto"/>
      <w:ind w:left="1100"/>
    </w:pPr>
    <w:rPr>
      <w:rFonts w:eastAsiaTheme="minorEastAsia"/>
      <w:lang w:val="es-ES" w:eastAsia="es-ES"/>
    </w:rPr>
  </w:style>
  <w:style w:type="paragraph" w:styleId="TOC7">
    <w:name w:val="toc 7"/>
    <w:basedOn w:val="Normal"/>
    <w:next w:val="Normal"/>
    <w:autoRedefine/>
    <w:uiPriority w:val="39"/>
    <w:unhideWhenUsed/>
    <w:rsid w:val="00463B31"/>
    <w:pPr>
      <w:numPr>
        <w:ilvl w:val="1"/>
        <w:numId w:val="3"/>
      </w:numPr>
      <w:spacing w:after="100" w:line="276" w:lineRule="auto"/>
    </w:pPr>
    <w:rPr>
      <w:rFonts w:eastAsiaTheme="minorEastAsia"/>
      <w:lang w:val="es-ES" w:eastAsia="es-ES"/>
    </w:rPr>
  </w:style>
  <w:style w:type="paragraph" w:styleId="TOC8">
    <w:name w:val="toc 8"/>
    <w:basedOn w:val="Normal"/>
    <w:next w:val="Normal"/>
    <w:autoRedefine/>
    <w:uiPriority w:val="39"/>
    <w:unhideWhenUsed/>
    <w:rsid w:val="00FD3D26"/>
    <w:pPr>
      <w:spacing w:after="100" w:line="276" w:lineRule="auto"/>
      <w:ind w:left="1540"/>
    </w:pPr>
    <w:rPr>
      <w:rFonts w:eastAsiaTheme="minorEastAsia"/>
      <w:lang w:val="es-ES" w:eastAsia="es-ES"/>
    </w:rPr>
  </w:style>
  <w:style w:type="paragraph" w:styleId="TOC9">
    <w:name w:val="toc 9"/>
    <w:basedOn w:val="Normal"/>
    <w:next w:val="Normal"/>
    <w:autoRedefine/>
    <w:uiPriority w:val="39"/>
    <w:unhideWhenUsed/>
    <w:rsid w:val="00FD3D26"/>
    <w:pPr>
      <w:numPr>
        <w:ilvl w:val="2"/>
        <w:numId w:val="3"/>
      </w:numPr>
      <w:spacing w:after="100" w:line="276" w:lineRule="auto"/>
    </w:pPr>
    <w:rPr>
      <w:rFonts w:eastAsiaTheme="minorEastAsia"/>
      <w:lang w:val="es-ES" w:eastAsia="es-ES"/>
    </w:rPr>
  </w:style>
  <w:style w:type="character" w:styleId="CommentReference">
    <w:name w:val="annotation reference"/>
    <w:basedOn w:val="DefaultParagraphFont"/>
    <w:unhideWhenUsed/>
    <w:rsid w:val="00D609AB"/>
    <w:rPr>
      <w:sz w:val="16"/>
      <w:szCs w:val="16"/>
    </w:rPr>
  </w:style>
  <w:style w:type="paragraph" w:styleId="CommentText">
    <w:name w:val="annotation text"/>
    <w:basedOn w:val="Normal"/>
    <w:link w:val="CommentTextChar"/>
    <w:unhideWhenUsed/>
    <w:rsid w:val="00D609AB"/>
    <w:pPr>
      <w:numPr>
        <w:ilvl w:val="3"/>
        <w:numId w:val="3"/>
      </w:numPr>
      <w:spacing w:after="0" w:line="240" w:lineRule="auto"/>
      <w:jc w:val="both"/>
    </w:pPr>
    <w:rPr>
      <w:sz w:val="20"/>
      <w:szCs w:val="20"/>
    </w:rPr>
  </w:style>
  <w:style w:type="character" w:customStyle="1" w:styleId="CommentTextChar">
    <w:name w:val="Comment Text Char"/>
    <w:basedOn w:val="DefaultParagraphFont"/>
    <w:link w:val="CommentText"/>
    <w:rsid w:val="00D609AB"/>
    <w:rPr>
      <w:sz w:val="20"/>
      <w:szCs w:val="20"/>
    </w:rPr>
  </w:style>
  <w:style w:type="character" w:styleId="FollowedHyperlink">
    <w:name w:val="FollowedHyperlink"/>
    <w:basedOn w:val="DefaultParagraphFont"/>
    <w:uiPriority w:val="99"/>
    <w:semiHidden/>
    <w:unhideWhenUsed/>
    <w:rsid w:val="001D6011"/>
    <w:rPr>
      <w:color w:val="800080" w:themeColor="followedHyperlink"/>
      <w:u w:val="single"/>
    </w:rPr>
  </w:style>
  <w:style w:type="character" w:customStyle="1" w:styleId="SubSubParChar">
    <w:name w:val="SubSubPar Char"/>
    <w:basedOn w:val="DefaultParagraphFont"/>
    <w:link w:val="SubSubPar"/>
    <w:rsid w:val="00F65CDC"/>
    <w:rPr>
      <w:rFonts w:ascii="Times New Roman" w:eastAsia="MS Mincho" w:hAnsi="Times New Roman" w:cs="Times New Roman"/>
      <w:sz w:val="24"/>
      <w:szCs w:val="16"/>
      <w:lang w:val="es-ES_tradnl" w:eastAsia="zh-CN"/>
    </w:rPr>
  </w:style>
  <w:style w:type="paragraph" w:styleId="CommentSubject">
    <w:name w:val="annotation subject"/>
    <w:basedOn w:val="CommentText"/>
    <w:next w:val="CommentText"/>
    <w:link w:val="CommentSubjectChar"/>
    <w:uiPriority w:val="99"/>
    <w:semiHidden/>
    <w:unhideWhenUsed/>
    <w:rsid w:val="007224D6"/>
    <w:pPr>
      <w:numPr>
        <w:ilvl w:val="0"/>
        <w:numId w:val="0"/>
      </w:numPr>
      <w:spacing w:after="200"/>
      <w:jc w:val="left"/>
    </w:pPr>
    <w:rPr>
      <w:rFonts w:eastAsiaTheme="minorEastAsia"/>
      <w:b/>
      <w:bCs/>
    </w:rPr>
  </w:style>
  <w:style w:type="character" w:customStyle="1" w:styleId="CommentSubjectChar">
    <w:name w:val="Comment Subject Char"/>
    <w:basedOn w:val="CommentTextChar"/>
    <w:link w:val="CommentSubject"/>
    <w:uiPriority w:val="99"/>
    <w:semiHidden/>
    <w:rsid w:val="007224D6"/>
    <w:rPr>
      <w:rFonts w:eastAsiaTheme="minorEastAsia"/>
      <w:b/>
      <w:bCs/>
      <w:sz w:val="20"/>
      <w:szCs w:val="20"/>
    </w:rPr>
  </w:style>
  <w:style w:type="table" w:styleId="LightList">
    <w:name w:val="Light List"/>
    <w:basedOn w:val="TableNormal"/>
    <w:uiPriority w:val="61"/>
    <w:rsid w:val="008E738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rmalWeb">
    <w:name w:val="Normal (Web)"/>
    <w:basedOn w:val="Normal"/>
    <w:uiPriority w:val="99"/>
    <w:semiHidden/>
    <w:unhideWhenUsed/>
    <w:rsid w:val="003151BF"/>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table" w:styleId="TableGrid">
    <w:name w:val="Table Grid"/>
    <w:basedOn w:val="TableNormal"/>
    <w:uiPriority w:val="59"/>
    <w:rsid w:val="00A13A1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6D50"/>
    <w:pPr>
      <w:tabs>
        <w:tab w:val="center" w:pos="4513"/>
        <w:tab w:val="right" w:pos="9026"/>
      </w:tabs>
      <w:spacing w:after="0" w:line="240" w:lineRule="auto"/>
    </w:pPr>
    <w:rPr>
      <w:rFonts w:eastAsiaTheme="minorEastAsia"/>
    </w:rPr>
  </w:style>
  <w:style w:type="character" w:customStyle="1" w:styleId="HeaderChar">
    <w:name w:val="Header Char"/>
    <w:basedOn w:val="DefaultParagraphFont"/>
    <w:link w:val="Header"/>
    <w:uiPriority w:val="99"/>
    <w:rsid w:val="00276D50"/>
    <w:rPr>
      <w:rFonts w:eastAsiaTheme="minorEastAsia"/>
    </w:rPr>
  </w:style>
  <w:style w:type="character" w:customStyle="1" w:styleId="Heading6Char">
    <w:name w:val="Heading 6 Char"/>
    <w:basedOn w:val="DefaultParagraphFont"/>
    <w:link w:val="Heading6"/>
    <w:rsid w:val="009F7D00"/>
    <w:rPr>
      <w:rFonts w:asciiTheme="majorHAnsi" w:eastAsiaTheme="majorEastAsia" w:hAnsiTheme="majorHAnsi" w:cstheme="majorBidi"/>
      <w:i/>
      <w:iCs/>
      <w:color w:val="243F60" w:themeColor="accent1" w:themeShade="7F"/>
      <w:sz w:val="24"/>
      <w:szCs w:val="20"/>
      <w:lang w:val="es-ES_tradnl"/>
    </w:rPr>
  </w:style>
  <w:style w:type="paragraph" w:customStyle="1" w:styleId="FirstHeading">
    <w:name w:val="FirstHeading"/>
    <w:basedOn w:val="Normal"/>
    <w:next w:val="Normal"/>
    <w:rsid w:val="009F7D00"/>
    <w:pPr>
      <w:keepNext/>
      <w:tabs>
        <w:tab w:val="left" w:pos="0"/>
        <w:tab w:val="left" w:pos="86"/>
      </w:tabs>
      <w:spacing w:before="120" w:after="120" w:line="240" w:lineRule="auto"/>
      <w:ind w:left="720" w:hanging="720"/>
    </w:pPr>
    <w:rPr>
      <w:rFonts w:ascii="Arial" w:eastAsia="Times New Roman" w:hAnsi="Arial" w:cs="Arial"/>
      <w:b/>
      <w:szCs w:val="20"/>
      <w:lang w:val="es-ES"/>
    </w:rPr>
  </w:style>
  <w:style w:type="paragraph" w:customStyle="1" w:styleId="Newpage">
    <w:name w:val="Newpage"/>
    <w:basedOn w:val="Chapter"/>
    <w:rsid w:val="009F7D00"/>
    <w:pPr>
      <w:numPr>
        <w:numId w:val="0"/>
      </w:numPr>
      <w:tabs>
        <w:tab w:val="clear" w:pos="1440"/>
        <w:tab w:val="left" w:pos="3060"/>
      </w:tabs>
      <w:spacing w:after="0"/>
    </w:pPr>
    <w:rPr>
      <w:rFonts w:ascii="Arial" w:eastAsia="Times New Roman" w:hAnsi="Arial" w:cs="Arial"/>
      <w:szCs w:val="20"/>
      <w:lang w:val="es-ES" w:eastAsia="en-US"/>
    </w:rPr>
  </w:style>
  <w:style w:type="character" w:styleId="PageNumber">
    <w:name w:val="page number"/>
    <w:basedOn w:val="DefaultParagraphFont"/>
    <w:rsid w:val="009F7D00"/>
  </w:style>
  <w:style w:type="paragraph" w:customStyle="1" w:styleId="SecHeading">
    <w:name w:val="SecHeading"/>
    <w:basedOn w:val="Normal"/>
    <w:next w:val="Paragraph"/>
    <w:rsid w:val="009F7D00"/>
    <w:pPr>
      <w:keepNext/>
      <w:tabs>
        <w:tab w:val="num" w:pos="1296"/>
      </w:tabs>
      <w:spacing w:before="120" w:after="120" w:line="240" w:lineRule="auto"/>
      <w:ind w:left="1296" w:hanging="576"/>
    </w:pPr>
    <w:rPr>
      <w:rFonts w:ascii="Arial" w:eastAsia="Times New Roman" w:hAnsi="Arial" w:cs="Arial"/>
      <w:b/>
      <w:szCs w:val="20"/>
      <w:lang w:val="es-ES_tradnl"/>
    </w:rPr>
  </w:style>
  <w:style w:type="paragraph" w:customStyle="1" w:styleId="SubHeading1">
    <w:name w:val="SubHeading1"/>
    <w:basedOn w:val="SecHeading"/>
    <w:rsid w:val="009F7D00"/>
    <w:pPr>
      <w:tabs>
        <w:tab w:val="clear" w:pos="1296"/>
        <w:tab w:val="num" w:pos="1872"/>
      </w:tabs>
      <w:ind w:left="1872"/>
    </w:pPr>
  </w:style>
  <w:style w:type="paragraph" w:customStyle="1" w:styleId="Subheading2">
    <w:name w:val="Subheading2"/>
    <w:basedOn w:val="SecHeading"/>
    <w:rsid w:val="009F7D00"/>
    <w:pPr>
      <w:tabs>
        <w:tab w:val="clear" w:pos="1296"/>
        <w:tab w:val="num" w:pos="2376"/>
      </w:tabs>
      <w:ind w:left="2376" w:hanging="288"/>
    </w:pPr>
  </w:style>
  <w:style w:type="character" w:styleId="UnresolvedMention">
    <w:name w:val="Unresolved Mention"/>
    <w:basedOn w:val="DefaultParagraphFont"/>
    <w:uiPriority w:val="99"/>
    <w:semiHidden/>
    <w:unhideWhenUsed/>
    <w:rsid w:val="00C64C6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351711">
      <w:bodyDiv w:val="1"/>
      <w:marLeft w:val="0"/>
      <w:marRight w:val="0"/>
      <w:marTop w:val="0"/>
      <w:marBottom w:val="0"/>
      <w:divBdr>
        <w:top w:val="none" w:sz="0" w:space="0" w:color="auto"/>
        <w:left w:val="none" w:sz="0" w:space="0" w:color="auto"/>
        <w:bottom w:val="none" w:sz="0" w:space="0" w:color="auto"/>
        <w:right w:val="none" w:sz="0" w:space="0" w:color="auto"/>
      </w:divBdr>
    </w:div>
    <w:div w:id="100031162">
      <w:bodyDiv w:val="1"/>
      <w:marLeft w:val="0"/>
      <w:marRight w:val="0"/>
      <w:marTop w:val="0"/>
      <w:marBottom w:val="0"/>
      <w:divBdr>
        <w:top w:val="none" w:sz="0" w:space="0" w:color="auto"/>
        <w:left w:val="none" w:sz="0" w:space="0" w:color="auto"/>
        <w:bottom w:val="none" w:sz="0" w:space="0" w:color="auto"/>
        <w:right w:val="none" w:sz="0" w:space="0" w:color="auto"/>
      </w:divBdr>
    </w:div>
    <w:div w:id="121462758">
      <w:bodyDiv w:val="1"/>
      <w:marLeft w:val="0"/>
      <w:marRight w:val="0"/>
      <w:marTop w:val="0"/>
      <w:marBottom w:val="0"/>
      <w:divBdr>
        <w:top w:val="none" w:sz="0" w:space="0" w:color="auto"/>
        <w:left w:val="none" w:sz="0" w:space="0" w:color="auto"/>
        <w:bottom w:val="none" w:sz="0" w:space="0" w:color="auto"/>
        <w:right w:val="none" w:sz="0" w:space="0" w:color="auto"/>
      </w:divBdr>
    </w:div>
    <w:div w:id="148402720">
      <w:bodyDiv w:val="1"/>
      <w:marLeft w:val="0"/>
      <w:marRight w:val="0"/>
      <w:marTop w:val="0"/>
      <w:marBottom w:val="0"/>
      <w:divBdr>
        <w:top w:val="none" w:sz="0" w:space="0" w:color="auto"/>
        <w:left w:val="none" w:sz="0" w:space="0" w:color="auto"/>
        <w:bottom w:val="none" w:sz="0" w:space="0" w:color="auto"/>
        <w:right w:val="none" w:sz="0" w:space="0" w:color="auto"/>
      </w:divBdr>
    </w:div>
    <w:div w:id="161429288">
      <w:bodyDiv w:val="1"/>
      <w:marLeft w:val="0"/>
      <w:marRight w:val="0"/>
      <w:marTop w:val="0"/>
      <w:marBottom w:val="0"/>
      <w:divBdr>
        <w:top w:val="none" w:sz="0" w:space="0" w:color="auto"/>
        <w:left w:val="none" w:sz="0" w:space="0" w:color="auto"/>
        <w:bottom w:val="none" w:sz="0" w:space="0" w:color="auto"/>
        <w:right w:val="none" w:sz="0" w:space="0" w:color="auto"/>
      </w:divBdr>
    </w:div>
    <w:div w:id="571476198">
      <w:bodyDiv w:val="1"/>
      <w:marLeft w:val="0"/>
      <w:marRight w:val="0"/>
      <w:marTop w:val="0"/>
      <w:marBottom w:val="0"/>
      <w:divBdr>
        <w:top w:val="none" w:sz="0" w:space="0" w:color="auto"/>
        <w:left w:val="none" w:sz="0" w:space="0" w:color="auto"/>
        <w:bottom w:val="none" w:sz="0" w:space="0" w:color="auto"/>
        <w:right w:val="none" w:sz="0" w:space="0" w:color="auto"/>
      </w:divBdr>
    </w:div>
    <w:div w:id="585190893">
      <w:bodyDiv w:val="1"/>
      <w:marLeft w:val="0"/>
      <w:marRight w:val="0"/>
      <w:marTop w:val="0"/>
      <w:marBottom w:val="0"/>
      <w:divBdr>
        <w:top w:val="none" w:sz="0" w:space="0" w:color="auto"/>
        <w:left w:val="none" w:sz="0" w:space="0" w:color="auto"/>
        <w:bottom w:val="none" w:sz="0" w:space="0" w:color="auto"/>
        <w:right w:val="none" w:sz="0" w:space="0" w:color="auto"/>
      </w:divBdr>
    </w:div>
    <w:div w:id="623971142">
      <w:bodyDiv w:val="1"/>
      <w:marLeft w:val="0"/>
      <w:marRight w:val="0"/>
      <w:marTop w:val="0"/>
      <w:marBottom w:val="0"/>
      <w:divBdr>
        <w:top w:val="none" w:sz="0" w:space="0" w:color="auto"/>
        <w:left w:val="none" w:sz="0" w:space="0" w:color="auto"/>
        <w:bottom w:val="none" w:sz="0" w:space="0" w:color="auto"/>
        <w:right w:val="none" w:sz="0" w:space="0" w:color="auto"/>
      </w:divBdr>
    </w:div>
    <w:div w:id="852109298">
      <w:bodyDiv w:val="1"/>
      <w:marLeft w:val="0"/>
      <w:marRight w:val="0"/>
      <w:marTop w:val="0"/>
      <w:marBottom w:val="0"/>
      <w:divBdr>
        <w:top w:val="none" w:sz="0" w:space="0" w:color="auto"/>
        <w:left w:val="none" w:sz="0" w:space="0" w:color="auto"/>
        <w:bottom w:val="none" w:sz="0" w:space="0" w:color="auto"/>
        <w:right w:val="none" w:sz="0" w:space="0" w:color="auto"/>
      </w:divBdr>
    </w:div>
    <w:div w:id="900024242">
      <w:bodyDiv w:val="1"/>
      <w:marLeft w:val="0"/>
      <w:marRight w:val="0"/>
      <w:marTop w:val="0"/>
      <w:marBottom w:val="0"/>
      <w:divBdr>
        <w:top w:val="none" w:sz="0" w:space="0" w:color="auto"/>
        <w:left w:val="none" w:sz="0" w:space="0" w:color="auto"/>
        <w:bottom w:val="none" w:sz="0" w:space="0" w:color="auto"/>
        <w:right w:val="none" w:sz="0" w:space="0" w:color="auto"/>
      </w:divBdr>
    </w:div>
    <w:div w:id="938560489">
      <w:bodyDiv w:val="1"/>
      <w:marLeft w:val="0"/>
      <w:marRight w:val="0"/>
      <w:marTop w:val="0"/>
      <w:marBottom w:val="0"/>
      <w:divBdr>
        <w:top w:val="none" w:sz="0" w:space="0" w:color="auto"/>
        <w:left w:val="none" w:sz="0" w:space="0" w:color="auto"/>
        <w:bottom w:val="none" w:sz="0" w:space="0" w:color="auto"/>
        <w:right w:val="none" w:sz="0" w:space="0" w:color="auto"/>
      </w:divBdr>
    </w:div>
    <w:div w:id="1030062000">
      <w:bodyDiv w:val="1"/>
      <w:marLeft w:val="0"/>
      <w:marRight w:val="0"/>
      <w:marTop w:val="0"/>
      <w:marBottom w:val="0"/>
      <w:divBdr>
        <w:top w:val="none" w:sz="0" w:space="0" w:color="auto"/>
        <w:left w:val="none" w:sz="0" w:space="0" w:color="auto"/>
        <w:bottom w:val="none" w:sz="0" w:space="0" w:color="auto"/>
        <w:right w:val="none" w:sz="0" w:space="0" w:color="auto"/>
      </w:divBdr>
    </w:div>
    <w:div w:id="1095201617">
      <w:bodyDiv w:val="1"/>
      <w:marLeft w:val="0"/>
      <w:marRight w:val="0"/>
      <w:marTop w:val="0"/>
      <w:marBottom w:val="0"/>
      <w:divBdr>
        <w:top w:val="none" w:sz="0" w:space="0" w:color="auto"/>
        <w:left w:val="none" w:sz="0" w:space="0" w:color="auto"/>
        <w:bottom w:val="none" w:sz="0" w:space="0" w:color="auto"/>
        <w:right w:val="none" w:sz="0" w:space="0" w:color="auto"/>
      </w:divBdr>
    </w:div>
    <w:div w:id="1111776547">
      <w:bodyDiv w:val="1"/>
      <w:marLeft w:val="0"/>
      <w:marRight w:val="0"/>
      <w:marTop w:val="0"/>
      <w:marBottom w:val="0"/>
      <w:divBdr>
        <w:top w:val="none" w:sz="0" w:space="0" w:color="auto"/>
        <w:left w:val="none" w:sz="0" w:space="0" w:color="auto"/>
        <w:bottom w:val="none" w:sz="0" w:space="0" w:color="auto"/>
        <w:right w:val="none" w:sz="0" w:space="0" w:color="auto"/>
      </w:divBdr>
    </w:div>
    <w:div w:id="1134636449">
      <w:bodyDiv w:val="1"/>
      <w:marLeft w:val="0"/>
      <w:marRight w:val="0"/>
      <w:marTop w:val="0"/>
      <w:marBottom w:val="0"/>
      <w:divBdr>
        <w:top w:val="none" w:sz="0" w:space="0" w:color="auto"/>
        <w:left w:val="none" w:sz="0" w:space="0" w:color="auto"/>
        <w:bottom w:val="none" w:sz="0" w:space="0" w:color="auto"/>
        <w:right w:val="none" w:sz="0" w:space="0" w:color="auto"/>
      </w:divBdr>
    </w:div>
    <w:div w:id="1378578306">
      <w:bodyDiv w:val="1"/>
      <w:marLeft w:val="0"/>
      <w:marRight w:val="0"/>
      <w:marTop w:val="0"/>
      <w:marBottom w:val="0"/>
      <w:divBdr>
        <w:top w:val="none" w:sz="0" w:space="0" w:color="auto"/>
        <w:left w:val="none" w:sz="0" w:space="0" w:color="auto"/>
        <w:bottom w:val="none" w:sz="0" w:space="0" w:color="auto"/>
        <w:right w:val="none" w:sz="0" w:space="0" w:color="auto"/>
      </w:divBdr>
    </w:div>
    <w:div w:id="1646617051">
      <w:bodyDiv w:val="1"/>
      <w:marLeft w:val="0"/>
      <w:marRight w:val="0"/>
      <w:marTop w:val="0"/>
      <w:marBottom w:val="0"/>
      <w:divBdr>
        <w:top w:val="none" w:sz="0" w:space="0" w:color="auto"/>
        <w:left w:val="none" w:sz="0" w:space="0" w:color="auto"/>
        <w:bottom w:val="none" w:sz="0" w:space="0" w:color="auto"/>
        <w:right w:val="none" w:sz="0" w:space="0" w:color="auto"/>
      </w:divBdr>
    </w:div>
    <w:div w:id="1778937934">
      <w:bodyDiv w:val="1"/>
      <w:marLeft w:val="0"/>
      <w:marRight w:val="0"/>
      <w:marTop w:val="0"/>
      <w:marBottom w:val="0"/>
      <w:divBdr>
        <w:top w:val="none" w:sz="0" w:space="0" w:color="auto"/>
        <w:left w:val="none" w:sz="0" w:space="0" w:color="auto"/>
        <w:bottom w:val="none" w:sz="0" w:space="0" w:color="auto"/>
        <w:right w:val="none" w:sz="0" w:space="0" w:color="auto"/>
      </w:divBdr>
    </w:div>
    <w:div w:id="2002273047">
      <w:bodyDiv w:val="1"/>
      <w:marLeft w:val="0"/>
      <w:marRight w:val="0"/>
      <w:marTop w:val="0"/>
      <w:marBottom w:val="0"/>
      <w:divBdr>
        <w:top w:val="none" w:sz="0" w:space="0" w:color="auto"/>
        <w:left w:val="none" w:sz="0" w:space="0" w:color="auto"/>
        <w:bottom w:val="none" w:sz="0" w:space="0" w:color="auto"/>
        <w:right w:val="none" w:sz="0" w:space="0" w:color="auto"/>
      </w:divBdr>
    </w:div>
    <w:div w:id="202501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4.xm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3.xml"/><Relationship Id="rId25" Type="http://schemas.openxmlformats.org/officeDocument/2006/relationships/hyperlink" Target="http://unfccc.int/resource/docs/natc/mexnc5s.pdf"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hyperlink" Target="http://unfccc.int/resource/docs/natc/mexnc5s.pdf"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unfccc.int/resource/docs/natc/mexnc5s.pdf"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semarnat.gob.mx/archivosanteriores/informacionambiental/Documents/06_otras/ENCC.pdf" TargetMode="External"/><Relationship Id="rId28" Type="http://schemas.openxmlformats.org/officeDocument/2006/relationships/hyperlink" Target="http://unfccc.int/resource/docs/natc/mexnc5s.pdf" TargetMode="External"/><Relationship Id="rId10" Type="http://schemas.openxmlformats.org/officeDocument/2006/relationships/settings" Target="settings.xml"/><Relationship Id="rId19" Type="http://schemas.openxmlformats.org/officeDocument/2006/relationships/header" Target="header5.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image" Target="media/image1.png"/><Relationship Id="rId27" Type="http://schemas.openxmlformats.org/officeDocument/2006/relationships/hyperlink" Target="http://www.semarnat.gob.mx/archivosanteriores/informacionambiental/Documents/06_otras/ENCC.pdf" TargetMode="External"/><Relationship Id="rId30" Type="http://schemas.openxmlformats.org/officeDocument/2006/relationships/hyperlink" Target="https://www.gob.mx/cre/acciones-y-programas/certificados-de-energias-limpias-516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2D1FEB6A15E734391F4430B1F48A51E" ma:contentTypeVersion="220" ma:contentTypeDescription="A content type to manage public (operations) IDB documents" ma:contentTypeScope="" ma:versionID="11afa8d1988f62cd04a91f1742905598">
  <xsd:schema xmlns:xsd="http://www.w3.org/2001/XMLSchema" xmlns:xs="http://www.w3.org/2001/XMLSchema" xmlns:p="http://schemas.microsoft.com/office/2006/metadata/properties" xmlns:ns2="cdc7663a-08f0-4737-9e8c-148ce897a09c" targetNamespace="http://schemas.microsoft.com/office/2006/metadata/properties" ma:root="true" ma:fieldsID="ca48c7391b8e8b71c79889b08076317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L114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R0002186792</Record_x0020_Number>
    <Key_x0020_Document xmlns="cdc7663a-08f0-4737-9e8c-148ce897a09c">false</Key_x0020_Document>
    <Other_x0020_Author xmlns="cdc7663a-08f0-4737-9e8c-148ce897a09c" xsi:nil="true"/>
    <Division_x0020_or_x0020_Unit xmlns="cdc7663a-08f0-4737-9e8c-148ce897a09c">INE/ENE</Division_x0020_or_x0020_Unit>
    <IDBDocs_x0020_Number xmlns="cdc7663a-08f0-4737-9e8c-148ce897a09c" xsi:nil="true"/>
    <Document_x0020_Author xmlns="cdc7663a-08f0-4737-9e8c-148ce897a09c">Bonifaz Urquizu, Jeanette</Document_x0020_Author>
    <_dlc_DocId xmlns="cdc7663a-08f0-4737-9e8c-148ce897a09c">EZSHARE-567788752-27</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TaxCatchAll xmlns="cdc7663a-08f0-4737-9e8c-148ce897a09c">
      <Value>54</Value>
      <Value>24</Value>
      <Value>37</Value>
      <Value>36</Value>
      <Value>1</Value>
      <Value>19</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ME-L1148</Project_x0020_Number>
    <Related_x0020_SisCor_x0020_Number xmlns="cdc7663a-08f0-4737-9e8c-148ce897a09c" xsi:nil="true"/>
    <Package_x0020_Code xmlns="cdc7663a-08f0-4737-9e8c-148ce897a09c" xsi:nil="true"/>
    <Migration_x0020_Info xmlns="cdc7663a-08f0-4737-9e8c-148ce897a09c" xsi:nil="true"/>
    <Approval_x0020_Number xmlns="cdc7663a-08f0-4737-9e8c-148ce897a09c">3178/OC-ME;3179/TC-ME;</Approval_x0020_Number>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CTF</TermName>
          <TermId xmlns="http://schemas.microsoft.com/office/infopath/2007/PartnerControls">09590cec-0e26-4757-bcca-8a4fab00b407</TermId>
        </TermInfo>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CLIMATE CHANGE FINANCING</TermName>
          <TermId xmlns="http://schemas.microsoft.com/office/infopath/2007/PartnerControls">0721090b-7598-4438-912e-9210b5215a71</TermId>
        </TermInfo>
      </Terms>
    </b2ec7cfb18674cb8803df6b262e8b107>
    <Document_x0020_Language_x0020_IDB xmlns="cdc7663a-08f0-4737-9e8c-148ce897a09c">Spanish</Document_x0020_Language_x0020_IDB>
    <_dlc_DocIdUrl xmlns="cdc7663a-08f0-4737-9e8c-148ce897a09c">
      <Url>https://idbg.sharepoint.com/teams/EZ-ME-LON/ME-L1148/_layouts/15/DocIdRedir.aspx?ID=EZSHARE-567788752-27</Url>
      <Description>EZSHARE-567788752-27</Description>
    </_dlc_DocIdUrl>
    <Phase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1C21D-63A5-4308-9F90-21D245D14F6C}">
  <ds:schemaRefs>
    <ds:schemaRef ds:uri="http://schemas.microsoft.com/sharepoint/events"/>
  </ds:schemaRefs>
</ds:datastoreItem>
</file>

<file path=customXml/itemProps2.xml><?xml version="1.0" encoding="utf-8"?>
<ds:datastoreItem xmlns:ds="http://schemas.openxmlformats.org/officeDocument/2006/customXml" ds:itemID="{161DB2E3-479C-49FF-83A5-A5AFAC5930A8}"/>
</file>

<file path=customXml/itemProps3.xml><?xml version="1.0" encoding="utf-8"?>
<ds:datastoreItem xmlns:ds="http://schemas.openxmlformats.org/officeDocument/2006/customXml" ds:itemID="{835354BB-C9E2-4C76-B3BE-9C24758A273C}"/>
</file>

<file path=customXml/itemProps4.xml><?xml version="1.0" encoding="utf-8"?>
<ds:datastoreItem xmlns:ds="http://schemas.openxmlformats.org/officeDocument/2006/customXml" ds:itemID="{C1703B75-648F-4C99-9B3C-87074633F9A6}">
  <ds:schemaRefs>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purl.org/dc/dcmitype/"/>
    <ds:schemaRef ds:uri="http://purl.org/dc/elements/1.1/"/>
    <ds:schemaRef ds:uri="http://schemas.microsoft.com/office/infopath/2007/PartnerControls"/>
    <ds:schemaRef ds:uri="cdc7663a-08f0-4737-9e8c-148ce897a09c"/>
    <ds:schemaRef ds:uri="http://www.w3.org/XML/1998/namespace"/>
  </ds:schemaRefs>
</ds:datastoreItem>
</file>

<file path=customXml/itemProps5.xml><?xml version="1.0" encoding="utf-8"?>
<ds:datastoreItem xmlns:ds="http://schemas.openxmlformats.org/officeDocument/2006/customXml" ds:itemID="{823BE8A2-5735-47DD-9E13-945C278329AD}"/>
</file>

<file path=customXml/itemProps6.xml><?xml version="1.0" encoding="utf-8"?>
<ds:datastoreItem xmlns:ds="http://schemas.openxmlformats.org/officeDocument/2006/customXml" ds:itemID="{44AA049C-7B11-4C80-BB7F-9C87A0F1B92E}">
  <ds:schemaRefs>
    <ds:schemaRef ds:uri="http://schemas.microsoft.com/sharepoint/v3/contenttype/forms"/>
  </ds:schemaRefs>
</ds:datastoreItem>
</file>

<file path=customXml/itemProps7.xml><?xml version="1.0" encoding="utf-8"?>
<ds:datastoreItem xmlns:ds="http://schemas.openxmlformats.org/officeDocument/2006/customXml" ds:itemID="{8B4015D8-00D6-4C02-A35B-E1B75EE03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7124</Words>
  <Characters>40609</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Bonifaz Urquizu, Jeanette</cp:lastModifiedBy>
  <cp:revision>10</cp:revision>
  <cp:lastPrinted>2014-03-07T17:34:00Z</cp:lastPrinted>
  <dcterms:created xsi:type="dcterms:W3CDTF">2018-04-05T15:15:00Z</dcterms:created>
  <dcterms:modified xsi:type="dcterms:W3CDTF">2018-04-09T19:27:00Z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37;#CLIMATE CHANGE FINANCING|0721090b-7598-4438-912e-9210b5215a71</vt:lpwstr>
  </property>
  <property fmtid="{D5CDD505-2E9C-101B-9397-08002B2CF9AE}" pid="7" name="Country">
    <vt:lpwstr>19;#Mexico|0eba6470-e7ea-46fd-a959-d4c243acaf26</vt:lpwstr>
  </property>
  <property fmtid="{D5CDD505-2E9C-101B-9397-08002B2CF9AE}" pid="8" name="Fund IDB">
    <vt:lpwstr>54;#CTF|09590cec-0e26-4757-bcca-8a4fab00b407;#24;#ORC|c028a4b2-ad8b-4cf4-9cac-a2ae6a778e23</vt:lpwstr>
  </property>
  <property fmtid="{D5CDD505-2E9C-101B-9397-08002B2CF9AE}" pid="9" name="_dlc_DocIdItemGuid">
    <vt:lpwstr>48942a0c-ee89-48d7-a924-5a35e29f3947</vt:lpwstr>
  </property>
  <property fmtid="{D5CDD505-2E9C-101B-9397-08002B2CF9AE}" pid="10" name="Sector IDB">
    <vt:lpwstr>36;#ENVIRONMENT AND NATURAL DISASTERS|261e2b33-090b-4ab0-8e06-3aa3e7f32d57</vt:lpwstr>
  </property>
  <property fmtid="{D5CDD505-2E9C-101B-9397-08002B2CF9AE}" pid="11" name="Function Operations IDB">
    <vt:lpwstr>1;#Project Preparation, Planning and Design|29ca0c72-1fc4-435f-a09c-28585cb5eac9</vt:lpwstr>
  </property>
  <property fmtid="{D5CDD505-2E9C-101B-9397-08002B2CF9AE}" pid="13" name="RecordStorageActiveId">
    <vt:lpwstr>a11128d1-6757-4036-b413-3a6a1ea4bcae</vt:lpwstr>
  </property>
  <property fmtid="{D5CDD505-2E9C-101B-9397-08002B2CF9AE}" pid="14" name="Disclosure Activity">
    <vt:lpwstr>Loan Proposal</vt:lpwstr>
  </property>
  <property fmtid="{D5CDD505-2E9C-101B-9397-08002B2CF9AE}" pid="15" name="ContentTypeId">
    <vt:lpwstr>0x0101001A458A224826124E8B45B1D613300CFC0072D1FEB6A15E734391F4430B1F48A51E</vt:lpwstr>
  </property>
</Properties>
</file>