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docProps/core.xml" ContentType="application/vnd.openxmlformats-package.core-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04AEC" w14:textId="77777777" w:rsidR="006C5DE4" w:rsidRPr="001545E9" w:rsidRDefault="006C5DE4" w:rsidP="006C5DE4">
      <w:pPr>
        <w:tabs>
          <w:tab w:val="right" w:pos="6365"/>
        </w:tabs>
        <w:spacing w:after="120"/>
        <w:jc w:val="center"/>
        <w:rPr>
          <w:rFonts w:ascii="Arial" w:hAnsi="Arial" w:cs="Arial"/>
          <w:sz w:val="52"/>
          <w:szCs w:val="52"/>
        </w:rPr>
      </w:pPr>
    </w:p>
    <w:p w14:paraId="1796E9C6" w14:textId="77777777" w:rsidR="00A021AD" w:rsidRPr="001545E9" w:rsidRDefault="00A021AD" w:rsidP="006C5DE4">
      <w:pPr>
        <w:tabs>
          <w:tab w:val="right" w:pos="6365"/>
        </w:tabs>
        <w:spacing w:after="120"/>
        <w:jc w:val="center"/>
        <w:rPr>
          <w:rFonts w:ascii="Arial" w:hAnsi="Arial" w:cs="Arial"/>
          <w:sz w:val="52"/>
          <w:szCs w:val="52"/>
        </w:rPr>
      </w:pPr>
    </w:p>
    <w:p w14:paraId="098A4D8E" w14:textId="2DB96D88" w:rsidR="006C5DE4" w:rsidRPr="001545E9" w:rsidRDefault="007F13E8" w:rsidP="00F02F87">
      <w:pPr>
        <w:tabs>
          <w:tab w:val="right" w:pos="6365"/>
        </w:tabs>
        <w:jc w:val="center"/>
        <w:rPr>
          <w:rFonts w:ascii="Arial" w:hAnsi="Arial" w:cs="Arial"/>
          <w:b/>
          <w:sz w:val="44"/>
          <w:szCs w:val="48"/>
        </w:rPr>
      </w:pPr>
      <w:r>
        <w:rPr>
          <w:rFonts w:ascii="Arial" w:hAnsi="Arial" w:cs="Arial"/>
          <w:b/>
          <w:sz w:val="44"/>
          <w:szCs w:val="48"/>
        </w:rPr>
        <w:t>REGLAMENTO</w:t>
      </w:r>
      <w:r w:rsidR="00F02F87" w:rsidRPr="001545E9">
        <w:rPr>
          <w:rFonts w:ascii="Arial" w:hAnsi="Arial" w:cs="Arial"/>
          <w:b/>
          <w:sz w:val="44"/>
          <w:szCs w:val="48"/>
        </w:rPr>
        <w:t xml:space="preserve"> </w:t>
      </w:r>
      <w:r w:rsidR="006C5DE4" w:rsidRPr="001545E9">
        <w:rPr>
          <w:rFonts w:ascii="Arial" w:hAnsi="Arial" w:cs="Arial"/>
          <w:b/>
          <w:sz w:val="44"/>
          <w:szCs w:val="48"/>
        </w:rPr>
        <w:t xml:space="preserve">OPERATIVO </w:t>
      </w:r>
      <w:r w:rsidR="00F02F87">
        <w:rPr>
          <w:rFonts w:ascii="Arial" w:hAnsi="Arial" w:cs="Arial"/>
          <w:b/>
          <w:sz w:val="44"/>
          <w:szCs w:val="48"/>
        </w:rPr>
        <w:t>DEL PROGRAMA</w:t>
      </w:r>
    </w:p>
    <w:p w14:paraId="19CDEE42" w14:textId="77777777" w:rsidR="00B45A11" w:rsidRDefault="00B45A11">
      <w:pPr>
        <w:tabs>
          <w:tab w:val="right" w:pos="5168"/>
        </w:tabs>
        <w:spacing w:after="120"/>
        <w:jc w:val="center"/>
        <w:rPr>
          <w:rFonts w:ascii="Arial" w:hAnsi="Arial" w:cs="Arial"/>
          <w:sz w:val="22"/>
          <w:szCs w:val="24"/>
        </w:rPr>
      </w:pPr>
    </w:p>
    <w:p w14:paraId="0C3A1583" w14:textId="77777777" w:rsidR="001545E9" w:rsidRPr="001545E9" w:rsidRDefault="001545E9">
      <w:pPr>
        <w:tabs>
          <w:tab w:val="right" w:pos="5168"/>
        </w:tabs>
        <w:spacing w:after="120"/>
        <w:jc w:val="center"/>
        <w:rPr>
          <w:rFonts w:ascii="Arial" w:hAnsi="Arial" w:cs="Arial"/>
          <w:sz w:val="22"/>
          <w:szCs w:val="24"/>
        </w:rPr>
      </w:pPr>
    </w:p>
    <w:p w14:paraId="2B57EEE9" w14:textId="77777777" w:rsidR="00DB1A21" w:rsidRPr="001545E9" w:rsidRDefault="007E21C0" w:rsidP="009D2F04">
      <w:pPr>
        <w:widowControl w:val="0"/>
        <w:jc w:val="center"/>
        <w:rPr>
          <w:rFonts w:ascii="Arial" w:hAnsi="Arial" w:cs="Arial"/>
          <w:b/>
          <w:sz w:val="40"/>
          <w:szCs w:val="44"/>
        </w:rPr>
      </w:pPr>
      <w:r w:rsidRPr="001545E9">
        <w:rPr>
          <w:rFonts w:ascii="Arial" w:hAnsi="Arial" w:cs="Arial"/>
          <w:b/>
          <w:sz w:val="40"/>
          <w:szCs w:val="44"/>
        </w:rPr>
        <w:t>P</w:t>
      </w:r>
      <w:r w:rsidR="002A47DA" w:rsidRPr="001545E9">
        <w:rPr>
          <w:rFonts w:ascii="Arial" w:hAnsi="Arial" w:cs="Arial"/>
          <w:b/>
          <w:sz w:val="40"/>
          <w:szCs w:val="44"/>
        </w:rPr>
        <w:t xml:space="preserve">rograma </w:t>
      </w:r>
      <w:r w:rsidR="00BA3D8C" w:rsidRPr="001545E9">
        <w:rPr>
          <w:rFonts w:ascii="Arial" w:hAnsi="Arial" w:cs="Arial"/>
          <w:b/>
          <w:sz w:val="40"/>
          <w:szCs w:val="44"/>
        </w:rPr>
        <w:t xml:space="preserve">de </w:t>
      </w:r>
      <w:r w:rsidR="005049EB" w:rsidRPr="001545E9">
        <w:rPr>
          <w:rFonts w:ascii="Arial" w:hAnsi="Arial" w:cs="Arial"/>
          <w:b/>
          <w:sz w:val="40"/>
          <w:szCs w:val="44"/>
        </w:rPr>
        <w:t xml:space="preserve">Financiamiento </w:t>
      </w:r>
      <w:r w:rsidR="00DB1A21" w:rsidRPr="001545E9">
        <w:rPr>
          <w:rFonts w:ascii="Arial" w:hAnsi="Arial" w:cs="Arial"/>
          <w:b/>
          <w:sz w:val="40"/>
          <w:szCs w:val="44"/>
        </w:rPr>
        <w:t xml:space="preserve">y Transferencia </w:t>
      </w:r>
      <w:r w:rsidR="005049EB" w:rsidRPr="001545E9">
        <w:rPr>
          <w:rFonts w:ascii="Arial" w:hAnsi="Arial" w:cs="Arial"/>
          <w:b/>
          <w:sz w:val="40"/>
          <w:szCs w:val="44"/>
        </w:rPr>
        <w:t xml:space="preserve">de </w:t>
      </w:r>
      <w:r w:rsidR="00DB1A21" w:rsidRPr="001545E9">
        <w:rPr>
          <w:rFonts w:ascii="Arial" w:hAnsi="Arial" w:cs="Arial"/>
          <w:b/>
          <w:sz w:val="40"/>
          <w:szCs w:val="44"/>
        </w:rPr>
        <w:t xml:space="preserve">Riesgos para Geotermia </w:t>
      </w:r>
      <w:r w:rsidR="002A47DA" w:rsidRPr="001545E9">
        <w:rPr>
          <w:rFonts w:ascii="Arial" w:hAnsi="Arial" w:cs="Arial"/>
          <w:b/>
          <w:sz w:val="40"/>
          <w:szCs w:val="44"/>
        </w:rPr>
        <w:t>(</w:t>
      </w:r>
      <w:r w:rsidR="00DB1A21" w:rsidRPr="001545E9">
        <w:rPr>
          <w:rFonts w:ascii="Arial" w:hAnsi="Arial" w:cs="Arial"/>
          <w:b/>
          <w:sz w:val="40"/>
          <w:szCs w:val="44"/>
        </w:rPr>
        <w:t>PFTRG</w:t>
      </w:r>
      <w:r w:rsidR="002A47DA" w:rsidRPr="001545E9">
        <w:rPr>
          <w:rFonts w:ascii="Arial" w:hAnsi="Arial" w:cs="Arial"/>
          <w:b/>
          <w:sz w:val="40"/>
          <w:szCs w:val="44"/>
        </w:rPr>
        <w:t xml:space="preserve">) </w:t>
      </w:r>
    </w:p>
    <w:p w14:paraId="67753832" w14:textId="77777777" w:rsidR="00E45040" w:rsidRDefault="00E45040" w:rsidP="009D2F04">
      <w:pPr>
        <w:widowControl w:val="0"/>
        <w:jc w:val="center"/>
        <w:rPr>
          <w:rFonts w:ascii="Arial" w:hAnsi="Arial" w:cs="Arial"/>
          <w:sz w:val="40"/>
          <w:szCs w:val="44"/>
        </w:rPr>
      </w:pPr>
    </w:p>
    <w:p w14:paraId="16F9CCAA" w14:textId="77777777" w:rsidR="001545E9" w:rsidRPr="001545E9" w:rsidRDefault="001545E9" w:rsidP="009D2F04">
      <w:pPr>
        <w:widowControl w:val="0"/>
        <w:jc w:val="center"/>
        <w:rPr>
          <w:rFonts w:ascii="Arial" w:hAnsi="Arial" w:cs="Arial"/>
          <w:sz w:val="40"/>
          <w:szCs w:val="44"/>
        </w:rPr>
      </w:pPr>
    </w:p>
    <w:p w14:paraId="082D6689" w14:textId="77777777" w:rsidR="005E5EAF" w:rsidRPr="000A37CF" w:rsidRDefault="00B4212B" w:rsidP="009D2F04">
      <w:pPr>
        <w:widowControl w:val="0"/>
        <w:jc w:val="center"/>
        <w:rPr>
          <w:rFonts w:ascii="Arial" w:hAnsi="Arial" w:cs="Arial"/>
          <w:b/>
          <w:sz w:val="32"/>
          <w:szCs w:val="44"/>
        </w:rPr>
      </w:pPr>
      <w:r w:rsidRPr="000A37CF">
        <w:rPr>
          <w:rFonts w:ascii="Arial" w:hAnsi="Arial" w:cs="Arial"/>
          <w:b/>
          <w:sz w:val="32"/>
          <w:szCs w:val="44"/>
        </w:rPr>
        <w:t xml:space="preserve">Préstamo </w:t>
      </w:r>
    </w:p>
    <w:p w14:paraId="50C341E7" w14:textId="77777777" w:rsidR="0073163D" w:rsidRPr="000A37CF" w:rsidRDefault="00DB1A21" w:rsidP="009D2F04">
      <w:pPr>
        <w:widowControl w:val="0"/>
        <w:jc w:val="center"/>
        <w:rPr>
          <w:rFonts w:ascii="Arial" w:hAnsi="Arial" w:cs="Arial"/>
          <w:sz w:val="32"/>
          <w:szCs w:val="44"/>
        </w:rPr>
      </w:pPr>
      <w:r w:rsidRPr="000A37CF">
        <w:rPr>
          <w:rFonts w:ascii="Arial" w:hAnsi="Arial" w:cs="Arial"/>
          <w:sz w:val="32"/>
          <w:szCs w:val="44"/>
        </w:rPr>
        <w:t>3178</w:t>
      </w:r>
      <w:r w:rsidR="001663A8" w:rsidRPr="000A37CF">
        <w:rPr>
          <w:rFonts w:ascii="Arial" w:hAnsi="Arial" w:cs="Arial"/>
          <w:sz w:val="32"/>
          <w:szCs w:val="44"/>
        </w:rPr>
        <w:t>/OC-ME</w:t>
      </w:r>
      <w:r w:rsidRPr="000A37CF">
        <w:rPr>
          <w:rFonts w:ascii="Arial" w:hAnsi="Arial" w:cs="Arial"/>
          <w:sz w:val="32"/>
          <w:szCs w:val="44"/>
        </w:rPr>
        <w:t xml:space="preserve"> </w:t>
      </w:r>
    </w:p>
    <w:p w14:paraId="6DC4143B" w14:textId="77777777" w:rsidR="00E45040" w:rsidRPr="000A37CF" w:rsidRDefault="00E45040" w:rsidP="009D2F04">
      <w:pPr>
        <w:widowControl w:val="0"/>
        <w:jc w:val="center"/>
        <w:rPr>
          <w:rFonts w:ascii="Arial" w:hAnsi="Arial" w:cs="Arial"/>
          <w:sz w:val="32"/>
          <w:szCs w:val="44"/>
        </w:rPr>
      </w:pPr>
    </w:p>
    <w:p w14:paraId="1649090E" w14:textId="77777777" w:rsidR="001545E9" w:rsidRPr="000A37CF" w:rsidRDefault="001545E9" w:rsidP="009D2F04">
      <w:pPr>
        <w:widowControl w:val="0"/>
        <w:jc w:val="center"/>
        <w:rPr>
          <w:rFonts w:ascii="Arial" w:hAnsi="Arial" w:cs="Arial"/>
          <w:sz w:val="32"/>
          <w:szCs w:val="44"/>
        </w:rPr>
      </w:pPr>
    </w:p>
    <w:p w14:paraId="0AED2E0A" w14:textId="77777777" w:rsidR="001545E9" w:rsidRPr="000A37CF" w:rsidRDefault="00DB1A21" w:rsidP="009D2F04">
      <w:pPr>
        <w:widowControl w:val="0"/>
        <w:jc w:val="center"/>
        <w:rPr>
          <w:rFonts w:ascii="Arial" w:hAnsi="Arial" w:cs="Arial"/>
          <w:b/>
          <w:sz w:val="32"/>
          <w:szCs w:val="44"/>
        </w:rPr>
      </w:pPr>
      <w:r w:rsidRPr="000A37CF">
        <w:rPr>
          <w:rFonts w:ascii="Arial" w:hAnsi="Arial" w:cs="Arial"/>
          <w:b/>
          <w:sz w:val="32"/>
          <w:szCs w:val="44"/>
        </w:rPr>
        <w:t xml:space="preserve">Cooperación Técnica No Reembolsable </w:t>
      </w:r>
    </w:p>
    <w:p w14:paraId="480BE1D7" w14:textId="77777777" w:rsidR="00E45040" w:rsidRPr="000A37CF" w:rsidRDefault="00DB1A21" w:rsidP="009D2F04">
      <w:pPr>
        <w:widowControl w:val="0"/>
        <w:jc w:val="center"/>
        <w:rPr>
          <w:rFonts w:ascii="Arial" w:hAnsi="Arial" w:cs="Arial"/>
          <w:sz w:val="32"/>
          <w:szCs w:val="44"/>
        </w:rPr>
      </w:pPr>
      <w:r w:rsidRPr="000A37CF">
        <w:rPr>
          <w:rFonts w:ascii="Arial" w:hAnsi="Arial" w:cs="Arial"/>
          <w:sz w:val="32"/>
          <w:szCs w:val="44"/>
        </w:rPr>
        <w:t xml:space="preserve">GRT-TC-14423-ME </w:t>
      </w:r>
    </w:p>
    <w:p w14:paraId="0AE3D564" w14:textId="77777777" w:rsidR="00E45040" w:rsidRPr="000A37CF" w:rsidRDefault="00E45040" w:rsidP="009D2F04">
      <w:pPr>
        <w:widowControl w:val="0"/>
        <w:jc w:val="center"/>
        <w:rPr>
          <w:rFonts w:ascii="Arial" w:hAnsi="Arial" w:cs="Arial"/>
          <w:sz w:val="32"/>
          <w:szCs w:val="44"/>
        </w:rPr>
      </w:pPr>
    </w:p>
    <w:p w14:paraId="617E2076" w14:textId="77777777" w:rsidR="001545E9" w:rsidRPr="000A37CF" w:rsidRDefault="001545E9" w:rsidP="009D2F04">
      <w:pPr>
        <w:widowControl w:val="0"/>
        <w:jc w:val="center"/>
        <w:rPr>
          <w:rFonts w:ascii="Arial" w:hAnsi="Arial" w:cs="Arial"/>
          <w:sz w:val="32"/>
          <w:szCs w:val="44"/>
        </w:rPr>
      </w:pPr>
    </w:p>
    <w:p w14:paraId="3EB0457B" w14:textId="77777777" w:rsidR="00E45040" w:rsidRPr="000A37CF" w:rsidRDefault="00DB1A21" w:rsidP="00E45040">
      <w:pPr>
        <w:widowControl w:val="0"/>
        <w:ind w:left="-709"/>
        <w:jc w:val="center"/>
        <w:rPr>
          <w:rFonts w:ascii="Arial" w:hAnsi="Arial" w:cs="Arial"/>
          <w:b/>
          <w:sz w:val="32"/>
          <w:szCs w:val="44"/>
        </w:rPr>
      </w:pPr>
      <w:r w:rsidRPr="000A37CF">
        <w:rPr>
          <w:rFonts w:ascii="Arial" w:hAnsi="Arial" w:cs="Arial"/>
          <w:b/>
          <w:sz w:val="32"/>
          <w:szCs w:val="44"/>
        </w:rPr>
        <w:t xml:space="preserve">Convenio de Financiamiento No Reembolsable con Recuperación Contingente </w:t>
      </w:r>
    </w:p>
    <w:p w14:paraId="0B6647C5" w14:textId="77777777" w:rsidR="005A259F" w:rsidRPr="000A37CF" w:rsidRDefault="00DB1A21" w:rsidP="009D2F04">
      <w:pPr>
        <w:widowControl w:val="0"/>
        <w:jc w:val="center"/>
        <w:rPr>
          <w:rFonts w:ascii="Arial" w:hAnsi="Arial" w:cs="Arial"/>
          <w:sz w:val="32"/>
          <w:szCs w:val="44"/>
        </w:rPr>
      </w:pPr>
      <w:r w:rsidRPr="000A37CF">
        <w:rPr>
          <w:rFonts w:ascii="Arial" w:hAnsi="Arial" w:cs="Arial"/>
          <w:sz w:val="32"/>
          <w:szCs w:val="44"/>
        </w:rPr>
        <w:t>GRT/TC-14424-ME</w:t>
      </w:r>
    </w:p>
    <w:p w14:paraId="6DDBFA00" w14:textId="77777777" w:rsidR="005A259F" w:rsidRDefault="005A259F" w:rsidP="009D2F04">
      <w:pPr>
        <w:widowControl w:val="0"/>
        <w:jc w:val="center"/>
        <w:rPr>
          <w:rFonts w:ascii="Arial" w:hAnsi="Arial" w:cs="Arial"/>
          <w:sz w:val="40"/>
          <w:szCs w:val="44"/>
        </w:rPr>
      </w:pPr>
    </w:p>
    <w:p w14:paraId="2B12BD00" w14:textId="77777777" w:rsidR="00BE7E59" w:rsidRPr="006B571F" w:rsidRDefault="00BE7E59" w:rsidP="00BE7E59">
      <w:pPr>
        <w:widowControl w:val="0"/>
        <w:ind w:left="-709"/>
        <w:jc w:val="center"/>
        <w:rPr>
          <w:rFonts w:ascii="Arial" w:hAnsi="Arial" w:cs="Arial"/>
          <w:b/>
          <w:sz w:val="32"/>
          <w:szCs w:val="44"/>
        </w:rPr>
      </w:pPr>
      <w:r>
        <w:rPr>
          <w:rFonts w:ascii="Arial" w:hAnsi="Arial" w:cs="Arial"/>
          <w:b/>
          <w:sz w:val="32"/>
          <w:szCs w:val="44"/>
        </w:rPr>
        <w:t xml:space="preserve">Apoyo para el Desarrollo de Negocios en México </w:t>
      </w:r>
      <w:r w:rsidR="00274F0B">
        <w:rPr>
          <w:rFonts w:ascii="Arial" w:hAnsi="Arial" w:cs="Arial"/>
          <w:b/>
          <w:sz w:val="32"/>
          <w:szCs w:val="44"/>
        </w:rPr>
        <w:t>(CCLIP)</w:t>
      </w:r>
    </w:p>
    <w:p w14:paraId="08E96B2A" w14:textId="77777777" w:rsidR="00BE7E59" w:rsidRPr="006B571F" w:rsidRDefault="00274F0B" w:rsidP="00BE7E59">
      <w:pPr>
        <w:widowControl w:val="0"/>
        <w:jc w:val="center"/>
        <w:rPr>
          <w:rFonts w:ascii="Arial" w:hAnsi="Arial" w:cs="Arial"/>
          <w:sz w:val="32"/>
          <w:szCs w:val="44"/>
        </w:rPr>
      </w:pPr>
      <w:r>
        <w:rPr>
          <w:rFonts w:ascii="Arial" w:hAnsi="Arial" w:cs="Arial"/>
          <w:sz w:val="32"/>
          <w:szCs w:val="44"/>
        </w:rPr>
        <w:t>ME-X1010</w:t>
      </w:r>
    </w:p>
    <w:p w14:paraId="7DC0ECA4" w14:textId="77777777" w:rsidR="00BE7E59" w:rsidRPr="001545E9" w:rsidRDefault="00BE7E59" w:rsidP="009D2F04">
      <w:pPr>
        <w:widowControl w:val="0"/>
        <w:jc w:val="center"/>
        <w:rPr>
          <w:rFonts w:ascii="Arial" w:hAnsi="Arial" w:cs="Arial"/>
          <w:sz w:val="40"/>
          <w:szCs w:val="44"/>
        </w:rPr>
      </w:pPr>
    </w:p>
    <w:p w14:paraId="6D434D3B" w14:textId="77777777" w:rsidR="006D33EC" w:rsidRDefault="006D33EC" w:rsidP="009D2F04">
      <w:pPr>
        <w:widowControl w:val="0"/>
        <w:jc w:val="center"/>
        <w:rPr>
          <w:rFonts w:ascii="Arial" w:hAnsi="Arial" w:cs="Arial"/>
          <w:b/>
          <w:sz w:val="44"/>
          <w:szCs w:val="44"/>
        </w:rPr>
      </w:pPr>
    </w:p>
    <w:p w14:paraId="49F6C1CD" w14:textId="77777777" w:rsidR="006D33EC" w:rsidRPr="001545E9" w:rsidRDefault="006D33EC" w:rsidP="009D2F04">
      <w:pPr>
        <w:widowControl w:val="0"/>
        <w:jc w:val="center"/>
        <w:rPr>
          <w:rFonts w:ascii="Arial" w:hAnsi="Arial" w:cs="Arial"/>
          <w:b/>
          <w:sz w:val="44"/>
          <w:szCs w:val="44"/>
        </w:rPr>
      </w:pPr>
    </w:p>
    <w:p w14:paraId="1A75A892" w14:textId="2FCEA391" w:rsidR="006144B9" w:rsidRPr="00C92720" w:rsidRDefault="00686CEB" w:rsidP="000A37CF">
      <w:pPr>
        <w:jc w:val="right"/>
        <w:rPr>
          <w:sz w:val="24"/>
          <w:szCs w:val="24"/>
        </w:rPr>
      </w:pPr>
      <w:r>
        <w:rPr>
          <w:rFonts w:ascii="Arial" w:hAnsi="Arial" w:cs="Arial"/>
          <w:b/>
          <w:sz w:val="32"/>
          <w:szCs w:val="44"/>
        </w:rPr>
        <w:t>Junio</w:t>
      </w:r>
      <w:r w:rsidR="004F2D67" w:rsidRPr="000A37CF">
        <w:rPr>
          <w:rFonts w:ascii="Arial" w:hAnsi="Arial" w:cs="Arial"/>
          <w:b/>
          <w:sz w:val="32"/>
          <w:szCs w:val="44"/>
        </w:rPr>
        <w:t xml:space="preserve"> </w:t>
      </w:r>
      <w:r w:rsidR="0010351E" w:rsidRPr="000A37CF">
        <w:rPr>
          <w:rFonts w:ascii="Arial" w:hAnsi="Arial" w:cs="Arial"/>
          <w:b/>
          <w:sz w:val="32"/>
          <w:szCs w:val="44"/>
        </w:rPr>
        <w:t>2018</w:t>
      </w:r>
    </w:p>
    <w:p w14:paraId="2ED0AD60" w14:textId="77777777" w:rsidR="005A71B0" w:rsidRDefault="005A71B0" w:rsidP="00100F80">
      <w:pPr>
        <w:rPr>
          <w:sz w:val="24"/>
          <w:szCs w:val="24"/>
        </w:rPr>
      </w:pPr>
    </w:p>
    <w:sdt>
      <w:sdtPr>
        <w:rPr>
          <w:rFonts w:ascii="Times New Roman" w:eastAsia="Times New Roman" w:hAnsi="Times New Roman" w:cs="Times New Roman"/>
          <w:color w:val="auto"/>
          <w:sz w:val="20"/>
          <w:szCs w:val="20"/>
          <w:lang w:val="es-ES"/>
        </w:rPr>
        <w:id w:val="1120805013"/>
        <w:docPartObj>
          <w:docPartGallery w:val="Table of Contents"/>
          <w:docPartUnique/>
        </w:docPartObj>
      </w:sdtPr>
      <w:sdtEndPr>
        <w:rPr>
          <w:bCs/>
          <w:sz w:val="26"/>
          <w:szCs w:val="26"/>
        </w:rPr>
      </w:sdtEndPr>
      <w:sdtContent>
        <w:p w14:paraId="16980888" w14:textId="2D539F4C" w:rsidR="00100F80" w:rsidRPr="0009689C" w:rsidRDefault="00100F80" w:rsidP="008C38DE">
          <w:pPr>
            <w:pStyle w:val="TOCHeading"/>
            <w:tabs>
              <w:tab w:val="left" w:pos="3120"/>
              <w:tab w:val="left" w:pos="5490"/>
            </w:tabs>
            <w:rPr>
              <w:rFonts w:ascii="Arial" w:eastAsia="Times New Roman" w:hAnsi="Arial" w:cs="Times New Roman"/>
              <w:b/>
              <w:color w:val="auto"/>
              <w:sz w:val="36"/>
              <w:szCs w:val="20"/>
            </w:rPr>
          </w:pPr>
          <w:r w:rsidRPr="0009689C">
            <w:rPr>
              <w:rFonts w:ascii="Arial" w:eastAsia="Times New Roman" w:hAnsi="Arial" w:cs="Times New Roman"/>
              <w:b/>
              <w:color w:val="auto"/>
              <w:sz w:val="36"/>
              <w:szCs w:val="20"/>
            </w:rPr>
            <w:t>ÍNDICE</w:t>
          </w:r>
          <w:r w:rsidR="008C38DE">
            <w:rPr>
              <w:rFonts w:ascii="Arial" w:eastAsia="Times New Roman" w:hAnsi="Arial" w:cs="Times New Roman"/>
              <w:b/>
              <w:color w:val="auto"/>
              <w:sz w:val="36"/>
              <w:szCs w:val="20"/>
            </w:rPr>
            <w:tab/>
          </w:r>
          <w:r w:rsidR="008C38DE">
            <w:rPr>
              <w:rFonts w:ascii="Arial" w:eastAsia="Times New Roman" w:hAnsi="Arial" w:cs="Times New Roman"/>
              <w:b/>
              <w:color w:val="auto"/>
              <w:sz w:val="36"/>
              <w:szCs w:val="20"/>
            </w:rPr>
            <w:tab/>
          </w:r>
        </w:p>
        <w:p w14:paraId="618BF5E9" w14:textId="77777777" w:rsidR="00100F80" w:rsidRPr="00B07534" w:rsidRDefault="00B07534" w:rsidP="00B07534">
          <w:pPr>
            <w:jc w:val="right"/>
            <w:rPr>
              <w:rStyle w:val="Hyperlink"/>
              <w:rFonts w:asciiTheme="minorHAnsi" w:hAnsiTheme="minorHAnsi" w:cstheme="minorHAnsi"/>
              <w:noProof/>
              <w:color w:val="auto"/>
              <w:sz w:val="26"/>
              <w:szCs w:val="26"/>
              <w:u w:val="none"/>
            </w:rPr>
          </w:pPr>
          <w:r>
            <w:rPr>
              <w:rStyle w:val="Hyperlink"/>
              <w:rFonts w:asciiTheme="minorHAnsi" w:hAnsiTheme="minorHAnsi" w:cstheme="minorHAnsi"/>
              <w:noProof/>
              <w:color w:val="auto"/>
              <w:sz w:val="26"/>
              <w:szCs w:val="26"/>
              <w:u w:val="none"/>
            </w:rPr>
            <w:t xml:space="preserve"> </w:t>
          </w:r>
        </w:p>
        <w:p w14:paraId="5165E7CD" w14:textId="77777777" w:rsidR="0064412E" w:rsidRPr="005F77CC" w:rsidRDefault="00100F80" w:rsidP="00944E93">
          <w:pPr>
            <w:pStyle w:val="TOC3"/>
            <w:rPr>
              <w:rFonts w:ascii="Arial" w:eastAsiaTheme="minorEastAsia" w:hAnsi="Arial" w:cs="Arial"/>
              <w:noProof/>
            </w:rPr>
          </w:pPr>
          <w:r w:rsidRPr="00B07534">
            <w:rPr>
              <w:sz w:val="26"/>
              <w:szCs w:val="26"/>
            </w:rPr>
            <w:fldChar w:fldCharType="begin"/>
          </w:r>
          <w:r w:rsidRPr="00B07534">
            <w:rPr>
              <w:sz w:val="26"/>
              <w:szCs w:val="26"/>
            </w:rPr>
            <w:instrText xml:space="preserve"> TOC \o "1-3" \h \z \u </w:instrText>
          </w:r>
          <w:r w:rsidRPr="00B07534">
            <w:rPr>
              <w:sz w:val="26"/>
              <w:szCs w:val="26"/>
            </w:rPr>
            <w:fldChar w:fldCharType="separate"/>
          </w:r>
          <w:hyperlink w:anchor="_Toc450149547" w:history="1">
            <w:r w:rsidR="0064412E" w:rsidRPr="005F77CC">
              <w:rPr>
                <w:rStyle w:val="Hyperlink"/>
                <w:rFonts w:ascii="Arial" w:hAnsi="Arial" w:cs="Arial"/>
                <w:noProof/>
              </w:rPr>
              <w:t>1.</w:t>
            </w:r>
            <w:r w:rsidR="0064412E" w:rsidRPr="005F77CC">
              <w:rPr>
                <w:rFonts w:ascii="Arial" w:eastAsiaTheme="minorEastAsia" w:hAnsi="Arial" w:cs="Arial"/>
                <w:noProof/>
              </w:rPr>
              <w:tab/>
            </w:r>
            <w:r w:rsidR="0064412E" w:rsidRPr="005F77CC">
              <w:rPr>
                <w:rStyle w:val="Hyperlink"/>
                <w:rFonts w:ascii="Arial" w:hAnsi="Arial" w:cs="Arial"/>
                <w:noProof/>
              </w:rPr>
              <w:t>Objetivo</w:t>
            </w:r>
            <w:r w:rsidR="0064412E" w:rsidRPr="005F77CC">
              <w:rPr>
                <w:rFonts w:ascii="Arial" w:hAnsi="Arial" w:cs="Arial"/>
                <w:noProof/>
                <w:webHidden/>
              </w:rPr>
              <w:tab/>
            </w:r>
            <w:r w:rsidR="0064412E" w:rsidRPr="005F77CC">
              <w:rPr>
                <w:rFonts w:ascii="Arial" w:hAnsi="Arial" w:cs="Arial"/>
                <w:noProof/>
                <w:webHidden/>
              </w:rPr>
              <w:fldChar w:fldCharType="begin"/>
            </w:r>
            <w:r w:rsidR="0064412E" w:rsidRPr="005F77CC">
              <w:rPr>
                <w:rFonts w:ascii="Arial" w:hAnsi="Arial" w:cs="Arial"/>
                <w:noProof/>
                <w:webHidden/>
              </w:rPr>
              <w:instrText xml:space="preserve"> PAGEREF _Toc450149547 \h </w:instrText>
            </w:r>
            <w:r w:rsidR="0064412E" w:rsidRPr="005F77CC">
              <w:rPr>
                <w:rFonts w:ascii="Arial" w:hAnsi="Arial" w:cs="Arial"/>
                <w:noProof/>
                <w:webHidden/>
              </w:rPr>
            </w:r>
            <w:r w:rsidR="0064412E" w:rsidRPr="005F77CC">
              <w:rPr>
                <w:rFonts w:ascii="Arial" w:hAnsi="Arial" w:cs="Arial"/>
                <w:noProof/>
                <w:webHidden/>
              </w:rPr>
              <w:fldChar w:fldCharType="separate"/>
            </w:r>
            <w:r w:rsidR="00E34C9C">
              <w:rPr>
                <w:rFonts w:ascii="Arial" w:hAnsi="Arial" w:cs="Arial"/>
                <w:noProof/>
                <w:webHidden/>
              </w:rPr>
              <w:t>4</w:t>
            </w:r>
            <w:r w:rsidR="0064412E" w:rsidRPr="005F77CC">
              <w:rPr>
                <w:rFonts w:ascii="Arial" w:hAnsi="Arial" w:cs="Arial"/>
                <w:noProof/>
                <w:webHidden/>
              </w:rPr>
              <w:fldChar w:fldCharType="end"/>
            </w:r>
          </w:hyperlink>
        </w:p>
        <w:p w14:paraId="4D7A7C7D" w14:textId="77777777" w:rsidR="0064412E" w:rsidRPr="005F77CC" w:rsidRDefault="0092399C" w:rsidP="00944E93">
          <w:pPr>
            <w:pStyle w:val="TOC3"/>
            <w:rPr>
              <w:rFonts w:eastAsiaTheme="minorEastAsia"/>
              <w:noProof/>
            </w:rPr>
          </w:pPr>
          <w:hyperlink w:anchor="_Toc450149548" w:history="1">
            <w:r w:rsidR="0064412E" w:rsidRPr="005F77CC">
              <w:rPr>
                <w:rStyle w:val="Hyperlink"/>
                <w:rFonts w:ascii="Arial" w:hAnsi="Arial" w:cs="Arial"/>
                <w:noProof/>
              </w:rPr>
              <w:t>2.</w:t>
            </w:r>
            <w:r w:rsidR="0064412E" w:rsidRPr="005F77CC">
              <w:rPr>
                <w:rFonts w:eastAsiaTheme="minorEastAsia"/>
                <w:noProof/>
              </w:rPr>
              <w:tab/>
            </w:r>
            <w:r w:rsidR="0064412E" w:rsidRPr="005F77CC">
              <w:rPr>
                <w:rStyle w:val="Hyperlink"/>
                <w:rFonts w:ascii="Arial" w:hAnsi="Arial" w:cs="Arial"/>
                <w:noProof/>
              </w:rPr>
              <w:t>Definiciones</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_Toc450149548 \h </w:instrText>
            </w:r>
            <w:r w:rsidR="0064412E" w:rsidRPr="005F77CC">
              <w:rPr>
                <w:noProof/>
                <w:webHidden/>
              </w:rPr>
            </w:r>
            <w:r w:rsidR="0064412E" w:rsidRPr="005F77CC">
              <w:rPr>
                <w:noProof/>
                <w:webHidden/>
              </w:rPr>
              <w:fldChar w:fldCharType="separate"/>
            </w:r>
            <w:r w:rsidR="00E34C9C">
              <w:rPr>
                <w:noProof/>
                <w:webHidden/>
              </w:rPr>
              <w:t>4</w:t>
            </w:r>
            <w:r w:rsidR="0064412E" w:rsidRPr="005F77CC">
              <w:rPr>
                <w:noProof/>
                <w:webHidden/>
              </w:rPr>
              <w:fldChar w:fldCharType="end"/>
            </w:r>
          </w:hyperlink>
        </w:p>
        <w:p w14:paraId="6F069928" w14:textId="77777777" w:rsidR="0064412E" w:rsidRPr="005F77CC" w:rsidRDefault="0092399C" w:rsidP="00944E93">
          <w:pPr>
            <w:pStyle w:val="TOC3"/>
            <w:rPr>
              <w:rFonts w:eastAsiaTheme="minorEastAsia"/>
              <w:noProof/>
            </w:rPr>
          </w:pPr>
          <w:hyperlink w:anchor="_Toc450149549" w:history="1">
            <w:r w:rsidR="0064412E" w:rsidRPr="005F77CC">
              <w:rPr>
                <w:rStyle w:val="Hyperlink"/>
                <w:rFonts w:ascii="Arial" w:hAnsi="Arial" w:cs="Arial"/>
                <w:noProof/>
              </w:rPr>
              <w:t>3.</w:t>
            </w:r>
            <w:r w:rsidR="0064412E" w:rsidRPr="005F77CC">
              <w:rPr>
                <w:rFonts w:eastAsiaTheme="minorEastAsia"/>
                <w:noProof/>
              </w:rPr>
              <w:tab/>
            </w:r>
            <w:r w:rsidR="0064412E" w:rsidRPr="005F77CC">
              <w:rPr>
                <w:rStyle w:val="Hyperlink"/>
                <w:rFonts w:ascii="Arial" w:hAnsi="Arial" w:cs="Arial"/>
                <w:noProof/>
              </w:rPr>
              <w:t>Objetivo y costos del PFTRG</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_Toc450149549 \h </w:instrText>
            </w:r>
            <w:r w:rsidR="0064412E" w:rsidRPr="005F77CC">
              <w:rPr>
                <w:noProof/>
                <w:webHidden/>
              </w:rPr>
            </w:r>
            <w:r w:rsidR="0064412E" w:rsidRPr="005F77CC">
              <w:rPr>
                <w:noProof/>
                <w:webHidden/>
              </w:rPr>
              <w:fldChar w:fldCharType="separate"/>
            </w:r>
            <w:r w:rsidR="00E34C9C">
              <w:rPr>
                <w:noProof/>
                <w:webHidden/>
              </w:rPr>
              <w:t>8</w:t>
            </w:r>
            <w:r w:rsidR="0064412E" w:rsidRPr="005F77CC">
              <w:rPr>
                <w:noProof/>
                <w:webHidden/>
              </w:rPr>
              <w:fldChar w:fldCharType="end"/>
            </w:r>
          </w:hyperlink>
        </w:p>
        <w:p w14:paraId="6B2E73E3" w14:textId="77777777" w:rsidR="0064412E" w:rsidRPr="005F77CC" w:rsidRDefault="0092399C" w:rsidP="00944E93">
          <w:pPr>
            <w:pStyle w:val="TOC3"/>
            <w:rPr>
              <w:rFonts w:eastAsiaTheme="minorEastAsia"/>
              <w:noProof/>
            </w:rPr>
          </w:pPr>
          <w:hyperlink w:anchor="_Toc450149553" w:history="1">
            <w:r w:rsidR="0064412E" w:rsidRPr="005F77CC">
              <w:rPr>
                <w:rStyle w:val="Hyperlink"/>
                <w:rFonts w:ascii="Arial" w:hAnsi="Arial" w:cs="Arial"/>
                <w:noProof/>
              </w:rPr>
              <w:t>4.</w:t>
            </w:r>
            <w:r w:rsidR="0064412E" w:rsidRPr="005F77CC">
              <w:rPr>
                <w:rFonts w:eastAsiaTheme="minorEastAsia"/>
                <w:noProof/>
              </w:rPr>
              <w:tab/>
            </w:r>
            <w:r w:rsidR="0064412E" w:rsidRPr="005F77CC">
              <w:rPr>
                <w:rStyle w:val="Hyperlink"/>
                <w:rFonts w:ascii="Arial" w:hAnsi="Arial" w:cs="Arial"/>
                <w:noProof/>
              </w:rPr>
              <w:t>Descripción de Recursos</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_Toc450149553 \h </w:instrText>
            </w:r>
            <w:r w:rsidR="0064412E" w:rsidRPr="005F77CC">
              <w:rPr>
                <w:noProof/>
                <w:webHidden/>
              </w:rPr>
            </w:r>
            <w:r w:rsidR="0064412E" w:rsidRPr="005F77CC">
              <w:rPr>
                <w:noProof/>
                <w:webHidden/>
              </w:rPr>
              <w:fldChar w:fldCharType="separate"/>
            </w:r>
            <w:r w:rsidR="00E34C9C">
              <w:rPr>
                <w:noProof/>
                <w:webHidden/>
              </w:rPr>
              <w:t>11</w:t>
            </w:r>
            <w:r w:rsidR="0064412E" w:rsidRPr="005F77CC">
              <w:rPr>
                <w:noProof/>
                <w:webHidden/>
              </w:rPr>
              <w:fldChar w:fldCharType="end"/>
            </w:r>
          </w:hyperlink>
        </w:p>
        <w:p w14:paraId="7020BC14" w14:textId="77777777" w:rsidR="0064412E" w:rsidRPr="005F77CC" w:rsidRDefault="0092399C" w:rsidP="00944E93">
          <w:pPr>
            <w:pStyle w:val="TOC3"/>
            <w:rPr>
              <w:rFonts w:eastAsiaTheme="minorEastAsia"/>
              <w:noProof/>
            </w:rPr>
          </w:pPr>
          <w:hyperlink w:anchor="_Toc450149554" w:history="1">
            <w:r w:rsidR="0064412E" w:rsidRPr="005F77CC">
              <w:rPr>
                <w:rStyle w:val="Hyperlink"/>
                <w:rFonts w:ascii="Arial" w:hAnsi="Arial" w:cs="Arial"/>
                <w:noProof/>
              </w:rPr>
              <w:t>5.</w:t>
            </w:r>
            <w:r w:rsidR="0064412E" w:rsidRPr="005F77CC">
              <w:rPr>
                <w:rFonts w:eastAsiaTheme="minorEastAsia"/>
                <w:noProof/>
              </w:rPr>
              <w:tab/>
            </w:r>
            <w:r w:rsidR="0064412E" w:rsidRPr="005F77CC">
              <w:rPr>
                <w:rStyle w:val="Hyperlink"/>
                <w:rFonts w:ascii="Arial" w:hAnsi="Arial" w:cs="Arial"/>
                <w:noProof/>
              </w:rPr>
              <w:t>La Cooperación Contingente GRT/TC-14424-ME</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_Toc450149554 \h </w:instrText>
            </w:r>
            <w:r w:rsidR="0064412E" w:rsidRPr="005F77CC">
              <w:rPr>
                <w:noProof/>
                <w:webHidden/>
              </w:rPr>
            </w:r>
            <w:r w:rsidR="0064412E" w:rsidRPr="005F77CC">
              <w:rPr>
                <w:noProof/>
                <w:webHidden/>
              </w:rPr>
              <w:fldChar w:fldCharType="separate"/>
            </w:r>
            <w:r w:rsidR="00E34C9C">
              <w:rPr>
                <w:noProof/>
                <w:webHidden/>
              </w:rPr>
              <w:t>12</w:t>
            </w:r>
            <w:r w:rsidR="0064412E" w:rsidRPr="005F77CC">
              <w:rPr>
                <w:noProof/>
                <w:webHidden/>
              </w:rPr>
              <w:fldChar w:fldCharType="end"/>
            </w:r>
          </w:hyperlink>
        </w:p>
        <w:p w14:paraId="32DC4BC5" w14:textId="77777777" w:rsidR="0064412E" w:rsidRPr="005F77CC" w:rsidRDefault="0092399C" w:rsidP="00944E93">
          <w:pPr>
            <w:pStyle w:val="TOC3"/>
            <w:rPr>
              <w:rFonts w:eastAsiaTheme="minorEastAsia"/>
              <w:noProof/>
            </w:rPr>
          </w:pPr>
          <w:hyperlink w:anchor="_Toc450149555" w:history="1">
            <w:r w:rsidR="0064412E" w:rsidRPr="005F77CC">
              <w:rPr>
                <w:rStyle w:val="Hyperlink"/>
                <w:rFonts w:ascii="Arial" w:hAnsi="Arial" w:cs="Arial"/>
                <w:noProof/>
              </w:rPr>
              <w:t>6.</w:t>
            </w:r>
            <w:r w:rsidR="0064412E" w:rsidRPr="005F77CC">
              <w:rPr>
                <w:rFonts w:eastAsiaTheme="minorEastAsia"/>
                <w:noProof/>
              </w:rPr>
              <w:tab/>
            </w:r>
            <w:r w:rsidR="0064412E" w:rsidRPr="005F77CC">
              <w:rPr>
                <w:rStyle w:val="Hyperlink"/>
                <w:rFonts w:ascii="Arial" w:hAnsi="Arial" w:cs="Arial"/>
                <w:noProof/>
              </w:rPr>
              <w:t>De la Cooperación Técnica GRT/TC-14423-ME</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_Toc450149555 \h </w:instrText>
            </w:r>
            <w:r w:rsidR="0064412E" w:rsidRPr="005F77CC">
              <w:rPr>
                <w:noProof/>
                <w:webHidden/>
              </w:rPr>
            </w:r>
            <w:r w:rsidR="0064412E" w:rsidRPr="005F77CC">
              <w:rPr>
                <w:noProof/>
                <w:webHidden/>
              </w:rPr>
              <w:fldChar w:fldCharType="separate"/>
            </w:r>
            <w:r w:rsidR="00E34C9C">
              <w:rPr>
                <w:noProof/>
                <w:webHidden/>
              </w:rPr>
              <w:t>12</w:t>
            </w:r>
            <w:r w:rsidR="0064412E" w:rsidRPr="005F77CC">
              <w:rPr>
                <w:noProof/>
                <w:webHidden/>
              </w:rPr>
              <w:fldChar w:fldCharType="end"/>
            </w:r>
          </w:hyperlink>
        </w:p>
        <w:p w14:paraId="48538BD3" w14:textId="77777777" w:rsidR="0064412E" w:rsidRPr="005F77CC" w:rsidRDefault="0092399C" w:rsidP="00944E93">
          <w:pPr>
            <w:pStyle w:val="TOC3"/>
            <w:rPr>
              <w:rFonts w:eastAsiaTheme="minorEastAsia"/>
              <w:noProof/>
            </w:rPr>
          </w:pPr>
          <w:hyperlink w:anchor="_Toc450149556" w:history="1">
            <w:r w:rsidR="0064412E" w:rsidRPr="005F77CC">
              <w:rPr>
                <w:rStyle w:val="Hyperlink"/>
                <w:rFonts w:ascii="Arial" w:hAnsi="Arial" w:cs="Arial"/>
                <w:noProof/>
              </w:rPr>
              <w:t>7.</w:t>
            </w:r>
            <w:r w:rsidR="0064412E" w:rsidRPr="005F77CC">
              <w:rPr>
                <w:rFonts w:eastAsiaTheme="minorEastAsia"/>
                <w:noProof/>
              </w:rPr>
              <w:tab/>
            </w:r>
            <w:r w:rsidR="0064412E" w:rsidRPr="005F77CC">
              <w:rPr>
                <w:rStyle w:val="Hyperlink"/>
                <w:rFonts w:ascii="Arial" w:hAnsi="Arial" w:cs="Arial"/>
                <w:noProof/>
              </w:rPr>
              <w:t>Del FOTEASE</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_Toc450149556 \h </w:instrText>
            </w:r>
            <w:r w:rsidR="0064412E" w:rsidRPr="005F77CC">
              <w:rPr>
                <w:noProof/>
                <w:webHidden/>
              </w:rPr>
            </w:r>
            <w:r w:rsidR="0064412E" w:rsidRPr="005F77CC">
              <w:rPr>
                <w:noProof/>
                <w:webHidden/>
              </w:rPr>
              <w:fldChar w:fldCharType="separate"/>
            </w:r>
            <w:r w:rsidR="00E34C9C">
              <w:rPr>
                <w:noProof/>
                <w:webHidden/>
              </w:rPr>
              <w:t>13</w:t>
            </w:r>
            <w:r w:rsidR="0064412E" w:rsidRPr="005F77CC">
              <w:rPr>
                <w:noProof/>
                <w:webHidden/>
              </w:rPr>
              <w:fldChar w:fldCharType="end"/>
            </w:r>
          </w:hyperlink>
        </w:p>
        <w:p w14:paraId="4827ED87" w14:textId="77777777" w:rsidR="0064412E" w:rsidRPr="005F77CC" w:rsidRDefault="0092399C" w:rsidP="00944E93">
          <w:pPr>
            <w:pStyle w:val="TOC3"/>
            <w:rPr>
              <w:rFonts w:eastAsiaTheme="minorEastAsia"/>
              <w:noProof/>
            </w:rPr>
          </w:pPr>
          <w:hyperlink w:anchor="_Toc450149557" w:history="1">
            <w:r w:rsidR="0064412E" w:rsidRPr="005F77CC">
              <w:rPr>
                <w:rStyle w:val="Hyperlink"/>
                <w:rFonts w:ascii="Arial" w:hAnsi="Arial" w:cs="Arial"/>
                <w:noProof/>
              </w:rPr>
              <w:t>8.</w:t>
            </w:r>
            <w:r w:rsidR="0064412E" w:rsidRPr="005F77CC">
              <w:rPr>
                <w:rFonts w:eastAsiaTheme="minorEastAsia"/>
                <w:noProof/>
              </w:rPr>
              <w:tab/>
            </w:r>
            <w:r w:rsidR="002172B8">
              <w:rPr>
                <w:rStyle w:val="Hyperlink"/>
                <w:rFonts w:ascii="Arial" w:hAnsi="Arial" w:cs="Arial"/>
                <w:noProof/>
              </w:rPr>
              <w:t xml:space="preserve">Uso de los Recursos del PFTRG </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_Toc450149557 \h </w:instrText>
            </w:r>
            <w:r w:rsidR="0064412E" w:rsidRPr="005F77CC">
              <w:rPr>
                <w:noProof/>
                <w:webHidden/>
              </w:rPr>
            </w:r>
            <w:r w:rsidR="0064412E" w:rsidRPr="005F77CC">
              <w:rPr>
                <w:noProof/>
                <w:webHidden/>
              </w:rPr>
              <w:fldChar w:fldCharType="separate"/>
            </w:r>
            <w:r w:rsidR="00E34C9C">
              <w:rPr>
                <w:noProof/>
                <w:webHidden/>
              </w:rPr>
              <w:t>13</w:t>
            </w:r>
            <w:r w:rsidR="0064412E" w:rsidRPr="005F77CC">
              <w:rPr>
                <w:noProof/>
                <w:webHidden/>
              </w:rPr>
              <w:fldChar w:fldCharType="end"/>
            </w:r>
          </w:hyperlink>
        </w:p>
        <w:p w14:paraId="3ED01FA5" w14:textId="77777777" w:rsidR="0064412E" w:rsidRPr="005F77CC" w:rsidRDefault="0092399C" w:rsidP="00944E93">
          <w:pPr>
            <w:pStyle w:val="TOC3"/>
            <w:rPr>
              <w:rFonts w:eastAsiaTheme="minorEastAsia"/>
              <w:noProof/>
            </w:rPr>
          </w:pPr>
          <w:hyperlink w:anchor="_Toc450149558" w:history="1">
            <w:r w:rsidR="0064412E" w:rsidRPr="005F77CC">
              <w:rPr>
                <w:rStyle w:val="Hyperlink"/>
                <w:rFonts w:ascii="Arial" w:hAnsi="Arial" w:cs="Arial"/>
                <w:noProof/>
              </w:rPr>
              <w:t>9.</w:t>
            </w:r>
            <w:r w:rsidR="0064412E" w:rsidRPr="005F77CC">
              <w:rPr>
                <w:rFonts w:eastAsiaTheme="minorEastAsia"/>
                <w:noProof/>
              </w:rPr>
              <w:tab/>
            </w:r>
            <w:r w:rsidR="0064412E" w:rsidRPr="005F77CC">
              <w:rPr>
                <w:rStyle w:val="Hyperlink"/>
                <w:rFonts w:ascii="Arial" w:hAnsi="Arial" w:cs="Arial"/>
                <w:noProof/>
              </w:rPr>
              <w:t>Restricciones en el Uso de Recursos del PFTRG</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_Toc450149558 \h </w:instrText>
            </w:r>
            <w:r w:rsidR="0064412E" w:rsidRPr="005F77CC">
              <w:rPr>
                <w:noProof/>
                <w:webHidden/>
              </w:rPr>
            </w:r>
            <w:r w:rsidR="0064412E" w:rsidRPr="005F77CC">
              <w:rPr>
                <w:noProof/>
                <w:webHidden/>
              </w:rPr>
              <w:fldChar w:fldCharType="separate"/>
            </w:r>
            <w:r w:rsidR="00E34C9C">
              <w:rPr>
                <w:noProof/>
                <w:webHidden/>
              </w:rPr>
              <w:t>15</w:t>
            </w:r>
            <w:r w:rsidR="0064412E" w:rsidRPr="005F77CC">
              <w:rPr>
                <w:noProof/>
                <w:webHidden/>
              </w:rPr>
              <w:fldChar w:fldCharType="end"/>
            </w:r>
          </w:hyperlink>
        </w:p>
        <w:p w14:paraId="515AE158" w14:textId="77777777" w:rsidR="0064412E" w:rsidRPr="005F77CC" w:rsidRDefault="0092399C" w:rsidP="00944E93">
          <w:pPr>
            <w:pStyle w:val="TOC3"/>
            <w:rPr>
              <w:rFonts w:eastAsiaTheme="minorEastAsia"/>
              <w:noProof/>
            </w:rPr>
          </w:pPr>
          <w:hyperlink w:anchor="_Toc450149559" w:history="1">
            <w:r w:rsidR="0064412E" w:rsidRPr="005F77CC">
              <w:rPr>
                <w:rStyle w:val="Hyperlink"/>
                <w:rFonts w:ascii="Arial" w:hAnsi="Arial" w:cs="Arial"/>
                <w:noProof/>
              </w:rPr>
              <w:t>10.</w:t>
            </w:r>
            <w:r w:rsidR="008A21CD">
              <w:rPr>
                <w:rFonts w:eastAsiaTheme="minorEastAsia"/>
                <w:noProof/>
              </w:rPr>
              <w:t xml:space="preserve">  </w:t>
            </w:r>
            <w:r w:rsidR="0064412E" w:rsidRPr="005F77CC">
              <w:rPr>
                <w:rStyle w:val="Hyperlink"/>
                <w:rFonts w:ascii="Arial" w:hAnsi="Arial" w:cs="Arial"/>
                <w:noProof/>
              </w:rPr>
              <w:t>Condiciones de los contratos con los IFI’s y/o cualquier otro tipo de instrumento que realice intermediación</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_Toc450149559 \h </w:instrText>
            </w:r>
            <w:r w:rsidR="0064412E" w:rsidRPr="005F77CC">
              <w:rPr>
                <w:noProof/>
                <w:webHidden/>
              </w:rPr>
            </w:r>
            <w:r w:rsidR="0064412E" w:rsidRPr="005F77CC">
              <w:rPr>
                <w:noProof/>
                <w:webHidden/>
              </w:rPr>
              <w:fldChar w:fldCharType="separate"/>
            </w:r>
            <w:r w:rsidR="00E34C9C">
              <w:rPr>
                <w:noProof/>
                <w:webHidden/>
              </w:rPr>
              <w:t>16</w:t>
            </w:r>
            <w:r w:rsidR="0064412E" w:rsidRPr="005F77CC">
              <w:rPr>
                <w:noProof/>
                <w:webHidden/>
              </w:rPr>
              <w:fldChar w:fldCharType="end"/>
            </w:r>
          </w:hyperlink>
        </w:p>
        <w:p w14:paraId="2683D618" w14:textId="77777777" w:rsidR="0064412E" w:rsidRPr="005F77CC" w:rsidRDefault="0092399C" w:rsidP="00944E93">
          <w:pPr>
            <w:pStyle w:val="TOC3"/>
            <w:rPr>
              <w:rFonts w:eastAsiaTheme="minorEastAsia"/>
              <w:noProof/>
            </w:rPr>
          </w:pPr>
          <w:hyperlink w:anchor="_Toc450149560" w:history="1">
            <w:r w:rsidR="0064412E" w:rsidRPr="005F77CC">
              <w:rPr>
                <w:rStyle w:val="Hyperlink"/>
                <w:rFonts w:ascii="Arial" w:hAnsi="Arial" w:cs="Arial"/>
                <w:noProof/>
              </w:rPr>
              <w:t>11.</w:t>
            </w:r>
            <w:r w:rsidR="008A21CD">
              <w:rPr>
                <w:rFonts w:eastAsiaTheme="minorEastAsia"/>
                <w:noProof/>
              </w:rPr>
              <w:t xml:space="preserve">  </w:t>
            </w:r>
            <w:r w:rsidR="0064412E" w:rsidRPr="005F77CC">
              <w:rPr>
                <w:rStyle w:val="Hyperlink"/>
                <w:rFonts w:ascii="Arial" w:hAnsi="Arial" w:cs="Arial"/>
                <w:noProof/>
              </w:rPr>
              <w:t>Mecanismo de asignación de recursos para operaciones elegibles</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_Toc450149560 \h </w:instrText>
            </w:r>
            <w:r w:rsidR="0064412E" w:rsidRPr="005F77CC">
              <w:rPr>
                <w:noProof/>
                <w:webHidden/>
              </w:rPr>
            </w:r>
            <w:r w:rsidR="0064412E" w:rsidRPr="005F77CC">
              <w:rPr>
                <w:noProof/>
                <w:webHidden/>
              </w:rPr>
              <w:fldChar w:fldCharType="separate"/>
            </w:r>
            <w:r w:rsidR="00E34C9C">
              <w:rPr>
                <w:noProof/>
                <w:webHidden/>
              </w:rPr>
              <w:t>16</w:t>
            </w:r>
            <w:r w:rsidR="0064412E" w:rsidRPr="005F77CC">
              <w:rPr>
                <w:noProof/>
                <w:webHidden/>
              </w:rPr>
              <w:fldChar w:fldCharType="end"/>
            </w:r>
          </w:hyperlink>
        </w:p>
        <w:p w14:paraId="2AB92A7D" w14:textId="77777777" w:rsidR="0064412E" w:rsidRPr="005F77CC" w:rsidRDefault="0092399C" w:rsidP="00944E93">
          <w:pPr>
            <w:pStyle w:val="TOC3"/>
            <w:rPr>
              <w:rFonts w:eastAsiaTheme="minorEastAsia"/>
              <w:noProof/>
            </w:rPr>
          </w:pPr>
          <w:hyperlink w:anchor="_Toc450149561" w:history="1">
            <w:r w:rsidR="0064412E" w:rsidRPr="005F77CC">
              <w:rPr>
                <w:rStyle w:val="Hyperlink"/>
                <w:rFonts w:ascii="Arial" w:hAnsi="Arial" w:cs="Arial"/>
                <w:noProof/>
              </w:rPr>
              <w:t>12.</w:t>
            </w:r>
            <w:r w:rsidR="008A21CD">
              <w:rPr>
                <w:rStyle w:val="Hyperlink"/>
                <w:rFonts w:ascii="Arial" w:hAnsi="Arial" w:cs="Arial"/>
                <w:noProof/>
              </w:rPr>
              <w:t xml:space="preserve">  </w:t>
            </w:r>
            <w:r w:rsidR="0064412E" w:rsidRPr="005F77CC">
              <w:rPr>
                <w:rStyle w:val="Hyperlink"/>
                <w:rFonts w:ascii="Arial" w:hAnsi="Arial" w:cs="Arial"/>
                <w:noProof/>
              </w:rPr>
              <w:t>Características de los Financiamientos</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_Toc450149561 \h </w:instrText>
            </w:r>
            <w:r w:rsidR="0064412E" w:rsidRPr="005F77CC">
              <w:rPr>
                <w:noProof/>
                <w:webHidden/>
              </w:rPr>
            </w:r>
            <w:r w:rsidR="0064412E" w:rsidRPr="005F77CC">
              <w:rPr>
                <w:noProof/>
                <w:webHidden/>
              </w:rPr>
              <w:fldChar w:fldCharType="separate"/>
            </w:r>
            <w:r w:rsidR="00E34C9C">
              <w:rPr>
                <w:noProof/>
                <w:webHidden/>
              </w:rPr>
              <w:t>17</w:t>
            </w:r>
            <w:r w:rsidR="0064412E" w:rsidRPr="005F77CC">
              <w:rPr>
                <w:noProof/>
                <w:webHidden/>
              </w:rPr>
              <w:fldChar w:fldCharType="end"/>
            </w:r>
          </w:hyperlink>
        </w:p>
        <w:p w14:paraId="1C9FDA19" w14:textId="77777777" w:rsidR="0064412E" w:rsidRPr="005F77CC" w:rsidRDefault="0092399C" w:rsidP="00944E93">
          <w:pPr>
            <w:pStyle w:val="TOC3"/>
            <w:rPr>
              <w:rFonts w:eastAsiaTheme="minorEastAsia"/>
              <w:noProof/>
            </w:rPr>
          </w:pPr>
          <w:hyperlink w:anchor="_Toc450149562" w:history="1">
            <w:r w:rsidR="0064412E" w:rsidRPr="005F77CC">
              <w:rPr>
                <w:rStyle w:val="Hyperlink"/>
                <w:rFonts w:ascii="Arial" w:hAnsi="Arial" w:cs="Arial"/>
                <w:noProof/>
              </w:rPr>
              <w:t>13.</w:t>
            </w:r>
            <w:r w:rsidR="008A21CD">
              <w:rPr>
                <w:rStyle w:val="Hyperlink"/>
                <w:rFonts w:ascii="Arial" w:hAnsi="Arial" w:cs="Arial"/>
                <w:noProof/>
              </w:rPr>
              <w:t xml:space="preserve">  </w:t>
            </w:r>
            <w:r w:rsidR="0064412E" w:rsidRPr="005F77CC">
              <w:rPr>
                <w:rStyle w:val="Hyperlink"/>
                <w:rFonts w:ascii="Arial" w:hAnsi="Arial" w:cs="Arial"/>
                <w:noProof/>
              </w:rPr>
              <w:t>Otras condiciones de las Operaciones Elegibles</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_Toc450149562 \h </w:instrText>
            </w:r>
            <w:r w:rsidR="0064412E" w:rsidRPr="005F77CC">
              <w:rPr>
                <w:noProof/>
                <w:webHidden/>
              </w:rPr>
            </w:r>
            <w:r w:rsidR="0064412E" w:rsidRPr="005F77CC">
              <w:rPr>
                <w:noProof/>
                <w:webHidden/>
              </w:rPr>
              <w:fldChar w:fldCharType="separate"/>
            </w:r>
            <w:r w:rsidR="00E34C9C">
              <w:rPr>
                <w:noProof/>
                <w:webHidden/>
              </w:rPr>
              <w:t>21</w:t>
            </w:r>
            <w:r w:rsidR="0064412E" w:rsidRPr="005F77CC">
              <w:rPr>
                <w:noProof/>
                <w:webHidden/>
              </w:rPr>
              <w:fldChar w:fldCharType="end"/>
            </w:r>
          </w:hyperlink>
        </w:p>
        <w:p w14:paraId="3B7EBF02" w14:textId="77777777" w:rsidR="0064412E" w:rsidRPr="005F77CC" w:rsidRDefault="0092399C" w:rsidP="00944E93">
          <w:pPr>
            <w:pStyle w:val="TOC3"/>
            <w:rPr>
              <w:rFonts w:eastAsiaTheme="minorEastAsia"/>
              <w:noProof/>
            </w:rPr>
          </w:pPr>
          <w:hyperlink w:anchor="_Toc450149563" w:history="1">
            <w:r w:rsidR="0064412E" w:rsidRPr="005F77CC">
              <w:rPr>
                <w:rStyle w:val="Hyperlink"/>
                <w:rFonts w:ascii="Arial" w:hAnsi="Arial" w:cs="Arial"/>
                <w:noProof/>
              </w:rPr>
              <w:t>14.</w:t>
            </w:r>
            <w:r w:rsidR="008A21CD">
              <w:rPr>
                <w:rStyle w:val="Hyperlink"/>
                <w:rFonts w:ascii="Arial" w:hAnsi="Arial" w:cs="Arial"/>
                <w:noProof/>
              </w:rPr>
              <w:t xml:space="preserve">  </w:t>
            </w:r>
            <w:r w:rsidR="00BD7FA8">
              <w:rPr>
                <w:rStyle w:val="Hyperlink"/>
                <w:rFonts w:ascii="Arial" w:hAnsi="Arial" w:cs="Arial"/>
              </w:rPr>
              <w:t>Sistema de G</w:t>
            </w:r>
            <w:r w:rsidR="00F53E55" w:rsidRPr="00BD7FA8">
              <w:rPr>
                <w:rStyle w:val="Hyperlink"/>
                <w:rFonts w:ascii="Arial" w:hAnsi="Arial" w:cs="Arial"/>
              </w:rPr>
              <w:t xml:space="preserve">estión </w:t>
            </w:r>
            <w:r w:rsidR="0064412E" w:rsidRPr="005F77CC">
              <w:rPr>
                <w:rStyle w:val="Hyperlink"/>
                <w:rFonts w:ascii="Arial" w:hAnsi="Arial" w:cs="Arial"/>
                <w:noProof/>
              </w:rPr>
              <w:t>Ambiental y Social</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_Toc450149563 \h </w:instrText>
            </w:r>
            <w:r w:rsidR="0064412E" w:rsidRPr="005F77CC">
              <w:rPr>
                <w:noProof/>
                <w:webHidden/>
              </w:rPr>
            </w:r>
            <w:r w:rsidR="0064412E" w:rsidRPr="005F77CC">
              <w:rPr>
                <w:noProof/>
                <w:webHidden/>
              </w:rPr>
              <w:fldChar w:fldCharType="separate"/>
            </w:r>
            <w:r w:rsidR="00E34C9C">
              <w:rPr>
                <w:noProof/>
                <w:webHidden/>
              </w:rPr>
              <w:t>22</w:t>
            </w:r>
            <w:r w:rsidR="0064412E" w:rsidRPr="005F77CC">
              <w:rPr>
                <w:noProof/>
                <w:webHidden/>
              </w:rPr>
              <w:fldChar w:fldCharType="end"/>
            </w:r>
          </w:hyperlink>
        </w:p>
        <w:p w14:paraId="087285F9" w14:textId="77777777" w:rsidR="0064412E" w:rsidRPr="005F77CC" w:rsidRDefault="0092399C" w:rsidP="00944E93">
          <w:pPr>
            <w:pStyle w:val="TOC3"/>
            <w:rPr>
              <w:rFonts w:eastAsiaTheme="minorEastAsia"/>
              <w:noProof/>
            </w:rPr>
          </w:pPr>
          <w:hyperlink w:anchor="_Toc450149564" w:history="1">
            <w:r w:rsidR="0064412E" w:rsidRPr="005F77CC">
              <w:rPr>
                <w:rStyle w:val="Hyperlink"/>
                <w:rFonts w:ascii="Arial" w:hAnsi="Arial" w:cs="Arial"/>
                <w:noProof/>
              </w:rPr>
              <w:t>15.</w:t>
            </w:r>
            <w:r w:rsidR="008A21CD">
              <w:rPr>
                <w:rStyle w:val="Hyperlink"/>
                <w:rFonts w:ascii="Arial" w:hAnsi="Arial" w:cs="Arial"/>
                <w:noProof/>
              </w:rPr>
              <w:t xml:space="preserve">  </w:t>
            </w:r>
            <w:r w:rsidR="0064412E" w:rsidRPr="005F77CC">
              <w:rPr>
                <w:rStyle w:val="Hyperlink"/>
                <w:rFonts w:ascii="Arial" w:hAnsi="Arial" w:cs="Arial"/>
                <w:noProof/>
              </w:rPr>
              <w:t>Procedimientos de Contratación y Adquisiciones</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_Toc450149564 \h </w:instrText>
            </w:r>
            <w:r w:rsidR="0064412E" w:rsidRPr="005F77CC">
              <w:rPr>
                <w:noProof/>
                <w:webHidden/>
              </w:rPr>
            </w:r>
            <w:r w:rsidR="0064412E" w:rsidRPr="005F77CC">
              <w:rPr>
                <w:noProof/>
                <w:webHidden/>
              </w:rPr>
              <w:fldChar w:fldCharType="separate"/>
            </w:r>
            <w:r w:rsidR="00E34C9C">
              <w:rPr>
                <w:noProof/>
                <w:webHidden/>
              </w:rPr>
              <w:t>26</w:t>
            </w:r>
            <w:r w:rsidR="0064412E" w:rsidRPr="005F77CC">
              <w:rPr>
                <w:noProof/>
                <w:webHidden/>
              </w:rPr>
              <w:fldChar w:fldCharType="end"/>
            </w:r>
          </w:hyperlink>
        </w:p>
        <w:p w14:paraId="2C8A578F" w14:textId="77777777" w:rsidR="0064412E" w:rsidRPr="005F77CC" w:rsidRDefault="0092399C" w:rsidP="00944E93">
          <w:pPr>
            <w:pStyle w:val="TOC3"/>
            <w:rPr>
              <w:rFonts w:eastAsiaTheme="minorEastAsia"/>
              <w:noProof/>
            </w:rPr>
          </w:pPr>
          <w:hyperlink w:anchor="_Toc450149565" w:history="1">
            <w:r w:rsidR="0064412E" w:rsidRPr="005F77CC">
              <w:rPr>
                <w:rStyle w:val="Hyperlink"/>
                <w:rFonts w:ascii="Arial" w:hAnsi="Arial" w:cs="Arial"/>
                <w:noProof/>
              </w:rPr>
              <w:t>16.</w:t>
            </w:r>
            <w:r w:rsidR="008A21CD">
              <w:rPr>
                <w:rStyle w:val="Hyperlink"/>
                <w:rFonts w:ascii="Arial" w:hAnsi="Arial" w:cs="Arial"/>
                <w:noProof/>
              </w:rPr>
              <w:t xml:space="preserve">  </w:t>
            </w:r>
            <w:r w:rsidR="0064412E" w:rsidRPr="005F77CC">
              <w:rPr>
                <w:rStyle w:val="Hyperlink"/>
                <w:rFonts w:ascii="Arial" w:hAnsi="Arial" w:cs="Arial"/>
                <w:noProof/>
              </w:rPr>
              <w:t>Mecanismos de Desembolso de los Recursos del PFTRG</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_Toc450149565 \h </w:instrText>
            </w:r>
            <w:r w:rsidR="0064412E" w:rsidRPr="005F77CC">
              <w:rPr>
                <w:noProof/>
                <w:webHidden/>
              </w:rPr>
            </w:r>
            <w:r w:rsidR="0064412E" w:rsidRPr="005F77CC">
              <w:rPr>
                <w:noProof/>
                <w:webHidden/>
              </w:rPr>
              <w:fldChar w:fldCharType="separate"/>
            </w:r>
            <w:r w:rsidR="00E34C9C">
              <w:rPr>
                <w:noProof/>
                <w:webHidden/>
              </w:rPr>
              <w:t>30</w:t>
            </w:r>
            <w:r w:rsidR="0064412E" w:rsidRPr="005F77CC">
              <w:rPr>
                <w:noProof/>
                <w:webHidden/>
              </w:rPr>
              <w:fldChar w:fldCharType="end"/>
            </w:r>
          </w:hyperlink>
        </w:p>
        <w:p w14:paraId="524DC1F8" w14:textId="77777777" w:rsidR="0064412E" w:rsidRPr="005F77CC" w:rsidRDefault="0092399C" w:rsidP="00944E93">
          <w:pPr>
            <w:pStyle w:val="TOC3"/>
            <w:rPr>
              <w:rFonts w:eastAsiaTheme="minorEastAsia"/>
              <w:noProof/>
            </w:rPr>
          </w:pPr>
          <w:hyperlink w:anchor="_Toc450149575" w:history="1">
            <w:r w:rsidR="0064412E" w:rsidRPr="005F77CC">
              <w:rPr>
                <w:rStyle w:val="Hyperlink"/>
                <w:rFonts w:ascii="Arial" w:hAnsi="Arial" w:cs="Arial"/>
                <w:noProof/>
              </w:rPr>
              <w:t>17.</w:t>
            </w:r>
            <w:r w:rsidR="008A21CD">
              <w:rPr>
                <w:rStyle w:val="Hyperlink"/>
                <w:rFonts w:ascii="Arial" w:hAnsi="Arial" w:cs="Arial"/>
                <w:noProof/>
              </w:rPr>
              <w:t xml:space="preserve">  </w:t>
            </w:r>
            <w:r w:rsidR="0064412E" w:rsidRPr="005F77CC">
              <w:rPr>
                <w:rStyle w:val="Hyperlink"/>
                <w:rFonts w:ascii="Arial" w:hAnsi="Arial" w:cs="Arial"/>
                <w:noProof/>
              </w:rPr>
              <w:t>Supervisión, Control e Informes</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_Toc450149575 \h </w:instrText>
            </w:r>
            <w:r w:rsidR="0064412E" w:rsidRPr="005F77CC">
              <w:rPr>
                <w:noProof/>
                <w:webHidden/>
              </w:rPr>
            </w:r>
            <w:r w:rsidR="0064412E" w:rsidRPr="005F77CC">
              <w:rPr>
                <w:noProof/>
                <w:webHidden/>
              </w:rPr>
              <w:fldChar w:fldCharType="separate"/>
            </w:r>
            <w:r w:rsidR="00E34C9C">
              <w:rPr>
                <w:noProof/>
                <w:webHidden/>
              </w:rPr>
              <w:t>34</w:t>
            </w:r>
            <w:r w:rsidR="0064412E" w:rsidRPr="005F77CC">
              <w:rPr>
                <w:noProof/>
                <w:webHidden/>
              </w:rPr>
              <w:fldChar w:fldCharType="end"/>
            </w:r>
          </w:hyperlink>
        </w:p>
        <w:p w14:paraId="0C1729B4" w14:textId="77777777" w:rsidR="0064412E" w:rsidRPr="005F77CC" w:rsidRDefault="0092399C" w:rsidP="00944E93">
          <w:pPr>
            <w:pStyle w:val="TOC3"/>
            <w:rPr>
              <w:rFonts w:eastAsiaTheme="minorEastAsia"/>
              <w:noProof/>
            </w:rPr>
          </w:pPr>
          <w:hyperlink w:anchor="_Toc450149576" w:history="1">
            <w:r w:rsidR="0064412E" w:rsidRPr="005F77CC">
              <w:rPr>
                <w:rStyle w:val="Hyperlink"/>
                <w:rFonts w:ascii="Arial" w:hAnsi="Arial" w:cs="Arial"/>
                <w:noProof/>
              </w:rPr>
              <w:t>18.</w:t>
            </w:r>
            <w:r w:rsidR="008A21CD">
              <w:rPr>
                <w:rStyle w:val="Hyperlink"/>
                <w:rFonts w:ascii="Arial" w:hAnsi="Arial" w:cs="Arial"/>
                <w:noProof/>
              </w:rPr>
              <w:t xml:space="preserve">  </w:t>
            </w:r>
            <w:r w:rsidR="0064412E" w:rsidRPr="005F77CC">
              <w:rPr>
                <w:rStyle w:val="Hyperlink"/>
                <w:rFonts w:ascii="Arial" w:hAnsi="Arial" w:cs="Arial"/>
                <w:noProof/>
              </w:rPr>
              <w:t>Auditorías</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_Toc450149576 \h </w:instrText>
            </w:r>
            <w:r w:rsidR="0064412E" w:rsidRPr="005F77CC">
              <w:rPr>
                <w:noProof/>
                <w:webHidden/>
              </w:rPr>
            </w:r>
            <w:r w:rsidR="0064412E" w:rsidRPr="005F77CC">
              <w:rPr>
                <w:noProof/>
                <w:webHidden/>
              </w:rPr>
              <w:fldChar w:fldCharType="separate"/>
            </w:r>
            <w:r w:rsidR="00E34C9C">
              <w:rPr>
                <w:noProof/>
                <w:webHidden/>
              </w:rPr>
              <w:t>36</w:t>
            </w:r>
            <w:r w:rsidR="0064412E" w:rsidRPr="005F77CC">
              <w:rPr>
                <w:noProof/>
                <w:webHidden/>
              </w:rPr>
              <w:fldChar w:fldCharType="end"/>
            </w:r>
          </w:hyperlink>
        </w:p>
        <w:p w14:paraId="6FA7935D" w14:textId="77777777" w:rsidR="0064412E" w:rsidRPr="005F77CC" w:rsidRDefault="0092399C" w:rsidP="00944E93">
          <w:pPr>
            <w:pStyle w:val="TOC3"/>
            <w:rPr>
              <w:rFonts w:eastAsiaTheme="minorEastAsia"/>
              <w:noProof/>
            </w:rPr>
          </w:pPr>
          <w:hyperlink w:anchor="_Toc450149577" w:history="1">
            <w:r w:rsidR="0064412E" w:rsidRPr="005F77CC">
              <w:rPr>
                <w:rStyle w:val="Hyperlink"/>
                <w:rFonts w:ascii="Arial" w:hAnsi="Arial" w:cs="Arial"/>
                <w:noProof/>
              </w:rPr>
              <w:t>19.</w:t>
            </w:r>
            <w:r w:rsidR="008A21CD">
              <w:rPr>
                <w:rStyle w:val="Hyperlink"/>
                <w:rFonts w:ascii="Arial" w:hAnsi="Arial" w:cs="Arial"/>
                <w:noProof/>
              </w:rPr>
              <w:t xml:space="preserve">  </w:t>
            </w:r>
            <w:r w:rsidR="0064412E" w:rsidRPr="005F77CC">
              <w:rPr>
                <w:rStyle w:val="Hyperlink"/>
                <w:rFonts w:ascii="Arial" w:hAnsi="Arial" w:cs="Arial"/>
                <w:noProof/>
              </w:rPr>
              <w:t>Estructura Operativa-Administrativa del PFTRG</w:t>
            </w:r>
            <w:r w:rsidR="0064412E" w:rsidRPr="005F77CC">
              <w:rPr>
                <w:noProof/>
                <w:webHidden/>
              </w:rPr>
              <w:tab/>
            </w:r>
            <w:r w:rsidR="0064412E" w:rsidRPr="005F77CC">
              <w:rPr>
                <w:noProof/>
                <w:webHidden/>
              </w:rPr>
              <w:fldChar w:fldCharType="begin"/>
            </w:r>
            <w:r w:rsidR="0064412E" w:rsidRPr="005F77CC">
              <w:rPr>
                <w:noProof/>
                <w:webHidden/>
              </w:rPr>
              <w:instrText xml:space="preserve"> PAGEREF _Toc450149577 \h </w:instrText>
            </w:r>
            <w:r w:rsidR="0064412E" w:rsidRPr="005F77CC">
              <w:rPr>
                <w:noProof/>
                <w:webHidden/>
              </w:rPr>
            </w:r>
            <w:r w:rsidR="0064412E" w:rsidRPr="005F77CC">
              <w:rPr>
                <w:noProof/>
                <w:webHidden/>
              </w:rPr>
              <w:fldChar w:fldCharType="separate"/>
            </w:r>
            <w:r w:rsidR="00E34C9C">
              <w:rPr>
                <w:noProof/>
                <w:webHidden/>
              </w:rPr>
              <w:t>37</w:t>
            </w:r>
            <w:r w:rsidR="0064412E" w:rsidRPr="005F77CC">
              <w:rPr>
                <w:noProof/>
                <w:webHidden/>
              </w:rPr>
              <w:fldChar w:fldCharType="end"/>
            </w:r>
          </w:hyperlink>
        </w:p>
        <w:p w14:paraId="0ACD40BD" w14:textId="77777777" w:rsidR="0064412E" w:rsidRPr="005F77CC" w:rsidRDefault="0092399C" w:rsidP="00944E93">
          <w:pPr>
            <w:pStyle w:val="TOC3"/>
            <w:rPr>
              <w:rFonts w:eastAsiaTheme="minorEastAsia"/>
              <w:noProof/>
            </w:rPr>
          </w:pPr>
          <w:hyperlink w:anchor="_Toc450149578" w:history="1">
            <w:r w:rsidR="0064412E" w:rsidRPr="005F77CC">
              <w:rPr>
                <w:rStyle w:val="Hyperlink"/>
                <w:rFonts w:ascii="Arial" w:hAnsi="Arial" w:cs="Arial"/>
                <w:noProof/>
              </w:rPr>
              <w:t>20.</w:t>
            </w:r>
            <w:r w:rsidR="008A21CD">
              <w:rPr>
                <w:rStyle w:val="Hyperlink"/>
                <w:rFonts w:ascii="Arial" w:hAnsi="Arial" w:cs="Arial"/>
                <w:noProof/>
              </w:rPr>
              <w:t xml:space="preserve">  </w:t>
            </w:r>
            <w:r w:rsidR="0064412E" w:rsidRPr="005F77CC">
              <w:rPr>
                <w:rStyle w:val="Hyperlink"/>
                <w:rFonts w:ascii="Arial" w:hAnsi="Arial" w:cs="Arial"/>
                <w:noProof/>
              </w:rPr>
              <w:t>Modificaciones del Reglamento</w:t>
            </w:r>
            <w:r w:rsidR="0064412E" w:rsidRPr="005F77CC">
              <w:rPr>
                <w:noProof/>
                <w:webHidden/>
              </w:rPr>
              <w:tab/>
            </w:r>
            <w:r w:rsidR="00F53E55">
              <w:rPr>
                <w:noProof/>
                <w:webHidden/>
              </w:rPr>
              <w:t>40</w:t>
            </w:r>
          </w:hyperlink>
        </w:p>
        <w:p w14:paraId="7F394023" w14:textId="77777777" w:rsidR="0064412E" w:rsidRPr="008A21CD" w:rsidRDefault="0092399C" w:rsidP="009F1604">
          <w:pPr>
            <w:pStyle w:val="TOC2"/>
            <w:tabs>
              <w:tab w:val="right" w:leader="dot" w:pos="9516"/>
            </w:tabs>
            <w:rPr>
              <w:rStyle w:val="Hyperlink"/>
              <w:b w:val="0"/>
              <w:bCs w:val="0"/>
              <w:noProof/>
              <w:color w:val="auto"/>
            </w:rPr>
          </w:pPr>
          <w:hyperlink w:anchor="_Toc450149579" w:history="1">
            <w:r w:rsidR="0064412E" w:rsidRPr="008A21CD">
              <w:rPr>
                <w:rStyle w:val="Hyperlink"/>
                <w:b w:val="0"/>
                <w:bCs w:val="0"/>
                <w:noProof/>
                <w:color w:val="auto"/>
              </w:rPr>
              <w:t>ANEXO A</w:t>
            </w:r>
            <w:r w:rsidR="0064412E" w:rsidRPr="008A21CD">
              <w:rPr>
                <w:rStyle w:val="Hyperlink"/>
                <w:b w:val="0"/>
                <w:bCs w:val="0"/>
                <w:noProof/>
                <w:webHidden/>
                <w:color w:val="auto"/>
              </w:rPr>
              <w:tab/>
            </w:r>
            <w:r w:rsidR="00F53E55" w:rsidRPr="008A21CD">
              <w:rPr>
                <w:rStyle w:val="Hyperlink"/>
                <w:b w:val="0"/>
                <w:bCs w:val="0"/>
                <w:noProof/>
                <w:webHidden/>
                <w:color w:val="auto"/>
              </w:rPr>
              <w:t>41</w:t>
            </w:r>
          </w:hyperlink>
        </w:p>
        <w:p w14:paraId="525E88BB" w14:textId="77777777" w:rsidR="0064412E" w:rsidRPr="008A21CD" w:rsidRDefault="0092399C" w:rsidP="009F1604">
          <w:pPr>
            <w:pStyle w:val="TOC2"/>
            <w:tabs>
              <w:tab w:val="right" w:leader="dot" w:pos="9516"/>
            </w:tabs>
            <w:rPr>
              <w:rStyle w:val="Hyperlink"/>
              <w:b w:val="0"/>
              <w:bCs w:val="0"/>
              <w:noProof/>
              <w:color w:val="auto"/>
              <w:u w:val="none"/>
            </w:rPr>
          </w:pPr>
          <w:hyperlink w:anchor="_Toc450149580" w:history="1">
            <w:r w:rsidR="0064412E" w:rsidRPr="008A21CD">
              <w:rPr>
                <w:rStyle w:val="Hyperlink"/>
                <w:b w:val="0"/>
                <w:bCs w:val="0"/>
                <w:noProof/>
                <w:color w:val="auto"/>
              </w:rPr>
              <w:t>ANEXO B</w:t>
            </w:r>
            <w:r w:rsidR="0064412E" w:rsidRPr="008A21CD">
              <w:rPr>
                <w:rStyle w:val="Hyperlink"/>
                <w:b w:val="0"/>
                <w:bCs w:val="0"/>
                <w:noProof/>
                <w:webHidden/>
                <w:color w:val="auto"/>
              </w:rPr>
              <w:tab/>
            </w:r>
          </w:hyperlink>
          <w:r w:rsidR="00F53E55" w:rsidRPr="008A21CD">
            <w:rPr>
              <w:rStyle w:val="Hyperlink"/>
              <w:b w:val="0"/>
              <w:bCs w:val="0"/>
              <w:noProof/>
              <w:color w:val="auto"/>
              <w:u w:val="none"/>
            </w:rPr>
            <w:t>42</w:t>
          </w:r>
        </w:p>
        <w:p w14:paraId="0FB05E41" w14:textId="77777777" w:rsidR="0064412E" w:rsidRPr="008A21CD" w:rsidRDefault="0092399C" w:rsidP="009F1604">
          <w:pPr>
            <w:pStyle w:val="TOC2"/>
            <w:tabs>
              <w:tab w:val="right" w:leader="dot" w:pos="9516"/>
            </w:tabs>
            <w:rPr>
              <w:rStyle w:val="Hyperlink"/>
              <w:b w:val="0"/>
              <w:bCs w:val="0"/>
              <w:noProof/>
              <w:color w:val="auto"/>
              <w:u w:val="none"/>
            </w:rPr>
          </w:pPr>
          <w:hyperlink w:anchor="_Toc450149581" w:history="1">
            <w:r w:rsidR="0064412E" w:rsidRPr="008A21CD">
              <w:rPr>
                <w:rStyle w:val="Hyperlink"/>
                <w:b w:val="0"/>
                <w:bCs w:val="0"/>
                <w:noProof/>
                <w:color w:val="auto"/>
                <w:u w:val="none"/>
              </w:rPr>
              <w:t>ANEXO C</w:t>
            </w:r>
            <w:r w:rsidR="0064412E" w:rsidRPr="008A21CD">
              <w:rPr>
                <w:rStyle w:val="Hyperlink"/>
                <w:b w:val="0"/>
                <w:bCs w:val="0"/>
                <w:noProof/>
                <w:webHidden/>
                <w:color w:val="auto"/>
                <w:u w:val="none"/>
              </w:rPr>
              <w:tab/>
            </w:r>
          </w:hyperlink>
          <w:r w:rsidR="00F53E55" w:rsidRPr="008A21CD">
            <w:rPr>
              <w:rStyle w:val="Hyperlink"/>
              <w:b w:val="0"/>
              <w:bCs w:val="0"/>
              <w:noProof/>
              <w:color w:val="auto"/>
              <w:u w:val="none"/>
            </w:rPr>
            <w:t>44</w:t>
          </w:r>
        </w:p>
        <w:p w14:paraId="7C1CA1CD" w14:textId="77777777" w:rsidR="0064412E" w:rsidRPr="008A21CD" w:rsidRDefault="0092399C" w:rsidP="009F1604">
          <w:pPr>
            <w:pStyle w:val="TOC2"/>
            <w:tabs>
              <w:tab w:val="right" w:leader="dot" w:pos="9516"/>
            </w:tabs>
            <w:rPr>
              <w:rStyle w:val="Hyperlink"/>
              <w:b w:val="0"/>
              <w:bCs w:val="0"/>
              <w:noProof/>
              <w:color w:val="auto"/>
              <w:u w:val="none"/>
            </w:rPr>
          </w:pPr>
          <w:hyperlink w:anchor="_Toc450149582" w:history="1">
            <w:r w:rsidR="0064412E" w:rsidRPr="008A21CD">
              <w:rPr>
                <w:rStyle w:val="Hyperlink"/>
                <w:b w:val="0"/>
                <w:bCs w:val="0"/>
                <w:noProof/>
                <w:color w:val="auto"/>
                <w:u w:val="none"/>
              </w:rPr>
              <w:t>ANEXO D</w:t>
            </w:r>
            <w:r w:rsidR="0064412E" w:rsidRPr="008A21CD">
              <w:rPr>
                <w:rStyle w:val="Hyperlink"/>
                <w:b w:val="0"/>
                <w:bCs w:val="0"/>
                <w:noProof/>
                <w:webHidden/>
                <w:color w:val="auto"/>
                <w:u w:val="none"/>
              </w:rPr>
              <w:tab/>
            </w:r>
            <w:r w:rsidR="0064412E" w:rsidRPr="008A21CD">
              <w:rPr>
                <w:rStyle w:val="Hyperlink"/>
                <w:b w:val="0"/>
                <w:bCs w:val="0"/>
                <w:noProof/>
                <w:webHidden/>
                <w:color w:val="auto"/>
                <w:u w:val="none"/>
              </w:rPr>
              <w:fldChar w:fldCharType="begin"/>
            </w:r>
            <w:r w:rsidR="0064412E" w:rsidRPr="008A21CD">
              <w:rPr>
                <w:rStyle w:val="Hyperlink"/>
                <w:b w:val="0"/>
                <w:bCs w:val="0"/>
                <w:noProof/>
                <w:webHidden/>
                <w:color w:val="auto"/>
                <w:u w:val="none"/>
              </w:rPr>
              <w:instrText xml:space="preserve"> PAGEREF _Toc450149582 \h </w:instrText>
            </w:r>
            <w:r w:rsidR="0064412E" w:rsidRPr="008A21CD">
              <w:rPr>
                <w:rStyle w:val="Hyperlink"/>
                <w:b w:val="0"/>
                <w:bCs w:val="0"/>
                <w:noProof/>
                <w:webHidden/>
                <w:color w:val="auto"/>
                <w:u w:val="none"/>
              </w:rPr>
            </w:r>
            <w:r w:rsidR="0064412E" w:rsidRPr="008A21CD">
              <w:rPr>
                <w:rStyle w:val="Hyperlink"/>
                <w:b w:val="0"/>
                <w:bCs w:val="0"/>
                <w:noProof/>
                <w:webHidden/>
                <w:color w:val="auto"/>
                <w:u w:val="none"/>
              </w:rPr>
              <w:fldChar w:fldCharType="separate"/>
            </w:r>
            <w:r w:rsidR="00E34C9C">
              <w:rPr>
                <w:rStyle w:val="Hyperlink"/>
                <w:b w:val="0"/>
                <w:bCs w:val="0"/>
                <w:noProof/>
                <w:webHidden/>
                <w:color w:val="auto"/>
                <w:u w:val="none"/>
              </w:rPr>
              <w:t>45</w:t>
            </w:r>
            <w:r w:rsidR="0064412E" w:rsidRPr="008A21CD">
              <w:rPr>
                <w:rStyle w:val="Hyperlink"/>
                <w:b w:val="0"/>
                <w:bCs w:val="0"/>
                <w:noProof/>
                <w:webHidden/>
                <w:color w:val="auto"/>
                <w:u w:val="none"/>
              </w:rPr>
              <w:fldChar w:fldCharType="end"/>
            </w:r>
          </w:hyperlink>
        </w:p>
        <w:p w14:paraId="71782C88" w14:textId="77777777" w:rsidR="0064412E" w:rsidRPr="008A21CD" w:rsidRDefault="0092399C" w:rsidP="009F1604">
          <w:pPr>
            <w:pStyle w:val="TOC2"/>
            <w:tabs>
              <w:tab w:val="right" w:leader="dot" w:pos="9516"/>
            </w:tabs>
            <w:rPr>
              <w:rStyle w:val="Hyperlink"/>
              <w:b w:val="0"/>
              <w:bCs w:val="0"/>
              <w:noProof/>
              <w:color w:val="auto"/>
              <w:u w:val="none"/>
            </w:rPr>
          </w:pPr>
          <w:hyperlink w:anchor="_Toc450149583" w:history="1">
            <w:r w:rsidR="0064412E" w:rsidRPr="008A21CD">
              <w:rPr>
                <w:rStyle w:val="Hyperlink"/>
                <w:b w:val="0"/>
                <w:bCs w:val="0"/>
                <w:noProof/>
                <w:color w:val="auto"/>
                <w:u w:val="none"/>
              </w:rPr>
              <w:t>ANEXO E</w:t>
            </w:r>
            <w:r w:rsidR="0064412E" w:rsidRPr="008A21CD">
              <w:rPr>
                <w:rStyle w:val="Hyperlink"/>
                <w:b w:val="0"/>
                <w:bCs w:val="0"/>
                <w:noProof/>
                <w:webHidden/>
                <w:color w:val="auto"/>
                <w:u w:val="none"/>
              </w:rPr>
              <w:tab/>
            </w:r>
            <w:r w:rsidR="0064412E" w:rsidRPr="008A21CD">
              <w:rPr>
                <w:rStyle w:val="Hyperlink"/>
                <w:b w:val="0"/>
                <w:bCs w:val="0"/>
                <w:noProof/>
                <w:webHidden/>
                <w:color w:val="auto"/>
                <w:u w:val="none"/>
              </w:rPr>
              <w:fldChar w:fldCharType="begin"/>
            </w:r>
            <w:r w:rsidR="0064412E" w:rsidRPr="008A21CD">
              <w:rPr>
                <w:rStyle w:val="Hyperlink"/>
                <w:b w:val="0"/>
                <w:bCs w:val="0"/>
                <w:noProof/>
                <w:webHidden/>
                <w:color w:val="auto"/>
                <w:u w:val="none"/>
              </w:rPr>
              <w:instrText xml:space="preserve"> PAGEREF _Toc450149583 \h </w:instrText>
            </w:r>
            <w:r w:rsidR="0064412E" w:rsidRPr="008A21CD">
              <w:rPr>
                <w:rStyle w:val="Hyperlink"/>
                <w:b w:val="0"/>
                <w:bCs w:val="0"/>
                <w:noProof/>
                <w:webHidden/>
                <w:color w:val="auto"/>
                <w:u w:val="none"/>
              </w:rPr>
            </w:r>
            <w:r w:rsidR="0064412E" w:rsidRPr="008A21CD">
              <w:rPr>
                <w:rStyle w:val="Hyperlink"/>
                <w:b w:val="0"/>
                <w:bCs w:val="0"/>
                <w:noProof/>
                <w:webHidden/>
                <w:color w:val="auto"/>
                <w:u w:val="none"/>
              </w:rPr>
              <w:fldChar w:fldCharType="separate"/>
            </w:r>
            <w:r w:rsidR="00E34C9C">
              <w:rPr>
                <w:rStyle w:val="Hyperlink"/>
                <w:b w:val="0"/>
                <w:bCs w:val="0"/>
                <w:noProof/>
                <w:webHidden/>
                <w:color w:val="auto"/>
                <w:u w:val="none"/>
              </w:rPr>
              <w:t>46</w:t>
            </w:r>
            <w:r w:rsidR="0064412E" w:rsidRPr="008A21CD">
              <w:rPr>
                <w:rStyle w:val="Hyperlink"/>
                <w:b w:val="0"/>
                <w:bCs w:val="0"/>
                <w:noProof/>
                <w:webHidden/>
                <w:color w:val="auto"/>
                <w:u w:val="none"/>
              </w:rPr>
              <w:fldChar w:fldCharType="end"/>
            </w:r>
          </w:hyperlink>
        </w:p>
        <w:p w14:paraId="2A514F60" w14:textId="77777777" w:rsidR="0064412E" w:rsidRPr="008A21CD" w:rsidRDefault="0064412E">
          <w:pPr>
            <w:pStyle w:val="TOC2"/>
            <w:tabs>
              <w:tab w:val="right" w:leader="dot" w:pos="9516"/>
            </w:tabs>
            <w:rPr>
              <w:rStyle w:val="Hyperlink"/>
              <w:b w:val="0"/>
              <w:bCs w:val="0"/>
              <w:noProof/>
              <w:color w:val="auto"/>
              <w:u w:val="none"/>
            </w:rPr>
          </w:pPr>
        </w:p>
        <w:p w14:paraId="0C5ED3FE" w14:textId="77777777" w:rsidR="00100F80" w:rsidRPr="00B07534" w:rsidRDefault="00100F80">
          <w:pPr>
            <w:rPr>
              <w:sz w:val="26"/>
              <w:szCs w:val="26"/>
            </w:rPr>
          </w:pPr>
          <w:r w:rsidRPr="00B07534">
            <w:rPr>
              <w:bCs/>
              <w:sz w:val="26"/>
              <w:szCs w:val="26"/>
              <w:lang w:val="es-ES"/>
            </w:rPr>
            <w:fldChar w:fldCharType="end"/>
          </w:r>
        </w:p>
      </w:sdtContent>
    </w:sdt>
    <w:p w14:paraId="2CF78101" w14:textId="77777777" w:rsidR="000C190A" w:rsidRPr="00B07534" w:rsidRDefault="000C190A" w:rsidP="00E45040">
      <w:pPr>
        <w:rPr>
          <w:rFonts w:ascii="Arial Black" w:hAnsi="Arial Black" w:cs="Arial"/>
          <w:sz w:val="26"/>
          <w:szCs w:val="26"/>
        </w:rPr>
      </w:pPr>
    </w:p>
    <w:p w14:paraId="2E1CD303" w14:textId="77777777" w:rsidR="00EA6DA7" w:rsidRDefault="00292D1F">
      <w:pPr>
        <w:rPr>
          <w:rFonts w:ascii="Arial Black" w:hAnsi="Arial Black" w:cs="Arial"/>
          <w:sz w:val="40"/>
          <w:szCs w:val="40"/>
        </w:rPr>
      </w:pPr>
      <w:r>
        <w:rPr>
          <w:rFonts w:ascii="Arial Black" w:hAnsi="Arial Black" w:cs="Arial"/>
          <w:sz w:val="40"/>
          <w:szCs w:val="40"/>
        </w:rPr>
        <w:br w:type="page"/>
      </w:r>
    </w:p>
    <w:p w14:paraId="22D7F727" w14:textId="77777777" w:rsidR="00230812" w:rsidRPr="00A9618E" w:rsidRDefault="00230812" w:rsidP="000A37CF">
      <w:pPr>
        <w:pStyle w:val="Heading3"/>
        <w:tabs>
          <w:tab w:val="clear" w:pos="1800"/>
          <w:tab w:val="num" w:pos="720"/>
        </w:tabs>
        <w:ind w:left="0"/>
        <w:rPr>
          <w:b/>
          <w:sz w:val="36"/>
        </w:rPr>
      </w:pPr>
      <w:bookmarkStart w:id="0" w:name="_Toc197782546"/>
      <w:bookmarkStart w:id="1" w:name="_Toc198025785"/>
      <w:bookmarkStart w:id="2" w:name="_Toc205191252"/>
      <w:bookmarkStart w:id="3" w:name="_Toc207082497"/>
      <w:bookmarkStart w:id="4" w:name="_Toc240434718"/>
      <w:bookmarkStart w:id="5" w:name="_Toc321244839"/>
      <w:bookmarkStart w:id="6" w:name="_Toc450149547"/>
      <w:r w:rsidRPr="00A9618E">
        <w:rPr>
          <w:b/>
          <w:sz w:val="36"/>
        </w:rPr>
        <w:lastRenderedPageBreak/>
        <w:t>Objetivo</w:t>
      </w:r>
      <w:bookmarkEnd w:id="0"/>
      <w:bookmarkEnd w:id="1"/>
      <w:bookmarkEnd w:id="2"/>
      <w:bookmarkEnd w:id="3"/>
      <w:bookmarkEnd w:id="4"/>
      <w:bookmarkEnd w:id="5"/>
      <w:bookmarkEnd w:id="6"/>
    </w:p>
    <w:p w14:paraId="52315D92" w14:textId="77777777" w:rsidR="00954818" w:rsidRPr="00C92720" w:rsidRDefault="00954818" w:rsidP="00954818">
      <w:pPr>
        <w:widowControl w:val="0"/>
        <w:jc w:val="both"/>
        <w:rPr>
          <w:rFonts w:ascii="Arial" w:hAnsi="Arial" w:cs="Arial"/>
          <w:szCs w:val="24"/>
        </w:rPr>
      </w:pPr>
      <w:r w:rsidRPr="00C92720">
        <w:rPr>
          <w:rFonts w:ascii="Arial" w:hAnsi="Arial" w:cs="Arial"/>
          <w:szCs w:val="24"/>
        </w:rPr>
        <w:t xml:space="preserve"> </w:t>
      </w:r>
    </w:p>
    <w:p w14:paraId="4ADF920A" w14:textId="77777777" w:rsidR="00954818" w:rsidRPr="00EA6DA7" w:rsidRDefault="00954818" w:rsidP="00743CAA">
      <w:pPr>
        <w:pStyle w:val="Paragraph"/>
        <w:ind w:left="720" w:hanging="720"/>
        <w:outlineLvl w:val="9"/>
        <w:rPr>
          <w:rFonts w:ascii="Arial" w:hAnsi="Arial" w:cs="Arial"/>
          <w:szCs w:val="24"/>
          <w:lang w:val="es-MX"/>
        </w:rPr>
      </w:pPr>
      <w:bookmarkStart w:id="7" w:name="_Toc321244840"/>
      <w:r w:rsidRPr="00F15EAB">
        <w:rPr>
          <w:rFonts w:ascii="Arial" w:hAnsi="Arial" w:cs="Arial"/>
          <w:lang w:val="es-MX"/>
        </w:rPr>
        <w:t>Este Reglamento establece los términos y condiciones que normarán la ejecución del</w:t>
      </w:r>
      <w:r w:rsidR="00E0439F" w:rsidRPr="00F15EAB">
        <w:rPr>
          <w:rFonts w:ascii="Arial" w:hAnsi="Arial" w:cs="Arial"/>
          <w:lang w:val="es-MX"/>
        </w:rPr>
        <w:t xml:space="preserve"> </w:t>
      </w:r>
      <w:r w:rsidR="00B938B3">
        <w:rPr>
          <w:rFonts w:ascii="Arial" w:hAnsi="Arial" w:cs="Arial"/>
          <w:lang w:val="es-MX"/>
        </w:rPr>
        <w:t>“</w:t>
      </w:r>
      <w:r w:rsidR="00CF2ABE" w:rsidRPr="00165AE4">
        <w:rPr>
          <w:rFonts w:ascii="Arial" w:hAnsi="Arial" w:cs="Arial"/>
        </w:rPr>
        <w:t>Programa de Financiamiento y Transferencia de Riesgos para Geotermia</w:t>
      </w:r>
      <w:r w:rsidR="00B938B3">
        <w:rPr>
          <w:rFonts w:ascii="Arial" w:hAnsi="Arial" w:cs="Arial"/>
        </w:rPr>
        <w:t>”</w:t>
      </w:r>
      <w:r w:rsidR="00CF2ABE" w:rsidRPr="00165AE4">
        <w:rPr>
          <w:rFonts w:ascii="Arial" w:hAnsi="Arial" w:cs="Arial"/>
        </w:rPr>
        <w:t xml:space="preserve"> </w:t>
      </w:r>
      <w:r w:rsidR="00CF2ABE">
        <w:rPr>
          <w:rFonts w:ascii="Arial" w:hAnsi="Arial" w:cs="Arial"/>
        </w:rPr>
        <w:t>(</w:t>
      </w:r>
      <w:r w:rsidR="00743CAA" w:rsidRPr="00F15EAB">
        <w:rPr>
          <w:rFonts w:ascii="Arial" w:hAnsi="Arial" w:cs="Arial"/>
          <w:lang w:val="es-MX"/>
        </w:rPr>
        <w:t>PFTRG</w:t>
      </w:r>
      <w:r w:rsidR="00CF2ABE">
        <w:rPr>
          <w:rFonts w:ascii="Arial" w:hAnsi="Arial" w:cs="Arial"/>
          <w:lang w:val="es-MX"/>
        </w:rPr>
        <w:t>)</w:t>
      </w:r>
      <w:r w:rsidRPr="00F15EAB">
        <w:rPr>
          <w:rFonts w:ascii="Arial" w:hAnsi="Arial" w:cs="Arial"/>
          <w:lang w:val="es-MX"/>
        </w:rPr>
        <w:t xml:space="preserve">, </w:t>
      </w:r>
      <w:r w:rsidR="00B938B3">
        <w:rPr>
          <w:rFonts w:ascii="Arial" w:hAnsi="Arial" w:cs="Arial"/>
          <w:lang w:val="es-MX"/>
        </w:rPr>
        <w:t>bajo</w:t>
      </w:r>
      <w:r w:rsidRPr="00F15EAB">
        <w:rPr>
          <w:rFonts w:ascii="Arial" w:hAnsi="Arial" w:cs="Arial"/>
          <w:lang w:val="es-MX"/>
        </w:rPr>
        <w:t xml:space="preserve"> </w:t>
      </w:r>
      <w:r w:rsidR="00743CAA" w:rsidRPr="00F15EAB">
        <w:rPr>
          <w:rFonts w:ascii="Arial" w:hAnsi="Arial" w:cs="Arial"/>
          <w:lang w:val="es-MX"/>
        </w:rPr>
        <w:t xml:space="preserve">los </w:t>
      </w:r>
      <w:r w:rsidRPr="00F15EAB">
        <w:rPr>
          <w:rFonts w:ascii="Arial" w:hAnsi="Arial" w:cs="Arial"/>
          <w:lang w:val="es-MX"/>
        </w:rPr>
        <w:t>Contrato</w:t>
      </w:r>
      <w:r w:rsidR="00A16635">
        <w:rPr>
          <w:rFonts w:ascii="Arial" w:hAnsi="Arial" w:cs="Arial"/>
          <w:lang w:val="es-MX"/>
        </w:rPr>
        <w:t>s</w:t>
      </w:r>
      <w:r w:rsidRPr="00F15EAB">
        <w:rPr>
          <w:rFonts w:ascii="Arial" w:hAnsi="Arial" w:cs="Arial"/>
          <w:lang w:val="es-MX"/>
        </w:rPr>
        <w:t xml:space="preserve"> de</w:t>
      </w:r>
      <w:r w:rsidR="00743CAA" w:rsidRPr="00F15EAB">
        <w:rPr>
          <w:rFonts w:ascii="Arial" w:hAnsi="Arial" w:cs="Arial"/>
          <w:lang w:val="es-MX"/>
        </w:rPr>
        <w:t xml:space="preserve"> </w:t>
      </w:r>
      <w:r w:rsidR="00743CAA" w:rsidRPr="00F15EAB">
        <w:rPr>
          <w:rFonts w:ascii="Arial" w:hAnsi="Arial" w:cs="Arial"/>
          <w:szCs w:val="24"/>
          <w:lang w:val="es-MX"/>
        </w:rPr>
        <w:t>Préstamo No.3178/OC-ME y 3179/TC-ME, Cooperación Técnica No Reembolsable No. GRT-TC-14423-ME y el Convenio de Financiamiento No Reembolsable con Recuperación Contingente No. GRT/TC-14424-ME,</w:t>
      </w:r>
      <w:r w:rsidRPr="001407EC">
        <w:rPr>
          <w:rFonts w:ascii="Arial" w:hAnsi="Arial" w:cs="Arial"/>
          <w:lang w:val="es-MX"/>
        </w:rPr>
        <w:t xml:space="preserve"> celebrado entre Nacional Financiera</w:t>
      </w:r>
      <w:r w:rsidR="006012FF">
        <w:rPr>
          <w:rFonts w:ascii="Arial" w:hAnsi="Arial" w:cs="Arial"/>
          <w:lang w:val="es-MX"/>
        </w:rPr>
        <w:t xml:space="preserve"> (NAFIN)</w:t>
      </w:r>
      <w:r w:rsidRPr="001407EC">
        <w:rPr>
          <w:rFonts w:ascii="Arial" w:hAnsi="Arial" w:cs="Arial"/>
          <w:lang w:val="es-MX"/>
        </w:rPr>
        <w:t>, S</w:t>
      </w:r>
      <w:r w:rsidR="00435CF0" w:rsidRPr="001407EC">
        <w:rPr>
          <w:rFonts w:ascii="Arial" w:hAnsi="Arial" w:cs="Arial"/>
          <w:lang w:val="es-MX"/>
        </w:rPr>
        <w:t>ociedad Nacional de Crédito</w:t>
      </w:r>
      <w:r w:rsidR="00A16635">
        <w:rPr>
          <w:rFonts w:ascii="Arial" w:hAnsi="Arial" w:cs="Arial"/>
          <w:lang w:val="es-MX"/>
        </w:rPr>
        <w:t>,</w:t>
      </w:r>
      <w:r w:rsidRPr="001407EC">
        <w:rPr>
          <w:rFonts w:ascii="Arial" w:hAnsi="Arial" w:cs="Arial"/>
          <w:lang w:val="es-MX"/>
        </w:rPr>
        <w:t xml:space="preserve"> Institución de Banca de Desarrollo</w:t>
      </w:r>
      <w:r w:rsidR="00A16635">
        <w:rPr>
          <w:rFonts w:ascii="Arial" w:hAnsi="Arial" w:cs="Arial"/>
          <w:lang w:val="es-MX"/>
        </w:rPr>
        <w:t>,</w:t>
      </w:r>
      <w:r w:rsidRPr="001407EC">
        <w:rPr>
          <w:rFonts w:ascii="Arial" w:hAnsi="Arial" w:cs="Arial"/>
          <w:lang w:val="es-MX"/>
        </w:rPr>
        <w:t xml:space="preserve"> como prestatario y ejecutor, y el Banco Interamericano de Desarrol</w:t>
      </w:r>
      <w:r w:rsidRPr="00E44C41">
        <w:rPr>
          <w:rFonts w:ascii="Arial" w:hAnsi="Arial" w:cs="Arial"/>
          <w:lang w:val="es-MX"/>
        </w:rPr>
        <w:t>lo</w:t>
      </w:r>
      <w:r w:rsidR="006012FF">
        <w:rPr>
          <w:rFonts w:ascii="Arial" w:hAnsi="Arial" w:cs="Arial"/>
          <w:lang w:val="es-MX"/>
        </w:rPr>
        <w:t xml:space="preserve"> (BID o el Banco)</w:t>
      </w:r>
      <w:r w:rsidRPr="00E44C41">
        <w:rPr>
          <w:rFonts w:ascii="Arial" w:hAnsi="Arial" w:cs="Arial"/>
          <w:lang w:val="es-MX"/>
        </w:rPr>
        <w:t>.</w:t>
      </w:r>
      <w:bookmarkEnd w:id="7"/>
    </w:p>
    <w:p w14:paraId="7DF267F7" w14:textId="77777777" w:rsidR="00230812" w:rsidRDefault="00230812" w:rsidP="00C92720">
      <w:pPr>
        <w:pStyle w:val="Paragraph"/>
        <w:ind w:left="720" w:hanging="720"/>
        <w:outlineLvl w:val="9"/>
        <w:rPr>
          <w:rFonts w:ascii="Arial" w:hAnsi="Arial" w:cs="Arial"/>
          <w:szCs w:val="24"/>
          <w:lang w:val="es-MX"/>
        </w:rPr>
      </w:pPr>
      <w:bookmarkStart w:id="8" w:name="_Toc321244841"/>
      <w:r w:rsidRPr="00B14A67">
        <w:rPr>
          <w:rFonts w:ascii="Arial" w:hAnsi="Arial" w:cs="Arial"/>
          <w:lang w:val="es-MX"/>
        </w:rPr>
        <w:t>Este</w:t>
      </w:r>
      <w:r w:rsidRPr="004248CB">
        <w:rPr>
          <w:rFonts w:ascii="Arial" w:hAnsi="Arial" w:cs="Arial"/>
          <w:szCs w:val="24"/>
          <w:lang w:val="es-MX"/>
        </w:rPr>
        <w:t xml:space="preserve"> reglamento tendrá vigencia para todas las actividades realizadas bajo el amparo de</w:t>
      </w:r>
      <w:r w:rsidR="00743CAA" w:rsidRPr="00F15EAB">
        <w:rPr>
          <w:rFonts w:ascii="Arial" w:hAnsi="Arial" w:cs="Arial"/>
          <w:szCs w:val="24"/>
          <w:lang w:val="es-MX"/>
        </w:rPr>
        <w:t xml:space="preserve"> </w:t>
      </w:r>
      <w:r w:rsidRPr="00F15EAB">
        <w:rPr>
          <w:rFonts w:ascii="Arial" w:hAnsi="Arial" w:cs="Arial"/>
          <w:szCs w:val="24"/>
          <w:lang w:val="es-MX"/>
        </w:rPr>
        <w:t>l</w:t>
      </w:r>
      <w:r w:rsidR="00743CAA" w:rsidRPr="00F15EAB">
        <w:rPr>
          <w:rFonts w:ascii="Arial" w:hAnsi="Arial" w:cs="Arial"/>
          <w:szCs w:val="24"/>
          <w:lang w:val="es-MX"/>
        </w:rPr>
        <w:t>os</w:t>
      </w:r>
      <w:r w:rsidRPr="00F15EAB">
        <w:rPr>
          <w:rFonts w:ascii="Arial" w:hAnsi="Arial" w:cs="Arial"/>
          <w:szCs w:val="24"/>
          <w:lang w:val="es-MX"/>
        </w:rPr>
        <w:t xml:space="preserve"> </w:t>
      </w:r>
      <w:r w:rsidR="00533445" w:rsidRPr="00F15EAB">
        <w:rPr>
          <w:rFonts w:ascii="Arial" w:hAnsi="Arial" w:cs="Arial"/>
          <w:szCs w:val="24"/>
          <w:lang w:val="es-MX"/>
        </w:rPr>
        <w:t>préstamo</w:t>
      </w:r>
      <w:r w:rsidR="00743CAA" w:rsidRPr="00F15EAB">
        <w:rPr>
          <w:rFonts w:ascii="Arial" w:hAnsi="Arial" w:cs="Arial"/>
          <w:szCs w:val="24"/>
          <w:lang w:val="es-MX"/>
        </w:rPr>
        <w:t>s y cooperaciones técnicas</w:t>
      </w:r>
      <w:r w:rsidRPr="00F15EAB">
        <w:rPr>
          <w:rFonts w:ascii="Arial" w:hAnsi="Arial" w:cs="Arial"/>
          <w:szCs w:val="24"/>
          <w:lang w:val="es-MX"/>
        </w:rPr>
        <w:t xml:space="preserve">. Las partes podrán acordar modificaciones al mismo siempre que no contradigan </w:t>
      </w:r>
      <w:r w:rsidR="00743CAA" w:rsidRPr="00F15EAB">
        <w:rPr>
          <w:rFonts w:ascii="Arial" w:hAnsi="Arial" w:cs="Arial"/>
          <w:szCs w:val="24"/>
          <w:lang w:val="es-MX"/>
        </w:rPr>
        <w:t xml:space="preserve">los </w:t>
      </w:r>
      <w:r w:rsidRPr="00F15EAB">
        <w:rPr>
          <w:rFonts w:ascii="Arial" w:hAnsi="Arial" w:cs="Arial"/>
          <w:szCs w:val="24"/>
          <w:lang w:val="es-MX"/>
        </w:rPr>
        <w:t>Contrato</w:t>
      </w:r>
      <w:r w:rsidR="00743CAA" w:rsidRPr="00F15EAB">
        <w:rPr>
          <w:rFonts w:ascii="Arial" w:hAnsi="Arial" w:cs="Arial"/>
          <w:szCs w:val="24"/>
          <w:lang w:val="es-MX"/>
        </w:rPr>
        <w:t>s</w:t>
      </w:r>
      <w:r w:rsidRPr="00F15EAB">
        <w:rPr>
          <w:rFonts w:ascii="Arial" w:hAnsi="Arial" w:cs="Arial"/>
          <w:szCs w:val="24"/>
          <w:lang w:val="es-MX"/>
        </w:rPr>
        <w:t xml:space="preserve"> vigente</w:t>
      </w:r>
      <w:r w:rsidR="00444B1F" w:rsidRPr="00F15EAB">
        <w:rPr>
          <w:rFonts w:ascii="Arial" w:hAnsi="Arial" w:cs="Arial"/>
          <w:szCs w:val="24"/>
          <w:lang w:val="es-MX"/>
        </w:rPr>
        <w:t>s</w:t>
      </w:r>
      <w:r w:rsidRPr="00F15EAB">
        <w:rPr>
          <w:rFonts w:ascii="Arial" w:hAnsi="Arial" w:cs="Arial"/>
          <w:szCs w:val="24"/>
          <w:lang w:val="es-MX"/>
        </w:rPr>
        <w:t xml:space="preserve"> o las leyes o políticas exigibles a cada una de las instituciones.</w:t>
      </w:r>
      <w:bookmarkEnd w:id="8"/>
      <w:r w:rsidR="00E0439F" w:rsidRPr="00F15EAB">
        <w:rPr>
          <w:rFonts w:ascii="Arial" w:hAnsi="Arial" w:cs="Arial"/>
          <w:szCs w:val="24"/>
          <w:lang w:val="es-MX"/>
        </w:rPr>
        <w:t xml:space="preserve"> </w:t>
      </w:r>
    </w:p>
    <w:p w14:paraId="578B62DE" w14:textId="77777777" w:rsidR="00435CF0" w:rsidRDefault="00230812" w:rsidP="00C92720">
      <w:pPr>
        <w:pStyle w:val="Paragraph"/>
        <w:ind w:left="720" w:hanging="720"/>
        <w:outlineLvl w:val="9"/>
        <w:rPr>
          <w:rFonts w:ascii="Arial" w:hAnsi="Arial" w:cs="Arial"/>
          <w:szCs w:val="24"/>
          <w:lang w:val="es-MX"/>
        </w:rPr>
      </w:pPr>
      <w:bookmarkStart w:id="9" w:name="_Toc321244842"/>
      <w:r w:rsidRPr="00CD03B9">
        <w:rPr>
          <w:rFonts w:ascii="Arial" w:hAnsi="Arial" w:cs="Arial"/>
          <w:lang w:val="es-MX"/>
        </w:rPr>
        <w:t>Esta</w:t>
      </w:r>
      <w:r w:rsidRPr="00CD03B9">
        <w:rPr>
          <w:rFonts w:ascii="Arial" w:hAnsi="Arial" w:cs="Arial"/>
          <w:szCs w:val="24"/>
          <w:lang w:val="es-MX"/>
        </w:rPr>
        <w:t xml:space="preserve"> versión es </w:t>
      </w:r>
      <w:r w:rsidR="00B938B3">
        <w:rPr>
          <w:rFonts w:ascii="Arial" w:hAnsi="Arial" w:cs="Arial"/>
          <w:szCs w:val="24"/>
          <w:lang w:val="es-MX"/>
        </w:rPr>
        <w:t xml:space="preserve">una </w:t>
      </w:r>
      <w:r w:rsidR="006012FF">
        <w:rPr>
          <w:rFonts w:ascii="Arial" w:hAnsi="Arial" w:cs="Arial"/>
          <w:szCs w:val="24"/>
          <w:lang w:val="es-MX"/>
        </w:rPr>
        <w:t xml:space="preserve">modificación </w:t>
      </w:r>
      <w:r w:rsidR="00B938B3">
        <w:rPr>
          <w:rFonts w:ascii="Arial" w:hAnsi="Arial" w:cs="Arial"/>
          <w:szCs w:val="24"/>
          <w:lang w:val="es-MX"/>
        </w:rPr>
        <w:t xml:space="preserve">a la original y es vigente </w:t>
      </w:r>
      <w:r w:rsidRPr="00CD03B9">
        <w:rPr>
          <w:rFonts w:ascii="Arial" w:hAnsi="Arial" w:cs="Arial"/>
          <w:szCs w:val="24"/>
          <w:lang w:val="es-MX"/>
        </w:rPr>
        <w:t xml:space="preserve">a partir de la fecha </w:t>
      </w:r>
      <w:r w:rsidR="008C309D" w:rsidRPr="00CD03B9">
        <w:rPr>
          <w:rFonts w:ascii="Arial" w:hAnsi="Arial" w:cs="Arial"/>
          <w:szCs w:val="24"/>
          <w:lang w:val="es-MX"/>
        </w:rPr>
        <w:t>de cumplimiento de las condiciones especiales previas al primer desembolso.</w:t>
      </w:r>
      <w:bookmarkEnd w:id="9"/>
      <w:r w:rsidR="008C309D" w:rsidRPr="00CD03B9">
        <w:rPr>
          <w:rFonts w:ascii="Arial" w:hAnsi="Arial" w:cs="Arial"/>
          <w:szCs w:val="24"/>
          <w:lang w:val="es-MX"/>
        </w:rPr>
        <w:t xml:space="preserve"> </w:t>
      </w:r>
    </w:p>
    <w:p w14:paraId="195CCD78" w14:textId="77777777" w:rsidR="00230812" w:rsidRPr="00A9618E" w:rsidRDefault="00230812" w:rsidP="001E2FDB">
      <w:pPr>
        <w:pStyle w:val="Heading3"/>
        <w:tabs>
          <w:tab w:val="clear" w:pos="1800"/>
          <w:tab w:val="num" w:pos="720"/>
        </w:tabs>
        <w:spacing w:after="240"/>
        <w:ind w:left="0"/>
        <w:rPr>
          <w:b/>
          <w:sz w:val="36"/>
        </w:rPr>
      </w:pPr>
      <w:bookmarkStart w:id="10" w:name="_Toc205191253"/>
      <w:bookmarkStart w:id="11" w:name="_Toc207082498"/>
      <w:bookmarkStart w:id="12" w:name="_Toc240434719"/>
      <w:bookmarkStart w:id="13" w:name="_Toc321244843"/>
      <w:bookmarkStart w:id="14" w:name="_Toc450149548"/>
      <w:r w:rsidRPr="00A9618E">
        <w:rPr>
          <w:b/>
          <w:sz w:val="36"/>
        </w:rPr>
        <w:t>Definiciones</w:t>
      </w:r>
      <w:bookmarkEnd w:id="10"/>
      <w:bookmarkEnd w:id="11"/>
      <w:bookmarkEnd w:id="12"/>
      <w:bookmarkEnd w:id="13"/>
      <w:bookmarkEnd w:id="14"/>
    </w:p>
    <w:p w14:paraId="184340E0" w14:textId="77777777" w:rsidR="00230812" w:rsidRPr="00C92720" w:rsidRDefault="00230812" w:rsidP="001E2FDB">
      <w:pPr>
        <w:pStyle w:val="Paragraph"/>
        <w:numPr>
          <w:ilvl w:val="0"/>
          <w:numId w:val="36"/>
        </w:numPr>
        <w:ind w:left="706" w:hanging="706"/>
        <w:outlineLvl w:val="9"/>
        <w:rPr>
          <w:rFonts w:ascii="Arial" w:hAnsi="Arial" w:cs="Arial"/>
          <w:szCs w:val="24"/>
          <w:lang w:val="es-MX"/>
        </w:rPr>
      </w:pPr>
      <w:bookmarkStart w:id="15" w:name="_Toc321244844"/>
      <w:r w:rsidRPr="00C92720">
        <w:rPr>
          <w:rFonts w:ascii="Arial" w:hAnsi="Arial" w:cs="Arial"/>
          <w:lang w:val="es-MX"/>
        </w:rPr>
        <w:t>Para</w:t>
      </w:r>
      <w:r w:rsidRPr="00C92720">
        <w:rPr>
          <w:rFonts w:ascii="Arial" w:hAnsi="Arial" w:cs="Arial"/>
          <w:szCs w:val="24"/>
          <w:lang w:val="es-MX"/>
        </w:rPr>
        <w:t xml:space="preserve"> fines del presente Reglamento, se establecen las siguientes definiciones:</w:t>
      </w:r>
      <w:bookmarkEnd w:id="15"/>
    </w:p>
    <w:tbl>
      <w:tblPr>
        <w:tblStyle w:val="TableGrid"/>
        <w:tblW w:w="490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567"/>
      </w:tblGrid>
      <w:tr w:rsidR="001033A2" w:rsidRPr="001F1E82" w14:paraId="694CC711" w14:textId="77777777" w:rsidTr="001A3B6D">
        <w:tc>
          <w:tcPr>
            <w:tcW w:w="1037" w:type="pct"/>
          </w:tcPr>
          <w:p w14:paraId="671C8167" w14:textId="77777777" w:rsidR="001033A2" w:rsidRPr="00CD03B9" w:rsidRDefault="001033A2" w:rsidP="001E2FDB">
            <w:pPr>
              <w:spacing w:beforeLines="60" w:before="144" w:after="60"/>
              <w:rPr>
                <w:rFonts w:ascii="Arial" w:hAnsi="Arial" w:cs="Arial"/>
              </w:rPr>
            </w:pPr>
            <w:r w:rsidRPr="00CD03B9">
              <w:rPr>
                <w:rFonts w:ascii="Arial" w:hAnsi="Arial" w:cs="Arial"/>
              </w:rPr>
              <w:t>Anticipo de Fondos.</w:t>
            </w:r>
          </w:p>
        </w:tc>
        <w:tc>
          <w:tcPr>
            <w:tcW w:w="3963" w:type="pct"/>
          </w:tcPr>
          <w:p w14:paraId="4B9D36D1" w14:textId="77777777" w:rsidR="001033A2" w:rsidRPr="00CD03B9" w:rsidRDefault="001033A2" w:rsidP="001E2FDB">
            <w:pPr>
              <w:spacing w:beforeLines="60" w:before="144" w:after="60"/>
              <w:jc w:val="both"/>
              <w:rPr>
                <w:rFonts w:ascii="Arial" w:hAnsi="Arial" w:cs="Arial"/>
              </w:rPr>
            </w:pPr>
            <w:r w:rsidRPr="001407EC">
              <w:rPr>
                <w:rFonts w:ascii="Arial" w:hAnsi="Arial" w:cs="Arial"/>
              </w:rPr>
              <w:t>El monto de recursos adelantados por el Banco a NAFIN con cargo a los recursos del Financiamiento para atender gastos elegibles del Proyecto.</w:t>
            </w:r>
          </w:p>
        </w:tc>
      </w:tr>
      <w:tr w:rsidR="00444B1F" w:rsidRPr="001F1E82" w14:paraId="681F0520" w14:textId="77777777" w:rsidTr="001A3B6D">
        <w:tc>
          <w:tcPr>
            <w:tcW w:w="1037" w:type="pct"/>
          </w:tcPr>
          <w:p w14:paraId="417DBA88" w14:textId="77777777" w:rsidR="00444B1F" w:rsidRPr="00CD03B9" w:rsidRDefault="00444B1F" w:rsidP="001E2FDB">
            <w:pPr>
              <w:spacing w:beforeLines="60" w:before="144" w:after="60"/>
              <w:rPr>
                <w:rFonts w:ascii="Arial" w:hAnsi="Arial" w:cs="Arial"/>
              </w:rPr>
            </w:pPr>
            <w:r w:rsidRPr="00CD03B9">
              <w:rPr>
                <w:rFonts w:ascii="Arial" w:hAnsi="Arial" w:cs="Arial"/>
              </w:rPr>
              <w:t>Asegurado</w:t>
            </w:r>
            <w:r w:rsidR="00A16635">
              <w:rPr>
                <w:rFonts w:ascii="Arial" w:hAnsi="Arial" w:cs="Arial"/>
              </w:rPr>
              <w:t>.</w:t>
            </w:r>
          </w:p>
        </w:tc>
        <w:tc>
          <w:tcPr>
            <w:tcW w:w="3963" w:type="pct"/>
          </w:tcPr>
          <w:p w14:paraId="0F69C7B4" w14:textId="77777777" w:rsidR="00444B1F" w:rsidRPr="00CD03B9" w:rsidRDefault="00444B1F" w:rsidP="001E2FDB">
            <w:pPr>
              <w:spacing w:beforeLines="60" w:before="144" w:after="60"/>
              <w:jc w:val="both"/>
              <w:rPr>
                <w:rFonts w:ascii="Arial" w:hAnsi="Arial" w:cs="Arial"/>
              </w:rPr>
            </w:pPr>
            <w:r w:rsidRPr="00CD03B9">
              <w:rPr>
                <w:rFonts w:ascii="Arial" w:hAnsi="Arial" w:cs="Arial"/>
              </w:rPr>
              <w:t>Desarrollador de proyectos de energía geotérmica que contrata un crédito exploratorio asegurado utilizando el Programa</w:t>
            </w:r>
            <w:r w:rsidR="00274F0B">
              <w:rPr>
                <w:rFonts w:ascii="Arial" w:hAnsi="Arial" w:cs="Arial"/>
              </w:rPr>
              <w:t>.</w:t>
            </w:r>
          </w:p>
        </w:tc>
      </w:tr>
      <w:tr w:rsidR="00444B1F" w:rsidRPr="001F1E82" w14:paraId="0C2AF6D4" w14:textId="77777777" w:rsidTr="001A3B6D">
        <w:tc>
          <w:tcPr>
            <w:tcW w:w="1037" w:type="pct"/>
          </w:tcPr>
          <w:p w14:paraId="09149A6F" w14:textId="77777777" w:rsidR="00444B1F" w:rsidRPr="00CD03B9" w:rsidRDefault="00444B1F" w:rsidP="001E2FDB">
            <w:pPr>
              <w:spacing w:beforeLines="60" w:before="144" w:after="60"/>
              <w:rPr>
                <w:rFonts w:ascii="Arial" w:hAnsi="Arial" w:cs="Arial"/>
              </w:rPr>
            </w:pPr>
            <w:r w:rsidRPr="00CD03B9">
              <w:rPr>
                <w:rFonts w:ascii="Arial" w:hAnsi="Arial" w:cs="Arial"/>
              </w:rPr>
              <w:t>Asegurador</w:t>
            </w:r>
            <w:r w:rsidR="00A16635">
              <w:rPr>
                <w:rFonts w:ascii="Arial" w:hAnsi="Arial" w:cs="Arial"/>
              </w:rPr>
              <w:t>.</w:t>
            </w:r>
          </w:p>
        </w:tc>
        <w:tc>
          <w:tcPr>
            <w:tcW w:w="3963" w:type="pct"/>
          </w:tcPr>
          <w:p w14:paraId="767546D3" w14:textId="77777777" w:rsidR="00444B1F" w:rsidRPr="00CD03B9" w:rsidRDefault="00444B1F" w:rsidP="001E2FDB">
            <w:pPr>
              <w:spacing w:beforeLines="60" w:before="144" w:after="60"/>
              <w:jc w:val="both"/>
              <w:rPr>
                <w:rFonts w:ascii="Arial" w:hAnsi="Arial" w:cs="Arial"/>
              </w:rPr>
            </w:pPr>
            <w:r w:rsidRPr="00CD03B9">
              <w:rPr>
                <w:rFonts w:ascii="Arial" w:hAnsi="Arial" w:cs="Arial"/>
              </w:rPr>
              <w:t>Compañía de seguros que participa en el programa mediante el ofrecimiento de un seguro sobre el recurso geotérmico que garantiza las obligaciones de pago de los créditos del programa</w:t>
            </w:r>
          </w:p>
        </w:tc>
      </w:tr>
      <w:tr w:rsidR="00444B1F" w:rsidRPr="001F1E82" w14:paraId="3632E228" w14:textId="77777777" w:rsidTr="001A3B6D">
        <w:tc>
          <w:tcPr>
            <w:tcW w:w="1037" w:type="pct"/>
          </w:tcPr>
          <w:p w14:paraId="674BE553" w14:textId="77777777" w:rsidR="00444B1F" w:rsidRPr="00CD03B9" w:rsidRDefault="00444B1F" w:rsidP="001E2FDB">
            <w:pPr>
              <w:spacing w:beforeLines="60" w:before="144" w:after="60"/>
              <w:rPr>
                <w:rFonts w:ascii="Arial" w:hAnsi="Arial" w:cs="Arial"/>
              </w:rPr>
            </w:pPr>
            <w:r w:rsidRPr="00CD03B9">
              <w:rPr>
                <w:rFonts w:ascii="Arial" w:hAnsi="Arial" w:cs="Arial"/>
              </w:rPr>
              <w:t>Asesor Técnico Certificado</w:t>
            </w:r>
            <w:r w:rsidR="007B23CF">
              <w:rPr>
                <w:rFonts w:ascii="Arial" w:hAnsi="Arial" w:cs="Arial"/>
              </w:rPr>
              <w:t xml:space="preserve"> (ATC)</w:t>
            </w:r>
            <w:r w:rsidR="00A16635">
              <w:rPr>
                <w:rFonts w:ascii="Arial" w:hAnsi="Arial" w:cs="Arial"/>
              </w:rPr>
              <w:t>.</w:t>
            </w:r>
          </w:p>
        </w:tc>
        <w:tc>
          <w:tcPr>
            <w:tcW w:w="3963" w:type="pct"/>
          </w:tcPr>
          <w:p w14:paraId="65A997D6" w14:textId="77777777" w:rsidR="00444B1F" w:rsidRPr="00CD03B9" w:rsidRDefault="00444B1F" w:rsidP="001E2FDB">
            <w:pPr>
              <w:spacing w:beforeLines="60" w:before="144" w:after="60"/>
              <w:jc w:val="both"/>
              <w:rPr>
                <w:rFonts w:ascii="Arial" w:hAnsi="Arial" w:cs="Arial"/>
              </w:rPr>
            </w:pPr>
            <w:r w:rsidRPr="001407EC">
              <w:rPr>
                <w:rFonts w:ascii="Arial" w:hAnsi="Arial" w:cs="Arial"/>
                <w:szCs w:val="20"/>
              </w:rPr>
              <w:t xml:space="preserve">El Asesor Técnico Certificado </w:t>
            </w:r>
            <w:r w:rsidR="006012FF">
              <w:rPr>
                <w:rFonts w:ascii="Arial" w:hAnsi="Arial" w:cs="Arial"/>
                <w:szCs w:val="20"/>
              </w:rPr>
              <w:t>que brinda los servicios en</w:t>
            </w:r>
            <w:r w:rsidR="00E53752">
              <w:rPr>
                <w:rFonts w:ascii="Arial" w:hAnsi="Arial" w:cs="Arial"/>
                <w:szCs w:val="20"/>
              </w:rPr>
              <w:t xml:space="preserve"> materia de </w:t>
            </w:r>
            <w:r w:rsidR="006012FF">
              <w:rPr>
                <w:rFonts w:ascii="Arial" w:hAnsi="Arial" w:cs="Arial"/>
                <w:szCs w:val="20"/>
              </w:rPr>
              <w:t>proyectos en energía geotérmica</w:t>
            </w:r>
            <w:r w:rsidRPr="00CD03B9">
              <w:rPr>
                <w:rFonts w:ascii="Arial" w:hAnsi="Arial" w:cs="Arial"/>
                <w:sz w:val="20"/>
                <w:szCs w:val="20"/>
              </w:rPr>
              <w:t>.</w:t>
            </w:r>
          </w:p>
        </w:tc>
      </w:tr>
      <w:tr w:rsidR="001033A2" w:rsidRPr="001F1E82" w14:paraId="76D1CF20" w14:textId="77777777" w:rsidTr="001A3B6D">
        <w:tc>
          <w:tcPr>
            <w:tcW w:w="1037" w:type="pct"/>
          </w:tcPr>
          <w:p w14:paraId="591AE435" w14:textId="77777777" w:rsidR="001033A2" w:rsidRPr="00CD03B9" w:rsidRDefault="001033A2" w:rsidP="001E2FDB">
            <w:pPr>
              <w:spacing w:beforeLines="60" w:before="144" w:after="60"/>
              <w:rPr>
                <w:rFonts w:ascii="Arial" w:hAnsi="Arial" w:cs="Arial"/>
              </w:rPr>
            </w:pPr>
            <w:r w:rsidRPr="00CD03B9">
              <w:rPr>
                <w:rFonts w:ascii="Arial" w:hAnsi="Arial" w:cs="Arial"/>
              </w:rPr>
              <w:t>BID o Banco.</w:t>
            </w:r>
          </w:p>
        </w:tc>
        <w:tc>
          <w:tcPr>
            <w:tcW w:w="3963" w:type="pct"/>
          </w:tcPr>
          <w:p w14:paraId="77B1B0A0" w14:textId="77777777" w:rsidR="001033A2" w:rsidRPr="00CD03B9" w:rsidRDefault="001033A2" w:rsidP="001E2FDB">
            <w:pPr>
              <w:spacing w:beforeLines="60" w:before="144" w:after="60"/>
              <w:jc w:val="both"/>
              <w:rPr>
                <w:rFonts w:ascii="Arial" w:hAnsi="Arial" w:cs="Arial"/>
              </w:rPr>
            </w:pPr>
            <w:r w:rsidRPr="00CD03B9">
              <w:rPr>
                <w:rFonts w:ascii="Arial" w:hAnsi="Arial" w:cs="Arial"/>
              </w:rPr>
              <w:t>Banco Interamericano de Desarrollo, principal fuente de financiamiento multilateral para el desarrollo económico, social e institucional</w:t>
            </w:r>
            <w:r w:rsidR="00581224" w:rsidRPr="00CD03B9">
              <w:rPr>
                <w:rFonts w:ascii="Arial" w:hAnsi="Arial" w:cs="Arial"/>
              </w:rPr>
              <w:t>,</w:t>
            </w:r>
            <w:r w:rsidRPr="00CD03B9">
              <w:rPr>
                <w:rFonts w:ascii="Arial" w:hAnsi="Arial" w:cs="Arial"/>
              </w:rPr>
              <w:t xml:space="preserve"> sostenible de América Latina y el Caribe.</w:t>
            </w:r>
          </w:p>
        </w:tc>
      </w:tr>
      <w:tr w:rsidR="001033A2" w:rsidRPr="001F1E82" w14:paraId="0D619583" w14:textId="77777777" w:rsidTr="001A3B6D">
        <w:tc>
          <w:tcPr>
            <w:tcW w:w="1037" w:type="pct"/>
          </w:tcPr>
          <w:p w14:paraId="6A03F921" w14:textId="77777777" w:rsidR="001033A2" w:rsidRPr="00C75D1B" w:rsidRDefault="001033A2" w:rsidP="001E2FDB">
            <w:pPr>
              <w:spacing w:beforeLines="60" w:before="144" w:after="60"/>
              <w:rPr>
                <w:rFonts w:ascii="Arial" w:hAnsi="Arial" w:cs="Arial"/>
              </w:rPr>
            </w:pPr>
            <w:r w:rsidRPr="00C75D1B">
              <w:rPr>
                <w:rFonts w:ascii="Arial" w:hAnsi="Arial" w:cs="Arial"/>
              </w:rPr>
              <w:t>CRE</w:t>
            </w:r>
            <w:r w:rsidR="006B6E81" w:rsidRPr="00C75D1B">
              <w:rPr>
                <w:rFonts w:ascii="Arial" w:hAnsi="Arial" w:cs="Arial"/>
              </w:rPr>
              <w:t>.</w:t>
            </w:r>
          </w:p>
        </w:tc>
        <w:tc>
          <w:tcPr>
            <w:tcW w:w="3963" w:type="pct"/>
          </w:tcPr>
          <w:p w14:paraId="35796698" w14:textId="77777777" w:rsidR="001033A2" w:rsidRPr="00E44C41" w:rsidRDefault="001033A2" w:rsidP="001E2FDB">
            <w:pPr>
              <w:spacing w:beforeLines="60" w:before="144" w:after="60"/>
              <w:jc w:val="both"/>
              <w:rPr>
                <w:rFonts w:ascii="Arial" w:hAnsi="Arial" w:cs="Arial"/>
              </w:rPr>
            </w:pPr>
            <w:r w:rsidRPr="00165AE4">
              <w:rPr>
                <w:rFonts w:ascii="Arial" w:hAnsi="Arial" w:cs="Arial"/>
              </w:rPr>
              <w:t>Comisión Reguladora de Energía. Institución autónoma encargada de regular de manera</w:t>
            </w:r>
            <w:r w:rsidRPr="00E44C41">
              <w:rPr>
                <w:rFonts w:ascii="Arial" w:hAnsi="Arial" w:cs="Arial"/>
              </w:rPr>
              <w:t xml:space="preserve"> transparente e imparcial las industrias del gas, derivados de hidrocarburos y de electricidad.</w:t>
            </w:r>
          </w:p>
        </w:tc>
      </w:tr>
      <w:tr w:rsidR="00444B1F" w:rsidRPr="001F1E82" w14:paraId="028F89C1" w14:textId="77777777" w:rsidTr="001A3B6D">
        <w:tc>
          <w:tcPr>
            <w:tcW w:w="1037" w:type="pct"/>
          </w:tcPr>
          <w:p w14:paraId="73B17038" w14:textId="77777777" w:rsidR="00444B1F" w:rsidRPr="00C75D1B" w:rsidRDefault="00444B1F" w:rsidP="001E2FDB">
            <w:pPr>
              <w:spacing w:beforeLines="60" w:before="144" w:after="60"/>
              <w:rPr>
                <w:rFonts w:ascii="Arial" w:hAnsi="Arial" w:cs="Arial"/>
              </w:rPr>
            </w:pPr>
            <w:r w:rsidRPr="00C75D1B">
              <w:rPr>
                <w:rFonts w:ascii="Arial" w:hAnsi="Arial" w:cs="Arial"/>
              </w:rPr>
              <w:t>Crédito Exploratorio Asegurado</w:t>
            </w:r>
            <w:r w:rsidR="00A16635">
              <w:rPr>
                <w:rFonts w:ascii="Arial" w:hAnsi="Arial" w:cs="Arial"/>
              </w:rPr>
              <w:t>.</w:t>
            </w:r>
          </w:p>
        </w:tc>
        <w:tc>
          <w:tcPr>
            <w:tcW w:w="3963" w:type="pct"/>
          </w:tcPr>
          <w:p w14:paraId="792B05EF" w14:textId="2E3258F4" w:rsidR="00444B1F" w:rsidRPr="001F6D02" w:rsidRDefault="00444B1F" w:rsidP="001E2FDB">
            <w:pPr>
              <w:spacing w:beforeLines="60" w:before="144" w:after="60"/>
              <w:jc w:val="both"/>
              <w:rPr>
                <w:rFonts w:ascii="Arial" w:hAnsi="Arial" w:cs="Arial"/>
                <w:highlight w:val="yellow"/>
              </w:rPr>
            </w:pPr>
            <w:r w:rsidRPr="0040332A">
              <w:rPr>
                <w:rFonts w:ascii="Arial" w:hAnsi="Arial" w:cs="Arial"/>
              </w:rPr>
              <w:t>Producto financiero que consiste en un crédito otorgado a un desar</w:t>
            </w:r>
            <w:r w:rsidRPr="00BE45F7">
              <w:rPr>
                <w:rFonts w:ascii="Arial" w:hAnsi="Arial" w:cs="Arial"/>
              </w:rPr>
              <w:t>rollador de proyectos de energía geotérmica</w:t>
            </w:r>
            <w:r w:rsidR="004E4331" w:rsidRPr="00BE45F7">
              <w:rPr>
                <w:rFonts w:ascii="Arial" w:hAnsi="Arial" w:cs="Arial"/>
              </w:rPr>
              <w:t>,</w:t>
            </w:r>
            <w:r w:rsidRPr="00BE45F7">
              <w:rPr>
                <w:rFonts w:ascii="Arial" w:hAnsi="Arial" w:cs="Arial"/>
              </w:rPr>
              <w:t xml:space="preserve"> destinado a la fase de exploración cuyo pago se encuentra garantizado </w:t>
            </w:r>
            <w:r w:rsidRPr="001E6385">
              <w:rPr>
                <w:rFonts w:ascii="Arial" w:hAnsi="Arial" w:cs="Arial"/>
              </w:rPr>
              <w:t xml:space="preserve">por un seguro </w:t>
            </w:r>
            <w:r w:rsidR="004E4331" w:rsidRPr="001E6385">
              <w:rPr>
                <w:rFonts w:ascii="Arial" w:hAnsi="Arial" w:cs="Arial"/>
              </w:rPr>
              <w:t>de riesgo crediticio que</w:t>
            </w:r>
            <w:r w:rsidR="004E4331" w:rsidRPr="00BE45F7">
              <w:rPr>
                <w:rFonts w:ascii="Arial" w:hAnsi="Arial" w:cs="Arial"/>
              </w:rPr>
              <w:t xml:space="preserve"> se utiliza al no </w:t>
            </w:r>
            <w:r w:rsidRPr="00BE45F7">
              <w:rPr>
                <w:rFonts w:ascii="Arial" w:hAnsi="Arial" w:cs="Arial"/>
              </w:rPr>
              <w:t>encontrar recurso geotérmico en cantidad y calidad suficiente para el desarrollo del proyecto.</w:t>
            </w:r>
          </w:p>
        </w:tc>
      </w:tr>
      <w:tr w:rsidR="00CF2ABE" w:rsidRPr="001F1E82" w14:paraId="3B06DCEF" w14:textId="77777777" w:rsidTr="001A3B6D">
        <w:tc>
          <w:tcPr>
            <w:tcW w:w="1037" w:type="pct"/>
          </w:tcPr>
          <w:p w14:paraId="57A46231" w14:textId="77777777" w:rsidR="00CF2ABE" w:rsidRPr="00C75D1B" w:rsidRDefault="00CF2ABE" w:rsidP="001E2FDB">
            <w:pPr>
              <w:spacing w:beforeLines="60" w:before="144" w:after="60"/>
              <w:rPr>
                <w:rFonts w:ascii="Arial" w:hAnsi="Arial" w:cs="Arial"/>
              </w:rPr>
            </w:pPr>
            <w:r>
              <w:rPr>
                <w:rFonts w:ascii="Arial" w:hAnsi="Arial" w:cs="Arial"/>
              </w:rPr>
              <w:lastRenderedPageBreak/>
              <w:t>CFI</w:t>
            </w:r>
          </w:p>
        </w:tc>
        <w:tc>
          <w:tcPr>
            <w:tcW w:w="3963" w:type="pct"/>
          </w:tcPr>
          <w:p w14:paraId="5857CAAB" w14:textId="77777777" w:rsidR="00CF2ABE" w:rsidRPr="00A55EE7" w:rsidRDefault="00CF2ABE" w:rsidP="001E2FDB">
            <w:pPr>
              <w:spacing w:beforeLines="60" w:before="144" w:after="60"/>
              <w:jc w:val="both"/>
              <w:rPr>
                <w:rFonts w:ascii="Arial" w:hAnsi="Arial" w:cs="Arial"/>
              </w:rPr>
            </w:pPr>
            <w:r w:rsidRPr="00A55EE7">
              <w:rPr>
                <w:rFonts w:ascii="Arial" w:hAnsi="Arial" w:cs="Arial"/>
              </w:rPr>
              <w:t>Corporación Financiera Internacional</w:t>
            </w:r>
            <w:r w:rsidR="00274F0B" w:rsidRPr="00A55EE7">
              <w:rPr>
                <w:rFonts w:ascii="Arial" w:hAnsi="Arial" w:cs="Arial"/>
              </w:rPr>
              <w:t xml:space="preserve">. </w:t>
            </w:r>
            <w:r w:rsidR="00274F0B" w:rsidRPr="008C38DE">
              <w:rPr>
                <w:rFonts w:ascii="Arial" w:hAnsi="Arial" w:cs="Arial"/>
                <w:color w:val="333333"/>
                <w:sz w:val="20"/>
                <w:szCs w:val="20"/>
                <w:shd w:val="clear" w:color="auto" w:fill="FFFFFF"/>
              </w:rPr>
              <w:t>Entidad del Grupo Banco Mundial, es una institución internacional de desarrollo dedicada exclusivamente al sector privado en los países en desarrollo.</w:t>
            </w:r>
          </w:p>
        </w:tc>
      </w:tr>
      <w:tr w:rsidR="001033A2" w:rsidRPr="001F1E82" w14:paraId="51DC207C" w14:textId="77777777" w:rsidTr="008C38DE">
        <w:tc>
          <w:tcPr>
            <w:tcW w:w="1037" w:type="pct"/>
          </w:tcPr>
          <w:p w14:paraId="11569C5C" w14:textId="77777777" w:rsidR="001033A2" w:rsidRPr="00C043CC" w:rsidRDefault="001033A2" w:rsidP="001E2FDB">
            <w:pPr>
              <w:spacing w:beforeLines="60" w:before="144" w:after="60"/>
              <w:rPr>
                <w:rFonts w:ascii="Arial" w:hAnsi="Arial" w:cs="Arial"/>
              </w:rPr>
            </w:pPr>
            <w:r w:rsidRPr="00C043CC">
              <w:rPr>
                <w:rFonts w:ascii="Arial" w:hAnsi="Arial" w:cs="Arial"/>
              </w:rPr>
              <w:t>CTF.</w:t>
            </w:r>
          </w:p>
          <w:p w14:paraId="42B93F9A" w14:textId="77777777" w:rsidR="00F556B4" w:rsidRPr="00C043CC" w:rsidRDefault="00F556B4" w:rsidP="001E2FDB">
            <w:pPr>
              <w:spacing w:beforeLines="60" w:before="144" w:after="60"/>
              <w:rPr>
                <w:rFonts w:ascii="Arial" w:hAnsi="Arial" w:cs="Arial"/>
              </w:rPr>
            </w:pPr>
          </w:p>
          <w:p w14:paraId="57C9CA0A" w14:textId="77777777" w:rsidR="00F556B4" w:rsidRPr="00C043CC" w:rsidRDefault="00F556B4" w:rsidP="001E2FDB">
            <w:pPr>
              <w:spacing w:beforeLines="60" w:before="144" w:after="60"/>
              <w:rPr>
                <w:rFonts w:ascii="Arial" w:hAnsi="Arial" w:cs="Arial"/>
              </w:rPr>
            </w:pPr>
          </w:p>
          <w:p w14:paraId="7358CC54" w14:textId="77777777" w:rsidR="00F556B4" w:rsidRPr="00C043CC" w:rsidRDefault="00F556B4" w:rsidP="001E2FDB">
            <w:pPr>
              <w:spacing w:beforeLines="60" w:before="144" w:after="60"/>
              <w:rPr>
                <w:rFonts w:ascii="Arial" w:hAnsi="Arial" w:cs="Arial"/>
              </w:rPr>
            </w:pPr>
          </w:p>
          <w:p w14:paraId="30A3A588" w14:textId="77777777" w:rsidR="00E53752" w:rsidRPr="00C043CC" w:rsidRDefault="00E53752" w:rsidP="001E2FDB">
            <w:pPr>
              <w:spacing w:beforeLines="60" w:before="144" w:after="60"/>
              <w:rPr>
                <w:rFonts w:ascii="Arial" w:hAnsi="Arial" w:cs="Arial"/>
                <w:sz w:val="2"/>
              </w:rPr>
            </w:pPr>
          </w:p>
          <w:p w14:paraId="1A997E2E" w14:textId="77777777" w:rsidR="00E50E5D" w:rsidRPr="00C043CC" w:rsidRDefault="00E50E5D" w:rsidP="001E2FDB">
            <w:pPr>
              <w:spacing w:beforeLines="60" w:before="144" w:after="60"/>
              <w:rPr>
                <w:rFonts w:ascii="Arial" w:hAnsi="Arial" w:cs="Arial"/>
                <w:sz w:val="2"/>
              </w:rPr>
            </w:pPr>
          </w:p>
          <w:p w14:paraId="12E70B1C" w14:textId="38D7D7A5" w:rsidR="00DE73CC" w:rsidRPr="00C043CC" w:rsidRDefault="00DE73CC" w:rsidP="001E2FDB">
            <w:pPr>
              <w:spacing w:beforeLines="60" w:before="144" w:after="60"/>
              <w:rPr>
                <w:rFonts w:ascii="Arial" w:hAnsi="Arial" w:cs="Arial"/>
              </w:rPr>
            </w:pPr>
          </w:p>
        </w:tc>
        <w:tc>
          <w:tcPr>
            <w:tcW w:w="3963" w:type="pct"/>
          </w:tcPr>
          <w:p w14:paraId="44A1E732" w14:textId="4B78959B" w:rsidR="001033A2" w:rsidRDefault="001033A2" w:rsidP="001E2FDB">
            <w:pPr>
              <w:spacing w:beforeLines="60" w:before="144" w:after="60"/>
              <w:jc w:val="both"/>
              <w:rPr>
                <w:rFonts w:ascii="Arial" w:hAnsi="Arial" w:cs="Arial"/>
              </w:rPr>
            </w:pPr>
            <w:r w:rsidRPr="00165AE4">
              <w:rPr>
                <w:rFonts w:ascii="Arial" w:hAnsi="Arial" w:cs="Arial"/>
              </w:rPr>
              <w:t>Clean Technology Fund</w:t>
            </w:r>
            <w:r w:rsidR="00BE2F93">
              <w:rPr>
                <w:rFonts w:ascii="Arial" w:hAnsi="Arial" w:cs="Arial"/>
              </w:rPr>
              <w:t xml:space="preserve"> (</w:t>
            </w:r>
            <w:r w:rsidRPr="00165AE4">
              <w:rPr>
                <w:rFonts w:ascii="Arial" w:hAnsi="Arial" w:cs="Arial"/>
              </w:rPr>
              <w:t xml:space="preserve">Fondo </w:t>
            </w:r>
            <w:r w:rsidR="00CD1FC1">
              <w:rPr>
                <w:rFonts w:ascii="Arial" w:hAnsi="Arial" w:cs="Arial"/>
              </w:rPr>
              <w:t>para una</w:t>
            </w:r>
            <w:r w:rsidR="00CF2ABE">
              <w:rPr>
                <w:rFonts w:ascii="Arial" w:hAnsi="Arial" w:cs="Arial"/>
              </w:rPr>
              <w:t xml:space="preserve"> </w:t>
            </w:r>
            <w:r w:rsidRPr="00165AE4">
              <w:rPr>
                <w:rFonts w:ascii="Arial" w:hAnsi="Arial" w:cs="Arial"/>
              </w:rPr>
              <w:t>Tecnología Limpia</w:t>
            </w:r>
            <w:r w:rsidR="00BE2F93">
              <w:rPr>
                <w:rFonts w:ascii="Arial" w:hAnsi="Arial" w:cs="Arial"/>
              </w:rPr>
              <w:t>)</w:t>
            </w:r>
            <w:r w:rsidRPr="00165AE4">
              <w:rPr>
                <w:rFonts w:ascii="Arial" w:hAnsi="Arial" w:cs="Arial"/>
              </w:rPr>
              <w:t xml:space="preserve">, entidad supranacional que invierte en proyectos y programas que contribuyan a la demostración, la aplicación y la transferencia de tecnologías de bajas emisiones de carbono con un potencial significativo de ahorro a largo plazo en emisiones de gases </w:t>
            </w:r>
            <w:r w:rsidRPr="00E44C41">
              <w:rPr>
                <w:rFonts w:ascii="Arial" w:hAnsi="Arial" w:cs="Arial"/>
              </w:rPr>
              <w:t>de efecto invernadero.</w:t>
            </w:r>
          </w:p>
          <w:p w14:paraId="54ED09BC" w14:textId="586F3D7C" w:rsidR="00E53752" w:rsidRDefault="00E53752" w:rsidP="001E2FDB">
            <w:pPr>
              <w:spacing w:beforeLines="60" w:before="144" w:after="60"/>
              <w:jc w:val="both"/>
              <w:rPr>
                <w:rFonts w:ascii="Arial" w:hAnsi="Arial" w:cs="Arial"/>
              </w:rPr>
            </w:pPr>
            <w:r>
              <w:rPr>
                <w:rFonts w:ascii="Arial" w:hAnsi="Arial" w:cs="Arial"/>
              </w:rPr>
              <w:t>.</w:t>
            </w:r>
          </w:p>
          <w:p w14:paraId="249B5EC5" w14:textId="77777777" w:rsidR="00E53752" w:rsidRPr="00E50E5D" w:rsidRDefault="00E53752" w:rsidP="001E2FDB">
            <w:pPr>
              <w:spacing w:beforeLines="60" w:before="144" w:after="60"/>
              <w:jc w:val="both"/>
              <w:rPr>
                <w:rFonts w:ascii="Arial" w:hAnsi="Arial" w:cs="Arial"/>
                <w:sz w:val="2"/>
              </w:rPr>
            </w:pPr>
          </w:p>
          <w:p w14:paraId="5468C1B5" w14:textId="3E96B615" w:rsidR="00DE73CC" w:rsidRPr="00E44C41" w:rsidRDefault="00DE73CC" w:rsidP="001E2FDB">
            <w:pPr>
              <w:spacing w:beforeLines="60" w:before="144" w:after="60"/>
              <w:jc w:val="both"/>
              <w:rPr>
                <w:rFonts w:ascii="Arial" w:hAnsi="Arial" w:cs="Arial"/>
              </w:rPr>
            </w:pPr>
          </w:p>
        </w:tc>
      </w:tr>
      <w:tr w:rsidR="00BA0B02" w:rsidRPr="001F1E82" w14:paraId="1685CA9C" w14:textId="77777777" w:rsidTr="008C38DE">
        <w:tc>
          <w:tcPr>
            <w:tcW w:w="1037" w:type="pct"/>
          </w:tcPr>
          <w:p w14:paraId="7C0231A4" w14:textId="4F926A29" w:rsidR="00BA0B02" w:rsidRPr="00C043CC" w:rsidRDefault="00BA0B02" w:rsidP="00BA0B02">
            <w:pPr>
              <w:spacing w:beforeLines="60" w:before="144" w:after="60"/>
              <w:rPr>
                <w:rFonts w:ascii="Arial" w:hAnsi="Arial" w:cs="Arial"/>
              </w:rPr>
            </w:pPr>
            <w:r w:rsidRPr="00C043CC">
              <w:rPr>
                <w:rFonts w:ascii="Arial" w:hAnsi="Arial" w:cs="Arial"/>
              </w:rPr>
              <w:t>DAC.</w:t>
            </w:r>
          </w:p>
        </w:tc>
        <w:tc>
          <w:tcPr>
            <w:tcW w:w="3963" w:type="pct"/>
          </w:tcPr>
          <w:p w14:paraId="7B3760B4" w14:textId="3EFF7951" w:rsidR="00BA0B02" w:rsidRPr="00165AE4" w:rsidRDefault="00BA0B02" w:rsidP="001E2FDB">
            <w:pPr>
              <w:spacing w:beforeLines="60" w:before="144" w:after="60"/>
              <w:jc w:val="both"/>
              <w:rPr>
                <w:rFonts w:ascii="Arial" w:hAnsi="Arial" w:cs="Arial"/>
              </w:rPr>
            </w:pPr>
            <w:r>
              <w:rPr>
                <w:rFonts w:ascii="Arial" w:hAnsi="Arial" w:cs="Arial"/>
              </w:rPr>
              <w:t>Dirección de Administración Crediticia.</w:t>
            </w:r>
          </w:p>
        </w:tc>
      </w:tr>
      <w:tr w:rsidR="00BA0B02" w:rsidRPr="001F1E82" w14:paraId="255134EF" w14:textId="77777777" w:rsidTr="008C38DE">
        <w:tc>
          <w:tcPr>
            <w:tcW w:w="1037" w:type="pct"/>
          </w:tcPr>
          <w:p w14:paraId="700BC106" w14:textId="2E4B69B7" w:rsidR="00BA0B02" w:rsidRPr="00C043CC" w:rsidRDefault="00BA0B02" w:rsidP="00BA0B02">
            <w:pPr>
              <w:spacing w:beforeLines="60" w:before="144" w:after="60"/>
              <w:rPr>
                <w:rFonts w:ascii="Arial" w:hAnsi="Arial" w:cs="Arial"/>
              </w:rPr>
            </w:pPr>
            <w:r w:rsidRPr="00C043CC">
              <w:rPr>
                <w:rFonts w:ascii="Arial" w:hAnsi="Arial" w:cs="Arial"/>
              </w:rPr>
              <w:t>DDP.</w:t>
            </w:r>
          </w:p>
        </w:tc>
        <w:tc>
          <w:tcPr>
            <w:tcW w:w="3963" w:type="pct"/>
          </w:tcPr>
          <w:p w14:paraId="0DF90569" w14:textId="51B48C33" w:rsidR="00BA0B02" w:rsidRDefault="00BA0B02" w:rsidP="00BA0B02">
            <w:pPr>
              <w:spacing w:beforeLines="60" w:before="144" w:after="60"/>
              <w:jc w:val="both"/>
              <w:rPr>
                <w:rFonts w:ascii="Arial" w:hAnsi="Arial" w:cs="Arial"/>
              </w:rPr>
            </w:pPr>
            <w:r>
              <w:rPr>
                <w:rFonts w:ascii="Arial" w:hAnsi="Arial" w:cs="Arial"/>
              </w:rPr>
              <w:t>Dirección de Desarrollo de Productos.</w:t>
            </w:r>
          </w:p>
        </w:tc>
      </w:tr>
      <w:tr w:rsidR="00BA0B02" w:rsidRPr="001F1E82" w14:paraId="1D5C8F5F" w14:textId="77777777" w:rsidTr="008C38DE">
        <w:tc>
          <w:tcPr>
            <w:tcW w:w="1037" w:type="pct"/>
          </w:tcPr>
          <w:p w14:paraId="22448A0E" w14:textId="3768799C" w:rsidR="00BA0B02" w:rsidRPr="00C043CC" w:rsidRDefault="00BA0B02" w:rsidP="00BA0B02">
            <w:pPr>
              <w:spacing w:beforeLines="60" w:before="144" w:after="60"/>
              <w:rPr>
                <w:rFonts w:ascii="Arial" w:hAnsi="Arial" w:cs="Arial"/>
              </w:rPr>
            </w:pPr>
            <w:r w:rsidRPr="00C043CC">
              <w:rPr>
                <w:rFonts w:ascii="Arial" w:hAnsi="Arial" w:cs="Arial"/>
              </w:rPr>
              <w:t>DOFI.</w:t>
            </w:r>
          </w:p>
        </w:tc>
        <w:tc>
          <w:tcPr>
            <w:tcW w:w="3963" w:type="pct"/>
          </w:tcPr>
          <w:p w14:paraId="3A71086A" w14:textId="6313B1AC" w:rsidR="00BA0B02" w:rsidRDefault="00BA0B02" w:rsidP="00BA0B02">
            <w:pPr>
              <w:spacing w:beforeLines="60" w:before="144" w:after="60"/>
              <w:jc w:val="both"/>
              <w:rPr>
                <w:rFonts w:ascii="Arial" w:hAnsi="Arial" w:cs="Arial"/>
              </w:rPr>
            </w:pPr>
            <w:r>
              <w:rPr>
                <w:rFonts w:ascii="Arial" w:hAnsi="Arial" w:cs="Arial"/>
              </w:rPr>
              <w:t>Dirección de Organismos Financieros Internacionales.</w:t>
            </w:r>
          </w:p>
        </w:tc>
      </w:tr>
      <w:tr w:rsidR="00BA0B02" w:rsidRPr="001F1E82" w14:paraId="6B3DF94F" w14:textId="77777777" w:rsidTr="008C38DE">
        <w:tc>
          <w:tcPr>
            <w:tcW w:w="1037" w:type="pct"/>
          </w:tcPr>
          <w:p w14:paraId="16D6FD77" w14:textId="29AEB07C" w:rsidR="00BA0B02" w:rsidRPr="00C043CC" w:rsidRDefault="00BA0B02" w:rsidP="00BA0B02">
            <w:pPr>
              <w:spacing w:beforeLines="60" w:before="144" w:after="60"/>
              <w:rPr>
                <w:rFonts w:ascii="Arial" w:hAnsi="Arial" w:cs="Arial"/>
              </w:rPr>
            </w:pPr>
            <w:r w:rsidRPr="00C043CC">
              <w:rPr>
                <w:rFonts w:ascii="Arial" w:hAnsi="Arial" w:cs="Arial"/>
              </w:rPr>
              <w:t>DPS.</w:t>
            </w:r>
          </w:p>
        </w:tc>
        <w:tc>
          <w:tcPr>
            <w:tcW w:w="3963" w:type="pct"/>
          </w:tcPr>
          <w:p w14:paraId="50C68736" w14:textId="49C58DA7" w:rsidR="00BA0B02" w:rsidRDefault="00BA0B02" w:rsidP="00BA0B02">
            <w:pPr>
              <w:spacing w:beforeLines="60" w:before="144" w:after="60"/>
              <w:jc w:val="both"/>
              <w:rPr>
                <w:rFonts w:ascii="Arial" w:hAnsi="Arial" w:cs="Arial"/>
              </w:rPr>
            </w:pPr>
            <w:r>
              <w:rPr>
                <w:rFonts w:ascii="Arial" w:hAnsi="Arial" w:cs="Arial"/>
              </w:rPr>
              <w:t>Dirección de Proyectos Sustentables.</w:t>
            </w:r>
          </w:p>
        </w:tc>
      </w:tr>
      <w:tr w:rsidR="00BA0B02" w:rsidRPr="001F1E82" w14:paraId="16E39F41" w14:textId="77777777" w:rsidTr="008C38DE">
        <w:tc>
          <w:tcPr>
            <w:tcW w:w="1037" w:type="pct"/>
          </w:tcPr>
          <w:p w14:paraId="6188695E" w14:textId="6B7079D5" w:rsidR="00BA0B02" w:rsidRPr="00C043CC" w:rsidRDefault="000B0D36" w:rsidP="00BA0B02">
            <w:pPr>
              <w:spacing w:beforeLines="60" w:before="144" w:after="60"/>
              <w:rPr>
                <w:rFonts w:ascii="Arial" w:hAnsi="Arial" w:cs="Arial"/>
              </w:rPr>
            </w:pPr>
            <w:r w:rsidRPr="00C043CC">
              <w:rPr>
                <w:rFonts w:ascii="Arial" w:hAnsi="Arial" w:cs="Arial"/>
              </w:rPr>
              <w:t>DSR.</w:t>
            </w:r>
          </w:p>
        </w:tc>
        <w:tc>
          <w:tcPr>
            <w:tcW w:w="3963" w:type="pct"/>
          </w:tcPr>
          <w:p w14:paraId="493F27B8" w14:textId="410C6F93" w:rsidR="00BA0B02" w:rsidRDefault="000B0D36" w:rsidP="00BA0B02">
            <w:pPr>
              <w:spacing w:beforeLines="60" w:before="144" w:after="60"/>
              <w:jc w:val="both"/>
              <w:rPr>
                <w:rFonts w:ascii="Arial" w:hAnsi="Arial" w:cs="Arial"/>
              </w:rPr>
            </w:pPr>
            <w:r>
              <w:rPr>
                <w:rFonts w:ascii="Arial" w:hAnsi="Arial" w:cs="Arial"/>
              </w:rPr>
              <w:t>Dirección de Seguimiento y Recuperación.</w:t>
            </w:r>
          </w:p>
        </w:tc>
      </w:tr>
      <w:tr w:rsidR="00BA0B02" w:rsidRPr="001F1E82" w14:paraId="49C12B70" w14:textId="77777777" w:rsidTr="008C38DE">
        <w:tc>
          <w:tcPr>
            <w:tcW w:w="1037" w:type="pct"/>
          </w:tcPr>
          <w:p w14:paraId="1D788E80" w14:textId="5000330D" w:rsidR="00BA0B02" w:rsidRPr="00C043CC" w:rsidRDefault="000B0D36" w:rsidP="00BA0B02">
            <w:pPr>
              <w:spacing w:beforeLines="60" w:before="144" w:after="60"/>
              <w:rPr>
                <w:rFonts w:ascii="Arial" w:hAnsi="Arial" w:cs="Arial"/>
              </w:rPr>
            </w:pPr>
            <w:r w:rsidRPr="001F1E82">
              <w:rPr>
                <w:rFonts w:ascii="Arial" w:hAnsi="Arial" w:cs="Arial"/>
              </w:rPr>
              <w:t>EGER.</w:t>
            </w:r>
          </w:p>
        </w:tc>
        <w:tc>
          <w:tcPr>
            <w:tcW w:w="3963" w:type="pct"/>
          </w:tcPr>
          <w:p w14:paraId="34FF85EA" w14:textId="398ED112" w:rsidR="00BA0B02" w:rsidRDefault="000B0D36" w:rsidP="00BA0B02">
            <w:pPr>
              <w:spacing w:beforeLines="60" w:before="144" w:after="60"/>
              <w:jc w:val="both"/>
              <w:rPr>
                <w:rFonts w:ascii="Arial" w:hAnsi="Arial" w:cs="Arial"/>
              </w:rPr>
            </w:pPr>
            <w:r w:rsidRPr="001F1E82">
              <w:rPr>
                <w:rFonts w:ascii="Arial" w:hAnsi="Arial" w:cs="Arial"/>
              </w:rPr>
              <w:t xml:space="preserve">Empresas Generadoras de Energías Renovables </w:t>
            </w:r>
            <w:r>
              <w:rPr>
                <w:rFonts w:ascii="Arial" w:hAnsi="Arial" w:cs="Arial"/>
              </w:rPr>
              <w:t xml:space="preserve">son las entidades económicas </w:t>
            </w:r>
            <w:r w:rsidRPr="001F1E82">
              <w:rPr>
                <w:rFonts w:ascii="Arial" w:hAnsi="Arial" w:cs="Arial"/>
              </w:rPr>
              <w:t>de capital privado o mixto, cuyas actividades est</w:t>
            </w:r>
            <w:r>
              <w:rPr>
                <w:rFonts w:ascii="Arial" w:hAnsi="Arial" w:cs="Arial"/>
              </w:rPr>
              <w:t>á</w:t>
            </w:r>
            <w:r w:rsidRPr="001F1E82">
              <w:rPr>
                <w:rFonts w:ascii="Arial" w:hAnsi="Arial" w:cs="Arial"/>
              </w:rPr>
              <w:t>n relacionadas con proyectos de energía renovable</w:t>
            </w:r>
            <w:r>
              <w:rPr>
                <w:rFonts w:ascii="Arial" w:hAnsi="Arial" w:cs="Arial"/>
              </w:rPr>
              <w:t>, los cuales</w:t>
            </w:r>
            <w:r w:rsidRPr="001F1E82">
              <w:rPr>
                <w:rFonts w:ascii="Arial" w:hAnsi="Arial" w:cs="Arial"/>
              </w:rPr>
              <w:t xml:space="preserve"> cumpl</w:t>
            </w:r>
            <w:r>
              <w:rPr>
                <w:rFonts w:ascii="Arial" w:hAnsi="Arial" w:cs="Arial"/>
              </w:rPr>
              <w:t>e</w:t>
            </w:r>
            <w:r w:rsidRPr="001F1E82">
              <w:rPr>
                <w:rFonts w:ascii="Arial" w:hAnsi="Arial" w:cs="Arial"/>
              </w:rPr>
              <w:t xml:space="preserve">n con los criterios de elegibilidad establecidos en el presente Reglamento Operativo del </w:t>
            </w:r>
            <w:r>
              <w:rPr>
                <w:rFonts w:ascii="Arial" w:hAnsi="Arial" w:cs="Arial"/>
              </w:rPr>
              <w:t>PFTRG</w:t>
            </w:r>
            <w:r w:rsidRPr="001F1E82">
              <w:rPr>
                <w:rFonts w:ascii="Arial" w:hAnsi="Arial" w:cs="Arial"/>
              </w:rPr>
              <w:t>.</w:t>
            </w:r>
          </w:p>
        </w:tc>
      </w:tr>
      <w:tr w:rsidR="000B0D36" w:rsidRPr="001F1E82" w14:paraId="1C100C96" w14:textId="77777777" w:rsidTr="008C38DE">
        <w:tc>
          <w:tcPr>
            <w:tcW w:w="1037" w:type="pct"/>
          </w:tcPr>
          <w:p w14:paraId="764AE842" w14:textId="76C95410" w:rsidR="000B0D36" w:rsidRPr="001F1E82" w:rsidRDefault="000B0D36" w:rsidP="00BA0B02">
            <w:pPr>
              <w:spacing w:beforeLines="60" w:before="144" w:after="60"/>
              <w:rPr>
                <w:rFonts w:ascii="Arial" w:hAnsi="Arial" w:cs="Arial"/>
              </w:rPr>
            </w:pPr>
            <w:r>
              <w:rPr>
                <w:rFonts w:ascii="Arial" w:hAnsi="Arial" w:cs="Arial"/>
              </w:rPr>
              <w:t>ERG.</w:t>
            </w:r>
          </w:p>
        </w:tc>
        <w:tc>
          <w:tcPr>
            <w:tcW w:w="3963" w:type="pct"/>
          </w:tcPr>
          <w:p w14:paraId="32BD1D0B" w14:textId="0E08CD20" w:rsidR="000B0D36" w:rsidRPr="001F1E82" w:rsidRDefault="000B0D36" w:rsidP="00BA0B02">
            <w:pPr>
              <w:spacing w:beforeLines="60" w:before="144" w:after="60"/>
              <w:jc w:val="both"/>
              <w:rPr>
                <w:rFonts w:ascii="Arial" w:hAnsi="Arial" w:cs="Arial"/>
              </w:rPr>
            </w:pPr>
            <w:r>
              <w:rPr>
                <w:rFonts w:ascii="Arial" w:hAnsi="Arial" w:cs="Arial"/>
              </w:rPr>
              <w:t>Energía Renovable Geotérmica, energía proveniente de una fuente de calor que emana de la corteza terrestre y que es aprovechada para generación eléctrica o calentamiento.</w:t>
            </w:r>
          </w:p>
        </w:tc>
      </w:tr>
      <w:tr w:rsidR="001033A2" w:rsidRPr="001F1E82" w14:paraId="6F43B754" w14:textId="77777777" w:rsidTr="008C38DE">
        <w:tc>
          <w:tcPr>
            <w:tcW w:w="1037" w:type="pct"/>
          </w:tcPr>
          <w:p w14:paraId="48071BC9" w14:textId="77777777" w:rsidR="00C410E6" w:rsidRDefault="00C410E6" w:rsidP="001E2FDB">
            <w:pPr>
              <w:spacing w:beforeLines="60" w:before="144" w:after="60"/>
              <w:rPr>
                <w:rFonts w:ascii="Arial" w:hAnsi="Arial" w:cs="Arial"/>
              </w:rPr>
            </w:pPr>
          </w:p>
          <w:p w14:paraId="53C1C755" w14:textId="77777777" w:rsidR="00D35CBF" w:rsidRDefault="00D35CBF" w:rsidP="001E2FDB">
            <w:pPr>
              <w:spacing w:beforeLines="60" w:before="144" w:after="60"/>
              <w:rPr>
                <w:rFonts w:ascii="Arial" w:hAnsi="Arial" w:cs="Arial"/>
              </w:rPr>
            </w:pPr>
          </w:p>
          <w:p w14:paraId="4C08F580" w14:textId="7575ADBA" w:rsidR="00C410E6" w:rsidRPr="001F1E82" w:rsidRDefault="00C410E6" w:rsidP="001E2FDB">
            <w:pPr>
              <w:spacing w:beforeLines="60" w:before="144" w:after="60"/>
              <w:rPr>
                <w:rFonts w:ascii="Arial" w:hAnsi="Arial" w:cs="Arial"/>
              </w:rPr>
            </w:pPr>
          </w:p>
        </w:tc>
        <w:tc>
          <w:tcPr>
            <w:tcW w:w="3963" w:type="pct"/>
          </w:tcPr>
          <w:p w14:paraId="5057D17A" w14:textId="77777777" w:rsidR="00C410E6" w:rsidRDefault="00C410E6" w:rsidP="001E2FDB">
            <w:pPr>
              <w:spacing w:beforeLines="60" w:before="144" w:after="60"/>
              <w:jc w:val="both"/>
              <w:rPr>
                <w:rFonts w:ascii="Arial" w:hAnsi="Arial" w:cs="Arial"/>
              </w:rPr>
            </w:pPr>
          </w:p>
          <w:p w14:paraId="540C19B9" w14:textId="7675218E" w:rsidR="00C410E6" w:rsidRPr="001F1E82" w:rsidRDefault="00C410E6" w:rsidP="001E2FDB">
            <w:pPr>
              <w:spacing w:beforeLines="60" w:before="144" w:after="60"/>
              <w:jc w:val="both"/>
              <w:rPr>
                <w:rFonts w:ascii="Arial" w:hAnsi="Arial" w:cs="Arial"/>
              </w:rPr>
            </w:pPr>
          </w:p>
        </w:tc>
      </w:tr>
      <w:tr w:rsidR="009D7457" w:rsidRPr="001F1E82" w14:paraId="10828CF2" w14:textId="77777777" w:rsidTr="001A3B6D">
        <w:tc>
          <w:tcPr>
            <w:tcW w:w="1037" w:type="pct"/>
          </w:tcPr>
          <w:p w14:paraId="13DD0BA7" w14:textId="77777777" w:rsidR="009D7457" w:rsidRPr="00C75D1B" w:rsidRDefault="009D7457" w:rsidP="001E2FDB">
            <w:pPr>
              <w:spacing w:beforeLines="60" w:before="144" w:after="60"/>
              <w:rPr>
                <w:rFonts w:ascii="Arial" w:hAnsi="Arial" w:cs="Arial"/>
              </w:rPr>
            </w:pPr>
            <w:r w:rsidRPr="00C75D1B">
              <w:rPr>
                <w:rFonts w:ascii="Arial" w:hAnsi="Arial" w:cs="Arial"/>
              </w:rPr>
              <w:t>FIG</w:t>
            </w:r>
            <w:r w:rsidR="00A16635">
              <w:rPr>
                <w:rFonts w:ascii="Arial" w:hAnsi="Arial" w:cs="Arial"/>
              </w:rPr>
              <w:t>.</w:t>
            </w:r>
          </w:p>
        </w:tc>
        <w:tc>
          <w:tcPr>
            <w:tcW w:w="3963" w:type="pct"/>
          </w:tcPr>
          <w:p w14:paraId="2214BC25" w14:textId="77777777" w:rsidR="009D7457" w:rsidRPr="00C75D1B" w:rsidRDefault="009D7457" w:rsidP="001E2FDB">
            <w:pPr>
              <w:spacing w:beforeLines="60" w:before="144" w:after="60"/>
              <w:jc w:val="both"/>
              <w:rPr>
                <w:rFonts w:ascii="Arial" w:hAnsi="Arial" w:cs="Arial"/>
              </w:rPr>
            </w:pPr>
            <w:r w:rsidRPr="00165AE4">
              <w:rPr>
                <w:rFonts w:ascii="Arial" w:hAnsi="Arial" w:cs="Arial"/>
              </w:rPr>
              <w:t>Fondo de Impulso a la Geotermia. Programa cuyo propósito es apoya</w:t>
            </w:r>
            <w:r w:rsidRPr="00C75D1B">
              <w:rPr>
                <w:rFonts w:ascii="Arial" w:hAnsi="Arial" w:cs="Arial"/>
              </w:rPr>
              <w:t>r la inversión privada en los proyectos geotérmicos y que emplea fondos de FOTEASE y del Programa de Financiamiento y Transferencia de Riesgos para Geotermia.</w:t>
            </w:r>
          </w:p>
        </w:tc>
      </w:tr>
      <w:tr w:rsidR="009D7457" w:rsidRPr="001F1E82" w14:paraId="01FEFFAB" w14:textId="77777777" w:rsidTr="001A3B6D">
        <w:tc>
          <w:tcPr>
            <w:tcW w:w="1037" w:type="pct"/>
          </w:tcPr>
          <w:p w14:paraId="7B65C78C" w14:textId="77777777" w:rsidR="009D7457" w:rsidRPr="00C75D1B" w:rsidRDefault="009D7457" w:rsidP="001E2FDB">
            <w:pPr>
              <w:spacing w:beforeLines="60" w:before="144" w:after="60"/>
              <w:rPr>
                <w:rFonts w:ascii="Arial" w:hAnsi="Arial" w:cs="Arial"/>
              </w:rPr>
            </w:pPr>
            <w:r w:rsidRPr="00C75D1B">
              <w:rPr>
                <w:rFonts w:ascii="Arial" w:hAnsi="Arial" w:cs="Arial"/>
              </w:rPr>
              <w:t>FOTEASE</w:t>
            </w:r>
            <w:r w:rsidR="00A16635">
              <w:rPr>
                <w:rFonts w:ascii="Arial" w:hAnsi="Arial" w:cs="Arial"/>
              </w:rPr>
              <w:t>.</w:t>
            </w:r>
          </w:p>
        </w:tc>
        <w:tc>
          <w:tcPr>
            <w:tcW w:w="3963" w:type="pct"/>
          </w:tcPr>
          <w:p w14:paraId="0AA54970" w14:textId="77777777" w:rsidR="009D7457" w:rsidRPr="00C75D1B" w:rsidRDefault="009D7457" w:rsidP="001E2FDB">
            <w:pPr>
              <w:spacing w:beforeLines="60" w:before="144" w:after="60"/>
              <w:jc w:val="both"/>
              <w:rPr>
                <w:rFonts w:ascii="Arial" w:hAnsi="Arial" w:cs="Arial"/>
              </w:rPr>
            </w:pPr>
            <w:r w:rsidRPr="00C75D1B">
              <w:rPr>
                <w:rFonts w:ascii="Arial" w:hAnsi="Arial" w:cs="Arial"/>
              </w:rPr>
              <w:t>Fondo para la Transición Energética y el Aprovechamiento Sustentable de la Energía</w:t>
            </w:r>
            <w:r w:rsidR="006E1E8D">
              <w:rPr>
                <w:rFonts w:ascii="Arial" w:hAnsi="Arial" w:cs="Arial"/>
              </w:rPr>
              <w:t>, es un i</w:t>
            </w:r>
            <w:r w:rsidR="006E1E8D" w:rsidRPr="006E1E8D">
              <w:rPr>
                <w:rFonts w:ascii="Arial" w:hAnsi="Arial" w:cs="Arial"/>
              </w:rPr>
              <w:t>nstrumento de política pública de la Secretaría de Energía cuyo objetivo es instrumentar acciones que sirvan para contribuir al cumplimiento de la Estrategia Nacional para la Transición Energética y el Aprovechamiento Sustentable de la Energía, promoviendo la utilización, el desarrollo y la inversión de las energías renovables y la eficiencia energética</w:t>
            </w:r>
            <w:r w:rsidR="006E1E8D">
              <w:rPr>
                <w:rFonts w:ascii="Arial" w:hAnsi="Arial" w:cs="Arial"/>
              </w:rPr>
              <w:t xml:space="preserve"> </w:t>
            </w:r>
            <w:r w:rsidR="00C75D1B">
              <w:rPr>
                <w:rFonts w:ascii="Arial" w:hAnsi="Arial" w:cs="Arial"/>
              </w:rPr>
              <w:t>.</w:t>
            </w:r>
          </w:p>
        </w:tc>
      </w:tr>
      <w:tr w:rsidR="00443EF9" w:rsidRPr="001F1E82" w14:paraId="44B8E45E" w14:textId="77777777" w:rsidTr="001A3B6D">
        <w:tc>
          <w:tcPr>
            <w:tcW w:w="1037" w:type="pct"/>
          </w:tcPr>
          <w:p w14:paraId="2EA2FC84" w14:textId="77777777" w:rsidR="00443EF9" w:rsidRPr="00165AE4" w:rsidRDefault="00443EF9" w:rsidP="001E2FDB">
            <w:pPr>
              <w:spacing w:beforeLines="60" w:before="144" w:after="60"/>
              <w:rPr>
                <w:rFonts w:ascii="Arial" w:hAnsi="Arial" w:cs="Arial"/>
              </w:rPr>
            </w:pPr>
            <w:r w:rsidRPr="00165AE4">
              <w:rPr>
                <w:rFonts w:ascii="Arial" w:hAnsi="Arial" w:cs="Arial"/>
              </w:rPr>
              <w:t>GEI</w:t>
            </w:r>
            <w:r w:rsidR="00936F04">
              <w:rPr>
                <w:rFonts w:ascii="Arial" w:hAnsi="Arial" w:cs="Arial"/>
              </w:rPr>
              <w:t>.</w:t>
            </w:r>
          </w:p>
        </w:tc>
        <w:tc>
          <w:tcPr>
            <w:tcW w:w="3963" w:type="pct"/>
          </w:tcPr>
          <w:p w14:paraId="3DBE330A" w14:textId="77777777" w:rsidR="00443EF9" w:rsidRPr="00165AE4" w:rsidRDefault="00443EF9" w:rsidP="001E2FDB">
            <w:pPr>
              <w:spacing w:beforeLines="60" w:before="144" w:after="60"/>
              <w:jc w:val="both"/>
              <w:rPr>
                <w:rFonts w:ascii="Arial" w:hAnsi="Arial" w:cs="Arial"/>
              </w:rPr>
            </w:pPr>
            <w:r w:rsidRPr="00165AE4">
              <w:rPr>
                <w:rFonts w:ascii="Arial" w:hAnsi="Arial" w:cs="Arial"/>
              </w:rPr>
              <w:t>Gases de efecto invernadero</w:t>
            </w:r>
            <w:r w:rsidR="00BE2F93">
              <w:rPr>
                <w:rFonts w:ascii="Arial" w:hAnsi="Arial" w:cs="Arial"/>
              </w:rPr>
              <w:t xml:space="preserve">, son </w:t>
            </w:r>
            <w:r w:rsidR="006E1E8D" w:rsidRPr="006E1E8D">
              <w:rPr>
                <w:rFonts w:ascii="Arial" w:hAnsi="Arial" w:cs="Arial"/>
              </w:rPr>
              <w:t xml:space="preserve">aquellos gases que se acumulan en la </w:t>
            </w:r>
            <w:r w:rsidR="006E1E8D" w:rsidRPr="006E1E8D">
              <w:rPr>
                <w:rFonts w:ascii="Arial" w:hAnsi="Arial" w:cs="Arial"/>
              </w:rPr>
              <w:lastRenderedPageBreak/>
              <w:t>atmósfera terrestre y que son capaces de absorber la radiación infrarroja del Sol, aumentando y reteniendo el calor en la atmósfera</w:t>
            </w:r>
          </w:p>
        </w:tc>
      </w:tr>
      <w:tr w:rsidR="001A26B5" w:rsidRPr="001F1E82" w14:paraId="78637081" w14:textId="77777777" w:rsidTr="001A3B6D">
        <w:tc>
          <w:tcPr>
            <w:tcW w:w="1037" w:type="pct"/>
          </w:tcPr>
          <w:p w14:paraId="041DCCE8" w14:textId="77777777" w:rsidR="001A26B5" w:rsidRPr="00165AE4" w:rsidRDefault="001A26B5" w:rsidP="001E2FDB">
            <w:pPr>
              <w:spacing w:beforeLines="60" w:before="144" w:after="60"/>
              <w:rPr>
                <w:rFonts w:ascii="Arial" w:hAnsi="Arial" w:cs="Arial"/>
              </w:rPr>
            </w:pPr>
            <w:r>
              <w:rPr>
                <w:rFonts w:ascii="Arial" w:hAnsi="Arial" w:cs="Arial"/>
              </w:rPr>
              <w:lastRenderedPageBreak/>
              <w:t>INEEL</w:t>
            </w:r>
          </w:p>
        </w:tc>
        <w:tc>
          <w:tcPr>
            <w:tcW w:w="3963" w:type="pct"/>
          </w:tcPr>
          <w:p w14:paraId="064AA332" w14:textId="77777777" w:rsidR="001A26B5" w:rsidRPr="00165AE4" w:rsidRDefault="001A26B5" w:rsidP="001E2FDB">
            <w:pPr>
              <w:spacing w:beforeLines="60" w:before="144" w:after="60"/>
              <w:jc w:val="both"/>
              <w:rPr>
                <w:rFonts w:ascii="Arial" w:hAnsi="Arial" w:cs="Arial"/>
              </w:rPr>
            </w:pPr>
            <w:r>
              <w:rPr>
                <w:rFonts w:ascii="Arial" w:hAnsi="Arial" w:cs="Arial"/>
              </w:rPr>
              <w:t xml:space="preserve">Instituto Nacional de </w:t>
            </w:r>
            <w:r w:rsidR="00A941C3">
              <w:rPr>
                <w:rFonts w:ascii="Arial" w:hAnsi="Arial" w:cs="Arial"/>
              </w:rPr>
              <w:t>Electricidad y E</w:t>
            </w:r>
            <w:r w:rsidR="00B938B3">
              <w:rPr>
                <w:rFonts w:ascii="Arial" w:hAnsi="Arial" w:cs="Arial"/>
              </w:rPr>
              <w:t>nergías Limpias</w:t>
            </w:r>
            <w:r w:rsidR="00A941C3">
              <w:rPr>
                <w:rFonts w:ascii="Arial" w:hAnsi="Arial" w:cs="Arial"/>
              </w:rPr>
              <w:t xml:space="preserve"> </w:t>
            </w:r>
            <w:r w:rsidR="00A941C3" w:rsidRPr="00A941C3">
              <w:rPr>
                <w:rFonts w:ascii="Arial" w:hAnsi="Arial" w:cs="Arial"/>
              </w:rPr>
              <w:t>es el centro de investigación del sector energía, dedicado principalmente a las áreas eléctrica y energética de México</w:t>
            </w:r>
            <w:r w:rsidR="00A941C3">
              <w:rPr>
                <w:rFonts w:ascii="Arial" w:hAnsi="Arial" w:cs="Arial"/>
              </w:rPr>
              <w:t>.</w:t>
            </w:r>
          </w:p>
        </w:tc>
      </w:tr>
      <w:tr w:rsidR="001033A2" w:rsidRPr="001F1E82" w14:paraId="235A2BF7" w14:textId="77777777" w:rsidTr="001A3B6D">
        <w:tc>
          <w:tcPr>
            <w:tcW w:w="1037" w:type="pct"/>
          </w:tcPr>
          <w:p w14:paraId="19DFFFAC" w14:textId="77777777" w:rsidR="001033A2" w:rsidRPr="00165AE4" w:rsidRDefault="001033A2" w:rsidP="001E2FDB">
            <w:pPr>
              <w:spacing w:beforeLines="60" w:before="144" w:after="60"/>
              <w:rPr>
                <w:rFonts w:ascii="Arial" w:hAnsi="Arial" w:cs="Arial"/>
              </w:rPr>
            </w:pPr>
            <w:r w:rsidRPr="00165AE4">
              <w:rPr>
                <w:rFonts w:ascii="Arial" w:hAnsi="Arial" w:cs="Arial"/>
              </w:rPr>
              <w:t>Intermediarios Financieros (</w:t>
            </w:r>
            <w:r w:rsidR="00693927" w:rsidRPr="00165AE4">
              <w:rPr>
                <w:rFonts w:ascii="Arial" w:hAnsi="Arial" w:cs="Arial"/>
              </w:rPr>
              <w:t>IFI’s</w:t>
            </w:r>
            <w:r w:rsidRPr="00165AE4">
              <w:rPr>
                <w:rFonts w:ascii="Arial" w:hAnsi="Arial" w:cs="Arial"/>
              </w:rPr>
              <w:t>).</w:t>
            </w:r>
          </w:p>
        </w:tc>
        <w:tc>
          <w:tcPr>
            <w:tcW w:w="3963" w:type="pct"/>
          </w:tcPr>
          <w:p w14:paraId="4160383C" w14:textId="77777777" w:rsidR="001033A2" w:rsidRPr="00BE45F7" w:rsidRDefault="001033A2" w:rsidP="001E2FDB">
            <w:pPr>
              <w:spacing w:beforeLines="60" w:before="144" w:after="60"/>
              <w:jc w:val="both"/>
              <w:rPr>
                <w:rFonts w:ascii="Arial" w:hAnsi="Arial" w:cs="Arial"/>
              </w:rPr>
            </w:pPr>
            <w:r w:rsidRPr="00BE45F7">
              <w:rPr>
                <w:rFonts w:ascii="Arial" w:hAnsi="Arial" w:cs="Arial"/>
              </w:rPr>
              <w:t xml:space="preserve">Cualquier Institución financiera o </w:t>
            </w:r>
            <w:r w:rsidR="00592AA1">
              <w:rPr>
                <w:rFonts w:ascii="Arial" w:hAnsi="Arial" w:cs="Arial"/>
              </w:rPr>
              <w:t>medio</w:t>
            </w:r>
            <w:r w:rsidRPr="00BE45F7">
              <w:rPr>
                <w:rFonts w:ascii="Arial" w:hAnsi="Arial" w:cs="Arial"/>
              </w:rPr>
              <w:t xml:space="preserve"> que realice intermediación y a su vez otorgue crédito a empresas generadoras de energías renovables para operaciones elegibles y que pertenezca a la red de intermediación y/o cuente con calificación de NAFIN para celebrar operaciones de descuento y/o crédito, en beneficio de sus clientes o acreditados. Dichas instituciones deberán cumplir con los criterios de elegibilidad de conformidad con este ROP.</w:t>
            </w:r>
          </w:p>
        </w:tc>
      </w:tr>
      <w:tr w:rsidR="001033A2" w:rsidRPr="001F1E82" w14:paraId="41E527D9" w14:textId="77777777" w:rsidTr="001A3B6D">
        <w:tc>
          <w:tcPr>
            <w:tcW w:w="1037" w:type="pct"/>
          </w:tcPr>
          <w:p w14:paraId="55557839" w14:textId="77777777" w:rsidR="001033A2" w:rsidRPr="00165AE4" w:rsidRDefault="001033A2" w:rsidP="001E2FDB">
            <w:pPr>
              <w:spacing w:beforeLines="60" w:before="144" w:after="60"/>
              <w:rPr>
                <w:rFonts w:ascii="Arial" w:hAnsi="Arial" w:cs="Arial"/>
              </w:rPr>
            </w:pPr>
            <w:r w:rsidRPr="00165AE4">
              <w:rPr>
                <w:rFonts w:ascii="Arial" w:hAnsi="Arial" w:cs="Arial"/>
              </w:rPr>
              <w:t>MAGAS.</w:t>
            </w:r>
          </w:p>
        </w:tc>
        <w:tc>
          <w:tcPr>
            <w:tcW w:w="3963" w:type="pct"/>
          </w:tcPr>
          <w:p w14:paraId="4AF20636" w14:textId="77777777" w:rsidR="001033A2" w:rsidRPr="004248CB" w:rsidRDefault="001033A2" w:rsidP="001E2FDB">
            <w:pPr>
              <w:spacing w:beforeLines="60" w:before="144" w:after="60"/>
              <w:jc w:val="both"/>
              <w:rPr>
                <w:rFonts w:ascii="Arial" w:hAnsi="Arial" w:cs="Arial"/>
              </w:rPr>
            </w:pPr>
            <w:r w:rsidRPr="00E44C41">
              <w:rPr>
                <w:rFonts w:ascii="Arial" w:hAnsi="Arial" w:cs="Arial"/>
              </w:rPr>
              <w:t>Marco de Gestión Ambiental y Soci</w:t>
            </w:r>
            <w:r w:rsidRPr="00B14A67">
              <w:rPr>
                <w:rFonts w:ascii="Arial" w:hAnsi="Arial" w:cs="Arial"/>
              </w:rPr>
              <w:t xml:space="preserve">al. Es el </w:t>
            </w:r>
            <w:r w:rsidR="00592AA1">
              <w:rPr>
                <w:rFonts w:ascii="Arial" w:hAnsi="Arial" w:cs="Arial"/>
              </w:rPr>
              <w:t xml:space="preserve">mecanismo por el cual se establece el </w:t>
            </w:r>
            <w:r w:rsidRPr="00B14A67">
              <w:rPr>
                <w:rFonts w:ascii="Arial" w:hAnsi="Arial" w:cs="Arial"/>
              </w:rPr>
              <w:t xml:space="preserve">Manual de Gestión Ambiental y Social del </w:t>
            </w:r>
            <w:r w:rsidR="00743CAA" w:rsidRPr="00B14A67">
              <w:rPr>
                <w:rFonts w:ascii="Arial" w:hAnsi="Arial" w:cs="Arial"/>
              </w:rPr>
              <w:t>PFTRG</w:t>
            </w:r>
            <w:r w:rsidRPr="004248CB">
              <w:rPr>
                <w:rFonts w:ascii="Arial" w:hAnsi="Arial" w:cs="Arial"/>
              </w:rPr>
              <w:t>, cuyo objetivo es asegurar que los sub-proyectos financiados cumplan con las exigencias ambientales del Gobierno de México y las políticas ambientales y sociales del Banco.</w:t>
            </w:r>
          </w:p>
        </w:tc>
      </w:tr>
      <w:tr w:rsidR="001033A2" w:rsidRPr="00D3026E" w14:paraId="7B0C5798" w14:textId="77777777" w:rsidTr="001A3B6D">
        <w:tc>
          <w:tcPr>
            <w:tcW w:w="1037" w:type="pct"/>
          </w:tcPr>
          <w:p w14:paraId="0F368EB2" w14:textId="77777777" w:rsidR="001033A2" w:rsidRPr="00165AE4" w:rsidRDefault="001033A2" w:rsidP="001E2FDB">
            <w:pPr>
              <w:spacing w:beforeLines="60" w:before="144" w:after="60"/>
              <w:rPr>
                <w:rFonts w:ascii="Arial" w:hAnsi="Arial" w:cs="Arial"/>
              </w:rPr>
            </w:pPr>
            <w:r w:rsidRPr="00165AE4">
              <w:rPr>
                <w:rFonts w:ascii="Arial" w:hAnsi="Arial" w:cs="Arial"/>
              </w:rPr>
              <w:t>NAFIN.</w:t>
            </w:r>
          </w:p>
        </w:tc>
        <w:tc>
          <w:tcPr>
            <w:tcW w:w="3963" w:type="pct"/>
          </w:tcPr>
          <w:p w14:paraId="3B0CF47E" w14:textId="77777777" w:rsidR="001033A2" w:rsidRPr="00E44C41" w:rsidRDefault="001033A2" w:rsidP="001E2FDB">
            <w:pPr>
              <w:spacing w:beforeLines="60" w:before="144" w:after="60"/>
              <w:jc w:val="both"/>
              <w:rPr>
                <w:rFonts w:ascii="Arial" w:hAnsi="Arial" w:cs="Arial"/>
              </w:rPr>
            </w:pPr>
            <w:r w:rsidRPr="00E44C41">
              <w:rPr>
                <w:rFonts w:ascii="Arial" w:hAnsi="Arial" w:cs="Arial"/>
              </w:rPr>
              <w:t>Nacional Financiera, S.N.C.</w:t>
            </w:r>
            <w:r w:rsidR="00936F04">
              <w:rPr>
                <w:rFonts w:ascii="Arial" w:hAnsi="Arial" w:cs="Arial"/>
              </w:rPr>
              <w:t>,</w:t>
            </w:r>
            <w:r w:rsidRPr="00E44C41">
              <w:rPr>
                <w:rFonts w:ascii="Arial" w:hAnsi="Arial" w:cs="Arial"/>
              </w:rPr>
              <w:t xml:space="preserve"> Institución de Banc</w:t>
            </w:r>
            <w:bookmarkStart w:id="16" w:name="_GoBack"/>
            <w:bookmarkEnd w:id="16"/>
            <w:r w:rsidRPr="00E44C41">
              <w:rPr>
                <w:rFonts w:ascii="Arial" w:hAnsi="Arial" w:cs="Arial"/>
              </w:rPr>
              <w:t>a de Desarrollo</w:t>
            </w:r>
            <w:r w:rsidR="0034778E">
              <w:rPr>
                <w:rFonts w:ascii="Arial" w:hAnsi="Arial" w:cs="Arial"/>
              </w:rPr>
              <w:t xml:space="preserve"> en México</w:t>
            </w:r>
            <w:r w:rsidR="006E1E8D">
              <w:rPr>
                <w:rFonts w:ascii="Arial" w:hAnsi="Arial" w:cs="Arial"/>
              </w:rPr>
              <w:t xml:space="preserve"> encargada de promover el ahorro y la inversión a través de la gestión de proyectos, </w:t>
            </w:r>
            <w:r w:rsidR="006E1E8D">
              <w:rPr>
                <w:rFonts w:ascii="Arial" w:hAnsi="Arial" w:cs="Arial"/>
                <w:color w:val="222222"/>
                <w:sz w:val="21"/>
                <w:szCs w:val="21"/>
                <w:shd w:val="clear" w:color="auto" w:fill="FFFFFF"/>
              </w:rPr>
              <w:t>el establecimiento de programas de financiamiento, la coordinación de inversiones de capitales y el incremento de la productividad</w:t>
            </w:r>
            <w:r w:rsidRPr="00E44C41">
              <w:rPr>
                <w:rFonts w:ascii="Arial" w:hAnsi="Arial" w:cs="Arial"/>
              </w:rPr>
              <w:t>.</w:t>
            </w:r>
          </w:p>
        </w:tc>
      </w:tr>
      <w:tr w:rsidR="001033A2" w:rsidRPr="001F1E82" w14:paraId="31A21BD8" w14:textId="77777777" w:rsidTr="001A3B6D">
        <w:tc>
          <w:tcPr>
            <w:tcW w:w="1037" w:type="pct"/>
          </w:tcPr>
          <w:p w14:paraId="2389498C" w14:textId="77777777" w:rsidR="001033A2" w:rsidRPr="001F1E82" w:rsidRDefault="001033A2" w:rsidP="001E2FDB">
            <w:pPr>
              <w:spacing w:beforeLines="60" w:before="144" w:after="60"/>
              <w:rPr>
                <w:rFonts w:ascii="Arial" w:hAnsi="Arial" w:cs="Arial"/>
              </w:rPr>
            </w:pPr>
            <w:r w:rsidRPr="001F1E82">
              <w:rPr>
                <w:rFonts w:ascii="Arial" w:hAnsi="Arial" w:cs="Arial"/>
              </w:rPr>
              <w:t>Operaciones Elegibles.</w:t>
            </w:r>
          </w:p>
        </w:tc>
        <w:tc>
          <w:tcPr>
            <w:tcW w:w="3963" w:type="pct"/>
          </w:tcPr>
          <w:p w14:paraId="64D745EA" w14:textId="77777777" w:rsidR="001033A2" w:rsidRPr="001F1E82" w:rsidRDefault="001033A2" w:rsidP="001E2FDB">
            <w:pPr>
              <w:spacing w:beforeLines="60" w:before="144" w:after="60"/>
              <w:jc w:val="both"/>
              <w:rPr>
                <w:rFonts w:ascii="Arial" w:hAnsi="Arial" w:cs="Arial"/>
              </w:rPr>
            </w:pPr>
            <w:r w:rsidRPr="001F1E82">
              <w:rPr>
                <w:rFonts w:ascii="Arial" w:hAnsi="Arial" w:cs="Arial"/>
              </w:rPr>
              <w:t xml:space="preserve">Los Sub-préstamos otorgados por NAFIN a los Sub-prestatarios Elegibles, para financiar la </w:t>
            </w:r>
            <w:r w:rsidR="00936F04">
              <w:rPr>
                <w:rFonts w:ascii="Arial" w:hAnsi="Arial" w:cs="Arial"/>
              </w:rPr>
              <w:t xml:space="preserve">exploración, </w:t>
            </w:r>
            <w:r w:rsidRPr="001F1E82">
              <w:rPr>
                <w:rFonts w:ascii="Arial" w:hAnsi="Arial" w:cs="Arial"/>
              </w:rPr>
              <w:t>construcción y/u operación de proyectos de inversión en energía</w:t>
            </w:r>
            <w:r w:rsidR="00936F04">
              <w:rPr>
                <w:rFonts w:ascii="Arial" w:hAnsi="Arial" w:cs="Arial"/>
              </w:rPr>
              <w:t xml:space="preserve"> Geotérmica</w:t>
            </w:r>
            <w:r w:rsidRPr="001F1E82">
              <w:rPr>
                <w:rFonts w:ascii="Arial" w:hAnsi="Arial" w:cs="Arial"/>
              </w:rPr>
              <w:t>.</w:t>
            </w:r>
          </w:p>
        </w:tc>
      </w:tr>
      <w:tr w:rsidR="009978C7" w:rsidRPr="001F1E82" w14:paraId="1B3D756C" w14:textId="77777777" w:rsidTr="001A3B6D">
        <w:tc>
          <w:tcPr>
            <w:tcW w:w="1037" w:type="pct"/>
          </w:tcPr>
          <w:p w14:paraId="3312EE48" w14:textId="77777777" w:rsidR="009978C7" w:rsidRPr="00165AE4" w:rsidRDefault="009978C7" w:rsidP="001E2FDB">
            <w:pPr>
              <w:spacing w:beforeLines="60" w:before="144" w:after="60"/>
              <w:rPr>
                <w:rFonts w:ascii="Arial" w:hAnsi="Arial" w:cs="Arial"/>
              </w:rPr>
            </w:pPr>
            <w:r w:rsidRPr="00165AE4">
              <w:rPr>
                <w:rFonts w:ascii="Arial" w:hAnsi="Arial" w:cs="Arial"/>
              </w:rPr>
              <w:t>Pozos Perforados</w:t>
            </w:r>
            <w:r w:rsidR="00D35CBF">
              <w:rPr>
                <w:rFonts w:ascii="Arial" w:hAnsi="Arial" w:cs="Arial"/>
              </w:rPr>
              <w:t>.</w:t>
            </w:r>
          </w:p>
        </w:tc>
        <w:tc>
          <w:tcPr>
            <w:tcW w:w="3963" w:type="pct"/>
          </w:tcPr>
          <w:p w14:paraId="784C1E90" w14:textId="77777777" w:rsidR="009978C7" w:rsidRPr="00165AE4" w:rsidRDefault="009978C7" w:rsidP="001E2FDB">
            <w:pPr>
              <w:spacing w:beforeLines="60" w:before="144" w:after="60"/>
              <w:jc w:val="both"/>
              <w:rPr>
                <w:rFonts w:ascii="Arial" w:hAnsi="Arial" w:cs="Arial"/>
              </w:rPr>
            </w:pPr>
            <w:r w:rsidRPr="00165AE4">
              <w:rPr>
                <w:rFonts w:ascii="Arial" w:hAnsi="Arial" w:cs="Arial"/>
              </w:rPr>
              <w:t>Pozo</w:t>
            </w:r>
            <w:r w:rsidR="0013264E">
              <w:rPr>
                <w:rFonts w:ascii="Arial" w:hAnsi="Arial" w:cs="Arial"/>
              </w:rPr>
              <w:t>s</w:t>
            </w:r>
            <w:r w:rsidRPr="00165AE4">
              <w:rPr>
                <w:rFonts w:ascii="Arial" w:hAnsi="Arial" w:cs="Arial"/>
              </w:rPr>
              <w:t xml:space="preserve"> que se ha</w:t>
            </w:r>
            <w:r w:rsidR="00936F04">
              <w:rPr>
                <w:rFonts w:ascii="Arial" w:hAnsi="Arial" w:cs="Arial"/>
              </w:rPr>
              <w:t>n</w:t>
            </w:r>
            <w:r w:rsidRPr="00165AE4">
              <w:rPr>
                <w:rFonts w:ascii="Arial" w:hAnsi="Arial" w:cs="Arial"/>
              </w:rPr>
              <w:t xml:space="preserve"> perforado y terminado, independientemente de su productividad.</w:t>
            </w:r>
          </w:p>
        </w:tc>
      </w:tr>
      <w:tr w:rsidR="001033A2" w:rsidRPr="001F1E82" w14:paraId="1EE4DC48" w14:textId="77777777" w:rsidTr="001A3B6D">
        <w:tc>
          <w:tcPr>
            <w:tcW w:w="1037" w:type="pct"/>
          </w:tcPr>
          <w:p w14:paraId="1FCE747F" w14:textId="77777777" w:rsidR="001033A2" w:rsidRPr="00165AE4" w:rsidRDefault="001033A2" w:rsidP="001E2FDB">
            <w:pPr>
              <w:spacing w:beforeLines="60" w:before="144" w:after="60"/>
              <w:rPr>
                <w:rFonts w:ascii="Arial" w:hAnsi="Arial" w:cs="Arial"/>
              </w:rPr>
            </w:pPr>
            <w:r w:rsidRPr="00165AE4">
              <w:rPr>
                <w:rFonts w:ascii="Arial" w:hAnsi="Arial" w:cs="Arial"/>
              </w:rPr>
              <w:t>Prestatario o Ejecutor.</w:t>
            </w:r>
          </w:p>
        </w:tc>
        <w:tc>
          <w:tcPr>
            <w:tcW w:w="3963" w:type="pct"/>
          </w:tcPr>
          <w:p w14:paraId="4E57F1D2" w14:textId="77777777" w:rsidR="001033A2" w:rsidRPr="00E44C41" w:rsidRDefault="001033A2" w:rsidP="001E2FDB">
            <w:pPr>
              <w:spacing w:beforeLines="60" w:before="144" w:after="60"/>
              <w:jc w:val="both"/>
              <w:rPr>
                <w:rFonts w:ascii="Arial" w:hAnsi="Arial" w:cs="Arial"/>
              </w:rPr>
            </w:pPr>
            <w:r w:rsidRPr="00E44C41">
              <w:rPr>
                <w:rFonts w:ascii="Arial" w:hAnsi="Arial" w:cs="Arial"/>
              </w:rPr>
              <w:t>NAFIN.</w:t>
            </w:r>
          </w:p>
        </w:tc>
      </w:tr>
      <w:tr w:rsidR="001033A2" w:rsidRPr="001F1E82" w14:paraId="35D6778A" w14:textId="77777777" w:rsidTr="001A3B6D">
        <w:tc>
          <w:tcPr>
            <w:tcW w:w="1037" w:type="pct"/>
          </w:tcPr>
          <w:p w14:paraId="4CE38B93" w14:textId="77777777" w:rsidR="001033A2" w:rsidRPr="00165AE4" w:rsidRDefault="009D7457" w:rsidP="001E2FDB">
            <w:pPr>
              <w:spacing w:beforeLines="60" w:before="144" w:after="60"/>
              <w:rPr>
                <w:rFonts w:ascii="Arial" w:hAnsi="Arial" w:cs="Arial"/>
              </w:rPr>
            </w:pPr>
            <w:r w:rsidRPr="00165AE4">
              <w:rPr>
                <w:rFonts w:ascii="Arial" w:hAnsi="Arial" w:cs="Arial"/>
              </w:rPr>
              <w:t xml:space="preserve">Programa de Financiamiento y Transferencia de Riesgos para Geotermia </w:t>
            </w:r>
            <w:r w:rsidR="001033A2" w:rsidRPr="00165AE4">
              <w:rPr>
                <w:rFonts w:ascii="Arial" w:hAnsi="Arial" w:cs="Arial"/>
              </w:rPr>
              <w:t>(</w:t>
            </w:r>
            <w:r w:rsidR="00743CAA" w:rsidRPr="00165AE4">
              <w:rPr>
                <w:rFonts w:ascii="Arial" w:hAnsi="Arial" w:cs="Arial"/>
              </w:rPr>
              <w:t>PFTRG</w:t>
            </w:r>
            <w:r w:rsidR="001033A2" w:rsidRPr="00165AE4">
              <w:rPr>
                <w:rFonts w:ascii="Arial" w:hAnsi="Arial" w:cs="Arial"/>
              </w:rPr>
              <w:t>).</w:t>
            </w:r>
          </w:p>
        </w:tc>
        <w:tc>
          <w:tcPr>
            <w:tcW w:w="3963" w:type="pct"/>
          </w:tcPr>
          <w:p w14:paraId="506E62F0" w14:textId="555D04CA" w:rsidR="001033A2" w:rsidRPr="00165AE4" w:rsidRDefault="00674472" w:rsidP="001E2FDB">
            <w:pPr>
              <w:spacing w:beforeLines="60" w:before="144" w:after="60"/>
              <w:jc w:val="both"/>
              <w:rPr>
                <w:rFonts w:ascii="Arial" w:hAnsi="Arial" w:cs="Arial"/>
              </w:rPr>
            </w:pPr>
            <w:r>
              <w:rPr>
                <w:rFonts w:ascii="Arial" w:hAnsi="Arial" w:cs="Arial"/>
              </w:rPr>
              <w:t xml:space="preserve">Programa </w:t>
            </w:r>
            <w:r w:rsidR="00624CD6">
              <w:rPr>
                <w:rFonts w:ascii="Arial" w:hAnsi="Arial" w:cs="Arial"/>
              </w:rPr>
              <w:t xml:space="preserve">de financiamiento diseñado por el BID y NAFIN que tiene el propósito de aumentar la escala de las inversiones en los proyectos de generación geo-termoeléctrica dando acceso </w:t>
            </w:r>
            <w:r w:rsidR="00624CD6" w:rsidRPr="00624CD6">
              <w:rPr>
                <w:rFonts w:ascii="Arial" w:hAnsi="Arial" w:cs="Arial"/>
                <w:lang w:val="es-ES_tradnl"/>
              </w:rPr>
              <w:t>acceso a una serie de mecanismos financieros adaptados para satisfacer las necesidades específicas de cada una de las etapas de desarrollo de los proyectos</w:t>
            </w:r>
            <w:r w:rsidR="00624CD6">
              <w:rPr>
                <w:rFonts w:ascii="Arial" w:hAnsi="Arial" w:cs="Arial"/>
                <w:lang w:val="es-ES_tradnl"/>
              </w:rPr>
              <w:t xml:space="preserve">. </w:t>
            </w:r>
            <w:r w:rsidR="00624CD6">
              <w:rPr>
                <w:rFonts w:ascii="Arial" w:hAnsi="Arial" w:cs="Arial"/>
              </w:rPr>
              <w:t xml:space="preserve"> </w:t>
            </w:r>
          </w:p>
        </w:tc>
      </w:tr>
      <w:tr w:rsidR="00687513" w:rsidRPr="001F1E82" w14:paraId="18881C9A" w14:textId="77777777" w:rsidTr="001A3B6D">
        <w:tc>
          <w:tcPr>
            <w:tcW w:w="1037" w:type="pct"/>
          </w:tcPr>
          <w:p w14:paraId="7FB4C79D" w14:textId="77777777" w:rsidR="00687513" w:rsidRPr="00165AE4" w:rsidRDefault="00687513" w:rsidP="001E2FDB">
            <w:pPr>
              <w:spacing w:beforeLines="60" w:before="144" w:after="60"/>
              <w:rPr>
                <w:rFonts w:ascii="Arial" w:hAnsi="Arial" w:cs="Arial"/>
              </w:rPr>
            </w:pPr>
            <w:r w:rsidRPr="00165AE4">
              <w:rPr>
                <w:rFonts w:ascii="Arial" w:hAnsi="Arial" w:cs="Arial"/>
              </w:rPr>
              <w:t>Producción Real</w:t>
            </w:r>
            <w:r w:rsidR="00936F04">
              <w:rPr>
                <w:rFonts w:ascii="Arial" w:hAnsi="Arial" w:cs="Arial"/>
              </w:rPr>
              <w:t>.</w:t>
            </w:r>
          </w:p>
        </w:tc>
        <w:tc>
          <w:tcPr>
            <w:tcW w:w="3963" w:type="pct"/>
          </w:tcPr>
          <w:p w14:paraId="555AD41C" w14:textId="77777777" w:rsidR="00687513" w:rsidRPr="00165AE4" w:rsidRDefault="00687513" w:rsidP="001E2FDB">
            <w:pPr>
              <w:spacing w:beforeLines="60" w:before="144" w:after="60"/>
              <w:jc w:val="both"/>
              <w:rPr>
                <w:rFonts w:ascii="Arial" w:hAnsi="Arial" w:cs="Arial"/>
              </w:rPr>
            </w:pPr>
            <w:r w:rsidRPr="00165AE4">
              <w:rPr>
                <w:rFonts w:ascii="Arial" w:hAnsi="Arial" w:cs="Arial"/>
              </w:rPr>
              <w:t>La producción real alcanzada por un pozo (ya sea que se trate o no de un Pozo Asegurado) perforado como parte del Proyecto, que se calcula en M</w:t>
            </w:r>
            <w:r w:rsidR="005E7B36">
              <w:rPr>
                <w:rFonts w:ascii="Arial" w:hAnsi="Arial" w:cs="Arial"/>
              </w:rPr>
              <w:t>egavatio (M</w:t>
            </w:r>
            <w:r w:rsidRPr="00165AE4">
              <w:rPr>
                <w:rFonts w:ascii="Arial" w:hAnsi="Arial" w:cs="Arial"/>
              </w:rPr>
              <w:t>W</w:t>
            </w:r>
            <w:r w:rsidR="005E7B36">
              <w:rPr>
                <w:rFonts w:ascii="Arial" w:hAnsi="Arial" w:cs="Arial"/>
              </w:rPr>
              <w:t>)</w:t>
            </w:r>
            <w:r w:rsidR="00936F04">
              <w:rPr>
                <w:rFonts w:ascii="Arial" w:hAnsi="Arial" w:cs="Arial"/>
              </w:rPr>
              <w:t>,</w:t>
            </w:r>
            <w:r w:rsidRPr="00165AE4">
              <w:rPr>
                <w:rFonts w:ascii="Arial" w:hAnsi="Arial" w:cs="Arial"/>
              </w:rPr>
              <w:t xml:space="preserve"> y medido mediante las Pruebas de Desempeño del Pozo que se llevan a cabo in</w:t>
            </w:r>
            <w:r w:rsidR="00AA2D60">
              <w:rPr>
                <w:rFonts w:ascii="Arial" w:hAnsi="Arial" w:cs="Arial"/>
              </w:rPr>
              <w:t>-</w:t>
            </w:r>
            <w:r w:rsidRPr="00165AE4">
              <w:rPr>
                <w:rFonts w:ascii="Arial" w:hAnsi="Arial" w:cs="Arial"/>
              </w:rPr>
              <w:t xml:space="preserve">situ de acuerdo con el Programa de Pruebas (o mediante las Pruebas Finales de Desempeño del Pozo de conformidad con </w:t>
            </w:r>
            <w:r w:rsidR="005E7B36">
              <w:rPr>
                <w:rFonts w:ascii="Arial" w:hAnsi="Arial" w:cs="Arial"/>
              </w:rPr>
              <w:t>este reglamento</w:t>
            </w:r>
            <w:r w:rsidRPr="00165AE4">
              <w:rPr>
                <w:rFonts w:ascii="Arial" w:hAnsi="Arial" w:cs="Arial"/>
              </w:rPr>
              <w:t>).</w:t>
            </w:r>
          </w:p>
        </w:tc>
      </w:tr>
      <w:tr w:rsidR="00687513" w:rsidRPr="001F1E82" w14:paraId="1DE585BA" w14:textId="77777777" w:rsidTr="001A3B6D">
        <w:tc>
          <w:tcPr>
            <w:tcW w:w="1037" w:type="pct"/>
          </w:tcPr>
          <w:p w14:paraId="38BDFF09" w14:textId="77777777" w:rsidR="00687513" w:rsidRPr="00165AE4" w:rsidRDefault="00687513" w:rsidP="001E2FDB">
            <w:pPr>
              <w:spacing w:beforeLines="60" w:before="144" w:after="60"/>
              <w:rPr>
                <w:rFonts w:ascii="Arial" w:hAnsi="Arial" w:cs="Arial"/>
              </w:rPr>
            </w:pPr>
            <w:r w:rsidRPr="00165AE4">
              <w:rPr>
                <w:rFonts w:ascii="Arial" w:hAnsi="Arial" w:cs="Arial"/>
              </w:rPr>
              <w:t>Producción Real Total</w:t>
            </w:r>
            <w:r w:rsidR="00936F04">
              <w:rPr>
                <w:rFonts w:ascii="Arial" w:hAnsi="Arial" w:cs="Arial"/>
              </w:rPr>
              <w:t>.</w:t>
            </w:r>
          </w:p>
        </w:tc>
        <w:tc>
          <w:tcPr>
            <w:tcW w:w="3963" w:type="pct"/>
          </w:tcPr>
          <w:p w14:paraId="6BEDD3DC" w14:textId="77777777" w:rsidR="00687513" w:rsidRPr="00E44C41" w:rsidRDefault="00687513" w:rsidP="001E2FDB">
            <w:pPr>
              <w:spacing w:beforeLines="60" w:before="144" w:after="60"/>
              <w:jc w:val="both"/>
              <w:rPr>
                <w:rFonts w:ascii="Arial" w:hAnsi="Arial" w:cs="Arial"/>
              </w:rPr>
            </w:pPr>
            <w:r w:rsidRPr="00165AE4">
              <w:rPr>
                <w:rFonts w:ascii="Arial" w:hAnsi="Arial" w:cs="Arial"/>
              </w:rPr>
              <w:t>La suma de la Producción Real de todos los pozos (ya sea que se trate o no de Pozos Asegurados) perforados como parte del Proyecto a la fecha de medición.</w:t>
            </w:r>
          </w:p>
        </w:tc>
      </w:tr>
      <w:tr w:rsidR="001033A2" w:rsidRPr="001F1E82" w14:paraId="194C227D" w14:textId="77777777" w:rsidTr="001A3B6D">
        <w:tc>
          <w:tcPr>
            <w:tcW w:w="1037" w:type="pct"/>
          </w:tcPr>
          <w:p w14:paraId="0947EC24" w14:textId="77777777" w:rsidR="001033A2" w:rsidRPr="001F1E82" w:rsidRDefault="001033A2" w:rsidP="001E2FDB">
            <w:pPr>
              <w:spacing w:beforeLines="60" w:before="144" w:after="60"/>
              <w:rPr>
                <w:rFonts w:ascii="Arial" w:hAnsi="Arial" w:cs="Arial"/>
              </w:rPr>
            </w:pPr>
            <w:r w:rsidRPr="001F1E82">
              <w:rPr>
                <w:rFonts w:ascii="Arial" w:hAnsi="Arial" w:cs="Arial"/>
              </w:rPr>
              <w:lastRenderedPageBreak/>
              <w:t xml:space="preserve">Proyectos </w:t>
            </w:r>
            <w:r w:rsidR="001962E4">
              <w:rPr>
                <w:rFonts w:ascii="Arial" w:hAnsi="Arial" w:cs="Arial"/>
              </w:rPr>
              <w:t>Elegibles</w:t>
            </w:r>
            <w:r w:rsidR="00165AE4">
              <w:rPr>
                <w:rFonts w:ascii="Arial" w:hAnsi="Arial" w:cs="Arial"/>
              </w:rPr>
              <w:t xml:space="preserve"> Geotermales</w:t>
            </w:r>
            <w:r w:rsidR="00C71443">
              <w:rPr>
                <w:rFonts w:ascii="Arial" w:hAnsi="Arial" w:cs="Arial"/>
              </w:rPr>
              <w:t xml:space="preserve"> (</w:t>
            </w:r>
            <w:r w:rsidR="001962E4">
              <w:rPr>
                <w:rFonts w:ascii="Arial" w:hAnsi="Arial" w:cs="Arial"/>
              </w:rPr>
              <w:t>P</w:t>
            </w:r>
            <w:r w:rsidR="00C71443">
              <w:rPr>
                <w:rFonts w:ascii="Arial" w:hAnsi="Arial" w:cs="Arial"/>
              </w:rPr>
              <w:t>E</w:t>
            </w:r>
            <w:r w:rsidR="00165AE4">
              <w:rPr>
                <w:rFonts w:ascii="Arial" w:hAnsi="Arial" w:cs="Arial"/>
              </w:rPr>
              <w:t>G</w:t>
            </w:r>
            <w:r w:rsidR="001962E4">
              <w:rPr>
                <w:rFonts w:ascii="Arial" w:hAnsi="Arial" w:cs="Arial"/>
              </w:rPr>
              <w:t>)</w:t>
            </w:r>
            <w:r w:rsidR="006B6E81">
              <w:rPr>
                <w:rFonts w:ascii="Arial" w:hAnsi="Arial" w:cs="Arial"/>
              </w:rPr>
              <w:t>.</w:t>
            </w:r>
            <w:r w:rsidR="001962E4">
              <w:rPr>
                <w:rFonts w:ascii="Arial" w:hAnsi="Arial" w:cs="Arial"/>
              </w:rPr>
              <w:t xml:space="preserve"> </w:t>
            </w:r>
          </w:p>
        </w:tc>
        <w:tc>
          <w:tcPr>
            <w:tcW w:w="3963" w:type="pct"/>
          </w:tcPr>
          <w:p w14:paraId="273AE411" w14:textId="77777777" w:rsidR="001033A2" w:rsidRPr="001F1E82" w:rsidRDefault="001033A2" w:rsidP="001E2FDB">
            <w:pPr>
              <w:spacing w:beforeLines="60" w:before="144" w:after="60"/>
              <w:jc w:val="both"/>
              <w:rPr>
                <w:rFonts w:ascii="Arial" w:hAnsi="Arial" w:cs="Arial"/>
              </w:rPr>
            </w:pPr>
            <w:r w:rsidRPr="001F1E82">
              <w:rPr>
                <w:rFonts w:ascii="Arial" w:hAnsi="Arial" w:cs="Arial"/>
              </w:rPr>
              <w:t xml:space="preserve">Son aquéllos que generan energía eléctrica a partir de </w:t>
            </w:r>
            <w:r w:rsidR="00165AE4">
              <w:rPr>
                <w:rFonts w:ascii="Arial" w:hAnsi="Arial" w:cs="Arial"/>
              </w:rPr>
              <w:t>la fuente Geotermal</w:t>
            </w:r>
            <w:r w:rsidR="001962E4">
              <w:rPr>
                <w:rFonts w:ascii="Arial" w:hAnsi="Arial" w:cs="Arial"/>
              </w:rPr>
              <w:t xml:space="preserve">, </w:t>
            </w:r>
            <w:r w:rsidR="001150BB">
              <w:rPr>
                <w:rFonts w:ascii="Arial" w:hAnsi="Arial" w:cs="Arial"/>
              </w:rPr>
              <w:t>y que cumplen con lo aplicable en este reglamento operativo y el propio PFTRG</w:t>
            </w:r>
            <w:r w:rsidR="00F15A11">
              <w:rPr>
                <w:rFonts w:ascii="Arial" w:hAnsi="Arial" w:cs="Arial"/>
              </w:rPr>
              <w:t>.</w:t>
            </w:r>
          </w:p>
        </w:tc>
      </w:tr>
      <w:tr w:rsidR="001033A2" w:rsidRPr="001F1E82" w14:paraId="57AF1E02" w14:textId="77777777" w:rsidTr="001A3B6D">
        <w:tc>
          <w:tcPr>
            <w:tcW w:w="1037" w:type="pct"/>
          </w:tcPr>
          <w:p w14:paraId="18D3E5BC" w14:textId="77777777" w:rsidR="001033A2" w:rsidRPr="00533B5B" w:rsidRDefault="001033A2" w:rsidP="001E2FDB">
            <w:pPr>
              <w:spacing w:beforeLines="60" w:before="144" w:after="60"/>
              <w:rPr>
                <w:rFonts w:ascii="Arial" w:hAnsi="Arial" w:cs="Arial"/>
              </w:rPr>
            </w:pPr>
            <w:r w:rsidRPr="00533B5B">
              <w:rPr>
                <w:rFonts w:ascii="Arial" w:hAnsi="Arial" w:cs="Arial"/>
              </w:rPr>
              <w:t xml:space="preserve">Recursos del </w:t>
            </w:r>
            <w:r w:rsidR="00743CAA" w:rsidRPr="00533B5B">
              <w:rPr>
                <w:rFonts w:ascii="Arial" w:hAnsi="Arial" w:cs="Arial"/>
              </w:rPr>
              <w:t>PFTRG</w:t>
            </w:r>
            <w:r w:rsidRPr="00533B5B">
              <w:rPr>
                <w:rFonts w:ascii="Arial" w:hAnsi="Arial" w:cs="Arial"/>
              </w:rPr>
              <w:t>.</w:t>
            </w:r>
          </w:p>
        </w:tc>
        <w:tc>
          <w:tcPr>
            <w:tcW w:w="3963" w:type="pct"/>
          </w:tcPr>
          <w:p w14:paraId="14212C59" w14:textId="77777777" w:rsidR="001033A2" w:rsidRPr="00533B5B" w:rsidRDefault="001033A2" w:rsidP="001E2FDB">
            <w:pPr>
              <w:spacing w:beforeLines="60" w:before="144" w:after="60"/>
              <w:jc w:val="both"/>
              <w:rPr>
                <w:rFonts w:ascii="Arial" w:hAnsi="Arial" w:cs="Arial"/>
              </w:rPr>
            </w:pPr>
            <w:r w:rsidRPr="00533B5B">
              <w:rPr>
                <w:rFonts w:ascii="Arial" w:hAnsi="Arial" w:cs="Arial"/>
              </w:rPr>
              <w:t>El conjunto de los recursos aportados por el BID</w:t>
            </w:r>
            <w:r w:rsidR="001150BB">
              <w:rPr>
                <w:rFonts w:ascii="Arial" w:hAnsi="Arial" w:cs="Arial"/>
              </w:rPr>
              <w:t>, SENER,</w:t>
            </w:r>
            <w:r w:rsidRPr="00533B5B">
              <w:rPr>
                <w:rFonts w:ascii="Arial" w:hAnsi="Arial" w:cs="Arial"/>
              </w:rPr>
              <w:t xml:space="preserve"> NAFIN u otros para la ejecución del </w:t>
            </w:r>
            <w:r w:rsidR="00743CAA" w:rsidRPr="00533B5B">
              <w:rPr>
                <w:rFonts w:ascii="Arial" w:hAnsi="Arial" w:cs="Arial"/>
              </w:rPr>
              <w:t>PFTRG</w:t>
            </w:r>
            <w:r w:rsidRPr="00533B5B">
              <w:rPr>
                <w:rFonts w:ascii="Arial" w:hAnsi="Arial" w:cs="Arial"/>
              </w:rPr>
              <w:t>.</w:t>
            </w:r>
          </w:p>
        </w:tc>
      </w:tr>
      <w:tr w:rsidR="001033A2" w:rsidRPr="001F1E82" w14:paraId="70084222" w14:textId="77777777" w:rsidTr="001A3B6D">
        <w:tc>
          <w:tcPr>
            <w:tcW w:w="1037" w:type="pct"/>
          </w:tcPr>
          <w:p w14:paraId="741F1E19" w14:textId="77777777" w:rsidR="001033A2" w:rsidRPr="00533B5B" w:rsidRDefault="001033A2" w:rsidP="001E2FDB">
            <w:pPr>
              <w:spacing w:beforeLines="60" w:before="144" w:after="60"/>
              <w:rPr>
                <w:rFonts w:ascii="Arial" w:hAnsi="Arial" w:cs="Arial"/>
              </w:rPr>
            </w:pPr>
            <w:r w:rsidRPr="00533B5B">
              <w:rPr>
                <w:rFonts w:ascii="Arial" w:hAnsi="Arial" w:cs="Arial"/>
              </w:rPr>
              <w:t>Reglamento Operativo (ROP).</w:t>
            </w:r>
          </w:p>
        </w:tc>
        <w:tc>
          <w:tcPr>
            <w:tcW w:w="3963" w:type="pct"/>
          </w:tcPr>
          <w:p w14:paraId="68D28A15" w14:textId="77777777" w:rsidR="00F15A11" w:rsidRPr="00E44C41" w:rsidRDefault="001033A2" w:rsidP="001E2FDB">
            <w:pPr>
              <w:spacing w:beforeLines="60" w:before="144" w:after="60"/>
              <w:jc w:val="both"/>
              <w:rPr>
                <w:rFonts w:ascii="Arial" w:hAnsi="Arial" w:cs="Arial"/>
              </w:rPr>
            </w:pPr>
            <w:r w:rsidRPr="00E44C41">
              <w:rPr>
                <w:rFonts w:ascii="Arial" w:hAnsi="Arial" w:cs="Arial"/>
              </w:rPr>
              <w:t>El presente instrumento normativo.</w:t>
            </w:r>
          </w:p>
        </w:tc>
      </w:tr>
      <w:tr w:rsidR="003F43DA" w:rsidRPr="001F1E82" w14:paraId="3D4DFA9D" w14:textId="77777777" w:rsidTr="001A3B6D">
        <w:tc>
          <w:tcPr>
            <w:tcW w:w="1037" w:type="pct"/>
          </w:tcPr>
          <w:p w14:paraId="7E15AB7D" w14:textId="7CAF08A2" w:rsidR="003F43DA" w:rsidRPr="00533B5B" w:rsidRDefault="0054448B" w:rsidP="001E2FDB">
            <w:pPr>
              <w:spacing w:beforeLines="60" w:before="144" w:after="60"/>
              <w:rPr>
                <w:rFonts w:ascii="Arial" w:hAnsi="Arial" w:cs="Arial"/>
              </w:rPr>
            </w:pPr>
            <w:r>
              <w:rPr>
                <w:rFonts w:ascii="Arial" w:hAnsi="Arial" w:cs="Arial"/>
              </w:rPr>
              <w:t>SARAS</w:t>
            </w:r>
          </w:p>
        </w:tc>
        <w:tc>
          <w:tcPr>
            <w:tcW w:w="3963" w:type="pct"/>
          </w:tcPr>
          <w:p w14:paraId="2060D166" w14:textId="2656676E" w:rsidR="003F43DA" w:rsidRPr="00E44C41" w:rsidRDefault="0054448B" w:rsidP="001E2FDB">
            <w:pPr>
              <w:spacing w:beforeLines="60" w:before="144" w:after="60"/>
              <w:jc w:val="both"/>
              <w:rPr>
                <w:rFonts w:ascii="Arial" w:hAnsi="Arial" w:cs="Arial"/>
              </w:rPr>
            </w:pPr>
            <w:r w:rsidRPr="0054448B">
              <w:rPr>
                <w:rFonts w:ascii="Arial" w:hAnsi="Arial" w:cs="Arial"/>
              </w:rPr>
              <w:t>Sistema de Administración de Riesgos Ambientales y Sociales</w:t>
            </w:r>
            <w:r>
              <w:rPr>
                <w:rFonts w:ascii="Arial" w:hAnsi="Arial" w:cs="Arial"/>
              </w:rPr>
              <w:t xml:space="preserve"> es el proyecto en diseño e implementación por parte de NAFIN que atenderá los temas ambientales y sociales.</w:t>
            </w:r>
          </w:p>
        </w:tc>
      </w:tr>
      <w:tr w:rsidR="00443EF9" w:rsidRPr="001F1E82" w14:paraId="3461FB18" w14:textId="77777777" w:rsidTr="001A3B6D">
        <w:tc>
          <w:tcPr>
            <w:tcW w:w="1037" w:type="pct"/>
          </w:tcPr>
          <w:p w14:paraId="07DE11E2" w14:textId="77777777" w:rsidR="00443EF9" w:rsidRPr="00533B5B" w:rsidRDefault="00443EF9" w:rsidP="001E2FDB">
            <w:pPr>
              <w:spacing w:beforeLines="60" w:before="144" w:after="60"/>
              <w:rPr>
                <w:rFonts w:ascii="Arial" w:hAnsi="Arial" w:cs="Arial"/>
              </w:rPr>
            </w:pPr>
            <w:r w:rsidRPr="00533B5B">
              <w:rPr>
                <w:rFonts w:ascii="Arial" w:hAnsi="Arial" w:cs="Arial"/>
              </w:rPr>
              <w:t>Seguro contra riesgo de exploración</w:t>
            </w:r>
            <w:r w:rsidR="00D35CBF">
              <w:rPr>
                <w:rFonts w:ascii="Arial" w:hAnsi="Arial" w:cs="Arial"/>
              </w:rPr>
              <w:t>.</w:t>
            </w:r>
          </w:p>
        </w:tc>
        <w:tc>
          <w:tcPr>
            <w:tcW w:w="3963" w:type="pct"/>
          </w:tcPr>
          <w:p w14:paraId="6D60C492" w14:textId="6C8DA9C6" w:rsidR="00443EF9" w:rsidRPr="00533B5B" w:rsidRDefault="00443EF9" w:rsidP="001E2FDB">
            <w:pPr>
              <w:spacing w:beforeLines="60" w:before="144" w:after="60"/>
              <w:jc w:val="both"/>
              <w:rPr>
                <w:rFonts w:ascii="Arial" w:hAnsi="Arial" w:cs="Arial"/>
              </w:rPr>
            </w:pPr>
            <w:r w:rsidRPr="00533B5B">
              <w:rPr>
                <w:rFonts w:ascii="Arial" w:hAnsi="Arial" w:cs="Arial"/>
              </w:rPr>
              <w:t xml:space="preserve">Producto </w:t>
            </w:r>
            <w:r w:rsidR="00031398">
              <w:rPr>
                <w:rFonts w:ascii="Arial" w:hAnsi="Arial" w:cs="Arial"/>
              </w:rPr>
              <w:t xml:space="preserve">financiero </w:t>
            </w:r>
            <w:r w:rsidRPr="00533B5B">
              <w:rPr>
                <w:rFonts w:ascii="Arial" w:hAnsi="Arial" w:cs="Arial"/>
              </w:rPr>
              <w:t>que cubre las pérdidas y los gastos identificados</w:t>
            </w:r>
            <w:r w:rsidR="00B21A71">
              <w:rPr>
                <w:rFonts w:ascii="Arial" w:hAnsi="Arial" w:cs="Arial"/>
              </w:rPr>
              <w:t>,</w:t>
            </w:r>
            <w:r w:rsidRPr="00533B5B">
              <w:rPr>
                <w:rFonts w:ascii="Arial" w:hAnsi="Arial" w:cs="Arial"/>
              </w:rPr>
              <w:t xml:space="preserve"> que resultan </w:t>
            </w:r>
            <w:r w:rsidR="00936F04">
              <w:rPr>
                <w:rFonts w:ascii="Arial" w:hAnsi="Arial" w:cs="Arial"/>
              </w:rPr>
              <w:t xml:space="preserve">de no alcanzar una producción mínima de </w:t>
            </w:r>
            <w:r w:rsidR="00B21A71">
              <w:rPr>
                <w:rFonts w:ascii="Arial" w:hAnsi="Arial" w:cs="Arial"/>
              </w:rPr>
              <w:t xml:space="preserve">MW, de </w:t>
            </w:r>
            <w:r w:rsidR="00936F04">
              <w:rPr>
                <w:rFonts w:ascii="Arial" w:hAnsi="Arial" w:cs="Arial"/>
              </w:rPr>
              <w:t xml:space="preserve">acuerdo a las condiciones establecidas en la póliza </w:t>
            </w:r>
            <w:r w:rsidR="00624CD6">
              <w:rPr>
                <w:rFonts w:ascii="Arial" w:hAnsi="Arial" w:cs="Arial"/>
              </w:rPr>
              <w:t>de este</w:t>
            </w:r>
            <w:r w:rsidRPr="00533B5B">
              <w:rPr>
                <w:rFonts w:ascii="Arial" w:hAnsi="Arial" w:cs="Arial"/>
              </w:rPr>
              <w:t>.</w:t>
            </w:r>
          </w:p>
        </w:tc>
      </w:tr>
      <w:tr w:rsidR="009978C7" w:rsidRPr="001F1E82" w14:paraId="444D92D4" w14:textId="77777777" w:rsidTr="001A3B6D">
        <w:tc>
          <w:tcPr>
            <w:tcW w:w="1037" w:type="pct"/>
          </w:tcPr>
          <w:p w14:paraId="2DEA8A7B" w14:textId="77777777" w:rsidR="009978C7" w:rsidRPr="00533B5B" w:rsidRDefault="009978C7" w:rsidP="001E2FDB">
            <w:pPr>
              <w:spacing w:beforeLines="60" w:before="144" w:after="60"/>
              <w:rPr>
                <w:rFonts w:ascii="Arial" w:hAnsi="Arial" w:cs="Arial"/>
              </w:rPr>
            </w:pPr>
            <w:r w:rsidRPr="00533B5B">
              <w:rPr>
                <w:rFonts w:ascii="Arial" w:hAnsi="Arial" w:cs="Arial"/>
              </w:rPr>
              <w:t>SENER</w:t>
            </w:r>
            <w:r w:rsidR="00B21A71">
              <w:rPr>
                <w:rFonts w:ascii="Arial" w:hAnsi="Arial" w:cs="Arial"/>
              </w:rPr>
              <w:t>.</w:t>
            </w:r>
          </w:p>
        </w:tc>
        <w:tc>
          <w:tcPr>
            <w:tcW w:w="3963" w:type="pct"/>
          </w:tcPr>
          <w:p w14:paraId="19CF6475" w14:textId="77777777" w:rsidR="009978C7" w:rsidRPr="00533B5B" w:rsidRDefault="009978C7" w:rsidP="001E2FDB">
            <w:pPr>
              <w:spacing w:beforeLines="60" w:before="144" w:after="60"/>
              <w:jc w:val="both"/>
              <w:rPr>
                <w:rFonts w:ascii="Arial" w:hAnsi="Arial" w:cs="Arial"/>
              </w:rPr>
            </w:pPr>
            <w:r w:rsidRPr="00533B5B">
              <w:rPr>
                <w:rFonts w:ascii="Arial" w:hAnsi="Arial" w:cs="Arial"/>
              </w:rPr>
              <w:t>Secretaría de Energía</w:t>
            </w:r>
            <w:r w:rsidR="00C104DA">
              <w:rPr>
                <w:rFonts w:ascii="Arial" w:hAnsi="Arial" w:cs="Arial"/>
              </w:rPr>
              <w:t xml:space="preserve"> es la institución encargada de c</w:t>
            </w:r>
            <w:r w:rsidR="00C104DA" w:rsidRPr="00C104DA">
              <w:rPr>
                <w:rFonts w:ascii="Arial" w:hAnsi="Arial" w:cs="Arial"/>
              </w:rPr>
              <w:t xml:space="preserve">onducir la política energética </w:t>
            </w:r>
            <w:r w:rsidR="00C104DA">
              <w:rPr>
                <w:rFonts w:ascii="Arial" w:hAnsi="Arial" w:cs="Arial"/>
              </w:rPr>
              <w:t>de México</w:t>
            </w:r>
            <w:r w:rsidR="00C104DA" w:rsidRPr="00C104DA">
              <w:rPr>
                <w:rFonts w:ascii="Arial" w:hAnsi="Arial" w:cs="Arial"/>
              </w:rPr>
              <w:t>, dentro del marco constitucional vigente, para garantizar el suministro competitivo, suficiente, de alta calidad, económicamente viable y ambientalmente sustentable de energéticos que requiere el desarrollo de la vida nacional.</w:t>
            </w:r>
          </w:p>
        </w:tc>
      </w:tr>
      <w:tr w:rsidR="001033A2" w:rsidRPr="001F1E82" w14:paraId="31620B49" w14:textId="77777777" w:rsidTr="001A3B6D">
        <w:tc>
          <w:tcPr>
            <w:tcW w:w="1037" w:type="pct"/>
          </w:tcPr>
          <w:p w14:paraId="6F069CF0" w14:textId="77777777" w:rsidR="001033A2" w:rsidRPr="00533B5B" w:rsidRDefault="001033A2" w:rsidP="001E2FDB">
            <w:pPr>
              <w:spacing w:beforeLines="60" w:before="144" w:after="60"/>
              <w:rPr>
                <w:rFonts w:ascii="Arial" w:hAnsi="Arial" w:cs="Arial"/>
              </w:rPr>
            </w:pPr>
            <w:r w:rsidRPr="00533B5B">
              <w:rPr>
                <w:rFonts w:ascii="Arial" w:hAnsi="Arial" w:cs="Arial"/>
              </w:rPr>
              <w:t>SIRAC.</w:t>
            </w:r>
          </w:p>
        </w:tc>
        <w:tc>
          <w:tcPr>
            <w:tcW w:w="3963" w:type="pct"/>
          </w:tcPr>
          <w:p w14:paraId="6BBF9FCA" w14:textId="77777777" w:rsidR="001033A2" w:rsidRPr="00E44C41" w:rsidRDefault="00C104DA" w:rsidP="001E2FDB">
            <w:pPr>
              <w:spacing w:beforeLines="60" w:before="144" w:after="60"/>
              <w:jc w:val="both"/>
              <w:rPr>
                <w:rFonts w:ascii="Arial" w:hAnsi="Arial" w:cs="Arial"/>
              </w:rPr>
            </w:pPr>
            <w:r>
              <w:rPr>
                <w:rFonts w:ascii="Arial" w:hAnsi="Arial" w:cs="Arial"/>
              </w:rPr>
              <w:t xml:space="preserve">Es el </w:t>
            </w:r>
            <w:r w:rsidR="001033A2" w:rsidRPr="00E44C41">
              <w:rPr>
                <w:rFonts w:ascii="Arial" w:hAnsi="Arial" w:cs="Arial"/>
              </w:rPr>
              <w:t>Sistema Integral de Recuperación y Administración de Cartera de NAFIN</w:t>
            </w:r>
            <w:r>
              <w:rPr>
                <w:rFonts w:ascii="Arial" w:hAnsi="Arial" w:cs="Arial"/>
              </w:rPr>
              <w:t xml:space="preserve">, el cual </w:t>
            </w:r>
            <w:r w:rsidRPr="00C104DA">
              <w:rPr>
                <w:rFonts w:ascii="Arial" w:hAnsi="Arial" w:cs="Arial"/>
              </w:rPr>
              <w:t>contiene información de las líneas de crédito de los préstamo</w:t>
            </w:r>
            <w:r>
              <w:rPr>
                <w:rFonts w:ascii="Arial" w:hAnsi="Arial" w:cs="Arial"/>
              </w:rPr>
              <w:t xml:space="preserve">s, de la antigüedad de saldos y </w:t>
            </w:r>
            <w:r w:rsidRPr="00C104DA">
              <w:rPr>
                <w:rFonts w:ascii="Arial" w:hAnsi="Arial" w:cs="Arial"/>
              </w:rPr>
              <w:t>de la clasificación de los clientes, entre otros. Asimismo, el sistema emite reportes de las</w:t>
            </w:r>
            <w:r>
              <w:rPr>
                <w:rFonts w:ascii="Arial" w:hAnsi="Arial" w:cs="Arial"/>
              </w:rPr>
              <w:t xml:space="preserve"> operaciones realizadas y de los datos clasificados en vigentes o vencidos a una fecha determinada. </w:t>
            </w:r>
          </w:p>
        </w:tc>
      </w:tr>
      <w:tr w:rsidR="001033A2" w:rsidRPr="001F1E82" w14:paraId="647047B8" w14:textId="77777777" w:rsidTr="001A3B6D">
        <w:tc>
          <w:tcPr>
            <w:tcW w:w="1037" w:type="pct"/>
            <w:shd w:val="clear" w:color="auto" w:fill="auto"/>
          </w:tcPr>
          <w:p w14:paraId="1957AF96" w14:textId="77777777" w:rsidR="001033A2" w:rsidRPr="00533B5B" w:rsidRDefault="001033A2" w:rsidP="001E2FDB">
            <w:pPr>
              <w:spacing w:beforeLines="60" w:before="144" w:after="60"/>
              <w:rPr>
                <w:rFonts w:ascii="Arial" w:hAnsi="Arial" w:cs="Arial"/>
              </w:rPr>
            </w:pPr>
            <w:r w:rsidRPr="00533B5B">
              <w:rPr>
                <w:rFonts w:ascii="Arial" w:hAnsi="Arial" w:cs="Arial"/>
              </w:rPr>
              <w:t>Sistema Normativo de Crédito.</w:t>
            </w:r>
          </w:p>
        </w:tc>
        <w:tc>
          <w:tcPr>
            <w:tcW w:w="3963" w:type="pct"/>
            <w:shd w:val="clear" w:color="auto" w:fill="auto"/>
          </w:tcPr>
          <w:p w14:paraId="53F7CC95" w14:textId="77777777" w:rsidR="001033A2" w:rsidRPr="00533B5B" w:rsidRDefault="001033A2" w:rsidP="001E2FDB">
            <w:pPr>
              <w:spacing w:beforeLines="60" w:before="144" w:after="60"/>
              <w:jc w:val="both"/>
              <w:rPr>
                <w:rFonts w:ascii="Arial" w:hAnsi="Arial" w:cs="Arial"/>
              </w:rPr>
            </w:pPr>
            <w:r w:rsidRPr="00E44C41">
              <w:rPr>
                <w:rFonts w:ascii="Arial" w:hAnsi="Arial" w:cs="Arial"/>
              </w:rPr>
              <w:t xml:space="preserve">Conformado por el Manual de </w:t>
            </w:r>
            <w:r w:rsidR="006B6E81" w:rsidRPr="00B14A67">
              <w:rPr>
                <w:rFonts w:ascii="Arial" w:hAnsi="Arial" w:cs="Arial"/>
              </w:rPr>
              <w:t>C</w:t>
            </w:r>
            <w:r w:rsidRPr="00B14A67">
              <w:rPr>
                <w:rFonts w:ascii="Arial" w:hAnsi="Arial" w:cs="Arial"/>
              </w:rPr>
              <w:t>rédito de NAFIN</w:t>
            </w:r>
            <w:r w:rsidR="00B21A71">
              <w:rPr>
                <w:rFonts w:ascii="Arial" w:hAnsi="Arial" w:cs="Arial"/>
              </w:rPr>
              <w:t>,</w:t>
            </w:r>
            <w:r w:rsidRPr="00B14A67">
              <w:rPr>
                <w:rFonts w:ascii="Arial" w:hAnsi="Arial" w:cs="Arial"/>
              </w:rPr>
              <w:t xml:space="preserve"> que contiene las disposiciones generales en materia de originación y</w:t>
            </w:r>
            <w:r w:rsidRPr="00533B5B">
              <w:rPr>
                <w:rFonts w:ascii="Arial" w:hAnsi="Arial" w:cs="Arial"/>
              </w:rPr>
              <w:t xml:space="preserve"> administración de crédito y por los manuales específicos, que contemplan las disposiciones particulares a las que se deben sujetar las áreas y servidores públicos que participan en el proceso crediticio de la institución, aprobados por su Consejo Directivo.</w:t>
            </w:r>
          </w:p>
        </w:tc>
      </w:tr>
      <w:tr w:rsidR="001033A2" w:rsidRPr="001F1E82" w14:paraId="3A9F075D" w14:textId="77777777" w:rsidTr="001A3B6D">
        <w:tc>
          <w:tcPr>
            <w:tcW w:w="1037" w:type="pct"/>
            <w:shd w:val="clear" w:color="auto" w:fill="auto"/>
          </w:tcPr>
          <w:p w14:paraId="427C44A5" w14:textId="77777777" w:rsidR="001033A2" w:rsidRPr="0040332A" w:rsidRDefault="001033A2" w:rsidP="001E2FDB">
            <w:pPr>
              <w:spacing w:beforeLines="60" w:before="144" w:after="60"/>
              <w:rPr>
                <w:rFonts w:ascii="Arial" w:hAnsi="Arial" w:cs="Arial"/>
              </w:rPr>
            </w:pPr>
            <w:r w:rsidRPr="0040332A">
              <w:rPr>
                <w:rFonts w:ascii="Arial" w:hAnsi="Arial" w:cs="Arial"/>
              </w:rPr>
              <w:t>Sub-préstamos.</w:t>
            </w:r>
          </w:p>
        </w:tc>
        <w:tc>
          <w:tcPr>
            <w:tcW w:w="3963" w:type="pct"/>
            <w:shd w:val="clear" w:color="auto" w:fill="auto"/>
          </w:tcPr>
          <w:p w14:paraId="34624FE0" w14:textId="77777777" w:rsidR="001033A2" w:rsidRPr="0040332A" w:rsidRDefault="001033A2" w:rsidP="001E2FDB">
            <w:pPr>
              <w:spacing w:beforeLines="60" w:before="144" w:after="60"/>
              <w:jc w:val="both"/>
              <w:rPr>
                <w:rFonts w:ascii="Arial" w:hAnsi="Arial" w:cs="Arial"/>
              </w:rPr>
            </w:pPr>
            <w:r w:rsidRPr="0040332A">
              <w:rPr>
                <w:rFonts w:ascii="Arial" w:hAnsi="Arial" w:cs="Arial"/>
              </w:rPr>
              <w:t xml:space="preserve">El financiamiento otorgado por NAFIN a los Sub-prestatarios Elegibles, directamente o a través de otras instituciones financieras en la forma de créditos preferentes o subordinados a largo, mediano o corto plazos u operaciones de arrendamiento financiero, para la </w:t>
            </w:r>
            <w:r w:rsidR="00B04A4D" w:rsidRPr="0040332A">
              <w:rPr>
                <w:rFonts w:ascii="Arial" w:hAnsi="Arial" w:cs="Arial"/>
              </w:rPr>
              <w:t xml:space="preserve">exploración, </w:t>
            </w:r>
            <w:r w:rsidRPr="0040332A">
              <w:rPr>
                <w:rFonts w:ascii="Arial" w:hAnsi="Arial" w:cs="Arial"/>
              </w:rPr>
              <w:t xml:space="preserve">construcción y/u operación de proyectos de inversión en energía </w:t>
            </w:r>
            <w:r w:rsidR="00B04A4D" w:rsidRPr="0040332A">
              <w:rPr>
                <w:rFonts w:ascii="Arial" w:hAnsi="Arial" w:cs="Arial"/>
              </w:rPr>
              <w:t>geotérmica</w:t>
            </w:r>
            <w:r w:rsidRPr="0040332A">
              <w:rPr>
                <w:rFonts w:ascii="Arial" w:hAnsi="Arial" w:cs="Arial"/>
              </w:rPr>
              <w:t>.</w:t>
            </w:r>
          </w:p>
        </w:tc>
      </w:tr>
      <w:tr w:rsidR="001033A2" w:rsidRPr="001F1E82" w14:paraId="584D3CD5" w14:textId="77777777" w:rsidTr="001A3B6D">
        <w:tc>
          <w:tcPr>
            <w:tcW w:w="1037" w:type="pct"/>
            <w:shd w:val="clear" w:color="auto" w:fill="auto"/>
          </w:tcPr>
          <w:p w14:paraId="01EA3D1A" w14:textId="77777777" w:rsidR="001033A2" w:rsidRPr="001F1E82" w:rsidRDefault="001033A2" w:rsidP="001E2FDB">
            <w:pPr>
              <w:spacing w:beforeLines="60" w:before="144" w:after="60"/>
              <w:rPr>
                <w:rFonts w:ascii="Arial" w:hAnsi="Arial" w:cs="Arial"/>
              </w:rPr>
            </w:pPr>
            <w:r w:rsidRPr="001F1E82">
              <w:rPr>
                <w:rFonts w:ascii="Arial" w:hAnsi="Arial" w:cs="Arial"/>
              </w:rPr>
              <w:t>Sub-prestatarios Elegibles del Sector Público.</w:t>
            </w:r>
          </w:p>
        </w:tc>
        <w:tc>
          <w:tcPr>
            <w:tcW w:w="3963" w:type="pct"/>
            <w:shd w:val="clear" w:color="auto" w:fill="auto"/>
          </w:tcPr>
          <w:p w14:paraId="1236B869" w14:textId="77777777" w:rsidR="001033A2" w:rsidRPr="001F1E82" w:rsidRDefault="001033A2" w:rsidP="001E2FDB">
            <w:pPr>
              <w:spacing w:beforeLines="60" w:before="144" w:after="60"/>
              <w:jc w:val="both"/>
              <w:rPr>
                <w:rFonts w:ascii="Arial" w:hAnsi="Arial" w:cs="Arial"/>
              </w:rPr>
            </w:pPr>
            <w:r w:rsidRPr="001F1E82">
              <w:rPr>
                <w:rFonts w:ascii="Arial" w:hAnsi="Arial" w:cs="Arial"/>
              </w:rPr>
              <w:t>Sub-prestatarios Elegibles de naturaleza Pública, tales como empresas desarrolladoras cuya participación sea mayor al cincuenta por ciento (50%), de naturaleza pública, federal, estatal o municipal.</w:t>
            </w:r>
          </w:p>
        </w:tc>
      </w:tr>
      <w:tr w:rsidR="00292D1F" w:rsidRPr="001F1E82" w14:paraId="4F34B8F1" w14:textId="77777777" w:rsidTr="001A3B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7" w:type="pct"/>
            <w:tcBorders>
              <w:top w:val="nil"/>
              <w:left w:val="nil"/>
              <w:bottom w:val="nil"/>
              <w:right w:val="nil"/>
            </w:tcBorders>
          </w:tcPr>
          <w:p w14:paraId="26239A10" w14:textId="77777777" w:rsidR="00292D1F" w:rsidRPr="001F1E82" w:rsidRDefault="00292D1F" w:rsidP="001E2FDB">
            <w:pPr>
              <w:spacing w:beforeLines="60" w:before="144" w:after="60"/>
              <w:rPr>
                <w:rFonts w:ascii="Arial" w:hAnsi="Arial" w:cs="Arial"/>
              </w:rPr>
            </w:pPr>
            <w:r w:rsidRPr="001F1E82">
              <w:rPr>
                <w:rFonts w:ascii="Arial" w:hAnsi="Arial" w:cs="Arial"/>
              </w:rPr>
              <w:t>Sub-prestatarios Elegibles.</w:t>
            </w:r>
          </w:p>
        </w:tc>
        <w:tc>
          <w:tcPr>
            <w:tcW w:w="3963" w:type="pct"/>
            <w:tcBorders>
              <w:top w:val="nil"/>
              <w:left w:val="nil"/>
              <w:bottom w:val="nil"/>
              <w:right w:val="nil"/>
            </w:tcBorders>
          </w:tcPr>
          <w:p w14:paraId="3EDA13C1" w14:textId="77777777" w:rsidR="00292D1F" w:rsidRPr="001F1E82" w:rsidRDefault="00292D1F" w:rsidP="001E2FDB">
            <w:pPr>
              <w:spacing w:beforeLines="60" w:before="144" w:after="60"/>
              <w:jc w:val="both"/>
              <w:rPr>
                <w:rFonts w:ascii="Arial" w:hAnsi="Arial" w:cs="Arial"/>
              </w:rPr>
            </w:pPr>
            <w:r w:rsidRPr="001F1E82">
              <w:rPr>
                <w:rFonts w:ascii="Arial" w:hAnsi="Arial" w:cs="Arial"/>
              </w:rPr>
              <w:t xml:space="preserve">Empresas Generadoras de Energía Renovable (EGER) y/o los Sub-prestatarios que soliciten financiamiento para una Operación Elegible. Los intermediarios financieros (IFI’s) y los fideicomisos relacionados con los </w:t>
            </w:r>
            <w:r w:rsidRPr="001F1E82">
              <w:rPr>
                <w:rFonts w:ascii="Arial" w:hAnsi="Arial" w:cs="Arial"/>
              </w:rPr>
              <w:lastRenderedPageBreak/>
              <w:t>sujetos anteriores, sólo podrán recibir Sub-préstamos y así constituirse en Sub-prestatarios Elegibles, siempre que destinen los recursos de los respectivos Sub-préstamos a Operaciones Elegibles, en los términos establecidos en este ROP.</w:t>
            </w:r>
          </w:p>
        </w:tc>
      </w:tr>
    </w:tbl>
    <w:p w14:paraId="34A7C99F" w14:textId="77777777" w:rsidR="00292D1F" w:rsidRDefault="00292D1F">
      <w:r>
        <w:lastRenderedPageBreak/>
        <w:br w:type="page"/>
      </w:r>
    </w:p>
    <w:p w14:paraId="23EEAAF6" w14:textId="77777777" w:rsidR="00230812" w:rsidRDefault="00230812" w:rsidP="000A37CF">
      <w:pPr>
        <w:pStyle w:val="Heading3"/>
        <w:tabs>
          <w:tab w:val="clear" w:pos="1800"/>
          <w:tab w:val="num" w:pos="720"/>
        </w:tabs>
        <w:ind w:left="0"/>
        <w:rPr>
          <w:b/>
          <w:sz w:val="36"/>
        </w:rPr>
      </w:pPr>
      <w:bookmarkStart w:id="17" w:name="_Toc197782548"/>
      <w:bookmarkStart w:id="18" w:name="_Toc198025787"/>
      <w:bookmarkStart w:id="19" w:name="_Toc205191254"/>
      <w:bookmarkStart w:id="20" w:name="_Toc207082499"/>
      <w:bookmarkStart w:id="21" w:name="_Toc240434720"/>
      <w:bookmarkStart w:id="22" w:name="_Toc321244845"/>
      <w:bookmarkStart w:id="23" w:name="_Toc450149549"/>
      <w:r w:rsidRPr="00A9618E">
        <w:rPr>
          <w:b/>
          <w:sz w:val="36"/>
        </w:rPr>
        <w:lastRenderedPageBreak/>
        <w:t xml:space="preserve">Objetivo </w:t>
      </w:r>
      <w:r w:rsidR="0011621E" w:rsidRPr="00A9618E">
        <w:rPr>
          <w:b/>
          <w:sz w:val="36"/>
        </w:rPr>
        <w:t xml:space="preserve">y costos </w:t>
      </w:r>
      <w:r w:rsidRPr="00A9618E">
        <w:rPr>
          <w:b/>
          <w:sz w:val="36"/>
        </w:rPr>
        <w:t xml:space="preserve">del </w:t>
      </w:r>
      <w:bookmarkEnd w:id="17"/>
      <w:bookmarkEnd w:id="18"/>
      <w:bookmarkEnd w:id="19"/>
      <w:bookmarkEnd w:id="20"/>
      <w:bookmarkEnd w:id="21"/>
      <w:bookmarkEnd w:id="22"/>
      <w:r w:rsidR="00743CAA" w:rsidRPr="00A9618E">
        <w:rPr>
          <w:b/>
          <w:sz w:val="36"/>
        </w:rPr>
        <w:t>PFTRG</w:t>
      </w:r>
      <w:bookmarkEnd w:id="23"/>
    </w:p>
    <w:p w14:paraId="16215CD0" w14:textId="77777777" w:rsidR="003864A3" w:rsidRPr="003864A3" w:rsidRDefault="003864A3" w:rsidP="003864A3"/>
    <w:p w14:paraId="18F248F1" w14:textId="27128BAB" w:rsidR="009978C7" w:rsidRDefault="009978C7" w:rsidP="000A37CF">
      <w:pPr>
        <w:pStyle w:val="Paragraph"/>
        <w:numPr>
          <w:ilvl w:val="0"/>
          <w:numId w:val="37"/>
        </w:numPr>
        <w:ind w:hanging="720"/>
        <w:outlineLvl w:val="9"/>
        <w:rPr>
          <w:rFonts w:ascii="Arial" w:hAnsi="Arial" w:cs="Arial"/>
          <w:szCs w:val="24"/>
          <w:lang w:val="es-ES"/>
        </w:rPr>
      </w:pPr>
      <w:bookmarkStart w:id="24" w:name="_Toc321244846"/>
      <w:bookmarkStart w:id="25" w:name="_Toc240434721"/>
      <w:r w:rsidRPr="00533B5B">
        <w:rPr>
          <w:rFonts w:ascii="Arial" w:hAnsi="Arial" w:cs="Arial"/>
          <w:szCs w:val="24"/>
          <w:lang w:val="es-ES"/>
        </w:rPr>
        <w:t xml:space="preserve">El </w:t>
      </w:r>
      <w:r w:rsidR="00177F79">
        <w:rPr>
          <w:rFonts w:ascii="Arial" w:hAnsi="Arial" w:cs="Arial"/>
          <w:szCs w:val="24"/>
          <w:lang w:val="es-ES"/>
        </w:rPr>
        <w:t>objetivo del p</w:t>
      </w:r>
      <w:r w:rsidR="00177F79" w:rsidRPr="00177F79">
        <w:rPr>
          <w:rFonts w:ascii="Arial" w:hAnsi="Arial" w:cs="Arial"/>
          <w:szCs w:val="24"/>
          <w:lang w:val="es-ES"/>
        </w:rPr>
        <w:t>rograma es aumentar la generación de electricidad a partir de fuentes geotérmicas a fin de contribuir a la diversificación de la matriz energética, así como reducir la dependencia de los combustibles fósiles y las emisiones de gases de efecto invernadero en México. Para ello, el programa tiene el propósito de aumentar la escala de las inversiones en los proyectos de generación geotermoeléctrica dando acceso a una serie de mecanismos financieros adaptados para satisfacer las necesidades específicas de cada una de las etapas de desarrollo de los proyectos. Esto incluye mecanismos de mitigación de riesgos y varias formas de financiamiento para las fases de exploración, perforación, preparación del campo, y construcción y operación de proyectos geotérmicos privados.</w:t>
      </w:r>
    </w:p>
    <w:p w14:paraId="0D84F810" w14:textId="5AC563EC" w:rsidR="00E579ED" w:rsidRPr="00501F5A" w:rsidRDefault="00E579ED" w:rsidP="000A37CF">
      <w:pPr>
        <w:pStyle w:val="Paragraph"/>
        <w:numPr>
          <w:ilvl w:val="0"/>
          <w:numId w:val="37"/>
        </w:numPr>
        <w:ind w:hanging="720"/>
        <w:outlineLvl w:val="9"/>
        <w:rPr>
          <w:rFonts w:ascii="Arial" w:hAnsi="Arial" w:cs="Arial"/>
          <w:szCs w:val="24"/>
          <w:lang w:val="es-ES"/>
        </w:rPr>
      </w:pPr>
      <w:r>
        <w:rPr>
          <w:rFonts w:ascii="Arial" w:hAnsi="Arial" w:cs="Arial"/>
          <w:szCs w:val="24"/>
          <w:lang w:val="es-ES"/>
        </w:rPr>
        <w:t xml:space="preserve">El </w:t>
      </w:r>
      <w:r w:rsidRPr="00E579ED">
        <w:rPr>
          <w:rFonts w:ascii="Arial" w:hAnsi="Arial" w:cs="Arial"/>
          <w:szCs w:val="24"/>
          <w:lang w:val="es-MX"/>
        </w:rPr>
        <w:t>programa se estructura bajo la modalidad Global de Crédito, y consta de dos componentes: Componente 1. Mitigación de riesgos para proyectos geotérmicos en las etapas iniciales de exploración y pruebas de perforación; y Componente</w:t>
      </w:r>
      <w:r>
        <w:rPr>
          <w:rFonts w:ascii="Arial" w:hAnsi="Arial" w:cs="Arial"/>
          <w:szCs w:val="24"/>
          <w:lang w:val="es-MX"/>
        </w:rPr>
        <w:t xml:space="preserve"> </w:t>
      </w:r>
      <w:r w:rsidRPr="00E579ED">
        <w:rPr>
          <w:rFonts w:ascii="Arial" w:hAnsi="Arial" w:cs="Arial"/>
          <w:szCs w:val="24"/>
          <w:lang w:val="es-MX"/>
        </w:rPr>
        <w:t>2.</w:t>
      </w:r>
      <w:r>
        <w:rPr>
          <w:rFonts w:ascii="Arial" w:hAnsi="Arial" w:cs="Arial"/>
          <w:szCs w:val="24"/>
          <w:lang w:val="es-MX"/>
        </w:rPr>
        <w:t xml:space="preserve"> </w:t>
      </w:r>
      <w:r w:rsidRPr="00E579ED">
        <w:rPr>
          <w:rFonts w:ascii="Arial" w:hAnsi="Arial" w:cs="Arial"/>
          <w:szCs w:val="24"/>
          <w:lang w:val="es-MX"/>
        </w:rPr>
        <w:t>Financiamiento adaptado a diferentes fases de exploración y ejecución de un proyecto. Asimismo, prevé recursos para financiar costos de ejecución y actividades de asistencia técnica.</w:t>
      </w:r>
    </w:p>
    <w:p w14:paraId="21E513EE" w14:textId="77777777" w:rsidR="00796B68" w:rsidRDefault="001513A1" w:rsidP="009067BA">
      <w:pPr>
        <w:pStyle w:val="Paragraph"/>
        <w:numPr>
          <w:ilvl w:val="0"/>
          <w:numId w:val="37"/>
        </w:numPr>
        <w:ind w:hanging="720"/>
        <w:outlineLvl w:val="9"/>
        <w:rPr>
          <w:rFonts w:ascii="Arial" w:hAnsi="Arial" w:cs="Arial"/>
          <w:szCs w:val="24"/>
          <w:lang w:val="es-ES"/>
        </w:rPr>
      </w:pPr>
      <w:bookmarkStart w:id="26" w:name="_Toc321244847"/>
      <w:bookmarkEnd w:id="24"/>
      <w:r>
        <w:rPr>
          <w:rFonts w:ascii="Arial" w:hAnsi="Arial" w:cs="Arial"/>
          <w:szCs w:val="24"/>
          <w:lang w:val="es-ES"/>
        </w:rPr>
        <w:t xml:space="preserve">Los instrumentos financieros tienen </w:t>
      </w:r>
      <w:r w:rsidR="009978C7" w:rsidRPr="002E0F6A">
        <w:rPr>
          <w:rFonts w:ascii="Arial" w:hAnsi="Arial" w:cs="Arial"/>
          <w:szCs w:val="24"/>
          <w:lang w:val="es-ES"/>
        </w:rPr>
        <w:t>el propósito de proveer financiamiento en condiciones apropiadas y mitigar o transferir riesgos inherentes a este tipo de proyectos de inversión, en especial, aquellos riesgos de exploración temprana y desarrollo de campos.</w:t>
      </w:r>
    </w:p>
    <w:p w14:paraId="40C143C1" w14:textId="77777777" w:rsidR="00C5249C" w:rsidRPr="00C5249C" w:rsidRDefault="00C5249C" w:rsidP="00C5249C">
      <w:pPr>
        <w:pStyle w:val="ListParagraph"/>
        <w:numPr>
          <w:ilvl w:val="0"/>
          <w:numId w:val="21"/>
        </w:numPr>
        <w:jc w:val="both"/>
        <w:rPr>
          <w:rFonts w:ascii="Arial" w:hAnsi="Arial" w:cs="Arial"/>
          <w:lang w:val="es-ES"/>
        </w:rPr>
      </w:pPr>
      <w:r w:rsidRPr="00C5249C">
        <w:rPr>
          <w:rFonts w:ascii="Arial" w:hAnsi="Arial" w:cs="Arial"/>
          <w:lang w:val="es-ES"/>
        </w:rPr>
        <w:t>Sub-préstamos elegibles con cargo a los recursos reembolsables del capital ordinario del Banco y recursos propios de NAFIN para la fase de explotación;</w:t>
      </w:r>
    </w:p>
    <w:p w14:paraId="51510D97" w14:textId="77777777" w:rsidR="00C5249C" w:rsidRPr="00C5249C" w:rsidRDefault="00C5249C" w:rsidP="008C38DE">
      <w:pPr>
        <w:pStyle w:val="ListParagraph"/>
        <w:ind w:left="1080"/>
        <w:jc w:val="both"/>
        <w:rPr>
          <w:rFonts w:ascii="Arial" w:hAnsi="Arial" w:cs="Arial"/>
          <w:lang w:val="es-ES"/>
        </w:rPr>
      </w:pPr>
    </w:p>
    <w:p w14:paraId="2D8348D3" w14:textId="77777777" w:rsidR="00C5249C" w:rsidRPr="00C5249C" w:rsidRDefault="00C5249C" w:rsidP="00C5249C">
      <w:pPr>
        <w:pStyle w:val="ListParagraph"/>
        <w:numPr>
          <w:ilvl w:val="0"/>
          <w:numId w:val="21"/>
        </w:numPr>
        <w:jc w:val="both"/>
        <w:rPr>
          <w:rFonts w:ascii="Arial" w:hAnsi="Arial" w:cs="Arial"/>
          <w:lang w:val="es-ES"/>
        </w:rPr>
      </w:pPr>
      <w:r w:rsidRPr="00C5249C">
        <w:rPr>
          <w:rFonts w:ascii="Arial" w:hAnsi="Arial" w:cs="Arial"/>
          <w:lang w:val="es-ES"/>
        </w:rPr>
        <w:t>Contribuciones o apoyos con cargo a los recursos de reembolso contingente del CTF para la mitigación y/o transferencia de riesgo en la etapa de exploración; y</w:t>
      </w:r>
    </w:p>
    <w:p w14:paraId="208DA0DE" w14:textId="77777777" w:rsidR="00C5249C" w:rsidRPr="00C5249C" w:rsidRDefault="00C5249C" w:rsidP="008C38DE">
      <w:pPr>
        <w:pStyle w:val="ListParagraph"/>
        <w:ind w:left="1080"/>
        <w:jc w:val="both"/>
        <w:rPr>
          <w:rFonts w:ascii="Arial" w:hAnsi="Arial" w:cs="Arial"/>
          <w:lang w:val="es-ES"/>
        </w:rPr>
      </w:pPr>
    </w:p>
    <w:p w14:paraId="746132CC" w14:textId="77777777" w:rsidR="00C5249C" w:rsidRPr="00C5249C" w:rsidRDefault="00C5249C" w:rsidP="00C5249C">
      <w:pPr>
        <w:pStyle w:val="ListParagraph"/>
        <w:numPr>
          <w:ilvl w:val="0"/>
          <w:numId w:val="21"/>
        </w:numPr>
        <w:jc w:val="both"/>
        <w:rPr>
          <w:rFonts w:ascii="Arial" w:hAnsi="Arial" w:cs="Arial"/>
          <w:lang w:val="es-ES"/>
        </w:rPr>
      </w:pPr>
      <w:r w:rsidRPr="00C5249C">
        <w:rPr>
          <w:rFonts w:ascii="Arial" w:hAnsi="Arial" w:cs="Arial"/>
          <w:lang w:val="es-ES"/>
        </w:rPr>
        <w:t>Contribuciones o apoyos con cargo a los recursos no reembolsables del CTF para financiar, entre otras actividades técnicas, servicios independientes de consultoría para la validación técnica de la elegibilidad de los proyectos, estudios de prospección, preinversión, ambientales y sociales, así como otros estudios y consultorías necesarias, incluidas la verificación y certificación técnica de los éxitos y fracasos en las perforaciones exploratorias o de desarrollo de campo y el fortalecimiento institucional de las entidades públicas involucradas en el Programa.</w:t>
      </w:r>
    </w:p>
    <w:p w14:paraId="1A725DFD" w14:textId="77777777" w:rsidR="00C5249C" w:rsidRDefault="00C5249C" w:rsidP="00796B68">
      <w:pPr>
        <w:pStyle w:val="ListParagraph"/>
        <w:numPr>
          <w:ilvl w:val="0"/>
          <w:numId w:val="21"/>
        </w:numPr>
        <w:jc w:val="both"/>
        <w:rPr>
          <w:rFonts w:ascii="Arial" w:hAnsi="Arial" w:cs="Arial"/>
          <w:lang w:val="es-ES"/>
        </w:rPr>
      </w:pPr>
    </w:p>
    <w:p w14:paraId="766177E5" w14:textId="705FA4C3" w:rsidR="00BA402B" w:rsidRPr="002E0F6A" w:rsidRDefault="006D33EC" w:rsidP="000A37CF">
      <w:pPr>
        <w:pStyle w:val="Paragraph"/>
        <w:numPr>
          <w:ilvl w:val="0"/>
          <w:numId w:val="37"/>
        </w:numPr>
        <w:ind w:hanging="540"/>
        <w:outlineLvl w:val="9"/>
        <w:rPr>
          <w:rFonts w:ascii="Arial" w:hAnsi="Arial" w:cs="Arial"/>
          <w:szCs w:val="24"/>
          <w:lang w:val="es-ES"/>
        </w:rPr>
      </w:pPr>
      <w:r>
        <w:rPr>
          <w:rFonts w:ascii="Arial" w:hAnsi="Arial" w:cs="Arial"/>
          <w:lang w:val="es-MX"/>
        </w:rPr>
        <w:t xml:space="preserve">Podrá </w:t>
      </w:r>
      <w:r w:rsidRPr="00B10065">
        <w:rPr>
          <w:rFonts w:ascii="Arial" w:hAnsi="Arial" w:cs="Arial"/>
          <w:lang w:val="es-MX"/>
        </w:rPr>
        <w:t xml:space="preserve">ser receptores de financiamiento del PFTRG los Sub-prestatarios Elegibles que cumplan con los criterios de elegibilidad </w:t>
      </w:r>
      <w:r>
        <w:rPr>
          <w:rFonts w:ascii="Arial" w:hAnsi="Arial" w:cs="Arial"/>
          <w:lang w:val="es-MX"/>
        </w:rPr>
        <w:t xml:space="preserve">para la perforación </w:t>
      </w:r>
      <w:r w:rsidRPr="00B10065">
        <w:rPr>
          <w:rFonts w:ascii="Arial" w:hAnsi="Arial" w:cs="Arial"/>
          <w:lang w:val="es-MX"/>
        </w:rPr>
        <w:t>establecidos en este R</w:t>
      </w:r>
      <w:r>
        <w:rPr>
          <w:rFonts w:ascii="Arial" w:hAnsi="Arial" w:cs="Arial"/>
          <w:lang w:val="es-MX"/>
        </w:rPr>
        <w:t xml:space="preserve">eglamento Operativo </w:t>
      </w:r>
      <w:r w:rsidR="007F13E8">
        <w:rPr>
          <w:rFonts w:ascii="Arial" w:hAnsi="Arial" w:cs="Arial"/>
          <w:lang w:val="es-MX"/>
        </w:rPr>
        <w:t xml:space="preserve">del Programa </w:t>
      </w:r>
      <w:r>
        <w:rPr>
          <w:rFonts w:ascii="Arial" w:hAnsi="Arial" w:cs="Arial"/>
          <w:lang w:val="es-MX"/>
        </w:rPr>
        <w:t>(R</w:t>
      </w:r>
      <w:r w:rsidRPr="00B10065">
        <w:rPr>
          <w:rFonts w:ascii="Arial" w:hAnsi="Arial" w:cs="Arial"/>
          <w:lang w:val="es-MX"/>
        </w:rPr>
        <w:t>OP</w:t>
      </w:r>
      <w:r>
        <w:rPr>
          <w:rFonts w:ascii="Arial" w:hAnsi="Arial" w:cs="Arial"/>
          <w:lang w:val="es-MX"/>
        </w:rPr>
        <w:t>)</w:t>
      </w:r>
      <w:r w:rsidRPr="00B10065">
        <w:rPr>
          <w:rFonts w:ascii="Arial" w:hAnsi="Arial" w:cs="Arial"/>
          <w:lang w:val="es-MX"/>
        </w:rPr>
        <w:t xml:space="preserve"> </w:t>
      </w:r>
      <w:r>
        <w:rPr>
          <w:rFonts w:ascii="Arial" w:hAnsi="Arial" w:cs="Arial"/>
          <w:lang w:val="es-MX"/>
        </w:rPr>
        <w:t xml:space="preserve">(ver Anexo A) </w:t>
      </w:r>
      <w:r w:rsidRPr="00B10065">
        <w:rPr>
          <w:rFonts w:ascii="Arial" w:hAnsi="Arial" w:cs="Arial"/>
          <w:lang w:val="es-MX"/>
        </w:rPr>
        <w:t>y en el M</w:t>
      </w:r>
      <w:r>
        <w:rPr>
          <w:rFonts w:ascii="Arial" w:hAnsi="Arial" w:cs="Arial"/>
          <w:lang w:val="es-MX"/>
        </w:rPr>
        <w:t>arco de Gestión Ambiental y Social (M</w:t>
      </w:r>
      <w:r w:rsidRPr="00B10065">
        <w:rPr>
          <w:rFonts w:ascii="Arial" w:hAnsi="Arial" w:cs="Arial"/>
          <w:lang w:val="es-MX"/>
        </w:rPr>
        <w:t>AGAS</w:t>
      </w:r>
      <w:r>
        <w:rPr>
          <w:rFonts w:ascii="Arial" w:hAnsi="Arial" w:cs="Arial"/>
          <w:lang w:val="es-MX"/>
        </w:rPr>
        <w:t>)</w:t>
      </w:r>
      <w:r w:rsidRPr="00B10065">
        <w:rPr>
          <w:rFonts w:ascii="Arial" w:hAnsi="Arial" w:cs="Arial"/>
          <w:lang w:val="es-MX"/>
        </w:rPr>
        <w:t>:</w:t>
      </w:r>
    </w:p>
    <w:p w14:paraId="14418162" w14:textId="49EA35D0" w:rsidR="006D33EC" w:rsidRDefault="0033116C" w:rsidP="000A37CF">
      <w:pPr>
        <w:pStyle w:val="Paragraph"/>
        <w:numPr>
          <w:ilvl w:val="0"/>
          <w:numId w:val="0"/>
        </w:numPr>
        <w:tabs>
          <w:tab w:val="left" w:pos="1440"/>
        </w:tabs>
        <w:ind w:left="2160" w:hanging="720"/>
        <w:rPr>
          <w:rFonts w:ascii="Arial" w:hAnsi="Arial" w:cs="Arial"/>
          <w:lang w:val="es-MX"/>
        </w:rPr>
      </w:pPr>
      <w:bookmarkStart w:id="27" w:name="_Toc448309476"/>
      <w:bookmarkStart w:id="28" w:name="_Toc450149550"/>
      <w:bookmarkStart w:id="29" w:name="_Toc448309477"/>
      <w:bookmarkStart w:id="30" w:name="_Toc450149551"/>
      <w:bookmarkStart w:id="31" w:name="_Toc321244848"/>
      <w:bookmarkStart w:id="32" w:name="_Toc448309478"/>
      <w:bookmarkStart w:id="33" w:name="_Toc450149552"/>
      <w:bookmarkEnd w:id="25"/>
      <w:bookmarkEnd w:id="26"/>
      <w:bookmarkEnd w:id="27"/>
      <w:bookmarkEnd w:id="28"/>
      <w:bookmarkEnd w:id="29"/>
      <w:bookmarkEnd w:id="30"/>
      <w:r w:rsidRPr="00B10065">
        <w:rPr>
          <w:rFonts w:ascii="Arial" w:hAnsi="Arial" w:cs="Arial"/>
          <w:lang w:val="es-MX"/>
        </w:rPr>
        <w:lastRenderedPageBreak/>
        <w:t>(</w:t>
      </w:r>
      <w:r w:rsidR="004B2B2F" w:rsidRPr="00B10065">
        <w:rPr>
          <w:rFonts w:ascii="Arial" w:hAnsi="Arial" w:cs="Arial"/>
          <w:lang w:val="es-MX"/>
        </w:rPr>
        <w:t>a)</w:t>
      </w:r>
      <w:r w:rsidR="006D33EC">
        <w:rPr>
          <w:rFonts w:ascii="Arial" w:hAnsi="Arial" w:cs="Arial"/>
          <w:lang w:val="es-MX"/>
        </w:rPr>
        <w:tab/>
      </w:r>
      <w:r w:rsidR="00D765EE" w:rsidRPr="00B10065">
        <w:rPr>
          <w:rFonts w:ascii="Arial" w:hAnsi="Arial" w:cs="Arial"/>
          <w:lang w:val="es-MX"/>
        </w:rPr>
        <w:t>las</w:t>
      </w:r>
      <w:r w:rsidR="000C025D" w:rsidRPr="00B10065">
        <w:rPr>
          <w:rFonts w:ascii="Arial" w:hAnsi="Arial" w:cs="Arial"/>
          <w:lang w:val="es-MX"/>
        </w:rPr>
        <w:t xml:space="preserve"> EGER</w:t>
      </w:r>
      <w:r w:rsidR="00D765EE" w:rsidRPr="00B10065">
        <w:rPr>
          <w:rFonts w:ascii="Arial" w:hAnsi="Arial" w:cs="Arial"/>
          <w:lang w:val="es-MX"/>
        </w:rPr>
        <w:t xml:space="preserve">, y los </w:t>
      </w:r>
      <w:r w:rsidR="0075055A" w:rsidRPr="00B10065">
        <w:rPr>
          <w:rFonts w:ascii="Arial" w:hAnsi="Arial" w:cs="Arial"/>
          <w:lang w:val="es-MX"/>
        </w:rPr>
        <w:t>Sub-prestatarios</w:t>
      </w:r>
      <w:r w:rsidR="00D765EE" w:rsidRPr="00B10065">
        <w:rPr>
          <w:rFonts w:ascii="Arial" w:hAnsi="Arial" w:cs="Arial"/>
          <w:lang w:val="es-MX"/>
        </w:rPr>
        <w:t xml:space="preserve"> acreditados de NAFIN que soliciten financiamiento para una Operación Elegible</w:t>
      </w:r>
      <w:r w:rsidR="00BA402B" w:rsidRPr="00B10065">
        <w:rPr>
          <w:rFonts w:ascii="Arial" w:hAnsi="Arial" w:cs="Arial"/>
          <w:lang w:val="es-MX"/>
        </w:rPr>
        <w:t>, durante etapas iniciales, intermedias y avanzadas (exploración temprana, desarrollo del campo, perforación, explotación, producción y construcción) de proyectos geotérmicos privados o asociaciones público</w:t>
      </w:r>
      <w:r w:rsidR="00860126">
        <w:rPr>
          <w:rFonts w:ascii="Arial" w:hAnsi="Arial" w:cs="Arial"/>
          <w:lang w:val="es-MX"/>
        </w:rPr>
        <w:t>-</w:t>
      </w:r>
      <w:r w:rsidR="00BA402B" w:rsidRPr="00B10065">
        <w:rPr>
          <w:rFonts w:ascii="Arial" w:hAnsi="Arial" w:cs="Arial"/>
          <w:lang w:val="es-MX"/>
        </w:rPr>
        <w:t>privadas (APP</w:t>
      </w:r>
      <w:r w:rsidR="00860126">
        <w:rPr>
          <w:rFonts w:ascii="Arial" w:hAnsi="Arial" w:cs="Arial"/>
          <w:lang w:val="es-MX"/>
        </w:rPr>
        <w:t>s</w:t>
      </w:r>
      <w:r w:rsidR="00BA402B" w:rsidRPr="00B10065">
        <w:rPr>
          <w:rFonts w:ascii="Arial" w:hAnsi="Arial" w:cs="Arial"/>
          <w:lang w:val="es-MX"/>
        </w:rPr>
        <w:t>), incluyendo préstamos directos, préstamos contingentes, préstamos subordinados, garantías de primera pérdida y préstamos asegurados</w:t>
      </w:r>
      <w:r w:rsidR="004B2B2F" w:rsidRPr="00B10065">
        <w:rPr>
          <w:rFonts w:ascii="Arial" w:hAnsi="Arial" w:cs="Arial"/>
          <w:lang w:val="es-MX"/>
        </w:rPr>
        <w:t>;</w:t>
      </w:r>
    </w:p>
    <w:p w14:paraId="300D4360" w14:textId="391F5A42" w:rsidR="004108B3" w:rsidRDefault="0033116C" w:rsidP="000A37CF">
      <w:pPr>
        <w:pStyle w:val="Paragraph"/>
        <w:numPr>
          <w:ilvl w:val="0"/>
          <w:numId w:val="0"/>
        </w:numPr>
        <w:tabs>
          <w:tab w:val="left" w:pos="2160"/>
        </w:tabs>
        <w:ind w:left="2160" w:hanging="720"/>
        <w:rPr>
          <w:rFonts w:ascii="Arial" w:hAnsi="Arial" w:cs="Arial"/>
          <w:lang w:val="es-MX"/>
        </w:rPr>
      </w:pPr>
      <w:r w:rsidRPr="00B10065">
        <w:rPr>
          <w:rFonts w:ascii="Arial" w:hAnsi="Arial" w:cs="Arial"/>
          <w:lang w:val="es-MX"/>
        </w:rPr>
        <w:t>(</w:t>
      </w:r>
      <w:r w:rsidR="004B2B2F" w:rsidRPr="00B10065">
        <w:rPr>
          <w:rFonts w:ascii="Arial" w:hAnsi="Arial" w:cs="Arial"/>
          <w:lang w:val="es-MX"/>
        </w:rPr>
        <w:t>b)</w:t>
      </w:r>
      <w:r w:rsidR="006D33EC">
        <w:rPr>
          <w:rFonts w:ascii="Arial" w:hAnsi="Arial" w:cs="Arial"/>
          <w:lang w:val="es-MX"/>
        </w:rPr>
        <w:tab/>
      </w:r>
      <w:r w:rsidR="004108B3" w:rsidRPr="00B10065">
        <w:rPr>
          <w:rFonts w:ascii="Arial" w:hAnsi="Arial" w:cs="Arial"/>
          <w:lang w:val="es-MX"/>
        </w:rPr>
        <w:t xml:space="preserve">las </w:t>
      </w:r>
      <w:r w:rsidR="00071AE6" w:rsidRPr="00B10065">
        <w:rPr>
          <w:rFonts w:ascii="Arial" w:hAnsi="Arial" w:cs="Arial"/>
          <w:lang w:val="es-MX"/>
        </w:rPr>
        <w:t>IFI´s</w:t>
      </w:r>
      <w:r w:rsidR="00D765EE" w:rsidRPr="00B10065">
        <w:rPr>
          <w:rFonts w:ascii="Arial" w:hAnsi="Arial" w:cs="Arial"/>
          <w:lang w:val="es-MX"/>
        </w:rPr>
        <w:t xml:space="preserve">, los </w:t>
      </w:r>
      <w:r w:rsidR="00341DA2" w:rsidRPr="00B10065">
        <w:rPr>
          <w:rFonts w:ascii="Arial" w:hAnsi="Arial" w:cs="Arial"/>
          <w:lang w:val="es-MX"/>
        </w:rPr>
        <w:t>fideicomisos</w:t>
      </w:r>
      <w:r w:rsidR="00361B90" w:rsidRPr="00B10065">
        <w:rPr>
          <w:rFonts w:ascii="Arial" w:hAnsi="Arial" w:cs="Arial"/>
          <w:lang w:val="es-MX"/>
        </w:rPr>
        <w:t xml:space="preserve"> </w:t>
      </w:r>
      <w:r w:rsidR="00C845FE" w:rsidRPr="00B10065">
        <w:rPr>
          <w:rFonts w:ascii="Arial" w:hAnsi="Arial" w:cs="Arial"/>
          <w:lang w:val="es-MX"/>
        </w:rPr>
        <w:t>y</w:t>
      </w:r>
      <w:r w:rsidR="007404E7" w:rsidRPr="00B10065">
        <w:rPr>
          <w:rFonts w:ascii="Arial" w:hAnsi="Arial" w:cs="Arial"/>
          <w:lang w:val="es-MX"/>
        </w:rPr>
        <w:t>/o</w:t>
      </w:r>
      <w:r w:rsidR="00C845FE" w:rsidRPr="00B10065">
        <w:rPr>
          <w:rFonts w:ascii="Arial" w:hAnsi="Arial" w:cs="Arial"/>
          <w:lang w:val="es-MX"/>
        </w:rPr>
        <w:t xml:space="preserve"> </w:t>
      </w:r>
      <w:r w:rsidR="009B496C" w:rsidRPr="00B10065">
        <w:rPr>
          <w:rFonts w:ascii="Arial" w:hAnsi="Arial" w:cs="Arial"/>
          <w:lang w:val="es-MX"/>
        </w:rPr>
        <w:t>cualquier otro tipo de instrumento que realice intermediación</w:t>
      </w:r>
      <w:r w:rsidR="00D15B23" w:rsidRPr="00B10065">
        <w:rPr>
          <w:rFonts w:ascii="Arial" w:hAnsi="Arial" w:cs="Arial"/>
          <w:lang w:val="es-MX"/>
        </w:rPr>
        <w:t>,</w:t>
      </w:r>
      <w:r w:rsidR="009B496C" w:rsidRPr="00B10065">
        <w:rPr>
          <w:rFonts w:ascii="Arial" w:hAnsi="Arial" w:cs="Arial"/>
          <w:lang w:val="es-MX"/>
        </w:rPr>
        <w:t xml:space="preserve"> que cumpla</w:t>
      </w:r>
      <w:r w:rsidR="004108B3" w:rsidRPr="00B10065">
        <w:rPr>
          <w:rFonts w:ascii="Arial" w:hAnsi="Arial" w:cs="Arial"/>
          <w:lang w:val="es-MX"/>
        </w:rPr>
        <w:t xml:space="preserve"> con los criterios de elegibilidad establ</w:t>
      </w:r>
      <w:r w:rsidR="00361B90" w:rsidRPr="00B10065">
        <w:rPr>
          <w:rFonts w:ascii="Arial" w:hAnsi="Arial" w:cs="Arial"/>
          <w:lang w:val="es-MX"/>
        </w:rPr>
        <w:t xml:space="preserve">ecidos en </w:t>
      </w:r>
      <w:r w:rsidR="00071AE6" w:rsidRPr="00B10065">
        <w:rPr>
          <w:rFonts w:ascii="Arial" w:hAnsi="Arial" w:cs="Arial"/>
          <w:lang w:val="es-MX"/>
        </w:rPr>
        <w:t>e</w:t>
      </w:r>
      <w:r w:rsidR="00361B90" w:rsidRPr="00B10065">
        <w:rPr>
          <w:rFonts w:ascii="Arial" w:hAnsi="Arial" w:cs="Arial"/>
          <w:lang w:val="es-MX"/>
        </w:rPr>
        <w:t>l</w:t>
      </w:r>
      <w:r w:rsidR="00071AE6" w:rsidRPr="00B10065">
        <w:rPr>
          <w:rFonts w:ascii="Arial" w:hAnsi="Arial" w:cs="Arial"/>
          <w:lang w:val="es-MX"/>
        </w:rPr>
        <w:t xml:space="preserve"> Sistema Normativo de Crédito de </w:t>
      </w:r>
      <w:r w:rsidR="00860126">
        <w:rPr>
          <w:rFonts w:ascii="Arial" w:hAnsi="Arial" w:cs="Arial"/>
          <w:lang w:val="es-MX"/>
        </w:rPr>
        <w:t>NAFIN</w:t>
      </w:r>
      <w:r w:rsidR="009224A6" w:rsidRPr="00B10065">
        <w:rPr>
          <w:rFonts w:ascii="Arial" w:hAnsi="Arial" w:cs="Arial"/>
          <w:lang w:val="es-MX"/>
        </w:rPr>
        <w:t xml:space="preserve">, </w:t>
      </w:r>
      <w:r w:rsidR="003A3326" w:rsidRPr="00B10065">
        <w:rPr>
          <w:rFonts w:ascii="Arial" w:hAnsi="Arial" w:cs="Arial"/>
          <w:lang w:val="es-MX"/>
        </w:rPr>
        <w:t>en</w:t>
      </w:r>
      <w:r w:rsidR="009224A6" w:rsidRPr="00B10065">
        <w:rPr>
          <w:rFonts w:ascii="Arial" w:hAnsi="Arial" w:cs="Arial"/>
          <w:lang w:val="es-MX"/>
        </w:rPr>
        <w:t xml:space="preserve"> su </w:t>
      </w:r>
      <w:r w:rsidR="00F80B7E" w:rsidRPr="00B10065">
        <w:rPr>
          <w:rFonts w:ascii="Arial" w:hAnsi="Arial" w:cs="Arial"/>
          <w:lang w:val="es-MX"/>
        </w:rPr>
        <w:t>Manual de Crédito</w:t>
      </w:r>
      <w:r w:rsidR="009224A6" w:rsidRPr="00B10065">
        <w:rPr>
          <w:rFonts w:ascii="Arial" w:hAnsi="Arial" w:cs="Arial"/>
          <w:lang w:val="es-MX"/>
        </w:rPr>
        <w:t xml:space="preserve"> y </w:t>
      </w:r>
      <w:r w:rsidR="003A3326" w:rsidRPr="00B10065">
        <w:rPr>
          <w:rFonts w:ascii="Arial" w:hAnsi="Arial" w:cs="Arial"/>
          <w:lang w:val="es-MX"/>
        </w:rPr>
        <w:t>en</w:t>
      </w:r>
      <w:r w:rsidR="009224A6" w:rsidRPr="00B10065">
        <w:rPr>
          <w:rFonts w:ascii="Arial" w:hAnsi="Arial" w:cs="Arial"/>
          <w:lang w:val="es-MX"/>
        </w:rPr>
        <w:t xml:space="preserve"> sus Manuales Específicos</w:t>
      </w:r>
      <w:r w:rsidR="00D765EE" w:rsidRPr="00B10065">
        <w:rPr>
          <w:rFonts w:ascii="Arial" w:hAnsi="Arial" w:cs="Arial"/>
          <w:lang w:val="es-MX"/>
        </w:rPr>
        <w:t xml:space="preserve"> y que canalicen los respectivos </w:t>
      </w:r>
      <w:r w:rsidR="0075055A" w:rsidRPr="00B10065">
        <w:rPr>
          <w:rFonts w:ascii="Arial" w:hAnsi="Arial" w:cs="Arial"/>
          <w:lang w:val="es-MX"/>
        </w:rPr>
        <w:t>Sub-préstamos</w:t>
      </w:r>
      <w:r w:rsidR="00D765EE" w:rsidRPr="00B10065">
        <w:rPr>
          <w:rFonts w:ascii="Arial" w:hAnsi="Arial" w:cs="Arial"/>
          <w:lang w:val="es-MX"/>
        </w:rPr>
        <w:t xml:space="preserve"> a Operaciones Elegibles</w:t>
      </w:r>
      <w:r w:rsidR="009224A6" w:rsidRPr="00B10065">
        <w:rPr>
          <w:rFonts w:ascii="Arial" w:hAnsi="Arial" w:cs="Arial"/>
          <w:lang w:val="es-MX"/>
        </w:rPr>
        <w:t>.</w:t>
      </w:r>
      <w:bookmarkEnd w:id="31"/>
      <w:bookmarkEnd w:id="32"/>
      <w:bookmarkEnd w:id="33"/>
      <w:r w:rsidR="009224A6" w:rsidRPr="00B10065">
        <w:rPr>
          <w:rFonts w:ascii="Arial" w:hAnsi="Arial" w:cs="Arial"/>
          <w:lang w:val="es-MX"/>
        </w:rPr>
        <w:t xml:space="preserve"> </w:t>
      </w:r>
    </w:p>
    <w:p w14:paraId="07DE8B40" w14:textId="77777777" w:rsidR="00805D1B" w:rsidRDefault="00BB2E39" w:rsidP="00506EF1">
      <w:pPr>
        <w:pStyle w:val="Paragraph"/>
        <w:ind w:left="810" w:hanging="810"/>
        <w:outlineLvl w:val="9"/>
        <w:rPr>
          <w:rFonts w:ascii="Arial" w:hAnsi="Arial" w:cs="Arial"/>
          <w:szCs w:val="24"/>
          <w:lang w:val="es-MX"/>
        </w:rPr>
      </w:pPr>
      <w:bookmarkStart w:id="34" w:name="_Toc321244849"/>
      <w:r w:rsidRPr="002E0F6A">
        <w:rPr>
          <w:rFonts w:ascii="Arial" w:hAnsi="Arial" w:cs="Arial"/>
          <w:lang w:val="es-MX"/>
        </w:rPr>
        <w:t>Las</w:t>
      </w:r>
      <w:r w:rsidR="00F25357" w:rsidRPr="002E0F6A">
        <w:rPr>
          <w:rFonts w:ascii="Arial" w:hAnsi="Arial" w:cs="Arial"/>
          <w:szCs w:val="24"/>
          <w:lang w:val="es-MX"/>
        </w:rPr>
        <w:t xml:space="preserve"> empresas</w:t>
      </w:r>
      <w:r w:rsidR="00905CA4" w:rsidRPr="002E0F6A">
        <w:rPr>
          <w:rFonts w:ascii="Arial" w:hAnsi="Arial" w:cs="Arial"/>
          <w:szCs w:val="24"/>
          <w:lang w:val="es-MX"/>
        </w:rPr>
        <w:t xml:space="preserve">, </w:t>
      </w:r>
      <w:r w:rsidR="00F25357" w:rsidRPr="002E0F6A">
        <w:rPr>
          <w:rFonts w:ascii="Arial" w:hAnsi="Arial" w:cs="Arial"/>
          <w:szCs w:val="24"/>
          <w:lang w:val="es-MX"/>
        </w:rPr>
        <w:t>las IFI´s y/o cualquier</w:t>
      </w:r>
      <w:r w:rsidR="00E0439F" w:rsidRPr="002E0F6A">
        <w:rPr>
          <w:rFonts w:ascii="Arial" w:hAnsi="Arial" w:cs="Arial"/>
          <w:szCs w:val="24"/>
          <w:lang w:val="es-MX"/>
        </w:rPr>
        <w:t xml:space="preserve"> </w:t>
      </w:r>
      <w:r w:rsidR="009B496C" w:rsidRPr="002E0F6A">
        <w:rPr>
          <w:rFonts w:ascii="Arial" w:hAnsi="Arial" w:cs="Arial"/>
          <w:szCs w:val="24"/>
          <w:lang w:val="es-MX"/>
        </w:rPr>
        <w:t>otro tipo de instrumento que realice intermediación</w:t>
      </w:r>
      <w:r w:rsidR="00CC55BE" w:rsidRPr="002E0F6A">
        <w:rPr>
          <w:rFonts w:ascii="Arial" w:hAnsi="Arial" w:cs="Arial"/>
          <w:szCs w:val="24"/>
          <w:lang w:val="es-MX"/>
        </w:rPr>
        <w:t>,</w:t>
      </w:r>
      <w:r w:rsidR="009B496C" w:rsidRPr="002E0F6A">
        <w:rPr>
          <w:rFonts w:ascii="Arial" w:hAnsi="Arial" w:cs="Arial"/>
          <w:szCs w:val="24"/>
          <w:lang w:val="es-MX"/>
        </w:rPr>
        <w:t xml:space="preserve"> </w:t>
      </w:r>
      <w:r w:rsidR="0033116C" w:rsidRPr="002E0F6A">
        <w:rPr>
          <w:rFonts w:ascii="Arial" w:hAnsi="Arial" w:cs="Arial"/>
          <w:szCs w:val="24"/>
          <w:lang w:val="es-MX"/>
        </w:rPr>
        <w:t xml:space="preserve">podrán </w:t>
      </w:r>
      <w:r w:rsidR="00230812" w:rsidRPr="002E0F6A">
        <w:rPr>
          <w:rFonts w:ascii="Arial" w:hAnsi="Arial" w:cs="Arial"/>
          <w:szCs w:val="24"/>
          <w:lang w:val="es-MX"/>
        </w:rPr>
        <w:t xml:space="preserve">acceder a los </w:t>
      </w:r>
      <w:r w:rsidR="009224A6" w:rsidRPr="002E0F6A">
        <w:rPr>
          <w:rFonts w:ascii="Arial" w:hAnsi="Arial" w:cs="Arial"/>
          <w:szCs w:val="24"/>
          <w:lang w:val="es-MX"/>
        </w:rPr>
        <w:t>r</w:t>
      </w:r>
      <w:r w:rsidR="00230812" w:rsidRPr="002E0F6A">
        <w:rPr>
          <w:rFonts w:ascii="Arial" w:hAnsi="Arial" w:cs="Arial"/>
          <w:szCs w:val="24"/>
          <w:lang w:val="es-MX"/>
        </w:rPr>
        <w:t xml:space="preserve">ecursos del </w:t>
      </w:r>
      <w:r w:rsidR="00743CAA" w:rsidRPr="002E0F6A">
        <w:rPr>
          <w:rFonts w:ascii="Arial" w:hAnsi="Arial" w:cs="Arial"/>
          <w:szCs w:val="24"/>
          <w:lang w:val="es-MX"/>
        </w:rPr>
        <w:t>PFTRG</w:t>
      </w:r>
      <w:r w:rsidR="00230812" w:rsidRPr="002E0F6A">
        <w:rPr>
          <w:rFonts w:ascii="Arial" w:hAnsi="Arial" w:cs="Arial"/>
          <w:szCs w:val="24"/>
          <w:lang w:val="es-MX"/>
        </w:rPr>
        <w:t xml:space="preserve"> a través de </w:t>
      </w:r>
      <w:r w:rsidR="0079294B" w:rsidRPr="002E0F6A">
        <w:rPr>
          <w:rFonts w:ascii="Arial" w:hAnsi="Arial" w:cs="Arial"/>
          <w:szCs w:val="24"/>
          <w:lang w:val="es-MX"/>
        </w:rPr>
        <w:t>NAFIN</w:t>
      </w:r>
      <w:r w:rsidR="00230812" w:rsidRPr="002E0F6A">
        <w:rPr>
          <w:rFonts w:ascii="Arial" w:hAnsi="Arial" w:cs="Arial"/>
          <w:szCs w:val="24"/>
          <w:lang w:val="es-MX"/>
        </w:rPr>
        <w:t>.</w:t>
      </w:r>
      <w:bookmarkEnd w:id="34"/>
    </w:p>
    <w:p w14:paraId="7F90D3C3" w14:textId="77777777" w:rsidR="008840FC" w:rsidRDefault="008840FC" w:rsidP="00506EF1">
      <w:pPr>
        <w:pStyle w:val="Paragraph"/>
        <w:ind w:left="810" w:hanging="810"/>
        <w:outlineLvl w:val="9"/>
        <w:rPr>
          <w:rFonts w:ascii="Arial" w:hAnsi="Arial" w:cs="Arial"/>
          <w:szCs w:val="24"/>
          <w:lang w:val="es-MX"/>
        </w:rPr>
      </w:pPr>
      <w:r>
        <w:rPr>
          <w:rFonts w:ascii="Arial" w:hAnsi="Arial" w:cs="Arial"/>
          <w:szCs w:val="24"/>
          <w:lang w:val="es-MX"/>
        </w:rPr>
        <w:t xml:space="preserve">NAFIN </w:t>
      </w:r>
      <w:r w:rsidRPr="00B10065">
        <w:rPr>
          <w:rFonts w:ascii="Arial" w:hAnsi="Arial" w:cs="Arial"/>
          <w:szCs w:val="24"/>
          <w:lang w:val="es-MX"/>
        </w:rPr>
        <w:t>directamente y/o a través de las IFI´s y/o cualquier otro tipo de instrumento que realice intermediación, verificará la elegibilidad del Sub- Prestatario Elegible para recibir financiamiento con recursos del PFTRG, así como el uso y destino del crédito final. NAFIN vigilará que se dé cumplimiento por parte de las IFI´s y/o cualquier otro tipo de instrumento para que realicen la intermediación, de conformidad con los requisitos establecidos en los Contratos de Préstamo y las Cooperaciones Técnicas, en el presente Reglamento Operativo, el MAGAS y en las disposiciones legales correspondientes.</w:t>
      </w:r>
    </w:p>
    <w:p w14:paraId="7218E4E9" w14:textId="090D3559" w:rsidR="00D7043D" w:rsidRPr="00D7043D" w:rsidRDefault="008840FC" w:rsidP="00D7043D">
      <w:pPr>
        <w:pStyle w:val="Paragraph"/>
        <w:ind w:left="810" w:hanging="810"/>
        <w:rPr>
          <w:rFonts w:ascii="Arial" w:hAnsi="Arial" w:cs="Arial"/>
          <w:bCs/>
          <w:szCs w:val="24"/>
        </w:rPr>
      </w:pPr>
      <w:r>
        <w:rPr>
          <w:rFonts w:ascii="Arial" w:hAnsi="Arial" w:cs="Arial"/>
          <w:bCs/>
          <w:szCs w:val="24"/>
          <w:lang w:val="es-MX"/>
        </w:rPr>
        <w:t xml:space="preserve">El </w:t>
      </w:r>
      <w:r w:rsidR="00D7043D" w:rsidRPr="00D7043D">
        <w:rPr>
          <w:rFonts w:ascii="Arial" w:hAnsi="Arial" w:cs="Arial"/>
          <w:bCs/>
          <w:szCs w:val="24"/>
          <w:lang w:val="es-ES"/>
        </w:rPr>
        <w:t xml:space="preserve">monto total del financiamiento del programa es de </w:t>
      </w:r>
      <w:r w:rsidR="00D7043D" w:rsidRPr="00D7043D">
        <w:rPr>
          <w:rFonts w:ascii="Arial" w:hAnsi="Arial" w:cs="Arial"/>
          <w:bCs/>
          <w:szCs w:val="24"/>
          <w:lang w:val="es-BO"/>
        </w:rPr>
        <w:t>US$1</w:t>
      </w:r>
      <w:r w:rsidR="007268FD">
        <w:rPr>
          <w:rFonts w:ascii="Arial" w:hAnsi="Arial" w:cs="Arial"/>
          <w:bCs/>
          <w:szCs w:val="24"/>
          <w:lang w:val="es-BO"/>
        </w:rPr>
        <w:t>08</w:t>
      </w:r>
      <w:r w:rsidR="00D7043D" w:rsidRPr="00D7043D">
        <w:rPr>
          <w:rFonts w:ascii="Arial" w:hAnsi="Arial" w:cs="Arial"/>
          <w:bCs/>
          <w:szCs w:val="24"/>
          <w:lang w:val="es-BO"/>
        </w:rPr>
        <w:t>,</w:t>
      </w:r>
      <w:r w:rsidR="007268FD">
        <w:rPr>
          <w:rFonts w:ascii="Arial" w:hAnsi="Arial" w:cs="Arial"/>
          <w:bCs/>
          <w:szCs w:val="24"/>
          <w:lang w:val="es-BO"/>
        </w:rPr>
        <w:t>6</w:t>
      </w:r>
      <w:r w:rsidR="00D7043D" w:rsidRPr="00D7043D">
        <w:rPr>
          <w:rFonts w:ascii="Arial" w:hAnsi="Arial" w:cs="Arial"/>
          <w:bCs/>
          <w:szCs w:val="24"/>
          <w:lang w:val="es-BO"/>
        </w:rPr>
        <w:t xml:space="preserve"> millones, distribuidos de la siguiente manera: (i) US$54,3 millones de préstamo de inversión financiados con recursos del Capital Ordinario del Banco (3178/OC-ME) </w:t>
      </w:r>
      <w:r w:rsidR="00D7043D" w:rsidRPr="00D7043D">
        <w:rPr>
          <w:rFonts w:ascii="Arial" w:hAnsi="Arial" w:cs="Arial"/>
          <w:bCs/>
          <w:szCs w:val="24"/>
          <w:lang w:val="es-ES"/>
        </w:rPr>
        <w:t xml:space="preserve">que constituye la cuarta operación individual bajo la Línea de Crédito Condicional para Proyectos de Inversión (CCLIP- </w:t>
      </w:r>
      <w:r w:rsidR="00D7043D" w:rsidRPr="00D7043D">
        <w:rPr>
          <w:rFonts w:ascii="Arial" w:hAnsi="Arial" w:cs="Arial"/>
          <w:bCs/>
          <w:szCs w:val="24"/>
        </w:rPr>
        <w:t>ME-X1010</w:t>
      </w:r>
      <w:r w:rsidR="00D7043D" w:rsidRPr="00D7043D">
        <w:rPr>
          <w:rFonts w:ascii="Arial" w:hAnsi="Arial" w:cs="Arial"/>
          <w:bCs/>
          <w:szCs w:val="24"/>
          <w:lang w:val="es-ES"/>
        </w:rPr>
        <w:t>)</w:t>
      </w:r>
      <w:r w:rsidR="00D7043D" w:rsidRPr="00D7043D">
        <w:rPr>
          <w:rFonts w:ascii="Arial" w:hAnsi="Arial" w:cs="Arial"/>
          <w:bCs/>
          <w:szCs w:val="24"/>
          <w:lang w:val="es-BO"/>
        </w:rPr>
        <w:t>; (ii) US$</w:t>
      </w:r>
      <w:r w:rsidR="00103E97">
        <w:rPr>
          <w:rFonts w:ascii="Arial" w:hAnsi="Arial" w:cs="Arial"/>
          <w:bCs/>
          <w:szCs w:val="24"/>
          <w:lang w:val="es-BO"/>
        </w:rPr>
        <w:t>51,5</w:t>
      </w:r>
      <w:r w:rsidR="00103E97" w:rsidRPr="00D7043D">
        <w:rPr>
          <w:rFonts w:ascii="Arial" w:hAnsi="Arial" w:cs="Arial"/>
          <w:bCs/>
          <w:szCs w:val="24"/>
          <w:lang w:val="es-BO"/>
        </w:rPr>
        <w:t xml:space="preserve"> </w:t>
      </w:r>
      <w:r w:rsidR="00D7043D" w:rsidRPr="00D7043D">
        <w:rPr>
          <w:rFonts w:ascii="Arial" w:hAnsi="Arial" w:cs="Arial"/>
          <w:bCs/>
          <w:szCs w:val="24"/>
          <w:lang w:val="es-BO"/>
        </w:rPr>
        <w:t xml:space="preserve">millones de donación de recuperación contingente (CRG por sus siglas en inglés) </w:t>
      </w:r>
      <w:r w:rsidR="00D7043D">
        <w:rPr>
          <w:rFonts w:ascii="Arial" w:hAnsi="Arial" w:cs="Arial"/>
          <w:bCs/>
          <w:szCs w:val="24"/>
          <w:lang w:val="es-BO"/>
        </w:rPr>
        <w:t xml:space="preserve">financiado con recursos </w:t>
      </w:r>
      <w:r w:rsidR="00D7043D" w:rsidRPr="00D7043D">
        <w:rPr>
          <w:rFonts w:ascii="Arial" w:hAnsi="Arial" w:cs="Arial"/>
          <w:bCs/>
          <w:szCs w:val="24"/>
          <w:lang w:val="es-BO"/>
        </w:rPr>
        <w:t xml:space="preserve">del CTF (GRT/TC-14424-ME); </w:t>
      </w:r>
      <w:r w:rsidR="00103E97">
        <w:rPr>
          <w:rFonts w:ascii="Arial" w:hAnsi="Arial" w:cs="Arial"/>
          <w:bCs/>
          <w:szCs w:val="24"/>
          <w:lang w:val="es-BO"/>
        </w:rPr>
        <w:t xml:space="preserve">y </w:t>
      </w:r>
      <w:r w:rsidR="00D7043D" w:rsidRPr="00D7043D">
        <w:rPr>
          <w:rFonts w:ascii="Arial" w:hAnsi="Arial" w:cs="Arial"/>
          <w:bCs/>
          <w:szCs w:val="24"/>
          <w:lang w:val="es-BO"/>
        </w:rPr>
        <w:t>(iv) US$2,8 millones de donación no reembolsable (GRT/TC-14423-ME)</w:t>
      </w:r>
      <w:r w:rsidR="00103E97">
        <w:rPr>
          <w:rFonts w:ascii="Arial" w:hAnsi="Arial" w:cs="Arial"/>
          <w:bCs/>
          <w:szCs w:val="24"/>
          <w:lang w:val="es-BO"/>
        </w:rPr>
        <w:t>.</w:t>
      </w:r>
      <w:r w:rsidR="00D7043D" w:rsidRPr="00D7043D">
        <w:rPr>
          <w:rFonts w:ascii="Arial" w:hAnsi="Arial" w:cs="Arial"/>
          <w:bCs/>
          <w:szCs w:val="24"/>
          <w:lang w:val="es-BO"/>
        </w:rPr>
        <w:t xml:space="preserve"> </w:t>
      </w:r>
    </w:p>
    <w:p w14:paraId="4012AF43" w14:textId="77777777" w:rsidR="00595E51" w:rsidRDefault="00994574" w:rsidP="00506EF1">
      <w:pPr>
        <w:pStyle w:val="Paragraph"/>
        <w:ind w:left="810" w:hanging="810"/>
        <w:outlineLvl w:val="9"/>
        <w:rPr>
          <w:rFonts w:ascii="Arial" w:hAnsi="Arial" w:cs="Arial"/>
          <w:szCs w:val="24"/>
          <w:lang w:val="es-MX"/>
        </w:rPr>
      </w:pPr>
      <w:bookmarkStart w:id="35" w:name="_Toc321244851"/>
      <w:r w:rsidRPr="00751625">
        <w:rPr>
          <w:rFonts w:ascii="Arial" w:hAnsi="Arial" w:cs="Arial"/>
          <w:szCs w:val="24"/>
          <w:lang w:val="es-MX"/>
        </w:rPr>
        <w:t xml:space="preserve">La utilización de los </w:t>
      </w:r>
      <w:r w:rsidR="00E53752">
        <w:rPr>
          <w:rFonts w:ascii="Arial" w:hAnsi="Arial" w:cs="Arial"/>
          <w:szCs w:val="24"/>
          <w:lang w:val="es-MX"/>
        </w:rPr>
        <w:t>recursos,</w:t>
      </w:r>
      <w:r w:rsidR="008D5440">
        <w:rPr>
          <w:rFonts w:ascii="Arial" w:hAnsi="Arial" w:cs="Arial"/>
          <w:szCs w:val="24"/>
          <w:lang w:val="es-MX"/>
        </w:rPr>
        <w:t xml:space="preserve"> </w:t>
      </w:r>
      <w:r w:rsidR="007A39AB">
        <w:rPr>
          <w:rFonts w:ascii="Arial" w:hAnsi="Arial" w:cs="Arial"/>
          <w:szCs w:val="24"/>
          <w:lang w:val="es-MX"/>
        </w:rPr>
        <w:t>serán destinados para los Sub-proyectos</w:t>
      </w:r>
      <w:r w:rsidR="000C025D">
        <w:rPr>
          <w:rFonts w:ascii="Arial" w:hAnsi="Arial" w:cs="Arial"/>
          <w:szCs w:val="24"/>
          <w:lang w:val="es-MX"/>
        </w:rPr>
        <w:t>,</w:t>
      </w:r>
      <w:r w:rsidR="007A39AB">
        <w:rPr>
          <w:rFonts w:ascii="Arial" w:hAnsi="Arial" w:cs="Arial"/>
          <w:szCs w:val="24"/>
          <w:lang w:val="es-MX"/>
        </w:rPr>
        <w:t xml:space="preserve"> </w:t>
      </w:r>
      <w:r w:rsidR="005E1C2C">
        <w:rPr>
          <w:rFonts w:ascii="Arial" w:hAnsi="Arial" w:cs="Arial"/>
          <w:szCs w:val="24"/>
          <w:lang w:val="es-MX"/>
        </w:rPr>
        <w:t xml:space="preserve">mismos que </w:t>
      </w:r>
      <w:r w:rsidR="007A39AB">
        <w:rPr>
          <w:rFonts w:ascii="Arial" w:hAnsi="Arial" w:cs="Arial"/>
          <w:szCs w:val="24"/>
          <w:lang w:val="es-MX"/>
        </w:rPr>
        <w:t xml:space="preserve">podrán </w:t>
      </w:r>
      <w:r w:rsidR="005E1C2C">
        <w:rPr>
          <w:rFonts w:ascii="Arial" w:hAnsi="Arial" w:cs="Arial"/>
          <w:szCs w:val="24"/>
          <w:lang w:val="es-MX"/>
        </w:rPr>
        <w:t xml:space="preserve">ser utilizados en </w:t>
      </w:r>
      <w:r w:rsidR="007A39AB">
        <w:rPr>
          <w:rFonts w:ascii="Arial" w:hAnsi="Arial" w:cs="Arial"/>
          <w:szCs w:val="24"/>
          <w:lang w:val="es-MX"/>
        </w:rPr>
        <w:t>forma</w:t>
      </w:r>
      <w:r w:rsidRPr="00751625">
        <w:rPr>
          <w:rFonts w:ascii="Arial" w:hAnsi="Arial" w:cs="Arial"/>
          <w:szCs w:val="24"/>
          <w:lang w:val="es-MX"/>
        </w:rPr>
        <w:t xml:space="preserve"> indistinta</w:t>
      </w:r>
      <w:r w:rsidR="00595E51" w:rsidRPr="00751625">
        <w:rPr>
          <w:rFonts w:ascii="Arial" w:hAnsi="Arial" w:cs="Arial"/>
          <w:szCs w:val="24"/>
          <w:lang w:val="es-MX"/>
        </w:rPr>
        <w:t xml:space="preserve">, </w:t>
      </w:r>
      <w:r w:rsidRPr="00751625">
        <w:rPr>
          <w:rFonts w:ascii="Arial" w:hAnsi="Arial" w:cs="Arial"/>
          <w:szCs w:val="24"/>
          <w:lang w:val="es-MX"/>
        </w:rPr>
        <w:t xml:space="preserve">considerando ofrecer la mejor </w:t>
      </w:r>
      <w:r w:rsidR="00595E51" w:rsidRPr="00751625">
        <w:rPr>
          <w:rFonts w:ascii="Arial" w:hAnsi="Arial" w:cs="Arial"/>
          <w:szCs w:val="24"/>
          <w:lang w:val="es-MX"/>
        </w:rPr>
        <w:t xml:space="preserve">tasa de interés que reflejará el promedio de sus costos, </w:t>
      </w:r>
      <w:r w:rsidR="00CC55BE" w:rsidRPr="00751625">
        <w:rPr>
          <w:rFonts w:ascii="Arial" w:hAnsi="Arial" w:cs="Arial"/>
          <w:szCs w:val="24"/>
          <w:lang w:val="es-MX"/>
        </w:rPr>
        <w:t xml:space="preserve">incluyendo </w:t>
      </w:r>
      <w:r w:rsidR="00595E51" w:rsidRPr="00751625">
        <w:rPr>
          <w:rFonts w:ascii="Arial" w:hAnsi="Arial" w:cs="Arial"/>
          <w:szCs w:val="24"/>
          <w:lang w:val="es-MX"/>
        </w:rPr>
        <w:t>su administración.</w:t>
      </w:r>
    </w:p>
    <w:p w14:paraId="27DA777B" w14:textId="6B6726B4" w:rsidR="00994574" w:rsidRDefault="00994574" w:rsidP="00506EF1">
      <w:pPr>
        <w:pStyle w:val="Paragraph"/>
        <w:ind w:left="810" w:hanging="810"/>
        <w:outlineLvl w:val="9"/>
        <w:rPr>
          <w:rFonts w:ascii="Arial" w:hAnsi="Arial" w:cs="Arial"/>
          <w:szCs w:val="24"/>
          <w:lang w:val="es-MX"/>
        </w:rPr>
      </w:pPr>
      <w:r w:rsidRPr="00E44C41">
        <w:rPr>
          <w:rFonts w:ascii="Arial" w:hAnsi="Arial" w:cs="Arial"/>
          <w:szCs w:val="24"/>
          <w:lang w:val="es-MX"/>
        </w:rPr>
        <w:t xml:space="preserve">A </w:t>
      </w:r>
      <w:r w:rsidR="009A60A2" w:rsidRPr="00245AEF">
        <w:rPr>
          <w:rFonts w:ascii="Arial" w:hAnsi="Arial" w:cs="Arial"/>
          <w:szCs w:val="24"/>
          <w:lang w:val="es-MX"/>
        </w:rPr>
        <w:t>continuación,</w:t>
      </w:r>
      <w:r w:rsidRPr="00E44C41">
        <w:rPr>
          <w:rFonts w:ascii="Arial" w:hAnsi="Arial" w:cs="Arial"/>
          <w:szCs w:val="24"/>
          <w:lang w:val="es-MX"/>
        </w:rPr>
        <w:t xml:space="preserve"> </w:t>
      </w:r>
      <w:r w:rsidR="00E44C41" w:rsidRPr="00E44C41">
        <w:rPr>
          <w:rFonts w:ascii="Arial" w:hAnsi="Arial" w:cs="Arial"/>
          <w:szCs w:val="24"/>
          <w:lang w:val="es-MX"/>
        </w:rPr>
        <w:t xml:space="preserve">los </w:t>
      </w:r>
      <w:r w:rsidR="00103E97">
        <w:rPr>
          <w:rFonts w:ascii="Arial" w:hAnsi="Arial" w:cs="Arial"/>
          <w:szCs w:val="24"/>
          <w:lang w:val="es-MX"/>
        </w:rPr>
        <w:t>términos y condiciones</w:t>
      </w:r>
      <w:r w:rsidR="00E579ED">
        <w:rPr>
          <w:rFonts w:ascii="Arial" w:hAnsi="Arial" w:cs="Arial"/>
          <w:szCs w:val="24"/>
          <w:lang w:val="es-MX"/>
        </w:rPr>
        <w:t xml:space="preserve"> y el costo del</w:t>
      </w:r>
      <w:r w:rsidRPr="00E44C41">
        <w:rPr>
          <w:rFonts w:ascii="Arial" w:hAnsi="Arial" w:cs="Arial"/>
          <w:szCs w:val="24"/>
          <w:lang w:val="es-MX"/>
        </w:rPr>
        <w:t xml:space="preserve"> PFTRG:</w:t>
      </w:r>
    </w:p>
    <w:p w14:paraId="032670DF" w14:textId="77777777" w:rsidR="006D33EC" w:rsidRDefault="006D33EC" w:rsidP="000A37CF">
      <w:pPr>
        <w:pStyle w:val="Chapter"/>
        <w:numPr>
          <w:ilvl w:val="0"/>
          <w:numId w:val="0"/>
        </w:numPr>
        <w:ind w:left="2694"/>
        <w:jc w:val="left"/>
      </w:pPr>
    </w:p>
    <w:p w14:paraId="74C4BD8D" w14:textId="77777777" w:rsidR="006D33EC" w:rsidRDefault="006D33EC" w:rsidP="000A37CF">
      <w:pPr>
        <w:rPr>
          <w:lang w:val="es-ES_tradnl"/>
        </w:rPr>
      </w:pPr>
    </w:p>
    <w:p w14:paraId="3AA8C050" w14:textId="77777777" w:rsidR="006D33EC" w:rsidRDefault="006D33EC" w:rsidP="000A37CF">
      <w:pPr>
        <w:rPr>
          <w:lang w:val="es-ES_tradnl"/>
        </w:rPr>
      </w:pPr>
    </w:p>
    <w:p w14:paraId="76E691CE" w14:textId="77777777" w:rsidR="006D33EC" w:rsidRDefault="006D33EC" w:rsidP="000A37CF">
      <w:pPr>
        <w:rPr>
          <w:lang w:val="es-ES_tradnl"/>
        </w:rPr>
      </w:pPr>
    </w:p>
    <w:p w14:paraId="06747663" w14:textId="77777777" w:rsidR="006D33EC" w:rsidRPr="000A37CF" w:rsidRDefault="006D33EC" w:rsidP="000A37CF">
      <w:pPr>
        <w:rPr>
          <w:lang w:val="es-ES_tradnl"/>
        </w:rPr>
      </w:pPr>
    </w:p>
    <w:p w14:paraId="3CEE72D5" w14:textId="38C470C4" w:rsidR="000F0E10" w:rsidRDefault="000F0E10" w:rsidP="000A37CF">
      <w:pPr>
        <w:pStyle w:val="Paragraph"/>
        <w:numPr>
          <w:ilvl w:val="0"/>
          <w:numId w:val="0"/>
        </w:numPr>
        <w:jc w:val="center"/>
        <w:outlineLvl w:val="9"/>
        <w:rPr>
          <w:rFonts w:ascii="Arial" w:hAnsi="Arial" w:cs="Arial"/>
          <w:b/>
          <w:szCs w:val="24"/>
          <w:lang w:val="es-MX"/>
        </w:rPr>
      </w:pPr>
      <w:r w:rsidRPr="000A37CF">
        <w:rPr>
          <w:rFonts w:ascii="Arial" w:hAnsi="Arial" w:cs="Arial"/>
          <w:b/>
          <w:szCs w:val="24"/>
          <w:lang w:val="es-MX"/>
        </w:rPr>
        <w:t xml:space="preserve">Tabla </w:t>
      </w:r>
      <w:r>
        <w:rPr>
          <w:rFonts w:ascii="Arial" w:hAnsi="Arial" w:cs="Arial"/>
          <w:b/>
          <w:szCs w:val="24"/>
          <w:lang w:val="es-MX"/>
        </w:rPr>
        <w:t>1</w:t>
      </w:r>
      <w:r w:rsidRPr="000A37CF">
        <w:rPr>
          <w:rFonts w:ascii="Arial" w:hAnsi="Arial" w:cs="Arial"/>
          <w:b/>
          <w:szCs w:val="24"/>
          <w:lang w:val="es-MX"/>
        </w:rPr>
        <w:t xml:space="preserve">. </w:t>
      </w:r>
      <w:r w:rsidR="00B139D6">
        <w:rPr>
          <w:rFonts w:ascii="Arial" w:hAnsi="Arial" w:cs="Arial"/>
          <w:b/>
          <w:szCs w:val="24"/>
          <w:lang w:val="es-MX"/>
        </w:rPr>
        <w:t>Términos y condiciones</w:t>
      </w:r>
      <w:r w:rsidR="00C67CE9">
        <w:rPr>
          <w:rFonts w:ascii="Arial" w:hAnsi="Arial" w:cs="Arial"/>
          <w:b/>
          <w:szCs w:val="24"/>
          <w:lang w:val="es-MX"/>
        </w:rPr>
        <w:t xml:space="preserve"> </w:t>
      </w:r>
      <w:r w:rsidRPr="000A37CF">
        <w:rPr>
          <w:rFonts w:ascii="Arial" w:hAnsi="Arial" w:cs="Arial"/>
          <w:b/>
          <w:szCs w:val="24"/>
          <w:lang w:val="es-MX"/>
        </w:rPr>
        <w:t>del PFTRG</w:t>
      </w:r>
      <w:r w:rsidR="008B2475">
        <w:rPr>
          <w:rFonts w:ascii="Arial" w:hAnsi="Arial" w:cs="Arial"/>
          <w:b/>
          <w:szCs w:val="24"/>
          <w:lang w:val="es-MX"/>
        </w:rPr>
        <w:t xml:space="preserve"> (US$ millones)</w:t>
      </w:r>
      <w:r w:rsidRPr="000A37CF">
        <w:rPr>
          <w:rFonts w:ascii="Arial" w:hAnsi="Arial" w:cs="Arial"/>
          <w:b/>
          <w:szCs w:val="24"/>
          <w:lang w:val="es-MX"/>
        </w:rPr>
        <w:t>.</w:t>
      </w:r>
    </w:p>
    <w:tbl>
      <w:tblPr>
        <w:tblW w:w="8427" w:type="dxa"/>
        <w:tblInd w:w="355" w:type="dxa"/>
        <w:tblLayout w:type="fixed"/>
        <w:tblLook w:val="0000" w:firstRow="0" w:lastRow="0" w:firstColumn="0" w:lastColumn="0" w:noHBand="0" w:noVBand="0"/>
      </w:tblPr>
      <w:tblGrid>
        <w:gridCol w:w="1800"/>
        <w:gridCol w:w="900"/>
        <w:gridCol w:w="810"/>
        <w:gridCol w:w="3055"/>
        <w:gridCol w:w="1862"/>
      </w:tblGrid>
      <w:tr w:rsidR="00B139D6" w:rsidRPr="00B139D6" w14:paraId="4DEDBC69" w14:textId="77777777" w:rsidTr="00B139D6">
        <w:trPr>
          <w:trHeight w:val="271"/>
        </w:trPr>
        <w:tc>
          <w:tcPr>
            <w:tcW w:w="8427" w:type="dxa"/>
            <w:gridSpan w:val="5"/>
            <w:tcBorders>
              <w:top w:val="single" w:sz="4" w:space="0" w:color="auto"/>
              <w:left w:val="single" w:sz="4" w:space="0" w:color="auto"/>
              <w:bottom w:val="single" w:sz="4" w:space="0" w:color="auto"/>
              <w:right w:val="single" w:sz="4" w:space="0" w:color="auto"/>
            </w:tcBorders>
            <w:shd w:val="clear" w:color="auto" w:fill="BFBFBF"/>
            <w:noWrap/>
          </w:tcPr>
          <w:p w14:paraId="558705F0" w14:textId="77777777" w:rsidR="00B139D6" w:rsidRPr="00B139D6" w:rsidRDefault="00B139D6" w:rsidP="00B139D6">
            <w:pPr>
              <w:keepNext/>
              <w:rPr>
                <w:rFonts w:ascii="Arial" w:hAnsi="Arial" w:cs="Arial"/>
                <w:lang w:val="es-ES_tradnl" w:eastAsia="en-US"/>
              </w:rPr>
            </w:pPr>
            <w:r w:rsidRPr="00B139D6">
              <w:rPr>
                <w:rFonts w:ascii="Arial" w:hAnsi="Arial" w:cs="Arial"/>
                <w:b/>
                <w:lang w:val="es-ES_tradnl" w:eastAsia="en-US"/>
              </w:rPr>
              <w:lastRenderedPageBreak/>
              <w:t>Prestatario y Agencia Ejecutora:</w:t>
            </w:r>
            <w:r w:rsidRPr="00B139D6">
              <w:rPr>
                <w:rFonts w:ascii="Arial" w:hAnsi="Arial" w:cs="Arial"/>
                <w:lang w:val="es-ES_tradnl" w:eastAsia="en-US"/>
              </w:rPr>
              <w:t xml:space="preserve"> Nacional Financiera S.N.C (NAFIN)</w:t>
            </w:r>
          </w:p>
          <w:p w14:paraId="37FBB223" w14:textId="77777777" w:rsidR="00B139D6" w:rsidRPr="00B139D6" w:rsidRDefault="00B139D6" w:rsidP="00B139D6">
            <w:pPr>
              <w:keepNext/>
              <w:rPr>
                <w:rFonts w:ascii="Arial" w:hAnsi="Arial" w:cs="Arial"/>
                <w:b/>
                <w:bCs/>
                <w:lang w:val="es-ES_tradnl" w:eastAsia="en-US"/>
              </w:rPr>
            </w:pPr>
            <w:r w:rsidRPr="00B139D6">
              <w:rPr>
                <w:rFonts w:ascii="Arial" w:eastAsia="Arial Unicode MS" w:hAnsi="Arial" w:cs="Arial"/>
                <w:b/>
                <w:lang w:val="es-ES_tradnl" w:eastAsia="en-US"/>
              </w:rPr>
              <w:t>Garante:</w:t>
            </w:r>
            <w:r w:rsidRPr="00B139D6">
              <w:rPr>
                <w:rFonts w:ascii="Arial" w:eastAsia="Arial Unicode MS" w:hAnsi="Arial" w:cs="Arial"/>
                <w:lang w:val="es-ES_tradnl" w:eastAsia="en-US"/>
              </w:rPr>
              <w:t xml:space="preserve"> </w:t>
            </w:r>
            <w:r w:rsidRPr="00B139D6">
              <w:rPr>
                <w:rFonts w:ascii="Arial" w:hAnsi="Arial" w:cs="Arial"/>
                <w:lang w:val="es-ES_tradnl" w:eastAsia="en-US"/>
              </w:rPr>
              <w:t>Estados Unidos Mexicanos</w:t>
            </w:r>
          </w:p>
        </w:tc>
      </w:tr>
      <w:tr w:rsidR="00B139D6" w:rsidRPr="00B139D6" w14:paraId="371BEC23" w14:textId="77777777" w:rsidTr="00895676">
        <w:trPr>
          <w:trHeight w:val="96"/>
        </w:trPr>
        <w:tc>
          <w:tcPr>
            <w:tcW w:w="1800" w:type="dxa"/>
            <w:tcBorders>
              <w:top w:val="single" w:sz="4" w:space="0" w:color="auto"/>
              <w:left w:val="single" w:sz="4" w:space="0" w:color="auto"/>
              <w:bottom w:val="single" w:sz="4" w:space="0" w:color="auto"/>
              <w:right w:val="single" w:sz="4" w:space="0" w:color="auto"/>
            </w:tcBorders>
            <w:noWrap/>
            <w:vAlign w:val="center"/>
          </w:tcPr>
          <w:p w14:paraId="3461DDDD" w14:textId="77777777" w:rsidR="00B139D6" w:rsidRPr="00B139D6" w:rsidRDefault="00B139D6" w:rsidP="00B139D6">
            <w:pPr>
              <w:keepNext/>
              <w:jc w:val="center"/>
              <w:rPr>
                <w:rFonts w:ascii="Arial" w:eastAsia="Arial Unicode MS" w:hAnsi="Arial" w:cs="Arial"/>
                <w:b/>
                <w:bCs/>
                <w:lang w:val="es-ES_tradnl" w:eastAsia="en-US"/>
              </w:rPr>
            </w:pPr>
            <w:r w:rsidRPr="00B139D6">
              <w:rPr>
                <w:rFonts w:ascii="Arial" w:hAnsi="Arial" w:cs="Arial"/>
                <w:b/>
                <w:bCs/>
                <w:lang w:val="es-ES_tradnl" w:eastAsia="en-US"/>
              </w:rPr>
              <w:t>Fuente</w:t>
            </w:r>
          </w:p>
        </w:tc>
        <w:tc>
          <w:tcPr>
            <w:tcW w:w="900" w:type="dxa"/>
            <w:tcBorders>
              <w:top w:val="single" w:sz="4" w:space="0" w:color="auto"/>
              <w:left w:val="single" w:sz="4" w:space="0" w:color="auto"/>
              <w:bottom w:val="single" w:sz="4" w:space="0" w:color="auto"/>
              <w:right w:val="single" w:sz="4" w:space="0" w:color="auto"/>
            </w:tcBorders>
            <w:noWrap/>
            <w:vAlign w:val="center"/>
          </w:tcPr>
          <w:p w14:paraId="29893955" w14:textId="77777777" w:rsidR="00B139D6" w:rsidRPr="00B139D6" w:rsidRDefault="00B139D6" w:rsidP="00B139D6">
            <w:pPr>
              <w:keepNext/>
              <w:jc w:val="center"/>
              <w:rPr>
                <w:rFonts w:ascii="Arial" w:eastAsia="Arial Unicode MS" w:hAnsi="Arial" w:cs="Arial"/>
                <w:b/>
                <w:bCs/>
                <w:lang w:val="es-ES_tradnl" w:eastAsia="en-US"/>
              </w:rPr>
            </w:pPr>
            <w:r w:rsidRPr="00B139D6">
              <w:rPr>
                <w:rFonts w:ascii="Arial" w:hAnsi="Arial" w:cs="Arial"/>
                <w:b/>
                <w:bCs/>
                <w:lang w:val="es-ES_tradnl" w:eastAsia="en-US"/>
              </w:rPr>
              <w:t>Monto</w:t>
            </w:r>
          </w:p>
        </w:tc>
        <w:tc>
          <w:tcPr>
            <w:tcW w:w="810" w:type="dxa"/>
            <w:tcBorders>
              <w:top w:val="single" w:sz="4" w:space="0" w:color="auto"/>
              <w:left w:val="single" w:sz="4" w:space="0" w:color="auto"/>
              <w:bottom w:val="single" w:sz="4" w:space="0" w:color="auto"/>
              <w:right w:val="single" w:sz="4" w:space="0" w:color="auto"/>
            </w:tcBorders>
            <w:vAlign w:val="center"/>
          </w:tcPr>
          <w:p w14:paraId="106947C0" w14:textId="77777777" w:rsidR="00B139D6" w:rsidRPr="00B139D6" w:rsidRDefault="00B139D6" w:rsidP="00B139D6">
            <w:pPr>
              <w:keepNext/>
              <w:jc w:val="center"/>
              <w:rPr>
                <w:rFonts w:ascii="Arial" w:eastAsia="Arial Unicode MS" w:hAnsi="Arial" w:cs="Arial"/>
                <w:b/>
                <w:bCs/>
                <w:lang w:val="es-ES_tradnl" w:eastAsia="en-US"/>
              </w:rPr>
            </w:pPr>
            <w:r w:rsidRPr="00B139D6">
              <w:rPr>
                <w:rFonts w:ascii="Arial" w:eastAsia="Arial Unicode MS" w:hAnsi="Arial" w:cs="Arial"/>
                <w:b/>
                <w:bCs/>
                <w:lang w:val="es-ES_tradnl" w:eastAsia="en-US"/>
              </w:rPr>
              <w:t>%</w:t>
            </w:r>
          </w:p>
        </w:tc>
        <w:tc>
          <w:tcPr>
            <w:tcW w:w="4917" w:type="dxa"/>
            <w:gridSpan w:val="2"/>
            <w:tcBorders>
              <w:top w:val="single" w:sz="4" w:space="0" w:color="auto"/>
              <w:left w:val="single" w:sz="4" w:space="0" w:color="auto"/>
              <w:bottom w:val="single" w:sz="4" w:space="0" w:color="auto"/>
              <w:right w:val="single" w:sz="4" w:space="0" w:color="auto"/>
            </w:tcBorders>
            <w:noWrap/>
            <w:vAlign w:val="center"/>
          </w:tcPr>
          <w:p w14:paraId="31F24A5F" w14:textId="77777777" w:rsidR="00B139D6" w:rsidRPr="00B139D6" w:rsidRDefault="00B139D6" w:rsidP="00B139D6">
            <w:pPr>
              <w:keepNext/>
              <w:ind w:right="31"/>
              <w:jc w:val="center"/>
              <w:rPr>
                <w:rFonts w:ascii="Arial" w:eastAsia="Arial Unicode MS" w:hAnsi="Arial" w:cs="Arial"/>
                <w:lang w:val="es-ES_tradnl" w:eastAsia="en-US"/>
              </w:rPr>
            </w:pPr>
          </w:p>
        </w:tc>
      </w:tr>
      <w:tr w:rsidR="00B139D6" w:rsidRPr="00B139D6" w14:paraId="4CE43879" w14:textId="77777777" w:rsidTr="00895676">
        <w:trPr>
          <w:trHeight w:val="121"/>
        </w:trPr>
        <w:tc>
          <w:tcPr>
            <w:tcW w:w="1800" w:type="dxa"/>
            <w:vMerge w:val="restart"/>
            <w:tcBorders>
              <w:top w:val="single" w:sz="4" w:space="0" w:color="auto"/>
              <w:left w:val="single" w:sz="4" w:space="0" w:color="auto"/>
              <w:right w:val="single" w:sz="4" w:space="0" w:color="auto"/>
            </w:tcBorders>
            <w:noWrap/>
          </w:tcPr>
          <w:p w14:paraId="453EDB73" w14:textId="77777777" w:rsidR="00B139D6" w:rsidRPr="00B139D6" w:rsidRDefault="00B139D6" w:rsidP="00B139D6">
            <w:pPr>
              <w:keepNext/>
              <w:jc w:val="center"/>
              <w:rPr>
                <w:rFonts w:ascii="Arial" w:hAnsi="Arial" w:cs="Arial"/>
                <w:lang w:val="es-ES_tradnl" w:eastAsia="en-US"/>
              </w:rPr>
            </w:pPr>
          </w:p>
          <w:p w14:paraId="1775915D" w14:textId="77777777" w:rsidR="00B139D6" w:rsidRPr="00B139D6" w:rsidRDefault="00B139D6" w:rsidP="00B139D6">
            <w:pPr>
              <w:keepNext/>
              <w:jc w:val="center"/>
              <w:rPr>
                <w:rFonts w:ascii="Arial" w:hAnsi="Arial" w:cs="Arial"/>
                <w:lang w:val="es-ES_tradnl" w:eastAsia="en-US"/>
              </w:rPr>
            </w:pPr>
            <w:r w:rsidRPr="00B139D6">
              <w:rPr>
                <w:rFonts w:ascii="Arial" w:hAnsi="Arial" w:cs="Arial"/>
                <w:lang w:val="es-ES_tradnl" w:eastAsia="en-US"/>
              </w:rPr>
              <w:t>ME-L1148 (3178/OC-ME)</w:t>
            </w:r>
          </w:p>
          <w:p w14:paraId="1456544F" w14:textId="77777777" w:rsidR="00B139D6" w:rsidRPr="00B139D6" w:rsidRDefault="00B139D6" w:rsidP="00B139D6">
            <w:pPr>
              <w:keepNext/>
              <w:jc w:val="center"/>
              <w:rPr>
                <w:rFonts w:ascii="Arial" w:hAnsi="Arial" w:cs="Arial"/>
                <w:lang w:val="es-ES_tradnl" w:eastAsia="en-US"/>
              </w:rPr>
            </w:pPr>
            <w:r w:rsidRPr="00B139D6">
              <w:rPr>
                <w:rFonts w:ascii="Arial" w:hAnsi="Arial" w:cs="Arial"/>
                <w:lang w:val="es-ES_tradnl" w:eastAsia="en-US"/>
              </w:rPr>
              <w:t>(CCLIP ME-X1010)</w:t>
            </w:r>
          </w:p>
        </w:tc>
        <w:tc>
          <w:tcPr>
            <w:tcW w:w="900" w:type="dxa"/>
            <w:tcBorders>
              <w:top w:val="single" w:sz="4" w:space="0" w:color="auto"/>
              <w:left w:val="single" w:sz="4" w:space="0" w:color="auto"/>
              <w:right w:val="single" w:sz="4" w:space="0" w:color="auto"/>
            </w:tcBorders>
            <w:noWrap/>
            <w:vAlign w:val="center"/>
          </w:tcPr>
          <w:p w14:paraId="4EED2507" w14:textId="77777777" w:rsidR="00B139D6" w:rsidRPr="00B139D6" w:rsidRDefault="00B139D6" w:rsidP="00B139D6">
            <w:pPr>
              <w:keepNext/>
              <w:jc w:val="center"/>
              <w:rPr>
                <w:rFonts w:ascii="Arial" w:eastAsia="Arial Unicode MS" w:hAnsi="Arial" w:cs="Arial"/>
                <w:lang w:val="es-ES_tradnl" w:eastAsia="en-US"/>
              </w:rPr>
            </w:pPr>
          </w:p>
        </w:tc>
        <w:tc>
          <w:tcPr>
            <w:tcW w:w="810" w:type="dxa"/>
            <w:tcBorders>
              <w:top w:val="single" w:sz="4" w:space="0" w:color="auto"/>
              <w:left w:val="single" w:sz="4" w:space="0" w:color="auto"/>
              <w:right w:val="single" w:sz="4" w:space="0" w:color="auto"/>
            </w:tcBorders>
            <w:vAlign w:val="center"/>
          </w:tcPr>
          <w:p w14:paraId="7AB25E92" w14:textId="77777777" w:rsidR="00B139D6" w:rsidRPr="00B139D6" w:rsidRDefault="00B139D6" w:rsidP="00B139D6">
            <w:pPr>
              <w:keepNext/>
              <w:jc w:val="center"/>
              <w:rPr>
                <w:rFonts w:ascii="Arial" w:eastAsia="Arial Unicode MS" w:hAnsi="Arial" w:cs="Arial"/>
                <w:lang w:val="es-ES_tradnl" w:eastAsia="en-US"/>
              </w:rPr>
            </w:pPr>
          </w:p>
        </w:tc>
        <w:tc>
          <w:tcPr>
            <w:tcW w:w="4917" w:type="dxa"/>
            <w:gridSpan w:val="2"/>
            <w:tcBorders>
              <w:left w:val="single" w:sz="4" w:space="0" w:color="auto"/>
              <w:bottom w:val="single" w:sz="4" w:space="0" w:color="auto"/>
              <w:right w:val="single" w:sz="4" w:space="0" w:color="auto"/>
            </w:tcBorders>
            <w:noWrap/>
            <w:vAlign w:val="center"/>
          </w:tcPr>
          <w:p w14:paraId="27E30FDC" w14:textId="77777777" w:rsidR="00B139D6" w:rsidRPr="00B139D6" w:rsidRDefault="00B139D6" w:rsidP="00B139D6">
            <w:pPr>
              <w:keepNext/>
              <w:ind w:right="31"/>
              <w:rPr>
                <w:rFonts w:ascii="Arial" w:eastAsia="Arial Unicode MS" w:hAnsi="Arial" w:cs="Arial"/>
                <w:lang w:val="es-ES_tradnl" w:eastAsia="en-US"/>
              </w:rPr>
            </w:pPr>
            <w:r w:rsidRPr="00B139D6">
              <w:rPr>
                <w:rFonts w:ascii="Arial" w:eastAsia="Arial Unicode MS" w:hAnsi="Arial" w:cs="Arial"/>
                <w:b/>
                <w:lang w:val="es-ES_tradnl" w:eastAsia="en-US"/>
              </w:rPr>
              <w:t xml:space="preserve">Facilidad de Financiamiento Flexible (FFF) </w:t>
            </w:r>
            <w:r w:rsidRPr="00B139D6">
              <w:rPr>
                <w:rFonts w:ascii="Arial" w:eastAsia="Arial Unicode MS" w:hAnsi="Arial" w:cs="Arial"/>
                <w:b/>
                <w:vertAlign w:val="superscript"/>
                <w:lang w:val="es-ES_tradnl" w:eastAsia="en-US"/>
              </w:rPr>
              <w:t>(a)</w:t>
            </w:r>
          </w:p>
        </w:tc>
      </w:tr>
      <w:tr w:rsidR="00B139D6" w:rsidRPr="00B139D6" w14:paraId="6A0015F5" w14:textId="77777777" w:rsidTr="00895676">
        <w:trPr>
          <w:trHeight w:val="202"/>
        </w:trPr>
        <w:tc>
          <w:tcPr>
            <w:tcW w:w="1800" w:type="dxa"/>
            <w:vMerge/>
            <w:tcBorders>
              <w:left w:val="single" w:sz="4" w:space="0" w:color="auto"/>
              <w:right w:val="single" w:sz="4" w:space="0" w:color="auto"/>
            </w:tcBorders>
            <w:noWrap/>
            <w:vAlign w:val="center"/>
          </w:tcPr>
          <w:p w14:paraId="6A5753B8" w14:textId="77777777" w:rsidR="00B139D6" w:rsidRPr="00B139D6" w:rsidRDefault="00B139D6" w:rsidP="00B139D6">
            <w:pPr>
              <w:keepNext/>
              <w:jc w:val="center"/>
              <w:rPr>
                <w:rFonts w:ascii="Arial" w:hAnsi="Arial" w:cs="Arial"/>
                <w:lang w:val="es-ES_tradnl" w:eastAsia="en-US"/>
              </w:rPr>
            </w:pPr>
          </w:p>
        </w:tc>
        <w:tc>
          <w:tcPr>
            <w:tcW w:w="900" w:type="dxa"/>
            <w:tcBorders>
              <w:left w:val="single" w:sz="4" w:space="0" w:color="auto"/>
              <w:right w:val="single" w:sz="4" w:space="0" w:color="auto"/>
            </w:tcBorders>
            <w:noWrap/>
            <w:vAlign w:val="center"/>
          </w:tcPr>
          <w:p w14:paraId="3333AAE9"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54,3</w:t>
            </w:r>
          </w:p>
        </w:tc>
        <w:tc>
          <w:tcPr>
            <w:tcW w:w="810" w:type="dxa"/>
            <w:tcBorders>
              <w:left w:val="single" w:sz="4" w:space="0" w:color="auto"/>
              <w:right w:val="single" w:sz="4" w:space="0" w:color="auto"/>
            </w:tcBorders>
            <w:vAlign w:val="center"/>
          </w:tcPr>
          <w:p w14:paraId="60308A27"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50%</w:t>
            </w:r>
          </w:p>
        </w:tc>
        <w:tc>
          <w:tcPr>
            <w:tcW w:w="3055" w:type="dxa"/>
            <w:tcBorders>
              <w:top w:val="single" w:sz="4" w:space="0" w:color="auto"/>
              <w:left w:val="single" w:sz="4" w:space="0" w:color="auto"/>
              <w:bottom w:val="single" w:sz="4" w:space="0" w:color="auto"/>
              <w:right w:val="single" w:sz="4" w:space="0" w:color="auto"/>
            </w:tcBorders>
            <w:noWrap/>
            <w:vAlign w:val="center"/>
          </w:tcPr>
          <w:p w14:paraId="4130EE62" w14:textId="77777777" w:rsidR="00B139D6" w:rsidRPr="00B139D6" w:rsidRDefault="00B139D6" w:rsidP="00B139D6">
            <w:pPr>
              <w:keepNext/>
              <w:rPr>
                <w:rFonts w:ascii="Arial" w:eastAsia="Arial Unicode MS" w:hAnsi="Arial" w:cs="Arial"/>
                <w:lang w:val="es-ES_tradnl" w:eastAsia="en-US"/>
              </w:rPr>
            </w:pPr>
            <w:r w:rsidRPr="00B139D6">
              <w:rPr>
                <w:rFonts w:ascii="Arial" w:hAnsi="Arial" w:cs="Arial"/>
                <w:lang w:val="es-ES_tradnl" w:eastAsia="en-US"/>
              </w:rPr>
              <w:t>Amortización/Periodo de Gracia</w:t>
            </w:r>
          </w:p>
        </w:tc>
        <w:tc>
          <w:tcPr>
            <w:tcW w:w="1862" w:type="dxa"/>
            <w:tcBorders>
              <w:top w:val="single" w:sz="4" w:space="0" w:color="auto"/>
              <w:left w:val="single" w:sz="4" w:space="0" w:color="auto"/>
              <w:bottom w:val="single" w:sz="4" w:space="0" w:color="auto"/>
              <w:right w:val="single" w:sz="4" w:space="0" w:color="auto"/>
            </w:tcBorders>
            <w:noWrap/>
            <w:vAlign w:val="center"/>
          </w:tcPr>
          <w:p w14:paraId="0D35F4E1" w14:textId="77777777" w:rsidR="00B139D6" w:rsidRPr="00B139D6" w:rsidRDefault="00B139D6" w:rsidP="00B139D6">
            <w:pPr>
              <w:keepNext/>
              <w:ind w:right="31"/>
              <w:jc w:val="center"/>
              <w:rPr>
                <w:rFonts w:ascii="Arial" w:eastAsia="Arial Unicode MS" w:hAnsi="Arial" w:cs="Arial"/>
                <w:lang w:val="es-ES_tradnl" w:eastAsia="en-US"/>
              </w:rPr>
            </w:pPr>
            <w:r w:rsidRPr="00B139D6">
              <w:rPr>
                <w:rFonts w:ascii="Arial" w:eastAsia="Arial Unicode MS" w:hAnsi="Arial" w:cs="Arial"/>
                <w:lang w:val="es-ES_tradnl" w:eastAsia="en-US"/>
              </w:rPr>
              <w:t xml:space="preserve">19 años/11,5 años </w:t>
            </w:r>
            <w:r w:rsidRPr="00B139D6">
              <w:rPr>
                <w:rFonts w:ascii="Arial" w:eastAsia="Arial Unicode MS" w:hAnsi="Arial" w:cs="Arial"/>
                <w:vertAlign w:val="superscript"/>
                <w:lang w:val="es-ES_tradnl" w:eastAsia="en-US"/>
              </w:rPr>
              <w:t>(b)</w:t>
            </w:r>
          </w:p>
        </w:tc>
      </w:tr>
      <w:tr w:rsidR="00B139D6" w:rsidRPr="00B139D6" w14:paraId="130FC285" w14:textId="77777777" w:rsidTr="00895676">
        <w:trPr>
          <w:trHeight w:val="72"/>
        </w:trPr>
        <w:tc>
          <w:tcPr>
            <w:tcW w:w="1800" w:type="dxa"/>
            <w:vMerge/>
            <w:tcBorders>
              <w:left w:val="single" w:sz="4" w:space="0" w:color="auto"/>
              <w:right w:val="single" w:sz="4" w:space="0" w:color="auto"/>
            </w:tcBorders>
            <w:noWrap/>
            <w:vAlign w:val="center"/>
          </w:tcPr>
          <w:p w14:paraId="20573704" w14:textId="77777777" w:rsidR="00B139D6" w:rsidRPr="00B139D6" w:rsidRDefault="00B139D6" w:rsidP="00B139D6">
            <w:pPr>
              <w:keepNext/>
              <w:jc w:val="center"/>
              <w:rPr>
                <w:rFonts w:ascii="Arial" w:hAnsi="Arial" w:cs="Arial"/>
                <w:lang w:val="es-ES_tradnl" w:eastAsia="en-US"/>
              </w:rPr>
            </w:pPr>
          </w:p>
        </w:tc>
        <w:tc>
          <w:tcPr>
            <w:tcW w:w="900" w:type="dxa"/>
            <w:tcBorders>
              <w:left w:val="single" w:sz="4" w:space="0" w:color="auto"/>
              <w:right w:val="single" w:sz="4" w:space="0" w:color="auto"/>
            </w:tcBorders>
            <w:noWrap/>
            <w:vAlign w:val="center"/>
          </w:tcPr>
          <w:p w14:paraId="4CE65437" w14:textId="77777777" w:rsidR="00B139D6" w:rsidRPr="00B139D6" w:rsidRDefault="00B139D6" w:rsidP="00B139D6">
            <w:pPr>
              <w:keepNext/>
              <w:jc w:val="center"/>
              <w:rPr>
                <w:rFonts w:ascii="Arial" w:eastAsia="Arial Unicode MS" w:hAnsi="Arial" w:cs="Arial"/>
                <w:lang w:val="es-ES_tradnl" w:eastAsia="en-US"/>
              </w:rPr>
            </w:pPr>
          </w:p>
        </w:tc>
        <w:tc>
          <w:tcPr>
            <w:tcW w:w="810" w:type="dxa"/>
            <w:tcBorders>
              <w:left w:val="single" w:sz="4" w:space="0" w:color="auto"/>
              <w:right w:val="single" w:sz="4" w:space="0" w:color="auto"/>
            </w:tcBorders>
            <w:vAlign w:val="center"/>
          </w:tcPr>
          <w:p w14:paraId="3B39B1ED" w14:textId="77777777" w:rsidR="00B139D6" w:rsidRPr="00B139D6" w:rsidRDefault="00B139D6" w:rsidP="00B139D6">
            <w:pPr>
              <w:keepNext/>
              <w:jc w:val="center"/>
              <w:rPr>
                <w:rFonts w:ascii="Arial" w:eastAsia="Arial Unicode MS" w:hAnsi="Arial" w:cs="Arial"/>
                <w:lang w:val="es-ES_tradnl" w:eastAsia="en-US"/>
              </w:rPr>
            </w:pPr>
          </w:p>
        </w:tc>
        <w:tc>
          <w:tcPr>
            <w:tcW w:w="3055" w:type="dxa"/>
            <w:tcBorders>
              <w:top w:val="single" w:sz="4" w:space="0" w:color="auto"/>
              <w:left w:val="single" w:sz="4" w:space="0" w:color="auto"/>
              <w:bottom w:val="single" w:sz="4" w:space="0" w:color="auto"/>
              <w:right w:val="single" w:sz="4" w:space="0" w:color="auto"/>
            </w:tcBorders>
            <w:noWrap/>
            <w:vAlign w:val="center"/>
          </w:tcPr>
          <w:p w14:paraId="2F6B92D0" w14:textId="77777777" w:rsidR="00B139D6" w:rsidRPr="00B139D6" w:rsidRDefault="00B139D6" w:rsidP="00B139D6">
            <w:pPr>
              <w:keepNext/>
              <w:rPr>
                <w:rFonts w:ascii="Arial" w:eastAsia="Arial Unicode MS" w:hAnsi="Arial" w:cs="Arial"/>
                <w:lang w:val="es-ES_tradnl" w:eastAsia="en-US"/>
              </w:rPr>
            </w:pPr>
            <w:r w:rsidRPr="00B139D6">
              <w:rPr>
                <w:rFonts w:ascii="Arial" w:hAnsi="Arial" w:cs="Arial"/>
                <w:lang w:val="es-ES_tradnl" w:eastAsia="en-US"/>
              </w:rPr>
              <w:t>Vida Promedio Ponderada (VPP)</w:t>
            </w:r>
          </w:p>
        </w:tc>
        <w:tc>
          <w:tcPr>
            <w:tcW w:w="1862" w:type="dxa"/>
            <w:tcBorders>
              <w:top w:val="single" w:sz="4" w:space="0" w:color="auto"/>
              <w:left w:val="single" w:sz="4" w:space="0" w:color="auto"/>
              <w:bottom w:val="single" w:sz="4" w:space="0" w:color="auto"/>
              <w:right w:val="single" w:sz="4" w:space="0" w:color="auto"/>
            </w:tcBorders>
            <w:noWrap/>
            <w:vAlign w:val="center"/>
          </w:tcPr>
          <w:p w14:paraId="4CEBF480" w14:textId="77777777" w:rsidR="00B139D6" w:rsidRPr="00B139D6" w:rsidRDefault="00B139D6" w:rsidP="00B139D6">
            <w:pPr>
              <w:keepNext/>
              <w:ind w:right="31"/>
              <w:jc w:val="center"/>
              <w:rPr>
                <w:rFonts w:ascii="Arial" w:eastAsia="Arial Unicode MS" w:hAnsi="Arial" w:cs="Arial"/>
                <w:lang w:val="es-ES_tradnl" w:eastAsia="en-US"/>
              </w:rPr>
            </w:pPr>
            <w:r w:rsidRPr="00B139D6">
              <w:rPr>
                <w:rFonts w:ascii="Arial" w:hAnsi="Arial" w:cs="Arial"/>
                <w:lang w:val="es-ES_tradnl" w:eastAsia="en-US"/>
              </w:rPr>
              <w:t>15,25 años</w:t>
            </w:r>
          </w:p>
        </w:tc>
      </w:tr>
      <w:tr w:rsidR="00B139D6" w:rsidRPr="00B139D6" w14:paraId="7192BA75" w14:textId="77777777" w:rsidTr="00895676">
        <w:trPr>
          <w:trHeight w:val="63"/>
        </w:trPr>
        <w:tc>
          <w:tcPr>
            <w:tcW w:w="1800" w:type="dxa"/>
            <w:vMerge/>
            <w:tcBorders>
              <w:left w:val="single" w:sz="4" w:space="0" w:color="auto"/>
              <w:right w:val="single" w:sz="4" w:space="0" w:color="auto"/>
            </w:tcBorders>
            <w:noWrap/>
            <w:vAlign w:val="center"/>
          </w:tcPr>
          <w:p w14:paraId="5EA630FF" w14:textId="77777777" w:rsidR="00B139D6" w:rsidRPr="00B139D6" w:rsidRDefault="00B139D6" w:rsidP="00B139D6">
            <w:pPr>
              <w:keepNext/>
              <w:jc w:val="center"/>
              <w:rPr>
                <w:rFonts w:ascii="Arial" w:hAnsi="Arial" w:cs="Arial"/>
                <w:lang w:val="es-ES_tradnl" w:eastAsia="en-US"/>
              </w:rPr>
            </w:pPr>
          </w:p>
        </w:tc>
        <w:tc>
          <w:tcPr>
            <w:tcW w:w="900" w:type="dxa"/>
            <w:tcBorders>
              <w:left w:val="single" w:sz="4" w:space="0" w:color="auto"/>
              <w:right w:val="single" w:sz="4" w:space="0" w:color="auto"/>
            </w:tcBorders>
            <w:noWrap/>
            <w:vAlign w:val="center"/>
          </w:tcPr>
          <w:p w14:paraId="28B287D2" w14:textId="77777777" w:rsidR="00B139D6" w:rsidRPr="00B139D6" w:rsidRDefault="00B139D6" w:rsidP="00B139D6">
            <w:pPr>
              <w:keepNext/>
              <w:jc w:val="center"/>
              <w:rPr>
                <w:rFonts w:ascii="Arial" w:eastAsia="Arial Unicode MS" w:hAnsi="Arial" w:cs="Arial"/>
                <w:lang w:val="es-ES_tradnl" w:eastAsia="en-US"/>
              </w:rPr>
            </w:pPr>
          </w:p>
        </w:tc>
        <w:tc>
          <w:tcPr>
            <w:tcW w:w="810" w:type="dxa"/>
            <w:tcBorders>
              <w:left w:val="single" w:sz="4" w:space="0" w:color="auto"/>
              <w:right w:val="single" w:sz="4" w:space="0" w:color="auto"/>
            </w:tcBorders>
            <w:vAlign w:val="center"/>
          </w:tcPr>
          <w:p w14:paraId="64114D51" w14:textId="77777777" w:rsidR="00B139D6" w:rsidRPr="00B139D6" w:rsidRDefault="00B139D6" w:rsidP="00B139D6">
            <w:pPr>
              <w:keepNext/>
              <w:jc w:val="center"/>
              <w:rPr>
                <w:rFonts w:ascii="Arial" w:eastAsia="Arial Unicode MS" w:hAnsi="Arial" w:cs="Arial"/>
                <w:lang w:val="es-ES_tradnl" w:eastAsia="en-US"/>
              </w:rPr>
            </w:pPr>
          </w:p>
        </w:tc>
        <w:tc>
          <w:tcPr>
            <w:tcW w:w="3055" w:type="dxa"/>
            <w:tcBorders>
              <w:top w:val="single" w:sz="4" w:space="0" w:color="auto"/>
              <w:left w:val="single" w:sz="4" w:space="0" w:color="auto"/>
              <w:bottom w:val="single" w:sz="4" w:space="0" w:color="auto"/>
              <w:right w:val="single" w:sz="4" w:space="0" w:color="auto"/>
            </w:tcBorders>
            <w:noWrap/>
            <w:vAlign w:val="center"/>
          </w:tcPr>
          <w:p w14:paraId="06D007F4" w14:textId="77777777" w:rsidR="00B139D6" w:rsidRPr="00B139D6" w:rsidRDefault="00B139D6" w:rsidP="00B139D6">
            <w:pPr>
              <w:keepNext/>
              <w:rPr>
                <w:rFonts w:ascii="Arial" w:eastAsia="Arial Unicode MS" w:hAnsi="Arial" w:cs="Arial"/>
                <w:lang w:val="es-ES_tradnl" w:eastAsia="en-US"/>
              </w:rPr>
            </w:pPr>
            <w:r w:rsidRPr="00B139D6">
              <w:rPr>
                <w:rFonts w:ascii="Arial" w:hAnsi="Arial" w:cs="Arial"/>
                <w:lang w:val="es-ES_tradnl" w:eastAsia="en-US"/>
              </w:rPr>
              <w:t>Periodo de Desembolso</w:t>
            </w:r>
          </w:p>
        </w:tc>
        <w:tc>
          <w:tcPr>
            <w:tcW w:w="1862" w:type="dxa"/>
            <w:tcBorders>
              <w:top w:val="single" w:sz="4" w:space="0" w:color="auto"/>
              <w:left w:val="single" w:sz="4" w:space="0" w:color="auto"/>
              <w:bottom w:val="single" w:sz="4" w:space="0" w:color="auto"/>
              <w:right w:val="single" w:sz="4" w:space="0" w:color="auto"/>
            </w:tcBorders>
            <w:noWrap/>
            <w:vAlign w:val="center"/>
          </w:tcPr>
          <w:p w14:paraId="75CDC1DA" w14:textId="77777777" w:rsidR="00B139D6" w:rsidRPr="00B139D6" w:rsidRDefault="00B139D6" w:rsidP="00B139D6">
            <w:pPr>
              <w:keepNext/>
              <w:ind w:right="31"/>
              <w:jc w:val="center"/>
              <w:rPr>
                <w:rFonts w:ascii="Arial" w:eastAsia="Arial Unicode MS" w:hAnsi="Arial" w:cs="Arial"/>
                <w:lang w:val="es-ES_tradnl" w:eastAsia="en-US"/>
              </w:rPr>
            </w:pPr>
            <w:r w:rsidRPr="00B139D6">
              <w:rPr>
                <w:rFonts w:ascii="Arial" w:eastAsia="Arial Unicode MS" w:hAnsi="Arial" w:cs="Arial"/>
                <w:lang w:val="es-ES_tradnl" w:eastAsia="en-US"/>
              </w:rPr>
              <w:t>11 años</w:t>
            </w:r>
          </w:p>
        </w:tc>
      </w:tr>
      <w:tr w:rsidR="00B139D6" w:rsidRPr="00B139D6" w14:paraId="4CECF7C1" w14:textId="77777777" w:rsidTr="00895676">
        <w:trPr>
          <w:trHeight w:val="154"/>
        </w:trPr>
        <w:tc>
          <w:tcPr>
            <w:tcW w:w="1800" w:type="dxa"/>
            <w:vMerge/>
            <w:tcBorders>
              <w:left w:val="single" w:sz="4" w:space="0" w:color="auto"/>
              <w:right w:val="single" w:sz="4" w:space="0" w:color="auto"/>
            </w:tcBorders>
            <w:noWrap/>
            <w:vAlign w:val="center"/>
          </w:tcPr>
          <w:p w14:paraId="25081ADC" w14:textId="77777777" w:rsidR="00B139D6" w:rsidRPr="00B139D6" w:rsidRDefault="00B139D6" w:rsidP="00B139D6">
            <w:pPr>
              <w:keepNext/>
              <w:jc w:val="center"/>
              <w:rPr>
                <w:rFonts w:ascii="Arial" w:hAnsi="Arial" w:cs="Arial"/>
                <w:lang w:val="es-ES_tradnl" w:eastAsia="en-US"/>
              </w:rPr>
            </w:pPr>
          </w:p>
        </w:tc>
        <w:tc>
          <w:tcPr>
            <w:tcW w:w="900" w:type="dxa"/>
            <w:tcBorders>
              <w:left w:val="single" w:sz="4" w:space="0" w:color="auto"/>
              <w:right w:val="single" w:sz="4" w:space="0" w:color="auto"/>
            </w:tcBorders>
            <w:noWrap/>
            <w:vAlign w:val="center"/>
          </w:tcPr>
          <w:p w14:paraId="42FB233E" w14:textId="77777777" w:rsidR="00B139D6" w:rsidRPr="00B139D6" w:rsidRDefault="00B139D6" w:rsidP="00B139D6">
            <w:pPr>
              <w:keepNext/>
              <w:jc w:val="center"/>
              <w:rPr>
                <w:rFonts w:ascii="Arial" w:eastAsia="Arial Unicode MS" w:hAnsi="Arial" w:cs="Arial"/>
                <w:lang w:val="es-ES_tradnl" w:eastAsia="en-US"/>
              </w:rPr>
            </w:pPr>
          </w:p>
        </w:tc>
        <w:tc>
          <w:tcPr>
            <w:tcW w:w="810" w:type="dxa"/>
            <w:tcBorders>
              <w:left w:val="single" w:sz="4" w:space="0" w:color="auto"/>
              <w:right w:val="single" w:sz="4" w:space="0" w:color="auto"/>
            </w:tcBorders>
            <w:vAlign w:val="center"/>
          </w:tcPr>
          <w:p w14:paraId="3783D9A4" w14:textId="77777777" w:rsidR="00B139D6" w:rsidRPr="00B139D6" w:rsidRDefault="00B139D6" w:rsidP="00B139D6">
            <w:pPr>
              <w:keepNext/>
              <w:jc w:val="center"/>
              <w:rPr>
                <w:rFonts w:ascii="Arial" w:eastAsia="Arial Unicode MS" w:hAnsi="Arial" w:cs="Arial"/>
                <w:lang w:val="es-ES_tradnl" w:eastAsia="en-US"/>
              </w:rPr>
            </w:pPr>
          </w:p>
        </w:tc>
        <w:tc>
          <w:tcPr>
            <w:tcW w:w="3055" w:type="dxa"/>
            <w:tcBorders>
              <w:top w:val="single" w:sz="4" w:space="0" w:color="auto"/>
              <w:left w:val="single" w:sz="4" w:space="0" w:color="auto"/>
              <w:bottom w:val="single" w:sz="4" w:space="0" w:color="auto"/>
              <w:right w:val="single" w:sz="4" w:space="0" w:color="auto"/>
            </w:tcBorders>
            <w:noWrap/>
            <w:vAlign w:val="center"/>
          </w:tcPr>
          <w:p w14:paraId="5841336E" w14:textId="77777777" w:rsidR="00B139D6" w:rsidRPr="00B139D6" w:rsidRDefault="00B139D6" w:rsidP="00B139D6">
            <w:pPr>
              <w:keepNext/>
              <w:rPr>
                <w:rFonts w:ascii="Arial" w:eastAsia="Arial Unicode MS" w:hAnsi="Arial" w:cs="Arial"/>
                <w:lang w:val="es-ES_tradnl" w:eastAsia="en-US"/>
              </w:rPr>
            </w:pPr>
            <w:r w:rsidRPr="00B139D6">
              <w:rPr>
                <w:rFonts w:ascii="Arial" w:hAnsi="Arial" w:cs="Arial"/>
                <w:lang w:val="es-ES_tradnl" w:eastAsia="en-US"/>
              </w:rPr>
              <w:t>Tasa de Interés</w:t>
            </w:r>
          </w:p>
        </w:tc>
        <w:tc>
          <w:tcPr>
            <w:tcW w:w="1862" w:type="dxa"/>
            <w:tcBorders>
              <w:top w:val="single" w:sz="4" w:space="0" w:color="auto"/>
              <w:left w:val="single" w:sz="4" w:space="0" w:color="auto"/>
              <w:bottom w:val="single" w:sz="4" w:space="0" w:color="auto"/>
              <w:right w:val="single" w:sz="4" w:space="0" w:color="auto"/>
            </w:tcBorders>
            <w:noWrap/>
            <w:vAlign w:val="center"/>
          </w:tcPr>
          <w:p w14:paraId="585EEE68" w14:textId="77777777" w:rsidR="00B139D6" w:rsidRPr="00B139D6" w:rsidRDefault="00B139D6" w:rsidP="00B139D6">
            <w:pPr>
              <w:keepNext/>
              <w:ind w:right="31"/>
              <w:jc w:val="center"/>
              <w:rPr>
                <w:rFonts w:ascii="Arial" w:eastAsia="Arial Unicode MS" w:hAnsi="Arial" w:cs="Arial"/>
                <w:lang w:val="es-ES_tradnl" w:eastAsia="en-US"/>
              </w:rPr>
            </w:pPr>
            <w:r w:rsidRPr="00B139D6">
              <w:rPr>
                <w:rFonts w:ascii="Arial" w:eastAsia="Arial Unicode MS" w:hAnsi="Arial" w:cs="Arial"/>
                <w:lang w:val="es-ES_tradnl" w:eastAsia="en-US"/>
              </w:rPr>
              <w:t>Basada en LIBOR</w:t>
            </w:r>
          </w:p>
        </w:tc>
      </w:tr>
      <w:tr w:rsidR="00B139D6" w:rsidRPr="00B139D6" w14:paraId="02BF4A28" w14:textId="77777777" w:rsidTr="00895676">
        <w:trPr>
          <w:trHeight w:val="96"/>
        </w:trPr>
        <w:tc>
          <w:tcPr>
            <w:tcW w:w="1800" w:type="dxa"/>
            <w:vMerge/>
            <w:tcBorders>
              <w:left w:val="single" w:sz="4" w:space="0" w:color="auto"/>
              <w:right w:val="single" w:sz="4" w:space="0" w:color="auto"/>
            </w:tcBorders>
            <w:noWrap/>
            <w:vAlign w:val="center"/>
          </w:tcPr>
          <w:p w14:paraId="39E97723" w14:textId="77777777" w:rsidR="00B139D6" w:rsidRPr="00B139D6" w:rsidRDefault="00B139D6" w:rsidP="00B139D6">
            <w:pPr>
              <w:keepNext/>
              <w:jc w:val="center"/>
              <w:rPr>
                <w:rFonts w:ascii="Arial" w:hAnsi="Arial" w:cs="Arial"/>
                <w:lang w:val="es-ES_tradnl" w:eastAsia="en-US"/>
              </w:rPr>
            </w:pPr>
          </w:p>
        </w:tc>
        <w:tc>
          <w:tcPr>
            <w:tcW w:w="900" w:type="dxa"/>
            <w:tcBorders>
              <w:left w:val="single" w:sz="4" w:space="0" w:color="auto"/>
              <w:right w:val="single" w:sz="4" w:space="0" w:color="auto"/>
            </w:tcBorders>
            <w:noWrap/>
            <w:vAlign w:val="center"/>
          </w:tcPr>
          <w:p w14:paraId="4C8C5341" w14:textId="77777777" w:rsidR="00B139D6" w:rsidRPr="00B139D6" w:rsidRDefault="00B139D6" w:rsidP="00B139D6">
            <w:pPr>
              <w:keepNext/>
              <w:jc w:val="center"/>
              <w:rPr>
                <w:rFonts w:ascii="Arial" w:eastAsia="Arial Unicode MS" w:hAnsi="Arial" w:cs="Arial"/>
                <w:lang w:val="es-ES_tradnl" w:eastAsia="en-US"/>
              </w:rPr>
            </w:pPr>
          </w:p>
        </w:tc>
        <w:tc>
          <w:tcPr>
            <w:tcW w:w="810" w:type="dxa"/>
            <w:tcBorders>
              <w:left w:val="single" w:sz="4" w:space="0" w:color="auto"/>
              <w:right w:val="single" w:sz="4" w:space="0" w:color="auto"/>
            </w:tcBorders>
            <w:vAlign w:val="center"/>
          </w:tcPr>
          <w:p w14:paraId="3E62C0C7" w14:textId="77777777" w:rsidR="00B139D6" w:rsidRPr="00B139D6" w:rsidRDefault="00B139D6" w:rsidP="00B139D6">
            <w:pPr>
              <w:keepNext/>
              <w:jc w:val="center"/>
              <w:rPr>
                <w:rFonts w:ascii="Arial" w:eastAsia="Arial Unicode MS" w:hAnsi="Arial" w:cs="Arial"/>
                <w:lang w:val="es-ES_tradnl" w:eastAsia="en-US"/>
              </w:rPr>
            </w:pPr>
          </w:p>
        </w:tc>
        <w:tc>
          <w:tcPr>
            <w:tcW w:w="3055" w:type="dxa"/>
            <w:tcBorders>
              <w:top w:val="single" w:sz="4" w:space="0" w:color="auto"/>
              <w:left w:val="single" w:sz="4" w:space="0" w:color="auto"/>
              <w:bottom w:val="single" w:sz="4" w:space="0" w:color="auto"/>
              <w:right w:val="single" w:sz="4" w:space="0" w:color="auto"/>
            </w:tcBorders>
            <w:noWrap/>
            <w:vAlign w:val="center"/>
          </w:tcPr>
          <w:p w14:paraId="6D8A55CD" w14:textId="77777777" w:rsidR="00B139D6" w:rsidRPr="00B139D6" w:rsidRDefault="00B139D6" w:rsidP="00B139D6">
            <w:pPr>
              <w:keepNext/>
              <w:rPr>
                <w:rFonts w:ascii="Arial" w:eastAsia="Arial Unicode MS" w:hAnsi="Arial" w:cs="Arial"/>
                <w:lang w:val="es-ES_tradnl" w:eastAsia="en-US"/>
              </w:rPr>
            </w:pPr>
            <w:r w:rsidRPr="00B139D6">
              <w:rPr>
                <w:rFonts w:ascii="Arial" w:hAnsi="Arial" w:cs="Arial"/>
                <w:lang w:val="es-ES_tradnl" w:eastAsia="en-US"/>
              </w:rPr>
              <w:t xml:space="preserve">Comisión de inspección y vigilancia </w:t>
            </w:r>
          </w:p>
        </w:tc>
        <w:tc>
          <w:tcPr>
            <w:tcW w:w="1862" w:type="dxa"/>
            <w:tcBorders>
              <w:top w:val="single" w:sz="4" w:space="0" w:color="auto"/>
              <w:left w:val="single" w:sz="4" w:space="0" w:color="auto"/>
              <w:bottom w:val="single" w:sz="4" w:space="0" w:color="auto"/>
              <w:right w:val="single" w:sz="4" w:space="0" w:color="auto"/>
            </w:tcBorders>
            <w:noWrap/>
            <w:vAlign w:val="center"/>
          </w:tcPr>
          <w:p w14:paraId="6F0A8C8F" w14:textId="77777777" w:rsidR="00B139D6" w:rsidRPr="00B139D6" w:rsidRDefault="00B139D6" w:rsidP="00B139D6">
            <w:pPr>
              <w:keepNext/>
              <w:jc w:val="center"/>
              <w:rPr>
                <w:rFonts w:ascii="Arial" w:eastAsia="Arial Unicode MS" w:hAnsi="Arial" w:cs="Arial"/>
                <w:vertAlign w:val="superscript"/>
                <w:lang w:val="es-ES_tradnl" w:eastAsia="en-US"/>
              </w:rPr>
            </w:pPr>
            <w:r w:rsidRPr="00B139D6">
              <w:rPr>
                <w:rFonts w:ascii="Arial" w:eastAsia="Arial Unicode MS" w:hAnsi="Arial" w:cs="Arial"/>
                <w:vertAlign w:val="superscript"/>
                <w:lang w:val="es-ES_tradnl" w:eastAsia="en-US"/>
              </w:rPr>
              <w:t>(c)</w:t>
            </w:r>
          </w:p>
        </w:tc>
      </w:tr>
      <w:tr w:rsidR="00B139D6" w:rsidRPr="00B139D6" w14:paraId="373AB76A" w14:textId="77777777" w:rsidTr="00895676">
        <w:trPr>
          <w:trHeight w:val="96"/>
        </w:trPr>
        <w:tc>
          <w:tcPr>
            <w:tcW w:w="1800" w:type="dxa"/>
            <w:vMerge/>
            <w:tcBorders>
              <w:left w:val="single" w:sz="4" w:space="0" w:color="auto"/>
              <w:right w:val="single" w:sz="4" w:space="0" w:color="auto"/>
            </w:tcBorders>
            <w:noWrap/>
            <w:vAlign w:val="center"/>
          </w:tcPr>
          <w:p w14:paraId="7F8C8BE9" w14:textId="77777777" w:rsidR="00B139D6" w:rsidRPr="00B139D6" w:rsidRDefault="00B139D6" w:rsidP="00B139D6">
            <w:pPr>
              <w:keepNext/>
              <w:jc w:val="center"/>
              <w:rPr>
                <w:rFonts w:ascii="Arial" w:hAnsi="Arial" w:cs="Arial"/>
                <w:lang w:val="es-ES_tradnl" w:eastAsia="en-US"/>
              </w:rPr>
            </w:pPr>
          </w:p>
        </w:tc>
        <w:tc>
          <w:tcPr>
            <w:tcW w:w="900" w:type="dxa"/>
            <w:tcBorders>
              <w:left w:val="single" w:sz="4" w:space="0" w:color="auto"/>
              <w:right w:val="single" w:sz="4" w:space="0" w:color="auto"/>
            </w:tcBorders>
            <w:noWrap/>
            <w:vAlign w:val="center"/>
          </w:tcPr>
          <w:p w14:paraId="4DE0705E" w14:textId="77777777" w:rsidR="00B139D6" w:rsidRPr="00B139D6" w:rsidRDefault="00B139D6" w:rsidP="00B139D6">
            <w:pPr>
              <w:keepNext/>
              <w:jc w:val="center"/>
              <w:rPr>
                <w:rFonts w:ascii="Arial" w:eastAsia="Arial Unicode MS" w:hAnsi="Arial" w:cs="Arial"/>
                <w:lang w:val="es-ES_tradnl" w:eastAsia="en-US"/>
              </w:rPr>
            </w:pPr>
          </w:p>
        </w:tc>
        <w:tc>
          <w:tcPr>
            <w:tcW w:w="810" w:type="dxa"/>
            <w:tcBorders>
              <w:left w:val="single" w:sz="4" w:space="0" w:color="auto"/>
              <w:right w:val="single" w:sz="4" w:space="0" w:color="auto"/>
            </w:tcBorders>
            <w:vAlign w:val="center"/>
          </w:tcPr>
          <w:p w14:paraId="3643A755" w14:textId="77777777" w:rsidR="00B139D6" w:rsidRPr="00B139D6" w:rsidRDefault="00B139D6" w:rsidP="00B139D6">
            <w:pPr>
              <w:keepNext/>
              <w:jc w:val="center"/>
              <w:rPr>
                <w:rFonts w:ascii="Arial" w:eastAsia="Arial Unicode MS" w:hAnsi="Arial" w:cs="Arial"/>
                <w:lang w:val="es-ES_tradnl" w:eastAsia="en-US"/>
              </w:rPr>
            </w:pPr>
          </w:p>
        </w:tc>
        <w:tc>
          <w:tcPr>
            <w:tcW w:w="3055" w:type="dxa"/>
            <w:tcBorders>
              <w:top w:val="single" w:sz="4" w:space="0" w:color="auto"/>
              <w:left w:val="single" w:sz="4" w:space="0" w:color="auto"/>
              <w:bottom w:val="single" w:sz="4" w:space="0" w:color="auto"/>
              <w:right w:val="single" w:sz="4" w:space="0" w:color="auto"/>
            </w:tcBorders>
            <w:noWrap/>
            <w:vAlign w:val="center"/>
          </w:tcPr>
          <w:p w14:paraId="5C7731E8" w14:textId="77777777" w:rsidR="00B139D6" w:rsidRPr="00B139D6" w:rsidRDefault="00B139D6" w:rsidP="00B139D6">
            <w:pPr>
              <w:keepNext/>
              <w:rPr>
                <w:rFonts w:ascii="Arial" w:hAnsi="Arial" w:cs="Arial"/>
                <w:lang w:val="es-ES_tradnl" w:eastAsia="en-US"/>
              </w:rPr>
            </w:pPr>
            <w:r w:rsidRPr="00B139D6">
              <w:rPr>
                <w:rFonts w:ascii="Arial" w:hAnsi="Arial" w:cs="Arial"/>
                <w:lang w:val="es-ES_tradnl" w:eastAsia="en-US"/>
              </w:rPr>
              <w:t>Comisión de Crédito</w:t>
            </w:r>
          </w:p>
        </w:tc>
        <w:tc>
          <w:tcPr>
            <w:tcW w:w="1862" w:type="dxa"/>
            <w:tcBorders>
              <w:top w:val="single" w:sz="4" w:space="0" w:color="auto"/>
              <w:left w:val="single" w:sz="4" w:space="0" w:color="auto"/>
              <w:bottom w:val="single" w:sz="4" w:space="0" w:color="auto"/>
              <w:right w:val="single" w:sz="4" w:space="0" w:color="auto"/>
            </w:tcBorders>
            <w:noWrap/>
            <w:vAlign w:val="center"/>
          </w:tcPr>
          <w:p w14:paraId="63C27CCD" w14:textId="77777777" w:rsidR="00B139D6" w:rsidRPr="00B139D6" w:rsidRDefault="00B139D6" w:rsidP="00B139D6">
            <w:pPr>
              <w:keepNext/>
              <w:jc w:val="center"/>
              <w:rPr>
                <w:rFonts w:ascii="Arial" w:eastAsia="Arial Unicode MS" w:hAnsi="Arial" w:cs="Arial"/>
                <w:vertAlign w:val="superscript"/>
                <w:lang w:val="es-ES_tradnl" w:eastAsia="en-US"/>
              </w:rPr>
            </w:pPr>
            <w:r w:rsidRPr="00B139D6">
              <w:rPr>
                <w:rFonts w:ascii="Arial" w:eastAsia="Arial Unicode MS" w:hAnsi="Arial" w:cs="Arial"/>
                <w:vertAlign w:val="superscript"/>
                <w:lang w:val="es-ES_tradnl" w:eastAsia="en-US"/>
              </w:rPr>
              <w:t>(c)</w:t>
            </w:r>
          </w:p>
        </w:tc>
      </w:tr>
      <w:tr w:rsidR="00B139D6" w:rsidRPr="00B139D6" w14:paraId="2F2B5BD8" w14:textId="77777777" w:rsidTr="00895676">
        <w:trPr>
          <w:trHeight w:val="260"/>
        </w:trPr>
        <w:tc>
          <w:tcPr>
            <w:tcW w:w="1800" w:type="dxa"/>
            <w:vMerge/>
            <w:tcBorders>
              <w:left w:val="single" w:sz="4" w:space="0" w:color="auto"/>
              <w:bottom w:val="single" w:sz="4" w:space="0" w:color="auto"/>
              <w:right w:val="single" w:sz="4" w:space="0" w:color="auto"/>
            </w:tcBorders>
            <w:noWrap/>
            <w:vAlign w:val="center"/>
          </w:tcPr>
          <w:p w14:paraId="629B2969" w14:textId="77777777" w:rsidR="00B139D6" w:rsidRPr="00B139D6" w:rsidRDefault="00B139D6" w:rsidP="00B139D6">
            <w:pPr>
              <w:keepNext/>
              <w:jc w:val="center"/>
              <w:rPr>
                <w:rFonts w:ascii="Arial" w:hAnsi="Arial" w:cs="Arial"/>
                <w:lang w:val="es-ES_tradnl" w:eastAsia="en-US"/>
              </w:rPr>
            </w:pPr>
          </w:p>
        </w:tc>
        <w:tc>
          <w:tcPr>
            <w:tcW w:w="900" w:type="dxa"/>
            <w:tcBorders>
              <w:left w:val="single" w:sz="4" w:space="0" w:color="auto"/>
              <w:bottom w:val="single" w:sz="4" w:space="0" w:color="auto"/>
              <w:right w:val="single" w:sz="4" w:space="0" w:color="auto"/>
            </w:tcBorders>
            <w:noWrap/>
            <w:vAlign w:val="center"/>
          </w:tcPr>
          <w:p w14:paraId="75907B0E" w14:textId="77777777" w:rsidR="00B139D6" w:rsidRPr="00B139D6" w:rsidRDefault="00B139D6" w:rsidP="00B139D6">
            <w:pPr>
              <w:keepNext/>
              <w:jc w:val="center"/>
              <w:rPr>
                <w:rFonts w:ascii="Arial" w:eastAsia="Arial Unicode MS" w:hAnsi="Arial" w:cs="Arial"/>
                <w:lang w:val="es-ES_tradnl" w:eastAsia="en-US"/>
              </w:rPr>
            </w:pPr>
          </w:p>
        </w:tc>
        <w:tc>
          <w:tcPr>
            <w:tcW w:w="810" w:type="dxa"/>
            <w:tcBorders>
              <w:left w:val="single" w:sz="4" w:space="0" w:color="auto"/>
              <w:bottom w:val="single" w:sz="4" w:space="0" w:color="auto"/>
              <w:right w:val="single" w:sz="4" w:space="0" w:color="auto"/>
            </w:tcBorders>
            <w:vAlign w:val="center"/>
          </w:tcPr>
          <w:p w14:paraId="42CDC717" w14:textId="77777777" w:rsidR="00B139D6" w:rsidRPr="00B139D6" w:rsidRDefault="00B139D6" w:rsidP="00B139D6">
            <w:pPr>
              <w:keepNext/>
              <w:jc w:val="center"/>
              <w:rPr>
                <w:rFonts w:ascii="Arial" w:eastAsia="Arial Unicode MS" w:hAnsi="Arial" w:cs="Arial"/>
                <w:lang w:val="es-ES_tradnl" w:eastAsia="en-US"/>
              </w:rPr>
            </w:pPr>
          </w:p>
        </w:tc>
        <w:tc>
          <w:tcPr>
            <w:tcW w:w="3055" w:type="dxa"/>
            <w:tcBorders>
              <w:left w:val="single" w:sz="4" w:space="0" w:color="auto"/>
              <w:bottom w:val="single" w:sz="4" w:space="0" w:color="auto"/>
              <w:right w:val="single" w:sz="4" w:space="0" w:color="auto"/>
            </w:tcBorders>
            <w:noWrap/>
            <w:vAlign w:val="center"/>
          </w:tcPr>
          <w:p w14:paraId="6B5B92B2" w14:textId="77777777" w:rsidR="00B139D6" w:rsidRPr="00B139D6" w:rsidRDefault="00B139D6" w:rsidP="00B139D6">
            <w:pPr>
              <w:keepNext/>
              <w:rPr>
                <w:rFonts w:ascii="Arial" w:eastAsia="Arial Unicode MS" w:hAnsi="Arial" w:cs="Arial"/>
                <w:lang w:val="es-ES_tradnl" w:eastAsia="en-US"/>
              </w:rPr>
            </w:pPr>
            <w:r w:rsidRPr="00B139D6">
              <w:rPr>
                <w:rFonts w:ascii="Arial" w:eastAsia="Arial Unicode MS" w:hAnsi="Arial" w:cs="Arial"/>
                <w:lang w:val="es-ES_tradnl" w:eastAsia="en-US"/>
              </w:rPr>
              <w:t>Moneda</w:t>
            </w:r>
          </w:p>
        </w:tc>
        <w:tc>
          <w:tcPr>
            <w:tcW w:w="1862" w:type="dxa"/>
            <w:tcBorders>
              <w:left w:val="single" w:sz="4" w:space="0" w:color="auto"/>
              <w:bottom w:val="single" w:sz="4" w:space="0" w:color="auto"/>
              <w:right w:val="single" w:sz="4" w:space="0" w:color="auto"/>
            </w:tcBorders>
            <w:noWrap/>
            <w:vAlign w:val="center"/>
          </w:tcPr>
          <w:p w14:paraId="3317B299"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Dólar Estadounidense</w:t>
            </w:r>
          </w:p>
        </w:tc>
      </w:tr>
      <w:tr w:rsidR="00B139D6" w:rsidRPr="00B139D6" w14:paraId="18FCAF50" w14:textId="77777777" w:rsidTr="00895676">
        <w:trPr>
          <w:trHeight w:val="251"/>
        </w:trPr>
        <w:tc>
          <w:tcPr>
            <w:tcW w:w="1800" w:type="dxa"/>
            <w:vMerge w:val="restart"/>
            <w:tcBorders>
              <w:top w:val="single" w:sz="4" w:space="0" w:color="auto"/>
              <w:left w:val="single" w:sz="4" w:space="0" w:color="auto"/>
              <w:right w:val="single" w:sz="4" w:space="0" w:color="auto"/>
            </w:tcBorders>
            <w:noWrap/>
          </w:tcPr>
          <w:p w14:paraId="2D6F3327" w14:textId="77777777" w:rsidR="00B139D6" w:rsidRPr="00B139D6" w:rsidRDefault="00B139D6" w:rsidP="00B139D6">
            <w:pPr>
              <w:keepNext/>
              <w:jc w:val="center"/>
              <w:rPr>
                <w:rFonts w:ascii="Arial" w:hAnsi="Arial" w:cs="Arial"/>
                <w:lang w:val="es-ES_tradnl" w:eastAsia="en-US"/>
              </w:rPr>
            </w:pPr>
            <w:r w:rsidRPr="00B139D6">
              <w:rPr>
                <w:rFonts w:ascii="Arial" w:hAnsi="Arial" w:cs="Arial"/>
                <w:lang w:val="es-ES_tradnl" w:eastAsia="en-US"/>
              </w:rPr>
              <w:t>ME-G1005 (GRT/TC-14424-ME)</w:t>
            </w:r>
          </w:p>
          <w:p w14:paraId="1E0A362A" w14:textId="77777777" w:rsidR="00B139D6" w:rsidRPr="00B139D6" w:rsidRDefault="00B139D6" w:rsidP="00B139D6">
            <w:pPr>
              <w:keepNext/>
              <w:rPr>
                <w:rFonts w:ascii="Arial" w:hAnsi="Arial" w:cs="Arial"/>
                <w:lang w:val="es-ES_tradnl" w:eastAsia="en-US"/>
              </w:rPr>
            </w:pPr>
          </w:p>
        </w:tc>
        <w:tc>
          <w:tcPr>
            <w:tcW w:w="900" w:type="dxa"/>
            <w:vMerge w:val="restart"/>
            <w:tcBorders>
              <w:top w:val="single" w:sz="4" w:space="0" w:color="auto"/>
              <w:left w:val="single" w:sz="4" w:space="0" w:color="auto"/>
              <w:right w:val="single" w:sz="4" w:space="0" w:color="auto"/>
            </w:tcBorders>
            <w:noWrap/>
            <w:vAlign w:val="center"/>
          </w:tcPr>
          <w:p w14:paraId="08CC9851"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51,5</w:t>
            </w:r>
          </w:p>
        </w:tc>
        <w:tc>
          <w:tcPr>
            <w:tcW w:w="810" w:type="dxa"/>
            <w:vMerge w:val="restart"/>
            <w:tcBorders>
              <w:top w:val="single" w:sz="4" w:space="0" w:color="auto"/>
              <w:left w:val="single" w:sz="4" w:space="0" w:color="auto"/>
              <w:right w:val="single" w:sz="4" w:space="0" w:color="auto"/>
            </w:tcBorders>
            <w:vAlign w:val="center"/>
          </w:tcPr>
          <w:p w14:paraId="2BFC119A"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47,4%</w:t>
            </w:r>
          </w:p>
        </w:tc>
        <w:tc>
          <w:tcPr>
            <w:tcW w:w="4917" w:type="dxa"/>
            <w:gridSpan w:val="2"/>
            <w:tcBorders>
              <w:left w:val="single" w:sz="4" w:space="0" w:color="auto"/>
              <w:bottom w:val="single" w:sz="4" w:space="0" w:color="auto"/>
              <w:right w:val="single" w:sz="4" w:space="0" w:color="auto"/>
            </w:tcBorders>
            <w:noWrap/>
            <w:vAlign w:val="center"/>
          </w:tcPr>
          <w:p w14:paraId="003C00F0" w14:textId="77777777" w:rsidR="00B139D6" w:rsidRPr="00B139D6" w:rsidRDefault="00B139D6" w:rsidP="00B139D6">
            <w:pPr>
              <w:keepNext/>
              <w:rPr>
                <w:rFonts w:ascii="Arial" w:hAnsi="Arial" w:cs="Arial"/>
                <w:b/>
                <w:lang w:val="es-ES_tradnl" w:eastAsia="en-US"/>
              </w:rPr>
            </w:pPr>
            <w:r w:rsidRPr="00B139D6">
              <w:rPr>
                <w:rFonts w:ascii="Arial" w:hAnsi="Arial" w:cs="Arial"/>
                <w:b/>
                <w:lang w:val="es-ES_tradnl" w:eastAsia="en-US"/>
              </w:rPr>
              <w:t>CTF Donación de Recuperación Contingente</w:t>
            </w:r>
          </w:p>
        </w:tc>
      </w:tr>
      <w:tr w:rsidR="00B139D6" w:rsidRPr="00B139D6" w14:paraId="304EC18E" w14:textId="77777777" w:rsidTr="00895676">
        <w:trPr>
          <w:trHeight w:val="242"/>
        </w:trPr>
        <w:tc>
          <w:tcPr>
            <w:tcW w:w="1800" w:type="dxa"/>
            <w:vMerge/>
            <w:tcBorders>
              <w:left w:val="single" w:sz="4" w:space="0" w:color="auto"/>
              <w:right w:val="single" w:sz="4" w:space="0" w:color="auto"/>
            </w:tcBorders>
            <w:noWrap/>
            <w:vAlign w:val="center"/>
          </w:tcPr>
          <w:p w14:paraId="30DE456A" w14:textId="77777777" w:rsidR="00B139D6" w:rsidRPr="00B139D6" w:rsidRDefault="00B139D6" w:rsidP="00B139D6">
            <w:pPr>
              <w:keepNext/>
              <w:jc w:val="center"/>
              <w:rPr>
                <w:rFonts w:ascii="Arial" w:hAnsi="Arial" w:cs="Arial"/>
                <w:lang w:val="es-ES_tradnl" w:eastAsia="en-US"/>
              </w:rPr>
            </w:pPr>
          </w:p>
        </w:tc>
        <w:tc>
          <w:tcPr>
            <w:tcW w:w="900" w:type="dxa"/>
            <w:vMerge/>
            <w:tcBorders>
              <w:left w:val="single" w:sz="4" w:space="0" w:color="auto"/>
              <w:right w:val="single" w:sz="4" w:space="0" w:color="auto"/>
            </w:tcBorders>
            <w:noWrap/>
            <w:vAlign w:val="center"/>
          </w:tcPr>
          <w:p w14:paraId="5A19C1F0" w14:textId="77777777" w:rsidR="00B139D6" w:rsidRPr="00B139D6" w:rsidRDefault="00B139D6" w:rsidP="00B139D6">
            <w:pPr>
              <w:keepNext/>
              <w:jc w:val="center"/>
              <w:rPr>
                <w:rFonts w:ascii="Arial" w:eastAsia="Arial Unicode MS" w:hAnsi="Arial" w:cs="Arial"/>
                <w:lang w:val="es-ES_tradnl" w:eastAsia="en-US"/>
              </w:rPr>
            </w:pPr>
          </w:p>
        </w:tc>
        <w:tc>
          <w:tcPr>
            <w:tcW w:w="810" w:type="dxa"/>
            <w:vMerge/>
            <w:tcBorders>
              <w:left w:val="single" w:sz="4" w:space="0" w:color="auto"/>
              <w:right w:val="single" w:sz="4" w:space="0" w:color="auto"/>
            </w:tcBorders>
            <w:vAlign w:val="center"/>
          </w:tcPr>
          <w:p w14:paraId="2931FCB7" w14:textId="77777777" w:rsidR="00B139D6" w:rsidRPr="00B139D6" w:rsidRDefault="00B139D6" w:rsidP="00B139D6">
            <w:pPr>
              <w:keepNext/>
              <w:jc w:val="center"/>
              <w:rPr>
                <w:rFonts w:ascii="Arial" w:eastAsia="Arial Unicode MS" w:hAnsi="Arial" w:cs="Arial"/>
                <w:lang w:val="es-ES_tradnl" w:eastAsia="en-US"/>
              </w:rPr>
            </w:pPr>
          </w:p>
        </w:tc>
        <w:tc>
          <w:tcPr>
            <w:tcW w:w="3055" w:type="dxa"/>
            <w:tcBorders>
              <w:left w:val="single" w:sz="4" w:space="0" w:color="auto"/>
              <w:bottom w:val="single" w:sz="4" w:space="0" w:color="auto"/>
              <w:right w:val="single" w:sz="4" w:space="0" w:color="auto"/>
            </w:tcBorders>
            <w:noWrap/>
            <w:vAlign w:val="center"/>
          </w:tcPr>
          <w:p w14:paraId="7DB8BADD" w14:textId="77777777" w:rsidR="00B139D6" w:rsidRPr="00B139D6" w:rsidRDefault="00B139D6" w:rsidP="00B139D6">
            <w:pPr>
              <w:keepNext/>
              <w:rPr>
                <w:rFonts w:ascii="Arial" w:hAnsi="Arial" w:cs="Arial"/>
                <w:lang w:val="es-ES_tradnl" w:eastAsia="en-US"/>
              </w:rPr>
            </w:pPr>
            <w:r w:rsidRPr="00B139D6">
              <w:rPr>
                <w:rFonts w:ascii="Arial" w:hAnsi="Arial" w:cs="Arial"/>
                <w:lang w:val="es-ES_tradnl" w:eastAsia="en-US"/>
              </w:rPr>
              <w:t xml:space="preserve">Periodo de desembolso </w:t>
            </w:r>
          </w:p>
        </w:tc>
        <w:tc>
          <w:tcPr>
            <w:tcW w:w="1862" w:type="dxa"/>
            <w:tcBorders>
              <w:left w:val="single" w:sz="4" w:space="0" w:color="auto"/>
              <w:bottom w:val="single" w:sz="4" w:space="0" w:color="auto"/>
              <w:right w:val="single" w:sz="4" w:space="0" w:color="auto"/>
            </w:tcBorders>
            <w:noWrap/>
            <w:vAlign w:val="center"/>
          </w:tcPr>
          <w:p w14:paraId="32E5ADF1" w14:textId="77777777" w:rsidR="00B139D6" w:rsidRPr="00B139D6" w:rsidRDefault="00B139D6" w:rsidP="00B139D6">
            <w:pPr>
              <w:keepNext/>
              <w:jc w:val="center"/>
              <w:rPr>
                <w:rFonts w:ascii="Arial" w:hAnsi="Arial" w:cs="Arial"/>
                <w:lang w:val="es-ES_tradnl" w:eastAsia="en-US"/>
              </w:rPr>
            </w:pPr>
            <w:r w:rsidRPr="00B139D6">
              <w:rPr>
                <w:rFonts w:ascii="Arial" w:hAnsi="Arial" w:cs="Arial"/>
                <w:lang w:val="es-ES_tradnl" w:eastAsia="en-US"/>
              </w:rPr>
              <w:t>9 años</w:t>
            </w:r>
          </w:p>
        </w:tc>
      </w:tr>
      <w:tr w:rsidR="00B139D6" w:rsidRPr="00B139D6" w14:paraId="2EBE036E" w14:textId="77777777" w:rsidTr="00895676">
        <w:trPr>
          <w:trHeight w:val="350"/>
        </w:trPr>
        <w:tc>
          <w:tcPr>
            <w:tcW w:w="1800" w:type="dxa"/>
            <w:vMerge/>
            <w:tcBorders>
              <w:left w:val="single" w:sz="4" w:space="0" w:color="auto"/>
              <w:bottom w:val="single" w:sz="4" w:space="0" w:color="auto"/>
              <w:right w:val="single" w:sz="4" w:space="0" w:color="auto"/>
            </w:tcBorders>
            <w:noWrap/>
            <w:vAlign w:val="center"/>
          </w:tcPr>
          <w:p w14:paraId="5864379B" w14:textId="77777777" w:rsidR="00B139D6" w:rsidRPr="00B139D6" w:rsidRDefault="00B139D6" w:rsidP="00B139D6">
            <w:pPr>
              <w:keepNext/>
              <w:rPr>
                <w:rFonts w:ascii="Arial" w:hAnsi="Arial" w:cs="Arial"/>
                <w:lang w:val="es-ES_tradnl" w:eastAsia="en-US"/>
              </w:rPr>
            </w:pPr>
          </w:p>
        </w:tc>
        <w:tc>
          <w:tcPr>
            <w:tcW w:w="900" w:type="dxa"/>
            <w:vMerge/>
            <w:tcBorders>
              <w:left w:val="single" w:sz="4" w:space="0" w:color="auto"/>
              <w:bottom w:val="single" w:sz="4" w:space="0" w:color="auto"/>
              <w:right w:val="single" w:sz="4" w:space="0" w:color="auto"/>
            </w:tcBorders>
            <w:noWrap/>
            <w:vAlign w:val="center"/>
          </w:tcPr>
          <w:p w14:paraId="17B6190A" w14:textId="77777777" w:rsidR="00B139D6" w:rsidRPr="00B139D6" w:rsidRDefault="00B139D6" w:rsidP="00B139D6">
            <w:pPr>
              <w:keepNext/>
              <w:rPr>
                <w:rFonts w:ascii="Arial" w:eastAsia="Arial Unicode MS" w:hAnsi="Arial" w:cs="Arial"/>
                <w:lang w:val="es-ES_tradnl" w:eastAsia="en-US"/>
              </w:rPr>
            </w:pPr>
          </w:p>
        </w:tc>
        <w:tc>
          <w:tcPr>
            <w:tcW w:w="810" w:type="dxa"/>
            <w:vMerge/>
            <w:tcBorders>
              <w:left w:val="single" w:sz="4" w:space="0" w:color="auto"/>
              <w:bottom w:val="single" w:sz="4" w:space="0" w:color="auto"/>
              <w:right w:val="single" w:sz="4" w:space="0" w:color="auto"/>
            </w:tcBorders>
            <w:vAlign w:val="center"/>
          </w:tcPr>
          <w:p w14:paraId="3FEB6568" w14:textId="77777777" w:rsidR="00B139D6" w:rsidRPr="00B139D6" w:rsidRDefault="00B139D6" w:rsidP="00B139D6">
            <w:pPr>
              <w:keepNext/>
              <w:rPr>
                <w:rFonts w:ascii="Arial" w:eastAsia="Arial Unicode MS" w:hAnsi="Arial" w:cs="Arial"/>
                <w:lang w:val="es-ES_tradnl" w:eastAsia="en-US"/>
              </w:rPr>
            </w:pPr>
          </w:p>
        </w:tc>
        <w:tc>
          <w:tcPr>
            <w:tcW w:w="3055" w:type="dxa"/>
            <w:tcBorders>
              <w:left w:val="single" w:sz="4" w:space="0" w:color="auto"/>
              <w:bottom w:val="single" w:sz="4" w:space="0" w:color="auto"/>
              <w:right w:val="single" w:sz="4" w:space="0" w:color="auto"/>
            </w:tcBorders>
            <w:noWrap/>
            <w:vAlign w:val="center"/>
          </w:tcPr>
          <w:p w14:paraId="449E1947" w14:textId="77777777" w:rsidR="00B139D6" w:rsidRPr="00B139D6" w:rsidRDefault="00B139D6" w:rsidP="00B139D6">
            <w:pPr>
              <w:keepNext/>
              <w:rPr>
                <w:rFonts w:ascii="Arial" w:eastAsia="Arial Unicode MS" w:hAnsi="Arial" w:cs="Arial"/>
                <w:lang w:val="es-ES_tradnl" w:eastAsia="en-US"/>
              </w:rPr>
            </w:pPr>
            <w:r w:rsidRPr="00B139D6">
              <w:rPr>
                <w:rFonts w:ascii="Arial" w:eastAsia="Arial Unicode MS" w:hAnsi="Arial" w:cs="Arial"/>
                <w:lang w:val="es-ES_tradnl" w:eastAsia="en-US"/>
              </w:rPr>
              <w:t>Moneda</w:t>
            </w:r>
          </w:p>
        </w:tc>
        <w:tc>
          <w:tcPr>
            <w:tcW w:w="1862" w:type="dxa"/>
            <w:tcBorders>
              <w:left w:val="single" w:sz="4" w:space="0" w:color="auto"/>
              <w:bottom w:val="single" w:sz="4" w:space="0" w:color="auto"/>
              <w:right w:val="single" w:sz="4" w:space="0" w:color="auto"/>
            </w:tcBorders>
            <w:noWrap/>
            <w:vAlign w:val="center"/>
          </w:tcPr>
          <w:p w14:paraId="003C921D"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Dólar Estadounidense</w:t>
            </w:r>
          </w:p>
        </w:tc>
      </w:tr>
      <w:tr w:rsidR="00B139D6" w:rsidRPr="00B139D6" w14:paraId="3E5BFF15" w14:textId="77777777" w:rsidTr="00895676">
        <w:trPr>
          <w:trHeight w:val="50"/>
        </w:trPr>
        <w:tc>
          <w:tcPr>
            <w:tcW w:w="1800" w:type="dxa"/>
            <w:vMerge w:val="restart"/>
            <w:tcBorders>
              <w:top w:val="single" w:sz="4" w:space="0" w:color="auto"/>
              <w:left w:val="single" w:sz="4" w:space="0" w:color="auto"/>
              <w:right w:val="single" w:sz="4" w:space="0" w:color="auto"/>
            </w:tcBorders>
            <w:noWrap/>
            <w:vAlign w:val="center"/>
          </w:tcPr>
          <w:p w14:paraId="4A9662D6" w14:textId="77777777" w:rsidR="00B139D6" w:rsidRPr="00B139D6" w:rsidRDefault="00B139D6" w:rsidP="00B139D6">
            <w:pPr>
              <w:keepNext/>
              <w:jc w:val="center"/>
              <w:rPr>
                <w:rFonts w:ascii="Arial" w:hAnsi="Arial" w:cs="Arial"/>
                <w:lang w:val="es-ES_tradnl" w:eastAsia="en-US"/>
              </w:rPr>
            </w:pPr>
            <w:r w:rsidRPr="00B139D6">
              <w:rPr>
                <w:rFonts w:ascii="Arial" w:hAnsi="Arial" w:cs="Arial"/>
                <w:lang w:val="es-ES_tradnl" w:eastAsia="en-US"/>
              </w:rPr>
              <w:t>ME-G1005 (GRT/TC-14423-ME)</w:t>
            </w:r>
          </w:p>
          <w:p w14:paraId="065A85BC" w14:textId="77777777" w:rsidR="00B139D6" w:rsidRPr="00B139D6" w:rsidRDefault="00B139D6" w:rsidP="00B139D6">
            <w:pPr>
              <w:keepNext/>
              <w:jc w:val="center"/>
              <w:rPr>
                <w:rFonts w:ascii="Arial" w:hAnsi="Arial" w:cs="Arial"/>
                <w:lang w:val="es-ES_tradnl" w:eastAsia="en-US"/>
              </w:rPr>
            </w:pPr>
          </w:p>
        </w:tc>
        <w:tc>
          <w:tcPr>
            <w:tcW w:w="900" w:type="dxa"/>
            <w:vMerge w:val="restart"/>
            <w:tcBorders>
              <w:top w:val="single" w:sz="4" w:space="0" w:color="auto"/>
              <w:left w:val="single" w:sz="4" w:space="0" w:color="auto"/>
              <w:right w:val="single" w:sz="4" w:space="0" w:color="auto"/>
            </w:tcBorders>
            <w:noWrap/>
            <w:vAlign w:val="center"/>
          </w:tcPr>
          <w:p w14:paraId="59C9368A"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2,8</w:t>
            </w:r>
          </w:p>
        </w:tc>
        <w:tc>
          <w:tcPr>
            <w:tcW w:w="810" w:type="dxa"/>
            <w:vMerge w:val="restart"/>
            <w:tcBorders>
              <w:top w:val="single" w:sz="4" w:space="0" w:color="auto"/>
              <w:left w:val="single" w:sz="4" w:space="0" w:color="auto"/>
              <w:right w:val="single" w:sz="4" w:space="0" w:color="auto"/>
            </w:tcBorders>
            <w:vAlign w:val="center"/>
          </w:tcPr>
          <w:p w14:paraId="173E43A5"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2,6%</w:t>
            </w:r>
          </w:p>
        </w:tc>
        <w:tc>
          <w:tcPr>
            <w:tcW w:w="4917" w:type="dxa"/>
            <w:gridSpan w:val="2"/>
            <w:tcBorders>
              <w:left w:val="single" w:sz="4" w:space="0" w:color="auto"/>
              <w:bottom w:val="single" w:sz="4" w:space="0" w:color="auto"/>
              <w:right w:val="single" w:sz="4" w:space="0" w:color="auto"/>
            </w:tcBorders>
            <w:noWrap/>
            <w:vAlign w:val="center"/>
          </w:tcPr>
          <w:p w14:paraId="4AB5DFEA" w14:textId="77777777" w:rsidR="00B139D6" w:rsidRPr="00B139D6" w:rsidRDefault="00B139D6" w:rsidP="00B139D6">
            <w:pPr>
              <w:keepNext/>
              <w:rPr>
                <w:rFonts w:ascii="Arial" w:eastAsia="Arial Unicode MS" w:hAnsi="Arial" w:cs="Arial"/>
                <w:b/>
                <w:lang w:val="es-ES_tradnl" w:eastAsia="en-US"/>
              </w:rPr>
            </w:pPr>
            <w:r w:rsidRPr="00B139D6">
              <w:rPr>
                <w:rFonts w:ascii="Arial" w:eastAsia="Arial Unicode MS" w:hAnsi="Arial" w:cs="Arial"/>
                <w:b/>
                <w:lang w:val="es-ES_tradnl" w:eastAsia="en-US"/>
              </w:rPr>
              <w:t>CTF No reembolsable</w:t>
            </w:r>
          </w:p>
        </w:tc>
      </w:tr>
      <w:tr w:rsidR="00B139D6" w:rsidRPr="00B139D6" w14:paraId="62FC09E4" w14:textId="77777777" w:rsidTr="00895676">
        <w:trPr>
          <w:trHeight w:val="422"/>
        </w:trPr>
        <w:tc>
          <w:tcPr>
            <w:tcW w:w="1800" w:type="dxa"/>
            <w:vMerge/>
            <w:tcBorders>
              <w:left w:val="single" w:sz="4" w:space="0" w:color="auto"/>
              <w:bottom w:val="single" w:sz="4" w:space="0" w:color="auto"/>
              <w:right w:val="single" w:sz="4" w:space="0" w:color="auto"/>
            </w:tcBorders>
            <w:noWrap/>
            <w:vAlign w:val="center"/>
          </w:tcPr>
          <w:p w14:paraId="6A5591C2" w14:textId="77777777" w:rsidR="00B139D6" w:rsidRPr="00B139D6" w:rsidRDefault="00B139D6" w:rsidP="00B139D6">
            <w:pPr>
              <w:keepNext/>
              <w:jc w:val="center"/>
              <w:rPr>
                <w:rFonts w:ascii="Arial" w:hAnsi="Arial" w:cs="Arial"/>
                <w:lang w:val="es-ES_tradnl" w:eastAsia="en-US"/>
              </w:rPr>
            </w:pPr>
          </w:p>
        </w:tc>
        <w:tc>
          <w:tcPr>
            <w:tcW w:w="900" w:type="dxa"/>
            <w:vMerge/>
            <w:tcBorders>
              <w:left w:val="single" w:sz="4" w:space="0" w:color="auto"/>
              <w:bottom w:val="single" w:sz="4" w:space="0" w:color="auto"/>
              <w:right w:val="single" w:sz="4" w:space="0" w:color="auto"/>
            </w:tcBorders>
            <w:noWrap/>
            <w:vAlign w:val="center"/>
          </w:tcPr>
          <w:p w14:paraId="6FC5A41A" w14:textId="77777777" w:rsidR="00B139D6" w:rsidRPr="00B139D6" w:rsidRDefault="00B139D6" w:rsidP="00B139D6">
            <w:pPr>
              <w:keepNext/>
              <w:jc w:val="center"/>
              <w:rPr>
                <w:rFonts w:ascii="Arial" w:eastAsia="Arial Unicode MS" w:hAnsi="Arial" w:cs="Arial"/>
                <w:lang w:val="es-ES_tradnl" w:eastAsia="en-US"/>
              </w:rPr>
            </w:pPr>
          </w:p>
        </w:tc>
        <w:tc>
          <w:tcPr>
            <w:tcW w:w="810" w:type="dxa"/>
            <w:vMerge/>
            <w:tcBorders>
              <w:left w:val="single" w:sz="4" w:space="0" w:color="auto"/>
              <w:bottom w:val="single" w:sz="4" w:space="0" w:color="auto"/>
              <w:right w:val="single" w:sz="4" w:space="0" w:color="auto"/>
            </w:tcBorders>
            <w:vAlign w:val="center"/>
          </w:tcPr>
          <w:p w14:paraId="0C35777A" w14:textId="77777777" w:rsidR="00B139D6" w:rsidRPr="00B139D6" w:rsidRDefault="00B139D6" w:rsidP="00B139D6">
            <w:pPr>
              <w:keepNext/>
              <w:rPr>
                <w:rFonts w:ascii="Arial" w:eastAsia="Arial Unicode MS" w:hAnsi="Arial" w:cs="Arial"/>
                <w:lang w:val="es-ES_tradnl" w:eastAsia="en-US"/>
              </w:rPr>
            </w:pPr>
          </w:p>
        </w:tc>
        <w:tc>
          <w:tcPr>
            <w:tcW w:w="3055" w:type="dxa"/>
            <w:tcBorders>
              <w:left w:val="single" w:sz="4" w:space="0" w:color="auto"/>
              <w:bottom w:val="single" w:sz="4" w:space="0" w:color="auto"/>
              <w:right w:val="single" w:sz="4" w:space="0" w:color="auto"/>
            </w:tcBorders>
            <w:noWrap/>
            <w:vAlign w:val="center"/>
          </w:tcPr>
          <w:p w14:paraId="7A354AE0" w14:textId="77777777" w:rsidR="00B139D6" w:rsidRPr="00B139D6" w:rsidRDefault="00B139D6" w:rsidP="00B139D6">
            <w:pPr>
              <w:keepNext/>
              <w:rPr>
                <w:rFonts w:ascii="Arial" w:eastAsia="Arial Unicode MS" w:hAnsi="Arial" w:cs="Arial"/>
                <w:lang w:val="es-ES_tradnl" w:eastAsia="en-US"/>
              </w:rPr>
            </w:pPr>
            <w:r w:rsidRPr="00B139D6">
              <w:rPr>
                <w:rFonts w:ascii="Arial" w:eastAsia="Arial Unicode MS" w:hAnsi="Arial" w:cs="Arial"/>
                <w:lang w:val="es-ES_tradnl" w:eastAsia="en-US"/>
              </w:rPr>
              <w:t xml:space="preserve">Periodo de desembolso </w:t>
            </w:r>
          </w:p>
        </w:tc>
        <w:tc>
          <w:tcPr>
            <w:tcW w:w="1862" w:type="dxa"/>
            <w:tcBorders>
              <w:left w:val="single" w:sz="4" w:space="0" w:color="auto"/>
              <w:bottom w:val="single" w:sz="4" w:space="0" w:color="auto"/>
              <w:right w:val="single" w:sz="4" w:space="0" w:color="auto"/>
            </w:tcBorders>
            <w:noWrap/>
            <w:vAlign w:val="center"/>
          </w:tcPr>
          <w:p w14:paraId="69865F1F"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9 años</w:t>
            </w:r>
          </w:p>
        </w:tc>
      </w:tr>
      <w:tr w:rsidR="00B139D6" w:rsidRPr="00B139D6" w14:paraId="59AA06D0" w14:textId="77777777" w:rsidTr="00895676">
        <w:trPr>
          <w:trHeight w:val="260"/>
        </w:trPr>
        <w:tc>
          <w:tcPr>
            <w:tcW w:w="1800" w:type="dxa"/>
            <w:vMerge/>
            <w:tcBorders>
              <w:left w:val="single" w:sz="4" w:space="0" w:color="auto"/>
              <w:bottom w:val="single" w:sz="4" w:space="0" w:color="auto"/>
              <w:right w:val="single" w:sz="4" w:space="0" w:color="auto"/>
            </w:tcBorders>
            <w:noWrap/>
            <w:vAlign w:val="center"/>
          </w:tcPr>
          <w:p w14:paraId="7A1463AA" w14:textId="77777777" w:rsidR="00B139D6" w:rsidRPr="00B139D6" w:rsidRDefault="00B139D6" w:rsidP="00B139D6">
            <w:pPr>
              <w:keepNext/>
              <w:jc w:val="center"/>
              <w:rPr>
                <w:rFonts w:ascii="Arial" w:hAnsi="Arial" w:cs="Arial"/>
                <w:lang w:val="es-ES_tradnl" w:eastAsia="en-US"/>
              </w:rPr>
            </w:pPr>
          </w:p>
        </w:tc>
        <w:tc>
          <w:tcPr>
            <w:tcW w:w="900" w:type="dxa"/>
            <w:vMerge/>
            <w:tcBorders>
              <w:left w:val="single" w:sz="4" w:space="0" w:color="auto"/>
              <w:bottom w:val="single" w:sz="4" w:space="0" w:color="auto"/>
              <w:right w:val="single" w:sz="4" w:space="0" w:color="auto"/>
            </w:tcBorders>
            <w:noWrap/>
            <w:vAlign w:val="center"/>
          </w:tcPr>
          <w:p w14:paraId="7B4069EA" w14:textId="77777777" w:rsidR="00B139D6" w:rsidRPr="00B139D6" w:rsidRDefault="00B139D6" w:rsidP="00B139D6">
            <w:pPr>
              <w:keepNext/>
              <w:jc w:val="center"/>
              <w:rPr>
                <w:rFonts w:ascii="Arial" w:eastAsia="Arial Unicode MS" w:hAnsi="Arial" w:cs="Arial"/>
                <w:lang w:val="es-ES_tradnl" w:eastAsia="en-US"/>
              </w:rPr>
            </w:pPr>
          </w:p>
        </w:tc>
        <w:tc>
          <w:tcPr>
            <w:tcW w:w="810" w:type="dxa"/>
            <w:vMerge/>
            <w:tcBorders>
              <w:left w:val="single" w:sz="4" w:space="0" w:color="auto"/>
              <w:bottom w:val="single" w:sz="4" w:space="0" w:color="auto"/>
              <w:right w:val="single" w:sz="4" w:space="0" w:color="auto"/>
            </w:tcBorders>
            <w:vAlign w:val="center"/>
          </w:tcPr>
          <w:p w14:paraId="712C2B45" w14:textId="77777777" w:rsidR="00B139D6" w:rsidRPr="00B139D6" w:rsidRDefault="00B139D6" w:rsidP="00B139D6">
            <w:pPr>
              <w:keepNext/>
              <w:rPr>
                <w:rFonts w:ascii="Arial" w:eastAsia="Arial Unicode MS" w:hAnsi="Arial" w:cs="Arial"/>
                <w:lang w:val="es-ES_tradnl" w:eastAsia="en-US"/>
              </w:rPr>
            </w:pPr>
          </w:p>
        </w:tc>
        <w:tc>
          <w:tcPr>
            <w:tcW w:w="3055" w:type="dxa"/>
            <w:tcBorders>
              <w:left w:val="single" w:sz="4" w:space="0" w:color="auto"/>
              <w:bottom w:val="single" w:sz="4" w:space="0" w:color="auto"/>
              <w:right w:val="single" w:sz="4" w:space="0" w:color="auto"/>
            </w:tcBorders>
            <w:noWrap/>
            <w:vAlign w:val="center"/>
          </w:tcPr>
          <w:p w14:paraId="4684DA3F" w14:textId="77777777" w:rsidR="00B139D6" w:rsidRPr="00B139D6" w:rsidRDefault="00B139D6" w:rsidP="00B139D6">
            <w:pPr>
              <w:keepNext/>
              <w:rPr>
                <w:rFonts w:ascii="Arial" w:eastAsia="Arial Unicode MS" w:hAnsi="Arial" w:cs="Arial"/>
                <w:lang w:val="es-ES_tradnl" w:eastAsia="en-US"/>
              </w:rPr>
            </w:pPr>
            <w:r w:rsidRPr="00B139D6">
              <w:rPr>
                <w:rFonts w:ascii="Arial" w:eastAsia="Arial Unicode MS" w:hAnsi="Arial" w:cs="Arial"/>
                <w:lang w:val="es-ES_tradnl" w:eastAsia="en-US"/>
              </w:rPr>
              <w:t>Moneda</w:t>
            </w:r>
          </w:p>
        </w:tc>
        <w:tc>
          <w:tcPr>
            <w:tcW w:w="1862" w:type="dxa"/>
            <w:tcBorders>
              <w:left w:val="single" w:sz="4" w:space="0" w:color="auto"/>
              <w:bottom w:val="single" w:sz="4" w:space="0" w:color="auto"/>
              <w:right w:val="single" w:sz="4" w:space="0" w:color="auto"/>
            </w:tcBorders>
            <w:noWrap/>
            <w:vAlign w:val="center"/>
          </w:tcPr>
          <w:p w14:paraId="71B5772E" w14:textId="77777777" w:rsidR="00B139D6" w:rsidRPr="00B139D6" w:rsidRDefault="00B139D6" w:rsidP="00B139D6">
            <w:pPr>
              <w:keepNext/>
              <w:jc w:val="center"/>
              <w:rPr>
                <w:rFonts w:ascii="Arial" w:eastAsia="Arial Unicode MS" w:hAnsi="Arial" w:cs="Arial"/>
                <w:lang w:val="es-ES_tradnl" w:eastAsia="en-US"/>
              </w:rPr>
            </w:pPr>
            <w:r w:rsidRPr="00B139D6">
              <w:rPr>
                <w:rFonts w:ascii="Arial" w:eastAsia="Arial Unicode MS" w:hAnsi="Arial" w:cs="Arial"/>
                <w:lang w:val="es-ES_tradnl" w:eastAsia="en-US"/>
              </w:rPr>
              <w:t>Dólar Estadounidense</w:t>
            </w:r>
          </w:p>
        </w:tc>
      </w:tr>
      <w:tr w:rsidR="00B139D6" w:rsidRPr="00B139D6" w14:paraId="2A673294" w14:textId="77777777" w:rsidTr="00B139D6">
        <w:trPr>
          <w:trHeight w:val="50"/>
        </w:trPr>
        <w:tc>
          <w:tcPr>
            <w:tcW w:w="180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AD43100" w14:textId="77777777" w:rsidR="00B139D6" w:rsidRPr="00B139D6" w:rsidRDefault="00B139D6" w:rsidP="00B139D6">
            <w:pPr>
              <w:keepNext/>
              <w:jc w:val="center"/>
              <w:rPr>
                <w:rFonts w:ascii="Arial" w:hAnsi="Arial" w:cs="Arial"/>
                <w:b/>
                <w:lang w:val="es-ES_tradnl" w:eastAsia="en-US"/>
              </w:rPr>
            </w:pPr>
            <w:r w:rsidRPr="00B139D6">
              <w:rPr>
                <w:rFonts w:ascii="Arial" w:hAnsi="Arial" w:cs="Arial"/>
                <w:b/>
                <w:lang w:val="es-ES_tradnl" w:eastAsia="en-US"/>
              </w:rPr>
              <w:t>Total</w:t>
            </w:r>
          </w:p>
        </w:tc>
        <w:tc>
          <w:tcPr>
            <w:tcW w:w="90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6968CC3A" w14:textId="77777777" w:rsidR="00B139D6" w:rsidRPr="00B139D6" w:rsidRDefault="00B139D6" w:rsidP="00B139D6">
            <w:pPr>
              <w:keepNext/>
              <w:jc w:val="center"/>
              <w:rPr>
                <w:rFonts w:ascii="Arial" w:eastAsia="Arial Unicode MS" w:hAnsi="Arial" w:cs="Arial"/>
                <w:b/>
                <w:lang w:val="es-ES_tradnl" w:eastAsia="en-US"/>
              </w:rPr>
            </w:pPr>
            <w:r w:rsidRPr="00B139D6">
              <w:rPr>
                <w:rFonts w:ascii="Arial" w:hAnsi="Arial" w:cs="Arial"/>
                <w:b/>
                <w:lang w:val="es-ES_tradnl" w:eastAsia="en-US"/>
              </w:rPr>
              <w:t>108,6</w:t>
            </w:r>
          </w:p>
        </w:tc>
        <w:tc>
          <w:tcPr>
            <w:tcW w:w="810" w:type="dxa"/>
            <w:tcBorders>
              <w:top w:val="single" w:sz="4" w:space="0" w:color="auto"/>
              <w:left w:val="single" w:sz="4" w:space="0" w:color="auto"/>
              <w:bottom w:val="single" w:sz="4" w:space="0" w:color="auto"/>
              <w:right w:val="single" w:sz="4" w:space="0" w:color="auto"/>
            </w:tcBorders>
            <w:shd w:val="clear" w:color="auto" w:fill="BFBFBF"/>
            <w:vAlign w:val="center"/>
          </w:tcPr>
          <w:p w14:paraId="746FB764" w14:textId="77777777" w:rsidR="00B139D6" w:rsidRPr="00B139D6" w:rsidRDefault="00B139D6" w:rsidP="00B139D6">
            <w:pPr>
              <w:keepNext/>
              <w:jc w:val="center"/>
              <w:rPr>
                <w:rFonts w:ascii="Arial" w:eastAsia="Arial Unicode MS" w:hAnsi="Arial" w:cs="Arial"/>
                <w:b/>
                <w:lang w:val="es-ES_tradnl" w:eastAsia="en-US"/>
              </w:rPr>
            </w:pPr>
            <w:r w:rsidRPr="00B139D6">
              <w:rPr>
                <w:rFonts w:ascii="Arial" w:eastAsia="Arial Unicode MS" w:hAnsi="Arial" w:cs="Arial"/>
                <w:b/>
                <w:lang w:val="es-ES_tradnl" w:eastAsia="en-US"/>
              </w:rPr>
              <w:t>100</w:t>
            </w:r>
          </w:p>
        </w:tc>
        <w:tc>
          <w:tcPr>
            <w:tcW w:w="3055" w:type="dxa"/>
            <w:tcBorders>
              <w:left w:val="single" w:sz="4" w:space="0" w:color="auto"/>
              <w:bottom w:val="single" w:sz="4" w:space="0" w:color="auto"/>
              <w:right w:val="single" w:sz="4" w:space="0" w:color="auto"/>
            </w:tcBorders>
            <w:shd w:val="clear" w:color="auto" w:fill="BFBFBF"/>
            <w:noWrap/>
            <w:vAlign w:val="center"/>
          </w:tcPr>
          <w:p w14:paraId="7CDB6DDC" w14:textId="77777777" w:rsidR="00B139D6" w:rsidRPr="00B139D6" w:rsidRDefault="00B139D6" w:rsidP="00B139D6">
            <w:pPr>
              <w:keepNext/>
              <w:rPr>
                <w:rFonts w:ascii="Arial" w:eastAsia="Arial Unicode MS" w:hAnsi="Arial" w:cs="Arial"/>
                <w:lang w:val="es-ES_tradnl" w:eastAsia="en-US"/>
              </w:rPr>
            </w:pPr>
          </w:p>
        </w:tc>
        <w:tc>
          <w:tcPr>
            <w:tcW w:w="1862" w:type="dxa"/>
            <w:tcBorders>
              <w:left w:val="single" w:sz="4" w:space="0" w:color="auto"/>
              <w:bottom w:val="single" w:sz="4" w:space="0" w:color="auto"/>
              <w:right w:val="single" w:sz="4" w:space="0" w:color="auto"/>
            </w:tcBorders>
            <w:shd w:val="clear" w:color="auto" w:fill="BFBFBF"/>
            <w:noWrap/>
            <w:vAlign w:val="center"/>
          </w:tcPr>
          <w:p w14:paraId="09129EEA" w14:textId="77777777" w:rsidR="00B139D6" w:rsidRPr="00B139D6" w:rsidRDefault="00B139D6" w:rsidP="00B139D6">
            <w:pPr>
              <w:keepNext/>
              <w:rPr>
                <w:rFonts w:ascii="Arial" w:eastAsia="Arial Unicode MS" w:hAnsi="Arial" w:cs="Arial"/>
                <w:lang w:val="es-ES_tradnl" w:eastAsia="en-US"/>
              </w:rPr>
            </w:pPr>
          </w:p>
        </w:tc>
      </w:tr>
    </w:tbl>
    <w:p w14:paraId="0D838D3D" w14:textId="77777777" w:rsidR="007268FD" w:rsidRPr="004C0753" w:rsidRDefault="007268FD" w:rsidP="008C38DE">
      <w:pPr>
        <w:tabs>
          <w:tab w:val="num" w:pos="360"/>
        </w:tabs>
        <w:spacing w:before="60"/>
        <w:ind w:left="540" w:right="886" w:hanging="180"/>
        <w:jc w:val="both"/>
        <w:rPr>
          <w:rFonts w:ascii="Arial" w:hAnsi="Arial" w:cs="Arial"/>
          <w:sz w:val="16"/>
          <w:szCs w:val="16"/>
        </w:rPr>
      </w:pPr>
      <w:r w:rsidRPr="004C0753">
        <w:rPr>
          <w:rFonts w:ascii="Arial" w:hAnsi="Arial" w:cs="Arial"/>
          <w:sz w:val="16"/>
          <w:szCs w:val="16"/>
          <w:vertAlign w:val="superscript"/>
        </w:rPr>
        <w:t>(a)</w:t>
      </w:r>
      <w:r w:rsidRPr="004C0753">
        <w:rPr>
          <w:rFonts w:ascii="Arial" w:hAnsi="Arial" w:cs="Arial"/>
          <w:sz w:val="16"/>
          <w:szCs w:val="16"/>
        </w:rPr>
        <w:t xml:space="preserve"> Bajo los términos de la Facilidad de Financiamiento Flexible (FFF) (documento FN-655-1) el Prestatario tiene la opción de solicitar modificaciones en el cronograma de amortización, así como conversiones de moneda y de tasa de interés. En la consideración de dichas solicitudes, el Banco tomará en cuenta aspectos operacionales y de manejo de riesgos. </w:t>
      </w:r>
    </w:p>
    <w:p w14:paraId="0ACE0BD8" w14:textId="77777777" w:rsidR="007268FD" w:rsidRPr="004C0753" w:rsidRDefault="007268FD" w:rsidP="008C38DE">
      <w:pPr>
        <w:tabs>
          <w:tab w:val="num" w:pos="360"/>
        </w:tabs>
        <w:ind w:left="540" w:right="886" w:hanging="180"/>
        <w:jc w:val="both"/>
        <w:rPr>
          <w:rFonts w:ascii="Arial" w:hAnsi="Arial" w:cs="Arial"/>
          <w:sz w:val="16"/>
          <w:szCs w:val="16"/>
        </w:rPr>
      </w:pPr>
      <w:r w:rsidRPr="004C0753">
        <w:rPr>
          <w:rFonts w:ascii="Arial" w:hAnsi="Arial" w:cs="Arial"/>
          <w:sz w:val="16"/>
          <w:szCs w:val="16"/>
          <w:vertAlign w:val="superscript"/>
        </w:rPr>
        <w:t>(b)</w:t>
      </w:r>
      <w:r w:rsidRPr="004C0753">
        <w:rPr>
          <w:rFonts w:ascii="Arial" w:hAnsi="Arial" w:cs="Arial"/>
          <w:sz w:val="16"/>
          <w:szCs w:val="16"/>
        </w:rPr>
        <w:t xml:space="preserve"> Bajo las opciones de reembolso flexible de la FFF, cambios en el periodo de gracia son posibles siempre que la Vida Promedio Ponderada (VPP) Original del préstamo y la última fecha de pago, documentadas en el contrato de préstamo, no sean excedidas. </w:t>
      </w:r>
    </w:p>
    <w:p w14:paraId="1DA9172A" w14:textId="77777777" w:rsidR="007268FD" w:rsidRPr="004C0753" w:rsidRDefault="007268FD" w:rsidP="008C38DE">
      <w:pPr>
        <w:pStyle w:val="ListParagraph"/>
        <w:tabs>
          <w:tab w:val="num" w:pos="360"/>
        </w:tabs>
        <w:ind w:left="540" w:right="886" w:hanging="180"/>
        <w:jc w:val="both"/>
        <w:rPr>
          <w:rFonts w:ascii="Arial" w:hAnsi="Arial" w:cs="Arial"/>
          <w:sz w:val="16"/>
          <w:szCs w:val="16"/>
        </w:rPr>
      </w:pPr>
      <w:r w:rsidRPr="004C0753">
        <w:rPr>
          <w:rFonts w:ascii="Arial" w:hAnsi="Arial" w:cs="Arial"/>
          <w:sz w:val="16"/>
          <w:szCs w:val="16"/>
          <w:vertAlign w:val="superscript"/>
        </w:rPr>
        <w:t>(c)</w:t>
      </w:r>
      <w:r w:rsidRPr="004C0753">
        <w:rPr>
          <w:rFonts w:ascii="Arial" w:hAnsi="Arial" w:cs="Arial"/>
          <w:sz w:val="16"/>
          <w:szCs w:val="16"/>
        </w:rPr>
        <w:t xml:space="preserve"> La comisión de crédito y la comisión de inspección y vigilancia serán establecidas periódicamente por el Directorio Ejecutivo como parte de su revisión de los cargos financieros del Banco, de conformidad con las políticas correspondientes.</w:t>
      </w:r>
    </w:p>
    <w:p w14:paraId="2DD561C6" w14:textId="260FA437" w:rsidR="00B139D6" w:rsidRDefault="00B139D6" w:rsidP="000A37CF">
      <w:pPr>
        <w:pStyle w:val="Paragraph"/>
        <w:numPr>
          <w:ilvl w:val="0"/>
          <w:numId w:val="0"/>
        </w:numPr>
        <w:jc w:val="center"/>
        <w:outlineLvl w:val="9"/>
        <w:rPr>
          <w:rFonts w:ascii="Arial" w:hAnsi="Arial" w:cs="Arial"/>
          <w:b/>
          <w:szCs w:val="24"/>
          <w:lang w:val="es-MX"/>
        </w:rPr>
      </w:pPr>
    </w:p>
    <w:bookmarkEnd w:id="35"/>
    <w:p w14:paraId="75531DC2" w14:textId="419CD194" w:rsidR="00AE541F" w:rsidRDefault="00860126" w:rsidP="000A37CF">
      <w:pPr>
        <w:pStyle w:val="Paragraph"/>
        <w:numPr>
          <w:ilvl w:val="0"/>
          <w:numId w:val="0"/>
        </w:numPr>
        <w:jc w:val="center"/>
        <w:outlineLvl w:val="9"/>
        <w:rPr>
          <w:rFonts w:ascii="Arial" w:hAnsi="Arial" w:cs="Arial"/>
          <w:b/>
          <w:szCs w:val="24"/>
          <w:lang w:val="es-MX"/>
        </w:rPr>
      </w:pPr>
      <w:r>
        <w:rPr>
          <w:rFonts w:ascii="Arial" w:hAnsi="Arial" w:cs="Arial"/>
          <w:b/>
          <w:szCs w:val="24"/>
          <w:lang w:val="es-MX"/>
        </w:rPr>
        <w:t>Tabla 2. Costo del programa</w:t>
      </w:r>
      <w:r w:rsidR="00AE541F">
        <w:rPr>
          <w:rFonts w:ascii="Arial" w:hAnsi="Arial" w:cs="Arial"/>
          <w:b/>
          <w:szCs w:val="24"/>
          <w:lang w:val="es-MX"/>
        </w:rPr>
        <w:t xml:space="preserve"> por fuente y componente*</w:t>
      </w:r>
    </w:p>
    <w:p w14:paraId="75171CCA" w14:textId="2C593500" w:rsidR="00860126" w:rsidRDefault="00860126" w:rsidP="000A37CF">
      <w:pPr>
        <w:pStyle w:val="Paragraph"/>
        <w:numPr>
          <w:ilvl w:val="0"/>
          <w:numId w:val="0"/>
        </w:numPr>
        <w:jc w:val="center"/>
        <w:outlineLvl w:val="9"/>
        <w:rPr>
          <w:rFonts w:ascii="Arial" w:hAnsi="Arial" w:cs="Arial"/>
          <w:b/>
          <w:szCs w:val="24"/>
          <w:lang w:val="es-MX"/>
        </w:rPr>
      </w:pPr>
      <w:r>
        <w:rPr>
          <w:rFonts w:ascii="Arial" w:hAnsi="Arial" w:cs="Arial"/>
          <w:b/>
          <w:szCs w:val="24"/>
          <w:lang w:val="es-MX"/>
        </w:rPr>
        <w:t>(</w:t>
      </w:r>
      <w:r w:rsidR="00103E97">
        <w:rPr>
          <w:rFonts w:ascii="Arial" w:hAnsi="Arial" w:cs="Arial"/>
          <w:b/>
          <w:szCs w:val="24"/>
          <w:lang w:val="es-MX"/>
        </w:rPr>
        <w:t>expresado</w:t>
      </w:r>
      <w:r>
        <w:rPr>
          <w:rFonts w:ascii="Arial" w:hAnsi="Arial" w:cs="Arial"/>
          <w:b/>
          <w:szCs w:val="24"/>
          <w:lang w:val="es-MX"/>
        </w:rPr>
        <w:t xml:space="preserve"> </w:t>
      </w:r>
      <w:r w:rsidR="00103E97">
        <w:rPr>
          <w:rFonts w:ascii="Arial" w:hAnsi="Arial" w:cs="Arial"/>
          <w:b/>
          <w:szCs w:val="24"/>
          <w:lang w:val="es-MX"/>
        </w:rPr>
        <w:t>e</w:t>
      </w:r>
      <w:r>
        <w:rPr>
          <w:rFonts w:ascii="Arial" w:hAnsi="Arial" w:cs="Arial"/>
          <w:b/>
          <w:szCs w:val="24"/>
          <w:lang w:val="es-MX"/>
        </w:rPr>
        <w:t>n millones de US$)</w:t>
      </w:r>
    </w:p>
    <w:tbl>
      <w:tblPr>
        <w:tblStyle w:val="TableGrid1"/>
        <w:tblW w:w="9724" w:type="dxa"/>
        <w:jc w:val="right"/>
        <w:tblLook w:val="04A0" w:firstRow="1" w:lastRow="0" w:firstColumn="1" w:lastColumn="0" w:noHBand="0" w:noVBand="1"/>
      </w:tblPr>
      <w:tblGrid>
        <w:gridCol w:w="5589"/>
        <w:gridCol w:w="1350"/>
        <w:gridCol w:w="1350"/>
        <w:gridCol w:w="1435"/>
      </w:tblGrid>
      <w:tr w:rsidR="00860126" w:rsidRPr="004C0753" w14:paraId="3DAE7C31" w14:textId="77777777" w:rsidTr="008C38DE">
        <w:trPr>
          <w:cantSplit/>
          <w:trHeight w:val="404"/>
          <w:jc w:val="right"/>
        </w:trPr>
        <w:tc>
          <w:tcPr>
            <w:tcW w:w="5589" w:type="dxa"/>
            <w:shd w:val="clear" w:color="auto" w:fill="A6A6A6" w:themeFill="background1" w:themeFillShade="A6"/>
            <w:vAlign w:val="center"/>
          </w:tcPr>
          <w:p w14:paraId="7612615B" w14:textId="77777777" w:rsidR="00860126" w:rsidRPr="004C0753" w:rsidRDefault="00860126" w:rsidP="00895676">
            <w:pPr>
              <w:jc w:val="center"/>
              <w:rPr>
                <w:rFonts w:ascii="Arial" w:hAnsi="Arial" w:cs="Arial"/>
                <w:b/>
                <w:sz w:val="20"/>
              </w:rPr>
            </w:pPr>
            <w:r w:rsidRPr="004C0753">
              <w:rPr>
                <w:rFonts w:ascii="Arial" w:hAnsi="Arial" w:cs="Arial"/>
                <w:b/>
                <w:sz w:val="20"/>
              </w:rPr>
              <w:t>Componentes</w:t>
            </w:r>
          </w:p>
        </w:tc>
        <w:tc>
          <w:tcPr>
            <w:tcW w:w="1350" w:type="dxa"/>
            <w:shd w:val="clear" w:color="auto" w:fill="A6A6A6" w:themeFill="background1" w:themeFillShade="A6"/>
            <w:vAlign w:val="center"/>
          </w:tcPr>
          <w:p w14:paraId="3A2DDD0A" w14:textId="77777777" w:rsidR="00860126" w:rsidRPr="004C0753" w:rsidRDefault="00860126" w:rsidP="00895676">
            <w:pPr>
              <w:jc w:val="center"/>
              <w:rPr>
                <w:rFonts w:ascii="Arial" w:hAnsi="Arial" w:cs="Arial"/>
                <w:b/>
                <w:sz w:val="20"/>
              </w:rPr>
            </w:pPr>
            <w:r w:rsidRPr="004C0753">
              <w:rPr>
                <w:rFonts w:ascii="Arial" w:hAnsi="Arial" w:cs="Arial"/>
                <w:b/>
                <w:sz w:val="20"/>
              </w:rPr>
              <w:t>BID</w:t>
            </w:r>
          </w:p>
        </w:tc>
        <w:tc>
          <w:tcPr>
            <w:tcW w:w="1350" w:type="dxa"/>
            <w:shd w:val="clear" w:color="auto" w:fill="A6A6A6" w:themeFill="background1" w:themeFillShade="A6"/>
            <w:vAlign w:val="center"/>
          </w:tcPr>
          <w:p w14:paraId="0C85A193" w14:textId="77777777" w:rsidR="00860126" w:rsidRPr="004C0753" w:rsidRDefault="00860126" w:rsidP="00895676">
            <w:pPr>
              <w:jc w:val="center"/>
              <w:rPr>
                <w:rFonts w:ascii="Arial" w:hAnsi="Arial" w:cs="Arial"/>
                <w:b/>
                <w:sz w:val="20"/>
              </w:rPr>
            </w:pPr>
            <w:r w:rsidRPr="004C0753">
              <w:rPr>
                <w:rFonts w:ascii="Arial" w:hAnsi="Arial" w:cs="Arial"/>
                <w:b/>
                <w:sz w:val="20"/>
              </w:rPr>
              <w:t>CTF</w:t>
            </w:r>
          </w:p>
        </w:tc>
        <w:tc>
          <w:tcPr>
            <w:tcW w:w="1435" w:type="dxa"/>
            <w:shd w:val="clear" w:color="auto" w:fill="A6A6A6" w:themeFill="background1" w:themeFillShade="A6"/>
            <w:vAlign w:val="center"/>
          </w:tcPr>
          <w:p w14:paraId="7D944F2D" w14:textId="77777777" w:rsidR="00860126" w:rsidRPr="004C0753" w:rsidRDefault="00860126" w:rsidP="00895676">
            <w:pPr>
              <w:jc w:val="center"/>
              <w:rPr>
                <w:rFonts w:ascii="Arial" w:hAnsi="Arial" w:cs="Arial"/>
                <w:b/>
                <w:sz w:val="20"/>
              </w:rPr>
            </w:pPr>
            <w:r w:rsidRPr="004C0753">
              <w:rPr>
                <w:rFonts w:ascii="Arial" w:hAnsi="Arial" w:cs="Arial"/>
                <w:b/>
                <w:sz w:val="20"/>
              </w:rPr>
              <w:t>Actual</w:t>
            </w:r>
          </w:p>
        </w:tc>
      </w:tr>
      <w:tr w:rsidR="00860126" w:rsidRPr="004C0753" w14:paraId="3D6E94A0" w14:textId="77777777" w:rsidTr="008C38DE">
        <w:trPr>
          <w:trHeight w:val="440"/>
          <w:jc w:val="right"/>
        </w:trPr>
        <w:tc>
          <w:tcPr>
            <w:tcW w:w="5589" w:type="dxa"/>
            <w:vAlign w:val="center"/>
          </w:tcPr>
          <w:p w14:paraId="69DF2D9A" w14:textId="77777777" w:rsidR="00860126" w:rsidRPr="008C38DE" w:rsidRDefault="00860126" w:rsidP="008C38DE">
            <w:pPr>
              <w:ind w:left="-23"/>
              <w:rPr>
                <w:rFonts w:ascii="Arial" w:hAnsi="Arial" w:cs="Arial"/>
                <w:sz w:val="20"/>
                <w:lang w:val="es-ES_tradnl"/>
              </w:rPr>
            </w:pPr>
            <w:r w:rsidRPr="008C38DE">
              <w:rPr>
                <w:rFonts w:ascii="Arial" w:eastAsia="Arial" w:hAnsi="Arial" w:cs="Arial"/>
                <w:lang w:val="es-ES_tradnl"/>
              </w:rPr>
              <w:t>Componente 1. Mitigación de riesgo exploratorio</w:t>
            </w:r>
          </w:p>
        </w:tc>
        <w:tc>
          <w:tcPr>
            <w:tcW w:w="1350" w:type="dxa"/>
            <w:vAlign w:val="center"/>
          </w:tcPr>
          <w:p w14:paraId="31E569ED" w14:textId="77777777" w:rsidR="00860126" w:rsidRPr="004C0753" w:rsidRDefault="00860126" w:rsidP="00895676">
            <w:pPr>
              <w:jc w:val="center"/>
              <w:rPr>
                <w:rFonts w:ascii="Arial" w:hAnsi="Arial" w:cs="Arial"/>
                <w:sz w:val="20"/>
              </w:rPr>
            </w:pPr>
            <w:r w:rsidRPr="004C0753">
              <w:rPr>
                <w:rFonts w:ascii="Arial" w:hAnsi="Arial" w:cs="Arial"/>
                <w:sz w:val="20"/>
              </w:rPr>
              <w:t>-</w:t>
            </w:r>
          </w:p>
        </w:tc>
        <w:tc>
          <w:tcPr>
            <w:tcW w:w="1350" w:type="dxa"/>
            <w:vAlign w:val="center"/>
          </w:tcPr>
          <w:p w14:paraId="491D820A" w14:textId="77777777" w:rsidR="00860126" w:rsidRPr="004C0753" w:rsidRDefault="00860126" w:rsidP="00895676">
            <w:pPr>
              <w:jc w:val="center"/>
              <w:rPr>
                <w:rFonts w:ascii="Arial" w:hAnsi="Arial" w:cs="Arial"/>
                <w:sz w:val="20"/>
              </w:rPr>
            </w:pPr>
            <w:r w:rsidRPr="004C0753">
              <w:rPr>
                <w:rFonts w:ascii="Arial" w:hAnsi="Arial" w:cs="Arial"/>
                <w:sz w:val="20"/>
              </w:rPr>
              <w:t>51,5</w:t>
            </w:r>
          </w:p>
        </w:tc>
        <w:tc>
          <w:tcPr>
            <w:tcW w:w="1435" w:type="dxa"/>
            <w:vAlign w:val="center"/>
          </w:tcPr>
          <w:p w14:paraId="0C12846A" w14:textId="77777777" w:rsidR="00860126" w:rsidRPr="004C0753" w:rsidRDefault="00860126" w:rsidP="00895676">
            <w:pPr>
              <w:jc w:val="center"/>
              <w:rPr>
                <w:rFonts w:ascii="Arial" w:hAnsi="Arial" w:cs="Arial"/>
                <w:sz w:val="20"/>
              </w:rPr>
            </w:pPr>
            <w:r w:rsidRPr="004C0753">
              <w:rPr>
                <w:rFonts w:ascii="Arial" w:hAnsi="Arial" w:cs="Arial"/>
                <w:sz w:val="20"/>
              </w:rPr>
              <w:t>51,5</w:t>
            </w:r>
          </w:p>
        </w:tc>
      </w:tr>
      <w:tr w:rsidR="00860126" w:rsidRPr="004C0753" w14:paraId="5807E004" w14:textId="77777777" w:rsidTr="008C38DE">
        <w:trPr>
          <w:trHeight w:val="890"/>
          <w:jc w:val="right"/>
        </w:trPr>
        <w:tc>
          <w:tcPr>
            <w:tcW w:w="5589" w:type="dxa"/>
            <w:vAlign w:val="center"/>
          </w:tcPr>
          <w:p w14:paraId="564887DA" w14:textId="77777777" w:rsidR="00860126" w:rsidRPr="008C38DE" w:rsidRDefault="00860126" w:rsidP="00895676">
            <w:pPr>
              <w:rPr>
                <w:rFonts w:ascii="Arial" w:hAnsi="Arial" w:cs="Arial"/>
                <w:sz w:val="20"/>
                <w:lang w:val="es-ES_tradnl"/>
              </w:rPr>
            </w:pPr>
            <w:r w:rsidRPr="008C38DE">
              <w:rPr>
                <w:rFonts w:ascii="Arial" w:eastAsia="Arial" w:hAnsi="Arial" w:cs="Arial"/>
                <w:lang w:val="es-ES_tradnl"/>
              </w:rPr>
              <w:t>Componente 2. Financiamiento para la fase de explotación (incluyendo desarrollo de plantas geotérmicas y líneas de transmisión)</w:t>
            </w:r>
          </w:p>
        </w:tc>
        <w:tc>
          <w:tcPr>
            <w:tcW w:w="1350" w:type="dxa"/>
            <w:vAlign w:val="center"/>
          </w:tcPr>
          <w:p w14:paraId="3790AC35" w14:textId="77777777" w:rsidR="00860126" w:rsidRPr="004C0753" w:rsidRDefault="00860126" w:rsidP="00895676">
            <w:pPr>
              <w:jc w:val="center"/>
              <w:rPr>
                <w:rFonts w:ascii="Arial" w:hAnsi="Arial" w:cs="Arial"/>
                <w:sz w:val="20"/>
              </w:rPr>
            </w:pPr>
            <w:r w:rsidRPr="004C0753">
              <w:rPr>
                <w:rFonts w:ascii="Arial" w:hAnsi="Arial" w:cs="Arial"/>
                <w:sz w:val="20"/>
              </w:rPr>
              <w:t>54,3</w:t>
            </w:r>
          </w:p>
        </w:tc>
        <w:tc>
          <w:tcPr>
            <w:tcW w:w="1350" w:type="dxa"/>
            <w:vAlign w:val="center"/>
          </w:tcPr>
          <w:p w14:paraId="442B4A51" w14:textId="77777777" w:rsidR="00860126" w:rsidRPr="004C0753" w:rsidRDefault="00860126" w:rsidP="00895676">
            <w:pPr>
              <w:jc w:val="center"/>
              <w:rPr>
                <w:rFonts w:ascii="Arial" w:hAnsi="Arial" w:cs="Arial"/>
                <w:sz w:val="20"/>
              </w:rPr>
            </w:pPr>
            <w:r w:rsidRPr="004C0753">
              <w:rPr>
                <w:rFonts w:ascii="Arial" w:hAnsi="Arial" w:cs="Arial"/>
                <w:sz w:val="20"/>
              </w:rPr>
              <w:t>-</w:t>
            </w:r>
          </w:p>
        </w:tc>
        <w:tc>
          <w:tcPr>
            <w:tcW w:w="1435" w:type="dxa"/>
            <w:vAlign w:val="center"/>
          </w:tcPr>
          <w:p w14:paraId="4BCECFD4" w14:textId="77777777" w:rsidR="00860126" w:rsidRPr="004C0753" w:rsidRDefault="00860126" w:rsidP="00895676">
            <w:pPr>
              <w:jc w:val="center"/>
              <w:rPr>
                <w:rFonts w:ascii="Arial" w:hAnsi="Arial" w:cs="Arial"/>
                <w:sz w:val="20"/>
              </w:rPr>
            </w:pPr>
            <w:r w:rsidRPr="004C0753">
              <w:rPr>
                <w:rFonts w:ascii="Arial" w:hAnsi="Arial" w:cs="Arial"/>
                <w:sz w:val="20"/>
              </w:rPr>
              <w:t>54,3</w:t>
            </w:r>
          </w:p>
        </w:tc>
      </w:tr>
      <w:tr w:rsidR="00860126" w:rsidRPr="004C0753" w14:paraId="4C1255F0" w14:textId="77777777" w:rsidTr="008C38DE">
        <w:trPr>
          <w:trHeight w:val="620"/>
          <w:jc w:val="right"/>
        </w:trPr>
        <w:tc>
          <w:tcPr>
            <w:tcW w:w="5589" w:type="dxa"/>
            <w:tcBorders>
              <w:bottom w:val="single" w:sz="4" w:space="0" w:color="auto"/>
            </w:tcBorders>
            <w:vAlign w:val="center"/>
          </w:tcPr>
          <w:p w14:paraId="4129D7CA" w14:textId="77777777" w:rsidR="00860126" w:rsidRPr="008C38DE" w:rsidRDefault="00860126" w:rsidP="00895676">
            <w:pPr>
              <w:rPr>
                <w:rFonts w:ascii="Arial" w:hAnsi="Arial" w:cs="Arial"/>
                <w:sz w:val="20"/>
                <w:lang w:val="es-ES_tradnl"/>
              </w:rPr>
            </w:pPr>
            <w:r w:rsidRPr="008C38DE">
              <w:rPr>
                <w:rFonts w:ascii="Arial" w:eastAsia="Arial" w:hAnsi="Arial" w:cs="Arial"/>
                <w:lang w:val="es-ES_tradnl"/>
              </w:rPr>
              <w:t>Componente 3. Asistencia técnica de apoyo para la ejecución del programa y otros costos</w:t>
            </w:r>
          </w:p>
        </w:tc>
        <w:tc>
          <w:tcPr>
            <w:tcW w:w="1350" w:type="dxa"/>
            <w:tcBorders>
              <w:bottom w:val="single" w:sz="4" w:space="0" w:color="auto"/>
            </w:tcBorders>
            <w:vAlign w:val="center"/>
          </w:tcPr>
          <w:p w14:paraId="7D482E28" w14:textId="77777777" w:rsidR="00860126" w:rsidRPr="004C0753" w:rsidRDefault="00860126" w:rsidP="00895676">
            <w:pPr>
              <w:jc w:val="center"/>
              <w:rPr>
                <w:rFonts w:ascii="Arial" w:hAnsi="Arial" w:cs="Arial"/>
                <w:sz w:val="20"/>
              </w:rPr>
            </w:pPr>
            <w:r w:rsidRPr="004C0753">
              <w:rPr>
                <w:rFonts w:ascii="Arial" w:hAnsi="Arial" w:cs="Arial"/>
                <w:sz w:val="20"/>
              </w:rPr>
              <w:t>-</w:t>
            </w:r>
          </w:p>
        </w:tc>
        <w:tc>
          <w:tcPr>
            <w:tcW w:w="1350" w:type="dxa"/>
            <w:tcBorders>
              <w:bottom w:val="single" w:sz="4" w:space="0" w:color="auto"/>
            </w:tcBorders>
            <w:vAlign w:val="center"/>
          </w:tcPr>
          <w:p w14:paraId="551FA333" w14:textId="77777777" w:rsidR="00860126" w:rsidRPr="004C0753" w:rsidRDefault="00860126" w:rsidP="00895676">
            <w:pPr>
              <w:jc w:val="center"/>
              <w:rPr>
                <w:rFonts w:ascii="Arial" w:hAnsi="Arial" w:cs="Arial"/>
                <w:sz w:val="20"/>
              </w:rPr>
            </w:pPr>
            <w:r w:rsidRPr="004C0753">
              <w:rPr>
                <w:rFonts w:ascii="Arial" w:hAnsi="Arial" w:cs="Arial"/>
                <w:sz w:val="20"/>
              </w:rPr>
              <w:t>2,8</w:t>
            </w:r>
          </w:p>
        </w:tc>
        <w:tc>
          <w:tcPr>
            <w:tcW w:w="1435" w:type="dxa"/>
            <w:tcBorders>
              <w:bottom w:val="single" w:sz="4" w:space="0" w:color="auto"/>
            </w:tcBorders>
            <w:vAlign w:val="center"/>
          </w:tcPr>
          <w:p w14:paraId="39C4C04E" w14:textId="77777777" w:rsidR="00860126" w:rsidRPr="004C0753" w:rsidRDefault="00860126" w:rsidP="00895676">
            <w:pPr>
              <w:jc w:val="center"/>
              <w:rPr>
                <w:rFonts w:ascii="Arial" w:hAnsi="Arial" w:cs="Arial"/>
                <w:sz w:val="20"/>
              </w:rPr>
            </w:pPr>
            <w:r w:rsidRPr="004C0753">
              <w:rPr>
                <w:rFonts w:ascii="Arial" w:hAnsi="Arial" w:cs="Arial"/>
                <w:sz w:val="20"/>
              </w:rPr>
              <w:t>2,8</w:t>
            </w:r>
          </w:p>
        </w:tc>
      </w:tr>
      <w:tr w:rsidR="00860126" w:rsidRPr="004C0753" w14:paraId="539D88C2" w14:textId="77777777" w:rsidTr="008C38DE">
        <w:trPr>
          <w:trHeight w:val="350"/>
          <w:jc w:val="right"/>
        </w:trPr>
        <w:tc>
          <w:tcPr>
            <w:tcW w:w="5589" w:type="dxa"/>
            <w:shd w:val="pct35" w:color="auto" w:fill="auto"/>
            <w:vAlign w:val="center"/>
          </w:tcPr>
          <w:p w14:paraId="7677BDB6" w14:textId="77777777" w:rsidR="00860126" w:rsidRPr="004C0753" w:rsidRDefault="00860126" w:rsidP="00895676">
            <w:pPr>
              <w:jc w:val="both"/>
              <w:rPr>
                <w:rFonts w:ascii="Arial" w:hAnsi="Arial" w:cs="Arial"/>
                <w:b/>
                <w:sz w:val="20"/>
              </w:rPr>
            </w:pPr>
            <w:r w:rsidRPr="004C0753">
              <w:rPr>
                <w:rFonts w:ascii="Arial" w:hAnsi="Arial" w:cs="Arial"/>
                <w:b/>
                <w:sz w:val="20"/>
              </w:rPr>
              <w:t>Total</w:t>
            </w:r>
          </w:p>
        </w:tc>
        <w:tc>
          <w:tcPr>
            <w:tcW w:w="1350" w:type="dxa"/>
            <w:shd w:val="pct35" w:color="auto" w:fill="auto"/>
            <w:vAlign w:val="center"/>
          </w:tcPr>
          <w:p w14:paraId="6AB5F40A" w14:textId="77777777" w:rsidR="00860126" w:rsidRPr="004C0753" w:rsidRDefault="00860126" w:rsidP="00895676">
            <w:pPr>
              <w:jc w:val="center"/>
              <w:rPr>
                <w:rFonts w:ascii="Arial" w:hAnsi="Arial" w:cs="Arial"/>
                <w:b/>
                <w:sz w:val="20"/>
              </w:rPr>
            </w:pPr>
            <w:r w:rsidRPr="004C0753">
              <w:rPr>
                <w:rFonts w:ascii="Arial" w:hAnsi="Arial" w:cs="Arial"/>
                <w:b/>
                <w:sz w:val="20"/>
              </w:rPr>
              <w:t>54,3</w:t>
            </w:r>
          </w:p>
        </w:tc>
        <w:tc>
          <w:tcPr>
            <w:tcW w:w="1350" w:type="dxa"/>
            <w:shd w:val="pct35" w:color="auto" w:fill="auto"/>
            <w:vAlign w:val="center"/>
          </w:tcPr>
          <w:p w14:paraId="61600676" w14:textId="77777777" w:rsidR="00860126" w:rsidRPr="004C0753" w:rsidRDefault="00860126" w:rsidP="00895676">
            <w:pPr>
              <w:jc w:val="center"/>
              <w:rPr>
                <w:rFonts w:ascii="Arial" w:hAnsi="Arial" w:cs="Arial"/>
                <w:b/>
                <w:sz w:val="20"/>
              </w:rPr>
            </w:pPr>
            <w:r w:rsidRPr="004C0753">
              <w:rPr>
                <w:rFonts w:ascii="Arial" w:hAnsi="Arial" w:cs="Arial"/>
                <w:b/>
                <w:sz w:val="20"/>
              </w:rPr>
              <w:t>54,3</w:t>
            </w:r>
          </w:p>
        </w:tc>
        <w:tc>
          <w:tcPr>
            <w:tcW w:w="1435" w:type="dxa"/>
            <w:shd w:val="pct35" w:color="auto" w:fill="auto"/>
            <w:vAlign w:val="center"/>
          </w:tcPr>
          <w:p w14:paraId="3BE4CD1C" w14:textId="77777777" w:rsidR="00860126" w:rsidRPr="004C0753" w:rsidRDefault="00860126" w:rsidP="00895676">
            <w:pPr>
              <w:jc w:val="center"/>
              <w:rPr>
                <w:rFonts w:ascii="Arial" w:hAnsi="Arial" w:cs="Arial"/>
                <w:b/>
                <w:sz w:val="20"/>
              </w:rPr>
            </w:pPr>
            <w:r w:rsidRPr="004C0753">
              <w:rPr>
                <w:rFonts w:ascii="Arial" w:hAnsi="Arial" w:cs="Arial"/>
                <w:b/>
                <w:sz w:val="20"/>
              </w:rPr>
              <w:t>108,6</w:t>
            </w:r>
          </w:p>
        </w:tc>
      </w:tr>
    </w:tbl>
    <w:p w14:paraId="0A8D0C18" w14:textId="4F1ADE0A" w:rsidR="00286733" w:rsidRPr="000A37CF" w:rsidRDefault="00AE541F" w:rsidP="000A37CF">
      <w:bookmarkStart w:id="36" w:name="_Toc198027183"/>
      <w:bookmarkStart w:id="37" w:name="_Toc197782551"/>
      <w:bookmarkStart w:id="38" w:name="_Toc198025790"/>
      <w:bookmarkStart w:id="39" w:name="_Toc205191257"/>
      <w:bookmarkStart w:id="40" w:name="_Toc207082502"/>
      <w:bookmarkStart w:id="41" w:name="_Toc240434722"/>
      <w:bookmarkStart w:id="42" w:name="_Toc321244852"/>
      <w:bookmarkEnd w:id="36"/>
      <w:r>
        <w:rPr>
          <w:rFonts w:eastAsia="Calibri"/>
          <w:lang w:val="es-ES"/>
        </w:rPr>
        <w:t>* El Gobierno</w:t>
      </w:r>
      <w:r w:rsidRPr="005D2831">
        <w:rPr>
          <w:rFonts w:eastAsia="Calibri"/>
          <w:lang w:val="es-ES"/>
        </w:rPr>
        <w:t xml:space="preserve"> de México ha asignado recursos presupuestarios para financiar actividades complementarias e independientes a las financiadas por el Programa, los que se contabilizarán como financiamiento paralelo del Programa.</w:t>
      </w:r>
    </w:p>
    <w:p w14:paraId="6015B5AE" w14:textId="77777777" w:rsidR="00230812" w:rsidRPr="00A9618E" w:rsidRDefault="00A25BCD" w:rsidP="00286733">
      <w:pPr>
        <w:pStyle w:val="Heading3"/>
        <w:tabs>
          <w:tab w:val="clear" w:pos="1800"/>
          <w:tab w:val="num" w:pos="720"/>
        </w:tabs>
        <w:ind w:left="0"/>
        <w:rPr>
          <w:b/>
          <w:sz w:val="32"/>
        </w:rPr>
      </w:pPr>
      <w:bookmarkStart w:id="43" w:name="_Toc450149553"/>
      <w:r w:rsidRPr="00A9618E">
        <w:rPr>
          <w:b/>
          <w:sz w:val="32"/>
        </w:rPr>
        <w:lastRenderedPageBreak/>
        <w:t>Descripción</w:t>
      </w:r>
      <w:r w:rsidR="00230812" w:rsidRPr="00A9618E">
        <w:rPr>
          <w:b/>
          <w:sz w:val="32"/>
        </w:rPr>
        <w:t xml:space="preserve"> de Recursos</w:t>
      </w:r>
      <w:bookmarkEnd w:id="37"/>
      <w:bookmarkEnd w:id="38"/>
      <w:bookmarkEnd w:id="39"/>
      <w:bookmarkEnd w:id="40"/>
      <w:bookmarkEnd w:id="41"/>
      <w:bookmarkEnd w:id="42"/>
      <w:bookmarkEnd w:id="43"/>
    </w:p>
    <w:p w14:paraId="3BE7C08F" w14:textId="77777777" w:rsidR="008A08DA" w:rsidRDefault="003A3326" w:rsidP="002F68B9">
      <w:pPr>
        <w:pStyle w:val="Paragraph"/>
        <w:numPr>
          <w:ilvl w:val="0"/>
          <w:numId w:val="0"/>
        </w:numPr>
        <w:spacing w:line="360" w:lineRule="auto"/>
        <w:ind w:left="709" w:hanging="709"/>
        <w:outlineLvl w:val="9"/>
        <w:rPr>
          <w:rFonts w:ascii="Arial" w:hAnsi="Arial" w:cs="Arial"/>
          <w:szCs w:val="24"/>
          <w:lang w:val="es-MX"/>
        </w:rPr>
      </w:pPr>
      <w:bookmarkStart w:id="44" w:name="_Toc321244853"/>
      <w:r w:rsidRPr="009B6628">
        <w:rPr>
          <w:rFonts w:ascii="Arial" w:hAnsi="Arial" w:cs="Arial"/>
          <w:szCs w:val="24"/>
          <w:lang w:val="es-MX"/>
        </w:rPr>
        <w:t>4</w:t>
      </w:r>
      <w:r w:rsidR="00BB5FF9" w:rsidRPr="00AC647E">
        <w:rPr>
          <w:rFonts w:ascii="Arial" w:hAnsi="Arial" w:cs="Arial"/>
          <w:szCs w:val="24"/>
          <w:lang w:val="es-MX"/>
        </w:rPr>
        <w:t>.</w:t>
      </w:r>
      <w:r w:rsidR="00BB5FF9" w:rsidRPr="000A5119">
        <w:rPr>
          <w:rFonts w:ascii="Arial" w:hAnsi="Arial" w:cs="Arial"/>
          <w:szCs w:val="24"/>
          <w:lang w:val="es-MX"/>
        </w:rPr>
        <w:t xml:space="preserve">1 </w:t>
      </w:r>
      <w:r w:rsidR="00BB5FF9" w:rsidRPr="000A5119">
        <w:rPr>
          <w:rFonts w:ascii="Arial" w:hAnsi="Arial" w:cs="Arial"/>
          <w:szCs w:val="24"/>
          <w:lang w:val="es-MX"/>
        </w:rPr>
        <w:tab/>
      </w:r>
      <w:r w:rsidR="00230812" w:rsidRPr="000A5119">
        <w:rPr>
          <w:rFonts w:ascii="Arial" w:hAnsi="Arial" w:cs="Arial"/>
          <w:szCs w:val="24"/>
          <w:lang w:val="es-MX"/>
        </w:rPr>
        <w:t xml:space="preserve">Los </w:t>
      </w:r>
      <w:r w:rsidRPr="00B14A67">
        <w:rPr>
          <w:rFonts w:ascii="Arial" w:hAnsi="Arial" w:cs="Arial"/>
          <w:szCs w:val="24"/>
          <w:lang w:val="es-MX"/>
        </w:rPr>
        <w:t>R</w:t>
      </w:r>
      <w:r w:rsidR="00230812" w:rsidRPr="00B14A67">
        <w:rPr>
          <w:rFonts w:ascii="Arial" w:hAnsi="Arial" w:cs="Arial"/>
          <w:szCs w:val="24"/>
          <w:lang w:val="es-MX"/>
        </w:rPr>
        <w:t xml:space="preserve">ecursos </w:t>
      </w:r>
      <w:r w:rsidR="00BB5FF9" w:rsidRPr="00B14A67">
        <w:rPr>
          <w:rFonts w:ascii="Arial" w:hAnsi="Arial" w:cs="Arial"/>
          <w:szCs w:val="24"/>
          <w:lang w:val="es-MX"/>
        </w:rPr>
        <w:t xml:space="preserve">del </w:t>
      </w:r>
      <w:r w:rsidR="00743CAA" w:rsidRPr="000A5119">
        <w:rPr>
          <w:rFonts w:ascii="Arial" w:hAnsi="Arial" w:cs="Arial"/>
          <w:szCs w:val="24"/>
          <w:lang w:val="es-MX"/>
        </w:rPr>
        <w:t>PFTRG</w:t>
      </w:r>
      <w:r w:rsidR="00BB5FF9" w:rsidRPr="000A5119">
        <w:rPr>
          <w:rFonts w:ascii="Arial" w:hAnsi="Arial" w:cs="Arial"/>
          <w:szCs w:val="24"/>
          <w:lang w:val="es-MX"/>
        </w:rPr>
        <w:t xml:space="preserve"> se utilizarán </w:t>
      </w:r>
      <w:r w:rsidR="00D05411" w:rsidRPr="00B14A67">
        <w:rPr>
          <w:rFonts w:ascii="Arial" w:hAnsi="Arial" w:cs="Arial"/>
          <w:szCs w:val="24"/>
          <w:lang w:val="es-MX"/>
        </w:rPr>
        <w:t xml:space="preserve">para fondear </w:t>
      </w:r>
      <w:r w:rsidR="00230812" w:rsidRPr="00B14A67">
        <w:rPr>
          <w:rFonts w:ascii="Arial" w:hAnsi="Arial" w:cs="Arial"/>
          <w:szCs w:val="24"/>
          <w:lang w:val="es-MX"/>
        </w:rPr>
        <w:t>el otorgamiento de</w:t>
      </w:r>
      <w:r w:rsidR="00CA0814" w:rsidRPr="00B14A67">
        <w:rPr>
          <w:rFonts w:ascii="Arial" w:hAnsi="Arial" w:cs="Arial"/>
          <w:szCs w:val="24"/>
          <w:lang w:val="es-MX"/>
        </w:rPr>
        <w:t>:</w:t>
      </w:r>
      <w:bookmarkEnd w:id="44"/>
    </w:p>
    <w:p w14:paraId="44D2FA73" w14:textId="23263064" w:rsidR="00B9637E" w:rsidRDefault="00293459" w:rsidP="000A37CF">
      <w:pPr>
        <w:pStyle w:val="Paragraph"/>
        <w:numPr>
          <w:ilvl w:val="0"/>
          <w:numId w:val="25"/>
        </w:numPr>
        <w:ind w:left="1530" w:hanging="450"/>
        <w:outlineLvl w:val="9"/>
        <w:rPr>
          <w:rFonts w:ascii="Arial" w:hAnsi="Arial" w:cs="Arial"/>
          <w:szCs w:val="24"/>
          <w:lang w:val="es-MX"/>
        </w:rPr>
      </w:pPr>
      <w:r w:rsidRPr="008C38DE">
        <w:rPr>
          <w:rFonts w:ascii="Arial" w:hAnsi="Arial" w:cs="Arial"/>
          <w:b/>
          <w:szCs w:val="24"/>
          <w:lang w:val="es-MX"/>
        </w:rPr>
        <w:t>Crédito Exploratorio</w:t>
      </w:r>
      <w:r w:rsidR="00CD1FC1" w:rsidRPr="008C38DE">
        <w:rPr>
          <w:rFonts w:ascii="Arial" w:hAnsi="Arial" w:cs="Arial"/>
          <w:b/>
          <w:szCs w:val="24"/>
          <w:lang w:val="es-MX"/>
        </w:rPr>
        <w:t>:</w:t>
      </w:r>
      <w:r w:rsidR="00693DFA" w:rsidRPr="004416DE">
        <w:rPr>
          <w:rFonts w:ascii="Arial" w:hAnsi="Arial" w:cs="Arial"/>
          <w:szCs w:val="24"/>
          <w:lang w:val="es-MX"/>
        </w:rPr>
        <w:t xml:space="preserve"> NAFIN</w:t>
      </w:r>
      <w:r w:rsidR="004D1B84" w:rsidRPr="004D1B84">
        <w:rPr>
          <w:rFonts w:ascii="Arial" w:hAnsi="Arial" w:cs="Arial"/>
          <w:szCs w:val="24"/>
          <w:lang w:val="es-MX"/>
        </w:rPr>
        <w:t xml:space="preserve"> otorgara créditos a los desarrolladores</w:t>
      </w:r>
      <w:r w:rsidR="004D1B84">
        <w:rPr>
          <w:rStyle w:val="FootnoteReference"/>
          <w:rFonts w:ascii="Arial" w:hAnsi="Arial" w:cs="Arial"/>
          <w:szCs w:val="24"/>
          <w:lang w:val="es-MX"/>
        </w:rPr>
        <w:footnoteReference w:id="1"/>
      </w:r>
      <w:r w:rsidR="004D1B84" w:rsidRPr="004D1B84">
        <w:rPr>
          <w:rFonts w:ascii="Arial" w:hAnsi="Arial" w:cs="Arial"/>
          <w:szCs w:val="24"/>
          <w:lang w:val="es-MX"/>
        </w:rPr>
        <w:t xml:space="preserve">  privados geotérmicos en la modalidad de reembolso contingente. Asimismo, NAFIN, con el apoyo del INEEL, contratará los servicios de perforación los cuales se pondrán a disposición de los desarrolladores. En caso de que la perforación no sea exitosa (una vez confirmado por un certificador independiente), los recursos de financiamiento serán tratados como una donación no reembolsable.</w:t>
      </w:r>
    </w:p>
    <w:p w14:paraId="58EC1D47" w14:textId="77777777" w:rsidR="0015186F" w:rsidRDefault="00512BA8" w:rsidP="000A37CF">
      <w:pPr>
        <w:pStyle w:val="Paragraph"/>
        <w:numPr>
          <w:ilvl w:val="0"/>
          <w:numId w:val="0"/>
        </w:numPr>
        <w:ind w:left="1560"/>
        <w:outlineLvl w:val="9"/>
        <w:rPr>
          <w:rFonts w:ascii="Arial" w:hAnsi="Arial" w:cs="Arial"/>
          <w:szCs w:val="24"/>
          <w:lang w:val="es-MX"/>
        </w:rPr>
      </w:pPr>
      <w:r>
        <w:rPr>
          <w:rFonts w:ascii="Arial" w:hAnsi="Arial" w:cs="Arial"/>
          <w:szCs w:val="24"/>
          <w:lang w:val="es-MX"/>
        </w:rPr>
        <w:t>E</w:t>
      </w:r>
      <w:r w:rsidRPr="00512BA8">
        <w:rPr>
          <w:rFonts w:ascii="Arial" w:hAnsi="Arial" w:cs="Arial"/>
          <w:szCs w:val="24"/>
          <w:lang w:val="es-MX"/>
        </w:rPr>
        <w:t>n caso de que la perforación de pozos sea exitosa</w:t>
      </w:r>
      <w:r w:rsidRPr="00512BA8">
        <w:rPr>
          <w:rFonts w:ascii="Arial" w:hAnsi="Arial" w:cs="Arial"/>
          <w:szCs w:val="24"/>
          <w:vertAlign w:val="superscript"/>
          <w:lang w:val="en-US"/>
        </w:rPr>
        <w:footnoteReference w:id="2"/>
      </w:r>
      <w:r w:rsidRPr="00512BA8">
        <w:rPr>
          <w:rFonts w:ascii="Arial" w:hAnsi="Arial" w:cs="Arial"/>
          <w:szCs w:val="24"/>
          <w:lang w:val="es-MX"/>
        </w:rPr>
        <w:t xml:space="preserve"> y siempre que la energía eléctrica que se produzca a partir del recurso probado en los pozos pueda ser vendida a precios competitivos en el mercado eléctrico mexicano, el financiamiento otorgado será tratada como un préstamo concesional (con una tasa de interés</w:t>
      </w:r>
      <w:r w:rsidRPr="00512BA8">
        <w:rPr>
          <w:rFonts w:ascii="Arial" w:hAnsi="Arial" w:cs="Arial"/>
          <w:szCs w:val="24"/>
          <w:vertAlign w:val="superscript"/>
          <w:lang w:val="en-US"/>
        </w:rPr>
        <w:footnoteReference w:id="3"/>
      </w:r>
      <w:r w:rsidRPr="00512BA8">
        <w:rPr>
          <w:rFonts w:ascii="Arial" w:hAnsi="Arial" w:cs="Arial"/>
          <w:szCs w:val="24"/>
          <w:lang w:val="es-MX"/>
        </w:rPr>
        <w:t xml:space="preserve"> no mayor al 2.25% por parte de NAFIN a los desarrolladores) y los desarrolladores geotérmicos privados adjudicados/ganadores, repagarán el préstamo concesional una vez que la planta esté operando (5 años después de que el recurso geotérmico es categorizado como probado). Una vez que los recursos han sido repagados a NAFIN, esta puede reutilizar estos recursos revolventes nuevamente para financiar otros desarrollos geotérmicos bajo la misma modalidad antes descrita.</w:t>
      </w:r>
    </w:p>
    <w:p w14:paraId="6CDEF912" w14:textId="2E8E063F" w:rsidR="00B36E7E" w:rsidRDefault="00293459" w:rsidP="008C38DE">
      <w:pPr>
        <w:pStyle w:val="Paragraph"/>
        <w:numPr>
          <w:ilvl w:val="0"/>
          <w:numId w:val="25"/>
        </w:numPr>
        <w:ind w:left="1530" w:hanging="450"/>
        <w:outlineLvl w:val="9"/>
        <w:rPr>
          <w:rFonts w:ascii="Arial" w:hAnsi="Arial" w:cs="Arial"/>
          <w:szCs w:val="24"/>
          <w:lang w:val="es-MX"/>
        </w:rPr>
      </w:pPr>
      <w:r w:rsidRPr="008C38DE">
        <w:rPr>
          <w:rFonts w:ascii="Arial" w:hAnsi="Arial" w:cs="Arial"/>
          <w:b/>
          <w:szCs w:val="24"/>
          <w:lang w:val="es-MX"/>
        </w:rPr>
        <w:t>Cr</w:t>
      </w:r>
      <w:r w:rsidR="00F354F0" w:rsidRPr="008C38DE">
        <w:rPr>
          <w:rFonts w:ascii="Arial" w:hAnsi="Arial" w:cs="Arial"/>
          <w:b/>
          <w:szCs w:val="24"/>
          <w:lang w:val="es-MX"/>
        </w:rPr>
        <w:t>édito de Desarrollo</w:t>
      </w:r>
      <w:r w:rsidR="0015186F" w:rsidRPr="008C38DE">
        <w:rPr>
          <w:rFonts w:ascii="Arial" w:hAnsi="Arial" w:cs="Arial"/>
          <w:b/>
          <w:szCs w:val="24"/>
          <w:lang w:val="es-MX"/>
        </w:rPr>
        <w:t>:</w:t>
      </w:r>
      <w:r w:rsidRPr="00512BA8">
        <w:rPr>
          <w:rFonts w:ascii="Arial" w:hAnsi="Arial" w:cs="Arial"/>
          <w:szCs w:val="24"/>
          <w:lang w:val="es-MX"/>
        </w:rPr>
        <w:t xml:space="preserve"> </w:t>
      </w:r>
      <w:r w:rsidR="007E51EB" w:rsidRPr="00512BA8">
        <w:rPr>
          <w:rFonts w:ascii="Arial" w:hAnsi="Arial" w:cs="Arial"/>
          <w:szCs w:val="24"/>
          <w:lang w:val="es-MX"/>
        </w:rPr>
        <w:t xml:space="preserve">NAFIN utilizará los recursos del capital ordinario del Banco </w:t>
      </w:r>
      <w:r w:rsidR="00512BA8" w:rsidRPr="00512BA8">
        <w:rPr>
          <w:rFonts w:ascii="Arial" w:hAnsi="Arial" w:cs="Arial"/>
          <w:szCs w:val="24"/>
          <w:lang w:val="es-MX"/>
        </w:rPr>
        <w:t>para proveer créditos a los desarrolladores geotérmicos para la construcción de plantas de generación geotérmicas, las subestaciones y líneas de transmisión asociadas. Para poder acceder a estos recursos, los desarrollares tendrán que demostrar la factibilidad del recurso geotérmico</w:t>
      </w:r>
      <w:r w:rsidR="00512BA8">
        <w:rPr>
          <w:rFonts w:ascii="Arial" w:hAnsi="Arial" w:cs="Arial"/>
          <w:szCs w:val="24"/>
          <w:lang w:val="es-MX"/>
        </w:rPr>
        <w:t xml:space="preserve">. Además, estos recursos </w:t>
      </w:r>
      <w:r w:rsidR="00512BA8" w:rsidRPr="00512BA8">
        <w:rPr>
          <w:rFonts w:ascii="Arial" w:hAnsi="Arial" w:cs="Arial"/>
          <w:szCs w:val="24"/>
          <w:lang w:val="es-MX"/>
        </w:rPr>
        <w:t>podrá</w:t>
      </w:r>
      <w:r w:rsidR="00512BA8">
        <w:rPr>
          <w:rFonts w:ascii="Arial" w:hAnsi="Arial" w:cs="Arial"/>
          <w:szCs w:val="24"/>
          <w:lang w:val="es-MX"/>
        </w:rPr>
        <w:t>n</w:t>
      </w:r>
      <w:r w:rsidR="00512BA8" w:rsidRPr="00512BA8">
        <w:rPr>
          <w:rFonts w:ascii="Arial" w:hAnsi="Arial" w:cs="Arial"/>
          <w:szCs w:val="24"/>
          <w:lang w:val="es-MX"/>
        </w:rPr>
        <w:t xml:space="preserve"> financiar plantas nuevas o ampliaciones de plantas geotérmicas existentes, líneas de transmisión nuevas o extensiones de la línea de trasmisión asociadas al proyecto geotérmico. Estos recursos permitirán reducir el costo de financiamiento de la planta de generación geotérmica, lo cual también hace al proyecto más competitivo</w:t>
      </w:r>
      <w:r w:rsidR="0015186F">
        <w:rPr>
          <w:rFonts w:ascii="Arial" w:hAnsi="Arial" w:cs="Arial"/>
          <w:szCs w:val="24"/>
          <w:lang w:val="es-MX"/>
        </w:rPr>
        <w:t>.</w:t>
      </w:r>
    </w:p>
    <w:p w14:paraId="41062BF0" w14:textId="77777777" w:rsidR="00057A52" w:rsidRPr="00512BA8" w:rsidRDefault="00057A52" w:rsidP="000A37CF">
      <w:pPr>
        <w:pStyle w:val="Paragraph"/>
        <w:numPr>
          <w:ilvl w:val="0"/>
          <w:numId w:val="0"/>
        </w:numPr>
        <w:ind w:left="1560"/>
        <w:outlineLvl w:val="9"/>
        <w:rPr>
          <w:rFonts w:ascii="Arial" w:hAnsi="Arial" w:cs="Arial"/>
          <w:szCs w:val="24"/>
          <w:lang w:val="es-MX"/>
        </w:rPr>
      </w:pPr>
    </w:p>
    <w:p w14:paraId="24D06E88" w14:textId="77777777" w:rsidR="00A158A1" w:rsidRDefault="00AC228F" w:rsidP="000A37CF">
      <w:pPr>
        <w:pStyle w:val="Paragraph"/>
        <w:numPr>
          <w:ilvl w:val="0"/>
          <w:numId w:val="0"/>
        </w:numPr>
        <w:ind w:left="709" w:hanging="709"/>
        <w:outlineLvl w:val="9"/>
        <w:rPr>
          <w:rFonts w:ascii="Arial" w:hAnsi="Arial" w:cs="Arial"/>
          <w:szCs w:val="24"/>
          <w:lang w:val="es-MX"/>
        </w:rPr>
      </w:pPr>
      <w:bookmarkStart w:id="45" w:name="_Toc321244859"/>
      <w:r w:rsidRPr="00E53752">
        <w:rPr>
          <w:rFonts w:ascii="Arial" w:hAnsi="Arial" w:cs="Arial"/>
          <w:szCs w:val="24"/>
          <w:lang w:val="es-MX"/>
        </w:rPr>
        <w:t>4.2</w:t>
      </w:r>
      <w:r w:rsidRPr="00E53752">
        <w:rPr>
          <w:rFonts w:ascii="Arial" w:hAnsi="Arial" w:cs="Arial"/>
          <w:szCs w:val="24"/>
          <w:lang w:val="es-MX"/>
        </w:rPr>
        <w:tab/>
      </w:r>
      <w:r w:rsidR="00A158A1" w:rsidRPr="00E53752">
        <w:rPr>
          <w:rFonts w:ascii="Arial" w:hAnsi="Arial" w:cs="Arial"/>
          <w:szCs w:val="24"/>
          <w:lang w:val="es-MX"/>
        </w:rPr>
        <w:t xml:space="preserve">El </w:t>
      </w:r>
      <w:r w:rsidR="00743CAA" w:rsidRPr="00E53752">
        <w:rPr>
          <w:rFonts w:ascii="Arial" w:hAnsi="Arial" w:cs="Arial"/>
          <w:szCs w:val="24"/>
          <w:lang w:val="es-MX"/>
        </w:rPr>
        <w:t>PFTRG</w:t>
      </w:r>
      <w:r w:rsidR="00A158A1" w:rsidRPr="00E53752">
        <w:rPr>
          <w:rFonts w:ascii="Arial" w:hAnsi="Arial" w:cs="Arial"/>
          <w:szCs w:val="24"/>
          <w:lang w:val="es-MX"/>
        </w:rPr>
        <w:t xml:space="preserve"> considera la actuación de NAFIN, como banca de primer </w:t>
      </w:r>
      <w:r w:rsidR="00B7471C" w:rsidRPr="00E53752">
        <w:rPr>
          <w:rFonts w:ascii="Arial" w:hAnsi="Arial" w:cs="Arial"/>
          <w:szCs w:val="24"/>
          <w:lang w:val="es-MX"/>
        </w:rPr>
        <w:t>y</w:t>
      </w:r>
      <w:r w:rsidR="00A158A1" w:rsidRPr="00A25BCD">
        <w:rPr>
          <w:rFonts w:ascii="Arial" w:hAnsi="Arial" w:cs="Arial"/>
          <w:szCs w:val="24"/>
          <w:lang w:val="es-MX"/>
        </w:rPr>
        <w:t xml:space="preserve"> segundo piso, de acuerdo con lo que el </w:t>
      </w:r>
      <w:r w:rsidR="00D3539E" w:rsidRPr="00A25BCD">
        <w:rPr>
          <w:rFonts w:ascii="Arial" w:hAnsi="Arial" w:cs="Arial"/>
          <w:szCs w:val="24"/>
          <w:lang w:val="es-MX"/>
        </w:rPr>
        <w:t>mercado</w:t>
      </w:r>
      <w:r w:rsidR="00A158A1" w:rsidRPr="00A25BCD">
        <w:rPr>
          <w:rFonts w:ascii="Arial" w:hAnsi="Arial" w:cs="Arial"/>
          <w:szCs w:val="24"/>
          <w:lang w:val="es-MX"/>
        </w:rPr>
        <w:t xml:space="preserve"> demande</w:t>
      </w:r>
      <w:r w:rsidR="0026599D" w:rsidRPr="00A25BCD">
        <w:rPr>
          <w:rFonts w:ascii="Arial" w:hAnsi="Arial" w:cs="Arial"/>
          <w:szCs w:val="24"/>
          <w:lang w:val="es-MX"/>
        </w:rPr>
        <w:t xml:space="preserve"> y a su Sistema Normativo de Crédito</w:t>
      </w:r>
      <w:r w:rsidR="00A158A1" w:rsidRPr="00A25BCD">
        <w:rPr>
          <w:rFonts w:ascii="Arial" w:hAnsi="Arial" w:cs="Arial"/>
          <w:szCs w:val="24"/>
          <w:lang w:val="es-MX"/>
        </w:rPr>
        <w:t>.</w:t>
      </w:r>
      <w:bookmarkEnd w:id="45"/>
    </w:p>
    <w:p w14:paraId="6B2D10CD" w14:textId="77777777" w:rsidR="002F2D5F" w:rsidRDefault="00A158A1" w:rsidP="000A37CF">
      <w:pPr>
        <w:pStyle w:val="Paragraph"/>
        <w:numPr>
          <w:ilvl w:val="0"/>
          <w:numId w:val="0"/>
        </w:numPr>
        <w:tabs>
          <w:tab w:val="left" w:pos="0"/>
          <w:tab w:val="left" w:pos="284"/>
        </w:tabs>
        <w:ind w:left="709" w:hanging="709"/>
        <w:outlineLvl w:val="9"/>
        <w:rPr>
          <w:rFonts w:ascii="Arial" w:hAnsi="Arial" w:cs="Arial"/>
          <w:szCs w:val="24"/>
          <w:lang w:val="es-MX"/>
        </w:rPr>
      </w:pPr>
      <w:bookmarkStart w:id="46" w:name="_Toc321244860"/>
      <w:r w:rsidRPr="00D17E81">
        <w:rPr>
          <w:rFonts w:ascii="Arial" w:hAnsi="Arial" w:cs="Arial"/>
          <w:szCs w:val="24"/>
          <w:lang w:val="es-MX"/>
        </w:rPr>
        <w:t>4.3</w:t>
      </w:r>
      <w:r w:rsidR="0076056C" w:rsidRPr="00D17E81">
        <w:rPr>
          <w:rFonts w:ascii="Arial" w:hAnsi="Arial" w:cs="Arial"/>
          <w:szCs w:val="24"/>
          <w:lang w:val="es-MX"/>
        </w:rPr>
        <w:t xml:space="preserve"> </w:t>
      </w:r>
      <w:r w:rsidR="0076056C" w:rsidRPr="00D17E81">
        <w:rPr>
          <w:rFonts w:ascii="Arial" w:hAnsi="Arial" w:cs="Arial"/>
          <w:szCs w:val="24"/>
          <w:lang w:val="es-MX"/>
        </w:rPr>
        <w:tab/>
      </w:r>
      <w:bookmarkStart w:id="47" w:name="_Toc321244861"/>
      <w:bookmarkEnd w:id="46"/>
      <w:r w:rsidR="00112D84" w:rsidRPr="00D17E81">
        <w:rPr>
          <w:rFonts w:ascii="Arial" w:hAnsi="Arial" w:cs="Arial"/>
          <w:szCs w:val="24"/>
          <w:lang w:val="es-MX"/>
        </w:rPr>
        <w:t xml:space="preserve">El destino </w:t>
      </w:r>
      <w:r w:rsidR="00D3539E" w:rsidRPr="00D17E81">
        <w:rPr>
          <w:rFonts w:ascii="Arial" w:hAnsi="Arial" w:cs="Arial"/>
          <w:szCs w:val="24"/>
          <w:lang w:val="es-MX"/>
        </w:rPr>
        <w:t>de los créditos</w:t>
      </w:r>
      <w:r w:rsidR="00112D84" w:rsidRPr="00D17E81">
        <w:rPr>
          <w:rFonts w:ascii="Arial" w:hAnsi="Arial" w:cs="Arial"/>
          <w:szCs w:val="24"/>
          <w:lang w:val="es-MX"/>
        </w:rPr>
        <w:t xml:space="preserve"> </w:t>
      </w:r>
      <w:r w:rsidR="00B7471C" w:rsidRPr="00D17E81">
        <w:rPr>
          <w:rFonts w:ascii="Arial" w:hAnsi="Arial" w:cs="Arial"/>
          <w:szCs w:val="24"/>
          <w:lang w:val="es-MX"/>
        </w:rPr>
        <w:t xml:space="preserve">a proyectos </w:t>
      </w:r>
      <w:r w:rsidR="00112D84" w:rsidRPr="00D17E81">
        <w:rPr>
          <w:rFonts w:ascii="Arial" w:hAnsi="Arial" w:cs="Arial"/>
          <w:szCs w:val="24"/>
          <w:lang w:val="es-MX"/>
        </w:rPr>
        <w:t xml:space="preserve">que son elegibles de financiamiento en el </w:t>
      </w:r>
      <w:r w:rsidR="00743CAA" w:rsidRPr="00D17E81">
        <w:rPr>
          <w:rFonts w:ascii="Arial" w:hAnsi="Arial" w:cs="Arial"/>
          <w:szCs w:val="24"/>
          <w:lang w:val="es-MX"/>
        </w:rPr>
        <w:t>PFTRG</w:t>
      </w:r>
      <w:r w:rsidR="00112D84" w:rsidRPr="00D17E81">
        <w:rPr>
          <w:rFonts w:ascii="Arial" w:hAnsi="Arial" w:cs="Arial"/>
          <w:szCs w:val="24"/>
          <w:lang w:val="es-MX"/>
        </w:rPr>
        <w:t xml:space="preserve"> </w:t>
      </w:r>
      <w:r w:rsidR="001052EB" w:rsidRPr="00D17E81">
        <w:rPr>
          <w:rFonts w:ascii="Arial" w:hAnsi="Arial" w:cs="Arial"/>
          <w:szCs w:val="24"/>
          <w:lang w:val="es-MX"/>
        </w:rPr>
        <w:t xml:space="preserve">es </w:t>
      </w:r>
      <w:r w:rsidR="002F2D5F" w:rsidRPr="00D17E81">
        <w:rPr>
          <w:rFonts w:ascii="Arial" w:hAnsi="Arial" w:cs="Arial"/>
          <w:szCs w:val="24"/>
          <w:lang w:val="es-MX"/>
        </w:rPr>
        <w:t>para aumentar la producción de energía a partir de fuentes geotérmicas, para contribuir a la diversificación de la matriz energética y reducir la dependencia de los combustibles fósiles y las emisiones de GEI en México</w:t>
      </w:r>
      <w:r w:rsidR="002F2D5F" w:rsidRPr="008E245E">
        <w:rPr>
          <w:rFonts w:ascii="Arial" w:hAnsi="Arial" w:cs="Arial"/>
          <w:szCs w:val="24"/>
          <w:lang w:val="es-MX"/>
        </w:rPr>
        <w:t xml:space="preserve">. </w:t>
      </w:r>
    </w:p>
    <w:p w14:paraId="3AEA678F" w14:textId="77777777" w:rsidR="00A25BCD" w:rsidRDefault="008E245E" w:rsidP="000A37CF">
      <w:pPr>
        <w:pStyle w:val="Paragraph"/>
        <w:numPr>
          <w:ilvl w:val="0"/>
          <w:numId w:val="0"/>
        </w:numPr>
        <w:ind w:left="709" w:hanging="709"/>
        <w:outlineLvl w:val="9"/>
        <w:rPr>
          <w:rFonts w:ascii="Arial" w:hAnsi="Arial" w:cs="Arial"/>
          <w:szCs w:val="24"/>
          <w:lang w:val="es-MX"/>
        </w:rPr>
      </w:pPr>
      <w:r w:rsidRPr="008E245E">
        <w:rPr>
          <w:rFonts w:ascii="Arial" w:hAnsi="Arial" w:cs="Arial"/>
          <w:szCs w:val="24"/>
          <w:lang w:val="es-MX"/>
        </w:rPr>
        <w:t xml:space="preserve">4.4 </w:t>
      </w:r>
      <w:r w:rsidRPr="008E245E">
        <w:rPr>
          <w:rFonts w:ascii="Arial" w:hAnsi="Arial" w:cs="Arial"/>
          <w:szCs w:val="24"/>
          <w:lang w:val="es-MX"/>
        </w:rPr>
        <w:tab/>
      </w:r>
      <w:r w:rsidR="002F2D5F" w:rsidRPr="008E245E">
        <w:rPr>
          <w:rFonts w:ascii="Arial" w:hAnsi="Arial" w:cs="Arial"/>
          <w:szCs w:val="24"/>
          <w:lang w:val="es-MX"/>
        </w:rPr>
        <w:tab/>
        <w:t>Esto incluirá mecanismos de mitigación de riesgo, así como diversas formas de financiamiento para las fases de exploración, perforación, desarrollo de campo, construcción y operación de proyectos de energía geotérmica.</w:t>
      </w:r>
      <w:r w:rsidR="00C7296E" w:rsidRPr="00D17E81">
        <w:rPr>
          <w:rFonts w:ascii="Arial" w:hAnsi="Arial" w:cs="Arial"/>
          <w:szCs w:val="24"/>
          <w:lang w:val="es-MX"/>
        </w:rPr>
        <w:t xml:space="preserve"> </w:t>
      </w:r>
      <w:bookmarkStart w:id="48" w:name="_Toc321244865"/>
      <w:bookmarkEnd w:id="47"/>
    </w:p>
    <w:p w14:paraId="4D939FC2" w14:textId="77777777" w:rsidR="00A25BCD" w:rsidRDefault="002F4923" w:rsidP="000A37CF">
      <w:pPr>
        <w:pStyle w:val="Paragraph"/>
        <w:numPr>
          <w:ilvl w:val="0"/>
          <w:numId w:val="0"/>
        </w:numPr>
        <w:ind w:left="709" w:hanging="709"/>
        <w:outlineLvl w:val="9"/>
        <w:rPr>
          <w:rFonts w:ascii="Arial" w:hAnsi="Arial" w:cs="Arial"/>
          <w:i/>
          <w:szCs w:val="24"/>
          <w:lang w:val="es-MX"/>
        </w:rPr>
      </w:pPr>
      <w:r w:rsidRPr="008E245E">
        <w:rPr>
          <w:rFonts w:ascii="Arial" w:hAnsi="Arial" w:cs="Arial"/>
          <w:szCs w:val="24"/>
          <w:lang w:val="es-MX"/>
        </w:rPr>
        <w:t>4.5</w:t>
      </w:r>
      <w:r w:rsidRPr="008E245E">
        <w:rPr>
          <w:rFonts w:ascii="Arial" w:hAnsi="Arial" w:cs="Arial"/>
          <w:szCs w:val="24"/>
          <w:lang w:val="es-MX"/>
        </w:rPr>
        <w:tab/>
        <w:t xml:space="preserve">La </w:t>
      </w:r>
      <w:r w:rsidR="00B7471C" w:rsidRPr="008E245E">
        <w:rPr>
          <w:rFonts w:ascii="Arial" w:hAnsi="Arial" w:cs="Arial"/>
          <w:szCs w:val="24"/>
          <w:lang w:val="es-MX"/>
        </w:rPr>
        <w:t xml:space="preserve">asignación de los recursos </w:t>
      </w:r>
      <w:r w:rsidR="00EA26BC" w:rsidRPr="008E245E">
        <w:rPr>
          <w:rFonts w:ascii="Arial" w:hAnsi="Arial" w:cs="Arial"/>
          <w:szCs w:val="24"/>
          <w:lang w:val="es-MX"/>
        </w:rPr>
        <w:t xml:space="preserve">a los proyectos elegibles de </w:t>
      </w:r>
      <w:r w:rsidRPr="008E245E">
        <w:rPr>
          <w:rFonts w:ascii="Arial" w:hAnsi="Arial" w:cs="Arial"/>
          <w:szCs w:val="24"/>
          <w:lang w:val="es-MX"/>
        </w:rPr>
        <w:t xml:space="preserve">financiamiento, se </w:t>
      </w:r>
      <w:r w:rsidR="00EA26BC" w:rsidRPr="00D17E81">
        <w:rPr>
          <w:rFonts w:ascii="Arial" w:hAnsi="Arial" w:cs="Arial"/>
          <w:szCs w:val="24"/>
          <w:lang w:val="es-MX"/>
        </w:rPr>
        <w:t xml:space="preserve">llevará a cabo </w:t>
      </w:r>
      <w:r w:rsidRPr="00D17E81">
        <w:rPr>
          <w:rFonts w:ascii="Arial" w:hAnsi="Arial" w:cs="Arial"/>
          <w:szCs w:val="24"/>
          <w:lang w:val="es-MX"/>
        </w:rPr>
        <w:t xml:space="preserve">en función de la práctica de </w:t>
      </w:r>
      <w:r w:rsidRPr="00D17E81">
        <w:rPr>
          <w:rFonts w:ascii="Arial" w:hAnsi="Arial" w:cs="Arial"/>
          <w:i/>
          <w:szCs w:val="24"/>
          <w:lang w:val="es-MX"/>
        </w:rPr>
        <w:t>“Primero en tiempo, primero en derecho”.</w:t>
      </w:r>
      <w:bookmarkStart w:id="49" w:name="_Toc197782552"/>
      <w:bookmarkStart w:id="50" w:name="_Toc198025791"/>
      <w:bookmarkStart w:id="51" w:name="_Toc205191258"/>
      <w:bookmarkStart w:id="52" w:name="_Toc207082503"/>
      <w:bookmarkStart w:id="53" w:name="_Toc240434723"/>
      <w:bookmarkEnd w:id="48"/>
    </w:p>
    <w:p w14:paraId="3364A1E8" w14:textId="1992615A" w:rsidR="00292D1F" w:rsidRPr="00A25BCD" w:rsidRDefault="000637B3" w:rsidP="000A37CF">
      <w:pPr>
        <w:pStyle w:val="Paragraph"/>
        <w:numPr>
          <w:ilvl w:val="0"/>
          <w:numId w:val="0"/>
        </w:numPr>
        <w:ind w:left="709" w:hanging="709"/>
        <w:outlineLvl w:val="9"/>
        <w:rPr>
          <w:rFonts w:ascii="Arial" w:hAnsi="Arial" w:cs="Arial"/>
          <w:szCs w:val="24"/>
          <w:lang w:val="es-MX"/>
        </w:rPr>
      </w:pPr>
      <w:r w:rsidRPr="00E72C93">
        <w:rPr>
          <w:rFonts w:ascii="Arial" w:hAnsi="Arial" w:cs="Arial"/>
          <w:szCs w:val="24"/>
        </w:rPr>
        <w:t>4.</w:t>
      </w:r>
      <w:r w:rsidR="00A25BCD">
        <w:rPr>
          <w:rFonts w:ascii="Arial" w:hAnsi="Arial" w:cs="Arial"/>
          <w:szCs w:val="24"/>
        </w:rPr>
        <w:t>6</w:t>
      </w:r>
      <w:r w:rsidRPr="00E72C93">
        <w:rPr>
          <w:rFonts w:ascii="Arial" w:hAnsi="Arial" w:cs="Arial"/>
          <w:szCs w:val="24"/>
        </w:rPr>
        <w:tab/>
      </w:r>
      <w:r w:rsidR="00015629" w:rsidRPr="00015629">
        <w:rPr>
          <w:rFonts w:ascii="Arial" w:hAnsi="Arial" w:cs="Arial"/>
          <w:szCs w:val="24"/>
          <w:lang w:val="es-MX"/>
        </w:rPr>
        <w:t xml:space="preserve">El crédito </w:t>
      </w:r>
      <w:r w:rsidR="00693C63">
        <w:rPr>
          <w:rFonts w:ascii="Arial" w:hAnsi="Arial" w:cs="Arial"/>
          <w:szCs w:val="24"/>
          <w:lang w:val="es-MX"/>
        </w:rPr>
        <w:t xml:space="preserve">de mitigación de riesgo </w:t>
      </w:r>
      <w:r w:rsidR="00015629" w:rsidRPr="00015629">
        <w:rPr>
          <w:rFonts w:ascii="Arial" w:hAnsi="Arial" w:cs="Arial"/>
          <w:szCs w:val="24"/>
          <w:lang w:val="es-MX"/>
        </w:rPr>
        <w:t>exploratorio, estará garantizado hasta el 100% con recursos provenientes de</w:t>
      </w:r>
      <w:r w:rsidR="00693C63">
        <w:rPr>
          <w:rFonts w:ascii="Arial" w:hAnsi="Arial" w:cs="Arial"/>
          <w:szCs w:val="24"/>
          <w:lang w:val="es-MX"/>
        </w:rPr>
        <w:t xml:space="preserve"> la donación de recursos contingentes</w:t>
      </w:r>
      <w:r w:rsidR="00015629" w:rsidRPr="00015629">
        <w:rPr>
          <w:rFonts w:ascii="Arial" w:hAnsi="Arial" w:cs="Arial"/>
          <w:szCs w:val="24"/>
          <w:lang w:val="es-MX"/>
        </w:rPr>
        <w:t xml:space="preserve"> </w:t>
      </w:r>
      <w:r w:rsidR="00693C63">
        <w:rPr>
          <w:rFonts w:ascii="Arial" w:hAnsi="Arial" w:cs="Arial"/>
          <w:szCs w:val="24"/>
          <w:lang w:val="es-MX"/>
        </w:rPr>
        <w:t xml:space="preserve">- </w:t>
      </w:r>
      <w:r w:rsidR="00015629" w:rsidRPr="00015629">
        <w:rPr>
          <w:rFonts w:ascii="Arial" w:hAnsi="Arial" w:cs="Arial"/>
          <w:szCs w:val="24"/>
          <w:lang w:val="es-MX"/>
        </w:rPr>
        <w:t>Convenio de Financiamiento No Reembolsable con Recuperación Contingente (GRT/TC-14424-ME CTF/BID)</w:t>
      </w:r>
      <w:r w:rsidR="00693C63">
        <w:rPr>
          <w:rFonts w:ascii="Arial" w:hAnsi="Arial" w:cs="Arial"/>
          <w:szCs w:val="24"/>
          <w:lang w:val="es-MX"/>
        </w:rPr>
        <w:t xml:space="preserve"> de US$51.1 millones.</w:t>
      </w:r>
      <w:r w:rsidR="00693C63" w:rsidRPr="00015629" w:rsidDel="00693C63">
        <w:rPr>
          <w:rFonts w:ascii="Arial" w:hAnsi="Arial" w:cs="Arial"/>
          <w:szCs w:val="24"/>
          <w:lang w:val="es-MX"/>
        </w:rPr>
        <w:t xml:space="preserve"> </w:t>
      </w:r>
    </w:p>
    <w:p w14:paraId="36A3FF3F" w14:textId="77777777" w:rsidR="00693C63" w:rsidRDefault="000637B3" w:rsidP="000A37CF">
      <w:pPr>
        <w:pStyle w:val="Paragraph"/>
        <w:numPr>
          <w:ilvl w:val="0"/>
          <w:numId w:val="0"/>
        </w:numPr>
        <w:ind w:left="709" w:hanging="709"/>
        <w:outlineLvl w:val="9"/>
        <w:rPr>
          <w:rFonts w:ascii="Arial" w:hAnsi="Arial" w:cs="Arial"/>
          <w:szCs w:val="24"/>
        </w:rPr>
      </w:pPr>
      <w:r w:rsidRPr="00285444">
        <w:rPr>
          <w:rFonts w:ascii="Arial" w:hAnsi="Arial" w:cs="Arial"/>
          <w:szCs w:val="24"/>
        </w:rPr>
        <w:t>4.</w:t>
      </w:r>
      <w:r w:rsidR="00A25BCD">
        <w:rPr>
          <w:rFonts w:ascii="Arial" w:hAnsi="Arial" w:cs="Arial"/>
          <w:szCs w:val="24"/>
        </w:rPr>
        <w:t>7</w:t>
      </w:r>
      <w:r w:rsidR="000E3F0A" w:rsidRPr="00285444">
        <w:rPr>
          <w:rFonts w:ascii="Arial" w:hAnsi="Arial" w:cs="Arial"/>
          <w:szCs w:val="24"/>
        </w:rPr>
        <w:tab/>
      </w:r>
      <w:r w:rsidRPr="00285444">
        <w:rPr>
          <w:rFonts w:ascii="Arial" w:hAnsi="Arial" w:cs="Arial"/>
          <w:szCs w:val="24"/>
        </w:rPr>
        <w:t xml:space="preserve">El financiamiento de los proyectos </w:t>
      </w:r>
      <w:r w:rsidR="004177DA" w:rsidRPr="00285444">
        <w:rPr>
          <w:rFonts w:ascii="Arial" w:hAnsi="Arial" w:cs="Arial"/>
          <w:szCs w:val="24"/>
        </w:rPr>
        <w:t xml:space="preserve">de acuerdo con el párrafo anterior, </w:t>
      </w:r>
      <w:r w:rsidRPr="00285444">
        <w:rPr>
          <w:rFonts w:ascii="Arial" w:hAnsi="Arial" w:cs="Arial"/>
          <w:szCs w:val="24"/>
        </w:rPr>
        <w:t xml:space="preserve">se realizará </w:t>
      </w:r>
      <w:r w:rsidR="00CD7EAE" w:rsidRPr="00285444">
        <w:rPr>
          <w:rFonts w:ascii="Arial" w:hAnsi="Arial" w:cs="Arial"/>
          <w:szCs w:val="24"/>
        </w:rPr>
        <w:t>con recursos del CTF</w:t>
      </w:r>
      <w:r w:rsidR="00D7651E">
        <w:rPr>
          <w:rFonts w:ascii="Arial" w:hAnsi="Arial" w:cs="Arial"/>
          <w:szCs w:val="24"/>
        </w:rPr>
        <w:t>,</w:t>
      </w:r>
      <w:r w:rsidR="00CD7EAE" w:rsidRPr="00285444">
        <w:rPr>
          <w:rFonts w:ascii="Arial" w:hAnsi="Arial" w:cs="Arial"/>
          <w:szCs w:val="24"/>
        </w:rPr>
        <w:t xml:space="preserve"> BID</w:t>
      </w:r>
      <w:r w:rsidR="00D7651E">
        <w:rPr>
          <w:rFonts w:ascii="Arial" w:hAnsi="Arial" w:cs="Arial"/>
          <w:szCs w:val="24"/>
        </w:rPr>
        <w:t xml:space="preserve"> y NAFIN</w:t>
      </w:r>
      <w:r w:rsidRPr="00285444">
        <w:rPr>
          <w:rFonts w:ascii="Arial" w:hAnsi="Arial" w:cs="Arial"/>
          <w:szCs w:val="24"/>
        </w:rPr>
        <w:t xml:space="preserve">, con una tasa de interés que reflejará el promedio de sus costos, incluidos </w:t>
      </w:r>
      <w:r w:rsidR="000E3F0A" w:rsidRPr="00285444">
        <w:rPr>
          <w:rFonts w:ascii="Arial" w:hAnsi="Arial" w:cs="Arial"/>
          <w:szCs w:val="24"/>
        </w:rPr>
        <w:t xml:space="preserve">los de </w:t>
      </w:r>
      <w:r w:rsidRPr="00285444">
        <w:rPr>
          <w:rFonts w:ascii="Arial" w:hAnsi="Arial" w:cs="Arial"/>
          <w:szCs w:val="24"/>
        </w:rPr>
        <w:t>su administración</w:t>
      </w:r>
    </w:p>
    <w:p w14:paraId="4C83F60B" w14:textId="77777777" w:rsidR="0064412E" w:rsidRDefault="00693C63" w:rsidP="000A37CF">
      <w:pPr>
        <w:pStyle w:val="Paragraph"/>
        <w:numPr>
          <w:ilvl w:val="0"/>
          <w:numId w:val="0"/>
        </w:numPr>
        <w:ind w:left="709" w:hanging="709"/>
        <w:outlineLvl w:val="9"/>
        <w:rPr>
          <w:rFonts w:ascii="Arial" w:hAnsi="Arial" w:cs="Arial"/>
          <w:szCs w:val="24"/>
        </w:rPr>
      </w:pPr>
      <w:r>
        <w:rPr>
          <w:rFonts w:ascii="Arial" w:hAnsi="Arial" w:cs="Arial"/>
          <w:szCs w:val="24"/>
        </w:rPr>
        <w:t>4.8</w:t>
      </w:r>
      <w:r>
        <w:rPr>
          <w:rFonts w:ascii="Arial" w:hAnsi="Arial" w:cs="Arial"/>
          <w:szCs w:val="24"/>
        </w:rPr>
        <w:tab/>
        <w:t>Como se observa en la Figura 1, el Programa cuenta con tres fuentes de financiamiento</w:t>
      </w:r>
      <w:r w:rsidR="00CE013D">
        <w:rPr>
          <w:rFonts w:ascii="Arial" w:hAnsi="Arial" w:cs="Arial"/>
          <w:szCs w:val="24"/>
        </w:rPr>
        <w:t>:</w:t>
      </w:r>
    </w:p>
    <w:p w14:paraId="7D82DBE2" w14:textId="5BEB9B06" w:rsidR="00DA75CC" w:rsidRPr="000A37CF" w:rsidRDefault="00DA75CC" w:rsidP="000A37CF">
      <w:pPr>
        <w:pStyle w:val="ListParagraph"/>
        <w:numPr>
          <w:ilvl w:val="0"/>
          <w:numId w:val="57"/>
        </w:numPr>
        <w:autoSpaceDE w:val="0"/>
        <w:autoSpaceDN w:val="0"/>
        <w:adjustRightInd w:val="0"/>
        <w:spacing w:before="120" w:after="120" w:line="259" w:lineRule="auto"/>
        <w:contextualSpacing/>
        <w:jc w:val="both"/>
        <w:rPr>
          <w:rFonts w:ascii="Arial" w:hAnsi="Arial" w:cs="Arial"/>
        </w:rPr>
      </w:pPr>
      <w:r w:rsidRPr="000A37CF">
        <w:rPr>
          <w:rFonts w:ascii="Arial" w:hAnsi="Arial" w:cs="Arial"/>
        </w:rPr>
        <w:t xml:space="preserve">Recursos del CTF, los cuales serán destinados a la fase de exploración, mediante el </w:t>
      </w:r>
      <w:r w:rsidR="00D55282">
        <w:rPr>
          <w:rFonts w:ascii="Arial" w:hAnsi="Arial" w:cs="Arial"/>
        </w:rPr>
        <w:t>G</w:t>
      </w:r>
      <w:r w:rsidRPr="000A37CF">
        <w:rPr>
          <w:rFonts w:ascii="Arial" w:hAnsi="Arial" w:cs="Arial"/>
        </w:rPr>
        <w:t xml:space="preserve">rant </w:t>
      </w:r>
      <w:r w:rsidR="00D55282">
        <w:rPr>
          <w:rFonts w:ascii="Arial" w:hAnsi="Arial" w:cs="Arial"/>
        </w:rPr>
        <w:t>C</w:t>
      </w:r>
      <w:r w:rsidRPr="000A37CF">
        <w:rPr>
          <w:rFonts w:ascii="Arial" w:hAnsi="Arial" w:cs="Arial"/>
        </w:rPr>
        <w:t>ontingente.</w:t>
      </w:r>
    </w:p>
    <w:p w14:paraId="203A6FC7" w14:textId="77777777" w:rsidR="00DA75CC" w:rsidRPr="000A37CF" w:rsidRDefault="00DA75CC" w:rsidP="000A37CF">
      <w:pPr>
        <w:pStyle w:val="ListParagraph"/>
        <w:numPr>
          <w:ilvl w:val="0"/>
          <w:numId w:val="57"/>
        </w:numPr>
        <w:autoSpaceDE w:val="0"/>
        <w:autoSpaceDN w:val="0"/>
        <w:adjustRightInd w:val="0"/>
        <w:spacing w:before="120" w:after="120" w:line="259" w:lineRule="auto"/>
        <w:contextualSpacing/>
        <w:jc w:val="both"/>
        <w:rPr>
          <w:rFonts w:ascii="Arial" w:hAnsi="Arial" w:cs="Arial"/>
        </w:rPr>
      </w:pPr>
      <w:r w:rsidRPr="000A37CF">
        <w:rPr>
          <w:rFonts w:ascii="Arial" w:hAnsi="Arial" w:cs="Arial"/>
        </w:rPr>
        <w:t>Recursos del BID, los cuales se abocarán al financiamiento, de bajo costo, requerido para la construcción de la planta geotermoeléctrica y de las líneas de transmisión.</w:t>
      </w:r>
    </w:p>
    <w:p w14:paraId="7CDEF6BD" w14:textId="77777777" w:rsidR="00DA75CC" w:rsidRPr="000A37CF" w:rsidRDefault="00DA75CC" w:rsidP="000A37CF">
      <w:pPr>
        <w:pStyle w:val="ListParagraph"/>
        <w:numPr>
          <w:ilvl w:val="0"/>
          <w:numId w:val="57"/>
        </w:numPr>
        <w:autoSpaceDE w:val="0"/>
        <w:autoSpaceDN w:val="0"/>
        <w:adjustRightInd w:val="0"/>
        <w:spacing w:before="120" w:after="120" w:line="259" w:lineRule="auto"/>
        <w:contextualSpacing/>
        <w:jc w:val="both"/>
        <w:rPr>
          <w:rFonts w:ascii="Arial" w:hAnsi="Arial" w:cs="Arial"/>
        </w:rPr>
      </w:pPr>
      <w:r w:rsidRPr="000A37CF">
        <w:rPr>
          <w:rFonts w:ascii="Arial" w:hAnsi="Arial" w:cs="Arial"/>
        </w:rPr>
        <w:t>Recursos del FOTEASE, reservados al pago de comisiones de apertura y de crédito y administración.</w:t>
      </w:r>
    </w:p>
    <w:p w14:paraId="10AC9B83" w14:textId="77777777" w:rsidR="00693C63" w:rsidRDefault="00693C63" w:rsidP="008D1C16">
      <w:pPr>
        <w:tabs>
          <w:tab w:val="left" w:pos="709"/>
        </w:tabs>
        <w:ind w:left="706" w:hanging="706"/>
        <w:jc w:val="both"/>
        <w:rPr>
          <w:rFonts w:ascii="Arial" w:hAnsi="Arial" w:cs="Arial"/>
          <w:sz w:val="24"/>
          <w:szCs w:val="24"/>
        </w:rPr>
      </w:pPr>
    </w:p>
    <w:p w14:paraId="3F312FF6" w14:textId="77777777" w:rsidR="00693C63" w:rsidRPr="000A37CF" w:rsidRDefault="00693C63" w:rsidP="000A37CF">
      <w:pPr>
        <w:tabs>
          <w:tab w:val="left" w:pos="709"/>
        </w:tabs>
        <w:ind w:left="706" w:hanging="706"/>
        <w:jc w:val="center"/>
        <w:rPr>
          <w:rFonts w:ascii="Arial" w:hAnsi="Arial" w:cs="Arial"/>
          <w:b/>
          <w:sz w:val="24"/>
          <w:szCs w:val="24"/>
        </w:rPr>
      </w:pPr>
      <w:r w:rsidRPr="000A37CF">
        <w:rPr>
          <w:rFonts w:ascii="Arial" w:hAnsi="Arial" w:cs="Arial"/>
          <w:b/>
          <w:sz w:val="24"/>
          <w:szCs w:val="24"/>
        </w:rPr>
        <w:t>Figura 1. Esquema del PFTRG.</w:t>
      </w:r>
    </w:p>
    <w:p w14:paraId="5D09D43F" w14:textId="78A727F7" w:rsidR="00693C63" w:rsidRDefault="00693C63" w:rsidP="000A37CF">
      <w:pPr>
        <w:tabs>
          <w:tab w:val="left" w:pos="709"/>
        </w:tabs>
        <w:ind w:left="706" w:hanging="706"/>
        <w:jc w:val="center"/>
        <w:rPr>
          <w:rFonts w:ascii="Arial" w:hAnsi="Arial" w:cs="Arial"/>
          <w:sz w:val="24"/>
          <w:szCs w:val="24"/>
        </w:rPr>
      </w:pPr>
    </w:p>
    <w:p w14:paraId="06D223FC" w14:textId="4AFE5F00" w:rsidR="00CD1FC1" w:rsidRDefault="00CD1FC1" w:rsidP="000A37CF">
      <w:pPr>
        <w:tabs>
          <w:tab w:val="left" w:pos="709"/>
        </w:tabs>
        <w:ind w:left="706" w:hanging="706"/>
        <w:jc w:val="center"/>
        <w:rPr>
          <w:rFonts w:ascii="Arial" w:hAnsi="Arial" w:cs="Arial"/>
          <w:sz w:val="24"/>
          <w:szCs w:val="24"/>
        </w:rPr>
      </w:pPr>
      <w:r>
        <w:rPr>
          <w:rFonts w:ascii="Arial" w:hAnsi="Arial" w:cs="Arial"/>
          <w:noProof/>
          <w:sz w:val="24"/>
          <w:szCs w:val="24"/>
        </w:rPr>
        <w:lastRenderedPageBreak/>
        <w:drawing>
          <wp:inline distT="0" distB="0" distL="0" distR="0" wp14:anchorId="190F81D6" wp14:editId="4E989217">
            <wp:extent cx="4986338" cy="2861083"/>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00509" cy="2869214"/>
                    </a:xfrm>
                    <a:prstGeom prst="rect">
                      <a:avLst/>
                    </a:prstGeom>
                    <a:noFill/>
                  </pic:spPr>
                </pic:pic>
              </a:graphicData>
            </a:graphic>
          </wp:inline>
        </w:drawing>
      </w:r>
    </w:p>
    <w:p w14:paraId="3F0E6B82" w14:textId="77777777" w:rsidR="00CD1FC1" w:rsidRPr="004C0753" w:rsidRDefault="00CD1FC1" w:rsidP="00CD1FC1">
      <w:pPr>
        <w:pStyle w:val="subpar"/>
        <w:numPr>
          <w:ilvl w:val="2"/>
          <w:numId w:val="75"/>
        </w:numPr>
        <w:tabs>
          <w:tab w:val="clear" w:pos="2304"/>
          <w:tab w:val="num" w:pos="1170"/>
        </w:tabs>
        <w:spacing w:before="0" w:after="0"/>
        <w:ind w:left="1612" w:hanging="712"/>
        <w:rPr>
          <w:rFonts w:eastAsia="Arial"/>
          <w:sz w:val="16"/>
          <w:szCs w:val="16"/>
        </w:rPr>
      </w:pPr>
      <w:r w:rsidRPr="004C0753">
        <w:rPr>
          <w:rFonts w:eastAsia="Arial"/>
          <w:sz w:val="16"/>
          <w:szCs w:val="16"/>
        </w:rPr>
        <w:t>Financiamiento otorgado por NAFIN al desarrollador para la construcción de la planta geotérmica.</w:t>
      </w:r>
    </w:p>
    <w:p w14:paraId="273F3E2F" w14:textId="77777777" w:rsidR="00CD1FC1" w:rsidRPr="004C0753" w:rsidRDefault="00CD1FC1" w:rsidP="00CD1FC1">
      <w:pPr>
        <w:pStyle w:val="subpar"/>
        <w:numPr>
          <w:ilvl w:val="2"/>
          <w:numId w:val="75"/>
        </w:numPr>
        <w:tabs>
          <w:tab w:val="clear" w:pos="2304"/>
          <w:tab w:val="num" w:pos="1170"/>
        </w:tabs>
        <w:spacing w:before="0" w:after="0"/>
        <w:ind w:left="1170" w:right="540" w:hanging="270"/>
        <w:rPr>
          <w:rFonts w:eastAsia="Arial"/>
          <w:sz w:val="16"/>
          <w:szCs w:val="16"/>
        </w:rPr>
      </w:pPr>
      <w:r w:rsidRPr="004C0753">
        <w:rPr>
          <w:rFonts w:eastAsia="Arial"/>
          <w:sz w:val="16"/>
          <w:szCs w:val="16"/>
        </w:rPr>
        <w:t>Una vez puesta en operación la plata geotérmica y venta eléctrica, el desarrollador realiza repago del financiamiento.</w:t>
      </w:r>
    </w:p>
    <w:p w14:paraId="525C7A6F" w14:textId="77777777" w:rsidR="00CD1FC1" w:rsidRDefault="00CD1FC1" w:rsidP="000A37CF">
      <w:pPr>
        <w:tabs>
          <w:tab w:val="left" w:pos="709"/>
        </w:tabs>
        <w:ind w:left="706" w:hanging="706"/>
        <w:jc w:val="center"/>
        <w:rPr>
          <w:rFonts w:ascii="Arial" w:hAnsi="Arial" w:cs="Arial"/>
          <w:sz w:val="24"/>
          <w:szCs w:val="24"/>
        </w:rPr>
      </w:pPr>
    </w:p>
    <w:p w14:paraId="5D205398" w14:textId="77777777" w:rsidR="00693C63" w:rsidRDefault="00693C63" w:rsidP="008D1C16">
      <w:pPr>
        <w:tabs>
          <w:tab w:val="left" w:pos="709"/>
        </w:tabs>
        <w:ind w:left="706" w:hanging="706"/>
        <w:jc w:val="both"/>
        <w:rPr>
          <w:rFonts w:ascii="Arial" w:hAnsi="Arial" w:cs="Arial"/>
          <w:sz w:val="24"/>
          <w:szCs w:val="24"/>
        </w:rPr>
      </w:pPr>
    </w:p>
    <w:p w14:paraId="3C33DED6" w14:textId="77777777" w:rsidR="00482312" w:rsidRPr="00A9618E" w:rsidRDefault="00BC7BB4" w:rsidP="000A37CF">
      <w:pPr>
        <w:pStyle w:val="Heading3"/>
        <w:tabs>
          <w:tab w:val="clear" w:pos="1800"/>
          <w:tab w:val="num" w:pos="720"/>
        </w:tabs>
        <w:spacing w:after="240"/>
        <w:ind w:left="0"/>
        <w:rPr>
          <w:b/>
          <w:sz w:val="32"/>
        </w:rPr>
      </w:pPr>
      <w:bookmarkStart w:id="54" w:name="_Toc450149554"/>
      <w:r w:rsidRPr="00A9618E">
        <w:rPr>
          <w:b/>
          <w:sz w:val="32"/>
        </w:rPr>
        <w:t xml:space="preserve">La </w:t>
      </w:r>
      <w:r w:rsidR="00693C63">
        <w:rPr>
          <w:b/>
          <w:sz w:val="32"/>
        </w:rPr>
        <w:t xml:space="preserve">Recuperación </w:t>
      </w:r>
      <w:r>
        <w:rPr>
          <w:b/>
          <w:sz w:val="32"/>
        </w:rPr>
        <w:t>Contingente GRT/TC</w:t>
      </w:r>
      <w:r w:rsidRPr="00A9618E">
        <w:rPr>
          <w:b/>
          <w:sz w:val="32"/>
        </w:rPr>
        <w:t>-14424-M</w:t>
      </w:r>
      <w:r>
        <w:rPr>
          <w:b/>
          <w:sz w:val="32"/>
        </w:rPr>
        <w:t>E</w:t>
      </w:r>
      <w:bookmarkEnd w:id="54"/>
    </w:p>
    <w:p w14:paraId="2CF891CF" w14:textId="77777777" w:rsidR="00292D1F" w:rsidRDefault="00145DBA" w:rsidP="000A37CF">
      <w:pPr>
        <w:pStyle w:val="Paragraph"/>
        <w:numPr>
          <w:ilvl w:val="0"/>
          <w:numId w:val="0"/>
        </w:numPr>
        <w:tabs>
          <w:tab w:val="left" w:pos="709"/>
        </w:tabs>
        <w:ind w:left="706" w:hanging="706"/>
        <w:outlineLvl w:val="9"/>
        <w:rPr>
          <w:rFonts w:ascii="Arial" w:hAnsi="Arial" w:cs="Arial"/>
          <w:szCs w:val="24"/>
          <w:lang w:val="es-MX"/>
        </w:rPr>
      </w:pPr>
      <w:r>
        <w:rPr>
          <w:rFonts w:ascii="Arial" w:hAnsi="Arial" w:cs="Arial"/>
          <w:szCs w:val="24"/>
          <w:lang w:val="es-MX"/>
        </w:rPr>
        <w:t xml:space="preserve">5.1 </w:t>
      </w:r>
      <w:r w:rsidR="00F33131">
        <w:rPr>
          <w:rFonts w:ascii="Arial" w:hAnsi="Arial" w:cs="Arial"/>
          <w:szCs w:val="24"/>
          <w:lang w:val="es-MX"/>
        </w:rPr>
        <w:tab/>
      </w:r>
      <w:r w:rsidR="00800855">
        <w:rPr>
          <w:rFonts w:ascii="Arial" w:hAnsi="Arial" w:cs="Arial"/>
          <w:szCs w:val="24"/>
          <w:lang w:val="es-MX"/>
        </w:rPr>
        <w:t>L</w:t>
      </w:r>
      <w:r w:rsidR="00482312" w:rsidRPr="00EC7737">
        <w:rPr>
          <w:rFonts w:ascii="Arial" w:hAnsi="Arial" w:cs="Arial"/>
          <w:szCs w:val="24"/>
          <w:lang w:val="es-MX"/>
        </w:rPr>
        <w:t>os recursos</w:t>
      </w:r>
      <w:r w:rsidR="008D1C16">
        <w:rPr>
          <w:rFonts w:ascii="Arial" w:hAnsi="Arial" w:cs="Arial"/>
          <w:szCs w:val="24"/>
          <w:lang w:val="es-MX"/>
        </w:rPr>
        <w:t xml:space="preserve"> </w:t>
      </w:r>
      <w:r w:rsidR="00381E2A">
        <w:rPr>
          <w:rFonts w:ascii="Arial" w:hAnsi="Arial" w:cs="Arial"/>
          <w:szCs w:val="24"/>
          <w:lang w:val="es-MX"/>
        </w:rPr>
        <w:t xml:space="preserve">provenientes de la </w:t>
      </w:r>
      <w:r w:rsidR="00DA75CC">
        <w:rPr>
          <w:rFonts w:ascii="Arial" w:hAnsi="Arial" w:cs="Arial"/>
          <w:szCs w:val="24"/>
          <w:lang w:val="es-MX"/>
        </w:rPr>
        <w:t xml:space="preserve">Recuperación </w:t>
      </w:r>
      <w:r w:rsidR="00381E2A">
        <w:rPr>
          <w:rFonts w:ascii="Arial" w:hAnsi="Arial" w:cs="Arial"/>
          <w:szCs w:val="24"/>
          <w:lang w:val="es-MX"/>
        </w:rPr>
        <w:t xml:space="preserve">Contingente </w:t>
      </w:r>
      <w:r w:rsidR="00482312" w:rsidRPr="00C71443">
        <w:rPr>
          <w:rFonts w:ascii="Arial" w:hAnsi="Arial" w:cs="Arial"/>
          <w:szCs w:val="24"/>
          <w:lang w:val="es-MX"/>
        </w:rPr>
        <w:t xml:space="preserve">GRT/TC-14424-ME, serán </w:t>
      </w:r>
      <w:r w:rsidR="00351508">
        <w:rPr>
          <w:rFonts w:ascii="Arial" w:hAnsi="Arial" w:cs="Arial"/>
          <w:szCs w:val="24"/>
          <w:lang w:val="es-MX"/>
        </w:rPr>
        <w:t xml:space="preserve">los primeros que se ejecutarán, pues deben afectarse a una cuenta de NAFIN constituida como fuente de pago, en favor del perforador seleccionado; en caso de que la perforación resulte exitosa, los recursos del Grant serán no reembolsables. </w:t>
      </w:r>
    </w:p>
    <w:p w14:paraId="56FE7269" w14:textId="77777777" w:rsidR="00351508" w:rsidRDefault="00381E2A" w:rsidP="000A37CF">
      <w:pPr>
        <w:pStyle w:val="Paragraph"/>
        <w:numPr>
          <w:ilvl w:val="0"/>
          <w:numId w:val="0"/>
        </w:numPr>
        <w:tabs>
          <w:tab w:val="left" w:pos="709"/>
        </w:tabs>
        <w:ind w:left="706" w:hanging="706"/>
        <w:outlineLvl w:val="9"/>
        <w:rPr>
          <w:rFonts w:ascii="Arial" w:hAnsi="Arial" w:cs="Arial"/>
          <w:szCs w:val="24"/>
          <w:lang w:val="es-MX"/>
        </w:rPr>
      </w:pPr>
      <w:r>
        <w:rPr>
          <w:rFonts w:ascii="Arial" w:hAnsi="Arial" w:cs="Arial"/>
          <w:szCs w:val="24"/>
          <w:lang w:val="es-MX"/>
        </w:rPr>
        <w:t>5.2</w:t>
      </w:r>
      <w:r w:rsidR="00F33131">
        <w:rPr>
          <w:rFonts w:ascii="Arial" w:hAnsi="Arial" w:cs="Arial"/>
          <w:szCs w:val="24"/>
          <w:lang w:val="es-MX"/>
        </w:rPr>
        <w:t xml:space="preserve"> </w:t>
      </w:r>
      <w:r w:rsidR="00FB44A5">
        <w:rPr>
          <w:rFonts w:ascii="Arial" w:hAnsi="Arial" w:cs="Arial"/>
          <w:szCs w:val="24"/>
          <w:lang w:val="es-MX"/>
        </w:rPr>
        <w:tab/>
      </w:r>
      <w:r w:rsidR="00351508" w:rsidRPr="00351508">
        <w:rPr>
          <w:rFonts w:ascii="Arial" w:hAnsi="Arial" w:cs="Arial"/>
          <w:szCs w:val="24"/>
          <w:lang w:val="es-MX"/>
        </w:rPr>
        <w:t>En el caso contrario, si la perforación resulta exitosa el desarrollador estará obligado a continuar con las actividades tendientes a pasar a la fase de explotación de los recursos geotérmicos y una vez que la planta entre en operación, a pagar a NAFIN por las perforaciones realizadas; es decir, se otorgará un plazo de gracia de 6 años para iniciar los pagos en comento.</w:t>
      </w:r>
    </w:p>
    <w:p w14:paraId="7A781988" w14:textId="77777777" w:rsidR="00292D1F" w:rsidRDefault="00381E2A" w:rsidP="000A37CF">
      <w:pPr>
        <w:pStyle w:val="Paragraph"/>
        <w:numPr>
          <w:ilvl w:val="0"/>
          <w:numId w:val="0"/>
        </w:numPr>
        <w:tabs>
          <w:tab w:val="left" w:pos="709"/>
        </w:tabs>
        <w:ind w:left="706" w:hanging="706"/>
        <w:outlineLvl w:val="9"/>
        <w:rPr>
          <w:rFonts w:ascii="Arial" w:hAnsi="Arial" w:cs="Arial"/>
          <w:szCs w:val="24"/>
          <w:lang w:val="es-MX"/>
        </w:rPr>
      </w:pPr>
      <w:r>
        <w:rPr>
          <w:rFonts w:ascii="Arial" w:hAnsi="Arial" w:cs="Arial"/>
          <w:szCs w:val="24"/>
          <w:lang w:val="es-MX"/>
        </w:rPr>
        <w:t>5.3</w:t>
      </w:r>
      <w:r w:rsidR="00F33131">
        <w:rPr>
          <w:rFonts w:ascii="Arial" w:hAnsi="Arial" w:cs="Arial"/>
          <w:szCs w:val="24"/>
          <w:lang w:val="es-MX"/>
        </w:rPr>
        <w:t xml:space="preserve"> </w:t>
      </w:r>
      <w:r w:rsidR="00FB44A5">
        <w:rPr>
          <w:rFonts w:ascii="Arial" w:hAnsi="Arial" w:cs="Arial"/>
          <w:szCs w:val="24"/>
          <w:lang w:val="es-MX"/>
        </w:rPr>
        <w:tab/>
      </w:r>
      <w:r w:rsidR="00FB44A5">
        <w:rPr>
          <w:rFonts w:ascii="Arial" w:hAnsi="Arial" w:cs="Arial"/>
          <w:szCs w:val="24"/>
          <w:lang w:val="es-MX"/>
        </w:rPr>
        <w:tab/>
      </w:r>
      <w:r w:rsidR="00482312">
        <w:rPr>
          <w:rFonts w:ascii="Arial" w:hAnsi="Arial" w:cs="Arial"/>
          <w:szCs w:val="24"/>
          <w:lang w:val="es-MX"/>
        </w:rPr>
        <w:t xml:space="preserve">La vigencia de estos recursos, será evaluada en 10 años posteriores a la fecha de la suscripción del convenio GRT/TC-14424-ME (10 de noviembre de 2014). Los recursos remanentes y no comprometidos de la contribución u originados por la misma, cualquiera que sea su origen, que permanezcan en </w:t>
      </w:r>
      <w:r w:rsidR="008F1C13">
        <w:rPr>
          <w:rFonts w:ascii="Arial" w:hAnsi="Arial" w:cs="Arial"/>
          <w:szCs w:val="24"/>
          <w:lang w:val="es-MX"/>
        </w:rPr>
        <w:t>la cuenta de NAFIN</w:t>
      </w:r>
      <w:r w:rsidR="00482312">
        <w:rPr>
          <w:rFonts w:ascii="Arial" w:hAnsi="Arial" w:cs="Arial"/>
          <w:szCs w:val="24"/>
          <w:lang w:val="es-MX"/>
        </w:rPr>
        <w:t>, deberán ser devueltos al Banco, en la cuenta que este indique, para ser transferidos al CTF en carácter de recuperación contingente.</w:t>
      </w:r>
    </w:p>
    <w:p w14:paraId="6C786C1E" w14:textId="77777777" w:rsidR="0064412E" w:rsidRPr="0064412E" w:rsidRDefault="0064412E" w:rsidP="000A37CF">
      <w:pPr>
        <w:pStyle w:val="Heading3"/>
        <w:tabs>
          <w:tab w:val="clear" w:pos="1800"/>
          <w:tab w:val="num" w:pos="720"/>
        </w:tabs>
        <w:spacing w:after="240"/>
        <w:ind w:left="0"/>
        <w:rPr>
          <w:b/>
          <w:sz w:val="32"/>
        </w:rPr>
      </w:pPr>
      <w:bookmarkStart w:id="55" w:name="_Toc450149555"/>
      <w:r w:rsidRPr="0064412E">
        <w:rPr>
          <w:b/>
          <w:sz w:val="32"/>
        </w:rPr>
        <w:t>De la</w:t>
      </w:r>
      <w:r w:rsidR="00DD1404">
        <w:rPr>
          <w:b/>
          <w:sz w:val="32"/>
        </w:rPr>
        <w:t xml:space="preserve"> Donación No Reembolsable </w:t>
      </w:r>
      <w:r w:rsidRPr="0064412E">
        <w:rPr>
          <w:b/>
          <w:sz w:val="32"/>
        </w:rPr>
        <w:t>GRT/TC-14423-ME</w:t>
      </w:r>
      <w:bookmarkEnd w:id="55"/>
      <w:r w:rsidRPr="0064412E">
        <w:rPr>
          <w:b/>
          <w:sz w:val="32"/>
        </w:rPr>
        <w:t xml:space="preserve"> </w:t>
      </w:r>
    </w:p>
    <w:p w14:paraId="62D8A286" w14:textId="20276C3B" w:rsidR="0064412E" w:rsidRDefault="0064412E" w:rsidP="000A37CF">
      <w:pPr>
        <w:pStyle w:val="Paragraph"/>
        <w:numPr>
          <w:ilvl w:val="0"/>
          <w:numId w:val="0"/>
        </w:numPr>
        <w:tabs>
          <w:tab w:val="left" w:pos="709"/>
        </w:tabs>
        <w:ind w:left="706" w:hanging="706"/>
        <w:outlineLvl w:val="9"/>
        <w:rPr>
          <w:rFonts w:ascii="Arial" w:hAnsi="Arial" w:cs="Arial"/>
          <w:szCs w:val="24"/>
          <w:lang w:val="es-MX"/>
        </w:rPr>
      </w:pPr>
      <w:r>
        <w:rPr>
          <w:rFonts w:ascii="Arial" w:hAnsi="Arial" w:cs="Arial"/>
          <w:szCs w:val="24"/>
          <w:lang w:val="es-MX"/>
        </w:rPr>
        <w:t xml:space="preserve">6.1 </w:t>
      </w:r>
      <w:r>
        <w:rPr>
          <w:rFonts w:ascii="Arial" w:hAnsi="Arial" w:cs="Arial"/>
          <w:szCs w:val="24"/>
          <w:lang w:val="es-MX"/>
        </w:rPr>
        <w:tab/>
      </w:r>
      <w:r w:rsidR="00DD1404">
        <w:rPr>
          <w:rFonts w:ascii="Arial" w:hAnsi="Arial" w:cs="Arial"/>
          <w:szCs w:val="24"/>
          <w:lang w:val="es-MX"/>
        </w:rPr>
        <w:t>Los recursos de la donación no rembolsable</w:t>
      </w:r>
      <w:r w:rsidR="00DD1404" w:rsidDel="00DD1404">
        <w:rPr>
          <w:rFonts w:ascii="Arial" w:hAnsi="Arial" w:cs="Arial"/>
          <w:szCs w:val="24"/>
          <w:lang w:val="es-MX"/>
        </w:rPr>
        <w:t xml:space="preserve"> </w:t>
      </w:r>
      <w:r w:rsidR="004B187A">
        <w:rPr>
          <w:rFonts w:ascii="Arial" w:hAnsi="Arial" w:cs="Arial"/>
          <w:szCs w:val="24"/>
          <w:lang w:val="es-MX"/>
        </w:rPr>
        <w:t>GRT</w:t>
      </w:r>
      <w:r>
        <w:rPr>
          <w:rFonts w:ascii="Arial" w:hAnsi="Arial" w:cs="Arial"/>
          <w:szCs w:val="24"/>
          <w:lang w:val="es-MX"/>
        </w:rPr>
        <w:t>/TC-14423-ME,</w:t>
      </w:r>
      <w:r w:rsidR="00DD1404">
        <w:rPr>
          <w:rFonts w:ascii="Arial" w:hAnsi="Arial" w:cs="Arial"/>
          <w:szCs w:val="24"/>
          <w:lang w:val="es-MX"/>
        </w:rPr>
        <w:t xml:space="preserve"> </w:t>
      </w:r>
      <w:r w:rsidR="00DD1404" w:rsidRPr="00DD1404">
        <w:rPr>
          <w:rFonts w:ascii="Arial" w:hAnsi="Arial" w:cs="Arial"/>
          <w:szCs w:val="24"/>
          <w:lang w:val="es-MX"/>
        </w:rPr>
        <w:t xml:space="preserve">se financiarán las siguientes actividades: (i) contratar al INEEL, en forma directa, para que provea apoyo operativo y técnico para la ejecución del Programa; (ii) contratar servicios adicionales de consultoría para dar apoyo de coordinación del programa; </w:t>
      </w:r>
      <w:r w:rsidR="00DD1404" w:rsidRPr="00DD1404">
        <w:rPr>
          <w:rFonts w:ascii="Arial" w:hAnsi="Arial" w:cs="Arial"/>
          <w:szCs w:val="24"/>
          <w:lang w:val="es-MX"/>
        </w:rPr>
        <w:lastRenderedPageBreak/>
        <w:t>(iii) realizar estudios adicionales de superficie, ambientales y sociales, regulatorios, entre otros, y (iv) apoyar la promoción del programa, así como también la difusión y diseminación de los resultados del Programa</w:t>
      </w:r>
      <w:r>
        <w:rPr>
          <w:rFonts w:ascii="Arial" w:hAnsi="Arial" w:cs="Arial"/>
          <w:szCs w:val="24"/>
          <w:lang w:val="es-MX"/>
        </w:rPr>
        <w:t xml:space="preserve">. </w:t>
      </w:r>
    </w:p>
    <w:p w14:paraId="2BDFD09D" w14:textId="77777777" w:rsidR="0064412E" w:rsidRDefault="0064412E" w:rsidP="000A37CF">
      <w:pPr>
        <w:pStyle w:val="Paragraph"/>
        <w:numPr>
          <w:ilvl w:val="0"/>
          <w:numId w:val="0"/>
        </w:numPr>
        <w:tabs>
          <w:tab w:val="left" w:pos="709"/>
        </w:tabs>
        <w:ind w:left="706" w:hanging="706"/>
        <w:outlineLvl w:val="9"/>
        <w:rPr>
          <w:rFonts w:ascii="Arial" w:hAnsi="Arial" w:cs="Arial"/>
          <w:szCs w:val="24"/>
          <w:lang w:val="es-MX"/>
        </w:rPr>
      </w:pPr>
      <w:r>
        <w:rPr>
          <w:rFonts w:ascii="Arial" w:hAnsi="Arial" w:cs="Arial"/>
          <w:szCs w:val="24"/>
          <w:lang w:val="es-MX"/>
        </w:rPr>
        <w:t xml:space="preserve">6.2 </w:t>
      </w:r>
      <w:r>
        <w:rPr>
          <w:rFonts w:ascii="Arial" w:hAnsi="Arial" w:cs="Arial"/>
          <w:szCs w:val="24"/>
          <w:lang w:val="es-MX"/>
        </w:rPr>
        <w:tab/>
        <w:t>En caso de que existir elegibilidad técnica del proyecto, NAFIN</w:t>
      </w:r>
      <w:r w:rsidR="00A45825">
        <w:rPr>
          <w:rFonts w:ascii="Arial" w:hAnsi="Arial" w:cs="Arial"/>
          <w:szCs w:val="24"/>
          <w:lang w:val="es-MX"/>
        </w:rPr>
        <w:t xml:space="preserve"> junto con el INEEL</w:t>
      </w:r>
      <w:r>
        <w:rPr>
          <w:rFonts w:ascii="Arial" w:hAnsi="Arial" w:cs="Arial"/>
          <w:szCs w:val="24"/>
          <w:lang w:val="es-MX"/>
        </w:rPr>
        <w:t xml:space="preserve"> continuará</w:t>
      </w:r>
      <w:r w:rsidR="00A45825">
        <w:rPr>
          <w:rFonts w:ascii="Arial" w:hAnsi="Arial" w:cs="Arial"/>
          <w:szCs w:val="24"/>
          <w:lang w:val="es-MX"/>
        </w:rPr>
        <w:t>n</w:t>
      </w:r>
      <w:r>
        <w:rPr>
          <w:rFonts w:ascii="Arial" w:hAnsi="Arial" w:cs="Arial"/>
          <w:szCs w:val="24"/>
          <w:lang w:val="es-MX"/>
        </w:rPr>
        <w:t xml:space="preserve"> con su proceso de evaluación y autorización del crédito a otorgar para la etapa de exploración en que se encuentre, utilizando recursos propios, del BID y CTF.</w:t>
      </w:r>
    </w:p>
    <w:p w14:paraId="4452DA05" w14:textId="77777777" w:rsidR="0064412E" w:rsidRPr="0064412E" w:rsidRDefault="0064412E" w:rsidP="000A37CF">
      <w:pPr>
        <w:pStyle w:val="Heading3"/>
        <w:tabs>
          <w:tab w:val="clear" w:pos="1800"/>
          <w:tab w:val="num" w:pos="720"/>
        </w:tabs>
        <w:spacing w:after="240"/>
        <w:ind w:left="0"/>
        <w:rPr>
          <w:b/>
          <w:sz w:val="32"/>
        </w:rPr>
      </w:pPr>
      <w:bookmarkStart w:id="56" w:name="_Toc450149556"/>
      <w:r w:rsidRPr="0064412E">
        <w:rPr>
          <w:b/>
          <w:sz w:val="32"/>
        </w:rPr>
        <w:t>Del FOTEASE</w:t>
      </w:r>
      <w:bookmarkEnd w:id="56"/>
    </w:p>
    <w:p w14:paraId="3982DA7E" w14:textId="236FE7CE" w:rsidR="008F12E4" w:rsidRDefault="0064412E" w:rsidP="000A37CF">
      <w:pPr>
        <w:pStyle w:val="Paragraph"/>
        <w:numPr>
          <w:ilvl w:val="0"/>
          <w:numId w:val="0"/>
        </w:numPr>
        <w:tabs>
          <w:tab w:val="left" w:pos="709"/>
        </w:tabs>
        <w:ind w:left="706" w:hanging="706"/>
        <w:outlineLvl w:val="9"/>
        <w:rPr>
          <w:rFonts w:ascii="Arial" w:hAnsi="Arial" w:cs="Arial"/>
          <w:szCs w:val="24"/>
          <w:lang w:val="es-MX"/>
        </w:rPr>
      </w:pPr>
      <w:r>
        <w:rPr>
          <w:rFonts w:ascii="Arial" w:hAnsi="Arial" w:cs="Arial"/>
          <w:szCs w:val="24"/>
          <w:lang w:val="es-MX"/>
        </w:rPr>
        <w:t xml:space="preserve">7.1 </w:t>
      </w:r>
      <w:r>
        <w:rPr>
          <w:rFonts w:ascii="Arial" w:hAnsi="Arial" w:cs="Arial"/>
          <w:szCs w:val="24"/>
          <w:lang w:val="es-MX"/>
        </w:rPr>
        <w:tab/>
        <w:t xml:space="preserve">La SENER, a través del FOTEASE, aportará a NAFIN un monto de </w:t>
      </w:r>
      <w:r w:rsidR="00A45825">
        <w:rPr>
          <w:rFonts w:ascii="Arial" w:hAnsi="Arial" w:cs="Arial"/>
          <w:szCs w:val="24"/>
          <w:lang w:val="es-MX"/>
        </w:rPr>
        <w:t>MX</w:t>
      </w:r>
      <w:r>
        <w:rPr>
          <w:rFonts w:ascii="Arial" w:hAnsi="Arial" w:cs="Arial"/>
          <w:szCs w:val="24"/>
          <w:lang w:val="es-MX"/>
        </w:rPr>
        <w:t xml:space="preserve">$ 150 </w:t>
      </w:r>
      <w:r w:rsidR="00A45825">
        <w:rPr>
          <w:rFonts w:ascii="Arial" w:hAnsi="Arial" w:cs="Arial"/>
          <w:szCs w:val="24"/>
          <w:lang w:val="es-MX"/>
        </w:rPr>
        <w:t>millones de pesos (US$11.5 millones)</w:t>
      </w:r>
      <w:r w:rsidR="004B187A">
        <w:rPr>
          <w:rStyle w:val="FootnoteReference"/>
          <w:rFonts w:ascii="Arial" w:hAnsi="Arial" w:cs="Arial"/>
          <w:szCs w:val="24"/>
          <w:lang w:val="es-MX"/>
        </w:rPr>
        <w:footnoteReference w:id="4"/>
      </w:r>
      <w:r>
        <w:rPr>
          <w:rFonts w:ascii="Arial" w:hAnsi="Arial" w:cs="Arial"/>
          <w:szCs w:val="24"/>
          <w:lang w:val="es-MX"/>
        </w:rPr>
        <w:t xml:space="preserve">, para cubrir </w:t>
      </w:r>
      <w:r w:rsidR="008F12E4" w:rsidRPr="008F12E4">
        <w:rPr>
          <w:rFonts w:ascii="Arial" w:hAnsi="Arial" w:cs="Arial"/>
          <w:szCs w:val="24"/>
          <w:lang w:val="es-MX"/>
        </w:rPr>
        <w:t>el costo de apertura de crédito de los nuevos proyectos geotérmicos, reduciendo así el costo para de</w:t>
      </w:r>
      <w:r w:rsidR="008F12E4">
        <w:rPr>
          <w:rFonts w:ascii="Arial" w:hAnsi="Arial" w:cs="Arial"/>
          <w:szCs w:val="24"/>
          <w:lang w:val="es-MX"/>
        </w:rPr>
        <w:t>sarrolladores geotérmicos y</w:t>
      </w:r>
      <w:r w:rsidR="008F12E4" w:rsidRPr="008F12E4">
        <w:rPr>
          <w:rFonts w:ascii="Arial" w:hAnsi="Arial" w:cs="Arial"/>
          <w:szCs w:val="24"/>
          <w:lang w:val="es-MX"/>
        </w:rPr>
        <w:t xml:space="preserve"> los costos para rembolsar y pagar las comisiones de compromiso que derivan por mantener vigente la línea de préstamo financiada con recursos del Capital Or</w:t>
      </w:r>
      <w:r w:rsidR="008F12E4">
        <w:rPr>
          <w:rFonts w:ascii="Arial" w:hAnsi="Arial" w:cs="Arial"/>
          <w:szCs w:val="24"/>
          <w:lang w:val="es-MX"/>
        </w:rPr>
        <w:t>dinario del Banco (3179/CO-ME).</w:t>
      </w:r>
    </w:p>
    <w:p w14:paraId="6C04E418" w14:textId="77777777" w:rsidR="0064412E" w:rsidRDefault="008F12E4" w:rsidP="000A37CF">
      <w:pPr>
        <w:pStyle w:val="Paragraph"/>
        <w:numPr>
          <w:ilvl w:val="0"/>
          <w:numId w:val="0"/>
        </w:numPr>
        <w:tabs>
          <w:tab w:val="left" w:pos="709"/>
        </w:tabs>
        <w:ind w:left="706" w:hanging="706"/>
        <w:outlineLvl w:val="9"/>
        <w:rPr>
          <w:rFonts w:ascii="Arial" w:hAnsi="Arial" w:cs="Arial"/>
          <w:szCs w:val="24"/>
          <w:lang w:val="es-MX"/>
        </w:rPr>
      </w:pPr>
      <w:r>
        <w:rPr>
          <w:rFonts w:ascii="Arial" w:hAnsi="Arial" w:cs="Arial"/>
          <w:szCs w:val="24"/>
          <w:lang w:val="es-MX"/>
        </w:rPr>
        <w:t>7.2</w:t>
      </w:r>
      <w:r>
        <w:rPr>
          <w:rFonts w:ascii="Arial" w:hAnsi="Arial" w:cs="Arial"/>
          <w:szCs w:val="24"/>
          <w:lang w:val="es-MX"/>
        </w:rPr>
        <w:tab/>
      </w:r>
      <w:r w:rsidRPr="008F12E4">
        <w:rPr>
          <w:rFonts w:ascii="Arial" w:hAnsi="Arial" w:cs="Arial"/>
          <w:szCs w:val="24"/>
          <w:lang w:val="es-MX"/>
        </w:rPr>
        <w:t>Asimismo, los recursos del FOTEASE se podrán utilizar para actividades de apoyo a la ejecución del Programa (estudios, consultorías de apoyo, diseminación de resultados, etc</w:t>
      </w:r>
      <w:r>
        <w:rPr>
          <w:rFonts w:ascii="Arial" w:hAnsi="Arial" w:cs="Arial"/>
          <w:szCs w:val="24"/>
          <w:lang w:val="es-MX"/>
        </w:rPr>
        <w:t>.).</w:t>
      </w:r>
    </w:p>
    <w:p w14:paraId="12AF6222" w14:textId="77777777" w:rsidR="0064412E" w:rsidRDefault="0064412E" w:rsidP="000A37CF">
      <w:pPr>
        <w:pStyle w:val="Paragraph"/>
        <w:numPr>
          <w:ilvl w:val="0"/>
          <w:numId w:val="0"/>
        </w:numPr>
        <w:tabs>
          <w:tab w:val="left" w:pos="709"/>
        </w:tabs>
        <w:ind w:left="706" w:hanging="706"/>
        <w:outlineLvl w:val="9"/>
        <w:rPr>
          <w:rFonts w:ascii="Arial" w:hAnsi="Arial" w:cs="Arial"/>
          <w:szCs w:val="24"/>
          <w:lang w:val="es-MX"/>
        </w:rPr>
      </w:pPr>
      <w:r>
        <w:rPr>
          <w:rFonts w:ascii="Arial" w:hAnsi="Arial" w:cs="Arial"/>
          <w:szCs w:val="24"/>
          <w:lang w:val="es-MX"/>
        </w:rPr>
        <w:t>7.</w:t>
      </w:r>
      <w:r w:rsidR="008F12E4">
        <w:rPr>
          <w:rFonts w:ascii="Arial" w:hAnsi="Arial" w:cs="Arial"/>
          <w:szCs w:val="24"/>
          <w:lang w:val="es-MX"/>
        </w:rPr>
        <w:t>3</w:t>
      </w:r>
      <w:r>
        <w:rPr>
          <w:rFonts w:ascii="Arial" w:hAnsi="Arial" w:cs="Arial"/>
          <w:szCs w:val="24"/>
          <w:lang w:val="es-MX"/>
        </w:rPr>
        <w:t xml:space="preserve"> </w:t>
      </w:r>
      <w:r>
        <w:rPr>
          <w:rFonts w:ascii="Arial" w:hAnsi="Arial" w:cs="Arial"/>
          <w:szCs w:val="24"/>
          <w:lang w:val="es-MX"/>
        </w:rPr>
        <w:tab/>
      </w:r>
      <w:r w:rsidRPr="00C01095">
        <w:rPr>
          <w:rFonts w:ascii="Arial" w:hAnsi="Arial" w:cs="Arial"/>
          <w:szCs w:val="24"/>
          <w:lang w:val="es-MX"/>
        </w:rPr>
        <w:t>Los recursos del FOTEASE, serán depositados en una cuenta de la Tesorería de NAFIN</w:t>
      </w:r>
      <w:r>
        <w:rPr>
          <w:rFonts w:ascii="Arial" w:hAnsi="Arial" w:cs="Arial"/>
          <w:szCs w:val="24"/>
          <w:lang w:val="es-MX"/>
        </w:rPr>
        <w:t xml:space="preserve"> segregada y con contabilidad separada.</w:t>
      </w:r>
    </w:p>
    <w:p w14:paraId="6D547E1A" w14:textId="77777777" w:rsidR="0064412E" w:rsidRPr="0064412E" w:rsidRDefault="0064412E" w:rsidP="000A37CF">
      <w:pPr>
        <w:pStyle w:val="Heading3"/>
        <w:tabs>
          <w:tab w:val="clear" w:pos="1800"/>
          <w:tab w:val="num" w:pos="720"/>
        </w:tabs>
        <w:spacing w:after="240"/>
        <w:ind w:left="0"/>
        <w:rPr>
          <w:b/>
          <w:sz w:val="32"/>
        </w:rPr>
      </w:pPr>
      <w:bookmarkStart w:id="57" w:name="_Toc450149557"/>
      <w:r w:rsidRPr="0064412E">
        <w:rPr>
          <w:b/>
          <w:sz w:val="32"/>
        </w:rPr>
        <w:t xml:space="preserve">Uso de los Recursos del PFTRG </w:t>
      </w:r>
      <w:bookmarkEnd w:id="57"/>
    </w:p>
    <w:p w14:paraId="5D769DC9" w14:textId="77777777" w:rsidR="00F53C39" w:rsidRDefault="00F53C39" w:rsidP="000A37CF">
      <w:pPr>
        <w:pStyle w:val="Paragraph"/>
        <w:numPr>
          <w:ilvl w:val="0"/>
          <w:numId w:val="42"/>
        </w:numPr>
        <w:tabs>
          <w:tab w:val="left" w:pos="0"/>
        </w:tabs>
        <w:spacing w:after="240"/>
        <w:ind w:left="720" w:hanging="720"/>
        <w:outlineLvl w:val="9"/>
        <w:rPr>
          <w:rFonts w:ascii="Arial" w:hAnsi="Arial" w:cs="Arial"/>
          <w:szCs w:val="24"/>
          <w:lang w:val="es-MX"/>
        </w:rPr>
      </w:pPr>
      <w:r>
        <w:rPr>
          <w:rFonts w:ascii="Arial" w:hAnsi="Arial" w:cs="Arial"/>
          <w:szCs w:val="24"/>
          <w:lang w:val="es-MX"/>
        </w:rPr>
        <w:t>En el programa se han diseñado dos</w:t>
      </w:r>
      <w:r w:rsidR="004250B1">
        <w:rPr>
          <w:rFonts w:ascii="Arial" w:hAnsi="Arial" w:cs="Arial"/>
          <w:szCs w:val="24"/>
          <w:lang w:val="es-MX"/>
        </w:rPr>
        <w:t xml:space="preserve"> (2)</w:t>
      </w:r>
      <w:r>
        <w:rPr>
          <w:rFonts w:ascii="Arial" w:hAnsi="Arial" w:cs="Arial"/>
          <w:szCs w:val="24"/>
          <w:lang w:val="es-MX"/>
        </w:rPr>
        <w:t xml:space="preserve"> esquemas, los cuales podrán llegarse a dar durante la ejecución de la operación</w:t>
      </w:r>
      <w:r w:rsidR="004250B1">
        <w:rPr>
          <w:rStyle w:val="FootnoteReference"/>
          <w:rFonts w:ascii="Arial" w:hAnsi="Arial" w:cs="Arial"/>
          <w:szCs w:val="24"/>
          <w:lang w:val="es-MX"/>
        </w:rPr>
        <w:footnoteReference w:id="5"/>
      </w:r>
      <w:r w:rsidR="004250B1">
        <w:rPr>
          <w:rFonts w:ascii="Arial" w:hAnsi="Arial" w:cs="Arial"/>
          <w:szCs w:val="24"/>
          <w:lang w:val="es-MX"/>
        </w:rPr>
        <w:t xml:space="preserve">. </w:t>
      </w:r>
      <w:r w:rsidR="004250B1" w:rsidRPr="004250B1">
        <w:rPr>
          <w:rFonts w:ascii="Arial" w:hAnsi="Arial" w:cs="Arial"/>
          <w:szCs w:val="24"/>
          <w:lang w:val="es-MX"/>
        </w:rPr>
        <w:t>Con el apoyo técnico del INEEL para la determinación de elegibilidad técnica del proyecto, y con su debida aprobación por parte de NAFIN, la EGER podrá recibir el crédito exploratorio asegurado para la fase de exploración y perforación correspondiente</w:t>
      </w:r>
      <w:r>
        <w:rPr>
          <w:rFonts w:ascii="Arial" w:hAnsi="Arial" w:cs="Arial"/>
          <w:szCs w:val="24"/>
          <w:lang w:val="es-MX"/>
        </w:rPr>
        <w:t xml:space="preserve"> </w:t>
      </w:r>
    </w:p>
    <w:p w14:paraId="2A90090E" w14:textId="77777777" w:rsidR="00250FA0" w:rsidRDefault="00250FA0" w:rsidP="000A37CF">
      <w:pPr>
        <w:pStyle w:val="Paragraph"/>
        <w:numPr>
          <w:ilvl w:val="0"/>
          <w:numId w:val="42"/>
        </w:numPr>
        <w:tabs>
          <w:tab w:val="left" w:pos="0"/>
        </w:tabs>
        <w:spacing w:after="240"/>
        <w:ind w:left="720" w:hanging="720"/>
        <w:outlineLvl w:val="9"/>
        <w:rPr>
          <w:rFonts w:ascii="Arial" w:hAnsi="Arial" w:cs="Arial"/>
          <w:szCs w:val="24"/>
          <w:lang w:val="es-MX"/>
        </w:rPr>
      </w:pPr>
      <w:r>
        <w:rPr>
          <w:rFonts w:ascii="Arial" w:hAnsi="Arial" w:cs="Arial"/>
          <w:szCs w:val="24"/>
          <w:lang w:val="es-MX"/>
        </w:rPr>
        <w:t xml:space="preserve">El </w:t>
      </w:r>
      <w:r w:rsidRPr="000A37CF">
        <w:rPr>
          <w:rFonts w:ascii="Arial" w:hAnsi="Arial" w:cs="Arial"/>
          <w:i/>
          <w:szCs w:val="24"/>
          <w:u w:val="single"/>
          <w:lang w:val="es-MX"/>
        </w:rPr>
        <w:t>Esquema 1</w:t>
      </w:r>
      <w:r>
        <w:rPr>
          <w:rFonts w:ascii="Arial" w:hAnsi="Arial" w:cs="Arial"/>
          <w:szCs w:val="24"/>
          <w:lang w:val="es-MX"/>
        </w:rPr>
        <w:t xml:space="preserve"> de usos de los recursos del programa se presenta tal como en la Figura 2, </w:t>
      </w:r>
      <w:r w:rsidRPr="00250FA0">
        <w:rPr>
          <w:rFonts w:ascii="Arial" w:hAnsi="Arial" w:cs="Arial"/>
          <w:szCs w:val="24"/>
          <w:lang w:val="es-MX"/>
        </w:rPr>
        <w:t>y contempla un modelo de negocio abierto a todos los desarrolladores privados interesados en participar</w:t>
      </w:r>
      <w:r>
        <w:rPr>
          <w:rFonts w:ascii="Arial" w:hAnsi="Arial" w:cs="Arial"/>
          <w:szCs w:val="24"/>
          <w:lang w:val="es-MX"/>
        </w:rPr>
        <w:t>.</w:t>
      </w:r>
    </w:p>
    <w:p w14:paraId="72B81A2D" w14:textId="75394E72" w:rsidR="00A16BBE" w:rsidRDefault="00A16BBE" w:rsidP="009179E6">
      <w:pPr>
        <w:pStyle w:val="Paragraph"/>
        <w:numPr>
          <w:ilvl w:val="0"/>
          <w:numId w:val="42"/>
        </w:numPr>
        <w:tabs>
          <w:tab w:val="left" w:pos="0"/>
        </w:tabs>
        <w:spacing w:after="240"/>
        <w:ind w:hanging="786"/>
        <w:outlineLvl w:val="9"/>
        <w:rPr>
          <w:rFonts w:ascii="Arial" w:hAnsi="Arial" w:cs="Arial"/>
          <w:szCs w:val="24"/>
          <w:lang w:val="es-MX"/>
        </w:rPr>
      </w:pPr>
      <w:r>
        <w:rPr>
          <w:rFonts w:ascii="Arial" w:hAnsi="Arial" w:cs="Arial"/>
          <w:szCs w:val="24"/>
          <w:lang w:val="es-MX"/>
        </w:rPr>
        <w:t xml:space="preserve">En este esquema, el desarrollador ve solamente el costo por medio del </w:t>
      </w:r>
      <w:r w:rsidR="007F13E8">
        <w:rPr>
          <w:rFonts w:ascii="Arial" w:hAnsi="Arial" w:cs="Arial"/>
          <w:szCs w:val="24"/>
          <w:lang w:val="es-MX"/>
        </w:rPr>
        <w:t>G</w:t>
      </w:r>
      <w:r>
        <w:rPr>
          <w:rFonts w:ascii="Arial" w:hAnsi="Arial" w:cs="Arial"/>
          <w:szCs w:val="24"/>
          <w:lang w:val="es-MX"/>
        </w:rPr>
        <w:t>rant contingente del CTF y el de</w:t>
      </w:r>
      <w:r w:rsidRPr="008020C5">
        <w:t xml:space="preserve"> </w:t>
      </w:r>
      <w:r w:rsidRPr="008020C5">
        <w:rPr>
          <w:rFonts w:ascii="Arial" w:hAnsi="Arial" w:cs="Arial"/>
          <w:szCs w:val="24"/>
          <w:lang w:val="es-MX"/>
        </w:rPr>
        <w:t>Recuperación Contingente GRT/TC-14424-ME</w:t>
      </w:r>
      <w:r>
        <w:rPr>
          <w:rFonts w:ascii="Arial" w:hAnsi="Arial" w:cs="Arial"/>
          <w:szCs w:val="24"/>
          <w:lang w:val="es-MX"/>
        </w:rPr>
        <w:t xml:space="preserve"> vía NAFIN para la familia de pozos.</w:t>
      </w:r>
    </w:p>
    <w:p w14:paraId="1BD1241D" w14:textId="77777777" w:rsidR="00A16BBE" w:rsidRPr="006B571F" w:rsidRDefault="00A16BBE" w:rsidP="009179E6">
      <w:pPr>
        <w:pStyle w:val="ListParagraph"/>
        <w:numPr>
          <w:ilvl w:val="0"/>
          <w:numId w:val="42"/>
        </w:numPr>
        <w:ind w:hanging="786"/>
        <w:jc w:val="both"/>
        <w:rPr>
          <w:rFonts w:ascii="Arial" w:eastAsia="Times New Roman" w:hAnsi="Arial" w:cs="Arial"/>
        </w:rPr>
      </w:pPr>
      <w:r>
        <w:rPr>
          <w:rFonts w:ascii="Arial" w:eastAsia="Times New Roman" w:hAnsi="Arial" w:cs="Arial"/>
        </w:rPr>
        <w:t>S</w:t>
      </w:r>
      <w:r w:rsidRPr="008020C5">
        <w:rPr>
          <w:rFonts w:ascii="Arial" w:eastAsia="Times New Roman" w:hAnsi="Arial" w:cs="Arial"/>
        </w:rPr>
        <w:t xml:space="preserve">e determina exitosa una etapa cuando se compruebe que tiene el potencial de producción estimado superior a la energía mínima garantizada (aproximadamente </w:t>
      </w:r>
      <w:r w:rsidRPr="008020C5">
        <w:rPr>
          <w:rFonts w:ascii="Arial" w:eastAsia="Times New Roman" w:hAnsi="Arial" w:cs="Arial"/>
        </w:rPr>
        <w:lastRenderedPageBreak/>
        <w:t>3.0 MW eléctrico equivalente por pozo), con la finalidad de permitir que los proyectos avancen hacia etapas posteriores.</w:t>
      </w:r>
    </w:p>
    <w:p w14:paraId="47C655C3" w14:textId="77777777" w:rsidR="008020C5" w:rsidRDefault="00E9749B" w:rsidP="000A37CF">
      <w:pPr>
        <w:pStyle w:val="Paragraph"/>
        <w:numPr>
          <w:ilvl w:val="0"/>
          <w:numId w:val="42"/>
        </w:numPr>
        <w:tabs>
          <w:tab w:val="left" w:pos="0"/>
        </w:tabs>
        <w:spacing w:after="240"/>
        <w:ind w:left="720" w:hanging="720"/>
        <w:outlineLvl w:val="9"/>
        <w:rPr>
          <w:rFonts w:ascii="Arial" w:hAnsi="Arial" w:cs="Arial"/>
          <w:szCs w:val="24"/>
          <w:lang w:val="es-MX"/>
        </w:rPr>
      </w:pPr>
      <w:r>
        <w:rPr>
          <w:rFonts w:ascii="Arial" w:hAnsi="Arial" w:cs="Arial"/>
          <w:szCs w:val="24"/>
          <w:lang w:val="es-MX"/>
        </w:rPr>
        <w:t>E</w:t>
      </w:r>
      <w:r w:rsidRPr="00E9749B">
        <w:rPr>
          <w:rFonts w:ascii="Arial" w:hAnsi="Arial" w:cs="Arial"/>
          <w:szCs w:val="24"/>
          <w:lang w:val="es-MX"/>
        </w:rPr>
        <w:t>n caso de que la pe</w:t>
      </w:r>
      <w:r>
        <w:rPr>
          <w:rFonts w:ascii="Arial" w:hAnsi="Arial" w:cs="Arial"/>
          <w:szCs w:val="24"/>
          <w:lang w:val="es-MX"/>
        </w:rPr>
        <w:t xml:space="preserve">rforación de pozos sea exitosa </w:t>
      </w:r>
      <w:r w:rsidRPr="00E9749B">
        <w:rPr>
          <w:rFonts w:ascii="Arial" w:hAnsi="Arial" w:cs="Arial"/>
          <w:szCs w:val="24"/>
          <w:lang w:val="es-MX"/>
        </w:rPr>
        <w:t>y siempre que la energía eléctrica que se produzca a partir del recurso probado en los pozos pueda ser vendida a precios competitivos en el mercado eléctrico mexicano, el financiamiento otorgado será tratada como un préstamo conces</w:t>
      </w:r>
      <w:r>
        <w:rPr>
          <w:rFonts w:ascii="Arial" w:hAnsi="Arial" w:cs="Arial"/>
          <w:szCs w:val="24"/>
          <w:lang w:val="es-MX"/>
        </w:rPr>
        <w:t xml:space="preserve">ional (con una tasa de interés </w:t>
      </w:r>
      <w:r w:rsidRPr="00E9749B">
        <w:rPr>
          <w:rFonts w:ascii="Arial" w:hAnsi="Arial" w:cs="Arial"/>
          <w:szCs w:val="24"/>
          <w:lang w:val="es-MX"/>
        </w:rPr>
        <w:t>no mayor al 2.25% por parte de NAFIN a los desarrolladores) y los desarrolladores geotérmicos privados adjudicados/ganadores, repagarán el préstamo concesional una vez que la planta esté operando (5 años después de que el recurso geotérmico es categorizado como probado). Una vez que los recursos han sido repagados a NAFIN, esta puede reutilizar estos recursos revolventes nuevamente para financiar otros desarrollos geotérmicos bajo la misma modalidad antes descrita</w:t>
      </w:r>
      <w:r w:rsidR="00A16BBE">
        <w:rPr>
          <w:rFonts w:ascii="Arial" w:hAnsi="Arial" w:cs="Arial"/>
          <w:szCs w:val="24"/>
          <w:lang w:val="es-MX"/>
        </w:rPr>
        <w:t>.</w:t>
      </w:r>
    </w:p>
    <w:p w14:paraId="1ED4E871" w14:textId="77777777" w:rsidR="000367F7" w:rsidRDefault="008020C5" w:rsidP="000A37CF">
      <w:pPr>
        <w:pStyle w:val="Paragraph"/>
        <w:numPr>
          <w:ilvl w:val="0"/>
          <w:numId w:val="42"/>
        </w:numPr>
        <w:tabs>
          <w:tab w:val="left" w:pos="0"/>
        </w:tabs>
        <w:spacing w:after="240"/>
        <w:ind w:left="720" w:hanging="720"/>
        <w:outlineLvl w:val="9"/>
        <w:rPr>
          <w:rFonts w:ascii="Arial" w:hAnsi="Arial" w:cs="Arial"/>
          <w:szCs w:val="24"/>
          <w:lang w:val="es-MX"/>
        </w:rPr>
      </w:pPr>
      <w:r>
        <w:rPr>
          <w:rFonts w:ascii="Arial" w:hAnsi="Arial" w:cs="Arial"/>
          <w:szCs w:val="24"/>
          <w:lang w:val="es-MX"/>
        </w:rPr>
        <w:t xml:space="preserve">Por su parte, el Banco podrá apoyar con recursos del programa de préstamo de CO </w:t>
      </w:r>
      <w:r w:rsidR="005E3B09">
        <w:rPr>
          <w:rFonts w:ascii="Arial" w:hAnsi="Arial" w:cs="Arial"/>
          <w:szCs w:val="24"/>
          <w:lang w:val="es-MX"/>
        </w:rPr>
        <w:t>(</w:t>
      </w:r>
      <w:r w:rsidR="005E3B09" w:rsidRPr="005E3B09">
        <w:rPr>
          <w:rFonts w:ascii="Arial" w:hAnsi="Arial" w:cs="Arial"/>
          <w:szCs w:val="24"/>
          <w:lang w:val="es-MX"/>
        </w:rPr>
        <w:t>3178/OC-ME</w:t>
      </w:r>
      <w:r w:rsidR="005E3B09">
        <w:rPr>
          <w:rFonts w:ascii="Arial" w:hAnsi="Arial" w:cs="Arial"/>
          <w:szCs w:val="24"/>
          <w:lang w:val="es-MX"/>
        </w:rPr>
        <w:t>) a través de NAFIN para la construcción de las plantas geotérmicas, las subestaciones y líneas de transmisión asociadas.</w:t>
      </w:r>
    </w:p>
    <w:p w14:paraId="68E5FF48" w14:textId="77777777" w:rsidR="00C96800" w:rsidRDefault="00E9749B" w:rsidP="000A37CF">
      <w:pPr>
        <w:pStyle w:val="Paragraph"/>
        <w:numPr>
          <w:ilvl w:val="0"/>
          <w:numId w:val="42"/>
        </w:numPr>
        <w:tabs>
          <w:tab w:val="left" w:pos="0"/>
        </w:tabs>
        <w:spacing w:after="240"/>
        <w:ind w:left="720" w:hanging="720"/>
        <w:outlineLvl w:val="9"/>
        <w:rPr>
          <w:rFonts w:ascii="Arial" w:hAnsi="Arial" w:cs="Arial"/>
          <w:szCs w:val="24"/>
          <w:lang w:val="es-MX"/>
        </w:rPr>
      </w:pPr>
      <w:r>
        <w:rPr>
          <w:rFonts w:ascii="Arial" w:hAnsi="Arial" w:cs="Arial"/>
          <w:szCs w:val="24"/>
          <w:lang w:val="es-MX"/>
        </w:rPr>
        <w:t xml:space="preserve">Por otro lado, la perforación se declara fallida </w:t>
      </w:r>
      <w:r w:rsidRPr="0064412E">
        <w:rPr>
          <w:rFonts w:ascii="Arial" w:hAnsi="Arial" w:cs="Arial"/>
          <w:szCs w:val="24"/>
          <w:lang w:val="es-MX"/>
        </w:rPr>
        <w:t>cuando las perforaciones de los pozos no alcancen a generar la energía mínima esperada</w:t>
      </w:r>
      <w:r>
        <w:rPr>
          <w:rFonts w:ascii="Arial" w:hAnsi="Arial" w:cs="Arial"/>
          <w:szCs w:val="24"/>
          <w:lang w:val="es-MX"/>
        </w:rPr>
        <w:t xml:space="preserve">, misma que se determinará con anterioridad a la formalización del crédito </w:t>
      </w:r>
      <w:r w:rsidRPr="0064412E">
        <w:rPr>
          <w:rFonts w:ascii="Arial" w:hAnsi="Arial" w:cs="Arial"/>
          <w:szCs w:val="24"/>
          <w:lang w:val="es-MX"/>
        </w:rPr>
        <w:t>(aproximadamente 3.0 M</w:t>
      </w:r>
      <w:r>
        <w:rPr>
          <w:rFonts w:ascii="Arial" w:hAnsi="Arial" w:cs="Arial"/>
          <w:szCs w:val="24"/>
          <w:lang w:val="es-MX"/>
        </w:rPr>
        <w:t>W eléctrico equivalente</w:t>
      </w:r>
      <w:r w:rsidR="004B3FE5">
        <w:rPr>
          <w:rFonts w:ascii="Arial" w:hAnsi="Arial" w:cs="Arial"/>
          <w:szCs w:val="24"/>
          <w:lang w:val="es-MX"/>
        </w:rPr>
        <w:t xml:space="preserve"> por pozo), el fondo se convertirá en un Grant no reembolsable.</w:t>
      </w:r>
    </w:p>
    <w:p w14:paraId="5A7F4AE4" w14:textId="1C92A218" w:rsidR="00702CB0" w:rsidRDefault="008F1822" w:rsidP="000A37CF">
      <w:pPr>
        <w:pStyle w:val="Paragraph"/>
        <w:numPr>
          <w:ilvl w:val="0"/>
          <w:numId w:val="42"/>
        </w:numPr>
        <w:tabs>
          <w:tab w:val="left" w:pos="0"/>
        </w:tabs>
        <w:spacing w:after="240"/>
        <w:ind w:left="720" w:hanging="720"/>
        <w:outlineLvl w:val="9"/>
        <w:rPr>
          <w:rFonts w:ascii="Arial" w:hAnsi="Arial" w:cs="Arial"/>
          <w:szCs w:val="24"/>
          <w:lang w:val="es-MX"/>
        </w:rPr>
      </w:pPr>
      <w:r>
        <w:rPr>
          <w:rFonts w:ascii="Arial" w:hAnsi="Arial" w:cs="Arial"/>
          <w:szCs w:val="24"/>
          <w:lang w:val="es-MX"/>
        </w:rPr>
        <w:t>También se</w:t>
      </w:r>
      <w:r w:rsidR="00AA5C74">
        <w:rPr>
          <w:rFonts w:ascii="Arial" w:hAnsi="Arial" w:cs="Arial"/>
          <w:szCs w:val="24"/>
          <w:lang w:val="es-MX"/>
        </w:rPr>
        <w:t xml:space="preserve"> </w:t>
      </w:r>
      <w:r w:rsidR="00F02F87">
        <w:rPr>
          <w:rFonts w:ascii="Arial" w:hAnsi="Arial" w:cs="Arial"/>
          <w:szCs w:val="24"/>
          <w:lang w:val="es-MX"/>
        </w:rPr>
        <w:t>sugiere</w:t>
      </w:r>
      <w:r w:rsidR="00AA5C74">
        <w:rPr>
          <w:rFonts w:ascii="Arial" w:hAnsi="Arial" w:cs="Arial"/>
          <w:szCs w:val="24"/>
          <w:lang w:val="es-MX"/>
        </w:rPr>
        <w:t xml:space="preserve"> un modelo de negocio en donde la CFE pueda participar como un actor principal. Aquí es muy importante destacar que este modelo de negocio no otorga privilegios ni tampoco favorece de ninguna </w:t>
      </w:r>
      <w:r w:rsidR="00956DBA">
        <w:rPr>
          <w:rFonts w:ascii="Arial" w:hAnsi="Arial" w:cs="Arial"/>
          <w:szCs w:val="24"/>
          <w:lang w:val="es-MX"/>
        </w:rPr>
        <w:t xml:space="preserve">manera a la CFE, sin embargo </w:t>
      </w:r>
      <w:r w:rsidR="00956DBA" w:rsidRPr="00956DBA">
        <w:rPr>
          <w:rFonts w:ascii="Arial" w:hAnsi="Arial" w:cs="Arial"/>
          <w:szCs w:val="24"/>
          <w:lang w:val="es-MX"/>
        </w:rPr>
        <w:t>sí le impone obligaciones que deberá de cumplir para poder participar en dicha propuesta</w:t>
      </w:r>
      <w:r w:rsidR="00956DBA">
        <w:rPr>
          <w:rFonts w:ascii="Arial" w:hAnsi="Arial" w:cs="Arial"/>
          <w:szCs w:val="24"/>
          <w:lang w:val="es-MX"/>
        </w:rPr>
        <w:t>.</w:t>
      </w:r>
    </w:p>
    <w:p w14:paraId="6068EF95" w14:textId="69C3E0AE" w:rsidR="00702CB0" w:rsidRPr="000A37CF" w:rsidRDefault="00702CB0" w:rsidP="000A37CF">
      <w:pPr>
        <w:pStyle w:val="Paragraph"/>
        <w:numPr>
          <w:ilvl w:val="0"/>
          <w:numId w:val="0"/>
        </w:numPr>
        <w:tabs>
          <w:tab w:val="left" w:pos="0"/>
        </w:tabs>
        <w:spacing w:after="240"/>
        <w:jc w:val="center"/>
        <w:outlineLvl w:val="9"/>
        <w:rPr>
          <w:rFonts w:ascii="Arial" w:hAnsi="Arial" w:cs="Arial"/>
          <w:b/>
          <w:szCs w:val="24"/>
          <w:lang w:val="es-MX"/>
        </w:rPr>
      </w:pPr>
    </w:p>
    <w:p w14:paraId="34BC1067" w14:textId="1A8F5A8A" w:rsidR="00702CB0" w:rsidRDefault="00702CB0" w:rsidP="000A37CF">
      <w:pPr>
        <w:pStyle w:val="Paragraph"/>
        <w:numPr>
          <w:ilvl w:val="0"/>
          <w:numId w:val="0"/>
        </w:numPr>
        <w:tabs>
          <w:tab w:val="left" w:pos="0"/>
        </w:tabs>
        <w:spacing w:after="240"/>
        <w:jc w:val="center"/>
        <w:outlineLvl w:val="9"/>
        <w:rPr>
          <w:rFonts w:ascii="Arial" w:hAnsi="Arial" w:cs="Arial"/>
          <w:szCs w:val="24"/>
          <w:lang w:val="es-MX"/>
        </w:rPr>
      </w:pPr>
    </w:p>
    <w:p w14:paraId="2DCE2120" w14:textId="77777777" w:rsidR="00956DBA" w:rsidRDefault="00956DBA" w:rsidP="004250B1">
      <w:pPr>
        <w:pStyle w:val="Paragraph"/>
        <w:numPr>
          <w:ilvl w:val="0"/>
          <w:numId w:val="42"/>
        </w:numPr>
        <w:tabs>
          <w:tab w:val="left" w:pos="0"/>
        </w:tabs>
        <w:spacing w:after="240"/>
        <w:ind w:left="709" w:hanging="709"/>
        <w:outlineLvl w:val="9"/>
        <w:rPr>
          <w:rFonts w:ascii="Arial" w:hAnsi="Arial" w:cs="Arial"/>
          <w:szCs w:val="24"/>
          <w:lang w:val="es-MX"/>
        </w:rPr>
      </w:pPr>
      <w:r>
        <w:rPr>
          <w:rFonts w:ascii="Arial" w:hAnsi="Arial" w:cs="Arial"/>
          <w:szCs w:val="24"/>
          <w:lang w:val="es-MX"/>
        </w:rPr>
        <w:t>Este esquema de participación de CFE, promueve el espíritu de la Reforma Energética al permitir que CFE realice APPs.</w:t>
      </w:r>
    </w:p>
    <w:p w14:paraId="57D99D11" w14:textId="77777777" w:rsidR="00956DBA" w:rsidRDefault="00956DBA" w:rsidP="009179E6">
      <w:pPr>
        <w:pStyle w:val="Paragraph"/>
        <w:numPr>
          <w:ilvl w:val="0"/>
          <w:numId w:val="42"/>
        </w:numPr>
        <w:tabs>
          <w:tab w:val="left" w:pos="0"/>
        </w:tabs>
        <w:spacing w:after="240"/>
        <w:ind w:left="720" w:hanging="720"/>
        <w:outlineLvl w:val="9"/>
        <w:rPr>
          <w:rFonts w:ascii="Arial" w:hAnsi="Arial" w:cs="Arial"/>
          <w:szCs w:val="24"/>
          <w:lang w:val="es-MX"/>
        </w:rPr>
      </w:pPr>
      <w:r>
        <w:rPr>
          <w:rFonts w:ascii="Arial" w:hAnsi="Arial" w:cs="Arial"/>
          <w:szCs w:val="24"/>
          <w:lang w:val="es-MX"/>
        </w:rPr>
        <w:t xml:space="preserve">En el caso de éxito, se </w:t>
      </w:r>
      <w:r w:rsidRPr="00956DBA">
        <w:rPr>
          <w:rFonts w:ascii="Arial" w:hAnsi="Arial" w:cs="Arial"/>
          <w:szCs w:val="24"/>
          <w:lang w:val="es-MX"/>
        </w:rPr>
        <w:t>repaga la familia de pozos cuando la planta esté operando, es decir, un período de gracia ampliado</w:t>
      </w:r>
      <w:r w:rsidR="00BC449E">
        <w:rPr>
          <w:rFonts w:ascii="Arial" w:hAnsi="Arial" w:cs="Arial"/>
          <w:szCs w:val="24"/>
          <w:lang w:val="es-MX"/>
        </w:rPr>
        <w:t>. Así mismo la CFE podrá licitar los pozos exitosos a los desarrolladores privados.</w:t>
      </w:r>
    </w:p>
    <w:p w14:paraId="526B8A37" w14:textId="0891261F" w:rsidR="0064412E" w:rsidRDefault="0064412E" w:rsidP="009067BA">
      <w:pPr>
        <w:pStyle w:val="Paragraph"/>
        <w:numPr>
          <w:ilvl w:val="0"/>
          <w:numId w:val="42"/>
        </w:numPr>
        <w:tabs>
          <w:tab w:val="left" w:pos="0"/>
        </w:tabs>
        <w:spacing w:after="240"/>
        <w:ind w:left="709" w:hanging="709"/>
        <w:outlineLvl w:val="9"/>
        <w:rPr>
          <w:rFonts w:ascii="Arial" w:hAnsi="Arial" w:cs="Arial"/>
          <w:szCs w:val="24"/>
          <w:lang w:val="es-MX"/>
        </w:rPr>
      </w:pPr>
      <w:r>
        <w:rPr>
          <w:rFonts w:ascii="Arial" w:hAnsi="Arial" w:cs="Arial"/>
          <w:szCs w:val="24"/>
          <w:lang w:val="es-MX"/>
        </w:rPr>
        <w:tab/>
        <w:t>En todas las etapas del proyecto</w:t>
      </w:r>
      <w:r w:rsidR="0070122F">
        <w:rPr>
          <w:rFonts w:ascii="Arial" w:hAnsi="Arial" w:cs="Arial"/>
          <w:szCs w:val="24"/>
          <w:lang w:val="es-MX"/>
        </w:rPr>
        <w:t>, el INEEL</w:t>
      </w:r>
      <w:r w:rsidR="00DB1F04">
        <w:rPr>
          <w:rFonts w:ascii="Arial" w:hAnsi="Arial" w:cs="Arial"/>
          <w:szCs w:val="24"/>
          <w:lang w:val="es-MX"/>
        </w:rPr>
        <w:t xml:space="preserve"> </w:t>
      </w:r>
      <w:r w:rsidRPr="000E04E6">
        <w:rPr>
          <w:rFonts w:ascii="Arial" w:hAnsi="Arial" w:cs="Arial"/>
          <w:szCs w:val="24"/>
          <w:lang w:val="es-MX"/>
        </w:rPr>
        <w:t xml:space="preserve">se encargará de verificar y validar la capacidad obtenida por los pozos, con objeto de declarar o no </w:t>
      </w:r>
      <w:r>
        <w:rPr>
          <w:rFonts w:ascii="Arial" w:hAnsi="Arial" w:cs="Arial"/>
          <w:szCs w:val="24"/>
          <w:lang w:val="es-MX"/>
        </w:rPr>
        <w:t>el é</w:t>
      </w:r>
      <w:r w:rsidRPr="000E04E6">
        <w:rPr>
          <w:rFonts w:ascii="Arial" w:hAnsi="Arial" w:cs="Arial"/>
          <w:szCs w:val="24"/>
          <w:lang w:val="es-MX"/>
        </w:rPr>
        <w:t xml:space="preserve">xito </w:t>
      </w:r>
      <w:r>
        <w:rPr>
          <w:rFonts w:ascii="Arial" w:hAnsi="Arial" w:cs="Arial"/>
          <w:szCs w:val="24"/>
          <w:lang w:val="es-MX"/>
        </w:rPr>
        <w:t>d</w:t>
      </w:r>
      <w:r w:rsidRPr="000E04E6">
        <w:rPr>
          <w:rFonts w:ascii="Arial" w:hAnsi="Arial" w:cs="Arial"/>
          <w:szCs w:val="24"/>
          <w:lang w:val="es-MX"/>
        </w:rPr>
        <w:t>el proyecto. Cualquier inconformidad sobre este resultado, deberá ser impugnado por los interesados en un plazo no mayor de 90 días.</w:t>
      </w:r>
      <w:r>
        <w:rPr>
          <w:rFonts w:ascii="Arial" w:hAnsi="Arial" w:cs="Arial"/>
          <w:szCs w:val="24"/>
          <w:lang w:val="es-MX"/>
        </w:rPr>
        <w:t xml:space="preserve"> </w:t>
      </w:r>
      <w:r w:rsidRPr="000E04E6">
        <w:rPr>
          <w:rFonts w:ascii="Arial" w:hAnsi="Arial" w:cs="Arial"/>
          <w:szCs w:val="24"/>
          <w:lang w:val="es-MX"/>
        </w:rPr>
        <w:t xml:space="preserve">Los costos que se generen para llevar a cabo este nuevo </w:t>
      </w:r>
      <w:r w:rsidR="00686CEB" w:rsidRPr="000E04E6">
        <w:rPr>
          <w:rFonts w:ascii="Arial" w:hAnsi="Arial" w:cs="Arial"/>
          <w:szCs w:val="24"/>
          <w:lang w:val="es-MX"/>
        </w:rPr>
        <w:t>análisis</w:t>
      </w:r>
      <w:r w:rsidRPr="000E04E6">
        <w:rPr>
          <w:rFonts w:ascii="Arial" w:hAnsi="Arial" w:cs="Arial"/>
          <w:szCs w:val="24"/>
          <w:lang w:val="es-MX"/>
        </w:rPr>
        <w:t xml:space="preserve"> serán cubiertos por la parte inconforme.</w:t>
      </w:r>
    </w:p>
    <w:p w14:paraId="02A22F2F" w14:textId="7EA694AF" w:rsidR="0064412E" w:rsidRDefault="0064412E" w:rsidP="009067BA">
      <w:pPr>
        <w:pStyle w:val="Paragraph"/>
        <w:numPr>
          <w:ilvl w:val="0"/>
          <w:numId w:val="42"/>
        </w:numPr>
        <w:tabs>
          <w:tab w:val="left" w:pos="709"/>
        </w:tabs>
        <w:ind w:hanging="786"/>
        <w:outlineLvl w:val="9"/>
        <w:rPr>
          <w:rFonts w:ascii="Arial" w:hAnsi="Arial" w:cs="Arial"/>
          <w:szCs w:val="24"/>
          <w:lang w:val="es-MX"/>
        </w:rPr>
      </w:pPr>
      <w:r>
        <w:rPr>
          <w:rFonts w:ascii="Arial" w:hAnsi="Arial" w:cs="Arial"/>
          <w:szCs w:val="24"/>
          <w:lang w:val="es-MX"/>
        </w:rPr>
        <w:lastRenderedPageBreak/>
        <w:t xml:space="preserve">Al finalizar la perforación </w:t>
      </w:r>
      <w:r w:rsidR="0020668C">
        <w:rPr>
          <w:rFonts w:ascii="Arial" w:hAnsi="Arial" w:cs="Arial"/>
          <w:szCs w:val="24"/>
          <w:lang w:val="es-MX"/>
        </w:rPr>
        <w:t>correspondiente al crédito</w:t>
      </w:r>
      <w:r w:rsidR="00BC449E">
        <w:rPr>
          <w:rFonts w:ascii="Arial" w:hAnsi="Arial" w:cs="Arial"/>
          <w:szCs w:val="24"/>
          <w:lang w:val="es-MX"/>
        </w:rPr>
        <w:t xml:space="preserve"> de mitigación de riesgo</w:t>
      </w:r>
      <w:r w:rsidR="0020668C">
        <w:rPr>
          <w:rFonts w:ascii="Arial" w:hAnsi="Arial" w:cs="Arial"/>
          <w:szCs w:val="24"/>
          <w:lang w:val="es-MX"/>
        </w:rPr>
        <w:t xml:space="preserve"> exploratorio</w:t>
      </w:r>
      <w:r>
        <w:rPr>
          <w:rFonts w:ascii="Arial" w:hAnsi="Arial" w:cs="Arial"/>
          <w:szCs w:val="24"/>
          <w:lang w:val="es-MX"/>
        </w:rPr>
        <w:t xml:space="preserve">, se hará una nueva evaluación sobre la producción real total. Para declarar un proyecto exitoso, </w:t>
      </w:r>
      <w:r w:rsidR="0020668C">
        <w:rPr>
          <w:rFonts w:ascii="Arial" w:hAnsi="Arial" w:cs="Arial"/>
          <w:szCs w:val="24"/>
          <w:lang w:val="es-MX"/>
        </w:rPr>
        <w:t xml:space="preserve">el conjunto de pozos financiados mediante el crédito exploratorio asegurado </w:t>
      </w:r>
      <w:r>
        <w:rPr>
          <w:rFonts w:ascii="Arial" w:hAnsi="Arial" w:cs="Arial"/>
          <w:szCs w:val="24"/>
          <w:lang w:val="es-MX"/>
        </w:rPr>
        <w:t xml:space="preserve">deberá generar </w:t>
      </w:r>
      <w:r w:rsidR="0020668C">
        <w:rPr>
          <w:rFonts w:ascii="Arial" w:hAnsi="Arial" w:cs="Arial"/>
          <w:szCs w:val="24"/>
          <w:lang w:val="es-MX"/>
        </w:rPr>
        <w:t xml:space="preserve">vapor con una energía eléctrica equivalente </w:t>
      </w:r>
      <w:r>
        <w:rPr>
          <w:rFonts w:ascii="Arial" w:hAnsi="Arial" w:cs="Arial"/>
          <w:szCs w:val="24"/>
          <w:lang w:val="es-MX"/>
        </w:rPr>
        <w:t xml:space="preserve">al menos </w:t>
      </w:r>
      <w:r w:rsidR="0020668C">
        <w:rPr>
          <w:rFonts w:ascii="Arial" w:hAnsi="Arial" w:cs="Arial"/>
          <w:szCs w:val="24"/>
          <w:lang w:val="es-MX"/>
        </w:rPr>
        <w:t xml:space="preserve">el 66% de la capacidad de la planta de </w:t>
      </w:r>
      <w:r w:rsidR="00F15A11">
        <w:rPr>
          <w:rFonts w:ascii="Arial" w:hAnsi="Arial" w:cs="Arial"/>
          <w:szCs w:val="24"/>
          <w:lang w:val="es-MX"/>
        </w:rPr>
        <w:t>generación.</w:t>
      </w:r>
      <w:r>
        <w:rPr>
          <w:rFonts w:ascii="Arial" w:hAnsi="Arial" w:cs="Arial"/>
          <w:szCs w:val="24"/>
          <w:lang w:val="es-MX"/>
        </w:rPr>
        <w:t xml:space="preserve"> En caso contrario, NAFIN reclamará </w:t>
      </w:r>
      <w:r w:rsidR="0020668C">
        <w:rPr>
          <w:rFonts w:ascii="Arial" w:hAnsi="Arial" w:cs="Arial"/>
          <w:szCs w:val="24"/>
          <w:lang w:val="es-MX"/>
        </w:rPr>
        <w:t>las garantías del crédito</w:t>
      </w:r>
      <w:r>
        <w:rPr>
          <w:rFonts w:ascii="Arial" w:hAnsi="Arial" w:cs="Arial"/>
          <w:szCs w:val="24"/>
          <w:lang w:val="es-MX"/>
        </w:rPr>
        <w:t xml:space="preserve"> bajo el siguiente criterio:</w:t>
      </w:r>
    </w:p>
    <w:p w14:paraId="22F8D154" w14:textId="77777777" w:rsidR="000F1903" w:rsidRPr="00F15A11" w:rsidRDefault="0064412E" w:rsidP="00F15A11">
      <w:pPr>
        <w:pStyle w:val="Paragraph"/>
        <w:numPr>
          <w:ilvl w:val="0"/>
          <w:numId w:val="43"/>
        </w:numPr>
        <w:ind w:left="1506"/>
        <w:outlineLvl w:val="9"/>
        <w:rPr>
          <w:rFonts w:ascii="Arial" w:hAnsi="Arial" w:cs="Arial"/>
          <w:szCs w:val="24"/>
          <w:lang w:val="es-MX"/>
        </w:rPr>
      </w:pPr>
      <w:r w:rsidRPr="00F15A11">
        <w:rPr>
          <w:rFonts w:ascii="Arial" w:hAnsi="Arial" w:cs="Arial"/>
          <w:szCs w:val="24"/>
          <w:lang w:val="es-MX"/>
        </w:rPr>
        <w:t xml:space="preserve">Se contabilizará la </w:t>
      </w:r>
      <w:r w:rsidR="0020668C" w:rsidRPr="00F15A11">
        <w:rPr>
          <w:rFonts w:ascii="Arial" w:hAnsi="Arial" w:cs="Arial"/>
          <w:szCs w:val="24"/>
          <w:lang w:val="es-MX"/>
        </w:rPr>
        <w:t>producción real total de los pozos financiados</w:t>
      </w:r>
      <w:r w:rsidR="00F15A11">
        <w:rPr>
          <w:rFonts w:ascii="Arial" w:hAnsi="Arial" w:cs="Arial"/>
          <w:szCs w:val="24"/>
          <w:lang w:val="es-MX"/>
        </w:rPr>
        <w:t>.</w:t>
      </w:r>
    </w:p>
    <w:p w14:paraId="3E834049" w14:textId="77777777" w:rsidR="000F1903" w:rsidRPr="00F15A11" w:rsidRDefault="000F1903" w:rsidP="00F15A11">
      <w:pPr>
        <w:pStyle w:val="Paragraph"/>
        <w:numPr>
          <w:ilvl w:val="0"/>
          <w:numId w:val="43"/>
        </w:numPr>
        <w:ind w:left="1506"/>
        <w:outlineLvl w:val="9"/>
        <w:rPr>
          <w:rFonts w:ascii="Arial" w:hAnsi="Arial" w:cs="Arial"/>
          <w:szCs w:val="24"/>
          <w:lang w:val="es-MX"/>
        </w:rPr>
      </w:pPr>
      <w:r w:rsidRPr="00F15A11">
        <w:rPr>
          <w:rFonts w:ascii="Arial" w:hAnsi="Arial" w:cs="Arial"/>
          <w:szCs w:val="24"/>
          <w:lang w:val="es-MX"/>
        </w:rPr>
        <w:t>Se calculará la diferencia entre la producción real total y la producción real asegurada (mínimo 66% de la capacidad de la planta de generación)</w:t>
      </w:r>
      <w:r w:rsidR="00F15A11">
        <w:rPr>
          <w:rFonts w:ascii="Arial" w:hAnsi="Arial" w:cs="Arial"/>
          <w:szCs w:val="24"/>
          <w:lang w:val="es-MX"/>
        </w:rPr>
        <w:t>.</w:t>
      </w:r>
    </w:p>
    <w:p w14:paraId="4C4606E9" w14:textId="77777777" w:rsidR="0064412E" w:rsidRPr="00F15A11" w:rsidRDefault="0005009A" w:rsidP="00F15A11">
      <w:pPr>
        <w:pStyle w:val="Paragraph"/>
        <w:numPr>
          <w:ilvl w:val="0"/>
          <w:numId w:val="43"/>
        </w:numPr>
        <w:ind w:left="1506"/>
        <w:outlineLvl w:val="9"/>
        <w:rPr>
          <w:rFonts w:ascii="Arial" w:hAnsi="Arial" w:cs="Arial"/>
          <w:szCs w:val="24"/>
          <w:lang w:val="es-MX"/>
        </w:rPr>
      </w:pPr>
      <w:r>
        <w:rPr>
          <w:rFonts w:ascii="Arial" w:hAnsi="Arial" w:cs="Arial"/>
          <w:szCs w:val="24"/>
          <w:lang w:val="es-MX"/>
        </w:rPr>
        <w:t>La aseguradora contratada p</w:t>
      </w:r>
      <w:r w:rsidR="0064412E" w:rsidRPr="00F15A11">
        <w:rPr>
          <w:rFonts w:ascii="Arial" w:hAnsi="Arial" w:cs="Arial"/>
          <w:szCs w:val="24"/>
          <w:lang w:val="es-MX"/>
        </w:rPr>
        <w:t>agará por MW</w:t>
      </w:r>
      <w:r w:rsidR="0020668C" w:rsidRPr="00F15A11">
        <w:rPr>
          <w:rFonts w:ascii="Arial" w:hAnsi="Arial" w:cs="Arial"/>
          <w:szCs w:val="24"/>
          <w:lang w:val="es-MX"/>
        </w:rPr>
        <w:t xml:space="preserve"> eléctrico equivalente</w:t>
      </w:r>
      <w:r w:rsidR="0064412E" w:rsidRPr="00F15A11">
        <w:rPr>
          <w:rFonts w:ascii="Arial" w:hAnsi="Arial" w:cs="Arial"/>
          <w:szCs w:val="24"/>
          <w:lang w:val="es-MX"/>
        </w:rPr>
        <w:t xml:space="preserve"> faltante</w:t>
      </w:r>
      <w:r w:rsidR="0020668C" w:rsidRPr="00F15A11">
        <w:rPr>
          <w:rFonts w:ascii="Arial" w:hAnsi="Arial" w:cs="Arial"/>
          <w:szCs w:val="24"/>
          <w:lang w:val="es-MX"/>
        </w:rPr>
        <w:t xml:space="preserve"> de acuerdo a las condiciones establecidas en la póliza de segur</w:t>
      </w:r>
      <w:r w:rsidR="00E95C91" w:rsidRPr="00F15A11">
        <w:rPr>
          <w:rFonts w:ascii="Arial" w:hAnsi="Arial" w:cs="Arial"/>
          <w:szCs w:val="24"/>
          <w:lang w:val="es-MX"/>
        </w:rPr>
        <w:t>o y el contrato de crédito</w:t>
      </w:r>
      <w:r w:rsidR="00F15A11">
        <w:rPr>
          <w:rFonts w:ascii="Arial" w:hAnsi="Arial" w:cs="Arial"/>
          <w:szCs w:val="24"/>
          <w:lang w:val="es-MX"/>
        </w:rPr>
        <w:t>.</w:t>
      </w:r>
      <w:r w:rsidR="0064412E" w:rsidRPr="00F15A11">
        <w:rPr>
          <w:rFonts w:ascii="Arial" w:hAnsi="Arial" w:cs="Arial"/>
          <w:szCs w:val="24"/>
          <w:lang w:val="es-MX"/>
        </w:rPr>
        <w:t xml:space="preserve"> </w:t>
      </w:r>
    </w:p>
    <w:p w14:paraId="3584030B" w14:textId="77777777" w:rsidR="0064412E" w:rsidRPr="00E53752" w:rsidRDefault="0064412E" w:rsidP="00F15A11">
      <w:pPr>
        <w:pStyle w:val="Paragraph"/>
        <w:numPr>
          <w:ilvl w:val="0"/>
          <w:numId w:val="0"/>
        </w:numPr>
        <w:ind w:left="2160"/>
        <w:outlineLvl w:val="9"/>
        <w:rPr>
          <w:rFonts w:ascii="Arial" w:hAnsi="Arial" w:cs="Arial"/>
          <w:szCs w:val="24"/>
          <w:highlight w:val="yellow"/>
          <w:lang w:val="es-MX"/>
        </w:rPr>
      </w:pPr>
      <w:r w:rsidRPr="00F15A11">
        <w:rPr>
          <w:rFonts w:ascii="Arial" w:hAnsi="Arial" w:cs="Arial"/>
          <w:szCs w:val="24"/>
          <w:lang w:val="es-MX"/>
        </w:rPr>
        <w:t>Como un ejemplo</w:t>
      </w:r>
      <w:r w:rsidR="00122C7B">
        <w:rPr>
          <w:rFonts w:ascii="Arial" w:hAnsi="Arial" w:cs="Arial"/>
          <w:szCs w:val="24"/>
          <w:lang w:val="es-MX"/>
        </w:rPr>
        <w:t>;</w:t>
      </w:r>
      <w:r w:rsidR="00E95C91" w:rsidRPr="00F15A11">
        <w:rPr>
          <w:rFonts w:ascii="Arial" w:hAnsi="Arial" w:cs="Arial"/>
          <w:szCs w:val="24"/>
          <w:lang w:val="es-MX"/>
        </w:rPr>
        <w:t xml:space="preserve"> para una producción total asegurada de 21 MWel</w:t>
      </w:r>
      <w:r w:rsidR="00E95C91" w:rsidRPr="00F15A11">
        <w:rPr>
          <w:rFonts w:ascii="Arial" w:hAnsi="Arial" w:cs="Arial"/>
          <w:szCs w:val="24"/>
          <w:vertAlign w:val="subscript"/>
          <w:lang w:val="es-MX"/>
        </w:rPr>
        <w:t>eq</w:t>
      </w:r>
      <w:r w:rsidR="00E95C91" w:rsidRPr="00F15A11">
        <w:rPr>
          <w:rFonts w:ascii="Arial" w:hAnsi="Arial" w:cs="Arial"/>
          <w:szCs w:val="24"/>
          <w:lang w:val="es-MX"/>
        </w:rPr>
        <w:t>, una producción real total de 16.2 MWel</w:t>
      </w:r>
      <w:r w:rsidR="00E95C91" w:rsidRPr="00F15A11">
        <w:rPr>
          <w:rFonts w:ascii="Arial" w:hAnsi="Arial" w:cs="Arial"/>
          <w:szCs w:val="24"/>
          <w:vertAlign w:val="subscript"/>
          <w:lang w:val="es-MX"/>
        </w:rPr>
        <w:t>eq</w:t>
      </w:r>
      <w:r w:rsidR="000F1903" w:rsidRPr="00F15A11">
        <w:rPr>
          <w:rFonts w:ascii="Arial" w:hAnsi="Arial" w:cs="Arial"/>
          <w:szCs w:val="24"/>
          <w:lang w:val="es-MX"/>
        </w:rPr>
        <w:t xml:space="preserve"> y</w:t>
      </w:r>
      <w:r w:rsidR="00E95C91" w:rsidRPr="00F15A11">
        <w:rPr>
          <w:rFonts w:ascii="Arial" w:hAnsi="Arial" w:cs="Arial"/>
          <w:szCs w:val="24"/>
          <w:lang w:val="es-MX"/>
        </w:rPr>
        <w:t xml:space="preserve"> un pago establecido por MWel</w:t>
      </w:r>
      <w:r w:rsidR="00E95C91" w:rsidRPr="00F15A11">
        <w:rPr>
          <w:rFonts w:ascii="Arial" w:hAnsi="Arial" w:cs="Arial"/>
          <w:szCs w:val="24"/>
          <w:vertAlign w:val="subscript"/>
          <w:lang w:val="es-MX"/>
        </w:rPr>
        <w:t>eq</w:t>
      </w:r>
      <w:r w:rsidR="00E95C91" w:rsidRPr="00F15A11">
        <w:rPr>
          <w:rFonts w:ascii="Arial" w:hAnsi="Arial" w:cs="Arial"/>
          <w:szCs w:val="24"/>
          <w:lang w:val="es-MX"/>
        </w:rPr>
        <w:t xml:space="preserve"> de 2.4 MUSD por MWel</w:t>
      </w:r>
      <w:r w:rsidR="00E95C91" w:rsidRPr="00F15A11">
        <w:rPr>
          <w:rFonts w:ascii="Arial" w:hAnsi="Arial" w:cs="Arial"/>
          <w:szCs w:val="24"/>
          <w:vertAlign w:val="subscript"/>
          <w:lang w:val="es-MX"/>
        </w:rPr>
        <w:t>eq</w:t>
      </w:r>
      <w:r w:rsidR="00E95C91" w:rsidRPr="00F15A11">
        <w:rPr>
          <w:rFonts w:ascii="Arial" w:hAnsi="Arial" w:cs="Arial"/>
          <w:szCs w:val="24"/>
          <w:lang w:val="es-MX"/>
        </w:rPr>
        <w:t xml:space="preserve"> faltante se pagarán </w:t>
      </w:r>
      <w:r w:rsidR="000F1903" w:rsidRPr="00F15A11">
        <w:rPr>
          <w:rFonts w:ascii="Arial" w:hAnsi="Arial" w:cs="Arial"/>
          <w:szCs w:val="24"/>
          <w:lang w:val="es-MX"/>
        </w:rPr>
        <w:t xml:space="preserve">11.52 MUSD = </w:t>
      </w:r>
      <w:r w:rsidRPr="00F15A11">
        <w:rPr>
          <w:rFonts w:ascii="Arial" w:hAnsi="Arial" w:cs="Arial"/>
          <w:szCs w:val="24"/>
          <w:lang w:val="es-MX"/>
        </w:rPr>
        <w:t xml:space="preserve"> </w:t>
      </w:r>
      <w:r w:rsidR="000F1903" w:rsidRPr="00F15A11">
        <w:rPr>
          <w:rFonts w:ascii="Arial" w:hAnsi="Arial" w:cs="Arial"/>
          <w:szCs w:val="24"/>
          <w:lang w:val="es-MX"/>
        </w:rPr>
        <w:t>(</w:t>
      </w:r>
      <w:r w:rsidRPr="00F15A11">
        <w:rPr>
          <w:rFonts w:ascii="Arial" w:hAnsi="Arial" w:cs="Arial"/>
          <w:szCs w:val="24"/>
          <w:lang w:val="es-MX"/>
        </w:rPr>
        <w:t>21–16.2</w:t>
      </w:r>
      <w:r w:rsidR="000F1903" w:rsidRPr="00F15A11">
        <w:rPr>
          <w:rFonts w:ascii="Arial" w:hAnsi="Arial" w:cs="Arial"/>
          <w:szCs w:val="24"/>
          <w:lang w:val="es-MX"/>
        </w:rPr>
        <w:t>)*2.4</w:t>
      </w:r>
      <w:r w:rsidR="00F15A11">
        <w:rPr>
          <w:rFonts w:ascii="Arial" w:hAnsi="Arial" w:cs="Arial"/>
          <w:szCs w:val="24"/>
          <w:lang w:val="es-MX"/>
        </w:rPr>
        <w:t>.</w:t>
      </w:r>
    </w:p>
    <w:p w14:paraId="24759424" w14:textId="77777777" w:rsidR="0064412E" w:rsidRPr="0005009A" w:rsidRDefault="0064412E" w:rsidP="009067BA">
      <w:pPr>
        <w:pStyle w:val="Paragraph"/>
        <w:numPr>
          <w:ilvl w:val="0"/>
          <w:numId w:val="42"/>
        </w:numPr>
        <w:tabs>
          <w:tab w:val="left" w:pos="709"/>
        </w:tabs>
        <w:ind w:hanging="786"/>
        <w:outlineLvl w:val="9"/>
        <w:rPr>
          <w:rFonts w:ascii="Arial" w:hAnsi="Arial" w:cs="Arial"/>
          <w:szCs w:val="24"/>
          <w:lang w:val="es-MX"/>
        </w:rPr>
      </w:pPr>
      <w:r>
        <w:rPr>
          <w:rFonts w:ascii="Arial" w:hAnsi="Arial" w:cs="Arial"/>
          <w:szCs w:val="24"/>
          <w:lang w:val="es-MX"/>
        </w:rPr>
        <w:tab/>
        <w:t xml:space="preserve">En caso de que el monto recuperado mediante este procedimiento, sea menor al monto del crédito otorgado por NAFIN, los bienes del proyecto serán adjudicados a ésta para su venta, de acuerdo con la normatividad del área de crédito, a fin de </w:t>
      </w:r>
      <w:r w:rsidRPr="0005009A">
        <w:rPr>
          <w:rFonts w:ascii="Arial" w:hAnsi="Arial" w:cs="Arial"/>
          <w:szCs w:val="24"/>
          <w:lang w:val="es-MX"/>
        </w:rPr>
        <w:t>recuperar hasta el monto total del financiamiento otorgado a la EGER. El resto de los bienes que no sean vendidos por NAFIN, quedarán en propiedad de la EGER.</w:t>
      </w:r>
    </w:p>
    <w:p w14:paraId="4DC0E612" w14:textId="77777777" w:rsidR="000F1903" w:rsidRPr="0005009A" w:rsidRDefault="00CE6575" w:rsidP="009067BA">
      <w:pPr>
        <w:pStyle w:val="Paragraph"/>
        <w:numPr>
          <w:ilvl w:val="0"/>
          <w:numId w:val="42"/>
        </w:numPr>
        <w:tabs>
          <w:tab w:val="left" w:pos="709"/>
        </w:tabs>
        <w:ind w:hanging="786"/>
        <w:outlineLvl w:val="9"/>
        <w:rPr>
          <w:rFonts w:ascii="Arial" w:hAnsi="Arial" w:cs="Arial"/>
          <w:szCs w:val="24"/>
          <w:lang w:val="es-MX"/>
        </w:rPr>
      </w:pPr>
      <w:r w:rsidRPr="0005009A">
        <w:rPr>
          <w:rFonts w:ascii="Arial" w:hAnsi="Arial" w:cs="Arial"/>
          <w:szCs w:val="24"/>
          <w:lang w:val="es-MX"/>
        </w:rPr>
        <w:t xml:space="preserve"> </w:t>
      </w:r>
      <w:r w:rsidR="000F1903" w:rsidRPr="0005009A">
        <w:rPr>
          <w:rFonts w:ascii="Arial" w:hAnsi="Arial" w:cs="Arial"/>
          <w:szCs w:val="24"/>
          <w:lang w:val="es-MX"/>
        </w:rPr>
        <w:t>En caso de</w:t>
      </w:r>
      <w:r w:rsidRPr="0005009A">
        <w:rPr>
          <w:rFonts w:ascii="Arial" w:hAnsi="Arial" w:cs="Arial"/>
          <w:szCs w:val="24"/>
          <w:lang w:val="es-MX"/>
        </w:rPr>
        <w:t xml:space="preserve"> que, el producto de la venta de los bienes del proyecto sea</w:t>
      </w:r>
      <w:r w:rsidR="000F1903" w:rsidRPr="0005009A">
        <w:rPr>
          <w:rFonts w:ascii="Arial" w:hAnsi="Arial" w:cs="Arial"/>
          <w:szCs w:val="24"/>
          <w:lang w:val="es-MX"/>
        </w:rPr>
        <w:t xml:space="preserve"> insuficientes para recuperar el monto total del financiamiento</w:t>
      </w:r>
      <w:r w:rsidRPr="0005009A">
        <w:rPr>
          <w:rFonts w:ascii="Arial" w:hAnsi="Arial" w:cs="Arial"/>
          <w:szCs w:val="24"/>
          <w:lang w:val="es-MX"/>
        </w:rPr>
        <w:t>,</w:t>
      </w:r>
      <w:r w:rsidR="000F1903" w:rsidRPr="0005009A">
        <w:rPr>
          <w:rFonts w:ascii="Arial" w:hAnsi="Arial" w:cs="Arial"/>
          <w:szCs w:val="24"/>
          <w:lang w:val="es-MX"/>
        </w:rPr>
        <w:t xml:space="preserve"> el remanente podrá ser cubierto de manera subordinada por las garantías contratadas respaldadas por los recursos de la Cooperación Contingente GRT/TC-14424-ME</w:t>
      </w:r>
    </w:p>
    <w:p w14:paraId="7C4714D4" w14:textId="77777777" w:rsidR="0064412E" w:rsidRDefault="00F43729" w:rsidP="009067BA">
      <w:pPr>
        <w:pStyle w:val="Paragraph"/>
        <w:numPr>
          <w:ilvl w:val="0"/>
          <w:numId w:val="42"/>
        </w:numPr>
        <w:tabs>
          <w:tab w:val="left" w:pos="709"/>
        </w:tabs>
        <w:ind w:hanging="786"/>
        <w:outlineLvl w:val="9"/>
        <w:rPr>
          <w:rFonts w:ascii="Arial" w:hAnsi="Arial" w:cs="Arial"/>
          <w:szCs w:val="24"/>
          <w:lang w:val="es-MX"/>
        </w:rPr>
      </w:pPr>
      <w:r>
        <w:rPr>
          <w:rFonts w:ascii="Arial" w:hAnsi="Arial" w:cs="Arial"/>
          <w:szCs w:val="24"/>
          <w:lang w:val="es-MX"/>
        </w:rPr>
        <w:t xml:space="preserve"> </w:t>
      </w:r>
      <w:r w:rsidR="0083498F">
        <w:rPr>
          <w:rFonts w:ascii="Arial" w:hAnsi="Arial" w:cs="Arial"/>
          <w:szCs w:val="24"/>
          <w:lang w:val="es-MX"/>
        </w:rPr>
        <w:t>En caso de que el proyecto se haya declarado exitoso, con una generación de al menos el 66% de la capacidad de la planta de generación y se hayan cumplido todas las condiciones establecidas en el contrato de financiamiento, NAFIN apoyará, en su caso y una vez evaluado el riesgo crediticio y de mercado, al promotor con un financiamiento directo para el desarrollo del proyecto en sus etapas de producción y construcción en una proporción en acorde con el sistema normativo de crédito, con fondeo de los créditos autorizados por el BID y el CTF a NAFIN, y otros posibles fondeadores, en su caso.</w:t>
      </w:r>
      <w:r w:rsidR="0064412E">
        <w:rPr>
          <w:rFonts w:ascii="Arial" w:hAnsi="Arial" w:cs="Arial"/>
          <w:szCs w:val="24"/>
          <w:lang w:val="es-MX"/>
        </w:rPr>
        <w:t xml:space="preserve"> </w:t>
      </w:r>
    </w:p>
    <w:p w14:paraId="4DF7167B" w14:textId="77777777" w:rsidR="00230812" w:rsidRPr="00A9618E" w:rsidRDefault="00230812" w:rsidP="000A37CF">
      <w:pPr>
        <w:pStyle w:val="Heading3"/>
        <w:tabs>
          <w:tab w:val="clear" w:pos="1800"/>
          <w:tab w:val="num" w:pos="810"/>
        </w:tabs>
        <w:spacing w:after="240"/>
        <w:ind w:left="0"/>
        <w:rPr>
          <w:b/>
          <w:sz w:val="32"/>
        </w:rPr>
      </w:pPr>
      <w:bookmarkStart w:id="58" w:name="_Toc321244866"/>
      <w:bookmarkStart w:id="59" w:name="_Toc450149558"/>
      <w:r w:rsidRPr="00A9618E">
        <w:rPr>
          <w:b/>
          <w:sz w:val="32"/>
        </w:rPr>
        <w:t xml:space="preserve">Restricciones en el Uso de Recursos del </w:t>
      </w:r>
      <w:bookmarkEnd w:id="49"/>
      <w:bookmarkEnd w:id="50"/>
      <w:bookmarkEnd w:id="51"/>
      <w:bookmarkEnd w:id="52"/>
      <w:bookmarkEnd w:id="53"/>
      <w:bookmarkEnd w:id="58"/>
      <w:r w:rsidR="00743CAA" w:rsidRPr="00A9618E">
        <w:rPr>
          <w:b/>
          <w:sz w:val="32"/>
        </w:rPr>
        <w:t>PFTRG</w:t>
      </w:r>
      <w:bookmarkEnd w:id="59"/>
    </w:p>
    <w:p w14:paraId="1B264421" w14:textId="77777777" w:rsidR="00230812" w:rsidRPr="004D4A56" w:rsidRDefault="000E3F0A" w:rsidP="00203C72">
      <w:pPr>
        <w:pStyle w:val="ListParagraph"/>
        <w:numPr>
          <w:ilvl w:val="0"/>
          <w:numId w:val="44"/>
        </w:numPr>
        <w:tabs>
          <w:tab w:val="left" w:pos="709"/>
        </w:tabs>
        <w:spacing w:after="120"/>
        <w:ind w:hanging="862"/>
        <w:jc w:val="both"/>
        <w:rPr>
          <w:rFonts w:ascii="Arial" w:hAnsi="Arial" w:cs="Arial"/>
        </w:rPr>
      </w:pPr>
      <w:bookmarkStart w:id="60" w:name="_Toc321244867"/>
      <w:r w:rsidRPr="004D4A56">
        <w:rPr>
          <w:rFonts w:ascii="Arial" w:hAnsi="Arial" w:cs="Arial"/>
        </w:rPr>
        <w:t xml:space="preserve">Los siguientes conceptos </w:t>
      </w:r>
      <w:r w:rsidR="00EA26BC" w:rsidRPr="004D4A56">
        <w:rPr>
          <w:rFonts w:ascii="Arial" w:hAnsi="Arial" w:cs="Arial"/>
        </w:rPr>
        <w:t>se encuentran restringidos para</w:t>
      </w:r>
      <w:r w:rsidR="00230812" w:rsidRPr="004D4A56">
        <w:rPr>
          <w:rFonts w:ascii="Arial" w:hAnsi="Arial" w:cs="Arial"/>
        </w:rPr>
        <w:t xml:space="preserve"> </w:t>
      </w:r>
      <w:r w:rsidRPr="004D4A56">
        <w:rPr>
          <w:rFonts w:ascii="Arial" w:hAnsi="Arial" w:cs="Arial"/>
        </w:rPr>
        <w:t xml:space="preserve">ser financiados </w:t>
      </w:r>
      <w:r w:rsidR="00230812" w:rsidRPr="004D4A56">
        <w:rPr>
          <w:rFonts w:ascii="Arial" w:hAnsi="Arial" w:cs="Arial"/>
        </w:rPr>
        <w:t xml:space="preserve">con Recursos del </w:t>
      </w:r>
      <w:r w:rsidR="00743CAA" w:rsidRPr="004D4A56">
        <w:rPr>
          <w:rFonts w:ascii="Arial" w:hAnsi="Arial" w:cs="Arial"/>
        </w:rPr>
        <w:t>PFTRG</w:t>
      </w:r>
      <w:r w:rsidR="00230812" w:rsidRPr="004D4A56">
        <w:rPr>
          <w:rFonts w:ascii="Arial" w:hAnsi="Arial" w:cs="Arial"/>
        </w:rPr>
        <w:t>:</w:t>
      </w:r>
      <w:bookmarkEnd w:id="60"/>
    </w:p>
    <w:p w14:paraId="2610587E" w14:textId="77777777" w:rsidR="005E102B" w:rsidRPr="0040721E" w:rsidRDefault="0026003D" w:rsidP="00DB1F04">
      <w:pPr>
        <w:pStyle w:val="subpar"/>
        <w:numPr>
          <w:ilvl w:val="0"/>
          <w:numId w:val="45"/>
        </w:numPr>
        <w:spacing w:before="0" w:after="0"/>
        <w:ind w:left="1800" w:hanging="540"/>
        <w:outlineLvl w:val="9"/>
        <w:rPr>
          <w:rFonts w:ascii="Arial" w:hAnsi="Arial" w:cs="Arial"/>
          <w:szCs w:val="24"/>
          <w:lang w:val="es-MX" w:eastAsia="en-US"/>
        </w:rPr>
      </w:pPr>
      <w:bookmarkStart w:id="61" w:name="_Toc321244868"/>
      <w:r w:rsidRPr="00D6341B">
        <w:rPr>
          <w:rFonts w:ascii="Arial" w:hAnsi="Arial" w:cs="Arial"/>
          <w:szCs w:val="24"/>
          <w:lang w:val="es-MX" w:eastAsia="en-US"/>
        </w:rPr>
        <w:t>Adquisiciones de inmuebles, con excepción de aquellos caso</w:t>
      </w:r>
      <w:r w:rsidRPr="00147E2F">
        <w:rPr>
          <w:rFonts w:ascii="Arial" w:hAnsi="Arial" w:cs="Arial"/>
          <w:szCs w:val="24"/>
          <w:lang w:val="es-MX" w:eastAsia="en-US"/>
        </w:rPr>
        <w:t>s en los que sea</w:t>
      </w:r>
      <w:r w:rsidR="004177DA" w:rsidRPr="0040721E">
        <w:rPr>
          <w:rFonts w:ascii="Arial" w:hAnsi="Arial" w:cs="Arial"/>
          <w:szCs w:val="24"/>
          <w:lang w:val="es-MX" w:eastAsia="en-US"/>
        </w:rPr>
        <w:t>n</w:t>
      </w:r>
      <w:r w:rsidRPr="0040721E">
        <w:rPr>
          <w:rFonts w:ascii="Arial" w:hAnsi="Arial" w:cs="Arial"/>
          <w:szCs w:val="24"/>
          <w:lang w:val="es-MX" w:eastAsia="en-US"/>
        </w:rPr>
        <w:t xml:space="preserve"> directamente vinculad</w:t>
      </w:r>
      <w:r w:rsidR="004177DA" w:rsidRPr="0040721E">
        <w:rPr>
          <w:rFonts w:ascii="Arial" w:hAnsi="Arial" w:cs="Arial"/>
          <w:szCs w:val="24"/>
          <w:lang w:val="es-MX" w:eastAsia="en-US"/>
        </w:rPr>
        <w:t>os</w:t>
      </w:r>
      <w:r w:rsidRPr="0040721E">
        <w:rPr>
          <w:rFonts w:ascii="Arial" w:hAnsi="Arial" w:cs="Arial"/>
          <w:szCs w:val="24"/>
          <w:lang w:val="es-MX" w:eastAsia="en-US"/>
        </w:rPr>
        <w:t xml:space="preserve"> </w:t>
      </w:r>
      <w:r w:rsidR="004177DA" w:rsidRPr="0040721E">
        <w:rPr>
          <w:rFonts w:ascii="Arial" w:hAnsi="Arial" w:cs="Arial"/>
          <w:szCs w:val="24"/>
          <w:lang w:val="es-MX" w:eastAsia="en-US"/>
        </w:rPr>
        <w:t>con</w:t>
      </w:r>
      <w:r w:rsidRPr="0040721E">
        <w:rPr>
          <w:rFonts w:ascii="Arial" w:hAnsi="Arial" w:cs="Arial"/>
          <w:szCs w:val="24"/>
          <w:lang w:val="es-MX" w:eastAsia="en-US"/>
        </w:rPr>
        <w:t xml:space="preserve"> </w:t>
      </w:r>
      <w:r w:rsidR="000E3F0A" w:rsidRPr="0040721E">
        <w:rPr>
          <w:rFonts w:ascii="Arial" w:hAnsi="Arial" w:cs="Arial"/>
          <w:szCs w:val="24"/>
          <w:lang w:val="es-MX" w:eastAsia="en-US"/>
        </w:rPr>
        <w:t xml:space="preserve">la </w:t>
      </w:r>
      <w:r w:rsidRPr="0040721E">
        <w:rPr>
          <w:rFonts w:ascii="Arial" w:hAnsi="Arial" w:cs="Arial"/>
          <w:szCs w:val="24"/>
          <w:lang w:val="es-MX" w:eastAsia="en-US"/>
        </w:rPr>
        <w:t xml:space="preserve">realización de un </w:t>
      </w:r>
      <w:r w:rsidRPr="0040721E">
        <w:rPr>
          <w:rFonts w:ascii="Arial" w:hAnsi="Arial" w:cs="Arial"/>
          <w:szCs w:val="24"/>
          <w:lang w:val="es-MX"/>
        </w:rPr>
        <w:t>proyecto</w:t>
      </w:r>
      <w:r w:rsidR="00B571BE">
        <w:rPr>
          <w:rFonts w:ascii="Arial" w:hAnsi="Arial" w:cs="Arial"/>
          <w:szCs w:val="24"/>
          <w:lang w:val="es-MX"/>
        </w:rPr>
        <w:t xml:space="preserve"> de energía geotérmica</w:t>
      </w:r>
      <w:r w:rsidRPr="0040721E">
        <w:rPr>
          <w:rFonts w:ascii="Arial" w:hAnsi="Arial" w:cs="Arial"/>
          <w:szCs w:val="24"/>
          <w:lang w:val="es-MX"/>
        </w:rPr>
        <w:t>;</w:t>
      </w:r>
      <w:bookmarkEnd w:id="61"/>
    </w:p>
    <w:p w14:paraId="5C1F9D95" w14:textId="77777777" w:rsidR="005E102B" w:rsidRPr="0040721E" w:rsidRDefault="00FA6110" w:rsidP="00DB1F04">
      <w:pPr>
        <w:pStyle w:val="subpar"/>
        <w:numPr>
          <w:ilvl w:val="0"/>
          <w:numId w:val="45"/>
        </w:numPr>
        <w:spacing w:before="0" w:after="0"/>
        <w:ind w:left="1800" w:hanging="540"/>
        <w:outlineLvl w:val="9"/>
        <w:rPr>
          <w:rFonts w:ascii="Arial" w:hAnsi="Arial" w:cs="Arial"/>
          <w:szCs w:val="24"/>
          <w:lang w:val="es-MX" w:eastAsia="en-US"/>
        </w:rPr>
      </w:pPr>
      <w:bookmarkStart w:id="62" w:name="_Toc321244869"/>
      <w:r w:rsidRPr="0040721E">
        <w:rPr>
          <w:rFonts w:ascii="Arial" w:hAnsi="Arial" w:cs="Arial"/>
          <w:szCs w:val="24"/>
          <w:lang w:val="es-MX" w:eastAsia="en-US"/>
        </w:rPr>
        <w:t xml:space="preserve">Actividades </w:t>
      </w:r>
      <w:r w:rsidR="000E3F0A" w:rsidRPr="0040721E">
        <w:rPr>
          <w:rFonts w:ascii="Arial" w:hAnsi="Arial" w:cs="Arial"/>
          <w:szCs w:val="24"/>
          <w:lang w:val="es-MX" w:eastAsia="en-US"/>
        </w:rPr>
        <w:t>incluidas</w:t>
      </w:r>
      <w:r w:rsidRPr="0040721E">
        <w:rPr>
          <w:rFonts w:ascii="Arial" w:hAnsi="Arial" w:cs="Arial"/>
          <w:szCs w:val="24"/>
          <w:lang w:val="es-MX" w:eastAsia="en-US"/>
        </w:rPr>
        <w:t xml:space="preserve"> en la lista de exclusión </w:t>
      </w:r>
      <w:r w:rsidR="00230812" w:rsidRPr="0040721E">
        <w:rPr>
          <w:rFonts w:ascii="Arial" w:hAnsi="Arial" w:cs="Arial"/>
          <w:szCs w:val="24"/>
          <w:lang w:val="es-MX" w:eastAsia="en-US"/>
        </w:rPr>
        <w:t xml:space="preserve">(Anexo </w:t>
      </w:r>
      <w:r w:rsidR="00A244B7" w:rsidRPr="0040721E">
        <w:rPr>
          <w:rFonts w:ascii="Arial" w:hAnsi="Arial" w:cs="Arial"/>
          <w:szCs w:val="24"/>
          <w:lang w:val="es-MX" w:eastAsia="en-US"/>
        </w:rPr>
        <w:t>B</w:t>
      </w:r>
      <w:r w:rsidR="00230812" w:rsidRPr="0040721E">
        <w:rPr>
          <w:rFonts w:ascii="Arial" w:hAnsi="Arial" w:cs="Arial"/>
          <w:szCs w:val="24"/>
          <w:lang w:val="es-MX" w:eastAsia="en-US"/>
        </w:rPr>
        <w:t>)</w:t>
      </w:r>
      <w:r w:rsidR="00380C0F" w:rsidRPr="0040721E">
        <w:rPr>
          <w:rFonts w:ascii="Arial" w:hAnsi="Arial" w:cs="Arial"/>
          <w:szCs w:val="24"/>
          <w:lang w:val="es-MX" w:eastAsia="en-US"/>
        </w:rPr>
        <w:t>;</w:t>
      </w:r>
      <w:bookmarkEnd w:id="62"/>
    </w:p>
    <w:p w14:paraId="43ED45BB" w14:textId="77777777" w:rsidR="005E102B" w:rsidRPr="0040721E" w:rsidRDefault="00B75B8A" w:rsidP="00DB1F04">
      <w:pPr>
        <w:pStyle w:val="subpar"/>
        <w:numPr>
          <w:ilvl w:val="0"/>
          <w:numId w:val="45"/>
        </w:numPr>
        <w:spacing w:before="0" w:after="0"/>
        <w:ind w:left="1800" w:hanging="540"/>
        <w:outlineLvl w:val="9"/>
        <w:rPr>
          <w:rFonts w:ascii="Arial" w:hAnsi="Arial" w:cs="Arial"/>
          <w:szCs w:val="24"/>
          <w:lang w:val="es-MX" w:eastAsia="en-US"/>
        </w:rPr>
      </w:pPr>
      <w:bookmarkStart w:id="63" w:name="_Toc321244870"/>
      <w:r w:rsidRPr="0040721E">
        <w:rPr>
          <w:rFonts w:ascii="Arial" w:hAnsi="Arial" w:cs="Arial"/>
          <w:szCs w:val="24"/>
          <w:lang w:val="es-MX" w:eastAsia="en-US"/>
        </w:rPr>
        <w:t>Restructuración</w:t>
      </w:r>
      <w:r w:rsidR="00EC4608" w:rsidRPr="0040721E">
        <w:rPr>
          <w:rFonts w:ascii="Arial" w:hAnsi="Arial" w:cs="Arial"/>
          <w:szCs w:val="24"/>
          <w:lang w:val="es-MX" w:eastAsia="en-US"/>
        </w:rPr>
        <w:t xml:space="preserve"> de pasivos</w:t>
      </w:r>
      <w:r w:rsidR="00230812" w:rsidRPr="0040721E">
        <w:rPr>
          <w:rFonts w:ascii="Arial" w:hAnsi="Arial" w:cs="Arial"/>
          <w:szCs w:val="24"/>
          <w:lang w:val="es-MX" w:eastAsia="en-US"/>
        </w:rPr>
        <w:t>;</w:t>
      </w:r>
      <w:bookmarkEnd w:id="63"/>
    </w:p>
    <w:p w14:paraId="0098E04B" w14:textId="77777777" w:rsidR="005E102B" w:rsidRPr="0040721E" w:rsidRDefault="00897AC2" w:rsidP="00DB1F04">
      <w:pPr>
        <w:pStyle w:val="subpar"/>
        <w:numPr>
          <w:ilvl w:val="0"/>
          <w:numId w:val="45"/>
        </w:numPr>
        <w:spacing w:before="0" w:after="0"/>
        <w:ind w:left="1800" w:hanging="540"/>
        <w:outlineLvl w:val="9"/>
        <w:rPr>
          <w:rFonts w:ascii="Arial" w:hAnsi="Arial" w:cs="Arial"/>
          <w:szCs w:val="24"/>
          <w:lang w:val="es-MX" w:eastAsia="en-US"/>
        </w:rPr>
      </w:pPr>
      <w:bookmarkStart w:id="64" w:name="_Toc321244871"/>
      <w:r w:rsidRPr="0040721E">
        <w:rPr>
          <w:rFonts w:ascii="Arial" w:hAnsi="Arial" w:cs="Arial"/>
          <w:szCs w:val="24"/>
          <w:lang w:val="es-MX" w:eastAsia="en-US"/>
        </w:rPr>
        <w:lastRenderedPageBreak/>
        <w:t>Compra de acciones</w:t>
      </w:r>
      <w:r w:rsidR="00380C0F" w:rsidRPr="0040721E">
        <w:rPr>
          <w:rFonts w:ascii="Arial" w:hAnsi="Arial" w:cs="Arial"/>
          <w:szCs w:val="24"/>
          <w:lang w:val="es-MX" w:eastAsia="en-US"/>
        </w:rPr>
        <w:t>;</w:t>
      </w:r>
      <w:bookmarkEnd w:id="64"/>
    </w:p>
    <w:p w14:paraId="03E14A0F" w14:textId="77777777" w:rsidR="005E102B" w:rsidRDefault="0026003D" w:rsidP="00DB1F04">
      <w:pPr>
        <w:pStyle w:val="subpar"/>
        <w:numPr>
          <w:ilvl w:val="0"/>
          <w:numId w:val="45"/>
        </w:numPr>
        <w:spacing w:after="0"/>
        <w:ind w:left="1800" w:hanging="540"/>
        <w:outlineLvl w:val="9"/>
        <w:rPr>
          <w:rFonts w:ascii="Arial" w:hAnsi="Arial" w:cs="Arial"/>
          <w:szCs w:val="24"/>
          <w:lang w:val="es-MX" w:eastAsia="en-US"/>
        </w:rPr>
      </w:pPr>
      <w:bookmarkStart w:id="65" w:name="_Toc321244872"/>
      <w:r w:rsidRPr="0040721E">
        <w:rPr>
          <w:rFonts w:ascii="Arial" w:hAnsi="Arial" w:cs="Arial"/>
          <w:szCs w:val="24"/>
          <w:lang w:val="es-MX" w:eastAsia="en-US"/>
        </w:rPr>
        <w:t>Importación directa o indirecta de países no miembros del Banco.</w:t>
      </w:r>
      <w:bookmarkEnd w:id="65"/>
    </w:p>
    <w:p w14:paraId="74E2C663" w14:textId="77777777" w:rsidR="004D4A56" w:rsidRPr="00656B88" w:rsidRDefault="00B323BF" w:rsidP="00203C72">
      <w:pPr>
        <w:pStyle w:val="subpar"/>
        <w:numPr>
          <w:ilvl w:val="0"/>
          <w:numId w:val="44"/>
        </w:numPr>
        <w:ind w:hanging="862"/>
        <w:outlineLvl w:val="9"/>
        <w:rPr>
          <w:rFonts w:ascii="Arial" w:hAnsi="Arial" w:cs="Arial"/>
          <w:szCs w:val="24"/>
          <w:lang w:val="es-MX" w:eastAsia="en-US"/>
        </w:rPr>
      </w:pPr>
      <w:bookmarkStart w:id="66" w:name="_Toc321244873"/>
      <w:r w:rsidRPr="004D4A56">
        <w:rPr>
          <w:rFonts w:ascii="Arial" w:eastAsiaTheme="minorHAnsi" w:hAnsi="Arial" w:cs="Arial"/>
          <w:szCs w:val="24"/>
          <w:lang w:val="es-MX"/>
        </w:rPr>
        <w:t xml:space="preserve">Los fondos provenientes de las recuperaciones del </w:t>
      </w:r>
      <w:r w:rsidR="00743CAA" w:rsidRPr="004D4A56">
        <w:rPr>
          <w:rFonts w:ascii="Arial" w:eastAsiaTheme="minorHAnsi" w:hAnsi="Arial" w:cs="Arial"/>
          <w:szCs w:val="24"/>
          <w:lang w:val="es-MX"/>
        </w:rPr>
        <w:t>PFTRG</w:t>
      </w:r>
      <w:r w:rsidR="0098699B" w:rsidRPr="004D4A56">
        <w:rPr>
          <w:rFonts w:ascii="Arial" w:eastAsiaTheme="minorHAnsi" w:hAnsi="Arial" w:cs="Arial"/>
          <w:szCs w:val="24"/>
          <w:lang w:val="es-MX"/>
        </w:rPr>
        <w:t xml:space="preserve"> financiados por los préstamos concretados</w:t>
      </w:r>
      <w:r w:rsidRPr="004D4A56">
        <w:rPr>
          <w:rFonts w:ascii="Arial" w:eastAsiaTheme="minorHAnsi" w:hAnsi="Arial" w:cs="Arial"/>
          <w:szCs w:val="24"/>
          <w:lang w:val="es-MX"/>
        </w:rPr>
        <w:t>, bien sean pagos, pre</w:t>
      </w:r>
      <w:r w:rsidR="000E3F0A" w:rsidRPr="004D4A56">
        <w:rPr>
          <w:rFonts w:ascii="Arial" w:eastAsiaTheme="minorHAnsi" w:hAnsi="Arial" w:cs="Arial"/>
          <w:szCs w:val="24"/>
          <w:lang w:val="es-MX"/>
        </w:rPr>
        <w:t>-</w:t>
      </w:r>
      <w:r w:rsidRPr="004D4A56">
        <w:rPr>
          <w:rFonts w:ascii="Arial" w:eastAsiaTheme="minorHAnsi" w:hAnsi="Arial" w:cs="Arial"/>
          <w:szCs w:val="24"/>
          <w:lang w:val="es-MX"/>
        </w:rPr>
        <w:t xml:space="preserve">pagos, cancelaciones o terminaciones de Sub-préstamos, que se acumulen en exceso de las cantidades necesarias para el servicio del Préstamo durante </w:t>
      </w:r>
      <w:r w:rsidR="00EC331D" w:rsidRPr="004D4A56">
        <w:rPr>
          <w:rFonts w:ascii="Arial" w:eastAsiaTheme="minorHAnsi" w:hAnsi="Arial" w:cs="Arial"/>
          <w:szCs w:val="24"/>
          <w:lang w:val="es-MX"/>
        </w:rPr>
        <w:t xml:space="preserve">cinco </w:t>
      </w:r>
      <w:r w:rsidRPr="004D4A56">
        <w:rPr>
          <w:rFonts w:ascii="Arial" w:eastAsiaTheme="minorHAnsi" w:hAnsi="Arial" w:cs="Arial"/>
          <w:szCs w:val="24"/>
          <w:lang w:val="es-MX"/>
        </w:rPr>
        <w:t>(</w:t>
      </w:r>
      <w:r w:rsidR="00EC331D" w:rsidRPr="004D4A56">
        <w:rPr>
          <w:rFonts w:ascii="Arial" w:eastAsiaTheme="minorHAnsi" w:hAnsi="Arial" w:cs="Arial"/>
          <w:szCs w:val="24"/>
          <w:lang w:val="es-MX"/>
        </w:rPr>
        <w:t>5</w:t>
      </w:r>
      <w:r w:rsidRPr="004D4A56">
        <w:rPr>
          <w:rFonts w:ascii="Arial" w:eastAsiaTheme="minorHAnsi" w:hAnsi="Arial" w:cs="Arial"/>
          <w:szCs w:val="24"/>
          <w:lang w:val="es-MX"/>
        </w:rPr>
        <w:t>) años contados desde la fecha del último desembolso del Financiamiento, deberá</w:t>
      </w:r>
      <w:r w:rsidR="00876B56" w:rsidRPr="004D4A56">
        <w:rPr>
          <w:rFonts w:ascii="Arial" w:eastAsiaTheme="minorHAnsi" w:hAnsi="Arial" w:cs="Arial"/>
          <w:szCs w:val="24"/>
          <w:lang w:val="es-MX"/>
        </w:rPr>
        <w:t>n ser</w:t>
      </w:r>
      <w:r w:rsidRPr="004D4A56">
        <w:rPr>
          <w:rFonts w:ascii="Arial" w:eastAsiaTheme="minorHAnsi" w:hAnsi="Arial" w:cs="Arial"/>
          <w:szCs w:val="24"/>
          <w:lang w:val="es-MX"/>
        </w:rPr>
        <w:t xml:space="preserve"> utiliza</w:t>
      </w:r>
      <w:r w:rsidR="006B6E81" w:rsidRPr="004D4A56">
        <w:rPr>
          <w:rFonts w:ascii="Arial" w:eastAsiaTheme="minorHAnsi" w:hAnsi="Arial" w:cs="Arial"/>
          <w:szCs w:val="24"/>
          <w:lang w:val="es-MX"/>
        </w:rPr>
        <w:t>d</w:t>
      </w:r>
      <w:r w:rsidRPr="004D4A56">
        <w:rPr>
          <w:rFonts w:ascii="Arial" w:eastAsiaTheme="minorHAnsi" w:hAnsi="Arial" w:cs="Arial"/>
          <w:szCs w:val="24"/>
          <w:lang w:val="es-MX"/>
        </w:rPr>
        <w:t xml:space="preserve">os para el financiamiento de nuevas Operaciones Elegibles, salvo que </w:t>
      </w:r>
      <w:r w:rsidR="00876B56" w:rsidRPr="004D4A56">
        <w:rPr>
          <w:rFonts w:ascii="Arial" w:eastAsiaTheme="minorHAnsi" w:hAnsi="Arial" w:cs="Arial"/>
          <w:szCs w:val="24"/>
          <w:lang w:val="es-MX"/>
        </w:rPr>
        <w:t xml:space="preserve">NAFIN </w:t>
      </w:r>
      <w:r w:rsidRPr="004D4A56">
        <w:rPr>
          <w:rFonts w:ascii="Arial" w:eastAsiaTheme="minorHAnsi" w:hAnsi="Arial" w:cs="Arial"/>
          <w:szCs w:val="24"/>
          <w:lang w:val="es-MX"/>
        </w:rPr>
        <w:t>acuerde con el BID reducir el Plazo de vigencia de esta obligación.</w:t>
      </w:r>
      <w:bookmarkStart w:id="67" w:name="_Toc321244874"/>
      <w:bookmarkEnd w:id="66"/>
    </w:p>
    <w:p w14:paraId="3AE1BE5B" w14:textId="77777777" w:rsidR="004D4A56" w:rsidRDefault="00B323BF" w:rsidP="009067BA">
      <w:pPr>
        <w:pStyle w:val="subpar"/>
        <w:numPr>
          <w:ilvl w:val="0"/>
          <w:numId w:val="44"/>
        </w:numPr>
        <w:ind w:left="709" w:hanging="851"/>
        <w:outlineLvl w:val="9"/>
        <w:rPr>
          <w:rFonts w:ascii="Arial" w:hAnsi="Arial" w:cs="Arial"/>
          <w:szCs w:val="24"/>
          <w:lang w:val="es-MX" w:eastAsia="en-US"/>
        </w:rPr>
      </w:pPr>
      <w:r w:rsidRPr="004D4A56">
        <w:rPr>
          <w:rFonts w:ascii="Arial" w:eastAsiaTheme="minorHAnsi" w:hAnsi="Arial" w:cs="Arial"/>
          <w:szCs w:val="24"/>
          <w:lang w:val="es-MX"/>
        </w:rPr>
        <w:t xml:space="preserve">NAFIN deberá </w:t>
      </w:r>
      <w:r w:rsidR="004177DA" w:rsidRPr="004D4A56">
        <w:rPr>
          <w:rFonts w:ascii="Arial" w:eastAsiaTheme="minorHAnsi" w:hAnsi="Arial" w:cs="Arial"/>
          <w:szCs w:val="24"/>
          <w:lang w:val="es-MX"/>
        </w:rPr>
        <w:t>considerar</w:t>
      </w:r>
      <w:r w:rsidRPr="004D4A56">
        <w:rPr>
          <w:rFonts w:ascii="Arial" w:eastAsiaTheme="minorHAnsi" w:hAnsi="Arial" w:cs="Arial"/>
          <w:szCs w:val="24"/>
          <w:lang w:val="es-MX"/>
        </w:rPr>
        <w:t xml:space="preserve"> en el otorgamiento de Sub-préstamos, a efectos de promover la sostenibilidad financiera de los respectivos proyectos, la necesidad de acordar con los </w:t>
      </w:r>
      <w:r w:rsidR="0075055A" w:rsidRPr="004D4A56">
        <w:rPr>
          <w:rFonts w:ascii="Arial" w:eastAsiaTheme="minorHAnsi" w:hAnsi="Arial" w:cs="Arial"/>
          <w:szCs w:val="24"/>
          <w:lang w:val="es-MX"/>
        </w:rPr>
        <w:t>Sub-prestatarios</w:t>
      </w:r>
      <w:r w:rsidRPr="004D4A56">
        <w:rPr>
          <w:rFonts w:ascii="Arial" w:eastAsiaTheme="minorHAnsi" w:hAnsi="Arial" w:cs="Arial"/>
          <w:szCs w:val="24"/>
          <w:lang w:val="es-MX"/>
        </w:rPr>
        <w:t xml:space="preserve"> elegibles las medidas apropiadas, aceptables para el Banco, para </w:t>
      </w:r>
      <w:r w:rsidR="00C441A3" w:rsidRPr="004D4A56">
        <w:rPr>
          <w:rFonts w:ascii="Arial" w:eastAsiaTheme="minorHAnsi" w:hAnsi="Arial" w:cs="Arial"/>
          <w:szCs w:val="24"/>
          <w:lang w:val="es-MX"/>
        </w:rPr>
        <w:t xml:space="preserve">procurar </w:t>
      </w:r>
      <w:r w:rsidRPr="004D4A56">
        <w:rPr>
          <w:rFonts w:ascii="Arial" w:eastAsiaTheme="minorHAnsi" w:hAnsi="Arial" w:cs="Arial"/>
          <w:szCs w:val="24"/>
          <w:lang w:val="es-MX"/>
        </w:rPr>
        <w:t xml:space="preserve">que las tarifas de proyectos de </w:t>
      </w:r>
      <w:r w:rsidR="00EC331D" w:rsidRPr="004D4A56">
        <w:rPr>
          <w:rFonts w:ascii="Arial" w:eastAsiaTheme="minorHAnsi" w:hAnsi="Arial" w:cs="Arial"/>
          <w:szCs w:val="24"/>
          <w:lang w:val="es-MX"/>
        </w:rPr>
        <w:t xml:space="preserve">energía geotérmica </w:t>
      </w:r>
      <w:r w:rsidR="00C441A3" w:rsidRPr="004D4A56">
        <w:rPr>
          <w:rFonts w:ascii="Arial" w:eastAsiaTheme="minorHAnsi" w:hAnsi="Arial" w:cs="Arial"/>
          <w:szCs w:val="24"/>
          <w:lang w:val="es-MX"/>
        </w:rPr>
        <w:t xml:space="preserve">generen </w:t>
      </w:r>
      <w:r w:rsidRPr="004D4A56">
        <w:rPr>
          <w:rFonts w:ascii="Arial" w:eastAsiaTheme="minorHAnsi" w:hAnsi="Arial" w:cs="Arial"/>
          <w:szCs w:val="24"/>
          <w:lang w:val="es-MX"/>
        </w:rPr>
        <w:t>ingresos suficientes para cubrir los gastos relacionados con la administración, la operación, el mantenimiento y, en la medida de lo posible, los costos financieros y la depreciación</w:t>
      </w:r>
      <w:r w:rsidR="004177DA" w:rsidRPr="004D4A56">
        <w:rPr>
          <w:rFonts w:ascii="Arial" w:eastAsiaTheme="minorHAnsi" w:hAnsi="Arial" w:cs="Arial"/>
          <w:szCs w:val="24"/>
          <w:lang w:val="es-MX"/>
        </w:rPr>
        <w:t xml:space="preserve"> del proyecto</w:t>
      </w:r>
      <w:r w:rsidRPr="004D4A56">
        <w:rPr>
          <w:rFonts w:ascii="Arial" w:hAnsi="Arial" w:cs="Arial"/>
          <w:szCs w:val="24"/>
          <w:lang w:val="es-MX" w:eastAsia="en-US"/>
        </w:rPr>
        <w:t>.</w:t>
      </w:r>
      <w:bookmarkStart w:id="68" w:name="_Toc321244875"/>
      <w:bookmarkEnd w:id="67"/>
    </w:p>
    <w:p w14:paraId="0150835A" w14:textId="77777777" w:rsidR="004D4A56" w:rsidRDefault="000D4B89" w:rsidP="009067BA">
      <w:pPr>
        <w:pStyle w:val="subpar"/>
        <w:numPr>
          <w:ilvl w:val="0"/>
          <w:numId w:val="44"/>
        </w:numPr>
        <w:ind w:left="709" w:hanging="851"/>
        <w:outlineLvl w:val="9"/>
        <w:rPr>
          <w:rFonts w:ascii="Arial" w:hAnsi="Arial" w:cs="Arial"/>
          <w:szCs w:val="24"/>
          <w:lang w:val="es-MX" w:eastAsia="en-US"/>
        </w:rPr>
      </w:pPr>
      <w:r w:rsidRPr="004D4A56">
        <w:rPr>
          <w:rFonts w:ascii="Arial" w:hAnsi="Arial" w:cs="Arial"/>
          <w:szCs w:val="24"/>
          <w:lang w:val="es-MX" w:eastAsia="en-US"/>
        </w:rPr>
        <w:t>NAFIN</w:t>
      </w:r>
      <w:r w:rsidR="00826B91">
        <w:rPr>
          <w:rFonts w:ascii="Arial" w:hAnsi="Arial" w:cs="Arial"/>
          <w:szCs w:val="24"/>
          <w:lang w:val="es-MX" w:eastAsia="en-US"/>
        </w:rPr>
        <w:t>, con el apoyo del INEEL,</w:t>
      </w:r>
      <w:r w:rsidRPr="004D4A56">
        <w:rPr>
          <w:rFonts w:ascii="Arial" w:hAnsi="Arial" w:cs="Arial"/>
          <w:szCs w:val="24"/>
          <w:lang w:val="es-MX" w:eastAsia="en-US"/>
        </w:rPr>
        <w:t xml:space="preserve"> deberá asegurarse que los Sub-prestatarios Elegibles adopten las medidas apropiadas, aceptables </w:t>
      </w:r>
      <w:r w:rsidR="00755329" w:rsidRPr="004D4A56">
        <w:rPr>
          <w:rFonts w:ascii="Arial" w:hAnsi="Arial" w:cs="Arial"/>
          <w:szCs w:val="24"/>
          <w:lang w:val="es-MX" w:eastAsia="en-US"/>
        </w:rPr>
        <w:t xml:space="preserve">por </w:t>
      </w:r>
      <w:r w:rsidRPr="004D4A56">
        <w:rPr>
          <w:rFonts w:ascii="Arial" w:hAnsi="Arial" w:cs="Arial"/>
          <w:szCs w:val="24"/>
          <w:lang w:val="es-MX" w:eastAsia="en-US"/>
        </w:rPr>
        <w:t xml:space="preserve">NAFIN, para que las obras y equipos financiados sean mantenidos adecuadamente de manera que permitan su normal operación, de acuerdo con lo establecido en el </w:t>
      </w:r>
      <w:r w:rsidR="001477ED" w:rsidRPr="004D4A56">
        <w:rPr>
          <w:rFonts w:ascii="Arial" w:hAnsi="Arial" w:cs="Arial"/>
          <w:szCs w:val="24"/>
          <w:lang w:val="es-MX" w:eastAsia="en-US"/>
        </w:rPr>
        <w:t xml:space="preserve">presente </w:t>
      </w:r>
      <w:r w:rsidR="00755329" w:rsidRPr="004D4A56">
        <w:rPr>
          <w:rFonts w:ascii="Arial" w:hAnsi="Arial" w:cs="Arial"/>
          <w:szCs w:val="24"/>
          <w:lang w:val="es-MX" w:eastAsia="en-US"/>
        </w:rPr>
        <w:t>ROP</w:t>
      </w:r>
      <w:r w:rsidR="004D4A56">
        <w:rPr>
          <w:rFonts w:ascii="Arial" w:hAnsi="Arial" w:cs="Arial"/>
          <w:szCs w:val="24"/>
          <w:lang w:val="es-MX" w:eastAsia="en-US"/>
        </w:rPr>
        <w:t>.</w:t>
      </w:r>
    </w:p>
    <w:p w14:paraId="08CBC274" w14:textId="77777777" w:rsidR="00EC4A8B" w:rsidRPr="0064412E" w:rsidRDefault="000D4B89" w:rsidP="009067BA">
      <w:pPr>
        <w:pStyle w:val="subpar"/>
        <w:numPr>
          <w:ilvl w:val="0"/>
          <w:numId w:val="44"/>
        </w:numPr>
        <w:ind w:left="709" w:hanging="851"/>
        <w:outlineLvl w:val="9"/>
        <w:rPr>
          <w:rFonts w:ascii="Arial" w:hAnsi="Arial" w:cs="Arial"/>
          <w:szCs w:val="24"/>
          <w:lang w:eastAsia="en-US"/>
        </w:rPr>
      </w:pPr>
      <w:r w:rsidRPr="00A9618E">
        <w:rPr>
          <w:rFonts w:ascii="Arial" w:hAnsi="Arial" w:cs="Arial"/>
          <w:szCs w:val="24"/>
          <w:lang w:val="es-MX" w:eastAsia="en-US"/>
        </w:rPr>
        <w:t>Si de las inspecciones que realice NAFIN</w:t>
      </w:r>
      <w:r w:rsidR="00422B35">
        <w:rPr>
          <w:rFonts w:ascii="Arial" w:hAnsi="Arial" w:cs="Arial"/>
          <w:szCs w:val="24"/>
          <w:lang w:val="es-MX" w:eastAsia="en-US"/>
        </w:rPr>
        <w:t xml:space="preserve"> con apoyo del INEEL</w:t>
      </w:r>
      <w:r w:rsidRPr="00A9618E">
        <w:rPr>
          <w:rFonts w:ascii="Arial" w:hAnsi="Arial" w:cs="Arial"/>
          <w:szCs w:val="24"/>
          <w:lang w:val="es-MX" w:eastAsia="en-US"/>
        </w:rPr>
        <w:t>, o de los informes que reciba</w:t>
      </w:r>
      <w:r w:rsidR="00755329" w:rsidRPr="00A9618E">
        <w:rPr>
          <w:rFonts w:ascii="Arial" w:hAnsi="Arial" w:cs="Arial"/>
          <w:szCs w:val="24"/>
          <w:lang w:val="es-MX" w:eastAsia="en-US"/>
        </w:rPr>
        <w:t>n</w:t>
      </w:r>
      <w:r w:rsidRPr="00A9618E">
        <w:rPr>
          <w:rFonts w:ascii="Arial" w:hAnsi="Arial" w:cs="Arial"/>
          <w:szCs w:val="24"/>
          <w:lang w:val="es-MX" w:eastAsia="en-US"/>
        </w:rPr>
        <w:t xml:space="preserve">, se determina que el mantenimiento se efectúa por debajo de los niveles convenidos, el </w:t>
      </w:r>
      <w:r w:rsidR="00755329" w:rsidRPr="00A9618E">
        <w:rPr>
          <w:rFonts w:ascii="Arial" w:hAnsi="Arial" w:cs="Arial"/>
          <w:szCs w:val="24"/>
          <w:lang w:val="es-MX" w:eastAsia="en-US"/>
        </w:rPr>
        <w:t>Sub-</w:t>
      </w:r>
      <w:r w:rsidRPr="00A9618E">
        <w:rPr>
          <w:rFonts w:ascii="Arial" w:hAnsi="Arial" w:cs="Arial"/>
          <w:szCs w:val="24"/>
          <w:lang w:val="es-MX" w:eastAsia="en-US"/>
        </w:rPr>
        <w:t xml:space="preserve">prestatario Elegible deberá adoptar las medidas necesarias para que se corrijan totalmente las deficiencias. Para tal efecto, </w:t>
      </w:r>
      <w:r w:rsidR="003E643F" w:rsidRPr="00A9618E">
        <w:rPr>
          <w:rFonts w:ascii="Arial" w:hAnsi="Arial" w:cs="Arial"/>
          <w:szCs w:val="24"/>
          <w:lang w:val="es-MX" w:eastAsia="en-US"/>
        </w:rPr>
        <w:t>NAFIN</w:t>
      </w:r>
      <w:r w:rsidRPr="00A9618E">
        <w:rPr>
          <w:rFonts w:ascii="Arial" w:hAnsi="Arial" w:cs="Arial"/>
          <w:szCs w:val="24"/>
          <w:lang w:val="es-MX" w:eastAsia="en-US"/>
        </w:rPr>
        <w:t xml:space="preserve"> acordar</w:t>
      </w:r>
      <w:r w:rsidR="003E643F" w:rsidRPr="00A9618E">
        <w:rPr>
          <w:rFonts w:ascii="Arial" w:hAnsi="Arial" w:cs="Arial"/>
          <w:szCs w:val="24"/>
          <w:lang w:val="es-MX" w:eastAsia="en-US"/>
        </w:rPr>
        <w:t>á</w:t>
      </w:r>
      <w:r w:rsidRPr="00A9618E">
        <w:rPr>
          <w:rFonts w:ascii="Arial" w:hAnsi="Arial" w:cs="Arial"/>
          <w:szCs w:val="24"/>
          <w:lang w:val="es-MX" w:eastAsia="en-US"/>
        </w:rPr>
        <w:t xml:space="preserve"> con cada </w:t>
      </w:r>
      <w:r w:rsidR="00755329" w:rsidRPr="00A9618E">
        <w:rPr>
          <w:rFonts w:ascii="Arial" w:hAnsi="Arial" w:cs="Arial"/>
          <w:szCs w:val="24"/>
          <w:lang w:val="es-MX" w:eastAsia="en-US"/>
        </w:rPr>
        <w:t>Sub-</w:t>
      </w:r>
      <w:r w:rsidRPr="00A9618E">
        <w:rPr>
          <w:rFonts w:ascii="Arial" w:hAnsi="Arial" w:cs="Arial"/>
          <w:szCs w:val="24"/>
          <w:lang w:val="es-MX" w:eastAsia="en-US"/>
        </w:rPr>
        <w:t xml:space="preserve">prestatario Elegible, las medidas conducentes para obtener </w:t>
      </w:r>
      <w:r w:rsidR="003E643F" w:rsidRPr="00A9618E">
        <w:rPr>
          <w:rFonts w:ascii="Arial" w:hAnsi="Arial" w:cs="Arial"/>
          <w:szCs w:val="24"/>
          <w:lang w:val="es-MX" w:eastAsia="en-US"/>
        </w:rPr>
        <w:t xml:space="preserve">la información adecuada </w:t>
      </w:r>
      <w:r w:rsidRPr="00A9618E">
        <w:rPr>
          <w:rFonts w:ascii="Arial" w:hAnsi="Arial" w:cs="Arial"/>
          <w:szCs w:val="24"/>
          <w:lang w:val="es-MX" w:eastAsia="en-US"/>
        </w:rPr>
        <w:t xml:space="preserve">a </w:t>
      </w:r>
      <w:r w:rsidR="003E643F" w:rsidRPr="00A9618E">
        <w:rPr>
          <w:rFonts w:ascii="Arial" w:hAnsi="Arial" w:cs="Arial"/>
          <w:szCs w:val="24"/>
          <w:lang w:val="es-MX" w:eastAsia="en-US"/>
        </w:rPr>
        <w:t xml:space="preserve">fin de </w:t>
      </w:r>
      <w:r w:rsidRPr="00A9618E">
        <w:rPr>
          <w:rFonts w:ascii="Arial" w:hAnsi="Arial" w:cs="Arial"/>
          <w:szCs w:val="24"/>
          <w:lang w:val="es-MX" w:eastAsia="en-US"/>
        </w:rPr>
        <w:t>darle seguimiento a</w:t>
      </w:r>
      <w:r w:rsidR="003E643F" w:rsidRPr="00A9618E">
        <w:rPr>
          <w:rFonts w:ascii="Arial" w:hAnsi="Arial" w:cs="Arial"/>
          <w:szCs w:val="24"/>
          <w:lang w:val="es-MX" w:eastAsia="en-US"/>
        </w:rPr>
        <w:t>l</w:t>
      </w:r>
      <w:r w:rsidRPr="00A9618E">
        <w:rPr>
          <w:rFonts w:ascii="Arial" w:hAnsi="Arial" w:cs="Arial"/>
          <w:szCs w:val="24"/>
          <w:lang w:val="es-MX" w:eastAsia="en-US"/>
        </w:rPr>
        <w:t xml:space="preserve"> cumplimiento</w:t>
      </w:r>
      <w:r w:rsidR="003E643F" w:rsidRPr="00A9618E">
        <w:rPr>
          <w:rFonts w:ascii="Arial" w:hAnsi="Arial" w:cs="Arial"/>
          <w:szCs w:val="24"/>
          <w:lang w:val="es-MX" w:eastAsia="en-US"/>
        </w:rPr>
        <w:t xml:space="preserve"> de cada proyecto</w:t>
      </w:r>
      <w:r w:rsidRPr="00A9618E">
        <w:rPr>
          <w:rFonts w:ascii="Arial" w:hAnsi="Arial" w:cs="Arial"/>
          <w:szCs w:val="24"/>
          <w:lang w:val="es-MX" w:eastAsia="en-US"/>
        </w:rPr>
        <w:t xml:space="preserve"> y en caso necesario, adoptar las medidas correctivas.</w:t>
      </w:r>
      <w:bookmarkEnd w:id="68"/>
    </w:p>
    <w:p w14:paraId="0BEF9CCF" w14:textId="77777777" w:rsidR="00230812" w:rsidRPr="00A9618E" w:rsidRDefault="00230812" w:rsidP="000A37CF">
      <w:pPr>
        <w:pStyle w:val="Heading3"/>
        <w:tabs>
          <w:tab w:val="clear" w:pos="1800"/>
          <w:tab w:val="left" w:pos="720"/>
        </w:tabs>
        <w:spacing w:after="240"/>
        <w:ind w:left="720" w:hanging="720"/>
        <w:rPr>
          <w:b/>
          <w:sz w:val="32"/>
        </w:rPr>
      </w:pPr>
      <w:bookmarkStart w:id="69" w:name="_Toc207082504"/>
      <w:bookmarkStart w:id="70" w:name="_Toc240434724"/>
      <w:bookmarkStart w:id="71" w:name="_Toc197782553"/>
      <w:bookmarkStart w:id="72" w:name="_Toc198025792"/>
      <w:bookmarkStart w:id="73" w:name="_Toc205191259"/>
      <w:bookmarkStart w:id="74" w:name="_Toc321244876"/>
      <w:bookmarkStart w:id="75" w:name="_Toc450149559"/>
      <w:r w:rsidRPr="00A9618E">
        <w:rPr>
          <w:b/>
          <w:sz w:val="32"/>
        </w:rPr>
        <w:t xml:space="preserve">Condiciones de los </w:t>
      </w:r>
      <w:r w:rsidR="00FA6110" w:rsidRPr="00A9618E">
        <w:rPr>
          <w:b/>
          <w:sz w:val="32"/>
        </w:rPr>
        <w:t>contratos con</w:t>
      </w:r>
      <w:r w:rsidR="00B0186D" w:rsidRPr="00A9618E">
        <w:rPr>
          <w:b/>
          <w:sz w:val="32"/>
        </w:rPr>
        <w:t xml:space="preserve"> </w:t>
      </w:r>
      <w:r w:rsidR="00A067C6" w:rsidRPr="00A9618E">
        <w:rPr>
          <w:b/>
          <w:sz w:val="32"/>
        </w:rPr>
        <w:t xml:space="preserve">los IFI’s </w:t>
      </w:r>
      <w:r w:rsidR="00B0186D" w:rsidRPr="00A9618E">
        <w:rPr>
          <w:b/>
          <w:sz w:val="32"/>
        </w:rPr>
        <w:t>y</w:t>
      </w:r>
      <w:r w:rsidR="007404E7" w:rsidRPr="00A9618E">
        <w:rPr>
          <w:b/>
          <w:sz w:val="32"/>
        </w:rPr>
        <w:t>/o</w:t>
      </w:r>
      <w:r w:rsidR="00B0186D" w:rsidRPr="00A9618E">
        <w:rPr>
          <w:b/>
          <w:sz w:val="32"/>
        </w:rPr>
        <w:t xml:space="preserve"> cualquier otro </w:t>
      </w:r>
      <w:bookmarkEnd w:id="69"/>
      <w:bookmarkEnd w:id="70"/>
      <w:bookmarkEnd w:id="71"/>
      <w:bookmarkEnd w:id="72"/>
      <w:bookmarkEnd w:id="73"/>
      <w:r w:rsidR="00B0186D" w:rsidRPr="00A9618E">
        <w:rPr>
          <w:b/>
          <w:sz w:val="32"/>
        </w:rPr>
        <w:t>tipo de instrumento que realice intermediación</w:t>
      </w:r>
      <w:bookmarkEnd w:id="74"/>
      <w:bookmarkEnd w:id="75"/>
    </w:p>
    <w:p w14:paraId="025F66D1" w14:textId="77777777" w:rsidR="00DF6247" w:rsidRDefault="00DF6247" w:rsidP="009067BA">
      <w:pPr>
        <w:pStyle w:val="Paragraph"/>
        <w:numPr>
          <w:ilvl w:val="0"/>
          <w:numId w:val="24"/>
        </w:numPr>
        <w:ind w:hanging="862"/>
        <w:outlineLvl w:val="9"/>
        <w:rPr>
          <w:rFonts w:ascii="Arial" w:hAnsi="Arial" w:cs="Arial"/>
          <w:szCs w:val="24"/>
          <w:lang w:val="es-MX" w:eastAsia="en-US"/>
        </w:rPr>
      </w:pPr>
      <w:bookmarkStart w:id="76" w:name="_Toc321244877"/>
      <w:r w:rsidRPr="00147E2F">
        <w:rPr>
          <w:rFonts w:ascii="Arial" w:hAnsi="Arial" w:cs="Arial"/>
          <w:szCs w:val="24"/>
          <w:lang w:val="es-MX" w:eastAsia="en-US"/>
        </w:rPr>
        <w:t xml:space="preserve">NAFIN otorgará financiamiento con </w:t>
      </w:r>
      <w:r w:rsidR="00766798" w:rsidRPr="00147E2F">
        <w:rPr>
          <w:rFonts w:ascii="Arial" w:hAnsi="Arial" w:cs="Arial"/>
          <w:szCs w:val="24"/>
          <w:lang w:val="es-MX" w:eastAsia="en-US"/>
        </w:rPr>
        <w:t>R</w:t>
      </w:r>
      <w:r w:rsidRPr="00147E2F">
        <w:rPr>
          <w:rFonts w:ascii="Arial" w:hAnsi="Arial" w:cs="Arial"/>
          <w:szCs w:val="24"/>
          <w:lang w:val="es-MX" w:eastAsia="en-US"/>
        </w:rPr>
        <w:t xml:space="preserve">ecursos del </w:t>
      </w:r>
      <w:r w:rsidR="00743CAA" w:rsidRPr="00147E2F">
        <w:rPr>
          <w:rFonts w:ascii="Arial" w:hAnsi="Arial" w:cs="Arial"/>
          <w:szCs w:val="24"/>
          <w:lang w:val="es-MX" w:eastAsia="en-US"/>
        </w:rPr>
        <w:t>PFTRG</w:t>
      </w:r>
      <w:r w:rsidR="00442137" w:rsidRPr="00147E2F">
        <w:rPr>
          <w:rFonts w:ascii="Arial" w:hAnsi="Arial" w:cs="Arial"/>
          <w:szCs w:val="24"/>
          <w:lang w:val="es-MX" w:eastAsia="en-US"/>
        </w:rPr>
        <w:t xml:space="preserve"> </w:t>
      </w:r>
      <w:r w:rsidR="00F4156E" w:rsidRPr="00147E2F">
        <w:rPr>
          <w:rFonts w:ascii="Arial" w:hAnsi="Arial" w:cs="Arial"/>
          <w:szCs w:val="24"/>
          <w:lang w:val="es-MX" w:eastAsia="en-US"/>
        </w:rPr>
        <w:t xml:space="preserve">de acuerdo a lo establecido en este ROP y en el MAGAS para </w:t>
      </w:r>
      <w:r w:rsidR="00CB10A0" w:rsidRPr="00147E2F">
        <w:rPr>
          <w:rFonts w:ascii="Arial" w:hAnsi="Arial" w:cs="Arial"/>
          <w:szCs w:val="24"/>
          <w:lang w:val="es-MX" w:eastAsia="en-US"/>
        </w:rPr>
        <w:t xml:space="preserve">apoyar </w:t>
      </w:r>
      <w:r w:rsidRPr="00147E2F">
        <w:rPr>
          <w:rFonts w:ascii="Arial" w:hAnsi="Arial" w:cs="Arial"/>
          <w:szCs w:val="24"/>
          <w:lang w:val="es-MX" w:eastAsia="en-US"/>
        </w:rPr>
        <w:t xml:space="preserve">los Contratos vigentes o a celebrarse con los </w:t>
      </w:r>
      <w:r w:rsidR="001052EB" w:rsidRPr="00147E2F">
        <w:rPr>
          <w:rFonts w:ascii="Arial" w:hAnsi="Arial" w:cs="Arial"/>
          <w:szCs w:val="24"/>
          <w:lang w:val="es-MX" w:eastAsia="en-US"/>
        </w:rPr>
        <w:t>IFI’S y</w:t>
      </w:r>
      <w:r w:rsidR="00136106" w:rsidRPr="00147E2F">
        <w:rPr>
          <w:rFonts w:ascii="Arial" w:hAnsi="Arial" w:cs="Arial"/>
          <w:szCs w:val="24"/>
          <w:lang w:val="es-MX" w:eastAsia="en-US"/>
        </w:rPr>
        <w:t>/</w:t>
      </w:r>
      <w:r w:rsidR="000223FC" w:rsidRPr="00147E2F">
        <w:rPr>
          <w:rFonts w:ascii="Arial" w:hAnsi="Arial" w:cs="Arial"/>
          <w:szCs w:val="24"/>
          <w:lang w:val="es-MX" w:eastAsia="en-US"/>
        </w:rPr>
        <w:t xml:space="preserve">o </w:t>
      </w:r>
      <w:r w:rsidR="00136106" w:rsidRPr="00147E2F">
        <w:rPr>
          <w:rFonts w:ascii="Arial" w:hAnsi="Arial" w:cs="Arial"/>
          <w:szCs w:val="24"/>
          <w:lang w:val="es-MX" w:eastAsia="en-US"/>
        </w:rPr>
        <w:t>c</w:t>
      </w:r>
      <w:r w:rsidR="00B0186D" w:rsidRPr="00147E2F">
        <w:rPr>
          <w:rFonts w:ascii="Arial" w:hAnsi="Arial" w:cs="Arial"/>
          <w:szCs w:val="24"/>
          <w:lang w:val="es-MX" w:eastAsia="en-US"/>
        </w:rPr>
        <w:t>ualquier otro tipo de instrumento que realice intermediación</w:t>
      </w:r>
      <w:r w:rsidR="000223FC" w:rsidRPr="00147E2F">
        <w:rPr>
          <w:rFonts w:ascii="Arial" w:hAnsi="Arial" w:cs="Arial"/>
          <w:szCs w:val="24"/>
          <w:lang w:val="es-MX" w:eastAsia="en-US"/>
        </w:rPr>
        <w:t xml:space="preserve">, </w:t>
      </w:r>
      <w:r w:rsidR="00136106" w:rsidRPr="00147E2F">
        <w:rPr>
          <w:rFonts w:ascii="Arial" w:hAnsi="Arial" w:cs="Arial"/>
          <w:szCs w:val="24"/>
          <w:lang w:val="es-MX" w:eastAsia="en-US"/>
        </w:rPr>
        <w:t>de conformidad con</w:t>
      </w:r>
      <w:r w:rsidRPr="00147E2F">
        <w:rPr>
          <w:rFonts w:ascii="Arial" w:hAnsi="Arial" w:cs="Arial"/>
          <w:szCs w:val="24"/>
          <w:lang w:val="es-MX" w:eastAsia="en-US"/>
        </w:rPr>
        <w:t xml:space="preserve"> </w:t>
      </w:r>
      <w:r w:rsidR="001033A2" w:rsidRPr="00147E2F">
        <w:rPr>
          <w:rFonts w:ascii="Arial" w:hAnsi="Arial" w:cs="Arial"/>
          <w:szCs w:val="24"/>
          <w:lang w:val="es-MX" w:eastAsia="en-US"/>
        </w:rPr>
        <w:t>su Sistema Normativo de Crédito</w:t>
      </w:r>
      <w:r w:rsidR="008C2C6B" w:rsidRPr="00147E2F">
        <w:rPr>
          <w:rFonts w:ascii="Arial" w:hAnsi="Arial" w:cs="Arial"/>
          <w:szCs w:val="24"/>
          <w:lang w:val="es-MX" w:eastAsia="en-US"/>
        </w:rPr>
        <w:t>.</w:t>
      </w:r>
      <w:bookmarkEnd w:id="76"/>
    </w:p>
    <w:p w14:paraId="20F7FED6" w14:textId="77777777" w:rsidR="00230812" w:rsidRDefault="00FA6110" w:rsidP="009067BA">
      <w:pPr>
        <w:pStyle w:val="Paragraph"/>
        <w:numPr>
          <w:ilvl w:val="0"/>
          <w:numId w:val="24"/>
        </w:numPr>
        <w:ind w:hanging="862"/>
        <w:outlineLvl w:val="9"/>
        <w:rPr>
          <w:rFonts w:ascii="Arial" w:hAnsi="Arial" w:cs="Arial"/>
          <w:szCs w:val="24"/>
          <w:lang w:val="es-MX" w:eastAsia="en-US"/>
        </w:rPr>
      </w:pPr>
      <w:bookmarkStart w:id="77" w:name="_Toc321244878"/>
      <w:r w:rsidRPr="00147E2F" w:rsidDel="00F65BBB">
        <w:rPr>
          <w:rFonts w:ascii="Arial" w:hAnsi="Arial" w:cs="Arial"/>
          <w:szCs w:val="24"/>
          <w:lang w:val="es-MX" w:eastAsia="en-US"/>
        </w:rPr>
        <w:t xml:space="preserve">Las </w:t>
      </w:r>
      <w:r w:rsidR="0019552F" w:rsidRPr="00147E2F" w:rsidDel="00F65BBB">
        <w:rPr>
          <w:rFonts w:ascii="Arial" w:hAnsi="Arial" w:cs="Arial"/>
          <w:szCs w:val="24"/>
          <w:lang w:val="es-MX" w:eastAsia="en-US"/>
        </w:rPr>
        <w:t>o</w:t>
      </w:r>
      <w:r w:rsidRPr="00147E2F" w:rsidDel="00F65BBB">
        <w:rPr>
          <w:rFonts w:ascii="Arial" w:hAnsi="Arial" w:cs="Arial"/>
          <w:szCs w:val="24"/>
          <w:lang w:val="es-MX" w:eastAsia="en-US"/>
        </w:rPr>
        <w:t xml:space="preserve">peraciones </w:t>
      </w:r>
      <w:r w:rsidR="0019552F" w:rsidRPr="00147E2F" w:rsidDel="00F65BBB">
        <w:rPr>
          <w:rFonts w:ascii="Arial" w:hAnsi="Arial" w:cs="Arial"/>
          <w:szCs w:val="24"/>
          <w:lang w:val="es-MX" w:eastAsia="en-US"/>
        </w:rPr>
        <w:t>e</w:t>
      </w:r>
      <w:r w:rsidR="00F40483" w:rsidRPr="00147E2F" w:rsidDel="00F65BBB">
        <w:rPr>
          <w:rFonts w:ascii="Arial" w:hAnsi="Arial" w:cs="Arial"/>
          <w:szCs w:val="24"/>
          <w:lang w:val="es-MX" w:eastAsia="en-US"/>
        </w:rPr>
        <w:t>l</w:t>
      </w:r>
      <w:r w:rsidRPr="00147E2F" w:rsidDel="00F65BBB">
        <w:rPr>
          <w:rFonts w:ascii="Arial" w:hAnsi="Arial" w:cs="Arial"/>
          <w:szCs w:val="24"/>
          <w:lang w:val="es-MX" w:eastAsia="en-US"/>
        </w:rPr>
        <w:t xml:space="preserve">egibles </w:t>
      </w:r>
      <w:r w:rsidR="00230812" w:rsidRPr="00147E2F" w:rsidDel="00F65BBB">
        <w:rPr>
          <w:rFonts w:ascii="Arial" w:hAnsi="Arial" w:cs="Arial"/>
          <w:szCs w:val="24"/>
          <w:lang w:val="es-MX" w:eastAsia="en-US"/>
        </w:rPr>
        <w:t>financiad</w:t>
      </w:r>
      <w:r w:rsidRPr="00147E2F" w:rsidDel="00F65BBB">
        <w:rPr>
          <w:rFonts w:ascii="Arial" w:hAnsi="Arial" w:cs="Arial"/>
          <w:szCs w:val="24"/>
          <w:lang w:val="es-MX" w:eastAsia="en-US"/>
        </w:rPr>
        <w:t>a</w:t>
      </w:r>
      <w:r w:rsidR="00230812" w:rsidRPr="00147E2F" w:rsidDel="00F65BBB">
        <w:rPr>
          <w:rFonts w:ascii="Arial" w:hAnsi="Arial" w:cs="Arial"/>
          <w:szCs w:val="24"/>
          <w:lang w:val="es-MX" w:eastAsia="en-US"/>
        </w:rPr>
        <w:t xml:space="preserve">s con </w:t>
      </w:r>
      <w:r w:rsidR="009C152C" w:rsidRPr="00147E2F" w:rsidDel="00F65BBB">
        <w:rPr>
          <w:rFonts w:ascii="Arial" w:hAnsi="Arial" w:cs="Arial"/>
          <w:szCs w:val="24"/>
          <w:lang w:val="es-MX" w:eastAsia="en-US"/>
        </w:rPr>
        <w:t>R</w:t>
      </w:r>
      <w:r w:rsidR="00817CE3" w:rsidRPr="00147E2F" w:rsidDel="00F65BBB">
        <w:rPr>
          <w:rFonts w:ascii="Arial" w:hAnsi="Arial" w:cs="Arial"/>
          <w:szCs w:val="24"/>
          <w:lang w:val="es-MX" w:eastAsia="en-US"/>
        </w:rPr>
        <w:t xml:space="preserve">ecursos del </w:t>
      </w:r>
      <w:r w:rsidR="00743CAA" w:rsidRPr="00147E2F">
        <w:rPr>
          <w:rFonts w:ascii="Arial" w:hAnsi="Arial" w:cs="Arial"/>
          <w:szCs w:val="24"/>
          <w:lang w:val="es-MX" w:eastAsia="en-US"/>
        </w:rPr>
        <w:t>PFTRG</w:t>
      </w:r>
      <w:r w:rsidR="00F4156E" w:rsidRPr="00147E2F" w:rsidDel="00F65BBB">
        <w:rPr>
          <w:rFonts w:ascii="Arial" w:hAnsi="Arial" w:cs="Arial"/>
          <w:szCs w:val="24"/>
          <w:lang w:val="es-MX" w:eastAsia="en-US"/>
        </w:rPr>
        <w:t xml:space="preserve"> </w:t>
      </w:r>
      <w:r w:rsidR="00817CE3" w:rsidRPr="00147E2F" w:rsidDel="00F65BBB">
        <w:rPr>
          <w:rFonts w:ascii="Arial" w:hAnsi="Arial" w:cs="Arial"/>
          <w:szCs w:val="24"/>
          <w:lang w:val="es-MX" w:eastAsia="en-US"/>
        </w:rPr>
        <w:t xml:space="preserve">se podrán </w:t>
      </w:r>
      <w:r w:rsidR="00230812" w:rsidRPr="00147E2F" w:rsidDel="00F65BBB">
        <w:rPr>
          <w:rFonts w:ascii="Arial" w:hAnsi="Arial" w:cs="Arial"/>
          <w:szCs w:val="24"/>
          <w:lang w:val="es-MX" w:eastAsia="en-US"/>
        </w:rPr>
        <w:t xml:space="preserve">denominar en </w:t>
      </w:r>
      <w:r w:rsidR="0019552F" w:rsidRPr="00147E2F" w:rsidDel="00F65BBB">
        <w:rPr>
          <w:rFonts w:ascii="Arial" w:hAnsi="Arial" w:cs="Arial"/>
          <w:szCs w:val="24"/>
          <w:lang w:val="es-MX" w:eastAsia="en-US"/>
        </w:rPr>
        <w:t>p</w:t>
      </w:r>
      <w:r w:rsidR="00230812" w:rsidRPr="00147E2F" w:rsidDel="00F65BBB">
        <w:rPr>
          <w:rFonts w:ascii="Arial" w:hAnsi="Arial" w:cs="Arial"/>
          <w:szCs w:val="24"/>
          <w:lang w:val="es-MX" w:eastAsia="en-US"/>
        </w:rPr>
        <w:t>esos de</w:t>
      </w:r>
      <w:r w:rsidR="007B7FDC" w:rsidRPr="00147E2F" w:rsidDel="00F65BBB">
        <w:rPr>
          <w:rFonts w:ascii="Arial" w:hAnsi="Arial" w:cs="Arial"/>
          <w:szCs w:val="24"/>
          <w:lang w:val="es-MX" w:eastAsia="en-US"/>
        </w:rPr>
        <w:t xml:space="preserve"> los Estados Unidos Mexicanos, </w:t>
      </w:r>
      <w:r w:rsidR="00230812" w:rsidRPr="00147E2F" w:rsidDel="00F65BBB">
        <w:rPr>
          <w:rFonts w:ascii="Arial" w:hAnsi="Arial" w:cs="Arial"/>
          <w:szCs w:val="24"/>
          <w:lang w:val="es-MX" w:eastAsia="en-US"/>
        </w:rPr>
        <w:t xml:space="preserve">en </w:t>
      </w:r>
      <w:r w:rsidR="00A948E5" w:rsidRPr="00147E2F" w:rsidDel="00F65BBB">
        <w:rPr>
          <w:rFonts w:ascii="Arial" w:hAnsi="Arial" w:cs="Arial"/>
          <w:szCs w:val="24"/>
          <w:lang w:val="es-MX" w:eastAsia="en-US"/>
        </w:rPr>
        <w:t xml:space="preserve">Dólares de los </w:t>
      </w:r>
      <w:r w:rsidR="00A948E5" w:rsidRPr="00AB2B3D" w:rsidDel="00F65BBB">
        <w:rPr>
          <w:rFonts w:ascii="Arial" w:hAnsi="Arial" w:cs="Arial"/>
          <w:szCs w:val="24"/>
          <w:lang w:val="es-MX" w:eastAsia="en-US"/>
        </w:rPr>
        <w:t xml:space="preserve">Estados Unidos de América (US$), </w:t>
      </w:r>
      <w:r w:rsidR="007B7FDC" w:rsidRPr="00142039" w:rsidDel="00F65BBB">
        <w:rPr>
          <w:rFonts w:ascii="Arial" w:hAnsi="Arial" w:cs="Arial"/>
          <w:szCs w:val="24"/>
          <w:lang w:val="es-MX" w:eastAsia="en-US"/>
        </w:rPr>
        <w:t>y</w:t>
      </w:r>
      <w:r w:rsidR="00EC331D">
        <w:rPr>
          <w:rFonts w:ascii="Arial" w:hAnsi="Arial" w:cs="Arial"/>
          <w:szCs w:val="24"/>
          <w:lang w:val="es-MX" w:eastAsia="en-US"/>
        </w:rPr>
        <w:t>/o Euros</w:t>
      </w:r>
      <w:r w:rsidR="007247DE">
        <w:rPr>
          <w:rFonts w:ascii="Arial" w:hAnsi="Arial" w:cs="Arial"/>
          <w:szCs w:val="24"/>
          <w:lang w:val="es-MX" w:eastAsia="en-US"/>
        </w:rPr>
        <w:t xml:space="preserve"> (€)</w:t>
      </w:r>
      <w:r w:rsidR="00230812" w:rsidRPr="00AB2B3D" w:rsidDel="00F65BBB">
        <w:rPr>
          <w:rFonts w:ascii="Arial" w:hAnsi="Arial" w:cs="Arial"/>
          <w:szCs w:val="24"/>
          <w:lang w:val="es-MX" w:eastAsia="en-US"/>
        </w:rPr>
        <w:t xml:space="preserve">. En todo momento, las operaciones crediticias fondeadas por el Banco deberán ser acordes y cumplir con las regulaciones aplicables a </w:t>
      </w:r>
      <w:r w:rsidR="007B7FDC" w:rsidRPr="00AB2B3D" w:rsidDel="00F65BBB">
        <w:rPr>
          <w:rFonts w:ascii="Arial" w:hAnsi="Arial" w:cs="Arial"/>
          <w:szCs w:val="24"/>
          <w:lang w:val="es-MX" w:eastAsia="en-US"/>
        </w:rPr>
        <w:t>NAFIN</w:t>
      </w:r>
      <w:r w:rsidR="00230812" w:rsidRPr="00AB2B3D" w:rsidDel="00F65BBB">
        <w:rPr>
          <w:rFonts w:ascii="Arial" w:hAnsi="Arial" w:cs="Arial"/>
          <w:szCs w:val="24"/>
          <w:lang w:val="es-MX" w:eastAsia="en-US"/>
        </w:rPr>
        <w:t>.</w:t>
      </w:r>
      <w:bookmarkEnd w:id="77"/>
      <w:r w:rsidR="00230812" w:rsidRPr="00AB2B3D" w:rsidDel="00F65BBB">
        <w:rPr>
          <w:rFonts w:ascii="Arial" w:hAnsi="Arial" w:cs="Arial"/>
          <w:szCs w:val="24"/>
          <w:lang w:val="es-MX" w:eastAsia="en-US"/>
        </w:rPr>
        <w:t xml:space="preserve"> </w:t>
      </w:r>
    </w:p>
    <w:p w14:paraId="64F81B97" w14:textId="77777777" w:rsidR="00DF6247" w:rsidRDefault="009C4FB2" w:rsidP="009067BA">
      <w:pPr>
        <w:pStyle w:val="Paragraph"/>
        <w:numPr>
          <w:ilvl w:val="0"/>
          <w:numId w:val="24"/>
        </w:numPr>
        <w:ind w:hanging="862"/>
        <w:outlineLvl w:val="9"/>
        <w:rPr>
          <w:rFonts w:ascii="Arial" w:hAnsi="Arial" w:cs="Arial"/>
          <w:szCs w:val="24"/>
          <w:lang w:val="es-MX" w:eastAsia="en-US"/>
        </w:rPr>
      </w:pPr>
      <w:bookmarkStart w:id="78" w:name="_Toc321244879"/>
      <w:r w:rsidRPr="00AB2B3D">
        <w:rPr>
          <w:rFonts w:ascii="Arial" w:hAnsi="Arial" w:cs="Arial"/>
          <w:szCs w:val="24"/>
          <w:lang w:val="es-MX" w:eastAsia="en-US"/>
        </w:rPr>
        <w:t>Todas las operaciones</w:t>
      </w:r>
      <w:r w:rsidR="00DF6247" w:rsidRPr="00AB2B3D">
        <w:rPr>
          <w:rFonts w:ascii="Arial" w:hAnsi="Arial" w:cs="Arial"/>
          <w:szCs w:val="24"/>
          <w:lang w:val="es-MX" w:eastAsia="en-US"/>
        </w:rPr>
        <w:t xml:space="preserve"> otorgadas a </w:t>
      </w:r>
      <w:r w:rsidR="001052EB" w:rsidRPr="00AB2B3D">
        <w:rPr>
          <w:rFonts w:ascii="Arial" w:hAnsi="Arial" w:cs="Arial"/>
          <w:szCs w:val="24"/>
          <w:lang w:val="es-MX" w:eastAsia="en-US"/>
        </w:rPr>
        <w:t>las IFI’s</w:t>
      </w:r>
      <w:r w:rsidR="00410E61" w:rsidRPr="00AB2B3D">
        <w:rPr>
          <w:rFonts w:ascii="Arial" w:hAnsi="Arial" w:cs="Arial"/>
          <w:szCs w:val="24"/>
          <w:lang w:val="es-MX" w:eastAsia="en-US"/>
        </w:rPr>
        <w:t xml:space="preserve"> elegibles</w:t>
      </w:r>
      <w:r w:rsidR="000223FC" w:rsidRPr="00AB2B3D">
        <w:rPr>
          <w:rFonts w:ascii="Arial" w:hAnsi="Arial" w:cs="Arial"/>
          <w:szCs w:val="24"/>
          <w:lang w:val="es-MX" w:eastAsia="en-US"/>
        </w:rPr>
        <w:t xml:space="preserve"> y</w:t>
      </w:r>
      <w:r w:rsidR="007404E7" w:rsidRPr="00AB2B3D">
        <w:rPr>
          <w:rFonts w:ascii="Arial" w:hAnsi="Arial" w:cs="Arial"/>
          <w:szCs w:val="24"/>
          <w:lang w:val="es-MX" w:eastAsia="en-US"/>
        </w:rPr>
        <w:t>/o</w:t>
      </w:r>
      <w:r w:rsidR="000223FC" w:rsidRPr="00AB2B3D">
        <w:rPr>
          <w:rFonts w:ascii="Arial" w:hAnsi="Arial" w:cs="Arial"/>
          <w:szCs w:val="24"/>
          <w:lang w:val="es-MX" w:eastAsia="en-US"/>
        </w:rPr>
        <w:t xml:space="preserve"> </w:t>
      </w:r>
      <w:r w:rsidR="007404E7" w:rsidRPr="00AB2B3D">
        <w:rPr>
          <w:rFonts w:ascii="Arial" w:hAnsi="Arial" w:cs="Arial"/>
          <w:szCs w:val="24"/>
          <w:lang w:val="es-MX" w:eastAsia="en-US"/>
        </w:rPr>
        <w:t>c</w:t>
      </w:r>
      <w:r w:rsidR="00B0186D" w:rsidRPr="00AB2B3D">
        <w:rPr>
          <w:rFonts w:ascii="Arial" w:hAnsi="Arial" w:cs="Arial"/>
          <w:szCs w:val="24"/>
          <w:lang w:val="es-MX" w:eastAsia="en-US"/>
        </w:rPr>
        <w:t xml:space="preserve">ualquier otro tipo de instrumento que realice intermediación </w:t>
      </w:r>
      <w:r w:rsidR="00410E61" w:rsidRPr="00AB2B3D">
        <w:rPr>
          <w:rFonts w:ascii="Arial" w:hAnsi="Arial" w:cs="Arial"/>
          <w:szCs w:val="24"/>
          <w:lang w:val="es-MX" w:eastAsia="en-US"/>
        </w:rPr>
        <w:t>que se</w:t>
      </w:r>
      <w:r w:rsidR="00F4156E" w:rsidRPr="00AB2B3D">
        <w:rPr>
          <w:rFonts w:ascii="Arial" w:hAnsi="Arial" w:cs="Arial"/>
          <w:szCs w:val="24"/>
          <w:lang w:val="es-MX" w:eastAsia="en-US"/>
        </w:rPr>
        <w:t>a</w:t>
      </w:r>
      <w:r w:rsidR="00410E61" w:rsidRPr="00AB2B3D">
        <w:rPr>
          <w:rFonts w:ascii="Arial" w:hAnsi="Arial" w:cs="Arial"/>
          <w:szCs w:val="24"/>
          <w:lang w:val="es-MX" w:eastAsia="en-US"/>
        </w:rPr>
        <w:t xml:space="preserve">n </w:t>
      </w:r>
      <w:r w:rsidR="00DF6247" w:rsidRPr="00AB2B3D">
        <w:rPr>
          <w:rFonts w:ascii="Arial" w:hAnsi="Arial" w:cs="Arial"/>
          <w:szCs w:val="24"/>
          <w:lang w:val="es-MX" w:eastAsia="en-US"/>
        </w:rPr>
        <w:t xml:space="preserve">financiadas por medio del </w:t>
      </w:r>
      <w:r w:rsidR="00743CAA" w:rsidRPr="00AB2B3D">
        <w:rPr>
          <w:rFonts w:ascii="Arial" w:hAnsi="Arial" w:cs="Arial"/>
          <w:szCs w:val="24"/>
          <w:lang w:val="es-MX" w:eastAsia="en-US"/>
        </w:rPr>
        <w:t>P</w:t>
      </w:r>
      <w:r w:rsidR="00743CAA" w:rsidRPr="00142039">
        <w:rPr>
          <w:rFonts w:ascii="Arial" w:hAnsi="Arial" w:cs="Arial"/>
          <w:szCs w:val="24"/>
          <w:lang w:val="es-MX" w:eastAsia="en-US"/>
        </w:rPr>
        <w:t>FTRG</w:t>
      </w:r>
      <w:r w:rsidR="00F4156E" w:rsidRPr="00142039">
        <w:rPr>
          <w:rFonts w:ascii="Arial" w:hAnsi="Arial" w:cs="Arial"/>
          <w:szCs w:val="24"/>
          <w:lang w:val="es-MX" w:eastAsia="en-US"/>
        </w:rPr>
        <w:t xml:space="preserve"> </w:t>
      </w:r>
      <w:r w:rsidR="00DF6247" w:rsidRPr="00142039">
        <w:rPr>
          <w:rFonts w:ascii="Arial" w:hAnsi="Arial" w:cs="Arial"/>
          <w:szCs w:val="24"/>
          <w:lang w:val="es-MX" w:eastAsia="en-US"/>
        </w:rPr>
        <w:t xml:space="preserve">deberán ser aprobadas por NAFIN conforme </w:t>
      </w:r>
      <w:r w:rsidR="00410E61" w:rsidRPr="00142039">
        <w:rPr>
          <w:rFonts w:ascii="Arial" w:hAnsi="Arial" w:cs="Arial"/>
          <w:szCs w:val="24"/>
          <w:lang w:val="es-MX" w:eastAsia="en-US"/>
        </w:rPr>
        <w:t xml:space="preserve">a su Sistema Normativo de </w:t>
      </w:r>
      <w:r w:rsidR="00410E61" w:rsidRPr="00142039">
        <w:rPr>
          <w:rFonts w:ascii="Arial" w:hAnsi="Arial" w:cs="Arial"/>
          <w:szCs w:val="24"/>
          <w:lang w:val="es-MX" w:eastAsia="en-US"/>
        </w:rPr>
        <w:lastRenderedPageBreak/>
        <w:t xml:space="preserve">Crédito, </w:t>
      </w:r>
      <w:r w:rsidR="00F4156E" w:rsidRPr="00142039">
        <w:rPr>
          <w:rFonts w:ascii="Arial" w:hAnsi="Arial" w:cs="Arial"/>
          <w:szCs w:val="24"/>
          <w:lang w:val="es-MX" w:eastAsia="en-US"/>
        </w:rPr>
        <w:t xml:space="preserve">al </w:t>
      </w:r>
      <w:r w:rsidR="00645DFA" w:rsidRPr="009D73AC">
        <w:rPr>
          <w:rFonts w:ascii="Arial" w:hAnsi="Arial" w:cs="Arial"/>
          <w:szCs w:val="24"/>
          <w:lang w:val="es-MX" w:eastAsia="en-US"/>
        </w:rPr>
        <w:t xml:space="preserve">presente </w:t>
      </w:r>
      <w:r w:rsidR="00F4156E" w:rsidRPr="009D73AC">
        <w:rPr>
          <w:rFonts w:ascii="Arial" w:hAnsi="Arial" w:cs="Arial"/>
          <w:szCs w:val="24"/>
          <w:lang w:val="es-MX" w:eastAsia="en-US"/>
        </w:rPr>
        <w:t>ROP, MAGAS</w:t>
      </w:r>
      <w:r w:rsidR="00EA71A9" w:rsidRPr="00142039">
        <w:rPr>
          <w:rFonts w:ascii="Arial" w:hAnsi="Arial" w:cs="Arial"/>
          <w:szCs w:val="24"/>
          <w:lang w:val="es-MX" w:eastAsia="en-US"/>
        </w:rPr>
        <w:t>,</w:t>
      </w:r>
      <w:r w:rsidR="00F4156E" w:rsidRPr="00AB2B3D">
        <w:rPr>
          <w:rFonts w:ascii="Arial" w:hAnsi="Arial" w:cs="Arial"/>
          <w:szCs w:val="24"/>
          <w:lang w:val="es-MX" w:eastAsia="en-US"/>
        </w:rPr>
        <w:t xml:space="preserve"> </w:t>
      </w:r>
      <w:r w:rsidR="00410E61" w:rsidRPr="00142039">
        <w:rPr>
          <w:rFonts w:ascii="Arial" w:hAnsi="Arial" w:cs="Arial"/>
          <w:szCs w:val="24"/>
          <w:lang w:val="es-MX" w:eastAsia="en-US"/>
        </w:rPr>
        <w:t>l</w:t>
      </w:r>
      <w:r w:rsidR="00EA71A9" w:rsidRPr="00142039">
        <w:rPr>
          <w:rFonts w:ascii="Arial" w:hAnsi="Arial" w:cs="Arial"/>
          <w:szCs w:val="24"/>
          <w:lang w:val="es-MX" w:eastAsia="en-US"/>
        </w:rPr>
        <w:t>os</w:t>
      </w:r>
      <w:r w:rsidR="00410E61" w:rsidRPr="00AB2B3D">
        <w:rPr>
          <w:rFonts w:ascii="Arial" w:hAnsi="Arial" w:cs="Arial"/>
          <w:szCs w:val="24"/>
          <w:lang w:val="es-MX" w:eastAsia="en-US"/>
        </w:rPr>
        <w:t xml:space="preserve"> </w:t>
      </w:r>
      <w:r w:rsidR="00DF6247" w:rsidRPr="00142039">
        <w:rPr>
          <w:rFonts w:ascii="Arial" w:hAnsi="Arial" w:cs="Arial"/>
          <w:szCs w:val="24"/>
          <w:lang w:val="es-MX" w:eastAsia="en-US"/>
        </w:rPr>
        <w:t>Contrato</w:t>
      </w:r>
      <w:r w:rsidR="00EA71A9" w:rsidRPr="00142039">
        <w:rPr>
          <w:rFonts w:ascii="Arial" w:hAnsi="Arial" w:cs="Arial"/>
          <w:szCs w:val="24"/>
          <w:lang w:val="es-MX" w:eastAsia="en-US"/>
        </w:rPr>
        <w:t>s</w:t>
      </w:r>
      <w:r w:rsidR="00DF6247" w:rsidRPr="00AB2B3D">
        <w:rPr>
          <w:rFonts w:ascii="Arial" w:hAnsi="Arial" w:cs="Arial"/>
          <w:szCs w:val="24"/>
          <w:lang w:val="es-MX" w:eastAsia="en-US"/>
        </w:rPr>
        <w:t xml:space="preserve"> de Préstamo</w:t>
      </w:r>
      <w:r w:rsidR="00EA71A9" w:rsidRPr="00142039">
        <w:rPr>
          <w:rFonts w:ascii="Arial" w:hAnsi="Arial" w:cs="Arial"/>
          <w:szCs w:val="24"/>
          <w:lang w:val="es-MX" w:eastAsia="en-US"/>
        </w:rPr>
        <w:t>s y las Cooperaciones Técnicas</w:t>
      </w:r>
      <w:r w:rsidR="00410E61" w:rsidRPr="00AB2B3D">
        <w:rPr>
          <w:rFonts w:ascii="Arial" w:hAnsi="Arial" w:cs="Arial"/>
          <w:szCs w:val="24"/>
          <w:lang w:val="es-MX" w:eastAsia="en-US"/>
        </w:rPr>
        <w:t>.</w:t>
      </w:r>
      <w:bookmarkEnd w:id="78"/>
    </w:p>
    <w:p w14:paraId="1D475FC3" w14:textId="77777777" w:rsidR="00832555" w:rsidRPr="0064412E" w:rsidRDefault="00832555" w:rsidP="000A37CF">
      <w:pPr>
        <w:pStyle w:val="Heading3"/>
        <w:tabs>
          <w:tab w:val="clear" w:pos="1800"/>
          <w:tab w:val="num" w:pos="720"/>
        </w:tabs>
        <w:ind w:left="720" w:hanging="720"/>
        <w:rPr>
          <w:b/>
          <w:sz w:val="32"/>
        </w:rPr>
      </w:pPr>
      <w:bookmarkStart w:id="79" w:name="_Toc207082508"/>
      <w:bookmarkStart w:id="80" w:name="_Toc207082541"/>
      <w:bookmarkStart w:id="81" w:name="_Toc198110509"/>
      <w:bookmarkStart w:id="82" w:name="_Toc198111152"/>
      <w:bookmarkStart w:id="83" w:name="_Toc198111225"/>
      <w:bookmarkStart w:id="84" w:name="_Toc198111259"/>
      <w:bookmarkStart w:id="85" w:name="_Toc198111297"/>
      <w:bookmarkStart w:id="86" w:name="_Toc198111339"/>
      <w:bookmarkStart w:id="87" w:name="_Toc198111393"/>
      <w:bookmarkStart w:id="88" w:name="_Toc321244880"/>
      <w:bookmarkStart w:id="89" w:name="_Toc450149560"/>
      <w:bookmarkStart w:id="90" w:name="_Toc205191268"/>
      <w:bookmarkStart w:id="91" w:name="_Toc207082514"/>
      <w:bookmarkStart w:id="92" w:name="_Toc207082547"/>
      <w:bookmarkStart w:id="93" w:name="_Toc240434729"/>
      <w:bookmarkEnd w:id="79"/>
      <w:bookmarkEnd w:id="80"/>
      <w:bookmarkEnd w:id="81"/>
      <w:bookmarkEnd w:id="82"/>
      <w:bookmarkEnd w:id="83"/>
      <w:bookmarkEnd w:id="84"/>
      <w:bookmarkEnd w:id="85"/>
      <w:bookmarkEnd w:id="86"/>
      <w:bookmarkEnd w:id="87"/>
      <w:r w:rsidRPr="0064412E">
        <w:rPr>
          <w:b/>
          <w:sz w:val="32"/>
        </w:rPr>
        <w:t>Mecanismo de asignación de recursos para operaciones elegibles</w:t>
      </w:r>
      <w:bookmarkEnd w:id="88"/>
      <w:bookmarkEnd w:id="89"/>
    </w:p>
    <w:p w14:paraId="56318D36" w14:textId="77777777" w:rsidR="00656B88" w:rsidRPr="00656B88" w:rsidRDefault="00656B88" w:rsidP="00656B88">
      <w:pPr>
        <w:rPr>
          <w:lang w:val="es-ES_tradnl"/>
        </w:rPr>
      </w:pPr>
    </w:p>
    <w:p w14:paraId="4603347F" w14:textId="77777777" w:rsidR="00832555" w:rsidRPr="00E5425D" w:rsidRDefault="00832555" w:rsidP="009067BA">
      <w:pPr>
        <w:pStyle w:val="subpar"/>
        <w:numPr>
          <w:ilvl w:val="0"/>
          <w:numId w:val="46"/>
        </w:numPr>
        <w:ind w:hanging="862"/>
        <w:outlineLvl w:val="9"/>
        <w:rPr>
          <w:rFonts w:ascii="Arial" w:hAnsi="Arial" w:cs="Arial"/>
          <w:szCs w:val="24"/>
          <w:lang w:val="es-MX" w:eastAsia="en-US"/>
        </w:rPr>
      </w:pPr>
      <w:bookmarkStart w:id="94" w:name="_Toc321244881"/>
      <w:r w:rsidRPr="00E5425D">
        <w:rPr>
          <w:rFonts w:ascii="Arial" w:hAnsi="Arial" w:cs="Arial"/>
          <w:szCs w:val="24"/>
          <w:lang w:val="es-MX" w:eastAsia="en-US"/>
        </w:rPr>
        <w:t xml:space="preserve">Los </w:t>
      </w:r>
      <w:r w:rsidR="0075055A" w:rsidRPr="00E5425D">
        <w:rPr>
          <w:rFonts w:ascii="Arial" w:hAnsi="Arial" w:cs="Arial"/>
          <w:szCs w:val="24"/>
          <w:lang w:val="es-MX" w:eastAsia="en-US"/>
        </w:rPr>
        <w:t>Sub-prestatarios</w:t>
      </w:r>
      <w:r w:rsidRPr="00E5425D">
        <w:rPr>
          <w:rFonts w:ascii="Arial" w:hAnsi="Arial" w:cs="Arial"/>
          <w:szCs w:val="24"/>
          <w:lang w:val="es-MX" w:eastAsia="en-US"/>
        </w:rPr>
        <w:t xml:space="preserve"> Elegibles y los </w:t>
      </w:r>
      <w:r w:rsidR="00693927" w:rsidRPr="00E5425D">
        <w:rPr>
          <w:rFonts w:ascii="Arial" w:hAnsi="Arial" w:cs="Arial"/>
          <w:szCs w:val="24"/>
          <w:lang w:val="es-MX" w:eastAsia="en-US"/>
        </w:rPr>
        <w:t>IFI’s</w:t>
      </w:r>
      <w:r w:rsidRPr="00E5425D">
        <w:rPr>
          <w:rFonts w:ascii="Arial" w:hAnsi="Arial" w:cs="Arial"/>
          <w:szCs w:val="24"/>
          <w:lang w:val="es-MX" w:eastAsia="en-US"/>
        </w:rPr>
        <w:t xml:space="preserve"> así como </w:t>
      </w:r>
      <w:r w:rsidR="003D5098" w:rsidRPr="00E5425D">
        <w:rPr>
          <w:rFonts w:ascii="Arial" w:hAnsi="Arial" w:cs="Arial"/>
          <w:szCs w:val="24"/>
          <w:lang w:val="es-MX" w:eastAsia="en-US"/>
        </w:rPr>
        <w:t xml:space="preserve">la </w:t>
      </w:r>
      <w:r w:rsidRPr="00E5425D">
        <w:rPr>
          <w:rFonts w:ascii="Arial" w:hAnsi="Arial" w:cs="Arial"/>
          <w:szCs w:val="24"/>
          <w:lang w:val="es-MX" w:eastAsia="en-US"/>
        </w:rPr>
        <w:t xml:space="preserve">Banca de Desarrollo Mexicana deberán solicitar financiamiento en los formatos que determine NAFIN. Las solicitudes que se presenten a NAFIN serán revisadas y en su caso, rechazadas o aprobadas conforme </w:t>
      </w:r>
      <w:r w:rsidR="005F5887" w:rsidRPr="00E5425D">
        <w:rPr>
          <w:rFonts w:ascii="Arial" w:hAnsi="Arial" w:cs="Arial"/>
          <w:szCs w:val="24"/>
          <w:lang w:val="es-MX" w:eastAsia="en-US"/>
        </w:rPr>
        <w:t xml:space="preserve">fueran </w:t>
      </w:r>
      <w:r w:rsidRPr="00E5425D">
        <w:rPr>
          <w:rFonts w:ascii="Arial" w:hAnsi="Arial" w:cs="Arial"/>
          <w:szCs w:val="24"/>
          <w:lang w:val="es-MX" w:eastAsia="en-US"/>
        </w:rPr>
        <w:t>presentadas (primero en tiempo primero en derecho).</w:t>
      </w:r>
      <w:bookmarkEnd w:id="94"/>
      <w:r w:rsidRPr="00E5425D">
        <w:rPr>
          <w:rFonts w:ascii="Arial" w:hAnsi="Arial" w:cs="Arial"/>
          <w:szCs w:val="24"/>
          <w:lang w:val="es-MX" w:eastAsia="en-US"/>
        </w:rPr>
        <w:t xml:space="preserve"> </w:t>
      </w:r>
    </w:p>
    <w:p w14:paraId="0401CADA" w14:textId="77777777" w:rsidR="00832555" w:rsidRPr="00E5425D" w:rsidRDefault="00832555" w:rsidP="009067BA">
      <w:pPr>
        <w:pStyle w:val="subpar"/>
        <w:numPr>
          <w:ilvl w:val="0"/>
          <w:numId w:val="46"/>
        </w:numPr>
        <w:ind w:hanging="862"/>
        <w:outlineLvl w:val="9"/>
        <w:rPr>
          <w:rFonts w:ascii="Arial" w:hAnsi="Arial" w:cs="Arial"/>
          <w:szCs w:val="24"/>
          <w:lang w:val="es-MX" w:eastAsia="en-US"/>
        </w:rPr>
      </w:pPr>
      <w:bookmarkStart w:id="95" w:name="_Toc321244882"/>
      <w:r w:rsidRPr="00E5425D">
        <w:rPr>
          <w:rFonts w:ascii="Arial" w:hAnsi="Arial" w:cs="Arial"/>
          <w:szCs w:val="24"/>
          <w:lang w:val="es-MX" w:eastAsia="en-US"/>
        </w:rPr>
        <w:t>NAFIN asigna</w:t>
      </w:r>
      <w:r w:rsidR="00D32B0A" w:rsidRPr="00E5425D">
        <w:rPr>
          <w:rFonts w:ascii="Arial" w:hAnsi="Arial" w:cs="Arial"/>
          <w:szCs w:val="24"/>
          <w:lang w:val="es-MX" w:eastAsia="en-US"/>
        </w:rPr>
        <w:t>rá</w:t>
      </w:r>
      <w:r w:rsidRPr="00E5425D">
        <w:rPr>
          <w:rFonts w:ascii="Arial" w:hAnsi="Arial" w:cs="Arial"/>
          <w:szCs w:val="24"/>
          <w:lang w:val="es-MX" w:eastAsia="en-US"/>
        </w:rPr>
        <w:t xml:space="preserve"> un presupuesto para su derrama crediticia y </w:t>
      </w:r>
      <w:r w:rsidR="005F5887" w:rsidRPr="00E5425D">
        <w:rPr>
          <w:rFonts w:ascii="Arial" w:hAnsi="Arial" w:cs="Arial"/>
          <w:szCs w:val="24"/>
          <w:lang w:val="es-MX" w:eastAsia="en-US"/>
        </w:rPr>
        <w:t xml:space="preserve">lo </w:t>
      </w:r>
      <w:r w:rsidRPr="00E5425D">
        <w:rPr>
          <w:rFonts w:ascii="Arial" w:hAnsi="Arial" w:cs="Arial"/>
          <w:szCs w:val="24"/>
          <w:lang w:val="es-MX" w:eastAsia="en-US"/>
        </w:rPr>
        <w:t>ejerce</w:t>
      </w:r>
      <w:r w:rsidR="00D32B0A" w:rsidRPr="00E5425D">
        <w:rPr>
          <w:rFonts w:ascii="Arial" w:hAnsi="Arial" w:cs="Arial"/>
          <w:szCs w:val="24"/>
          <w:lang w:val="es-MX" w:eastAsia="en-US"/>
        </w:rPr>
        <w:t>rá</w:t>
      </w:r>
      <w:r w:rsidRPr="00E5425D">
        <w:rPr>
          <w:rFonts w:ascii="Arial" w:hAnsi="Arial" w:cs="Arial"/>
          <w:szCs w:val="24"/>
          <w:lang w:val="es-MX" w:eastAsia="en-US"/>
        </w:rPr>
        <w:t xml:space="preserve"> conforme a la demanda de recursos de los </w:t>
      </w:r>
      <w:r w:rsidR="0075055A" w:rsidRPr="00E5425D">
        <w:rPr>
          <w:rFonts w:ascii="Arial" w:hAnsi="Arial" w:cs="Arial"/>
          <w:szCs w:val="24"/>
          <w:lang w:val="es-MX" w:eastAsia="en-US"/>
        </w:rPr>
        <w:t>Sub-prestatarios</w:t>
      </w:r>
      <w:r w:rsidRPr="00E5425D">
        <w:rPr>
          <w:rFonts w:ascii="Arial" w:hAnsi="Arial" w:cs="Arial"/>
          <w:szCs w:val="24"/>
          <w:lang w:val="es-MX" w:eastAsia="en-US"/>
        </w:rPr>
        <w:t xml:space="preserve"> Elegibles y de </w:t>
      </w:r>
      <w:r w:rsidR="001052EB" w:rsidRPr="00E5425D">
        <w:rPr>
          <w:rFonts w:ascii="Arial" w:hAnsi="Arial" w:cs="Arial"/>
          <w:szCs w:val="24"/>
          <w:lang w:val="es-MX" w:eastAsia="en-US"/>
        </w:rPr>
        <w:t>las IFI’s</w:t>
      </w:r>
      <w:r w:rsidRPr="00E5425D">
        <w:rPr>
          <w:rFonts w:ascii="Arial" w:hAnsi="Arial" w:cs="Arial"/>
          <w:szCs w:val="24"/>
          <w:lang w:val="es-MX" w:eastAsia="en-US"/>
        </w:rPr>
        <w:t>.</w:t>
      </w:r>
      <w:bookmarkEnd w:id="95"/>
    </w:p>
    <w:p w14:paraId="53CFB116" w14:textId="77777777" w:rsidR="00292D1F" w:rsidRDefault="006F2209" w:rsidP="009067BA">
      <w:pPr>
        <w:pStyle w:val="subpar"/>
        <w:numPr>
          <w:ilvl w:val="0"/>
          <w:numId w:val="46"/>
        </w:numPr>
        <w:ind w:hanging="862"/>
        <w:outlineLvl w:val="9"/>
        <w:rPr>
          <w:rFonts w:ascii="Arial" w:hAnsi="Arial" w:cs="Arial"/>
          <w:szCs w:val="24"/>
          <w:lang w:val="es-MX" w:eastAsia="en-US"/>
        </w:rPr>
      </w:pPr>
      <w:bookmarkStart w:id="96" w:name="_Toc321244883"/>
      <w:r w:rsidRPr="00E5425D">
        <w:rPr>
          <w:rFonts w:ascii="Arial" w:hAnsi="Arial" w:cs="Arial"/>
          <w:szCs w:val="24"/>
          <w:lang w:val="es-MX" w:eastAsia="en-US"/>
        </w:rPr>
        <w:t xml:space="preserve">En el caso de proyectos especiales que puedan enmarcarse por sus </w:t>
      </w:r>
      <w:r w:rsidR="005F5887" w:rsidRPr="00E5425D">
        <w:rPr>
          <w:rFonts w:ascii="Arial" w:hAnsi="Arial" w:cs="Arial"/>
          <w:szCs w:val="24"/>
          <w:lang w:val="es-MX" w:eastAsia="en-US"/>
        </w:rPr>
        <w:t>características</w:t>
      </w:r>
      <w:r w:rsidRPr="00E5425D">
        <w:rPr>
          <w:rFonts w:ascii="Arial" w:hAnsi="Arial" w:cs="Arial"/>
          <w:szCs w:val="24"/>
          <w:lang w:val="es-MX" w:eastAsia="en-US"/>
        </w:rPr>
        <w:t xml:space="preserve"> en los objetivos prioritarios del </w:t>
      </w:r>
      <w:r w:rsidR="00743CAA" w:rsidRPr="00E5425D">
        <w:rPr>
          <w:rFonts w:ascii="Arial" w:hAnsi="Arial" w:cs="Arial"/>
          <w:szCs w:val="24"/>
          <w:lang w:val="es-MX" w:eastAsia="en-US"/>
        </w:rPr>
        <w:t>PFTRG</w:t>
      </w:r>
      <w:r w:rsidR="005F5887" w:rsidRPr="00E5425D">
        <w:rPr>
          <w:rFonts w:ascii="Arial" w:hAnsi="Arial" w:cs="Arial"/>
          <w:szCs w:val="24"/>
          <w:lang w:val="es-MX" w:eastAsia="en-US"/>
        </w:rPr>
        <w:t>,</w:t>
      </w:r>
      <w:r w:rsidRPr="00E5425D">
        <w:rPr>
          <w:rFonts w:ascii="Arial" w:hAnsi="Arial" w:cs="Arial"/>
          <w:szCs w:val="24"/>
          <w:lang w:val="es-MX" w:eastAsia="en-US"/>
        </w:rPr>
        <w:t xml:space="preserve"> </w:t>
      </w:r>
      <w:r w:rsidR="00EC331D" w:rsidRPr="00E5425D">
        <w:rPr>
          <w:rFonts w:ascii="Arial" w:hAnsi="Arial" w:cs="Arial"/>
          <w:szCs w:val="24"/>
          <w:lang w:val="es-MX" w:eastAsia="en-US"/>
        </w:rPr>
        <w:t xml:space="preserve">las EGER </w:t>
      </w:r>
      <w:r w:rsidRPr="00E5425D">
        <w:rPr>
          <w:rFonts w:ascii="Arial" w:hAnsi="Arial" w:cs="Arial"/>
          <w:szCs w:val="24"/>
          <w:lang w:val="es-MX" w:eastAsia="en-US"/>
        </w:rPr>
        <w:t>podr</w:t>
      </w:r>
      <w:r w:rsidR="00D32B0A" w:rsidRPr="00E5425D">
        <w:rPr>
          <w:rFonts w:ascii="Arial" w:hAnsi="Arial" w:cs="Arial"/>
          <w:szCs w:val="24"/>
          <w:lang w:val="es-MX" w:eastAsia="en-US"/>
        </w:rPr>
        <w:t>á</w:t>
      </w:r>
      <w:r w:rsidRPr="00E5425D">
        <w:rPr>
          <w:rFonts w:ascii="Arial" w:hAnsi="Arial" w:cs="Arial"/>
          <w:szCs w:val="24"/>
          <w:lang w:val="es-MX" w:eastAsia="en-US"/>
        </w:rPr>
        <w:t xml:space="preserve">n presentar </w:t>
      </w:r>
      <w:r w:rsidR="005F5887" w:rsidRPr="00E5425D">
        <w:rPr>
          <w:rFonts w:ascii="Arial" w:hAnsi="Arial" w:cs="Arial"/>
          <w:szCs w:val="24"/>
          <w:lang w:val="es-MX" w:eastAsia="en-US"/>
        </w:rPr>
        <w:t xml:space="preserve">sus </w:t>
      </w:r>
      <w:r w:rsidRPr="00E5425D">
        <w:rPr>
          <w:rFonts w:ascii="Arial" w:hAnsi="Arial" w:cs="Arial"/>
          <w:szCs w:val="24"/>
          <w:lang w:val="es-MX" w:eastAsia="en-US"/>
        </w:rPr>
        <w:t>solicitud</w:t>
      </w:r>
      <w:r w:rsidR="005F5887" w:rsidRPr="00E5425D">
        <w:rPr>
          <w:rFonts w:ascii="Arial" w:hAnsi="Arial" w:cs="Arial"/>
          <w:szCs w:val="24"/>
          <w:lang w:val="es-MX" w:eastAsia="en-US"/>
        </w:rPr>
        <w:t>es</w:t>
      </w:r>
      <w:r w:rsidRPr="00E5425D">
        <w:rPr>
          <w:rFonts w:ascii="Arial" w:hAnsi="Arial" w:cs="Arial"/>
          <w:szCs w:val="24"/>
          <w:lang w:val="es-MX" w:eastAsia="en-US"/>
        </w:rPr>
        <w:t xml:space="preserve"> entendi</w:t>
      </w:r>
      <w:r w:rsidR="00D32B0A" w:rsidRPr="00E5425D">
        <w:rPr>
          <w:rFonts w:ascii="Arial" w:hAnsi="Arial" w:cs="Arial"/>
          <w:szCs w:val="24"/>
          <w:lang w:val="es-MX" w:eastAsia="en-US"/>
        </w:rPr>
        <w:t>é</w:t>
      </w:r>
      <w:r w:rsidRPr="00E5425D">
        <w:rPr>
          <w:rFonts w:ascii="Arial" w:hAnsi="Arial" w:cs="Arial"/>
          <w:szCs w:val="24"/>
          <w:lang w:val="es-MX" w:eastAsia="en-US"/>
        </w:rPr>
        <w:t xml:space="preserve">ndose </w:t>
      </w:r>
      <w:r w:rsidR="005F5887" w:rsidRPr="00E5425D">
        <w:rPr>
          <w:rFonts w:ascii="Arial" w:hAnsi="Arial" w:cs="Arial"/>
          <w:szCs w:val="24"/>
          <w:lang w:val="es-MX" w:eastAsia="en-US"/>
        </w:rPr>
        <w:t xml:space="preserve">que </w:t>
      </w:r>
      <w:r w:rsidRPr="00E5425D">
        <w:rPr>
          <w:rFonts w:ascii="Arial" w:hAnsi="Arial" w:cs="Arial"/>
          <w:szCs w:val="24"/>
          <w:lang w:val="es-MX" w:eastAsia="en-US"/>
        </w:rPr>
        <w:t xml:space="preserve">la </w:t>
      </w:r>
      <w:r w:rsidR="0008216D" w:rsidRPr="00E5425D">
        <w:rPr>
          <w:rFonts w:ascii="Arial" w:hAnsi="Arial" w:cs="Arial"/>
          <w:szCs w:val="24"/>
          <w:lang w:val="es-MX" w:eastAsia="en-US"/>
        </w:rPr>
        <w:t xml:space="preserve">elegibilidad </w:t>
      </w:r>
      <w:r w:rsidRPr="00E5425D">
        <w:rPr>
          <w:rFonts w:ascii="Arial" w:hAnsi="Arial" w:cs="Arial"/>
          <w:szCs w:val="24"/>
          <w:lang w:val="es-MX" w:eastAsia="en-US"/>
        </w:rPr>
        <w:t xml:space="preserve">de la misma </w:t>
      </w:r>
      <w:r w:rsidR="005F5887" w:rsidRPr="00E5425D">
        <w:rPr>
          <w:rFonts w:ascii="Arial" w:hAnsi="Arial" w:cs="Arial"/>
          <w:szCs w:val="24"/>
          <w:lang w:val="es-MX" w:eastAsia="en-US"/>
        </w:rPr>
        <w:t xml:space="preserve">estará </w:t>
      </w:r>
      <w:r w:rsidRPr="00E5425D">
        <w:rPr>
          <w:rFonts w:ascii="Arial" w:hAnsi="Arial" w:cs="Arial"/>
          <w:szCs w:val="24"/>
          <w:lang w:val="es-MX" w:eastAsia="en-US"/>
        </w:rPr>
        <w:t xml:space="preserve">sujeta a la </w:t>
      </w:r>
      <w:r w:rsidR="000C311F" w:rsidRPr="00E5425D">
        <w:rPr>
          <w:rFonts w:ascii="Arial" w:hAnsi="Arial" w:cs="Arial"/>
          <w:szCs w:val="24"/>
          <w:lang w:val="es-MX" w:eastAsia="en-US"/>
        </w:rPr>
        <w:t>No O</w:t>
      </w:r>
      <w:r w:rsidR="00C06E45" w:rsidRPr="00E5425D">
        <w:rPr>
          <w:rFonts w:ascii="Arial" w:hAnsi="Arial" w:cs="Arial"/>
          <w:szCs w:val="24"/>
          <w:lang w:val="es-MX" w:eastAsia="en-US"/>
        </w:rPr>
        <w:t xml:space="preserve">bjeción </w:t>
      </w:r>
      <w:r w:rsidRPr="00E5425D">
        <w:rPr>
          <w:rFonts w:ascii="Arial" w:hAnsi="Arial" w:cs="Arial"/>
          <w:szCs w:val="24"/>
          <w:lang w:val="es-MX" w:eastAsia="en-US"/>
        </w:rPr>
        <w:t>del BID.</w:t>
      </w:r>
      <w:bookmarkEnd w:id="96"/>
    </w:p>
    <w:p w14:paraId="61C9730E" w14:textId="77777777" w:rsidR="003D5098" w:rsidRPr="00A9618E" w:rsidRDefault="003D5098" w:rsidP="000A37CF">
      <w:pPr>
        <w:pStyle w:val="Heading3"/>
        <w:tabs>
          <w:tab w:val="clear" w:pos="1800"/>
          <w:tab w:val="num" w:pos="720"/>
        </w:tabs>
        <w:spacing w:after="240"/>
        <w:ind w:left="720" w:hanging="720"/>
        <w:rPr>
          <w:b/>
          <w:sz w:val="32"/>
        </w:rPr>
      </w:pPr>
      <w:bookmarkStart w:id="97" w:name="_Toc321244884"/>
      <w:bookmarkStart w:id="98" w:name="_Toc450149561"/>
      <w:r w:rsidRPr="00A9618E">
        <w:rPr>
          <w:b/>
          <w:sz w:val="32"/>
        </w:rPr>
        <w:t>Características de los Financiamientos</w:t>
      </w:r>
      <w:bookmarkEnd w:id="97"/>
      <w:bookmarkEnd w:id="98"/>
    </w:p>
    <w:p w14:paraId="084FC6AB" w14:textId="77777777" w:rsidR="003D5098" w:rsidRPr="00A21396" w:rsidRDefault="003D5098" w:rsidP="009067BA">
      <w:pPr>
        <w:pStyle w:val="Paragraph"/>
        <w:numPr>
          <w:ilvl w:val="0"/>
          <w:numId w:val="26"/>
        </w:numPr>
        <w:ind w:left="709" w:hanging="993"/>
        <w:outlineLvl w:val="9"/>
        <w:rPr>
          <w:rFonts w:ascii="Arial" w:hAnsi="Arial" w:cs="Arial"/>
          <w:szCs w:val="24"/>
          <w:lang w:val="es-MX" w:eastAsia="en-US"/>
        </w:rPr>
      </w:pPr>
      <w:r w:rsidRPr="00A21396">
        <w:rPr>
          <w:rFonts w:ascii="Arial" w:hAnsi="Arial" w:cs="Arial"/>
          <w:szCs w:val="24"/>
          <w:lang w:val="es-MX" w:eastAsia="en-US"/>
        </w:rPr>
        <w:t xml:space="preserve">Préstamos Preferentes o Subordinados: NAFIN tendrá en cuenta las siguientes condiciones </w:t>
      </w:r>
      <w:r w:rsidR="0049370C" w:rsidRPr="00A21396">
        <w:rPr>
          <w:rFonts w:ascii="Arial" w:hAnsi="Arial" w:cs="Arial"/>
          <w:szCs w:val="24"/>
          <w:lang w:val="es-MX" w:eastAsia="en-US"/>
        </w:rPr>
        <w:t>para</w:t>
      </w:r>
      <w:r w:rsidRPr="00A21396">
        <w:rPr>
          <w:rFonts w:ascii="Arial" w:hAnsi="Arial" w:cs="Arial"/>
          <w:szCs w:val="24"/>
          <w:lang w:val="es-MX" w:eastAsia="en-US"/>
        </w:rPr>
        <w:t xml:space="preserve"> seleccionar proyectos para la cartera del </w:t>
      </w:r>
      <w:r w:rsidR="00743CAA" w:rsidRPr="00A21396">
        <w:rPr>
          <w:rFonts w:ascii="Arial" w:hAnsi="Arial" w:cs="Arial"/>
          <w:szCs w:val="24"/>
          <w:lang w:val="es-MX" w:eastAsia="en-US"/>
        </w:rPr>
        <w:t>PFTRG</w:t>
      </w:r>
      <w:r w:rsidR="00BC0674" w:rsidRPr="00A21396">
        <w:rPr>
          <w:rFonts w:ascii="Arial" w:hAnsi="Arial" w:cs="Arial"/>
          <w:szCs w:val="24"/>
          <w:lang w:val="es-MX" w:eastAsia="en-US"/>
        </w:rPr>
        <w:t xml:space="preserve">, siempre que se utilicen recursos del </w:t>
      </w:r>
      <w:r w:rsidR="009A60A2" w:rsidRPr="00A21396">
        <w:rPr>
          <w:rFonts w:ascii="Arial" w:hAnsi="Arial" w:cs="Arial"/>
          <w:szCs w:val="24"/>
          <w:lang w:val="es-MX" w:eastAsia="en-US"/>
        </w:rPr>
        <w:t xml:space="preserve">BID y </w:t>
      </w:r>
      <w:r w:rsidR="00BC0674" w:rsidRPr="00A21396">
        <w:rPr>
          <w:rFonts w:ascii="Arial" w:hAnsi="Arial" w:cs="Arial"/>
          <w:szCs w:val="24"/>
          <w:lang w:val="es-MX" w:eastAsia="en-US"/>
        </w:rPr>
        <w:t>CTF</w:t>
      </w:r>
      <w:r w:rsidR="00D32B0A" w:rsidRPr="00A21396">
        <w:rPr>
          <w:rFonts w:ascii="Arial" w:hAnsi="Arial" w:cs="Arial"/>
          <w:szCs w:val="24"/>
          <w:lang w:val="es-MX" w:eastAsia="en-US"/>
        </w:rPr>
        <w:t>:</w:t>
      </w:r>
    </w:p>
    <w:p w14:paraId="778534C8" w14:textId="77777777" w:rsidR="003D5098" w:rsidRPr="00C92720" w:rsidRDefault="003D5098" w:rsidP="009067BA">
      <w:pPr>
        <w:numPr>
          <w:ilvl w:val="0"/>
          <w:numId w:val="14"/>
        </w:numPr>
        <w:tabs>
          <w:tab w:val="left" w:pos="709"/>
        </w:tabs>
        <w:spacing w:before="120" w:after="120"/>
        <w:ind w:left="1080"/>
        <w:rPr>
          <w:rFonts w:ascii="Arial" w:hAnsi="Arial" w:cs="Arial"/>
          <w:sz w:val="24"/>
          <w:szCs w:val="24"/>
        </w:rPr>
      </w:pPr>
      <w:r w:rsidRPr="00C92720">
        <w:rPr>
          <w:rFonts w:ascii="Arial" w:hAnsi="Arial" w:cs="Arial"/>
          <w:sz w:val="24"/>
          <w:szCs w:val="24"/>
        </w:rPr>
        <w:t>Monto por proyecto:</w:t>
      </w:r>
    </w:p>
    <w:p w14:paraId="4C46D25E" w14:textId="77777777" w:rsidR="005E102B" w:rsidRPr="00C92720" w:rsidRDefault="003D5098" w:rsidP="009067BA">
      <w:pPr>
        <w:pStyle w:val="ListParagraph"/>
        <w:numPr>
          <w:ilvl w:val="0"/>
          <w:numId w:val="9"/>
        </w:numPr>
        <w:tabs>
          <w:tab w:val="left" w:pos="567"/>
          <w:tab w:val="left" w:pos="1701"/>
        </w:tabs>
        <w:spacing w:before="120" w:after="120"/>
        <w:ind w:left="1440"/>
        <w:jc w:val="both"/>
        <w:rPr>
          <w:rFonts w:ascii="Arial" w:hAnsi="Arial" w:cs="Arial"/>
        </w:rPr>
      </w:pPr>
      <w:r w:rsidRPr="00C92720">
        <w:rPr>
          <w:rFonts w:ascii="Arial" w:hAnsi="Arial" w:cs="Arial"/>
        </w:rPr>
        <w:t xml:space="preserve">Al menos </w:t>
      </w:r>
      <w:r w:rsidR="00394D96">
        <w:rPr>
          <w:rFonts w:ascii="Arial" w:hAnsi="Arial" w:cs="Arial"/>
        </w:rPr>
        <w:t>2</w:t>
      </w:r>
      <w:r w:rsidRPr="00C92720">
        <w:rPr>
          <w:rFonts w:ascii="Arial" w:hAnsi="Arial" w:cs="Arial"/>
        </w:rPr>
        <w:t xml:space="preserve"> proyectos de </w:t>
      </w:r>
      <w:r w:rsidR="0049370C">
        <w:rPr>
          <w:rFonts w:ascii="Arial" w:hAnsi="Arial" w:cs="Arial"/>
        </w:rPr>
        <w:t>ER</w:t>
      </w:r>
      <w:r w:rsidR="009C70D9">
        <w:rPr>
          <w:rFonts w:ascii="Arial" w:hAnsi="Arial" w:cs="Arial"/>
        </w:rPr>
        <w:t>G</w:t>
      </w:r>
      <w:r w:rsidRPr="00C92720">
        <w:rPr>
          <w:rFonts w:ascii="Arial" w:hAnsi="Arial" w:cs="Arial"/>
        </w:rPr>
        <w:t xml:space="preserve"> con recursos del </w:t>
      </w:r>
      <w:r w:rsidR="00743CAA">
        <w:rPr>
          <w:rFonts w:ascii="Arial" w:hAnsi="Arial" w:cs="Arial"/>
        </w:rPr>
        <w:t>PFTRG</w:t>
      </w:r>
      <w:r w:rsidRPr="00C92720">
        <w:rPr>
          <w:rFonts w:ascii="Arial" w:hAnsi="Arial" w:cs="Arial"/>
        </w:rPr>
        <w:t xml:space="preserve">. En al menos </w:t>
      </w:r>
      <w:r w:rsidR="00394D96">
        <w:rPr>
          <w:rFonts w:ascii="Arial" w:hAnsi="Arial" w:cs="Arial"/>
        </w:rPr>
        <w:t>2</w:t>
      </w:r>
      <w:r w:rsidRPr="00C92720">
        <w:rPr>
          <w:rFonts w:ascii="Arial" w:hAnsi="Arial" w:cs="Arial"/>
        </w:rPr>
        <w:t xml:space="preserve"> proyectos del </w:t>
      </w:r>
      <w:r w:rsidR="00743CAA">
        <w:rPr>
          <w:rFonts w:ascii="Arial" w:hAnsi="Arial" w:cs="Arial"/>
        </w:rPr>
        <w:t>PFTRG</w:t>
      </w:r>
      <w:r w:rsidRPr="00C92720">
        <w:rPr>
          <w:rFonts w:ascii="Arial" w:hAnsi="Arial" w:cs="Arial"/>
        </w:rPr>
        <w:t xml:space="preserve"> los recursos combinados no financiarán más del </w:t>
      </w:r>
      <w:r w:rsidR="00CF707F">
        <w:rPr>
          <w:rFonts w:ascii="Arial" w:hAnsi="Arial" w:cs="Arial"/>
        </w:rPr>
        <w:t>8</w:t>
      </w:r>
      <w:r w:rsidR="00C410E6">
        <w:rPr>
          <w:rFonts w:ascii="Arial" w:hAnsi="Arial" w:cs="Arial"/>
        </w:rPr>
        <w:t>0</w:t>
      </w:r>
      <w:r w:rsidRPr="00C92720">
        <w:rPr>
          <w:rFonts w:ascii="Arial" w:hAnsi="Arial" w:cs="Arial"/>
        </w:rPr>
        <w:t>% del total de las necesidades de financiamiento de</w:t>
      </w:r>
      <w:r w:rsidR="005B6AEA" w:rsidRPr="00C92720">
        <w:rPr>
          <w:rFonts w:ascii="Arial" w:hAnsi="Arial" w:cs="Arial"/>
        </w:rPr>
        <w:t xml:space="preserve"> cada</w:t>
      </w:r>
      <w:r w:rsidRPr="00C92720">
        <w:rPr>
          <w:rFonts w:ascii="Arial" w:hAnsi="Arial" w:cs="Arial"/>
        </w:rPr>
        <w:t xml:space="preserve"> proyecto.</w:t>
      </w:r>
    </w:p>
    <w:p w14:paraId="540147C6" w14:textId="77777777" w:rsidR="003D5098" w:rsidRPr="00C92720" w:rsidRDefault="003D5098" w:rsidP="009067BA">
      <w:pPr>
        <w:numPr>
          <w:ilvl w:val="0"/>
          <w:numId w:val="14"/>
        </w:numPr>
        <w:tabs>
          <w:tab w:val="left" w:pos="709"/>
        </w:tabs>
        <w:spacing w:before="120" w:after="120"/>
        <w:ind w:left="1080"/>
        <w:rPr>
          <w:rFonts w:ascii="Arial" w:hAnsi="Arial" w:cs="Arial"/>
          <w:sz w:val="24"/>
          <w:szCs w:val="24"/>
        </w:rPr>
      </w:pPr>
      <w:r w:rsidRPr="00C92720">
        <w:rPr>
          <w:rFonts w:ascii="Arial" w:hAnsi="Arial" w:cs="Arial"/>
          <w:sz w:val="24"/>
          <w:szCs w:val="24"/>
        </w:rPr>
        <w:t>Porcentaje de financiamiento sobre el nivel del proyecto:</w:t>
      </w:r>
    </w:p>
    <w:p w14:paraId="502B58C9" w14:textId="77777777" w:rsidR="005E102B" w:rsidRDefault="003D5098" w:rsidP="009067BA">
      <w:pPr>
        <w:pStyle w:val="ListParagraph"/>
        <w:numPr>
          <w:ilvl w:val="0"/>
          <w:numId w:val="9"/>
        </w:numPr>
        <w:tabs>
          <w:tab w:val="left" w:pos="567"/>
          <w:tab w:val="left" w:pos="1701"/>
        </w:tabs>
        <w:spacing w:before="120" w:after="120"/>
        <w:ind w:left="1440"/>
        <w:jc w:val="both"/>
        <w:rPr>
          <w:rFonts w:ascii="Arial" w:hAnsi="Arial" w:cs="Arial"/>
        </w:rPr>
      </w:pPr>
      <w:r w:rsidRPr="00C92720">
        <w:rPr>
          <w:rFonts w:ascii="Arial" w:hAnsi="Arial" w:cs="Arial"/>
        </w:rPr>
        <w:t xml:space="preserve">El porcentaje de cada fuente de fondeo del </w:t>
      </w:r>
      <w:r w:rsidR="00743CAA">
        <w:rPr>
          <w:rFonts w:ascii="Arial" w:hAnsi="Arial" w:cs="Arial"/>
        </w:rPr>
        <w:t>PFTRG</w:t>
      </w:r>
      <w:r w:rsidRPr="00C92720">
        <w:rPr>
          <w:rFonts w:ascii="Arial" w:hAnsi="Arial" w:cs="Arial"/>
        </w:rPr>
        <w:t xml:space="preserve"> en la inversión del </w:t>
      </w:r>
      <w:r w:rsidR="00743CAA">
        <w:rPr>
          <w:rFonts w:ascii="Arial" w:hAnsi="Arial" w:cs="Arial"/>
        </w:rPr>
        <w:t>PFTRG</w:t>
      </w:r>
      <w:r w:rsidRPr="00C92720">
        <w:rPr>
          <w:rFonts w:ascii="Arial" w:hAnsi="Arial" w:cs="Arial"/>
        </w:rPr>
        <w:t xml:space="preserve"> en cada proyecto siempre será de 1/3 parte de recursos de CTF y al menos 2/3 partes con recursos de la operación ME-X1010</w:t>
      </w:r>
      <w:r w:rsidR="00E0439F" w:rsidRPr="00C92720">
        <w:rPr>
          <w:rFonts w:ascii="Arial" w:hAnsi="Arial" w:cs="Arial"/>
        </w:rPr>
        <w:t xml:space="preserve"> </w:t>
      </w:r>
      <w:r w:rsidRPr="00C92720">
        <w:rPr>
          <w:rFonts w:ascii="Arial" w:hAnsi="Arial" w:cs="Arial"/>
        </w:rPr>
        <w:t>y recursos propios de NAFIN.</w:t>
      </w:r>
    </w:p>
    <w:p w14:paraId="29F9F967" w14:textId="77777777" w:rsidR="00F15A11" w:rsidRPr="00F15A11" w:rsidRDefault="00F15A11" w:rsidP="000A37CF">
      <w:pPr>
        <w:tabs>
          <w:tab w:val="left" w:pos="567"/>
          <w:tab w:val="left" w:pos="1701"/>
        </w:tabs>
        <w:spacing w:before="120" w:after="120"/>
        <w:jc w:val="center"/>
        <w:rPr>
          <w:rFonts w:ascii="Arial" w:hAnsi="Arial" w:cs="Arial"/>
        </w:rPr>
      </w:pPr>
    </w:p>
    <w:p w14:paraId="75E1AAD9" w14:textId="77777777" w:rsidR="003D5098" w:rsidRPr="000A37CF" w:rsidRDefault="007247DE" w:rsidP="000A37CF">
      <w:pPr>
        <w:pStyle w:val="Paragraph"/>
        <w:numPr>
          <w:ilvl w:val="0"/>
          <w:numId w:val="0"/>
        </w:numPr>
        <w:ind w:left="709"/>
        <w:jc w:val="center"/>
        <w:outlineLvl w:val="9"/>
        <w:rPr>
          <w:rFonts w:ascii="Arial" w:hAnsi="Arial" w:cs="Arial"/>
          <w:b/>
          <w:szCs w:val="24"/>
        </w:rPr>
      </w:pPr>
      <w:r w:rsidRPr="000A37CF">
        <w:rPr>
          <w:rFonts w:ascii="Arial" w:hAnsi="Arial" w:cs="Arial"/>
          <w:b/>
          <w:szCs w:val="24"/>
        </w:rPr>
        <w:t>Tabla 3. Términos y condiciones generales de crédito exploratorio y de desarrollo.</w:t>
      </w:r>
    </w:p>
    <w:tbl>
      <w:tblPr>
        <w:tblStyle w:val="Tabladecuadrcula5oscura-nfasis11"/>
        <w:tblW w:w="9634" w:type="dxa"/>
        <w:tblLook w:val="04A0" w:firstRow="1" w:lastRow="0" w:firstColumn="1" w:lastColumn="0" w:noHBand="0" w:noVBand="1"/>
      </w:tblPr>
      <w:tblGrid>
        <w:gridCol w:w="2122"/>
        <w:gridCol w:w="3685"/>
        <w:gridCol w:w="3827"/>
      </w:tblGrid>
      <w:tr w:rsidR="00AA6E05" w:rsidRPr="00574626" w14:paraId="03FC95C7" w14:textId="77777777" w:rsidTr="000A37CF">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122" w:type="dxa"/>
            <w:shd w:val="clear" w:color="auto" w:fill="244061" w:themeFill="accent1" w:themeFillShade="80"/>
            <w:vAlign w:val="center"/>
          </w:tcPr>
          <w:p w14:paraId="6D643D24" w14:textId="77777777" w:rsidR="006C24D6" w:rsidRPr="000A37CF" w:rsidRDefault="006C24D6" w:rsidP="00D22139">
            <w:pPr>
              <w:jc w:val="center"/>
              <w:rPr>
                <w:rFonts w:ascii="Arial" w:hAnsi="Arial" w:cs="Arial"/>
                <w:sz w:val="18"/>
                <w:szCs w:val="24"/>
              </w:rPr>
            </w:pPr>
            <w:r w:rsidRPr="000A37CF">
              <w:rPr>
                <w:rFonts w:ascii="Arial" w:hAnsi="Arial" w:cs="Arial"/>
                <w:sz w:val="18"/>
                <w:szCs w:val="24"/>
              </w:rPr>
              <w:t>Términos y Condiciones Generales</w:t>
            </w:r>
          </w:p>
        </w:tc>
        <w:tc>
          <w:tcPr>
            <w:tcW w:w="3685" w:type="dxa"/>
            <w:shd w:val="clear" w:color="auto" w:fill="244061" w:themeFill="accent1" w:themeFillShade="80"/>
            <w:vAlign w:val="center"/>
          </w:tcPr>
          <w:p w14:paraId="398A8717" w14:textId="77777777" w:rsidR="006C24D6" w:rsidRPr="000A37CF" w:rsidRDefault="006C24D6" w:rsidP="0016468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24"/>
              </w:rPr>
            </w:pPr>
            <w:r w:rsidRPr="000A37CF">
              <w:rPr>
                <w:rFonts w:ascii="Arial" w:hAnsi="Arial" w:cs="Arial"/>
                <w:sz w:val="18"/>
                <w:szCs w:val="24"/>
              </w:rPr>
              <w:t>Crédito Exploratorio Asegurado</w:t>
            </w:r>
          </w:p>
        </w:tc>
        <w:tc>
          <w:tcPr>
            <w:tcW w:w="3827" w:type="dxa"/>
            <w:shd w:val="clear" w:color="auto" w:fill="244061" w:themeFill="accent1" w:themeFillShade="80"/>
            <w:vAlign w:val="center"/>
          </w:tcPr>
          <w:p w14:paraId="126D3E52" w14:textId="77777777" w:rsidR="006C24D6" w:rsidRPr="000A37CF" w:rsidRDefault="006C24D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Crédito de Desarrollo (Producción)</w:t>
            </w:r>
          </w:p>
        </w:tc>
      </w:tr>
      <w:tr w:rsidR="006C24D6" w:rsidRPr="00574626" w14:paraId="49FBA15B" w14:textId="77777777" w:rsidTr="00613AED">
        <w:trPr>
          <w:cnfStyle w:val="000000100000" w:firstRow="0" w:lastRow="0" w:firstColumn="0" w:lastColumn="0" w:oddVBand="0" w:evenVBand="0" w:oddHBand="1" w:evenHBand="0" w:firstRowFirstColumn="0" w:firstRowLastColumn="0" w:lastRowFirstColumn="0" w:lastRowLastColumn="0"/>
          <w:trHeight w:val="587"/>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0C0A996F" w14:textId="77777777" w:rsidR="006C24D6" w:rsidRPr="000A37CF" w:rsidRDefault="006C24D6" w:rsidP="00907998">
            <w:pPr>
              <w:rPr>
                <w:rFonts w:ascii="Arial" w:hAnsi="Arial" w:cs="Arial"/>
                <w:i/>
                <w:sz w:val="18"/>
                <w:szCs w:val="24"/>
              </w:rPr>
            </w:pPr>
            <w:r w:rsidRPr="000A37CF">
              <w:rPr>
                <w:rFonts w:ascii="Arial" w:hAnsi="Arial" w:cs="Arial"/>
                <w:sz w:val="18"/>
                <w:szCs w:val="24"/>
              </w:rPr>
              <w:t>Monto</w:t>
            </w:r>
          </w:p>
        </w:tc>
        <w:tc>
          <w:tcPr>
            <w:tcW w:w="3685" w:type="dxa"/>
          </w:tcPr>
          <w:p w14:paraId="0DACFC43"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Hasta el [80]% de los costos del Proyecto. Monto a determinarse caso por caso.</w:t>
            </w:r>
          </w:p>
        </w:tc>
        <w:tc>
          <w:tcPr>
            <w:tcW w:w="3827" w:type="dxa"/>
          </w:tcPr>
          <w:p w14:paraId="40564E03"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Hasta el [80]% de los costos del proyecto. Monto a determinarse caso por caso.</w:t>
            </w:r>
          </w:p>
        </w:tc>
      </w:tr>
      <w:tr w:rsidR="006C24D6" w:rsidRPr="00574626" w14:paraId="5EE06A41" w14:textId="77777777" w:rsidTr="00613AED">
        <w:trPr>
          <w:trHeight w:val="494"/>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5569F8D9" w14:textId="77777777" w:rsidR="006C24D6" w:rsidRPr="000A37CF" w:rsidRDefault="006C24D6" w:rsidP="00907998">
            <w:pPr>
              <w:rPr>
                <w:rFonts w:ascii="Arial" w:hAnsi="Arial" w:cs="Arial"/>
                <w:i/>
                <w:sz w:val="18"/>
                <w:szCs w:val="24"/>
              </w:rPr>
            </w:pPr>
            <w:r w:rsidRPr="000A37CF">
              <w:rPr>
                <w:rFonts w:ascii="Arial" w:hAnsi="Arial" w:cs="Arial"/>
                <w:i/>
                <w:sz w:val="18"/>
                <w:szCs w:val="24"/>
              </w:rPr>
              <w:t>Moneda</w:t>
            </w:r>
          </w:p>
        </w:tc>
        <w:tc>
          <w:tcPr>
            <w:tcW w:w="3685" w:type="dxa"/>
          </w:tcPr>
          <w:p w14:paraId="5D7C8009"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Pesos mexicanos o dólares americanos. Se determinará caso por caso</w:t>
            </w:r>
          </w:p>
        </w:tc>
        <w:tc>
          <w:tcPr>
            <w:tcW w:w="3827" w:type="dxa"/>
          </w:tcPr>
          <w:p w14:paraId="0C48C5FE"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Pesos mexicanos o dólares americanos. Se determinará caso por caso</w:t>
            </w:r>
          </w:p>
        </w:tc>
      </w:tr>
      <w:tr w:rsidR="006C24D6" w:rsidRPr="00574626" w14:paraId="3DE4325A" w14:textId="77777777" w:rsidTr="00613AED">
        <w:trPr>
          <w:cnfStyle w:val="000000100000" w:firstRow="0" w:lastRow="0" w:firstColumn="0" w:lastColumn="0" w:oddVBand="0" w:evenVBand="0" w:oddHBand="1" w:evenHBand="0" w:firstRowFirstColumn="0" w:firstRowLastColumn="0" w:lastRowFirstColumn="0" w:lastRowLastColumn="0"/>
          <w:trHeight w:val="135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259164E" w14:textId="77777777" w:rsidR="006C24D6" w:rsidRPr="000A37CF" w:rsidRDefault="006C24D6" w:rsidP="00907998">
            <w:pPr>
              <w:rPr>
                <w:rFonts w:ascii="Arial" w:hAnsi="Arial" w:cs="Arial"/>
                <w:i/>
                <w:sz w:val="18"/>
                <w:szCs w:val="24"/>
              </w:rPr>
            </w:pPr>
            <w:r w:rsidRPr="000A37CF">
              <w:rPr>
                <w:rFonts w:ascii="Arial" w:hAnsi="Arial" w:cs="Arial"/>
                <w:i/>
                <w:sz w:val="18"/>
                <w:szCs w:val="24"/>
              </w:rPr>
              <w:lastRenderedPageBreak/>
              <w:t>Plazo Total del crédito</w:t>
            </w:r>
          </w:p>
        </w:tc>
        <w:tc>
          <w:tcPr>
            <w:tcW w:w="3685" w:type="dxa"/>
          </w:tcPr>
          <w:p w14:paraId="0EB98E3F"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Hasta [48 meses] a partir de la firma del Contrato de Crédito Exploratorio Asegurado (Fecha de Vencimiento) o hasta [12 meses] a partir de la certificación de la producción de vapor que determine la terminación de la póliza de seguro de recurso geotérmico de acuerdo a las condiciones estipuladas en la misma, lo que ocurra primero. Se determinará caso por caso.</w:t>
            </w:r>
          </w:p>
        </w:tc>
        <w:tc>
          <w:tcPr>
            <w:tcW w:w="3827" w:type="dxa"/>
          </w:tcPr>
          <w:p w14:paraId="7F92CD8A"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Hasta [20 años] a partir de la terminación del periodo de gracia.</w:t>
            </w:r>
          </w:p>
        </w:tc>
      </w:tr>
      <w:tr w:rsidR="006C24D6" w:rsidRPr="00574626" w14:paraId="6E26114C" w14:textId="77777777" w:rsidTr="00613AED">
        <w:trPr>
          <w:trHeight w:val="1032"/>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766C6D0D" w14:textId="77777777" w:rsidR="006C24D6" w:rsidRPr="000A37CF" w:rsidRDefault="006C24D6" w:rsidP="00907998">
            <w:pPr>
              <w:rPr>
                <w:rFonts w:ascii="Arial" w:hAnsi="Arial" w:cs="Arial"/>
                <w:i/>
                <w:sz w:val="18"/>
                <w:szCs w:val="24"/>
              </w:rPr>
            </w:pPr>
            <w:r w:rsidRPr="000A37CF">
              <w:rPr>
                <w:rFonts w:ascii="Arial" w:hAnsi="Arial" w:cs="Arial"/>
                <w:i/>
                <w:sz w:val="18"/>
                <w:szCs w:val="24"/>
              </w:rPr>
              <w:t>Periodo de gracia para el pago del principal</w:t>
            </w:r>
          </w:p>
        </w:tc>
        <w:tc>
          <w:tcPr>
            <w:tcW w:w="3685" w:type="dxa"/>
          </w:tcPr>
          <w:p w14:paraId="38A07B11"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p>
        </w:tc>
        <w:tc>
          <w:tcPr>
            <w:tcW w:w="3827" w:type="dxa"/>
          </w:tcPr>
          <w:p w14:paraId="7F9E1204"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Hasta [24 meses] a partir de la entrada en operación del Proyecto.</w:t>
            </w:r>
          </w:p>
        </w:tc>
      </w:tr>
      <w:tr w:rsidR="006C24D6" w:rsidRPr="00574626" w14:paraId="03BA4E67" w14:textId="77777777" w:rsidTr="00613AED">
        <w:trPr>
          <w:cnfStyle w:val="000000100000" w:firstRow="0" w:lastRow="0" w:firstColumn="0" w:lastColumn="0" w:oddVBand="0" w:evenVBand="0" w:oddHBand="1" w:evenHBand="0" w:firstRowFirstColumn="0" w:firstRowLastColumn="0" w:lastRowFirstColumn="0" w:lastRowLastColumn="0"/>
          <w:trHeight w:val="1032"/>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572758A" w14:textId="77777777" w:rsidR="006C24D6" w:rsidRPr="000A37CF" w:rsidRDefault="006C24D6" w:rsidP="00907998">
            <w:pPr>
              <w:rPr>
                <w:rFonts w:ascii="Arial" w:hAnsi="Arial" w:cs="Arial"/>
                <w:i/>
                <w:sz w:val="18"/>
                <w:szCs w:val="24"/>
              </w:rPr>
            </w:pPr>
            <w:r w:rsidRPr="000A37CF">
              <w:rPr>
                <w:rFonts w:ascii="Arial" w:hAnsi="Arial" w:cs="Arial"/>
                <w:i/>
                <w:sz w:val="18"/>
                <w:szCs w:val="24"/>
              </w:rPr>
              <w:t>Destino del crédito</w:t>
            </w:r>
          </w:p>
        </w:tc>
        <w:tc>
          <w:tcPr>
            <w:tcW w:w="3685" w:type="dxa"/>
          </w:tcPr>
          <w:p w14:paraId="5313FC62"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0A37CF">
              <w:rPr>
                <w:rFonts w:ascii="Arial" w:hAnsi="Arial" w:cs="Arial"/>
                <w:sz w:val="18"/>
                <w:szCs w:val="24"/>
              </w:rPr>
              <w:t>Incluye los necesarios para la perforación, c</w:t>
            </w:r>
            <w:r w:rsidR="00292745">
              <w:rPr>
                <w:rFonts w:ascii="Arial" w:hAnsi="Arial" w:cs="Arial"/>
                <w:sz w:val="18"/>
                <w:szCs w:val="24"/>
              </w:rPr>
              <w:t>i</w:t>
            </w:r>
            <w:r w:rsidRPr="000A37CF">
              <w:rPr>
                <w:rFonts w:ascii="Arial" w:hAnsi="Arial" w:cs="Arial"/>
                <w:sz w:val="18"/>
                <w:szCs w:val="24"/>
              </w:rPr>
              <w:t xml:space="preserve">mentación y terminación de hasta </w:t>
            </w:r>
            <w:r w:rsidR="00292745">
              <w:rPr>
                <w:rFonts w:ascii="Arial" w:hAnsi="Arial" w:cs="Arial"/>
                <w:sz w:val="18"/>
                <w:szCs w:val="24"/>
              </w:rPr>
              <w:t xml:space="preserve">cierto número de </w:t>
            </w:r>
            <w:r w:rsidRPr="000A37CF">
              <w:rPr>
                <w:rFonts w:ascii="Arial" w:hAnsi="Arial" w:cs="Arial"/>
                <w:sz w:val="18"/>
                <w:szCs w:val="24"/>
              </w:rPr>
              <w:t xml:space="preserve"> pozos de producción y/o re-inyección de fluidos geotérmicos. </w:t>
            </w:r>
          </w:p>
          <w:p w14:paraId="40C61FDB"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 xml:space="preserve"> [*]: Se determinará caso por caso</w:t>
            </w:r>
          </w:p>
        </w:tc>
        <w:tc>
          <w:tcPr>
            <w:tcW w:w="3827" w:type="dxa"/>
          </w:tcPr>
          <w:p w14:paraId="0BC0EFC0"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Incluye los necesarios para el financiamiento del desarrollo, construcción y puesta en marcha del Proyecto incluyendo, en su caso, el re-financiamiento del Crédito Exploratorio Asegurado.</w:t>
            </w:r>
          </w:p>
        </w:tc>
      </w:tr>
      <w:tr w:rsidR="006C24D6" w:rsidRPr="00574626" w14:paraId="749045BF" w14:textId="77777777" w:rsidTr="00613AED">
        <w:trPr>
          <w:trHeight w:val="274"/>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D5E7AFF" w14:textId="77777777" w:rsidR="006C24D6" w:rsidRPr="000A37CF" w:rsidRDefault="006C24D6" w:rsidP="00907998">
            <w:pPr>
              <w:rPr>
                <w:rFonts w:ascii="Arial" w:hAnsi="Arial" w:cs="Arial"/>
                <w:sz w:val="18"/>
                <w:szCs w:val="24"/>
              </w:rPr>
            </w:pPr>
            <w:r w:rsidRPr="000A37CF">
              <w:rPr>
                <w:rFonts w:ascii="Arial" w:hAnsi="Arial" w:cs="Arial"/>
                <w:i/>
                <w:sz w:val="18"/>
                <w:szCs w:val="24"/>
              </w:rPr>
              <w:t>Comisión de Estructuración</w:t>
            </w:r>
          </w:p>
        </w:tc>
        <w:tc>
          <w:tcPr>
            <w:tcW w:w="3685" w:type="dxa"/>
            <w:vMerge w:val="restart"/>
            <w:vAlign w:val="center"/>
          </w:tcPr>
          <w:p w14:paraId="4CA1373E"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Se determinará caso por caso</w:t>
            </w:r>
          </w:p>
        </w:tc>
        <w:tc>
          <w:tcPr>
            <w:tcW w:w="3827" w:type="dxa"/>
            <w:vMerge w:val="restart"/>
            <w:vAlign w:val="center"/>
          </w:tcPr>
          <w:p w14:paraId="5FD11E9D"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Se determinará caso por caso</w:t>
            </w:r>
          </w:p>
        </w:tc>
      </w:tr>
      <w:tr w:rsidR="006C24D6" w:rsidRPr="00574626" w14:paraId="2D7C16EE" w14:textId="77777777" w:rsidTr="00613AED">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5DD0B2FC" w14:textId="77777777" w:rsidR="006C24D6" w:rsidRPr="000A37CF" w:rsidRDefault="006C24D6" w:rsidP="00907998">
            <w:pPr>
              <w:rPr>
                <w:rFonts w:ascii="Arial" w:hAnsi="Arial" w:cs="Arial"/>
                <w:sz w:val="18"/>
                <w:szCs w:val="24"/>
              </w:rPr>
            </w:pPr>
            <w:r w:rsidRPr="000A37CF">
              <w:rPr>
                <w:rFonts w:ascii="Arial" w:hAnsi="Arial" w:cs="Arial"/>
                <w:i/>
                <w:sz w:val="18"/>
                <w:szCs w:val="24"/>
              </w:rPr>
              <w:t>Comisión por no disposición</w:t>
            </w:r>
          </w:p>
        </w:tc>
        <w:tc>
          <w:tcPr>
            <w:tcW w:w="3685" w:type="dxa"/>
            <w:vMerge/>
          </w:tcPr>
          <w:p w14:paraId="2A6F5E77"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p>
        </w:tc>
        <w:tc>
          <w:tcPr>
            <w:tcW w:w="3827" w:type="dxa"/>
            <w:vMerge/>
          </w:tcPr>
          <w:p w14:paraId="0D87CACF"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p>
        </w:tc>
      </w:tr>
      <w:tr w:rsidR="006C24D6" w:rsidRPr="00574626" w14:paraId="4A17A07C" w14:textId="77777777" w:rsidTr="00613AED">
        <w:trPr>
          <w:trHeight w:val="511"/>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0C8876FD" w14:textId="77777777" w:rsidR="006C24D6" w:rsidRPr="000A37CF" w:rsidRDefault="006C24D6" w:rsidP="00907998">
            <w:pPr>
              <w:rPr>
                <w:rFonts w:ascii="Arial" w:hAnsi="Arial" w:cs="Arial"/>
                <w:sz w:val="18"/>
                <w:szCs w:val="24"/>
              </w:rPr>
            </w:pPr>
            <w:r w:rsidRPr="000A37CF">
              <w:rPr>
                <w:rFonts w:ascii="Arial" w:hAnsi="Arial" w:cs="Arial"/>
                <w:i/>
                <w:sz w:val="18"/>
                <w:szCs w:val="24"/>
              </w:rPr>
              <w:t>Comisión por pago anticipado voluntario.</w:t>
            </w:r>
          </w:p>
        </w:tc>
        <w:tc>
          <w:tcPr>
            <w:tcW w:w="3685" w:type="dxa"/>
            <w:vMerge/>
          </w:tcPr>
          <w:p w14:paraId="6A49892C"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p>
        </w:tc>
        <w:tc>
          <w:tcPr>
            <w:tcW w:w="3827" w:type="dxa"/>
            <w:vMerge/>
          </w:tcPr>
          <w:p w14:paraId="22203ED8"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p>
        </w:tc>
      </w:tr>
      <w:tr w:rsidR="006C24D6" w:rsidRPr="00574626" w14:paraId="3699A156" w14:textId="77777777" w:rsidTr="00613AED">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0774A1D9" w14:textId="77777777" w:rsidR="006C24D6" w:rsidRPr="000A37CF" w:rsidRDefault="006C24D6" w:rsidP="00907998">
            <w:pPr>
              <w:rPr>
                <w:rFonts w:ascii="Arial" w:hAnsi="Arial" w:cs="Arial"/>
                <w:i/>
                <w:sz w:val="18"/>
                <w:szCs w:val="24"/>
              </w:rPr>
            </w:pPr>
            <w:r w:rsidRPr="000A37CF">
              <w:rPr>
                <w:rFonts w:ascii="Arial" w:hAnsi="Arial" w:cs="Arial"/>
                <w:i/>
                <w:sz w:val="18"/>
                <w:szCs w:val="24"/>
              </w:rPr>
              <w:t xml:space="preserve">Margen aplicable </w:t>
            </w:r>
          </w:p>
        </w:tc>
        <w:tc>
          <w:tcPr>
            <w:tcW w:w="3685" w:type="dxa"/>
            <w:vMerge/>
          </w:tcPr>
          <w:p w14:paraId="2071AB6B"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p>
        </w:tc>
        <w:tc>
          <w:tcPr>
            <w:tcW w:w="3827" w:type="dxa"/>
            <w:vMerge/>
          </w:tcPr>
          <w:p w14:paraId="43C9FA71"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p>
        </w:tc>
      </w:tr>
      <w:tr w:rsidR="006C24D6" w:rsidRPr="00574626" w14:paraId="6995D892" w14:textId="77777777" w:rsidTr="00613AED">
        <w:trPr>
          <w:trHeight w:val="567"/>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ECF2361" w14:textId="77777777" w:rsidR="006C24D6" w:rsidRPr="000A37CF" w:rsidRDefault="006C24D6" w:rsidP="00907998">
            <w:pPr>
              <w:rPr>
                <w:rFonts w:ascii="Arial" w:hAnsi="Arial" w:cs="Arial"/>
                <w:i/>
                <w:sz w:val="18"/>
                <w:szCs w:val="24"/>
              </w:rPr>
            </w:pPr>
            <w:r w:rsidRPr="000A37CF">
              <w:rPr>
                <w:rFonts w:ascii="Arial" w:hAnsi="Arial" w:cs="Arial"/>
                <w:i/>
                <w:sz w:val="18"/>
                <w:szCs w:val="24"/>
              </w:rPr>
              <w:t>Tasa de referencia</w:t>
            </w:r>
          </w:p>
        </w:tc>
        <w:tc>
          <w:tcPr>
            <w:tcW w:w="3685" w:type="dxa"/>
          </w:tcPr>
          <w:p w14:paraId="2B8D107D"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 xml:space="preserve">TIIE [28] + Margen Aplicable ó Libor [3m] + Margen Aplicable. Se determinará caso por caso. </w:t>
            </w:r>
          </w:p>
        </w:tc>
        <w:tc>
          <w:tcPr>
            <w:tcW w:w="3827" w:type="dxa"/>
          </w:tcPr>
          <w:p w14:paraId="5DBE537D"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TIIE [28] + Margen Aplicable ó Libor [3m] + Margen Aplicable. Se determinará caso por caso.</w:t>
            </w:r>
          </w:p>
        </w:tc>
      </w:tr>
      <w:tr w:rsidR="006C24D6" w:rsidRPr="00574626" w14:paraId="03CEC06F" w14:textId="77777777" w:rsidTr="00613AED">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4A2440A" w14:textId="77777777" w:rsidR="006C24D6" w:rsidRPr="000A37CF" w:rsidRDefault="006C24D6" w:rsidP="00907998">
            <w:pPr>
              <w:rPr>
                <w:rFonts w:ascii="Arial" w:hAnsi="Arial" w:cs="Arial"/>
                <w:i/>
                <w:sz w:val="18"/>
                <w:szCs w:val="24"/>
              </w:rPr>
            </w:pPr>
            <w:r w:rsidRPr="000A37CF">
              <w:rPr>
                <w:rFonts w:ascii="Arial" w:hAnsi="Arial" w:cs="Arial"/>
                <w:i/>
                <w:sz w:val="18"/>
                <w:szCs w:val="24"/>
              </w:rPr>
              <w:t>Cobertura de tasas de interés</w:t>
            </w:r>
          </w:p>
        </w:tc>
        <w:tc>
          <w:tcPr>
            <w:tcW w:w="3685" w:type="dxa"/>
          </w:tcPr>
          <w:p w14:paraId="5018F5CB" w14:textId="77777777" w:rsidR="006C24D6" w:rsidRPr="000A37CF" w:rsidRDefault="006C24D6" w:rsidP="00CC192A">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 xml:space="preserve">Swap de tasa variable a tasa fija cubriendo por lo </w:t>
            </w:r>
            <w:r w:rsidR="00CC192A" w:rsidRPr="000A37CF">
              <w:rPr>
                <w:rFonts w:ascii="Arial" w:hAnsi="Arial" w:cs="Arial"/>
                <w:sz w:val="18"/>
                <w:szCs w:val="24"/>
              </w:rPr>
              <w:t>menos el [7</w:t>
            </w:r>
            <w:r w:rsidRPr="000A37CF">
              <w:rPr>
                <w:rFonts w:ascii="Arial" w:hAnsi="Arial" w:cs="Arial"/>
                <w:sz w:val="18"/>
                <w:szCs w:val="24"/>
              </w:rPr>
              <w:t xml:space="preserve">0%] del </w:t>
            </w:r>
            <w:r w:rsidR="00CC192A" w:rsidRPr="000A37CF">
              <w:rPr>
                <w:rFonts w:ascii="Arial" w:hAnsi="Arial" w:cs="Arial"/>
                <w:sz w:val="18"/>
                <w:szCs w:val="24"/>
              </w:rPr>
              <w:t>Monto, por un plazo mínimo de [7</w:t>
            </w:r>
            <w:r w:rsidRPr="000A37CF">
              <w:rPr>
                <w:rFonts w:ascii="Arial" w:hAnsi="Arial" w:cs="Arial"/>
                <w:sz w:val="18"/>
                <w:szCs w:val="24"/>
              </w:rPr>
              <w:t>0%] del plazo total del Crédito</w:t>
            </w:r>
          </w:p>
        </w:tc>
        <w:tc>
          <w:tcPr>
            <w:tcW w:w="3827" w:type="dxa"/>
          </w:tcPr>
          <w:p w14:paraId="689A557E"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Swap de tasa variable a tasa f</w:t>
            </w:r>
            <w:r w:rsidR="00CC192A" w:rsidRPr="000A37CF">
              <w:rPr>
                <w:rFonts w:ascii="Arial" w:hAnsi="Arial" w:cs="Arial"/>
                <w:sz w:val="18"/>
                <w:szCs w:val="24"/>
              </w:rPr>
              <w:t>ija cubriendo por lo menos el [7</w:t>
            </w:r>
            <w:r w:rsidRPr="000A37CF">
              <w:rPr>
                <w:rFonts w:ascii="Arial" w:hAnsi="Arial" w:cs="Arial"/>
                <w:sz w:val="18"/>
                <w:szCs w:val="24"/>
              </w:rPr>
              <w:t>0%] del Monto, por un plazo mínimo de [70%] del plazo total del Crédito</w:t>
            </w:r>
          </w:p>
        </w:tc>
      </w:tr>
      <w:tr w:rsidR="006C24D6" w:rsidRPr="00574626" w14:paraId="57777841" w14:textId="77777777" w:rsidTr="00613AED">
        <w:trPr>
          <w:trHeight w:val="842"/>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DB906E4" w14:textId="77777777" w:rsidR="006C24D6" w:rsidRPr="000A37CF" w:rsidRDefault="006C24D6" w:rsidP="00907998">
            <w:pPr>
              <w:rPr>
                <w:rFonts w:ascii="Arial" w:hAnsi="Arial" w:cs="Arial"/>
                <w:i/>
                <w:sz w:val="18"/>
                <w:szCs w:val="24"/>
              </w:rPr>
            </w:pPr>
            <w:r w:rsidRPr="000A37CF">
              <w:rPr>
                <w:rFonts w:ascii="Arial" w:hAnsi="Arial" w:cs="Arial"/>
                <w:i/>
                <w:sz w:val="18"/>
                <w:szCs w:val="24"/>
              </w:rPr>
              <w:t>Periodicidad de Pago de Intereses</w:t>
            </w:r>
          </w:p>
        </w:tc>
        <w:tc>
          <w:tcPr>
            <w:tcW w:w="3685" w:type="dxa"/>
          </w:tcPr>
          <w:p w14:paraId="2E4A24E2"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 xml:space="preserve">[Semestral], los intereses devengados no pagados durante la fase de exploración podrán ser capitalizados. </w:t>
            </w:r>
          </w:p>
        </w:tc>
        <w:tc>
          <w:tcPr>
            <w:tcW w:w="3827" w:type="dxa"/>
          </w:tcPr>
          <w:p w14:paraId="6D75B396"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 xml:space="preserve">[Semestral], los intereses devengados no pagados antes de la finalización del periodo de gracias podrán ser capitalizados. </w:t>
            </w:r>
          </w:p>
        </w:tc>
      </w:tr>
      <w:tr w:rsidR="006C24D6" w:rsidRPr="00574626" w14:paraId="1D761EBB" w14:textId="77777777" w:rsidTr="00613AED">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D4D2BB5" w14:textId="77777777" w:rsidR="006C24D6" w:rsidRPr="000A37CF" w:rsidRDefault="006C24D6" w:rsidP="00907998">
            <w:pPr>
              <w:rPr>
                <w:rFonts w:ascii="Arial" w:hAnsi="Arial" w:cs="Arial"/>
                <w:i/>
                <w:sz w:val="18"/>
                <w:szCs w:val="24"/>
              </w:rPr>
            </w:pPr>
            <w:r w:rsidRPr="000A37CF">
              <w:rPr>
                <w:rFonts w:ascii="Arial" w:hAnsi="Arial" w:cs="Arial"/>
                <w:i/>
                <w:sz w:val="18"/>
                <w:szCs w:val="24"/>
              </w:rPr>
              <w:t>Amortización de Principal</w:t>
            </w:r>
          </w:p>
        </w:tc>
        <w:tc>
          <w:tcPr>
            <w:tcW w:w="3685" w:type="dxa"/>
          </w:tcPr>
          <w:p w14:paraId="34928D48"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En una sola exhibición, en la Fecha de Vencimiento.</w:t>
            </w:r>
          </w:p>
        </w:tc>
        <w:tc>
          <w:tcPr>
            <w:tcW w:w="3827" w:type="dxa"/>
          </w:tcPr>
          <w:p w14:paraId="7542C46A"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Conforme al calendario de amortizaciones. Se determinará por caso.</w:t>
            </w:r>
          </w:p>
        </w:tc>
      </w:tr>
      <w:tr w:rsidR="006C24D6" w:rsidRPr="00574626" w14:paraId="3E72B82C" w14:textId="77777777" w:rsidTr="00613AED">
        <w:trPr>
          <w:trHeight w:val="135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5785A81A" w14:textId="77777777" w:rsidR="006C24D6" w:rsidRPr="000A37CF" w:rsidRDefault="006C24D6" w:rsidP="00907998">
            <w:pPr>
              <w:rPr>
                <w:rFonts w:ascii="Arial" w:hAnsi="Arial" w:cs="Arial"/>
                <w:i/>
                <w:sz w:val="18"/>
                <w:szCs w:val="24"/>
              </w:rPr>
            </w:pPr>
            <w:r w:rsidRPr="000A37CF">
              <w:rPr>
                <w:rFonts w:ascii="Arial" w:hAnsi="Arial" w:cs="Arial"/>
                <w:i/>
                <w:sz w:val="18"/>
                <w:szCs w:val="24"/>
              </w:rPr>
              <w:t>Principal Fuente de Pago</w:t>
            </w:r>
          </w:p>
        </w:tc>
        <w:tc>
          <w:tcPr>
            <w:tcW w:w="3685" w:type="dxa"/>
          </w:tcPr>
          <w:p w14:paraId="3D8EC1D1" w14:textId="77777777" w:rsidR="006C24D6" w:rsidRPr="000A37CF" w:rsidRDefault="006C24D6" w:rsidP="00907998">
            <w:pPr>
              <w:spacing w:afterLines="120" w:after="288"/>
              <w:ind w:left="-71"/>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Constituida por i. el Proyecto, y en su caso ii., los recursos provenientes del Crédito de Desarrollo descrito más adelante y/o iii. el pago de la suma asegurada proveniente de la  póliza de seguro de recurso geotérmico.</w:t>
            </w:r>
          </w:p>
        </w:tc>
        <w:tc>
          <w:tcPr>
            <w:tcW w:w="3827" w:type="dxa"/>
          </w:tcPr>
          <w:p w14:paraId="28AE36A2" w14:textId="77777777" w:rsidR="006C24D6" w:rsidRPr="000A37CF" w:rsidRDefault="006C24D6" w:rsidP="00907998">
            <w:pPr>
              <w:tabs>
                <w:tab w:val="left" w:pos="748"/>
              </w:tabs>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 xml:space="preserve">Los flujos de efectivo del proyecto. </w:t>
            </w:r>
          </w:p>
        </w:tc>
      </w:tr>
      <w:tr w:rsidR="006C24D6" w:rsidRPr="00574626" w14:paraId="4CB20319" w14:textId="77777777" w:rsidTr="00613AED">
        <w:trPr>
          <w:cnfStyle w:val="000000100000" w:firstRow="0" w:lastRow="0" w:firstColumn="0" w:lastColumn="0" w:oddVBand="0" w:evenVBand="0" w:oddHBand="1" w:evenHBand="0" w:firstRowFirstColumn="0" w:firstRowLastColumn="0" w:lastRowFirstColumn="0" w:lastRowLastColumn="0"/>
          <w:trHeight w:val="977"/>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52104939" w14:textId="77777777" w:rsidR="006C24D6" w:rsidRPr="000A37CF" w:rsidRDefault="006C24D6" w:rsidP="00907998">
            <w:pPr>
              <w:rPr>
                <w:rFonts w:ascii="Arial" w:hAnsi="Arial" w:cs="Arial"/>
                <w:bCs w:val="0"/>
                <w:sz w:val="18"/>
                <w:szCs w:val="24"/>
              </w:rPr>
            </w:pPr>
            <w:r w:rsidRPr="000A37CF">
              <w:rPr>
                <w:rFonts w:ascii="Arial" w:hAnsi="Arial" w:cs="Arial"/>
                <w:i/>
                <w:sz w:val="18"/>
                <w:szCs w:val="24"/>
              </w:rPr>
              <w:t>Etapas del financiamiento</w:t>
            </w:r>
          </w:p>
        </w:tc>
        <w:tc>
          <w:tcPr>
            <w:tcW w:w="3685" w:type="dxa"/>
          </w:tcPr>
          <w:p w14:paraId="55D5F65C" w14:textId="77777777" w:rsidR="006C24D6" w:rsidRPr="000A37CF" w:rsidRDefault="006C24D6" w:rsidP="00B2037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 xml:space="preserve">El Crédito Exploratorio Asegurado se llevará a cabo </w:t>
            </w:r>
            <w:r w:rsidR="00B20378">
              <w:rPr>
                <w:rFonts w:ascii="Arial" w:hAnsi="Arial" w:cs="Arial"/>
                <w:sz w:val="18"/>
                <w:szCs w:val="24"/>
              </w:rPr>
              <w:t>distintas etapas</w:t>
            </w:r>
            <w:r w:rsidRPr="000A37CF">
              <w:rPr>
                <w:rFonts w:ascii="Arial" w:hAnsi="Arial" w:cs="Arial"/>
                <w:sz w:val="18"/>
                <w:szCs w:val="24"/>
              </w:rPr>
              <w:t xml:space="preserve">, cada una financiará una cantidad específica de pozos la cual se determinará caso por caso. Cada una de las etapas consiste en todas las actividades y costos elegibles del Proyecto hasta la terminación y certificación de la producción del número de pozos perforados determinados para dicha etapa. </w:t>
            </w:r>
          </w:p>
        </w:tc>
        <w:tc>
          <w:tcPr>
            <w:tcW w:w="3827" w:type="dxa"/>
          </w:tcPr>
          <w:p w14:paraId="0C58FB6C" w14:textId="77777777" w:rsidR="006C24D6" w:rsidRPr="000A37CF" w:rsidRDefault="006C24D6" w:rsidP="00907998">
            <w:pPr>
              <w:spacing w:afterLines="120" w:after="288"/>
              <w:ind w:left="-71"/>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p>
        </w:tc>
      </w:tr>
      <w:tr w:rsidR="006C24D6" w:rsidRPr="00574626" w14:paraId="7810F154" w14:textId="77777777" w:rsidTr="00613AED">
        <w:trPr>
          <w:trHeight w:val="1065"/>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42DBE01" w14:textId="77777777" w:rsidR="006C24D6" w:rsidRPr="000A37CF" w:rsidRDefault="006C24D6" w:rsidP="00907998">
            <w:pPr>
              <w:rPr>
                <w:rFonts w:ascii="Arial" w:hAnsi="Arial" w:cs="Arial"/>
                <w:bCs w:val="0"/>
                <w:sz w:val="18"/>
                <w:szCs w:val="24"/>
              </w:rPr>
            </w:pPr>
            <w:r w:rsidRPr="000A37CF">
              <w:rPr>
                <w:rFonts w:ascii="Arial" w:hAnsi="Arial" w:cs="Arial"/>
                <w:i/>
                <w:sz w:val="18"/>
                <w:szCs w:val="24"/>
              </w:rPr>
              <w:t>Requerimientos de cobertura de seguro de recurso geotérmico</w:t>
            </w:r>
          </w:p>
        </w:tc>
        <w:tc>
          <w:tcPr>
            <w:tcW w:w="3685" w:type="dxa"/>
          </w:tcPr>
          <w:p w14:paraId="49DF2A18"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Contrato de riesgo exploratorio asegurado contra gastos y pérdidas ocasionados por no alcanzar la producción eléctrica necesaria durante la etapa de perforación.</w:t>
            </w:r>
          </w:p>
        </w:tc>
        <w:tc>
          <w:tcPr>
            <w:tcW w:w="3827" w:type="dxa"/>
          </w:tcPr>
          <w:p w14:paraId="115EAC9E"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p>
        </w:tc>
      </w:tr>
      <w:tr w:rsidR="006C24D6" w:rsidRPr="00574626" w14:paraId="69811068" w14:textId="77777777" w:rsidTr="00613AED">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D070BBE" w14:textId="77777777" w:rsidR="006C24D6" w:rsidRPr="000A37CF" w:rsidRDefault="006C24D6" w:rsidP="00907998">
            <w:pPr>
              <w:rPr>
                <w:rFonts w:ascii="Arial" w:hAnsi="Arial" w:cs="Arial"/>
                <w:i/>
                <w:sz w:val="18"/>
                <w:szCs w:val="24"/>
              </w:rPr>
            </w:pPr>
            <w:r w:rsidRPr="000A37CF">
              <w:rPr>
                <w:rFonts w:ascii="Arial" w:hAnsi="Arial" w:cs="Arial"/>
                <w:i/>
                <w:sz w:val="18"/>
                <w:szCs w:val="24"/>
              </w:rPr>
              <w:lastRenderedPageBreak/>
              <w:t>Estructura financiera</w:t>
            </w:r>
          </w:p>
          <w:p w14:paraId="525A44F9" w14:textId="77777777" w:rsidR="006C24D6" w:rsidRPr="000A37CF" w:rsidRDefault="006C24D6" w:rsidP="00907998">
            <w:pPr>
              <w:rPr>
                <w:rFonts w:ascii="Arial" w:hAnsi="Arial" w:cs="Arial"/>
                <w:bCs w:val="0"/>
                <w:sz w:val="18"/>
                <w:szCs w:val="24"/>
              </w:rPr>
            </w:pPr>
          </w:p>
        </w:tc>
        <w:tc>
          <w:tcPr>
            <w:tcW w:w="3685" w:type="dxa"/>
          </w:tcPr>
          <w:p w14:paraId="6C14F333"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Una aportación de recursos propios de la Acreditada por la cantidad mínima del [20%] del monto total de los costos totales del proyecto. La composición de recursos propios podrá realizarse de la siguiente manera:</w:t>
            </w:r>
          </w:p>
          <w:p w14:paraId="7AC2D732" w14:textId="77777777" w:rsidR="006C24D6" w:rsidRPr="000A37CF" w:rsidRDefault="00CC192A" w:rsidP="009067BA">
            <w:pPr>
              <w:pStyle w:val="ListParagraph"/>
              <w:numPr>
                <w:ilvl w:val="0"/>
                <w:numId w:val="22"/>
              </w:numPr>
              <w:spacing w:afterLines="120" w:after="288"/>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0A37CF">
              <w:rPr>
                <w:rFonts w:ascii="Arial" w:hAnsi="Arial" w:cs="Arial"/>
                <w:sz w:val="18"/>
              </w:rPr>
              <w:t>Hasta por el [8</w:t>
            </w:r>
            <w:r w:rsidR="006C24D6" w:rsidRPr="000A37CF">
              <w:rPr>
                <w:rFonts w:ascii="Arial" w:hAnsi="Arial" w:cs="Arial"/>
                <w:sz w:val="18"/>
              </w:rPr>
              <w:t>0%] en Deuda Subordinada de Accionistas.</w:t>
            </w:r>
          </w:p>
          <w:p w14:paraId="1FC69A1E" w14:textId="77777777" w:rsidR="006C24D6" w:rsidRPr="000A37CF" w:rsidRDefault="005F5C92" w:rsidP="009067BA">
            <w:pPr>
              <w:pStyle w:val="ListParagraph"/>
              <w:numPr>
                <w:ilvl w:val="0"/>
                <w:numId w:val="22"/>
              </w:numPr>
              <w:spacing w:afterLines="50" w:after="120"/>
              <w:ind w:left="777" w:hanging="357"/>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0A37CF">
              <w:rPr>
                <w:rFonts w:ascii="Arial" w:hAnsi="Arial" w:cs="Arial"/>
                <w:sz w:val="18"/>
              </w:rPr>
              <w:t>Un mínimo de [2</w:t>
            </w:r>
            <w:r w:rsidR="006C24D6" w:rsidRPr="000A37CF">
              <w:rPr>
                <w:rFonts w:ascii="Arial" w:hAnsi="Arial" w:cs="Arial"/>
                <w:sz w:val="18"/>
              </w:rPr>
              <w:t xml:space="preserve">0%] en </w:t>
            </w:r>
            <w:r w:rsidR="006C24D6" w:rsidRPr="000A37CF">
              <w:rPr>
                <w:rFonts w:ascii="Arial" w:hAnsi="Arial" w:cs="Arial"/>
                <w:i/>
                <w:sz w:val="18"/>
              </w:rPr>
              <w:t>Equity</w:t>
            </w:r>
            <w:r w:rsidR="006C24D6" w:rsidRPr="000A37CF">
              <w:rPr>
                <w:rFonts w:ascii="Arial" w:hAnsi="Arial" w:cs="Arial"/>
                <w:sz w:val="18"/>
              </w:rPr>
              <w:t>/Capital Puro.</w:t>
            </w:r>
          </w:p>
        </w:tc>
        <w:tc>
          <w:tcPr>
            <w:tcW w:w="3827" w:type="dxa"/>
          </w:tcPr>
          <w:p w14:paraId="21133B9B"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Una aportación de recursos propios de la Acreditada por la cantidad mínima del [20%] del monto total de los costos totales del proyecto. La composición de recursos propios podrá realizarse de la siguiente manera:</w:t>
            </w:r>
          </w:p>
          <w:p w14:paraId="79E26074" w14:textId="77777777" w:rsidR="006C24D6" w:rsidRPr="000A37CF" w:rsidRDefault="00CC192A" w:rsidP="009067BA">
            <w:pPr>
              <w:pStyle w:val="ListParagraph"/>
              <w:numPr>
                <w:ilvl w:val="0"/>
                <w:numId w:val="22"/>
              </w:numPr>
              <w:spacing w:afterLines="120" w:after="288"/>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0A37CF">
              <w:rPr>
                <w:rFonts w:ascii="Arial" w:hAnsi="Arial" w:cs="Arial"/>
                <w:sz w:val="18"/>
              </w:rPr>
              <w:t>Hasta por el [8</w:t>
            </w:r>
            <w:r w:rsidR="006C24D6" w:rsidRPr="000A37CF">
              <w:rPr>
                <w:rFonts w:ascii="Arial" w:hAnsi="Arial" w:cs="Arial"/>
                <w:sz w:val="18"/>
              </w:rPr>
              <w:t>0%] en Deuda Subordinada de Accionistas.</w:t>
            </w:r>
          </w:p>
          <w:p w14:paraId="7C9B365A" w14:textId="77777777" w:rsidR="006C24D6" w:rsidRPr="000A37CF" w:rsidRDefault="006C24D6" w:rsidP="00CC192A">
            <w:pPr>
              <w:pStyle w:val="ListParagraph"/>
              <w:numPr>
                <w:ilvl w:val="0"/>
                <w:numId w:val="22"/>
              </w:numPr>
              <w:spacing w:afterLines="120" w:after="288"/>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0A37CF">
              <w:rPr>
                <w:rFonts w:ascii="Arial" w:hAnsi="Arial" w:cs="Arial"/>
                <w:sz w:val="18"/>
              </w:rPr>
              <w:t>Un mínimo de [</w:t>
            </w:r>
            <w:r w:rsidR="00CC192A" w:rsidRPr="000A37CF">
              <w:rPr>
                <w:rFonts w:ascii="Arial" w:hAnsi="Arial" w:cs="Arial"/>
                <w:sz w:val="18"/>
              </w:rPr>
              <w:t>2</w:t>
            </w:r>
            <w:r w:rsidRPr="000A37CF">
              <w:rPr>
                <w:rFonts w:ascii="Arial" w:hAnsi="Arial" w:cs="Arial"/>
                <w:sz w:val="18"/>
              </w:rPr>
              <w:t xml:space="preserve">0%] en </w:t>
            </w:r>
            <w:r w:rsidRPr="000A37CF">
              <w:rPr>
                <w:rFonts w:ascii="Arial" w:hAnsi="Arial" w:cs="Arial"/>
                <w:i/>
                <w:sz w:val="18"/>
              </w:rPr>
              <w:t>Equity</w:t>
            </w:r>
            <w:r w:rsidRPr="000A37CF">
              <w:rPr>
                <w:rFonts w:ascii="Arial" w:hAnsi="Arial" w:cs="Arial"/>
                <w:sz w:val="18"/>
              </w:rPr>
              <w:t>/Capital Puro.</w:t>
            </w:r>
          </w:p>
        </w:tc>
      </w:tr>
      <w:tr w:rsidR="006C24D6" w:rsidRPr="00574626" w14:paraId="76AB0466" w14:textId="77777777" w:rsidTr="00613AED">
        <w:trPr>
          <w:trHeight w:val="135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75F4D69" w14:textId="77777777" w:rsidR="006C24D6" w:rsidRPr="000A37CF" w:rsidRDefault="006C24D6" w:rsidP="00907998">
            <w:pPr>
              <w:rPr>
                <w:rFonts w:ascii="Arial" w:hAnsi="Arial" w:cs="Arial"/>
                <w:bCs w:val="0"/>
                <w:sz w:val="18"/>
                <w:szCs w:val="24"/>
              </w:rPr>
            </w:pPr>
            <w:r w:rsidRPr="000A37CF">
              <w:rPr>
                <w:rFonts w:ascii="Arial" w:hAnsi="Arial" w:cs="Arial"/>
                <w:i/>
                <w:sz w:val="18"/>
                <w:szCs w:val="24"/>
              </w:rPr>
              <w:t>Desembolsos del(los) Acreedor(es)</w:t>
            </w:r>
          </w:p>
        </w:tc>
        <w:tc>
          <w:tcPr>
            <w:tcW w:w="3685" w:type="dxa"/>
          </w:tcPr>
          <w:p w14:paraId="3E2970A3"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Los desembolsos se realizarán una vez que hayan sido aportados en su totalidad los recursos requeridos por parte de la Acreditada para cada una de las etapas del crédito y se hayan cumplido las condiciones necesarias para cada disposición.</w:t>
            </w:r>
          </w:p>
        </w:tc>
        <w:tc>
          <w:tcPr>
            <w:tcW w:w="3827" w:type="dxa"/>
          </w:tcPr>
          <w:p w14:paraId="56D2FF98"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Los desembolsos se realizarán una vez que hayan sido aportados en su totalidad los recursos requeridos por parte de la Acreditada para cada una de las etapas del crédito y se hayan cumplido las condiciones necesarias para cada disposición, mismo que podrán ser garantizados mediante una carta de crédito aceptable para el(los) Acreedor(es).</w:t>
            </w:r>
          </w:p>
          <w:p w14:paraId="77A45703"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El desembolso será posterior a la certificación de producción del Crédito Exploratorio Asegurado.</w:t>
            </w:r>
          </w:p>
        </w:tc>
      </w:tr>
      <w:tr w:rsidR="006C24D6" w:rsidRPr="00574626" w14:paraId="523ED450" w14:textId="77777777" w:rsidTr="00613AED">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9D4B611" w14:textId="77777777" w:rsidR="006C24D6" w:rsidRPr="000A37CF" w:rsidRDefault="006C24D6" w:rsidP="00907998">
            <w:pPr>
              <w:rPr>
                <w:rFonts w:ascii="Arial" w:hAnsi="Arial" w:cs="Arial"/>
                <w:bCs w:val="0"/>
                <w:sz w:val="18"/>
                <w:szCs w:val="24"/>
              </w:rPr>
            </w:pPr>
            <w:r w:rsidRPr="000A37CF">
              <w:rPr>
                <w:rFonts w:ascii="Arial" w:hAnsi="Arial" w:cs="Arial"/>
                <w:i/>
                <w:sz w:val="18"/>
                <w:szCs w:val="24"/>
              </w:rPr>
              <w:t>Pagos Anticipados Voluntarios</w:t>
            </w:r>
          </w:p>
        </w:tc>
        <w:tc>
          <w:tcPr>
            <w:tcW w:w="3685" w:type="dxa"/>
          </w:tcPr>
          <w:p w14:paraId="10596B24"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Cualquier aportación de capital que permita reducir el monto total adeudado.</w:t>
            </w:r>
          </w:p>
        </w:tc>
        <w:tc>
          <w:tcPr>
            <w:tcW w:w="3827" w:type="dxa"/>
          </w:tcPr>
          <w:p w14:paraId="51700A0F"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Cualquier aportación de capital que permita reducir el monto total adeudado. Este pago al monto total adeudado será aplicado al saldo insoluto del Crédito de Desarrollo en orden inverso al de su vencimiento.</w:t>
            </w:r>
          </w:p>
        </w:tc>
      </w:tr>
      <w:tr w:rsidR="006C24D6" w:rsidRPr="00574626" w14:paraId="26FEF95C" w14:textId="77777777" w:rsidTr="00613AED">
        <w:trPr>
          <w:trHeight w:val="127"/>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F63EC5C" w14:textId="77777777" w:rsidR="006C24D6" w:rsidRPr="000A37CF" w:rsidRDefault="006C24D6" w:rsidP="00907998">
            <w:pPr>
              <w:ind w:left="-113"/>
              <w:contextualSpacing/>
              <w:rPr>
                <w:rFonts w:ascii="Arial" w:hAnsi="Arial" w:cs="Arial"/>
                <w:i/>
                <w:sz w:val="18"/>
                <w:szCs w:val="24"/>
              </w:rPr>
            </w:pPr>
            <w:r w:rsidRPr="000A37CF">
              <w:rPr>
                <w:rFonts w:ascii="Arial" w:hAnsi="Arial" w:cs="Arial"/>
                <w:i/>
                <w:sz w:val="18"/>
                <w:szCs w:val="24"/>
              </w:rPr>
              <w:t>Garantías</w:t>
            </w:r>
          </w:p>
        </w:tc>
        <w:tc>
          <w:tcPr>
            <w:tcW w:w="3685" w:type="dxa"/>
          </w:tcPr>
          <w:p w14:paraId="476F6375"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sz w:val="18"/>
              </w:rPr>
            </w:pPr>
            <w:r w:rsidRPr="000A37CF">
              <w:rPr>
                <w:rFonts w:ascii="Arial" w:hAnsi="Arial" w:cs="Arial"/>
                <w:sz w:val="18"/>
                <w:szCs w:val="24"/>
              </w:rPr>
              <w:t>Garantías fiduciarias a través de un Fideicomiso de Administración, Garantía y Fuente de Pago incluyendo en general, todos los activos, derechos y contratos del Proyecto; las acciones de la acreditada y la póliza de seguro del recurso geotérmico.</w:t>
            </w:r>
            <w:r w:rsidRPr="000A37CF">
              <w:rPr>
                <w:rFonts w:ascii="Arial" w:hAnsi="Arial" w:cs="Arial"/>
                <w:i/>
                <w:sz w:val="18"/>
                <w:szCs w:val="24"/>
              </w:rPr>
              <w:t xml:space="preserve"> (La estructuración jurídica de garantías quedará sujeta a la evaluación y resultados de la diligencia legal).</w:t>
            </w:r>
          </w:p>
        </w:tc>
        <w:tc>
          <w:tcPr>
            <w:tcW w:w="3827" w:type="dxa"/>
          </w:tcPr>
          <w:p w14:paraId="174757C6"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Garantías fiduciarias a través de un Fideicomiso de Administración, Garantía y Fuente de Pago incluyendo en general, todos los activos, derechos y contratos del Proyecto y las acciones de la acreditada. (La estructuración jurídica de garantías quedará sujeta a la evaluación y resultados de la diligencia legal).</w:t>
            </w:r>
          </w:p>
        </w:tc>
      </w:tr>
      <w:tr w:rsidR="006C24D6" w:rsidRPr="00596141" w14:paraId="5C667E98" w14:textId="77777777" w:rsidTr="00613AED">
        <w:trPr>
          <w:cnfStyle w:val="000000100000" w:firstRow="0" w:lastRow="0" w:firstColumn="0" w:lastColumn="0" w:oddVBand="0" w:evenVBand="0" w:oddHBand="1" w:evenHBand="0" w:firstRowFirstColumn="0" w:firstRowLastColumn="0" w:lastRowFirstColumn="0" w:lastRowLastColumn="0"/>
          <w:trHeight w:val="135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EB0FB44" w14:textId="77777777" w:rsidR="006C24D6" w:rsidRPr="000A37CF" w:rsidRDefault="006C24D6" w:rsidP="00907998">
            <w:pPr>
              <w:ind w:left="-113"/>
              <w:contextualSpacing/>
              <w:rPr>
                <w:rFonts w:ascii="Arial" w:hAnsi="Arial" w:cs="Arial"/>
                <w:b w:val="0"/>
                <w:bCs w:val="0"/>
                <w:i/>
                <w:sz w:val="18"/>
                <w:szCs w:val="24"/>
              </w:rPr>
            </w:pPr>
            <w:r w:rsidRPr="000A37CF">
              <w:rPr>
                <w:rFonts w:ascii="Arial" w:hAnsi="Arial" w:cs="Arial"/>
                <w:i/>
                <w:sz w:val="18"/>
                <w:szCs w:val="24"/>
              </w:rPr>
              <w:t>Cuenta de Reserva del Servicio de la Deuda (DSRA)</w:t>
            </w:r>
          </w:p>
        </w:tc>
        <w:tc>
          <w:tcPr>
            <w:tcW w:w="3685" w:type="dxa"/>
          </w:tcPr>
          <w:p w14:paraId="06A42611"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p>
        </w:tc>
        <w:tc>
          <w:tcPr>
            <w:tcW w:w="3827" w:type="dxa"/>
          </w:tcPr>
          <w:p w14:paraId="6254FCCA"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Debe cubrir los próximos [6 meses] del servicio de la deuda del Crédito de Desarrollo y deberá ser constituida con la última disposición de recursos del Crédito de Desarrollo.</w:t>
            </w:r>
          </w:p>
          <w:p w14:paraId="7172CE6F" w14:textId="77777777" w:rsidR="006C24D6" w:rsidRPr="000A37CF" w:rsidRDefault="006C24D6" w:rsidP="00907998">
            <w:pPr>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4"/>
              </w:rPr>
            </w:pPr>
            <w:r w:rsidRPr="000A37CF">
              <w:rPr>
                <w:rFonts w:ascii="Arial" w:hAnsi="Arial" w:cs="Arial"/>
                <w:sz w:val="18"/>
                <w:szCs w:val="24"/>
              </w:rPr>
              <w:t>[*]: Se determinará caso por caso</w:t>
            </w:r>
          </w:p>
        </w:tc>
      </w:tr>
      <w:tr w:rsidR="006C24D6" w14:paraId="43DCB947" w14:textId="77777777" w:rsidTr="00613AED">
        <w:trPr>
          <w:trHeight w:val="135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63137A3D" w14:textId="77777777" w:rsidR="006C24D6" w:rsidRPr="000A37CF" w:rsidRDefault="006C24D6" w:rsidP="00907998">
            <w:pPr>
              <w:rPr>
                <w:rFonts w:ascii="Arial" w:hAnsi="Arial" w:cs="Arial"/>
                <w:i/>
                <w:sz w:val="18"/>
                <w:szCs w:val="24"/>
              </w:rPr>
            </w:pPr>
            <w:r w:rsidRPr="000A37CF">
              <w:rPr>
                <w:rFonts w:ascii="Arial" w:hAnsi="Arial" w:cs="Arial"/>
                <w:sz w:val="18"/>
                <w:szCs w:val="24"/>
              </w:rPr>
              <w:t>Índice de cobertura de Servicio de la Deuda mínimo para distribuciones a accionistas</w:t>
            </w:r>
          </w:p>
        </w:tc>
        <w:tc>
          <w:tcPr>
            <w:tcW w:w="3685" w:type="dxa"/>
          </w:tcPr>
          <w:p w14:paraId="7D455B03"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p>
        </w:tc>
        <w:tc>
          <w:tcPr>
            <w:tcW w:w="3827" w:type="dxa"/>
          </w:tcPr>
          <w:p w14:paraId="68C16EA9"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[1.15x] histórico de los 2 periodos de pago anteriores, además de encontrarse en conformidad a las Condiciones de Hacer y No Hacer por parte de la Acreditada y que no exista alguna Causa de Incumplimiento.</w:t>
            </w:r>
          </w:p>
          <w:p w14:paraId="5FBF2AE0" w14:textId="77777777" w:rsidR="006C24D6" w:rsidRPr="000A37CF" w:rsidRDefault="006C24D6" w:rsidP="00907998">
            <w:pPr>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4"/>
              </w:rPr>
            </w:pPr>
            <w:r w:rsidRPr="000A37CF">
              <w:rPr>
                <w:rFonts w:ascii="Arial" w:hAnsi="Arial" w:cs="Arial"/>
                <w:sz w:val="18"/>
                <w:szCs w:val="24"/>
              </w:rPr>
              <w:t>[*]: Se determinará caso por caso</w:t>
            </w:r>
          </w:p>
        </w:tc>
      </w:tr>
    </w:tbl>
    <w:p w14:paraId="05BCB3D6" w14:textId="77777777" w:rsidR="006C24D6" w:rsidRPr="00613AED" w:rsidRDefault="006C24D6" w:rsidP="00613AED">
      <w:pPr>
        <w:rPr>
          <w:b/>
          <w:smallCaps/>
        </w:rPr>
      </w:pPr>
    </w:p>
    <w:p w14:paraId="334BC075" w14:textId="77777777" w:rsidR="00292D1F" w:rsidRDefault="00292D1F">
      <w:pPr>
        <w:rPr>
          <w:rFonts w:ascii="Arial" w:hAnsi="Arial" w:cs="Arial"/>
          <w:b/>
          <w:smallCaps/>
          <w:sz w:val="24"/>
          <w:lang w:val="es-ES_tradnl"/>
        </w:rPr>
      </w:pPr>
      <w:bookmarkStart w:id="99" w:name="_Toc321244895"/>
      <w:r>
        <w:rPr>
          <w:rFonts w:ascii="Arial" w:hAnsi="Arial" w:cs="Arial"/>
        </w:rPr>
        <w:br w:type="page"/>
      </w:r>
    </w:p>
    <w:p w14:paraId="7C230651" w14:textId="77777777" w:rsidR="00E807F3" w:rsidRDefault="00E807F3" w:rsidP="000A37CF">
      <w:pPr>
        <w:pStyle w:val="Heading3"/>
        <w:tabs>
          <w:tab w:val="clear" w:pos="1800"/>
          <w:tab w:val="num" w:pos="720"/>
        </w:tabs>
        <w:spacing w:after="240"/>
        <w:ind w:left="0"/>
        <w:rPr>
          <w:b/>
          <w:sz w:val="32"/>
        </w:rPr>
      </w:pPr>
      <w:bookmarkStart w:id="100" w:name="_Toc450149562"/>
      <w:r w:rsidRPr="00A9618E">
        <w:rPr>
          <w:b/>
          <w:sz w:val="32"/>
        </w:rPr>
        <w:lastRenderedPageBreak/>
        <w:t>Otras condiciones de las Operaciones Elegibles</w:t>
      </w:r>
      <w:bookmarkEnd w:id="99"/>
      <w:bookmarkEnd w:id="100"/>
    </w:p>
    <w:p w14:paraId="66B64C02" w14:textId="77777777" w:rsidR="005A2959" w:rsidRDefault="005A2959" w:rsidP="009067BA">
      <w:pPr>
        <w:pStyle w:val="Paragraph"/>
        <w:numPr>
          <w:ilvl w:val="0"/>
          <w:numId w:val="27"/>
        </w:numPr>
        <w:ind w:hanging="786"/>
        <w:outlineLvl w:val="9"/>
        <w:rPr>
          <w:rFonts w:ascii="Arial" w:hAnsi="Arial" w:cs="Arial"/>
          <w:szCs w:val="24"/>
          <w:lang w:val="es-MX"/>
        </w:rPr>
      </w:pPr>
      <w:bookmarkStart w:id="101" w:name="_Toc321244896"/>
      <w:r w:rsidRPr="00613AED">
        <w:rPr>
          <w:rFonts w:ascii="Arial" w:hAnsi="Arial" w:cs="Arial"/>
          <w:szCs w:val="24"/>
          <w:lang w:val="es-MX"/>
        </w:rPr>
        <w:t xml:space="preserve">NAFIN considerará en todos los contratos de </w:t>
      </w:r>
      <w:r w:rsidR="0075055A" w:rsidRPr="00613AED">
        <w:rPr>
          <w:rFonts w:ascii="Arial" w:hAnsi="Arial" w:cs="Arial"/>
          <w:szCs w:val="24"/>
          <w:lang w:val="es-MX"/>
        </w:rPr>
        <w:t>Sub-préstamos</w:t>
      </w:r>
      <w:r w:rsidRPr="00613AED">
        <w:rPr>
          <w:rFonts w:ascii="Arial" w:hAnsi="Arial" w:cs="Arial"/>
          <w:szCs w:val="24"/>
          <w:lang w:val="es-MX"/>
        </w:rPr>
        <w:t xml:space="preserve"> que</w:t>
      </w:r>
      <w:r w:rsidR="005834E0" w:rsidRPr="00613AED">
        <w:rPr>
          <w:rFonts w:ascii="Arial" w:hAnsi="Arial" w:cs="Arial"/>
          <w:szCs w:val="24"/>
          <w:lang w:val="es-MX"/>
        </w:rPr>
        <w:t xml:space="preserve"> se</w:t>
      </w:r>
      <w:r w:rsidRPr="00613AED">
        <w:rPr>
          <w:rFonts w:ascii="Arial" w:hAnsi="Arial" w:cs="Arial"/>
          <w:szCs w:val="24"/>
          <w:lang w:val="es-MX"/>
        </w:rPr>
        <w:t xml:space="preserve"> otorguen las siguientes condiciones:</w:t>
      </w:r>
      <w:bookmarkEnd w:id="101"/>
    </w:p>
    <w:p w14:paraId="7A8EC8DB" w14:textId="77777777" w:rsidR="005E102B" w:rsidRPr="00613AED" w:rsidRDefault="005A2959" w:rsidP="009067BA">
      <w:pPr>
        <w:pStyle w:val="Paragraph"/>
        <w:numPr>
          <w:ilvl w:val="0"/>
          <w:numId w:val="8"/>
        </w:numPr>
        <w:tabs>
          <w:tab w:val="num" w:pos="1800"/>
        </w:tabs>
        <w:ind w:left="1080"/>
        <w:outlineLvl w:val="9"/>
        <w:rPr>
          <w:rFonts w:ascii="Arial" w:hAnsi="Arial" w:cs="Arial"/>
          <w:szCs w:val="24"/>
          <w:lang w:val="es-MX"/>
        </w:rPr>
      </w:pPr>
      <w:bookmarkStart w:id="102" w:name="_Toc321244897"/>
      <w:r w:rsidRPr="00613AED">
        <w:rPr>
          <w:rFonts w:ascii="Arial" w:hAnsi="Arial" w:cs="Arial"/>
          <w:szCs w:val="24"/>
          <w:lang w:val="es-MX"/>
        </w:rPr>
        <w:t>E</w:t>
      </w:r>
      <w:r w:rsidR="00E807F3" w:rsidRPr="00613AED">
        <w:rPr>
          <w:rFonts w:ascii="Arial" w:hAnsi="Arial" w:cs="Arial"/>
          <w:szCs w:val="24"/>
          <w:lang w:val="es-MX"/>
        </w:rPr>
        <w:t>l Sub</w:t>
      </w:r>
      <w:r w:rsidR="00940900" w:rsidRPr="00613AED">
        <w:rPr>
          <w:rFonts w:ascii="Arial" w:hAnsi="Arial" w:cs="Arial"/>
          <w:szCs w:val="24"/>
          <w:lang w:val="es-MX"/>
        </w:rPr>
        <w:t>-</w:t>
      </w:r>
      <w:r w:rsidR="00E807F3" w:rsidRPr="00613AED">
        <w:rPr>
          <w:rFonts w:ascii="Arial" w:hAnsi="Arial" w:cs="Arial"/>
          <w:szCs w:val="24"/>
          <w:lang w:val="es-MX"/>
        </w:rPr>
        <w:t xml:space="preserve">prestatario Elegible </w:t>
      </w:r>
      <w:r w:rsidRPr="00613AED">
        <w:rPr>
          <w:rFonts w:ascii="Arial" w:hAnsi="Arial" w:cs="Arial"/>
          <w:szCs w:val="24"/>
          <w:lang w:val="es-MX"/>
        </w:rPr>
        <w:t>se compromete a</w:t>
      </w:r>
      <w:r w:rsidR="00E807F3" w:rsidRPr="00613AED">
        <w:rPr>
          <w:rFonts w:ascii="Arial" w:hAnsi="Arial" w:cs="Arial"/>
          <w:szCs w:val="24"/>
          <w:lang w:val="es-MX"/>
        </w:rPr>
        <w:t xml:space="preserve"> utilizar los recursos exclusivamente para los conceptos referidos en el apartado </w:t>
      </w:r>
      <w:r w:rsidR="005445D9" w:rsidRPr="00613AED">
        <w:rPr>
          <w:rFonts w:ascii="Arial" w:hAnsi="Arial" w:cs="Arial"/>
          <w:szCs w:val="24"/>
          <w:lang w:val="es-MX"/>
        </w:rPr>
        <w:t>IV</w:t>
      </w:r>
      <w:r w:rsidR="00430A92" w:rsidRPr="00613AED">
        <w:rPr>
          <w:rFonts w:ascii="Arial" w:hAnsi="Arial" w:cs="Arial"/>
          <w:szCs w:val="24"/>
          <w:lang w:val="es-MX"/>
        </w:rPr>
        <w:t xml:space="preserve"> y V </w:t>
      </w:r>
      <w:r w:rsidR="00E807F3" w:rsidRPr="00613AED">
        <w:rPr>
          <w:rFonts w:ascii="Arial" w:hAnsi="Arial" w:cs="Arial"/>
          <w:szCs w:val="24"/>
          <w:lang w:val="es-MX"/>
        </w:rPr>
        <w:t xml:space="preserve">de este </w:t>
      </w:r>
      <w:r w:rsidR="00F860B0" w:rsidRPr="00613AED">
        <w:rPr>
          <w:rFonts w:ascii="Arial" w:hAnsi="Arial" w:cs="Arial"/>
          <w:szCs w:val="24"/>
          <w:lang w:val="es-MX"/>
        </w:rPr>
        <w:t>ROP</w:t>
      </w:r>
      <w:r w:rsidR="00E807F3" w:rsidRPr="00613AED">
        <w:rPr>
          <w:rFonts w:ascii="Arial" w:hAnsi="Arial" w:cs="Arial"/>
          <w:szCs w:val="24"/>
          <w:lang w:val="es-MX"/>
        </w:rPr>
        <w:t>.</w:t>
      </w:r>
      <w:bookmarkEnd w:id="102"/>
    </w:p>
    <w:p w14:paraId="52BC7B7C" w14:textId="77777777" w:rsidR="00686A9A" w:rsidRDefault="005A2959" w:rsidP="009067BA">
      <w:pPr>
        <w:pStyle w:val="Paragraph"/>
        <w:numPr>
          <w:ilvl w:val="0"/>
          <w:numId w:val="8"/>
        </w:numPr>
        <w:tabs>
          <w:tab w:val="num" w:pos="1800"/>
        </w:tabs>
        <w:ind w:left="1080"/>
        <w:outlineLvl w:val="9"/>
        <w:rPr>
          <w:rFonts w:ascii="Arial" w:hAnsi="Arial" w:cs="Arial"/>
          <w:szCs w:val="24"/>
          <w:lang w:val="es-MX"/>
        </w:rPr>
      </w:pPr>
      <w:bookmarkStart w:id="103" w:name="_Toc321244898"/>
      <w:r w:rsidRPr="00613AED">
        <w:rPr>
          <w:rFonts w:ascii="Arial" w:hAnsi="Arial" w:cs="Arial"/>
          <w:szCs w:val="24"/>
          <w:lang w:val="es-MX"/>
        </w:rPr>
        <w:t>El Sub</w:t>
      </w:r>
      <w:r w:rsidR="00940900" w:rsidRPr="00613AED">
        <w:rPr>
          <w:rFonts w:ascii="Arial" w:hAnsi="Arial" w:cs="Arial"/>
          <w:szCs w:val="24"/>
          <w:lang w:val="es-MX"/>
        </w:rPr>
        <w:t>-</w:t>
      </w:r>
      <w:r w:rsidRPr="00613AED">
        <w:rPr>
          <w:rFonts w:ascii="Arial" w:hAnsi="Arial" w:cs="Arial"/>
          <w:szCs w:val="24"/>
          <w:lang w:val="es-MX"/>
        </w:rPr>
        <w:t xml:space="preserve">prestatario Elegible deberá proporcionar toda la información que NAFIN razonablemente le solicite en relación con el proyecto y su situación financiera. Asimismo, NAFIN </w:t>
      </w:r>
      <w:r w:rsidR="00413E75">
        <w:rPr>
          <w:rFonts w:ascii="Arial" w:hAnsi="Arial" w:cs="Arial"/>
          <w:szCs w:val="24"/>
          <w:lang w:val="es-MX"/>
        </w:rPr>
        <w:t xml:space="preserve">junto con el INEEL </w:t>
      </w:r>
      <w:r w:rsidRPr="00613AED">
        <w:rPr>
          <w:rFonts w:ascii="Arial" w:hAnsi="Arial" w:cs="Arial"/>
          <w:szCs w:val="24"/>
          <w:lang w:val="es-MX"/>
        </w:rPr>
        <w:t>y el BID tendrán el derecho</w:t>
      </w:r>
      <w:r w:rsidR="004D0D6B" w:rsidRPr="00613AED">
        <w:rPr>
          <w:rFonts w:ascii="Arial" w:hAnsi="Arial" w:cs="Arial"/>
          <w:szCs w:val="24"/>
          <w:lang w:val="es-MX"/>
        </w:rPr>
        <w:t xml:space="preserve"> </w:t>
      </w:r>
      <w:r w:rsidR="00F860B0" w:rsidRPr="00613AED">
        <w:rPr>
          <w:rFonts w:ascii="Arial" w:hAnsi="Arial" w:cs="Arial"/>
          <w:szCs w:val="24"/>
          <w:lang w:val="es-MX"/>
        </w:rPr>
        <w:t xml:space="preserve">de </w:t>
      </w:r>
      <w:r w:rsidRPr="00613AED">
        <w:rPr>
          <w:rFonts w:ascii="Arial" w:hAnsi="Arial" w:cs="Arial"/>
          <w:szCs w:val="24"/>
          <w:lang w:val="es-MX"/>
        </w:rPr>
        <w:t>examinar la documentación, bienes, lugares, trabajos y obras del respectivo proyecto.</w:t>
      </w:r>
      <w:bookmarkEnd w:id="103"/>
    </w:p>
    <w:p w14:paraId="23DA1CB0" w14:textId="77777777" w:rsidR="00686A9A" w:rsidRPr="00686A9A" w:rsidRDefault="00686A9A" w:rsidP="009067BA">
      <w:pPr>
        <w:pStyle w:val="Paragraph"/>
        <w:numPr>
          <w:ilvl w:val="0"/>
          <w:numId w:val="8"/>
        </w:numPr>
        <w:tabs>
          <w:tab w:val="num" w:pos="1800"/>
        </w:tabs>
        <w:ind w:left="1080"/>
        <w:outlineLvl w:val="9"/>
        <w:rPr>
          <w:rFonts w:ascii="Arial" w:hAnsi="Arial" w:cs="Arial"/>
          <w:szCs w:val="24"/>
          <w:lang w:val="es-MX"/>
        </w:rPr>
      </w:pPr>
      <w:r>
        <w:rPr>
          <w:rFonts w:ascii="Arial" w:hAnsi="Arial" w:cs="Arial"/>
          <w:szCs w:val="24"/>
          <w:lang w:val="es-MX"/>
        </w:rPr>
        <w:t xml:space="preserve">El Sub-prestatario deberá conservar durante 7 años luego de terminado </w:t>
      </w:r>
      <w:r w:rsidR="00831FCE">
        <w:rPr>
          <w:rFonts w:ascii="Arial" w:hAnsi="Arial" w:cs="Arial"/>
          <w:szCs w:val="24"/>
          <w:lang w:val="es-MX"/>
        </w:rPr>
        <w:t>los</w:t>
      </w:r>
      <w:r>
        <w:rPr>
          <w:rFonts w:ascii="Arial" w:hAnsi="Arial" w:cs="Arial"/>
          <w:szCs w:val="24"/>
          <w:lang w:val="es-MX"/>
        </w:rPr>
        <w:t xml:space="preserve"> trabajo</w:t>
      </w:r>
      <w:r w:rsidR="00831FCE">
        <w:rPr>
          <w:rFonts w:ascii="Arial" w:hAnsi="Arial" w:cs="Arial"/>
          <w:szCs w:val="24"/>
          <w:lang w:val="es-MX"/>
        </w:rPr>
        <w:t>s</w:t>
      </w:r>
      <w:r>
        <w:rPr>
          <w:rFonts w:ascii="Arial" w:hAnsi="Arial" w:cs="Arial"/>
          <w:szCs w:val="24"/>
          <w:lang w:val="es-MX"/>
        </w:rPr>
        <w:t>, todos los documentos y registros relacionados con las actividades del Banco</w:t>
      </w:r>
      <w:r w:rsidR="00831FCE">
        <w:rPr>
          <w:rFonts w:ascii="Arial" w:hAnsi="Arial" w:cs="Arial"/>
          <w:szCs w:val="24"/>
          <w:lang w:val="es-MX"/>
        </w:rPr>
        <w:t>.</w:t>
      </w:r>
      <w:r>
        <w:rPr>
          <w:rFonts w:ascii="Arial" w:hAnsi="Arial" w:cs="Arial"/>
          <w:szCs w:val="24"/>
          <w:lang w:val="es-MX"/>
        </w:rPr>
        <w:t xml:space="preserve"> </w:t>
      </w:r>
    </w:p>
    <w:p w14:paraId="018B6136" w14:textId="77777777" w:rsidR="005E102B" w:rsidRPr="00613AED" w:rsidRDefault="005A2959" w:rsidP="009067BA">
      <w:pPr>
        <w:pStyle w:val="Paragraph"/>
        <w:numPr>
          <w:ilvl w:val="0"/>
          <w:numId w:val="8"/>
        </w:numPr>
        <w:tabs>
          <w:tab w:val="num" w:pos="1800"/>
        </w:tabs>
        <w:ind w:left="1080"/>
        <w:outlineLvl w:val="9"/>
        <w:rPr>
          <w:rFonts w:ascii="Arial" w:hAnsi="Arial" w:cs="Arial"/>
          <w:szCs w:val="24"/>
          <w:lang w:val="es-MX"/>
        </w:rPr>
      </w:pPr>
      <w:bookmarkStart w:id="104" w:name="_Toc321244899"/>
      <w:r w:rsidRPr="00613AED">
        <w:rPr>
          <w:rFonts w:ascii="Arial" w:hAnsi="Arial" w:cs="Arial"/>
          <w:szCs w:val="24"/>
          <w:lang w:val="es-MX"/>
        </w:rPr>
        <w:t>El Sub</w:t>
      </w:r>
      <w:r w:rsidR="00940900" w:rsidRPr="00613AED">
        <w:rPr>
          <w:rFonts w:ascii="Arial" w:hAnsi="Arial" w:cs="Arial"/>
          <w:szCs w:val="24"/>
          <w:lang w:val="es-MX"/>
        </w:rPr>
        <w:t>-</w:t>
      </w:r>
      <w:r w:rsidRPr="00613AED">
        <w:rPr>
          <w:rFonts w:ascii="Arial" w:hAnsi="Arial" w:cs="Arial"/>
          <w:szCs w:val="24"/>
          <w:lang w:val="es-MX"/>
        </w:rPr>
        <w:t xml:space="preserve">prestatario Elegible se compromete </w:t>
      </w:r>
      <w:r w:rsidR="001052EB" w:rsidRPr="00613AED">
        <w:rPr>
          <w:rFonts w:ascii="Arial" w:hAnsi="Arial" w:cs="Arial"/>
          <w:szCs w:val="24"/>
          <w:lang w:val="es-MX"/>
        </w:rPr>
        <w:t>a mantener</w:t>
      </w:r>
      <w:r w:rsidRPr="00613AED">
        <w:rPr>
          <w:rFonts w:ascii="Arial" w:hAnsi="Arial" w:cs="Arial"/>
          <w:szCs w:val="24"/>
          <w:lang w:val="es-MX"/>
        </w:rPr>
        <w:t xml:space="preserve"> la contabilidad y registros que fácilmente identifiquen el manejo de los recursos que le sean otorgados bajo el contrato de financiamiento.</w:t>
      </w:r>
      <w:bookmarkEnd w:id="104"/>
    </w:p>
    <w:p w14:paraId="5B1CFCDA" w14:textId="77777777" w:rsidR="005E102B" w:rsidRPr="001F34F7" w:rsidRDefault="00613AED" w:rsidP="009067BA">
      <w:pPr>
        <w:pStyle w:val="Paragraph"/>
        <w:numPr>
          <w:ilvl w:val="0"/>
          <w:numId w:val="8"/>
        </w:numPr>
        <w:tabs>
          <w:tab w:val="num" w:pos="1800"/>
        </w:tabs>
        <w:ind w:left="1080"/>
        <w:outlineLvl w:val="9"/>
        <w:rPr>
          <w:rFonts w:ascii="Arial" w:hAnsi="Arial" w:cs="Arial"/>
          <w:szCs w:val="24"/>
          <w:lang w:val="es-MX"/>
        </w:rPr>
      </w:pPr>
      <w:bookmarkStart w:id="105" w:name="_Toc321244900"/>
      <w:r>
        <w:rPr>
          <w:rFonts w:ascii="Arial" w:hAnsi="Arial" w:cs="Arial"/>
          <w:szCs w:val="24"/>
          <w:lang w:val="es-MX"/>
        </w:rPr>
        <w:t xml:space="preserve">El </w:t>
      </w:r>
      <w:r w:rsidR="005A2959" w:rsidRPr="00613AED">
        <w:rPr>
          <w:rFonts w:ascii="Arial" w:hAnsi="Arial" w:cs="Arial"/>
          <w:szCs w:val="24"/>
          <w:lang w:val="es-MX"/>
        </w:rPr>
        <w:t>Sub</w:t>
      </w:r>
      <w:r w:rsidR="00940900" w:rsidRPr="00613AED">
        <w:rPr>
          <w:rFonts w:ascii="Arial" w:hAnsi="Arial" w:cs="Arial"/>
          <w:szCs w:val="24"/>
          <w:lang w:val="es-MX"/>
        </w:rPr>
        <w:t>-</w:t>
      </w:r>
      <w:r w:rsidR="005A2959" w:rsidRPr="00613AED">
        <w:rPr>
          <w:rFonts w:ascii="Arial" w:hAnsi="Arial" w:cs="Arial"/>
          <w:szCs w:val="24"/>
          <w:lang w:val="es-MX"/>
        </w:rPr>
        <w:t xml:space="preserve">prestatario Elegible asume el compromiso de abstenerse de distribuir dividendos en efectivo o de realizar cualquier pago o transferencia de </w:t>
      </w:r>
      <w:r w:rsidR="005A2959" w:rsidRPr="0071718F">
        <w:rPr>
          <w:rFonts w:ascii="Arial" w:hAnsi="Arial" w:cs="Arial"/>
          <w:szCs w:val="24"/>
          <w:lang w:val="es-MX"/>
        </w:rPr>
        <w:t>recursos directa o indirectamente a sus accionistas, bien sea como accionistas o como acreedores del Sub</w:t>
      </w:r>
      <w:r w:rsidR="00940900" w:rsidRPr="00245AEF">
        <w:rPr>
          <w:rFonts w:ascii="Arial" w:hAnsi="Arial" w:cs="Arial"/>
          <w:szCs w:val="24"/>
          <w:lang w:val="es-MX"/>
        </w:rPr>
        <w:t>-</w:t>
      </w:r>
      <w:r w:rsidR="005A2959" w:rsidRPr="002428EE">
        <w:rPr>
          <w:rFonts w:ascii="Arial" w:hAnsi="Arial" w:cs="Arial"/>
          <w:szCs w:val="24"/>
          <w:lang w:val="es-MX"/>
        </w:rPr>
        <w:t>prestatario Elegible</w:t>
      </w:r>
      <w:r w:rsidR="002C6F1A" w:rsidRPr="001F34F7">
        <w:rPr>
          <w:rFonts w:ascii="Arial" w:hAnsi="Arial" w:cs="Arial"/>
          <w:szCs w:val="24"/>
          <w:lang w:val="es-MX"/>
        </w:rPr>
        <w:t>.</w:t>
      </w:r>
      <w:bookmarkEnd w:id="105"/>
    </w:p>
    <w:p w14:paraId="021D25CB" w14:textId="77777777" w:rsidR="005E102B" w:rsidRPr="0098699B" w:rsidRDefault="005A2959" w:rsidP="009067BA">
      <w:pPr>
        <w:pStyle w:val="Paragraph"/>
        <w:numPr>
          <w:ilvl w:val="0"/>
          <w:numId w:val="8"/>
        </w:numPr>
        <w:tabs>
          <w:tab w:val="num" w:pos="1800"/>
        </w:tabs>
        <w:ind w:left="1080"/>
        <w:outlineLvl w:val="9"/>
        <w:rPr>
          <w:rFonts w:ascii="Arial" w:hAnsi="Arial" w:cs="Arial"/>
          <w:szCs w:val="24"/>
          <w:lang w:val="es-MX"/>
        </w:rPr>
      </w:pPr>
      <w:bookmarkStart w:id="106" w:name="_Toc321244901"/>
      <w:r w:rsidRPr="005E1C2C">
        <w:rPr>
          <w:rFonts w:ascii="Arial" w:hAnsi="Arial" w:cs="Arial"/>
          <w:szCs w:val="24"/>
          <w:lang w:val="es-MX"/>
        </w:rPr>
        <w:t>El Sub</w:t>
      </w:r>
      <w:r w:rsidR="00940900" w:rsidRPr="005E1C2C">
        <w:rPr>
          <w:rFonts w:ascii="Arial" w:hAnsi="Arial" w:cs="Arial"/>
          <w:szCs w:val="24"/>
          <w:lang w:val="es-MX"/>
        </w:rPr>
        <w:t>-</w:t>
      </w:r>
      <w:r w:rsidRPr="005E1C2C">
        <w:rPr>
          <w:rFonts w:ascii="Arial" w:hAnsi="Arial" w:cs="Arial"/>
          <w:szCs w:val="24"/>
          <w:lang w:val="es-MX"/>
        </w:rPr>
        <w:t xml:space="preserve">prestatario </w:t>
      </w:r>
      <w:r w:rsidR="005834E0" w:rsidRPr="00B54B00">
        <w:rPr>
          <w:rFonts w:ascii="Arial" w:hAnsi="Arial" w:cs="Arial"/>
          <w:szCs w:val="24"/>
          <w:lang w:val="es-MX"/>
        </w:rPr>
        <w:t xml:space="preserve">Elegible </w:t>
      </w:r>
      <w:r w:rsidRPr="008E245E">
        <w:rPr>
          <w:rFonts w:ascii="Arial" w:hAnsi="Arial" w:cs="Arial"/>
          <w:szCs w:val="24"/>
          <w:lang w:val="es-MX"/>
        </w:rPr>
        <w:t>deberá adoptar criterios de eficiencia, economía y transparencia en los contratos de construcción, adquisición de bienes y de prestación de servicios para el Sub</w:t>
      </w:r>
      <w:r w:rsidR="00267897" w:rsidRPr="0098699B">
        <w:rPr>
          <w:rFonts w:ascii="Arial" w:hAnsi="Arial" w:cs="Arial"/>
          <w:szCs w:val="24"/>
          <w:lang w:val="es-MX"/>
        </w:rPr>
        <w:t>-</w:t>
      </w:r>
      <w:r w:rsidRPr="0098699B">
        <w:rPr>
          <w:rFonts w:ascii="Arial" w:hAnsi="Arial" w:cs="Arial"/>
          <w:szCs w:val="24"/>
          <w:lang w:val="es-MX"/>
        </w:rPr>
        <w:t>proyecto.</w:t>
      </w:r>
      <w:bookmarkEnd w:id="106"/>
    </w:p>
    <w:p w14:paraId="333F9F95" w14:textId="77777777" w:rsidR="005E102B" w:rsidRPr="00D17E81" w:rsidRDefault="005A2959" w:rsidP="009067BA">
      <w:pPr>
        <w:pStyle w:val="Paragraph"/>
        <w:numPr>
          <w:ilvl w:val="0"/>
          <w:numId w:val="8"/>
        </w:numPr>
        <w:tabs>
          <w:tab w:val="num" w:pos="1800"/>
        </w:tabs>
        <w:ind w:left="1080"/>
        <w:outlineLvl w:val="9"/>
        <w:rPr>
          <w:rFonts w:ascii="Arial" w:hAnsi="Arial" w:cs="Arial"/>
          <w:szCs w:val="24"/>
          <w:lang w:val="es-MX"/>
        </w:rPr>
      </w:pPr>
      <w:bookmarkStart w:id="107" w:name="_Toc321244902"/>
      <w:r w:rsidRPr="00D17E81">
        <w:rPr>
          <w:rFonts w:ascii="Arial" w:hAnsi="Arial" w:cs="Arial"/>
          <w:szCs w:val="24"/>
          <w:lang w:val="es-MX"/>
        </w:rPr>
        <w:t>El Sub</w:t>
      </w:r>
      <w:r w:rsidR="00940900" w:rsidRPr="00D17E81">
        <w:rPr>
          <w:rFonts w:ascii="Arial" w:hAnsi="Arial" w:cs="Arial"/>
          <w:szCs w:val="24"/>
          <w:lang w:val="es-MX"/>
        </w:rPr>
        <w:t>-</w:t>
      </w:r>
      <w:r w:rsidRPr="00D17E81">
        <w:rPr>
          <w:rFonts w:ascii="Arial" w:hAnsi="Arial" w:cs="Arial"/>
          <w:szCs w:val="24"/>
          <w:lang w:val="es-MX"/>
        </w:rPr>
        <w:t xml:space="preserve">prestatario </w:t>
      </w:r>
      <w:r w:rsidR="005834E0" w:rsidRPr="00D17E81">
        <w:rPr>
          <w:rFonts w:ascii="Arial" w:hAnsi="Arial" w:cs="Arial"/>
          <w:szCs w:val="24"/>
          <w:lang w:val="es-MX"/>
        </w:rPr>
        <w:t xml:space="preserve">Elegible </w:t>
      </w:r>
      <w:r w:rsidRPr="00D17E81">
        <w:rPr>
          <w:rFonts w:ascii="Arial" w:hAnsi="Arial" w:cs="Arial"/>
          <w:szCs w:val="24"/>
          <w:lang w:val="es-MX"/>
        </w:rPr>
        <w:t xml:space="preserve">cumplirá </w:t>
      </w:r>
      <w:r w:rsidR="00851115" w:rsidRPr="00D17E81">
        <w:rPr>
          <w:rFonts w:ascii="Arial" w:hAnsi="Arial" w:cs="Arial"/>
          <w:szCs w:val="24"/>
          <w:lang w:val="es-MX"/>
        </w:rPr>
        <w:t xml:space="preserve">con los </w:t>
      </w:r>
      <w:r w:rsidRPr="00D17E81">
        <w:rPr>
          <w:rFonts w:ascii="Arial" w:hAnsi="Arial" w:cs="Arial"/>
          <w:szCs w:val="24"/>
          <w:lang w:val="es-MX"/>
        </w:rPr>
        <w:t>demás requisitos exigidos por el M</w:t>
      </w:r>
      <w:r w:rsidR="00A375AF" w:rsidRPr="00D17E81">
        <w:rPr>
          <w:rFonts w:ascii="Arial" w:hAnsi="Arial" w:cs="Arial"/>
          <w:szCs w:val="24"/>
          <w:lang w:val="es-MX"/>
        </w:rPr>
        <w:t>AGAS</w:t>
      </w:r>
      <w:r w:rsidRPr="00D17E81">
        <w:rPr>
          <w:rFonts w:ascii="Arial" w:hAnsi="Arial" w:cs="Arial"/>
          <w:szCs w:val="24"/>
          <w:lang w:val="es-MX"/>
        </w:rPr>
        <w:t xml:space="preserve"> y el Sistema Normativo de Crédito de NAFIN.</w:t>
      </w:r>
      <w:bookmarkEnd w:id="107"/>
    </w:p>
    <w:p w14:paraId="2AD9F1DF" w14:textId="77777777" w:rsidR="00292D1F" w:rsidRDefault="005A2959" w:rsidP="009067BA">
      <w:pPr>
        <w:pStyle w:val="Paragraph"/>
        <w:numPr>
          <w:ilvl w:val="0"/>
          <w:numId w:val="8"/>
        </w:numPr>
        <w:ind w:left="1080"/>
        <w:outlineLvl w:val="9"/>
        <w:rPr>
          <w:rFonts w:ascii="Arial" w:hAnsi="Arial" w:cs="Arial"/>
          <w:szCs w:val="24"/>
          <w:lang w:val="es-MX"/>
        </w:rPr>
      </w:pPr>
      <w:bookmarkStart w:id="108" w:name="_Toc321244903"/>
      <w:r w:rsidRPr="00D17E81">
        <w:rPr>
          <w:rFonts w:ascii="Arial" w:hAnsi="Arial" w:cs="Arial"/>
          <w:szCs w:val="24"/>
          <w:lang w:val="es-MX"/>
        </w:rPr>
        <w:t>El Sub</w:t>
      </w:r>
      <w:r w:rsidR="00940900" w:rsidRPr="00D17E81">
        <w:rPr>
          <w:rFonts w:ascii="Arial" w:hAnsi="Arial" w:cs="Arial"/>
          <w:szCs w:val="24"/>
          <w:lang w:val="es-MX"/>
        </w:rPr>
        <w:t>-</w:t>
      </w:r>
      <w:r w:rsidRPr="00D17E81">
        <w:rPr>
          <w:rFonts w:ascii="Arial" w:hAnsi="Arial" w:cs="Arial"/>
          <w:szCs w:val="24"/>
          <w:lang w:val="es-MX"/>
        </w:rPr>
        <w:t xml:space="preserve">prestatario Elegible adoptará las medidas apropiadas para que </w:t>
      </w:r>
      <w:r w:rsidR="00716711" w:rsidRPr="00D17E81">
        <w:rPr>
          <w:rFonts w:ascii="Arial" w:hAnsi="Arial" w:cs="Arial"/>
          <w:szCs w:val="24"/>
          <w:lang w:val="es-MX"/>
        </w:rPr>
        <w:t xml:space="preserve">las </w:t>
      </w:r>
      <w:r w:rsidRPr="00D17E81">
        <w:rPr>
          <w:rFonts w:ascii="Arial" w:hAnsi="Arial" w:cs="Arial"/>
          <w:szCs w:val="24"/>
          <w:lang w:val="es-MX"/>
        </w:rPr>
        <w:t xml:space="preserve">obras y </w:t>
      </w:r>
      <w:r w:rsidR="00716711" w:rsidRPr="00D17E81">
        <w:rPr>
          <w:rFonts w:ascii="Arial" w:hAnsi="Arial" w:cs="Arial"/>
          <w:szCs w:val="24"/>
          <w:lang w:val="es-MX"/>
        </w:rPr>
        <w:t xml:space="preserve">los </w:t>
      </w:r>
      <w:r w:rsidRPr="00D17E81">
        <w:rPr>
          <w:rFonts w:ascii="Arial" w:hAnsi="Arial" w:cs="Arial"/>
          <w:szCs w:val="24"/>
          <w:lang w:val="es-MX"/>
        </w:rPr>
        <w:t xml:space="preserve">equipos financiados sean mantenidos adecuadamente de manera que permitan su normal operación. Si de las inspecciones que realice </w:t>
      </w:r>
      <w:r w:rsidR="00A20A92" w:rsidRPr="00D17E81">
        <w:rPr>
          <w:rFonts w:ascii="Arial" w:hAnsi="Arial" w:cs="Arial"/>
          <w:szCs w:val="24"/>
          <w:lang w:val="es-MX"/>
        </w:rPr>
        <w:t>NAFIN</w:t>
      </w:r>
      <w:r w:rsidR="00A20A92">
        <w:rPr>
          <w:rFonts w:ascii="Arial" w:hAnsi="Arial" w:cs="Arial"/>
          <w:szCs w:val="24"/>
          <w:lang w:val="es-MX"/>
        </w:rPr>
        <w:t xml:space="preserve"> con el apoyo técnico del INEEL </w:t>
      </w:r>
      <w:r w:rsidRPr="00D17E81">
        <w:rPr>
          <w:rFonts w:ascii="Arial" w:hAnsi="Arial" w:cs="Arial"/>
          <w:szCs w:val="24"/>
          <w:lang w:val="es-MX"/>
        </w:rPr>
        <w:t>o el BID, o de los informes que reciba</w:t>
      </w:r>
      <w:r w:rsidR="00716711" w:rsidRPr="00D17E81">
        <w:rPr>
          <w:rFonts w:ascii="Arial" w:hAnsi="Arial" w:cs="Arial"/>
          <w:szCs w:val="24"/>
          <w:lang w:val="es-MX"/>
        </w:rPr>
        <w:t>n</w:t>
      </w:r>
      <w:r w:rsidRPr="00D17E81">
        <w:rPr>
          <w:rFonts w:ascii="Arial" w:hAnsi="Arial" w:cs="Arial"/>
          <w:szCs w:val="24"/>
          <w:lang w:val="es-MX"/>
        </w:rPr>
        <w:t>, se determina que el mantenimiento se efectúa por debajo de los niveles convenidos, el Sub</w:t>
      </w:r>
      <w:r w:rsidR="00940900" w:rsidRPr="00D17E81">
        <w:rPr>
          <w:rFonts w:ascii="Arial" w:hAnsi="Arial" w:cs="Arial"/>
          <w:szCs w:val="24"/>
          <w:lang w:val="es-MX"/>
        </w:rPr>
        <w:t>-</w:t>
      </w:r>
      <w:r w:rsidRPr="00D17E81">
        <w:rPr>
          <w:rFonts w:ascii="Arial" w:hAnsi="Arial" w:cs="Arial"/>
          <w:szCs w:val="24"/>
          <w:lang w:val="es-MX"/>
        </w:rPr>
        <w:t xml:space="preserve">prestatario Elegible deberá adoptar las medidas necesarias para que se corrijan totalmente las deficiencias. Para </w:t>
      </w:r>
      <w:r w:rsidR="00716711" w:rsidRPr="00D17E81">
        <w:rPr>
          <w:rFonts w:ascii="Arial" w:hAnsi="Arial" w:cs="Arial"/>
          <w:szCs w:val="24"/>
          <w:lang w:val="es-MX"/>
        </w:rPr>
        <w:t>el</w:t>
      </w:r>
      <w:r w:rsidRPr="00D17E81">
        <w:rPr>
          <w:rFonts w:ascii="Arial" w:hAnsi="Arial" w:cs="Arial"/>
          <w:szCs w:val="24"/>
          <w:lang w:val="es-MX"/>
        </w:rPr>
        <w:t>lo</w:t>
      </w:r>
      <w:r w:rsidR="00716711" w:rsidRPr="00D17E81">
        <w:rPr>
          <w:rFonts w:ascii="Arial" w:hAnsi="Arial" w:cs="Arial"/>
          <w:szCs w:val="24"/>
          <w:lang w:val="es-MX"/>
        </w:rPr>
        <w:t>,</w:t>
      </w:r>
      <w:r w:rsidRPr="00D17E81">
        <w:rPr>
          <w:rFonts w:ascii="Arial" w:hAnsi="Arial" w:cs="Arial"/>
          <w:szCs w:val="24"/>
          <w:lang w:val="es-MX"/>
        </w:rPr>
        <w:t xml:space="preserve"> se acordará</w:t>
      </w:r>
      <w:r w:rsidR="00716711" w:rsidRPr="00D17E81">
        <w:rPr>
          <w:rFonts w:ascii="Arial" w:hAnsi="Arial" w:cs="Arial"/>
          <w:szCs w:val="24"/>
          <w:lang w:val="es-MX"/>
        </w:rPr>
        <w:t>n</w:t>
      </w:r>
      <w:r w:rsidRPr="00D17E81">
        <w:rPr>
          <w:rFonts w:ascii="Arial" w:hAnsi="Arial" w:cs="Arial"/>
          <w:szCs w:val="24"/>
          <w:lang w:val="es-MX"/>
        </w:rPr>
        <w:t xml:space="preserve"> con NAFIN las medidas conducentes para obtener dichos resultados, </w:t>
      </w:r>
      <w:r w:rsidR="00716711" w:rsidRPr="00D17E81">
        <w:rPr>
          <w:rFonts w:ascii="Arial" w:hAnsi="Arial" w:cs="Arial"/>
          <w:szCs w:val="24"/>
          <w:lang w:val="es-MX"/>
        </w:rPr>
        <w:t>par</w:t>
      </w:r>
      <w:r w:rsidRPr="00D17E81">
        <w:rPr>
          <w:rFonts w:ascii="Arial" w:hAnsi="Arial" w:cs="Arial"/>
          <w:szCs w:val="24"/>
          <w:lang w:val="es-MX"/>
        </w:rPr>
        <w:t xml:space="preserve">a darle seguimiento y en caso necesario, </w:t>
      </w:r>
      <w:r w:rsidR="00716711" w:rsidRPr="00D17E81">
        <w:rPr>
          <w:rFonts w:ascii="Arial" w:hAnsi="Arial" w:cs="Arial"/>
          <w:szCs w:val="24"/>
          <w:lang w:val="es-MX"/>
        </w:rPr>
        <w:t xml:space="preserve">para </w:t>
      </w:r>
      <w:r w:rsidRPr="00D17E81">
        <w:rPr>
          <w:rFonts w:ascii="Arial" w:hAnsi="Arial" w:cs="Arial"/>
          <w:szCs w:val="24"/>
          <w:lang w:val="es-MX"/>
        </w:rPr>
        <w:t>adoptar las medidas correctivas.</w:t>
      </w:r>
      <w:bookmarkEnd w:id="108"/>
    </w:p>
    <w:p w14:paraId="0620C138" w14:textId="77777777" w:rsidR="00292D1F" w:rsidRDefault="00292D1F">
      <w:pPr>
        <w:rPr>
          <w:rFonts w:ascii="Arial" w:hAnsi="Arial" w:cs="Arial"/>
          <w:sz w:val="24"/>
          <w:szCs w:val="24"/>
        </w:rPr>
      </w:pPr>
      <w:r>
        <w:rPr>
          <w:rFonts w:ascii="Arial" w:hAnsi="Arial" w:cs="Arial"/>
          <w:szCs w:val="24"/>
        </w:rPr>
        <w:br w:type="page"/>
      </w:r>
    </w:p>
    <w:p w14:paraId="31A14694" w14:textId="77777777" w:rsidR="00CF2ABE" w:rsidRPr="00697CCC" w:rsidRDefault="00CF2ABE" w:rsidP="00CF32A1">
      <w:pPr>
        <w:pStyle w:val="Chapter"/>
        <w:numPr>
          <w:ilvl w:val="0"/>
          <w:numId w:val="54"/>
        </w:numPr>
        <w:tabs>
          <w:tab w:val="clear" w:pos="1440"/>
          <w:tab w:val="clear" w:pos="3054"/>
          <w:tab w:val="left" w:pos="0"/>
          <w:tab w:val="num" w:pos="360"/>
        </w:tabs>
        <w:ind w:left="0" w:firstLine="0"/>
        <w:rPr>
          <w:rFonts w:ascii="Arial" w:hAnsi="Arial" w:cs="Arial"/>
          <w:sz w:val="32"/>
          <w:szCs w:val="32"/>
        </w:rPr>
      </w:pPr>
      <w:bookmarkStart w:id="109" w:name="_Ref433706934"/>
      <w:bookmarkStart w:id="110" w:name="_Toc321244904"/>
      <w:bookmarkStart w:id="111" w:name="_Toc450149563"/>
      <w:r w:rsidRPr="00C22D20">
        <w:rPr>
          <w:rFonts w:ascii="Arial" w:hAnsi="Arial" w:cs="Arial"/>
          <w:sz w:val="32"/>
          <w:szCs w:val="32"/>
        </w:rPr>
        <w:lastRenderedPageBreak/>
        <w:t>Sistema de Gestión Ambiental y Social</w:t>
      </w:r>
      <w:bookmarkEnd w:id="109"/>
      <w:r w:rsidRPr="00C22D20">
        <w:rPr>
          <w:rFonts w:ascii="Arial" w:hAnsi="Arial" w:cs="Arial"/>
          <w:sz w:val="32"/>
          <w:szCs w:val="32"/>
        </w:rPr>
        <w:t xml:space="preserve"> (SGAS) </w:t>
      </w:r>
      <w:r w:rsidRPr="00697CCC">
        <w:rPr>
          <w:rFonts w:ascii="Arial" w:hAnsi="Arial" w:cs="Arial"/>
          <w:sz w:val="32"/>
          <w:szCs w:val="32"/>
        </w:rPr>
        <w:t>[o MAGAS según el contrato]</w:t>
      </w:r>
    </w:p>
    <w:p w14:paraId="091C3FF3" w14:textId="77777777" w:rsidR="00BA0225" w:rsidRPr="00697CCC" w:rsidRDefault="00BA0225" w:rsidP="00BA0225">
      <w:pPr>
        <w:pStyle w:val="Paragraph"/>
        <w:tabs>
          <w:tab w:val="clear" w:pos="8525"/>
          <w:tab w:val="num" w:pos="720"/>
          <w:tab w:val="num" w:pos="1080"/>
        </w:tabs>
        <w:ind w:left="720" w:hanging="720"/>
        <w:rPr>
          <w:rFonts w:ascii="Arial" w:hAnsi="Arial" w:cs="Arial"/>
          <w:sz w:val="22"/>
          <w:szCs w:val="22"/>
        </w:rPr>
      </w:pPr>
      <w:r w:rsidRPr="00697CCC">
        <w:rPr>
          <w:rFonts w:ascii="Arial" w:hAnsi="Arial" w:cs="Arial"/>
          <w:sz w:val="22"/>
          <w:szCs w:val="22"/>
          <w:lang w:val="es-MX"/>
        </w:rPr>
        <w:t>Los</w:t>
      </w:r>
      <w:r>
        <w:rPr>
          <w:rFonts w:ascii="Arial" w:hAnsi="Arial" w:cs="Arial"/>
          <w:sz w:val="22"/>
          <w:szCs w:val="22"/>
          <w:lang w:val="es-MX"/>
        </w:rPr>
        <w:t xml:space="preserve"> </w:t>
      </w:r>
      <w:r w:rsidRPr="00697CCC">
        <w:rPr>
          <w:rFonts w:ascii="Arial" w:hAnsi="Arial" w:cs="Arial"/>
          <w:sz w:val="22"/>
          <w:szCs w:val="22"/>
          <w:lang w:val="es-MX"/>
        </w:rPr>
        <w:t>Sub-prestatarios Elegibles deberán asumir el compromiso de observar las</w:t>
      </w:r>
      <w:r w:rsidRPr="00697CCC">
        <w:rPr>
          <w:rFonts w:ascii="Arial" w:hAnsi="Arial" w:cs="Arial"/>
          <w:sz w:val="22"/>
          <w:szCs w:val="22"/>
        </w:rPr>
        <w:t xml:space="preserve"> disposiciones relativas al manejo ambiental y social detalladas en este ROP, lo cual deberá quedar asentado en los documentos que formalicen las operaciones.</w:t>
      </w:r>
    </w:p>
    <w:p w14:paraId="1BCE0B9F" w14:textId="77777777" w:rsidR="00BA0225" w:rsidRPr="00697CCC" w:rsidRDefault="00BA0225" w:rsidP="00BA0225">
      <w:pPr>
        <w:pStyle w:val="Paragraph"/>
        <w:tabs>
          <w:tab w:val="clear" w:pos="8525"/>
          <w:tab w:val="num" w:pos="720"/>
          <w:tab w:val="num" w:pos="900"/>
        </w:tabs>
        <w:ind w:left="720" w:hanging="720"/>
        <w:rPr>
          <w:rFonts w:ascii="Arial" w:hAnsi="Arial" w:cs="Arial"/>
          <w:sz w:val="22"/>
          <w:szCs w:val="22"/>
        </w:rPr>
      </w:pPr>
      <w:r w:rsidRPr="00697CCC">
        <w:rPr>
          <w:rFonts w:ascii="Arial" w:hAnsi="Arial" w:cs="Arial"/>
          <w:sz w:val="22"/>
          <w:szCs w:val="22"/>
        </w:rPr>
        <w:t>NAFIN, ya sea directa o indirectamente, a través de sus operaciones de intermediación financiera, aplicará dentro de su proceso de análisis y aprobación de operaciones a ser apoyadas con recursos de este Préstamo, los siguientes criterios generales para la elegibilidad, aprobación y monitoreo de los proyectos que serán financiados con recursos del Programa.</w:t>
      </w:r>
    </w:p>
    <w:p w14:paraId="4AA0A207" w14:textId="77777777" w:rsidR="00BA0225" w:rsidRPr="00697CCC" w:rsidRDefault="00BA0225" w:rsidP="00BA0225">
      <w:pPr>
        <w:pStyle w:val="Paragraph"/>
        <w:tabs>
          <w:tab w:val="clear" w:pos="8525"/>
          <w:tab w:val="num" w:pos="720"/>
          <w:tab w:val="num" w:pos="900"/>
        </w:tabs>
        <w:ind w:left="720" w:hanging="720"/>
        <w:rPr>
          <w:rFonts w:ascii="Arial" w:hAnsi="Arial" w:cs="Arial"/>
          <w:sz w:val="22"/>
          <w:szCs w:val="22"/>
        </w:rPr>
      </w:pPr>
      <w:r w:rsidRPr="00697CCC">
        <w:rPr>
          <w:rFonts w:ascii="Arial" w:hAnsi="Arial" w:cs="Arial"/>
          <w:sz w:val="22"/>
          <w:szCs w:val="22"/>
        </w:rPr>
        <w:t>NAFIN designará un responsable dentro de su organización (punto focal) para dar seguimiento a los temas ambientales y sociales de las Operaciones elegibles financiadas con recursos del Programa.</w:t>
      </w:r>
    </w:p>
    <w:p w14:paraId="0F74B7E2" w14:textId="77777777" w:rsidR="00BA0225" w:rsidRDefault="00BA0225" w:rsidP="00BA0225">
      <w:pPr>
        <w:pStyle w:val="Paragraph"/>
        <w:tabs>
          <w:tab w:val="clear" w:pos="8525"/>
        </w:tabs>
        <w:ind w:left="720" w:hanging="720"/>
        <w:rPr>
          <w:rFonts w:ascii="Arial" w:hAnsi="Arial" w:cs="Arial"/>
          <w:sz w:val="22"/>
          <w:szCs w:val="22"/>
        </w:rPr>
      </w:pPr>
      <w:r w:rsidRPr="00697CCC">
        <w:rPr>
          <w:rFonts w:ascii="Arial" w:hAnsi="Arial" w:cs="Arial"/>
          <w:sz w:val="22"/>
          <w:szCs w:val="22"/>
        </w:rPr>
        <w:t xml:space="preserve">Se entiende que NAFIN tiene dentro de sus iniciativas </w:t>
      </w:r>
      <w:r>
        <w:rPr>
          <w:rFonts w:ascii="Arial" w:hAnsi="Arial" w:cs="Arial"/>
          <w:sz w:val="22"/>
          <w:szCs w:val="22"/>
        </w:rPr>
        <w:t xml:space="preserve">del 2018 </w:t>
      </w:r>
      <w:r w:rsidRPr="00697CCC">
        <w:rPr>
          <w:rFonts w:ascii="Arial" w:hAnsi="Arial" w:cs="Arial"/>
          <w:sz w:val="22"/>
          <w:szCs w:val="22"/>
        </w:rPr>
        <w:t xml:space="preserve">iniciar el proyecto de diseño e implementación de su propio Sistema de Administración de Riesgos Ambientales y Sociales (SARAS). </w:t>
      </w:r>
      <w:r>
        <w:rPr>
          <w:rFonts w:ascii="Arial" w:hAnsi="Arial" w:cs="Arial"/>
          <w:sz w:val="22"/>
          <w:szCs w:val="22"/>
        </w:rPr>
        <w:t xml:space="preserve">En caso </w:t>
      </w:r>
      <w:r w:rsidRPr="00697CCC">
        <w:rPr>
          <w:rFonts w:ascii="Arial" w:hAnsi="Arial" w:cs="Arial"/>
          <w:sz w:val="22"/>
          <w:szCs w:val="22"/>
        </w:rPr>
        <w:t xml:space="preserve">necesario, </w:t>
      </w:r>
      <w:r>
        <w:rPr>
          <w:rFonts w:ascii="Arial" w:hAnsi="Arial" w:cs="Arial"/>
          <w:sz w:val="22"/>
          <w:szCs w:val="22"/>
        </w:rPr>
        <w:t xml:space="preserve">dentro del </w:t>
      </w:r>
      <w:r w:rsidRPr="00974E91">
        <w:rPr>
          <w:rFonts w:ascii="Arial" w:hAnsi="Arial" w:cs="Arial"/>
          <w:sz w:val="22"/>
          <w:szCs w:val="22"/>
        </w:rPr>
        <w:t xml:space="preserve">marco de la sección </w:t>
      </w:r>
      <w:r w:rsidRPr="00974E91">
        <w:rPr>
          <w:rFonts w:ascii="Arial" w:hAnsi="Arial" w:cs="Arial"/>
          <w:sz w:val="22"/>
          <w:szCs w:val="22"/>
          <w:highlight w:val="yellow"/>
        </w:rPr>
        <w:t>20</w:t>
      </w:r>
      <w:r w:rsidRPr="00974E91">
        <w:rPr>
          <w:rFonts w:ascii="Arial" w:hAnsi="Arial" w:cs="Arial"/>
          <w:sz w:val="22"/>
          <w:szCs w:val="22"/>
        </w:rPr>
        <w:t xml:space="preserve"> del reglamento. (Modificaciones del reglamento), se</w:t>
      </w:r>
      <w:r w:rsidRPr="00A55EAE">
        <w:rPr>
          <w:rFonts w:ascii="Arial" w:hAnsi="Arial" w:cs="Arial"/>
          <w:sz w:val="22"/>
          <w:szCs w:val="22"/>
        </w:rPr>
        <w:t xml:space="preserve"> podrá modificar este reglamento para tomar en cuenta la implementación del SARAS. </w:t>
      </w:r>
    </w:p>
    <w:p w14:paraId="0BBEFFEB" w14:textId="77777777" w:rsidR="00BA0225" w:rsidRPr="00652120" w:rsidRDefault="00BA0225" w:rsidP="00BA0225">
      <w:pPr>
        <w:pStyle w:val="Paragraph"/>
        <w:tabs>
          <w:tab w:val="clear" w:pos="8525"/>
        </w:tabs>
        <w:ind w:left="720" w:hanging="720"/>
        <w:rPr>
          <w:rFonts w:ascii="Arial" w:hAnsi="Arial" w:cs="Arial"/>
          <w:sz w:val="22"/>
          <w:lang w:val="es-ES"/>
        </w:rPr>
      </w:pPr>
      <w:r w:rsidRPr="00652120">
        <w:rPr>
          <w:rFonts w:ascii="Arial" w:hAnsi="Arial" w:cs="Arial"/>
          <w:sz w:val="22"/>
          <w:lang w:val="es-AR"/>
        </w:rPr>
        <w:t xml:space="preserve">Todo cambio sustancial a las disposiciones ESHS, Planes ESHS o MO-RC que se realice en adelante deberá quedar asentado por escrito y ser aprobado por el Banco de manera consistente con sus políticas de salvaguardias ambientales y sociales. </w:t>
      </w:r>
    </w:p>
    <w:p w14:paraId="396C914B" w14:textId="77777777" w:rsidR="00BA0225" w:rsidRPr="00652120" w:rsidRDefault="00BA0225" w:rsidP="00BA0225">
      <w:pPr>
        <w:pStyle w:val="Paragraph"/>
        <w:tabs>
          <w:tab w:val="clear" w:pos="8525"/>
        </w:tabs>
        <w:ind w:left="720" w:hanging="720"/>
        <w:rPr>
          <w:rFonts w:ascii="Arial" w:hAnsi="Arial" w:cs="Arial"/>
          <w:sz w:val="28"/>
          <w:lang w:val="es-ES"/>
        </w:rPr>
      </w:pPr>
      <w:r w:rsidRPr="00652120">
        <w:rPr>
          <w:rFonts w:ascii="Arial" w:hAnsi="Arial" w:cs="Arial"/>
          <w:sz w:val="22"/>
          <w:lang w:val="es-ES"/>
        </w:rPr>
        <w:t xml:space="preserve">Con respecto a los Subproyectos y sus Instalaciones Asociadas, el Prestatario deberá notificar al Banco por escrito en un plazo no mayor a diez (10) días ante cualquier (1) incumplimiento material potencial o real de requisitos ambientales y sociales; (2) accidente, incidente u otro evento significativo, </w:t>
      </w:r>
      <w:r w:rsidRPr="00652120">
        <w:rPr>
          <w:rFonts w:ascii="Arial" w:hAnsi="Arial" w:cs="Arial"/>
          <w:iCs/>
          <w:sz w:val="22"/>
          <w:lang w:val="es-ES"/>
        </w:rPr>
        <w:t>por ejemplo, reventazones de pozos, derrames, incendios, vertidos de sustancias peligrosas</w:t>
      </w:r>
      <w:r w:rsidRPr="00652120">
        <w:rPr>
          <w:rFonts w:ascii="Arial" w:hAnsi="Arial" w:cs="Arial"/>
          <w:sz w:val="22"/>
          <w:lang w:val="es-ES"/>
        </w:rPr>
        <w:t xml:space="preserve">, relacionado con temas de ESHS; (3) conflicto social actual o inminente; (4) acciones relevantes a, o cambios en la normativa local de aspectos ESHS, </w:t>
      </w:r>
      <w:r w:rsidRPr="00652120">
        <w:rPr>
          <w:rFonts w:ascii="Arial" w:hAnsi="Arial" w:cs="Arial"/>
          <w:iCs/>
          <w:sz w:val="22"/>
          <w:lang w:val="es-ES"/>
        </w:rPr>
        <w:t>por ejemplo, cualquier inspección gubernamental e informes y acciones regulatorias, cambios significativos en el marco legal, reclamos judiciales y/o arbitrales</w:t>
      </w:r>
      <w:r w:rsidRPr="00652120">
        <w:rPr>
          <w:rFonts w:ascii="Arial" w:hAnsi="Arial" w:cs="Arial"/>
          <w:sz w:val="22"/>
          <w:lang w:val="es-ES"/>
        </w:rPr>
        <w:t>; o (5) riesgo de impacto ambiental o social adicional identificado que pueda afectar las condiciones ambientales y sociales de cualquier Subproyecto y sus Instalaciones Asociadas; dicha notificación deberá incluir en cada caso, acciones efectuadas o propuestas en relación con tales eventos.</w:t>
      </w:r>
    </w:p>
    <w:p w14:paraId="150EC98F" w14:textId="77777777" w:rsidR="00BA0225" w:rsidRPr="00EB63A1" w:rsidRDefault="00BA0225" w:rsidP="00BA0225">
      <w:pPr>
        <w:pStyle w:val="Paragraph"/>
        <w:tabs>
          <w:tab w:val="clear" w:pos="8525"/>
        </w:tabs>
        <w:ind w:left="720" w:hanging="720"/>
        <w:rPr>
          <w:rFonts w:ascii="Arial" w:hAnsi="Arial" w:cs="Arial"/>
          <w:sz w:val="22"/>
          <w:lang w:val="es-ES"/>
        </w:rPr>
      </w:pPr>
      <w:r w:rsidRPr="00652120">
        <w:rPr>
          <w:rFonts w:ascii="Arial" w:hAnsi="Arial" w:cs="Arial"/>
          <w:b/>
          <w:sz w:val="22"/>
          <w:szCs w:val="22"/>
        </w:rPr>
        <w:t>Requisitos ambientales y sociales.</w:t>
      </w:r>
      <w:r w:rsidRPr="00DE7AF6">
        <w:rPr>
          <w:rFonts w:ascii="Arial" w:hAnsi="Arial" w:cs="Arial"/>
          <w:sz w:val="22"/>
          <w:szCs w:val="22"/>
        </w:rPr>
        <w:t xml:space="preserve"> </w:t>
      </w:r>
      <w:r w:rsidRPr="00AD7020">
        <w:rPr>
          <w:rFonts w:ascii="Arial" w:hAnsi="Arial" w:cs="Arial"/>
          <w:sz w:val="22"/>
          <w:lang w:val="es-ES"/>
        </w:rPr>
        <w:t xml:space="preserve">En lo que refiere al diseño, construcción, operación, mantenimiento y monitoreo de cada Proyecto, actividad del Proyecto y Subproyectos/Subpréstamos </w:t>
      </w:r>
      <w:r w:rsidRPr="00D20B45">
        <w:rPr>
          <w:rFonts w:ascii="Arial" w:hAnsi="Arial" w:cs="Arial"/>
          <w:sz w:val="22"/>
          <w:lang w:val="es-ES"/>
        </w:rPr>
        <w:t xml:space="preserve">así como gestión de los riesgos ESHS de toda Instalación Asociada a los Subproyectos, el Prestatario se compromete a cumplir y garantizar que cada Subprestatario y otras agencias responsables/entidades/subcontratistas que realicen actividades relacionadas con el Proyecto, cumpla con: (i) las Políticas de Salvaguardias ESHS del Banco, así como </w:t>
      </w:r>
      <w:r>
        <w:rPr>
          <w:rFonts w:ascii="Arial" w:hAnsi="Arial" w:cs="Arial"/>
          <w:sz w:val="22"/>
          <w:lang w:val="es-ES"/>
        </w:rPr>
        <w:t xml:space="preserve">con </w:t>
      </w:r>
      <w:r w:rsidRPr="00D20B45">
        <w:rPr>
          <w:rFonts w:ascii="Arial" w:hAnsi="Arial" w:cs="Arial"/>
          <w:sz w:val="22"/>
          <w:lang w:val="es-ES"/>
        </w:rPr>
        <w:t>sus respectivos lineamientos de implementación, incluyendo</w:t>
      </w:r>
      <w:r w:rsidRPr="00D20B45">
        <w:rPr>
          <w:sz w:val="22"/>
          <w:lang w:val="es-ES"/>
        </w:rPr>
        <w:t xml:space="preserve"> </w:t>
      </w:r>
      <w:r w:rsidRPr="00D20B45">
        <w:rPr>
          <w:rFonts w:ascii="Arial" w:hAnsi="Arial" w:cs="Arial"/>
          <w:sz w:val="22"/>
          <w:lang w:val="es-ES"/>
        </w:rPr>
        <w:t>la Política de Acceso a Información (OP-102), Política de Medio Ambiente y Cumplimiento de Salvaguardias (OP-703), y las siguientes, según correspondan, Política de Gestión del Riesgo de Desastres Naturales (OP-704); Política Operativa sobre Reasentamiento Involuntario (OP-710); Política Operativa sobre Igualdad de Género en el Desarrollo (OP-761); y Política Operativa sobre Pueblos Indígenas (OP-765), (ii) los requisitos ESHS establecidos por la legislación nacional vigente de México</w:t>
      </w:r>
      <w:r w:rsidRPr="002343C1">
        <w:rPr>
          <w:rFonts w:ascii="Arial" w:hAnsi="Arial" w:cs="Arial"/>
          <w:sz w:val="22"/>
          <w:lang w:val="es-ES"/>
        </w:rPr>
        <w:t xml:space="preserve">  </w:t>
      </w:r>
      <w:r w:rsidRPr="002343C1">
        <w:rPr>
          <w:rFonts w:ascii="Arial" w:hAnsi="Arial" w:cs="Arial"/>
          <w:sz w:val="22"/>
          <w:lang w:val="es-ES"/>
        </w:rPr>
        <w:lastRenderedPageBreak/>
        <w:t xml:space="preserve">(iii) los requisitos ESHS establecidos por el IGAS, </w:t>
      </w:r>
      <w:r>
        <w:rPr>
          <w:rFonts w:ascii="Arial" w:hAnsi="Arial" w:cs="Arial"/>
          <w:sz w:val="22"/>
          <w:lang w:val="es-ES"/>
        </w:rPr>
        <w:t>Evaluación</w:t>
      </w:r>
      <w:r w:rsidRPr="002343C1">
        <w:rPr>
          <w:rFonts w:ascii="Arial" w:hAnsi="Arial" w:cs="Arial"/>
          <w:sz w:val="22"/>
          <w:lang w:val="es-ES"/>
        </w:rPr>
        <w:t xml:space="preserve"> Ambiental</w:t>
      </w:r>
      <w:r>
        <w:rPr>
          <w:rFonts w:ascii="Arial" w:hAnsi="Arial" w:cs="Arial"/>
          <w:sz w:val="22"/>
          <w:lang w:val="es-ES"/>
        </w:rPr>
        <w:t xml:space="preserve"> y Social</w:t>
      </w:r>
      <w:r w:rsidRPr="002343C1">
        <w:rPr>
          <w:rFonts w:ascii="Arial" w:hAnsi="Arial" w:cs="Arial"/>
          <w:sz w:val="22"/>
          <w:lang w:val="es-ES"/>
        </w:rPr>
        <w:t xml:space="preserve">, y/o Estudio de Impacto Ambiental </w:t>
      </w:r>
      <w:r>
        <w:rPr>
          <w:rFonts w:ascii="Arial" w:hAnsi="Arial" w:cs="Arial"/>
          <w:sz w:val="22"/>
          <w:lang w:val="es-ES"/>
        </w:rPr>
        <w:t>de</w:t>
      </w:r>
      <w:r w:rsidRPr="002343C1">
        <w:rPr>
          <w:rFonts w:ascii="Arial" w:hAnsi="Arial" w:cs="Arial"/>
          <w:sz w:val="22"/>
          <w:lang w:val="es-ES"/>
        </w:rPr>
        <w:t xml:space="preserve"> cada subproyecto, las salvaguardas aplicables y toda actualización acordada por el Banco; (iv) todo plan ESHS específico, incluyendo Planes de Acción Correctivos (PAC); (v) las Normas de Desempeño de la Corporación Financiera Internacional (CFI) y las Guías sobre Medio Ambiente, Salud y Seguridad para la Generación de Energía Geotérmica de la misma CFI (en adelante, los “requisitos ambientales y sociales” o “requisitos ESHS”).</w:t>
      </w:r>
    </w:p>
    <w:p w14:paraId="73572838" w14:textId="77777777" w:rsidR="00BA0225" w:rsidRPr="00A55EAE" w:rsidRDefault="00BA0225" w:rsidP="00BA0225">
      <w:pPr>
        <w:pStyle w:val="Paragraph"/>
        <w:tabs>
          <w:tab w:val="clear" w:pos="8525"/>
          <w:tab w:val="num" w:pos="720"/>
          <w:tab w:val="num" w:pos="900"/>
        </w:tabs>
        <w:spacing w:after="0"/>
        <w:ind w:left="720" w:hanging="720"/>
        <w:rPr>
          <w:rFonts w:ascii="Arial" w:hAnsi="Arial" w:cs="Arial"/>
          <w:sz w:val="22"/>
          <w:szCs w:val="22"/>
        </w:rPr>
      </w:pPr>
      <w:r w:rsidRPr="00A55EAE">
        <w:rPr>
          <w:rFonts w:ascii="Arial" w:hAnsi="Arial" w:cs="Arial"/>
          <w:sz w:val="22"/>
          <w:szCs w:val="22"/>
        </w:rPr>
        <w:t xml:space="preserve">Para las Operaciones Elegibles de financiamiento con recursos del Programa, se determinará su elegibilidad, clasificación y procedimientos en función de la tabla indicativa contenida en el punto </w:t>
      </w:r>
      <w:r w:rsidRPr="00006EC4">
        <w:rPr>
          <w:rFonts w:ascii="Arial" w:hAnsi="Arial" w:cs="Arial"/>
          <w:sz w:val="22"/>
          <w:szCs w:val="22"/>
        </w:rPr>
        <w:t>14.11</w:t>
      </w:r>
      <w:r w:rsidRPr="00A55EAE">
        <w:rPr>
          <w:rFonts w:ascii="Arial" w:hAnsi="Arial" w:cs="Arial"/>
          <w:sz w:val="22"/>
          <w:szCs w:val="22"/>
        </w:rPr>
        <w:t xml:space="preserve"> para la categorización de impactos y riesgos ambientales y sociales.</w:t>
      </w:r>
    </w:p>
    <w:p w14:paraId="71AEF22A" w14:textId="77777777" w:rsidR="00BA0225" w:rsidRPr="00A55EAE" w:rsidRDefault="00BA0225" w:rsidP="00BA0225">
      <w:pPr>
        <w:pStyle w:val="Paragraph"/>
        <w:tabs>
          <w:tab w:val="clear" w:pos="8525"/>
          <w:tab w:val="num" w:pos="720"/>
          <w:tab w:val="num" w:pos="900"/>
        </w:tabs>
        <w:spacing w:after="0"/>
        <w:ind w:left="720" w:hanging="720"/>
        <w:rPr>
          <w:rFonts w:ascii="Arial" w:hAnsi="Arial" w:cs="Arial"/>
          <w:sz w:val="22"/>
          <w:szCs w:val="22"/>
        </w:rPr>
      </w:pPr>
      <w:r>
        <w:rPr>
          <w:rFonts w:ascii="Arial" w:hAnsi="Arial" w:cs="Arial"/>
          <w:sz w:val="22"/>
          <w:szCs w:val="22"/>
        </w:rPr>
        <w:t xml:space="preserve">Las </w:t>
      </w:r>
      <w:r w:rsidRPr="00A55EAE">
        <w:rPr>
          <w:rFonts w:ascii="Arial" w:hAnsi="Arial" w:cs="Arial"/>
          <w:sz w:val="22"/>
          <w:szCs w:val="22"/>
        </w:rPr>
        <w:t>Operaciones Elegibles de financiamiento con recursos del Programa</w:t>
      </w:r>
      <w:r>
        <w:rPr>
          <w:rFonts w:ascii="Arial" w:hAnsi="Arial" w:cs="Arial"/>
          <w:sz w:val="22"/>
          <w:szCs w:val="22"/>
        </w:rPr>
        <w:t xml:space="preserve"> </w:t>
      </w:r>
      <w:r w:rsidRPr="00A55EAE">
        <w:rPr>
          <w:rFonts w:ascii="Arial" w:hAnsi="Arial" w:cs="Arial"/>
          <w:sz w:val="22"/>
          <w:szCs w:val="22"/>
        </w:rPr>
        <w:t>deberá</w:t>
      </w:r>
      <w:r>
        <w:rPr>
          <w:rFonts w:ascii="Arial" w:hAnsi="Arial" w:cs="Arial"/>
          <w:sz w:val="22"/>
          <w:szCs w:val="22"/>
        </w:rPr>
        <w:t>n</w:t>
      </w:r>
      <w:r w:rsidRPr="00A55EAE">
        <w:rPr>
          <w:rFonts w:ascii="Arial" w:hAnsi="Arial" w:cs="Arial"/>
          <w:sz w:val="22"/>
          <w:szCs w:val="22"/>
        </w:rPr>
        <w:t xml:space="preserve"> presentar</w:t>
      </w:r>
      <w:r>
        <w:rPr>
          <w:rFonts w:ascii="Arial" w:hAnsi="Arial" w:cs="Arial"/>
          <w:sz w:val="22"/>
          <w:szCs w:val="22"/>
        </w:rPr>
        <w:t>se</w:t>
      </w:r>
      <w:r w:rsidRPr="00A55EAE">
        <w:rPr>
          <w:rFonts w:ascii="Arial" w:hAnsi="Arial" w:cs="Arial"/>
          <w:sz w:val="22"/>
          <w:szCs w:val="22"/>
        </w:rPr>
        <w:t xml:space="preserve"> (i) para una preclasificación ambiental y consulta del proceso de análisis ambiental/social, y (ii) para la no-objeción del BID. </w:t>
      </w:r>
      <w:r>
        <w:rPr>
          <w:rFonts w:ascii="Arial" w:hAnsi="Arial" w:cs="Arial"/>
          <w:sz w:val="22"/>
          <w:szCs w:val="22"/>
        </w:rPr>
        <w:t xml:space="preserve">Para la validación de preclasificación de las </w:t>
      </w:r>
      <w:r w:rsidRPr="00A55EAE">
        <w:rPr>
          <w:rFonts w:ascii="Arial" w:hAnsi="Arial" w:cs="Arial"/>
          <w:sz w:val="22"/>
          <w:szCs w:val="22"/>
        </w:rPr>
        <w:t xml:space="preserve">Operaciones Elegibles </w:t>
      </w:r>
      <w:r>
        <w:rPr>
          <w:rFonts w:ascii="Arial" w:hAnsi="Arial" w:cs="Arial"/>
          <w:sz w:val="22"/>
          <w:szCs w:val="22"/>
        </w:rPr>
        <w:t xml:space="preserve">se enviará </w:t>
      </w:r>
      <w:r w:rsidRPr="00A55EAE">
        <w:rPr>
          <w:rFonts w:ascii="Arial" w:hAnsi="Arial" w:cs="Arial"/>
          <w:sz w:val="22"/>
          <w:szCs w:val="22"/>
        </w:rPr>
        <w:t xml:space="preserve">toda la información disponible, en particular (i) el </w:t>
      </w:r>
      <w:r>
        <w:rPr>
          <w:rFonts w:ascii="Arial" w:hAnsi="Arial" w:cs="Arial"/>
          <w:sz w:val="22"/>
          <w:szCs w:val="22"/>
        </w:rPr>
        <w:t>E</w:t>
      </w:r>
      <w:r w:rsidRPr="00A55EAE">
        <w:rPr>
          <w:rFonts w:ascii="Arial" w:hAnsi="Arial" w:cs="Arial"/>
          <w:sz w:val="22"/>
          <w:szCs w:val="22"/>
        </w:rPr>
        <w:t xml:space="preserve">studio de </w:t>
      </w:r>
      <w:r>
        <w:rPr>
          <w:rFonts w:ascii="Arial" w:hAnsi="Arial" w:cs="Arial"/>
          <w:sz w:val="22"/>
          <w:szCs w:val="22"/>
        </w:rPr>
        <w:t>I</w:t>
      </w:r>
      <w:r w:rsidRPr="00A55EAE">
        <w:rPr>
          <w:rFonts w:ascii="Arial" w:hAnsi="Arial" w:cs="Arial"/>
          <w:sz w:val="22"/>
          <w:szCs w:val="22"/>
        </w:rPr>
        <w:t xml:space="preserve">mpacto </w:t>
      </w:r>
      <w:r>
        <w:rPr>
          <w:rFonts w:ascii="Arial" w:hAnsi="Arial" w:cs="Arial"/>
          <w:sz w:val="22"/>
          <w:szCs w:val="22"/>
        </w:rPr>
        <w:t>A</w:t>
      </w:r>
      <w:r w:rsidRPr="00A55EAE">
        <w:rPr>
          <w:rFonts w:ascii="Arial" w:hAnsi="Arial" w:cs="Arial"/>
          <w:sz w:val="22"/>
          <w:szCs w:val="22"/>
        </w:rPr>
        <w:t xml:space="preserve">mbiental </w:t>
      </w:r>
      <w:r>
        <w:rPr>
          <w:rFonts w:ascii="Arial" w:hAnsi="Arial" w:cs="Arial"/>
          <w:sz w:val="22"/>
          <w:szCs w:val="22"/>
        </w:rPr>
        <w:t xml:space="preserve">y Social (EIAS)(Categoría A) o Análisis Ambiental y Social (AAS)(Categoría B) </w:t>
      </w:r>
      <w:r w:rsidRPr="00A55EAE">
        <w:rPr>
          <w:rFonts w:ascii="Arial" w:hAnsi="Arial" w:cs="Arial"/>
          <w:sz w:val="22"/>
          <w:szCs w:val="22"/>
        </w:rPr>
        <w:t xml:space="preserve">del </w:t>
      </w:r>
      <w:r>
        <w:rPr>
          <w:rFonts w:ascii="Arial" w:hAnsi="Arial" w:cs="Arial"/>
          <w:sz w:val="22"/>
          <w:szCs w:val="22"/>
        </w:rPr>
        <w:t>sub</w:t>
      </w:r>
      <w:r w:rsidRPr="00A55EAE">
        <w:rPr>
          <w:rFonts w:ascii="Arial" w:hAnsi="Arial" w:cs="Arial"/>
          <w:sz w:val="22"/>
          <w:szCs w:val="22"/>
        </w:rPr>
        <w:t xml:space="preserve">proyecto; (ii) </w:t>
      </w:r>
      <w:r>
        <w:rPr>
          <w:rFonts w:ascii="Arial" w:hAnsi="Arial" w:cs="Arial"/>
          <w:sz w:val="22"/>
          <w:szCs w:val="22"/>
        </w:rPr>
        <w:t xml:space="preserve">propuesta de Plan de Consultas Públicas correspondiente al tipo de proyecto bajo un enfoque de equidad de género;  y iii) </w:t>
      </w:r>
      <w:r w:rsidRPr="00A55EAE">
        <w:rPr>
          <w:rFonts w:ascii="Arial" w:hAnsi="Arial" w:cs="Arial"/>
          <w:sz w:val="22"/>
          <w:szCs w:val="22"/>
        </w:rPr>
        <w:t>un borrador de los términos de referencia del consultor independiente para la debida diligencia socio-ambiental o para la auditoría ambiental y social en el caso de proyectos ya en operación.</w:t>
      </w:r>
    </w:p>
    <w:p w14:paraId="5F8D1EFB" w14:textId="77777777" w:rsidR="00BA0225" w:rsidRPr="00EB63A1" w:rsidRDefault="00BA0225" w:rsidP="00BA0225">
      <w:pPr>
        <w:pStyle w:val="Paragraph"/>
        <w:tabs>
          <w:tab w:val="clear" w:pos="8525"/>
        </w:tabs>
        <w:ind w:left="720" w:hanging="720"/>
        <w:rPr>
          <w:rFonts w:ascii="Arial" w:hAnsi="Arial" w:cs="Arial"/>
          <w:sz w:val="22"/>
          <w:lang w:val="es-ES"/>
        </w:rPr>
      </w:pPr>
      <w:r w:rsidRPr="00A55EAE">
        <w:rPr>
          <w:rFonts w:ascii="Arial" w:hAnsi="Arial" w:cs="Arial"/>
          <w:b/>
          <w:sz w:val="22"/>
          <w:szCs w:val="22"/>
        </w:rPr>
        <w:t xml:space="preserve">Criterios de </w:t>
      </w:r>
      <w:r>
        <w:rPr>
          <w:rFonts w:ascii="Arial" w:hAnsi="Arial" w:cs="Arial"/>
          <w:b/>
          <w:sz w:val="22"/>
          <w:szCs w:val="22"/>
        </w:rPr>
        <w:t>elegibilidad</w:t>
      </w:r>
      <w:r w:rsidRPr="00A55EAE">
        <w:rPr>
          <w:rFonts w:ascii="Arial" w:hAnsi="Arial" w:cs="Arial"/>
          <w:b/>
          <w:sz w:val="22"/>
          <w:szCs w:val="22"/>
        </w:rPr>
        <w:t>.</w:t>
      </w:r>
      <w:r w:rsidRPr="00A55EAE">
        <w:rPr>
          <w:rFonts w:ascii="Arial" w:hAnsi="Arial" w:cs="Arial"/>
          <w:sz w:val="22"/>
          <w:szCs w:val="22"/>
        </w:rPr>
        <w:t xml:space="preserve"> </w:t>
      </w:r>
      <w:r w:rsidRPr="00FB1C39">
        <w:rPr>
          <w:rFonts w:ascii="Arial" w:hAnsi="Arial" w:cs="Arial"/>
          <w:sz w:val="22"/>
          <w:lang w:val="es-ES"/>
        </w:rPr>
        <w:t xml:space="preserve">No </w:t>
      </w:r>
      <w:r>
        <w:rPr>
          <w:rFonts w:ascii="Arial" w:hAnsi="Arial" w:cs="Arial"/>
          <w:sz w:val="22"/>
          <w:lang w:val="es-ES"/>
        </w:rPr>
        <w:t>será elegible</w:t>
      </w:r>
      <w:r w:rsidRPr="00FB1C39">
        <w:rPr>
          <w:rFonts w:ascii="Arial" w:hAnsi="Arial" w:cs="Arial"/>
          <w:sz w:val="22"/>
          <w:lang w:val="es-ES"/>
        </w:rPr>
        <w:t xml:space="preserve"> </w:t>
      </w:r>
      <w:r>
        <w:rPr>
          <w:rFonts w:ascii="Arial" w:hAnsi="Arial" w:cs="Arial"/>
          <w:sz w:val="22"/>
          <w:lang w:val="es-ES"/>
        </w:rPr>
        <w:t xml:space="preserve">ninguna </w:t>
      </w:r>
      <w:r w:rsidRPr="00FB1C39">
        <w:rPr>
          <w:rFonts w:ascii="Arial" w:hAnsi="Arial" w:cs="Arial"/>
          <w:sz w:val="22"/>
          <w:lang w:val="es-ES"/>
        </w:rPr>
        <w:t>actividad relacionada con la Operación o cualquiera de sus Subproyectos que</w:t>
      </w:r>
      <w:r>
        <w:rPr>
          <w:rFonts w:ascii="Arial" w:hAnsi="Arial" w:cs="Arial"/>
          <w:sz w:val="22"/>
          <w:lang w:val="es-ES"/>
        </w:rPr>
        <w:t>:</w:t>
      </w:r>
      <w:r w:rsidRPr="00FB1C39">
        <w:rPr>
          <w:rFonts w:ascii="Arial" w:hAnsi="Arial" w:cs="Arial"/>
          <w:sz w:val="22"/>
          <w:lang w:val="es-ES"/>
        </w:rPr>
        <w:t xml:space="preserve"> i) pueda</w:t>
      </w:r>
      <w:r>
        <w:rPr>
          <w:rFonts w:ascii="Arial" w:hAnsi="Arial" w:cs="Arial"/>
          <w:sz w:val="22"/>
          <w:lang w:val="es-ES"/>
        </w:rPr>
        <w:t xml:space="preserve"> </w:t>
      </w:r>
      <w:r w:rsidRPr="00FB1C39">
        <w:rPr>
          <w:rFonts w:ascii="Arial" w:hAnsi="Arial" w:cs="Arial"/>
          <w:sz w:val="22"/>
          <w:lang w:val="es-ES"/>
        </w:rPr>
        <w:t xml:space="preserve">suponer impactos adversos significativos sobre pueblos indígenas, sus tierras, territorios o propiedad intelectual; (ii) resulte en el reasentamiento </w:t>
      </w:r>
      <w:r w:rsidRPr="00D67401">
        <w:rPr>
          <w:rFonts w:ascii="Arial" w:hAnsi="Arial" w:cs="Arial"/>
          <w:sz w:val="22"/>
          <w:lang w:val="es-ES"/>
        </w:rPr>
        <w:t>involuntario o desplazamiento de actividades de subsistencia de grupos vulnerables</w:t>
      </w:r>
      <w:r w:rsidRPr="00D67401">
        <w:rPr>
          <w:rStyle w:val="FootnoteReference"/>
          <w:rFonts w:ascii="Arial" w:hAnsi="Arial" w:cs="Arial"/>
          <w:sz w:val="22"/>
          <w:lang w:val="es-ES"/>
        </w:rPr>
        <w:footnoteReference w:id="6"/>
      </w:r>
      <w:r w:rsidRPr="00D67401">
        <w:rPr>
          <w:rFonts w:ascii="Arial" w:hAnsi="Arial" w:cs="Arial"/>
          <w:sz w:val="22"/>
          <w:lang w:val="es-ES"/>
        </w:rPr>
        <w:t xml:space="preserve">; iii) </w:t>
      </w:r>
      <w:r w:rsidRPr="00FC6BC2">
        <w:rPr>
          <w:rFonts w:ascii="Arial" w:hAnsi="Arial" w:cs="Arial"/>
          <w:sz w:val="22"/>
          <w:lang w:val="es-ES"/>
        </w:rPr>
        <w:t xml:space="preserve">ponen en riesgo el aprovechar la oportunidad, el acceso, y/o el uso del agua </w:t>
      </w:r>
      <w:r w:rsidRPr="00D67401">
        <w:rPr>
          <w:rFonts w:ascii="Arial" w:hAnsi="Arial" w:cs="Arial"/>
          <w:sz w:val="22"/>
          <w:lang w:val="es-ES"/>
        </w:rPr>
        <w:t>y/o afecta actividades</w:t>
      </w:r>
      <w:r>
        <w:rPr>
          <w:rFonts w:ascii="Arial" w:hAnsi="Arial" w:cs="Arial"/>
          <w:sz w:val="22"/>
          <w:lang w:val="es-ES"/>
        </w:rPr>
        <w:t xml:space="preserve"> de subsistencia sin contar con una alternativa factible y/o generar conflictos por el uso del recurso; iv) causen </w:t>
      </w:r>
      <w:r w:rsidRPr="00FB1C39">
        <w:rPr>
          <w:rFonts w:ascii="Arial" w:hAnsi="Arial" w:cs="Arial"/>
          <w:sz w:val="22"/>
          <w:lang w:val="es-ES"/>
        </w:rPr>
        <w:t xml:space="preserve">impactos significativos irreversibles sobre hábitat natural crítico y/o sitios </w:t>
      </w:r>
      <w:r w:rsidRPr="00A35F2C">
        <w:rPr>
          <w:rFonts w:ascii="Arial" w:hAnsi="Arial" w:cs="Arial"/>
          <w:sz w:val="22"/>
          <w:lang w:val="es-ES"/>
        </w:rPr>
        <w:t xml:space="preserve">culturales críticos </w:t>
      </w:r>
      <w:r w:rsidRPr="00FC6BC2">
        <w:rPr>
          <w:rFonts w:ascii="Arial" w:hAnsi="Arial" w:cs="Arial"/>
          <w:sz w:val="22"/>
          <w:lang w:val="es-ES"/>
        </w:rPr>
        <w:t>(de acuerdo a los principios del BID y la clasificación del INAH);</w:t>
      </w:r>
      <w:r w:rsidRPr="00A35F2C">
        <w:rPr>
          <w:rFonts w:ascii="Arial" w:hAnsi="Arial" w:cs="Arial"/>
          <w:sz w:val="22"/>
          <w:lang w:val="es-ES"/>
        </w:rPr>
        <w:t xml:space="preserve"> v) sitios con</w:t>
      </w:r>
      <w:r>
        <w:rPr>
          <w:rFonts w:ascii="Arial" w:hAnsi="Arial" w:cs="Arial"/>
          <w:sz w:val="22"/>
          <w:lang w:val="es-ES"/>
        </w:rPr>
        <w:t xml:space="preserve"> violencia generalizada constante</w:t>
      </w:r>
      <w:r>
        <w:rPr>
          <w:rStyle w:val="FootnoteReference"/>
          <w:rFonts w:ascii="Arial" w:hAnsi="Arial" w:cs="Arial"/>
          <w:sz w:val="22"/>
          <w:lang w:val="es-ES"/>
        </w:rPr>
        <w:footnoteReference w:id="7"/>
      </w:r>
      <w:r>
        <w:rPr>
          <w:rFonts w:ascii="Arial" w:hAnsi="Arial" w:cs="Arial"/>
          <w:sz w:val="22"/>
          <w:lang w:val="es-ES"/>
        </w:rPr>
        <w:t xml:space="preserve">; o </w:t>
      </w:r>
      <w:r w:rsidRPr="000C1D16">
        <w:rPr>
          <w:rFonts w:ascii="Arial" w:hAnsi="Arial" w:cs="Arial"/>
          <w:sz w:val="22"/>
          <w:lang w:val="es-ES"/>
        </w:rPr>
        <w:t>vi</w:t>
      </w:r>
      <w:r w:rsidRPr="000C1D16">
        <w:rPr>
          <w:rFonts w:ascii="Arial" w:hAnsi="Arial" w:cs="Arial"/>
          <w:sz w:val="22"/>
          <w:szCs w:val="22"/>
          <w:lang w:val="es-ES"/>
        </w:rPr>
        <w:t>)</w:t>
      </w:r>
      <w:r w:rsidRPr="000C1D16">
        <w:rPr>
          <w:rFonts w:ascii="Arial" w:hAnsi="Arial" w:cs="Arial"/>
          <w:sz w:val="22"/>
          <w:szCs w:val="22"/>
          <w:lang w:val="es-MX"/>
        </w:rPr>
        <w:t xml:space="preserve"> los subproyectos </w:t>
      </w:r>
      <w:r w:rsidRPr="000C1D16">
        <w:rPr>
          <w:rFonts w:ascii="Arial" w:hAnsi="Arial" w:cs="Arial"/>
          <w:sz w:val="22"/>
          <w:szCs w:val="22"/>
        </w:rPr>
        <w:t xml:space="preserve">del Listado de Actividades Excluidas o Lista Negativa (Anexo </w:t>
      </w:r>
      <w:r>
        <w:rPr>
          <w:rFonts w:ascii="Arial" w:hAnsi="Arial" w:cs="Arial"/>
          <w:sz w:val="22"/>
          <w:szCs w:val="22"/>
        </w:rPr>
        <w:t>E</w:t>
      </w:r>
      <w:r w:rsidRPr="000C1D16">
        <w:rPr>
          <w:rFonts w:ascii="Arial" w:hAnsi="Arial" w:cs="Arial"/>
          <w:sz w:val="22"/>
          <w:szCs w:val="22"/>
        </w:rPr>
        <w:t>)</w:t>
      </w:r>
    </w:p>
    <w:p w14:paraId="43EA6869" w14:textId="77777777" w:rsidR="00BA0225" w:rsidRDefault="00BA0225" w:rsidP="00BA0225">
      <w:pPr>
        <w:pStyle w:val="Paragraph"/>
        <w:tabs>
          <w:tab w:val="clear" w:pos="8525"/>
          <w:tab w:val="num" w:pos="720"/>
          <w:tab w:val="num" w:pos="900"/>
        </w:tabs>
        <w:spacing w:after="0"/>
        <w:ind w:left="720" w:hanging="720"/>
        <w:rPr>
          <w:rFonts w:ascii="Arial" w:hAnsi="Arial" w:cs="Arial"/>
          <w:sz w:val="22"/>
          <w:szCs w:val="22"/>
        </w:rPr>
      </w:pPr>
      <w:r w:rsidRPr="00A55EAE">
        <w:rPr>
          <w:rFonts w:ascii="Arial" w:hAnsi="Arial" w:cs="Arial"/>
          <w:b/>
          <w:sz w:val="22"/>
          <w:szCs w:val="22"/>
        </w:rPr>
        <w:t>Categorización de impactos y riesgos ambientales, sociales, laborales y de salud ocupacional.</w:t>
      </w:r>
      <w:r w:rsidRPr="00A55EAE">
        <w:rPr>
          <w:rFonts w:ascii="Arial" w:hAnsi="Arial" w:cs="Arial"/>
          <w:sz w:val="22"/>
          <w:szCs w:val="22"/>
        </w:rPr>
        <w:t xml:space="preserve"> En todos los proyectos a financiarse con recursos del BID, la categorización del impacto ambiental se llevará a cabo de acuerdo con las indicaciones de la siguiente tabla. Si la operación no está en la lista de actividades elegibles detallada abajo, NAFIN le informará previamente al BID para analizar los posibles riesgos ambientales y sociales y determinar la clasificación ambiental:</w:t>
      </w:r>
    </w:p>
    <w:p w14:paraId="12B46D32" w14:textId="77777777" w:rsidR="00BA0225" w:rsidRDefault="00BA0225" w:rsidP="00BA0225">
      <w:pPr>
        <w:pStyle w:val="Paragraph"/>
        <w:numPr>
          <w:ilvl w:val="0"/>
          <w:numId w:val="0"/>
        </w:numPr>
        <w:tabs>
          <w:tab w:val="num" w:pos="3054"/>
        </w:tabs>
        <w:spacing w:after="0"/>
        <w:ind w:left="720"/>
        <w:rPr>
          <w:rFonts w:ascii="Arial" w:hAnsi="Arial" w:cs="Arial"/>
          <w:b/>
          <w:sz w:val="22"/>
          <w:szCs w:val="22"/>
        </w:rPr>
      </w:pPr>
    </w:p>
    <w:p w14:paraId="2ECDE3F8" w14:textId="77777777" w:rsidR="00BA0225" w:rsidRDefault="00BA0225" w:rsidP="00BA0225">
      <w:pPr>
        <w:pStyle w:val="Paragraph"/>
        <w:numPr>
          <w:ilvl w:val="0"/>
          <w:numId w:val="0"/>
        </w:numPr>
        <w:tabs>
          <w:tab w:val="num" w:pos="3054"/>
        </w:tabs>
        <w:spacing w:after="0"/>
        <w:ind w:left="720"/>
        <w:rPr>
          <w:rFonts w:ascii="Arial" w:hAnsi="Arial" w:cs="Arial"/>
          <w:sz w:val="22"/>
          <w:szCs w:val="22"/>
        </w:rPr>
      </w:pPr>
    </w:p>
    <w:p w14:paraId="2BAF5B8A" w14:textId="77777777" w:rsidR="00BA0225" w:rsidRPr="002E1D56" w:rsidRDefault="00BA0225" w:rsidP="00BA0225">
      <w:pPr>
        <w:pStyle w:val="Paragraph"/>
        <w:numPr>
          <w:ilvl w:val="0"/>
          <w:numId w:val="0"/>
        </w:numPr>
        <w:tabs>
          <w:tab w:val="num" w:pos="5746"/>
        </w:tabs>
        <w:spacing w:after="0"/>
        <w:rPr>
          <w:rFonts w:ascii="Arial" w:hAnsi="Arial" w:cs="Arial"/>
          <w:b/>
          <w:sz w:val="22"/>
          <w:szCs w:val="22"/>
        </w:rPr>
      </w:pPr>
      <w:r>
        <w:rPr>
          <w:rFonts w:ascii="Arial" w:hAnsi="Arial" w:cs="Arial"/>
          <w:b/>
          <w:sz w:val="22"/>
          <w:szCs w:val="22"/>
        </w:rPr>
        <w:t>Matriz de Categorización Ambiental y Social</w:t>
      </w:r>
    </w:p>
    <w:tbl>
      <w:tblPr>
        <w:tblW w:w="0" w:type="auto"/>
        <w:jc w:val="center"/>
        <w:tblCellMar>
          <w:left w:w="0" w:type="dxa"/>
          <w:right w:w="0" w:type="dxa"/>
        </w:tblCellMar>
        <w:tblLook w:val="04A0" w:firstRow="1" w:lastRow="0" w:firstColumn="1" w:lastColumn="0" w:noHBand="0" w:noVBand="1"/>
      </w:tblPr>
      <w:tblGrid>
        <w:gridCol w:w="2912"/>
        <w:gridCol w:w="2131"/>
        <w:gridCol w:w="2131"/>
        <w:gridCol w:w="2132"/>
      </w:tblGrid>
      <w:tr w:rsidR="00BA0225" w:rsidRPr="00870954" w14:paraId="6CE40294" w14:textId="77777777" w:rsidTr="00895676">
        <w:trPr>
          <w:jc w:val="center"/>
        </w:trPr>
        <w:tc>
          <w:tcPr>
            <w:tcW w:w="2912" w:type="dxa"/>
            <w:tcBorders>
              <w:top w:val="single" w:sz="8" w:space="0" w:color="auto"/>
              <w:left w:val="single" w:sz="8" w:space="0" w:color="auto"/>
              <w:bottom w:val="single" w:sz="8" w:space="0" w:color="auto"/>
              <w:right w:val="single" w:sz="8" w:space="0" w:color="auto"/>
            </w:tcBorders>
            <w:tcMar>
              <w:top w:w="72" w:type="dxa"/>
              <w:left w:w="115" w:type="dxa"/>
              <w:bottom w:w="0" w:type="dxa"/>
              <w:right w:w="115" w:type="dxa"/>
            </w:tcMar>
            <w:hideMark/>
          </w:tcPr>
          <w:p w14:paraId="01578AB0" w14:textId="77777777" w:rsidR="00BA0225" w:rsidRPr="00870954" w:rsidRDefault="00BA0225" w:rsidP="00895676">
            <w:pPr>
              <w:spacing w:after="200" w:line="276" w:lineRule="auto"/>
              <w:ind w:left="-18" w:firstLine="18"/>
              <w:jc w:val="center"/>
              <w:rPr>
                <w:rFonts w:ascii="Arial" w:eastAsiaTheme="minorEastAsia" w:hAnsi="Arial" w:cs="Arial"/>
                <w:sz w:val="22"/>
                <w:szCs w:val="22"/>
                <w:lang w:val="es-ES"/>
              </w:rPr>
            </w:pPr>
            <w:r w:rsidRPr="00870954">
              <w:rPr>
                <w:rFonts w:ascii="Arial" w:eastAsiaTheme="minorEastAsia" w:hAnsi="Arial" w:cs="Arial"/>
                <w:sz w:val="22"/>
                <w:szCs w:val="22"/>
                <w:lang w:val="es-ES"/>
              </w:rPr>
              <w:lastRenderedPageBreak/>
              <w:t>Tipo de Proyecto</w:t>
            </w:r>
          </w:p>
        </w:tc>
        <w:tc>
          <w:tcPr>
            <w:tcW w:w="2131" w:type="dxa"/>
            <w:tcBorders>
              <w:top w:val="single" w:sz="8" w:space="0" w:color="auto"/>
              <w:left w:val="nil"/>
              <w:bottom w:val="single" w:sz="8" w:space="0" w:color="auto"/>
              <w:right w:val="single" w:sz="8" w:space="0" w:color="auto"/>
            </w:tcBorders>
            <w:tcMar>
              <w:top w:w="72" w:type="dxa"/>
              <w:left w:w="115" w:type="dxa"/>
              <w:bottom w:w="0" w:type="dxa"/>
              <w:right w:w="115" w:type="dxa"/>
            </w:tcMar>
            <w:hideMark/>
          </w:tcPr>
          <w:p w14:paraId="16703557" w14:textId="77777777" w:rsidR="00BA0225" w:rsidRPr="00870954" w:rsidRDefault="00BA0225" w:rsidP="00895676">
            <w:pPr>
              <w:spacing w:after="200" w:line="276" w:lineRule="auto"/>
              <w:ind w:left="-18" w:firstLine="18"/>
              <w:jc w:val="center"/>
              <w:rPr>
                <w:rFonts w:ascii="Arial" w:eastAsiaTheme="minorEastAsia" w:hAnsi="Arial" w:cs="Arial"/>
                <w:sz w:val="22"/>
                <w:szCs w:val="22"/>
                <w:lang w:val="es-ES"/>
              </w:rPr>
            </w:pPr>
            <w:r w:rsidRPr="00870954">
              <w:rPr>
                <w:rFonts w:ascii="Arial" w:eastAsiaTheme="minorEastAsia" w:hAnsi="Arial" w:cs="Arial"/>
                <w:sz w:val="22"/>
                <w:szCs w:val="22"/>
                <w:lang w:val="es-ES"/>
              </w:rPr>
              <w:t>Sensibilidad Baja</w:t>
            </w:r>
          </w:p>
        </w:tc>
        <w:tc>
          <w:tcPr>
            <w:tcW w:w="2131" w:type="dxa"/>
            <w:tcBorders>
              <w:top w:val="single" w:sz="8" w:space="0" w:color="auto"/>
              <w:left w:val="nil"/>
              <w:bottom w:val="single" w:sz="8" w:space="0" w:color="auto"/>
              <w:right w:val="single" w:sz="8" w:space="0" w:color="auto"/>
            </w:tcBorders>
            <w:tcMar>
              <w:top w:w="72" w:type="dxa"/>
              <w:left w:w="115" w:type="dxa"/>
              <w:bottom w:w="0" w:type="dxa"/>
              <w:right w:w="115" w:type="dxa"/>
            </w:tcMar>
            <w:hideMark/>
          </w:tcPr>
          <w:p w14:paraId="69BB154F" w14:textId="77777777" w:rsidR="00BA0225" w:rsidRPr="00870954" w:rsidRDefault="00BA0225" w:rsidP="00895676">
            <w:pPr>
              <w:spacing w:after="200" w:line="276" w:lineRule="auto"/>
              <w:ind w:left="-18" w:firstLine="18"/>
              <w:jc w:val="center"/>
              <w:rPr>
                <w:rFonts w:ascii="Arial" w:eastAsiaTheme="minorEastAsia" w:hAnsi="Arial" w:cs="Arial"/>
                <w:sz w:val="22"/>
                <w:szCs w:val="22"/>
                <w:lang w:val="es-ES"/>
              </w:rPr>
            </w:pPr>
            <w:r w:rsidRPr="00870954">
              <w:rPr>
                <w:rFonts w:ascii="Arial" w:eastAsiaTheme="minorEastAsia" w:hAnsi="Arial" w:cs="Arial"/>
                <w:sz w:val="22"/>
                <w:szCs w:val="22"/>
                <w:lang w:val="es-ES"/>
              </w:rPr>
              <w:t>Sensibilidad Media</w:t>
            </w:r>
            <w:r>
              <w:rPr>
                <w:rStyle w:val="FootnoteReference"/>
                <w:rFonts w:ascii="Arial" w:eastAsiaTheme="minorEastAsia" w:hAnsi="Arial" w:cs="Arial"/>
                <w:sz w:val="22"/>
                <w:szCs w:val="22"/>
                <w:lang w:val="es-ES"/>
              </w:rPr>
              <w:footnoteReference w:id="8"/>
            </w:r>
          </w:p>
        </w:tc>
        <w:tc>
          <w:tcPr>
            <w:tcW w:w="2132" w:type="dxa"/>
            <w:tcBorders>
              <w:top w:val="single" w:sz="8" w:space="0" w:color="auto"/>
              <w:left w:val="nil"/>
              <w:bottom w:val="single" w:sz="8" w:space="0" w:color="auto"/>
              <w:right w:val="single" w:sz="8" w:space="0" w:color="auto"/>
            </w:tcBorders>
            <w:tcMar>
              <w:top w:w="72" w:type="dxa"/>
              <w:left w:w="115" w:type="dxa"/>
              <w:bottom w:w="0" w:type="dxa"/>
              <w:right w:w="115" w:type="dxa"/>
            </w:tcMar>
            <w:hideMark/>
          </w:tcPr>
          <w:p w14:paraId="492D60B6" w14:textId="77777777" w:rsidR="00BA0225" w:rsidRPr="00870954" w:rsidRDefault="00BA0225" w:rsidP="00895676">
            <w:pPr>
              <w:spacing w:after="200" w:line="276" w:lineRule="auto"/>
              <w:ind w:left="-18" w:firstLine="18"/>
              <w:jc w:val="center"/>
              <w:rPr>
                <w:rFonts w:ascii="Arial" w:eastAsiaTheme="minorEastAsia" w:hAnsi="Arial" w:cs="Arial"/>
                <w:sz w:val="22"/>
                <w:szCs w:val="22"/>
                <w:lang w:val="es-ES"/>
              </w:rPr>
            </w:pPr>
            <w:r w:rsidRPr="00870954">
              <w:rPr>
                <w:rFonts w:ascii="Arial" w:eastAsiaTheme="minorEastAsia" w:hAnsi="Arial" w:cs="Arial"/>
                <w:sz w:val="22"/>
                <w:szCs w:val="22"/>
                <w:lang w:val="es-ES"/>
              </w:rPr>
              <w:t>Sensibilidad Alta</w:t>
            </w:r>
          </w:p>
        </w:tc>
      </w:tr>
      <w:tr w:rsidR="00BA0225" w:rsidRPr="00A55EAE" w14:paraId="36AAA4FE" w14:textId="77777777" w:rsidTr="00895676">
        <w:trPr>
          <w:jc w:val="center"/>
        </w:trPr>
        <w:tc>
          <w:tcPr>
            <w:tcW w:w="2912" w:type="dxa"/>
            <w:tcBorders>
              <w:top w:val="nil"/>
              <w:left w:val="single" w:sz="8" w:space="0" w:color="auto"/>
              <w:bottom w:val="single" w:sz="8" w:space="0" w:color="auto"/>
              <w:right w:val="single" w:sz="8" w:space="0" w:color="auto"/>
            </w:tcBorders>
            <w:tcMar>
              <w:top w:w="72" w:type="dxa"/>
              <w:left w:w="115" w:type="dxa"/>
              <w:bottom w:w="0" w:type="dxa"/>
              <w:right w:w="115" w:type="dxa"/>
            </w:tcMar>
            <w:hideMark/>
          </w:tcPr>
          <w:p w14:paraId="0243C727" w14:textId="77777777" w:rsidR="00BA0225" w:rsidRPr="00A55EAE" w:rsidRDefault="00BA0225" w:rsidP="00895676">
            <w:pPr>
              <w:spacing w:after="200" w:line="276" w:lineRule="auto"/>
              <w:rPr>
                <w:rFonts w:ascii="Arial" w:eastAsiaTheme="minorHAnsi" w:hAnsi="Arial" w:cs="Arial"/>
                <w:sz w:val="22"/>
                <w:szCs w:val="22"/>
                <w:lang w:val="es-ES"/>
              </w:rPr>
            </w:pPr>
            <w:r>
              <w:rPr>
                <w:rFonts w:ascii="Arial" w:hAnsi="Arial" w:cs="Arial"/>
                <w:sz w:val="22"/>
                <w:szCs w:val="22"/>
                <w:lang w:val="es-ES"/>
              </w:rPr>
              <w:t>Proyectos geotérmicos de prefactibilidad o factibilidad con diámetro reducido (Slim-hole), elegibles bajo el programa</w:t>
            </w:r>
          </w:p>
        </w:tc>
        <w:tc>
          <w:tcPr>
            <w:tcW w:w="2131" w:type="dxa"/>
            <w:tcBorders>
              <w:top w:val="nil"/>
              <w:left w:val="nil"/>
              <w:bottom w:val="single" w:sz="8" w:space="0" w:color="auto"/>
              <w:right w:val="single" w:sz="8" w:space="0" w:color="auto"/>
            </w:tcBorders>
            <w:tcMar>
              <w:top w:w="72" w:type="dxa"/>
              <w:left w:w="115" w:type="dxa"/>
              <w:bottom w:w="0" w:type="dxa"/>
              <w:right w:w="115" w:type="dxa"/>
            </w:tcMar>
            <w:hideMark/>
          </w:tcPr>
          <w:p w14:paraId="7D3BDF7B"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B</w:t>
            </w:r>
          </w:p>
        </w:tc>
        <w:tc>
          <w:tcPr>
            <w:tcW w:w="2131" w:type="dxa"/>
            <w:tcBorders>
              <w:top w:val="nil"/>
              <w:left w:val="nil"/>
              <w:bottom w:val="single" w:sz="8" w:space="0" w:color="auto"/>
              <w:right w:val="single" w:sz="8" w:space="0" w:color="auto"/>
            </w:tcBorders>
            <w:tcMar>
              <w:top w:w="72" w:type="dxa"/>
              <w:left w:w="115" w:type="dxa"/>
              <w:bottom w:w="0" w:type="dxa"/>
              <w:right w:w="115" w:type="dxa"/>
            </w:tcMar>
            <w:hideMark/>
          </w:tcPr>
          <w:p w14:paraId="7CF97A5A" w14:textId="77777777" w:rsidR="00BA0225" w:rsidRPr="00A55EAE" w:rsidRDefault="00BA0225" w:rsidP="00895676">
            <w:pPr>
              <w:spacing w:after="200" w:line="276" w:lineRule="auto"/>
              <w:jc w:val="center"/>
              <w:rPr>
                <w:rFonts w:ascii="Arial" w:eastAsiaTheme="minorHAnsi" w:hAnsi="Arial" w:cs="Arial"/>
                <w:sz w:val="22"/>
                <w:szCs w:val="22"/>
                <w:lang w:val="es-ES_tradnl"/>
              </w:rPr>
            </w:pPr>
            <w:r>
              <w:rPr>
                <w:rFonts w:ascii="Arial" w:hAnsi="Arial" w:cs="Arial"/>
                <w:sz w:val="22"/>
                <w:szCs w:val="22"/>
                <w:lang w:val="es-ES"/>
              </w:rPr>
              <w:t>B+</w:t>
            </w:r>
          </w:p>
        </w:tc>
        <w:tc>
          <w:tcPr>
            <w:tcW w:w="2132" w:type="dxa"/>
            <w:tcBorders>
              <w:top w:val="nil"/>
              <w:left w:val="nil"/>
              <w:bottom w:val="single" w:sz="8" w:space="0" w:color="auto"/>
              <w:right w:val="single" w:sz="8" w:space="0" w:color="auto"/>
            </w:tcBorders>
            <w:shd w:val="clear" w:color="auto" w:fill="F2F2F2"/>
            <w:tcMar>
              <w:top w:w="72" w:type="dxa"/>
              <w:left w:w="115" w:type="dxa"/>
              <w:bottom w:w="0" w:type="dxa"/>
              <w:right w:w="115" w:type="dxa"/>
            </w:tcMar>
            <w:hideMark/>
          </w:tcPr>
          <w:p w14:paraId="09D7CB9B"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A</w:t>
            </w:r>
          </w:p>
        </w:tc>
      </w:tr>
      <w:tr w:rsidR="00BA0225" w:rsidRPr="00A55EAE" w14:paraId="605458D1" w14:textId="77777777" w:rsidTr="00895676">
        <w:trPr>
          <w:jc w:val="center"/>
        </w:trPr>
        <w:tc>
          <w:tcPr>
            <w:tcW w:w="2912" w:type="dxa"/>
            <w:tcBorders>
              <w:top w:val="nil"/>
              <w:left w:val="single" w:sz="8" w:space="0" w:color="auto"/>
              <w:bottom w:val="single" w:sz="8" w:space="0" w:color="auto"/>
              <w:right w:val="single" w:sz="8" w:space="0" w:color="auto"/>
            </w:tcBorders>
            <w:tcMar>
              <w:top w:w="72" w:type="dxa"/>
              <w:left w:w="115" w:type="dxa"/>
              <w:bottom w:w="0" w:type="dxa"/>
              <w:right w:w="115" w:type="dxa"/>
            </w:tcMar>
            <w:hideMark/>
          </w:tcPr>
          <w:p w14:paraId="4B887A24" w14:textId="77777777" w:rsidR="00BA0225" w:rsidRPr="00A55EAE" w:rsidRDefault="00BA0225" w:rsidP="00895676">
            <w:pPr>
              <w:spacing w:after="200" w:line="276" w:lineRule="auto"/>
              <w:rPr>
                <w:rFonts w:ascii="Arial" w:eastAsiaTheme="minorHAnsi" w:hAnsi="Arial" w:cs="Arial"/>
                <w:sz w:val="22"/>
                <w:szCs w:val="22"/>
                <w:lang w:val="es-ES"/>
              </w:rPr>
            </w:pPr>
            <w:r>
              <w:rPr>
                <w:rFonts w:ascii="Arial" w:hAnsi="Arial" w:cs="Arial"/>
                <w:sz w:val="22"/>
                <w:szCs w:val="22"/>
                <w:lang w:val="es-ES"/>
              </w:rPr>
              <w:t>Proyectos geotérmicos de factibilidad con diámetro comercial o de exploración, elegibles bajo el programa</w:t>
            </w:r>
          </w:p>
        </w:tc>
        <w:tc>
          <w:tcPr>
            <w:tcW w:w="2131" w:type="dxa"/>
            <w:tcBorders>
              <w:top w:val="nil"/>
              <w:left w:val="nil"/>
              <w:bottom w:val="single" w:sz="8" w:space="0" w:color="auto"/>
              <w:right w:val="single" w:sz="8" w:space="0" w:color="auto"/>
            </w:tcBorders>
            <w:tcMar>
              <w:top w:w="72" w:type="dxa"/>
              <w:left w:w="115" w:type="dxa"/>
              <w:bottom w:w="0" w:type="dxa"/>
              <w:right w:w="115" w:type="dxa"/>
            </w:tcMar>
            <w:hideMark/>
          </w:tcPr>
          <w:p w14:paraId="4DC29710"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B</w:t>
            </w:r>
          </w:p>
        </w:tc>
        <w:tc>
          <w:tcPr>
            <w:tcW w:w="2131" w:type="dxa"/>
            <w:tcBorders>
              <w:top w:val="nil"/>
              <w:left w:val="nil"/>
              <w:bottom w:val="single" w:sz="8" w:space="0" w:color="auto"/>
              <w:right w:val="single" w:sz="8" w:space="0" w:color="auto"/>
            </w:tcBorders>
            <w:tcMar>
              <w:top w:w="72" w:type="dxa"/>
              <w:left w:w="115" w:type="dxa"/>
              <w:bottom w:w="0" w:type="dxa"/>
              <w:right w:w="115" w:type="dxa"/>
            </w:tcMar>
            <w:hideMark/>
          </w:tcPr>
          <w:p w14:paraId="3D2A0E70"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B</w:t>
            </w:r>
            <w:r>
              <w:rPr>
                <w:rFonts w:ascii="Arial" w:hAnsi="Arial" w:cs="Arial"/>
                <w:sz w:val="22"/>
                <w:szCs w:val="22"/>
                <w:lang w:val="es-ES"/>
              </w:rPr>
              <w:t>+</w:t>
            </w:r>
          </w:p>
        </w:tc>
        <w:tc>
          <w:tcPr>
            <w:tcW w:w="2132" w:type="dxa"/>
            <w:tcBorders>
              <w:top w:val="nil"/>
              <w:left w:val="nil"/>
              <w:bottom w:val="single" w:sz="8" w:space="0" w:color="auto"/>
              <w:right w:val="single" w:sz="8" w:space="0" w:color="auto"/>
            </w:tcBorders>
            <w:shd w:val="clear" w:color="auto" w:fill="F2F2F2"/>
            <w:tcMar>
              <w:top w:w="72" w:type="dxa"/>
              <w:left w:w="115" w:type="dxa"/>
              <w:bottom w:w="0" w:type="dxa"/>
              <w:right w:w="115" w:type="dxa"/>
            </w:tcMar>
            <w:hideMark/>
          </w:tcPr>
          <w:p w14:paraId="1178BF6C"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A</w:t>
            </w:r>
          </w:p>
        </w:tc>
      </w:tr>
    </w:tbl>
    <w:p w14:paraId="1EE027D0" w14:textId="77777777" w:rsidR="00BA0225" w:rsidRPr="00A55EAE" w:rsidRDefault="00BA0225" w:rsidP="00BA0225">
      <w:pPr>
        <w:pStyle w:val="Paragraph"/>
        <w:numPr>
          <w:ilvl w:val="0"/>
          <w:numId w:val="0"/>
        </w:numPr>
        <w:spacing w:after="0"/>
        <w:ind w:left="-1170"/>
        <w:rPr>
          <w:rFonts w:ascii="Arial" w:hAnsi="Arial" w:cs="Arial"/>
          <w:b/>
          <w:sz w:val="22"/>
          <w:szCs w:val="22"/>
          <w:lang w:val="es-MX"/>
        </w:rPr>
      </w:pPr>
    </w:p>
    <w:p w14:paraId="186420E5" w14:textId="77777777" w:rsidR="00BA0225" w:rsidRPr="002E1D56" w:rsidRDefault="00BA0225" w:rsidP="00BA0225">
      <w:pPr>
        <w:pStyle w:val="Paragraph"/>
        <w:numPr>
          <w:ilvl w:val="0"/>
          <w:numId w:val="0"/>
        </w:numPr>
        <w:tabs>
          <w:tab w:val="num" w:pos="5746"/>
        </w:tabs>
        <w:spacing w:after="0"/>
        <w:rPr>
          <w:rFonts w:ascii="Arial" w:hAnsi="Arial" w:cs="Arial"/>
          <w:b/>
          <w:sz w:val="22"/>
          <w:szCs w:val="22"/>
        </w:rPr>
      </w:pPr>
      <w:r>
        <w:rPr>
          <w:rFonts w:ascii="Arial" w:hAnsi="Arial" w:cs="Arial"/>
          <w:b/>
          <w:sz w:val="22"/>
          <w:szCs w:val="22"/>
        </w:rPr>
        <w:t>Matriz de Categorización Ambiental y Social</w:t>
      </w:r>
    </w:p>
    <w:tbl>
      <w:tblPr>
        <w:tblW w:w="0" w:type="auto"/>
        <w:jc w:val="center"/>
        <w:tblCellMar>
          <w:left w:w="0" w:type="dxa"/>
          <w:right w:w="0" w:type="dxa"/>
        </w:tblCellMar>
        <w:tblLook w:val="04A0" w:firstRow="1" w:lastRow="0" w:firstColumn="1" w:lastColumn="0" w:noHBand="0" w:noVBand="1"/>
      </w:tblPr>
      <w:tblGrid>
        <w:gridCol w:w="2912"/>
        <w:gridCol w:w="2131"/>
        <w:gridCol w:w="2131"/>
        <w:gridCol w:w="2132"/>
      </w:tblGrid>
      <w:tr w:rsidR="00BA0225" w:rsidRPr="00870954" w14:paraId="07FA4EBB" w14:textId="77777777" w:rsidTr="00895676">
        <w:trPr>
          <w:jc w:val="center"/>
        </w:trPr>
        <w:tc>
          <w:tcPr>
            <w:tcW w:w="2912" w:type="dxa"/>
            <w:tcBorders>
              <w:top w:val="single" w:sz="8" w:space="0" w:color="auto"/>
              <w:left w:val="single" w:sz="8" w:space="0" w:color="auto"/>
              <w:bottom w:val="single" w:sz="8" w:space="0" w:color="auto"/>
              <w:right w:val="single" w:sz="8" w:space="0" w:color="auto"/>
            </w:tcBorders>
            <w:tcMar>
              <w:top w:w="72" w:type="dxa"/>
              <w:left w:w="115" w:type="dxa"/>
              <w:bottom w:w="0" w:type="dxa"/>
              <w:right w:w="115" w:type="dxa"/>
            </w:tcMar>
            <w:hideMark/>
          </w:tcPr>
          <w:p w14:paraId="544EABDC" w14:textId="77777777" w:rsidR="00BA0225" w:rsidRPr="00870954" w:rsidRDefault="00BA0225" w:rsidP="00895676">
            <w:pPr>
              <w:spacing w:after="200" w:line="276" w:lineRule="auto"/>
              <w:ind w:left="-18" w:firstLine="18"/>
              <w:jc w:val="center"/>
              <w:rPr>
                <w:rFonts w:ascii="Arial" w:eastAsiaTheme="minorEastAsia" w:hAnsi="Arial" w:cs="Arial"/>
                <w:sz w:val="22"/>
                <w:szCs w:val="22"/>
                <w:lang w:val="es-ES"/>
              </w:rPr>
            </w:pPr>
            <w:r w:rsidRPr="00870954">
              <w:rPr>
                <w:rFonts w:ascii="Arial" w:eastAsiaTheme="minorEastAsia" w:hAnsi="Arial" w:cs="Arial"/>
                <w:sz w:val="22"/>
                <w:szCs w:val="22"/>
                <w:lang w:val="es-ES"/>
              </w:rPr>
              <w:t>Tipo de Proyecto</w:t>
            </w:r>
          </w:p>
        </w:tc>
        <w:tc>
          <w:tcPr>
            <w:tcW w:w="2131" w:type="dxa"/>
            <w:tcBorders>
              <w:top w:val="single" w:sz="8" w:space="0" w:color="auto"/>
              <w:left w:val="nil"/>
              <w:bottom w:val="single" w:sz="8" w:space="0" w:color="auto"/>
              <w:right w:val="single" w:sz="8" w:space="0" w:color="auto"/>
            </w:tcBorders>
            <w:tcMar>
              <w:top w:w="72" w:type="dxa"/>
              <w:left w:w="115" w:type="dxa"/>
              <w:bottom w:w="0" w:type="dxa"/>
              <w:right w:w="115" w:type="dxa"/>
            </w:tcMar>
            <w:hideMark/>
          </w:tcPr>
          <w:p w14:paraId="6923F960" w14:textId="77777777" w:rsidR="00BA0225" w:rsidRPr="00870954" w:rsidRDefault="00BA0225" w:rsidP="00895676">
            <w:pPr>
              <w:spacing w:after="200" w:line="276" w:lineRule="auto"/>
              <w:ind w:left="-18" w:firstLine="18"/>
              <w:jc w:val="center"/>
              <w:rPr>
                <w:rFonts w:ascii="Arial" w:eastAsiaTheme="minorEastAsia" w:hAnsi="Arial" w:cs="Arial"/>
                <w:sz w:val="22"/>
                <w:szCs w:val="22"/>
                <w:lang w:val="es-ES"/>
              </w:rPr>
            </w:pPr>
            <w:r w:rsidRPr="00870954">
              <w:rPr>
                <w:rFonts w:ascii="Arial" w:eastAsiaTheme="minorEastAsia" w:hAnsi="Arial" w:cs="Arial"/>
                <w:sz w:val="22"/>
                <w:szCs w:val="22"/>
                <w:lang w:val="es-ES"/>
              </w:rPr>
              <w:t>Sensibilidad Baja</w:t>
            </w:r>
          </w:p>
        </w:tc>
        <w:tc>
          <w:tcPr>
            <w:tcW w:w="2131" w:type="dxa"/>
            <w:tcBorders>
              <w:top w:val="single" w:sz="8" w:space="0" w:color="auto"/>
              <w:left w:val="nil"/>
              <w:bottom w:val="single" w:sz="8" w:space="0" w:color="auto"/>
              <w:right w:val="single" w:sz="8" w:space="0" w:color="auto"/>
            </w:tcBorders>
            <w:tcMar>
              <w:top w:w="72" w:type="dxa"/>
              <w:left w:w="115" w:type="dxa"/>
              <w:bottom w:w="0" w:type="dxa"/>
              <w:right w:w="115" w:type="dxa"/>
            </w:tcMar>
            <w:hideMark/>
          </w:tcPr>
          <w:p w14:paraId="2422CBA4" w14:textId="77777777" w:rsidR="00BA0225" w:rsidRPr="00870954" w:rsidRDefault="00BA0225" w:rsidP="00895676">
            <w:pPr>
              <w:spacing w:after="200" w:line="276" w:lineRule="auto"/>
              <w:ind w:left="-18" w:firstLine="18"/>
              <w:jc w:val="center"/>
              <w:rPr>
                <w:rFonts w:ascii="Arial" w:eastAsiaTheme="minorEastAsia" w:hAnsi="Arial" w:cs="Arial"/>
                <w:sz w:val="22"/>
                <w:szCs w:val="22"/>
                <w:lang w:val="es-ES"/>
              </w:rPr>
            </w:pPr>
            <w:r w:rsidRPr="00870954">
              <w:rPr>
                <w:rFonts w:ascii="Arial" w:eastAsiaTheme="minorEastAsia" w:hAnsi="Arial" w:cs="Arial"/>
                <w:sz w:val="22"/>
                <w:szCs w:val="22"/>
                <w:lang w:val="es-ES"/>
              </w:rPr>
              <w:t>Sensibilidad Media</w:t>
            </w:r>
            <w:r>
              <w:rPr>
                <w:rStyle w:val="FootnoteReference"/>
                <w:rFonts w:ascii="Arial" w:eastAsiaTheme="minorEastAsia" w:hAnsi="Arial" w:cs="Arial"/>
                <w:sz w:val="22"/>
                <w:szCs w:val="22"/>
                <w:lang w:val="es-ES"/>
              </w:rPr>
              <w:footnoteReference w:id="9"/>
            </w:r>
          </w:p>
        </w:tc>
        <w:tc>
          <w:tcPr>
            <w:tcW w:w="2132" w:type="dxa"/>
            <w:tcBorders>
              <w:top w:val="single" w:sz="8" w:space="0" w:color="auto"/>
              <w:left w:val="nil"/>
              <w:bottom w:val="single" w:sz="8" w:space="0" w:color="auto"/>
              <w:right w:val="single" w:sz="8" w:space="0" w:color="auto"/>
            </w:tcBorders>
            <w:tcMar>
              <w:top w:w="72" w:type="dxa"/>
              <w:left w:w="115" w:type="dxa"/>
              <w:bottom w:w="0" w:type="dxa"/>
              <w:right w:w="115" w:type="dxa"/>
            </w:tcMar>
            <w:hideMark/>
          </w:tcPr>
          <w:p w14:paraId="65EB1E67" w14:textId="77777777" w:rsidR="00BA0225" w:rsidRPr="00870954" w:rsidRDefault="00BA0225" w:rsidP="00895676">
            <w:pPr>
              <w:spacing w:after="200" w:line="276" w:lineRule="auto"/>
              <w:ind w:left="-18" w:firstLine="18"/>
              <w:jc w:val="center"/>
              <w:rPr>
                <w:rFonts w:ascii="Arial" w:eastAsiaTheme="minorEastAsia" w:hAnsi="Arial" w:cs="Arial"/>
                <w:sz w:val="22"/>
                <w:szCs w:val="22"/>
                <w:lang w:val="es-ES"/>
              </w:rPr>
            </w:pPr>
            <w:r w:rsidRPr="00870954">
              <w:rPr>
                <w:rFonts w:ascii="Arial" w:eastAsiaTheme="minorEastAsia" w:hAnsi="Arial" w:cs="Arial"/>
                <w:sz w:val="22"/>
                <w:szCs w:val="22"/>
                <w:lang w:val="es-ES"/>
              </w:rPr>
              <w:t>Sensibilidad Alta</w:t>
            </w:r>
          </w:p>
        </w:tc>
      </w:tr>
      <w:tr w:rsidR="00BA0225" w:rsidRPr="00A55EAE" w14:paraId="234FF1D0" w14:textId="77777777" w:rsidTr="00895676">
        <w:trPr>
          <w:jc w:val="center"/>
        </w:trPr>
        <w:tc>
          <w:tcPr>
            <w:tcW w:w="2912" w:type="dxa"/>
            <w:tcBorders>
              <w:top w:val="nil"/>
              <w:left w:val="single" w:sz="8" w:space="0" w:color="auto"/>
              <w:bottom w:val="single" w:sz="8" w:space="0" w:color="auto"/>
              <w:right w:val="single" w:sz="8" w:space="0" w:color="auto"/>
            </w:tcBorders>
            <w:tcMar>
              <w:top w:w="72" w:type="dxa"/>
              <w:left w:w="115" w:type="dxa"/>
              <w:bottom w:w="0" w:type="dxa"/>
              <w:right w:w="115" w:type="dxa"/>
            </w:tcMar>
            <w:hideMark/>
          </w:tcPr>
          <w:p w14:paraId="28AB1255" w14:textId="77777777" w:rsidR="00BA0225" w:rsidRPr="00A55EAE" w:rsidRDefault="00BA0225" w:rsidP="00895676">
            <w:pPr>
              <w:spacing w:after="200" w:line="276" w:lineRule="auto"/>
              <w:rPr>
                <w:rFonts w:ascii="Arial" w:eastAsiaTheme="minorHAnsi" w:hAnsi="Arial" w:cs="Arial"/>
                <w:sz w:val="22"/>
                <w:szCs w:val="22"/>
                <w:lang w:val="es-ES"/>
              </w:rPr>
            </w:pPr>
            <w:r>
              <w:rPr>
                <w:rFonts w:ascii="Arial" w:hAnsi="Arial" w:cs="Arial"/>
                <w:sz w:val="22"/>
                <w:szCs w:val="22"/>
                <w:lang w:val="es-ES"/>
              </w:rPr>
              <w:t>Proyectos geotérmicos de prefactibilidad o factibilidad con diámetro reducido (Slim-hole), elegibles bajo el programa</w:t>
            </w:r>
          </w:p>
        </w:tc>
        <w:tc>
          <w:tcPr>
            <w:tcW w:w="2131" w:type="dxa"/>
            <w:tcBorders>
              <w:top w:val="nil"/>
              <w:left w:val="nil"/>
              <w:bottom w:val="single" w:sz="8" w:space="0" w:color="auto"/>
              <w:right w:val="single" w:sz="8" w:space="0" w:color="auto"/>
            </w:tcBorders>
            <w:tcMar>
              <w:top w:w="72" w:type="dxa"/>
              <w:left w:w="115" w:type="dxa"/>
              <w:bottom w:w="0" w:type="dxa"/>
              <w:right w:w="115" w:type="dxa"/>
            </w:tcMar>
            <w:hideMark/>
          </w:tcPr>
          <w:p w14:paraId="45EB1BC6"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B</w:t>
            </w:r>
          </w:p>
        </w:tc>
        <w:tc>
          <w:tcPr>
            <w:tcW w:w="2131" w:type="dxa"/>
            <w:tcBorders>
              <w:top w:val="nil"/>
              <w:left w:val="nil"/>
              <w:bottom w:val="single" w:sz="8" w:space="0" w:color="auto"/>
              <w:right w:val="single" w:sz="8" w:space="0" w:color="auto"/>
            </w:tcBorders>
            <w:tcMar>
              <w:top w:w="72" w:type="dxa"/>
              <w:left w:w="115" w:type="dxa"/>
              <w:bottom w:w="0" w:type="dxa"/>
              <w:right w:w="115" w:type="dxa"/>
            </w:tcMar>
            <w:hideMark/>
          </w:tcPr>
          <w:p w14:paraId="67954D0D" w14:textId="77777777" w:rsidR="00BA0225" w:rsidRPr="00A55EAE" w:rsidRDefault="00BA0225" w:rsidP="00895676">
            <w:pPr>
              <w:spacing w:after="200" w:line="276" w:lineRule="auto"/>
              <w:jc w:val="center"/>
              <w:rPr>
                <w:rFonts w:ascii="Arial" w:eastAsiaTheme="minorHAnsi" w:hAnsi="Arial" w:cs="Arial"/>
                <w:sz w:val="22"/>
                <w:szCs w:val="22"/>
                <w:lang w:val="es-ES_tradnl"/>
              </w:rPr>
            </w:pPr>
            <w:r>
              <w:rPr>
                <w:rFonts w:ascii="Arial" w:hAnsi="Arial" w:cs="Arial"/>
                <w:sz w:val="22"/>
                <w:szCs w:val="22"/>
                <w:lang w:val="es-ES"/>
              </w:rPr>
              <w:t>B+</w:t>
            </w:r>
          </w:p>
        </w:tc>
        <w:tc>
          <w:tcPr>
            <w:tcW w:w="2132" w:type="dxa"/>
            <w:tcBorders>
              <w:top w:val="nil"/>
              <w:left w:val="nil"/>
              <w:bottom w:val="single" w:sz="8" w:space="0" w:color="auto"/>
              <w:right w:val="single" w:sz="8" w:space="0" w:color="auto"/>
            </w:tcBorders>
            <w:shd w:val="clear" w:color="auto" w:fill="F2F2F2"/>
            <w:tcMar>
              <w:top w:w="72" w:type="dxa"/>
              <w:left w:w="115" w:type="dxa"/>
              <w:bottom w:w="0" w:type="dxa"/>
              <w:right w:w="115" w:type="dxa"/>
            </w:tcMar>
            <w:hideMark/>
          </w:tcPr>
          <w:p w14:paraId="65B9C88F"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A</w:t>
            </w:r>
          </w:p>
        </w:tc>
      </w:tr>
      <w:tr w:rsidR="00BA0225" w:rsidRPr="00A55EAE" w14:paraId="2A8A59A3" w14:textId="77777777" w:rsidTr="00895676">
        <w:trPr>
          <w:jc w:val="center"/>
        </w:trPr>
        <w:tc>
          <w:tcPr>
            <w:tcW w:w="2912" w:type="dxa"/>
            <w:tcBorders>
              <w:top w:val="nil"/>
              <w:left w:val="single" w:sz="8" w:space="0" w:color="auto"/>
              <w:bottom w:val="single" w:sz="8" w:space="0" w:color="auto"/>
              <w:right w:val="single" w:sz="8" w:space="0" w:color="auto"/>
            </w:tcBorders>
            <w:tcMar>
              <w:top w:w="72" w:type="dxa"/>
              <w:left w:w="115" w:type="dxa"/>
              <w:bottom w:w="0" w:type="dxa"/>
              <w:right w:w="115" w:type="dxa"/>
            </w:tcMar>
            <w:hideMark/>
          </w:tcPr>
          <w:p w14:paraId="4CFC8690" w14:textId="77777777" w:rsidR="00BA0225" w:rsidRPr="00A55EAE" w:rsidRDefault="00BA0225" w:rsidP="00895676">
            <w:pPr>
              <w:spacing w:after="200" w:line="276" w:lineRule="auto"/>
              <w:rPr>
                <w:rFonts w:ascii="Arial" w:eastAsiaTheme="minorHAnsi" w:hAnsi="Arial" w:cs="Arial"/>
                <w:sz w:val="22"/>
                <w:szCs w:val="22"/>
                <w:lang w:val="es-ES"/>
              </w:rPr>
            </w:pPr>
            <w:r>
              <w:rPr>
                <w:rFonts w:ascii="Arial" w:hAnsi="Arial" w:cs="Arial"/>
                <w:sz w:val="22"/>
                <w:szCs w:val="22"/>
                <w:lang w:val="es-ES"/>
              </w:rPr>
              <w:t>Proyectos geotérmicos de factibilidad con diámetro comercial o de exploración, elegibles bajo el programa</w:t>
            </w:r>
          </w:p>
        </w:tc>
        <w:tc>
          <w:tcPr>
            <w:tcW w:w="2131" w:type="dxa"/>
            <w:tcBorders>
              <w:top w:val="nil"/>
              <w:left w:val="nil"/>
              <w:bottom w:val="single" w:sz="8" w:space="0" w:color="auto"/>
              <w:right w:val="single" w:sz="8" w:space="0" w:color="auto"/>
            </w:tcBorders>
            <w:tcMar>
              <w:top w:w="72" w:type="dxa"/>
              <w:left w:w="115" w:type="dxa"/>
              <w:bottom w:w="0" w:type="dxa"/>
              <w:right w:w="115" w:type="dxa"/>
            </w:tcMar>
            <w:hideMark/>
          </w:tcPr>
          <w:p w14:paraId="0EC31F87"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B</w:t>
            </w:r>
          </w:p>
        </w:tc>
        <w:tc>
          <w:tcPr>
            <w:tcW w:w="2131" w:type="dxa"/>
            <w:tcBorders>
              <w:top w:val="nil"/>
              <w:left w:val="nil"/>
              <w:bottom w:val="single" w:sz="8" w:space="0" w:color="auto"/>
              <w:right w:val="single" w:sz="8" w:space="0" w:color="auto"/>
            </w:tcBorders>
            <w:tcMar>
              <w:top w:w="72" w:type="dxa"/>
              <w:left w:w="115" w:type="dxa"/>
              <w:bottom w:w="0" w:type="dxa"/>
              <w:right w:w="115" w:type="dxa"/>
            </w:tcMar>
            <w:hideMark/>
          </w:tcPr>
          <w:p w14:paraId="6E9D3005"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B</w:t>
            </w:r>
            <w:r>
              <w:rPr>
                <w:rFonts w:ascii="Arial" w:hAnsi="Arial" w:cs="Arial"/>
                <w:sz w:val="22"/>
                <w:szCs w:val="22"/>
                <w:lang w:val="es-ES"/>
              </w:rPr>
              <w:t>+</w:t>
            </w:r>
          </w:p>
        </w:tc>
        <w:tc>
          <w:tcPr>
            <w:tcW w:w="2132" w:type="dxa"/>
            <w:tcBorders>
              <w:top w:val="nil"/>
              <w:left w:val="nil"/>
              <w:bottom w:val="single" w:sz="8" w:space="0" w:color="auto"/>
              <w:right w:val="single" w:sz="8" w:space="0" w:color="auto"/>
            </w:tcBorders>
            <w:shd w:val="clear" w:color="auto" w:fill="F2F2F2"/>
            <w:tcMar>
              <w:top w:w="72" w:type="dxa"/>
              <w:left w:w="115" w:type="dxa"/>
              <w:bottom w:w="0" w:type="dxa"/>
              <w:right w:w="115" w:type="dxa"/>
            </w:tcMar>
            <w:hideMark/>
          </w:tcPr>
          <w:p w14:paraId="1F480F94" w14:textId="77777777" w:rsidR="00BA0225" w:rsidRPr="00A55EAE" w:rsidRDefault="00BA0225" w:rsidP="00895676">
            <w:pPr>
              <w:spacing w:after="200" w:line="276" w:lineRule="auto"/>
              <w:jc w:val="center"/>
              <w:rPr>
                <w:rFonts w:ascii="Arial" w:eastAsiaTheme="minorHAnsi" w:hAnsi="Arial" w:cs="Arial"/>
                <w:sz w:val="22"/>
                <w:szCs w:val="22"/>
                <w:lang w:val="es-ES"/>
              </w:rPr>
            </w:pPr>
            <w:r w:rsidRPr="00A55EAE">
              <w:rPr>
                <w:rFonts w:ascii="Arial" w:hAnsi="Arial" w:cs="Arial"/>
                <w:sz w:val="22"/>
                <w:szCs w:val="22"/>
                <w:lang w:val="es-ES"/>
              </w:rPr>
              <w:t>A</w:t>
            </w:r>
          </w:p>
        </w:tc>
      </w:tr>
    </w:tbl>
    <w:p w14:paraId="189D96E3" w14:textId="77777777" w:rsidR="00BA0225" w:rsidRPr="00A55EAE" w:rsidRDefault="00BA0225" w:rsidP="00BA0225">
      <w:pPr>
        <w:pStyle w:val="Paragraph"/>
        <w:numPr>
          <w:ilvl w:val="0"/>
          <w:numId w:val="0"/>
        </w:numPr>
        <w:spacing w:after="0"/>
        <w:ind w:left="-1170"/>
        <w:rPr>
          <w:rFonts w:ascii="Arial" w:hAnsi="Arial" w:cs="Arial"/>
          <w:b/>
          <w:sz w:val="22"/>
          <w:szCs w:val="22"/>
          <w:lang w:val="es-MX"/>
        </w:rPr>
      </w:pPr>
    </w:p>
    <w:p w14:paraId="70B23FAE" w14:textId="77777777" w:rsidR="00BA0225" w:rsidRDefault="00BA0225" w:rsidP="00BA0225">
      <w:pPr>
        <w:pStyle w:val="Paragraph"/>
        <w:numPr>
          <w:ilvl w:val="0"/>
          <w:numId w:val="0"/>
        </w:numPr>
        <w:spacing w:after="0"/>
        <w:rPr>
          <w:rFonts w:ascii="Arial" w:hAnsi="Arial" w:cs="Arial"/>
          <w:b/>
          <w:sz w:val="22"/>
          <w:szCs w:val="22"/>
          <w:lang w:val="es-MX"/>
        </w:rPr>
      </w:pPr>
    </w:p>
    <w:p w14:paraId="0141DF6A" w14:textId="77777777" w:rsidR="00BA0225" w:rsidRDefault="00BA0225" w:rsidP="00BA0225">
      <w:pPr>
        <w:pStyle w:val="Paragraph"/>
        <w:numPr>
          <w:ilvl w:val="0"/>
          <w:numId w:val="0"/>
        </w:numPr>
        <w:spacing w:after="0"/>
        <w:rPr>
          <w:rFonts w:ascii="Arial" w:hAnsi="Arial" w:cs="Arial"/>
          <w:b/>
          <w:sz w:val="22"/>
          <w:szCs w:val="22"/>
          <w:lang w:val="es-MX"/>
        </w:rPr>
      </w:pPr>
    </w:p>
    <w:p w14:paraId="572499E2" w14:textId="77777777" w:rsidR="00BA0225" w:rsidRDefault="00BA0225" w:rsidP="00BA0225">
      <w:pPr>
        <w:pStyle w:val="Paragraph"/>
        <w:numPr>
          <w:ilvl w:val="0"/>
          <w:numId w:val="0"/>
        </w:numPr>
        <w:spacing w:after="0"/>
        <w:rPr>
          <w:rFonts w:ascii="Arial" w:hAnsi="Arial" w:cs="Arial"/>
          <w:b/>
          <w:sz w:val="22"/>
          <w:szCs w:val="22"/>
          <w:lang w:val="es-MX"/>
        </w:rPr>
      </w:pPr>
    </w:p>
    <w:p w14:paraId="32304BAB" w14:textId="77777777" w:rsidR="00BA0225" w:rsidRDefault="00BA0225" w:rsidP="00BA0225">
      <w:pPr>
        <w:pStyle w:val="Paragraph"/>
        <w:numPr>
          <w:ilvl w:val="0"/>
          <w:numId w:val="0"/>
        </w:numPr>
        <w:spacing w:after="0"/>
        <w:rPr>
          <w:rFonts w:ascii="Arial" w:hAnsi="Arial" w:cs="Arial"/>
          <w:b/>
          <w:sz w:val="22"/>
          <w:szCs w:val="22"/>
          <w:lang w:val="es-MX"/>
        </w:rPr>
      </w:pPr>
    </w:p>
    <w:p w14:paraId="01D3B8E4" w14:textId="77777777" w:rsidR="00BA0225" w:rsidRPr="009F5B58" w:rsidRDefault="00BA0225" w:rsidP="00BA0225">
      <w:pPr>
        <w:pStyle w:val="Paragraph"/>
        <w:numPr>
          <w:ilvl w:val="0"/>
          <w:numId w:val="0"/>
        </w:numPr>
        <w:spacing w:after="0"/>
        <w:rPr>
          <w:rFonts w:ascii="Arial" w:hAnsi="Arial" w:cs="Arial"/>
          <w:b/>
          <w:sz w:val="22"/>
          <w:szCs w:val="22"/>
          <w:lang w:val="es-MX"/>
        </w:rPr>
      </w:pPr>
      <w:r>
        <w:rPr>
          <w:rFonts w:ascii="Arial" w:hAnsi="Arial" w:cs="Arial"/>
          <w:b/>
          <w:sz w:val="22"/>
          <w:szCs w:val="22"/>
          <w:lang w:val="es-MX"/>
        </w:rPr>
        <w:t>Matriz de Sensibilidad Ambiental y Social</w:t>
      </w:r>
    </w:p>
    <w:tbl>
      <w:tblPr>
        <w:tblW w:w="5306" w:type="pct"/>
        <w:tblCellMar>
          <w:left w:w="0" w:type="dxa"/>
          <w:right w:w="0" w:type="dxa"/>
        </w:tblCellMar>
        <w:tblLook w:val="04A0" w:firstRow="1" w:lastRow="0" w:firstColumn="1" w:lastColumn="0" w:noHBand="0" w:noVBand="1"/>
      </w:tblPr>
      <w:tblGrid>
        <w:gridCol w:w="2522"/>
        <w:gridCol w:w="2043"/>
        <w:gridCol w:w="2018"/>
        <w:gridCol w:w="1926"/>
        <w:gridCol w:w="1725"/>
      </w:tblGrid>
      <w:tr w:rsidR="00BA0225" w:rsidRPr="00904884" w14:paraId="39A0EE64" w14:textId="77777777" w:rsidTr="00895676">
        <w:trPr>
          <w:trHeight w:val="251"/>
          <w:tblHeader/>
        </w:trPr>
        <w:tc>
          <w:tcPr>
            <w:tcW w:w="1232" w:type="pct"/>
            <w:tcBorders>
              <w:top w:val="single" w:sz="8" w:space="0" w:color="auto"/>
              <w:left w:val="single" w:sz="8" w:space="0" w:color="auto"/>
              <w:bottom w:val="single" w:sz="8" w:space="0" w:color="auto"/>
              <w:right w:val="single" w:sz="8" w:space="0" w:color="000000"/>
            </w:tcBorders>
            <w:shd w:val="clear" w:color="auto" w:fill="E7E6E6"/>
            <w:noWrap/>
            <w:tcMar>
              <w:top w:w="0" w:type="dxa"/>
              <w:left w:w="108" w:type="dxa"/>
              <w:bottom w:w="0" w:type="dxa"/>
              <w:right w:w="108" w:type="dxa"/>
            </w:tcMar>
            <w:vAlign w:val="center"/>
            <w:hideMark/>
          </w:tcPr>
          <w:p w14:paraId="3268A72B" w14:textId="77777777" w:rsidR="00BA0225" w:rsidRPr="00904884" w:rsidRDefault="00BA0225" w:rsidP="00895676">
            <w:pPr>
              <w:rPr>
                <w:rFonts w:ascii="Arial" w:hAnsi="Arial" w:cs="Arial"/>
                <w:b/>
                <w:bCs/>
                <w:color w:val="000000"/>
                <w:sz w:val="18"/>
                <w:szCs w:val="18"/>
                <w:lang w:val="es-PE"/>
              </w:rPr>
            </w:pPr>
            <w:r w:rsidRPr="00904884">
              <w:rPr>
                <w:rFonts w:ascii="Arial" w:hAnsi="Arial" w:cs="Arial"/>
                <w:b/>
                <w:bCs/>
                <w:color w:val="000000"/>
                <w:sz w:val="18"/>
                <w:szCs w:val="18"/>
                <w:lang w:val="es-PE"/>
              </w:rPr>
              <w:lastRenderedPageBreak/>
              <w:t>Criterio</w:t>
            </w:r>
            <w:r>
              <w:rPr>
                <w:rFonts w:ascii="Arial" w:hAnsi="Arial" w:cs="Arial"/>
                <w:b/>
                <w:bCs/>
                <w:color w:val="000000"/>
                <w:sz w:val="18"/>
                <w:szCs w:val="18"/>
                <w:lang w:val="es-PE"/>
              </w:rPr>
              <w:t xml:space="preserve"> / Componente</w:t>
            </w:r>
          </w:p>
        </w:tc>
        <w:tc>
          <w:tcPr>
            <w:tcW w:w="998" w:type="pct"/>
            <w:tcBorders>
              <w:top w:val="single" w:sz="8" w:space="0" w:color="auto"/>
              <w:left w:val="nil"/>
              <w:bottom w:val="single" w:sz="8" w:space="0" w:color="auto"/>
              <w:right w:val="single" w:sz="8" w:space="0" w:color="000000"/>
            </w:tcBorders>
            <w:shd w:val="clear" w:color="auto" w:fill="E7E6E6"/>
            <w:hideMark/>
          </w:tcPr>
          <w:p w14:paraId="73E1FA22" w14:textId="77777777" w:rsidR="00BA0225" w:rsidRDefault="00BA0225" w:rsidP="00895676">
            <w:pPr>
              <w:jc w:val="center"/>
              <w:rPr>
                <w:rFonts w:ascii="Arial" w:hAnsi="Arial" w:cs="Arial"/>
                <w:b/>
                <w:bCs/>
                <w:color w:val="000000"/>
                <w:sz w:val="18"/>
                <w:szCs w:val="18"/>
                <w:lang w:val="es-PE"/>
              </w:rPr>
            </w:pPr>
            <w:r>
              <w:rPr>
                <w:rFonts w:ascii="Arial" w:hAnsi="Arial" w:cs="Arial"/>
                <w:b/>
                <w:bCs/>
                <w:color w:val="000000"/>
                <w:sz w:val="18"/>
                <w:szCs w:val="18"/>
                <w:lang w:val="es-PE"/>
              </w:rPr>
              <w:t>Sensibilidad Alta</w:t>
            </w:r>
          </w:p>
          <w:p w14:paraId="3F45CF35" w14:textId="77777777" w:rsidR="00BA0225" w:rsidRDefault="00BA0225" w:rsidP="00895676">
            <w:pPr>
              <w:jc w:val="center"/>
              <w:rPr>
                <w:rFonts w:ascii="Arial" w:hAnsi="Arial" w:cs="Arial"/>
                <w:b/>
                <w:bCs/>
                <w:color w:val="000000"/>
                <w:sz w:val="18"/>
                <w:szCs w:val="18"/>
                <w:lang w:val="es-PE"/>
              </w:rPr>
            </w:pPr>
          </w:p>
          <w:p w14:paraId="742AEA9C" w14:textId="77777777" w:rsidR="00BA0225" w:rsidRPr="00904884" w:rsidRDefault="00BA0225" w:rsidP="00895676">
            <w:pPr>
              <w:jc w:val="center"/>
              <w:rPr>
                <w:rFonts w:ascii="Arial" w:hAnsi="Arial" w:cs="Arial"/>
                <w:b/>
                <w:bCs/>
                <w:color w:val="000000"/>
                <w:sz w:val="18"/>
                <w:szCs w:val="18"/>
                <w:lang w:val="es-PE"/>
              </w:rPr>
            </w:pPr>
            <w:r>
              <w:rPr>
                <w:rFonts w:ascii="Arial" w:hAnsi="Arial" w:cs="Arial"/>
                <w:b/>
                <w:bCs/>
                <w:color w:val="000000"/>
                <w:sz w:val="18"/>
                <w:szCs w:val="18"/>
                <w:lang w:val="es-PE"/>
              </w:rPr>
              <w:t>Categoría A</w:t>
            </w:r>
          </w:p>
        </w:tc>
        <w:tc>
          <w:tcPr>
            <w:tcW w:w="986" w:type="pct"/>
            <w:tcBorders>
              <w:top w:val="single" w:sz="8" w:space="0" w:color="auto"/>
              <w:left w:val="nil"/>
              <w:bottom w:val="single" w:sz="8" w:space="0" w:color="auto"/>
              <w:right w:val="single" w:sz="8" w:space="0" w:color="auto"/>
            </w:tcBorders>
            <w:shd w:val="clear" w:color="auto" w:fill="E7E6E6"/>
            <w:hideMark/>
          </w:tcPr>
          <w:p w14:paraId="2D775204" w14:textId="77777777" w:rsidR="00BA0225" w:rsidRDefault="00BA0225" w:rsidP="00895676">
            <w:pPr>
              <w:jc w:val="center"/>
              <w:rPr>
                <w:rFonts w:ascii="Arial" w:hAnsi="Arial" w:cs="Arial"/>
                <w:b/>
                <w:bCs/>
                <w:color w:val="000000"/>
                <w:sz w:val="18"/>
                <w:szCs w:val="18"/>
                <w:lang w:val="es-PE"/>
              </w:rPr>
            </w:pPr>
            <w:r>
              <w:rPr>
                <w:rFonts w:ascii="Arial" w:hAnsi="Arial" w:cs="Arial"/>
                <w:b/>
                <w:bCs/>
                <w:color w:val="000000"/>
                <w:sz w:val="18"/>
                <w:szCs w:val="18"/>
                <w:lang w:val="es-PE"/>
              </w:rPr>
              <w:t>Sensibilidad Moderada</w:t>
            </w:r>
          </w:p>
          <w:p w14:paraId="55923A4B" w14:textId="77777777" w:rsidR="00BA0225" w:rsidRDefault="00BA0225" w:rsidP="00895676">
            <w:pPr>
              <w:jc w:val="center"/>
              <w:rPr>
                <w:rFonts w:ascii="Arial" w:hAnsi="Arial" w:cs="Arial"/>
                <w:b/>
                <w:bCs/>
                <w:color w:val="000000"/>
                <w:sz w:val="18"/>
                <w:szCs w:val="18"/>
                <w:lang w:val="es-PE"/>
              </w:rPr>
            </w:pPr>
          </w:p>
          <w:p w14:paraId="65D33D17" w14:textId="77777777" w:rsidR="00BA0225" w:rsidRPr="00904884" w:rsidRDefault="00BA0225" w:rsidP="00895676">
            <w:pPr>
              <w:jc w:val="center"/>
              <w:rPr>
                <w:rFonts w:ascii="Arial" w:hAnsi="Arial" w:cs="Arial"/>
                <w:b/>
                <w:bCs/>
                <w:color w:val="000000"/>
                <w:sz w:val="18"/>
                <w:szCs w:val="18"/>
                <w:lang w:val="es-PE"/>
              </w:rPr>
            </w:pPr>
            <w:r>
              <w:rPr>
                <w:rFonts w:ascii="Arial" w:hAnsi="Arial" w:cs="Arial"/>
                <w:b/>
                <w:bCs/>
                <w:color w:val="000000"/>
                <w:sz w:val="18"/>
                <w:szCs w:val="18"/>
                <w:lang w:val="es-PE"/>
              </w:rPr>
              <w:t>Categoría B+</w:t>
            </w:r>
          </w:p>
        </w:tc>
        <w:tc>
          <w:tcPr>
            <w:tcW w:w="941" w:type="pct"/>
            <w:tcBorders>
              <w:top w:val="single" w:sz="8" w:space="0" w:color="auto"/>
              <w:left w:val="nil"/>
              <w:bottom w:val="single" w:sz="8" w:space="0" w:color="auto"/>
              <w:right w:val="single" w:sz="8" w:space="0" w:color="000000"/>
            </w:tcBorders>
            <w:shd w:val="clear" w:color="auto" w:fill="E7E6E6"/>
            <w:hideMark/>
          </w:tcPr>
          <w:p w14:paraId="73DB8022" w14:textId="77777777" w:rsidR="00BA0225" w:rsidRDefault="00BA0225" w:rsidP="00895676">
            <w:pPr>
              <w:jc w:val="center"/>
              <w:rPr>
                <w:rFonts w:ascii="Arial" w:hAnsi="Arial" w:cs="Arial"/>
                <w:b/>
                <w:bCs/>
                <w:color w:val="000000"/>
                <w:sz w:val="18"/>
                <w:szCs w:val="18"/>
                <w:lang w:val="es-PE"/>
              </w:rPr>
            </w:pPr>
            <w:r>
              <w:rPr>
                <w:rFonts w:ascii="Arial" w:hAnsi="Arial" w:cs="Arial"/>
                <w:b/>
                <w:bCs/>
                <w:color w:val="000000"/>
                <w:sz w:val="18"/>
                <w:szCs w:val="18"/>
                <w:lang w:val="es-PE"/>
              </w:rPr>
              <w:t>Sensibilidad Baja</w:t>
            </w:r>
          </w:p>
          <w:p w14:paraId="46CF7DF4" w14:textId="77777777" w:rsidR="00BA0225" w:rsidRDefault="00BA0225" w:rsidP="00895676">
            <w:pPr>
              <w:jc w:val="center"/>
              <w:rPr>
                <w:rFonts w:ascii="Arial" w:hAnsi="Arial" w:cs="Arial"/>
                <w:b/>
                <w:bCs/>
                <w:color w:val="000000"/>
                <w:sz w:val="18"/>
                <w:szCs w:val="18"/>
                <w:lang w:val="es-PE"/>
              </w:rPr>
            </w:pPr>
          </w:p>
          <w:p w14:paraId="211FDF2C" w14:textId="77777777" w:rsidR="00BA0225" w:rsidRPr="00904884" w:rsidRDefault="00BA0225" w:rsidP="00895676">
            <w:pPr>
              <w:jc w:val="center"/>
              <w:rPr>
                <w:rFonts w:ascii="Arial" w:hAnsi="Arial" w:cs="Arial"/>
                <w:b/>
                <w:bCs/>
                <w:color w:val="000000"/>
                <w:sz w:val="18"/>
                <w:szCs w:val="18"/>
                <w:lang w:val="es-PE"/>
              </w:rPr>
            </w:pPr>
            <w:r>
              <w:rPr>
                <w:rFonts w:ascii="Arial" w:hAnsi="Arial" w:cs="Arial"/>
                <w:b/>
                <w:bCs/>
                <w:color w:val="000000"/>
                <w:sz w:val="18"/>
                <w:szCs w:val="18"/>
                <w:lang w:val="es-PE"/>
              </w:rPr>
              <w:t>Categoría B</w:t>
            </w:r>
          </w:p>
        </w:tc>
        <w:tc>
          <w:tcPr>
            <w:tcW w:w="843" w:type="pct"/>
            <w:tcBorders>
              <w:top w:val="single" w:sz="8" w:space="0" w:color="auto"/>
              <w:left w:val="nil"/>
              <w:bottom w:val="single" w:sz="8" w:space="0" w:color="auto"/>
              <w:right w:val="single" w:sz="8" w:space="0" w:color="000000"/>
            </w:tcBorders>
            <w:shd w:val="clear" w:color="auto" w:fill="E7E6E6"/>
            <w:hideMark/>
          </w:tcPr>
          <w:p w14:paraId="5EC1532E" w14:textId="77777777" w:rsidR="00BA0225" w:rsidRPr="00904884" w:rsidRDefault="00BA0225" w:rsidP="00895676">
            <w:pPr>
              <w:jc w:val="center"/>
              <w:rPr>
                <w:rFonts w:ascii="Arial" w:hAnsi="Arial" w:cs="Arial"/>
                <w:b/>
                <w:bCs/>
                <w:color w:val="000000"/>
                <w:sz w:val="18"/>
                <w:szCs w:val="18"/>
                <w:lang w:val="es-PE"/>
              </w:rPr>
            </w:pPr>
            <w:r w:rsidRPr="00904884">
              <w:rPr>
                <w:rFonts w:ascii="Arial" w:hAnsi="Arial" w:cs="Arial"/>
                <w:b/>
                <w:bCs/>
                <w:color w:val="000000"/>
                <w:sz w:val="18"/>
                <w:szCs w:val="18"/>
                <w:lang w:val="es-PE"/>
              </w:rPr>
              <w:t>No Elegible</w:t>
            </w:r>
          </w:p>
        </w:tc>
      </w:tr>
      <w:tr w:rsidR="00BA0225" w:rsidRPr="00D31849" w14:paraId="3849B0AE" w14:textId="77777777" w:rsidTr="00895676">
        <w:trPr>
          <w:trHeight w:val="233"/>
        </w:trPr>
        <w:tc>
          <w:tcPr>
            <w:tcW w:w="5000" w:type="pct"/>
            <w:gridSpan w:val="5"/>
            <w:tcBorders>
              <w:top w:val="nil"/>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tcPr>
          <w:p w14:paraId="6DE654A2" w14:textId="77777777" w:rsidR="00BA0225" w:rsidRPr="00D31849" w:rsidRDefault="00BA0225" w:rsidP="00895676">
            <w:pPr>
              <w:rPr>
                <w:rFonts w:ascii="Arial" w:hAnsi="Arial" w:cs="Arial"/>
                <w:b/>
                <w:sz w:val="18"/>
                <w:szCs w:val="18"/>
                <w:lang w:val="es-ES"/>
              </w:rPr>
            </w:pPr>
            <w:r w:rsidRPr="00D31849">
              <w:rPr>
                <w:rFonts w:ascii="Arial" w:hAnsi="Arial" w:cs="Arial"/>
                <w:b/>
                <w:color w:val="000000"/>
                <w:sz w:val="18"/>
                <w:szCs w:val="18"/>
                <w:lang w:val="es-PE"/>
              </w:rPr>
              <w:t>Social</w:t>
            </w:r>
          </w:p>
        </w:tc>
      </w:tr>
      <w:tr w:rsidR="00BA0225" w:rsidRPr="00904884" w14:paraId="58BFF7F1" w14:textId="77777777" w:rsidTr="00895676">
        <w:trPr>
          <w:trHeight w:val="233"/>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0BD75A" w14:textId="77777777" w:rsidR="00BA0225" w:rsidRPr="00904884" w:rsidRDefault="00BA0225" w:rsidP="00895676">
            <w:pPr>
              <w:rPr>
                <w:rFonts w:ascii="Arial" w:hAnsi="Arial" w:cs="Arial"/>
                <w:color w:val="000000"/>
                <w:sz w:val="18"/>
                <w:szCs w:val="18"/>
                <w:lang w:val="es-PE"/>
              </w:rPr>
            </w:pPr>
            <w:r w:rsidRPr="00904884">
              <w:rPr>
                <w:rFonts w:ascii="Arial" w:hAnsi="Arial" w:cs="Arial"/>
                <w:color w:val="000000"/>
                <w:sz w:val="18"/>
                <w:szCs w:val="18"/>
                <w:lang w:val="es-PE"/>
              </w:rPr>
              <w:t>Pueblos/Comunidades</w:t>
            </w:r>
          </w:p>
        </w:tc>
        <w:tc>
          <w:tcPr>
            <w:tcW w:w="998" w:type="pct"/>
            <w:tcBorders>
              <w:top w:val="nil"/>
              <w:left w:val="nil"/>
              <w:bottom w:val="single" w:sz="8" w:space="0" w:color="auto"/>
              <w:right w:val="single" w:sz="8" w:space="0" w:color="auto"/>
            </w:tcBorders>
          </w:tcPr>
          <w:p w14:paraId="2751973A" w14:textId="77777777" w:rsidR="00BA0225" w:rsidRPr="00904884" w:rsidRDefault="00BA0225" w:rsidP="00895676">
            <w:pPr>
              <w:ind w:left="83" w:right="73"/>
              <w:rPr>
                <w:rFonts w:ascii="Arial" w:hAnsi="Arial" w:cs="Arial"/>
                <w:color w:val="000000"/>
                <w:sz w:val="18"/>
                <w:szCs w:val="18"/>
                <w:lang w:val="es-PE"/>
              </w:rPr>
            </w:pPr>
            <w:r w:rsidRPr="00904884">
              <w:rPr>
                <w:rFonts w:ascii="Arial" w:hAnsi="Arial" w:cs="Arial"/>
                <w:sz w:val="18"/>
                <w:szCs w:val="18"/>
                <w:lang w:val="es-ES"/>
              </w:rPr>
              <w:t xml:space="preserve">Alta densidad poblacional </w:t>
            </w:r>
            <w:r>
              <w:rPr>
                <w:rFonts w:ascii="Arial" w:hAnsi="Arial" w:cs="Arial"/>
                <w:sz w:val="18"/>
                <w:szCs w:val="18"/>
                <w:lang w:val="es-ES"/>
              </w:rPr>
              <w:t>(según estándares regionales) dentro de la concesión y/o en áreas adyacentes</w:t>
            </w:r>
            <w:r w:rsidRPr="00904884">
              <w:rPr>
                <w:rFonts w:ascii="Arial" w:hAnsi="Arial" w:cs="Arial"/>
                <w:sz w:val="18"/>
                <w:szCs w:val="18"/>
                <w:lang w:val="es-ES"/>
              </w:rPr>
              <w:t xml:space="preserve"> </w:t>
            </w:r>
            <w:r>
              <w:rPr>
                <w:rFonts w:ascii="Arial" w:hAnsi="Arial" w:cs="Arial"/>
                <w:sz w:val="18"/>
                <w:szCs w:val="18"/>
                <w:lang w:val="es-ES"/>
              </w:rPr>
              <w:t>(a</w:t>
            </w:r>
            <w:r w:rsidRPr="00904884">
              <w:rPr>
                <w:rFonts w:ascii="Arial" w:hAnsi="Arial" w:cs="Arial"/>
                <w:sz w:val="18"/>
                <w:szCs w:val="18"/>
                <w:lang w:val="es-ES"/>
              </w:rPr>
              <w:t xml:space="preserve"> 50 metros</w:t>
            </w:r>
            <w:r>
              <w:rPr>
                <w:rFonts w:ascii="Arial" w:hAnsi="Arial" w:cs="Arial"/>
                <w:sz w:val="18"/>
                <w:szCs w:val="18"/>
                <w:lang w:val="es-ES"/>
              </w:rPr>
              <w:t xml:space="preserve"> o menos)</w:t>
            </w:r>
            <w:r w:rsidRPr="00904884">
              <w:rPr>
                <w:rFonts w:ascii="Arial" w:hAnsi="Arial" w:cs="Arial"/>
                <w:sz w:val="18"/>
                <w:szCs w:val="18"/>
                <w:lang w:val="es-ES"/>
              </w:rPr>
              <w:t xml:space="preserve"> de la concesión</w:t>
            </w:r>
            <w:r>
              <w:rPr>
                <w:rFonts w:ascii="Arial" w:hAnsi="Arial" w:cs="Arial"/>
                <w:sz w:val="18"/>
                <w:szCs w:val="18"/>
                <w:lang w:val="es-ES"/>
              </w:rPr>
              <w:t>. Proyecto causa r</w:t>
            </w:r>
            <w:r w:rsidRPr="00904884">
              <w:rPr>
                <w:rFonts w:ascii="Arial" w:hAnsi="Arial" w:cs="Arial"/>
                <w:sz w:val="18"/>
                <w:szCs w:val="18"/>
                <w:lang w:val="es-ES"/>
              </w:rPr>
              <w:t>easentamiento involuntario de población</w:t>
            </w:r>
            <w:r>
              <w:rPr>
                <w:rFonts w:ascii="Arial" w:hAnsi="Arial" w:cs="Arial"/>
                <w:sz w:val="18"/>
                <w:szCs w:val="18"/>
                <w:lang w:val="es-ES"/>
              </w:rPr>
              <w:t xml:space="preserve"> </w:t>
            </w:r>
            <w:r w:rsidRPr="00904884">
              <w:rPr>
                <w:rFonts w:ascii="Arial" w:hAnsi="Arial" w:cs="Arial"/>
                <w:sz w:val="18"/>
                <w:szCs w:val="18"/>
                <w:lang w:val="es-ES"/>
              </w:rPr>
              <w:t xml:space="preserve"> y</w:t>
            </w:r>
            <w:r>
              <w:rPr>
                <w:rFonts w:ascii="Arial" w:hAnsi="Arial" w:cs="Arial"/>
                <w:sz w:val="18"/>
                <w:szCs w:val="18"/>
                <w:lang w:val="es-ES"/>
              </w:rPr>
              <w:t>/</w:t>
            </w:r>
            <w:r w:rsidRPr="00904884">
              <w:rPr>
                <w:rFonts w:ascii="Arial" w:hAnsi="Arial" w:cs="Arial"/>
                <w:sz w:val="18"/>
                <w:szCs w:val="18"/>
                <w:lang w:val="es-ES"/>
              </w:rPr>
              <w:t>o desplazamiento económico.</w:t>
            </w:r>
            <w:r>
              <w:rPr>
                <w:rFonts w:ascii="Arial" w:hAnsi="Arial" w:cs="Arial"/>
                <w:lang w:val="es-ES"/>
              </w:rPr>
              <w:t xml:space="preserve"> </w:t>
            </w:r>
            <w:r>
              <w:rPr>
                <w:rFonts w:ascii="Arial" w:hAnsi="Arial" w:cs="Arial"/>
                <w:sz w:val="18"/>
                <w:szCs w:val="18"/>
                <w:lang w:val="es-ES"/>
              </w:rPr>
              <w:t>poniendo en riesgo de pobreza y/o desintegración social a la comunidad</w:t>
            </w:r>
          </w:p>
        </w:tc>
        <w:tc>
          <w:tcPr>
            <w:tcW w:w="986" w:type="pct"/>
            <w:tcBorders>
              <w:top w:val="nil"/>
              <w:left w:val="nil"/>
              <w:bottom w:val="single" w:sz="8" w:space="0" w:color="auto"/>
              <w:right w:val="single" w:sz="8" w:space="0" w:color="auto"/>
            </w:tcBorders>
          </w:tcPr>
          <w:p w14:paraId="0023458B" w14:textId="77777777" w:rsidR="00BA0225" w:rsidRPr="00904884" w:rsidRDefault="00BA0225" w:rsidP="00895676">
            <w:pPr>
              <w:ind w:left="91"/>
              <w:rPr>
                <w:rFonts w:ascii="Arial" w:hAnsi="Arial" w:cs="Arial"/>
                <w:color w:val="000000"/>
                <w:sz w:val="18"/>
                <w:szCs w:val="18"/>
                <w:lang w:val="es-PE"/>
              </w:rPr>
            </w:pPr>
            <w:r>
              <w:rPr>
                <w:rFonts w:ascii="Arial" w:hAnsi="Arial" w:cs="Arial"/>
                <w:sz w:val="18"/>
                <w:szCs w:val="18"/>
                <w:lang w:val="es-ES"/>
              </w:rPr>
              <w:t>Media d</w:t>
            </w:r>
            <w:r w:rsidRPr="00904884">
              <w:rPr>
                <w:rFonts w:ascii="Arial" w:hAnsi="Arial" w:cs="Arial"/>
                <w:sz w:val="18"/>
                <w:szCs w:val="18"/>
                <w:lang w:val="es-ES"/>
              </w:rPr>
              <w:t xml:space="preserve">ensidad poblacional en áreas </w:t>
            </w:r>
            <w:r>
              <w:rPr>
                <w:rFonts w:ascii="Arial" w:hAnsi="Arial" w:cs="Arial"/>
                <w:sz w:val="18"/>
                <w:szCs w:val="18"/>
                <w:lang w:val="es-ES"/>
              </w:rPr>
              <w:t xml:space="preserve">entre 100 y 500 </w:t>
            </w:r>
            <w:r w:rsidRPr="00904884">
              <w:rPr>
                <w:rFonts w:ascii="Arial" w:hAnsi="Arial" w:cs="Arial"/>
                <w:sz w:val="18"/>
                <w:szCs w:val="18"/>
                <w:lang w:val="es-ES"/>
              </w:rPr>
              <w:t>metros de la concesión.</w:t>
            </w:r>
            <w:r>
              <w:rPr>
                <w:rFonts w:ascii="Arial" w:hAnsi="Arial" w:cs="Arial"/>
                <w:sz w:val="18"/>
                <w:szCs w:val="18"/>
                <w:lang w:val="es-ES"/>
              </w:rPr>
              <w:t xml:space="preserve"> Proyecto causa d</w:t>
            </w:r>
            <w:r w:rsidRPr="00904884">
              <w:rPr>
                <w:rFonts w:ascii="Arial" w:hAnsi="Arial" w:cs="Arial"/>
                <w:sz w:val="18"/>
                <w:szCs w:val="18"/>
                <w:lang w:val="es-ES"/>
              </w:rPr>
              <w:t>esplazamiento económico</w:t>
            </w:r>
            <w:r>
              <w:rPr>
                <w:rFonts w:ascii="Arial" w:hAnsi="Arial" w:cs="Arial"/>
                <w:sz w:val="18"/>
                <w:szCs w:val="18"/>
                <w:lang w:val="es-ES"/>
              </w:rPr>
              <w:t xml:space="preserve">, sin </w:t>
            </w:r>
            <w:r w:rsidRPr="00514362">
              <w:rPr>
                <w:rFonts w:ascii="Arial" w:hAnsi="Arial" w:cs="Arial"/>
                <w:sz w:val="18"/>
                <w:szCs w:val="18"/>
                <w:lang w:val="es-ES"/>
              </w:rPr>
              <w:t>reasentamiento</w:t>
            </w:r>
            <w:r>
              <w:rPr>
                <w:rFonts w:ascii="Arial" w:hAnsi="Arial" w:cs="Arial"/>
                <w:sz w:val="18"/>
                <w:szCs w:val="18"/>
                <w:lang w:val="es-ES"/>
              </w:rPr>
              <w:t xml:space="preserve"> involuntario y se tienen medidas de mitigación factibles de aplicar</w:t>
            </w:r>
            <w:r w:rsidRPr="00904884">
              <w:rPr>
                <w:rFonts w:ascii="Arial" w:hAnsi="Arial" w:cs="Arial"/>
                <w:sz w:val="18"/>
                <w:szCs w:val="18"/>
                <w:lang w:val="es-ES"/>
              </w:rPr>
              <w:t>.</w:t>
            </w:r>
          </w:p>
        </w:tc>
        <w:tc>
          <w:tcPr>
            <w:tcW w:w="941" w:type="pct"/>
            <w:tcBorders>
              <w:top w:val="nil"/>
              <w:left w:val="nil"/>
              <w:bottom w:val="single" w:sz="8" w:space="0" w:color="auto"/>
              <w:right w:val="single" w:sz="8" w:space="0" w:color="auto"/>
            </w:tcBorders>
          </w:tcPr>
          <w:p w14:paraId="642FA52F" w14:textId="77777777" w:rsidR="00BA0225" w:rsidRPr="00904884" w:rsidRDefault="00BA0225" w:rsidP="00895676">
            <w:pPr>
              <w:ind w:left="87"/>
              <w:rPr>
                <w:rFonts w:ascii="Arial" w:hAnsi="Arial" w:cs="Arial"/>
                <w:color w:val="000000"/>
                <w:sz w:val="18"/>
                <w:szCs w:val="18"/>
                <w:lang w:val="es-PE"/>
              </w:rPr>
            </w:pPr>
            <w:r w:rsidRPr="00904884">
              <w:rPr>
                <w:rFonts w:ascii="Arial" w:hAnsi="Arial" w:cs="Arial"/>
                <w:sz w:val="18"/>
                <w:szCs w:val="18"/>
                <w:lang w:val="es-ES"/>
              </w:rPr>
              <w:t>Baja densidad poblaci</w:t>
            </w:r>
            <w:r>
              <w:rPr>
                <w:rFonts w:ascii="Arial" w:hAnsi="Arial" w:cs="Arial"/>
                <w:sz w:val="18"/>
                <w:szCs w:val="18"/>
                <w:lang w:val="es-ES"/>
              </w:rPr>
              <w:t>onal</w:t>
            </w:r>
            <w:r w:rsidRPr="00904884">
              <w:rPr>
                <w:rFonts w:ascii="Arial" w:hAnsi="Arial" w:cs="Arial"/>
                <w:sz w:val="18"/>
                <w:szCs w:val="18"/>
                <w:lang w:val="es-ES"/>
              </w:rPr>
              <w:t xml:space="preserve"> </w:t>
            </w:r>
            <w:r>
              <w:rPr>
                <w:rFonts w:ascii="Arial" w:hAnsi="Arial" w:cs="Arial"/>
                <w:sz w:val="18"/>
                <w:szCs w:val="18"/>
                <w:lang w:val="es-ES"/>
              </w:rPr>
              <w:t xml:space="preserve">(según estándares regionales) </w:t>
            </w:r>
            <w:r w:rsidRPr="00904884">
              <w:rPr>
                <w:rFonts w:ascii="Arial" w:hAnsi="Arial" w:cs="Arial"/>
                <w:sz w:val="18"/>
                <w:szCs w:val="18"/>
                <w:lang w:val="es-ES"/>
              </w:rPr>
              <w:t xml:space="preserve">en áreas </w:t>
            </w:r>
            <w:r>
              <w:rPr>
                <w:rFonts w:ascii="Arial" w:hAnsi="Arial" w:cs="Arial"/>
                <w:sz w:val="18"/>
                <w:szCs w:val="18"/>
                <w:lang w:val="es-ES"/>
              </w:rPr>
              <w:t>a</w:t>
            </w:r>
            <w:r w:rsidRPr="00904884">
              <w:rPr>
                <w:rFonts w:ascii="Arial" w:hAnsi="Arial" w:cs="Arial"/>
                <w:sz w:val="18"/>
                <w:szCs w:val="18"/>
                <w:lang w:val="es-ES"/>
              </w:rPr>
              <w:t xml:space="preserve"> más de 1 km de la </w:t>
            </w:r>
            <w:r>
              <w:rPr>
                <w:rFonts w:ascii="Arial" w:hAnsi="Arial" w:cs="Arial"/>
                <w:sz w:val="18"/>
                <w:szCs w:val="18"/>
                <w:lang w:val="es-ES"/>
              </w:rPr>
              <w:t>concesión. Proyecto no causa</w:t>
            </w:r>
            <w:r w:rsidRPr="00904884">
              <w:rPr>
                <w:rFonts w:ascii="Arial" w:hAnsi="Arial" w:cs="Arial"/>
                <w:sz w:val="18"/>
                <w:szCs w:val="18"/>
                <w:lang w:val="es-ES"/>
              </w:rPr>
              <w:t xml:space="preserve"> </w:t>
            </w:r>
            <w:r>
              <w:rPr>
                <w:rFonts w:ascii="Arial" w:hAnsi="Arial" w:cs="Arial"/>
                <w:sz w:val="18"/>
                <w:szCs w:val="18"/>
                <w:lang w:val="es-ES"/>
              </w:rPr>
              <w:t xml:space="preserve">ni desplazamiento económico </w:t>
            </w:r>
            <w:r w:rsidRPr="00904884">
              <w:rPr>
                <w:rFonts w:ascii="Arial" w:hAnsi="Arial" w:cs="Arial"/>
                <w:sz w:val="18"/>
                <w:szCs w:val="18"/>
                <w:lang w:val="es-ES"/>
              </w:rPr>
              <w:t>reasentamiento involuntario.</w:t>
            </w:r>
          </w:p>
        </w:tc>
        <w:tc>
          <w:tcPr>
            <w:tcW w:w="843" w:type="pct"/>
            <w:tcBorders>
              <w:top w:val="nil"/>
              <w:left w:val="nil"/>
              <w:bottom w:val="single" w:sz="8" w:space="0" w:color="auto"/>
              <w:right w:val="single" w:sz="8" w:space="0" w:color="auto"/>
            </w:tcBorders>
          </w:tcPr>
          <w:p w14:paraId="12E0E50E" w14:textId="77777777" w:rsidR="00BA0225" w:rsidRPr="00904884" w:rsidRDefault="00BA0225" w:rsidP="00895676">
            <w:pPr>
              <w:ind w:left="104"/>
              <w:rPr>
                <w:rFonts w:ascii="Arial" w:hAnsi="Arial" w:cs="Arial"/>
                <w:sz w:val="18"/>
                <w:szCs w:val="18"/>
                <w:lang w:val="es-ES"/>
              </w:rPr>
            </w:pPr>
            <w:r>
              <w:rPr>
                <w:rFonts w:ascii="Arial" w:hAnsi="Arial" w:cs="Arial"/>
                <w:sz w:val="18"/>
                <w:szCs w:val="18"/>
                <w:lang w:val="es-ES"/>
              </w:rPr>
              <w:t>Todos los proyectos que incluyan criterios descritos en el punto 14.10 Criterios de Elegibilidad-</w:t>
            </w:r>
          </w:p>
        </w:tc>
      </w:tr>
      <w:tr w:rsidR="00BA0225" w:rsidRPr="00904884" w14:paraId="7D9BA797" w14:textId="77777777" w:rsidTr="00895676">
        <w:trPr>
          <w:trHeight w:val="259"/>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97B8AF" w14:textId="77777777" w:rsidR="00BA0225" w:rsidRPr="00904884" w:rsidRDefault="00BA0225" w:rsidP="00895676">
            <w:pPr>
              <w:rPr>
                <w:rFonts w:ascii="Arial" w:hAnsi="Arial" w:cs="Arial"/>
                <w:color w:val="000000"/>
                <w:sz w:val="18"/>
                <w:szCs w:val="18"/>
                <w:lang w:val="es-PE"/>
              </w:rPr>
            </w:pPr>
            <w:r>
              <w:rPr>
                <w:rFonts w:ascii="Arial" w:hAnsi="Arial" w:cs="Arial"/>
                <w:color w:val="000000"/>
                <w:sz w:val="18"/>
                <w:szCs w:val="18"/>
                <w:lang w:val="es-PE"/>
              </w:rPr>
              <w:t>Población Indígena (aplican criterios de la CDI y OP-765)</w:t>
            </w:r>
          </w:p>
        </w:tc>
        <w:tc>
          <w:tcPr>
            <w:tcW w:w="998" w:type="pct"/>
            <w:tcBorders>
              <w:top w:val="nil"/>
              <w:left w:val="nil"/>
              <w:bottom w:val="single" w:sz="8" w:space="0" w:color="auto"/>
              <w:right w:val="single" w:sz="8" w:space="0" w:color="auto"/>
            </w:tcBorders>
          </w:tcPr>
          <w:p w14:paraId="7294ED22" w14:textId="77777777" w:rsidR="00BA0225" w:rsidRDefault="00BA0225" w:rsidP="00895676">
            <w:pPr>
              <w:ind w:left="83"/>
              <w:rPr>
                <w:rFonts w:ascii="Arial" w:hAnsi="Arial" w:cs="Arial"/>
                <w:sz w:val="18"/>
                <w:szCs w:val="18"/>
                <w:lang w:val="es-PE"/>
              </w:rPr>
            </w:pPr>
          </w:p>
          <w:p w14:paraId="565A3034" w14:textId="77777777" w:rsidR="00BA0225" w:rsidRDefault="00BA0225" w:rsidP="00895676">
            <w:pPr>
              <w:ind w:left="83"/>
              <w:rPr>
                <w:rFonts w:ascii="Arial" w:hAnsi="Arial" w:cs="Arial"/>
                <w:sz w:val="18"/>
                <w:szCs w:val="18"/>
                <w:lang w:val="es-PE"/>
              </w:rPr>
            </w:pPr>
          </w:p>
          <w:p w14:paraId="5CF828A9" w14:textId="77777777" w:rsidR="00BA0225" w:rsidRPr="00904884" w:rsidRDefault="00BA0225" w:rsidP="00895676">
            <w:pPr>
              <w:ind w:left="83"/>
              <w:rPr>
                <w:rFonts w:ascii="Arial" w:hAnsi="Arial" w:cs="Arial"/>
                <w:sz w:val="18"/>
                <w:szCs w:val="18"/>
                <w:lang w:val="es-ES"/>
              </w:rPr>
            </w:pPr>
            <w:r>
              <w:rPr>
                <w:rFonts w:ascii="Arial" w:hAnsi="Arial" w:cs="Arial"/>
                <w:sz w:val="18"/>
                <w:szCs w:val="18"/>
                <w:lang w:val="es-PE"/>
              </w:rPr>
              <w:t>Proyecto ubicado en</w:t>
            </w:r>
            <w:r>
              <w:rPr>
                <w:rFonts w:ascii="Arial" w:hAnsi="Arial" w:cs="Arial"/>
                <w:sz w:val="18"/>
                <w:szCs w:val="18"/>
                <w:lang w:val="es-ES"/>
              </w:rPr>
              <w:t>: i)</w:t>
            </w:r>
            <w:r w:rsidRPr="00904884">
              <w:rPr>
                <w:rFonts w:ascii="Arial" w:hAnsi="Arial" w:cs="Arial"/>
                <w:sz w:val="18"/>
                <w:szCs w:val="18"/>
                <w:lang w:val="es-ES"/>
              </w:rPr>
              <w:t xml:space="preserve"> </w:t>
            </w:r>
            <w:r>
              <w:rPr>
                <w:rFonts w:ascii="Arial" w:hAnsi="Arial" w:cs="Arial"/>
                <w:sz w:val="18"/>
                <w:szCs w:val="18"/>
                <w:lang w:val="es-ES"/>
              </w:rPr>
              <w:t>comunidades indígenas (de acuerdo con la definición de la CDI);</w:t>
            </w:r>
            <w:r w:rsidRPr="00904884">
              <w:rPr>
                <w:rFonts w:ascii="Arial" w:hAnsi="Arial" w:cs="Arial"/>
                <w:sz w:val="18"/>
                <w:szCs w:val="18"/>
                <w:lang w:val="es-ES"/>
              </w:rPr>
              <w:t xml:space="preserve"> </w:t>
            </w:r>
            <w:r>
              <w:rPr>
                <w:rFonts w:ascii="Arial" w:hAnsi="Arial" w:cs="Arial"/>
                <w:sz w:val="18"/>
                <w:szCs w:val="18"/>
                <w:lang w:val="es-ES"/>
              </w:rPr>
              <w:t xml:space="preserve">ii) que ocasione </w:t>
            </w:r>
            <w:r w:rsidRPr="00904884">
              <w:rPr>
                <w:rFonts w:ascii="Arial" w:hAnsi="Arial" w:cs="Arial"/>
                <w:sz w:val="18"/>
                <w:szCs w:val="18"/>
                <w:lang w:val="es-ES"/>
              </w:rPr>
              <w:t xml:space="preserve">impactos significativos </w:t>
            </w:r>
            <w:r>
              <w:rPr>
                <w:rFonts w:ascii="Arial" w:hAnsi="Arial" w:cs="Arial"/>
                <w:sz w:val="18"/>
                <w:szCs w:val="18"/>
                <w:lang w:val="es-ES"/>
              </w:rPr>
              <w:t xml:space="preserve">que pueden ser mitigados; iii) comunidades altamente vulnerables; y iv) con conflictos preexistentes en particular relacionados con la tierra </w:t>
            </w:r>
          </w:p>
        </w:tc>
        <w:tc>
          <w:tcPr>
            <w:tcW w:w="986" w:type="pct"/>
            <w:tcBorders>
              <w:top w:val="nil"/>
              <w:left w:val="nil"/>
              <w:bottom w:val="single" w:sz="8" w:space="0" w:color="auto"/>
              <w:right w:val="single" w:sz="8" w:space="0" w:color="auto"/>
            </w:tcBorders>
          </w:tcPr>
          <w:p w14:paraId="373CB935" w14:textId="77777777" w:rsidR="00BA0225" w:rsidRDefault="00BA0225" w:rsidP="00895676">
            <w:pPr>
              <w:ind w:left="83" w:right="73"/>
              <w:rPr>
                <w:rFonts w:ascii="Arial" w:hAnsi="Arial" w:cs="Arial"/>
                <w:sz w:val="18"/>
                <w:szCs w:val="18"/>
                <w:lang w:val="es-ES"/>
              </w:rPr>
            </w:pPr>
            <w:r>
              <w:rPr>
                <w:rFonts w:ascii="Arial" w:hAnsi="Arial" w:cs="Arial"/>
                <w:sz w:val="18"/>
                <w:szCs w:val="18"/>
                <w:lang w:val="es-PE"/>
              </w:rPr>
              <w:t xml:space="preserve">Proyecto ubicado en </w:t>
            </w:r>
            <w:r w:rsidRPr="00904884">
              <w:rPr>
                <w:rFonts w:ascii="Arial" w:hAnsi="Arial" w:cs="Arial"/>
                <w:sz w:val="18"/>
                <w:szCs w:val="18"/>
                <w:lang w:val="es-ES"/>
              </w:rPr>
              <w:t>localidades</w:t>
            </w:r>
            <w:r>
              <w:rPr>
                <w:rFonts w:ascii="Arial" w:hAnsi="Arial" w:cs="Arial"/>
                <w:sz w:val="18"/>
                <w:szCs w:val="18"/>
                <w:lang w:val="es-ES"/>
              </w:rPr>
              <w:t>:</w:t>
            </w:r>
            <w:r w:rsidRPr="00904884">
              <w:rPr>
                <w:rFonts w:ascii="Arial" w:hAnsi="Arial" w:cs="Arial"/>
                <w:sz w:val="18"/>
                <w:szCs w:val="18"/>
                <w:lang w:val="es-ES"/>
              </w:rPr>
              <w:t xml:space="preserve"> </w:t>
            </w:r>
            <w:r>
              <w:rPr>
                <w:rFonts w:ascii="Arial" w:hAnsi="Arial" w:cs="Arial"/>
                <w:sz w:val="18"/>
                <w:szCs w:val="18"/>
                <w:lang w:val="es-ES"/>
              </w:rPr>
              <w:t xml:space="preserve">i) </w:t>
            </w:r>
            <w:r w:rsidRPr="00904884">
              <w:rPr>
                <w:rFonts w:ascii="Arial" w:hAnsi="Arial" w:cs="Arial"/>
                <w:sz w:val="18"/>
                <w:szCs w:val="18"/>
                <w:lang w:val="es-ES"/>
              </w:rPr>
              <w:t>co</w:t>
            </w:r>
            <w:r>
              <w:rPr>
                <w:rFonts w:ascii="Arial" w:hAnsi="Arial" w:cs="Arial"/>
                <w:sz w:val="18"/>
                <w:szCs w:val="18"/>
                <w:lang w:val="es-ES"/>
              </w:rPr>
              <w:t>munidades con propiedad comunal de la tierra que mantienen su organización tradicional;</w:t>
            </w:r>
            <w:r w:rsidRPr="00904884">
              <w:rPr>
                <w:rFonts w:ascii="Arial" w:hAnsi="Arial" w:cs="Arial"/>
                <w:sz w:val="18"/>
                <w:szCs w:val="18"/>
                <w:lang w:val="es-ES"/>
              </w:rPr>
              <w:t xml:space="preserve"> </w:t>
            </w:r>
            <w:r>
              <w:rPr>
                <w:rFonts w:ascii="Arial" w:hAnsi="Arial" w:cs="Arial"/>
                <w:sz w:val="18"/>
                <w:szCs w:val="18"/>
                <w:lang w:val="es-ES"/>
              </w:rPr>
              <w:t xml:space="preserve">ii) que </w:t>
            </w:r>
            <w:r w:rsidRPr="00904884">
              <w:rPr>
                <w:rFonts w:ascii="Arial" w:hAnsi="Arial" w:cs="Arial"/>
                <w:sz w:val="18"/>
                <w:szCs w:val="18"/>
                <w:lang w:val="es-ES"/>
              </w:rPr>
              <w:t>c</w:t>
            </w:r>
            <w:r>
              <w:rPr>
                <w:rFonts w:ascii="Arial" w:hAnsi="Arial" w:cs="Arial"/>
                <w:sz w:val="18"/>
                <w:szCs w:val="18"/>
                <w:lang w:val="es-ES"/>
              </w:rPr>
              <w:t>ausa</w:t>
            </w:r>
            <w:r w:rsidRPr="00904884">
              <w:rPr>
                <w:rFonts w:ascii="Arial" w:hAnsi="Arial" w:cs="Arial"/>
                <w:sz w:val="18"/>
                <w:szCs w:val="18"/>
                <w:lang w:val="es-ES"/>
              </w:rPr>
              <w:t xml:space="preserve"> impactos mitigables. </w:t>
            </w:r>
            <w:r>
              <w:rPr>
                <w:rFonts w:ascii="Arial" w:hAnsi="Arial" w:cs="Arial"/>
                <w:sz w:val="18"/>
                <w:szCs w:val="18"/>
                <w:lang w:val="es-ES"/>
              </w:rPr>
              <w:t xml:space="preserve">Localidades con </w:t>
            </w:r>
            <w:r w:rsidRPr="00904884">
              <w:rPr>
                <w:rFonts w:ascii="Arial" w:hAnsi="Arial" w:cs="Arial"/>
                <w:sz w:val="18"/>
                <w:szCs w:val="18"/>
                <w:lang w:val="es-ES"/>
              </w:rPr>
              <w:t>población indígena dispersa (menos de 150 personas)</w:t>
            </w:r>
            <w:r>
              <w:rPr>
                <w:rFonts w:ascii="Arial" w:hAnsi="Arial" w:cs="Arial"/>
                <w:sz w:val="18"/>
                <w:szCs w:val="18"/>
                <w:lang w:val="es-ES"/>
              </w:rPr>
              <w:t>;</w:t>
            </w:r>
          </w:p>
          <w:p w14:paraId="2F99E99E" w14:textId="77777777" w:rsidR="00BA0225" w:rsidRPr="00904884" w:rsidRDefault="00BA0225" w:rsidP="00895676">
            <w:pPr>
              <w:ind w:left="83" w:right="73"/>
              <w:rPr>
                <w:rFonts w:ascii="Arial" w:hAnsi="Arial" w:cs="Arial"/>
                <w:sz w:val="18"/>
                <w:szCs w:val="18"/>
                <w:lang w:val="es-ES"/>
              </w:rPr>
            </w:pPr>
            <w:r>
              <w:rPr>
                <w:rFonts w:ascii="Arial" w:hAnsi="Arial" w:cs="Arial"/>
                <w:sz w:val="18"/>
                <w:szCs w:val="18"/>
                <w:lang w:val="es-ES"/>
              </w:rPr>
              <w:t xml:space="preserve">Comunidades con </w:t>
            </w:r>
            <w:r w:rsidRPr="00904884">
              <w:rPr>
                <w:rFonts w:ascii="Arial" w:hAnsi="Arial" w:cs="Arial"/>
                <w:sz w:val="18"/>
                <w:szCs w:val="18"/>
                <w:lang w:val="es-ES"/>
              </w:rPr>
              <w:t>alto grado de integración, baja conflictividad, vulnerabilidad limitada</w:t>
            </w:r>
            <w:r>
              <w:rPr>
                <w:rFonts w:ascii="Arial" w:hAnsi="Arial" w:cs="Arial"/>
                <w:sz w:val="18"/>
                <w:szCs w:val="18"/>
                <w:lang w:val="es-ES"/>
              </w:rPr>
              <w:t>.</w:t>
            </w:r>
          </w:p>
        </w:tc>
        <w:tc>
          <w:tcPr>
            <w:tcW w:w="941" w:type="pct"/>
            <w:tcBorders>
              <w:top w:val="nil"/>
              <w:left w:val="nil"/>
              <w:bottom w:val="single" w:sz="8" w:space="0" w:color="auto"/>
              <w:right w:val="single" w:sz="8" w:space="0" w:color="auto"/>
            </w:tcBorders>
          </w:tcPr>
          <w:p w14:paraId="3EA41130" w14:textId="77777777" w:rsidR="00BA0225" w:rsidRPr="00A118B9" w:rsidRDefault="00BA0225" w:rsidP="00895676">
            <w:pPr>
              <w:ind w:left="83" w:right="73"/>
              <w:rPr>
                <w:rFonts w:ascii="Arial" w:hAnsi="Arial" w:cs="Arial"/>
                <w:sz w:val="18"/>
                <w:szCs w:val="18"/>
                <w:lang w:val="es-ES"/>
              </w:rPr>
            </w:pPr>
            <w:r>
              <w:rPr>
                <w:rFonts w:ascii="Arial" w:hAnsi="Arial" w:cs="Arial"/>
                <w:sz w:val="18"/>
                <w:szCs w:val="18"/>
                <w:lang w:val="es-ES"/>
              </w:rPr>
              <w:t xml:space="preserve">Proyecto ubicado en: i) áreas que mantienen tradiciones y cultura indígena sin ser predominante en el sitio; ii) que causa afectaciones mínimas fácilmente mitigables  </w:t>
            </w:r>
          </w:p>
        </w:tc>
        <w:tc>
          <w:tcPr>
            <w:tcW w:w="843" w:type="pct"/>
            <w:tcBorders>
              <w:top w:val="nil"/>
              <w:left w:val="nil"/>
              <w:bottom w:val="single" w:sz="8" w:space="0" w:color="auto"/>
              <w:right w:val="single" w:sz="8" w:space="0" w:color="auto"/>
            </w:tcBorders>
          </w:tcPr>
          <w:p w14:paraId="37344085" w14:textId="77777777" w:rsidR="00BA0225" w:rsidRDefault="00BA0225" w:rsidP="00895676">
            <w:pPr>
              <w:ind w:left="83" w:right="73"/>
              <w:rPr>
                <w:rFonts w:ascii="Arial" w:hAnsi="Arial" w:cs="Arial"/>
                <w:sz w:val="18"/>
                <w:szCs w:val="18"/>
                <w:lang w:val="es-ES"/>
              </w:rPr>
            </w:pPr>
            <w:r>
              <w:rPr>
                <w:rFonts w:ascii="Arial" w:hAnsi="Arial" w:cs="Arial"/>
                <w:sz w:val="18"/>
                <w:szCs w:val="18"/>
                <w:lang w:val="es-PE"/>
              </w:rPr>
              <w:t xml:space="preserve">Proyecto ubicado en </w:t>
            </w:r>
            <w:r w:rsidRPr="00904884">
              <w:rPr>
                <w:rFonts w:ascii="Arial" w:hAnsi="Arial" w:cs="Arial"/>
                <w:sz w:val="18"/>
                <w:szCs w:val="18"/>
                <w:lang w:val="es-ES"/>
              </w:rPr>
              <w:t xml:space="preserve">localidades con </w:t>
            </w:r>
            <w:r>
              <w:rPr>
                <w:rFonts w:ascii="Arial" w:hAnsi="Arial" w:cs="Arial"/>
                <w:sz w:val="18"/>
                <w:szCs w:val="18"/>
                <w:lang w:val="es-ES"/>
              </w:rPr>
              <w:t xml:space="preserve">población </w:t>
            </w:r>
            <w:r w:rsidRPr="00904884">
              <w:rPr>
                <w:rFonts w:ascii="Arial" w:hAnsi="Arial" w:cs="Arial"/>
                <w:sz w:val="18"/>
                <w:szCs w:val="18"/>
                <w:lang w:val="es-ES"/>
              </w:rPr>
              <w:t>indígenas no</w:t>
            </w:r>
            <w:r>
              <w:rPr>
                <w:rFonts w:ascii="Arial" w:hAnsi="Arial" w:cs="Arial"/>
                <w:sz w:val="18"/>
                <w:szCs w:val="18"/>
                <w:lang w:val="es-ES"/>
              </w:rPr>
              <w:t xml:space="preserve"> afectadas directamente o indirectamente.</w:t>
            </w:r>
            <w:r w:rsidRPr="00904884">
              <w:rPr>
                <w:rFonts w:ascii="Arial" w:hAnsi="Arial" w:cs="Arial"/>
                <w:sz w:val="18"/>
                <w:szCs w:val="18"/>
                <w:lang w:val="es-ES"/>
              </w:rPr>
              <w:t xml:space="preserve"> </w:t>
            </w:r>
          </w:p>
          <w:p w14:paraId="6A9BFF3D" w14:textId="77777777" w:rsidR="00BA0225" w:rsidRPr="00904884" w:rsidRDefault="00BA0225" w:rsidP="00895676">
            <w:pPr>
              <w:ind w:left="83" w:right="73"/>
              <w:rPr>
                <w:rFonts w:ascii="Arial" w:hAnsi="Arial" w:cs="Arial"/>
                <w:sz w:val="18"/>
                <w:szCs w:val="18"/>
                <w:lang w:val="es-ES"/>
              </w:rPr>
            </w:pPr>
            <w:r>
              <w:rPr>
                <w:rFonts w:ascii="Arial" w:hAnsi="Arial" w:cs="Arial"/>
                <w:sz w:val="18"/>
                <w:szCs w:val="18"/>
                <w:lang w:val="es-ES"/>
              </w:rPr>
              <w:t>Ver punto 14.10</w:t>
            </w:r>
          </w:p>
        </w:tc>
      </w:tr>
      <w:tr w:rsidR="00BA0225" w:rsidRPr="00307B21" w14:paraId="7F61955B" w14:textId="77777777" w:rsidTr="00895676">
        <w:trPr>
          <w:trHeight w:val="1537"/>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79434A" w14:textId="77777777" w:rsidR="00BA0225" w:rsidRPr="00904884" w:rsidRDefault="00BA0225" w:rsidP="00895676">
            <w:pPr>
              <w:rPr>
                <w:rFonts w:ascii="Arial" w:hAnsi="Arial" w:cs="Arial"/>
                <w:color w:val="000000"/>
                <w:sz w:val="18"/>
                <w:szCs w:val="18"/>
                <w:lang w:val="es-PE"/>
              </w:rPr>
            </w:pPr>
            <w:r>
              <w:rPr>
                <w:rFonts w:ascii="Arial" w:hAnsi="Arial" w:cs="Arial"/>
                <w:color w:val="000000"/>
                <w:sz w:val="18"/>
                <w:szCs w:val="18"/>
                <w:lang w:val="es-PE"/>
              </w:rPr>
              <w:t xml:space="preserve">Uso de la Tierra </w:t>
            </w:r>
          </w:p>
        </w:tc>
        <w:tc>
          <w:tcPr>
            <w:tcW w:w="998" w:type="pct"/>
            <w:tcBorders>
              <w:top w:val="nil"/>
              <w:left w:val="nil"/>
              <w:bottom w:val="single" w:sz="8" w:space="0" w:color="auto"/>
              <w:right w:val="single" w:sz="8" w:space="0" w:color="auto"/>
            </w:tcBorders>
          </w:tcPr>
          <w:p w14:paraId="62175C66" w14:textId="77777777" w:rsidR="00BA0225" w:rsidRPr="00307B21" w:rsidRDefault="00BA0225" w:rsidP="00895676">
            <w:pPr>
              <w:ind w:left="83"/>
              <w:rPr>
                <w:rFonts w:ascii="Arial" w:hAnsi="Arial" w:cs="Arial"/>
                <w:sz w:val="18"/>
                <w:szCs w:val="18"/>
                <w:lang w:val="es-PE"/>
              </w:rPr>
            </w:pPr>
            <w:r w:rsidRPr="00307B21">
              <w:rPr>
                <w:rFonts w:ascii="Arial" w:hAnsi="Arial" w:cs="Arial"/>
                <w:sz w:val="18"/>
                <w:szCs w:val="18"/>
                <w:lang w:val="es-PE"/>
              </w:rPr>
              <w:t>Proyecto ubica</w:t>
            </w:r>
            <w:r>
              <w:rPr>
                <w:rFonts w:ascii="Arial" w:hAnsi="Arial" w:cs="Arial"/>
                <w:sz w:val="18"/>
                <w:szCs w:val="18"/>
                <w:lang w:val="es-PE"/>
              </w:rPr>
              <w:t>do</w:t>
            </w:r>
            <w:r w:rsidRPr="00307B21">
              <w:rPr>
                <w:rFonts w:ascii="Arial" w:hAnsi="Arial" w:cs="Arial"/>
                <w:sz w:val="18"/>
                <w:szCs w:val="18"/>
                <w:lang w:val="es-PE"/>
              </w:rPr>
              <w:t xml:space="preserve"> en</w:t>
            </w:r>
            <w:r>
              <w:rPr>
                <w:rFonts w:ascii="Arial" w:hAnsi="Arial" w:cs="Arial"/>
                <w:sz w:val="18"/>
                <w:szCs w:val="18"/>
                <w:lang w:val="es-PE"/>
              </w:rPr>
              <w:t xml:space="preserve"> tierras:</w:t>
            </w:r>
            <w:r w:rsidRPr="00307B21">
              <w:rPr>
                <w:rFonts w:ascii="Arial" w:hAnsi="Arial" w:cs="Arial"/>
                <w:sz w:val="18"/>
                <w:szCs w:val="18"/>
                <w:lang w:val="es-PE"/>
              </w:rPr>
              <w:t xml:space="preserve"> </w:t>
            </w:r>
            <w:r>
              <w:rPr>
                <w:rFonts w:ascii="Arial" w:hAnsi="Arial" w:cs="Arial"/>
                <w:sz w:val="18"/>
                <w:szCs w:val="18"/>
                <w:lang w:val="es-PE"/>
              </w:rPr>
              <w:t xml:space="preserve">i) </w:t>
            </w:r>
            <w:r w:rsidRPr="00307B21">
              <w:rPr>
                <w:rFonts w:ascii="Arial" w:hAnsi="Arial" w:cs="Arial"/>
                <w:sz w:val="18"/>
                <w:szCs w:val="18"/>
                <w:lang w:val="es-PE"/>
              </w:rPr>
              <w:t>ejidales</w:t>
            </w:r>
            <w:r>
              <w:rPr>
                <w:rFonts w:ascii="Arial" w:hAnsi="Arial" w:cs="Arial"/>
                <w:sz w:val="18"/>
                <w:szCs w:val="18"/>
                <w:lang w:val="es-PE"/>
              </w:rPr>
              <w:t xml:space="preserve"> y/o comunales tituladas y no tituladas; ii)</w:t>
            </w:r>
            <w:r w:rsidRPr="00307B21">
              <w:rPr>
                <w:rFonts w:ascii="Arial" w:hAnsi="Arial" w:cs="Arial"/>
                <w:sz w:val="18"/>
                <w:szCs w:val="18"/>
                <w:lang w:val="es-PE"/>
              </w:rPr>
              <w:t xml:space="preserve"> </w:t>
            </w:r>
            <w:r>
              <w:rPr>
                <w:rFonts w:ascii="Arial" w:hAnsi="Arial" w:cs="Arial"/>
                <w:sz w:val="18"/>
                <w:szCs w:val="18"/>
                <w:lang w:val="es-PE"/>
              </w:rPr>
              <w:t xml:space="preserve">con conflictos preexistentes (limites, propiedad, uso, etc.); iii) con </w:t>
            </w:r>
            <w:r w:rsidRPr="00307B21">
              <w:rPr>
                <w:rFonts w:ascii="Arial" w:hAnsi="Arial" w:cs="Arial"/>
                <w:sz w:val="18"/>
                <w:szCs w:val="18"/>
                <w:lang w:val="es-PE"/>
              </w:rPr>
              <w:t>irregular</w:t>
            </w:r>
            <w:r>
              <w:rPr>
                <w:rFonts w:ascii="Arial" w:hAnsi="Arial" w:cs="Arial"/>
                <w:sz w:val="18"/>
                <w:szCs w:val="18"/>
                <w:lang w:val="es-PE"/>
              </w:rPr>
              <w:t xml:space="preserve">idades en la </w:t>
            </w:r>
            <w:r w:rsidRPr="00307B21">
              <w:rPr>
                <w:rFonts w:ascii="Arial" w:hAnsi="Arial" w:cs="Arial"/>
                <w:sz w:val="18"/>
                <w:szCs w:val="18"/>
                <w:lang w:val="es-PE"/>
              </w:rPr>
              <w:t>tenencia</w:t>
            </w:r>
            <w:r>
              <w:rPr>
                <w:rFonts w:ascii="Arial" w:hAnsi="Arial" w:cs="Arial"/>
                <w:sz w:val="18"/>
                <w:szCs w:val="18"/>
                <w:lang w:val="es-PE"/>
              </w:rPr>
              <w:t xml:space="preserve">; iv) donde el cambio de uso ocasione </w:t>
            </w:r>
            <w:r w:rsidRPr="00307B21">
              <w:rPr>
                <w:rFonts w:ascii="Arial" w:hAnsi="Arial" w:cs="Arial"/>
                <w:sz w:val="18"/>
                <w:szCs w:val="18"/>
                <w:lang w:val="es-PE"/>
              </w:rPr>
              <w:t>impactos significativos sobre medios de subsistencia</w:t>
            </w:r>
            <w:r>
              <w:rPr>
                <w:rFonts w:ascii="Arial" w:hAnsi="Arial" w:cs="Arial"/>
                <w:sz w:val="18"/>
                <w:szCs w:val="18"/>
                <w:lang w:val="es-PE"/>
              </w:rPr>
              <w:t>,</w:t>
            </w:r>
            <w:r w:rsidRPr="00307B21">
              <w:rPr>
                <w:rFonts w:ascii="Arial" w:hAnsi="Arial" w:cs="Arial"/>
                <w:sz w:val="18"/>
                <w:szCs w:val="18"/>
                <w:lang w:val="es-PE"/>
              </w:rPr>
              <w:t xml:space="preserve"> </w:t>
            </w:r>
            <w:r>
              <w:rPr>
                <w:rFonts w:ascii="Arial" w:hAnsi="Arial" w:cs="Arial"/>
                <w:sz w:val="18"/>
                <w:szCs w:val="18"/>
                <w:lang w:val="es-PE"/>
              </w:rPr>
              <w:t xml:space="preserve">acceso a recursos naturales y/o de uso tradicional. </w:t>
            </w:r>
          </w:p>
          <w:p w14:paraId="3540B230" w14:textId="77777777" w:rsidR="00BA0225" w:rsidRPr="00307B21" w:rsidRDefault="00BA0225" w:rsidP="00895676">
            <w:pPr>
              <w:pStyle w:val="HTMLPreformatted"/>
              <w:shd w:val="clear" w:color="auto" w:fill="FFFFFF"/>
              <w:ind w:left="83"/>
              <w:rPr>
                <w:rFonts w:ascii="Arial" w:eastAsiaTheme="minorHAnsi" w:hAnsi="Arial" w:cs="Arial"/>
                <w:sz w:val="18"/>
                <w:szCs w:val="18"/>
                <w:lang w:val="es-PE"/>
              </w:rPr>
            </w:pPr>
          </w:p>
        </w:tc>
        <w:tc>
          <w:tcPr>
            <w:tcW w:w="986" w:type="pct"/>
            <w:tcBorders>
              <w:top w:val="nil"/>
              <w:left w:val="nil"/>
              <w:bottom w:val="single" w:sz="8" w:space="0" w:color="auto"/>
              <w:right w:val="single" w:sz="8" w:space="0" w:color="auto"/>
            </w:tcBorders>
          </w:tcPr>
          <w:p w14:paraId="0E009BF4" w14:textId="77777777" w:rsidR="00BA0225" w:rsidRPr="00307B21" w:rsidRDefault="00BA0225" w:rsidP="00895676">
            <w:pPr>
              <w:ind w:left="83" w:right="73"/>
              <w:rPr>
                <w:rFonts w:ascii="Arial" w:hAnsi="Arial" w:cs="Arial"/>
                <w:sz w:val="18"/>
                <w:szCs w:val="18"/>
                <w:lang w:val="es-PE"/>
              </w:rPr>
            </w:pPr>
            <w:r w:rsidRPr="00307B21">
              <w:rPr>
                <w:rFonts w:ascii="Arial" w:hAnsi="Arial" w:cs="Arial"/>
                <w:sz w:val="18"/>
                <w:szCs w:val="18"/>
                <w:lang w:val="es-PE"/>
              </w:rPr>
              <w:t>Proyecto ubica</w:t>
            </w:r>
            <w:r>
              <w:rPr>
                <w:rFonts w:ascii="Arial" w:hAnsi="Arial" w:cs="Arial"/>
                <w:sz w:val="18"/>
                <w:szCs w:val="18"/>
                <w:lang w:val="es-PE"/>
              </w:rPr>
              <w:t>do</w:t>
            </w:r>
            <w:r w:rsidRPr="00307B21">
              <w:rPr>
                <w:rFonts w:ascii="Arial" w:hAnsi="Arial" w:cs="Arial"/>
                <w:sz w:val="18"/>
                <w:szCs w:val="18"/>
                <w:lang w:val="es-PE"/>
              </w:rPr>
              <w:t xml:space="preserve"> en tierras</w:t>
            </w:r>
            <w:r>
              <w:rPr>
                <w:rFonts w:ascii="Arial" w:hAnsi="Arial" w:cs="Arial"/>
                <w:sz w:val="18"/>
                <w:szCs w:val="18"/>
                <w:lang w:val="es-PE"/>
              </w:rPr>
              <w:t xml:space="preserve">: i) ejidales y/o comunales; ii) con   </w:t>
            </w:r>
            <w:r w:rsidRPr="00307B21">
              <w:rPr>
                <w:rFonts w:ascii="Arial" w:hAnsi="Arial" w:cs="Arial"/>
                <w:sz w:val="18"/>
                <w:szCs w:val="18"/>
                <w:lang w:val="es-PE"/>
              </w:rPr>
              <w:t xml:space="preserve"> </w:t>
            </w:r>
            <w:r>
              <w:rPr>
                <w:rFonts w:ascii="Arial" w:hAnsi="Arial" w:cs="Arial"/>
                <w:sz w:val="18"/>
                <w:szCs w:val="18"/>
                <w:lang w:val="es-PE"/>
              </w:rPr>
              <w:t xml:space="preserve"> conflictos de </w:t>
            </w:r>
            <w:r w:rsidRPr="00307B21">
              <w:rPr>
                <w:rFonts w:ascii="Arial" w:hAnsi="Arial" w:cs="Arial"/>
                <w:sz w:val="18"/>
                <w:szCs w:val="18"/>
                <w:lang w:val="es-PE"/>
              </w:rPr>
              <w:t xml:space="preserve">tenencia </w:t>
            </w:r>
            <w:r>
              <w:rPr>
                <w:rFonts w:ascii="Arial" w:hAnsi="Arial" w:cs="Arial"/>
                <w:sz w:val="18"/>
                <w:szCs w:val="18"/>
                <w:lang w:val="es-PE"/>
              </w:rPr>
              <w:t xml:space="preserve">en proceso de solución; iii) con </w:t>
            </w:r>
            <w:r w:rsidRPr="00307B21">
              <w:rPr>
                <w:rFonts w:ascii="Arial" w:hAnsi="Arial" w:cs="Arial"/>
                <w:sz w:val="18"/>
                <w:szCs w:val="18"/>
                <w:lang w:val="es-PE"/>
              </w:rPr>
              <w:t xml:space="preserve">impactos </w:t>
            </w:r>
            <w:r>
              <w:rPr>
                <w:rFonts w:ascii="Arial" w:hAnsi="Arial" w:cs="Arial"/>
                <w:sz w:val="18"/>
                <w:szCs w:val="18"/>
                <w:lang w:val="es-PE"/>
              </w:rPr>
              <w:t xml:space="preserve">mitigables </w:t>
            </w:r>
            <w:r w:rsidRPr="00307B21">
              <w:rPr>
                <w:rFonts w:ascii="Arial" w:hAnsi="Arial" w:cs="Arial"/>
                <w:sz w:val="18"/>
                <w:szCs w:val="18"/>
                <w:lang w:val="es-PE"/>
              </w:rPr>
              <w:t xml:space="preserve">sobre medios de subsistencia debidos a cambios en el uso de la tierra. </w:t>
            </w:r>
          </w:p>
        </w:tc>
        <w:tc>
          <w:tcPr>
            <w:tcW w:w="941" w:type="pct"/>
            <w:tcBorders>
              <w:top w:val="nil"/>
              <w:left w:val="nil"/>
              <w:bottom w:val="single" w:sz="8" w:space="0" w:color="auto"/>
              <w:right w:val="single" w:sz="8" w:space="0" w:color="auto"/>
            </w:tcBorders>
          </w:tcPr>
          <w:p w14:paraId="486BA22D" w14:textId="77777777" w:rsidR="00BA0225" w:rsidRDefault="00BA0225" w:rsidP="00895676">
            <w:pPr>
              <w:ind w:left="87"/>
              <w:rPr>
                <w:rFonts w:ascii="Arial" w:hAnsi="Arial" w:cs="Arial"/>
                <w:sz w:val="18"/>
                <w:szCs w:val="18"/>
                <w:lang w:val="es-PE"/>
              </w:rPr>
            </w:pPr>
            <w:r w:rsidRPr="00307B21">
              <w:rPr>
                <w:rFonts w:ascii="Arial" w:hAnsi="Arial" w:cs="Arial"/>
                <w:sz w:val="18"/>
                <w:szCs w:val="18"/>
                <w:lang w:val="es-PE"/>
              </w:rPr>
              <w:t xml:space="preserve">Proyecto </w:t>
            </w:r>
            <w:r>
              <w:rPr>
                <w:rFonts w:ascii="Arial" w:hAnsi="Arial" w:cs="Arial"/>
                <w:sz w:val="18"/>
                <w:szCs w:val="18"/>
                <w:lang w:val="es-PE"/>
              </w:rPr>
              <w:t>ubicado</w:t>
            </w:r>
            <w:r w:rsidRPr="00307B21">
              <w:rPr>
                <w:rFonts w:ascii="Arial" w:hAnsi="Arial" w:cs="Arial"/>
                <w:sz w:val="18"/>
                <w:szCs w:val="18"/>
                <w:lang w:val="es-PE"/>
              </w:rPr>
              <w:t xml:space="preserve"> en áreas</w:t>
            </w:r>
            <w:r>
              <w:rPr>
                <w:rFonts w:ascii="Arial" w:hAnsi="Arial" w:cs="Arial"/>
                <w:sz w:val="18"/>
                <w:szCs w:val="18"/>
                <w:lang w:val="es-PE"/>
              </w:rPr>
              <w:t xml:space="preserve"> con: i) tierras tituladas comunales/ejidales;</w:t>
            </w:r>
          </w:p>
          <w:p w14:paraId="64397D93" w14:textId="77777777" w:rsidR="00BA0225" w:rsidRPr="00307B21" w:rsidRDefault="00BA0225" w:rsidP="00895676">
            <w:pPr>
              <w:ind w:left="87"/>
              <w:rPr>
                <w:rFonts w:ascii="Arial" w:hAnsi="Arial" w:cs="Arial"/>
                <w:sz w:val="18"/>
                <w:szCs w:val="18"/>
                <w:lang w:val="es-PE"/>
              </w:rPr>
            </w:pPr>
            <w:r>
              <w:rPr>
                <w:rFonts w:ascii="Arial" w:hAnsi="Arial" w:cs="Arial"/>
                <w:sz w:val="18"/>
                <w:szCs w:val="18"/>
                <w:lang w:val="es-PE"/>
              </w:rPr>
              <w:t>ii) no ocasionan impactos</w:t>
            </w:r>
            <w:r w:rsidRPr="00307B21">
              <w:rPr>
                <w:rFonts w:ascii="Arial" w:hAnsi="Arial" w:cs="Arial"/>
                <w:sz w:val="18"/>
                <w:szCs w:val="18"/>
                <w:lang w:val="es-PE"/>
              </w:rPr>
              <w:t xml:space="preserve"> </w:t>
            </w:r>
            <w:r>
              <w:rPr>
                <w:rFonts w:ascii="Arial" w:hAnsi="Arial" w:cs="Arial"/>
                <w:sz w:val="18"/>
                <w:szCs w:val="18"/>
                <w:lang w:val="es-PE"/>
              </w:rPr>
              <w:t xml:space="preserve">en </w:t>
            </w:r>
            <w:r w:rsidRPr="00307B21">
              <w:rPr>
                <w:rFonts w:ascii="Arial" w:hAnsi="Arial" w:cs="Arial"/>
                <w:sz w:val="18"/>
                <w:szCs w:val="18"/>
                <w:lang w:val="es-PE"/>
              </w:rPr>
              <w:t>los medios de subsistencia.</w:t>
            </w:r>
          </w:p>
        </w:tc>
        <w:tc>
          <w:tcPr>
            <w:tcW w:w="843" w:type="pct"/>
            <w:tcBorders>
              <w:top w:val="nil"/>
              <w:left w:val="nil"/>
              <w:bottom w:val="single" w:sz="8" w:space="0" w:color="auto"/>
              <w:right w:val="single" w:sz="8" w:space="0" w:color="auto"/>
            </w:tcBorders>
          </w:tcPr>
          <w:p w14:paraId="0C935975" w14:textId="77777777" w:rsidR="00BA0225" w:rsidRDefault="00BA0225" w:rsidP="00895676">
            <w:pPr>
              <w:jc w:val="center"/>
              <w:rPr>
                <w:rFonts w:ascii="Arial" w:hAnsi="Arial" w:cs="Arial"/>
                <w:sz w:val="18"/>
                <w:szCs w:val="18"/>
                <w:lang w:val="es-PE"/>
              </w:rPr>
            </w:pPr>
          </w:p>
          <w:p w14:paraId="0BDB83F2" w14:textId="77777777" w:rsidR="00BA0225" w:rsidRPr="00307B21" w:rsidRDefault="00BA0225" w:rsidP="00895676">
            <w:pPr>
              <w:rPr>
                <w:rFonts w:ascii="Arial" w:hAnsi="Arial" w:cs="Arial"/>
                <w:sz w:val="18"/>
                <w:szCs w:val="18"/>
                <w:lang w:val="es-PE"/>
              </w:rPr>
            </w:pPr>
            <w:r>
              <w:rPr>
                <w:rFonts w:ascii="Arial" w:hAnsi="Arial" w:cs="Arial"/>
                <w:sz w:val="18"/>
                <w:szCs w:val="18"/>
                <w:lang w:val="es-PE"/>
              </w:rPr>
              <w:t>Proyectos que afectan tierras de pueblos indígenas vulnerables</w:t>
            </w:r>
          </w:p>
        </w:tc>
      </w:tr>
      <w:tr w:rsidR="00BA0225" w:rsidRPr="001D39E9" w14:paraId="4C24CC8A" w14:textId="77777777" w:rsidTr="00895676">
        <w:trPr>
          <w:trHeight w:val="269"/>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ABB7F9" w14:textId="77777777" w:rsidR="00BA0225" w:rsidRDefault="00BA0225" w:rsidP="00895676">
            <w:pPr>
              <w:rPr>
                <w:rFonts w:ascii="Arial" w:hAnsi="Arial" w:cs="Arial"/>
                <w:color w:val="000000"/>
                <w:sz w:val="18"/>
                <w:szCs w:val="18"/>
                <w:lang w:val="es-PE"/>
              </w:rPr>
            </w:pPr>
            <w:r>
              <w:rPr>
                <w:rFonts w:ascii="Arial" w:hAnsi="Arial" w:cs="Arial"/>
                <w:color w:val="000000"/>
                <w:sz w:val="18"/>
                <w:szCs w:val="18"/>
                <w:lang w:val="es-PE"/>
              </w:rPr>
              <w:t>Riesgos de seguridad</w:t>
            </w:r>
          </w:p>
          <w:p w14:paraId="1FBDA54C" w14:textId="77777777" w:rsidR="00BA0225" w:rsidRPr="00904884" w:rsidRDefault="00BA0225" w:rsidP="00895676">
            <w:pPr>
              <w:rPr>
                <w:rFonts w:ascii="Arial" w:hAnsi="Arial" w:cs="Arial"/>
                <w:color w:val="000000"/>
                <w:sz w:val="18"/>
                <w:szCs w:val="18"/>
                <w:lang w:val="es-PE"/>
              </w:rPr>
            </w:pPr>
          </w:p>
        </w:tc>
        <w:tc>
          <w:tcPr>
            <w:tcW w:w="998" w:type="pct"/>
            <w:tcBorders>
              <w:top w:val="nil"/>
              <w:left w:val="nil"/>
              <w:bottom w:val="single" w:sz="8" w:space="0" w:color="auto"/>
              <w:right w:val="single" w:sz="8" w:space="0" w:color="auto"/>
            </w:tcBorders>
          </w:tcPr>
          <w:p w14:paraId="497B2648" w14:textId="77777777" w:rsidR="00BA0225" w:rsidRPr="00904884" w:rsidRDefault="00BA0225" w:rsidP="00895676">
            <w:pPr>
              <w:ind w:left="83"/>
              <w:rPr>
                <w:rFonts w:ascii="Arial" w:hAnsi="Arial" w:cs="Arial"/>
                <w:sz w:val="18"/>
                <w:szCs w:val="18"/>
                <w:lang w:val="es-ES"/>
              </w:rPr>
            </w:pPr>
            <w:r>
              <w:rPr>
                <w:rFonts w:ascii="Arial" w:hAnsi="Arial" w:cs="Arial"/>
                <w:sz w:val="18"/>
                <w:szCs w:val="18"/>
                <w:lang w:val="es-ES"/>
              </w:rPr>
              <w:t>Proyecto situado en</w:t>
            </w:r>
            <w:r w:rsidRPr="00904884">
              <w:rPr>
                <w:rFonts w:ascii="Arial" w:hAnsi="Arial" w:cs="Arial"/>
                <w:sz w:val="18"/>
                <w:szCs w:val="18"/>
                <w:lang w:val="es-ES"/>
              </w:rPr>
              <w:t xml:space="preserve"> estados </w:t>
            </w:r>
            <w:r>
              <w:rPr>
                <w:rFonts w:ascii="Arial" w:hAnsi="Arial" w:cs="Arial"/>
                <w:sz w:val="18"/>
                <w:szCs w:val="18"/>
                <w:lang w:val="es-ES"/>
              </w:rPr>
              <w:t xml:space="preserve">(regiones) con: i) problemas de gobernabilidad; ii) </w:t>
            </w:r>
            <w:r w:rsidRPr="00904884">
              <w:rPr>
                <w:rFonts w:ascii="Arial" w:hAnsi="Arial" w:cs="Arial"/>
                <w:sz w:val="18"/>
                <w:szCs w:val="18"/>
                <w:lang w:val="es-ES"/>
              </w:rPr>
              <w:t xml:space="preserve">riesgo </w:t>
            </w:r>
            <w:r>
              <w:rPr>
                <w:rFonts w:ascii="Arial" w:hAnsi="Arial" w:cs="Arial"/>
                <w:sz w:val="18"/>
                <w:szCs w:val="18"/>
                <w:lang w:val="es-ES"/>
              </w:rPr>
              <w:t xml:space="preserve">de violencia </w:t>
            </w:r>
            <w:r w:rsidRPr="00904884">
              <w:rPr>
                <w:rFonts w:ascii="Arial" w:hAnsi="Arial" w:cs="Arial"/>
                <w:sz w:val="18"/>
                <w:szCs w:val="18"/>
                <w:lang w:val="es-ES"/>
              </w:rPr>
              <w:t>alto generalizado.</w:t>
            </w:r>
          </w:p>
        </w:tc>
        <w:tc>
          <w:tcPr>
            <w:tcW w:w="986" w:type="pct"/>
            <w:tcBorders>
              <w:top w:val="nil"/>
              <w:left w:val="nil"/>
              <w:bottom w:val="single" w:sz="8" w:space="0" w:color="auto"/>
              <w:right w:val="single" w:sz="8" w:space="0" w:color="auto"/>
            </w:tcBorders>
          </w:tcPr>
          <w:p w14:paraId="1478718C" w14:textId="77777777" w:rsidR="00BA0225" w:rsidRPr="00904884" w:rsidRDefault="00BA0225" w:rsidP="00895676">
            <w:pPr>
              <w:ind w:left="91"/>
              <w:rPr>
                <w:rFonts w:ascii="Arial" w:hAnsi="Arial" w:cs="Arial"/>
                <w:sz w:val="18"/>
                <w:szCs w:val="18"/>
                <w:lang w:val="es-ES"/>
              </w:rPr>
            </w:pPr>
            <w:r>
              <w:rPr>
                <w:rFonts w:ascii="Arial" w:hAnsi="Arial" w:cs="Arial"/>
                <w:sz w:val="18"/>
                <w:szCs w:val="18"/>
                <w:lang w:val="es-ES"/>
              </w:rPr>
              <w:t>Proyecto situado</w:t>
            </w:r>
            <w:r w:rsidRPr="00904884">
              <w:rPr>
                <w:rFonts w:ascii="Arial" w:hAnsi="Arial" w:cs="Arial"/>
                <w:sz w:val="18"/>
                <w:szCs w:val="18"/>
                <w:lang w:val="es-ES"/>
              </w:rPr>
              <w:t xml:space="preserve"> en</w:t>
            </w:r>
            <w:r>
              <w:rPr>
                <w:rFonts w:ascii="Arial" w:hAnsi="Arial" w:cs="Arial"/>
                <w:sz w:val="18"/>
                <w:szCs w:val="18"/>
                <w:lang w:val="es-ES"/>
              </w:rPr>
              <w:t>:</w:t>
            </w:r>
            <w:r w:rsidRPr="00904884">
              <w:rPr>
                <w:rFonts w:ascii="Arial" w:hAnsi="Arial" w:cs="Arial"/>
                <w:sz w:val="18"/>
                <w:szCs w:val="18"/>
                <w:lang w:val="es-ES"/>
              </w:rPr>
              <w:t xml:space="preserve"> </w:t>
            </w:r>
            <w:r>
              <w:rPr>
                <w:rFonts w:ascii="Arial" w:hAnsi="Arial" w:cs="Arial"/>
                <w:sz w:val="18"/>
                <w:szCs w:val="18"/>
                <w:lang w:val="es-ES"/>
              </w:rPr>
              <w:t xml:space="preserve">i) </w:t>
            </w:r>
            <w:r w:rsidRPr="00904884">
              <w:rPr>
                <w:rFonts w:ascii="Arial" w:hAnsi="Arial" w:cs="Arial"/>
                <w:sz w:val="18"/>
                <w:szCs w:val="18"/>
                <w:lang w:val="es-ES"/>
              </w:rPr>
              <w:t xml:space="preserve">estados </w:t>
            </w:r>
            <w:r>
              <w:rPr>
                <w:rFonts w:ascii="Arial" w:hAnsi="Arial" w:cs="Arial"/>
                <w:sz w:val="18"/>
                <w:szCs w:val="18"/>
                <w:lang w:val="es-ES"/>
              </w:rPr>
              <w:t xml:space="preserve">(regiones) </w:t>
            </w:r>
            <w:r w:rsidRPr="00904884">
              <w:rPr>
                <w:rFonts w:ascii="Arial" w:hAnsi="Arial" w:cs="Arial"/>
                <w:sz w:val="18"/>
                <w:szCs w:val="18"/>
                <w:lang w:val="es-ES"/>
              </w:rPr>
              <w:t xml:space="preserve">con </w:t>
            </w:r>
            <w:r>
              <w:rPr>
                <w:rFonts w:ascii="Arial" w:hAnsi="Arial" w:cs="Arial"/>
                <w:sz w:val="18"/>
                <w:szCs w:val="18"/>
                <w:lang w:val="es-ES"/>
              </w:rPr>
              <w:t xml:space="preserve">gobernabilidad; ii) </w:t>
            </w:r>
            <w:r w:rsidRPr="00904884">
              <w:rPr>
                <w:rFonts w:ascii="Arial" w:hAnsi="Arial" w:cs="Arial"/>
                <w:sz w:val="18"/>
                <w:szCs w:val="18"/>
                <w:lang w:val="es-ES"/>
              </w:rPr>
              <w:t xml:space="preserve">riesgo alto limitado a una sola </w:t>
            </w:r>
            <w:r>
              <w:rPr>
                <w:rFonts w:ascii="Arial" w:hAnsi="Arial" w:cs="Arial"/>
                <w:sz w:val="18"/>
                <w:szCs w:val="18"/>
                <w:lang w:val="es-ES"/>
              </w:rPr>
              <w:t>área/</w:t>
            </w:r>
            <w:r w:rsidRPr="00904884">
              <w:rPr>
                <w:rFonts w:ascii="Arial" w:hAnsi="Arial" w:cs="Arial"/>
                <w:sz w:val="18"/>
                <w:szCs w:val="18"/>
                <w:lang w:val="es-ES"/>
              </w:rPr>
              <w:t>ciudad</w:t>
            </w:r>
            <w:r>
              <w:rPr>
                <w:rFonts w:ascii="Arial" w:hAnsi="Arial" w:cs="Arial"/>
                <w:sz w:val="18"/>
                <w:szCs w:val="18"/>
                <w:lang w:val="es-ES"/>
              </w:rPr>
              <w:t>;</w:t>
            </w:r>
            <w:r w:rsidRPr="00904884">
              <w:rPr>
                <w:rFonts w:ascii="Arial" w:hAnsi="Arial" w:cs="Arial"/>
                <w:sz w:val="18"/>
                <w:szCs w:val="18"/>
                <w:lang w:val="es-ES"/>
              </w:rPr>
              <w:t xml:space="preserve"> y </w:t>
            </w:r>
            <w:r>
              <w:rPr>
                <w:rFonts w:ascii="Arial" w:hAnsi="Arial" w:cs="Arial"/>
                <w:sz w:val="18"/>
                <w:szCs w:val="18"/>
                <w:lang w:val="es-ES"/>
              </w:rPr>
              <w:t xml:space="preserve">iii) </w:t>
            </w:r>
            <w:r w:rsidRPr="00904884">
              <w:rPr>
                <w:rFonts w:ascii="Arial" w:hAnsi="Arial" w:cs="Arial"/>
                <w:sz w:val="18"/>
                <w:szCs w:val="18"/>
                <w:lang w:val="es-ES"/>
              </w:rPr>
              <w:t>la concesión se encuentra en</w:t>
            </w:r>
            <w:r>
              <w:rPr>
                <w:rFonts w:ascii="Arial" w:hAnsi="Arial" w:cs="Arial"/>
                <w:sz w:val="18"/>
                <w:szCs w:val="18"/>
                <w:lang w:val="es-ES"/>
              </w:rPr>
              <w:t xml:space="preserve"> una zona cercana a una </w:t>
            </w:r>
            <w:r w:rsidRPr="00904884">
              <w:rPr>
                <w:rFonts w:ascii="Arial" w:hAnsi="Arial" w:cs="Arial"/>
                <w:sz w:val="18"/>
                <w:szCs w:val="18"/>
                <w:lang w:val="es-ES"/>
              </w:rPr>
              <w:t>ciudad</w:t>
            </w:r>
            <w:r>
              <w:rPr>
                <w:rFonts w:ascii="Arial" w:hAnsi="Arial" w:cs="Arial"/>
                <w:sz w:val="18"/>
                <w:szCs w:val="18"/>
                <w:lang w:val="es-ES"/>
              </w:rPr>
              <w:t xml:space="preserve"> o </w:t>
            </w:r>
            <w:r>
              <w:rPr>
                <w:rFonts w:ascii="Arial" w:hAnsi="Arial" w:cs="Arial"/>
                <w:sz w:val="18"/>
                <w:szCs w:val="18"/>
                <w:lang w:val="es-ES"/>
              </w:rPr>
              <w:lastRenderedPageBreak/>
              <w:t xml:space="preserve">tiene acceso a medios de seguridad. </w:t>
            </w:r>
          </w:p>
        </w:tc>
        <w:tc>
          <w:tcPr>
            <w:tcW w:w="941" w:type="pct"/>
            <w:tcBorders>
              <w:top w:val="nil"/>
              <w:left w:val="nil"/>
              <w:bottom w:val="single" w:sz="8" w:space="0" w:color="auto"/>
              <w:right w:val="single" w:sz="8" w:space="0" w:color="auto"/>
            </w:tcBorders>
          </w:tcPr>
          <w:p w14:paraId="6BA8D615" w14:textId="77777777" w:rsidR="00BA0225" w:rsidRPr="00904884" w:rsidRDefault="00BA0225" w:rsidP="00895676">
            <w:pPr>
              <w:ind w:left="87"/>
              <w:rPr>
                <w:rFonts w:ascii="Arial" w:hAnsi="Arial" w:cs="Arial"/>
                <w:sz w:val="18"/>
                <w:szCs w:val="18"/>
                <w:lang w:val="es-ES"/>
              </w:rPr>
            </w:pPr>
            <w:r w:rsidRPr="00904884">
              <w:rPr>
                <w:rFonts w:ascii="Arial" w:hAnsi="Arial" w:cs="Arial"/>
                <w:sz w:val="18"/>
                <w:szCs w:val="18"/>
                <w:lang w:val="es-ES"/>
              </w:rPr>
              <w:lastRenderedPageBreak/>
              <w:t>P</w:t>
            </w:r>
            <w:r>
              <w:rPr>
                <w:rFonts w:ascii="Arial" w:hAnsi="Arial" w:cs="Arial"/>
                <w:sz w:val="18"/>
                <w:szCs w:val="18"/>
                <w:lang w:val="es-ES"/>
              </w:rPr>
              <w:t>royecto situado</w:t>
            </w:r>
            <w:r w:rsidRPr="00904884">
              <w:rPr>
                <w:rFonts w:ascii="Arial" w:hAnsi="Arial" w:cs="Arial"/>
                <w:sz w:val="18"/>
                <w:szCs w:val="18"/>
                <w:lang w:val="es-ES"/>
              </w:rPr>
              <w:t xml:space="preserve"> en estados con riesgo medio o bajo.</w:t>
            </w:r>
          </w:p>
        </w:tc>
        <w:tc>
          <w:tcPr>
            <w:tcW w:w="843" w:type="pct"/>
            <w:tcBorders>
              <w:top w:val="nil"/>
              <w:left w:val="nil"/>
              <w:bottom w:val="single" w:sz="8" w:space="0" w:color="auto"/>
              <w:right w:val="single" w:sz="8" w:space="0" w:color="auto"/>
            </w:tcBorders>
          </w:tcPr>
          <w:p w14:paraId="4729D5BF" w14:textId="77777777" w:rsidR="00BA0225" w:rsidRDefault="00BA0225" w:rsidP="00895676">
            <w:pPr>
              <w:ind w:left="83"/>
              <w:rPr>
                <w:rFonts w:ascii="Arial" w:hAnsi="Arial" w:cs="Arial"/>
                <w:sz w:val="18"/>
                <w:szCs w:val="18"/>
                <w:lang w:val="es-ES"/>
              </w:rPr>
            </w:pPr>
            <w:r>
              <w:rPr>
                <w:rFonts w:ascii="Arial" w:hAnsi="Arial" w:cs="Arial"/>
                <w:sz w:val="18"/>
                <w:szCs w:val="18"/>
                <w:lang w:val="es-ES"/>
              </w:rPr>
              <w:t>Proyecto situado</w:t>
            </w:r>
            <w:r w:rsidRPr="00904884">
              <w:rPr>
                <w:rFonts w:ascii="Arial" w:hAnsi="Arial" w:cs="Arial"/>
                <w:sz w:val="18"/>
                <w:szCs w:val="18"/>
                <w:lang w:val="es-ES"/>
              </w:rPr>
              <w:t xml:space="preserve"> en zona de conflicto armado</w:t>
            </w:r>
            <w:r>
              <w:rPr>
                <w:rFonts w:ascii="Arial" w:hAnsi="Arial" w:cs="Arial"/>
                <w:sz w:val="18"/>
                <w:szCs w:val="18"/>
                <w:lang w:val="es-ES"/>
              </w:rPr>
              <w:t xml:space="preserve"> y/o violencia generalizada constante</w:t>
            </w:r>
            <w:r w:rsidRPr="00904884">
              <w:rPr>
                <w:rFonts w:ascii="Arial" w:hAnsi="Arial" w:cs="Arial"/>
                <w:sz w:val="18"/>
                <w:szCs w:val="18"/>
                <w:lang w:val="es-ES"/>
              </w:rPr>
              <w:t>.</w:t>
            </w:r>
          </w:p>
          <w:p w14:paraId="2AF9CC71" w14:textId="77777777" w:rsidR="00BA0225" w:rsidRPr="00904884" w:rsidRDefault="00BA0225" w:rsidP="00895676">
            <w:pPr>
              <w:ind w:left="83"/>
              <w:rPr>
                <w:rFonts w:ascii="Arial" w:hAnsi="Arial" w:cs="Arial"/>
                <w:sz w:val="18"/>
                <w:szCs w:val="18"/>
                <w:lang w:val="es-ES"/>
              </w:rPr>
            </w:pPr>
            <w:r>
              <w:rPr>
                <w:rFonts w:ascii="Arial" w:hAnsi="Arial" w:cs="Arial"/>
                <w:sz w:val="18"/>
                <w:szCs w:val="18"/>
                <w:lang w:val="es-ES"/>
              </w:rPr>
              <w:t>Ver punto 14.10</w:t>
            </w:r>
          </w:p>
        </w:tc>
      </w:tr>
      <w:tr w:rsidR="00BA0225" w:rsidRPr="00904884" w14:paraId="1680296D" w14:textId="77777777" w:rsidTr="00895676">
        <w:trPr>
          <w:trHeight w:val="170"/>
        </w:trPr>
        <w:tc>
          <w:tcPr>
            <w:tcW w:w="5000" w:type="pct"/>
            <w:gridSpan w:val="5"/>
            <w:tcBorders>
              <w:top w:val="nil"/>
              <w:left w:val="single" w:sz="8" w:space="0" w:color="auto"/>
              <w:bottom w:val="single" w:sz="8" w:space="0" w:color="auto"/>
              <w:right w:val="single" w:sz="8" w:space="0" w:color="000000"/>
            </w:tcBorders>
            <w:shd w:val="clear" w:color="auto" w:fill="E7E6E6"/>
            <w:tcMar>
              <w:top w:w="0" w:type="dxa"/>
              <w:left w:w="108" w:type="dxa"/>
              <w:bottom w:w="0" w:type="dxa"/>
              <w:right w:w="108" w:type="dxa"/>
            </w:tcMar>
            <w:vAlign w:val="center"/>
            <w:hideMark/>
          </w:tcPr>
          <w:p w14:paraId="3AC79A88" w14:textId="77777777" w:rsidR="00BA0225" w:rsidRPr="00904884" w:rsidRDefault="00BA0225" w:rsidP="00895676">
            <w:pPr>
              <w:rPr>
                <w:rFonts w:ascii="Arial" w:hAnsi="Arial" w:cs="Arial"/>
                <w:b/>
                <w:bCs/>
                <w:color w:val="000000"/>
                <w:sz w:val="18"/>
                <w:szCs w:val="18"/>
                <w:lang w:val="es-PE"/>
              </w:rPr>
            </w:pPr>
            <w:r w:rsidRPr="00904884">
              <w:rPr>
                <w:rFonts w:ascii="Arial" w:hAnsi="Arial" w:cs="Arial"/>
                <w:b/>
                <w:bCs/>
                <w:color w:val="000000"/>
                <w:sz w:val="18"/>
                <w:szCs w:val="18"/>
                <w:lang w:val="es-PE"/>
              </w:rPr>
              <w:t>Recursos Culturales</w:t>
            </w:r>
          </w:p>
        </w:tc>
      </w:tr>
      <w:tr w:rsidR="00BA0225" w:rsidRPr="009F1487" w14:paraId="531EE1D4" w14:textId="77777777" w:rsidTr="00895676">
        <w:trPr>
          <w:trHeight w:val="251"/>
        </w:trPr>
        <w:tc>
          <w:tcPr>
            <w:tcW w:w="1232"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DC20227" w14:textId="77777777" w:rsidR="00BA0225" w:rsidRDefault="00BA0225" w:rsidP="00895676">
            <w:pPr>
              <w:rPr>
                <w:rFonts w:ascii="Arial" w:hAnsi="Arial" w:cs="Arial"/>
                <w:color w:val="000000"/>
                <w:sz w:val="18"/>
                <w:szCs w:val="18"/>
                <w:lang w:val="es-PE"/>
              </w:rPr>
            </w:pPr>
            <w:r w:rsidRPr="00AE2425">
              <w:rPr>
                <w:rFonts w:ascii="Arial" w:hAnsi="Arial" w:cs="Arial"/>
                <w:color w:val="000000"/>
                <w:sz w:val="18"/>
                <w:szCs w:val="18"/>
                <w:lang w:val="es-PE"/>
              </w:rPr>
              <w:t>Sitios arqueol</w:t>
            </w:r>
            <w:r>
              <w:rPr>
                <w:rFonts w:ascii="Arial" w:hAnsi="Arial" w:cs="Arial"/>
                <w:color w:val="000000"/>
                <w:sz w:val="18"/>
                <w:szCs w:val="18"/>
                <w:lang w:val="es-PE"/>
              </w:rPr>
              <w:t xml:space="preserve">ógicos clasificados (INAH) y/o de interés cultural local, con valor tradicional y/o cultural para los habitantes circunvecinos. </w:t>
            </w:r>
          </w:p>
          <w:p w14:paraId="26D97DEB" w14:textId="77777777" w:rsidR="00BA0225" w:rsidRDefault="00BA0225" w:rsidP="00895676">
            <w:pPr>
              <w:rPr>
                <w:rFonts w:ascii="Arial" w:hAnsi="Arial" w:cs="Arial"/>
                <w:color w:val="000000"/>
                <w:sz w:val="18"/>
                <w:szCs w:val="18"/>
                <w:lang w:val="es-PE"/>
              </w:rPr>
            </w:pPr>
            <w:r>
              <w:rPr>
                <w:rFonts w:ascii="Arial" w:hAnsi="Arial" w:cs="Arial"/>
                <w:color w:val="000000"/>
                <w:sz w:val="18"/>
                <w:szCs w:val="18"/>
                <w:lang w:val="es-PE"/>
              </w:rPr>
              <w:t>Aplica a sitios existentes reconocidos, en proceso y a hallazgos fortuitos.</w:t>
            </w:r>
          </w:p>
          <w:p w14:paraId="00C05B7E" w14:textId="77777777" w:rsidR="00BA0225" w:rsidRDefault="00BA0225" w:rsidP="00895676">
            <w:pPr>
              <w:rPr>
                <w:rFonts w:ascii="Arial" w:hAnsi="Arial" w:cs="Arial"/>
                <w:color w:val="000000"/>
                <w:sz w:val="18"/>
                <w:szCs w:val="18"/>
                <w:lang w:val="es-PE"/>
              </w:rPr>
            </w:pPr>
          </w:p>
          <w:p w14:paraId="6E82B04F" w14:textId="77777777" w:rsidR="00BA0225" w:rsidRPr="00AE2425" w:rsidRDefault="00BA0225" w:rsidP="00895676">
            <w:pPr>
              <w:rPr>
                <w:rFonts w:ascii="Arial" w:hAnsi="Arial" w:cs="Arial"/>
                <w:color w:val="000000"/>
                <w:sz w:val="18"/>
                <w:szCs w:val="18"/>
                <w:lang w:val="es-PE"/>
              </w:rPr>
            </w:pPr>
          </w:p>
        </w:tc>
        <w:tc>
          <w:tcPr>
            <w:tcW w:w="998" w:type="pct"/>
            <w:tcBorders>
              <w:top w:val="nil"/>
              <w:left w:val="nil"/>
              <w:bottom w:val="single" w:sz="8" w:space="0" w:color="auto"/>
              <w:right w:val="single" w:sz="8" w:space="0" w:color="auto"/>
            </w:tcBorders>
            <w:shd w:val="clear" w:color="auto" w:fill="auto"/>
          </w:tcPr>
          <w:p w14:paraId="26B2C81A" w14:textId="77777777" w:rsidR="00BA0225" w:rsidRDefault="00BA0225" w:rsidP="00895676">
            <w:pPr>
              <w:ind w:left="83"/>
              <w:rPr>
                <w:rFonts w:ascii="Arial" w:hAnsi="Arial" w:cs="Arial"/>
                <w:color w:val="000000"/>
                <w:sz w:val="18"/>
                <w:szCs w:val="18"/>
                <w:lang w:val="es-PE"/>
              </w:rPr>
            </w:pPr>
            <w:r>
              <w:rPr>
                <w:rFonts w:ascii="Arial" w:hAnsi="Arial" w:cs="Arial"/>
                <w:color w:val="000000"/>
                <w:sz w:val="18"/>
                <w:szCs w:val="18"/>
                <w:lang w:val="es-PE"/>
              </w:rPr>
              <w:t xml:space="preserve">El proyecto puede causar: i) impactos indirectos (i.e., impacto visual, restricción acceso, ruido) y/o impactos directos (i.e., ocasionar daños fiscos al sitio) durante la construcción y/ operación en </w:t>
            </w:r>
          </w:p>
          <w:p w14:paraId="33B36723" w14:textId="77777777" w:rsidR="00BA0225" w:rsidRPr="00A27810" w:rsidRDefault="00BA0225" w:rsidP="00895676">
            <w:pPr>
              <w:ind w:left="83"/>
              <w:rPr>
                <w:rFonts w:ascii="Arial" w:hAnsi="Arial" w:cs="Arial"/>
                <w:color w:val="000000"/>
                <w:sz w:val="18"/>
                <w:szCs w:val="18"/>
                <w:lang w:val="es-PE"/>
              </w:rPr>
            </w:pPr>
            <w:r>
              <w:rPr>
                <w:rFonts w:ascii="Arial" w:hAnsi="Arial" w:cs="Arial"/>
                <w:color w:val="000000"/>
                <w:sz w:val="18"/>
                <w:szCs w:val="18"/>
                <w:lang w:val="es-PE"/>
              </w:rPr>
              <w:t xml:space="preserve">sitios arqueológicos clasificados (INAH) y/o con valor cultural local reconocido; ii) que pueden ser mitigados con ajustes al proyecto y medidas de protección acordadas con el INAH y/o las autoridades locales; iii) se establece un plan de manejo de sitio aprobado por el INAH o la autoridad local en su caso. </w:t>
            </w:r>
          </w:p>
        </w:tc>
        <w:tc>
          <w:tcPr>
            <w:tcW w:w="986" w:type="pct"/>
            <w:tcBorders>
              <w:top w:val="nil"/>
              <w:left w:val="nil"/>
              <w:bottom w:val="single" w:sz="8" w:space="0" w:color="auto"/>
              <w:right w:val="single" w:sz="8" w:space="0" w:color="auto"/>
            </w:tcBorders>
            <w:shd w:val="clear" w:color="auto" w:fill="auto"/>
          </w:tcPr>
          <w:p w14:paraId="04886D74" w14:textId="77777777" w:rsidR="00BA0225" w:rsidRPr="00A27810" w:rsidRDefault="00BA0225" w:rsidP="00895676">
            <w:pPr>
              <w:ind w:left="91" w:right="81"/>
              <w:rPr>
                <w:rFonts w:ascii="Arial" w:hAnsi="Arial" w:cs="Arial"/>
                <w:color w:val="000000"/>
                <w:sz w:val="18"/>
                <w:szCs w:val="18"/>
                <w:lang w:val="es-PE"/>
              </w:rPr>
            </w:pPr>
            <w:r>
              <w:rPr>
                <w:rFonts w:ascii="Arial" w:hAnsi="Arial" w:cs="Arial"/>
                <w:color w:val="000000"/>
                <w:sz w:val="18"/>
                <w:szCs w:val="18"/>
                <w:lang w:val="es-PE"/>
              </w:rPr>
              <w:t>El Proyecto puede ocasionar impactos indirectos menores durante la construcción y/o operación en sitios sitios arqueológicos no clasificados o con valor cultural local reconocido; ii) requieren de medidas de protección aprobadas por INAH y/o autoridades locales.</w:t>
            </w:r>
          </w:p>
        </w:tc>
        <w:tc>
          <w:tcPr>
            <w:tcW w:w="941" w:type="pct"/>
            <w:tcBorders>
              <w:top w:val="nil"/>
              <w:left w:val="nil"/>
              <w:bottom w:val="single" w:sz="8" w:space="0" w:color="auto"/>
              <w:right w:val="single" w:sz="8" w:space="0" w:color="auto"/>
            </w:tcBorders>
            <w:shd w:val="clear" w:color="auto" w:fill="auto"/>
          </w:tcPr>
          <w:p w14:paraId="00DBB66A" w14:textId="77777777" w:rsidR="00BA0225" w:rsidRDefault="00BA0225" w:rsidP="00895676">
            <w:pPr>
              <w:ind w:left="87"/>
              <w:rPr>
                <w:rFonts w:ascii="Arial" w:hAnsi="Arial" w:cs="Arial"/>
                <w:color w:val="000000"/>
                <w:sz w:val="18"/>
                <w:szCs w:val="18"/>
                <w:lang w:val="es-PE"/>
              </w:rPr>
            </w:pPr>
            <w:r>
              <w:rPr>
                <w:rFonts w:ascii="Arial" w:hAnsi="Arial" w:cs="Arial"/>
                <w:color w:val="000000"/>
                <w:sz w:val="18"/>
                <w:szCs w:val="18"/>
                <w:lang w:val="es-PE"/>
              </w:rPr>
              <w:t xml:space="preserve">Proyecto en: i) sitios donde no existen sitios arqueológicos clasificados y/o de interés cultural </w:t>
            </w:r>
          </w:p>
          <w:p w14:paraId="07F1A7A0" w14:textId="77777777" w:rsidR="00BA0225" w:rsidRPr="00A257EE" w:rsidRDefault="00BA0225" w:rsidP="00895676">
            <w:pPr>
              <w:ind w:left="87"/>
              <w:rPr>
                <w:rFonts w:ascii="Arial" w:hAnsi="Arial" w:cs="Arial"/>
                <w:color w:val="000000"/>
                <w:sz w:val="18"/>
                <w:szCs w:val="18"/>
                <w:lang w:val="es-PE"/>
              </w:rPr>
            </w:pPr>
            <w:r>
              <w:rPr>
                <w:rFonts w:ascii="Arial" w:hAnsi="Arial" w:cs="Arial"/>
                <w:color w:val="000000"/>
                <w:sz w:val="18"/>
                <w:szCs w:val="18"/>
                <w:lang w:val="es-PE"/>
              </w:rPr>
              <w:t xml:space="preserve">No se encuentran sitios arqueológicos o de valor cultural l dentro del área directa del proyecto; ii) riesgo de impacto mínimo y mitigable; se aplican medidas de protección. </w:t>
            </w:r>
          </w:p>
        </w:tc>
        <w:tc>
          <w:tcPr>
            <w:tcW w:w="843" w:type="pct"/>
            <w:tcBorders>
              <w:top w:val="nil"/>
              <w:left w:val="nil"/>
              <w:bottom w:val="single" w:sz="8" w:space="0" w:color="auto"/>
              <w:right w:val="single" w:sz="8" w:space="0" w:color="auto"/>
            </w:tcBorders>
            <w:shd w:val="clear" w:color="auto" w:fill="auto"/>
          </w:tcPr>
          <w:p w14:paraId="5CB8518F" w14:textId="77777777" w:rsidR="00BA0225" w:rsidRDefault="00BA0225" w:rsidP="00895676">
            <w:pPr>
              <w:ind w:left="104" w:right="87"/>
              <w:rPr>
                <w:rFonts w:ascii="Arial" w:hAnsi="Arial" w:cs="Arial"/>
                <w:color w:val="000000"/>
                <w:sz w:val="18"/>
                <w:szCs w:val="18"/>
                <w:lang w:val="es-ES_tradnl"/>
              </w:rPr>
            </w:pPr>
            <w:r>
              <w:rPr>
                <w:rFonts w:ascii="Arial" w:hAnsi="Arial" w:cs="Arial"/>
                <w:color w:val="000000"/>
                <w:sz w:val="18"/>
                <w:szCs w:val="18"/>
                <w:lang w:val="es-ES_tradnl"/>
              </w:rPr>
              <w:t xml:space="preserve">El </w:t>
            </w:r>
            <w:r w:rsidRPr="009F1487">
              <w:rPr>
                <w:rFonts w:ascii="Arial" w:hAnsi="Arial" w:cs="Arial"/>
                <w:color w:val="000000"/>
                <w:sz w:val="18"/>
                <w:szCs w:val="18"/>
                <w:lang w:val="es-ES_tradnl"/>
              </w:rPr>
              <w:t xml:space="preserve">proyecto y/o </w:t>
            </w:r>
            <w:r>
              <w:rPr>
                <w:rFonts w:ascii="Arial" w:hAnsi="Arial" w:cs="Arial"/>
                <w:color w:val="000000"/>
                <w:sz w:val="18"/>
                <w:szCs w:val="18"/>
                <w:lang w:val="es-ES_tradnl"/>
              </w:rPr>
              <w:t xml:space="preserve">la </w:t>
            </w:r>
            <w:r w:rsidRPr="009F1487">
              <w:rPr>
                <w:rFonts w:ascii="Arial" w:hAnsi="Arial" w:cs="Arial"/>
                <w:color w:val="000000"/>
                <w:sz w:val="18"/>
                <w:szCs w:val="18"/>
                <w:lang w:val="es-ES_tradnl"/>
              </w:rPr>
              <w:t xml:space="preserve">concesión </w:t>
            </w:r>
            <w:r>
              <w:rPr>
                <w:rFonts w:ascii="Arial" w:hAnsi="Arial" w:cs="Arial"/>
                <w:color w:val="000000"/>
                <w:sz w:val="18"/>
                <w:szCs w:val="18"/>
                <w:lang w:val="es-ES_tradnl"/>
              </w:rPr>
              <w:t xml:space="preserve">se superpone con sitios arqueológicos </w:t>
            </w:r>
            <w:r w:rsidRPr="009F1487">
              <w:rPr>
                <w:rFonts w:ascii="Arial" w:hAnsi="Arial" w:cs="Arial"/>
                <w:color w:val="000000"/>
                <w:sz w:val="18"/>
                <w:szCs w:val="18"/>
                <w:lang w:val="es-ES_tradnl"/>
              </w:rPr>
              <w:t>c</w:t>
            </w:r>
            <w:r>
              <w:rPr>
                <w:rFonts w:ascii="Arial" w:hAnsi="Arial" w:cs="Arial"/>
                <w:color w:val="000000"/>
                <w:sz w:val="18"/>
                <w:szCs w:val="18"/>
                <w:lang w:val="es-ES_tradnl"/>
              </w:rPr>
              <w:t xml:space="preserve">lasificados por </w:t>
            </w:r>
          </w:p>
          <w:p w14:paraId="261DB547" w14:textId="77777777" w:rsidR="00BA0225" w:rsidRDefault="00BA0225" w:rsidP="00895676">
            <w:pPr>
              <w:ind w:left="104" w:right="87"/>
              <w:rPr>
                <w:rFonts w:ascii="Arial" w:hAnsi="Arial" w:cs="Arial"/>
                <w:color w:val="000000"/>
                <w:sz w:val="18"/>
                <w:szCs w:val="18"/>
                <w:lang w:val="es-ES_tradnl"/>
              </w:rPr>
            </w:pPr>
            <w:r>
              <w:rPr>
                <w:rFonts w:ascii="Arial" w:hAnsi="Arial" w:cs="Arial"/>
                <w:color w:val="000000"/>
                <w:sz w:val="18"/>
                <w:szCs w:val="18"/>
                <w:lang w:val="es-ES_tradnl"/>
              </w:rPr>
              <w:t xml:space="preserve">Sitios arqueológicos críticos/protegidos por </w:t>
            </w:r>
          </w:p>
          <w:p w14:paraId="5CC02A2D" w14:textId="77777777" w:rsidR="00BA0225" w:rsidRPr="009F1487" w:rsidRDefault="00BA0225" w:rsidP="00895676">
            <w:pPr>
              <w:ind w:left="104" w:right="87"/>
              <w:rPr>
                <w:rFonts w:ascii="Arial" w:hAnsi="Arial" w:cs="Arial"/>
                <w:color w:val="000000"/>
                <w:sz w:val="18"/>
                <w:szCs w:val="18"/>
                <w:lang w:val="es-ES_tradnl"/>
              </w:rPr>
            </w:pPr>
            <w:r>
              <w:rPr>
                <w:rFonts w:ascii="Arial" w:hAnsi="Arial" w:cs="Arial"/>
                <w:color w:val="000000"/>
                <w:sz w:val="18"/>
                <w:szCs w:val="18"/>
                <w:lang w:val="es-ES_tradnl"/>
              </w:rPr>
              <w:t>el INAH y/o autoridad local. Cuya afectación pueda derivar en conflictos locales.</w:t>
            </w:r>
            <w:r w:rsidRPr="009F1487">
              <w:rPr>
                <w:rFonts w:ascii="Arial" w:hAnsi="Arial" w:cs="Arial"/>
                <w:color w:val="000000"/>
                <w:sz w:val="18"/>
                <w:szCs w:val="18"/>
                <w:lang w:val="es-ES_tradnl"/>
              </w:rPr>
              <w:t xml:space="preserve">  </w:t>
            </w:r>
          </w:p>
        </w:tc>
      </w:tr>
      <w:tr w:rsidR="00BA0225" w:rsidRPr="00A27810" w14:paraId="19FFBC5D" w14:textId="77777777" w:rsidTr="00895676">
        <w:trPr>
          <w:trHeight w:val="287"/>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CA67EB" w14:textId="77777777" w:rsidR="00BA0225" w:rsidRPr="00A81CD7" w:rsidRDefault="00BA0225" w:rsidP="00895676">
            <w:pPr>
              <w:rPr>
                <w:rFonts w:ascii="Arial" w:hAnsi="Arial" w:cs="Arial"/>
                <w:color w:val="000000"/>
                <w:sz w:val="18"/>
                <w:szCs w:val="18"/>
                <w:lang w:val="es-CO"/>
              </w:rPr>
            </w:pPr>
            <w:r w:rsidRPr="00A81CD7">
              <w:rPr>
                <w:rFonts w:ascii="Arial" w:hAnsi="Arial" w:cs="Arial"/>
                <w:color w:val="000000"/>
                <w:sz w:val="18"/>
                <w:szCs w:val="18"/>
                <w:lang w:val="es-CO"/>
              </w:rPr>
              <w:t>Sitios arqueológicos conocidos</w:t>
            </w:r>
            <w:r>
              <w:rPr>
                <w:rFonts w:ascii="Arial" w:hAnsi="Arial" w:cs="Arial"/>
                <w:color w:val="000000"/>
                <w:sz w:val="18"/>
                <w:szCs w:val="18"/>
                <w:lang w:val="es-CO"/>
              </w:rPr>
              <w:t xml:space="preserve"> no clasificados. Aplican las mismas restricciones que en el punto anterior sujetos a un Plan de Evaluación/Protección Arqueológica aprobado por el INAH/ autoridades locales.</w:t>
            </w:r>
          </w:p>
          <w:p w14:paraId="0A017D6A" w14:textId="77777777" w:rsidR="00BA0225" w:rsidRPr="00A27810" w:rsidRDefault="00BA0225" w:rsidP="00895676">
            <w:pPr>
              <w:rPr>
                <w:rFonts w:ascii="Arial" w:hAnsi="Arial" w:cs="Arial"/>
                <w:color w:val="000000"/>
                <w:sz w:val="18"/>
                <w:szCs w:val="18"/>
                <w:lang w:val="es-PE"/>
              </w:rPr>
            </w:pPr>
            <w:r w:rsidRPr="009F1487">
              <w:rPr>
                <w:rFonts w:ascii="Arial" w:hAnsi="Arial" w:cs="Arial"/>
                <w:color w:val="000000"/>
                <w:sz w:val="18"/>
                <w:szCs w:val="18"/>
                <w:lang w:val="es-ES_tradnl"/>
              </w:rPr>
              <w:t>(</w:t>
            </w:r>
            <w:r w:rsidRPr="00A27810">
              <w:rPr>
                <w:rFonts w:ascii="Arial" w:hAnsi="Arial" w:cs="Arial"/>
                <w:color w:val="000000"/>
                <w:sz w:val="18"/>
                <w:szCs w:val="18"/>
                <w:lang w:val="es-PE"/>
              </w:rPr>
              <w:t xml:space="preserve">Patrimonio Cultural potencialmente Crítico, Replicable o No Replicable que aún no se ha evaluado) </w:t>
            </w:r>
          </w:p>
          <w:p w14:paraId="7634F338" w14:textId="77777777" w:rsidR="00BA0225" w:rsidRPr="00A27810" w:rsidRDefault="00BA0225" w:rsidP="00895676">
            <w:pPr>
              <w:rPr>
                <w:rFonts w:ascii="Arial" w:hAnsi="Arial" w:cs="Arial"/>
                <w:color w:val="000000"/>
                <w:sz w:val="18"/>
                <w:szCs w:val="18"/>
                <w:lang w:val="es-PE"/>
              </w:rPr>
            </w:pPr>
          </w:p>
        </w:tc>
        <w:tc>
          <w:tcPr>
            <w:tcW w:w="998" w:type="pct"/>
            <w:tcBorders>
              <w:top w:val="nil"/>
              <w:left w:val="nil"/>
              <w:bottom w:val="single" w:sz="8" w:space="0" w:color="auto"/>
              <w:right w:val="single" w:sz="8" w:space="0" w:color="auto"/>
            </w:tcBorders>
          </w:tcPr>
          <w:p w14:paraId="68638F85" w14:textId="77777777" w:rsidR="00BA0225" w:rsidRPr="00A27810" w:rsidRDefault="00BA0225" w:rsidP="00895676">
            <w:pPr>
              <w:rPr>
                <w:rFonts w:ascii="Arial" w:hAnsi="Arial" w:cs="Arial"/>
                <w:color w:val="000000"/>
                <w:sz w:val="18"/>
                <w:szCs w:val="18"/>
                <w:lang w:val="es-PE"/>
              </w:rPr>
            </w:pPr>
            <w:r>
              <w:rPr>
                <w:rFonts w:ascii="Arial" w:hAnsi="Arial" w:cs="Arial"/>
                <w:color w:val="000000"/>
                <w:sz w:val="18"/>
                <w:szCs w:val="18"/>
                <w:lang w:val="es-PE"/>
              </w:rPr>
              <w:t xml:space="preserve"> El Plan de Evaluación identifica </w:t>
            </w:r>
            <w:r w:rsidRPr="00A27810">
              <w:rPr>
                <w:rFonts w:ascii="Arial" w:hAnsi="Arial" w:cs="Arial"/>
                <w:color w:val="000000"/>
                <w:sz w:val="18"/>
                <w:szCs w:val="18"/>
                <w:lang w:val="es-PE"/>
              </w:rPr>
              <w:t xml:space="preserve">impactos </w:t>
            </w:r>
            <w:r>
              <w:rPr>
                <w:rFonts w:ascii="Arial" w:hAnsi="Arial" w:cs="Arial"/>
                <w:color w:val="000000"/>
                <w:sz w:val="18"/>
                <w:szCs w:val="18"/>
                <w:lang w:val="es-PE"/>
              </w:rPr>
              <w:t>medios y propone medidas de protección/rescate aprobadas por el INAH/autoridades locales.</w:t>
            </w:r>
          </w:p>
        </w:tc>
        <w:tc>
          <w:tcPr>
            <w:tcW w:w="986" w:type="pct"/>
            <w:tcBorders>
              <w:top w:val="nil"/>
              <w:left w:val="nil"/>
              <w:bottom w:val="single" w:sz="8" w:space="0" w:color="auto"/>
              <w:right w:val="single" w:sz="8" w:space="0" w:color="auto"/>
            </w:tcBorders>
          </w:tcPr>
          <w:p w14:paraId="4E85DBF9" w14:textId="77777777" w:rsidR="00BA0225" w:rsidRPr="00A27810" w:rsidRDefault="00BA0225" w:rsidP="00895676">
            <w:pPr>
              <w:ind w:left="91"/>
              <w:rPr>
                <w:rFonts w:ascii="Arial" w:hAnsi="Arial" w:cs="Arial"/>
                <w:color w:val="000000"/>
                <w:sz w:val="18"/>
                <w:szCs w:val="18"/>
                <w:lang w:val="es-PE"/>
              </w:rPr>
            </w:pPr>
            <w:r>
              <w:rPr>
                <w:rFonts w:ascii="Arial" w:hAnsi="Arial" w:cs="Arial"/>
                <w:color w:val="000000"/>
                <w:sz w:val="18"/>
                <w:szCs w:val="18"/>
                <w:lang w:val="es-PE"/>
              </w:rPr>
              <w:t xml:space="preserve">El Plan de Evaluación identifica </w:t>
            </w:r>
            <w:r w:rsidRPr="00A27810">
              <w:rPr>
                <w:rFonts w:ascii="Arial" w:hAnsi="Arial" w:cs="Arial"/>
                <w:color w:val="000000"/>
                <w:sz w:val="18"/>
                <w:szCs w:val="18"/>
                <w:lang w:val="es-PE"/>
              </w:rPr>
              <w:t xml:space="preserve">impactos </w:t>
            </w:r>
            <w:r>
              <w:rPr>
                <w:rFonts w:ascii="Arial" w:hAnsi="Arial" w:cs="Arial"/>
                <w:color w:val="000000"/>
                <w:sz w:val="18"/>
                <w:szCs w:val="18"/>
                <w:lang w:val="es-PE"/>
              </w:rPr>
              <w:t>menores y propone medidas de protección/rescate aprobadas por el INAH/autoridades locales.</w:t>
            </w:r>
          </w:p>
        </w:tc>
        <w:tc>
          <w:tcPr>
            <w:tcW w:w="941" w:type="pct"/>
            <w:tcBorders>
              <w:top w:val="nil"/>
              <w:left w:val="nil"/>
              <w:bottom w:val="single" w:sz="8" w:space="0" w:color="auto"/>
              <w:right w:val="single" w:sz="8" w:space="0" w:color="auto"/>
            </w:tcBorders>
          </w:tcPr>
          <w:p w14:paraId="0054C690" w14:textId="77777777" w:rsidR="00BA0225" w:rsidRPr="0079638A" w:rsidRDefault="00BA0225" w:rsidP="00895676">
            <w:pPr>
              <w:ind w:left="87"/>
              <w:rPr>
                <w:rFonts w:ascii="Arial" w:hAnsi="Arial" w:cs="Arial"/>
                <w:color w:val="000000"/>
                <w:sz w:val="18"/>
                <w:szCs w:val="18"/>
                <w:lang w:val="es-PE"/>
              </w:rPr>
            </w:pPr>
            <w:r w:rsidRPr="00A27810">
              <w:rPr>
                <w:rFonts w:ascii="Arial" w:hAnsi="Arial" w:cs="Arial"/>
                <w:color w:val="000000"/>
                <w:sz w:val="18"/>
                <w:szCs w:val="18"/>
                <w:lang w:val="es-PE"/>
              </w:rPr>
              <w:t xml:space="preserve">No hay sitios </w:t>
            </w:r>
            <w:r>
              <w:rPr>
                <w:rFonts w:ascii="Arial" w:hAnsi="Arial" w:cs="Arial"/>
                <w:color w:val="000000"/>
                <w:sz w:val="18"/>
                <w:szCs w:val="18"/>
                <w:lang w:val="es-PE"/>
              </w:rPr>
              <w:t xml:space="preserve">arqueológicos conocidos </w:t>
            </w:r>
            <w:r w:rsidRPr="00A27810">
              <w:rPr>
                <w:rFonts w:ascii="Arial" w:hAnsi="Arial" w:cs="Arial"/>
                <w:color w:val="000000"/>
                <w:sz w:val="18"/>
                <w:szCs w:val="18"/>
                <w:lang w:val="es-PE"/>
              </w:rPr>
              <w:t xml:space="preserve">dentro del área de concesión. </w:t>
            </w:r>
            <w:r w:rsidRPr="0079638A">
              <w:rPr>
                <w:rFonts w:ascii="Arial" w:hAnsi="Arial" w:cs="Arial"/>
                <w:color w:val="000000"/>
                <w:sz w:val="18"/>
                <w:szCs w:val="18"/>
                <w:lang w:val="es-PE"/>
              </w:rPr>
              <w:t>Baja probabilidad de impacto.</w:t>
            </w:r>
            <w:r>
              <w:rPr>
                <w:rFonts w:ascii="Arial" w:hAnsi="Arial" w:cs="Arial"/>
                <w:color w:val="000000"/>
                <w:sz w:val="18"/>
                <w:szCs w:val="18"/>
                <w:lang w:val="es-PE"/>
              </w:rPr>
              <w:t xml:space="preserve"> Aplica la normatividad de impactos fortuitos</w:t>
            </w:r>
          </w:p>
        </w:tc>
        <w:tc>
          <w:tcPr>
            <w:tcW w:w="843" w:type="pct"/>
            <w:tcBorders>
              <w:top w:val="nil"/>
              <w:left w:val="nil"/>
              <w:bottom w:val="single" w:sz="8" w:space="0" w:color="auto"/>
              <w:right w:val="single" w:sz="8" w:space="0" w:color="auto"/>
            </w:tcBorders>
          </w:tcPr>
          <w:p w14:paraId="4F523364" w14:textId="77777777" w:rsidR="00BA0225" w:rsidRDefault="00BA0225" w:rsidP="00895676">
            <w:pPr>
              <w:ind w:left="104" w:right="87"/>
              <w:rPr>
                <w:rFonts w:ascii="Arial" w:hAnsi="Arial" w:cs="Arial"/>
                <w:color w:val="000000"/>
                <w:sz w:val="18"/>
                <w:szCs w:val="18"/>
                <w:lang w:val="es-PE"/>
              </w:rPr>
            </w:pPr>
          </w:p>
          <w:p w14:paraId="1F8A5C32" w14:textId="77777777" w:rsidR="00BA0225" w:rsidRPr="00A27810" w:rsidRDefault="00BA0225" w:rsidP="00895676">
            <w:pPr>
              <w:ind w:left="104" w:right="87"/>
              <w:rPr>
                <w:rFonts w:ascii="Arial" w:hAnsi="Arial" w:cs="Arial"/>
                <w:color w:val="000000"/>
                <w:sz w:val="18"/>
                <w:szCs w:val="18"/>
                <w:lang w:val="es-PE"/>
              </w:rPr>
            </w:pPr>
            <w:r>
              <w:rPr>
                <w:rFonts w:ascii="Arial" w:hAnsi="Arial" w:cs="Arial"/>
                <w:sz w:val="22"/>
                <w:lang w:val="es-ES"/>
              </w:rPr>
              <w:t xml:space="preserve"> </w:t>
            </w:r>
            <w:r w:rsidRPr="00E800C4">
              <w:rPr>
                <w:rFonts w:ascii="Arial" w:hAnsi="Arial" w:cs="Arial"/>
                <w:sz w:val="18"/>
                <w:lang w:val="es-ES"/>
              </w:rPr>
              <w:t>Proyectos que c</w:t>
            </w:r>
            <w:r w:rsidRPr="00803CFA">
              <w:rPr>
                <w:rFonts w:ascii="Arial" w:hAnsi="Arial" w:cs="Arial"/>
                <w:sz w:val="18"/>
                <w:lang w:val="es-ES"/>
              </w:rPr>
              <w:t>ausen impactos significativos irreversibles sobre sitios culturales críticos</w:t>
            </w:r>
            <w:r w:rsidRPr="008C6E31">
              <w:rPr>
                <w:rFonts w:ascii="Arial" w:hAnsi="Arial" w:cs="Arial"/>
                <w:sz w:val="18"/>
                <w:lang w:val="es-ES"/>
              </w:rPr>
              <w:t xml:space="preserve">, </w:t>
            </w:r>
            <w:r w:rsidRPr="00803CFA">
              <w:rPr>
                <w:rFonts w:ascii="Arial" w:hAnsi="Arial" w:cs="Arial"/>
                <w:sz w:val="18"/>
                <w:lang w:val="es-ES"/>
              </w:rPr>
              <w:t xml:space="preserve">de acuerdo </w:t>
            </w:r>
            <w:r>
              <w:rPr>
                <w:rFonts w:ascii="Arial" w:hAnsi="Arial" w:cs="Arial"/>
                <w:sz w:val="18"/>
                <w:lang w:val="es-ES"/>
              </w:rPr>
              <w:t xml:space="preserve">con </w:t>
            </w:r>
            <w:r w:rsidRPr="00803CFA">
              <w:rPr>
                <w:rFonts w:ascii="Arial" w:hAnsi="Arial" w:cs="Arial"/>
                <w:sz w:val="18"/>
                <w:lang w:val="es-ES"/>
              </w:rPr>
              <w:t>a los principios del BID y la clasificación del INAH.</w:t>
            </w:r>
          </w:p>
        </w:tc>
      </w:tr>
      <w:tr w:rsidR="00BA0225" w:rsidRPr="00D431F8" w14:paraId="2E3803E8" w14:textId="77777777" w:rsidTr="00895676">
        <w:trPr>
          <w:trHeight w:val="269"/>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E9F93B" w14:textId="77777777" w:rsidR="00BA0225" w:rsidRDefault="00BA0225" w:rsidP="00895676">
            <w:pPr>
              <w:rPr>
                <w:rFonts w:ascii="Arial" w:hAnsi="Arial" w:cs="Arial"/>
                <w:color w:val="000000"/>
                <w:sz w:val="18"/>
                <w:szCs w:val="18"/>
                <w:lang w:val="es-PE"/>
              </w:rPr>
            </w:pPr>
            <w:r w:rsidRPr="00D431F8">
              <w:rPr>
                <w:rFonts w:ascii="Arial" w:hAnsi="Arial" w:cs="Arial"/>
                <w:color w:val="000000"/>
                <w:sz w:val="18"/>
                <w:szCs w:val="18"/>
                <w:lang w:val="es-PE"/>
              </w:rPr>
              <w:t>Áreas con alto potencial arqueológico</w:t>
            </w:r>
          </w:p>
          <w:p w14:paraId="650AFDCF" w14:textId="77777777" w:rsidR="00BA0225" w:rsidRPr="00D431F8" w:rsidRDefault="00BA0225" w:rsidP="00895676">
            <w:pPr>
              <w:rPr>
                <w:rFonts w:ascii="Arial" w:hAnsi="Arial" w:cs="Arial"/>
                <w:color w:val="000000"/>
                <w:sz w:val="18"/>
                <w:szCs w:val="18"/>
                <w:lang w:val="es-PE"/>
              </w:rPr>
            </w:pPr>
            <w:r>
              <w:rPr>
                <w:rFonts w:ascii="Arial" w:hAnsi="Arial" w:cs="Arial"/>
                <w:color w:val="000000"/>
                <w:sz w:val="18"/>
                <w:szCs w:val="18"/>
                <w:lang w:val="es-PE"/>
              </w:rPr>
              <w:t>(p</w:t>
            </w:r>
            <w:r w:rsidRPr="00D431F8">
              <w:rPr>
                <w:rFonts w:ascii="Arial" w:hAnsi="Arial" w:cs="Arial"/>
                <w:color w:val="000000"/>
                <w:sz w:val="18"/>
                <w:szCs w:val="18"/>
                <w:lang w:val="es-PE"/>
              </w:rPr>
              <w:t>robablemente contengan sitios arqueológicos no registrados anteriormente</w:t>
            </w:r>
            <w:r>
              <w:rPr>
                <w:rFonts w:ascii="Arial" w:hAnsi="Arial" w:cs="Arial"/>
                <w:color w:val="000000"/>
                <w:sz w:val="18"/>
                <w:szCs w:val="18"/>
                <w:lang w:val="es-PE"/>
              </w:rPr>
              <w:t>)</w:t>
            </w:r>
          </w:p>
        </w:tc>
        <w:tc>
          <w:tcPr>
            <w:tcW w:w="998" w:type="pct"/>
            <w:tcBorders>
              <w:top w:val="nil"/>
              <w:left w:val="nil"/>
              <w:bottom w:val="single" w:sz="8" w:space="0" w:color="auto"/>
              <w:right w:val="single" w:sz="8" w:space="0" w:color="auto"/>
            </w:tcBorders>
          </w:tcPr>
          <w:p w14:paraId="71B7E2F0" w14:textId="77777777" w:rsidR="00BA0225" w:rsidRPr="00D431F8" w:rsidRDefault="00BA0225" w:rsidP="00895676">
            <w:pPr>
              <w:ind w:left="83"/>
              <w:rPr>
                <w:rFonts w:ascii="Arial" w:hAnsi="Arial" w:cs="Arial"/>
                <w:color w:val="000000"/>
                <w:sz w:val="18"/>
                <w:szCs w:val="18"/>
                <w:lang w:val="es-PE"/>
              </w:rPr>
            </w:pPr>
            <w:r>
              <w:rPr>
                <w:rFonts w:ascii="Arial" w:hAnsi="Arial" w:cs="Arial"/>
                <w:color w:val="000000"/>
                <w:sz w:val="18"/>
                <w:szCs w:val="18"/>
                <w:lang w:val="es-PE"/>
              </w:rPr>
              <w:t xml:space="preserve">Existen áreas </w:t>
            </w:r>
            <w:r w:rsidRPr="00D431F8">
              <w:rPr>
                <w:rFonts w:ascii="Arial" w:hAnsi="Arial" w:cs="Arial"/>
                <w:color w:val="000000"/>
                <w:sz w:val="18"/>
                <w:szCs w:val="18"/>
                <w:lang w:val="es-PE"/>
              </w:rPr>
              <w:t>de alto potencial en toda el área de la concesión.</w:t>
            </w:r>
            <w:r>
              <w:rPr>
                <w:rFonts w:ascii="Arial" w:hAnsi="Arial" w:cs="Arial"/>
                <w:color w:val="000000"/>
                <w:sz w:val="18"/>
                <w:szCs w:val="18"/>
                <w:lang w:val="es-PE"/>
              </w:rPr>
              <w:t xml:space="preserve"> Se prepará un Plan de Evaluación Arqueológica y procedimientos en caso de hallazgos fortuitos. </w:t>
            </w:r>
          </w:p>
        </w:tc>
        <w:tc>
          <w:tcPr>
            <w:tcW w:w="986" w:type="pct"/>
            <w:tcBorders>
              <w:top w:val="nil"/>
              <w:left w:val="nil"/>
              <w:bottom w:val="single" w:sz="8" w:space="0" w:color="auto"/>
              <w:right w:val="single" w:sz="8" w:space="0" w:color="auto"/>
            </w:tcBorders>
          </w:tcPr>
          <w:p w14:paraId="368A01E1" w14:textId="77777777" w:rsidR="00BA0225" w:rsidRPr="00D431F8" w:rsidRDefault="00BA0225" w:rsidP="00895676">
            <w:pPr>
              <w:ind w:left="91"/>
              <w:rPr>
                <w:rFonts w:ascii="Arial" w:hAnsi="Arial" w:cs="Arial"/>
                <w:color w:val="000000"/>
                <w:sz w:val="18"/>
                <w:szCs w:val="18"/>
                <w:lang w:val="es-PE"/>
              </w:rPr>
            </w:pPr>
            <w:r>
              <w:rPr>
                <w:rFonts w:ascii="Arial" w:hAnsi="Arial" w:cs="Arial"/>
                <w:color w:val="000000"/>
                <w:sz w:val="18"/>
                <w:szCs w:val="18"/>
                <w:lang w:val="es-PE"/>
              </w:rPr>
              <w:t>Á</w:t>
            </w:r>
            <w:r w:rsidRPr="00D431F8">
              <w:rPr>
                <w:rFonts w:ascii="Arial" w:hAnsi="Arial" w:cs="Arial"/>
                <w:color w:val="000000"/>
                <w:sz w:val="18"/>
                <w:szCs w:val="18"/>
                <w:lang w:val="es-PE"/>
              </w:rPr>
              <w:t>reas de alto potencial están presentes en el área de la concesión, pero están limitadas a E</w:t>
            </w:r>
            <w:r>
              <w:rPr>
                <w:rFonts w:ascii="Arial" w:hAnsi="Arial" w:cs="Arial"/>
                <w:color w:val="000000"/>
                <w:sz w:val="18"/>
                <w:szCs w:val="18"/>
                <w:lang w:val="es-PE"/>
              </w:rPr>
              <w:t xml:space="preserve">l proyecto establece medidas de protección que permite mantener la integridad del sitio y los hallazgos. </w:t>
            </w:r>
          </w:p>
        </w:tc>
        <w:tc>
          <w:tcPr>
            <w:tcW w:w="941" w:type="pct"/>
            <w:tcBorders>
              <w:top w:val="nil"/>
              <w:left w:val="nil"/>
              <w:bottom w:val="single" w:sz="8" w:space="0" w:color="auto"/>
              <w:right w:val="single" w:sz="8" w:space="0" w:color="auto"/>
            </w:tcBorders>
          </w:tcPr>
          <w:p w14:paraId="6776F5C5" w14:textId="77777777" w:rsidR="00BA0225" w:rsidRDefault="00BA0225" w:rsidP="00895676">
            <w:pPr>
              <w:ind w:left="87"/>
              <w:rPr>
                <w:rFonts w:ascii="Arial" w:hAnsi="Arial" w:cs="Arial"/>
                <w:color w:val="000000"/>
                <w:sz w:val="18"/>
                <w:szCs w:val="18"/>
                <w:lang w:val="es-PE"/>
              </w:rPr>
            </w:pPr>
            <w:r w:rsidRPr="00D431F8">
              <w:rPr>
                <w:rFonts w:ascii="Arial" w:hAnsi="Arial" w:cs="Arial"/>
                <w:color w:val="000000"/>
                <w:sz w:val="18"/>
                <w:szCs w:val="18"/>
                <w:lang w:val="es-PE"/>
              </w:rPr>
              <w:t xml:space="preserve">No hay áreas de alto potencial presentes en el área de concesión. </w:t>
            </w:r>
          </w:p>
          <w:p w14:paraId="59BF6905" w14:textId="77777777" w:rsidR="00BA0225" w:rsidRDefault="00BA0225" w:rsidP="00895676">
            <w:pPr>
              <w:ind w:left="87"/>
              <w:rPr>
                <w:rFonts w:ascii="Arial" w:hAnsi="Arial" w:cs="Arial"/>
                <w:color w:val="000000"/>
                <w:sz w:val="18"/>
                <w:szCs w:val="18"/>
                <w:lang w:val="es-PE"/>
              </w:rPr>
            </w:pPr>
          </w:p>
          <w:p w14:paraId="1F2CD895" w14:textId="77777777" w:rsidR="00BA0225" w:rsidRDefault="00BA0225" w:rsidP="00895676">
            <w:pPr>
              <w:ind w:left="87"/>
              <w:rPr>
                <w:rFonts w:ascii="Arial" w:hAnsi="Arial" w:cs="Arial"/>
                <w:color w:val="000000"/>
                <w:sz w:val="18"/>
                <w:szCs w:val="18"/>
                <w:lang w:val="es-PE"/>
              </w:rPr>
            </w:pPr>
            <w:r>
              <w:rPr>
                <w:rFonts w:ascii="Arial" w:hAnsi="Arial" w:cs="Arial"/>
                <w:color w:val="000000"/>
                <w:sz w:val="18"/>
                <w:szCs w:val="18"/>
                <w:lang w:val="es-PE"/>
              </w:rPr>
              <w:t xml:space="preserve">El proyecto fuera del área potencial y no presenta posibilidad de impacto. </w:t>
            </w:r>
          </w:p>
          <w:p w14:paraId="167D97F6" w14:textId="77777777" w:rsidR="00BA0225" w:rsidRDefault="00BA0225" w:rsidP="00895676">
            <w:pPr>
              <w:ind w:left="87"/>
              <w:rPr>
                <w:rFonts w:ascii="Arial" w:hAnsi="Arial" w:cs="Arial"/>
                <w:color w:val="000000"/>
                <w:sz w:val="18"/>
                <w:szCs w:val="18"/>
                <w:lang w:val="es-PE"/>
              </w:rPr>
            </w:pPr>
          </w:p>
          <w:p w14:paraId="6B3B64F2" w14:textId="77777777" w:rsidR="00BA0225" w:rsidRPr="00904884" w:rsidRDefault="00BA0225" w:rsidP="00895676">
            <w:pPr>
              <w:ind w:left="87"/>
              <w:rPr>
                <w:rFonts w:ascii="Arial" w:hAnsi="Arial" w:cs="Arial"/>
                <w:color w:val="000000"/>
                <w:sz w:val="18"/>
                <w:szCs w:val="18"/>
              </w:rPr>
            </w:pPr>
            <w:r w:rsidRPr="0079638A">
              <w:rPr>
                <w:rFonts w:ascii="Arial" w:hAnsi="Arial" w:cs="Arial"/>
                <w:color w:val="000000"/>
                <w:sz w:val="18"/>
                <w:szCs w:val="18"/>
                <w:lang w:val="es-PE"/>
              </w:rPr>
              <w:t>.</w:t>
            </w:r>
          </w:p>
        </w:tc>
        <w:tc>
          <w:tcPr>
            <w:tcW w:w="843" w:type="pct"/>
            <w:tcBorders>
              <w:top w:val="nil"/>
              <w:left w:val="nil"/>
              <w:bottom w:val="single" w:sz="8" w:space="0" w:color="auto"/>
              <w:right w:val="single" w:sz="8" w:space="0" w:color="auto"/>
            </w:tcBorders>
          </w:tcPr>
          <w:p w14:paraId="609C9B09" w14:textId="77777777" w:rsidR="00BA0225" w:rsidRDefault="00BA0225" w:rsidP="00895676">
            <w:pPr>
              <w:ind w:left="104" w:right="87"/>
              <w:rPr>
                <w:rFonts w:ascii="Arial" w:hAnsi="Arial" w:cs="Arial"/>
                <w:color w:val="000000"/>
                <w:sz w:val="18"/>
                <w:szCs w:val="18"/>
                <w:lang w:val="es-PE"/>
              </w:rPr>
            </w:pPr>
          </w:p>
          <w:p w14:paraId="72F4A3AC" w14:textId="77777777" w:rsidR="00BA0225" w:rsidRPr="00D431F8" w:rsidRDefault="00BA0225" w:rsidP="00895676">
            <w:pPr>
              <w:ind w:left="104" w:right="87"/>
              <w:rPr>
                <w:rFonts w:ascii="Arial" w:hAnsi="Arial" w:cs="Arial"/>
                <w:color w:val="000000"/>
                <w:sz w:val="18"/>
                <w:szCs w:val="18"/>
                <w:lang w:val="es-PE"/>
              </w:rPr>
            </w:pPr>
            <w:r>
              <w:rPr>
                <w:rFonts w:ascii="Arial" w:hAnsi="Arial" w:cs="Arial"/>
                <w:color w:val="000000"/>
                <w:sz w:val="18"/>
                <w:szCs w:val="18"/>
                <w:lang w:val="es-PE"/>
              </w:rPr>
              <w:t>Existen sitios de potencial patrimonial que pueden ser afectados por el proyecto y/o crear conflictos serios con organizaciones locales.</w:t>
            </w:r>
          </w:p>
        </w:tc>
      </w:tr>
      <w:tr w:rsidR="00BA0225" w:rsidRPr="00D431F8" w14:paraId="73E989EC" w14:textId="77777777" w:rsidTr="00895676">
        <w:trPr>
          <w:trHeight w:val="269"/>
        </w:trPr>
        <w:tc>
          <w:tcPr>
            <w:tcW w:w="1232" w:type="pct"/>
            <w:tcBorders>
              <w:top w:val="nil"/>
              <w:left w:val="single" w:sz="8" w:space="0" w:color="auto"/>
              <w:bottom w:val="nil"/>
              <w:right w:val="single" w:sz="8" w:space="0" w:color="auto"/>
            </w:tcBorders>
            <w:tcMar>
              <w:top w:w="0" w:type="dxa"/>
              <w:left w:w="108" w:type="dxa"/>
              <w:bottom w:w="0" w:type="dxa"/>
              <w:right w:w="108" w:type="dxa"/>
            </w:tcMar>
            <w:hideMark/>
          </w:tcPr>
          <w:p w14:paraId="35FAB007" w14:textId="77777777" w:rsidR="00BA0225" w:rsidRDefault="00BA0225" w:rsidP="00895676">
            <w:pPr>
              <w:rPr>
                <w:rFonts w:ascii="Arial" w:hAnsi="Arial" w:cs="Arial"/>
                <w:color w:val="000000"/>
                <w:sz w:val="18"/>
                <w:szCs w:val="18"/>
                <w:lang w:val="es-PE"/>
              </w:rPr>
            </w:pPr>
            <w:r w:rsidRPr="00D431F8">
              <w:rPr>
                <w:rFonts w:ascii="Arial" w:hAnsi="Arial" w:cs="Arial"/>
                <w:color w:val="000000"/>
                <w:sz w:val="18"/>
                <w:szCs w:val="18"/>
                <w:lang w:val="es-PE"/>
              </w:rPr>
              <w:t>Áreas con alto potencial</w:t>
            </w:r>
            <w:r>
              <w:rPr>
                <w:rFonts w:ascii="Arial" w:hAnsi="Arial" w:cs="Arial"/>
                <w:color w:val="000000"/>
                <w:sz w:val="18"/>
                <w:szCs w:val="18"/>
                <w:lang w:val="es-PE"/>
              </w:rPr>
              <w:t xml:space="preserve"> para sitios de patrimonio vivo, de valor cultural local y/o con uso tradicional no protegidos por el INAH.</w:t>
            </w:r>
            <w:r w:rsidRPr="00D431F8">
              <w:rPr>
                <w:rFonts w:ascii="Arial" w:hAnsi="Arial" w:cs="Arial"/>
                <w:color w:val="000000"/>
                <w:sz w:val="18"/>
                <w:szCs w:val="18"/>
                <w:lang w:val="es-PE"/>
              </w:rPr>
              <w:t xml:space="preserve"> </w:t>
            </w:r>
          </w:p>
          <w:p w14:paraId="6D3FC0BA" w14:textId="77777777" w:rsidR="00BA0225" w:rsidRPr="00D431F8" w:rsidRDefault="00BA0225" w:rsidP="00895676">
            <w:pPr>
              <w:rPr>
                <w:rFonts w:ascii="Arial" w:hAnsi="Arial" w:cs="Arial"/>
                <w:color w:val="000000"/>
                <w:sz w:val="18"/>
                <w:szCs w:val="18"/>
                <w:lang w:val="es-PE"/>
              </w:rPr>
            </w:pPr>
          </w:p>
        </w:tc>
        <w:tc>
          <w:tcPr>
            <w:tcW w:w="998" w:type="pct"/>
            <w:tcBorders>
              <w:top w:val="nil"/>
              <w:left w:val="nil"/>
              <w:bottom w:val="nil"/>
              <w:right w:val="single" w:sz="8" w:space="0" w:color="auto"/>
            </w:tcBorders>
          </w:tcPr>
          <w:p w14:paraId="41D184A6" w14:textId="77777777" w:rsidR="00BA0225" w:rsidRDefault="00BA0225" w:rsidP="00895676">
            <w:pPr>
              <w:ind w:left="83"/>
              <w:rPr>
                <w:rFonts w:ascii="Arial" w:hAnsi="Arial" w:cs="Arial"/>
                <w:color w:val="000000"/>
                <w:sz w:val="18"/>
                <w:szCs w:val="18"/>
                <w:lang w:val="es-PE"/>
              </w:rPr>
            </w:pPr>
            <w:r>
              <w:rPr>
                <w:rFonts w:ascii="Arial" w:hAnsi="Arial" w:cs="Arial"/>
                <w:color w:val="000000"/>
                <w:sz w:val="18"/>
                <w:szCs w:val="18"/>
                <w:lang w:val="es-PE"/>
              </w:rPr>
              <w:t xml:space="preserve">El proyecto se ubica: i) en tierras ejidales y/o comunales; ii) en sitios con valor tradicional para poblaciones indígenas; iii) de valor </w:t>
            </w:r>
            <w:r>
              <w:rPr>
                <w:rFonts w:ascii="Arial" w:hAnsi="Arial" w:cs="Arial"/>
                <w:color w:val="000000"/>
                <w:sz w:val="18"/>
                <w:szCs w:val="18"/>
                <w:lang w:val="es-PE"/>
              </w:rPr>
              <w:lastRenderedPageBreak/>
              <w:t>cultural para poblaciones locales; iii) puede ocasionar un impacto significativo mitigable con ajustes de diseño y medidas de protección.</w:t>
            </w:r>
          </w:p>
          <w:p w14:paraId="1DDAAF7F" w14:textId="77777777" w:rsidR="00BA0225" w:rsidRPr="00D431F8" w:rsidRDefault="00BA0225" w:rsidP="00895676">
            <w:pPr>
              <w:ind w:left="83"/>
              <w:rPr>
                <w:rFonts w:ascii="Arial" w:hAnsi="Arial" w:cs="Arial"/>
                <w:color w:val="000000"/>
                <w:sz w:val="18"/>
                <w:szCs w:val="18"/>
                <w:lang w:val="es-PE"/>
              </w:rPr>
            </w:pPr>
            <w:r w:rsidRPr="00D431F8">
              <w:rPr>
                <w:rFonts w:ascii="Arial" w:hAnsi="Arial" w:cs="Arial"/>
                <w:color w:val="000000"/>
                <w:sz w:val="18"/>
                <w:szCs w:val="18"/>
                <w:lang w:val="es-PE"/>
              </w:rPr>
              <w:t>.</w:t>
            </w:r>
          </w:p>
        </w:tc>
        <w:tc>
          <w:tcPr>
            <w:tcW w:w="986" w:type="pct"/>
            <w:tcBorders>
              <w:top w:val="nil"/>
              <w:left w:val="nil"/>
              <w:bottom w:val="nil"/>
              <w:right w:val="single" w:sz="8" w:space="0" w:color="auto"/>
            </w:tcBorders>
          </w:tcPr>
          <w:p w14:paraId="698B50C8" w14:textId="77777777" w:rsidR="00BA0225" w:rsidRDefault="00BA0225" w:rsidP="00895676">
            <w:pPr>
              <w:ind w:left="83"/>
              <w:rPr>
                <w:rFonts w:ascii="Arial" w:hAnsi="Arial" w:cs="Arial"/>
                <w:color w:val="000000"/>
                <w:sz w:val="18"/>
                <w:szCs w:val="18"/>
                <w:lang w:val="es-PE"/>
              </w:rPr>
            </w:pPr>
            <w:r>
              <w:rPr>
                <w:rFonts w:ascii="Arial" w:hAnsi="Arial" w:cs="Arial"/>
                <w:color w:val="000000"/>
                <w:sz w:val="18"/>
                <w:szCs w:val="18"/>
                <w:lang w:val="es-PE"/>
              </w:rPr>
              <w:lastRenderedPageBreak/>
              <w:t xml:space="preserve">El proyecto incluye: i) una proporción menor de tierras ejidales y/o comunales; ii) en sitios con valor tradicional para poblaciones </w:t>
            </w:r>
            <w:r>
              <w:rPr>
                <w:rFonts w:ascii="Arial" w:hAnsi="Arial" w:cs="Arial"/>
                <w:color w:val="000000"/>
                <w:sz w:val="18"/>
                <w:szCs w:val="18"/>
                <w:lang w:val="es-PE"/>
              </w:rPr>
              <w:lastRenderedPageBreak/>
              <w:t>indígenas; iii) de valor cultual para poblaciones locales;</w:t>
            </w:r>
          </w:p>
          <w:p w14:paraId="20A70AF5" w14:textId="77777777" w:rsidR="00BA0225" w:rsidRDefault="00BA0225" w:rsidP="00895676">
            <w:pPr>
              <w:ind w:left="91"/>
              <w:rPr>
                <w:rFonts w:ascii="Arial" w:hAnsi="Arial" w:cs="Arial"/>
                <w:color w:val="000000"/>
                <w:sz w:val="18"/>
                <w:szCs w:val="18"/>
                <w:lang w:val="es-PE"/>
              </w:rPr>
            </w:pPr>
            <w:r>
              <w:rPr>
                <w:rFonts w:ascii="Arial" w:hAnsi="Arial" w:cs="Arial"/>
                <w:color w:val="000000"/>
                <w:sz w:val="18"/>
                <w:szCs w:val="18"/>
                <w:lang w:val="es-PE"/>
              </w:rPr>
              <w:t>iv) puede ocasionar un impactos limitados y mitigables con ajustes de diseño y medidas de protección</w:t>
            </w:r>
          </w:p>
          <w:p w14:paraId="435C2DF9" w14:textId="77777777" w:rsidR="00BA0225" w:rsidRDefault="00BA0225" w:rsidP="00895676">
            <w:pPr>
              <w:ind w:left="91"/>
              <w:rPr>
                <w:rFonts w:ascii="Arial" w:hAnsi="Arial" w:cs="Arial"/>
                <w:color w:val="000000"/>
                <w:sz w:val="18"/>
                <w:szCs w:val="18"/>
                <w:lang w:val="es-PE"/>
              </w:rPr>
            </w:pPr>
          </w:p>
          <w:p w14:paraId="425C828C" w14:textId="77777777" w:rsidR="00BA0225" w:rsidRPr="00D431F8" w:rsidRDefault="00BA0225" w:rsidP="00895676">
            <w:pPr>
              <w:ind w:left="91"/>
              <w:rPr>
                <w:rFonts w:ascii="Arial" w:hAnsi="Arial" w:cs="Arial"/>
                <w:color w:val="000000"/>
                <w:sz w:val="18"/>
                <w:szCs w:val="18"/>
                <w:lang w:val="es-PE"/>
              </w:rPr>
            </w:pPr>
          </w:p>
        </w:tc>
        <w:tc>
          <w:tcPr>
            <w:tcW w:w="941" w:type="pct"/>
            <w:tcBorders>
              <w:top w:val="nil"/>
              <w:left w:val="nil"/>
              <w:bottom w:val="nil"/>
              <w:right w:val="single" w:sz="8" w:space="0" w:color="auto"/>
            </w:tcBorders>
          </w:tcPr>
          <w:p w14:paraId="72090D92" w14:textId="77777777" w:rsidR="00BA0225" w:rsidRDefault="00BA0225" w:rsidP="00895676">
            <w:pPr>
              <w:ind w:left="87"/>
              <w:rPr>
                <w:rFonts w:ascii="Arial" w:hAnsi="Arial" w:cs="Arial"/>
                <w:color w:val="000000"/>
                <w:sz w:val="18"/>
                <w:szCs w:val="18"/>
                <w:lang w:val="es-PE"/>
              </w:rPr>
            </w:pPr>
            <w:r>
              <w:rPr>
                <w:rFonts w:ascii="Arial" w:hAnsi="Arial" w:cs="Arial"/>
                <w:color w:val="000000"/>
                <w:sz w:val="18"/>
                <w:szCs w:val="18"/>
                <w:lang w:val="es-PE"/>
              </w:rPr>
              <w:lastRenderedPageBreak/>
              <w:t xml:space="preserve">El proyecto no incluye dentro de su área tierras ejidales y/o comunales; ii) sitios con valor tradicional para poblaciones </w:t>
            </w:r>
            <w:r>
              <w:rPr>
                <w:rFonts w:ascii="Arial" w:hAnsi="Arial" w:cs="Arial"/>
                <w:color w:val="000000"/>
                <w:sz w:val="18"/>
                <w:szCs w:val="18"/>
                <w:lang w:val="es-PE"/>
              </w:rPr>
              <w:lastRenderedPageBreak/>
              <w:t>indígenas; iii) y/o de valor cultural para poblaciones locales; iii)</w:t>
            </w:r>
          </w:p>
          <w:p w14:paraId="605A9CA3" w14:textId="77777777" w:rsidR="00BA0225" w:rsidRPr="00904884" w:rsidRDefault="00BA0225" w:rsidP="00895676">
            <w:pPr>
              <w:ind w:left="87"/>
              <w:rPr>
                <w:rFonts w:ascii="Arial" w:hAnsi="Arial" w:cs="Arial"/>
                <w:color w:val="000000"/>
                <w:sz w:val="18"/>
                <w:szCs w:val="18"/>
              </w:rPr>
            </w:pPr>
            <w:r w:rsidRPr="00D431F8">
              <w:rPr>
                <w:rFonts w:ascii="Arial" w:hAnsi="Arial" w:cs="Arial"/>
                <w:color w:val="000000"/>
                <w:sz w:val="18"/>
                <w:szCs w:val="18"/>
                <w:lang w:val="es-PE"/>
              </w:rPr>
              <w:t xml:space="preserve">No existen ejidos en el área de concesión. </w:t>
            </w:r>
            <w:r w:rsidRPr="00D44D3C">
              <w:rPr>
                <w:rFonts w:ascii="Arial" w:hAnsi="Arial" w:cs="Arial"/>
                <w:color w:val="000000"/>
                <w:sz w:val="18"/>
                <w:szCs w:val="18"/>
                <w:lang w:val="es-CO"/>
              </w:rPr>
              <w:t>Baja probabilidad de impacto.</w:t>
            </w:r>
          </w:p>
        </w:tc>
        <w:tc>
          <w:tcPr>
            <w:tcW w:w="843" w:type="pct"/>
            <w:tcBorders>
              <w:top w:val="nil"/>
              <w:left w:val="nil"/>
              <w:bottom w:val="nil"/>
              <w:right w:val="single" w:sz="8" w:space="0" w:color="auto"/>
            </w:tcBorders>
          </w:tcPr>
          <w:p w14:paraId="0F380A23" w14:textId="77777777" w:rsidR="00BA0225" w:rsidRPr="00D431F8" w:rsidRDefault="00BA0225" w:rsidP="00895676">
            <w:pPr>
              <w:ind w:left="104" w:right="87"/>
              <w:rPr>
                <w:rFonts w:ascii="Arial" w:hAnsi="Arial" w:cs="Arial"/>
                <w:color w:val="000000"/>
                <w:sz w:val="18"/>
                <w:szCs w:val="18"/>
                <w:lang w:val="es-PE"/>
              </w:rPr>
            </w:pPr>
            <w:r>
              <w:rPr>
                <w:rFonts w:ascii="Arial" w:hAnsi="Arial" w:cs="Arial"/>
                <w:color w:val="000000"/>
                <w:sz w:val="18"/>
                <w:szCs w:val="18"/>
                <w:lang w:val="es-PE"/>
              </w:rPr>
              <w:lastRenderedPageBreak/>
              <w:t xml:space="preserve">El proyecto no es elegible si afecta de manera irreversible los sitios de patrimonio vivo, de </w:t>
            </w:r>
            <w:r>
              <w:rPr>
                <w:rFonts w:ascii="Arial" w:hAnsi="Arial" w:cs="Arial"/>
                <w:color w:val="000000"/>
                <w:sz w:val="18"/>
                <w:szCs w:val="18"/>
                <w:lang w:val="es-PE"/>
              </w:rPr>
              <w:lastRenderedPageBreak/>
              <w:t xml:space="preserve">valor cultural local y/o con uso tradicional aún sí no protegidos por el INAH. </w:t>
            </w:r>
          </w:p>
        </w:tc>
      </w:tr>
      <w:tr w:rsidR="00BA0225" w:rsidRPr="00904884" w14:paraId="4C826966" w14:textId="77777777" w:rsidTr="00895676">
        <w:trPr>
          <w:trHeight w:val="288"/>
        </w:trPr>
        <w:tc>
          <w:tcPr>
            <w:tcW w:w="5000" w:type="pct"/>
            <w:gridSpan w:val="5"/>
            <w:tcBorders>
              <w:top w:val="single" w:sz="8" w:space="0" w:color="auto"/>
              <w:left w:val="single" w:sz="8" w:space="0" w:color="auto"/>
              <w:bottom w:val="single" w:sz="8" w:space="0" w:color="auto"/>
              <w:right w:val="single" w:sz="8" w:space="0" w:color="000000"/>
            </w:tcBorders>
            <w:shd w:val="clear" w:color="auto" w:fill="E7E6E6"/>
            <w:tcMar>
              <w:top w:w="0" w:type="dxa"/>
              <w:left w:w="108" w:type="dxa"/>
              <w:bottom w:w="0" w:type="dxa"/>
              <w:right w:w="108" w:type="dxa"/>
            </w:tcMar>
            <w:vAlign w:val="center"/>
            <w:hideMark/>
          </w:tcPr>
          <w:p w14:paraId="615D1F30" w14:textId="77777777" w:rsidR="00BA0225" w:rsidRPr="00904884" w:rsidRDefault="00BA0225" w:rsidP="00895676">
            <w:pPr>
              <w:rPr>
                <w:rFonts w:ascii="Arial" w:hAnsi="Arial" w:cs="Arial"/>
                <w:b/>
                <w:bCs/>
                <w:color w:val="000000"/>
                <w:sz w:val="18"/>
                <w:szCs w:val="18"/>
                <w:lang w:val="es-PE"/>
              </w:rPr>
            </w:pPr>
            <w:r w:rsidRPr="00904884">
              <w:rPr>
                <w:rFonts w:ascii="Arial" w:hAnsi="Arial" w:cs="Arial"/>
                <w:b/>
                <w:bCs/>
                <w:color w:val="000000"/>
                <w:sz w:val="18"/>
                <w:szCs w:val="18"/>
                <w:lang w:val="es-PE"/>
              </w:rPr>
              <w:lastRenderedPageBreak/>
              <w:t>Biodiversidad</w:t>
            </w:r>
          </w:p>
        </w:tc>
      </w:tr>
      <w:tr w:rsidR="00BA0225" w:rsidRPr="00904884" w14:paraId="4E611518" w14:textId="77777777" w:rsidTr="00895676">
        <w:trPr>
          <w:trHeight w:val="188"/>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125CA6" w14:textId="77777777" w:rsidR="00BA0225" w:rsidRPr="00904884" w:rsidRDefault="00BA0225" w:rsidP="00895676">
            <w:pPr>
              <w:rPr>
                <w:rFonts w:ascii="Arial" w:hAnsi="Arial" w:cs="Arial"/>
                <w:color w:val="000000"/>
                <w:sz w:val="18"/>
                <w:szCs w:val="18"/>
                <w:lang w:val="es-PE"/>
              </w:rPr>
            </w:pPr>
            <w:r>
              <w:rPr>
                <w:rFonts w:ascii="Arial" w:hAnsi="Arial" w:cs="Arial"/>
                <w:color w:val="000000"/>
                <w:sz w:val="18"/>
                <w:szCs w:val="18"/>
                <w:lang w:val="es-PE"/>
              </w:rPr>
              <w:t xml:space="preserve">Especies Amenazadas, </w:t>
            </w:r>
            <w:r w:rsidRPr="00904884">
              <w:rPr>
                <w:rFonts w:ascii="Arial" w:hAnsi="Arial" w:cs="Arial"/>
                <w:color w:val="000000"/>
                <w:sz w:val="18"/>
                <w:szCs w:val="18"/>
                <w:lang w:val="es-PE"/>
              </w:rPr>
              <w:t>en Peligro de Extinción</w:t>
            </w:r>
            <w:r>
              <w:rPr>
                <w:rFonts w:ascii="Arial" w:hAnsi="Arial" w:cs="Arial"/>
                <w:color w:val="000000"/>
                <w:sz w:val="18"/>
                <w:szCs w:val="18"/>
                <w:lang w:val="es-PE"/>
              </w:rPr>
              <w:t xml:space="preserve"> (PE)</w:t>
            </w:r>
            <w:r w:rsidRPr="00904884">
              <w:rPr>
                <w:rFonts w:ascii="Arial" w:hAnsi="Arial" w:cs="Arial"/>
                <w:color w:val="000000"/>
                <w:sz w:val="18"/>
                <w:szCs w:val="18"/>
                <w:lang w:val="es-PE"/>
              </w:rPr>
              <w:t xml:space="preserve"> </w:t>
            </w:r>
            <w:r>
              <w:rPr>
                <w:rFonts w:ascii="Arial" w:hAnsi="Arial" w:cs="Arial"/>
                <w:color w:val="000000"/>
                <w:sz w:val="18"/>
                <w:szCs w:val="18"/>
                <w:lang w:val="es-PE"/>
              </w:rPr>
              <w:t xml:space="preserve">y/o Peligro Crítico (PC) </w:t>
            </w:r>
            <w:r w:rsidRPr="00904884">
              <w:rPr>
                <w:rFonts w:ascii="Arial" w:hAnsi="Arial" w:cs="Arial"/>
                <w:color w:val="000000"/>
                <w:sz w:val="18"/>
                <w:szCs w:val="18"/>
                <w:lang w:val="es-PE"/>
              </w:rPr>
              <w:t>(nacionales y IUCN)</w:t>
            </w:r>
          </w:p>
        </w:tc>
        <w:tc>
          <w:tcPr>
            <w:tcW w:w="998" w:type="pct"/>
            <w:tcBorders>
              <w:top w:val="nil"/>
              <w:left w:val="nil"/>
              <w:bottom w:val="single" w:sz="8" w:space="0" w:color="auto"/>
              <w:right w:val="single" w:sz="8" w:space="0" w:color="auto"/>
            </w:tcBorders>
          </w:tcPr>
          <w:p w14:paraId="55792A0A" w14:textId="77777777" w:rsidR="00BA0225" w:rsidRPr="00904884" w:rsidRDefault="00BA0225" w:rsidP="00895676">
            <w:pPr>
              <w:ind w:left="83"/>
              <w:rPr>
                <w:rFonts w:ascii="Arial" w:hAnsi="Arial" w:cs="Arial"/>
                <w:color w:val="000000"/>
                <w:sz w:val="18"/>
                <w:szCs w:val="18"/>
                <w:lang w:val="es-PE"/>
              </w:rPr>
            </w:pPr>
            <w:r>
              <w:rPr>
                <w:rFonts w:ascii="Arial" w:hAnsi="Arial" w:cs="Arial"/>
                <w:sz w:val="18"/>
                <w:szCs w:val="18"/>
                <w:lang w:val="es-PE"/>
              </w:rPr>
              <w:t xml:space="preserve">El Proyecto se superpone con sitios </w:t>
            </w:r>
            <w:r w:rsidRPr="00904884">
              <w:rPr>
                <w:rFonts w:ascii="Arial" w:hAnsi="Arial" w:cs="Arial"/>
                <w:sz w:val="18"/>
                <w:szCs w:val="18"/>
                <w:lang w:val="es-PE"/>
              </w:rPr>
              <w:t>con poblaciones de especies en PC o P</w:t>
            </w:r>
            <w:r>
              <w:rPr>
                <w:rFonts w:ascii="Arial" w:hAnsi="Arial" w:cs="Arial"/>
                <w:sz w:val="18"/>
                <w:szCs w:val="18"/>
                <w:lang w:val="es-PE"/>
              </w:rPr>
              <w:t>E</w:t>
            </w:r>
            <w:r w:rsidRPr="00904884">
              <w:rPr>
                <w:rFonts w:ascii="Arial" w:hAnsi="Arial" w:cs="Arial"/>
                <w:sz w:val="18"/>
                <w:szCs w:val="18"/>
                <w:lang w:val="es-PE"/>
              </w:rPr>
              <w:t xml:space="preserve"> donde hay la posibilidad de impactos negativos significativos </w:t>
            </w:r>
            <w:r>
              <w:rPr>
                <w:rFonts w:ascii="Arial" w:hAnsi="Arial" w:cs="Arial"/>
                <w:sz w:val="18"/>
                <w:szCs w:val="18"/>
                <w:lang w:val="es-PE"/>
              </w:rPr>
              <w:t>pero mitigables. La mitigación puede requerir compensación (offset).</w:t>
            </w:r>
          </w:p>
        </w:tc>
        <w:tc>
          <w:tcPr>
            <w:tcW w:w="986" w:type="pct"/>
            <w:tcBorders>
              <w:top w:val="nil"/>
              <w:left w:val="nil"/>
              <w:bottom w:val="single" w:sz="8" w:space="0" w:color="auto"/>
              <w:right w:val="single" w:sz="8" w:space="0" w:color="auto"/>
            </w:tcBorders>
          </w:tcPr>
          <w:p w14:paraId="244EA464" w14:textId="77777777" w:rsidR="00BA0225" w:rsidRPr="00904884" w:rsidRDefault="00BA0225" w:rsidP="00895676">
            <w:pPr>
              <w:ind w:left="91"/>
              <w:rPr>
                <w:rFonts w:ascii="Arial" w:hAnsi="Arial" w:cs="Arial"/>
                <w:color w:val="000000"/>
                <w:sz w:val="18"/>
                <w:szCs w:val="18"/>
                <w:lang w:val="es-PE"/>
              </w:rPr>
            </w:pPr>
            <w:r>
              <w:rPr>
                <w:rFonts w:ascii="Arial" w:hAnsi="Arial" w:cs="Arial"/>
                <w:sz w:val="18"/>
                <w:szCs w:val="18"/>
                <w:lang w:val="es-PE"/>
              </w:rPr>
              <w:t xml:space="preserve">El Proyecto se superpone con </w:t>
            </w:r>
            <w:r w:rsidRPr="00904884">
              <w:rPr>
                <w:rFonts w:ascii="Arial" w:hAnsi="Arial" w:cs="Arial"/>
                <w:sz w:val="18"/>
                <w:szCs w:val="18"/>
                <w:lang w:val="es-PE"/>
              </w:rPr>
              <w:t>áreas/hábitats donde habitan especies P</w:t>
            </w:r>
            <w:r>
              <w:rPr>
                <w:rFonts w:ascii="Arial" w:hAnsi="Arial" w:cs="Arial"/>
                <w:sz w:val="18"/>
                <w:szCs w:val="18"/>
                <w:lang w:val="es-PE"/>
              </w:rPr>
              <w:t>E</w:t>
            </w:r>
            <w:r w:rsidRPr="00904884">
              <w:rPr>
                <w:rFonts w:ascii="Arial" w:hAnsi="Arial" w:cs="Arial"/>
                <w:sz w:val="18"/>
                <w:szCs w:val="18"/>
                <w:lang w:val="es-PE"/>
              </w:rPr>
              <w:t xml:space="preserve"> y/o PC y existe la posibilidad de causar impactos negativos de corto plazo y locales en sus poblaciones</w:t>
            </w:r>
            <w:r>
              <w:rPr>
                <w:rFonts w:ascii="Arial" w:hAnsi="Arial" w:cs="Arial"/>
                <w:sz w:val="18"/>
                <w:szCs w:val="18"/>
                <w:lang w:val="es-PE"/>
              </w:rPr>
              <w:t>. E</w:t>
            </w:r>
            <w:r w:rsidRPr="00904884">
              <w:rPr>
                <w:rFonts w:ascii="Arial" w:hAnsi="Arial" w:cs="Arial"/>
                <w:sz w:val="18"/>
                <w:szCs w:val="18"/>
                <w:lang w:val="es-PE"/>
              </w:rPr>
              <w:t>stos impactos pueden ser mitigados a través de la aplicación de la jerarquía de mitigación para obtener la no pérdida neta para estos valores de biodiversidad.</w:t>
            </w:r>
          </w:p>
        </w:tc>
        <w:tc>
          <w:tcPr>
            <w:tcW w:w="941" w:type="pct"/>
            <w:tcBorders>
              <w:top w:val="nil"/>
              <w:left w:val="nil"/>
              <w:bottom w:val="single" w:sz="8" w:space="0" w:color="auto"/>
              <w:right w:val="single" w:sz="8" w:space="0" w:color="auto"/>
            </w:tcBorders>
          </w:tcPr>
          <w:p w14:paraId="7805533C"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t>No hay superposición del proyecto con áreas donde habitan especies en PC o EP; el proyecto no tiene impacto negativo en poblaciones de estas especies</w:t>
            </w:r>
          </w:p>
        </w:tc>
        <w:tc>
          <w:tcPr>
            <w:tcW w:w="843" w:type="pct"/>
            <w:tcBorders>
              <w:top w:val="nil"/>
              <w:left w:val="nil"/>
              <w:bottom w:val="single" w:sz="8" w:space="0" w:color="auto"/>
              <w:right w:val="single" w:sz="8" w:space="0" w:color="auto"/>
            </w:tcBorders>
          </w:tcPr>
          <w:p w14:paraId="7F572CDD" w14:textId="77777777" w:rsidR="00BA0225" w:rsidRPr="00904884" w:rsidRDefault="00BA0225" w:rsidP="00895676">
            <w:pPr>
              <w:ind w:left="83"/>
              <w:rPr>
                <w:rFonts w:ascii="Arial" w:hAnsi="Arial" w:cs="Arial"/>
                <w:color w:val="000000"/>
                <w:sz w:val="18"/>
                <w:szCs w:val="18"/>
                <w:lang w:val="es-PE"/>
              </w:rPr>
            </w:pPr>
            <w:r>
              <w:rPr>
                <w:rFonts w:ascii="Arial" w:hAnsi="Arial" w:cs="Arial"/>
                <w:sz w:val="18"/>
                <w:szCs w:val="18"/>
                <w:lang w:val="es-PE"/>
              </w:rPr>
              <w:t xml:space="preserve">El </w:t>
            </w:r>
            <w:r w:rsidRPr="00904884">
              <w:rPr>
                <w:rFonts w:ascii="Arial" w:hAnsi="Arial" w:cs="Arial"/>
                <w:sz w:val="18"/>
                <w:szCs w:val="18"/>
                <w:lang w:val="es-PE"/>
              </w:rPr>
              <w:t>proyecto</w:t>
            </w:r>
            <w:r>
              <w:rPr>
                <w:rFonts w:ascii="Arial" w:hAnsi="Arial" w:cs="Arial"/>
                <w:sz w:val="18"/>
                <w:szCs w:val="18"/>
                <w:lang w:val="es-PE"/>
              </w:rPr>
              <w:t xml:space="preserve"> puede afectar </w:t>
            </w:r>
            <w:r w:rsidRPr="00904884">
              <w:rPr>
                <w:rFonts w:ascii="Arial" w:hAnsi="Arial" w:cs="Arial"/>
                <w:sz w:val="18"/>
                <w:szCs w:val="18"/>
                <w:lang w:val="es-PE"/>
              </w:rPr>
              <w:t>háb</w:t>
            </w:r>
            <w:r>
              <w:rPr>
                <w:rFonts w:ascii="Arial" w:hAnsi="Arial" w:cs="Arial"/>
                <w:sz w:val="18"/>
                <w:szCs w:val="18"/>
                <w:lang w:val="es-PE"/>
              </w:rPr>
              <w:t>itats naturales, con especies en PC o EP y puede causar</w:t>
            </w:r>
            <w:r w:rsidRPr="00904884">
              <w:rPr>
                <w:rFonts w:ascii="Arial" w:hAnsi="Arial" w:cs="Arial"/>
                <w:sz w:val="18"/>
                <w:szCs w:val="18"/>
                <w:lang w:val="es-PE"/>
              </w:rPr>
              <w:t xml:space="preserve"> un impacto</w:t>
            </w:r>
            <w:r>
              <w:rPr>
                <w:rFonts w:ascii="Arial" w:hAnsi="Arial" w:cs="Arial"/>
                <w:sz w:val="18"/>
                <w:szCs w:val="18"/>
                <w:lang w:val="es-PE"/>
              </w:rPr>
              <w:t xml:space="preserve"> </w:t>
            </w:r>
            <w:r w:rsidRPr="00904884">
              <w:rPr>
                <w:rFonts w:ascii="Arial" w:hAnsi="Arial" w:cs="Arial"/>
                <w:sz w:val="18"/>
                <w:szCs w:val="18"/>
                <w:lang w:val="es-PE"/>
              </w:rPr>
              <w:t xml:space="preserve">significativo (de largo plazo) </w:t>
            </w:r>
            <w:r>
              <w:rPr>
                <w:rFonts w:ascii="Arial" w:hAnsi="Arial" w:cs="Arial"/>
                <w:sz w:val="18"/>
                <w:szCs w:val="18"/>
                <w:lang w:val="es-PE"/>
              </w:rPr>
              <w:t>no mitigable.</w:t>
            </w:r>
          </w:p>
        </w:tc>
      </w:tr>
      <w:tr w:rsidR="00BA0225" w:rsidRPr="00904884" w14:paraId="4B0E8CDF" w14:textId="77777777" w:rsidTr="00895676">
        <w:trPr>
          <w:trHeight w:val="269"/>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730877" w14:textId="77777777" w:rsidR="00BA0225" w:rsidRPr="00904884" w:rsidRDefault="00BA0225" w:rsidP="00895676">
            <w:pPr>
              <w:rPr>
                <w:rFonts w:ascii="Arial" w:hAnsi="Arial" w:cs="Arial"/>
                <w:color w:val="000000"/>
                <w:sz w:val="18"/>
                <w:szCs w:val="18"/>
                <w:lang w:val="es-PE"/>
              </w:rPr>
            </w:pPr>
            <w:r w:rsidRPr="00904884">
              <w:rPr>
                <w:rFonts w:ascii="Arial" w:hAnsi="Arial" w:cs="Arial"/>
                <w:color w:val="000000"/>
                <w:sz w:val="18"/>
                <w:szCs w:val="18"/>
                <w:lang w:val="es-PE"/>
              </w:rPr>
              <w:t xml:space="preserve">Áreas </w:t>
            </w:r>
            <w:r>
              <w:rPr>
                <w:rFonts w:ascii="Arial" w:hAnsi="Arial" w:cs="Arial"/>
                <w:color w:val="000000"/>
                <w:sz w:val="18"/>
                <w:szCs w:val="18"/>
                <w:lang w:val="es-PE"/>
              </w:rPr>
              <w:t>P</w:t>
            </w:r>
            <w:r w:rsidRPr="00904884">
              <w:rPr>
                <w:rFonts w:ascii="Arial" w:hAnsi="Arial" w:cs="Arial"/>
                <w:color w:val="000000"/>
                <w:sz w:val="18"/>
                <w:szCs w:val="18"/>
                <w:lang w:val="es-PE"/>
              </w:rPr>
              <w:t xml:space="preserve">rotegidas </w:t>
            </w:r>
            <w:r>
              <w:rPr>
                <w:rFonts w:ascii="Arial" w:hAnsi="Arial" w:cs="Arial"/>
                <w:color w:val="000000"/>
                <w:sz w:val="18"/>
                <w:szCs w:val="18"/>
                <w:lang w:val="es-PE"/>
              </w:rPr>
              <w:t>al nivel nacional, estatal, o municipal</w:t>
            </w:r>
          </w:p>
        </w:tc>
        <w:tc>
          <w:tcPr>
            <w:tcW w:w="998" w:type="pct"/>
            <w:tcBorders>
              <w:top w:val="nil"/>
              <w:left w:val="nil"/>
              <w:bottom w:val="single" w:sz="8" w:space="0" w:color="auto"/>
              <w:right w:val="single" w:sz="8" w:space="0" w:color="auto"/>
            </w:tcBorders>
          </w:tcPr>
          <w:p w14:paraId="4118B9C3" w14:textId="77777777" w:rsidR="00BA0225" w:rsidRDefault="00BA0225" w:rsidP="00895676">
            <w:pPr>
              <w:ind w:left="83"/>
              <w:rPr>
                <w:rFonts w:ascii="Arial" w:hAnsi="Arial" w:cs="Arial"/>
                <w:sz w:val="18"/>
                <w:szCs w:val="18"/>
                <w:lang w:val="es-PE"/>
              </w:rPr>
            </w:pPr>
            <w:r>
              <w:rPr>
                <w:rFonts w:ascii="Arial" w:hAnsi="Arial" w:cs="Arial"/>
                <w:sz w:val="18"/>
                <w:szCs w:val="18"/>
                <w:lang w:val="es-PE"/>
              </w:rPr>
              <w:t>E</w:t>
            </w:r>
            <w:r w:rsidRPr="00904884">
              <w:rPr>
                <w:rFonts w:ascii="Arial" w:hAnsi="Arial" w:cs="Arial"/>
                <w:sz w:val="18"/>
                <w:szCs w:val="18"/>
                <w:lang w:val="es-PE"/>
              </w:rPr>
              <w:t xml:space="preserve">l proyecto se </w:t>
            </w:r>
            <w:r>
              <w:rPr>
                <w:rFonts w:ascii="Arial" w:hAnsi="Arial" w:cs="Arial"/>
                <w:sz w:val="18"/>
                <w:szCs w:val="18"/>
                <w:lang w:val="es-PE"/>
              </w:rPr>
              <w:t xml:space="preserve">localiza en un Área Protegida y se </w:t>
            </w:r>
            <w:r w:rsidRPr="00904884">
              <w:rPr>
                <w:rFonts w:ascii="Arial" w:hAnsi="Arial" w:cs="Arial"/>
                <w:sz w:val="18"/>
                <w:szCs w:val="18"/>
                <w:lang w:val="es-PE"/>
              </w:rPr>
              <w:t xml:space="preserve">desarrolla de acuerdo </w:t>
            </w:r>
            <w:r>
              <w:rPr>
                <w:rFonts w:ascii="Arial" w:hAnsi="Arial" w:cs="Arial"/>
                <w:sz w:val="18"/>
                <w:szCs w:val="18"/>
                <w:lang w:val="es-PE"/>
              </w:rPr>
              <w:t xml:space="preserve">con </w:t>
            </w:r>
            <w:r w:rsidRPr="00904884">
              <w:rPr>
                <w:rFonts w:ascii="Arial" w:hAnsi="Arial" w:cs="Arial"/>
                <w:sz w:val="18"/>
                <w:szCs w:val="18"/>
                <w:lang w:val="es-PE"/>
              </w:rPr>
              <w:t>las normas e intenciones del Plan de Manejo del Área</w:t>
            </w:r>
            <w:r>
              <w:rPr>
                <w:rFonts w:ascii="Arial" w:hAnsi="Arial" w:cs="Arial"/>
                <w:sz w:val="18"/>
                <w:szCs w:val="18"/>
                <w:lang w:val="es-PE"/>
              </w:rPr>
              <w:t xml:space="preserve"> previa consulta con los grupos de in</w:t>
            </w:r>
            <w:r w:rsidRPr="00DB31D2">
              <w:rPr>
                <w:rFonts w:ascii="Arial" w:hAnsi="Arial" w:cs="Arial"/>
                <w:sz w:val="18"/>
                <w:szCs w:val="18"/>
                <w:lang w:val="es-PE"/>
              </w:rPr>
              <w:t>terés</w:t>
            </w:r>
            <w:r>
              <w:rPr>
                <w:rFonts w:ascii="Arial" w:hAnsi="Arial" w:cs="Arial"/>
                <w:sz w:val="18"/>
                <w:szCs w:val="18"/>
                <w:lang w:val="es-PE"/>
              </w:rPr>
              <w:t xml:space="preserve"> involucrados</w:t>
            </w:r>
            <w:r w:rsidRPr="00DB31D2">
              <w:rPr>
                <w:rFonts w:ascii="Arial" w:hAnsi="Arial" w:cs="Arial"/>
                <w:sz w:val="18"/>
                <w:szCs w:val="18"/>
                <w:lang w:val="es-PE"/>
              </w:rPr>
              <w:t xml:space="preserve">. </w:t>
            </w:r>
            <w:r>
              <w:rPr>
                <w:rFonts w:ascii="Arial" w:hAnsi="Arial" w:cs="Arial"/>
                <w:sz w:val="18"/>
                <w:szCs w:val="18"/>
                <w:lang w:val="es-PE"/>
              </w:rPr>
              <w:t>Los impactos del proyecto son significativos y de largo plazo, pero pueden ser mitigados a través de la aplicación de la jerarquía de mitigación, incluyendo acciones de compensación (offset), y con inversión adicional para mejorar la gestión de biodiversidad en el área protegida.</w:t>
            </w:r>
          </w:p>
          <w:p w14:paraId="6C9B437B" w14:textId="77777777" w:rsidR="00BA0225" w:rsidRPr="00904884" w:rsidRDefault="00BA0225" w:rsidP="00895676">
            <w:pPr>
              <w:ind w:left="83"/>
              <w:rPr>
                <w:rFonts w:ascii="Arial" w:hAnsi="Arial" w:cs="Arial"/>
                <w:color w:val="000000"/>
                <w:sz w:val="18"/>
                <w:szCs w:val="18"/>
                <w:lang w:val="es-PE"/>
              </w:rPr>
            </w:pPr>
            <w:r w:rsidRPr="00DB31D2">
              <w:rPr>
                <w:rFonts w:ascii="Arial" w:hAnsi="Arial" w:cs="Arial"/>
                <w:sz w:val="18"/>
                <w:szCs w:val="18"/>
                <w:lang w:val="es-PE"/>
              </w:rPr>
              <w:t>.</w:t>
            </w:r>
          </w:p>
        </w:tc>
        <w:tc>
          <w:tcPr>
            <w:tcW w:w="986" w:type="pct"/>
            <w:tcBorders>
              <w:top w:val="nil"/>
              <w:left w:val="nil"/>
              <w:bottom w:val="single" w:sz="8" w:space="0" w:color="auto"/>
              <w:right w:val="single" w:sz="8" w:space="0" w:color="auto"/>
            </w:tcBorders>
          </w:tcPr>
          <w:p w14:paraId="1B78B721" w14:textId="77777777" w:rsidR="00BA0225" w:rsidRPr="00904884" w:rsidRDefault="00BA0225" w:rsidP="00895676">
            <w:pPr>
              <w:ind w:left="91"/>
              <w:rPr>
                <w:rFonts w:ascii="Arial" w:hAnsi="Arial" w:cs="Arial"/>
                <w:color w:val="000000"/>
                <w:sz w:val="18"/>
                <w:szCs w:val="18"/>
                <w:lang w:val="es-PE"/>
              </w:rPr>
            </w:pPr>
            <w:r>
              <w:rPr>
                <w:rFonts w:ascii="Arial" w:hAnsi="Arial" w:cs="Arial"/>
                <w:sz w:val="18"/>
                <w:szCs w:val="18"/>
                <w:lang w:val="es-PE"/>
              </w:rPr>
              <w:t xml:space="preserve">El </w:t>
            </w:r>
            <w:r w:rsidRPr="00904884">
              <w:rPr>
                <w:rFonts w:ascii="Arial" w:hAnsi="Arial" w:cs="Arial"/>
                <w:sz w:val="18"/>
                <w:szCs w:val="18"/>
                <w:lang w:val="es-PE"/>
              </w:rPr>
              <w:t xml:space="preserve">proyecto </w:t>
            </w:r>
            <w:r>
              <w:rPr>
                <w:rFonts w:ascii="Arial" w:hAnsi="Arial" w:cs="Arial"/>
                <w:sz w:val="18"/>
                <w:szCs w:val="18"/>
                <w:lang w:val="es-PE"/>
              </w:rPr>
              <w:t xml:space="preserve">se ubica en/cerca de </w:t>
            </w:r>
            <w:r w:rsidRPr="00904884">
              <w:rPr>
                <w:rFonts w:ascii="Arial" w:hAnsi="Arial" w:cs="Arial"/>
                <w:sz w:val="18"/>
                <w:szCs w:val="18"/>
                <w:lang w:val="es-PE"/>
              </w:rPr>
              <w:t>un Área</w:t>
            </w:r>
            <w:r>
              <w:rPr>
                <w:rFonts w:ascii="Arial" w:hAnsi="Arial" w:cs="Arial"/>
                <w:sz w:val="18"/>
                <w:szCs w:val="18"/>
                <w:lang w:val="es-PE"/>
              </w:rPr>
              <w:t xml:space="preserve"> </w:t>
            </w:r>
            <w:r w:rsidRPr="00904884">
              <w:rPr>
                <w:rFonts w:ascii="Arial" w:hAnsi="Arial" w:cs="Arial"/>
                <w:sz w:val="18"/>
                <w:szCs w:val="18"/>
                <w:lang w:val="es-PE"/>
              </w:rPr>
              <w:t>Protegida</w:t>
            </w:r>
            <w:r>
              <w:rPr>
                <w:rFonts w:ascii="Arial" w:hAnsi="Arial" w:cs="Arial"/>
                <w:sz w:val="18"/>
                <w:szCs w:val="18"/>
                <w:lang w:val="es-PE"/>
              </w:rPr>
              <w:t xml:space="preserve">. Los </w:t>
            </w:r>
            <w:r w:rsidRPr="00904884">
              <w:rPr>
                <w:rFonts w:ascii="Arial" w:hAnsi="Arial" w:cs="Arial"/>
                <w:sz w:val="18"/>
                <w:szCs w:val="18"/>
                <w:lang w:val="es-PE"/>
              </w:rPr>
              <w:t>impactos negativos son locales y pueden ser mitigados a través de la aplicación de la jerarquía de mitigación</w:t>
            </w:r>
            <w:r>
              <w:rPr>
                <w:rFonts w:ascii="Arial" w:hAnsi="Arial" w:cs="Arial"/>
                <w:sz w:val="18"/>
                <w:szCs w:val="18"/>
                <w:lang w:val="es-PE"/>
              </w:rPr>
              <w:t xml:space="preserve"> </w:t>
            </w:r>
            <w:r w:rsidRPr="00904884">
              <w:rPr>
                <w:rFonts w:ascii="Arial" w:hAnsi="Arial" w:cs="Arial"/>
                <w:sz w:val="18"/>
                <w:szCs w:val="18"/>
                <w:lang w:val="es-PE"/>
              </w:rPr>
              <w:t>y con inversión adicional para mejorar la gestión de biodiversidad en el área protegida.</w:t>
            </w:r>
          </w:p>
        </w:tc>
        <w:tc>
          <w:tcPr>
            <w:tcW w:w="941" w:type="pct"/>
            <w:tcBorders>
              <w:top w:val="nil"/>
              <w:left w:val="nil"/>
              <w:bottom w:val="single" w:sz="8" w:space="0" w:color="auto"/>
              <w:right w:val="single" w:sz="8" w:space="0" w:color="auto"/>
            </w:tcBorders>
          </w:tcPr>
          <w:p w14:paraId="011620C5"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t>El proyecto no se sobrepone con un</w:t>
            </w:r>
            <w:r>
              <w:rPr>
                <w:rFonts w:ascii="Arial" w:hAnsi="Arial" w:cs="Arial"/>
                <w:sz w:val="18"/>
                <w:szCs w:val="18"/>
                <w:lang w:val="es-PE"/>
              </w:rPr>
              <w:t xml:space="preserve"> </w:t>
            </w:r>
            <w:r w:rsidRPr="00904884">
              <w:rPr>
                <w:rFonts w:ascii="Arial" w:hAnsi="Arial" w:cs="Arial"/>
                <w:sz w:val="18"/>
                <w:szCs w:val="18"/>
                <w:lang w:val="es-PE"/>
              </w:rPr>
              <w:t>área protegida y no tiene impactos negativos sobre ella.</w:t>
            </w:r>
          </w:p>
        </w:tc>
        <w:tc>
          <w:tcPr>
            <w:tcW w:w="843" w:type="pct"/>
            <w:tcBorders>
              <w:top w:val="nil"/>
              <w:left w:val="nil"/>
              <w:bottom w:val="single" w:sz="8" w:space="0" w:color="auto"/>
              <w:right w:val="single" w:sz="8" w:space="0" w:color="auto"/>
            </w:tcBorders>
          </w:tcPr>
          <w:p w14:paraId="48F3C663" w14:textId="77777777" w:rsidR="00BA0225" w:rsidRPr="00904884" w:rsidRDefault="00BA0225" w:rsidP="00895676">
            <w:pPr>
              <w:ind w:left="83" w:right="87"/>
              <w:rPr>
                <w:rFonts w:ascii="Arial" w:hAnsi="Arial" w:cs="Arial"/>
                <w:color w:val="000000"/>
                <w:sz w:val="18"/>
                <w:szCs w:val="18"/>
                <w:lang w:val="es-PE"/>
              </w:rPr>
            </w:pPr>
            <w:r w:rsidRPr="00904884">
              <w:rPr>
                <w:rFonts w:ascii="Arial" w:hAnsi="Arial" w:cs="Arial"/>
                <w:sz w:val="18"/>
                <w:szCs w:val="18"/>
                <w:lang w:val="es-PE"/>
              </w:rPr>
              <w:t xml:space="preserve">Superposición del proyecto con un </w:t>
            </w:r>
            <w:r>
              <w:rPr>
                <w:rFonts w:ascii="Arial" w:hAnsi="Arial" w:cs="Arial"/>
                <w:sz w:val="18"/>
                <w:szCs w:val="18"/>
                <w:lang w:val="es-PE"/>
              </w:rPr>
              <w:t>Área Protegida</w:t>
            </w:r>
            <w:r w:rsidRPr="00904884">
              <w:rPr>
                <w:rFonts w:ascii="Arial" w:hAnsi="Arial" w:cs="Arial"/>
                <w:sz w:val="18"/>
                <w:szCs w:val="18"/>
                <w:lang w:val="es-PE"/>
              </w:rPr>
              <w:t xml:space="preserve"> donde un pro</w:t>
            </w:r>
            <w:r>
              <w:rPr>
                <w:rFonts w:ascii="Arial" w:hAnsi="Arial" w:cs="Arial"/>
                <w:sz w:val="18"/>
                <w:szCs w:val="18"/>
                <w:lang w:val="es-PE"/>
              </w:rPr>
              <w:t>yecto de desarrollo es ilegal y/</w:t>
            </w:r>
            <w:r w:rsidRPr="00904884">
              <w:rPr>
                <w:rFonts w:ascii="Arial" w:hAnsi="Arial" w:cs="Arial"/>
                <w:sz w:val="18"/>
                <w:szCs w:val="18"/>
                <w:lang w:val="es-PE"/>
              </w:rPr>
              <w:t xml:space="preserve">o no compatible con los objetivos de desarrollo del Plan de Manejo </w:t>
            </w:r>
            <w:r>
              <w:rPr>
                <w:rFonts w:ascii="Arial" w:hAnsi="Arial" w:cs="Arial"/>
                <w:sz w:val="18"/>
                <w:szCs w:val="18"/>
                <w:lang w:val="es-PE"/>
              </w:rPr>
              <w:t>del área y/</w:t>
            </w:r>
            <w:r w:rsidRPr="00904884">
              <w:rPr>
                <w:rFonts w:ascii="Arial" w:hAnsi="Arial" w:cs="Arial"/>
                <w:sz w:val="18"/>
                <w:szCs w:val="18"/>
                <w:lang w:val="es-PE"/>
              </w:rPr>
              <w:t xml:space="preserve">o la consulta de los </w:t>
            </w:r>
            <w:r>
              <w:rPr>
                <w:rFonts w:ascii="Arial" w:hAnsi="Arial" w:cs="Arial"/>
                <w:sz w:val="18"/>
                <w:szCs w:val="18"/>
                <w:lang w:val="es-PE"/>
              </w:rPr>
              <w:t>grupos de interés</w:t>
            </w:r>
            <w:r w:rsidRPr="00904884">
              <w:rPr>
                <w:rFonts w:ascii="Arial" w:hAnsi="Arial" w:cs="Arial"/>
                <w:sz w:val="18"/>
                <w:szCs w:val="18"/>
                <w:lang w:val="es-PE"/>
              </w:rPr>
              <w:t xml:space="preserve">. </w:t>
            </w:r>
            <w:r w:rsidRPr="00E859D6">
              <w:rPr>
                <w:rFonts w:ascii="Arial" w:hAnsi="Arial" w:cs="Arial"/>
                <w:sz w:val="18"/>
                <w:szCs w:val="18"/>
                <w:lang w:val="es-PE"/>
              </w:rPr>
              <w:t>Los impactos son negativos y significati</w:t>
            </w:r>
            <w:r>
              <w:rPr>
                <w:rFonts w:ascii="Arial" w:hAnsi="Arial" w:cs="Arial"/>
                <w:sz w:val="18"/>
                <w:szCs w:val="18"/>
                <w:lang w:val="es-PE"/>
              </w:rPr>
              <w:t>vos</w:t>
            </w:r>
            <w:r w:rsidRPr="00E859D6">
              <w:rPr>
                <w:rFonts w:ascii="Arial" w:hAnsi="Arial" w:cs="Arial"/>
                <w:sz w:val="18"/>
                <w:szCs w:val="18"/>
                <w:lang w:val="es-PE"/>
              </w:rPr>
              <w:t>.</w:t>
            </w:r>
          </w:p>
        </w:tc>
      </w:tr>
      <w:tr w:rsidR="00BA0225" w:rsidRPr="00904884" w14:paraId="0F9374E8" w14:textId="77777777" w:rsidTr="00895676">
        <w:trPr>
          <w:trHeight w:val="269"/>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3F2234" w14:textId="77777777" w:rsidR="00BA0225" w:rsidRPr="00904884" w:rsidRDefault="00BA0225" w:rsidP="00895676">
            <w:pPr>
              <w:rPr>
                <w:rFonts w:ascii="Arial" w:hAnsi="Arial" w:cs="Arial"/>
                <w:color w:val="000000"/>
                <w:sz w:val="18"/>
                <w:szCs w:val="18"/>
                <w:lang w:val="es-PE"/>
              </w:rPr>
            </w:pPr>
            <w:r w:rsidRPr="00904884">
              <w:rPr>
                <w:rFonts w:ascii="Arial" w:hAnsi="Arial" w:cs="Arial"/>
                <w:color w:val="000000"/>
                <w:sz w:val="18"/>
                <w:szCs w:val="18"/>
                <w:lang w:val="es-PE"/>
              </w:rPr>
              <w:t xml:space="preserve">Humedales </w:t>
            </w:r>
            <w:r>
              <w:rPr>
                <w:rFonts w:ascii="Arial" w:hAnsi="Arial" w:cs="Arial"/>
                <w:sz w:val="18"/>
                <w:szCs w:val="18"/>
                <w:lang w:val="es-PE"/>
              </w:rPr>
              <w:t xml:space="preserve">Nacionales y </w:t>
            </w:r>
            <w:r w:rsidRPr="00904884">
              <w:rPr>
                <w:rFonts w:ascii="Arial" w:hAnsi="Arial" w:cs="Arial"/>
                <w:sz w:val="18"/>
                <w:szCs w:val="18"/>
                <w:lang w:val="es-PE"/>
              </w:rPr>
              <w:t xml:space="preserve">Sitios </w:t>
            </w:r>
            <w:r w:rsidRPr="00904884">
              <w:rPr>
                <w:rFonts w:ascii="Arial" w:hAnsi="Arial" w:cs="Arial"/>
                <w:color w:val="000000"/>
                <w:sz w:val="18"/>
                <w:szCs w:val="18"/>
                <w:lang w:val="es-PE"/>
              </w:rPr>
              <w:t>Ramsar</w:t>
            </w:r>
          </w:p>
        </w:tc>
        <w:tc>
          <w:tcPr>
            <w:tcW w:w="998" w:type="pct"/>
            <w:tcBorders>
              <w:top w:val="nil"/>
              <w:left w:val="nil"/>
              <w:bottom w:val="single" w:sz="8" w:space="0" w:color="auto"/>
              <w:right w:val="single" w:sz="8" w:space="0" w:color="auto"/>
            </w:tcBorders>
          </w:tcPr>
          <w:p w14:paraId="790FDA89" w14:textId="77777777" w:rsidR="00BA0225" w:rsidRPr="00904884" w:rsidRDefault="00BA0225" w:rsidP="00895676">
            <w:pPr>
              <w:ind w:left="83"/>
              <w:rPr>
                <w:rFonts w:ascii="Arial" w:hAnsi="Arial" w:cs="Arial"/>
                <w:color w:val="000000"/>
                <w:sz w:val="18"/>
                <w:szCs w:val="18"/>
                <w:lang w:val="es-PE"/>
              </w:rPr>
            </w:pPr>
            <w:r>
              <w:rPr>
                <w:rFonts w:ascii="Arial" w:hAnsi="Arial" w:cs="Arial"/>
                <w:sz w:val="18"/>
                <w:szCs w:val="18"/>
                <w:lang w:val="es-PE"/>
              </w:rPr>
              <w:t>Proyecto ubicado en un</w:t>
            </w:r>
            <w:r w:rsidRPr="00904884">
              <w:rPr>
                <w:rFonts w:ascii="Arial" w:hAnsi="Arial" w:cs="Arial"/>
                <w:sz w:val="18"/>
                <w:szCs w:val="18"/>
                <w:lang w:val="es-PE"/>
              </w:rPr>
              <w:t xml:space="preserve"> </w:t>
            </w:r>
            <w:r>
              <w:rPr>
                <w:rFonts w:ascii="Arial" w:hAnsi="Arial" w:cs="Arial"/>
                <w:sz w:val="18"/>
                <w:szCs w:val="18"/>
                <w:lang w:val="es-PE"/>
              </w:rPr>
              <w:t xml:space="preserve">humedal / </w:t>
            </w:r>
            <w:r w:rsidRPr="00904884">
              <w:rPr>
                <w:rFonts w:ascii="Arial" w:hAnsi="Arial" w:cs="Arial"/>
                <w:sz w:val="18"/>
                <w:szCs w:val="18"/>
                <w:lang w:val="es-PE"/>
              </w:rPr>
              <w:t>sitio Ramsar</w:t>
            </w:r>
            <w:r>
              <w:rPr>
                <w:rFonts w:ascii="Arial" w:hAnsi="Arial" w:cs="Arial"/>
                <w:sz w:val="18"/>
                <w:szCs w:val="18"/>
                <w:lang w:val="es-PE"/>
              </w:rPr>
              <w:t>. E</w:t>
            </w:r>
            <w:r w:rsidRPr="00904884">
              <w:rPr>
                <w:rFonts w:ascii="Arial" w:hAnsi="Arial" w:cs="Arial"/>
                <w:sz w:val="18"/>
                <w:szCs w:val="18"/>
                <w:lang w:val="es-PE"/>
              </w:rPr>
              <w:t>l proyecto es legal</w:t>
            </w:r>
            <w:r>
              <w:rPr>
                <w:rFonts w:ascii="Arial" w:hAnsi="Arial" w:cs="Arial"/>
                <w:sz w:val="18"/>
                <w:szCs w:val="18"/>
                <w:lang w:val="es-PE"/>
              </w:rPr>
              <w:t xml:space="preserve"> bajo el marco regulator</w:t>
            </w:r>
            <w:r w:rsidRPr="00DB31D2">
              <w:rPr>
                <w:rFonts w:ascii="Arial" w:hAnsi="Arial" w:cs="Arial"/>
                <w:sz w:val="18"/>
                <w:szCs w:val="18"/>
                <w:lang w:val="es-PE"/>
              </w:rPr>
              <w:t xml:space="preserve">io local; sin embargo, hay un riesgo </w:t>
            </w:r>
            <w:r w:rsidRPr="00DB31D2">
              <w:rPr>
                <w:rFonts w:ascii="Arial" w:hAnsi="Arial" w:cs="Arial"/>
                <w:sz w:val="18"/>
                <w:szCs w:val="18"/>
                <w:lang w:val="es-PE"/>
              </w:rPr>
              <w:lastRenderedPageBreak/>
              <w:t>de causar impactos significativos y negativos. Mitigación puede requerir compensación (offset).</w:t>
            </w:r>
          </w:p>
        </w:tc>
        <w:tc>
          <w:tcPr>
            <w:tcW w:w="986" w:type="pct"/>
            <w:tcBorders>
              <w:top w:val="nil"/>
              <w:left w:val="nil"/>
              <w:bottom w:val="single" w:sz="8" w:space="0" w:color="auto"/>
              <w:right w:val="single" w:sz="8" w:space="0" w:color="auto"/>
            </w:tcBorders>
          </w:tcPr>
          <w:p w14:paraId="703FBC11" w14:textId="77777777" w:rsidR="00BA0225" w:rsidRPr="00904884" w:rsidRDefault="00BA0225" w:rsidP="00895676">
            <w:pPr>
              <w:ind w:left="91"/>
              <w:rPr>
                <w:rFonts w:ascii="Arial" w:hAnsi="Arial" w:cs="Arial"/>
                <w:color w:val="000000"/>
                <w:sz w:val="18"/>
                <w:szCs w:val="18"/>
                <w:lang w:val="es-PE"/>
              </w:rPr>
            </w:pPr>
            <w:r w:rsidRPr="00904884">
              <w:rPr>
                <w:rFonts w:ascii="Arial" w:hAnsi="Arial" w:cs="Arial"/>
                <w:sz w:val="18"/>
                <w:szCs w:val="18"/>
                <w:lang w:val="es-PE"/>
              </w:rPr>
              <w:lastRenderedPageBreak/>
              <w:t>Superposic</w:t>
            </w:r>
            <w:r>
              <w:rPr>
                <w:rFonts w:ascii="Arial" w:hAnsi="Arial" w:cs="Arial"/>
                <w:sz w:val="18"/>
                <w:szCs w:val="18"/>
                <w:lang w:val="es-PE"/>
              </w:rPr>
              <w:t>ión del proyecto en un</w:t>
            </w:r>
            <w:r w:rsidRPr="00904884">
              <w:rPr>
                <w:rFonts w:ascii="Arial" w:hAnsi="Arial" w:cs="Arial"/>
                <w:sz w:val="18"/>
                <w:szCs w:val="18"/>
                <w:lang w:val="es-PE"/>
              </w:rPr>
              <w:t xml:space="preserve"> </w:t>
            </w:r>
            <w:r>
              <w:rPr>
                <w:rFonts w:ascii="Arial" w:hAnsi="Arial" w:cs="Arial"/>
                <w:sz w:val="18"/>
                <w:szCs w:val="18"/>
                <w:lang w:val="es-PE"/>
              </w:rPr>
              <w:t>humedal</w:t>
            </w:r>
            <w:r w:rsidRPr="00904884">
              <w:rPr>
                <w:rFonts w:ascii="Arial" w:hAnsi="Arial" w:cs="Arial"/>
                <w:sz w:val="18"/>
                <w:szCs w:val="18"/>
                <w:lang w:val="es-PE"/>
              </w:rPr>
              <w:t xml:space="preserve"> </w:t>
            </w:r>
            <w:r>
              <w:rPr>
                <w:rFonts w:ascii="Arial" w:hAnsi="Arial" w:cs="Arial"/>
                <w:sz w:val="18"/>
                <w:szCs w:val="18"/>
                <w:lang w:val="es-PE"/>
              </w:rPr>
              <w:t xml:space="preserve">/ </w:t>
            </w:r>
            <w:r w:rsidRPr="00904884">
              <w:rPr>
                <w:rFonts w:ascii="Arial" w:hAnsi="Arial" w:cs="Arial"/>
                <w:sz w:val="18"/>
                <w:szCs w:val="18"/>
                <w:lang w:val="es-PE"/>
              </w:rPr>
              <w:t xml:space="preserve">sitio Ramsar donde el Proyecto es legal, los impactos negativos identificados </w:t>
            </w:r>
            <w:r w:rsidRPr="00904884">
              <w:rPr>
                <w:rFonts w:ascii="Arial" w:hAnsi="Arial" w:cs="Arial"/>
                <w:sz w:val="18"/>
                <w:szCs w:val="18"/>
                <w:lang w:val="es-PE"/>
              </w:rPr>
              <w:lastRenderedPageBreak/>
              <w:t>son locales y pueden ser mitigados a través de la aplicación de la jerarquía de mitigación</w:t>
            </w:r>
            <w:r>
              <w:rPr>
                <w:rFonts w:ascii="Arial" w:hAnsi="Arial" w:cs="Arial"/>
                <w:sz w:val="18"/>
                <w:szCs w:val="18"/>
                <w:lang w:val="es-PE"/>
              </w:rPr>
              <w:t xml:space="preserve"> </w:t>
            </w:r>
            <w:r w:rsidRPr="00904884">
              <w:rPr>
                <w:rFonts w:ascii="Arial" w:hAnsi="Arial" w:cs="Arial"/>
                <w:sz w:val="18"/>
                <w:szCs w:val="18"/>
                <w:lang w:val="es-PE"/>
              </w:rPr>
              <w:t>y con inversión adicional para mejorar la gestión de biodiversidad en el área protegida.</w:t>
            </w:r>
          </w:p>
        </w:tc>
        <w:tc>
          <w:tcPr>
            <w:tcW w:w="941" w:type="pct"/>
            <w:tcBorders>
              <w:top w:val="nil"/>
              <w:left w:val="nil"/>
              <w:bottom w:val="single" w:sz="8" w:space="0" w:color="auto"/>
              <w:right w:val="single" w:sz="8" w:space="0" w:color="auto"/>
            </w:tcBorders>
          </w:tcPr>
          <w:p w14:paraId="581ED395"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lastRenderedPageBreak/>
              <w:t xml:space="preserve">El proyecto no se sobrepone con un </w:t>
            </w:r>
            <w:r>
              <w:rPr>
                <w:rFonts w:ascii="Arial" w:hAnsi="Arial" w:cs="Arial"/>
                <w:sz w:val="18"/>
                <w:szCs w:val="18"/>
                <w:lang w:val="es-PE"/>
              </w:rPr>
              <w:t xml:space="preserve">humedal / </w:t>
            </w:r>
            <w:r w:rsidRPr="00904884">
              <w:rPr>
                <w:rFonts w:ascii="Arial" w:hAnsi="Arial" w:cs="Arial"/>
                <w:sz w:val="18"/>
                <w:szCs w:val="18"/>
                <w:lang w:val="es-PE"/>
              </w:rPr>
              <w:t>sitio Ramsar y no tiene impactos negativos sobre esta área.</w:t>
            </w:r>
          </w:p>
        </w:tc>
        <w:tc>
          <w:tcPr>
            <w:tcW w:w="843" w:type="pct"/>
            <w:tcBorders>
              <w:top w:val="nil"/>
              <w:left w:val="nil"/>
              <w:bottom w:val="single" w:sz="8" w:space="0" w:color="auto"/>
              <w:right w:val="single" w:sz="8" w:space="0" w:color="auto"/>
            </w:tcBorders>
          </w:tcPr>
          <w:p w14:paraId="31A7DB43" w14:textId="77777777" w:rsidR="00BA0225" w:rsidRPr="00904884" w:rsidRDefault="00BA0225" w:rsidP="00895676">
            <w:pPr>
              <w:ind w:left="83" w:right="87"/>
              <w:rPr>
                <w:rFonts w:ascii="Arial" w:hAnsi="Arial" w:cs="Arial"/>
                <w:color w:val="000000"/>
                <w:sz w:val="18"/>
                <w:szCs w:val="18"/>
                <w:lang w:val="es-PE"/>
              </w:rPr>
            </w:pPr>
            <w:r w:rsidRPr="00904884">
              <w:rPr>
                <w:rFonts w:ascii="Arial" w:hAnsi="Arial" w:cs="Arial"/>
                <w:sz w:val="18"/>
                <w:szCs w:val="18"/>
                <w:lang w:val="es-PE"/>
              </w:rPr>
              <w:t xml:space="preserve">Superposición del proyecto </w:t>
            </w:r>
            <w:r>
              <w:rPr>
                <w:rFonts w:ascii="Arial" w:hAnsi="Arial" w:cs="Arial"/>
                <w:sz w:val="18"/>
                <w:szCs w:val="18"/>
                <w:lang w:val="es-PE"/>
              </w:rPr>
              <w:t>con un área protegida</w:t>
            </w:r>
            <w:r w:rsidRPr="00904884">
              <w:rPr>
                <w:rFonts w:ascii="Arial" w:hAnsi="Arial" w:cs="Arial"/>
                <w:sz w:val="18"/>
                <w:szCs w:val="18"/>
                <w:lang w:val="es-PE"/>
              </w:rPr>
              <w:t xml:space="preserve"> donde un pro</w:t>
            </w:r>
            <w:r>
              <w:rPr>
                <w:rFonts w:ascii="Arial" w:hAnsi="Arial" w:cs="Arial"/>
                <w:sz w:val="18"/>
                <w:szCs w:val="18"/>
                <w:lang w:val="es-PE"/>
              </w:rPr>
              <w:t>yecto de desarrollo es ilegal y/</w:t>
            </w:r>
            <w:r w:rsidRPr="00904884">
              <w:rPr>
                <w:rFonts w:ascii="Arial" w:hAnsi="Arial" w:cs="Arial"/>
                <w:sz w:val="18"/>
                <w:szCs w:val="18"/>
                <w:lang w:val="es-PE"/>
              </w:rPr>
              <w:t xml:space="preserve">o no </w:t>
            </w:r>
            <w:r w:rsidRPr="00904884">
              <w:rPr>
                <w:rFonts w:ascii="Arial" w:hAnsi="Arial" w:cs="Arial"/>
                <w:sz w:val="18"/>
                <w:szCs w:val="18"/>
                <w:lang w:val="es-PE"/>
              </w:rPr>
              <w:lastRenderedPageBreak/>
              <w:t>compatible con los objetivos de desarrol</w:t>
            </w:r>
            <w:r>
              <w:rPr>
                <w:rFonts w:ascii="Arial" w:hAnsi="Arial" w:cs="Arial"/>
                <w:sz w:val="18"/>
                <w:szCs w:val="18"/>
                <w:lang w:val="es-PE"/>
              </w:rPr>
              <w:t>lo del Plan de Manejo del área y/</w:t>
            </w:r>
            <w:r w:rsidRPr="00904884">
              <w:rPr>
                <w:rFonts w:ascii="Arial" w:hAnsi="Arial" w:cs="Arial"/>
                <w:sz w:val="18"/>
                <w:szCs w:val="18"/>
                <w:lang w:val="es-PE"/>
              </w:rPr>
              <w:t xml:space="preserve">o la consulta de los </w:t>
            </w:r>
            <w:r>
              <w:rPr>
                <w:rFonts w:ascii="Arial" w:hAnsi="Arial" w:cs="Arial"/>
                <w:sz w:val="18"/>
                <w:szCs w:val="18"/>
                <w:lang w:val="es-PE"/>
              </w:rPr>
              <w:t>grupos de interés</w:t>
            </w:r>
            <w:r w:rsidRPr="00904884">
              <w:rPr>
                <w:rFonts w:ascii="Arial" w:hAnsi="Arial" w:cs="Arial"/>
                <w:sz w:val="18"/>
                <w:szCs w:val="18"/>
                <w:lang w:val="es-PE"/>
              </w:rPr>
              <w:t xml:space="preserve">. </w:t>
            </w:r>
            <w:r w:rsidRPr="00E859D6">
              <w:rPr>
                <w:rFonts w:ascii="Arial" w:hAnsi="Arial" w:cs="Arial"/>
                <w:sz w:val="18"/>
                <w:szCs w:val="18"/>
                <w:lang w:val="es-PE"/>
              </w:rPr>
              <w:t>Los impactos son negativos y significativos.</w:t>
            </w:r>
          </w:p>
        </w:tc>
      </w:tr>
      <w:tr w:rsidR="00BA0225" w:rsidRPr="00904884" w14:paraId="0C91EB4B" w14:textId="77777777" w:rsidTr="00895676">
        <w:trPr>
          <w:trHeight w:val="314"/>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F89A69" w14:textId="77777777" w:rsidR="00BA0225" w:rsidRPr="00904884" w:rsidRDefault="00BA0225" w:rsidP="00895676">
            <w:pPr>
              <w:rPr>
                <w:rFonts w:ascii="Arial" w:hAnsi="Arial" w:cs="Arial"/>
                <w:color w:val="000000"/>
                <w:sz w:val="18"/>
                <w:szCs w:val="18"/>
                <w:lang w:val="es-PE"/>
              </w:rPr>
            </w:pPr>
            <w:r w:rsidRPr="00904884">
              <w:rPr>
                <w:rFonts w:ascii="Arial" w:hAnsi="Arial" w:cs="Arial"/>
                <w:color w:val="000000"/>
                <w:sz w:val="18"/>
                <w:szCs w:val="18"/>
                <w:lang w:val="es-PE"/>
              </w:rPr>
              <w:lastRenderedPageBreak/>
              <w:t>Áreas d</w:t>
            </w:r>
            <w:r>
              <w:rPr>
                <w:rFonts w:ascii="Arial" w:hAnsi="Arial" w:cs="Arial"/>
                <w:color w:val="000000"/>
                <w:sz w:val="18"/>
                <w:szCs w:val="18"/>
                <w:lang w:val="es-PE"/>
              </w:rPr>
              <w:t>e Importancia para Aves (IBAs),</w:t>
            </w:r>
            <w:r w:rsidRPr="00904884">
              <w:rPr>
                <w:rFonts w:ascii="Arial" w:hAnsi="Arial" w:cs="Arial"/>
                <w:color w:val="000000"/>
                <w:sz w:val="18"/>
                <w:szCs w:val="18"/>
                <w:lang w:val="es-PE"/>
              </w:rPr>
              <w:t xml:space="preserve"> Áreas de Endemismo de Aves (EBAs) y Áreas Clave de Biodiversidad (KBAs)</w:t>
            </w:r>
          </w:p>
        </w:tc>
        <w:tc>
          <w:tcPr>
            <w:tcW w:w="998" w:type="pct"/>
            <w:tcBorders>
              <w:top w:val="nil"/>
              <w:left w:val="nil"/>
              <w:bottom w:val="single" w:sz="8" w:space="0" w:color="auto"/>
              <w:right w:val="single" w:sz="8" w:space="0" w:color="auto"/>
            </w:tcBorders>
          </w:tcPr>
          <w:p w14:paraId="2A48757A"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t>Superposición del</w:t>
            </w:r>
            <w:r>
              <w:rPr>
                <w:rFonts w:ascii="Arial" w:hAnsi="Arial" w:cs="Arial"/>
                <w:sz w:val="18"/>
                <w:szCs w:val="18"/>
                <w:lang w:val="es-PE"/>
              </w:rPr>
              <w:t xml:space="preserve"> proyecto en un área p</w:t>
            </w:r>
            <w:r w:rsidRPr="00904884">
              <w:rPr>
                <w:rFonts w:ascii="Arial" w:hAnsi="Arial" w:cs="Arial"/>
                <w:sz w:val="18"/>
                <w:szCs w:val="18"/>
                <w:lang w:val="es-PE"/>
              </w:rPr>
              <w:t>rotegida donde el proyecto es legalmente permitido, sin embargo</w:t>
            </w:r>
            <w:r>
              <w:rPr>
                <w:rFonts w:ascii="Arial" w:hAnsi="Arial" w:cs="Arial"/>
                <w:sz w:val="18"/>
                <w:szCs w:val="18"/>
                <w:lang w:val="es-PE"/>
              </w:rPr>
              <w:t>,</w:t>
            </w:r>
            <w:r w:rsidRPr="00904884">
              <w:rPr>
                <w:rFonts w:ascii="Arial" w:hAnsi="Arial" w:cs="Arial"/>
                <w:sz w:val="18"/>
                <w:szCs w:val="18"/>
                <w:lang w:val="es-PE"/>
              </w:rPr>
              <w:t xml:space="preserve"> hay un riesgo de causar impactos significativos (de largo plazo) y negativos.</w:t>
            </w:r>
            <w:r>
              <w:rPr>
                <w:rFonts w:ascii="Arial" w:hAnsi="Arial" w:cs="Arial"/>
                <w:sz w:val="18"/>
                <w:szCs w:val="18"/>
                <w:lang w:val="es-PE"/>
              </w:rPr>
              <w:t xml:space="preserve"> Mitigación puede requerir compensación (offset).</w:t>
            </w:r>
          </w:p>
        </w:tc>
        <w:tc>
          <w:tcPr>
            <w:tcW w:w="986" w:type="pct"/>
            <w:tcBorders>
              <w:top w:val="nil"/>
              <w:left w:val="nil"/>
              <w:bottom w:val="single" w:sz="8" w:space="0" w:color="auto"/>
              <w:right w:val="single" w:sz="8" w:space="0" w:color="auto"/>
            </w:tcBorders>
          </w:tcPr>
          <w:p w14:paraId="38CFA02A" w14:textId="77777777" w:rsidR="00BA0225" w:rsidRPr="00904884" w:rsidRDefault="00BA0225" w:rsidP="00895676">
            <w:pPr>
              <w:ind w:left="91"/>
              <w:rPr>
                <w:rFonts w:ascii="Arial" w:hAnsi="Arial" w:cs="Arial"/>
                <w:color w:val="000000"/>
                <w:sz w:val="18"/>
                <w:szCs w:val="18"/>
                <w:lang w:val="es-PE"/>
              </w:rPr>
            </w:pPr>
            <w:r w:rsidRPr="00904884">
              <w:rPr>
                <w:rFonts w:ascii="Arial" w:hAnsi="Arial" w:cs="Arial"/>
                <w:sz w:val="18"/>
                <w:szCs w:val="18"/>
                <w:lang w:val="es-PE"/>
              </w:rPr>
              <w:t>Superposición del proyecto en un área de importancia para la biodiversidad (</w:t>
            </w:r>
            <w:r>
              <w:rPr>
                <w:rFonts w:ascii="Arial" w:hAnsi="Arial" w:cs="Arial"/>
                <w:sz w:val="18"/>
                <w:szCs w:val="18"/>
                <w:lang w:val="es-PE"/>
              </w:rPr>
              <w:t xml:space="preserve">e.g., </w:t>
            </w:r>
            <w:r w:rsidRPr="00DB31D2">
              <w:rPr>
                <w:rFonts w:ascii="Arial" w:hAnsi="Arial" w:cs="Arial"/>
                <w:sz w:val="18"/>
                <w:szCs w:val="18"/>
                <w:lang w:val="es-PE"/>
              </w:rPr>
              <w:t>hábitat critico) donde el proyecto e</w:t>
            </w:r>
            <w:r w:rsidRPr="00904884">
              <w:rPr>
                <w:rFonts w:ascii="Arial" w:hAnsi="Arial" w:cs="Arial"/>
                <w:sz w:val="18"/>
                <w:szCs w:val="18"/>
                <w:lang w:val="es-PE"/>
              </w:rPr>
              <w:t>s legal, los impactos negativos identificados son locales y pueden ser mitigados a través de la aplicación de la jerarquía de mitigación y con inversión adicional para mejorar la gestión de biodiversidad en el área protegida.</w:t>
            </w:r>
          </w:p>
        </w:tc>
        <w:tc>
          <w:tcPr>
            <w:tcW w:w="941" w:type="pct"/>
            <w:tcBorders>
              <w:top w:val="nil"/>
              <w:left w:val="nil"/>
              <w:bottom w:val="single" w:sz="8" w:space="0" w:color="auto"/>
              <w:right w:val="single" w:sz="8" w:space="0" w:color="auto"/>
            </w:tcBorders>
          </w:tcPr>
          <w:p w14:paraId="104032BE"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t>El proyecto no se sobrepone con un IBA, EBA o KBA y no tiene impactos negativos sobre el área</w:t>
            </w:r>
            <w:r>
              <w:rPr>
                <w:rFonts w:ascii="Arial" w:hAnsi="Arial" w:cs="Arial"/>
                <w:sz w:val="18"/>
                <w:szCs w:val="18"/>
                <w:lang w:val="es-PE"/>
              </w:rPr>
              <w:t>.</w:t>
            </w:r>
          </w:p>
        </w:tc>
        <w:tc>
          <w:tcPr>
            <w:tcW w:w="843" w:type="pct"/>
            <w:tcBorders>
              <w:top w:val="nil"/>
              <w:left w:val="nil"/>
              <w:bottom w:val="single" w:sz="8" w:space="0" w:color="auto"/>
              <w:right w:val="single" w:sz="8" w:space="0" w:color="auto"/>
            </w:tcBorders>
          </w:tcPr>
          <w:p w14:paraId="09E76171" w14:textId="77777777" w:rsidR="00BA0225" w:rsidRPr="00904884" w:rsidRDefault="00BA0225" w:rsidP="00895676">
            <w:pPr>
              <w:ind w:left="83" w:right="87"/>
              <w:rPr>
                <w:rFonts w:ascii="Arial" w:hAnsi="Arial" w:cs="Arial"/>
                <w:color w:val="000000"/>
                <w:sz w:val="18"/>
                <w:szCs w:val="18"/>
                <w:lang w:val="es-PE"/>
              </w:rPr>
            </w:pPr>
            <w:r w:rsidRPr="00904884">
              <w:rPr>
                <w:rFonts w:ascii="Arial" w:hAnsi="Arial" w:cs="Arial"/>
                <w:sz w:val="18"/>
                <w:szCs w:val="18"/>
                <w:lang w:val="es-PE"/>
              </w:rPr>
              <w:t>Superposición del proyecto con un área de valor crítico para la biodiversidad, donde un pro</w:t>
            </w:r>
            <w:r>
              <w:rPr>
                <w:rFonts w:ascii="Arial" w:hAnsi="Arial" w:cs="Arial"/>
                <w:sz w:val="18"/>
                <w:szCs w:val="18"/>
                <w:lang w:val="es-PE"/>
              </w:rPr>
              <w:t>yecto de desarrollo es ilegal y/</w:t>
            </w:r>
            <w:r w:rsidRPr="00904884">
              <w:rPr>
                <w:rFonts w:ascii="Arial" w:hAnsi="Arial" w:cs="Arial"/>
                <w:sz w:val="18"/>
                <w:szCs w:val="18"/>
                <w:lang w:val="es-PE"/>
              </w:rPr>
              <w:t>o no compatible con los objetivos de desarrollo d</w:t>
            </w:r>
            <w:r>
              <w:rPr>
                <w:rFonts w:ascii="Arial" w:hAnsi="Arial" w:cs="Arial"/>
                <w:sz w:val="18"/>
                <w:szCs w:val="18"/>
                <w:lang w:val="es-PE"/>
              </w:rPr>
              <w:t>el Plan de Manejo del área y/</w:t>
            </w:r>
            <w:r w:rsidRPr="00904884">
              <w:rPr>
                <w:rFonts w:ascii="Arial" w:hAnsi="Arial" w:cs="Arial"/>
                <w:sz w:val="18"/>
                <w:szCs w:val="18"/>
                <w:lang w:val="es-PE"/>
              </w:rPr>
              <w:t xml:space="preserve">o la consulta de los </w:t>
            </w:r>
            <w:r>
              <w:rPr>
                <w:rFonts w:ascii="Arial" w:hAnsi="Arial" w:cs="Arial"/>
                <w:sz w:val="18"/>
                <w:szCs w:val="18"/>
                <w:lang w:val="es-PE"/>
              </w:rPr>
              <w:t>grupos de interés.</w:t>
            </w:r>
            <w:r w:rsidRPr="00904884">
              <w:rPr>
                <w:rFonts w:ascii="Arial" w:hAnsi="Arial" w:cs="Arial"/>
                <w:sz w:val="18"/>
                <w:szCs w:val="18"/>
                <w:lang w:val="es-PE"/>
              </w:rPr>
              <w:t xml:space="preserve"> </w:t>
            </w:r>
            <w:r w:rsidRPr="00E859D6">
              <w:rPr>
                <w:rFonts w:ascii="Arial" w:hAnsi="Arial" w:cs="Arial"/>
                <w:sz w:val="18"/>
                <w:szCs w:val="18"/>
                <w:lang w:val="es-PE"/>
              </w:rPr>
              <w:t>Los impactos son negativos y significativos.</w:t>
            </w:r>
          </w:p>
        </w:tc>
      </w:tr>
      <w:tr w:rsidR="00BA0225" w:rsidRPr="00904884" w14:paraId="0AD2CE93" w14:textId="77777777" w:rsidTr="00895676">
        <w:trPr>
          <w:trHeight w:val="296"/>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FC5B69" w14:textId="77777777" w:rsidR="00BA0225" w:rsidRPr="00904884" w:rsidRDefault="00BA0225" w:rsidP="00895676">
            <w:pPr>
              <w:rPr>
                <w:rFonts w:ascii="Arial" w:hAnsi="Arial" w:cs="Arial"/>
                <w:color w:val="000000"/>
                <w:sz w:val="18"/>
                <w:szCs w:val="18"/>
                <w:lang w:val="es-PE"/>
              </w:rPr>
            </w:pPr>
            <w:r w:rsidRPr="00904884">
              <w:rPr>
                <w:rFonts w:ascii="Arial" w:hAnsi="Arial" w:cs="Arial"/>
                <w:color w:val="000000"/>
                <w:sz w:val="18"/>
                <w:szCs w:val="18"/>
                <w:lang w:val="es-PE"/>
              </w:rPr>
              <w:t>Corredores Migratorios</w:t>
            </w:r>
          </w:p>
        </w:tc>
        <w:tc>
          <w:tcPr>
            <w:tcW w:w="998" w:type="pct"/>
            <w:tcBorders>
              <w:top w:val="nil"/>
              <w:left w:val="nil"/>
              <w:bottom w:val="single" w:sz="8" w:space="0" w:color="auto"/>
              <w:right w:val="single" w:sz="8" w:space="0" w:color="auto"/>
            </w:tcBorders>
          </w:tcPr>
          <w:p w14:paraId="704BA9B4"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t>El proyecto tiene un potencial de causar impactos negativos y significativos sobre los valores de biodiversidad amenazados (especies y/o ecosistemas)</w:t>
            </w:r>
            <w:r>
              <w:rPr>
                <w:rFonts w:ascii="Arial" w:hAnsi="Arial" w:cs="Arial"/>
                <w:sz w:val="18"/>
                <w:szCs w:val="18"/>
                <w:lang w:val="es-PE"/>
              </w:rPr>
              <w:t>. Mitigación puede requerir compensación (offset).</w:t>
            </w:r>
          </w:p>
        </w:tc>
        <w:tc>
          <w:tcPr>
            <w:tcW w:w="986" w:type="pct"/>
            <w:tcBorders>
              <w:top w:val="nil"/>
              <w:left w:val="nil"/>
              <w:bottom w:val="single" w:sz="8" w:space="0" w:color="auto"/>
              <w:right w:val="single" w:sz="8" w:space="0" w:color="auto"/>
            </w:tcBorders>
          </w:tcPr>
          <w:p w14:paraId="21BA4113" w14:textId="77777777" w:rsidR="00BA0225" w:rsidRPr="00904884" w:rsidRDefault="00BA0225" w:rsidP="00895676">
            <w:pPr>
              <w:ind w:left="91" w:right="81"/>
              <w:rPr>
                <w:rFonts w:ascii="Arial" w:hAnsi="Arial" w:cs="Arial"/>
                <w:color w:val="000000"/>
                <w:sz w:val="18"/>
                <w:szCs w:val="18"/>
                <w:lang w:val="es-PE"/>
              </w:rPr>
            </w:pPr>
            <w:r w:rsidRPr="00904884">
              <w:rPr>
                <w:rFonts w:ascii="Arial" w:hAnsi="Arial" w:cs="Arial"/>
                <w:sz w:val="18"/>
                <w:szCs w:val="18"/>
                <w:lang w:val="es-PE"/>
              </w:rPr>
              <w:t>El proyecto tiene un potencial de causar impactos negativos y significativos sobre los valores de biodiversidad amenazados (especies y/o ecosistemas), pero estos pueden ser mitigados</w:t>
            </w:r>
            <w:r>
              <w:rPr>
                <w:rFonts w:ascii="Arial" w:hAnsi="Arial" w:cs="Arial"/>
                <w:sz w:val="18"/>
                <w:szCs w:val="18"/>
                <w:lang w:val="es-PE"/>
              </w:rPr>
              <w:t xml:space="preserve"> </w:t>
            </w:r>
            <w:r w:rsidRPr="00904884">
              <w:rPr>
                <w:rFonts w:ascii="Arial" w:hAnsi="Arial" w:cs="Arial"/>
                <w:sz w:val="18"/>
                <w:szCs w:val="18"/>
                <w:lang w:val="es-PE"/>
              </w:rPr>
              <w:t>a través de la aplicación de la jerarquía de la mitigación.</w:t>
            </w:r>
          </w:p>
        </w:tc>
        <w:tc>
          <w:tcPr>
            <w:tcW w:w="941" w:type="pct"/>
            <w:tcBorders>
              <w:top w:val="nil"/>
              <w:left w:val="nil"/>
              <w:bottom w:val="single" w:sz="8" w:space="0" w:color="auto"/>
              <w:right w:val="single" w:sz="8" w:space="0" w:color="auto"/>
            </w:tcBorders>
          </w:tcPr>
          <w:p w14:paraId="015F31ED"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t>El proyecto no se sobrepone con un corredor migratorio o no impacta hábitats asociados con un corredor migratorio</w:t>
            </w:r>
            <w:r>
              <w:rPr>
                <w:rFonts w:ascii="Arial" w:hAnsi="Arial" w:cs="Arial"/>
                <w:sz w:val="18"/>
                <w:szCs w:val="18"/>
                <w:lang w:val="es-PE"/>
              </w:rPr>
              <w:t>.</w:t>
            </w:r>
          </w:p>
        </w:tc>
        <w:tc>
          <w:tcPr>
            <w:tcW w:w="843" w:type="pct"/>
            <w:tcBorders>
              <w:top w:val="nil"/>
              <w:left w:val="nil"/>
              <w:bottom w:val="single" w:sz="8" w:space="0" w:color="auto"/>
              <w:right w:val="single" w:sz="8" w:space="0" w:color="auto"/>
            </w:tcBorders>
          </w:tcPr>
          <w:p w14:paraId="3C0AF12B" w14:textId="77777777" w:rsidR="00BA0225" w:rsidRPr="00904884" w:rsidRDefault="00BA0225" w:rsidP="00895676">
            <w:pPr>
              <w:ind w:left="83" w:right="87"/>
              <w:rPr>
                <w:rFonts w:ascii="Arial" w:hAnsi="Arial" w:cs="Arial"/>
                <w:color w:val="000000"/>
                <w:sz w:val="18"/>
                <w:szCs w:val="18"/>
                <w:lang w:val="es-PE"/>
              </w:rPr>
            </w:pPr>
            <w:r w:rsidRPr="00904884">
              <w:rPr>
                <w:rFonts w:ascii="Arial" w:hAnsi="Arial" w:cs="Arial"/>
                <w:sz w:val="18"/>
                <w:szCs w:val="18"/>
                <w:lang w:val="es-PE"/>
              </w:rPr>
              <w:t>El proyecto tiene impactos significativos y negativos en pobla</w:t>
            </w:r>
            <w:r>
              <w:rPr>
                <w:rFonts w:ascii="Arial" w:hAnsi="Arial" w:cs="Arial"/>
                <w:sz w:val="18"/>
                <w:szCs w:val="18"/>
                <w:lang w:val="es-PE"/>
              </w:rPr>
              <w:t>ciones de especies en PC o EP y/</w:t>
            </w:r>
            <w:r w:rsidRPr="00904884">
              <w:rPr>
                <w:rFonts w:ascii="Arial" w:hAnsi="Arial" w:cs="Arial"/>
                <w:sz w:val="18"/>
                <w:szCs w:val="18"/>
                <w:lang w:val="es-PE"/>
              </w:rPr>
              <w:t>o impactos significativos y negativos en hábitats críticos donde habitan estas especies.</w:t>
            </w:r>
            <w:r>
              <w:rPr>
                <w:rFonts w:ascii="Arial" w:hAnsi="Arial" w:cs="Arial"/>
                <w:sz w:val="18"/>
                <w:szCs w:val="18"/>
                <w:lang w:val="es-PE"/>
              </w:rPr>
              <w:t xml:space="preserve"> </w:t>
            </w:r>
            <w:r w:rsidRPr="0079638A">
              <w:rPr>
                <w:rFonts w:ascii="Arial" w:hAnsi="Arial" w:cs="Arial"/>
                <w:sz w:val="18"/>
                <w:szCs w:val="18"/>
                <w:lang w:val="es-PE"/>
              </w:rPr>
              <w:t>Los impactos son significativos (de largo plazo) y negativos</w:t>
            </w:r>
            <w:r>
              <w:rPr>
                <w:rFonts w:ascii="Arial" w:hAnsi="Arial" w:cs="Arial"/>
                <w:sz w:val="18"/>
                <w:szCs w:val="18"/>
                <w:lang w:val="es-PE"/>
              </w:rPr>
              <w:t>.</w:t>
            </w:r>
          </w:p>
        </w:tc>
      </w:tr>
      <w:tr w:rsidR="00BA0225" w:rsidRPr="00F63442" w14:paraId="444C3DD4" w14:textId="77777777" w:rsidTr="00895676">
        <w:trPr>
          <w:trHeight w:val="296"/>
        </w:trPr>
        <w:tc>
          <w:tcPr>
            <w:tcW w:w="1232" w:type="pct"/>
            <w:tcBorders>
              <w:top w:val="nil"/>
              <w:left w:val="single" w:sz="8" w:space="0" w:color="auto"/>
              <w:bottom w:val="nil"/>
              <w:right w:val="single" w:sz="8" w:space="0" w:color="auto"/>
            </w:tcBorders>
            <w:tcMar>
              <w:top w:w="0" w:type="dxa"/>
              <w:left w:w="108" w:type="dxa"/>
              <w:bottom w:w="0" w:type="dxa"/>
              <w:right w:w="108" w:type="dxa"/>
            </w:tcMar>
            <w:vAlign w:val="center"/>
            <w:hideMark/>
          </w:tcPr>
          <w:p w14:paraId="544B9513" w14:textId="77777777" w:rsidR="00BA0225" w:rsidRPr="00F63442" w:rsidRDefault="00BA0225" w:rsidP="00895676">
            <w:pPr>
              <w:rPr>
                <w:rFonts w:ascii="Arial" w:hAnsi="Arial" w:cs="Arial"/>
                <w:color w:val="000000"/>
                <w:sz w:val="18"/>
                <w:szCs w:val="18"/>
                <w:lang w:val="es-PE"/>
              </w:rPr>
            </w:pPr>
            <w:r w:rsidRPr="00F63442">
              <w:rPr>
                <w:rFonts w:ascii="Arial" w:hAnsi="Arial" w:cs="Arial"/>
                <w:color w:val="000000"/>
                <w:sz w:val="18"/>
                <w:szCs w:val="18"/>
                <w:lang w:val="es-PE"/>
              </w:rPr>
              <w:t>Hábitat Natural Crítico</w:t>
            </w:r>
          </w:p>
        </w:tc>
        <w:tc>
          <w:tcPr>
            <w:tcW w:w="998" w:type="pct"/>
            <w:tcBorders>
              <w:top w:val="nil"/>
              <w:left w:val="nil"/>
              <w:bottom w:val="nil"/>
              <w:right w:val="single" w:sz="8" w:space="0" w:color="auto"/>
            </w:tcBorders>
          </w:tcPr>
          <w:p w14:paraId="72A2D22A"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t>El proyecto puede causar impactos negativos y significat</w:t>
            </w:r>
            <w:r>
              <w:rPr>
                <w:rFonts w:ascii="Arial" w:hAnsi="Arial" w:cs="Arial"/>
                <w:sz w:val="18"/>
                <w:szCs w:val="18"/>
                <w:lang w:val="es-PE"/>
              </w:rPr>
              <w:t>ivos</w:t>
            </w:r>
            <w:r w:rsidRPr="00904884">
              <w:rPr>
                <w:rFonts w:ascii="Arial" w:hAnsi="Arial" w:cs="Arial"/>
                <w:sz w:val="18"/>
                <w:szCs w:val="18"/>
                <w:lang w:val="es-PE"/>
              </w:rPr>
              <w:t xml:space="preserve"> (de largo plazo y más allá de lo local) </w:t>
            </w:r>
            <w:r>
              <w:rPr>
                <w:rFonts w:ascii="Arial" w:hAnsi="Arial" w:cs="Arial"/>
                <w:sz w:val="18"/>
                <w:szCs w:val="18"/>
                <w:lang w:val="es-PE"/>
              </w:rPr>
              <w:t>pero pueden ser mitigados a través de la aplicación de la jerarquía de mitigación, incluyendo acciones de compensación (offset).</w:t>
            </w:r>
          </w:p>
        </w:tc>
        <w:tc>
          <w:tcPr>
            <w:tcW w:w="986" w:type="pct"/>
            <w:tcBorders>
              <w:top w:val="nil"/>
              <w:left w:val="nil"/>
              <w:bottom w:val="nil"/>
              <w:right w:val="single" w:sz="8" w:space="0" w:color="auto"/>
            </w:tcBorders>
          </w:tcPr>
          <w:p w14:paraId="6B659469" w14:textId="77777777" w:rsidR="00BA0225" w:rsidRPr="00904884" w:rsidRDefault="00BA0225" w:rsidP="00895676">
            <w:pPr>
              <w:ind w:left="91"/>
              <w:rPr>
                <w:rFonts w:ascii="Arial" w:hAnsi="Arial" w:cs="Arial"/>
                <w:color w:val="000000"/>
                <w:sz w:val="18"/>
                <w:szCs w:val="18"/>
                <w:lang w:val="es-PE"/>
              </w:rPr>
            </w:pPr>
            <w:r w:rsidRPr="00904884">
              <w:rPr>
                <w:rFonts w:ascii="Arial" w:hAnsi="Arial" w:cs="Arial"/>
                <w:sz w:val="18"/>
                <w:szCs w:val="18"/>
                <w:lang w:val="es-PE"/>
              </w:rPr>
              <w:t xml:space="preserve">El proyecto puede causar impactos negativos que son de corto plazo y local; existen medidas de mitigación (aplicación de la jerarquía de mitigación) que reducen los impactos residuales del proyecto y logran </w:t>
            </w:r>
            <w:r>
              <w:rPr>
                <w:rFonts w:ascii="Arial" w:hAnsi="Arial" w:cs="Arial"/>
                <w:sz w:val="18"/>
                <w:szCs w:val="18"/>
                <w:lang w:val="es-PE"/>
              </w:rPr>
              <w:t>evitar la</w:t>
            </w:r>
            <w:r w:rsidRPr="00904884">
              <w:rPr>
                <w:rFonts w:ascii="Arial" w:hAnsi="Arial" w:cs="Arial"/>
                <w:sz w:val="18"/>
                <w:szCs w:val="18"/>
                <w:lang w:val="es-PE"/>
              </w:rPr>
              <w:t xml:space="preserve"> neta pérdida de biodiversidad</w:t>
            </w:r>
            <w:r>
              <w:rPr>
                <w:rFonts w:ascii="Arial" w:hAnsi="Arial" w:cs="Arial"/>
                <w:sz w:val="18"/>
                <w:szCs w:val="18"/>
                <w:lang w:val="es-PE"/>
              </w:rPr>
              <w:t xml:space="preserve"> en el hábitat crítico</w:t>
            </w:r>
            <w:r w:rsidRPr="00904884">
              <w:rPr>
                <w:rFonts w:ascii="Arial" w:hAnsi="Arial" w:cs="Arial"/>
                <w:sz w:val="18"/>
                <w:szCs w:val="18"/>
                <w:lang w:val="es-PE"/>
              </w:rPr>
              <w:t>.</w:t>
            </w:r>
          </w:p>
        </w:tc>
        <w:tc>
          <w:tcPr>
            <w:tcW w:w="941" w:type="pct"/>
            <w:tcBorders>
              <w:top w:val="nil"/>
              <w:left w:val="nil"/>
              <w:bottom w:val="nil"/>
              <w:right w:val="single" w:sz="8" w:space="0" w:color="auto"/>
            </w:tcBorders>
          </w:tcPr>
          <w:p w14:paraId="32FB636D" w14:textId="77777777" w:rsidR="00BA0225" w:rsidRPr="00904884" w:rsidRDefault="00BA0225" w:rsidP="00895676">
            <w:pPr>
              <w:ind w:left="83"/>
              <w:rPr>
                <w:rFonts w:ascii="Arial" w:hAnsi="Arial" w:cs="Arial"/>
                <w:color w:val="000000"/>
                <w:sz w:val="18"/>
                <w:szCs w:val="18"/>
                <w:lang w:val="es-PE"/>
              </w:rPr>
            </w:pPr>
            <w:r w:rsidRPr="00904884">
              <w:rPr>
                <w:rFonts w:ascii="Arial" w:hAnsi="Arial" w:cs="Arial"/>
                <w:sz w:val="18"/>
                <w:szCs w:val="18"/>
                <w:lang w:val="es-PE"/>
              </w:rPr>
              <w:t>El proyecto no se sobrepone con zonas que contienen hábitats naturales</w:t>
            </w:r>
            <w:r>
              <w:rPr>
                <w:rFonts w:ascii="Arial" w:hAnsi="Arial" w:cs="Arial"/>
                <w:sz w:val="18"/>
                <w:szCs w:val="18"/>
                <w:lang w:val="es-PE"/>
              </w:rPr>
              <w:t xml:space="preserve"> críticos. </w:t>
            </w:r>
          </w:p>
        </w:tc>
        <w:tc>
          <w:tcPr>
            <w:tcW w:w="843" w:type="pct"/>
            <w:tcBorders>
              <w:top w:val="nil"/>
              <w:left w:val="nil"/>
              <w:bottom w:val="nil"/>
              <w:right w:val="single" w:sz="8" w:space="0" w:color="auto"/>
            </w:tcBorders>
          </w:tcPr>
          <w:p w14:paraId="712219FF" w14:textId="77777777" w:rsidR="00BA0225" w:rsidRPr="00F63442" w:rsidRDefault="00BA0225" w:rsidP="00895676">
            <w:pPr>
              <w:ind w:left="83" w:right="87"/>
              <w:rPr>
                <w:rFonts w:ascii="Arial" w:hAnsi="Arial" w:cs="Arial"/>
                <w:sz w:val="18"/>
                <w:szCs w:val="18"/>
                <w:lang w:val="es-PE"/>
              </w:rPr>
            </w:pPr>
            <w:r>
              <w:rPr>
                <w:rFonts w:ascii="Arial" w:hAnsi="Arial" w:cs="Arial"/>
                <w:sz w:val="18"/>
                <w:szCs w:val="18"/>
                <w:lang w:val="es-PE"/>
              </w:rPr>
              <w:t>El hábitat natural crítico</w:t>
            </w:r>
            <w:r w:rsidRPr="00904884">
              <w:rPr>
                <w:rFonts w:ascii="Arial" w:hAnsi="Arial" w:cs="Arial"/>
                <w:sz w:val="18"/>
                <w:szCs w:val="18"/>
                <w:lang w:val="es-PE"/>
              </w:rPr>
              <w:t xml:space="preserve"> contiene</w:t>
            </w:r>
            <w:r>
              <w:rPr>
                <w:rFonts w:ascii="Arial" w:hAnsi="Arial" w:cs="Arial"/>
                <w:sz w:val="18"/>
                <w:szCs w:val="18"/>
                <w:lang w:val="es-PE"/>
              </w:rPr>
              <w:t xml:space="preserve"> poblaciones de especies en PC,</w:t>
            </w:r>
            <w:r w:rsidRPr="00904884">
              <w:rPr>
                <w:rFonts w:ascii="Arial" w:hAnsi="Arial" w:cs="Arial"/>
                <w:sz w:val="18"/>
                <w:szCs w:val="18"/>
                <w:lang w:val="es-PE"/>
              </w:rPr>
              <w:t xml:space="preserve"> P</w:t>
            </w:r>
            <w:r>
              <w:rPr>
                <w:rFonts w:ascii="Arial" w:hAnsi="Arial" w:cs="Arial"/>
                <w:sz w:val="18"/>
                <w:szCs w:val="18"/>
                <w:lang w:val="es-PE"/>
              </w:rPr>
              <w:t>E</w:t>
            </w:r>
            <w:r w:rsidRPr="00904884">
              <w:rPr>
                <w:rFonts w:ascii="Arial" w:hAnsi="Arial" w:cs="Arial"/>
                <w:sz w:val="18"/>
                <w:szCs w:val="18"/>
                <w:lang w:val="es-PE"/>
              </w:rPr>
              <w:t xml:space="preserve"> o ecosistemas amenazados. </w:t>
            </w:r>
            <w:r w:rsidRPr="00E859D6">
              <w:rPr>
                <w:rFonts w:ascii="Arial" w:hAnsi="Arial" w:cs="Arial"/>
                <w:sz w:val="18"/>
                <w:szCs w:val="18"/>
                <w:lang w:val="es-PE"/>
              </w:rPr>
              <w:t xml:space="preserve">Los impactos son </w:t>
            </w:r>
            <w:r>
              <w:rPr>
                <w:rFonts w:ascii="Arial" w:hAnsi="Arial" w:cs="Arial"/>
                <w:sz w:val="18"/>
                <w:szCs w:val="18"/>
                <w:lang w:val="es-PE"/>
              </w:rPr>
              <w:t xml:space="preserve">negativos y </w:t>
            </w:r>
            <w:r w:rsidRPr="00E859D6">
              <w:rPr>
                <w:rFonts w:ascii="Arial" w:hAnsi="Arial" w:cs="Arial"/>
                <w:sz w:val="18"/>
                <w:szCs w:val="18"/>
                <w:lang w:val="es-PE"/>
              </w:rPr>
              <w:t>significat</w:t>
            </w:r>
            <w:r>
              <w:rPr>
                <w:rFonts w:ascii="Arial" w:hAnsi="Arial" w:cs="Arial"/>
                <w:sz w:val="18"/>
                <w:szCs w:val="18"/>
                <w:lang w:val="es-PE"/>
              </w:rPr>
              <w:t>ivos (de largo plazo), a pesar de</w:t>
            </w:r>
            <w:r w:rsidRPr="00904884">
              <w:rPr>
                <w:rFonts w:ascii="Arial" w:hAnsi="Arial" w:cs="Arial"/>
                <w:sz w:val="18"/>
                <w:szCs w:val="18"/>
                <w:lang w:val="es-PE"/>
              </w:rPr>
              <w:t xml:space="preserve"> la aplicación de </w:t>
            </w:r>
            <w:r>
              <w:rPr>
                <w:rFonts w:ascii="Arial" w:hAnsi="Arial" w:cs="Arial"/>
                <w:sz w:val="18"/>
                <w:szCs w:val="18"/>
                <w:lang w:val="es-PE"/>
              </w:rPr>
              <w:t>medidas de</w:t>
            </w:r>
            <w:r w:rsidRPr="00904884">
              <w:rPr>
                <w:rFonts w:ascii="Arial" w:hAnsi="Arial" w:cs="Arial"/>
                <w:sz w:val="18"/>
                <w:szCs w:val="18"/>
                <w:lang w:val="es-PE"/>
              </w:rPr>
              <w:t xml:space="preserve"> la jerarquía de mitigación</w:t>
            </w:r>
            <w:r>
              <w:rPr>
                <w:rFonts w:ascii="Arial" w:hAnsi="Arial" w:cs="Arial"/>
                <w:sz w:val="18"/>
                <w:szCs w:val="18"/>
                <w:lang w:val="es-PE"/>
              </w:rPr>
              <w:t>. L</w:t>
            </w:r>
            <w:r w:rsidRPr="00904884">
              <w:rPr>
                <w:rFonts w:ascii="Arial" w:hAnsi="Arial" w:cs="Arial"/>
                <w:sz w:val="18"/>
                <w:szCs w:val="18"/>
                <w:lang w:val="es-PE"/>
              </w:rPr>
              <w:t xml:space="preserve">a </w:t>
            </w:r>
            <w:r w:rsidRPr="00904884">
              <w:rPr>
                <w:rFonts w:ascii="Arial" w:hAnsi="Arial" w:cs="Arial"/>
                <w:sz w:val="18"/>
                <w:szCs w:val="18"/>
                <w:lang w:val="es-PE"/>
              </w:rPr>
              <w:lastRenderedPageBreak/>
              <w:t xml:space="preserve">opinión de los </w:t>
            </w:r>
            <w:r>
              <w:rPr>
                <w:rFonts w:ascii="Arial" w:hAnsi="Arial" w:cs="Arial"/>
                <w:sz w:val="18"/>
                <w:szCs w:val="18"/>
                <w:lang w:val="es-PE"/>
              </w:rPr>
              <w:t>grupos de interés</w:t>
            </w:r>
            <w:r w:rsidRPr="00904884">
              <w:rPr>
                <w:rFonts w:ascii="Arial" w:hAnsi="Arial" w:cs="Arial"/>
                <w:sz w:val="18"/>
                <w:szCs w:val="18"/>
                <w:lang w:val="es-PE"/>
              </w:rPr>
              <w:t xml:space="preserve"> es negativa.</w:t>
            </w:r>
          </w:p>
        </w:tc>
      </w:tr>
      <w:tr w:rsidR="00BA0225" w:rsidRPr="00904884" w14:paraId="04B37A22" w14:textId="77777777" w:rsidTr="00895676">
        <w:trPr>
          <w:trHeight w:val="251"/>
        </w:trPr>
        <w:tc>
          <w:tcPr>
            <w:tcW w:w="5000" w:type="pct"/>
            <w:gridSpan w:val="5"/>
            <w:tcBorders>
              <w:top w:val="single" w:sz="8" w:space="0" w:color="auto"/>
              <w:left w:val="single" w:sz="8" w:space="0" w:color="auto"/>
              <w:bottom w:val="single" w:sz="8" w:space="0" w:color="auto"/>
              <w:right w:val="single" w:sz="8" w:space="0" w:color="000000"/>
            </w:tcBorders>
            <w:shd w:val="clear" w:color="auto" w:fill="E7E6E6"/>
            <w:tcMar>
              <w:top w:w="0" w:type="dxa"/>
              <w:left w:w="108" w:type="dxa"/>
              <w:bottom w:w="0" w:type="dxa"/>
              <w:right w:w="108" w:type="dxa"/>
            </w:tcMar>
            <w:vAlign w:val="center"/>
            <w:hideMark/>
          </w:tcPr>
          <w:p w14:paraId="3BECC0F6" w14:textId="77777777" w:rsidR="00BA0225" w:rsidRPr="00904884" w:rsidRDefault="00BA0225" w:rsidP="00895676">
            <w:pPr>
              <w:rPr>
                <w:rFonts w:ascii="Arial" w:hAnsi="Arial" w:cs="Arial"/>
                <w:b/>
                <w:bCs/>
                <w:color w:val="000000"/>
                <w:sz w:val="18"/>
                <w:szCs w:val="18"/>
                <w:lang w:val="es-PE"/>
              </w:rPr>
            </w:pPr>
            <w:r w:rsidRPr="00904884">
              <w:rPr>
                <w:rFonts w:ascii="Arial" w:hAnsi="Arial" w:cs="Arial"/>
                <w:b/>
                <w:bCs/>
                <w:color w:val="000000"/>
                <w:sz w:val="18"/>
                <w:szCs w:val="18"/>
                <w:lang w:val="es-PE"/>
              </w:rPr>
              <w:lastRenderedPageBreak/>
              <w:t xml:space="preserve">Ambiental </w:t>
            </w:r>
          </w:p>
        </w:tc>
      </w:tr>
      <w:tr w:rsidR="00BA0225" w:rsidRPr="00904884" w14:paraId="5CE70272" w14:textId="77777777" w:rsidTr="00895676">
        <w:trPr>
          <w:trHeight w:val="269"/>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6118E1" w14:textId="77777777" w:rsidR="00BA0225" w:rsidRPr="00904884" w:rsidRDefault="00BA0225" w:rsidP="00895676">
            <w:pPr>
              <w:rPr>
                <w:rFonts w:ascii="Arial" w:hAnsi="Arial" w:cs="Arial"/>
                <w:color w:val="000000"/>
                <w:sz w:val="18"/>
                <w:szCs w:val="18"/>
                <w:lang w:val="es-PE"/>
              </w:rPr>
            </w:pPr>
            <w:r>
              <w:rPr>
                <w:rFonts w:ascii="Arial" w:hAnsi="Arial" w:cs="Arial"/>
                <w:color w:val="000000"/>
                <w:sz w:val="18"/>
                <w:szCs w:val="18"/>
                <w:lang w:val="es-PE"/>
              </w:rPr>
              <w:t>Uso</w:t>
            </w:r>
            <w:r w:rsidRPr="00904884">
              <w:rPr>
                <w:rFonts w:ascii="Arial" w:hAnsi="Arial" w:cs="Arial"/>
                <w:color w:val="000000"/>
                <w:sz w:val="18"/>
                <w:szCs w:val="18"/>
                <w:lang w:val="es-PE"/>
              </w:rPr>
              <w:t xml:space="preserve"> de Agua Superficial</w:t>
            </w:r>
            <w:r>
              <w:rPr>
                <w:rFonts w:ascii="Arial" w:hAnsi="Arial" w:cs="Arial"/>
                <w:color w:val="000000"/>
                <w:sz w:val="18"/>
                <w:szCs w:val="18"/>
                <w:lang w:val="es-PE"/>
              </w:rPr>
              <w:t xml:space="preserve"> </w:t>
            </w:r>
          </w:p>
        </w:tc>
        <w:tc>
          <w:tcPr>
            <w:tcW w:w="998" w:type="pct"/>
            <w:tcBorders>
              <w:top w:val="nil"/>
              <w:left w:val="nil"/>
              <w:bottom w:val="single" w:sz="8" w:space="0" w:color="auto"/>
              <w:right w:val="single" w:sz="8" w:space="0" w:color="auto"/>
            </w:tcBorders>
          </w:tcPr>
          <w:p w14:paraId="4C046839" w14:textId="77777777" w:rsidR="00BA0225" w:rsidRPr="00673BEA" w:rsidRDefault="00BA0225" w:rsidP="00895676">
            <w:pPr>
              <w:ind w:left="83" w:right="73"/>
              <w:rPr>
                <w:rFonts w:ascii="Arial" w:hAnsi="Arial" w:cs="Arial"/>
                <w:sz w:val="18"/>
                <w:szCs w:val="18"/>
                <w:lang w:val="es-PE"/>
              </w:rPr>
            </w:pPr>
            <w:r>
              <w:rPr>
                <w:rFonts w:ascii="Arial" w:hAnsi="Arial" w:cs="Arial"/>
                <w:sz w:val="18"/>
                <w:szCs w:val="18"/>
                <w:lang w:val="es-PE"/>
              </w:rPr>
              <w:t xml:space="preserve">Escasos recursos de agua superficial alrededor del proyecto o ausencia de agua superficial accesible al proyecto. El uso por el proyecto podría generar </w:t>
            </w:r>
            <w:r w:rsidRPr="00673BEA">
              <w:rPr>
                <w:rFonts w:ascii="Arial" w:hAnsi="Arial" w:cs="Arial"/>
                <w:sz w:val="18"/>
                <w:szCs w:val="18"/>
                <w:lang w:val="es-PE"/>
              </w:rPr>
              <w:t xml:space="preserve">impactos a </w:t>
            </w:r>
            <w:r>
              <w:rPr>
                <w:rFonts w:ascii="Arial" w:hAnsi="Arial" w:cs="Arial"/>
                <w:sz w:val="18"/>
                <w:szCs w:val="18"/>
                <w:lang w:val="es-PE"/>
              </w:rPr>
              <w:t xml:space="preserve">la </w:t>
            </w:r>
            <w:r w:rsidRPr="00673BEA">
              <w:rPr>
                <w:rFonts w:ascii="Arial" w:hAnsi="Arial" w:cs="Arial"/>
                <w:sz w:val="18"/>
                <w:szCs w:val="18"/>
                <w:lang w:val="es-PE"/>
              </w:rPr>
              <w:t>sub</w:t>
            </w:r>
            <w:r>
              <w:rPr>
                <w:rFonts w:ascii="Arial" w:hAnsi="Arial" w:cs="Arial"/>
                <w:sz w:val="18"/>
                <w:szCs w:val="18"/>
                <w:lang w:val="es-PE"/>
              </w:rPr>
              <w:t>sistencia y/o el</w:t>
            </w:r>
            <w:r w:rsidRPr="00673BEA">
              <w:rPr>
                <w:rFonts w:ascii="Arial" w:hAnsi="Arial" w:cs="Arial"/>
                <w:sz w:val="18"/>
                <w:szCs w:val="18"/>
                <w:lang w:val="es-PE"/>
              </w:rPr>
              <w:t xml:space="preserve"> potencial de conflictos </w:t>
            </w:r>
            <w:r>
              <w:rPr>
                <w:rFonts w:ascii="Arial" w:hAnsi="Arial" w:cs="Arial"/>
                <w:sz w:val="18"/>
                <w:szCs w:val="18"/>
                <w:lang w:val="es-PE"/>
              </w:rPr>
              <w:t xml:space="preserve">de uso de agua superficial </w:t>
            </w:r>
            <w:r w:rsidRPr="00673BEA">
              <w:rPr>
                <w:rFonts w:ascii="Arial" w:hAnsi="Arial" w:cs="Arial"/>
                <w:sz w:val="18"/>
                <w:szCs w:val="18"/>
                <w:lang w:val="es-PE"/>
              </w:rPr>
              <w:t>es alto</w:t>
            </w:r>
            <w:r>
              <w:rPr>
                <w:rFonts w:ascii="Arial" w:hAnsi="Arial" w:cs="Arial"/>
                <w:sz w:val="18"/>
                <w:szCs w:val="18"/>
                <w:lang w:val="es-PE"/>
              </w:rPr>
              <w:t>.</w:t>
            </w:r>
          </w:p>
        </w:tc>
        <w:tc>
          <w:tcPr>
            <w:tcW w:w="986" w:type="pct"/>
            <w:tcBorders>
              <w:top w:val="nil"/>
              <w:left w:val="nil"/>
              <w:bottom w:val="single" w:sz="8" w:space="0" w:color="auto"/>
              <w:right w:val="single" w:sz="8" w:space="0" w:color="auto"/>
            </w:tcBorders>
          </w:tcPr>
          <w:p w14:paraId="601F2F8B" w14:textId="77777777" w:rsidR="00BA0225" w:rsidRPr="00673BEA" w:rsidRDefault="00BA0225" w:rsidP="00895676">
            <w:pPr>
              <w:ind w:left="91" w:right="81"/>
              <w:rPr>
                <w:rFonts w:ascii="Arial" w:hAnsi="Arial" w:cs="Arial"/>
                <w:sz w:val="18"/>
                <w:szCs w:val="18"/>
                <w:lang w:val="es-PE"/>
              </w:rPr>
            </w:pPr>
            <w:r>
              <w:rPr>
                <w:rFonts w:ascii="Arial" w:hAnsi="Arial" w:cs="Arial"/>
                <w:sz w:val="18"/>
                <w:szCs w:val="18"/>
                <w:lang w:val="es-PE"/>
              </w:rPr>
              <w:t>Recursos de agua superficial son escasos o de difícil acceso para el proyecto. El potencial de conflicto de uso de agua superficial es moderado.</w:t>
            </w:r>
            <w:r w:rsidRPr="00673BEA">
              <w:rPr>
                <w:rFonts w:ascii="Arial" w:hAnsi="Arial" w:cs="Arial"/>
                <w:sz w:val="18"/>
                <w:szCs w:val="18"/>
                <w:lang w:val="es-PE"/>
              </w:rPr>
              <w:t xml:space="preserve"> </w:t>
            </w:r>
            <w:r>
              <w:rPr>
                <w:rFonts w:ascii="Arial" w:hAnsi="Arial" w:cs="Arial"/>
                <w:sz w:val="18"/>
                <w:szCs w:val="18"/>
                <w:lang w:val="es-ES"/>
              </w:rPr>
              <w:t>Se cuentan con</w:t>
            </w:r>
            <w:r w:rsidRPr="009768E8">
              <w:rPr>
                <w:rFonts w:ascii="Arial" w:hAnsi="Arial" w:cs="Arial"/>
                <w:sz w:val="18"/>
                <w:szCs w:val="18"/>
                <w:lang w:val="es-ES"/>
              </w:rPr>
              <w:t xml:space="preserve"> </w:t>
            </w:r>
            <w:r>
              <w:rPr>
                <w:rFonts w:ascii="Arial" w:hAnsi="Arial" w:cs="Arial"/>
                <w:sz w:val="18"/>
                <w:szCs w:val="18"/>
                <w:lang w:val="es-ES"/>
              </w:rPr>
              <w:t>fuentes</w:t>
            </w:r>
            <w:r w:rsidRPr="009768E8">
              <w:rPr>
                <w:rFonts w:ascii="Arial" w:hAnsi="Arial" w:cs="Arial"/>
                <w:sz w:val="18"/>
                <w:szCs w:val="18"/>
                <w:lang w:val="es-ES"/>
              </w:rPr>
              <w:t xml:space="preserve"> alternativa</w:t>
            </w:r>
            <w:r>
              <w:rPr>
                <w:rFonts w:ascii="Arial" w:hAnsi="Arial" w:cs="Arial"/>
                <w:sz w:val="18"/>
                <w:szCs w:val="18"/>
                <w:lang w:val="es-ES"/>
              </w:rPr>
              <w:t>s</w:t>
            </w:r>
            <w:r w:rsidRPr="009768E8">
              <w:rPr>
                <w:rFonts w:ascii="Arial" w:hAnsi="Arial" w:cs="Arial"/>
                <w:sz w:val="18"/>
                <w:szCs w:val="18"/>
                <w:lang w:val="es-ES"/>
              </w:rPr>
              <w:t xml:space="preserve"> factible</w:t>
            </w:r>
            <w:r>
              <w:rPr>
                <w:rFonts w:ascii="Arial" w:hAnsi="Arial" w:cs="Arial"/>
                <w:sz w:val="18"/>
                <w:szCs w:val="18"/>
                <w:lang w:val="es-ES"/>
              </w:rPr>
              <w:t>s.</w:t>
            </w:r>
          </w:p>
        </w:tc>
        <w:tc>
          <w:tcPr>
            <w:tcW w:w="941" w:type="pct"/>
            <w:tcBorders>
              <w:top w:val="nil"/>
              <w:left w:val="nil"/>
              <w:bottom w:val="single" w:sz="8" w:space="0" w:color="auto"/>
              <w:right w:val="single" w:sz="8" w:space="0" w:color="auto"/>
            </w:tcBorders>
          </w:tcPr>
          <w:p w14:paraId="276FC35C" w14:textId="77777777" w:rsidR="00BA0225" w:rsidRPr="00673BEA" w:rsidRDefault="00BA0225" w:rsidP="00895676">
            <w:pPr>
              <w:ind w:left="83"/>
              <w:rPr>
                <w:rFonts w:ascii="Arial" w:hAnsi="Arial" w:cs="Arial"/>
                <w:sz w:val="18"/>
                <w:szCs w:val="18"/>
                <w:lang w:val="es-PE"/>
              </w:rPr>
            </w:pPr>
            <w:r>
              <w:rPr>
                <w:rFonts w:ascii="Arial" w:hAnsi="Arial" w:cs="Arial"/>
                <w:sz w:val="18"/>
                <w:szCs w:val="18"/>
                <w:lang w:val="es-PE"/>
              </w:rPr>
              <w:t xml:space="preserve">Disponibilidad de agua superficial es abundante y de fácil acceso al proyecto (e.g. dentro de la concesión). El potencial de conflicto de uso de agua superficial es bajo. </w:t>
            </w:r>
            <w:r>
              <w:rPr>
                <w:rFonts w:ascii="Arial" w:hAnsi="Arial" w:cs="Arial"/>
                <w:sz w:val="18"/>
                <w:szCs w:val="18"/>
                <w:lang w:val="es-ES"/>
              </w:rPr>
              <w:t>Se cuentan con</w:t>
            </w:r>
            <w:r w:rsidRPr="009768E8">
              <w:rPr>
                <w:rFonts w:ascii="Arial" w:hAnsi="Arial" w:cs="Arial"/>
                <w:sz w:val="18"/>
                <w:szCs w:val="18"/>
                <w:lang w:val="es-ES"/>
              </w:rPr>
              <w:t xml:space="preserve"> </w:t>
            </w:r>
            <w:r>
              <w:rPr>
                <w:rFonts w:ascii="Arial" w:hAnsi="Arial" w:cs="Arial"/>
                <w:sz w:val="18"/>
                <w:szCs w:val="18"/>
                <w:lang w:val="es-ES"/>
              </w:rPr>
              <w:t>fuentes</w:t>
            </w:r>
            <w:r w:rsidRPr="009768E8">
              <w:rPr>
                <w:rFonts w:ascii="Arial" w:hAnsi="Arial" w:cs="Arial"/>
                <w:sz w:val="18"/>
                <w:szCs w:val="18"/>
                <w:lang w:val="es-ES"/>
              </w:rPr>
              <w:t xml:space="preserve"> alternativa</w:t>
            </w:r>
            <w:r>
              <w:rPr>
                <w:rFonts w:ascii="Arial" w:hAnsi="Arial" w:cs="Arial"/>
                <w:sz w:val="18"/>
                <w:szCs w:val="18"/>
                <w:lang w:val="es-ES"/>
              </w:rPr>
              <w:t>s</w:t>
            </w:r>
            <w:r w:rsidRPr="009768E8">
              <w:rPr>
                <w:rFonts w:ascii="Arial" w:hAnsi="Arial" w:cs="Arial"/>
                <w:sz w:val="18"/>
                <w:szCs w:val="18"/>
                <w:lang w:val="es-ES"/>
              </w:rPr>
              <w:t xml:space="preserve"> factible</w:t>
            </w:r>
            <w:r>
              <w:rPr>
                <w:rFonts w:ascii="Arial" w:hAnsi="Arial" w:cs="Arial"/>
                <w:sz w:val="18"/>
                <w:szCs w:val="18"/>
                <w:lang w:val="es-ES"/>
              </w:rPr>
              <w:t>s.</w:t>
            </w:r>
          </w:p>
        </w:tc>
        <w:tc>
          <w:tcPr>
            <w:tcW w:w="843" w:type="pct"/>
            <w:tcBorders>
              <w:top w:val="nil"/>
              <w:left w:val="nil"/>
              <w:bottom w:val="single" w:sz="8" w:space="0" w:color="auto"/>
              <w:right w:val="single" w:sz="8" w:space="0" w:color="auto"/>
            </w:tcBorders>
          </w:tcPr>
          <w:p w14:paraId="05A66E6D" w14:textId="77777777" w:rsidR="00BA0225" w:rsidRPr="00904884" w:rsidRDefault="00BA0225" w:rsidP="00895676">
            <w:pPr>
              <w:ind w:left="83" w:right="87"/>
              <w:jc w:val="center"/>
              <w:rPr>
                <w:rFonts w:ascii="Arial" w:hAnsi="Arial" w:cs="Arial"/>
                <w:color w:val="000000"/>
                <w:sz w:val="18"/>
                <w:szCs w:val="18"/>
                <w:lang w:val="es-PE"/>
              </w:rPr>
            </w:pPr>
            <w:r>
              <w:rPr>
                <w:rFonts w:ascii="Arial" w:hAnsi="Arial" w:cs="Arial"/>
                <w:color w:val="000000"/>
                <w:sz w:val="18"/>
                <w:szCs w:val="18"/>
                <w:lang w:val="es-PE"/>
              </w:rPr>
              <w:t>-</w:t>
            </w:r>
          </w:p>
        </w:tc>
      </w:tr>
      <w:tr w:rsidR="00BA0225" w:rsidRPr="00904884" w14:paraId="4A873836" w14:textId="77777777" w:rsidTr="00895676">
        <w:trPr>
          <w:trHeight w:val="269"/>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55A7C2" w14:textId="77777777" w:rsidR="00BA0225" w:rsidRPr="00904884" w:rsidRDefault="00BA0225" w:rsidP="00895676">
            <w:pPr>
              <w:rPr>
                <w:rFonts w:ascii="Arial" w:hAnsi="Arial" w:cs="Arial"/>
                <w:color w:val="000000"/>
                <w:sz w:val="18"/>
                <w:szCs w:val="18"/>
                <w:lang w:val="es-PE"/>
              </w:rPr>
            </w:pPr>
            <w:r>
              <w:rPr>
                <w:rFonts w:ascii="Arial" w:hAnsi="Arial" w:cs="Arial"/>
                <w:sz w:val="18"/>
                <w:szCs w:val="18"/>
                <w:lang w:val="es-PE"/>
              </w:rPr>
              <w:t>Uso</w:t>
            </w:r>
            <w:r w:rsidRPr="00904884">
              <w:rPr>
                <w:rFonts w:ascii="Arial" w:hAnsi="Arial" w:cs="Arial"/>
                <w:sz w:val="18"/>
                <w:szCs w:val="18"/>
                <w:lang w:val="es-PE"/>
              </w:rPr>
              <w:t xml:space="preserve"> de Agua </w:t>
            </w:r>
            <w:r>
              <w:rPr>
                <w:rFonts w:ascii="Arial" w:hAnsi="Arial" w:cs="Arial"/>
                <w:sz w:val="18"/>
                <w:szCs w:val="18"/>
                <w:lang w:val="es-PE"/>
              </w:rPr>
              <w:t>Subterránea</w:t>
            </w:r>
          </w:p>
        </w:tc>
        <w:tc>
          <w:tcPr>
            <w:tcW w:w="998" w:type="pct"/>
            <w:tcBorders>
              <w:top w:val="nil"/>
              <w:left w:val="nil"/>
              <w:bottom w:val="single" w:sz="8" w:space="0" w:color="auto"/>
              <w:right w:val="single" w:sz="8" w:space="0" w:color="auto"/>
            </w:tcBorders>
          </w:tcPr>
          <w:p w14:paraId="621176DF" w14:textId="77777777" w:rsidR="00BA0225" w:rsidRPr="00307B21" w:rsidRDefault="00BA0225" w:rsidP="00895676">
            <w:pPr>
              <w:ind w:left="83"/>
              <w:rPr>
                <w:rFonts w:ascii="Arial" w:hAnsi="Arial" w:cs="Arial"/>
                <w:sz w:val="18"/>
                <w:szCs w:val="18"/>
                <w:lang w:val="es-PE"/>
              </w:rPr>
            </w:pPr>
            <w:r>
              <w:rPr>
                <w:rFonts w:ascii="Arial" w:hAnsi="Arial" w:cs="Arial"/>
                <w:sz w:val="18"/>
                <w:szCs w:val="18"/>
                <w:lang w:val="es-PE"/>
              </w:rPr>
              <w:t>Luego de descartar el uso de agua superficial, requiere uso de agua subterránea, Proyecto</w:t>
            </w:r>
            <w:r w:rsidRPr="00307B21">
              <w:rPr>
                <w:rFonts w:ascii="Arial" w:hAnsi="Arial" w:cs="Arial"/>
                <w:sz w:val="18"/>
                <w:szCs w:val="18"/>
                <w:lang w:val="es-PE"/>
              </w:rPr>
              <w:t xml:space="preserve"> donde</w:t>
            </w:r>
            <w:r>
              <w:rPr>
                <w:rFonts w:ascii="Arial" w:hAnsi="Arial" w:cs="Arial"/>
                <w:sz w:val="18"/>
                <w:szCs w:val="18"/>
                <w:lang w:val="es-PE"/>
              </w:rPr>
              <w:t>: i) el</w:t>
            </w:r>
            <w:r w:rsidRPr="00307B21">
              <w:rPr>
                <w:rFonts w:ascii="Arial" w:hAnsi="Arial" w:cs="Arial"/>
                <w:sz w:val="18"/>
                <w:szCs w:val="18"/>
                <w:lang w:val="es-PE"/>
              </w:rPr>
              <w:t xml:space="preserve"> volumen anual de agua subterránea extraída para apoyar la perforación y/o la vivienda de los trabajadores </w:t>
            </w:r>
            <w:r>
              <w:rPr>
                <w:rFonts w:ascii="Arial" w:hAnsi="Arial" w:cs="Arial"/>
                <w:sz w:val="18"/>
                <w:szCs w:val="18"/>
                <w:lang w:val="es-PE"/>
              </w:rPr>
              <w:t xml:space="preserve">podría generar </w:t>
            </w:r>
            <w:r w:rsidRPr="00673BEA">
              <w:rPr>
                <w:rFonts w:ascii="Arial" w:hAnsi="Arial" w:cs="Arial"/>
                <w:sz w:val="18"/>
                <w:szCs w:val="18"/>
                <w:lang w:val="es-PE"/>
              </w:rPr>
              <w:t xml:space="preserve">impactos a </w:t>
            </w:r>
            <w:r>
              <w:rPr>
                <w:rFonts w:ascii="Arial" w:hAnsi="Arial" w:cs="Arial"/>
                <w:sz w:val="18"/>
                <w:szCs w:val="18"/>
                <w:lang w:val="es-PE"/>
              </w:rPr>
              <w:t xml:space="preserve">la </w:t>
            </w:r>
            <w:r w:rsidRPr="00673BEA">
              <w:rPr>
                <w:rFonts w:ascii="Arial" w:hAnsi="Arial" w:cs="Arial"/>
                <w:sz w:val="18"/>
                <w:szCs w:val="18"/>
                <w:lang w:val="es-PE"/>
              </w:rPr>
              <w:t>sub</w:t>
            </w:r>
            <w:r>
              <w:rPr>
                <w:rFonts w:ascii="Arial" w:hAnsi="Arial" w:cs="Arial"/>
                <w:sz w:val="18"/>
                <w:szCs w:val="18"/>
                <w:lang w:val="es-PE"/>
              </w:rPr>
              <w:t xml:space="preserve">sistencia y/o generar </w:t>
            </w:r>
            <w:r w:rsidRPr="00673BEA">
              <w:rPr>
                <w:rFonts w:ascii="Arial" w:hAnsi="Arial" w:cs="Arial"/>
                <w:sz w:val="18"/>
                <w:szCs w:val="18"/>
                <w:lang w:val="es-PE"/>
              </w:rPr>
              <w:t>conflictos</w:t>
            </w:r>
            <w:r>
              <w:rPr>
                <w:rFonts w:ascii="Arial" w:hAnsi="Arial" w:cs="Arial"/>
                <w:sz w:val="18"/>
                <w:szCs w:val="18"/>
                <w:lang w:val="es-PE"/>
              </w:rPr>
              <w:t xml:space="preserve"> ii) </w:t>
            </w:r>
            <w:r>
              <w:rPr>
                <w:rFonts w:ascii="Arial" w:hAnsi="Arial" w:cs="Arial"/>
                <w:sz w:val="18"/>
                <w:szCs w:val="18"/>
                <w:lang w:val="es-ES"/>
              </w:rPr>
              <w:t>se cuentan con</w:t>
            </w:r>
            <w:r w:rsidRPr="009768E8">
              <w:rPr>
                <w:rFonts w:ascii="Arial" w:hAnsi="Arial" w:cs="Arial"/>
                <w:sz w:val="18"/>
                <w:szCs w:val="18"/>
                <w:lang w:val="es-ES"/>
              </w:rPr>
              <w:t xml:space="preserve"> </w:t>
            </w:r>
            <w:r>
              <w:rPr>
                <w:rFonts w:ascii="Arial" w:hAnsi="Arial" w:cs="Arial"/>
                <w:sz w:val="18"/>
                <w:szCs w:val="18"/>
                <w:lang w:val="es-ES"/>
              </w:rPr>
              <w:t>fuentes</w:t>
            </w:r>
            <w:r w:rsidRPr="009768E8">
              <w:rPr>
                <w:rFonts w:ascii="Arial" w:hAnsi="Arial" w:cs="Arial"/>
                <w:sz w:val="18"/>
                <w:szCs w:val="18"/>
                <w:lang w:val="es-ES"/>
              </w:rPr>
              <w:t xml:space="preserve"> alternativa</w:t>
            </w:r>
            <w:r>
              <w:rPr>
                <w:rFonts w:ascii="Arial" w:hAnsi="Arial" w:cs="Arial"/>
                <w:sz w:val="18"/>
                <w:szCs w:val="18"/>
                <w:lang w:val="es-ES"/>
              </w:rPr>
              <w:t>s</w:t>
            </w:r>
            <w:r w:rsidRPr="009768E8">
              <w:rPr>
                <w:rFonts w:ascii="Arial" w:hAnsi="Arial" w:cs="Arial"/>
                <w:sz w:val="18"/>
                <w:szCs w:val="18"/>
                <w:lang w:val="es-ES"/>
              </w:rPr>
              <w:t xml:space="preserve"> factible</w:t>
            </w:r>
            <w:r>
              <w:rPr>
                <w:rFonts w:ascii="Arial" w:hAnsi="Arial" w:cs="Arial"/>
                <w:sz w:val="18"/>
                <w:szCs w:val="18"/>
                <w:lang w:val="es-ES"/>
              </w:rPr>
              <w:t>s.</w:t>
            </w:r>
            <w:r>
              <w:rPr>
                <w:rFonts w:ascii="Arial" w:hAnsi="Arial" w:cs="Arial"/>
                <w:sz w:val="18"/>
                <w:szCs w:val="18"/>
                <w:lang w:val="es-PE"/>
              </w:rPr>
              <w:t xml:space="preserve"> </w:t>
            </w:r>
          </w:p>
          <w:p w14:paraId="530A2818" w14:textId="77777777" w:rsidR="00BA0225" w:rsidRDefault="00BA0225" w:rsidP="00895676">
            <w:pPr>
              <w:ind w:left="83" w:right="73"/>
              <w:rPr>
                <w:rFonts w:ascii="Arial" w:hAnsi="Arial" w:cs="Arial"/>
                <w:sz w:val="18"/>
                <w:szCs w:val="18"/>
                <w:lang w:val="es-PE"/>
              </w:rPr>
            </w:pPr>
          </w:p>
        </w:tc>
        <w:tc>
          <w:tcPr>
            <w:tcW w:w="986" w:type="pct"/>
            <w:tcBorders>
              <w:top w:val="nil"/>
              <w:left w:val="nil"/>
              <w:bottom w:val="single" w:sz="8" w:space="0" w:color="auto"/>
              <w:right w:val="single" w:sz="8" w:space="0" w:color="auto"/>
            </w:tcBorders>
          </w:tcPr>
          <w:p w14:paraId="47B10DD0" w14:textId="77777777" w:rsidR="00BA0225" w:rsidRPr="00307B21" w:rsidRDefault="00BA0225" w:rsidP="00895676">
            <w:pPr>
              <w:ind w:left="91"/>
              <w:rPr>
                <w:rFonts w:ascii="Arial" w:hAnsi="Arial" w:cs="Arial"/>
                <w:sz w:val="18"/>
                <w:szCs w:val="18"/>
                <w:lang w:val="es-PE"/>
              </w:rPr>
            </w:pPr>
            <w:r>
              <w:rPr>
                <w:rFonts w:ascii="Arial" w:hAnsi="Arial" w:cs="Arial"/>
                <w:sz w:val="18"/>
                <w:szCs w:val="18"/>
                <w:lang w:val="es-PE"/>
              </w:rPr>
              <w:t>Luego de descartar el uso de agua superficial, requiere uso de agua subterránea, Proyecto</w:t>
            </w:r>
            <w:r w:rsidRPr="00307B21">
              <w:rPr>
                <w:rFonts w:ascii="Arial" w:hAnsi="Arial" w:cs="Arial"/>
                <w:sz w:val="18"/>
                <w:szCs w:val="18"/>
                <w:lang w:val="es-PE"/>
              </w:rPr>
              <w:t xml:space="preserve"> donde</w:t>
            </w:r>
            <w:r>
              <w:rPr>
                <w:rFonts w:ascii="Arial" w:hAnsi="Arial" w:cs="Arial"/>
                <w:sz w:val="18"/>
                <w:szCs w:val="18"/>
                <w:lang w:val="es-PE"/>
              </w:rPr>
              <w:t>:</w:t>
            </w:r>
            <w:r w:rsidRPr="00307B21">
              <w:rPr>
                <w:rFonts w:ascii="Arial" w:hAnsi="Arial" w:cs="Arial"/>
                <w:sz w:val="18"/>
                <w:szCs w:val="18"/>
                <w:lang w:val="es-PE"/>
              </w:rPr>
              <w:t xml:space="preserve"> </w:t>
            </w:r>
            <w:r>
              <w:rPr>
                <w:rFonts w:ascii="Arial" w:hAnsi="Arial" w:cs="Arial"/>
                <w:sz w:val="18"/>
                <w:szCs w:val="18"/>
                <w:lang w:val="es-PE"/>
              </w:rPr>
              <w:t xml:space="preserve">i) </w:t>
            </w:r>
            <w:r w:rsidRPr="00307B21">
              <w:rPr>
                <w:rFonts w:ascii="Arial" w:hAnsi="Arial" w:cs="Arial"/>
                <w:sz w:val="18"/>
                <w:szCs w:val="18"/>
                <w:lang w:val="es-PE"/>
              </w:rPr>
              <w:t>el volumen anual de agua subterránea extraída para apoyar la perforación y/o la vivienda de los trabajadores genera impactos</w:t>
            </w:r>
            <w:r>
              <w:rPr>
                <w:rFonts w:ascii="Arial" w:hAnsi="Arial" w:cs="Arial"/>
                <w:sz w:val="18"/>
                <w:szCs w:val="18"/>
                <w:lang w:val="es-PE"/>
              </w:rPr>
              <w:t xml:space="preserve"> reducidos</w:t>
            </w:r>
            <w:r w:rsidRPr="00307B21">
              <w:rPr>
                <w:rFonts w:ascii="Arial" w:hAnsi="Arial" w:cs="Arial"/>
                <w:sz w:val="18"/>
                <w:szCs w:val="18"/>
                <w:lang w:val="es-PE"/>
              </w:rPr>
              <w:t xml:space="preserve"> </w:t>
            </w:r>
            <w:r>
              <w:rPr>
                <w:rFonts w:ascii="Arial" w:hAnsi="Arial" w:cs="Arial"/>
                <w:sz w:val="18"/>
                <w:szCs w:val="18"/>
                <w:lang w:val="es-PE"/>
              </w:rPr>
              <w:t xml:space="preserve">ii) se cuenta con alternativas para manejar conflictos por uso de agua subterránea. </w:t>
            </w:r>
          </w:p>
          <w:p w14:paraId="6E6BD062" w14:textId="77777777" w:rsidR="00BA0225" w:rsidRDefault="00BA0225" w:rsidP="00895676">
            <w:pPr>
              <w:ind w:left="91" w:right="81"/>
              <w:rPr>
                <w:rFonts w:ascii="Arial" w:hAnsi="Arial" w:cs="Arial"/>
                <w:sz w:val="18"/>
                <w:szCs w:val="18"/>
                <w:lang w:val="es-PE"/>
              </w:rPr>
            </w:pPr>
          </w:p>
        </w:tc>
        <w:tc>
          <w:tcPr>
            <w:tcW w:w="941" w:type="pct"/>
            <w:tcBorders>
              <w:top w:val="nil"/>
              <w:left w:val="nil"/>
              <w:bottom w:val="single" w:sz="8" w:space="0" w:color="auto"/>
              <w:right w:val="single" w:sz="8" w:space="0" w:color="auto"/>
            </w:tcBorders>
          </w:tcPr>
          <w:p w14:paraId="3926280D" w14:textId="77777777" w:rsidR="00BA0225" w:rsidRDefault="00BA0225" w:rsidP="00895676">
            <w:pPr>
              <w:ind w:left="83"/>
              <w:rPr>
                <w:rFonts w:ascii="Arial" w:hAnsi="Arial" w:cs="Arial"/>
                <w:sz w:val="18"/>
                <w:szCs w:val="18"/>
                <w:lang w:val="es-PE"/>
              </w:rPr>
            </w:pPr>
            <w:r>
              <w:rPr>
                <w:rFonts w:ascii="Arial" w:hAnsi="Arial" w:cs="Arial"/>
                <w:sz w:val="18"/>
                <w:szCs w:val="18"/>
                <w:lang w:val="es-PE"/>
              </w:rPr>
              <w:t xml:space="preserve">Luego de descartar el uso de agua superficial, requiere uso de agua subterránea, </w:t>
            </w:r>
            <w:r w:rsidRPr="00307B21">
              <w:rPr>
                <w:rFonts w:ascii="Arial" w:hAnsi="Arial" w:cs="Arial"/>
                <w:sz w:val="18"/>
                <w:szCs w:val="18"/>
                <w:lang w:val="es-PE"/>
              </w:rPr>
              <w:t>Proyecto</w:t>
            </w:r>
            <w:r>
              <w:rPr>
                <w:rFonts w:ascii="Arial" w:hAnsi="Arial" w:cs="Arial"/>
                <w:sz w:val="18"/>
                <w:szCs w:val="18"/>
                <w:lang w:val="es-PE"/>
              </w:rPr>
              <w:t xml:space="preserve"> donde:</w:t>
            </w:r>
            <w:r w:rsidRPr="00307B21">
              <w:rPr>
                <w:rFonts w:ascii="Arial" w:hAnsi="Arial" w:cs="Arial"/>
                <w:sz w:val="18"/>
                <w:szCs w:val="18"/>
                <w:lang w:val="es-PE"/>
              </w:rPr>
              <w:t xml:space="preserve"> </w:t>
            </w:r>
            <w:r>
              <w:rPr>
                <w:rFonts w:ascii="Arial" w:hAnsi="Arial" w:cs="Arial"/>
                <w:sz w:val="18"/>
                <w:szCs w:val="18"/>
                <w:lang w:val="es-PE"/>
              </w:rPr>
              <w:t xml:space="preserve">i) </w:t>
            </w:r>
            <w:r w:rsidRPr="00307B21">
              <w:rPr>
                <w:rFonts w:ascii="Arial" w:hAnsi="Arial" w:cs="Arial"/>
                <w:sz w:val="18"/>
                <w:szCs w:val="18"/>
                <w:lang w:val="es-PE"/>
              </w:rPr>
              <w:t xml:space="preserve">no </w:t>
            </w:r>
            <w:r>
              <w:rPr>
                <w:rFonts w:ascii="Arial" w:hAnsi="Arial" w:cs="Arial"/>
                <w:sz w:val="18"/>
                <w:szCs w:val="18"/>
                <w:lang w:val="es-PE"/>
              </w:rPr>
              <w:t>ocasiona cambios de uso que afecten los usos preexistentes; ii) en su caso, se cuenta con alternativas factibles para evitar conflictos sociales por el recurso.</w:t>
            </w:r>
          </w:p>
        </w:tc>
        <w:tc>
          <w:tcPr>
            <w:tcW w:w="843" w:type="pct"/>
            <w:tcBorders>
              <w:top w:val="nil"/>
              <w:left w:val="nil"/>
              <w:bottom w:val="single" w:sz="8" w:space="0" w:color="auto"/>
              <w:right w:val="single" w:sz="8" w:space="0" w:color="auto"/>
            </w:tcBorders>
          </w:tcPr>
          <w:p w14:paraId="07DB5CA8" w14:textId="77777777" w:rsidR="00BA0225" w:rsidRDefault="00BA0225" w:rsidP="00895676">
            <w:pPr>
              <w:jc w:val="center"/>
              <w:rPr>
                <w:rFonts w:ascii="Arial" w:hAnsi="Arial" w:cs="Arial"/>
                <w:sz w:val="18"/>
                <w:szCs w:val="18"/>
                <w:lang w:val="es-PE"/>
              </w:rPr>
            </w:pPr>
          </w:p>
          <w:p w14:paraId="057E5C05" w14:textId="77777777" w:rsidR="00BA0225" w:rsidRDefault="00BA0225" w:rsidP="00895676">
            <w:pPr>
              <w:rPr>
                <w:rFonts w:ascii="Arial" w:hAnsi="Arial" w:cs="Arial"/>
                <w:sz w:val="18"/>
                <w:szCs w:val="18"/>
                <w:lang w:val="es-ES"/>
              </w:rPr>
            </w:pPr>
            <w:r>
              <w:rPr>
                <w:rFonts w:ascii="Arial" w:hAnsi="Arial" w:cs="Arial"/>
                <w:sz w:val="18"/>
                <w:szCs w:val="18"/>
                <w:lang w:val="es-ES"/>
              </w:rPr>
              <w:t xml:space="preserve">Proyectos en los que: i) </w:t>
            </w:r>
            <w:r w:rsidRPr="009768E8">
              <w:rPr>
                <w:rFonts w:ascii="Arial" w:hAnsi="Arial" w:cs="Arial"/>
                <w:sz w:val="18"/>
                <w:szCs w:val="18"/>
                <w:lang w:val="es-ES"/>
              </w:rPr>
              <w:t>la extracción de aguas subterránea</w:t>
            </w:r>
            <w:r>
              <w:rPr>
                <w:rFonts w:ascii="Arial" w:hAnsi="Arial" w:cs="Arial"/>
                <w:sz w:val="18"/>
                <w:szCs w:val="18"/>
                <w:lang w:val="es-ES"/>
              </w:rPr>
              <w:t>s</w:t>
            </w:r>
            <w:r w:rsidRPr="009768E8">
              <w:rPr>
                <w:rFonts w:ascii="Arial" w:hAnsi="Arial" w:cs="Arial"/>
                <w:sz w:val="18"/>
                <w:szCs w:val="18"/>
                <w:lang w:val="es-ES"/>
              </w:rPr>
              <w:t xml:space="preserve"> </w:t>
            </w:r>
            <w:r w:rsidRPr="005B1874">
              <w:rPr>
                <w:rFonts w:ascii="Arial" w:hAnsi="Arial" w:cs="Arial"/>
                <w:sz w:val="18"/>
                <w:szCs w:val="18"/>
                <w:lang w:val="es-ES"/>
              </w:rPr>
              <w:t>pone en riesgo el aprovecha</w:t>
            </w:r>
            <w:r>
              <w:rPr>
                <w:rFonts w:ascii="Arial" w:hAnsi="Arial" w:cs="Arial"/>
                <w:sz w:val="18"/>
                <w:szCs w:val="18"/>
                <w:lang w:val="es-ES"/>
              </w:rPr>
              <w:t>r la oportunidad, el acceso</w:t>
            </w:r>
            <w:r w:rsidRPr="005B1874">
              <w:rPr>
                <w:rFonts w:ascii="Arial" w:hAnsi="Arial" w:cs="Arial"/>
                <w:sz w:val="18"/>
                <w:szCs w:val="18"/>
                <w:lang w:val="es-ES"/>
              </w:rPr>
              <w:t xml:space="preserve"> y/o el uso del agua</w:t>
            </w:r>
            <w:r>
              <w:rPr>
                <w:rFonts w:ascii="Arial" w:hAnsi="Arial" w:cs="Arial"/>
                <w:sz w:val="18"/>
                <w:szCs w:val="18"/>
                <w:lang w:val="es-ES"/>
              </w:rPr>
              <w:t xml:space="preserve">, </w:t>
            </w:r>
            <w:r w:rsidRPr="005B1874">
              <w:rPr>
                <w:rFonts w:ascii="Arial" w:hAnsi="Arial" w:cs="Arial"/>
                <w:sz w:val="18"/>
                <w:szCs w:val="18"/>
                <w:lang w:val="es-ES"/>
              </w:rPr>
              <w:t xml:space="preserve">y/o </w:t>
            </w:r>
            <w:r w:rsidRPr="009768E8">
              <w:rPr>
                <w:rFonts w:ascii="Arial" w:hAnsi="Arial" w:cs="Arial"/>
                <w:sz w:val="18"/>
                <w:szCs w:val="18"/>
                <w:lang w:val="es-ES"/>
              </w:rPr>
              <w:t>afecta actividades de subsistencia sin contar con una</w:t>
            </w:r>
            <w:r>
              <w:rPr>
                <w:rFonts w:ascii="Arial" w:hAnsi="Arial" w:cs="Arial"/>
                <w:sz w:val="18"/>
                <w:szCs w:val="18"/>
                <w:lang w:val="es-ES"/>
              </w:rPr>
              <w:t xml:space="preserve"> fuente</w:t>
            </w:r>
            <w:r w:rsidRPr="009768E8">
              <w:rPr>
                <w:rFonts w:ascii="Arial" w:hAnsi="Arial" w:cs="Arial"/>
                <w:sz w:val="18"/>
                <w:szCs w:val="18"/>
                <w:lang w:val="es-ES"/>
              </w:rPr>
              <w:t xml:space="preserve"> alternativa factible</w:t>
            </w:r>
            <w:r>
              <w:rPr>
                <w:rFonts w:ascii="Arial" w:hAnsi="Arial" w:cs="Arial"/>
                <w:sz w:val="18"/>
                <w:szCs w:val="18"/>
                <w:lang w:val="es-ES"/>
              </w:rPr>
              <w:t>; ii) puede generar conflictos severos por el uso.</w:t>
            </w:r>
          </w:p>
          <w:p w14:paraId="5B9CEE20" w14:textId="77777777" w:rsidR="00BA0225" w:rsidRDefault="00BA0225" w:rsidP="00895676">
            <w:pPr>
              <w:rPr>
                <w:rFonts w:ascii="Arial" w:hAnsi="Arial" w:cs="Arial"/>
                <w:sz w:val="18"/>
                <w:szCs w:val="18"/>
                <w:lang w:val="es-PE"/>
              </w:rPr>
            </w:pPr>
          </w:p>
          <w:p w14:paraId="2E683850" w14:textId="77777777" w:rsidR="00BA0225" w:rsidRDefault="00BA0225" w:rsidP="00895676">
            <w:pPr>
              <w:rPr>
                <w:rFonts w:ascii="Arial" w:hAnsi="Arial" w:cs="Arial"/>
                <w:sz w:val="18"/>
                <w:szCs w:val="18"/>
                <w:lang w:val="es-ES"/>
              </w:rPr>
            </w:pPr>
            <w:r>
              <w:rPr>
                <w:rFonts w:ascii="Arial" w:hAnsi="Arial" w:cs="Arial"/>
                <w:sz w:val="18"/>
                <w:szCs w:val="18"/>
                <w:lang w:val="es-ES"/>
              </w:rPr>
              <w:t>Ver punto 14.10</w:t>
            </w:r>
          </w:p>
          <w:p w14:paraId="6F45241C" w14:textId="77777777" w:rsidR="00BA0225" w:rsidRDefault="00BA0225" w:rsidP="00895676">
            <w:pPr>
              <w:ind w:left="83" w:right="87"/>
              <w:jc w:val="center"/>
              <w:rPr>
                <w:rFonts w:ascii="Arial" w:hAnsi="Arial" w:cs="Arial"/>
                <w:color w:val="000000"/>
                <w:sz w:val="18"/>
                <w:szCs w:val="18"/>
                <w:lang w:val="es-PE"/>
              </w:rPr>
            </w:pPr>
          </w:p>
        </w:tc>
      </w:tr>
      <w:tr w:rsidR="00BA0225" w:rsidRPr="008D26C3" w14:paraId="2168CFDC" w14:textId="77777777" w:rsidTr="00895676">
        <w:trPr>
          <w:trHeight w:val="260"/>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845B24" w14:textId="77777777" w:rsidR="00BA0225" w:rsidRDefault="00BA0225" w:rsidP="00895676">
            <w:pPr>
              <w:rPr>
                <w:rFonts w:ascii="Arial" w:hAnsi="Arial" w:cs="Arial"/>
                <w:color w:val="000000"/>
                <w:sz w:val="18"/>
                <w:szCs w:val="18"/>
                <w:lang w:val="es-PE"/>
              </w:rPr>
            </w:pPr>
            <w:r>
              <w:rPr>
                <w:rFonts w:ascii="Arial" w:hAnsi="Arial" w:cs="Arial"/>
                <w:color w:val="000000"/>
                <w:sz w:val="18"/>
                <w:szCs w:val="18"/>
                <w:lang w:val="es-PE"/>
              </w:rPr>
              <w:t>Desastres</w:t>
            </w:r>
            <w:r w:rsidRPr="00904884">
              <w:rPr>
                <w:rFonts w:ascii="Arial" w:hAnsi="Arial" w:cs="Arial"/>
                <w:color w:val="000000"/>
                <w:sz w:val="18"/>
                <w:szCs w:val="18"/>
                <w:lang w:val="es-PE"/>
              </w:rPr>
              <w:t xml:space="preserve"> Naturales</w:t>
            </w:r>
            <w:r>
              <w:rPr>
                <w:rFonts w:ascii="Arial" w:hAnsi="Arial" w:cs="Arial"/>
                <w:color w:val="000000"/>
                <w:sz w:val="18"/>
                <w:szCs w:val="18"/>
                <w:lang w:val="es-PE"/>
              </w:rPr>
              <w:t xml:space="preserve"> Tipo 1: desastre natural impacta negativamente la factibilidad del proyecto (OP-704)</w:t>
            </w:r>
          </w:p>
        </w:tc>
        <w:tc>
          <w:tcPr>
            <w:tcW w:w="998" w:type="pct"/>
            <w:tcBorders>
              <w:top w:val="nil"/>
              <w:left w:val="nil"/>
              <w:bottom w:val="single" w:sz="8" w:space="0" w:color="auto"/>
              <w:right w:val="single" w:sz="8" w:space="0" w:color="auto"/>
            </w:tcBorders>
          </w:tcPr>
          <w:p w14:paraId="30A940A8" w14:textId="77777777" w:rsidR="00BA0225" w:rsidRDefault="00BA0225" w:rsidP="00895676">
            <w:pPr>
              <w:ind w:left="83"/>
              <w:rPr>
                <w:rFonts w:ascii="Arial" w:hAnsi="Arial" w:cs="Arial"/>
                <w:sz w:val="18"/>
                <w:szCs w:val="18"/>
                <w:lang w:val="es-PE"/>
              </w:rPr>
            </w:pPr>
            <w:r>
              <w:rPr>
                <w:rFonts w:ascii="Arial" w:hAnsi="Arial" w:cs="Arial"/>
                <w:sz w:val="18"/>
                <w:szCs w:val="18"/>
                <w:lang w:val="es-PE"/>
              </w:rPr>
              <w:t>El proyecto está ubicado en zona con alta susceptibilidad a desastres naturales que pueden impactar negativamente la factibilidad y la infraestructura del proyecto como huracanes</w:t>
            </w:r>
            <w:r w:rsidRPr="00673BEA">
              <w:rPr>
                <w:rFonts w:ascii="Arial" w:hAnsi="Arial" w:cs="Arial"/>
                <w:sz w:val="18"/>
                <w:szCs w:val="18"/>
                <w:lang w:val="es-PE"/>
              </w:rPr>
              <w:t>, eventos sísmicos</w:t>
            </w:r>
            <w:r>
              <w:rPr>
                <w:rFonts w:ascii="Arial" w:hAnsi="Arial" w:cs="Arial"/>
                <w:sz w:val="18"/>
                <w:szCs w:val="18"/>
                <w:lang w:val="es-PE"/>
              </w:rPr>
              <w:t>,</w:t>
            </w:r>
            <w:r w:rsidRPr="00673BEA">
              <w:rPr>
                <w:rFonts w:ascii="Arial" w:hAnsi="Arial" w:cs="Arial"/>
                <w:sz w:val="18"/>
                <w:szCs w:val="18"/>
                <w:lang w:val="es-PE"/>
              </w:rPr>
              <w:t xml:space="preserve"> </w:t>
            </w:r>
            <w:r>
              <w:rPr>
                <w:rFonts w:ascii="Arial" w:hAnsi="Arial" w:cs="Arial"/>
                <w:sz w:val="18"/>
                <w:szCs w:val="18"/>
                <w:lang w:val="es-PE"/>
              </w:rPr>
              <w:t>actividad volcánica.</w:t>
            </w:r>
          </w:p>
          <w:p w14:paraId="682238EE" w14:textId="77777777" w:rsidR="00BA0225" w:rsidRDefault="00BA0225" w:rsidP="00895676">
            <w:pPr>
              <w:ind w:left="83"/>
              <w:rPr>
                <w:rFonts w:ascii="Arial" w:hAnsi="Arial" w:cs="Arial"/>
                <w:color w:val="000000"/>
                <w:sz w:val="18"/>
                <w:szCs w:val="18"/>
                <w:lang w:val="es-PE"/>
              </w:rPr>
            </w:pPr>
            <w:r>
              <w:rPr>
                <w:rFonts w:ascii="Arial" w:hAnsi="Arial" w:cs="Arial"/>
                <w:sz w:val="18"/>
                <w:szCs w:val="18"/>
                <w:lang w:val="es-PE"/>
              </w:rPr>
              <w:t>Se incluyen medidas de prevención/protección en el diseño y la operación.</w:t>
            </w:r>
          </w:p>
        </w:tc>
        <w:tc>
          <w:tcPr>
            <w:tcW w:w="986" w:type="pct"/>
            <w:tcBorders>
              <w:top w:val="nil"/>
              <w:left w:val="nil"/>
              <w:bottom w:val="single" w:sz="8" w:space="0" w:color="auto"/>
              <w:right w:val="single" w:sz="8" w:space="0" w:color="auto"/>
            </w:tcBorders>
          </w:tcPr>
          <w:p w14:paraId="03EF02BE" w14:textId="77777777" w:rsidR="00BA0225" w:rsidRDefault="00BA0225" w:rsidP="00895676">
            <w:pPr>
              <w:ind w:left="91" w:right="81"/>
              <w:rPr>
                <w:rFonts w:ascii="Arial" w:hAnsi="Arial" w:cs="Arial"/>
                <w:color w:val="000000"/>
                <w:sz w:val="18"/>
                <w:szCs w:val="18"/>
                <w:lang w:val="es-PE"/>
              </w:rPr>
            </w:pPr>
            <w:r>
              <w:rPr>
                <w:rFonts w:ascii="Arial" w:hAnsi="Arial" w:cs="Arial"/>
                <w:sz w:val="18"/>
                <w:szCs w:val="18"/>
                <w:lang w:val="es-PE"/>
              </w:rPr>
              <w:t>El proyecto está ubicado en zona con susceptibilidad moderada a desastres naturales como huracanes, eventos sísmicos y actividad volcánica. Se incluyen medidas de prevención/protección en el diseño y la operación.</w:t>
            </w:r>
          </w:p>
        </w:tc>
        <w:tc>
          <w:tcPr>
            <w:tcW w:w="941" w:type="pct"/>
            <w:tcBorders>
              <w:top w:val="nil"/>
              <w:left w:val="nil"/>
              <w:bottom w:val="single" w:sz="8" w:space="0" w:color="auto"/>
              <w:right w:val="single" w:sz="8" w:space="0" w:color="auto"/>
            </w:tcBorders>
          </w:tcPr>
          <w:p w14:paraId="0348E54E" w14:textId="77777777" w:rsidR="00BA0225" w:rsidRDefault="00BA0225" w:rsidP="00895676">
            <w:pPr>
              <w:ind w:left="83"/>
              <w:rPr>
                <w:rFonts w:ascii="Arial" w:hAnsi="Arial" w:cs="Arial"/>
                <w:color w:val="000000"/>
                <w:sz w:val="18"/>
                <w:szCs w:val="18"/>
                <w:lang w:val="es-PE"/>
              </w:rPr>
            </w:pPr>
            <w:r>
              <w:rPr>
                <w:rFonts w:ascii="Arial" w:hAnsi="Arial" w:cs="Arial"/>
                <w:sz w:val="18"/>
                <w:szCs w:val="18"/>
                <w:lang w:val="es-PE"/>
              </w:rPr>
              <w:t>El proyecto está ubicado en zona con susceptibilidad baja a desastres naturales como huracanes, eventos sísmicos y actividad volcánica. Se incluyen medidas de prevención/protección en el diseño y la operación.</w:t>
            </w:r>
          </w:p>
        </w:tc>
        <w:tc>
          <w:tcPr>
            <w:tcW w:w="843" w:type="pct"/>
            <w:tcBorders>
              <w:top w:val="nil"/>
              <w:left w:val="nil"/>
              <w:bottom w:val="single" w:sz="8" w:space="0" w:color="auto"/>
              <w:right w:val="single" w:sz="8" w:space="0" w:color="auto"/>
            </w:tcBorders>
          </w:tcPr>
          <w:p w14:paraId="1E91903E" w14:textId="77777777" w:rsidR="00BA0225" w:rsidRDefault="00BA0225" w:rsidP="00895676">
            <w:pPr>
              <w:ind w:left="83" w:right="87"/>
              <w:jc w:val="center"/>
              <w:rPr>
                <w:rFonts w:ascii="Arial" w:hAnsi="Arial" w:cs="Arial"/>
                <w:color w:val="000000"/>
                <w:sz w:val="18"/>
                <w:szCs w:val="18"/>
                <w:lang w:val="es-PE"/>
              </w:rPr>
            </w:pPr>
            <w:r>
              <w:rPr>
                <w:rFonts w:ascii="Arial" w:hAnsi="Arial" w:cs="Arial"/>
                <w:color w:val="000000"/>
                <w:sz w:val="18"/>
                <w:szCs w:val="18"/>
                <w:lang w:val="es-PE"/>
              </w:rPr>
              <w:t>-</w:t>
            </w:r>
          </w:p>
          <w:p w14:paraId="51576920" w14:textId="77777777" w:rsidR="00BA0225" w:rsidRPr="008D26C3" w:rsidRDefault="00BA0225" w:rsidP="00895676">
            <w:pPr>
              <w:ind w:left="83" w:right="87"/>
              <w:jc w:val="center"/>
              <w:rPr>
                <w:rFonts w:ascii="Arial" w:hAnsi="Arial" w:cs="Arial"/>
                <w:sz w:val="18"/>
                <w:szCs w:val="18"/>
                <w:lang w:val="es-PE"/>
              </w:rPr>
            </w:pPr>
          </w:p>
        </w:tc>
      </w:tr>
      <w:tr w:rsidR="00BA0225" w:rsidRPr="008D26C3" w14:paraId="353888FD" w14:textId="77777777" w:rsidTr="00895676">
        <w:trPr>
          <w:trHeight w:val="260"/>
        </w:trPr>
        <w:tc>
          <w:tcPr>
            <w:tcW w:w="123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AFF97" w14:textId="77777777" w:rsidR="00BA0225" w:rsidRPr="00904884" w:rsidRDefault="00BA0225" w:rsidP="00895676">
            <w:pPr>
              <w:rPr>
                <w:rFonts w:ascii="Arial" w:hAnsi="Arial" w:cs="Arial"/>
                <w:color w:val="000000"/>
                <w:sz w:val="18"/>
                <w:szCs w:val="18"/>
                <w:lang w:val="es-PE"/>
              </w:rPr>
            </w:pPr>
            <w:r>
              <w:rPr>
                <w:rFonts w:ascii="Arial" w:hAnsi="Arial" w:cs="Arial"/>
                <w:color w:val="000000"/>
                <w:sz w:val="18"/>
                <w:szCs w:val="18"/>
                <w:lang w:val="es-PE"/>
              </w:rPr>
              <w:t>Desastres</w:t>
            </w:r>
            <w:r w:rsidRPr="00904884">
              <w:rPr>
                <w:rFonts w:ascii="Arial" w:hAnsi="Arial" w:cs="Arial"/>
                <w:color w:val="000000"/>
                <w:sz w:val="18"/>
                <w:szCs w:val="18"/>
                <w:lang w:val="es-PE"/>
              </w:rPr>
              <w:t xml:space="preserve"> Naturales</w:t>
            </w:r>
            <w:r>
              <w:rPr>
                <w:rFonts w:ascii="Arial" w:hAnsi="Arial" w:cs="Arial"/>
                <w:color w:val="000000"/>
                <w:sz w:val="18"/>
                <w:szCs w:val="18"/>
                <w:lang w:val="es-PE"/>
              </w:rPr>
              <w:t xml:space="preserve"> Tipo 2: proyecto aumenta</w:t>
            </w:r>
            <w:r w:rsidRPr="00F550AD">
              <w:rPr>
                <w:rFonts w:ascii="Arial" w:hAnsi="Arial" w:cs="Arial"/>
                <w:color w:val="000000"/>
                <w:sz w:val="18"/>
                <w:szCs w:val="18"/>
                <w:lang w:val="es-PE"/>
              </w:rPr>
              <w:t xml:space="preserve"> la vulnerabilidad humana al desastre natural </w:t>
            </w:r>
            <w:r>
              <w:rPr>
                <w:rFonts w:ascii="Arial" w:hAnsi="Arial" w:cs="Arial"/>
                <w:color w:val="000000"/>
                <w:sz w:val="18"/>
                <w:szCs w:val="18"/>
                <w:lang w:val="es-PE"/>
              </w:rPr>
              <w:t>(OP-703, B.5)</w:t>
            </w:r>
          </w:p>
        </w:tc>
        <w:tc>
          <w:tcPr>
            <w:tcW w:w="998" w:type="pct"/>
            <w:tcBorders>
              <w:top w:val="nil"/>
              <w:left w:val="nil"/>
              <w:bottom w:val="single" w:sz="8" w:space="0" w:color="auto"/>
              <w:right w:val="single" w:sz="8" w:space="0" w:color="auto"/>
            </w:tcBorders>
          </w:tcPr>
          <w:p w14:paraId="542C276F" w14:textId="77777777" w:rsidR="00BA0225" w:rsidRPr="00904884" w:rsidRDefault="00BA0225" w:rsidP="00895676">
            <w:pPr>
              <w:ind w:left="83"/>
              <w:rPr>
                <w:rFonts w:ascii="Arial" w:hAnsi="Arial" w:cs="Arial"/>
                <w:color w:val="000000"/>
                <w:sz w:val="18"/>
                <w:szCs w:val="18"/>
                <w:lang w:val="es-PE"/>
              </w:rPr>
            </w:pPr>
            <w:r>
              <w:rPr>
                <w:rFonts w:ascii="Arial" w:hAnsi="Arial" w:cs="Arial"/>
                <w:color w:val="000000"/>
                <w:sz w:val="18"/>
                <w:szCs w:val="18"/>
                <w:lang w:val="es-PE"/>
              </w:rPr>
              <w:t xml:space="preserve">El proyecto está ubicado en zona con susceptibilidad de desastres naturales, y hay una probabilidad alta que el proyecto </w:t>
            </w:r>
            <w:r>
              <w:rPr>
                <w:rFonts w:ascii="Arial" w:hAnsi="Arial" w:cs="Arial"/>
                <w:color w:val="000000"/>
                <w:sz w:val="18"/>
                <w:szCs w:val="18"/>
                <w:lang w:val="es-PE"/>
              </w:rPr>
              <w:lastRenderedPageBreak/>
              <w:t xml:space="preserve">aumente la vulnerabilidad humana al desastre en caso de que este ocurriera. </w:t>
            </w:r>
            <w:r>
              <w:rPr>
                <w:rFonts w:ascii="Arial" w:hAnsi="Arial" w:cs="Arial"/>
                <w:sz w:val="18"/>
                <w:szCs w:val="18"/>
                <w:lang w:val="es-PE"/>
              </w:rPr>
              <w:t>Se incluyen medidas de prevención/protección en el diseño y la operación.</w:t>
            </w:r>
          </w:p>
        </w:tc>
        <w:tc>
          <w:tcPr>
            <w:tcW w:w="986" w:type="pct"/>
            <w:tcBorders>
              <w:top w:val="nil"/>
              <w:left w:val="nil"/>
              <w:bottom w:val="single" w:sz="8" w:space="0" w:color="auto"/>
              <w:right w:val="single" w:sz="8" w:space="0" w:color="auto"/>
            </w:tcBorders>
          </w:tcPr>
          <w:p w14:paraId="3CF1B686" w14:textId="77777777" w:rsidR="00BA0225" w:rsidRPr="00904884" w:rsidRDefault="00BA0225" w:rsidP="00895676">
            <w:pPr>
              <w:ind w:left="91" w:right="81"/>
              <w:rPr>
                <w:rFonts w:ascii="Arial" w:hAnsi="Arial" w:cs="Arial"/>
                <w:color w:val="000000"/>
                <w:sz w:val="18"/>
                <w:szCs w:val="18"/>
                <w:lang w:val="es-PE"/>
              </w:rPr>
            </w:pPr>
            <w:r>
              <w:rPr>
                <w:rFonts w:ascii="Arial" w:hAnsi="Arial" w:cs="Arial"/>
                <w:color w:val="000000"/>
                <w:sz w:val="18"/>
                <w:szCs w:val="18"/>
                <w:lang w:val="es-PE"/>
              </w:rPr>
              <w:lastRenderedPageBreak/>
              <w:t xml:space="preserve">El proyecto está ubicado en zona con susceptibilidad de desastres naturales, y hay una probabilidad moderada que el </w:t>
            </w:r>
            <w:r>
              <w:rPr>
                <w:rFonts w:ascii="Arial" w:hAnsi="Arial" w:cs="Arial"/>
                <w:color w:val="000000"/>
                <w:sz w:val="18"/>
                <w:szCs w:val="18"/>
                <w:lang w:val="es-PE"/>
              </w:rPr>
              <w:lastRenderedPageBreak/>
              <w:t xml:space="preserve">proyecto aumente la vulnerabilidad humana al desastre en caso de que este ocurriera. </w:t>
            </w:r>
            <w:r>
              <w:rPr>
                <w:rFonts w:ascii="Arial" w:hAnsi="Arial" w:cs="Arial"/>
                <w:sz w:val="18"/>
                <w:szCs w:val="18"/>
                <w:lang w:val="es-PE"/>
              </w:rPr>
              <w:t>Se incluyen medidas de prevención/protección en el diseño y la operación.</w:t>
            </w:r>
          </w:p>
        </w:tc>
        <w:tc>
          <w:tcPr>
            <w:tcW w:w="941" w:type="pct"/>
            <w:tcBorders>
              <w:top w:val="nil"/>
              <w:left w:val="nil"/>
              <w:bottom w:val="single" w:sz="8" w:space="0" w:color="auto"/>
              <w:right w:val="single" w:sz="8" w:space="0" w:color="auto"/>
            </w:tcBorders>
          </w:tcPr>
          <w:p w14:paraId="1FF40D6C" w14:textId="77777777" w:rsidR="00BA0225" w:rsidRPr="00904884" w:rsidRDefault="00BA0225" w:rsidP="00895676">
            <w:pPr>
              <w:ind w:left="83"/>
              <w:rPr>
                <w:rFonts w:ascii="Arial" w:hAnsi="Arial" w:cs="Arial"/>
                <w:color w:val="000000"/>
                <w:sz w:val="18"/>
                <w:szCs w:val="18"/>
                <w:lang w:val="es-PE"/>
              </w:rPr>
            </w:pPr>
            <w:r>
              <w:rPr>
                <w:rFonts w:ascii="Arial" w:hAnsi="Arial" w:cs="Arial"/>
                <w:color w:val="000000"/>
                <w:sz w:val="18"/>
                <w:szCs w:val="18"/>
                <w:lang w:val="es-PE"/>
              </w:rPr>
              <w:lastRenderedPageBreak/>
              <w:t xml:space="preserve">El proyecto está ubicado en zona con susceptibilidad de desastres naturales, y hay una probabilidad baja que el proyecto </w:t>
            </w:r>
            <w:r>
              <w:rPr>
                <w:rFonts w:ascii="Arial" w:hAnsi="Arial" w:cs="Arial"/>
                <w:color w:val="000000"/>
                <w:sz w:val="18"/>
                <w:szCs w:val="18"/>
                <w:lang w:val="es-PE"/>
              </w:rPr>
              <w:lastRenderedPageBreak/>
              <w:t xml:space="preserve">aumente la vulnerabilidad humana al desastre en caso de que este ocurriera. </w:t>
            </w:r>
            <w:r>
              <w:rPr>
                <w:rFonts w:ascii="Arial" w:hAnsi="Arial" w:cs="Arial"/>
                <w:sz w:val="18"/>
                <w:szCs w:val="18"/>
                <w:lang w:val="es-PE"/>
              </w:rPr>
              <w:t>Se incluyen medidas de prevención/protección en el diseño y la operación.</w:t>
            </w:r>
          </w:p>
        </w:tc>
        <w:tc>
          <w:tcPr>
            <w:tcW w:w="843" w:type="pct"/>
            <w:tcBorders>
              <w:top w:val="nil"/>
              <w:left w:val="nil"/>
              <w:bottom w:val="single" w:sz="8" w:space="0" w:color="auto"/>
              <w:right w:val="single" w:sz="8" w:space="0" w:color="auto"/>
            </w:tcBorders>
          </w:tcPr>
          <w:p w14:paraId="70B39A6F" w14:textId="77777777" w:rsidR="00BA0225" w:rsidRPr="008D26C3" w:rsidRDefault="00BA0225" w:rsidP="00895676">
            <w:pPr>
              <w:ind w:left="83" w:right="87"/>
              <w:jc w:val="center"/>
              <w:rPr>
                <w:rFonts w:ascii="Arial" w:hAnsi="Arial" w:cs="Arial"/>
                <w:sz w:val="18"/>
                <w:szCs w:val="18"/>
                <w:lang w:val="es-PE"/>
              </w:rPr>
            </w:pPr>
            <w:r w:rsidRPr="008D26C3">
              <w:rPr>
                <w:rFonts w:ascii="Arial" w:hAnsi="Arial" w:cs="Arial"/>
                <w:sz w:val="18"/>
                <w:szCs w:val="18"/>
                <w:lang w:val="es-PE"/>
              </w:rPr>
              <w:lastRenderedPageBreak/>
              <w:t>-</w:t>
            </w:r>
          </w:p>
        </w:tc>
      </w:tr>
    </w:tbl>
    <w:p w14:paraId="54EC24B4" w14:textId="77777777" w:rsidR="00BA0225" w:rsidRDefault="00BA0225" w:rsidP="00BA0225">
      <w:pPr>
        <w:pStyle w:val="Paragraph"/>
        <w:numPr>
          <w:ilvl w:val="0"/>
          <w:numId w:val="0"/>
        </w:numPr>
        <w:tabs>
          <w:tab w:val="num" w:pos="5746"/>
        </w:tabs>
        <w:spacing w:after="0"/>
        <w:rPr>
          <w:rFonts w:ascii="Arial" w:hAnsi="Arial" w:cs="Arial"/>
          <w:b/>
          <w:sz w:val="22"/>
          <w:szCs w:val="22"/>
        </w:rPr>
      </w:pPr>
    </w:p>
    <w:p w14:paraId="02490295" w14:textId="77777777" w:rsidR="00BA0225" w:rsidRDefault="00BA0225" w:rsidP="00BA0225">
      <w:pPr>
        <w:pStyle w:val="Paragraph"/>
        <w:numPr>
          <w:ilvl w:val="0"/>
          <w:numId w:val="0"/>
        </w:numPr>
        <w:tabs>
          <w:tab w:val="num" w:pos="5746"/>
        </w:tabs>
        <w:spacing w:after="0"/>
        <w:rPr>
          <w:rFonts w:ascii="Arial" w:hAnsi="Arial" w:cs="Arial"/>
          <w:b/>
          <w:sz w:val="22"/>
          <w:szCs w:val="22"/>
        </w:rPr>
      </w:pPr>
      <w:r>
        <w:rPr>
          <w:rFonts w:ascii="Arial" w:hAnsi="Arial" w:cs="Arial"/>
          <w:b/>
          <w:sz w:val="22"/>
          <w:szCs w:val="22"/>
        </w:rPr>
        <w:t>Procedimientos de Cumplimiento Ambiental y Social NAFIN-BID</w:t>
      </w:r>
    </w:p>
    <w:p w14:paraId="45F4C4E7" w14:textId="77777777" w:rsidR="00BA0225" w:rsidRDefault="00BA0225" w:rsidP="00BA0225">
      <w:pPr>
        <w:pStyle w:val="Paragraph"/>
        <w:tabs>
          <w:tab w:val="clear" w:pos="8525"/>
          <w:tab w:val="num" w:pos="720"/>
          <w:tab w:val="num" w:pos="900"/>
        </w:tabs>
        <w:spacing w:after="0"/>
        <w:ind w:left="720" w:hanging="720"/>
        <w:rPr>
          <w:rFonts w:ascii="Arial" w:hAnsi="Arial" w:cs="Arial"/>
          <w:bCs/>
          <w:sz w:val="22"/>
          <w:szCs w:val="22"/>
        </w:rPr>
      </w:pPr>
      <w:r w:rsidRPr="004F742E">
        <w:rPr>
          <w:rFonts w:ascii="Arial" w:hAnsi="Arial" w:cs="Arial"/>
          <w:bCs/>
          <w:sz w:val="22"/>
          <w:szCs w:val="22"/>
        </w:rPr>
        <w:t xml:space="preserve">IDB y NAFIN han acordado que para cualquier Proyecto geotérmico de alta sensibilidad (Categoría A y B+), el BID realizará </w:t>
      </w:r>
      <w:r>
        <w:rPr>
          <w:rFonts w:ascii="Arial" w:hAnsi="Arial" w:cs="Arial"/>
          <w:bCs/>
          <w:sz w:val="22"/>
          <w:szCs w:val="22"/>
        </w:rPr>
        <w:t xml:space="preserve">la </w:t>
      </w:r>
      <w:r w:rsidRPr="004F742E">
        <w:rPr>
          <w:rFonts w:ascii="Arial" w:hAnsi="Arial" w:cs="Arial"/>
          <w:bCs/>
          <w:sz w:val="22"/>
          <w:szCs w:val="22"/>
        </w:rPr>
        <w:t xml:space="preserve">debida diligencia junto con el equipo de NAFIN a través del ciclo de proyecto, incluyendo preparación, evaluación, y monitoreo. </w:t>
      </w:r>
      <w:r w:rsidRPr="00ED7AB6">
        <w:rPr>
          <w:rFonts w:ascii="Arial" w:hAnsi="Arial" w:cs="Arial"/>
          <w:bCs/>
          <w:sz w:val="22"/>
          <w:szCs w:val="22"/>
        </w:rPr>
        <w:t>El objetivo de esta debida diligencia compartida es de fo</w:t>
      </w:r>
      <w:r>
        <w:rPr>
          <w:rFonts w:ascii="Arial" w:hAnsi="Arial" w:cs="Arial"/>
          <w:bCs/>
          <w:sz w:val="22"/>
          <w:szCs w:val="22"/>
        </w:rPr>
        <w:t xml:space="preserve">rtalecer la capacidad ambiental y social de NAFIN para el análisis de proyectos geotérmicos, y asegurar que los impactos y riesgos de cada proyecto sean mitigados según los requisitos de las Políticas Salvaguardias del BID, las Normas de Desempeño de la CFI, y las Directrices de Gestión Ambiental, Salud, y Seguridad de la CFI. Los procedimientos por seguir están diseñados para alinearse con las etapas de aprobación de crédito existentes de NAFIN. Dado que los fondos de NAFIN, y por extensión del BID, podrían ser usados tanto para las Donaciones de Reembolso Contingente (etapas de prefactibilidad y factibilidad con diámetro Slim-hole) como de Préstamo (etapa de factibilidad con diámetro comercial y etapa de explotación), los procedimientos han sido definidos en consecuencia. </w:t>
      </w:r>
    </w:p>
    <w:p w14:paraId="5A32A34B" w14:textId="77777777" w:rsidR="00BA0225" w:rsidRDefault="00BA0225" w:rsidP="00BA0225">
      <w:pPr>
        <w:pStyle w:val="Paragraph"/>
        <w:tabs>
          <w:tab w:val="clear" w:pos="8525"/>
          <w:tab w:val="num" w:pos="720"/>
          <w:tab w:val="num" w:pos="900"/>
        </w:tabs>
        <w:spacing w:after="0"/>
        <w:ind w:left="720" w:hanging="720"/>
        <w:rPr>
          <w:rFonts w:ascii="Arial" w:hAnsi="Arial" w:cs="Arial"/>
          <w:bCs/>
          <w:sz w:val="22"/>
          <w:szCs w:val="22"/>
        </w:rPr>
      </w:pPr>
      <w:r w:rsidRPr="00AF39CA">
        <w:rPr>
          <w:rFonts w:ascii="Arial" w:hAnsi="Arial" w:cs="Arial"/>
          <w:bCs/>
          <w:sz w:val="22"/>
          <w:szCs w:val="22"/>
        </w:rPr>
        <w:t xml:space="preserve">El proponente de proyecto puede realizar perforaciones exploratorias para las cuales puede solicitar </w:t>
      </w:r>
      <w:r w:rsidRPr="00AF39CA">
        <w:rPr>
          <w:rFonts w:ascii="Arial" w:hAnsi="Arial" w:cs="Arial"/>
          <w:bCs/>
          <w:sz w:val="22"/>
          <w:szCs w:val="22"/>
          <w:lang w:val="es-MX"/>
        </w:rPr>
        <w:t>Donaciones Reembolsables Contingentes (</w:t>
      </w:r>
      <w:r w:rsidRPr="00AF39CA">
        <w:rPr>
          <w:rFonts w:ascii="Arial" w:hAnsi="Arial" w:cs="Arial"/>
          <w:bCs/>
          <w:sz w:val="22"/>
          <w:szCs w:val="22"/>
        </w:rPr>
        <w:t>que aplican de manera exclusiva para la etapa de exploración 3G o la perforación Slim-hole). En este caso, los procedimientos de cumplimiento ambiental y social correspondientes son los siguientes:</w:t>
      </w:r>
    </w:p>
    <w:p w14:paraId="3792B3A2" w14:textId="77777777" w:rsidR="00BA0225" w:rsidRPr="009B6877" w:rsidRDefault="00BA0225" w:rsidP="00BA0225">
      <w:pPr>
        <w:pStyle w:val="Paragraph"/>
        <w:numPr>
          <w:ilvl w:val="0"/>
          <w:numId w:val="0"/>
        </w:numPr>
        <w:tabs>
          <w:tab w:val="left" w:pos="720"/>
          <w:tab w:val="num" w:pos="900"/>
        </w:tabs>
        <w:spacing w:after="0"/>
        <w:ind w:left="8525" w:hanging="1296"/>
        <w:rPr>
          <w:rFonts w:ascii="Arial" w:hAnsi="Arial" w:cs="Arial"/>
          <w:bCs/>
          <w:sz w:val="22"/>
          <w:szCs w:val="22"/>
        </w:rPr>
      </w:pPr>
    </w:p>
    <w:tbl>
      <w:tblPr>
        <w:tblStyle w:val="TableGrid"/>
        <w:tblW w:w="9720" w:type="dxa"/>
        <w:tblInd w:w="-185" w:type="dxa"/>
        <w:tblLayout w:type="fixed"/>
        <w:tblLook w:val="04A0" w:firstRow="1" w:lastRow="0" w:firstColumn="1" w:lastColumn="0" w:noHBand="0" w:noVBand="1"/>
      </w:tblPr>
      <w:tblGrid>
        <w:gridCol w:w="2993"/>
        <w:gridCol w:w="3725"/>
        <w:gridCol w:w="3002"/>
      </w:tblGrid>
      <w:tr w:rsidR="00BA0225" w:rsidRPr="00BB52F3" w14:paraId="601169D2" w14:textId="77777777" w:rsidTr="008C38DE">
        <w:tc>
          <w:tcPr>
            <w:tcW w:w="2993" w:type="dxa"/>
            <w:shd w:val="clear" w:color="auto" w:fill="D9D9D9" w:themeFill="background1" w:themeFillShade="D9"/>
          </w:tcPr>
          <w:p w14:paraId="12022D77" w14:textId="77777777" w:rsidR="00BA0225" w:rsidRPr="000A48D7" w:rsidRDefault="00BA0225" w:rsidP="00895676">
            <w:pPr>
              <w:pStyle w:val="Paragraph"/>
              <w:numPr>
                <w:ilvl w:val="0"/>
                <w:numId w:val="0"/>
              </w:numPr>
              <w:tabs>
                <w:tab w:val="left" w:pos="270"/>
              </w:tabs>
              <w:ind w:left="270"/>
              <w:rPr>
                <w:rFonts w:ascii="Arial" w:hAnsi="Arial" w:cs="Arial"/>
                <w:b/>
                <w:bCs/>
                <w:sz w:val="18"/>
                <w:szCs w:val="18"/>
              </w:rPr>
            </w:pPr>
            <w:r>
              <w:rPr>
                <w:rFonts w:ascii="Arial" w:hAnsi="Arial" w:cs="Arial"/>
                <w:b/>
                <w:bCs/>
                <w:sz w:val="18"/>
                <w:szCs w:val="18"/>
              </w:rPr>
              <w:t xml:space="preserve">Ciclo de Aprobación de </w:t>
            </w:r>
            <w:r w:rsidRPr="00435A10">
              <w:rPr>
                <w:rFonts w:ascii="Arial" w:hAnsi="Arial" w:cs="Arial"/>
                <w:b/>
                <w:bCs/>
                <w:sz w:val="18"/>
                <w:szCs w:val="18"/>
              </w:rPr>
              <w:t xml:space="preserve">Donación de </w:t>
            </w:r>
            <w:r>
              <w:rPr>
                <w:rFonts w:ascii="Arial" w:hAnsi="Arial" w:cs="Arial"/>
                <w:b/>
                <w:bCs/>
                <w:sz w:val="18"/>
                <w:szCs w:val="18"/>
              </w:rPr>
              <w:t>Reembolso</w:t>
            </w:r>
            <w:r w:rsidRPr="00435A10">
              <w:rPr>
                <w:rFonts w:ascii="Arial" w:hAnsi="Arial" w:cs="Arial"/>
                <w:b/>
                <w:bCs/>
                <w:sz w:val="18"/>
                <w:szCs w:val="18"/>
              </w:rPr>
              <w:t xml:space="preserve"> Contingente</w:t>
            </w:r>
            <w:r>
              <w:rPr>
                <w:rFonts w:ascii="Arial" w:hAnsi="Arial" w:cs="Arial"/>
                <w:b/>
                <w:bCs/>
                <w:sz w:val="18"/>
                <w:szCs w:val="18"/>
              </w:rPr>
              <w:t xml:space="preserve"> de NAFIN</w:t>
            </w:r>
          </w:p>
        </w:tc>
        <w:tc>
          <w:tcPr>
            <w:tcW w:w="3725" w:type="dxa"/>
            <w:shd w:val="clear" w:color="auto" w:fill="D9D9D9" w:themeFill="background1" w:themeFillShade="D9"/>
          </w:tcPr>
          <w:p w14:paraId="7896D903" w14:textId="77777777" w:rsidR="00BA0225" w:rsidRPr="000A48D7" w:rsidRDefault="00BA0225" w:rsidP="00895676">
            <w:pPr>
              <w:pStyle w:val="Paragraph"/>
              <w:numPr>
                <w:ilvl w:val="0"/>
                <w:numId w:val="0"/>
              </w:numPr>
              <w:tabs>
                <w:tab w:val="left" w:pos="270"/>
              </w:tabs>
              <w:ind w:left="270"/>
              <w:rPr>
                <w:rFonts w:ascii="Arial" w:hAnsi="Arial" w:cs="Arial"/>
                <w:b/>
                <w:bCs/>
                <w:sz w:val="18"/>
                <w:szCs w:val="18"/>
              </w:rPr>
            </w:pPr>
            <w:r w:rsidRPr="00C45005">
              <w:rPr>
                <w:rFonts w:ascii="Arial" w:hAnsi="Arial" w:cs="Arial"/>
                <w:b/>
                <w:bCs/>
                <w:sz w:val="18"/>
                <w:szCs w:val="18"/>
              </w:rPr>
              <w:t xml:space="preserve">Responsabilidades NAFIN </w:t>
            </w:r>
          </w:p>
        </w:tc>
        <w:tc>
          <w:tcPr>
            <w:tcW w:w="3002" w:type="dxa"/>
            <w:shd w:val="clear" w:color="auto" w:fill="D9D9D9" w:themeFill="background1" w:themeFillShade="D9"/>
          </w:tcPr>
          <w:p w14:paraId="4E103D6D" w14:textId="77777777" w:rsidR="00BA0225" w:rsidRPr="000A48D7" w:rsidRDefault="00BA0225" w:rsidP="00895676">
            <w:pPr>
              <w:pStyle w:val="Paragraph"/>
              <w:numPr>
                <w:ilvl w:val="0"/>
                <w:numId w:val="0"/>
              </w:numPr>
              <w:tabs>
                <w:tab w:val="left" w:pos="270"/>
              </w:tabs>
              <w:ind w:left="270"/>
              <w:rPr>
                <w:rFonts w:ascii="Arial" w:hAnsi="Arial" w:cs="Arial"/>
                <w:b/>
                <w:bCs/>
                <w:sz w:val="18"/>
                <w:szCs w:val="18"/>
              </w:rPr>
            </w:pPr>
            <w:r w:rsidRPr="00C45005">
              <w:rPr>
                <w:rFonts w:ascii="Arial" w:hAnsi="Arial" w:cs="Arial"/>
                <w:b/>
                <w:bCs/>
                <w:sz w:val="18"/>
                <w:szCs w:val="18"/>
              </w:rPr>
              <w:t>Responsabilidades BID</w:t>
            </w:r>
          </w:p>
        </w:tc>
      </w:tr>
      <w:tr w:rsidR="00BA0225" w:rsidRPr="00B02FF8" w14:paraId="50D5BFBE" w14:textId="77777777" w:rsidTr="008C38DE">
        <w:tc>
          <w:tcPr>
            <w:tcW w:w="2993" w:type="dxa"/>
          </w:tcPr>
          <w:p w14:paraId="1715745C" w14:textId="77777777" w:rsidR="00BA0225" w:rsidRPr="00A6100A" w:rsidRDefault="00BA0225" w:rsidP="00895676">
            <w:pPr>
              <w:pStyle w:val="Paragraph"/>
              <w:numPr>
                <w:ilvl w:val="0"/>
                <w:numId w:val="0"/>
              </w:numPr>
              <w:tabs>
                <w:tab w:val="left" w:pos="180"/>
              </w:tabs>
              <w:ind w:left="180"/>
              <w:rPr>
                <w:rFonts w:ascii="Arial" w:hAnsi="Arial" w:cs="Arial"/>
                <w:bCs/>
                <w:sz w:val="18"/>
                <w:szCs w:val="18"/>
              </w:rPr>
            </w:pPr>
            <w:r w:rsidRPr="00A6100A">
              <w:rPr>
                <w:rFonts w:ascii="Arial" w:hAnsi="Arial" w:cs="Arial"/>
                <w:bCs/>
                <w:sz w:val="18"/>
                <w:szCs w:val="18"/>
              </w:rPr>
              <w:t>1. Solicitud de Donación de Reembolso Contingente recibida (puede o no incluir evaluación ambiental y social) incluyendo TdR para la evaluación ambiental-social</w:t>
            </w:r>
          </w:p>
        </w:tc>
        <w:tc>
          <w:tcPr>
            <w:tcW w:w="3725" w:type="dxa"/>
          </w:tcPr>
          <w:p w14:paraId="2D1DA372" w14:textId="77777777" w:rsidR="00BA0225" w:rsidRPr="00A73742" w:rsidRDefault="00BA0225" w:rsidP="00BA0225">
            <w:pPr>
              <w:pStyle w:val="Paragraph"/>
              <w:numPr>
                <w:ilvl w:val="0"/>
                <w:numId w:val="68"/>
              </w:numPr>
              <w:tabs>
                <w:tab w:val="left" w:pos="180"/>
              </w:tabs>
              <w:ind w:left="180" w:hanging="180"/>
              <w:rPr>
                <w:rFonts w:ascii="Arial" w:hAnsi="Arial" w:cs="Arial"/>
                <w:bCs/>
                <w:sz w:val="18"/>
                <w:szCs w:val="18"/>
              </w:rPr>
            </w:pPr>
            <w:r w:rsidRPr="00CD296F">
              <w:rPr>
                <w:rFonts w:ascii="Arial" w:hAnsi="Arial" w:cs="Arial"/>
                <w:bCs/>
                <w:sz w:val="18"/>
                <w:szCs w:val="18"/>
              </w:rPr>
              <w:t>NAFIN determina la validez / elegibilidad de la solicitud de don</w:t>
            </w:r>
            <w:r>
              <w:rPr>
                <w:rFonts w:ascii="Arial" w:hAnsi="Arial" w:cs="Arial"/>
                <w:bCs/>
                <w:sz w:val="18"/>
                <w:szCs w:val="18"/>
              </w:rPr>
              <w:t>ación y, en caso de que existiera, la</w:t>
            </w:r>
            <w:r w:rsidRPr="00CD296F">
              <w:rPr>
                <w:rFonts w:ascii="Arial" w:hAnsi="Arial" w:cs="Arial"/>
                <w:bCs/>
                <w:sz w:val="18"/>
                <w:szCs w:val="18"/>
              </w:rPr>
              <w:t xml:space="preserve"> </w:t>
            </w:r>
            <w:r w:rsidRPr="00707298">
              <w:rPr>
                <w:rFonts w:ascii="Arial" w:hAnsi="Arial" w:cs="Arial"/>
                <w:bCs/>
                <w:sz w:val="18"/>
                <w:szCs w:val="18"/>
              </w:rPr>
              <w:t>documentación ambie</w:t>
            </w:r>
            <w:r>
              <w:rPr>
                <w:rFonts w:ascii="Arial" w:hAnsi="Arial" w:cs="Arial"/>
                <w:bCs/>
                <w:sz w:val="18"/>
                <w:szCs w:val="18"/>
              </w:rPr>
              <w:t>ntal y social correspondiente a la categoría ambiental del proyecto (EIAS/AAS).</w:t>
            </w:r>
          </w:p>
        </w:tc>
        <w:tc>
          <w:tcPr>
            <w:tcW w:w="3002" w:type="dxa"/>
          </w:tcPr>
          <w:p w14:paraId="651424D4" w14:textId="77777777" w:rsidR="00BA0225" w:rsidRPr="00A6100A" w:rsidRDefault="00BA0225" w:rsidP="00BA0225">
            <w:pPr>
              <w:pStyle w:val="Paragraph"/>
              <w:numPr>
                <w:ilvl w:val="0"/>
                <w:numId w:val="68"/>
              </w:numPr>
              <w:tabs>
                <w:tab w:val="left" w:pos="180"/>
              </w:tabs>
              <w:ind w:left="180" w:hanging="180"/>
              <w:rPr>
                <w:rFonts w:ascii="Arial" w:hAnsi="Arial" w:cs="Arial"/>
                <w:bCs/>
                <w:sz w:val="18"/>
                <w:szCs w:val="18"/>
              </w:rPr>
            </w:pPr>
            <w:r w:rsidRPr="00A6100A">
              <w:rPr>
                <w:rFonts w:ascii="Arial" w:hAnsi="Arial" w:cs="Arial"/>
                <w:bCs/>
                <w:sz w:val="18"/>
                <w:szCs w:val="18"/>
              </w:rPr>
              <w:t>El BID recibe la solicitud y la justificación de la pre-categorización ambiental y social (EIAS/AAS) correspondiente.</w:t>
            </w:r>
          </w:p>
        </w:tc>
      </w:tr>
      <w:tr w:rsidR="00BA0225" w:rsidRPr="00F76BFB" w14:paraId="5CB19D38" w14:textId="77777777" w:rsidTr="008C38DE">
        <w:tc>
          <w:tcPr>
            <w:tcW w:w="2993" w:type="dxa"/>
          </w:tcPr>
          <w:p w14:paraId="3329B6FD" w14:textId="77777777" w:rsidR="00BA0225" w:rsidRPr="000E392E" w:rsidRDefault="00BA0225" w:rsidP="00895676">
            <w:pPr>
              <w:pStyle w:val="Paragraph"/>
              <w:numPr>
                <w:ilvl w:val="0"/>
                <w:numId w:val="0"/>
              </w:numPr>
              <w:tabs>
                <w:tab w:val="left" w:pos="180"/>
              </w:tabs>
              <w:ind w:left="180"/>
              <w:rPr>
                <w:rFonts w:ascii="Arial" w:hAnsi="Arial" w:cs="Arial"/>
                <w:bCs/>
                <w:sz w:val="18"/>
                <w:szCs w:val="18"/>
              </w:rPr>
            </w:pPr>
            <w:r w:rsidRPr="000E392E">
              <w:rPr>
                <w:rFonts w:ascii="Arial" w:hAnsi="Arial" w:cs="Arial"/>
                <w:bCs/>
                <w:sz w:val="18"/>
                <w:szCs w:val="18"/>
              </w:rPr>
              <w:t>2. NAFIN define / revisa los términos de referencia (T</w:t>
            </w:r>
            <w:r>
              <w:rPr>
                <w:rFonts w:ascii="Arial" w:hAnsi="Arial" w:cs="Arial"/>
                <w:bCs/>
                <w:sz w:val="18"/>
                <w:szCs w:val="18"/>
              </w:rPr>
              <w:t>d</w:t>
            </w:r>
            <w:r w:rsidRPr="000E392E">
              <w:rPr>
                <w:rFonts w:ascii="Arial" w:hAnsi="Arial" w:cs="Arial"/>
                <w:bCs/>
                <w:sz w:val="18"/>
                <w:szCs w:val="18"/>
              </w:rPr>
              <w:t>R) para las actividades de pre</w:t>
            </w:r>
            <w:r>
              <w:rPr>
                <w:rFonts w:ascii="Arial" w:hAnsi="Arial" w:cs="Arial"/>
                <w:bCs/>
                <w:sz w:val="18"/>
                <w:szCs w:val="18"/>
              </w:rPr>
              <w:t>-</w:t>
            </w:r>
            <w:r w:rsidRPr="000E392E">
              <w:rPr>
                <w:rFonts w:ascii="Arial" w:hAnsi="Arial" w:cs="Arial"/>
                <w:bCs/>
                <w:sz w:val="18"/>
                <w:szCs w:val="18"/>
              </w:rPr>
              <w:t>inversión elegibles para el financiamiento de</w:t>
            </w:r>
            <w:r>
              <w:rPr>
                <w:rFonts w:ascii="Arial" w:hAnsi="Arial" w:cs="Arial"/>
                <w:bCs/>
                <w:sz w:val="18"/>
                <w:szCs w:val="18"/>
              </w:rPr>
              <w:t xml:space="preserve"> la </w:t>
            </w:r>
            <w:r w:rsidRPr="00241E85">
              <w:rPr>
                <w:rFonts w:ascii="Arial" w:hAnsi="Arial" w:cs="Arial"/>
                <w:bCs/>
                <w:sz w:val="18"/>
                <w:szCs w:val="18"/>
              </w:rPr>
              <w:t xml:space="preserve">Donación de </w:t>
            </w:r>
            <w:r>
              <w:rPr>
                <w:rFonts w:ascii="Arial" w:hAnsi="Arial" w:cs="Arial"/>
                <w:bCs/>
                <w:sz w:val="18"/>
                <w:szCs w:val="18"/>
              </w:rPr>
              <w:t>Reembolso</w:t>
            </w:r>
            <w:r w:rsidRPr="00241E85">
              <w:rPr>
                <w:rFonts w:ascii="Arial" w:hAnsi="Arial" w:cs="Arial"/>
                <w:bCs/>
                <w:sz w:val="18"/>
                <w:szCs w:val="18"/>
              </w:rPr>
              <w:t xml:space="preserve"> Contingente </w:t>
            </w:r>
            <w:r w:rsidRPr="000E392E">
              <w:rPr>
                <w:rFonts w:ascii="Arial" w:hAnsi="Arial" w:cs="Arial"/>
                <w:bCs/>
                <w:sz w:val="18"/>
                <w:szCs w:val="18"/>
              </w:rPr>
              <w:t xml:space="preserve">(análisis 3G, </w:t>
            </w:r>
            <w:r>
              <w:rPr>
                <w:rFonts w:ascii="Arial" w:hAnsi="Arial" w:cs="Arial"/>
                <w:bCs/>
                <w:sz w:val="18"/>
                <w:szCs w:val="18"/>
              </w:rPr>
              <w:t>evaluación</w:t>
            </w:r>
            <w:r w:rsidRPr="000E392E">
              <w:rPr>
                <w:rFonts w:ascii="Arial" w:hAnsi="Arial" w:cs="Arial"/>
                <w:bCs/>
                <w:sz w:val="18"/>
                <w:szCs w:val="18"/>
              </w:rPr>
              <w:t xml:space="preserve"> </w:t>
            </w:r>
            <w:r>
              <w:rPr>
                <w:rFonts w:ascii="Arial" w:hAnsi="Arial" w:cs="Arial"/>
                <w:bCs/>
                <w:sz w:val="18"/>
                <w:szCs w:val="18"/>
              </w:rPr>
              <w:t>ambiental y social,</w:t>
            </w:r>
            <w:r w:rsidRPr="000E392E">
              <w:rPr>
                <w:rFonts w:ascii="Arial" w:hAnsi="Arial" w:cs="Arial"/>
                <w:bCs/>
                <w:sz w:val="18"/>
                <w:szCs w:val="18"/>
              </w:rPr>
              <w:t xml:space="preserve"> evaluación de infraestructura, perforación </w:t>
            </w:r>
            <w:r>
              <w:rPr>
                <w:rFonts w:ascii="Arial" w:hAnsi="Arial" w:cs="Arial"/>
                <w:bCs/>
                <w:sz w:val="18"/>
                <w:szCs w:val="18"/>
              </w:rPr>
              <w:t>Slim-hole</w:t>
            </w:r>
            <w:r w:rsidRPr="000E392E">
              <w:rPr>
                <w:rFonts w:ascii="Arial" w:hAnsi="Arial" w:cs="Arial"/>
                <w:bCs/>
                <w:sz w:val="18"/>
                <w:szCs w:val="18"/>
              </w:rPr>
              <w:t>)</w:t>
            </w:r>
          </w:p>
        </w:tc>
        <w:tc>
          <w:tcPr>
            <w:tcW w:w="3725" w:type="dxa"/>
          </w:tcPr>
          <w:p w14:paraId="625DCF04" w14:textId="77777777" w:rsidR="00BA0225" w:rsidRPr="001653FC" w:rsidRDefault="00BA0225" w:rsidP="00BA0225">
            <w:pPr>
              <w:pStyle w:val="Paragraph"/>
              <w:numPr>
                <w:ilvl w:val="0"/>
                <w:numId w:val="68"/>
              </w:numPr>
              <w:tabs>
                <w:tab w:val="left" w:pos="180"/>
              </w:tabs>
              <w:ind w:left="180" w:hanging="180"/>
              <w:rPr>
                <w:rFonts w:ascii="Arial" w:hAnsi="Arial" w:cs="Arial"/>
                <w:bCs/>
                <w:sz w:val="18"/>
                <w:szCs w:val="18"/>
              </w:rPr>
            </w:pPr>
            <w:r>
              <w:rPr>
                <w:rFonts w:ascii="Arial" w:hAnsi="Arial" w:cs="Arial"/>
                <w:bCs/>
                <w:sz w:val="18"/>
                <w:szCs w:val="18"/>
              </w:rPr>
              <w:t xml:space="preserve">En el caso de que la documentación ambiental y social no existiera, </w:t>
            </w:r>
            <w:r w:rsidRPr="001653FC">
              <w:rPr>
                <w:rFonts w:ascii="Arial" w:hAnsi="Arial" w:cs="Arial"/>
                <w:bCs/>
                <w:sz w:val="18"/>
                <w:szCs w:val="18"/>
              </w:rPr>
              <w:t xml:space="preserve">NAFIN prepara </w:t>
            </w:r>
            <w:r>
              <w:rPr>
                <w:rFonts w:ascii="Arial" w:hAnsi="Arial" w:cs="Arial"/>
                <w:bCs/>
                <w:sz w:val="18"/>
                <w:szCs w:val="18"/>
              </w:rPr>
              <w:t>los</w:t>
            </w:r>
            <w:r w:rsidRPr="001653FC">
              <w:rPr>
                <w:rFonts w:ascii="Arial" w:hAnsi="Arial" w:cs="Arial"/>
                <w:bCs/>
                <w:sz w:val="18"/>
                <w:szCs w:val="18"/>
              </w:rPr>
              <w:t xml:space="preserve"> T</w:t>
            </w:r>
            <w:r>
              <w:rPr>
                <w:rFonts w:ascii="Arial" w:hAnsi="Arial" w:cs="Arial"/>
                <w:bCs/>
                <w:sz w:val="18"/>
                <w:szCs w:val="18"/>
              </w:rPr>
              <w:t>d</w:t>
            </w:r>
            <w:r w:rsidRPr="001653FC">
              <w:rPr>
                <w:rFonts w:ascii="Arial" w:hAnsi="Arial" w:cs="Arial"/>
                <w:bCs/>
                <w:sz w:val="18"/>
                <w:szCs w:val="18"/>
              </w:rPr>
              <w:t xml:space="preserve">R para </w:t>
            </w:r>
            <w:r>
              <w:rPr>
                <w:rFonts w:ascii="Arial" w:hAnsi="Arial" w:cs="Arial"/>
                <w:bCs/>
                <w:sz w:val="18"/>
                <w:szCs w:val="18"/>
              </w:rPr>
              <w:t xml:space="preserve">la evaluación ambiental y social (EIAS/AAS) </w:t>
            </w:r>
            <w:r w:rsidRPr="001653FC">
              <w:rPr>
                <w:rFonts w:ascii="Arial" w:hAnsi="Arial" w:cs="Arial"/>
                <w:bCs/>
                <w:sz w:val="18"/>
                <w:szCs w:val="18"/>
              </w:rPr>
              <w:t xml:space="preserve">como un </w:t>
            </w:r>
            <w:r w:rsidRPr="00FA3998">
              <w:rPr>
                <w:rFonts w:ascii="Arial" w:hAnsi="Arial" w:cs="Arial"/>
                <w:bCs/>
                <w:sz w:val="18"/>
                <w:szCs w:val="18"/>
              </w:rPr>
              <w:t>componente</w:t>
            </w:r>
            <w:r w:rsidRPr="001653FC">
              <w:rPr>
                <w:rFonts w:ascii="Arial" w:hAnsi="Arial" w:cs="Arial"/>
                <w:bCs/>
                <w:sz w:val="18"/>
                <w:szCs w:val="18"/>
              </w:rPr>
              <w:t xml:space="preserve"> de un</w:t>
            </w:r>
            <w:r>
              <w:rPr>
                <w:rFonts w:ascii="Arial" w:hAnsi="Arial" w:cs="Arial"/>
                <w:bCs/>
                <w:sz w:val="18"/>
                <w:szCs w:val="18"/>
              </w:rPr>
              <w:t xml:space="preserve">os TdR </w:t>
            </w:r>
            <w:r w:rsidRPr="001653FC">
              <w:rPr>
                <w:rFonts w:ascii="Arial" w:hAnsi="Arial" w:cs="Arial"/>
                <w:bCs/>
                <w:sz w:val="18"/>
                <w:szCs w:val="18"/>
              </w:rPr>
              <w:t>más amplio</w:t>
            </w:r>
            <w:r>
              <w:rPr>
                <w:rFonts w:ascii="Arial" w:hAnsi="Arial" w:cs="Arial"/>
                <w:bCs/>
                <w:sz w:val="18"/>
                <w:szCs w:val="18"/>
              </w:rPr>
              <w:t>s</w:t>
            </w:r>
            <w:r w:rsidRPr="001653FC">
              <w:rPr>
                <w:rFonts w:ascii="Arial" w:hAnsi="Arial" w:cs="Arial"/>
                <w:bCs/>
                <w:sz w:val="18"/>
                <w:szCs w:val="18"/>
              </w:rPr>
              <w:t xml:space="preserve"> o como un documento separado</w:t>
            </w:r>
          </w:p>
          <w:p w14:paraId="43DBB4C1" w14:textId="77777777" w:rsidR="00BA0225" w:rsidRPr="001653FC" w:rsidRDefault="00BA0225" w:rsidP="00BA0225">
            <w:pPr>
              <w:pStyle w:val="Paragraph"/>
              <w:numPr>
                <w:ilvl w:val="0"/>
                <w:numId w:val="68"/>
              </w:numPr>
              <w:tabs>
                <w:tab w:val="left" w:pos="180"/>
              </w:tabs>
              <w:ind w:left="180" w:hanging="180"/>
              <w:rPr>
                <w:rFonts w:ascii="Arial" w:hAnsi="Arial" w:cs="Arial"/>
                <w:bCs/>
                <w:sz w:val="18"/>
                <w:szCs w:val="18"/>
              </w:rPr>
            </w:pPr>
            <w:r w:rsidRPr="00FA3998">
              <w:rPr>
                <w:rFonts w:ascii="Arial" w:hAnsi="Arial" w:cs="Arial"/>
                <w:bCs/>
                <w:sz w:val="18"/>
                <w:szCs w:val="18"/>
              </w:rPr>
              <w:t>Envía</w:t>
            </w:r>
            <w:r w:rsidRPr="001653FC">
              <w:rPr>
                <w:rFonts w:ascii="Arial" w:hAnsi="Arial" w:cs="Arial"/>
                <w:bCs/>
                <w:sz w:val="18"/>
                <w:szCs w:val="18"/>
              </w:rPr>
              <w:t xml:space="preserve"> </w:t>
            </w:r>
            <w:r>
              <w:rPr>
                <w:rFonts w:ascii="Arial" w:hAnsi="Arial" w:cs="Arial"/>
                <w:bCs/>
                <w:sz w:val="18"/>
                <w:szCs w:val="18"/>
              </w:rPr>
              <w:t xml:space="preserve">los </w:t>
            </w:r>
            <w:r w:rsidRPr="001653FC">
              <w:rPr>
                <w:rFonts w:ascii="Arial" w:hAnsi="Arial" w:cs="Arial"/>
                <w:bCs/>
                <w:sz w:val="18"/>
                <w:szCs w:val="18"/>
              </w:rPr>
              <w:t>T</w:t>
            </w:r>
            <w:r>
              <w:rPr>
                <w:rFonts w:ascii="Arial" w:hAnsi="Arial" w:cs="Arial"/>
                <w:bCs/>
                <w:sz w:val="18"/>
                <w:szCs w:val="18"/>
              </w:rPr>
              <w:t>dRs</w:t>
            </w:r>
            <w:r w:rsidRPr="001653FC">
              <w:rPr>
                <w:rFonts w:ascii="Arial" w:hAnsi="Arial" w:cs="Arial"/>
                <w:bCs/>
                <w:sz w:val="18"/>
                <w:szCs w:val="18"/>
              </w:rPr>
              <w:t xml:space="preserve"> al BID para su revisión y comentario</w:t>
            </w:r>
          </w:p>
        </w:tc>
        <w:tc>
          <w:tcPr>
            <w:tcW w:w="3002" w:type="dxa"/>
          </w:tcPr>
          <w:p w14:paraId="5EB223F5" w14:textId="77777777" w:rsidR="00BA0225" w:rsidRPr="006B27BA" w:rsidRDefault="00BA0225" w:rsidP="00BA0225">
            <w:pPr>
              <w:pStyle w:val="Paragraph"/>
              <w:numPr>
                <w:ilvl w:val="0"/>
                <w:numId w:val="68"/>
              </w:numPr>
              <w:tabs>
                <w:tab w:val="left" w:pos="180"/>
              </w:tabs>
              <w:ind w:left="180" w:hanging="180"/>
              <w:rPr>
                <w:rFonts w:ascii="Arial" w:hAnsi="Arial" w:cs="Arial"/>
                <w:bCs/>
                <w:i/>
                <w:sz w:val="18"/>
                <w:szCs w:val="18"/>
                <w:u w:val="single"/>
              </w:rPr>
            </w:pPr>
            <w:r>
              <w:rPr>
                <w:rFonts w:ascii="Arial" w:hAnsi="Arial" w:cs="Arial"/>
                <w:bCs/>
                <w:sz w:val="18"/>
                <w:szCs w:val="18"/>
              </w:rPr>
              <w:t xml:space="preserve">El BID revisa y complementa sí lo estima necesario los TdR ambiental y social, y </w:t>
            </w:r>
            <w:r w:rsidRPr="00D6284D">
              <w:rPr>
                <w:rFonts w:ascii="Arial" w:hAnsi="Arial" w:cs="Arial"/>
                <w:bCs/>
                <w:sz w:val="18"/>
                <w:szCs w:val="18"/>
              </w:rPr>
              <w:t xml:space="preserve">coordina los comentarios con la revisión del BID de </w:t>
            </w:r>
            <w:r>
              <w:rPr>
                <w:rFonts w:ascii="Arial" w:hAnsi="Arial" w:cs="Arial"/>
                <w:bCs/>
                <w:sz w:val="18"/>
                <w:szCs w:val="18"/>
              </w:rPr>
              <w:t xml:space="preserve">los </w:t>
            </w:r>
            <w:r w:rsidRPr="00D6284D">
              <w:rPr>
                <w:rFonts w:ascii="Arial" w:hAnsi="Arial" w:cs="Arial"/>
                <w:bCs/>
                <w:sz w:val="18"/>
                <w:szCs w:val="18"/>
              </w:rPr>
              <w:t>T</w:t>
            </w:r>
            <w:r>
              <w:rPr>
                <w:rFonts w:ascii="Arial" w:hAnsi="Arial" w:cs="Arial"/>
                <w:bCs/>
                <w:sz w:val="18"/>
                <w:szCs w:val="18"/>
              </w:rPr>
              <w:t>d</w:t>
            </w:r>
            <w:r w:rsidRPr="00D6284D">
              <w:rPr>
                <w:rFonts w:ascii="Arial" w:hAnsi="Arial" w:cs="Arial"/>
                <w:bCs/>
                <w:sz w:val="18"/>
                <w:szCs w:val="18"/>
              </w:rPr>
              <w:t>R más amplios</w:t>
            </w:r>
            <w:r>
              <w:rPr>
                <w:rFonts w:ascii="Arial" w:hAnsi="Arial" w:cs="Arial"/>
                <w:bCs/>
                <w:sz w:val="18"/>
                <w:szCs w:val="18"/>
              </w:rPr>
              <w:t>.</w:t>
            </w:r>
          </w:p>
          <w:p w14:paraId="731A51A8" w14:textId="77777777" w:rsidR="00BA0225" w:rsidRPr="00C45005" w:rsidRDefault="00BA0225" w:rsidP="00895676">
            <w:pPr>
              <w:pStyle w:val="Paragraph"/>
              <w:numPr>
                <w:ilvl w:val="0"/>
                <w:numId w:val="0"/>
              </w:numPr>
              <w:tabs>
                <w:tab w:val="left" w:pos="180"/>
              </w:tabs>
              <w:rPr>
                <w:rFonts w:ascii="Arial" w:hAnsi="Arial" w:cs="Arial"/>
                <w:bCs/>
                <w:i/>
                <w:sz w:val="18"/>
                <w:szCs w:val="18"/>
                <w:u w:val="single"/>
              </w:rPr>
            </w:pPr>
            <w:r>
              <w:rPr>
                <w:rFonts w:ascii="Arial" w:hAnsi="Arial" w:cs="Arial"/>
                <w:bCs/>
                <w:i/>
                <w:sz w:val="18"/>
                <w:szCs w:val="18"/>
                <w:u w:val="single"/>
              </w:rPr>
              <w:t>Aprobación formal</w:t>
            </w:r>
          </w:p>
          <w:p w14:paraId="53BB8A33" w14:textId="77777777" w:rsidR="00BA0225" w:rsidRPr="00F76BFB" w:rsidRDefault="00BA0225" w:rsidP="00BA0225">
            <w:pPr>
              <w:pStyle w:val="Paragraph"/>
              <w:numPr>
                <w:ilvl w:val="0"/>
                <w:numId w:val="68"/>
              </w:numPr>
              <w:tabs>
                <w:tab w:val="left" w:pos="180"/>
              </w:tabs>
              <w:ind w:left="180" w:hanging="180"/>
              <w:rPr>
                <w:rFonts w:ascii="Arial" w:hAnsi="Arial" w:cs="Arial"/>
                <w:bCs/>
                <w:sz w:val="18"/>
                <w:szCs w:val="18"/>
              </w:rPr>
            </w:pPr>
            <w:r w:rsidRPr="00F76BFB">
              <w:rPr>
                <w:rFonts w:ascii="Arial" w:hAnsi="Arial" w:cs="Arial"/>
                <w:bCs/>
                <w:sz w:val="18"/>
                <w:szCs w:val="18"/>
              </w:rPr>
              <w:t xml:space="preserve">El BID </w:t>
            </w:r>
            <w:r>
              <w:rPr>
                <w:rFonts w:ascii="Arial" w:hAnsi="Arial" w:cs="Arial"/>
                <w:bCs/>
                <w:sz w:val="18"/>
                <w:szCs w:val="18"/>
              </w:rPr>
              <w:t xml:space="preserve">revisa y </w:t>
            </w:r>
            <w:r w:rsidRPr="00F76BFB">
              <w:rPr>
                <w:rFonts w:ascii="Arial" w:hAnsi="Arial" w:cs="Arial"/>
                <w:bCs/>
                <w:sz w:val="18"/>
                <w:szCs w:val="18"/>
              </w:rPr>
              <w:t>devuelve los T</w:t>
            </w:r>
            <w:r>
              <w:rPr>
                <w:rFonts w:ascii="Arial" w:hAnsi="Arial" w:cs="Arial"/>
                <w:bCs/>
                <w:sz w:val="18"/>
                <w:szCs w:val="18"/>
              </w:rPr>
              <w:t>d</w:t>
            </w:r>
            <w:r w:rsidRPr="00F76BFB">
              <w:rPr>
                <w:rFonts w:ascii="Arial" w:hAnsi="Arial" w:cs="Arial"/>
                <w:bCs/>
                <w:sz w:val="18"/>
                <w:szCs w:val="18"/>
              </w:rPr>
              <w:t xml:space="preserve">R con </w:t>
            </w:r>
            <w:r>
              <w:rPr>
                <w:rFonts w:ascii="Arial" w:hAnsi="Arial" w:cs="Arial"/>
                <w:bCs/>
                <w:sz w:val="18"/>
                <w:szCs w:val="18"/>
              </w:rPr>
              <w:t xml:space="preserve">sus </w:t>
            </w:r>
            <w:r w:rsidRPr="00F76BFB">
              <w:rPr>
                <w:rFonts w:ascii="Arial" w:hAnsi="Arial" w:cs="Arial"/>
                <w:bCs/>
                <w:sz w:val="18"/>
                <w:szCs w:val="18"/>
              </w:rPr>
              <w:t>comentarios dentro de cinco días hábiles.</w:t>
            </w:r>
          </w:p>
        </w:tc>
      </w:tr>
      <w:tr w:rsidR="00BA0225" w:rsidRPr="00040328" w14:paraId="1FB3623D" w14:textId="77777777" w:rsidTr="008C38DE">
        <w:tc>
          <w:tcPr>
            <w:tcW w:w="2993" w:type="dxa"/>
          </w:tcPr>
          <w:p w14:paraId="24E94D41" w14:textId="77777777" w:rsidR="00BA0225" w:rsidRPr="004926B7" w:rsidRDefault="00BA0225" w:rsidP="00895676">
            <w:pPr>
              <w:pStyle w:val="Paragraph"/>
              <w:numPr>
                <w:ilvl w:val="0"/>
                <w:numId w:val="0"/>
              </w:numPr>
              <w:tabs>
                <w:tab w:val="left" w:pos="180"/>
              </w:tabs>
              <w:ind w:left="180"/>
              <w:rPr>
                <w:rFonts w:ascii="Arial" w:hAnsi="Arial" w:cs="Arial"/>
                <w:bCs/>
                <w:sz w:val="18"/>
                <w:szCs w:val="18"/>
              </w:rPr>
            </w:pPr>
            <w:r w:rsidRPr="004926B7">
              <w:rPr>
                <w:rFonts w:ascii="Arial" w:hAnsi="Arial" w:cs="Arial"/>
                <w:bCs/>
                <w:sz w:val="18"/>
                <w:szCs w:val="18"/>
              </w:rPr>
              <w:lastRenderedPageBreak/>
              <w:t xml:space="preserve">3. Donación de </w:t>
            </w:r>
            <w:r>
              <w:rPr>
                <w:rFonts w:ascii="Arial" w:hAnsi="Arial" w:cs="Arial"/>
                <w:bCs/>
                <w:sz w:val="18"/>
                <w:szCs w:val="18"/>
              </w:rPr>
              <w:t>Reembolso</w:t>
            </w:r>
            <w:r w:rsidRPr="004926B7">
              <w:rPr>
                <w:rFonts w:ascii="Arial" w:hAnsi="Arial" w:cs="Arial"/>
                <w:bCs/>
                <w:sz w:val="18"/>
                <w:szCs w:val="18"/>
              </w:rPr>
              <w:t xml:space="preserve"> Contingente Concedido</w:t>
            </w:r>
          </w:p>
        </w:tc>
        <w:tc>
          <w:tcPr>
            <w:tcW w:w="3725" w:type="dxa"/>
          </w:tcPr>
          <w:p w14:paraId="25457D46" w14:textId="77777777" w:rsidR="00BA0225" w:rsidRPr="00C041B7" w:rsidRDefault="00BA0225" w:rsidP="00BA0225">
            <w:pPr>
              <w:pStyle w:val="Paragraph"/>
              <w:numPr>
                <w:ilvl w:val="0"/>
                <w:numId w:val="69"/>
              </w:numPr>
              <w:tabs>
                <w:tab w:val="left" w:pos="180"/>
              </w:tabs>
              <w:ind w:left="180" w:hanging="180"/>
              <w:rPr>
                <w:rFonts w:ascii="Arial" w:hAnsi="Arial" w:cs="Arial"/>
                <w:bCs/>
                <w:sz w:val="18"/>
                <w:szCs w:val="18"/>
              </w:rPr>
            </w:pPr>
            <w:r w:rsidRPr="00C041B7">
              <w:rPr>
                <w:rFonts w:ascii="Arial" w:hAnsi="Arial" w:cs="Arial"/>
                <w:bCs/>
                <w:sz w:val="18"/>
                <w:szCs w:val="18"/>
              </w:rPr>
              <w:t>NAF</w:t>
            </w:r>
            <w:r>
              <w:rPr>
                <w:rFonts w:ascii="Arial" w:hAnsi="Arial" w:cs="Arial"/>
                <w:bCs/>
                <w:sz w:val="18"/>
                <w:szCs w:val="18"/>
              </w:rPr>
              <w:t>I</w:t>
            </w:r>
            <w:r w:rsidRPr="00C041B7">
              <w:rPr>
                <w:rFonts w:ascii="Arial" w:hAnsi="Arial" w:cs="Arial"/>
                <w:bCs/>
                <w:sz w:val="18"/>
                <w:szCs w:val="18"/>
              </w:rPr>
              <w:t xml:space="preserve">N informa al BID del consultor seleccionado y se comunica con el consultor en la ejecución del trabajo. </w:t>
            </w:r>
            <w:r>
              <w:rPr>
                <w:rFonts w:ascii="Arial" w:hAnsi="Arial" w:cs="Arial"/>
                <w:bCs/>
                <w:sz w:val="18"/>
                <w:szCs w:val="18"/>
              </w:rPr>
              <w:t>NAFIN comunica</w:t>
            </w:r>
            <w:r w:rsidRPr="00C041B7">
              <w:rPr>
                <w:rFonts w:ascii="Arial" w:hAnsi="Arial" w:cs="Arial"/>
                <w:bCs/>
                <w:sz w:val="18"/>
                <w:szCs w:val="18"/>
              </w:rPr>
              <w:t xml:space="preserve"> al BID según sea necesario para </w:t>
            </w:r>
            <w:r>
              <w:rPr>
                <w:rFonts w:ascii="Arial" w:hAnsi="Arial" w:cs="Arial"/>
                <w:bCs/>
                <w:sz w:val="18"/>
                <w:szCs w:val="18"/>
              </w:rPr>
              <w:t>su</w:t>
            </w:r>
            <w:r w:rsidRPr="00C041B7">
              <w:rPr>
                <w:rFonts w:ascii="Arial" w:hAnsi="Arial" w:cs="Arial"/>
                <w:bCs/>
                <w:sz w:val="18"/>
                <w:szCs w:val="18"/>
              </w:rPr>
              <w:t xml:space="preserve"> asesoramiento / oferta de opinión.</w:t>
            </w:r>
          </w:p>
          <w:p w14:paraId="75E3A4EB" w14:textId="77777777" w:rsidR="00BA0225" w:rsidRPr="00965D31" w:rsidRDefault="00BA0225" w:rsidP="00BA0225">
            <w:pPr>
              <w:pStyle w:val="Paragraph"/>
              <w:numPr>
                <w:ilvl w:val="0"/>
                <w:numId w:val="69"/>
              </w:numPr>
              <w:tabs>
                <w:tab w:val="left" w:pos="180"/>
              </w:tabs>
              <w:ind w:left="180" w:hanging="180"/>
              <w:rPr>
                <w:rFonts w:ascii="Arial" w:hAnsi="Arial" w:cs="Arial"/>
                <w:bCs/>
                <w:sz w:val="18"/>
                <w:szCs w:val="18"/>
              </w:rPr>
            </w:pPr>
            <w:r w:rsidRPr="00965D31">
              <w:rPr>
                <w:rFonts w:ascii="Arial" w:hAnsi="Arial" w:cs="Arial"/>
                <w:bCs/>
                <w:sz w:val="18"/>
                <w:szCs w:val="18"/>
              </w:rPr>
              <w:t xml:space="preserve">NAFIN visita el sitio según sea necesario para evaluar </w:t>
            </w:r>
            <w:r>
              <w:rPr>
                <w:rFonts w:ascii="Arial" w:hAnsi="Arial" w:cs="Arial"/>
                <w:bCs/>
                <w:sz w:val="18"/>
                <w:szCs w:val="18"/>
              </w:rPr>
              <w:t xml:space="preserve">los avances de los estudios </w:t>
            </w:r>
            <w:r w:rsidRPr="00965D31">
              <w:rPr>
                <w:rFonts w:ascii="Arial" w:hAnsi="Arial" w:cs="Arial"/>
                <w:bCs/>
                <w:sz w:val="18"/>
                <w:szCs w:val="18"/>
              </w:rPr>
              <w:t>y los impactos específicos</w:t>
            </w:r>
          </w:p>
          <w:p w14:paraId="393AB7F1" w14:textId="77777777" w:rsidR="00BA0225" w:rsidRPr="00C041B7" w:rsidRDefault="00BA0225" w:rsidP="00BA0225">
            <w:pPr>
              <w:pStyle w:val="Paragraph"/>
              <w:numPr>
                <w:ilvl w:val="0"/>
                <w:numId w:val="69"/>
              </w:numPr>
              <w:tabs>
                <w:tab w:val="left" w:pos="180"/>
              </w:tabs>
              <w:ind w:left="180" w:hanging="180"/>
              <w:rPr>
                <w:rFonts w:ascii="Arial" w:hAnsi="Arial" w:cs="Arial"/>
                <w:bCs/>
                <w:sz w:val="18"/>
                <w:szCs w:val="18"/>
              </w:rPr>
            </w:pPr>
            <w:r>
              <w:rPr>
                <w:rFonts w:ascii="Arial" w:hAnsi="Arial" w:cs="Arial"/>
                <w:bCs/>
                <w:sz w:val="18"/>
                <w:szCs w:val="18"/>
              </w:rPr>
              <w:t xml:space="preserve">NAFIN </w:t>
            </w:r>
            <w:r w:rsidRPr="00A07533">
              <w:rPr>
                <w:rFonts w:ascii="Arial" w:hAnsi="Arial" w:cs="Arial"/>
                <w:bCs/>
                <w:sz w:val="18"/>
                <w:szCs w:val="18"/>
              </w:rPr>
              <w:t>confirma la preclasificación ambiental y envía un borrador casi final de</w:t>
            </w:r>
            <w:r>
              <w:rPr>
                <w:rFonts w:ascii="Arial" w:hAnsi="Arial" w:cs="Arial"/>
                <w:bCs/>
                <w:sz w:val="18"/>
                <w:szCs w:val="18"/>
              </w:rPr>
              <w:t xml:space="preserve"> la evaluación ambiental y social (EIAS/AAS) </w:t>
            </w:r>
            <w:r w:rsidRPr="00A07533">
              <w:rPr>
                <w:rFonts w:ascii="Arial" w:hAnsi="Arial" w:cs="Arial"/>
                <w:bCs/>
                <w:sz w:val="18"/>
                <w:szCs w:val="18"/>
              </w:rPr>
              <w:t>al BID.</w:t>
            </w:r>
          </w:p>
        </w:tc>
        <w:tc>
          <w:tcPr>
            <w:tcW w:w="3002" w:type="dxa"/>
          </w:tcPr>
          <w:p w14:paraId="1CAF7A09" w14:textId="77777777" w:rsidR="00BA0225" w:rsidRPr="00040328" w:rsidRDefault="00BA0225" w:rsidP="00BA0225">
            <w:pPr>
              <w:pStyle w:val="Paragraph"/>
              <w:numPr>
                <w:ilvl w:val="0"/>
                <w:numId w:val="69"/>
              </w:numPr>
              <w:tabs>
                <w:tab w:val="left" w:pos="180"/>
              </w:tabs>
              <w:ind w:left="180" w:hanging="180"/>
              <w:rPr>
                <w:rFonts w:ascii="Arial" w:hAnsi="Arial" w:cs="Arial"/>
                <w:bCs/>
                <w:sz w:val="18"/>
                <w:szCs w:val="18"/>
              </w:rPr>
            </w:pPr>
            <w:r w:rsidRPr="00040328">
              <w:rPr>
                <w:rFonts w:ascii="Arial" w:hAnsi="Arial" w:cs="Arial"/>
                <w:bCs/>
                <w:sz w:val="18"/>
                <w:szCs w:val="18"/>
              </w:rPr>
              <w:t xml:space="preserve">El BID </w:t>
            </w:r>
            <w:r>
              <w:rPr>
                <w:rFonts w:ascii="Arial" w:hAnsi="Arial" w:cs="Arial"/>
                <w:bCs/>
                <w:sz w:val="18"/>
                <w:szCs w:val="18"/>
              </w:rPr>
              <w:t>está informado</w:t>
            </w:r>
            <w:r w:rsidRPr="00040328">
              <w:rPr>
                <w:rFonts w:ascii="Arial" w:hAnsi="Arial" w:cs="Arial"/>
                <w:bCs/>
                <w:sz w:val="18"/>
                <w:szCs w:val="18"/>
              </w:rPr>
              <w:t xml:space="preserve"> sobre cualquier riesgo particular </w:t>
            </w:r>
            <w:r>
              <w:rPr>
                <w:rFonts w:ascii="Arial" w:hAnsi="Arial" w:cs="Arial"/>
                <w:bCs/>
                <w:sz w:val="18"/>
                <w:szCs w:val="18"/>
              </w:rPr>
              <w:t xml:space="preserve">ambiental y social </w:t>
            </w:r>
            <w:r w:rsidRPr="00040328">
              <w:rPr>
                <w:rFonts w:ascii="Arial" w:hAnsi="Arial" w:cs="Arial"/>
                <w:bCs/>
                <w:sz w:val="18"/>
                <w:szCs w:val="18"/>
              </w:rPr>
              <w:t>(en caso de una visita al proyecto).</w:t>
            </w:r>
          </w:p>
          <w:p w14:paraId="12E96AD0" w14:textId="77777777" w:rsidR="00BA0225" w:rsidRPr="00040328" w:rsidRDefault="00BA0225" w:rsidP="00BA0225">
            <w:pPr>
              <w:pStyle w:val="Paragraph"/>
              <w:numPr>
                <w:ilvl w:val="0"/>
                <w:numId w:val="69"/>
              </w:numPr>
              <w:tabs>
                <w:tab w:val="left" w:pos="180"/>
              </w:tabs>
              <w:ind w:left="180" w:hanging="180"/>
              <w:rPr>
                <w:rFonts w:ascii="Arial" w:hAnsi="Arial" w:cs="Arial"/>
                <w:bCs/>
                <w:sz w:val="18"/>
                <w:szCs w:val="18"/>
              </w:rPr>
            </w:pPr>
            <w:r w:rsidRPr="00040328">
              <w:rPr>
                <w:rFonts w:ascii="Arial" w:hAnsi="Arial" w:cs="Arial"/>
                <w:bCs/>
                <w:sz w:val="18"/>
                <w:szCs w:val="18"/>
              </w:rPr>
              <w:t>El BID proporciona comentarios, de haberlos, sobre el borrador casi final de</w:t>
            </w:r>
            <w:r>
              <w:rPr>
                <w:rFonts w:ascii="Arial" w:hAnsi="Arial" w:cs="Arial"/>
                <w:bCs/>
                <w:sz w:val="18"/>
                <w:szCs w:val="18"/>
              </w:rPr>
              <w:t xml:space="preserve"> la evaluación ambiental y social (EIAS/AAS).</w:t>
            </w:r>
          </w:p>
        </w:tc>
      </w:tr>
      <w:tr w:rsidR="00BA0225" w:rsidRPr="005541E2" w14:paraId="76E051C3" w14:textId="77777777" w:rsidTr="008C38DE">
        <w:tc>
          <w:tcPr>
            <w:tcW w:w="2993" w:type="dxa"/>
          </w:tcPr>
          <w:p w14:paraId="3FCC8C3C" w14:textId="77777777" w:rsidR="00BA0225" w:rsidRPr="004926B7" w:rsidRDefault="00BA0225" w:rsidP="00895676">
            <w:pPr>
              <w:pStyle w:val="Paragraph"/>
              <w:numPr>
                <w:ilvl w:val="0"/>
                <w:numId w:val="0"/>
              </w:numPr>
              <w:tabs>
                <w:tab w:val="left" w:pos="180"/>
              </w:tabs>
              <w:ind w:left="180"/>
              <w:rPr>
                <w:rFonts w:ascii="Arial" w:hAnsi="Arial" w:cs="Arial"/>
                <w:bCs/>
                <w:sz w:val="18"/>
                <w:szCs w:val="18"/>
              </w:rPr>
            </w:pPr>
            <w:r w:rsidRPr="004926B7">
              <w:rPr>
                <w:rFonts w:ascii="Arial" w:hAnsi="Arial" w:cs="Arial"/>
                <w:bCs/>
                <w:sz w:val="18"/>
                <w:szCs w:val="18"/>
              </w:rPr>
              <w:t>4. Finalización de la actividad de análisis / pre</w:t>
            </w:r>
            <w:r>
              <w:rPr>
                <w:rFonts w:ascii="Arial" w:hAnsi="Arial" w:cs="Arial"/>
                <w:bCs/>
                <w:sz w:val="18"/>
                <w:szCs w:val="18"/>
              </w:rPr>
              <w:t>-</w:t>
            </w:r>
            <w:r w:rsidRPr="004926B7">
              <w:rPr>
                <w:rFonts w:ascii="Arial" w:hAnsi="Arial" w:cs="Arial"/>
                <w:bCs/>
                <w:sz w:val="18"/>
                <w:szCs w:val="18"/>
              </w:rPr>
              <w:t>inversión</w:t>
            </w:r>
          </w:p>
        </w:tc>
        <w:tc>
          <w:tcPr>
            <w:tcW w:w="3725" w:type="dxa"/>
          </w:tcPr>
          <w:p w14:paraId="252CBDFA" w14:textId="77777777" w:rsidR="00BA0225" w:rsidRPr="002A1356" w:rsidRDefault="00BA0225" w:rsidP="00BA0225">
            <w:pPr>
              <w:pStyle w:val="Paragraph"/>
              <w:numPr>
                <w:ilvl w:val="0"/>
                <w:numId w:val="69"/>
              </w:numPr>
              <w:tabs>
                <w:tab w:val="left" w:pos="180"/>
              </w:tabs>
              <w:ind w:left="180" w:hanging="180"/>
              <w:rPr>
                <w:rFonts w:ascii="Arial" w:hAnsi="Arial" w:cs="Arial"/>
                <w:bCs/>
                <w:sz w:val="18"/>
                <w:szCs w:val="18"/>
              </w:rPr>
            </w:pPr>
            <w:r w:rsidRPr="002A1356">
              <w:rPr>
                <w:rFonts w:ascii="Arial" w:hAnsi="Arial" w:cs="Arial"/>
                <w:bCs/>
                <w:sz w:val="18"/>
                <w:szCs w:val="18"/>
              </w:rPr>
              <w:t xml:space="preserve">NAFIN recibe el informe / análisis final </w:t>
            </w:r>
            <w:r>
              <w:rPr>
                <w:rFonts w:ascii="Arial" w:hAnsi="Arial" w:cs="Arial"/>
                <w:bCs/>
                <w:sz w:val="18"/>
                <w:szCs w:val="18"/>
              </w:rPr>
              <w:t xml:space="preserve">(EIAS/AAS) </w:t>
            </w:r>
            <w:r w:rsidRPr="002A1356">
              <w:rPr>
                <w:rFonts w:ascii="Arial" w:hAnsi="Arial" w:cs="Arial"/>
                <w:bCs/>
                <w:sz w:val="18"/>
                <w:szCs w:val="18"/>
              </w:rPr>
              <w:t>y lo envía al BID.</w:t>
            </w:r>
          </w:p>
          <w:p w14:paraId="4080F40A" w14:textId="77777777" w:rsidR="00BA0225" w:rsidRPr="002A1356" w:rsidRDefault="00BA0225" w:rsidP="00BA0225">
            <w:pPr>
              <w:pStyle w:val="Paragraph"/>
              <w:numPr>
                <w:ilvl w:val="0"/>
                <w:numId w:val="69"/>
              </w:numPr>
              <w:tabs>
                <w:tab w:val="left" w:pos="180"/>
              </w:tabs>
              <w:ind w:left="180" w:hanging="180"/>
              <w:rPr>
                <w:rFonts w:ascii="Arial" w:hAnsi="Arial" w:cs="Arial"/>
                <w:bCs/>
                <w:sz w:val="18"/>
                <w:szCs w:val="18"/>
              </w:rPr>
            </w:pPr>
            <w:r w:rsidRPr="002A1356">
              <w:rPr>
                <w:rFonts w:ascii="Arial" w:hAnsi="Arial" w:cs="Arial"/>
                <w:bCs/>
                <w:sz w:val="18"/>
                <w:szCs w:val="18"/>
              </w:rPr>
              <w:t xml:space="preserve">Sobre la base de un análisis exitoso, </w:t>
            </w:r>
            <w:r>
              <w:rPr>
                <w:rFonts w:ascii="Arial" w:hAnsi="Arial" w:cs="Arial"/>
                <w:bCs/>
                <w:sz w:val="18"/>
                <w:szCs w:val="18"/>
              </w:rPr>
              <w:t xml:space="preserve">NAFIN </w:t>
            </w:r>
            <w:r w:rsidRPr="002A1356">
              <w:rPr>
                <w:rFonts w:ascii="Arial" w:hAnsi="Arial" w:cs="Arial"/>
                <w:bCs/>
                <w:sz w:val="18"/>
                <w:szCs w:val="18"/>
              </w:rPr>
              <w:t>informa al BID de una posible segunda fase (préstamo).</w:t>
            </w:r>
          </w:p>
        </w:tc>
        <w:tc>
          <w:tcPr>
            <w:tcW w:w="3002" w:type="dxa"/>
          </w:tcPr>
          <w:p w14:paraId="2E1F03C4" w14:textId="77777777" w:rsidR="00BA0225" w:rsidRPr="005541E2" w:rsidRDefault="00BA0225" w:rsidP="00BA0225">
            <w:pPr>
              <w:pStyle w:val="Paragraph"/>
              <w:numPr>
                <w:ilvl w:val="0"/>
                <w:numId w:val="69"/>
              </w:numPr>
              <w:tabs>
                <w:tab w:val="left" w:pos="180"/>
              </w:tabs>
              <w:ind w:left="180" w:hanging="180"/>
              <w:rPr>
                <w:rFonts w:ascii="Arial" w:hAnsi="Arial" w:cs="Arial"/>
                <w:bCs/>
                <w:sz w:val="18"/>
                <w:szCs w:val="18"/>
              </w:rPr>
            </w:pPr>
            <w:r w:rsidRPr="005541E2">
              <w:rPr>
                <w:rFonts w:ascii="Arial" w:hAnsi="Arial" w:cs="Arial"/>
                <w:bCs/>
                <w:sz w:val="18"/>
                <w:szCs w:val="18"/>
              </w:rPr>
              <w:t>El BID revisa los productos e informes finales.</w:t>
            </w:r>
          </w:p>
        </w:tc>
      </w:tr>
    </w:tbl>
    <w:p w14:paraId="16ADA4B2" w14:textId="77777777" w:rsidR="00BA0225" w:rsidRPr="00806C5F" w:rsidRDefault="00BA0225" w:rsidP="00BA0225">
      <w:pPr>
        <w:pStyle w:val="Paragraph"/>
        <w:tabs>
          <w:tab w:val="clear" w:pos="8525"/>
          <w:tab w:val="num" w:pos="720"/>
          <w:tab w:val="num" w:pos="900"/>
        </w:tabs>
        <w:spacing w:after="0"/>
        <w:ind w:left="720" w:hanging="720"/>
        <w:rPr>
          <w:rFonts w:ascii="Arial" w:hAnsi="Arial" w:cs="Arial"/>
          <w:bCs/>
          <w:sz w:val="22"/>
          <w:szCs w:val="22"/>
        </w:rPr>
      </w:pPr>
      <w:r w:rsidRPr="00806C5F">
        <w:rPr>
          <w:rFonts w:ascii="Arial" w:hAnsi="Arial" w:cs="Arial"/>
          <w:bCs/>
          <w:sz w:val="22"/>
          <w:szCs w:val="22"/>
        </w:rPr>
        <w:t xml:space="preserve">Para el ciclo de aprobación del préstamo </w:t>
      </w:r>
      <w:r>
        <w:rPr>
          <w:rFonts w:ascii="Arial" w:hAnsi="Arial" w:cs="Arial"/>
          <w:bCs/>
          <w:sz w:val="22"/>
          <w:szCs w:val="22"/>
        </w:rPr>
        <w:t xml:space="preserve">para el proyecto en NAFIN </w:t>
      </w:r>
      <w:r w:rsidRPr="00806C5F">
        <w:rPr>
          <w:rFonts w:ascii="Arial" w:hAnsi="Arial" w:cs="Arial"/>
          <w:bCs/>
          <w:sz w:val="22"/>
          <w:szCs w:val="22"/>
        </w:rPr>
        <w:t>(</w:t>
      </w:r>
      <w:r w:rsidRPr="009B6877">
        <w:rPr>
          <w:rFonts w:ascii="Arial" w:hAnsi="Arial" w:cs="Arial"/>
          <w:bCs/>
          <w:sz w:val="22"/>
          <w:szCs w:val="22"/>
        </w:rPr>
        <w:t xml:space="preserve">que </w:t>
      </w:r>
      <w:r>
        <w:rPr>
          <w:rFonts w:ascii="Arial" w:hAnsi="Arial" w:cs="Arial"/>
          <w:bCs/>
          <w:sz w:val="22"/>
          <w:szCs w:val="22"/>
        </w:rPr>
        <w:t xml:space="preserve">aplica de manera exclusiva en la etapa de perforación comercial, producción, construcción de planta, operación) que puede incluir </w:t>
      </w:r>
      <w:r w:rsidRPr="00307B9A">
        <w:rPr>
          <w:rFonts w:ascii="Arial" w:hAnsi="Arial" w:cs="Arial"/>
          <w:bCs/>
          <w:sz w:val="22"/>
          <w:szCs w:val="22"/>
        </w:rPr>
        <w:t>perforaciones exploratorias, desarrollar pozos de producción y reinyección, construir centrales eléctricas, subestaciones o líneas de transmisión</w:t>
      </w:r>
      <w:r w:rsidRPr="00305FD9">
        <w:rPr>
          <w:rFonts w:ascii="Arial" w:hAnsi="Arial" w:cs="Arial"/>
          <w:bCs/>
          <w:sz w:val="22"/>
          <w:szCs w:val="22"/>
        </w:rPr>
        <w:t>, con impactos</w:t>
      </w:r>
      <w:r w:rsidRPr="00806C5F">
        <w:rPr>
          <w:rFonts w:ascii="Arial" w:hAnsi="Arial" w:cs="Arial"/>
          <w:bCs/>
          <w:sz w:val="22"/>
          <w:szCs w:val="22"/>
        </w:rPr>
        <w:t xml:space="preserve"> </w:t>
      </w:r>
      <w:r>
        <w:rPr>
          <w:rFonts w:ascii="Arial" w:hAnsi="Arial" w:cs="Arial"/>
          <w:bCs/>
          <w:sz w:val="22"/>
          <w:szCs w:val="22"/>
        </w:rPr>
        <w:t>ambientales y sociales mayores</w:t>
      </w:r>
      <w:r w:rsidRPr="00806C5F">
        <w:rPr>
          <w:rFonts w:ascii="Arial" w:hAnsi="Arial" w:cs="Arial"/>
          <w:bCs/>
          <w:sz w:val="22"/>
          <w:szCs w:val="22"/>
        </w:rPr>
        <w:t xml:space="preserve">, los procedimientos </w:t>
      </w:r>
      <w:r>
        <w:rPr>
          <w:rFonts w:ascii="Arial" w:hAnsi="Arial" w:cs="Arial"/>
          <w:bCs/>
          <w:sz w:val="22"/>
          <w:szCs w:val="22"/>
        </w:rPr>
        <w:t xml:space="preserve">ambientales y sociales </w:t>
      </w:r>
      <w:r w:rsidRPr="00806C5F">
        <w:rPr>
          <w:rFonts w:ascii="Arial" w:hAnsi="Arial" w:cs="Arial"/>
          <w:bCs/>
          <w:sz w:val="22"/>
          <w:szCs w:val="22"/>
        </w:rPr>
        <w:t>correspondientes son:</w:t>
      </w:r>
    </w:p>
    <w:p w14:paraId="1E940813" w14:textId="77777777" w:rsidR="00BA0225" w:rsidRPr="00806C5F" w:rsidRDefault="00BA0225" w:rsidP="00BA0225">
      <w:pPr>
        <w:pStyle w:val="Paragraph"/>
        <w:numPr>
          <w:ilvl w:val="0"/>
          <w:numId w:val="0"/>
        </w:numPr>
        <w:tabs>
          <w:tab w:val="num" w:pos="5746"/>
        </w:tabs>
        <w:spacing w:after="0"/>
        <w:rPr>
          <w:rFonts w:ascii="Arial" w:hAnsi="Arial" w:cs="Arial"/>
          <w:b/>
          <w:sz w:val="22"/>
          <w:szCs w:val="22"/>
        </w:rPr>
      </w:pPr>
    </w:p>
    <w:tbl>
      <w:tblPr>
        <w:tblStyle w:val="TableGrid"/>
        <w:tblW w:w="9837" w:type="dxa"/>
        <w:tblInd w:w="-95" w:type="dxa"/>
        <w:tblLayout w:type="fixed"/>
        <w:tblLook w:val="04A0" w:firstRow="1" w:lastRow="0" w:firstColumn="1" w:lastColumn="0" w:noHBand="0" w:noVBand="1"/>
      </w:tblPr>
      <w:tblGrid>
        <w:gridCol w:w="2813"/>
        <w:gridCol w:w="3780"/>
        <w:gridCol w:w="3244"/>
      </w:tblGrid>
      <w:tr w:rsidR="00BA0225" w:rsidRPr="00BB52F3" w14:paraId="77F8E43E" w14:textId="77777777" w:rsidTr="008C38DE">
        <w:tc>
          <w:tcPr>
            <w:tcW w:w="2813" w:type="dxa"/>
            <w:shd w:val="clear" w:color="auto" w:fill="D9D9D9" w:themeFill="background1" w:themeFillShade="D9"/>
          </w:tcPr>
          <w:p w14:paraId="3006785A" w14:textId="77777777" w:rsidR="00BA0225" w:rsidRPr="00C45005" w:rsidRDefault="00BA0225" w:rsidP="00895676">
            <w:pPr>
              <w:pStyle w:val="Paragraph"/>
              <w:numPr>
                <w:ilvl w:val="0"/>
                <w:numId w:val="0"/>
              </w:numPr>
              <w:tabs>
                <w:tab w:val="left" w:pos="270"/>
              </w:tabs>
              <w:ind w:left="270"/>
              <w:rPr>
                <w:rFonts w:ascii="Arial" w:hAnsi="Arial" w:cs="Arial"/>
                <w:b/>
                <w:bCs/>
                <w:sz w:val="18"/>
                <w:szCs w:val="18"/>
              </w:rPr>
            </w:pPr>
            <w:r>
              <w:rPr>
                <w:rFonts w:ascii="Arial" w:hAnsi="Arial" w:cs="Arial"/>
                <w:b/>
                <w:bCs/>
                <w:sz w:val="18"/>
                <w:szCs w:val="18"/>
              </w:rPr>
              <w:t>Ciclo de Aprobación de Préstamos de NAFIN</w:t>
            </w:r>
          </w:p>
        </w:tc>
        <w:tc>
          <w:tcPr>
            <w:tcW w:w="3780" w:type="dxa"/>
            <w:shd w:val="clear" w:color="auto" w:fill="D9D9D9" w:themeFill="background1" w:themeFillShade="D9"/>
          </w:tcPr>
          <w:p w14:paraId="0343D80F" w14:textId="77777777" w:rsidR="00BA0225" w:rsidRPr="00C45005" w:rsidRDefault="00BA0225" w:rsidP="00895676">
            <w:pPr>
              <w:pStyle w:val="Paragraph"/>
              <w:numPr>
                <w:ilvl w:val="0"/>
                <w:numId w:val="0"/>
              </w:numPr>
              <w:tabs>
                <w:tab w:val="left" w:pos="270"/>
              </w:tabs>
              <w:ind w:left="270"/>
              <w:rPr>
                <w:rFonts w:ascii="Arial" w:hAnsi="Arial" w:cs="Arial"/>
                <w:b/>
                <w:bCs/>
                <w:sz w:val="18"/>
                <w:szCs w:val="18"/>
              </w:rPr>
            </w:pPr>
            <w:r w:rsidRPr="00C45005">
              <w:rPr>
                <w:rFonts w:ascii="Arial" w:hAnsi="Arial" w:cs="Arial"/>
                <w:b/>
                <w:bCs/>
                <w:sz w:val="18"/>
                <w:szCs w:val="18"/>
              </w:rPr>
              <w:t xml:space="preserve">Responsabilidades NAFIN </w:t>
            </w:r>
          </w:p>
        </w:tc>
        <w:tc>
          <w:tcPr>
            <w:tcW w:w="3244" w:type="dxa"/>
            <w:shd w:val="clear" w:color="auto" w:fill="D9D9D9" w:themeFill="background1" w:themeFillShade="D9"/>
          </w:tcPr>
          <w:p w14:paraId="5CC4763D" w14:textId="77777777" w:rsidR="00BA0225" w:rsidRPr="00C45005" w:rsidRDefault="00BA0225" w:rsidP="00895676">
            <w:pPr>
              <w:pStyle w:val="Paragraph"/>
              <w:numPr>
                <w:ilvl w:val="0"/>
                <w:numId w:val="0"/>
              </w:numPr>
              <w:tabs>
                <w:tab w:val="left" w:pos="270"/>
              </w:tabs>
              <w:rPr>
                <w:rFonts w:ascii="Arial" w:hAnsi="Arial" w:cs="Arial"/>
                <w:b/>
                <w:bCs/>
                <w:sz w:val="18"/>
                <w:szCs w:val="18"/>
              </w:rPr>
            </w:pPr>
            <w:r w:rsidRPr="00C45005">
              <w:rPr>
                <w:rFonts w:ascii="Arial" w:hAnsi="Arial" w:cs="Arial"/>
                <w:b/>
                <w:bCs/>
                <w:sz w:val="18"/>
                <w:szCs w:val="18"/>
              </w:rPr>
              <w:t>Responsabilidades BID</w:t>
            </w:r>
          </w:p>
        </w:tc>
      </w:tr>
      <w:tr w:rsidR="00BA0225" w:rsidRPr="000850D6" w14:paraId="4A6EF732" w14:textId="77777777" w:rsidTr="008C38DE">
        <w:trPr>
          <w:trHeight w:val="1097"/>
        </w:trPr>
        <w:tc>
          <w:tcPr>
            <w:tcW w:w="2813" w:type="dxa"/>
          </w:tcPr>
          <w:p w14:paraId="22590673" w14:textId="77777777" w:rsidR="00BA0225" w:rsidRPr="00C45005" w:rsidRDefault="00BA0225" w:rsidP="00895676">
            <w:pPr>
              <w:pStyle w:val="Paragraph"/>
              <w:numPr>
                <w:ilvl w:val="0"/>
                <w:numId w:val="0"/>
              </w:numPr>
              <w:tabs>
                <w:tab w:val="left" w:pos="270"/>
              </w:tabs>
              <w:ind w:left="270"/>
              <w:rPr>
                <w:rFonts w:ascii="Arial" w:hAnsi="Arial" w:cs="Arial"/>
                <w:bCs/>
                <w:sz w:val="18"/>
                <w:szCs w:val="18"/>
              </w:rPr>
            </w:pPr>
            <w:r w:rsidRPr="00C45005">
              <w:rPr>
                <w:rFonts w:ascii="Arial" w:hAnsi="Arial" w:cs="Arial"/>
                <w:bCs/>
                <w:sz w:val="18"/>
                <w:szCs w:val="18"/>
              </w:rPr>
              <w:t xml:space="preserve">1. </w:t>
            </w:r>
            <w:r>
              <w:rPr>
                <w:rFonts w:ascii="Arial" w:hAnsi="Arial" w:cs="Arial"/>
                <w:bCs/>
                <w:sz w:val="18"/>
                <w:szCs w:val="18"/>
              </w:rPr>
              <w:t>Preparación de Nota Conceptual NAFIN</w:t>
            </w:r>
          </w:p>
        </w:tc>
        <w:tc>
          <w:tcPr>
            <w:tcW w:w="3780" w:type="dxa"/>
          </w:tcPr>
          <w:p w14:paraId="4C594138" w14:textId="77777777" w:rsidR="00BA0225" w:rsidRPr="00C45005" w:rsidRDefault="00BA0225" w:rsidP="00BA0225">
            <w:pPr>
              <w:pStyle w:val="Paragraph"/>
              <w:numPr>
                <w:ilvl w:val="0"/>
                <w:numId w:val="67"/>
              </w:numPr>
              <w:tabs>
                <w:tab w:val="left" w:pos="270"/>
              </w:tabs>
              <w:ind w:left="270" w:hanging="270"/>
              <w:rPr>
                <w:rFonts w:ascii="Arial" w:hAnsi="Arial" w:cs="Arial"/>
                <w:bCs/>
                <w:sz w:val="18"/>
                <w:szCs w:val="18"/>
              </w:rPr>
            </w:pPr>
            <w:r>
              <w:rPr>
                <w:rFonts w:ascii="Arial" w:hAnsi="Arial" w:cs="Arial"/>
                <w:bCs/>
                <w:sz w:val="18"/>
                <w:szCs w:val="18"/>
              </w:rPr>
              <w:t>NAFIN</w:t>
            </w:r>
            <w:r w:rsidRPr="00BC6D4E">
              <w:rPr>
                <w:rFonts w:ascii="Arial" w:hAnsi="Arial" w:cs="Arial"/>
                <w:bCs/>
                <w:sz w:val="18"/>
                <w:szCs w:val="18"/>
              </w:rPr>
              <w:t xml:space="preserve"> realiza una preclasificación y propone una estrategia ambiental y social para la debida diligencia</w:t>
            </w:r>
            <w:r>
              <w:rPr>
                <w:rFonts w:ascii="Arial" w:hAnsi="Arial" w:cs="Arial"/>
                <w:bCs/>
                <w:sz w:val="18"/>
                <w:szCs w:val="18"/>
              </w:rPr>
              <w:t xml:space="preserve"> del proyecto solicitante.</w:t>
            </w:r>
          </w:p>
        </w:tc>
        <w:tc>
          <w:tcPr>
            <w:tcW w:w="3244" w:type="dxa"/>
          </w:tcPr>
          <w:p w14:paraId="1727DA36" w14:textId="77777777" w:rsidR="00BA0225" w:rsidRPr="00C45005" w:rsidRDefault="00BA0225" w:rsidP="00895676">
            <w:pPr>
              <w:pStyle w:val="Paragraph"/>
              <w:numPr>
                <w:ilvl w:val="0"/>
                <w:numId w:val="0"/>
              </w:numPr>
              <w:tabs>
                <w:tab w:val="left" w:pos="270"/>
              </w:tabs>
              <w:rPr>
                <w:rFonts w:ascii="Arial" w:hAnsi="Arial" w:cs="Arial"/>
                <w:bCs/>
                <w:i/>
                <w:sz w:val="18"/>
                <w:szCs w:val="18"/>
                <w:u w:val="single"/>
              </w:rPr>
            </w:pPr>
            <w:r>
              <w:rPr>
                <w:rFonts w:ascii="Arial" w:hAnsi="Arial" w:cs="Arial"/>
                <w:bCs/>
                <w:i/>
                <w:sz w:val="18"/>
                <w:szCs w:val="18"/>
                <w:u w:val="single"/>
              </w:rPr>
              <w:t>Aprobación formal</w:t>
            </w:r>
          </w:p>
          <w:p w14:paraId="6EEB0D6D" w14:textId="77777777" w:rsidR="00BA0225" w:rsidRPr="000850D6" w:rsidRDefault="00BA0225" w:rsidP="00BA0225">
            <w:pPr>
              <w:pStyle w:val="Paragraph"/>
              <w:numPr>
                <w:ilvl w:val="0"/>
                <w:numId w:val="67"/>
              </w:numPr>
              <w:tabs>
                <w:tab w:val="left" w:pos="270"/>
              </w:tabs>
              <w:ind w:left="270" w:hanging="270"/>
              <w:rPr>
                <w:rFonts w:ascii="Arial" w:hAnsi="Arial" w:cs="Arial"/>
                <w:bCs/>
                <w:sz w:val="18"/>
                <w:szCs w:val="18"/>
              </w:rPr>
            </w:pPr>
            <w:r w:rsidRPr="000850D6">
              <w:rPr>
                <w:rFonts w:ascii="Arial" w:hAnsi="Arial" w:cs="Arial"/>
                <w:bCs/>
                <w:sz w:val="18"/>
                <w:szCs w:val="18"/>
              </w:rPr>
              <w:t xml:space="preserve">El BID proporciona información sobre la estrategia y la aprobación </w:t>
            </w:r>
            <w:r>
              <w:rPr>
                <w:rFonts w:ascii="Arial" w:hAnsi="Arial" w:cs="Arial"/>
                <w:bCs/>
                <w:sz w:val="18"/>
                <w:szCs w:val="18"/>
              </w:rPr>
              <w:t>de</w:t>
            </w:r>
            <w:r w:rsidRPr="000850D6">
              <w:rPr>
                <w:rFonts w:ascii="Arial" w:hAnsi="Arial" w:cs="Arial"/>
                <w:bCs/>
                <w:sz w:val="18"/>
                <w:szCs w:val="18"/>
              </w:rPr>
              <w:t xml:space="preserve"> la preclasificación.</w:t>
            </w:r>
          </w:p>
        </w:tc>
      </w:tr>
      <w:tr w:rsidR="00BA0225" w:rsidRPr="00815946" w14:paraId="28C9AF26" w14:textId="77777777" w:rsidTr="008C38DE">
        <w:tc>
          <w:tcPr>
            <w:tcW w:w="2813" w:type="dxa"/>
          </w:tcPr>
          <w:p w14:paraId="1E0E28E2" w14:textId="77777777" w:rsidR="00BA0225" w:rsidRPr="00C45005" w:rsidRDefault="00BA0225" w:rsidP="00895676">
            <w:pPr>
              <w:pStyle w:val="Paragraph"/>
              <w:numPr>
                <w:ilvl w:val="0"/>
                <w:numId w:val="0"/>
              </w:numPr>
              <w:tabs>
                <w:tab w:val="left" w:pos="270"/>
              </w:tabs>
              <w:ind w:left="270"/>
              <w:rPr>
                <w:rFonts w:ascii="Arial" w:hAnsi="Arial" w:cs="Arial"/>
                <w:bCs/>
                <w:sz w:val="18"/>
                <w:szCs w:val="18"/>
              </w:rPr>
            </w:pPr>
            <w:r w:rsidRPr="00C45005">
              <w:rPr>
                <w:rFonts w:ascii="Arial" w:hAnsi="Arial" w:cs="Arial"/>
                <w:bCs/>
                <w:sz w:val="18"/>
                <w:szCs w:val="18"/>
              </w:rPr>
              <w:t xml:space="preserve">2. </w:t>
            </w:r>
            <w:r w:rsidRPr="00374B15">
              <w:rPr>
                <w:rFonts w:ascii="Arial" w:hAnsi="Arial" w:cs="Arial"/>
                <w:bCs/>
                <w:sz w:val="18"/>
                <w:szCs w:val="18"/>
              </w:rPr>
              <w:t>Preparación del proyecto y definición de los términos de referencia (T</w:t>
            </w:r>
            <w:r>
              <w:rPr>
                <w:rFonts w:ascii="Arial" w:hAnsi="Arial" w:cs="Arial"/>
                <w:bCs/>
                <w:sz w:val="18"/>
                <w:szCs w:val="18"/>
              </w:rPr>
              <w:t>d</w:t>
            </w:r>
            <w:r w:rsidRPr="00374B15">
              <w:rPr>
                <w:rFonts w:ascii="Arial" w:hAnsi="Arial" w:cs="Arial"/>
                <w:bCs/>
                <w:sz w:val="18"/>
                <w:szCs w:val="18"/>
              </w:rPr>
              <w:t>R) de la segunda etapa</w:t>
            </w:r>
            <w:r>
              <w:rPr>
                <w:rFonts w:ascii="Arial" w:hAnsi="Arial" w:cs="Arial"/>
                <w:bCs/>
                <w:sz w:val="18"/>
                <w:szCs w:val="18"/>
              </w:rPr>
              <w:t xml:space="preserve"> de desarrollo</w:t>
            </w:r>
            <w:r w:rsidRPr="00374B15">
              <w:rPr>
                <w:rFonts w:ascii="Arial" w:hAnsi="Arial" w:cs="Arial"/>
                <w:bCs/>
                <w:sz w:val="18"/>
                <w:szCs w:val="18"/>
              </w:rPr>
              <w:t xml:space="preserve"> (perforación exploratoria, desarrollo de pozos de producción / reinyección, construcción de la planta, etc.)</w:t>
            </w:r>
            <w:r>
              <w:rPr>
                <w:rFonts w:ascii="Arial" w:hAnsi="Arial" w:cs="Arial"/>
                <w:bCs/>
                <w:sz w:val="18"/>
                <w:szCs w:val="18"/>
              </w:rPr>
              <w:t xml:space="preserve"> </w:t>
            </w:r>
          </w:p>
        </w:tc>
        <w:tc>
          <w:tcPr>
            <w:tcW w:w="3780" w:type="dxa"/>
          </w:tcPr>
          <w:p w14:paraId="20433946" w14:textId="77777777" w:rsidR="00BA0225" w:rsidRPr="00F00E15" w:rsidRDefault="00BA0225" w:rsidP="00BA0225">
            <w:pPr>
              <w:pStyle w:val="Paragraph"/>
              <w:tabs>
                <w:tab w:val="left" w:pos="270"/>
              </w:tabs>
              <w:ind w:left="270"/>
              <w:rPr>
                <w:rFonts w:ascii="Arial" w:hAnsi="Arial" w:cs="Arial"/>
                <w:bCs/>
                <w:sz w:val="18"/>
                <w:szCs w:val="18"/>
                <w:u w:val="single"/>
              </w:rPr>
            </w:pPr>
            <w:r w:rsidRPr="00F00E15">
              <w:rPr>
                <w:rFonts w:ascii="Arial" w:hAnsi="Arial" w:cs="Arial"/>
                <w:bCs/>
                <w:sz w:val="18"/>
                <w:szCs w:val="18"/>
                <w:u w:val="single"/>
              </w:rPr>
              <w:t>Escenario 1: EIAS/AAS preparado</w:t>
            </w:r>
          </w:p>
          <w:p w14:paraId="4DF8FDBB" w14:textId="77777777" w:rsidR="00BA0225" w:rsidRPr="00F00E15" w:rsidRDefault="00BA0225" w:rsidP="00BA0225">
            <w:pPr>
              <w:pStyle w:val="Paragraph"/>
              <w:numPr>
                <w:ilvl w:val="0"/>
                <w:numId w:val="67"/>
              </w:numPr>
              <w:tabs>
                <w:tab w:val="left" w:pos="270"/>
              </w:tabs>
              <w:ind w:left="270" w:hanging="270"/>
              <w:rPr>
                <w:rFonts w:ascii="Arial" w:hAnsi="Arial" w:cs="Arial"/>
                <w:bCs/>
                <w:sz w:val="18"/>
                <w:szCs w:val="18"/>
              </w:rPr>
            </w:pPr>
            <w:r w:rsidRPr="00F00E15">
              <w:rPr>
                <w:rFonts w:ascii="Arial" w:hAnsi="Arial" w:cs="Arial"/>
                <w:bCs/>
                <w:sz w:val="18"/>
                <w:szCs w:val="18"/>
              </w:rPr>
              <w:t>Cuando el EIAS/AAS está disponible, NAFIN realiza un análisis de la idoneidad de la documentación, identifica las brechas con respecto a las Políticas Salvaguardias del BID, las Normas de Desempeño de la CFI, y las Directrices Ambientales, de Salud, y de Seguridad de la CFI para la Geotermia, y propone un plan al BID para el análisis / participación adicional de consultores / etc. para que se resuelvan las brechas, y envían un borrador de los Términos de Referencia si corresponde.</w:t>
            </w:r>
          </w:p>
          <w:p w14:paraId="642ADDD3" w14:textId="77777777" w:rsidR="00BA0225" w:rsidRPr="00F00E15" w:rsidRDefault="00BA0225" w:rsidP="00BA0225">
            <w:pPr>
              <w:pStyle w:val="Paragraph"/>
              <w:numPr>
                <w:ilvl w:val="0"/>
                <w:numId w:val="67"/>
              </w:numPr>
              <w:tabs>
                <w:tab w:val="left" w:pos="270"/>
              </w:tabs>
              <w:ind w:left="270" w:hanging="270"/>
              <w:rPr>
                <w:rFonts w:ascii="Arial" w:hAnsi="Arial" w:cs="Arial"/>
                <w:bCs/>
                <w:sz w:val="18"/>
                <w:szCs w:val="18"/>
              </w:rPr>
            </w:pPr>
            <w:r w:rsidRPr="00F00E15">
              <w:rPr>
                <w:rFonts w:ascii="Arial" w:hAnsi="Arial" w:cs="Arial"/>
                <w:bCs/>
                <w:sz w:val="18"/>
                <w:szCs w:val="18"/>
              </w:rPr>
              <w:t>NAFIN inicia la coordinación con el BID para la debida diligencia del proyecto durante su preparación.</w:t>
            </w:r>
          </w:p>
          <w:p w14:paraId="5B8CE142" w14:textId="77777777" w:rsidR="00BA0225" w:rsidRPr="00F00E15" w:rsidRDefault="00BA0225" w:rsidP="00BA0225">
            <w:pPr>
              <w:pStyle w:val="Paragraph"/>
              <w:tabs>
                <w:tab w:val="left" w:pos="270"/>
              </w:tabs>
              <w:ind w:left="270"/>
              <w:rPr>
                <w:rFonts w:ascii="Arial" w:hAnsi="Arial" w:cs="Arial"/>
                <w:bCs/>
                <w:sz w:val="18"/>
                <w:szCs w:val="18"/>
                <w:u w:val="single"/>
              </w:rPr>
            </w:pPr>
            <w:r w:rsidRPr="00F00E15">
              <w:rPr>
                <w:rFonts w:ascii="Arial" w:hAnsi="Arial" w:cs="Arial"/>
                <w:bCs/>
                <w:sz w:val="18"/>
                <w:szCs w:val="18"/>
                <w:u w:val="single"/>
              </w:rPr>
              <w:t>Escenario 2: EIAS/AAS no preparado</w:t>
            </w:r>
          </w:p>
          <w:p w14:paraId="46AA999C" w14:textId="77777777" w:rsidR="00BA0225" w:rsidRPr="00F00E15" w:rsidRDefault="00BA0225" w:rsidP="00BA0225">
            <w:pPr>
              <w:pStyle w:val="Paragraph"/>
              <w:numPr>
                <w:ilvl w:val="0"/>
                <w:numId w:val="67"/>
              </w:numPr>
              <w:tabs>
                <w:tab w:val="left" w:pos="270"/>
              </w:tabs>
              <w:ind w:left="270" w:hanging="270"/>
              <w:rPr>
                <w:rFonts w:ascii="Arial" w:hAnsi="Arial" w:cs="Arial"/>
                <w:bCs/>
                <w:sz w:val="18"/>
                <w:szCs w:val="18"/>
              </w:rPr>
            </w:pPr>
            <w:r w:rsidRPr="00F00E15">
              <w:rPr>
                <w:rFonts w:ascii="Arial" w:hAnsi="Arial" w:cs="Arial"/>
                <w:bCs/>
                <w:sz w:val="18"/>
                <w:szCs w:val="18"/>
              </w:rPr>
              <w:lastRenderedPageBreak/>
              <w:t>NAFIN prepara TdR de acuerdo con la categoría (A/B) y requerimientos de análisis: EIAS/AAS y lo envía al BID para su revisión / comentario / aprobación.</w:t>
            </w:r>
          </w:p>
          <w:p w14:paraId="19D3E073" w14:textId="77777777" w:rsidR="00BA0225" w:rsidRPr="00F00E15" w:rsidRDefault="00BA0225" w:rsidP="00BA0225">
            <w:pPr>
              <w:pStyle w:val="Paragraph"/>
              <w:numPr>
                <w:ilvl w:val="0"/>
                <w:numId w:val="67"/>
              </w:numPr>
              <w:tabs>
                <w:tab w:val="left" w:pos="270"/>
              </w:tabs>
              <w:ind w:left="270" w:hanging="270"/>
              <w:rPr>
                <w:rFonts w:ascii="Arial" w:hAnsi="Arial" w:cs="Arial"/>
                <w:bCs/>
                <w:sz w:val="18"/>
                <w:szCs w:val="18"/>
              </w:rPr>
            </w:pPr>
            <w:r w:rsidRPr="00F00E15">
              <w:rPr>
                <w:rFonts w:ascii="Arial" w:hAnsi="Arial" w:cs="Arial"/>
                <w:bCs/>
                <w:sz w:val="18"/>
                <w:szCs w:val="18"/>
              </w:rPr>
              <w:t>La etapa de evaluación ambiental y social del proyecto está en espera hasta que se prepare el EIAS/AAS, que se consulte y se ponga a disposición del público.</w:t>
            </w:r>
          </w:p>
        </w:tc>
        <w:tc>
          <w:tcPr>
            <w:tcW w:w="3244" w:type="dxa"/>
          </w:tcPr>
          <w:p w14:paraId="70564908" w14:textId="77777777" w:rsidR="00BA0225" w:rsidRPr="00815946" w:rsidRDefault="00BA0225" w:rsidP="00BA0225">
            <w:pPr>
              <w:pStyle w:val="Paragraph"/>
              <w:tabs>
                <w:tab w:val="left" w:pos="270"/>
              </w:tabs>
              <w:ind w:left="270"/>
              <w:rPr>
                <w:rFonts w:ascii="Arial" w:hAnsi="Arial" w:cs="Arial"/>
                <w:bCs/>
                <w:sz w:val="18"/>
                <w:szCs w:val="18"/>
                <w:u w:val="single"/>
              </w:rPr>
            </w:pPr>
            <w:r w:rsidRPr="00815946">
              <w:rPr>
                <w:rFonts w:ascii="Arial" w:hAnsi="Arial" w:cs="Arial"/>
                <w:bCs/>
                <w:sz w:val="18"/>
                <w:szCs w:val="18"/>
                <w:u w:val="single"/>
              </w:rPr>
              <w:lastRenderedPageBreak/>
              <w:t>Escenario 1: EIAS</w:t>
            </w:r>
            <w:r>
              <w:rPr>
                <w:rFonts w:ascii="Arial" w:hAnsi="Arial" w:cs="Arial"/>
                <w:bCs/>
                <w:sz w:val="18"/>
                <w:szCs w:val="18"/>
                <w:u w:val="single"/>
              </w:rPr>
              <w:t>/AAS</w:t>
            </w:r>
            <w:r w:rsidRPr="00815946">
              <w:rPr>
                <w:rFonts w:ascii="Arial" w:hAnsi="Arial" w:cs="Arial"/>
                <w:bCs/>
                <w:sz w:val="18"/>
                <w:szCs w:val="18"/>
                <w:u w:val="single"/>
              </w:rPr>
              <w:t xml:space="preserve"> preparad</w:t>
            </w:r>
            <w:r>
              <w:rPr>
                <w:rFonts w:ascii="Arial" w:hAnsi="Arial" w:cs="Arial"/>
                <w:bCs/>
                <w:sz w:val="18"/>
                <w:szCs w:val="18"/>
                <w:u w:val="single"/>
              </w:rPr>
              <w:t>o</w:t>
            </w:r>
          </w:p>
          <w:p w14:paraId="393CAD05" w14:textId="77777777" w:rsidR="00BA0225" w:rsidRPr="00815946" w:rsidRDefault="00BA0225" w:rsidP="00BA0225">
            <w:pPr>
              <w:pStyle w:val="Paragraph"/>
              <w:numPr>
                <w:ilvl w:val="0"/>
                <w:numId w:val="67"/>
              </w:numPr>
              <w:tabs>
                <w:tab w:val="left" w:pos="270"/>
              </w:tabs>
              <w:ind w:left="270" w:hanging="270"/>
              <w:rPr>
                <w:rFonts w:ascii="Arial" w:hAnsi="Arial" w:cs="Arial"/>
                <w:bCs/>
                <w:sz w:val="18"/>
                <w:szCs w:val="18"/>
              </w:rPr>
            </w:pPr>
            <w:r w:rsidRPr="00815946">
              <w:rPr>
                <w:rFonts w:ascii="Arial" w:hAnsi="Arial" w:cs="Arial"/>
                <w:bCs/>
                <w:sz w:val="18"/>
                <w:szCs w:val="18"/>
              </w:rPr>
              <w:t xml:space="preserve">El BID revisa </w:t>
            </w:r>
            <w:r>
              <w:rPr>
                <w:rFonts w:ascii="Arial" w:hAnsi="Arial" w:cs="Arial"/>
                <w:bCs/>
                <w:sz w:val="18"/>
                <w:szCs w:val="18"/>
              </w:rPr>
              <w:t>el</w:t>
            </w:r>
            <w:r w:rsidRPr="00815946">
              <w:rPr>
                <w:rFonts w:ascii="Arial" w:hAnsi="Arial" w:cs="Arial"/>
                <w:bCs/>
                <w:sz w:val="18"/>
                <w:szCs w:val="18"/>
              </w:rPr>
              <w:t xml:space="preserve"> EIAS</w:t>
            </w:r>
            <w:r>
              <w:rPr>
                <w:rFonts w:ascii="Arial" w:hAnsi="Arial" w:cs="Arial"/>
                <w:bCs/>
                <w:sz w:val="18"/>
                <w:szCs w:val="18"/>
              </w:rPr>
              <w:t>/AAS</w:t>
            </w:r>
            <w:r w:rsidRPr="00815946">
              <w:rPr>
                <w:rFonts w:ascii="Arial" w:hAnsi="Arial" w:cs="Arial"/>
                <w:bCs/>
                <w:sz w:val="18"/>
                <w:szCs w:val="18"/>
              </w:rPr>
              <w:t>, las brechas identificadas y los T</w:t>
            </w:r>
            <w:r>
              <w:rPr>
                <w:rFonts w:ascii="Arial" w:hAnsi="Arial" w:cs="Arial"/>
                <w:bCs/>
                <w:sz w:val="18"/>
                <w:szCs w:val="18"/>
              </w:rPr>
              <w:t>d</w:t>
            </w:r>
            <w:r w:rsidRPr="00815946">
              <w:rPr>
                <w:rFonts w:ascii="Arial" w:hAnsi="Arial" w:cs="Arial"/>
                <w:bCs/>
                <w:sz w:val="18"/>
                <w:szCs w:val="18"/>
              </w:rPr>
              <w:t xml:space="preserve">R preparados. Coordina los comentarios con una preparación más amplia del BID de </w:t>
            </w:r>
            <w:r>
              <w:rPr>
                <w:rFonts w:ascii="Arial" w:hAnsi="Arial" w:cs="Arial"/>
                <w:bCs/>
                <w:sz w:val="18"/>
                <w:szCs w:val="18"/>
              </w:rPr>
              <w:t xml:space="preserve">los </w:t>
            </w:r>
            <w:r w:rsidRPr="00815946">
              <w:rPr>
                <w:rFonts w:ascii="Arial" w:hAnsi="Arial" w:cs="Arial"/>
                <w:bCs/>
                <w:sz w:val="18"/>
                <w:szCs w:val="18"/>
              </w:rPr>
              <w:t>T</w:t>
            </w:r>
            <w:r>
              <w:rPr>
                <w:rFonts w:ascii="Arial" w:hAnsi="Arial" w:cs="Arial"/>
                <w:bCs/>
                <w:sz w:val="18"/>
                <w:szCs w:val="18"/>
              </w:rPr>
              <w:t>d</w:t>
            </w:r>
            <w:r w:rsidRPr="00815946">
              <w:rPr>
                <w:rFonts w:ascii="Arial" w:hAnsi="Arial" w:cs="Arial"/>
                <w:bCs/>
                <w:sz w:val="18"/>
                <w:szCs w:val="18"/>
              </w:rPr>
              <w:t>R.</w:t>
            </w:r>
          </w:p>
          <w:p w14:paraId="67C66F0F" w14:textId="77777777" w:rsidR="00BA0225" w:rsidRPr="00815946" w:rsidRDefault="00BA0225" w:rsidP="00BA0225">
            <w:pPr>
              <w:pStyle w:val="Paragraph"/>
              <w:numPr>
                <w:ilvl w:val="0"/>
                <w:numId w:val="67"/>
              </w:numPr>
              <w:tabs>
                <w:tab w:val="left" w:pos="270"/>
              </w:tabs>
              <w:ind w:left="270" w:hanging="270"/>
              <w:rPr>
                <w:rFonts w:ascii="Arial" w:hAnsi="Arial" w:cs="Arial"/>
                <w:bCs/>
                <w:sz w:val="18"/>
                <w:szCs w:val="18"/>
              </w:rPr>
            </w:pPr>
            <w:r w:rsidRPr="00815946">
              <w:rPr>
                <w:rFonts w:ascii="Arial" w:hAnsi="Arial" w:cs="Arial"/>
                <w:bCs/>
                <w:sz w:val="18"/>
                <w:szCs w:val="18"/>
              </w:rPr>
              <w:t xml:space="preserve">El BID se coordina con </w:t>
            </w:r>
            <w:r>
              <w:rPr>
                <w:rFonts w:ascii="Arial" w:hAnsi="Arial" w:cs="Arial"/>
                <w:bCs/>
                <w:sz w:val="18"/>
                <w:szCs w:val="18"/>
              </w:rPr>
              <w:t xml:space="preserve">NAFIN </w:t>
            </w:r>
            <w:r w:rsidRPr="00815946">
              <w:rPr>
                <w:rFonts w:ascii="Arial" w:hAnsi="Arial" w:cs="Arial"/>
                <w:bCs/>
                <w:sz w:val="18"/>
                <w:szCs w:val="18"/>
              </w:rPr>
              <w:t>sobre la debida diligencia del proyecto.</w:t>
            </w:r>
          </w:p>
          <w:p w14:paraId="429F6EE9" w14:textId="77777777" w:rsidR="00BA0225" w:rsidRPr="00815946" w:rsidRDefault="00BA0225" w:rsidP="00BA0225">
            <w:pPr>
              <w:pStyle w:val="Paragraph"/>
              <w:tabs>
                <w:tab w:val="left" w:pos="270"/>
              </w:tabs>
              <w:ind w:left="270"/>
              <w:rPr>
                <w:rFonts w:ascii="Arial" w:hAnsi="Arial" w:cs="Arial"/>
                <w:bCs/>
                <w:sz w:val="18"/>
                <w:szCs w:val="18"/>
                <w:u w:val="single"/>
              </w:rPr>
            </w:pPr>
            <w:r w:rsidRPr="00815946">
              <w:rPr>
                <w:rFonts w:ascii="Arial" w:hAnsi="Arial" w:cs="Arial"/>
                <w:bCs/>
                <w:sz w:val="18"/>
                <w:szCs w:val="18"/>
                <w:u w:val="single"/>
              </w:rPr>
              <w:t>Escenario 2: E</w:t>
            </w:r>
            <w:r>
              <w:rPr>
                <w:rFonts w:ascii="Arial" w:hAnsi="Arial" w:cs="Arial"/>
                <w:bCs/>
                <w:sz w:val="18"/>
                <w:szCs w:val="18"/>
                <w:u w:val="single"/>
              </w:rPr>
              <w:t>IAS/AAS</w:t>
            </w:r>
            <w:r w:rsidRPr="00815946">
              <w:rPr>
                <w:rFonts w:ascii="Arial" w:hAnsi="Arial" w:cs="Arial"/>
                <w:bCs/>
                <w:sz w:val="18"/>
                <w:szCs w:val="18"/>
                <w:u w:val="single"/>
              </w:rPr>
              <w:t xml:space="preserve"> no preparad</w:t>
            </w:r>
            <w:r>
              <w:rPr>
                <w:rFonts w:ascii="Arial" w:hAnsi="Arial" w:cs="Arial"/>
                <w:bCs/>
                <w:sz w:val="18"/>
                <w:szCs w:val="18"/>
                <w:u w:val="single"/>
              </w:rPr>
              <w:t>o</w:t>
            </w:r>
          </w:p>
          <w:p w14:paraId="796EC006" w14:textId="77777777" w:rsidR="00BA0225" w:rsidRPr="00582400" w:rsidRDefault="00BA0225" w:rsidP="00BA0225">
            <w:pPr>
              <w:pStyle w:val="Paragraph"/>
              <w:numPr>
                <w:ilvl w:val="0"/>
                <w:numId w:val="67"/>
              </w:numPr>
              <w:tabs>
                <w:tab w:val="left" w:pos="270"/>
              </w:tabs>
              <w:ind w:left="270" w:hanging="270"/>
              <w:rPr>
                <w:rFonts w:ascii="Arial" w:hAnsi="Arial" w:cs="Arial"/>
                <w:bCs/>
                <w:sz w:val="18"/>
                <w:szCs w:val="18"/>
              </w:rPr>
            </w:pPr>
            <w:r w:rsidRPr="00582400">
              <w:rPr>
                <w:rFonts w:ascii="Arial" w:hAnsi="Arial" w:cs="Arial"/>
                <w:bCs/>
                <w:sz w:val="18"/>
                <w:szCs w:val="18"/>
              </w:rPr>
              <w:t>El BID revisa los T</w:t>
            </w:r>
            <w:r>
              <w:rPr>
                <w:rFonts w:ascii="Arial" w:hAnsi="Arial" w:cs="Arial"/>
                <w:bCs/>
                <w:sz w:val="18"/>
                <w:szCs w:val="18"/>
              </w:rPr>
              <w:t>d</w:t>
            </w:r>
            <w:r w:rsidRPr="00582400">
              <w:rPr>
                <w:rFonts w:ascii="Arial" w:hAnsi="Arial" w:cs="Arial"/>
                <w:bCs/>
                <w:sz w:val="18"/>
                <w:szCs w:val="18"/>
              </w:rPr>
              <w:t>R preparados y brinda comentarios, coordinando con la preparación más amplia de los TdR del BID.</w:t>
            </w:r>
          </w:p>
        </w:tc>
      </w:tr>
      <w:tr w:rsidR="00BA0225" w:rsidRPr="005B0014" w14:paraId="78893626" w14:textId="77777777" w:rsidTr="008C38DE">
        <w:tc>
          <w:tcPr>
            <w:tcW w:w="2813" w:type="dxa"/>
          </w:tcPr>
          <w:p w14:paraId="5C512024" w14:textId="77777777" w:rsidR="00BA0225" w:rsidRPr="00C45005" w:rsidRDefault="00BA0225" w:rsidP="00895676">
            <w:pPr>
              <w:pStyle w:val="Paragraph"/>
              <w:numPr>
                <w:ilvl w:val="0"/>
                <w:numId w:val="0"/>
              </w:numPr>
              <w:tabs>
                <w:tab w:val="left" w:pos="270"/>
              </w:tabs>
              <w:ind w:left="270"/>
              <w:rPr>
                <w:rFonts w:ascii="Arial" w:hAnsi="Arial" w:cs="Arial"/>
                <w:bCs/>
                <w:sz w:val="18"/>
                <w:szCs w:val="18"/>
              </w:rPr>
            </w:pPr>
            <w:r w:rsidRPr="00C45005">
              <w:rPr>
                <w:rFonts w:ascii="Arial" w:hAnsi="Arial" w:cs="Arial"/>
                <w:bCs/>
                <w:sz w:val="18"/>
                <w:szCs w:val="18"/>
              </w:rPr>
              <w:t xml:space="preserve">3. </w:t>
            </w:r>
            <w:r>
              <w:rPr>
                <w:rFonts w:ascii="Arial" w:hAnsi="Arial" w:cs="Arial"/>
                <w:bCs/>
                <w:sz w:val="18"/>
                <w:szCs w:val="18"/>
              </w:rPr>
              <w:t>Debida Diligencia</w:t>
            </w:r>
          </w:p>
        </w:tc>
        <w:tc>
          <w:tcPr>
            <w:tcW w:w="3780" w:type="dxa"/>
          </w:tcPr>
          <w:p w14:paraId="2F4AEF07" w14:textId="77777777" w:rsidR="00BA0225" w:rsidRPr="001D0449" w:rsidRDefault="00BA0225" w:rsidP="00BA0225">
            <w:pPr>
              <w:pStyle w:val="Paragraph"/>
              <w:numPr>
                <w:ilvl w:val="0"/>
                <w:numId w:val="67"/>
              </w:numPr>
              <w:tabs>
                <w:tab w:val="left" w:pos="270"/>
              </w:tabs>
              <w:ind w:left="270" w:hanging="270"/>
              <w:rPr>
                <w:rFonts w:ascii="Arial" w:hAnsi="Arial" w:cs="Arial"/>
                <w:bCs/>
                <w:sz w:val="18"/>
                <w:szCs w:val="18"/>
              </w:rPr>
            </w:pPr>
            <w:r>
              <w:rPr>
                <w:rFonts w:ascii="Arial" w:hAnsi="Arial" w:cs="Arial"/>
                <w:bCs/>
                <w:sz w:val="18"/>
                <w:szCs w:val="18"/>
              </w:rPr>
              <w:t>NAFIN</w:t>
            </w:r>
            <w:r w:rsidRPr="001D0449">
              <w:rPr>
                <w:rFonts w:ascii="Arial" w:hAnsi="Arial" w:cs="Arial"/>
                <w:bCs/>
                <w:sz w:val="18"/>
                <w:szCs w:val="18"/>
              </w:rPr>
              <w:t xml:space="preserve"> y el BID llevan a cabo un</w:t>
            </w:r>
            <w:r>
              <w:rPr>
                <w:rFonts w:ascii="Arial" w:hAnsi="Arial" w:cs="Arial"/>
                <w:bCs/>
                <w:sz w:val="18"/>
                <w:szCs w:val="18"/>
              </w:rPr>
              <w:t xml:space="preserve"> </w:t>
            </w:r>
            <w:r w:rsidRPr="001D0449">
              <w:rPr>
                <w:rFonts w:ascii="Arial" w:hAnsi="Arial" w:cs="Arial"/>
                <w:bCs/>
                <w:sz w:val="18"/>
                <w:szCs w:val="18"/>
              </w:rPr>
              <w:t>a</w:t>
            </w:r>
            <w:r>
              <w:rPr>
                <w:rFonts w:ascii="Arial" w:hAnsi="Arial" w:cs="Arial"/>
                <w:bCs/>
                <w:sz w:val="18"/>
                <w:szCs w:val="18"/>
              </w:rPr>
              <w:t>nálisis formal de</w:t>
            </w:r>
            <w:r w:rsidRPr="001D0449">
              <w:rPr>
                <w:rFonts w:ascii="Arial" w:hAnsi="Arial" w:cs="Arial"/>
                <w:bCs/>
                <w:sz w:val="18"/>
                <w:szCs w:val="18"/>
              </w:rPr>
              <w:t xml:space="preserve"> debida diligencia de </w:t>
            </w:r>
            <w:r>
              <w:rPr>
                <w:rFonts w:ascii="Arial" w:hAnsi="Arial" w:cs="Arial"/>
                <w:bCs/>
                <w:sz w:val="18"/>
                <w:szCs w:val="18"/>
              </w:rPr>
              <w:t xml:space="preserve">los impactos, </w:t>
            </w:r>
            <w:r w:rsidRPr="001D0449">
              <w:rPr>
                <w:rFonts w:ascii="Arial" w:hAnsi="Arial" w:cs="Arial"/>
                <w:bCs/>
                <w:sz w:val="18"/>
                <w:szCs w:val="18"/>
              </w:rPr>
              <w:t>los riesgos y las medidas de mitigación</w:t>
            </w:r>
            <w:r>
              <w:rPr>
                <w:rFonts w:ascii="Arial" w:hAnsi="Arial" w:cs="Arial"/>
                <w:bCs/>
                <w:sz w:val="18"/>
                <w:szCs w:val="18"/>
              </w:rPr>
              <w:t xml:space="preserve"> correspondientes</w:t>
            </w:r>
            <w:r w:rsidRPr="001D0449">
              <w:rPr>
                <w:rFonts w:ascii="Arial" w:hAnsi="Arial" w:cs="Arial"/>
                <w:bCs/>
                <w:sz w:val="18"/>
                <w:szCs w:val="18"/>
              </w:rPr>
              <w:t>.</w:t>
            </w:r>
          </w:p>
          <w:p w14:paraId="68C0B33C" w14:textId="77777777" w:rsidR="00BA0225" w:rsidRPr="001D0449" w:rsidRDefault="00BA0225" w:rsidP="00BA0225">
            <w:pPr>
              <w:pStyle w:val="Paragraph"/>
              <w:numPr>
                <w:ilvl w:val="0"/>
                <w:numId w:val="67"/>
              </w:numPr>
              <w:tabs>
                <w:tab w:val="left" w:pos="270"/>
              </w:tabs>
              <w:ind w:left="270" w:hanging="270"/>
              <w:rPr>
                <w:rFonts w:ascii="Arial" w:hAnsi="Arial" w:cs="Arial"/>
                <w:bCs/>
                <w:sz w:val="18"/>
                <w:szCs w:val="18"/>
              </w:rPr>
            </w:pPr>
            <w:r>
              <w:rPr>
                <w:rFonts w:ascii="Arial" w:hAnsi="Arial" w:cs="Arial"/>
                <w:bCs/>
                <w:sz w:val="18"/>
                <w:szCs w:val="18"/>
              </w:rPr>
              <w:t xml:space="preserve">NAFIN </w:t>
            </w:r>
            <w:r w:rsidRPr="001D0449">
              <w:rPr>
                <w:rFonts w:ascii="Arial" w:hAnsi="Arial" w:cs="Arial"/>
                <w:bCs/>
                <w:sz w:val="18"/>
                <w:szCs w:val="18"/>
              </w:rPr>
              <w:t>se relaciona con los consultores para finalizar</w:t>
            </w:r>
            <w:r>
              <w:rPr>
                <w:rFonts w:ascii="Arial" w:hAnsi="Arial" w:cs="Arial"/>
                <w:bCs/>
                <w:sz w:val="18"/>
                <w:szCs w:val="18"/>
              </w:rPr>
              <w:t xml:space="preserve"> la documentación de Evaluación Ambiental y Social, incluyendo el EIAS/AAS</w:t>
            </w:r>
            <w:r w:rsidRPr="001D0449">
              <w:rPr>
                <w:rFonts w:ascii="Arial" w:hAnsi="Arial" w:cs="Arial"/>
                <w:bCs/>
                <w:sz w:val="18"/>
                <w:szCs w:val="18"/>
              </w:rPr>
              <w:t xml:space="preserve">, los Planes de Gestión Ambiental y Social y cualquier Plan de Acción necesario. </w:t>
            </w:r>
            <w:r>
              <w:rPr>
                <w:rFonts w:ascii="Arial" w:hAnsi="Arial" w:cs="Arial"/>
                <w:bCs/>
                <w:sz w:val="18"/>
                <w:szCs w:val="18"/>
              </w:rPr>
              <w:t xml:space="preserve">NAFIN </w:t>
            </w:r>
            <w:r w:rsidRPr="001D0449">
              <w:rPr>
                <w:rFonts w:ascii="Arial" w:hAnsi="Arial" w:cs="Arial"/>
                <w:bCs/>
                <w:sz w:val="18"/>
                <w:szCs w:val="18"/>
              </w:rPr>
              <w:t>envía la documentación final, incluida la categorización ambiental final al BID para su revisión y aprobación.</w:t>
            </w:r>
          </w:p>
          <w:p w14:paraId="43A900E1" w14:textId="77777777" w:rsidR="00BA0225" w:rsidRPr="001D0449" w:rsidRDefault="00BA0225" w:rsidP="00BA0225">
            <w:pPr>
              <w:pStyle w:val="Paragraph"/>
              <w:numPr>
                <w:ilvl w:val="0"/>
                <w:numId w:val="67"/>
              </w:numPr>
              <w:tabs>
                <w:tab w:val="left" w:pos="270"/>
              </w:tabs>
              <w:ind w:left="270" w:hanging="270"/>
              <w:rPr>
                <w:rFonts w:ascii="Arial" w:hAnsi="Arial" w:cs="Arial"/>
                <w:bCs/>
                <w:sz w:val="18"/>
                <w:szCs w:val="18"/>
              </w:rPr>
            </w:pPr>
            <w:r w:rsidRPr="001D0449">
              <w:rPr>
                <w:rFonts w:ascii="Arial" w:hAnsi="Arial" w:cs="Arial"/>
                <w:bCs/>
                <w:sz w:val="18"/>
                <w:szCs w:val="18"/>
              </w:rPr>
              <w:t xml:space="preserve">En la revisión y respuesta de la documentación del BID, </w:t>
            </w:r>
            <w:r>
              <w:rPr>
                <w:rFonts w:ascii="Arial" w:hAnsi="Arial" w:cs="Arial"/>
                <w:bCs/>
                <w:sz w:val="18"/>
                <w:szCs w:val="18"/>
              </w:rPr>
              <w:t xml:space="preserve">NAFIN </w:t>
            </w:r>
            <w:r w:rsidRPr="001D0449">
              <w:rPr>
                <w:rFonts w:ascii="Arial" w:hAnsi="Arial" w:cs="Arial"/>
                <w:bCs/>
                <w:sz w:val="18"/>
                <w:szCs w:val="18"/>
              </w:rPr>
              <w:t>inicia negociaciones con el proponente para su inclusión en</w:t>
            </w:r>
            <w:r>
              <w:rPr>
                <w:rFonts w:ascii="Arial" w:hAnsi="Arial" w:cs="Arial"/>
                <w:bCs/>
                <w:sz w:val="18"/>
                <w:szCs w:val="18"/>
              </w:rPr>
              <w:t xml:space="preserve"> el Documento de </w:t>
            </w:r>
            <w:r w:rsidRPr="001D0449">
              <w:rPr>
                <w:rFonts w:ascii="Arial" w:hAnsi="Arial" w:cs="Arial"/>
                <w:bCs/>
                <w:sz w:val="18"/>
                <w:szCs w:val="18"/>
              </w:rPr>
              <w:t>Préstamo.</w:t>
            </w:r>
          </w:p>
          <w:p w14:paraId="459389C9" w14:textId="77777777" w:rsidR="00BA0225" w:rsidRPr="00C45005" w:rsidRDefault="00BA0225" w:rsidP="00BA0225">
            <w:pPr>
              <w:pStyle w:val="Paragraph"/>
              <w:numPr>
                <w:ilvl w:val="0"/>
                <w:numId w:val="67"/>
              </w:numPr>
              <w:tabs>
                <w:tab w:val="left" w:pos="270"/>
              </w:tabs>
              <w:ind w:left="270" w:hanging="270"/>
              <w:rPr>
                <w:rFonts w:ascii="Arial" w:hAnsi="Arial" w:cs="Arial"/>
                <w:bCs/>
                <w:sz w:val="18"/>
                <w:szCs w:val="18"/>
              </w:rPr>
            </w:pPr>
            <w:r>
              <w:rPr>
                <w:rFonts w:ascii="Arial" w:hAnsi="Arial" w:cs="Arial"/>
                <w:bCs/>
                <w:sz w:val="18"/>
                <w:szCs w:val="18"/>
              </w:rPr>
              <w:t>NAFIN</w:t>
            </w:r>
            <w:r w:rsidRPr="001D0449">
              <w:rPr>
                <w:rFonts w:ascii="Arial" w:hAnsi="Arial" w:cs="Arial"/>
                <w:bCs/>
                <w:sz w:val="18"/>
                <w:szCs w:val="18"/>
              </w:rPr>
              <w:t xml:space="preserve"> garantiza que </w:t>
            </w:r>
            <w:r>
              <w:rPr>
                <w:rFonts w:ascii="Arial" w:hAnsi="Arial" w:cs="Arial"/>
                <w:bCs/>
                <w:sz w:val="18"/>
                <w:szCs w:val="18"/>
              </w:rPr>
              <w:t>la documentación de Evaluación Ambiental y Social</w:t>
            </w:r>
            <w:r w:rsidRPr="001D0449">
              <w:rPr>
                <w:rFonts w:ascii="Arial" w:hAnsi="Arial" w:cs="Arial"/>
                <w:bCs/>
                <w:sz w:val="18"/>
                <w:szCs w:val="18"/>
              </w:rPr>
              <w:t xml:space="preserve"> se divulgue públicamente y esté disponible en el país como mínimo 30 días antes de que el proyecto se considere para su aprobación por </w:t>
            </w:r>
            <w:r>
              <w:rPr>
                <w:rFonts w:ascii="Arial" w:hAnsi="Arial" w:cs="Arial"/>
                <w:bCs/>
                <w:sz w:val="18"/>
                <w:szCs w:val="18"/>
              </w:rPr>
              <w:t xml:space="preserve">el Directorio </w:t>
            </w:r>
            <w:r w:rsidRPr="001D0449">
              <w:rPr>
                <w:rFonts w:ascii="Arial" w:hAnsi="Arial" w:cs="Arial"/>
                <w:bCs/>
                <w:sz w:val="18"/>
                <w:szCs w:val="18"/>
              </w:rPr>
              <w:t>d</w:t>
            </w:r>
            <w:r>
              <w:rPr>
                <w:rFonts w:ascii="Arial" w:hAnsi="Arial" w:cs="Arial"/>
                <w:bCs/>
                <w:sz w:val="18"/>
                <w:szCs w:val="18"/>
              </w:rPr>
              <w:t>e</w:t>
            </w:r>
            <w:r w:rsidRPr="001D0449">
              <w:rPr>
                <w:rFonts w:ascii="Arial" w:hAnsi="Arial" w:cs="Arial"/>
                <w:bCs/>
                <w:sz w:val="18"/>
                <w:szCs w:val="18"/>
              </w:rPr>
              <w:t xml:space="preserve"> </w:t>
            </w:r>
            <w:r>
              <w:rPr>
                <w:rFonts w:ascii="Arial" w:hAnsi="Arial" w:cs="Arial"/>
                <w:bCs/>
                <w:sz w:val="18"/>
                <w:szCs w:val="18"/>
              </w:rPr>
              <w:t>NAFIN</w:t>
            </w:r>
            <w:r w:rsidRPr="001D0449">
              <w:rPr>
                <w:rFonts w:ascii="Arial" w:hAnsi="Arial" w:cs="Arial"/>
                <w:bCs/>
                <w:sz w:val="18"/>
                <w:szCs w:val="18"/>
              </w:rPr>
              <w:t>.</w:t>
            </w:r>
          </w:p>
        </w:tc>
        <w:tc>
          <w:tcPr>
            <w:tcW w:w="3244" w:type="dxa"/>
          </w:tcPr>
          <w:p w14:paraId="4819B9E3" w14:textId="77777777" w:rsidR="00BA0225" w:rsidRPr="005B0014" w:rsidRDefault="00BA0225" w:rsidP="00BA0225">
            <w:pPr>
              <w:pStyle w:val="Paragraph"/>
              <w:numPr>
                <w:ilvl w:val="0"/>
                <w:numId w:val="67"/>
              </w:numPr>
              <w:tabs>
                <w:tab w:val="left" w:pos="270"/>
              </w:tabs>
              <w:ind w:left="270" w:hanging="270"/>
              <w:rPr>
                <w:rFonts w:ascii="Arial" w:hAnsi="Arial" w:cs="Arial"/>
                <w:bCs/>
                <w:sz w:val="18"/>
                <w:szCs w:val="18"/>
              </w:rPr>
            </w:pPr>
            <w:r w:rsidRPr="005B0014">
              <w:rPr>
                <w:rFonts w:ascii="Arial" w:hAnsi="Arial" w:cs="Arial"/>
                <w:bCs/>
                <w:sz w:val="18"/>
                <w:szCs w:val="18"/>
              </w:rPr>
              <w:t xml:space="preserve">El BID participa en </w:t>
            </w:r>
            <w:r>
              <w:rPr>
                <w:rFonts w:ascii="Arial" w:hAnsi="Arial" w:cs="Arial"/>
                <w:bCs/>
                <w:sz w:val="18"/>
                <w:szCs w:val="18"/>
              </w:rPr>
              <w:t>e</w:t>
            </w:r>
            <w:r w:rsidRPr="005B0014">
              <w:rPr>
                <w:rFonts w:ascii="Arial" w:hAnsi="Arial" w:cs="Arial"/>
                <w:bCs/>
                <w:sz w:val="18"/>
                <w:szCs w:val="18"/>
              </w:rPr>
              <w:t>l</w:t>
            </w:r>
            <w:r>
              <w:rPr>
                <w:rFonts w:ascii="Arial" w:hAnsi="Arial" w:cs="Arial"/>
                <w:bCs/>
                <w:sz w:val="18"/>
                <w:szCs w:val="18"/>
              </w:rPr>
              <w:t xml:space="preserve"> proceso formal de </w:t>
            </w:r>
            <w:r w:rsidRPr="005B0014">
              <w:rPr>
                <w:rFonts w:ascii="Arial" w:hAnsi="Arial" w:cs="Arial"/>
                <w:bCs/>
                <w:sz w:val="18"/>
                <w:szCs w:val="18"/>
              </w:rPr>
              <w:t xml:space="preserve">debida diligencia </w:t>
            </w:r>
            <w:r>
              <w:rPr>
                <w:rFonts w:ascii="Arial" w:hAnsi="Arial" w:cs="Arial"/>
                <w:bCs/>
                <w:sz w:val="18"/>
                <w:szCs w:val="18"/>
              </w:rPr>
              <w:t xml:space="preserve">de la documentación de Evaluación Ambiental y Social. </w:t>
            </w:r>
          </w:p>
          <w:p w14:paraId="1DFD1973" w14:textId="77777777" w:rsidR="00BA0225" w:rsidRPr="005B0014" w:rsidRDefault="00BA0225" w:rsidP="00BA0225">
            <w:pPr>
              <w:pStyle w:val="Paragraph"/>
              <w:numPr>
                <w:ilvl w:val="0"/>
                <w:numId w:val="67"/>
              </w:numPr>
              <w:tabs>
                <w:tab w:val="left" w:pos="270"/>
              </w:tabs>
              <w:ind w:left="270" w:hanging="270"/>
              <w:rPr>
                <w:rFonts w:ascii="Arial" w:hAnsi="Arial" w:cs="Arial"/>
                <w:bCs/>
                <w:sz w:val="18"/>
                <w:szCs w:val="18"/>
              </w:rPr>
            </w:pPr>
            <w:r w:rsidRPr="005B0014">
              <w:rPr>
                <w:rFonts w:ascii="Arial" w:hAnsi="Arial" w:cs="Arial"/>
                <w:bCs/>
                <w:sz w:val="18"/>
                <w:szCs w:val="18"/>
              </w:rPr>
              <w:t xml:space="preserve">El BID confirma la categorización, revisa </w:t>
            </w:r>
            <w:r>
              <w:rPr>
                <w:rFonts w:ascii="Arial" w:hAnsi="Arial" w:cs="Arial"/>
                <w:bCs/>
                <w:sz w:val="18"/>
                <w:szCs w:val="18"/>
              </w:rPr>
              <w:t>la documentación de Evaluación Ambiental y Social</w:t>
            </w:r>
            <w:r w:rsidRPr="005B0014">
              <w:rPr>
                <w:rFonts w:ascii="Arial" w:hAnsi="Arial" w:cs="Arial"/>
                <w:bCs/>
                <w:sz w:val="18"/>
                <w:szCs w:val="18"/>
              </w:rPr>
              <w:t xml:space="preserve"> y aprueba los planes de gestión y acción</w:t>
            </w:r>
            <w:r>
              <w:rPr>
                <w:rFonts w:ascii="Arial" w:hAnsi="Arial" w:cs="Arial"/>
                <w:bCs/>
                <w:sz w:val="18"/>
                <w:szCs w:val="18"/>
              </w:rPr>
              <w:t xml:space="preserve"> requeridos.</w:t>
            </w:r>
          </w:p>
          <w:p w14:paraId="11C61E68" w14:textId="77777777" w:rsidR="00BA0225" w:rsidRPr="00C45005" w:rsidRDefault="00BA0225" w:rsidP="00BA0225">
            <w:pPr>
              <w:pStyle w:val="Paragraph"/>
              <w:numPr>
                <w:ilvl w:val="0"/>
                <w:numId w:val="67"/>
              </w:numPr>
              <w:tabs>
                <w:tab w:val="left" w:pos="270"/>
              </w:tabs>
              <w:ind w:left="270" w:hanging="270"/>
              <w:rPr>
                <w:rFonts w:ascii="Arial" w:hAnsi="Arial" w:cs="Arial"/>
                <w:bCs/>
                <w:sz w:val="18"/>
                <w:szCs w:val="18"/>
              </w:rPr>
            </w:pPr>
            <w:r w:rsidRPr="005B0014">
              <w:rPr>
                <w:rFonts w:ascii="Arial" w:hAnsi="Arial" w:cs="Arial"/>
                <w:bCs/>
                <w:sz w:val="18"/>
                <w:szCs w:val="18"/>
              </w:rPr>
              <w:t>BID se mantiene al tanto de las negociaciones</w:t>
            </w:r>
            <w:r>
              <w:rPr>
                <w:rFonts w:ascii="Arial" w:hAnsi="Arial" w:cs="Arial"/>
                <w:bCs/>
                <w:sz w:val="18"/>
                <w:szCs w:val="18"/>
              </w:rPr>
              <w:t xml:space="preserve"> entre NAFIN y el responsable del proyecto</w:t>
            </w:r>
            <w:r w:rsidRPr="005B0014">
              <w:rPr>
                <w:rFonts w:ascii="Arial" w:hAnsi="Arial" w:cs="Arial"/>
                <w:bCs/>
                <w:sz w:val="18"/>
                <w:szCs w:val="18"/>
              </w:rPr>
              <w:t>.</w:t>
            </w:r>
          </w:p>
        </w:tc>
      </w:tr>
      <w:tr w:rsidR="00BA0225" w:rsidRPr="00EF2963" w14:paraId="322BD66C" w14:textId="77777777" w:rsidTr="008C38DE">
        <w:tc>
          <w:tcPr>
            <w:tcW w:w="2813" w:type="dxa"/>
          </w:tcPr>
          <w:p w14:paraId="42EF3CC0" w14:textId="77777777" w:rsidR="00BA0225" w:rsidRPr="00C45005" w:rsidRDefault="00BA0225" w:rsidP="00895676">
            <w:pPr>
              <w:pStyle w:val="Paragraph"/>
              <w:numPr>
                <w:ilvl w:val="0"/>
                <w:numId w:val="0"/>
              </w:numPr>
              <w:tabs>
                <w:tab w:val="left" w:pos="270"/>
              </w:tabs>
              <w:ind w:left="270"/>
              <w:rPr>
                <w:rFonts w:ascii="Arial" w:hAnsi="Arial" w:cs="Arial"/>
                <w:bCs/>
                <w:sz w:val="18"/>
                <w:szCs w:val="18"/>
              </w:rPr>
            </w:pPr>
            <w:r w:rsidRPr="00C45005">
              <w:rPr>
                <w:rFonts w:ascii="Arial" w:hAnsi="Arial" w:cs="Arial"/>
                <w:bCs/>
                <w:sz w:val="18"/>
                <w:szCs w:val="18"/>
              </w:rPr>
              <w:t xml:space="preserve">4. </w:t>
            </w:r>
            <w:r>
              <w:rPr>
                <w:rFonts w:ascii="Arial" w:hAnsi="Arial" w:cs="Arial"/>
                <w:bCs/>
                <w:sz w:val="18"/>
                <w:szCs w:val="18"/>
              </w:rPr>
              <w:t>Aprobación</w:t>
            </w:r>
          </w:p>
        </w:tc>
        <w:tc>
          <w:tcPr>
            <w:tcW w:w="3780" w:type="dxa"/>
          </w:tcPr>
          <w:p w14:paraId="6EFA6FC8" w14:textId="77777777" w:rsidR="00BA0225" w:rsidRPr="00EB36E5" w:rsidRDefault="00BA0225" w:rsidP="00BA0225">
            <w:pPr>
              <w:pStyle w:val="Paragraph"/>
              <w:numPr>
                <w:ilvl w:val="0"/>
                <w:numId w:val="67"/>
              </w:numPr>
              <w:tabs>
                <w:tab w:val="left" w:pos="270"/>
              </w:tabs>
              <w:ind w:left="270" w:hanging="270"/>
              <w:rPr>
                <w:rFonts w:ascii="Arial" w:hAnsi="Arial" w:cs="Arial"/>
                <w:bCs/>
                <w:sz w:val="18"/>
                <w:szCs w:val="18"/>
              </w:rPr>
            </w:pPr>
            <w:r>
              <w:rPr>
                <w:rFonts w:ascii="Arial" w:hAnsi="Arial" w:cs="Arial"/>
                <w:bCs/>
                <w:sz w:val="18"/>
                <w:szCs w:val="18"/>
              </w:rPr>
              <w:t xml:space="preserve">NAFIN </w:t>
            </w:r>
            <w:r w:rsidRPr="00EB36E5">
              <w:rPr>
                <w:rFonts w:ascii="Arial" w:hAnsi="Arial" w:cs="Arial"/>
                <w:bCs/>
                <w:sz w:val="18"/>
                <w:szCs w:val="18"/>
              </w:rPr>
              <w:t>prepara la documentación del préstamo con la inclusión de</w:t>
            </w:r>
            <w:r>
              <w:rPr>
                <w:rFonts w:ascii="Arial" w:hAnsi="Arial" w:cs="Arial"/>
                <w:bCs/>
                <w:sz w:val="18"/>
                <w:szCs w:val="18"/>
              </w:rPr>
              <w:t xml:space="preserve"> la documentación ambiental y social aprobada y en su caso condiciones de cumplimiento</w:t>
            </w:r>
            <w:r w:rsidRPr="00EB36E5">
              <w:rPr>
                <w:rFonts w:ascii="Arial" w:hAnsi="Arial" w:cs="Arial"/>
                <w:bCs/>
                <w:sz w:val="18"/>
                <w:szCs w:val="18"/>
              </w:rPr>
              <w:t>.</w:t>
            </w:r>
          </w:p>
          <w:p w14:paraId="189F4A4A" w14:textId="77777777" w:rsidR="00BA0225" w:rsidRPr="00C45005" w:rsidRDefault="00BA0225" w:rsidP="00BA0225">
            <w:pPr>
              <w:pStyle w:val="Paragraph"/>
              <w:numPr>
                <w:ilvl w:val="0"/>
                <w:numId w:val="67"/>
              </w:numPr>
              <w:tabs>
                <w:tab w:val="left" w:pos="270"/>
              </w:tabs>
              <w:ind w:left="270" w:hanging="270"/>
              <w:rPr>
                <w:rFonts w:ascii="Arial" w:hAnsi="Arial" w:cs="Arial"/>
                <w:bCs/>
                <w:sz w:val="18"/>
                <w:szCs w:val="18"/>
              </w:rPr>
            </w:pPr>
            <w:r w:rsidRPr="00EB36E5">
              <w:rPr>
                <w:rFonts w:ascii="Arial" w:hAnsi="Arial" w:cs="Arial"/>
                <w:bCs/>
                <w:sz w:val="18"/>
                <w:szCs w:val="18"/>
              </w:rPr>
              <w:t>Un resumen de la Evaluación Ambiental y Social se divulga simultáneamente en la página web del proyecto de</w:t>
            </w:r>
            <w:r>
              <w:rPr>
                <w:rFonts w:ascii="Arial" w:hAnsi="Arial" w:cs="Arial"/>
                <w:bCs/>
                <w:sz w:val="18"/>
                <w:szCs w:val="18"/>
              </w:rPr>
              <w:t xml:space="preserve"> NAFIN </w:t>
            </w:r>
            <w:r w:rsidRPr="00EB36E5">
              <w:rPr>
                <w:rFonts w:ascii="Arial" w:hAnsi="Arial" w:cs="Arial"/>
                <w:bCs/>
                <w:sz w:val="18"/>
                <w:szCs w:val="18"/>
              </w:rPr>
              <w:t xml:space="preserve">y </w:t>
            </w:r>
            <w:r>
              <w:rPr>
                <w:rFonts w:ascii="Arial" w:hAnsi="Arial" w:cs="Arial"/>
                <w:bCs/>
                <w:sz w:val="18"/>
                <w:szCs w:val="18"/>
              </w:rPr>
              <w:t>al Directorio</w:t>
            </w:r>
            <w:r w:rsidRPr="00EB36E5">
              <w:rPr>
                <w:rFonts w:ascii="Arial" w:hAnsi="Arial" w:cs="Arial"/>
                <w:bCs/>
                <w:sz w:val="18"/>
                <w:szCs w:val="18"/>
              </w:rPr>
              <w:t xml:space="preserve"> de</w:t>
            </w:r>
            <w:r>
              <w:rPr>
                <w:rFonts w:ascii="Arial" w:hAnsi="Arial" w:cs="Arial"/>
                <w:bCs/>
                <w:sz w:val="18"/>
                <w:szCs w:val="18"/>
              </w:rPr>
              <w:t xml:space="preserve"> NAFIN </w:t>
            </w:r>
            <w:r w:rsidRPr="00EB36E5">
              <w:rPr>
                <w:rFonts w:ascii="Arial" w:hAnsi="Arial" w:cs="Arial"/>
                <w:bCs/>
                <w:sz w:val="18"/>
                <w:szCs w:val="18"/>
              </w:rPr>
              <w:t>como mínimo 10 días antes de la reunión de</w:t>
            </w:r>
            <w:r>
              <w:rPr>
                <w:rFonts w:ascii="Arial" w:hAnsi="Arial" w:cs="Arial"/>
                <w:bCs/>
                <w:sz w:val="18"/>
                <w:szCs w:val="18"/>
              </w:rPr>
              <w:t>l Directorio de NAFIN.</w:t>
            </w:r>
          </w:p>
        </w:tc>
        <w:tc>
          <w:tcPr>
            <w:tcW w:w="3244" w:type="dxa"/>
          </w:tcPr>
          <w:p w14:paraId="31F1AB76" w14:textId="77777777" w:rsidR="00BA0225" w:rsidRPr="00EF2963" w:rsidRDefault="00BA0225" w:rsidP="00895676">
            <w:pPr>
              <w:pStyle w:val="Paragraph"/>
              <w:numPr>
                <w:ilvl w:val="0"/>
                <w:numId w:val="0"/>
              </w:numPr>
              <w:tabs>
                <w:tab w:val="left" w:pos="270"/>
              </w:tabs>
              <w:rPr>
                <w:rFonts w:ascii="Arial" w:hAnsi="Arial" w:cs="Arial"/>
                <w:bCs/>
                <w:i/>
                <w:sz w:val="18"/>
                <w:szCs w:val="18"/>
                <w:u w:val="single"/>
              </w:rPr>
            </w:pPr>
            <w:r w:rsidRPr="00EF2963">
              <w:rPr>
                <w:rFonts w:ascii="Arial" w:hAnsi="Arial" w:cs="Arial"/>
                <w:bCs/>
                <w:i/>
                <w:sz w:val="18"/>
                <w:szCs w:val="18"/>
                <w:u w:val="single"/>
              </w:rPr>
              <w:t>Aprobación formal</w:t>
            </w:r>
          </w:p>
          <w:p w14:paraId="1F4B98A6" w14:textId="77777777" w:rsidR="00BA0225" w:rsidRPr="00C45005" w:rsidRDefault="00BA0225" w:rsidP="00BA0225">
            <w:pPr>
              <w:pStyle w:val="Paragraph"/>
              <w:numPr>
                <w:ilvl w:val="0"/>
                <w:numId w:val="67"/>
              </w:numPr>
              <w:tabs>
                <w:tab w:val="left" w:pos="270"/>
              </w:tabs>
              <w:ind w:left="270" w:hanging="270"/>
              <w:rPr>
                <w:rFonts w:ascii="Arial" w:hAnsi="Arial" w:cs="Arial"/>
                <w:bCs/>
                <w:sz w:val="18"/>
                <w:szCs w:val="18"/>
              </w:rPr>
            </w:pPr>
            <w:r w:rsidRPr="00EF2963">
              <w:rPr>
                <w:rFonts w:ascii="Arial" w:hAnsi="Arial" w:cs="Arial"/>
                <w:bCs/>
                <w:sz w:val="18"/>
                <w:szCs w:val="18"/>
              </w:rPr>
              <w:t xml:space="preserve">El BID proporciona </w:t>
            </w:r>
            <w:r>
              <w:rPr>
                <w:rFonts w:ascii="Arial" w:hAnsi="Arial" w:cs="Arial"/>
                <w:bCs/>
                <w:sz w:val="18"/>
                <w:szCs w:val="18"/>
              </w:rPr>
              <w:t xml:space="preserve">su </w:t>
            </w:r>
            <w:r w:rsidRPr="00EF2963">
              <w:rPr>
                <w:rFonts w:ascii="Arial" w:hAnsi="Arial" w:cs="Arial"/>
                <w:bCs/>
                <w:sz w:val="18"/>
                <w:szCs w:val="18"/>
              </w:rPr>
              <w:t>no</w:t>
            </w:r>
            <w:r>
              <w:rPr>
                <w:rFonts w:ascii="Arial" w:hAnsi="Arial" w:cs="Arial"/>
                <w:bCs/>
                <w:sz w:val="18"/>
                <w:szCs w:val="18"/>
              </w:rPr>
              <w:t>-</w:t>
            </w:r>
            <w:r w:rsidRPr="00EF2963">
              <w:rPr>
                <w:rFonts w:ascii="Arial" w:hAnsi="Arial" w:cs="Arial"/>
                <w:bCs/>
                <w:sz w:val="18"/>
                <w:szCs w:val="18"/>
              </w:rPr>
              <w:t xml:space="preserve"> objeci</w:t>
            </w:r>
            <w:r>
              <w:rPr>
                <w:rFonts w:ascii="Arial" w:hAnsi="Arial" w:cs="Arial"/>
                <w:bCs/>
                <w:sz w:val="18"/>
                <w:szCs w:val="18"/>
              </w:rPr>
              <w:t>ón</w:t>
            </w:r>
            <w:r w:rsidRPr="00EF2963">
              <w:rPr>
                <w:rFonts w:ascii="Arial" w:hAnsi="Arial" w:cs="Arial"/>
                <w:bCs/>
                <w:sz w:val="18"/>
                <w:szCs w:val="18"/>
              </w:rPr>
              <w:t xml:space="preserve"> sobre requisitos </w:t>
            </w:r>
            <w:r>
              <w:rPr>
                <w:rFonts w:ascii="Arial" w:hAnsi="Arial" w:cs="Arial"/>
                <w:bCs/>
                <w:sz w:val="18"/>
                <w:szCs w:val="18"/>
              </w:rPr>
              <w:t>ambientales y sociales</w:t>
            </w:r>
            <w:r w:rsidRPr="00EF2963">
              <w:rPr>
                <w:rFonts w:ascii="Arial" w:hAnsi="Arial" w:cs="Arial"/>
                <w:bCs/>
                <w:sz w:val="18"/>
                <w:szCs w:val="18"/>
              </w:rPr>
              <w:t xml:space="preserve">, convenios legales </w:t>
            </w:r>
            <w:r>
              <w:rPr>
                <w:rFonts w:ascii="Arial" w:hAnsi="Arial" w:cs="Arial"/>
                <w:bCs/>
                <w:sz w:val="18"/>
                <w:szCs w:val="18"/>
              </w:rPr>
              <w:t>ambientales y sociales,</w:t>
            </w:r>
            <w:r w:rsidRPr="00EF2963">
              <w:rPr>
                <w:rFonts w:ascii="Arial" w:hAnsi="Arial" w:cs="Arial"/>
                <w:bCs/>
                <w:sz w:val="18"/>
                <w:szCs w:val="18"/>
              </w:rPr>
              <w:t xml:space="preserve"> y</w:t>
            </w:r>
            <w:r>
              <w:rPr>
                <w:rFonts w:ascii="Arial" w:hAnsi="Arial" w:cs="Arial"/>
                <w:bCs/>
                <w:sz w:val="18"/>
                <w:szCs w:val="18"/>
              </w:rPr>
              <w:t xml:space="preserve"> sobre </w:t>
            </w:r>
            <w:r w:rsidRPr="00EF2963">
              <w:rPr>
                <w:rFonts w:ascii="Arial" w:hAnsi="Arial" w:cs="Arial"/>
                <w:bCs/>
                <w:sz w:val="18"/>
                <w:szCs w:val="18"/>
              </w:rPr>
              <w:t xml:space="preserve">material relacionado según sea necesario. El BID coordina la </w:t>
            </w:r>
            <w:r>
              <w:rPr>
                <w:rFonts w:ascii="Arial" w:hAnsi="Arial" w:cs="Arial"/>
                <w:bCs/>
                <w:sz w:val="18"/>
                <w:szCs w:val="18"/>
              </w:rPr>
              <w:t>aprobación</w:t>
            </w:r>
            <w:r w:rsidRPr="00EF2963">
              <w:rPr>
                <w:rFonts w:ascii="Arial" w:hAnsi="Arial" w:cs="Arial"/>
                <w:bCs/>
                <w:sz w:val="18"/>
                <w:szCs w:val="18"/>
              </w:rPr>
              <w:t xml:space="preserve"> </w:t>
            </w:r>
            <w:r>
              <w:rPr>
                <w:rFonts w:ascii="Arial" w:hAnsi="Arial" w:cs="Arial"/>
                <w:bCs/>
                <w:sz w:val="18"/>
                <w:szCs w:val="18"/>
              </w:rPr>
              <w:t xml:space="preserve">ambiental y social </w:t>
            </w:r>
            <w:r w:rsidRPr="00EF2963">
              <w:rPr>
                <w:rFonts w:ascii="Arial" w:hAnsi="Arial" w:cs="Arial"/>
                <w:bCs/>
                <w:sz w:val="18"/>
                <w:szCs w:val="18"/>
              </w:rPr>
              <w:t>con la no</w:t>
            </w:r>
            <w:r>
              <w:rPr>
                <w:rFonts w:ascii="Arial" w:hAnsi="Arial" w:cs="Arial"/>
                <w:bCs/>
                <w:sz w:val="18"/>
                <w:szCs w:val="18"/>
              </w:rPr>
              <w:t>-</w:t>
            </w:r>
            <w:r w:rsidRPr="00EF2963">
              <w:rPr>
                <w:rFonts w:ascii="Arial" w:hAnsi="Arial" w:cs="Arial"/>
                <w:bCs/>
                <w:sz w:val="18"/>
                <w:szCs w:val="18"/>
              </w:rPr>
              <w:t>objeción más amplia del BID.</w:t>
            </w:r>
          </w:p>
        </w:tc>
      </w:tr>
      <w:tr w:rsidR="00BA0225" w:rsidRPr="00932453" w14:paraId="7F4A9B5F" w14:textId="77777777" w:rsidTr="008C38DE">
        <w:tc>
          <w:tcPr>
            <w:tcW w:w="2813" w:type="dxa"/>
          </w:tcPr>
          <w:p w14:paraId="56CDB6F6" w14:textId="77777777" w:rsidR="00BA0225" w:rsidRPr="00C45005" w:rsidRDefault="00BA0225" w:rsidP="00895676">
            <w:pPr>
              <w:pStyle w:val="Paragraph"/>
              <w:numPr>
                <w:ilvl w:val="0"/>
                <w:numId w:val="0"/>
              </w:numPr>
              <w:tabs>
                <w:tab w:val="left" w:pos="270"/>
              </w:tabs>
              <w:ind w:left="270"/>
              <w:rPr>
                <w:rFonts w:ascii="Arial" w:hAnsi="Arial" w:cs="Arial"/>
                <w:bCs/>
                <w:sz w:val="18"/>
                <w:szCs w:val="18"/>
              </w:rPr>
            </w:pPr>
            <w:r w:rsidRPr="00C45005">
              <w:rPr>
                <w:rFonts w:ascii="Arial" w:hAnsi="Arial" w:cs="Arial"/>
                <w:bCs/>
                <w:sz w:val="18"/>
                <w:szCs w:val="18"/>
              </w:rPr>
              <w:t xml:space="preserve">5. </w:t>
            </w:r>
            <w:r w:rsidRPr="004C06C5">
              <w:rPr>
                <w:rFonts w:ascii="Arial" w:hAnsi="Arial" w:cs="Arial"/>
                <w:bCs/>
                <w:sz w:val="18"/>
                <w:szCs w:val="18"/>
              </w:rPr>
              <w:t>Acuerdos de financiamiento y convenios legales ambientales y sociales</w:t>
            </w:r>
          </w:p>
        </w:tc>
        <w:tc>
          <w:tcPr>
            <w:tcW w:w="3780" w:type="dxa"/>
          </w:tcPr>
          <w:p w14:paraId="2CF0F161" w14:textId="77777777" w:rsidR="00BA0225" w:rsidRPr="00C45005" w:rsidRDefault="00BA0225" w:rsidP="00BA0225">
            <w:pPr>
              <w:pStyle w:val="Paragraph"/>
              <w:numPr>
                <w:ilvl w:val="0"/>
                <w:numId w:val="67"/>
              </w:numPr>
              <w:tabs>
                <w:tab w:val="left" w:pos="270"/>
              </w:tabs>
              <w:ind w:left="270" w:hanging="270"/>
              <w:rPr>
                <w:rFonts w:ascii="Arial" w:hAnsi="Arial" w:cs="Arial"/>
                <w:bCs/>
                <w:sz w:val="18"/>
                <w:szCs w:val="18"/>
              </w:rPr>
            </w:pPr>
            <w:r>
              <w:rPr>
                <w:rFonts w:ascii="Arial" w:hAnsi="Arial" w:cs="Arial"/>
                <w:bCs/>
                <w:sz w:val="18"/>
                <w:szCs w:val="18"/>
              </w:rPr>
              <w:t xml:space="preserve">NAFIN </w:t>
            </w:r>
            <w:r w:rsidRPr="00932453">
              <w:rPr>
                <w:rFonts w:ascii="Arial" w:hAnsi="Arial" w:cs="Arial"/>
                <w:bCs/>
                <w:sz w:val="18"/>
                <w:szCs w:val="18"/>
              </w:rPr>
              <w:t>incorpora en el acuerdo de préstamo</w:t>
            </w:r>
            <w:r>
              <w:rPr>
                <w:rFonts w:ascii="Arial" w:hAnsi="Arial" w:cs="Arial"/>
                <w:bCs/>
                <w:sz w:val="18"/>
                <w:szCs w:val="18"/>
              </w:rPr>
              <w:t xml:space="preserve"> </w:t>
            </w:r>
            <w:r w:rsidRPr="00932453">
              <w:rPr>
                <w:rFonts w:ascii="Arial" w:hAnsi="Arial" w:cs="Arial"/>
                <w:bCs/>
                <w:sz w:val="18"/>
                <w:szCs w:val="18"/>
              </w:rPr>
              <w:t>los convenios</w:t>
            </w:r>
            <w:r>
              <w:rPr>
                <w:rFonts w:ascii="Arial" w:hAnsi="Arial" w:cs="Arial"/>
                <w:bCs/>
                <w:sz w:val="18"/>
                <w:szCs w:val="18"/>
              </w:rPr>
              <w:t xml:space="preserve"> ambientales y sociales</w:t>
            </w:r>
            <w:r w:rsidRPr="00932453">
              <w:rPr>
                <w:rFonts w:ascii="Arial" w:hAnsi="Arial" w:cs="Arial"/>
                <w:bCs/>
                <w:sz w:val="18"/>
                <w:szCs w:val="18"/>
              </w:rPr>
              <w:t xml:space="preserve"> </w:t>
            </w:r>
            <w:r>
              <w:rPr>
                <w:rFonts w:ascii="Arial" w:hAnsi="Arial" w:cs="Arial"/>
                <w:bCs/>
                <w:sz w:val="18"/>
                <w:szCs w:val="18"/>
              </w:rPr>
              <w:t>según los</w:t>
            </w:r>
            <w:r w:rsidRPr="00932453">
              <w:rPr>
                <w:rFonts w:ascii="Arial" w:hAnsi="Arial" w:cs="Arial"/>
                <w:bCs/>
                <w:sz w:val="18"/>
                <w:szCs w:val="18"/>
              </w:rPr>
              <w:t xml:space="preserve"> planes de acción / planes de acción acordados</w:t>
            </w:r>
            <w:r>
              <w:rPr>
                <w:rFonts w:ascii="Arial" w:hAnsi="Arial" w:cs="Arial"/>
                <w:bCs/>
                <w:sz w:val="18"/>
                <w:szCs w:val="18"/>
              </w:rPr>
              <w:t>.</w:t>
            </w:r>
          </w:p>
        </w:tc>
        <w:tc>
          <w:tcPr>
            <w:tcW w:w="3244" w:type="dxa"/>
          </w:tcPr>
          <w:p w14:paraId="3268F34D" w14:textId="77777777" w:rsidR="00BA0225" w:rsidRPr="00C45005" w:rsidRDefault="00BA0225" w:rsidP="00895676">
            <w:pPr>
              <w:pStyle w:val="Paragraph"/>
              <w:numPr>
                <w:ilvl w:val="0"/>
                <w:numId w:val="0"/>
              </w:numPr>
              <w:tabs>
                <w:tab w:val="left" w:pos="270"/>
              </w:tabs>
              <w:ind w:left="270"/>
              <w:rPr>
                <w:rFonts w:ascii="Arial" w:hAnsi="Arial" w:cs="Arial"/>
                <w:bCs/>
                <w:sz w:val="18"/>
                <w:szCs w:val="18"/>
              </w:rPr>
            </w:pPr>
          </w:p>
        </w:tc>
      </w:tr>
      <w:tr w:rsidR="00BA0225" w:rsidRPr="003C0C49" w14:paraId="2DCA11AE" w14:textId="77777777" w:rsidTr="008C38DE">
        <w:tc>
          <w:tcPr>
            <w:tcW w:w="2813" w:type="dxa"/>
          </w:tcPr>
          <w:p w14:paraId="6C3799E0" w14:textId="77777777" w:rsidR="00BA0225" w:rsidRPr="00C45005" w:rsidRDefault="00BA0225" w:rsidP="00895676">
            <w:pPr>
              <w:pStyle w:val="Paragraph"/>
              <w:numPr>
                <w:ilvl w:val="0"/>
                <w:numId w:val="0"/>
              </w:numPr>
              <w:tabs>
                <w:tab w:val="left" w:pos="270"/>
              </w:tabs>
              <w:ind w:left="270"/>
              <w:rPr>
                <w:rFonts w:ascii="Arial" w:hAnsi="Arial" w:cs="Arial"/>
                <w:bCs/>
                <w:sz w:val="18"/>
                <w:szCs w:val="18"/>
              </w:rPr>
            </w:pPr>
            <w:r w:rsidRPr="00C45005">
              <w:rPr>
                <w:rFonts w:ascii="Arial" w:hAnsi="Arial" w:cs="Arial"/>
                <w:bCs/>
                <w:sz w:val="18"/>
                <w:szCs w:val="18"/>
              </w:rPr>
              <w:t>6. Supervisión</w:t>
            </w:r>
          </w:p>
        </w:tc>
        <w:tc>
          <w:tcPr>
            <w:tcW w:w="3780" w:type="dxa"/>
          </w:tcPr>
          <w:p w14:paraId="2C1704B6" w14:textId="77777777" w:rsidR="00BA0225" w:rsidRPr="002A4826" w:rsidRDefault="00BA0225" w:rsidP="00BA0225">
            <w:pPr>
              <w:pStyle w:val="Paragraph"/>
              <w:numPr>
                <w:ilvl w:val="0"/>
                <w:numId w:val="67"/>
              </w:numPr>
              <w:tabs>
                <w:tab w:val="left" w:pos="270"/>
              </w:tabs>
              <w:ind w:left="270" w:hanging="270"/>
              <w:rPr>
                <w:rFonts w:ascii="Arial" w:hAnsi="Arial" w:cs="Arial"/>
                <w:bCs/>
                <w:sz w:val="18"/>
                <w:szCs w:val="18"/>
              </w:rPr>
            </w:pPr>
            <w:r>
              <w:rPr>
                <w:rFonts w:ascii="Arial" w:hAnsi="Arial" w:cs="Arial"/>
                <w:bCs/>
                <w:sz w:val="18"/>
                <w:szCs w:val="18"/>
              </w:rPr>
              <w:t xml:space="preserve">NAFIN </w:t>
            </w:r>
            <w:r w:rsidRPr="002A4826">
              <w:rPr>
                <w:rFonts w:ascii="Arial" w:hAnsi="Arial" w:cs="Arial"/>
                <w:bCs/>
                <w:sz w:val="18"/>
                <w:szCs w:val="18"/>
              </w:rPr>
              <w:t>prepara T</w:t>
            </w:r>
            <w:r>
              <w:rPr>
                <w:rFonts w:ascii="Arial" w:hAnsi="Arial" w:cs="Arial"/>
                <w:bCs/>
                <w:sz w:val="18"/>
                <w:szCs w:val="18"/>
              </w:rPr>
              <w:t>d</w:t>
            </w:r>
            <w:r w:rsidRPr="002A4826">
              <w:rPr>
                <w:rFonts w:ascii="Arial" w:hAnsi="Arial" w:cs="Arial"/>
                <w:bCs/>
                <w:sz w:val="18"/>
                <w:szCs w:val="18"/>
              </w:rPr>
              <w:t xml:space="preserve">R para la supervisión y auditoría </w:t>
            </w:r>
            <w:r>
              <w:rPr>
                <w:rFonts w:ascii="Arial" w:hAnsi="Arial" w:cs="Arial"/>
                <w:bCs/>
                <w:sz w:val="18"/>
                <w:szCs w:val="18"/>
              </w:rPr>
              <w:t xml:space="preserve">ambiental y social </w:t>
            </w:r>
            <w:r w:rsidRPr="002A4826">
              <w:rPr>
                <w:rFonts w:ascii="Arial" w:hAnsi="Arial" w:cs="Arial"/>
                <w:bCs/>
                <w:sz w:val="18"/>
                <w:szCs w:val="18"/>
              </w:rPr>
              <w:t xml:space="preserve">de la </w:t>
            </w:r>
            <w:r>
              <w:rPr>
                <w:rFonts w:ascii="Arial" w:hAnsi="Arial" w:cs="Arial"/>
                <w:bCs/>
                <w:sz w:val="18"/>
                <w:szCs w:val="18"/>
              </w:rPr>
              <w:t>ejecución del PGAS</w:t>
            </w:r>
            <w:r w:rsidRPr="002A4826">
              <w:rPr>
                <w:rFonts w:ascii="Arial" w:hAnsi="Arial" w:cs="Arial"/>
                <w:bCs/>
                <w:sz w:val="18"/>
                <w:szCs w:val="18"/>
              </w:rPr>
              <w:t xml:space="preserve">. </w:t>
            </w:r>
            <w:r>
              <w:rPr>
                <w:rFonts w:ascii="Arial" w:hAnsi="Arial" w:cs="Arial"/>
                <w:bCs/>
                <w:sz w:val="18"/>
                <w:szCs w:val="18"/>
              </w:rPr>
              <w:t>NAFIN</w:t>
            </w:r>
            <w:r w:rsidRPr="002A4826">
              <w:rPr>
                <w:rFonts w:ascii="Arial" w:hAnsi="Arial" w:cs="Arial"/>
                <w:bCs/>
                <w:sz w:val="18"/>
                <w:szCs w:val="18"/>
              </w:rPr>
              <w:t xml:space="preserve"> lleva a cabo la supervisión de la gestión ambiental y social </w:t>
            </w:r>
            <w:r>
              <w:rPr>
                <w:rFonts w:ascii="Arial" w:hAnsi="Arial" w:cs="Arial"/>
                <w:bCs/>
                <w:sz w:val="18"/>
                <w:szCs w:val="18"/>
              </w:rPr>
              <w:t xml:space="preserve">en una frecuencia </w:t>
            </w:r>
            <w:r w:rsidRPr="002A4826">
              <w:rPr>
                <w:rFonts w:ascii="Arial" w:hAnsi="Arial" w:cs="Arial"/>
                <w:bCs/>
                <w:sz w:val="18"/>
                <w:szCs w:val="18"/>
              </w:rPr>
              <w:t>anual o bianual, dependiendo de la gravedad de</w:t>
            </w:r>
            <w:r>
              <w:rPr>
                <w:rFonts w:ascii="Arial" w:hAnsi="Arial" w:cs="Arial"/>
                <w:bCs/>
                <w:sz w:val="18"/>
                <w:szCs w:val="18"/>
              </w:rPr>
              <w:t xml:space="preserve"> los</w:t>
            </w:r>
            <w:r w:rsidRPr="002A4826">
              <w:rPr>
                <w:rFonts w:ascii="Arial" w:hAnsi="Arial" w:cs="Arial"/>
                <w:bCs/>
                <w:sz w:val="18"/>
                <w:szCs w:val="18"/>
              </w:rPr>
              <w:t xml:space="preserve"> riesgo</w:t>
            </w:r>
            <w:r>
              <w:rPr>
                <w:rFonts w:ascii="Arial" w:hAnsi="Arial" w:cs="Arial"/>
                <w:bCs/>
                <w:sz w:val="18"/>
                <w:szCs w:val="18"/>
              </w:rPr>
              <w:t xml:space="preserve">s </w:t>
            </w:r>
            <w:r w:rsidRPr="002A4826">
              <w:rPr>
                <w:rFonts w:ascii="Arial" w:hAnsi="Arial" w:cs="Arial"/>
                <w:bCs/>
                <w:sz w:val="18"/>
                <w:szCs w:val="18"/>
              </w:rPr>
              <w:t xml:space="preserve">y los impactos. Los costos de </w:t>
            </w:r>
            <w:r w:rsidRPr="002A4826">
              <w:rPr>
                <w:rFonts w:ascii="Arial" w:hAnsi="Arial" w:cs="Arial"/>
                <w:bCs/>
                <w:sz w:val="18"/>
                <w:szCs w:val="18"/>
              </w:rPr>
              <w:lastRenderedPageBreak/>
              <w:t xml:space="preserve">supervisión para </w:t>
            </w:r>
            <w:r>
              <w:rPr>
                <w:rFonts w:ascii="Arial" w:hAnsi="Arial" w:cs="Arial"/>
                <w:bCs/>
                <w:sz w:val="18"/>
                <w:szCs w:val="18"/>
              </w:rPr>
              <w:t xml:space="preserve">un </w:t>
            </w:r>
            <w:r w:rsidRPr="002A4826">
              <w:rPr>
                <w:rFonts w:ascii="Arial" w:hAnsi="Arial" w:cs="Arial"/>
                <w:bCs/>
                <w:sz w:val="18"/>
                <w:szCs w:val="18"/>
              </w:rPr>
              <w:t xml:space="preserve">consultor son pagados por el presupuesto del proyecto del </w:t>
            </w:r>
            <w:r>
              <w:rPr>
                <w:rFonts w:ascii="Arial" w:hAnsi="Arial" w:cs="Arial"/>
                <w:bCs/>
                <w:sz w:val="18"/>
                <w:szCs w:val="18"/>
              </w:rPr>
              <w:t>NAFIN</w:t>
            </w:r>
            <w:r w:rsidRPr="002A4826">
              <w:rPr>
                <w:rFonts w:ascii="Arial" w:hAnsi="Arial" w:cs="Arial"/>
                <w:bCs/>
                <w:sz w:val="18"/>
                <w:szCs w:val="18"/>
              </w:rPr>
              <w:t>.</w:t>
            </w:r>
          </w:p>
          <w:p w14:paraId="0A1C87F9" w14:textId="77777777" w:rsidR="00BA0225" w:rsidRPr="00C45005" w:rsidRDefault="00BA0225" w:rsidP="00BA0225">
            <w:pPr>
              <w:pStyle w:val="Paragraph"/>
              <w:numPr>
                <w:ilvl w:val="0"/>
                <w:numId w:val="67"/>
              </w:numPr>
              <w:tabs>
                <w:tab w:val="left" w:pos="270"/>
              </w:tabs>
              <w:ind w:left="270" w:hanging="270"/>
              <w:rPr>
                <w:rFonts w:ascii="Arial" w:hAnsi="Arial" w:cs="Arial"/>
                <w:bCs/>
                <w:sz w:val="18"/>
                <w:szCs w:val="18"/>
              </w:rPr>
            </w:pPr>
            <w:r w:rsidRPr="002A4826">
              <w:rPr>
                <w:rFonts w:ascii="Arial" w:hAnsi="Arial" w:cs="Arial"/>
                <w:bCs/>
                <w:sz w:val="18"/>
                <w:szCs w:val="18"/>
              </w:rPr>
              <w:t xml:space="preserve">Cuando sea necesario, y por recomendación de un consultor externo, </w:t>
            </w:r>
            <w:r>
              <w:rPr>
                <w:rFonts w:ascii="Arial" w:hAnsi="Arial" w:cs="Arial"/>
                <w:bCs/>
                <w:sz w:val="18"/>
                <w:szCs w:val="18"/>
              </w:rPr>
              <w:t>NAFIN</w:t>
            </w:r>
            <w:r w:rsidRPr="002A4826">
              <w:rPr>
                <w:rFonts w:ascii="Arial" w:hAnsi="Arial" w:cs="Arial"/>
                <w:bCs/>
                <w:sz w:val="18"/>
                <w:szCs w:val="18"/>
              </w:rPr>
              <w:t xml:space="preserve"> puede requerir que el patrocinador adopte un Plan de Acción Correctiva </w:t>
            </w:r>
            <w:r>
              <w:rPr>
                <w:rFonts w:ascii="Arial" w:hAnsi="Arial" w:cs="Arial"/>
                <w:bCs/>
                <w:sz w:val="18"/>
                <w:szCs w:val="18"/>
              </w:rPr>
              <w:t>(PAC)</w:t>
            </w:r>
            <w:r w:rsidRPr="002A4826">
              <w:rPr>
                <w:rFonts w:ascii="Arial" w:hAnsi="Arial" w:cs="Arial"/>
                <w:bCs/>
                <w:sz w:val="18"/>
                <w:szCs w:val="18"/>
              </w:rPr>
              <w:t>,</w:t>
            </w:r>
            <w:r>
              <w:rPr>
                <w:rFonts w:ascii="Arial" w:hAnsi="Arial" w:cs="Arial"/>
                <w:bCs/>
                <w:sz w:val="18"/>
                <w:szCs w:val="18"/>
              </w:rPr>
              <w:t xml:space="preserve"> </w:t>
            </w:r>
            <w:r w:rsidRPr="002A4826">
              <w:rPr>
                <w:rFonts w:ascii="Arial" w:hAnsi="Arial" w:cs="Arial"/>
                <w:bCs/>
                <w:sz w:val="18"/>
                <w:szCs w:val="18"/>
              </w:rPr>
              <w:t xml:space="preserve">donde </w:t>
            </w:r>
            <w:r>
              <w:rPr>
                <w:rFonts w:ascii="Arial" w:hAnsi="Arial" w:cs="Arial"/>
                <w:bCs/>
                <w:sz w:val="18"/>
                <w:szCs w:val="18"/>
              </w:rPr>
              <w:t xml:space="preserve">se presenten </w:t>
            </w:r>
            <w:r w:rsidRPr="002A4826">
              <w:rPr>
                <w:rFonts w:ascii="Arial" w:hAnsi="Arial" w:cs="Arial"/>
                <w:bCs/>
                <w:sz w:val="18"/>
                <w:szCs w:val="18"/>
              </w:rPr>
              <w:t>riesgos particulare</w:t>
            </w:r>
            <w:r>
              <w:rPr>
                <w:rFonts w:ascii="Arial" w:hAnsi="Arial" w:cs="Arial"/>
                <w:bCs/>
                <w:sz w:val="18"/>
                <w:szCs w:val="18"/>
              </w:rPr>
              <w:t>s</w:t>
            </w:r>
            <w:r w:rsidRPr="002A4826">
              <w:rPr>
                <w:rFonts w:ascii="Arial" w:hAnsi="Arial" w:cs="Arial"/>
                <w:bCs/>
                <w:sz w:val="18"/>
                <w:szCs w:val="18"/>
              </w:rPr>
              <w:t>.</w:t>
            </w:r>
          </w:p>
        </w:tc>
        <w:tc>
          <w:tcPr>
            <w:tcW w:w="3244" w:type="dxa"/>
          </w:tcPr>
          <w:p w14:paraId="0399045F" w14:textId="77777777" w:rsidR="00BA0225" w:rsidRPr="003C0C49" w:rsidRDefault="00BA0225" w:rsidP="00BA0225">
            <w:pPr>
              <w:pStyle w:val="Paragraph"/>
              <w:numPr>
                <w:ilvl w:val="0"/>
                <w:numId w:val="67"/>
              </w:numPr>
              <w:tabs>
                <w:tab w:val="left" w:pos="270"/>
              </w:tabs>
              <w:ind w:left="270" w:hanging="270"/>
              <w:rPr>
                <w:rFonts w:ascii="Arial" w:hAnsi="Arial" w:cs="Arial"/>
                <w:bCs/>
                <w:sz w:val="18"/>
                <w:szCs w:val="18"/>
              </w:rPr>
            </w:pPr>
            <w:r w:rsidRPr="003C0C49">
              <w:rPr>
                <w:rFonts w:ascii="Arial" w:hAnsi="Arial" w:cs="Arial"/>
                <w:bCs/>
                <w:sz w:val="18"/>
                <w:szCs w:val="18"/>
              </w:rPr>
              <w:lastRenderedPageBreak/>
              <w:t xml:space="preserve">El BID evalúa los términos de referencia para la supervisión y la auditoría </w:t>
            </w:r>
            <w:r>
              <w:rPr>
                <w:rFonts w:ascii="Arial" w:hAnsi="Arial" w:cs="Arial"/>
                <w:bCs/>
                <w:sz w:val="18"/>
                <w:szCs w:val="18"/>
              </w:rPr>
              <w:t>ambiental y social</w:t>
            </w:r>
            <w:r w:rsidRPr="003C0C49">
              <w:rPr>
                <w:rFonts w:ascii="Arial" w:hAnsi="Arial" w:cs="Arial"/>
                <w:bCs/>
                <w:sz w:val="18"/>
                <w:szCs w:val="18"/>
              </w:rPr>
              <w:t xml:space="preserve">, y proporciona comentarios si </w:t>
            </w:r>
            <w:r>
              <w:rPr>
                <w:rFonts w:ascii="Arial" w:hAnsi="Arial" w:cs="Arial"/>
                <w:bCs/>
                <w:sz w:val="18"/>
                <w:szCs w:val="18"/>
              </w:rPr>
              <w:t>fuera</w:t>
            </w:r>
            <w:r w:rsidRPr="003C0C49">
              <w:rPr>
                <w:rFonts w:ascii="Arial" w:hAnsi="Arial" w:cs="Arial"/>
                <w:bCs/>
                <w:sz w:val="18"/>
                <w:szCs w:val="18"/>
              </w:rPr>
              <w:t xml:space="preserve"> necesario. El BID participa según sea necesario en misiones de </w:t>
            </w:r>
            <w:r w:rsidRPr="003C0C49">
              <w:rPr>
                <w:rFonts w:ascii="Arial" w:hAnsi="Arial" w:cs="Arial"/>
                <w:bCs/>
                <w:sz w:val="18"/>
                <w:szCs w:val="18"/>
              </w:rPr>
              <w:lastRenderedPageBreak/>
              <w:t>supervisión posteriores.</w:t>
            </w:r>
          </w:p>
          <w:p w14:paraId="20496ABC" w14:textId="77777777" w:rsidR="00BA0225" w:rsidRPr="003C0C49" w:rsidRDefault="00BA0225" w:rsidP="00BA0225">
            <w:pPr>
              <w:pStyle w:val="Paragraph"/>
              <w:numPr>
                <w:ilvl w:val="0"/>
                <w:numId w:val="67"/>
              </w:numPr>
              <w:tabs>
                <w:tab w:val="left" w:pos="270"/>
              </w:tabs>
              <w:rPr>
                <w:rFonts w:ascii="Arial" w:hAnsi="Arial" w:cs="Arial"/>
                <w:bCs/>
                <w:sz w:val="18"/>
                <w:szCs w:val="18"/>
              </w:rPr>
            </w:pPr>
            <w:r w:rsidRPr="003C0C49">
              <w:rPr>
                <w:rFonts w:ascii="Arial" w:hAnsi="Arial" w:cs="Arial"/>
                <w:bCs/>
                <w:sz w:val="18"/>
                <w:szCs w:val="18"/>
              </w:rPr>
              <w:t xml:space="preserve">Copias de los </w:t>
            </w:r>
            <w:r>
              <w:rPr>
                <w:rFonts w:ascii="Arial" w:hAnsi="Arial" w:cs="Arial"/>
                <w:bCs/>
                <w:sz w:val="18"/>
                <w:szCs w:val="18"/>
              </w:rPr>
              <w:t>I</w:t>
            </w:r>
            <w:r w:rsidRPr="003C0C49">
              <w:rPr>
                <w:rFonts w:ascii="Arial" w:hAnsi="Arial" w:cs="Arial"/>
                <w:bCs/>
                <w:sz w:val="18"/>
                <w:szCs w:val="18"/>
              </w:rPr>
              <w:t xml:space="preserve">nformes de Supervisión </w:t>
            </w:r>
            <w:r>
              <w:rPr>
                <w:rFonts w:ascii="Arial" w:hAnsi="Arial" w:cs="Arial"/>
                <w:bCs/>
                <w:sz w:val="18"/>
                <w:szCs w:val="18"/>
              </w:rPr>
              <w:t xml:space="preserve">están </w:t>
            </w:r>
            <w:r w:rsidRPr="003C0C49">
              <w:rPr>
                <w:rFonts w:ascii="Arial" w:hAnsi="Arial" w:cs="Arial"/>
                <w:bCs/>
                <w:sz w:val="18"/>
                <w:szCs w:val="18"/>
              </w:rPr>
              <w:t>proporcionados al BID.</w:t>
            </w:r>
          </w:p>
          <w:p w14:paraId="3B9066F1" w14:textId="77777777" w:rsidR="00BA0225" w:rsidRPr="00C45005" w:rsidRDefault="00BA0225" w:rsidP="00BA0225">
            <w:pPr>
              <w:pStyle w:val="Paragraph"/>
              <w:numPr>
                <w:ilvl w:val="0"/>
                <w:numId w:val="67"/>
              </w:numPr>
              <w:tabs>
                <w:tab w:val="left" w:pos="270"/>
              </w:tabs>
              <w:rPr>
                <w:rFonts w:ascii="Arial" w:hAnsi="Arial" w:cs="Arial"/>
                <w:bCs/>
                <w:sz w:val="18"/>
                <w:szCs w:val="18"/>
              </w:rPr>
            </w:pPr>
            <w:r w:rsidRPr="003C0C49">
              <w:rPr>
                <w:rFonts w:ascii="Arial" w:hAnsi="Arial" w:cs="Arial"/>
                <w:bCs/>
                <w:sz w:val="18"/>
                <w:szCs w:val="18"/>
              </w:rPr>
              <w:t xml:space="preserve">En caso de un </w:t>
            </w:r>
            <w:r>
              <w:rPr>
                <w:rFonts w:ascii="Arial" w:hAnsi="Arial" w:cs="Arial"/>
                <w:bCs/>
                <w:sz w:val="18"/>
                <w:szCs w:val="18"/>
              </w:rPr>
              <w:t>PAC</w:t>
            </w:r>
            <w:r w:rsidRPr="003C0C49">
              <w:rPr>
                <w:rFonts w:ascii="Arial" w:hAnsi="Arial" w:cs="Arial"/>
                <w:bCs/>
                <w:sz w:val="18"/>
                <w:szCs w:val="18"/>
              </w:rPr>
              <w:t xml:space="preserve">, el BID revisará y aprobará el </w:t>
            </w:r>
            <w:r>
              <w:rPr>
                <w:rFonts w:ascii="Arial" w:hAnsi="Arial" w:cs="Arial"/>
                <w:bCs/>
                <w:sz w:val="18"/>
                <w:szCs w:val="18"/>
              </w:rPr>
              <w:t>PAC</w:t>
            </w:r>
            <w:r w:rsidRPr="003C0C49">
              <w:rPr>
                <w:rFonts w:ascii="Arial" w:hAnsi="Arial" w:cs="Arial"/>
                <w:bCs/>
                <w:sz w:val="18"/>
                <w:szCs w:val="18"/>
              </w:rPr>
              <w:t xml:space="preserve"> definido.</w:t>
            </w:r>
          </w:p>
        </w:tc>
      </w:tr>
    </w:tbl>
    <w:p w14:paraId="3C1509CB" w14:textId="77777777" w:rsidR="00BA0225" w:rsidRPr="003C0C49" w:rsidRDefault="00BA0225" w:rsidP="00BA0225">
      <w:pPr>
        <w:pStyle w:val="Paragraph"/>
        <w:numPr>
          <w:ilvl w:val="0"/>
          <w:numId w:val="0"/>
        </w:numPr>
        <w:tabs>
          <w:tab w:val="num" w:pos="5746"/>
        </w:tabs>
        <w:spacing w:after="0"/>
        <w:rPr>
          <w:rFonts w:ascii="Arial" w:hAnsi="Arial" w:cs="Arial"/>
          <w:b/>
          <w:sz w:val="22"/>
          <w:szCs w:val="22"/>
        </w:rPr>
      </w:pPr>
    </w:p>
    <w:p w14:paraId="0E257276" w14:textId="77777777" w:rsidR="00BA0225" w:rsidRPr="00A55EAE" w:rsidRDefault="00BA0225" w:rsidP="00BA0225">
      <w:pPr>
        <w:pStyle w:val="Paragraph"/>
        <w:tabs>
          <w:tab w:val="clear" w:pos="8525"/>
          <w:tab w:val="num" w:pos="720"/>
          <w:tab w:val="num" w:pos="1080"/>
        </w:tabs>
        <w:spacing w:after="0"/>
        <w:ind w:left="720" w:hanging="720"/>
        <w:rPr>
          <w:rFonts w:ascii="Arial" w:hAnsi="Arial" w:cs="Arial"/>
          <w:sz w:val="22"/>
          <w:szCs w:val="22"/>
        </w:rPr>
      </w:pPr>
      <w:r w:rsidRPr="00A55EAE">
        <w:rPr>
          <w:rFonts w:ascii="Arial" w:hAnsi="Arial" w:cs="Arial"/>
          <w:sz w:val="22"/>
          <w:szCs w:val="22"/>
        </w:rPr>
        <w:t xml:space="preserve">La evaluación ambiental y social de los proyectos se basa fundamentalmente en la documentación provista por el </w:t>
      </w:r>
      <w:r>
        <w:rPr>
          <w:rFonts w:ascii="Arial" w:hAnsi="Arial" w:cs="Arial"/>
          <w:sz w:val="22"/>
          <w:szCs w:val="22"/>
        </w:rPr>
        <w:t>desarrollador geotérmico</w:t>
      </w:r>
      <w:r w:rsidRPr="00A55EAE">
        <w:rPr>
          <w:rFonts w:ascii="Arial" w:hAnsi="Arial" w:cs="Arial"/>
          <w:sz w:val="22"/>
          <w:szCs w:val="22"/>
        </w:rPr>
        <w:t xml:space="preserve">.  En este sentido, NAFIN tendrá que asegurarse </w:t>
      </w:r>
      <w:r>
        <w:rPr>
          <w:rFonts w:ascii="Arial" w:hAnsi="Arial" w:cs="Arial"/>
          <w:sz w:val="22"/>
          <w:szCs w:val="22"/>
        </w:rPr>
        <w:t xml:space="preserve">que la documentación corresponde a la categoría del proyecto (EIAS, ESA), que cumple con las salvaguardas aplicables y que incluye las medidas de mitigación y procesos de consulta necesarios, antes de presentar </w:t>
      </w:r>
      <w:r w:rsidRPr="00A55EAE">
        <w:rPr>
          <w:rFonts w:ascii="Arial" w:hAnsi="Arial" w:cs="Arial"/>
          <w:sz w:val="22"/>
          <w:szCs w:val="22"/>
        </w:rPr>
        <w:t xml:space="preserve">toda la información necesaria </w:t>
      </w:r>
      <w:r>
        <w:rPr>
          <w:rFonts w:ascii="Arial" w:hAnsi="Arial" w:cs="Arial"/>
          <w:sz w:val="22"/>
          <w:szCs w:val="22"/>
        </w:rPr>
        <w:t xml:space="preserve">al BID </w:t>
      </w:r>
      <w:r w:rsidRPr="00A55EAE">
        <w:rPr>
          <w:rFonts w:ascii="Arial" w:hAnsi="Arial" w:cs="Arial"/>
          <w:sz w:val="22"/>
          <w:szCs w:val="22"/>
        </w:rPr>
        <w:t>durante la fase de debida diligencia</w:t>
      </w:r>
      <w:r>
        <w:rPr>
          <w:rFonts w:ascii="Arial" w:hAnsi="Arial" w:cs="Arial"/>
          <w:sz w:val="22"/>
          <w:szCs w:val="22"/>
        </w:rPr>
        <w:t>,</w:t>
      </w:r>
      <w:r w:rsidRPr="00A55EAE">
        <w:rPr>
          <w:rFonts w:ascii="Arial" w:hAnsi="Arial" w:cs="Arial"/>
          <w:sz w:val="22"/>
          <w:szCs w:val="22"/>
        </w:rPr>
        <w:t xml:space="preserve"> y </w:t>
      </w:r>
      <w:r>
        <w:rPr>
          <w:rFonts w:ascii="Arial" w:hAnsi="Arial" w:cs="Arial"/>
          <w:sz w:val="22"/>
          <w:szCs w:val="22"/>
        </w:rPr>
        <w:t xml:space="preserve">los reportes de ejecución </w:t>
      </w:r>
      <w:r w:rsidRPr="00A55EAE">
        <w:rPr>
          <w:rFonts w:ascii="Arial" w:hAnsi="Arial" w:cs="Arial"/>
          <w:sz w:val="22"/>
          <w:szCs w:val="22"/>
        </w:rPr>
        <w:t>durante la vigencia del préstamo.</w:t>
      </w:r>
    </w:p>
    <w:p w14:paraId="4DA4D7CE" w14:textId="77777777" w:rsidR="00BA0225" w:rsidRDefault="00BA0225" w:rsidP="00BA0225">
      <w:pPr>
        <w:pStyle w:val="Paragraph"/>
        <w:tabs>
          <w:tab w:val="clear" w:pos="8525"/>
          <w:tab w:val="num" w:pos="720"/>
          <w:tab w:val="num" w:pos="1080"/>
        </w:tabs>
        <w:spacing w:after="0"/>
        <w:ind w:left="720" w:hanging="720"/>
        <w:rPr>
          <w:rFonts w:ascii="Arial" w:hAnsi="Arial" w:cs="Arial"/>
          <w:sz w:val="22"/>
          <w:szCs w:val="22"/>
        </w:rPr>
      </w:pPr>
      <w:r w:rsidRPr="00A55EAE">
        <w:rPr>
          <w:rFonts w:ascii="Arial" w:hAnsi="Arial" w:cs="Arial"/>
          <w:sz w:val="22"/>
          <w:szCs w:val="22"/>
        </w:rPr>
        <w:t xml:space="preserve">El BID podrá solicitar información de soporte adicional </w:t>
      </w:r>
      <w:r>
        <w:rPr>
          <w:rFonts w:ascii="Arial" w:hAnsi="Arial" w:cs="Arial"/>
          <w:sz w:val="22"/>
          <w:szCs w:val="22"/>
        </w:rPr>
        <w:t>(</w:t>
      </w:r>
      <w:r w:rsidRPr="00A55EAE">
        <w:rPr>
          <w:rFonts w:ascii="Arial" w:hAnsi="Arial" w:cs="Arial"/>
          <w:sz w:val="22"/>
          <w:szCs w:val="22"/>
        </w:rPr>
        <w:t>como copia de los permisos, estudios, reportes, análisis interno de NAFIN, entre otros</w:t>
      </w:r>
      <w:r>
        <w:rPr>
          <w:rFonts w:ascii="Arial" w:hAnsi="Arial" w:cs="Arial"/>
          <w:sz w:val="22"/>
          <w:szCs w:val="22"/>
        </w:rPr>
        <w:t>)</w:t>
      </w:r>
      <w:r w:rsidRPr="00A55EAE">
        <w:rPr>
          <w:rFonts w:ascii="Arial" w:hAnsi="Arial" w:cs="Arial"/>
          <w:sz w:val="22"/>
          <w:szCs w:val="22"/>
        </w:rPr>
        <w:t xml:space="preserve">, para confirmar la elegibilidad y clasificación ambiental y social de las Operaciones Elegibles, y </w:t>
      </w:r>
      <w:r>
        <w:rPr>
          <w:rFonts w:ascii="Arial" w:hAnsi="Arial" w:cs="Arial"/>
          <w:sz w:val="22"/>
          <w:szCs w:val="22"/>
        </w:rPr>
        <w:t xml:space="preserve">cuando sea necesario efectuar, </w:t>
      </w:r>
      <w:r w:rsidRPr="00A55EAE">
        <w:rPr>
          <w:rFonts w:ascii="Arial" w:hAnsi="Arial" w:cs="Arial"/>
          <w:sz w:val="22"/>
          <w:szCs w:val="22"/>
        </w:rPr>
        <w:t>en coordinación con NAFIN, actividades de debida diligencia ambiental y social.</w:t>
      </w:r>
    </w:p>
    <w:p w14:paraId="47F7E9DB" w14:textId="77777777" w:rsidR="00BA0225" w:rsidRPr="00DD2B94" w:rsidRDefault="00BA0225" w:rsidP="00BA0225">
      <w:pPr>
        <w:pStyle w:val="Paragraph"/>
        <w:tabs>
          <w:tab w:val="clear" w:pos="8525"/>
          <w:tab w:val="num" w:pos="700"/>
        </w:tabs>
        <w:ind w:left="700" w:hanging="700"/>
        <w:rPr>
          <w:rFonts w:ascii="Arial" w:hAnsi="Arial" w:cs="Arial"/>
          <w:sz w:val="22"/>
          <w:szCs w:val="22"/>
        </w:rPr>
      </w:pPr>
      <w:r w:rsidRPr="00DD2B94">
        <w:rPr>
          <w:rFonts w:ascii="Arial" w:hAnsi="Arial" w:cs="Arial"/>
          <w:b/>
          <w:sz w:val="22"/>
          <w:szCs w:val="22"/>
        </w:rPr>
        <w:t xml:space="preserve">Reasentamiento Involuntario. </w:t>
      </w:r>
      <w:r w:rsidRPr="00DD2B94">
        <w:rPr>
          <w:rFonts w:ascii="Arial" w:hAnsi="Arial" w:cs="Arial"/>
          <w:sz w:val="22"/>
          <w:szCs w:val="22"/>
        </w:rPr>
        <w:t xml:space="preserve">En el caso de proyectos que causen reasentamientos (exceptuando los casos no elegibles descritos en el punto 14.10 Elegibilidad) deberá presentarse para la No-Objeción del BID, como parte del EIAS o AAS, un </w:t>
      </w:r>
      <w:r w:rsidRPr="00DD2B94">
        <w:rPr>
          <w:rFonts w:ascii="Arial" w:hAnsi="Arial" w:cs="Arial"/>
          <w:sz w:val="22"/>
          <w:szCs w:val="22"/>
          <w:lang w:val="es-ES"/>
        </w:rPr>
        <w:t xml:space="preserve">Plan de Reasentamiento Involuntario (PRI) y/o Plan de Restitución de Modos de Vida (PMRV) </w:t>
      </w:r>
      <w:r w:rsidRPr="00DD2B94">
        <w:rPr>
          <w:rFonts w:ascii="Arial" w:hAnsi="Arial" w:cs="Arial"/>
          <w:sz w:val="22"/>
          <w:szCs w:val="22"/>
        </w:rPr>
        <w:t>que demuestren el cumplimiento con el Marco para Reasentamiento Involuntario que se encuentra en el Anexo A, que incluya: consulta y acuerdos con los afectados y pagos de compensaciones para asegurar que el prestatario (desarrollador) tiene la posesión legal de (i) los predios requeridos para la ejecución del proyecto, (ii) las servidumbres, (iii) los permisos u otros derechos necesarios previamente al  inicio de las obras, proyectos, así como de otras acciones de acompañamiento y mitigación y demás acciones previstas en este ROP.</w:t>
      </w:r>
    </w:p>
    <w:p w14:paraId="0CD33F3E" w14:textId="77777777" w:rsidR="00BA0225" w:rsidRDefault="00BA0225" w:rsidP="00BA0225">
      <w:pPr>
        <w:pStyle w:val="Paragraph"/>
        <w:tabs>
          <w:tab w:val="clear" w:pos="8525"/>
          <w:tab w:val="num" w:pos="720"/>
        </w:tabs>
        <w:ind w:left="700" w:hanging="700"/>
        <w:rPr>
          <w:rFonts w:ascii="Arial" w:hAnsi="Arial" w:cs="Arial"/>
          <w:sz w:val="22"/>
          <w:szCs w:val="22"/>
        </w:rPr>
      </w:pPr>
      <w:r>
        <w:rPr>
          <w:rFonts w:ascii="Arial" w:hAnsi="Arial" w:cs="Arial"/>
          <w:b/>
          <w:sz w:val="22"/>
          <w:szCs w:val="22"/>
        </w:rPr>
        <w:t xml:space="preserve">Pueblos Indígenas. </w:t>
      </w:r>
      <w:r>
        <w:rPr>
          <w:rFonts w:ascii="Arial" w:hAnsi="Arial" w:cs="Arial"/>
          <w:sz w:val="22"/>
          <w:szCs w:val="22"/>
        </w:rPr>
        <w:t>Los</w:t>
      </w:r>
      <w:r w:rsidRPr="00A55EAE">
        <w:rPr>
          <w:rFonts w:ascii="Arial" w:hAnsi="Arial" w:cs="Arial"/>
          <w:sz w:val="22"/>
          <w:szCs w:val="22"/>
        </w:rPr>
        <w:t xml:space="preserve"> proyectos que </w:t>
      </w:r>
      <w:r>
        <w:rPr>
          <w:rFonts w:ascii="Arial" w:hAnsi="Arial" w:cs="Arial"/>
          <w:sz w:val="22"/>
          <w:szCs w:val="22"/>
        </w:rPr>
        <w:t>generen impactos o riesgos sobre pueblos indígenas</w:t>
      </w:r>
      <w:r w:rsidRPr="00A55EAE">
        <w:rPr>
          <w:rFonts w:ascii="Arial" w:hAnsi="Arial" w:cs="Arial"/>
          <w:sz w:val="22"/>
          <w:szCs w:val="22"/>
        </w:rPr>
        <w:t xml:space="preserve">, </w:t>
      </w:r>
      <w:r>
        <w:rPr>
          <w:rFonts w:ascii="Arial" w:hAnsi="Arial" w:cs="Arial"/>
          <w:sz w:val="22"/>
          <w:szCs w:val="22"/>
        </w:rPr>
        <w:t xml:space="preserve">no incluidos en la lista de excepción descritos en el punto 14.10 anterior, </w:t>
      </w:r>
      <w:r w:rsidRPr="00A55EAE">
        <w:rPr>
          <w:rFonts w:ascii="Arial" w:hAnsi="Arial" w:cs="Arial"/>
          <w:sz w:val="22"/>
          <w:szCs w:val="22"/>
        </w:rPr>
        <w:t>deberá</w:t>
      </w:r>
      <w:r>
        <w:rPr>
          <w:rFonts w:ascii="Arial" w:hAnsi="Arial" w:cs="Arial"/>
          <w:sz w:val="22"/>
          <w:szCs w:val="22"/>
        </w:rPr>
        <w:t>n</w:t>
      </w:r>
      <w:r w:rsidRPr="00A55EAE">
        <w:rPr>
          <w:rFonts w:ascii="Arial" w:hAnsi="Arial" w:cs="Arial"/>
          <w:sz w:val="22"/>
          <w:szCs w:val="22"/>
        </w:rPr>
        <w:t xml:space="preserve"> presentarse a </w:t>
      </w:r>
      <w:r>
        <w:rPr>
          <w:rFonts w:ascii="Arial" w:hAnsi="Arial" w:cs="Arial"/>
          <w:sz w:val="22"/>
          <w:szCs w:val="22"/>
        </w:rPr>
        <w:t xml:space="preserve">para </w:t>
      </w:r>
      <w:r w:rsidRPr="00A55EAE">
        <w:rPr>
          <w:rFonts w:ascii="Arial" w:hAnsi="Arial" w:cs="Arial"/>
          <w:sz w:val="22"/>
          <w:szCs w:val="22"/>
        </w:rPr>
        <w:t>la No-Objeción del BID</w:t>
      </w:r>
      <w:r>
        <w:rPr>
          <w:rFonts w:ascii="Arial" w:hAnsi="Arial" w:cs="Arial"/>
          <w:sz w:val="22"/>
          <w:szCs w:val="22"/>
        </w:rPr>
        <w:t>, incluyendo, como parte del EIAS o AAS</w:t>
      </w:r>
      <w:r w:rsidRPr="00A55EAE">
        <w:rPr>
          <w:rFonts w:ascii="Arial" w:hAnsi="Arial" w:cs="Arial"/>
          <w:sz w:val="22"/>
          <w:szCs w:val="22"/>
        </w:rPr>
        <w:t xml:space="preserve">, un </w:t>
      </w:r>
      <w:r w:rsidRPr="00C047F9">
        <w:rPr>
          <w:rFonts w:ascii="Arial" w:hAnsi="Arial" w:cs="Arial"/>
          <w:sz w:val="22"/>
          <w:szCs w:val="22"/>
          <w:lang w:val="es-ES"/>
        </w:rPr>
        <w:t>Plan de Pueblos indígenas (PPI),</w:t>
      </w:r>
      <w:r w:rsidRPr="00AE35B8">
        <w:rPr>
          <w:rFonts w:ascii="Arial" w:hAnsi="Arial" w:cs="Arial"/>
          <w:sz w:val="22"/>
          <w:szCs w:val="22"/>
          <w:lang w:val="es-ES"/>
        </w:rPr>
        <w:t xml:space="preserve"> </w:t>
      </w:r>
      <w:r w:rsidRPr="00A55EAE">
        <w:rPr>
          <w:rFonts w:ascii="Arial" w:hAnsi="Arial" w:cs="Arial"/>
          <w:sz w:val="22"/>
          <w:szCs w:val="22"/>
        </w:rPr>
        <w:t xml:space="preserve">que </w:t>
      </w:r>
      <w:r>
        <w:rPr>
          <w:rFonts w:ascii="Arial" w:hAnsi="Arial" w:cs="Arial"/>
          <w:sz w:val="22"/>
          <w:szCs w:val="22"/>
        </w:rPr>
        <w:t xml:space="preserve">demuestre </w:t>
      </w:r>
      <w:r w:rsidRPr="00A55EAE">
        <w:rPr>
          <w:rFonts w:ascii="Arial" w:hAnsi="Arial" w:cs="Arial"/>
          <w:sz w:val="22"/>
          <w:szCs w:val="22"/>
        </w:rPr>
        <w:t xml:space="preserve">el cumplimiento </w:t>
      </w:r>
      <w:r>
        <w:rPr>
          <w:rFonts w:ascii="Arial" w:hAnsi="Arial" w:cs="Arial"/>
          <w:sz w:val="22"/>
          <w:szCs w:val="22"/>
        </w:rPr>
        <w:t xml:space="preserve">con el Marco para Pueblos Indígenas que se encuentra en el Anexo B incluyendo consultas y acuerdos sobre usos de suelo en tierras ejidales y comunales, pagos y </w:t>
      </w:r>
      <w:r w:rsidRPr="00A55EAE">
        <w:rPr>
          <w:rFonts w:ascii="Arial" w:hAnsi="Arial" w:cs="Arial"/>
          <w:sz w:val="22"/>
          <w:szCs w:val="22"/>
        </w:rPr>
        <w:t>compensaciones, y demás acciones previstas en este ROP</w:t>
      </w:r>
      <w:r>
        <w:rPr>
          <w:rFonts w:ascii="Arial" w:hAnsi="Arial" w:cs="Arial"/>
          <w:sz w:val="22"/>
          <w:szCs w:val="22"/>
        </w:rPr>
        <w:t>, para garantizar la posesión legal de los predios requeridos por el proyecto, los derechos y permisos necesarios antes de iniciar las obras.</w:t>
      </w:r>
    </w:p>
    <w:p w14:paraId="1F2DE858" w14:textId="77777777" w:rsidR="00BA0225" w:rsidRDefault="00BA0225" w:rsidP="00BA0225">
      <w:pPr>
        <w:pStyle w:val="Paragraph"/>
        <w:tabs>
          <w:tab w:val="clear" w:pos="8525"/>
          <w:tab w:val="num" w:pos="720"/>
        </w:tabs>
        <w:ind w:left="700" w:hanging="700"/>
        <w:rPr>
          <w:rFonts w:ascii="Arial" w:hAnsi="Arial" w:cs="Arial"/>
          <w:sz w:val="22"/>
          <w:szCs w:val="22"/>
          <w:shd w:val="clear" w:color="auto" w:fill="FFFFFF"/>
        </w:rPr>
      </w:pPr>
      <w:r>
        <w:rPr>
          <w:rFonts w:ascii="Arial" w:hAnsi="Arial" w:cs="Arial"/>
          <w:b/>
          <w:sz w:val="22"/>
          <w:szCs w:val="22"/>
        </w:rPr>
        <w:t xml:space="preserve">Riesgo de Desastres Naturales. </w:t>
      </w:r>
      <w:r>
        <w:rPr>
          <w:rFonts w:ascii="Arial" w:hAnsi="Arial" w:cs="Arial"/>
          <w:sz w:val="22"/>
          <w:szCs w:val="22"/>
        </w:rPr>
        <w:t>Para</w:t>
      </w:r>
      <w:r w:rsidRPr="00FB1C39">
        <w:rPr>
          <w:rFonts w:ascii="Arial" w:hAnsi="Arial" w:cs="Arial"/>
          <w:sz w:val="22"/>
          <w:szCs w:val="22"/>
        </w:rPr>
        <w:t xml:space="preserve"> todos los proyectos, </w:t>
      </w:r>
      <w:r>
        <w:rPr>
          <w:rFonts w:ascii="Arial" w:hAnsi="Arial" w:cs="Arial"/>
          <w:sz w:val="22"/>
          <w:szCs w:val="22"/>
        </w:rPr>
        <w:t xml:space="preserve">a efectos de mitigar el riesgo de desastres naturales Tipo 1 y Tipo 2, </w:t>
      </w:r>
      <w:r w:rsidRPr="00A55EAE">
        <w:rPr>
          <w:rFonts w:ascii="Arial" w:hAnsi="Arial" w:cs="Arial"/>
          <w:sz w:val="22"/>
          <w:szCs w:val="22"/>
        </w:rPr>
        <w:t>deberá presentarse a la No-Objeción del BID</w:t>
      </w:r>
      <w:r>
        <w:rPr>
          <w:rFonts w:ascii="Arial" w:hAnsi="Arial" w:cs="Arial"/>
          <w:sz w:val="22"/>
          <w:szCs w:val="22"/>
        </w:rPr>
        <w:t xml:space="preserve">, como parte del EIAS o AAS </w:t>
      </w:r>
      <w:r w:rsidRPr="00FB1C39">
        <w:rPr>
          <w:rFonts w:ascii="Arial" w:hAnsi="Arial" w:cs="Arial"/>
          <w:sz w:val="22"/>
          <w:szCs w:val="22"/>
          <w:shd w:val="clear" w:color="auto" w:fill="FFFFFF"/>
        </w:rPr>
        <w:t xml:space="preserve">(a) </w:t>
      </w:r>
      <w:r w:rsidRPr="00996282">
        <w:rPr>
          <w:rFonts w:ascii="Arial" w:hAnsi="Arial" w:cs="Arial"/>
          <w:sz w:val="22"/>
          <w:szCs w:val="22"/>
          <w:shd w:val="clear" w:color="auto" w:fill="FFFFFF"/>
        </w:rPr>
        <w:t>un</w:t>
      </w:r>
      <w:r>
        <w:rPr>
          <w:rFonts w:ascii="Arial" w:hAnsi="Arial" w:cs="Arial"/>
          <w:sz w:val="22"/>
          <w:szCs w:val="22"/>
          <w:shd w:val="clear" w:color="auto" w:fill="FFFFFF"/>
        </w:rPr>
        <w:t xml:space="preserve">a Evaluación del Riesgo de Desastres Naturales; (b) un </w:t>
      </w:r>
      <w:r w:rsidRPr="00996282">
        <w:rPr>
          <w:rFonts w:ascii="Arial" w:hAnsi="Arial" w:cs="Arial"/>
          <w:sz w:val="22"/>
          <w:szCs w:val="22"/>
          <w:shd w:val="clear" w:color="auto" w:fill="FFFFFF"/>
        </w:rPr>
        <w:t>Plan de Gestión de Riesgo de Desastres y Plan de Atención a Emergencias que define</w:t>
      </w:r>
      <w:r>
        <w:rPr>
          <w:rFonts w:ascii="Arial" w:hAnsi="Arial" w:cs="Arial"/>
          <w:sz w:val="22"/>
          <w:szCs w:val="22"/>
          <w:shd w:val="clear" w:color="auto" w:fill="FFFFFF"/>
        </w:rPr>
        <w:t>n</w:t>
      </w:r>
      <w:r w:rsidRPr="00996282">
        <w:rPr>
          <w:rFonts w:ascii="Arial" w:hAnsi="Arial" w:cs="Arial"/>
          <w:sz w:val="22"/>
          <w:szCs w:val="22"/>
          <w:shd w:val="clear" w:color="auto" w:fill="FFFFFF"/>
        </w:rPr>
        <w:t xml:space="preserve"> los procedimientos para ejecutar en el caso de un desastre natural</w:t>
      </w:r>
      <w:r>
        <w:rPr>
          <w:rStyle w:val="FootnoteReference"/>
          <w:rFonts w:ascii="Arial" w:hAnsi="Arial" w:cs="Arial"/>
          <w:sz w:val="22"/>
          <w:szCs w:val="22"/>
          <w:shd w:val="clear" w:color="auto" w:fill="FFFFFF"/>
        </w:rPr>
        <w:footnoteReference w:id="10"/>
      </w:r>
      <w:r>
        <w:rPr>
          <w:rFonts w:ascii="Arial" w:hAnsi="Arial" w:cs="Arial"/>
          <w:sz w:val="22"/>
          <w:szCs w:val="22"/>
          <w:shd w:val="clear" w:color="auto" w:fill="FFFFFF"/>
        </w:rPr>
        <w:t xml:space="preserve">; </w:t>
      </w:r>
      <w:r w:rsidRPr="00FB1C39">
        <w:rPr>
          <w:rFonts w:ascii="Arial" w:hAnsi="Arial" w:cs="Arial"/>
          <w:sz w:val="22"/>
          <w:szCs w:val="22"/>
          <w:shd w:val="clear" w:color="auto" w:fill="FFFFFF"/>
        </w:rPr>
        <w:t>(</w:t>
      </w:r>
      <w:r>
        <w:rPr>
          <w:rFonts w:ascii="Arial" w:hAnsi="Arial" w:cs="Arial"/>
          <w:sz w:val="22"/>
          <w:szCs w:val="22"/>
          <w:shd w:val="clear" w:color="auto" w:fill="FFFFFF"/>
        </w:rPr>
        <w:t>c</w:t>
      </w:r>
      <w:r w:rsidRPr="00FB1C39">
        <w:rPr>
          <w:rFonts w:ascii="Arial" w:hAnsi="Arial" w:cs="Arial"/>
          <w:sz w:val="22"/>
          <w:szCs w:val="22"/>
          <w:shd w:val="clear" w:color="auto" w:fill="FFFFFF"/>
        </w:rPr>
        <w:t xml:space="preserve">) un Plan </w:t>
      </w:r>
      <w:r w:rsidRPr="00FB1C39">
        <w:rPr>
          <w:rFonts w:ascii="Arial" w:hAnsi="Arial" w:cs="Arial"/>
          <w:sz w:val="22"/>
          <w:szCs w:val="22"/>
          <w:shd w:val="clear" w:color="auto" w:fill="FFFFFF"/>
        </w:rPr>
        <w:lastRenderedPageBreak/>
        <w:t>Participativo de Monitoreo de Agua, y (</w:t>
      </w:r>
      <w:r>
        <w:rPr>
          <w:rFonts w:ascii="Arial" w:hAnsi="Arial" w:cs="Arial"/>
          <w:sz w:val="22"/>
          <w:szCs w:val="22"/>
          <w:shd w:val="clear" w:color="auto" w:fill="FFFFFF"/>
        </w:rPr>
        <w:t>d</w:t>
      </w:r>
      <w:r w:rsidRPr="00FB1C39">
        <w:rPr>
          <w:rFonts w:ascii="Arial" w:hAnsi="Arial" w:cs="Arial"/>
          <w:sz w:val="22"/>
          <w:szCs w:val="22"/>
          <w:shd w:val="clear" w:color="auto" w:fill="FFFFFF"/>
        </w:rPr>
        <w:t xml:space="preserve">) un </w:t>
      </w:r>
      <w:r w:rsidRPr="00996282">
        <w:rPr>
          <w:rFonts w:ascii="Arial" w:hAnsi="Arial" w:cs="Arial"/>
          <w:sz w:val="22"/>
          <w:szCs w:val="22"/>
          <w:shd w:val="clear" w:color="auto" w:fill="FFFFFF"/>
        </w:rPr>
        <w:t>Análisis</w:t>
      </w:r>
      <w:r w:rsidRPr="00FB1C39">
        <w:rPr>
          <w:rFonts w:ascii="Arial" w:hAnsi="Arial" w:cs="Arial"/>
          <w:sz w:val="22"/>
          <w:szCs w:val="22"/>
          <w:shd w:val="clear" w:color="auto" w:fill="FFFFFF"/>
        </w:rPr>
        <w:t xml:space="preserve"> de la Disponibilidad del </w:t>
      </w:r>
      <w:r w:rsidRPr="00996282">
        <w:rPr>
          <w:rFonts w:ascii="Arial" w:hAnsi="Arial" w:cs="Arial"/>
          <w:sz w:val="22"/>
          <w:szCs w:val="22"/>
          <w:shd w:val="clear" w:color="auto" w:fill="FFFFFF"/>
        </w:rPr>
        <w:t>Agua</w:t>
      </w:r>
      <w:r w:rsidRPr="00FB1C39">
        <w:rPr>
          <w:rFonts w:ascii="Arial" w:hAnsi="Arial" w:cs="Arial"/>
          <w:sz w:val="22"/>
          <w:szCs w:val="22"/>
          <w:shd w:val="clear" w:color="auto" w:fill="FFFFFF"/>
        </w:rPr>
        <w:t xml:space="preserve"> que identifica una fuente de agua técnicamente factible, cuyo uso en el desarrollo geotérmico no afectaría negativamente la disponibilidad de agua para el consumo humano o para los servicios ecosistémicos</w:t>
      </w:r>
      <w:r>
        <w:rPr>
          <w:rFonts w:ascii="Arial" w:hAnsi="Arial" w:cs="Arial"/>
          <w:sz w:val="22"/>
          <w:szCs w:val="22"/>
          <w:shd w:val="clear" w:color="auto" w:fill="FFFFFF"/>
        </w:rPr>
        <w:t xml:space="preserve">. </w:t>
      </w:r>
    </w:p>
    <w:p w14:paraId="3F374200" w14:textId="77777777" w:rsidR="00BA0225" w:rsidRPr="00FB1C39" w:rsidRDefault="00BA0225" w:rsidP="00BA0225">
      <w:pPr>
        <w:pStyle w:val="Paragraph"/>
        <w:tabs>
          <w:tab w:val="clear" w:pos="8525"/>
          <w:tab w:val="num" w:pos="720"/>
        </w:tabs>
        <w:ind w:left="700" w:hanging="700"/>
        <w:rPr>
          <w:rFonts w:ascii="Arial" w:hAnsi="Arial" w:cs="Arial"/>
          <w:sz w:val="22"/>
          <w:szCs w:val="22"/>
          <w:shd w:val="clear" w:color="auto" w:fill="FFFFFF"/>
        </w:rPr>
      </w:pPr>
      <w:r>
        <w:rPr>
          <w:rFonts w:ascii="Arial" w:hAnsi="Arial" w:cs="Arial"/>
          <w:b/>
          <w:sz w:val="22"/>
          <w:szCs w:val="22"/>
        </w:rPr>
        <w:t xml:space="preserve">Género. </w:t>
      </w:r>
      <w:r w:rsidRPr="00EB17F5">
        <w:rPr>
          <w:rFonts w:ascii="Arial" w:hAnsi="Arial" w:cs="Arial"/>
          <w:sz w:val="22"/>
          <w:szCs w:val="22"/>
        </w:rPr>
        <w:t xml:space="preserve">La política de genero </w:t>
      </w:r>
      <w:r>
        <w:rPr>
          <w:rFonts w:ascii="Arial" w:hAnsi="Arial" w:cs="Arial"/>
          <w:sz w:val="22"/>
          <w:szCs w:val="22"/>
        </w:rPr>
        <w:t xml:space="preserve">(OP 761) </w:t>
      </w:r>
      <w:r w:rsidRPr="00EB17F5">
        <w:rPr>
          <w:rFonts w:ascii="Arial" w:hAnsi="Arial" w:cs="Arial"/>
          <w:sz w:val="22"/>
          <w:szCs w:val="22"/>
        </w:rPr>
        <w:t>aplica en todos los proyectos principalmente en tres aspectos:</w:t>
      </w:r>
      <w:r>
        <w:rPr>
          <w:rFonts w:ascii="Arial" w:hAnsi="Arial" w:cs="Arial"/>
          <w:sz w:val="22"/>
          <w:szCs w:val="22"/>
        </w:rPr>
        <w:t xml:space="preserve"> i) estrategia de consulta para asegurar la participación de las mujeres y tomar en cuenta en la toma de decisiones; ii) promover medidas que aseguren su participación en los posibles beneficios del proyecto (generación de empleo, capacitación, por ejemplo) y iii) medidas para evitar riesgos impactos diferenciados por género (violencia de género, por ejemplo). Al respecto, </w:t>
      </w:r>
      <w:r w:rsidRPr="00A55EAE">
        <w:rPr>
          <w:rFonts w:ascii="Arial" w:hAnsi="Arial" w:cs="Arial"/>
          <w:sz w:val="22"/>
          <w:szCs w:val="22"/>
        </w:rPr>
        <w:t xml:space="preserve">deberá presentarse </w:t>
      </w:r>
      <w:r>
        <w:rPr>
          <w:rFonts w:ascii="Arial" w:hAnsi="Arial" w:cs="Arial"/>
          <w:sz w:val="22"/>
          <w:szCs w:val="22"/>
        </w:rPr>
        <w:t xml:space="preserve">para </w:t>
      </w:r>
      <w:r w:rsidRPr="00A55EAE">
        <w:rPr>
          <w:rFonts w:ascii="Arial" w:hAnsi="Arial" w:cs="Arial"/>
          <w:sz w:val="22"/>
          <w:szCs w:val="22"/>
        </w:rPr>
        <w:t>la No-Objeción del BID</w:t>
      </w:r>
      <w:r>
        <w:rPr>
          <w:rFonts w:ascii="Arial" w:hAnsi="Arial" w:cs="Arial"/>
          <w:sz w:val="22"/>
          <w:szCs w:val="22"/>
        </w:rPr>
        <w:t xml:space="preserve"> un Plan de Acción de Género como parte del EIAS o AAS, </w:t>
      </w:r>
      <w:r w:rsidRPr="00A55EAE">
        <w:rPr>
          <w:rFonts w:ascii="Arial" w:hAnsi="Arial" w:cs="Arial"/>
          <w:sz w:val="22"/>
          <w:szCs w:val="22"/>
        </w:rPr>
        <w:t xml:space="preserve">que </w:t>
      </w:r>
      <w:r>
        <w:rPr>
          <w:rFonts w:ascii="Arial" w:hAnsi="Arial" w:cs="Arial"/>
          <w:sz w:val="22"/>
          <w:szCs w:val="22"/>
        </w:rPr>
        <w:t xml:space="preserve">demuestre </w:t>
      </w:r>
      <w:r w:rsidRPr="00A55EAE">
        <w:rPr>
          <w:rFonts w:ascii="Arial" w:hAnsi="Arial" w:cs="Arial"/>
          <w:sz w:val="22"/>
          <w:szCs w:val="22"/>
        </w:rPr>
        <w:t xml:space="preserve">el cumplimiento </w:t>
      </w:r>
      <w:r>
        <w:rPr>
          <w:rFonts w:ascii="Arial" w:hAnsi="Arial" w:cs="Arial"/>
          <w:sz w:val="22"/>
          <w:szCs w:val="22"/>
        </w:rPr>
        <w:t xml:space="preserve">con el Marco para Género que se encuentra en el anexo C. </w:t>
      </w:r>
    </w:p>
    <w:p w14:paraId="45EBBF29" w14:textId="77777777" w:rsidR="00BA0225" w:rsidRPr="00B4367E" w:rsidRDefault="00BA0225" w:rsidP="00BA0225">
      <w:pPr>
        <w:pStyle w:val="Paragraph"/>
        <w:tabs>
          <w:tab w:val="clear" w:pos="8525"/>
        </w:tabs>
        <w:ind w:left="720" w:hanging="720"/>
        <w:rPr>
          <w:rFonts w:ascii="Arial" w:hAnsi="Arial" w:cs="Arial"/>
          <w:sz w:val="22"/>
          <w:lang w:val="es-ES"/>
        </w:rPr>
      </w:pPr>
      <w:r>
        <w:rPr>
          <w:rFonts w:ascii="Arial" w:hAnsi="Arial" w:cs="Arial"/>
          <w:b/>
          <w:sz w:val="22"/>
          <w:szCs w:val="22"/>
        </w:rPr>
        <w:t xml:space="preserve">Consultas </w:t>
      </w:r>
      <w:r w:rsidRPr="00B4367E">
        <w:rPr>
          <w:rFonts w:ascii="Arial" w:hAnsi="Arial" w:cs="Arial"/>
          <w:b/>
          <w:sz w:val="22"/>
          <w:szCs w:val="22"/>
        </w:rPr>
        <w:t xml:space="preserve">y Participación de Partes Interesadas. </w:t>
      </w:r>
      <w:r w:rsidRPr="00B4367E">
        <w:rPr>
          <w:rFonts w:ascii="Arial" w:hAnsi="Arial" w:cs="Arial"/>
          <w:sz w:val="22"/>
          <w:szCs w:val="22"/>
        </w:rPr>
        <w:t xml:space="preserve">Durante la vigencia del préstamo, NAFIN implementará </w:t>
      </w:r>
      <w:r w:rsidRPr="00B4367E">
        <w:rPr>
          <w:rFonts w:ascii="Arial" w:hAnsi="Arial" w:cs="Arial"/>
          <w:sz w:val="22"/>
          <w:szCs w:val="22"/>
          <w:shd w:val="clear" w:color="auto" w:fill="FFFFFF"/>
        </w:rPr>
        <w:t xml:space="preserve">un mecanismo de consultas y manejo de quejas y reclamos </w:t>
      </w:r>
      <w:r>
        <w:rPr>
          <w:rFonts w:ascii="Arial" w:hAnsi="Arial" w:cs="Arial"/>
          <w:sz w:val="22"/>
          <w:szCs w:val="22"/>
          <w:shd w:val="clear" w:color="auto" w:fill="FFFFFF"/>
        </w:rPr>
        <w:t>y requerirá a los responsables de los subproyectos planes de consulta específicos que corresponden</w:t>
      </w:r>
      <w:r w:rsidRPr="00B4367E">
        <w:rPr>
          <w:rFonts w:ascii="Arial" w:hAnsi="Arial" w:cs="Arial"/>
          <w:sz w:val="22"/>
          <w:szCs w:val="22"/>
          <w:shd w:val="clear" w:color="auto" w:fill="FFFFFF"/>
        </w:rPr>
        <w:t xml:space="preserve"> </w:t>
      </w:r>
      <w:r>
        <w:rPr>
          <w:rFonts w:ascii="Arial" w:hAnsi="Arial" w:cs="Arial"/>
          <w:sz w:val="22"/>
          <w:szCs w:val="22"/>
          <w:shd w:val="clear" w:color="auto" w:fill="FFFFFF"/>
        </w:rPr>
        <w:t>a</w:t>
      </w:r>
      <w:r w:rsidRPr="00B4367E">
        <w:rPr>
          <w:rFonts w:ascii="Arial" w:hAnsi="Arial" w:cs="Arial"/>
          <w:sz w:val="22"/>
          <w:szCs w:val="22"/>
          <w:shd w:val="clear" w:color="auto" w:fill="FFFFFF"/>
        </w:rPr>
        <w:t>l carácter técnico de cada subproyecto (exploración o explotación; beneficiario público o privado)</w:t>
      </w:r>
      <w:r>
        <w:rPr>
          <w:rFonts w:ascii="Arial" w:hAnsi="Arial" w:cs="Arial"/>
          <w:sz w:val="22"/>
          <w:szCs w:val="22"/>
          <w:shd w:val="clear" w:color="auto" w:fill="FFFFFF"/>
        </w:rPr>
        <w:t xml:space="preserve"> y a la categoría ambiental del mismo</w:t>
      </w:r>
      <w:r w:rsidRPr="00B4367E">
        <w:rPr>
          <w:rFonts w:ascii="Arial" w:hAnsi="Arial" w:cs="Arial"/>
          <w:sz w:val="22"/>
          <w:szCs w:val="22"/>
          <w:shd w:val="clear" w:color="auto" w:fill="FFFFFF"/>
        </w:rPr>
        <w:t xml:space="preserve">. </w:t>
      </w:r>
      <w:r>
        <w:rPr>
          <w:rFonts w:ascii="Arial" w:hAnsi="Arial" w:cs="Arial"/>
          <w:sz w:val="22"/>
          <w:szCs w:val="22"/>
          <w:shd w:val="clear" w:color="auto" w:fill="FFFFFF"/>
        </w:rPr>
        <w:t xml:space="preserve">Para tal fin, </w:t>
      </w:r>
      <w:r w:rsidRPr="00B4367E">
        <w:rPr>
          <w:rFonts w:ascii="Arial" w:hAnsi="Arial" w:cs="Arial"/>
          <w:sz w:val="22"/>
          <w:szCs w:val="22"/>
          <w:shd w:val="clear" w:color="auto" w:fill="FFFFFF"/>
        </w:rPr>
        <w:t>durante la vigencia del préstamo</w:t>
      </w:r>
      <w:r>
        <w:rPr>
          <w:rFonts w:ascii="Arial" w:hAnsi="Arial" w:cs="Arial"/>
          <w:sz w:val="22"/>
          <w:szCs w:val="22"/>
          <w:shd w:val="clear" w:color="auto" w:fill="FFFFFF"/>
        </w:rPr>
        <w:t xml:space="preserve"> NAFIN</w:t>
      </w:r>
      <w:r w:rsidRPr="00B4367E">
        <w:rPr>
          <w:rFonts w:ascii="Arial" w:hAnsi="Arial" w:cs="Arial"/>
          <w:sz w:val="22"/>
          <w:szCs w:val="22"/>
          <w:shd w:val="clear" w:color="auto" w:fill="FFFFFF"/>
        </w:rPr>
        <w:t>: (i) aprobará el contenido y alcance de la consulta de cada subproyecto</w:t>
      </w:r>
      <w:r w:rsidRPr="00B4367E">
        <w:rPr>
          <w:rFonts w:ascii="Arial" w:hAnsi="Arial" w:cs="Arial"/>
          <w:b/>
          <w:sz w:val="22"/>
          <w:szCs w:val="22"/>
          <w:shd w:val="clear" w:color="auto" w:fill="FFFFFF"/>
        </w:rPr>
        <w:t xml:space="preserve"> </w:t>
      </w:r>
      <w:r w:rsidRPr="00B4367E">
        <w:rPr>
          <w:rFonts w:ascii="Arial" w:hAnsi="Arial" w:cs="Arial"/>
          <w:sz w:val="22"/>
          <w:szCs w:val="22"/>
          <w:shd w:val="clear" w:color="auto" w:fill="FFFFFF"/>
        </w:rPr>
        <w:t xml:space="preserve">así como los mecanismos más adecuados para su ejecución </w:t>
      </w:r>
      <w:r>
        <w:rPr>
          <w:rFonts w:ascii="Arial" w:hAnsi="Arial" w:cs="Arial"/>
          <w:sz w:val="22"/>
          <w:szCs w:val="22"/>
          <w:shd w:val="clear" w:color="auto" w:fill="FFFFFF"/>
        </w:rPr>
        <w:t xml:space="preserve">tomando en cuenta la participación de las mujeres y adecuarse a las condiciones socioculturales en caso de pueblos indígenas </w:t>
      </w:r>
      <w:r w:rsidRPr="00B4367E">
        <w:rPr>
          <w:rFonts w:ascii="Arial" w:hAnsi="Arial" w:cs="Arial"/>
          <w:sz w:val="22"/>
          <w:szCs w:val="22"/>
          <w:shd w:val="clear" w:color="auto" w:fill="FFFFFF"/>
        </w:rPr>
        <w:t>(a través de los promotores de los proyectos o consultores especializados</w:t>
      </w:r>
      <w:r>
        <w:rPr>
          <w:rFonts w:ascii="Arial" w:hAnsi="Arial" w:cs="Arial"/>
          <w:sz w:val="22"/>
          <w:szCs w:val="22"/>
          <w:shd w:val="clear" w:color="auto" w:fill="FFFFFF"/>
        </w:rPr>
        <w:t>)</w:t>
      </w:r>
      <w:r w:rsidRPr="00B4367E">
        <w:rPr>
          <w:rFonts w:ascii="Arial" w:hAnsi="Arial" w:cs="Arial"/>
          <w:sz w:val="22"/>
          <w:szCs w:val="22"/>
          <w:shd w:val="clear" w:color="auto" w:fill="FFFFFF"/>
        </w:rPr>
        <w:t xml:space="preserve">; (ii) asegurará que se lleve a cabo un adecuado registro del proceso que garantice la </w:t>
      </w:r>
      <w:r>
        <w:rPr>
          <w:rFonts w:ascii="Arial" w:hAnsi="Arial" w:cs="Arial"/>
          <w:sz w:val="22"/>
          <w:szCs w:val="22"/>
          <w:shd w:val="clear" w:color="auto" w:fill="FFFFFF"/>
        </w:rPr>
        <w:t xml:space="preserve">buena fe en la ejecución y </w:t>
      </w:r>
      <w:r w:rsidRPr="00B4367E">
        <w:rPr>
          <w:rFonts w:ascii="Arial" w:hAnsi="Arial" w:cs="Arial"/>
          <w:sz w:val="22"/>
          <w:szCs w:val="22"/>
          <w:shd w:val="clear" w:color="auto" w:fill="FFFFFF"/>
        </w:rPr>
        <w:t>transparencia del mismo; (iii) será responsable de presentar para la no-objeción del Banco un informe de la consulta que incluya</w:t>
      </w:r>
      <w:r>
        <w:rPr>
          <w:rFonts w:ascii="Arial" w:hAnsi="Arial" w:cs="Arial"/>
          <w:sz w:val="22"/>
          <w:szCs w:val="22"/>
          <w:shd w:val="clear" w:color="auto" w:fill="FFFFFF"/>
        </w:rPr>
        <w:t xml:space="preserve"> la estrategia y protocolos aplicados adecuados a la población objetivo,</w:t>
      </w:r>
      <w:r w:rsidRPr="00B4367E">
        <w:rPr>
          <w:rFonts w:ascii="Arial" w:hAnsi="Arial" w:cs="Arial"/>
          <w:sz w:val="22"/>
          <w:szCs w:val="22"/>
          <w:shd w:val="clear" w:color="auto" w:fill="FFFFFF"/>
        </w:rPr>
        <w:t xml:space="preserve"> un resumen de las presentaciones, </w:t>
      </w:r>
      <w:r>
        <w:rPr>
          <w:rFonts w:ascii="Arial" w:hAnsi="Arial" w:cs="Arial"/>
          <w:sz w:val="22"/>
          <w:szCs w:val="22"/>
          <w:shd w:val="clear" w:color="auto" w:fill="FFFFFF"/>
        </w:rPr>
        <w:t xml:space="preserve">registro de </w:t>
      </w:r>
      <w:r w:rsidRPr="00B4367E">
        <w:rPr>
          <w:rFonts w:ascii="Arial" w:hAnsi="Arial" w:cs="Arial"/>
          <w:sz w:val="22"/>
          <w:szCs w:val="22"/>
          <w:shd w:val="clear" w:color="auto" w:fill="FFFFFF"/>
        </w:rPr>
        <w:t>asistentes</w:t>
      </w:r>
      <w:r>
        <w:rPr>
          <w:rFonts w:ascii="Arial" w:hAnsi="Arial" w:cs="Arial"/>
          <w:sz w:val="22"/>
          <w:szCs w:val="22"/>
          <w:shd w:val="clear" w:color="auto" w:fill="FFFFFF"/>
        </w:rPr>
        <w:t xml:space="preserve"> desagregada por género y</w:t>
      </w:r>
      <w:r w:rsidRPr="00B4367E">
        <w:rPr>
          <w:rFonts w:ascii="Arial" w:hAnsi="Arial" w:cs="Arial"/>
          <w:sz w:val="22"/>
          <w:szCs w:val="22"/>
          <w:shd w:val="clear" w:color="auto" w:fill="FFFFFF"/>
        </w:rPr>
        <w:t xml:space="preserve"> evidencia visual de las consultas</w:t>
      </w:r>
      <w:r>
        <w:rPr>
          <w:rFonts w:ascii="Arial" w:hAnsi="Arial" w:cs="Arial"/>
          <w:sz w:val="22"/>
          <w:szCs w:val="22"/>
          <w:shd w:val="clear" w:color="auto" w:fill="FFFFFF"/>
        </w:rPr>
        <w:t>:</w:t>
      </w:r>
      <w:r w:rsidRPr="00B4367E">
        <w:rPr>
          <w:rFonts w:ascii="Arial" w:hAnsi="Arial" w:cs="Arial"/>
          <w:sz w:val="22"/>
          <w:szCs w:val="22"/>
          <w:shd w:val="clear" w:color="auto" w:fill="FFFFFF"/>
        </w:rPr>
        <w:t xml:space="preserve"> </w:t>
      </w:r>
      <w:r>
        <w:rPr>
          <w:rFonts w:ascii="Arial" w:hAnsi="Arial" w:cs="Arial"/>
          <w:sz w:val="22"/>
          <w:szCs w:val="22"/>
          <w:shd w:val="clear" w:color="auto" w:fill="FFFFFF"/>
        </w:rPr>
        <w:t xml:space="preserve">iii) </w:t>
      </w:r>
      <w:r w:rsidRPr="00B4367E">
        <w:rPr>
          <w:rFonts w:ascii="Arial" w:hAnsi="Arial" w:cs="Arial"/>
          <w:sz w:val="22"/>
          <w:szCs w:val="22"/>
          <w:shd w:val="clear" w:color="auto" w:fill="FFFFFF"/>
        </w:rPr>
        <w:t xml:space="preserve">un resumen de las </w:t>
      </w:r>
      <w:r>
        <w:rPr>
          <w:rFonts w:ascii="Arial" w:hAnsi="Arial" w:cs="Arial"/>
          <w:sz w:val="22"/>
          <w:szCs w:val="22"/>
          <w:shd w:val="clear" w:color="auto" w:fill="FFFFFF"/>
        </w:rPr>
        <w:t xml:space="preserve">principales </w:t>
      </w:r>
      <w:r w:rsidRPr="00B4367E">
        <w:rPr>
          <w:rFonts w:ascii="Arial" w:hAnsi="Arial" w:cs="Arial"/>
          <w:sz w:val="22"/>
          <w:szCs w:val="22"/>
          <w:shd w:val="clear" w:color="auto" w:fill="FFFFFF"/>
        </w:rPr>
        <w:t xml:space="preserve">inquietudes y preguntas planteadas, </w:t>
      </w:r>
      <w:r>
        <w:rPr>
          <w:rFonts w:ascii="Arial" w:hAnsi="Arial" w:cs="Arial"/>
          <w:sz w:val="22"/>
          <w:szCs w:val="22"/>
          <w:shd w:val="clear" w:color="auto" w:fill="FFFFFF"/>
        </w:rPr>
        <w:t xml:space="preserve">las respuestas proporcionadas por </w:t>
      </w:r>
      <w:r w:rsidRPr="00B4367E">
        <w:rPr>
          <w:rFonts w:ascii="Arial" w:hAnsi="Arial" w:cs="Arial"/>
          <w:sz w:val="22"/>
          <w:szCs w:val="22"/>
          <w:shd w:val="clear" w:color="auto" w:fill="FFFFFF"/>
        </w:rPr>
        <w:t xml:space="preserve">el organismo ejecutor </w:t>
      </w:r>
      <w:r>
        <w:rPr>
          <w:rFonts w:ascii="Arial" w:hAnsi="Arial" w:cs="Arial"/>
          <w:sz w:val="22"/>
          <w:szCs w:val="22"/>
          <w:shd w:val="clear" w:color="auto" w:fill="FFFFFF"/>
        </w:rPr>
        <w:t xml:space="preserve">y </w:t>
      </w:r>
      <w:r w:rsidRPr="00B4367E">
        <w:rPr>
          <w:rFonts w:ascii="Arial" w:hAnsi="Arial" w:cs="Arial"/>
          <w:sz w:val="22"/>
          <w:szCs w:val="22"/>
          <w:shd w:val="clear" w:color="auto" w:fill="FFFFFF"/>
        </w:rPr>
        <w:t>cuando sea factible</w:t>
      </w:r>
      <w:r>
        <w:rPr>
          <w:rFonts w:ascii="Arial" w:hAnsi="Arial" w:cs="Arial"/>
          <w:sz w:val="22"/>
          <w:szCs w:val="22"/>
          <w:shd w:val="clear" w:color="auto" w:fill="FFFFFF"/>
        </w:rPr>
        <w:t xml:space="preserve">, la adopción de recomendaciones y sugerencias recibidas. En este caso se incluirán tales medidas en </w:t>
      </w:r>
      <w:r w:rsidRPr="00B4367E">
        <w:rPr>
          <w:rFonts w:ascii="Arial" w:hAnsi="Arial" w:cs="Arial"/>
          <w:sz w:val="22"/>
          <w:szCs w:val="22"/>
          <w:shd w:val="clear" w:color="auto" w:fill="FFFFFF"/>
        </w:rPr>
        <w:t>los planes finales de mitigación</w:t>
      </w:r>
      <w:r>
        <w:rPr>
          <w:rFonts w:ascii="Arial" w:hAnsi="Arial" w:cs="Arial"/>
          <w:sz w:val="22"/>
          <w:szCs w:val="22"/>
          <w:shd w:val="clear" w:color="auto" w:fill="FFFFFF"/>
        </w:rPr>
        <w:t xml:space="preserve"> y</w:t>
      </w:r>
      <w:r w:rsidRPr="00B4367E">
        <w:rPr>
          <w:rFonts w:ascii="Arial" w:hAnsi="Arial" w:cs="Arial"/>
          <w:sz w:val="22"/>
          <w:szCs w:val="22"/>
          <w:shd w:val="clear" w:color="auto" w:fill="FFFFFF"/>
        </w:rPr>
        <w:t xml:space="preserve"> se documentará en un Informe de Consultas, ya sea como parte del </w:t>
      </w:r>
      <w:r>
        <w:rPr>
          <w:rFonts w:ascii="Arial" w:hAnsi="Arial" w:cs="Arial"/>
          <w:sz w:val="22"/>
          <w:szCs w:val="22"/>
          <w:shd w:val="clear" w:color="auto" w:fill="FFFFFF"/>
        </w:rPr>
        <w:t>EIAS</w:t>
      </w:r>
      <w:r w:rsidRPr="00B4367E">
        <w:rPr>
          <w:rFonts w:ascii="Arial" w:hAnsi="Arial" w:cs="Arial"/>
          <w:sz w:val="22"/>
          <w:szCs w:val="22"/>
          <w:shd w:val="clear" w:color="auto" w:fill="FFFFFF"/>
        </w:rPr>
        <w:t xml:space="preserve"> final o el AAS, o como un documento independiente.</w:t>
      </w:r>
    </w:p>
    <w:p w14:paraId="0011547A" w14:textId="77777777" w:rsidR="00BA0225" w:rsidRPr="00B4367E" w:rsidRDefault="00BA0225" w:rsidP="00BA0225">
      <w:pPr>
        <w:pStyle w:val="Paragraph"/>
        <w:tabs>
          <w:tab w:val="clear" w:pos="8525"/>
        </w:tabs>
        <w:ind w:left="720" w:hanging="720"/>
        <w:rPr>
          <w:rFonts w:ascii="Arial" w:hAnsi="Arial" w:cs="Arial"/>
          <w:sz w:val="22"/>
          <w:lang w:val="es-ES"/>
        </w:rPr>
      </w:pPr>
      <w:r w:rsidRPr="00B4367E">
        <w:rPr>
          <w:rFonts w:ascii="Arial" w:hAnsi="Arial" w:cs="Arial"/>
          <w:sz w:val="22"/>
          <w:szCs w:val="22"/>
        </w:rPr>
        <w:t xml:space="preserve">NAFIN llevará a cabo la verificación y </w:t>
      </w:r>
      <w:r>
        <w:rPr>
          <w:rFonts w:ascii="Arial" w:hAnsi="Arial" w:cs="Arial"/>
          <w:sz w:val="22"/>
          <w:szCs w:val="22"/>
        </w:rPr>
        <w:t xml:space="preserve">calidad de la consulta de acuerdo con los lineamientos incluidos en el anexo xxx </w:t>
      </w:r>
      <w:r w:rsidRPr="00B4367E">
        <w:rPr>
          <w:rFonts w:ascii="Arial" w:hAnsi="Arial" w:cs="Arial"/>
          <w:sz w:val="22"/>
          <w:szCs w:val="22"/>
        </w:rPr>
        <w:t>y definirá en su caso las consultas adicionales que el promotor deberá llevar a cabo durante los estudios complementarios para cumplir con las políticas del BID sobre consulta significativa</w:t>
      </w:r>
      <w:r>
        <w:rPr>
          <w:rFonts w:ascii="Arial" w:hAnsi="Arial" w:cs="Arial"/>
          <w:sz w:val="22"/>
          <w:szCs w:val="22"/>
        </w:rPr>
        <w:t xml:space="preserve"> y de buena fe; este proceso puede incluir consulta específica en el caso de poblaciones indígenas y del plan de reasentamiento, en su caso</w:t>
      </w:r>
      <w:r w:rsidRPr="00B4367E">
        <w:rPr>
          <w:rFonts w:ascii="Arial" w:hAnsi="Arial" w:cs="Arial"/>
          <w:sz w:val="22"/>
          <w:szCs w:val="22"/>
        </w:rPr>
        <w:t xml:space="preserve">. El proceso de consulta, </w:t>
      </w:r>
      <w:r>
        <w:rPr>
          <w:rFonts w:ascii="Arial" w:hAnsi="Arial" w:cs="Arial"/>
          <w:sz w:val="22"/>
          <w:szCs w:val="22"/>
        </w:rPr>
        <w:t xml:space="preserve">incluyendo un plan de futuras consultas, </w:t>
      </w:r>
      <w:r w:rsidRPr="00B4367E">
        <w:rPr>
          <w:rFonts w:ascii="Arial" w:hAnsi="Arial" w:cs="Arial"/>
          <w:sz w:val="22"/>
          <w:szCs w:val="22"/>
        </w:rPr>
        <w:t>contando con la no-objeci</w:t>
      </w:r>
      <w:r>
        <w:rPr>
          <w:rFonts w:ascii="Arial" w:hAnsi="Arial" w:cs="Arial"/>
          <w:sz w:val="22"/>
          <w:szCs w:val="22"/>
        </w:rPr>
        <w:t>ó</w:t>
      </w:r>
      <w:r w:rsidRPr="00B4367E">
        <w:rPr>
          <w:rFonts w:ascii="Arial" w:hAnsi="Arial" w:cs="Arial"/>
          <w:sz w:val="22"/>
          <w:szCs w:val="22"/>
        </w:rPr>
        <w:t xml:space="preserve">n del Banco al informe de las mismas, deberá concluirse 30 días antes de su presentación para aprobación al Directorio de NAFIN. </w:t>
      </w:r>
    </w:p>
    <w:p w14:paraId="33E271DC" w14:textId="4FF1756E" w:rsidR="00BA0225" w:rsidRPr="008C38DE" w:rsidRDefault="00BA0225" w:rsidP="00BA0225">
      <w:pPr>
        <w:pStyle w:val="Paragraph"/>
        <w:tabs>
          <w:tab w:val="clear" w:pos="8525"/>
        </w:tabs>
        <w:ind w:left="720" w:hanging="720"/>
        <w:rPr>
          <w:rFonts w:ascii="Arial" w:hAnsi="Arial" w:cs="Arial"/>
          <w:sz w:val="22"/>
          <w:lang w:val="es-ES"/>
        </w:rPr>
      </w:pPr>
      <w:r>
        <w:rPr>
          <w:rFonts w:ascii="Arial" w:hAnsi="Arial" w:cs="Arial"/>
          <w:sz w:val="22"/>
          <w:szCs w:val="22"/>
        </w:rPr>
        <w:t xml:space="preserve">NAFIN </w:t>
      </w:r>
      <w:r w:rsidRPr="00A55EAE">
        <w:rPr>
          <w:rFonts w:ascii="Arial" w:hAnsi="Arial" w:cs="Arial"/>
          <w:sz w:val="22"/>
          <w:szCs w:val="22"/>
        </w:rPr>
        <w:t xml:space="preserve">deberá </w:t>
      </w:r>
      <w:r>
        <w:rPr>
          <w:rFonts w:ascii="Arial" w:hAnsi="Arial" w:cs="Arial"/>
          <w:sz w:val="22"/>
          <w:szCs w:val="22"/>
        </w:rPr>
        <w:t xml:space="preserve">asegurará que los </w:t>
      </w:r>
      <w:r w:rsidRPr="00FB1C39">
        <w:rPr>
          <w:rFonts w:ascii="Arial" w:hAnsi="Arial" w:cs="Arial"/>
          <w:sz w:val="22"/>
          <w:lang w:val="es-AR"/>
        </w:rPr>
        <w:t>subcontratista</w:t>
      </w:r>
      <w:r>
        <w:rPr>
          <w:rFonts w:ascii="Arial" w:hAnsi="Arial" w:cs="Arial"/>
          <w:sz w:val="22"/>
          <w:lang w:val="es-AR"/>
        </w:rPr>
        <w:t>s:</w:t>
      </w:r>
      <w:r w:rsidRPr="00FB1C39">
        <w:rPr>
          <w:rFonts w:ascii="Arial" w:hAnsi="Arial" w:cs="Arial"/>
          <w:sz w:val="22"/>
          <w:lang w:val="es-AR"/>
        </w:rPr>
        <w:t xml:space="preserve"> (i) implement</w:t>
      </w:r>
      <w:r>
        <w:rPr>
          <w:rFonts w:ascii="Arial" w:hAnsi="Arial" w:cs="Arial"/>
          <w:sz w:val="22"/>
          <w:lang w:val="es-AR"/>
        </w:rPr>
        <w:t>en</w:t>
      </w:r>
      <w:r w:rsidRPr="00FB1C39">
        <w:rPr>
          <w:rFonts w:ascii="Arial" w:hAnsi="Arial" w:cs="Arial"/>
          <w:sz w:val="22"/>
          <w:lang w:val="es-AR"/>
        </w:rPr>
        <w:t xml:space="preserve"> procesos participativos con las partes interesadas del Subproyecto para garantizar que aquellas comunidades que puedan resultar afectadas se</w:t>
      </w:r>
      <w:r>
        <w:rPr>
          <w:rFonts w:ascii="Arial" w:hAnsi="Arial" w:cs="Arial"/>
          <w:sz w:val="22"/>
          <w:lang w:val="es-AR"/>
        </w:rPr>
        <w:t xml:space="preserve"> mantengan </w:t>
      </w:r>
      <w:r w:rsidRPr="00FB1C39">
        <w:rPr>
          <w:rFonts w:ascii="Arial" w:hAnsi="Arial" w:cs="Arial"/>
          <w:sz w:val="22"/>
          <w:lang w:val="es-AR"/>
        </w:rPr>
        <w:t xml:space="preserve">informadas </w:t>
      </w:r>
      <w:r>
        <w:rPr>
          <w:rFonts w:ascii="Arial" w:hAnsi="Arial" w:cs="Arial"/>
          <w:sz w:val="22"/>
          <w:lang w:val="es-AR"/>
        </w:rPr>
        <w:t xml:space="preserve">sobre el </w:t>
      </w:r>
      <w:r w:rsidRPr="00FB1C39">
        <w:rPr>
          <w:rFonts w:ascii="Arial" w:hAnsi="Arial" w:cs="Arial"/>
          <w:sz w:val="22"/>
          <w:lang w:val="es-AR"/>
        </w:rPr>
        <w:t>progreso de las obras</w:t>
      </w:r>
      <w:r>
        <w:rPr>
          <w:rFonts w:ascii="Arial" w:hAnsi="Arial" w:cs="Arial"/>
          <w:sz w:val="22"/>
          <w:lang w:val="es-AR"/>
        </w:rPr>
        <w:t>,</w:t>
      </w:r>
      <w:r w:rsidRPr="00FB1C39">
        <w:rPr>
          <w:rFonts w:ascii="Arial" w:hAnsi="Arial" w:cs="Arial"/>
          <w:sz w:val="22"/>
          <w:lang w:val="es-AR"/>
        </w:rPr>
        <w:t xml:space="preserve"> </w:t>
      </w:r>
      <w:r w:rsidRPr="00FB1C39">
        <w:rPr>
          <w:rFonts w:ascii="Arial" w:hAnsi="Arial" w:cs="Arial"/>
          <w:sz w:val="22"/>
          <w:lang w:val="es-AR"/>
        </w:rPr>
        <w:lastRenderedPageBreak/>
        <w:t xml:space="preserve">la </w:t>
      </w:r>
      <w:r>
        <w:rPr>
          <w:rFonts w:ascii="Arial" w:hAnsi="Arial" w:cs="Arial"/>
          <w:sz w:val="22"/>
          <w:lang w:val="es-AR"/>
        </w:rPr>
        <w:t xml:space="preserve">aplicación del plan de </w:t>
      </w:r>
      <w:r w:rsidRPr="00FB1C39">
        <w:rPr>
          <w:rFonts w:ascii="Arial" w:hAnsi="Arial" w:cs="Arial"/>
          <w:sz w:val="22"/>
          <w:lang w:val="es-AR"/>
        </w:rPr>
        <w:t>gestión ESHS del Subproyecto, y tengan acceso a mecanismos de resolución de conflictos</w:t>
      </w:r>
      <w:r>
        <w:rPr>
          <w:rFonts w:ascii="Arial" w:hAnsi="Arial" w:cs="Arial"/>
          <w:sz w:val="22"/>
          <w:lang w:val="es-AR"/>
        </w:rPr>
        <w:t>.</w:t>
      </w:r>
      <w:r w:rsidRPr="00FB1C39">
        <w:rPr>
          <w:rFonts w:ascii="Arial" w:hAnsi="Arial" w:cs="Arial"/>
          <w:sz w:val="22"/>
          <w:lang w:val="es-AR"/>
        </w:rPr>
        <w:t xml:space="preserve"> Estos procedimientos </w:t>
      </w:r>
      <w:r>
        <w:rPr>
          <w:rFonts w:ascii="Arial" w:hAnsi="Arial" w:cs="Arial"/>
          <w:sz w:val="22"/>
          <w:lang w:val="es-AR"/>
        </w:rPr>
        <w:t>deberán ser incluidos</w:t>
      </w:r>
      <w:r w:rsidRPr="00FB1C39">
        <w:rPr>
          <w:rFonts w:ascii="Arial" w:hAnsi="Arial" w:cs="Arial"/>
          <w:sz w:val="22"/>
          <w:lang w:val="es-AR"/>
        </w:rPr>
        <w:t xml:space="preserve"> en los documentos de licitación y contratos de ejecución y su ejecución será reportada por las firmas de supervisión.</w:t>
      </w:r>
    </w:p>
    <w:p w14:paraId="7D32D23A" w14:textId="2F943A8A" w:rsidR="006D77DE" w:rsidRPr="008B3482" w:rsidRDefault="003B5C2D" w:rsidP="00BA0225">
      <w:pPr>
        <w:pStyle w:val="Paragraph"/>
        <w:tabs>
          <w:tab w:val="clear" w:pos="8525"/>
        </w:tabs>
        <w:ind w:left="720" w:hanging="720"/>
        <w:rPr>
          <w:rFonts w:ascii="Arial" w:hAnsi="Arial" w:cs="Arial"/>
          <w:sz w:val="22"/>
          <w:lang w:val="es-ES"/>
        </w:rPr>
      </w:pPr>
      <w:r w:rsidRPr="008C38DE">
        <w:rPr>
          <w:rFonts w:ascii="Arial" w:hAnsi="Arial" w:cs="Arial"/>
          <w:b/>
          <w:sz w:val="22"/>
          <w:lang w:val="es-ES"/>
        </w:rPr>
        <w:t>Subproyectos</w:t>
      </w:r>
      <w:r>
        <w:rPr>
          <w:rFonts w:ascii="Arial" w:hAnsi="Arial" w:cs="Arial"/>
          <w:sz w:val="22"/>
          <w:lang w:val="es-ES"/>
        </w:rPr>
        <w:t xml:space="preserve"> </w:t>
      </w:r>
      <w:r>
        <w:rPr>
          <w:rFonts w:ascii="Arial" w:hAnsi="Arial" w:cs="Arial"/>
          <w:b/>
          <w:sz w:val="22"/>
          <w:szCs w:val="22"/>
        </w:rPr>
        <w:t>existentes o bajo construcción.</w:t>
      </w:r>
      <w:r>
        <w:rPr>
          <w:rFonts w:ascii="Arial" w:hAnsi="Arial" w:cs="Arial"/>
          <w:sz w:val="22"/>
          <w:szCs w:val="22"/>
        </w:rPr>
        <w:t xml:space="preserve"> En el caso de ser presentado para elegibilidad del Programa cualquier subproyecto existente o actualmente bajo construcción, NAFIN deberá presentar una Auditoría Ambiental y Social que analice el cumplimiento del subproyecto con las estipulaciones de este Sistema de Gestión Ambiental y Social y con las Políticas Salvaguardias del Banco, y en el caso de presentarse brechas de cumplimiento un Plan de Acción Correctiva, a ser presentados al Banco no más de 30 días previos al desembolso de gastos elegibles para dicho subproyecto.</w:t>
      </w:r>
    </w:p>
    <w:p w14:paraId="1136DED7" w14:textId="77777777" w:rsidR="00BA0225" w:rsidRPr="008B3482" w:rsidRDefault="00BA0225" w:rsidP="00BA0225">
      <w:pPr>
        <w:pStyle w:val="Paragraph"/>
        <w:tabs>
          <w:tab w:val="clear" w:pos="8525"/>
          <w:tab w:val="num" w:pos="140"/>
          <w:tab w:val="num" w:pos="720"/>
        </w:tabs>
        <w:ind w:left="720" w:hanging="720"/>
        <w:rPr>
          <w:rFonts w:ascii="Arial" w:hAnsi="Arial" w:cs="Arial"/>
          <w:sz w:val="22"/>
          <w:szCs w:val="22"/>
          <w:lang w:val="es-MX"/>
        </w:rPr>
      </w:pPr>
      <w:r w:rsidRPr="006E0959">
        <w:rPr>
          <w:rFonts w:ascii="Arial" w:hAnsi="Arial" w:cs="Arial"/>
          <w:b/>
          <w:sz w:val="22"/>
          <w:szCs w:val="22"/>
        </w:rPr>
        <w:t xml:space="preserve">Divulgación de Información. </w:t>
      </w:r>
      <w:r w:rsidRPr="006E0959">
        <w:rPr>
          <w:rFonts w:ascii="Arial" w:hAnsi="Arial" w:cs="Arial"/>
          <w:sz w:val="22"/>
          <w:szCs w:val="22"/>
        </w:rPr>
        <w:t>D</w:t>
      </w:r>
      <w:r w:rsidRPr="008B3482">
        <w:rPr>
          <w:rFonts w:ascii="Arial" w:hAnsi="Arial" w:cs="Arial"/>
          <w:sz w:val="22"/>
          <w:szCs w:val="22"/>
          <w:lang w:val="es-MX"/>
        </w:rPr>
        <w:t xml:space="preserve">urante la vigencia del préstamo, NAFIN, como el prestatario del Programa, divulgará al público el </w:t>
      </w:r>
      <w:r>
        <w:rPr>
          <w:rFonts w:ascii="Arial" w:hAnsi="Arial" w:cs="Arial"/>
          <w:sz w:val="22"/>
          <w:szCs w:val="22"/>
          <w:lang w:val="es-MX"/>
        </w:rPr>
        <w:t>EIAS</w:t>
      </w:r>
      <w:r w:rsidRPr="008B3482">
        <w:rPr>
          <w:rFonts w:ascii="Arial" w:hAnsi="Arial" w:cs="Arial"/>
          <w:sz w:val="22"/>
          <w:szCs w:val="22"/>
          <w:lang w:val="es-MX"/>
        </w:rPr>
        <w:t xml:space="preserve"> o AAS respectivo </w:t>
      </w:r>
      <w:r>
        <w:rPr>
          <w:rFonts w:ascii="Arial" w:hAnsi="Arial" w:cs="Arial"/>
          <w:sz w:val="22"/>
          <w:szCs w:val="22"/>
          <w:lang w:val="es-MX"/>
        </w:rPr>
        <w:t>de</w:t>
      </w:r>
      <w:r w:rsidRPr="008B3482">
        <w:rPr>
          <w:rFonts w:ascii="Arial" w:hAnsi="Arial" w:cs="Arial"/>
          <w:sz w:val="22"/>
          <w:szCs w:val="22"/>
          <w:lang w:val="es-MX"/>
        </w:rPr>
        <w:t xml:space="preserve"> cada proyecto al menos 30 días antes de la fecha de aprobación por el directorio de NAFIN.</w:t>
      </w:r>
    </w:p>
    <w:p w14:paraId="010F9E06" w14:textId="77777777" w:rsidR="00BA0225" w:rsidRPr="008B3482" w:rsidRDefault="00BA0225" w:rsidP="00BA0225">
      <w:pPr>
        <w:pStyle w:val="Paragraph"/>
        <w:tabs>
          <w:tab w:val="clear" w:pos="8525"/>
          <w:tab w:val="num" w:pos="140"/>
          <w:tab w:val="num" w:pos="720"/>
        </w:tabs>
        <w:ind w:left="720" w:hanging="720"/>
        <w:rPr>
          <w:rFonts w:ascii="Arial" w:hAnsi="Arial" w:cs="Arial"/>
          <w:sz w:val="22"/>
          <w:szCs w:val="22"/>
        </w:rPr>
      </w:pPr>
      <w:r w:rsidRPr="008B3482">
        <w:rPr>
          <w:rFonts w:ascii="Arial" w:hAnsi="Arial" w:cs="Arial"/>
          <w:sz w:val="22"/>
          <w:szCs w:val="22"/>
        </w:rPr>
        <w:t xml:space="preserve">NAFIN divulgará </w:t>
      </w:r>
      <w:r>
        <w:rPr>
          <w:rFonts w:ascii="Arial" w:hAnsi="Arial" w:cs="Arial"/>
          <w:sz w:val="22"/>
          <w:szCs w:val="22"/>
        </w:rPr>
        <w:t xml:space="preserve">asimismo </w:t>
      </w:r>
      <w:r w:rsidRPr="008B3482">
        <w:rPr>
          <w:rFonts w:ascii="Arial" w:hAnsi="Arial" w:cs="Arial"/>
          <w:sz w:val="22"/>
          <w:szCs w:val="22"/>
        </w:rPr>
        <w:t xml:space="preserve">su propia documentación ambiental y social interna (resumen de la evaluación ambiental) con otros documentos requeridos con un mínimo de 10 días antes de la fecha del Directorio de NAFIN, y proporcionará detalles sobre dónde se ha consultado cada </w:t>
      </w:r>
      <w:r>
        <w:rPr>
          <w:rFonts w:ascii="Arial" w:hAnsi="Arial" w:cs="Arial"/>
          <w:sz w:val="22"/>
          <w:szCs w:val="22"/>
        </w:rPr>
        <w:t>EIAS</w:t>
      </w:r>
      <w:r w:rsidRPr="008B3482">
        <w:rPr>
          <w:rFonts w:ascii="Arial" w:hAnsi="Arial" w:cs="Arial"/>
          <w:sz w:val="22"/>
          <w:szCs w:val="22"/>
        </w:rPr>
        <w:t xml:space="preserve"> o </w:t>
      </w:r>
      <w:r>
        <w:rPr>
          <w:rFonts w:ascii="Arial" w:hAnsi="Arial" w:cs="Arial"/>
          <w:sz w:val="22"/>
          <w:szCs w:val="22"/>
        </w:rPr>
        <w:t>AAS</w:t>
      </w:r>
      <w:r w:rsidRPr="008B3482">
        <w:rPr>
          <w:rFonts w:ascii="Arial" w:hAnsi="Arial" w:cs="Arial"/>
          <w:sz w:val="22"/>
          <w:szCs w:val="22"/>
        </w:rPr>
        <w:t xml:space="preserve">. La aprobación final tendrá en cuenta </w:t>
      </w:r>
      <w:r>
        <w:rPr>
          <w:rFonts w:ascii="Arial" w:hAnsi="Arial" w:cs="Arial"/>
          <w:sz w:val="22"/>
          <w:szCs w:val="22"/>
        </w:rPr>
        <w:t xml:space="preserve">medidas para atender </w:t>
      </w:r>
      <w:r w:rsidRPr="008B3482">
        <w:rPr>
          <w:rFonts w:ascii="Arial" w:hAnsi="Arial" w:cs="Arial"/>
          <w:sz w:val="22"/>
          <w:szCs w:val="22"/>
        </w:rPr>
        <w:t>inquietud</w:t>
      </w:r>
      <w:r>
        <w:rPr>
          <w:rFonts w:ascii="Arial" w:hAnsi="Arial" w:cs="Arial"/>
          <w:sz w:val="22"/>
          <w:szCs w:val="22"/>
        </w:rPr>
        <w:t>es</w:t>
      </w:r>
      <w:r w:rsidRPr="008B3482">
        <w:rPr>
          <w:rFonts w:ascii="Arial" w:hAnsi="Arial" w:cs="Arial"/>
          <w:sz w:val="22"/>
          <w:szCs w:val="22"/>
        </w:rPr>
        <w:t xml:space="preserve"> importante</w:t>
      </w:r>
      <w:r>
        <w:rPr>
          <w:rFonts w:ascii="Arial" w:hAnsi="Arial" w:cs="Arial"/>
          <w:sz w:val="22"/>
          <w:szCs w:val="22"/>
        </w:rPr>
        <w:t>s</w:t>
      </w:r>
      <w:r w:rsidRPr="008B3482">
        <w:rPr>
          <w:rFonts w:ascii="Arial" w:hAnsi="Arial" w:cs="Arial"/>
          <w:sz w:val="22"/>
          <w:szCs w:val="22"/>
        </w:rPr>
        <w:t xml:space="preserve"> planteada</w:t>
      </w:r>
      <w:r>
        <w:rPr>
          <w:rFonts w:ascii="Arial" w:hAnsi="Arial" w:cs="Arial"/>
          <w:sz w:val="22"/>
          <w:szCs w:val="22"/>
        </w:rPr>
        <w:t>s</w:t>
      </w:r>
      <w:r w:rsidRPr="008B3482">
        <w:rPr>
          <w:rFonts w:ascii="Arial" w:hAnsi="Arial" w:cs="Arial"/>
          <w:sz w:val="22"/>
          <w:szCs w:val="22"/>
        </w:rPr>
        <w:t xml:space="preserve"> durante el </w:t>
      </w:r>
      <w:r>
        <w:rPr>
          <w:rFonts w:ascii="Arial" w:hAnsi="Arial" w:cs="Arial"/>
          <w:sz w:val="22"/>
          <w:szCs w:val="22"/>
        </w:rPr>
        <w:t xml:space="preserve">proceso </w:t>
      </w:r>
      <w:r w:rsidRPr="008B3482">
        <w:rPr>
          <w:rFonts w:ascii="Arial" w:hAnsi="Arial" w:cs="Arial"/>
          <w:sz w:val="22"/>
          <w:szCs w:val="22"/>
        </w:rPr>
        <w:t xml:space="preserve">de </w:t>
      </w:r>
      <w:r>
        <w:rPr>
          <w:rFonts w:ascii="Arial" w:hAnsi="Arial" w:cs="Arial"/>
          <w:sz w:val="22"/>
          <w:szCs w:val="22"/>
        </w:rPr>
        <w:t xml:space="preserve">consulta </w:t>
      </w:r>
      <w:r w:rsidRPr="008B3482">
        <w:rPr>
          <w:rFonts w:ascii="Arial" w:hAnsi="Arial" w:cs="Arial"/>
          <w:sz w:val="22"/>
          <w:szCs w:val="22"/>
        </w:rPr>
        <w:t>mencionado anteriormente.</w:t>
      </w:r>
    </w:p>
    <w:p w14:paraId="4F2DFD55" w14:textId="77777777" w:rsidR="00BA0225" w:rsidRPr="00A55EAE" w:rsidRDefault="00BA0225" w:rsidP="00BA0225">
      <w:pPr>
        <w:pStyle w:val="Paragraph"/>
        <w:tabs>
          <w:tab w:val="clear" w:pos="8525"/>
          <w:tab w:val="num" w:pos="140"/>
          <w:tab w:val="num" w:pos="720"/>
        </w:tabs>
        <w:spacing w:after="0"/>
        <w:ind w:left="720" w:hanging="720"/>
        <w:rPr>
          <w:rFonts w:ascii="Arial" w:hAnsi="Arial" w:cs="Arial"/>
          <w:sz w:val="22"/>
          <w:szCs w:val="22"/>
        </w:rPr>
      </w:pPr>
      <w:r w:rsidRPr="00A55EAE">
        <w:rPr>
          <w:rFonts w:ascii="Arial" w:hAnsi="Arial" w:cs="Arial"/>
          <w:b/>
          <w:sz w:val="22"/>
          <w:szCs w:val="22"/>
        </w:rPr>
        <w:t>Supervisión y Monitoreo.</w:t>
      </w:r>
      <w:r w:rsidRPr="00A55EAE">
        <w:rPr>
          <w:rFonts w:ascii="Arial" w:hAnsi="Arial" w:cs="Arial"/>
          <w:sz w:val="22"/>
          <w:szCs w:val="22"/>
        </w:rPr>
        <w:t xml:space="preserve"> </w:t>
      </w:r>
      <w:r w:rsidRPr="00250568">
        <w:rPr>
          <w:rFonts w:ascii="Arial" w:hAnsi="Arial" w:cs="Arial"/>
          <w:sz w:val="22"/>
          <w:szCs w:val="22"/>
        </w:rPr>
        <w:t xml:space="preserve">Durante la vigencia del préstamo, NAFIN deberá presentar </w:t>
      </w:r>
      <w:r w:rsidRPr="008B3482">
        <w:rPr>
          <w:rFonts w:ascii="Arial" w:hAnsi="Arial" w:cs="Arial"/>
          <w:sz w:val="22"/>
          <w:szCs w:val="22"/>
          <w:lang w:val="es-ES"/>
        </w:rPr>
        <w:t>como parte del informe de progreso anual y bianualmente durante dos años tras finalizar la construcción de cualquier subproyecto</w:t>
      </w:r>
      <w:r>
        <w:rPr>
          <w:rFonts w:ascii="Arial" w:hAnsi="Arial" w:cs="Arial"/>
          <w:sz w:val="22"/>
          <w:szCs w:val="22"/>
          <w:lang w:val="es-ES"/>
        </w:rPr>
        <w:t>: i)</w:t>
      </w:r>
      <w:r w:rsidRPr="008B3482">
        <w:rPr>
          <w:rFonts w:ascii="Arial" w:hAnsi="Arial" w:cs="Arial"/>
          <w:sz w:val="22"/>
          <w:szCs w:val="22"/>
          <w:lang w:val="es-ES"/>
        </w:rPr>
        <w:t xml:space="preserve"> un Informe de Cumplimiento Ambiental y Social (ICAS), de forma y contenido</w:t>
      </w:r>
      <w:r>
        <w:rPr>
          <w:rFonts w:ascii="Arial" w:hAnsi="Arial" w:cs="Arial"/>
          <w:sz w:val="22"/>
          <w:szCs w:val="22"/>
          <w:lang w:val="es-ES"/>
        </w:rPr>
        <w:t xml:space="preserve"> </w:t>
      </w:r>
      <w:r w:rsidRPr="008B3482">
        <w:rPr>
          <w:rFonts w:ascii="Arial" w:hAnsi="Arial" w:cs="Arial"/>
          <w:sz w:val="22"/>
          <w:szCs w:val="22"/>
          <w:lang w:val="es-ES"/>
        </w:rPr>
        <w:t xml:space="preserve"> acordados con el Banco, </w:t>
      </w:r>
      <w:r>
        <w:rPr>
          <w:rFonts w:ascii="Arial" w:hAnsi="Arial" w:cs="Arial"/>
          <w:sz w:val="22"/>
          <w:szCs w:val="22"/>
          <w:lang w:val="es-ES"/>
        </w:rPr>
        <w:t>; ii)</w:t>
      </w:r>
      <w:r w:rsidRPr="008B3482">
        <w:rPr>
          <w:rFonts w:ascii="Arial" w:hAnsi="Arial" w:cs="Arial"/>
          <w:sz w:val="22"/>
          <w:szCs w:val="22"/>
          <w:lang w:val="es-ES"/>
        </w:rPr>
        <w:t xml:space="preserve"> un sistema de monitoreo de cumplimiento</w:t>
      </w:r>
      <w:r>
        <w:rPr>
          <w:rFonts w:ascii="Arial" w:hAnsi="Arial" w:cs="Arial"/>
          <w:sz w:val="22"/>
          <w:szCs w:val="22"/>
          <w:lang w:val="es-ES"/>
        </w:rPr>
        <w:t xml:space="preserve"> con base en indicadores y periodicidad previamente acordados de acuerdo con el riesgo del subproyecto; </w:t>
      </w:r>
      <w:r>
        <w:rPr>
          <w:rFonts w:ascii="Arial" w:hAnsi="Arial" w:cs="Arial"/>
          <w:sz w:val="22"/>
          <w:szCs w:val="22"/>
        </w:rPr>
        <w:t>;</w:t>
      </w:r>
      <w:r w:rsidRPr="00250568">
        <w:rPr>
          <w:rFonts w:ascii="Arial" w:hAnsi="Arial" w:cs="Arial"/>
          <w:sz w:val="22"/>
          <w:szCs w:val="22"/>
        </w:rPr>
        <w:t xml:space="preserve"> </w:t>
      </w:r>
      <w:r>
        <w:rPr>
          <w:rFonts w:ascii="Arial" w:hAnsi="Arial" w:cs="Arial"/>
          <w:sz w:val="22"/>
          <w:szCs w:val="22"/>
        </w:rPr>
        <w:t xml:space="preserve">iii) </w:t>
      </w:r>
      <w:r w:rsidRPr="00250568">
        <w:rPr>
          <w:rFonts w:ascii="Arial" w:hAnsi="Arial" w:cs="Arial"/>
          <w:sz w:val="22"/>
          <w:szCs w:val="22"/>
        </w:rPr>
        <w:t xml:space="preserve">una relación de la categorización de las Operaciones Elegibles conforme </w:t>
      </w:r>
      <w:r>
        <w:rPr>
          <w:rFonts w:ascii="Arial" w:hAnsi="Arial" w:cs="Arial"/>
          <w:sz w:val="22"/>
          <w:szCs w:val="22"/>
        </w:rPr>
        <w:t xml:space="preserve">con </w:t>
      </w:r>
      <w:r w:rsidRPr="00250568">
        <w:rPr>
          <w:rFonts w:ascii="Arial" w:hAnsi="Arial" w:cs="Arial"/>
          <w:sz w:val="22"/>
          <w:szCs w:val="22"/>
        </w:rPr>
        <w:t>los formatos acordados entre el BID y NAFIN. Adicionalmente, NAFIN notificará al BI</w:t>
      </w:r>
      <w:r w:rsidRPr="00B2675E">
        <w:rPr>
          <w:rFonts w:ascii="Arial" w:hAnsi="Arial" w:cs="Arial"/>
          <w:sz w:val="22"/>
          <w:szCs w:val="22"/>
        </w:rPr>
        <w:t xml:space="preserve">D en caso de incumplimiento </w:t>
      </w:r>
      <w:r>
        <w:rPr>
          <w:rFonts w:ascii="Arial" w:hAnsi="Arial" w:cs="Arial"/>
          <w:sz w:val="22"/>
          <w:szCs w:val="22"/>
        </w:rPr>
        <w:t xml:space="preserve">de los </w:t>
      </w:r>
      <w:r w:rsidRPr="00A55EAE">
        <w:rPr>
          <w:rFonts w:ascii="Arial" w:hAnsi="Arial" w:cs="Arial"/>
          <w:sz w:val="22"/>
          <w:szCs w:val="22"/>
        </w:rPr>
        <w:t>requisito</w:t>
      </w:r>
      <w:r>
        <w:rPr>
          <w:rFonts w:ascii="Arial" w:hAnsi="Arial" w:cs="Arial"/>
          <w:sz w:val="22"/>
          <w:szCs w:val="22"/>
        </w:rPr>
        <w:t>s</w:t>
      </w:r>
      <w:r w:rsidRPr="00A55EAE">
        <w:rPr>
          <w:rFonts w:ascii="Arial" w:hAnsi="Arial" w:cs="Arial"/>
          <w:sz w:val="22"/>
          <w:szCs w:val="22"/>
        </w:rPr>
        <w:t xml:space="preserve"> ambientales, sociales, de salud, seguridad y laboral</w:t>
      </w:r>
      <w:r>
        <w:rPr>
          <w:rFonts w:ascii="Arial" w:hAnsi="Arial" w:cs="Arial"/>
          <w:sz w:val="22"/>
          <w:szCs w:val="22"/>
        </w:rPr>
        <w:t xml:space="preserve"> establecidos en el Plan de Gestión, </w:t>
      </w:r>
      <w:r w:rsidRPr="00A55EAE">
        <w:rPr>
          <w:rFonts w:ascii="Arial" w:hAnsi="Arial" w:cs="Arial"/>
          <w:sz w:val="22"/>
          <w:szCs w:val="22"/>
        </w:rPr>
        <w:t>de cualquier accidente, impacto, caso, reclamo, queja, u otro riesgo material relacionado con los aspectos ambientales</w:t>
      </w:r>
      <w:r>
        <w:rPr>
          <w:rFonts w:ascii="Arial" w:hAnsi="Arial" w:cs="Arial"/>
          <w:sz w:val="22"/>
          <w:szCs w:val="22"/>
        </w:rPr>
        <w:t>,</w:t>
      </w:r>
      <w:r w:rsidRPr="00A55EAE">
        <w:rPr>
          <w:rFonts w:ascii="Arial" w:hAnsi="Arial" w:cs="Arial"/>
          <w:sz w:val="22"/>
          <w:szCs w:val="22"/>
        </w:rPr>
        <w:t xml:space="preserve"> sociales</w:t>
      </w:r>
      <w:r>
        <w:rPr>
          <w:rFonts w:ascii="Arial" w:hAnsi="Arial" w:cs="Arial"/>
          <w:sz w:val="22"/>
          <w:szCs w:val="22"/>
        </w:rPr>
        <w:t>, de seguridad y de salud</w:t>
      </w:r>
      <w:r w:rsidRPr="00A55EAE">
        <w:rPr>
          <w:rFonts w:ascii="Arial" w:hAnsi="Arial" w:cs="Arial"/>
          <w:sz w:val="22"/>
          <w:szCs w:val="22"/>
        </w:rPr>
        <w:t xml:space="preserve"> de las Operaciones Elegibles financiadas con recursos del Programa</w:t>
      </w:r>
      <w:r>
        <w:rPr>
          <w:rFonts w:ascii="Arial" w:hAnsi="Arial" w:cs="Arial"/>
          <w:sz w:val="22"/>
          <w:szCs w:val="22"/>
        </w:rPr>
        <w:t>.</w:t>
      </w:r>
    </w:p>
    <w:p w14:paraId="325C85B7" w14:textId="77777777" w:rsidR="00BA0225" w:rsidRPr="00965D4B" w:rsidRDefault="00BA0225" w:rsidP="00BA0225">
      <w:pPr>
        <w:pStyle w:val="Paragraph"/>
        <w:tabs>
          <w:tab w:val="clear" w:pos="8525"/>
          <w:tab w:val="num" w:pos="720"/>
          <w:tab w:val="num" w:pos="3024"/>
        </w:tabs>
        <w:ind w:left="720" w:hanging="720"/>
        <w:outlineLvl w:val="9"/>
        <w:rPr>
          <w:rFonts w:ascii="Arial" w:hAnsi="Arial" w:cs="Arial"/>
          <w:sz w:val="22"/>
          <w:szCs w:val="22"/>
          <w:lang w:val="es-MX"/>
        </w:rPr>
      </w:pPr>
      <w:r w:rsidRPr="00A55EAE">
        <w:rPr>
          <w:rFonts w:ascii="Arial" w:hAnsi="Arial" w:cs="Arial"/>
          <w:sz w:val="22"/>
          <w:szCs w:val="22"/>
        </w:rPr>
        <w:t xml:space="preserve">NAFIN </w:t>
      </w:r>
      <w:r w:rsidRPr="001D139C">
        <w:rPr>
          <w:rFonts w:ascii="Arial" w:hAnsi="Arial" w:cs="Arial"/>
          <w:sz w:val="22"/>
          <w:szCs w:val="22"/>
          <w:lang w:val="es-ES"/>
        </w:rPr>
        <w:t>cooperará plenamente con el Banco, o con un Consultor ESHS que lo represente, para llevar a cabo la supervisión de la Operación y preparar informes de supervisión con el objetivo de (i) verificar el cumplimiento de la implementación de los requisitos ESHS para la Operación y sus Instalaciones Asociadas y (ii) abordar todo impacto ESHS u obligación que no haya sido adecuadamente mitigada o compensada; iii) preparar según sea el caso un Plan de Acción Correctiva.</w:t>
      </w:r>
    </w:p>
    <w:p w14:paraId="03AD5512" w14:textId="77777777" w:rsidR="00230812" w:rsidRPr="00617BA9" w:rsidRDefault="007952FF" w:rsidP="000A37CF">
      <w:pPr>
        <w:pStyle w:val="Chapter"/>
        <w:tabs>
          <w:tab w:val="clear" w:pos="1440"/>
          <w:tab w:val="left" w:pos="720"/>
        </w:tabs>
        <w:ind w:left="720" w:hanging="720"/>
        <w:jc w:val="left"/>
        <w:rPr>
          <w:rFonts w:ascii="Arial" w:hAnsi="Arial" w:cs="Arial"/>
          <w:sz w:val="32"/>
          <w:szCs w:val="32"/>
        </w:rPr>
      </w:pPr>
      <w:bookmarkStart w:id="112" w:name="_Toc321244942"/>
      <w:bookmarkStart w:id="113" w:name="_Toc450149564"/>
      <w:bookmarkEnd w:id="110"/>
      <w:bookmarkEnd w:id="111"/>
      <w:r w:rsidRPr="00617BA9">
        <w:rPr>
          <w:rFonts w:ascii="Arial" w:hAnsi="Arial" w:cs="Arial"/>
          <w:sz w:val="32"/>
          <w:szCs w:val="32"/>
        </w:rPr>
        <w:t xml:space="preserve">Procedimientos </w:t>
      </w:r>
      <w:r w:rsidR="00230812" w:rsidRPr="00617BA9">
        <w:rPr>
          <w:rFonts w:ascii="Arial" w:hAnsi="Arial" w:cs="Arial"/>
          <w:sz w:val="32"/>
          <w:szCs w:val="32"/>
        </w:rPr>
        <w:t>de</w:t>
      </w:r>
      <w:r w:rsidR="00022625" w:rsidRPr="00617BA9">
        <w:rPr>
          <w:rFonts w:ascii="Arial" w:hAnsi="Arial" w:cs="Arial"/>
          <w:sz w:val="32"/>
          <w:szCs w:val="32"/>
        </w:rPr>
        <w:t xml:space="preserve"> Contratación</w:t>
      </w:r>
      <w:r w:rsidR="00230812" w:rsidRPr="00617BA9">
        <w:rPr>
          <w:rFonts w:ascii="Arial" w:hAnsi="Arial" w:cs="Arial"/>
          <w:sz w:val="32"/>
          <w:szCs w:val="32"/>
        </w:rPr>
        <w:t xml:space="preserve"> </w:t>
      </w:r>
      <w:r w:rsidR="00022625" w:rsidRPr="00617BA9">
        <w:rPr>
          <w:rFonts w:ascii="Arial" w:hAnsi="Arial" w:cs="Arial"/>
          <w:sz w:val="32"/>
          <w:szCs w:val="32"/>
        </w:rPr>
        <w:t>y</w:t>
      </w:r>
      <w:r w:rsidR="005310E9" w:rsidRPr="00617BA9">
        <w:rPr>
          <w:rFonts w:ascii="Arial" w:hAnsi="Arial" w:cs="Arial"/>
          <w:sz w:val="32"/>
          <w:szCs w:val="32"/>
        </w:rPr>
        <w:t xml:space="preserve"> </w:t>
      </w:r>
      <w:r w:rsidR="00230812" w:rsidRPr="00617BA9">
        <w:rPr>
          <w:rFonts w:ascii="Arial" w:hAnsi="Arial" w:cs="Arial"/>
          <w:sz w:val="32"/>
          <w:szCs w:val="32"/>
        </w:rPr>
        <w:t>Adquisiciones</w:t>
      </w:r>
      <w:bookmarkEnd w:id="90"/>
      <w:bookmarkEnd w:id="91"/>
      <w:bookmarkEnd w:id="92"/>
      <w:bookmarkEnd w:id="93"/>
      <w:bookmarkEnd w:id="112"/>
      <w:bookmarkEnd w:id="113"/>
    </w:p>
    <w:p w14:paraId="2BA5587A" w14:textId="45F21746" w:rsidR="00364983" w:rsidRDefault="00BA4230" w:rsidP="009067BA">
      <w:pPr>
        <w:pStyle w:val="Paragraph"/>
        <w:numPr>
          <w:ilvl w:val="0"/>
          <w:numId w:val="29"/>
        </w:numPr>
        <w:ind w:left="567" w:hanging="567"/>
        <w:outlineLvl w:val="9"/>
        <w:rPr>
          <w:rFonts w:ascii="Arial" w:hAnsi="Arial" w:cs="Arial"/>
          <w:szCs w:val="24"/>
          <w:lang w:val="es-MX"/>
        </w:rPr>
      </w:pPr>
      <w:bookmarkStart w:id="114" w:name="_Toc321244943"/>
      <w:r>
        <w:rPr>
          <w:rFonts w:ascii="Arial" w:hAnsi="Arial" w:cs="Arial"/>
          <w:szCs w:val="24"/>
          <w:lang w:val="es-MX"/>
        </w:rPr>
        <w:t xml:space="preserve">El </w:t>
      </w:r>
      <w:r w:rsidR="00364983" w:rsidRPr="00BE4DD3">
        <w:rPr>
          <w:rFonts w:ascii="Arial" w:hAnsi="Arial" w:cs="Arial"/>
          <w:szCs w:val="24"/>
          <w:lang w:val="es-MX"/>
        </w:rPr>
        <w:t>Sub</w:t>
      </w:r>
      <w:r w:rsidR="00AF79BB" w:rsidRPr="00BE4DD3">
        <w:rPr>
          <w:rFonts w:ascii="Arial" w:hAnsi="Arial" w:cs="Arial"/>
          <w:szCs w:val="24"/>
          <w:lang w:val="es-MX"/>
        </w:rPr>
        <w:t>-</w:t>
      </w:r>
      <w:r w:rsidR="00364983" w:rsidRPr="00BE4DD3">
        <w:rPr>
          <w:rFonts w:ascii="Arial" w:hAnsi="Arial" w:cs="Arial"/>
          <w:szCs w:val="24"/>
          <w:lang w:val="es-MX"/>
        </w:rPr>
        <w:t>prestatario Elegible deberá adoptar criterios de eficiencia, economía y transparencia en los contratos de construcción, adquisición de bienes y de prestación de servicios para el Sub</w:t>
      </w:r>
      <w:r w:rsidR="00AD7F7C" w:rsidRPr="00BE4DD3">
        <w:rPr>
          <w:rFonts w:ascii="Arial" w:hAnsi="Arial" w:cs="Arial"/>
          <w:szCs w:val="24"/>
          <w:lang w:val="es-MX"/>
        </w:rPr>
        <w:t>-</w:t>
      </w:r>
      <w:r w:rsidR="00364983" w:rsidRPr="00BE4DD3">
        <w:rPr>
          <w:rFonts w:ascii="Arial" w:hAnsi="Arial" w:cs="Arial"/>
          <w:szCs w:val="24"/>
          <w:lang w:val="es-MX"/>
        </w:rPr>
        <w:t>proyecto.</w:t>
      </w:r>
      <w:bookmarkEnd w:id="114"/>
      <w:r w:rsidR="006670CD">
        <w:rPr>
          <w:rFonts w:ascii="Arial" w:hAnsi="Arial" w:cs="Arial"/>
          <w:szCs w:val="24"/>
          <w:lang w:val="es-MX"/>
        </w:rPr>
        <w:t xml:space="preserve"> </w:t>
      </w:r>
    </w:p>
    <w:p w14:paraId="013FF7FF" w14:textId="77777777" w:rsidR="00364983" w:rsidRDefault="00364983" w:rsidP="009067BA">
      <w:pPr>
        <w:pStyle w:val="Paragraph"/>
        <w:numPr>
          <w:ilvl w:val="0"/>
          <w:numId w:val="29"/>
        </w:numPr>
        <w:ind w:left="567" w:hanging="567"/>
        <w:outlineLvl w:val="9"/>
        <w:rPr>
          <w:rFonts w:ascii="Arial" w:hAnsi="Arial" w:cs="Arial"/>
          <w:szCs w:val="24"/>
          <w:u w:val="single"/>
          <w:lang w:val="es-MX"/>
        </w:rPr>
      </w:pPr>
      <w:bookmarkStart w:id="115" w:name="_Toc321244944"/>
      <w:r w:rsidRPr="00BE4DD3">
        <w:rPr>
          <w:rFonts w:ascii="Arial" w:hAnsi="Arial" w:cs="Arial"/>
          <w:szCs w:val="24"/>
          <w:lang w:val="es-MX"/>
        </w:rPr>
        <w:t xml:space="preserve">La adquisición de obras y bienes se llevará a cabo de conformidad con las disposiciones establecidas en el </w:t>
      </w:r>
      <w:r w:rsidRPr="00BE4DD3">
        <w:rPr>
          <w:rFonts w:ascii="Arial" w:hAnsi="Arial" w:cs="Arial"/>
          <w:szCs w:val="24"/>
          <w:u w:val="single"/>
          <w:lang w:val="es-MX"/>
        </w:rPr>
        <w:t xml:space="preserve">Documento GN-2349-9 (“Políticas para la </w:t>
      </w:r>
      <w:r w:rsidRPr="00BE4DD3">
        <w:rPr>
          <w:rFonts w:ascii="Arial" w:hAnsi="Arial" w:cs="Arial"/>
          <w:szCs w:val="24"/>
          <w:u w:val="single"/>
          <w:lang w:val="es-MX"/>
        </w:rPr>
        <w:lastRenderedPageBreak/>
        <w:t>adquisición de bienes y obras financiados por el Banco Interamericano de Desarrollo”), de fecha marzo de 2011 (en adelante denominado las “Políticas de Adquisiciones”).</w:t>
      </w:r>
      <w:bookmarkEnd w:id="115"/>
    </w:p>
    <w:p w14:paraId="0E19A38B" w14:textId="77777777" w:rsidR="00364983" w:rsidRDefault="00364983" w:rsidP="009067BA">
      <w:pPr>
        <w:pStyle w:val="Paragraph"/>
        <w:numPr>
          <w:ilvl w:val="0"/>
          <w:numId w:val="29"/>
        </w:numPr>
        <w:ind w:left="567" w:hanging="567"/>
        <w:outlineLvl w:val="9"/>
        <w:rPr>
          <w:rFonts w:ascii="Arial" w:hAnsi="Arial" w:cs="Arial"/>
          <w:szCs w:val="24"/>
          <w:lang w:val="es-MX"/>
        </w:rPr>
      </w:pPr>
      <w:bookmarkStart w:id="116" w:name="_Toc321244945"/>
      <w:r w:rsidRPr="00BE4DD3">
        <w:rPr>
          <w:rFonts w:ascii="Arial" w:hAnsi="Arial" w:cs="Arial"/>
          <w:szCs w:val="24"/>
          <w:lang w:val="es-MX" w:eastAsia="en-US"/>
        </w:rPr>
        <w:t xml:space="preserve">Cuando se trate de </w:t>
      </w:r>
      <w:r w:rsidRPr="00BE4DD3">
        <w:rPr>
          <w:rFonts w:ascii="Arial" w:hAnsi="Arial" w:cs="Arial"/>
          <w:b/>
          <w:szCs w:val="24"/>
          <w:lang w:val="es-MX" w:eastAsia="en-US"/>
        </w:rPr>
        <w:t>Sub-prestatarios Elegibles que sean EGER,</w:t>
      </w:r>
      <w:r w:rsidRPr="00BE4DD3">
        <w:rPr>
          <w:rFonts w:ascii="Arial" w:hAnsi="Arial" w:cs="Arial"/>
          <w:szCs w:val="24"/>
          <w:lang w:val="es-MX" w:eastAsia="en-US"/>
        </w:rPr>
        <w:t xml:space="preserve"> la selección y contratación de bienes, obras y servicios deberá efectuarse siguiendo lo previsto en el Apéndice 4 de las </w:t>
      </w:r>
      <w:r w:rsidR="007645F9" w:rsidRPr="00BE4DD3">
        <w:rPr>
          <w:rFonts w:ascii="Arial" w:hAnsi="Arial" w:cs="Arial"/>
          <w:szCs w:val="24"/>
          <w:lang w:val="es-MX" w:eastAsia="en-US"/>
        </w:rPr>
        <w:t>Políticas</w:t>
      </w:r>
      <w:r w:rsidRPr="00BE4DD3">
        <w:rPr>
          <w:rFonts w:ascii="Arial" w:hAnsi="Arial" w:cs="Arial"/>
          <w:szCs w:val="24"/>
          <w:lang w:val="es-MX" w:eastAsia="en-US"/>
        </w:rPr>
        <w:t xml:space="preserve"> de Adquisiciones. Estos </w:t>
      </w:r>
      <w:r w:rsidR="0075055A" w:rsidRPr="00BE4DD3">
        <w:rPr>
          <w:rFonts w:ascii="Arial" w:hAnsi="Arial" w:cs="Arial"/>
          <w:szCs w:val="24"/>
          <w:lang w:val="es-MX" w:eastAsia="en-US"/>
        </w:rPr>
        <w:t>Sub-prestatarios</w:t>
      </w:r>
      <w:r w:rsidRPr="00BE4DD3">
        <w:rPr>
          <w:rFonts w:ascii="Arial" w:hAnsi="Arial" w:cs="Arial"/>
          <w:szCs w:val="24"/>
          <w:lang w:val="es-MX" w:eastAsia="en-US"/>
        </w:rPr>
        <w:t xml:space="preserve"> Elegibles, sin importar la modalidad de desembolso, utilizarán procedimientos de adquisición que se ajusten a las prácticas del mercado para el sector privado o comercial y que sean aceptables para el Banco y NAFIN. Estos procedimientos deberán resultar en precios de mercado, para las obras, bienes y servicios.</w:t>
      </w:r>
      <w:bookmarkEnd w:id="116"/>
    </w:p>
    <w:p w14:paraId="08A3BDED" w14:textId="77777777" w:rsidR="00364983" w:rsidRDefault="00364983" w:rsidP="009067BA">
      <w:pPr>
        <w:pStyle w:val="Paragraph"/>
        <w:numPr>
          <w:ilvl w:val="0"/>
          <w:numId w:val="29"/>
        </w:numPr>
        <w:ind w:left="567" w:hanging="567"/>
        <w:outlineLvl w:val="9"/>
        <w:rPr>
          <w:rFonts w:ascii="Arial" w:hAnsi="Arial" w:cs="Arial"/>
          <w:szCs w:val="24"/>
          <w:lang w:val="es-MX"/>
        </w:rPr>
      </w:pPr>
      <w:bookmarkStart w:id="117" w:name="_Toc321244946"/>
      <w:r w:rsidRPr="00BE4DD3">
        <w:rPr>
          <w:rFonts w:ascii="Arial" w:hAnsi="Arial" w:cs="Arial"/>
          <w:szCs w:val="24"/>
          <w:lang w:val="es-MX" w:eastAsia="en-US"/>
        </w:rPr>
        <w:t xml:space="preserve">Cuando se trate de financiamiento a </w:t>
      </w:r>
      <w:r w:rsidR="0075055A" w:rsidRPr="00BE4DD3">
        <w:rPr>
          <w:rFonts w:ascii="Arial" w:hAnsi="Arial" w:cs="Arial"/>
          <w:b/>
          <w:szCs w:val="24"/>
          <w:lang w:val="es-MX" w:eastAsia="en-US"/>
        </w:rPr>
        <w:t>Sub-prestatarios</w:t>
      </w:r>
      <w:r w:rsidRPr="00BE4DD3">
        <w:rPr>
          <w:rFonts w:ascii="Arial" w:hAnsi="Arial" w:cs="Arial"/>
          <w:b/>
          <w:szCs w:val="24"/>
          <w:lang w:val="es-MX" w:eastAsia="en-US"/>
        </w:rPr>
        <w:t xml:space="preserve"> del Sector Público</w:t>
      </w:r>
      <w:r w:rsidRPr="00BE4DD3">
        <w:rPr>
          <w:rFonts w:ascii="Arial" w:hAnsi="Arial" w:cs="Arial"/>
          <w:szCs w:val="24"/>
          <w:lang w:val="es-MX" w:eastAsia="en-US"/>
        </w:rPr>
        <w:t>, la selección y contratación de bienes, obras y servicios deberá</w:t>
      </w:r>
      <w:r w:rsidR="007645F9" w:rsidRPr="00BE4DD3">
        <w:rPr>
          <w:rFonts w:ascii="Arial" w:hAnsi="Arial" w:cs="Arial"/>
          <w:szCs w:val="24"/>
          <w:lang w:val="es-MX" w:eastAsia="en-US"/>
        </w:rPr>
        <w:t>n</w:t>
      </w:r>
      <w:r w:rsidRPr="00BE4DD3">
        <w:rPr>
          <w:rFonts w:ascii="Arial" w:hAnsi="Arial" w:cs="Arial"/>
          <w:szCs w:val="24"/>
          <w:lang w:val="es-MX" w:eastAsia="en-US"/>
        </w:rPr>
        <w:t xml:space="preserve"> efectuarse siguiendo lo previsto en los acuerdos establecidos conjuntamente entre </w:t>
      </w:r>
      <w:r w:rsidR="003A7B4B" w:rsidRPr="00BE4DD3">
        <w:rPr>
          <w:rFonts w:ascii="Arial" w:hAnsi="Arial" w:cs="Arial"/>
          <w:szCs w:val="24"/>
          <w:lang w:val="es-MX" w:eastAsia="en-US"/>
        </w:rPr>
        <w:t xml:space="preserve">las autoridades normativas </w:t>
      </w:r>
      <w:r w:rsidRPr="00BE4DD3">
        <w:rPr>
          <w:rFonts w:ascii="Arial" w:hAnsi="Arial" w:cs="Arial"/>
          <w:szCs w:val="24"/>
          <w:lang w:val="es-MX" w:eastAsia="en-US"/>
        </w:rPr>
        <w:t xml:space="preserve">de México y el Banco, reflejados en los lineamientos y disposiciones para la aplicación de los </w:t>
      </w:r>
      <w:r w:rsidR="00A23EB6" w:rsidRPr="00BE4DD3">
        <w:rPr>
          <w:rFonts w:ascii="Arial" w:hAnsi="Arial" w:cs="Arial"/>
          <w:szCs w:val="24"/>
          <w:lang w:val="es-MX" w:eastAsia="en-US"/>
        </w:rPr>
        <w:t>“</w:t>
      </w:r>
      <w:r w:rsidRPr="00BE4DD3">
        <w:rPr>
          <w:rFonts w:ascii="Arial" w:hAnsi="Arial" w:cs="Arial"/>
          <w:szCs w:val="24"/>
          <w:lang w:val="es-MX" w:eastAsia="en-US"/>
        </w:rPr>
        <w:t xml:space="preserve">Documentos Estándar de Licitación Pública para la Contratación de Obras, Bienes y Servicios” </w:t>
      </w:r>
      <w:r w:rsidR="00954458" w:rsidRPr="00BE4DD3">
        <w:rPr>
          <w:rFonts w:ascii="Arial" w:hAnsi="Arial" w:cs="Arial"/>
          <w:szCs w:val="24"/>
          <w:lang w:val="es-MX" w:eastAsia="en-US"/>
        </w:rPr>
        <w:t xml:space="preserve">vigentes </w:t>
      </w:r>
      <w:r w:rsidRPr="00BE4DD3">
        <w:rPr>
          <w:rFonts w:ascii="Arial" w:hAnsi="Arial" w:cs="Arial"/>
          <w:szCs w:val="24"/>
          <w:lang w:val="es-MX" w:eastAsia="en-US"/>
        </w:rPr>
        <w:t xml:space="preserve">que se encuentran disponibles en la página </w:t>
      </w:r>
      <w:hyperlink r:id="rId14" w:history="1">
        <w:r w:rsidRPr="00BE4DD3">
          <w:rPr>
            <w:rStyle w:val="Hyperlink"/>
            <w:rFonts w:ascii="Arial" w:hAnsi="Arial" w:cs="Arial"/>
            <w:szCs w:val="24"/>
            <w:lang w:val="es-MX" w:eastAsia="en-US"/>
          </w:rPr>
          <w:t>www.funcionpublica.gob.mx/unaopspf/unaop1.htm</w:t>
        </w:r>
      </w:hyperlink>
      <w:r w:rsidRPr="00BE4DD3">
        <w:rPr>
          <w:rFonts w:ascii="Arial" w:hAnsi="Arial" w:cs="Arial"/>
          <w:szCs w:val="24"/>
          <w:lang w:val="es-MX" w:eastAsia="en-US"/>
        </w:rPr>
        <w:t>, así como por las siguientes disposiciones:</w:t>
      </w:r>
      <w:bookmarkEnd w:id="117"/>
    </w:p>
    <w:p w14:paraId="0CB9F572" w14:textId="77777777" w:rsidR="00364983" w:rsidRDefault="00364983" w:rsidP="009067BA">
      <w:pPr>
        <w:pStyle w:val="Paragraph"/>
        <w:numPr>
          <w:ilvl w:val="0"/>
          <w:numId w:val="29"/>
        </w:numPr>
        <w:ind w:left="567" w:hanging="709"/>
        <w:outlineLvl w:val="9"/>
        <w:rPr>
          <w:rFonts w:ascii="Arial" w:hAnsi="Arial" w:cs="Arial"/>
          <w:szCs w:val="24"/>
          <w:lang w:val="es-MX" w:eastAsia="en-US"/>
        </w:rPr>
      </w:pPr>
      <w:bookmarkStart w:id="118" w:name="_Toc321244947"/>
      <w:r w:rsidRPr="00BE4DD3">
        <w:rPr>
          <w:rFonts w:ascii="Arial" w:hAnsi="Arial" w:cs="Arial"/>
          <w:szCs w:val="24"/>
          <w:u w:val="single"/>
          <w:lang w:val="es-MX" w:eastAsia="en-US"/>
        </w:rPr>
        <w:t xml:space="preserve">Licitación pública internacional: </w:t>
      </w:r>
      <w:r w:rsidRPr="00BE4DD3">
        <w:rPr>
          <w:rFonts w:ascii="Arial" w:hAnsi="Arial" w:cs="Arial"/>
          <w:szCs w:val="24"/>
          <w:lang w:val="es-MX" w:eastAsia="en-US"/>
        </w:rPr>
        <w:t xml:space="preserve">Salvo que </w:t>
      </w:r>
      <w:r w:rsidR="00954458" w:rsidRPr="00BE4DD3">
        <w:rPr>
          <w:rFonts w:ascii="Arial" w:hAnsi="Arial" w:cs="Arial"/>
          <w:szCs w:val="24"/>
          <w:lang w:val="es-MX" w:eastAsia="en-US"/>
        </w:rPr>
        <w:t xml:space="preserve">el numeral 11.3 </w:t>
      </w:r>
      <w:r w:rsidRPr="00BE4DD3">
        <w:rPr>
          <w:rFonts w:ascii="Arial" w:hAnsi="Arial" w:cs="Arial"/>
          <w:szCs w:val="24"/>
          <w:lang w:val="es-MX" w:eastAsia="en-US"/>
        </w:rPr>
        <w:t>establezca lo contrario, las obras y los bienes deberán ser adquiridos de conformidad con las disposiciones de la Sección II de las Políticas de Adquisiciones.</w:t>
      </w:r>
      <w:bookmarkEnd w:id="118"/>
    </w:p>
    <w:p w14:paraId="5509C50E" w14:textId="77777777" w:rsidR="00364983" w:rsidRPr="00BE4DD3" w:rsidRDefault="00364983" w:rsidP="009067BA">
      <w:pPr>
        <w:pStyle w:val="Paragraph"/>
        <w:numPr>
          <w:ilvl w:val="0"/>
          <w:numId w:val="29"/>
        </w:numPr>
        <w:ind w:left="567" w:hanging="709"/>
        <w:outlineLvl w:val="9"/>
        <w:rPr>
          <w:rFonts w:ascii="Arial" w:hAnsi="Arial" w:cs="Arial"/>
          <w:szCs w:val="24"/>
          <w:lang w:val="es-MX" w:eastAsia="en-US"/>
        </w:rPr>
      </w:pPr>
      <w:bookmarkStart w:id="119" w:name="_Toc321244948"/>
      <w:r w:rsidRPr="00BE4DD3">
        <w:rPr>
          <w:rFonts w:ascii="Arial" w:hAnsi="Arial" w:cs="Arial"/>
          <w:szCs w:val="24"/>
          <w:u w:val="single"/>
          <w:lang w:val="es-MX" w:eastAsia="en-US"/>
        </w:rPr>
        <w:t>Otros procedimientos de adquisiciones:</w:t>
      </w:r>
      <w:r w:rsidRPr="00BE4DD3">
        <w:rPr>
          <w:rFonts w:ascii="Arial" w:hAnsi="Arial" w:cs="Arial"/>
          <w:szCs w:val="24"/>
          <w:lang w:val="es-MX" w:eastAsia="en-US"/>
        </w:rPr>
        <w:t xml:space="preserve"> Los siguientes métodos de adquisición podrán ser utilizados para la adquisición de obras y de bienes que el Banco acuerde </w:t>
      </w:r>
      <w:r w:rsidR="00287228" w:rsidRPr="00BE4DD3">
        <w:rPr>
          <w:rFonts w:ascii="Arial" w:hAnsi="Arial" w:cs="Arial"/>
          <w:szCs w:val="24"/>
          <w:lang w:val="es-MX" w:eastAsia="en-US"/>
        </w:rPr>
        <w:t xml:space="preserve">que </w:t>
      </w:r>
      <w:r w:rsidRPr="00BE4DD3">
        <w:rPr>
          <w:rFonts w:ascii="Arial" w:hAnsi="Arial" w:cs="Arial"/>
          <w:szCs w:val="24"/>
          <w:lang w:val="es-MX" w:eastAsia="en-US"/>
        </w:rPr>
        <w:t>reúnen los requisitos establecidos en las disposiciones de las Sección III de las Políticas de Adquisiciones:</w:t>
      </w:r>
      <w:bookmarkEnd w:id="119"/>
    </w:p>
    <w:p w14:paraId="72D999D7" w14:textId="77777777" w:rsidR="00364983" w:rsidRPr="00BE4DD3" w:rsidRDefault="00364983" w:rsidP="009067BA">
      <w:pPr>
        <w:pStyle w:val="Paragraph"/>
        <w:numPr>
          <w:ilvl w:val="2"/>
          <w:numId w:val="19"/>
        </w:numPr>
        <w:tabs>
          <w:tab w:val="num" w:pos="4032"/>
        </w:tabs>
        <w:ind w:left="1440" w:hanging="360"/>
        <w:outlineLvl w:val="9"/>
        <w:rPr>
          <w:rFonts w:ascii="Arial" w:hAnsi="Arial" w:cs="Arial"/>
          <w:sz w:val="22"/>
          <w:szCs w:val="24"/>
          <w:lang w:val="es-MX" w:eastAsia="en-US"/>
        </w:rPr>
      </w:pPr>
      <w:bookmarkStart w:id="120" w:name="_Toc321244949"/>
      <w:r w:rsidRPr="00BE4DD3">
        <w:rPr>
          <w:rFonts w:ascii="Arial" w:hAnsi="Arial" w:cs="Arial"/>
          <w:sz w:val="22"/>
          <w:szCs w:val="24"/>
          <w:lang w:val="es-MX" w:eastAsia="en-US"/>
        </w:rPr>
        <w:t>Licitación Pública Nacional: (A) Obras cuyo costo estimado sea menor al equivalente de US$15,000,000,00 (Quince millones de dólares</w:t>
      </w:r>
      <w:r w:rsidR="00E14A13">
        <w:rPr>
          <w:rFonts w:ascii="Arial" w:hAnsi="Arial" w:cs="Arial"/>
          <w:sz w:val="22"/>
          <w:szCs w:val="24"/>
          <w:lang w:val="es-MX" w:eastAsia="en-US"/>
        </w:rPr>
        <w:t xml:space="preserve"> americanos</w:t>
      </w:r>
      <w:r w:rsidRPr="00BE4DD3">
        <w:rPr>
          <w:rFonts w:ascii="Arial" w:hAnsi="Arial" w:cs="Arial"/>
          <w:sz w:val="22"/>
          <w:szCs w:val="24"/>
          <w:lang w:val="es-MX" w:eastAsia="en-US"/>
        </w:rPr>
        <w:t>) por contrato, y (B) bienes cuyo costo estimado sea menor al equivalente de US$3,000,000.00 (Tres millones de dólares</w:t>
      </w:r>
      <w:r w:rsidR="00E14A13">
        <w:rPr>
          <w:rFonts w:ascii="Arial" w:hAnsi="Arial" w:cs="Arial"/>
          <w:sz w:val="22"/>
          <w:szCs w:val="24"/>
          <w:lang w:val="es-MX" w:eastAsia="en-US"/>
        </w:rPr>
        <w:t xml:space="preserve"> americanos</w:t>
      </w:r>
      <w:r w:rsidRPr="00BE4DD3">
        <w:rPr>
          <w:rFonts w:ascii="Arial" w:hAnsi="Arial" w:cs="Arial"/>
          <w:sz w:val="22"/>
          <w:szCs w:val="24"/>
          <w:lang w:val="es-MX" w:eastAsia="en-US"/>
        </w:rPr>
        <w:t>) por contrato</w:t>
      </w:r>
      <w:r w:rsidR="00A8718E" w:rsidRPr="00BE4DD3">
        <w:rPr>
          <w:rFonts w:ascii="Arial" w:hAnsi="Arial" w:cs="Arial"/>
          <w:sz w:val="22"/>
          <w:szCs w:val="24"/>
          <w:lang w:val="es-MX" w:eastAsia="en-US"/>
        </w:rPr>
        <w:t>,</w:t>
      </w:r>
      <w:r w:rsidRPr="00BE4DD3">
        <w:rPr>
          <w:rFonts w:ascii="Arial" w:hAnsi="Arial" w:cs="Arial"/>
          <w:sz w:val="22"/>
          <w:szCs w:val="24"/>
          <w:lang w:val="es-MX" w:eastAsia="en-US"/>
        </w:rPr>
        <w:t xml:space="preserve"> siempre y cuando se lleven a cabo de conformidad con el documento o documentos de licitación previamente acordados entre </w:t>
      </w:r>
      <w:r w:rsidR="003A7B4B" w:rsidRPr="00BE4DD3">
        <w:rPr>
          <w:rFonts w:ascii="Arial" w:hAnsi="Arial" w:cs="Arial"/>
          <w:sz w:val="22"/>
          <w:szCs w:val="24"/>
          <w:lang w:val="es-MX" w:eastAsia="en-US"/>
        </w:rPr>
        <w:t xml:space="preserve">las autoridades normativas </w:t>
      </w:r>
      <w:r w:rsidRPr="00BE4DD3">
        <w:rPr>
          <w:rFonts w:ascii="Arial" w:hAnsi="Arial" w:cs="Arial"/>
          <w:sz w:val="22"/>
          <w:szCs w:val="24"/>
          <w:lang w:val="es-MX" w:eastAsia="en-US"/>
        </w:rPr>
        <w:t>y el Banco;</w:t>
      </w:r>
      <w:bookmarkEnd w:id="120"/>
    </w:p>
    <w:p w14:paraId="20EFB6E8" w14:textId="77777777" w:rsidR="00503E53" w:rsidRPr="00BE4DD3" w:rsidRDefault="00364983" w:rsidP="009067BA">
      <w:pPr>
        <w:pStyle w:val="Paragraph"/>
        <w:numPr>
          <w:ilvl w:val="2"/>
          <w:numId w:val="19"/>
        </w:numPr>
        <w:tabs>
          <w:tab w:val="num" w:pos="4032"/>
        </w:tabs>
        <w:ind w:left="1440" w:hanging="360"/>
        <w:outlineLvl w:val="9"/>
        <w:rPr>
          <w:rFonts w:ascii="Arial" w:hAnsi="Arial" w:cs="Arial"/>
          <w:sz w:val="22"/>
          <w:szCs w:val="24"/>
          <w:lang w:val="es-MX" w:eastAsia="en-US"/>
        </w:rPr>
      </w:pPr>
      <w:bookmarkStart w:id="121" w:name="_Toc321244950"/>
      <w:r w:rsidRPr="00BE4DD3">
        <w:rPr>
          <w:rFonts w:ascii="Arial" w:hAnsi="Arial" w:cs="Arial"/>
          <w:sz w:val="22"/>
          <w:szCs w:val="24"/>
          <w:lang w:val="es-MX" w:eastAsia="en-US"/>
        </w:rPr>
        <w:t xml:space="preserve">Comparación de Precios: (A) </w:t>
      </w:r>
      <w:r w:rsidR="00A8718E" w:rsidRPr="00BE4DD3">
        <w:rPr>
          <w:rFonts w:ascii="Arial" w:hAnsi="Arial" w:cs="Arial"/>
          <w:sz w:val="22"/>
          <w:szCs w:val="24"/>
          <w:lang w:val="es-MX" w:eastAsia="en-US"/>
        </w:rPr>
        <w:t xml:space="preserve">para </w:t>
      </w:r>
      <w:r w:rsidRPr="00BE4DD3">
        <w:rPr>
          <w:rFonts w:ascii="Arial" w:hAnsi="Arial" w:cs="Arial"/>
          <w:sz w:val="22"/>
          <w:szCs w:val="24"/>
          <w:lang w:val="es-MX" w:eastAsia="en-US"/>
        </w:rPr>
        <w:t>Obras cuyo costo estimado sea menor al equivalente de US$500,000.00 (Quinientos mil dólares</w:t>
      </w:r>
      <w:r w:rsidR="00E14A13">
        <w:rPr>
          <w:rFonts w:ascii="Arial" w:hAnsi="Arial" w:cs="Arial"/>
          <w:sz w:val="22"/>
          <w:szCs w:val="24"/>
          <w:lang w:val="es-MX" w:eastAsia="en-US"/>
        </w:rPr>
        <w:t xml:space="preserve"> americanos</w:t>
      </w:r>
      <w:r w:rsidRPr="00BE4DD3">
        <w:rPr>
          <w:rFonts w:ascii="Arial" w:hAnsi="Arial" w:cs="Arial"/>
          <w:sz w:val="22"/>
          <w:szCs w:val="24"/>
          <w:lang w:val="es-MX" w:eastAsia="en-US"/>
        </w:rPr>
        <w:t>) por contrato</w:t>
      </w:r>
      <w:r w:rsidR="00E0439F" w:rsidRPr="00BE4DD3">
        <w:rPr>
          <w:rFonts w:ascii="Arial" w:hAnsi="Arial" w:cs="Arial"/>
          <w:sz w:val="22"/>
          <w:szCs w:val="24"/>
          <w:lang w:val="es-MX" w:eastAsia="en-US"/>
        </w:rPr>
        <w:t xml:space="preserve"> </w:t>
      </w:r>
      <w:r w:rsidRPr="00BE4DD3">
        <w:rPr>
          <w:rFonts w:ascii="Arial" w:hAnsi="Arial" w:cs="Arial"/>
          <w:sz w:val="22"/>
          <w:szCs w:val="24"/>
          <w:lang w:val="es-MX" w:eastAsia="en-US"/>
        </w:rPr>
        <w:t>y (B) bienes cuyo costo estimado sea menor al equivalente de US$100,000.00 (Cien mil dólares</w:t>
      </w:r>
      <w:r w:rsidR="00E14A13">
        <w:rPr>
          <w:rFonts w:ascii="Arial" w:hAnsi="Arial" w:cs="Arial"/>
          <w:sz w:val="22"/>
          <w:szCs w:val="24"/>
          <w:lang w:val="es-MX" w:eastAsia="en-US"/>
        </w:rPr>
        <w:t xml:space="preserve"> americanos</w:t>
      </w:r>
      <w:r w:rsidRPr="00BE4DD3">
        <w:rPr>
          <w:rFonts w:ascii="Arial" w:hAnsi="Arial" w:cs="Arial"/>
          <w:sz w:val="22"/>
          <w:szCs w:val="24"/>
          <w:lang w:val="es-MX" w:eastAsia="en-US"/>
        </w:rPr>
        <w:t>) por</w:t>
      </w:r>
      <w:r w:rsidR="00AF7152" w:rsidRPr="00BE4DD3">
        <w:rPr>
          <w:rFonts w:ascii="Arial" w:hAnsi="Arial" w:cs="Arial"/>
          <w:sz w:val="22"/>
          <w:szCs w:val="24"/>
          <w:lang w:val="es-MX" w:eastAsia="en-US"/>
        </w:rPr>
        <w:t xml:space="preserve"> </w:t>
      </w:r>
      <w:r w:rsidRPr="00BE4DD3">
        <w:rPr>
          <w:rFonts w:ascii="Arial" w:hAnsi="Arial" w:cs="Arial"/>
          <w:sz w:val="22"/>
          <w:szCs w:val="24"/>
          <w:lang w:val="es-MX" w:eastAsia="en-US"/>
        </w:rPr>
        <w:t>contrato, siempre y cuando se cumpla con lo dispuesto en el párrafo 3.5 de las Políticas de Adquisiciones del BID</w:t>
      </w:r>
      <w:r w:rsidR="00A2147B" w:rsidRPr="00BE4DD3">
        <w:rPr>
          <w:rFonts w:ascii="Arial" w:hAnsi="Arial" w:cs="Arial"/>
          <w:sz w:val="22"/>
          <w:szCs w:val="24"/>
          <w:lang w:val="es-MX" w:eastAsia="en-US"/>
        </w:rPr>
        <w:t>.</w:t>
      </w:r>
      <w:bookmarkEnd w:id="121"/>
      <w:r w:rsidR="00503E53" w:rsidRPr="00BE4DD3">
        <w:rPr>
          <w:rFonts w:ascii="Arial" w:hAnsi="Arial" w:cs="Arial"/>
          <w:sz w:val="22"/>
          <w:szCs w:val="24"/>
          <w:vertAlign w:val="superscript"/>
          <w:lang w:val="es-MX" w:eastAsia="en-US"/>
        </w:rPr>
        <w:footnoteReference w:id="11"/>
      </w:r>
    </w:p>
    <w:p w14:paraId="2748A80B" w14:textId="77777777" w:rsidR="00364983" w:rsidRPr="00BE4DD3" w:rsidRDefault="00364983" w:rsidP="009067BA">
      <w:pPr>
        <w:pStyle w:val="Paragraph"/>
        <w:numPr>
          <w:ilvl w:val="2"/>
          <w:numId w:val="19"/>
        </w:numPr>
        <w:tabs>
          <w:tab w:val="num" w:pos="4032"/>
        </w:tabs>
        <w:ind w:left="1440" w:hanging="360"/>
        <w:outlineLvl w:val="9"/>
        <w:rPr>
          <w:rFonts w:ascii="Arial" w:hAnsi="Arial" w:cs="Arial"/>
          <w:sz w:val="22"/>
          <w:szCs w:val="24"/>
          <w:lang w:val="es-MX" w:eastAsia="en-US"/>
        </w:rPr>
      </w:pPr>
      <w:bookmarkStart w:id="122" w:name="_Toc321244951"/>
      <w:r w:rsidRPr="00BE4DD3">
        <w:rPr>
          <w:rFonts w:ascii="Arial" w:hAnsi="Arial" w:cs="Arial"/>
          <w:sz w:val="22"/>
          <w:szCs w:val="24"/>
          <w:lang w:val="es-MX" w:eastAsia="en-US"/>
        </w:rPr>
        <w:lastRenderedPageBreak/>
        <w:t xml:space="preserve">Otros métodos de adquisición: de conformidad con lo previsto en la Sección III de las Políticas de Adquisiciones y previa </w:t>
      </w:r>
      <w:r w:rsidR="000C311F" w:rsidRPr="00BE4DD3">
        <w:rPr>
          <w:rFonts w:ascii="Arial" w:hAnsi="Arial" w:cs="Arial"/>
          <w:sz w:val="22"/>
          <w:szCs w:val="24"/>
          <w:lang w:val="es-MX" w:eastAsia="en-US"/>
        </w:rPr>
        <w:t>N</w:t>
      </w:r>
      <w:r w:rsidRPr="00BE4DD3">
        <w:rPr>
          <w:rFonts w:ascii="Arial" w:hAnsi="Arial" w:cs="Arial"/>
          <w:sz w:val="22"/>
          <w:szCs w:val="24"/>
          <w:lang w:val="es-MX" w:eastAsia="en-US"/>
        </w:rPr>
        <w:t xml:space="preserve">o </w:t>
      </w:r>
      <w:r w:rsidR="000C311F" w:rsidRPr="00BE4DD3">
        <w:rPr>
          <w:rFonts w:ascii="Arial" w:hAnsi="Arial" w:cs="Arial"/>
          <w:sz w:val="22"/>
          <w:szCs w:val="24"/>
          <w:lang w:val="es-MX" w:eastAsia="en-US"/>
        </w:rPr>
        <w:t>O</w:t>
      </w:r>
      <w:r w:rsidRPr="00BE4DD3">
        <w:rPr>
          <w:rFonts w:ascii="Arial" w:hAnsi="Arial" w:cs="Arial"/>
          <w:sz w:val="22"/>
          <w:szCs w:val="24"/>
          <w:lang w:val="es-MX" w:eastAsia="en-US"/>
        </w:rPr>
        <w:t>bjeción del BID, se podrán utilizar otros métodos de adquisiciones en las circunstancias especiales establecidas en la Sección III.</w:t>
      </w:r>
      <w:bookmarkEnd w:id="122"/>
    </w:p>
    <w:p w14:paraId="29636598" w14:textId="77777777" w:rsidR="00364983" w:rsidRPr="00BE4DD3" w:rsidRDefault="00364983" w:rsidP="009067BA">
      <w:pPr>
        <w:pStyle w:val="Paragraph"/>
        <w:numPr>
          <w:ilvl w:val="2"/>
          <w:numId w:val="19"/>
        </w:numPr>
        <w:tabs>
          <w:tab w:val="num" w:pos="4032"/>
        </w:tabs>
        <w:ind w:left="1440" w:hanging="360"/>
        <w:outlineLvl w:val="9"/>
        <w:rPr>
          <w:rFonts w:ascii="Arial" w:hAnsi="Arial" w:cs="Arial"/>
          <w:sz w:val="22"/>
          <w:szCs w:val="24"/>
          <w:lang w:val="es-MX" w:eastAsia="en-US"/>
        </w:rPr>
      </w:pPr>
      <w:bookmarkStart w:id="123" w:name="_Toc321244952"/>
      <w:r w:rsidRPr="00BE4DD3">
        <w:rPr>
          <w:rFonts w:ascii="Arial" w:hAnsi="Arial" w:cs="Arial"/>
          <w:sz w:val="22"/>
          <w:szCs w:val="24"/>
          <w:lang w:val="es-MX" w:eastAsia="en-US"/>
        </w:rPr>
        <w:t>Contratación de instituciones financieras</w:t>
      </w:r>
      <w:r w:rsidR="00A8718E" w:rsidRPr="00BE4DD3">
        <w:rPr>
          <w:rFonts w:ascii="Arial" w:hAnsi="Arial" w:cs="Arial"/>
          <w:sz w:val="22"/>
          <w:szCs w:val="24"/>
          <w:lang w:val="es-MX" w:eastAsia="en-US"/>
        </w:rPr>
        <w:t>:</w:t>
      </w:r>
      <w:r w:rsidRPr="00BE4DD3">
        <w:rPr>
          <w:rFonts w:ascii="Arial" w:hAnsi="Arial" w:cs="Arial"/>
          <w:sz w:val="22"/>
          <w:szCs w:val="24"/>
          <w:lang w:val="es-MX" w:eastAsia="en-US"/>
        </w:rPr>
        <w:t xml:space="preserve"> cuando se trate de </w:t>
      </w:r>
      <w:r w:rsidR="0075055A" w:rsidRPr="00BE4DD3">
        <w:rPr>
          <w:rFonts w:ascii="Arial" w:hAnsi="Arial" w:cs="Arial"/>
          <w:sz w:val="22"/>
          <w:szCs w:val="24"/>
          <w:lang w:val="es-MX" w:eastAsia="en-US"/>
        </w:rPr>
        <w:t>Sub-préstamos</w:t>
      </w:r>
      <w:r w:rsidRPr="00BE4DD3">
        <w:rPr>
          <w:rFonts w:ascii="Arial" w:hAnsi="Arial" w:cs="Arial"/>
          <w:sz w:val="22"/>
          <w:szCs w:val="24"/>
          <w:lang w:val="es-MX" w:eastAsia="en-US"/>
        </w:rPr>
        <w:t xml:space="preserve"> a intermediarios financieros, estos deberán solicitar de los </w:t>
      </w:r>
      <w:r w:rsidR="0075055A" w:rsidRPr="00BE4DD3">
        <w:rPr>
          <w:rFonts w:ascii="Arial" w:hAnsi="Arial" w:cs="Arial"/>
          <w:sz w:val="22"/>
          <w:szCs w:val="24"/>
          <w:lang w:val="es-MX" w:eastAsia="en-US"/>
        </w:rPr>
        <w:t>Sub-prestatarios</w:t>
      </w:r>
      <w:r w:rsidRPr="00BE4DD3">
        <w:rPr>
          <w:rFonts w:ascii="Arial" w:hAnsi="Arial" w:cs="Arial"/>
          <w:sz w:val="22"/>
          <w:szCs w:val="24"/>
          <w:lang w:val="es-MX" w:eastAsia="en-US"/>
        </w:rPr>
        <w:t xml:space="preserve"> Elegibles del Sector Públ</w:t>
      </w:r>
      <w:r w:rsidR="00A11A93" w:rsidRPr="00BE4DD3">
        <w:rPr>
          <w:rFonts w:ascii="Arial" w:hAnsi="Arial" w:cs="Arial"/>
          <w:sz w:val="22"/>
          <w:szCs w:val="24"/>
          <w:lang w:val="es-MX" w:eastAsia="en-US"/>
        </w:rPr>
        <w:t>ico</w:t>
      </w:r>
      <w:r w:rsidRPr="00BE4DD3">
        <w:rPr>
          <w:rFonts w:ascii="Arial" w:hAnsi="Arial" w:cs="Arial"/>
          <w:sz w:val="22"/>
          <w:szCs w:val="24"/>
          <w:lang w:val="es-MX" w:eastAsia="en-US"/>
        </w:rPr>
        <w:t xml:space="preserve"> las mismas condiciones establecidas en </w:t>
      </w:r>
      <w:r w:rsidR="00AD7F7C" w:rsidRPr="00BE4DD3">
        <w:rPr>
          <w:rFonts w:ascii="Arial" w:hAnsi="Arial" w:cs="Arial"/>
          <w:sz w:val="22"/>
          <w:szCs w:val="24"/>
          <w:lang w:val="es-MX" w:eastAsia="en-US"/>
        </w:rPr>
        <w:t>el presente numeral 11.6.</w:t>
      </w:r>
      <w:bookmarkEnd w:id="123"/>
    </w:p>
    <w:p w14:paraId="653D4984" w14:textId="77777777" w:rsidR="00364983" w:rsidRDefault="00364983" w:rsidP="009067BA">
      <w:pPr>
        <w:pStyle w:val="Paragraph"/>
        <w:numPr>
          <w:ilvl w:val="0"/>
          <w:numId w:val="51"/>
        </w:numPr>
        <w:ind w:left="426" w:hanging="709"/>
        <w:outlineLvl w:val="9"/>
        <w:rPr>
          <w:rFonts w:ascii="Arial" w:hAnsi="Arial" w:cs="Arial"/>
          <w:szCs w:val="24"/>
          <w:lang w:val="es-MX" w:eastAsia="en-US"/>
        </w:rPr>
      </w:pPr>
      <w:bookmarkStart w:id="124" w:name="_Toc321244953"/>
      <w:r w:rsidRPr="00BE4DD3">
        <w:rPr>
          <w:rFonts w:ascii="Arial" w:hAnsi="Arial" w:cs="Arial"/>
          <w:szCs w:val="24"/>
          <w:u w:val="single"/>
          <w:lang w:val="es-MX" w:eastAsia="en-US"/>
        </w:rPr>
        <w:t>Otras obligaciones en materia de adquisiciones:</w:t>
      </w:r>
      <w:r w:rsidRPr="00BE4DD3">
        <w:rPr>
          <w:rFonts w:ascii="Arial" w:hAnsi="Arial" w:cs="Arial"/>
          <w:szCs w:val="24"/>
          <w:lang w:val="es-MX" w:eastAsia="en-US"/>
        </w:rPr>
        <w:t xml:space="preserve"> NAFIN se compromete a exigir, de ser el caso y cuando corresponda a los </w:t>
      </w:r>
      <w:r w:rsidR="0075055A" w:rsidRPr="00BE4DD3">
        <w:rPr>
          <w:rFonts w:ascii="Arial" w:hAnsi="Arial" w:cs="Arial"/>
          <w:szCs w:val="24"/>
          <w:lang w:val="es-MX" w:eastAsia="en-US"/>
        </w:rPr>
        <w:t>Sub-prestatarios</w:t>
      </w:r>
      <w:r w:rsidRPr="00BE4DD3">
        <w:rPr>
          <w:rFonts w:ascii="Arial" w:hAnsi="Arial" w:cs="Arial"/>
          <w:szCs w:val="24"/>
          <w:lang w:val="es-MX" w:eastAsia="en-US"/>
        </w:rPr>
        <w:t xml:space="preserve"> Elegibles del Sector Público, que la adquisición de los bienes y la ejecución de las obras, se lleven a </w:t>
      </w:r>
      <w:r w:rsidRPr="00CE1119">
        <w:rPr>
          <w:rFonts w:ascii="Arial" w:hAnsi="Arial" w:cs="Arial"/>
          <w:szCs w:val="24"/>
          <w:u w:val="single"/>
          <w:lang w:val="es-MX" w:eastAsia="en-US"/>
        </w:rPr>
        <w:t>cabo de conformidad</w:t>
      </w:r>
      <w:r w:rsidR="00E0439F" w:rsidRPr="00CE1119">
        <w:rPr>
          <w:rFonts w:ascii="Arial" w:hAnsi="Arial" w:cs="Arial"/>
          <w:szCs w:val="24"/>
          <w:u w:val="single"/>
          <w:lang w:val="es-MX" w:eastAsia="en-US"/>
        </w:rPr>
        <w:t xml:space="preserve"> </w:t>
      </w:r>
      <w:r w:rsidRPr="00CE1119">
        <w:rPr>
          <w:rFonts w:ascii="Arial" w:hAnsi="Arial" w:cs="Arial"/>
          <w:szCs w:val="24"/>
          <w:u w:val="single"/>
          <w:lang w:val="es-MX" w:eastAsia="en-US"/>
        </w:rPr>
        <w:t>con los planos generales, las especificaciones técnicas,</w:t>
      </w:r>
      <w:r w:rsidRPr="00BE4DD3">
        <w:rPr>
          <w:rFonts w:ascii="Arial" w:hAnsi="Arial" w:cs="Arial"/>
          <w:szCs w:val="24"/>
          <w:lang w:val="es-MX" w:eastAsia="en-US"/>
        </w:rPr>
        <w:t xml:space="preserve"> sociales y ambientales, los presupuestos y los demás documentos requeridos para la adquisición o la construcción y, en su caso, las bases específicas y demás documentos necesarios para el llamado de una licitación; y en el caso de obras, a obtener con relación a los inmuebles donde se constituirán las obras del Pro</w:t>
      </w:r>
      <w:r w:rsidR="004B2B2F" w:rsidRPr="00BE4DD3">
        <w:rPr>
          <w:rFonts w:ascii="Arial" w:hAnsi="Arial" w:cs="Arial"/>
          <w:szCs w:val="24"/>
          <w:lang w:val="es-MX" w:eastAsia="en-US"/>
        </w:rPr>
        <w:t>yecto</w:t>
      </w:r>
      <w:r w:rsidRPr="00BE4DD3">
        <w:rPr>
          <w:rFonts w:ascii="Arial" w:hAnsi="Arial" w:cs="Arial"/>
          <w:szCs w:val="24"/>
          <w:lang w:val="es-MX" w:eastAsia="en-US"/>
        </w:rPr>
        <w:t xml:space="preserve">, antes de la suscripción del contrato de obras, la posesión legal, las servidumbres u otros derechos necesarios para iniciar las obras. Cuando se trate de </w:t>
      </w:r>
      <w:r w:rsidR="004918DC" w:rsidRPr="00BE4DD3">
        <w:rPr>
          <w:rFonts w:ascii="Arial" w:hAnsi="Arial" w:cs="Arial"/>
          <w:szCs w:val="24"/>
          <w:lang w:val="es-MX" w:eastAsia="en-US"/>
        </w:rPr>
        <w:t>EGER</w:t>
      </w:r>
      <w:r w:rsidRPr="00BE4DD3">
        <w:rPr>
          <w:rFonts w:ascii="Arial" w:hAnsi="Arial" w:cs="Arial"/>
          <w:szCs w:val="24"/>
          <w:lang w:val="es-MX" w:eastAsia="en-US"/>
        </w:rPr>
        <w:t>, NAFIN solicitará la documentación necesaria de acuerdo a sus políticas operativas y prácticas habituales.</w:t>
      </w:r>
      <w:bookmarkEnd w:id="124"/>
    </w:p>
    <w:p w14:paraId="7B3A29DC" w14:textId="77777777" w:rsidR="00364983" w:rsidRPr="00BE4DD3" w:rsidRDefault="00364983" w:rsidP="0031636D">
      <w:pPr>
        <w:pStyle w:val="Paragraph"/>
        <w:numPr>
          <w:ilvl w:val="0"/>
          <w:numId w:val="51"/>
        </w:numPr>
        <w:ind w:left="426" w:hanging="710"/>
        <w:outlineLvl w:val="9"/>
        <w:rPr>
          <w:rFonts w:ascii="Arial" w:hAnsi="Arial" w:cs="Arial"/>
          <w:szCs w:val="24"/>
          <w:lang w:val="es-MX" w:eastAsia="en-US"/>
        </w:rPr>
      </w:pPr>
      <w:bookmarkStart w:id="125" w:name="_Toc321244954"/>
      <w:r w:rsidRPr="00BE4DD3">
        <w:rPr>
          <w:rFonts w:ascii="Arial" w:hAnsi="Arial" w:cs="Arial"/>
          <w:szCs w:val="24"/>
          <w:lang w:val="es-MX" w:eastAsia="en-US"/>
        </w:rPr>
        <w:t>Revisión por el Banco de las decisiones en materia de adquisiciones:</w:t>
      </w:r>
      <w:bookmarkEnd w:id="125"/>
    </w:p>
    <w:p w14:paraId="0164E61F" w14:textId="77777777" w:rsidR="00E71B2B" w:rsidRDefault="00364983" w:rsidP="009067BA">
      <w:pPr>
        <w:pStyle w:val="Subtitle"/>
        <w:numPr>
          <w:ilvl w:val="1"/>
          <w:numId w:val="51"/>
        </w:numPr>
        <w:jc w:val="both"/>
        <w:rPr>
          <w:rFonts w:ascii="Arial" w:eastAsia="Times New Roman" w:hAnsi="Arial" w:cs="Arial"/>
          <w:color w:val="auto"/>
          <w:spacing w:val="0"/>
          <w:sz w:val="24"/>
          <w:szCs w:val="24"/>
          <w:lang w:eastAsia="en-US"/>
        </w:rPr>
      </w:pPr>
      <w:bookmarkStart w:id="126" w:name="_Toc321244955"/>
      <w:r w:rsidRPr="000A37CF">
        <w:rPr>
          <w:rFonts w:ascii="Arial" w:eastAsia="Times New Roman" w:hAnsi="Arial" w:cs="Arial"/>
          <w:color w:val="auto"/>
          <w:spacing w:val="0"/>
          <w:sz w:val="24"/>
          <w:szCs w:val="24"/>
          <w:u w:val="single"/>
          <w:lang w:eastAsia="en-US"/>
        </w:rPr>
        <w:t>Planificación de las Adquisiciones</w:t>
      </w:r>
      <w:r w:rsidR="00A8718E" w:rsidRPr="000A37CF">
        <w:rPr>
          <w:rFonts w:ascii="Arial" w:eastAsia="Times New Roman" w:hAnsi="Arial" w:cs="Arial"/>
          <w:color w:val="auto"/>
          <w:spacing w:val="0"/>
          <w:sz w:val="24"/>
          <w:szCs w:val="24"/>
          <w:u w:val="single"/>
          <w:lang w:eastAsia="en-US"/>
        </w:rPr>
        <w:t>:</w:t>
      </w:r>
      <w:r w:rsidRPr="007D7526">
        <w:rPr>
          <w:rFonts w:ascii="Arial" w:eastAsia="Times New Roman" w:hAnsi="Arial" w:cs="Arial"/>
          <w:color w:val="auto"/>
          <w:spacing w:val="0"/>
          <w:sz w:val="24"/>
          <w:szCs w:val="24"/>
          <w:lang w:eastAsia="en-US"/>
        </w:rPr>
        <w:t xml:space="preserve"> </w:t>
      </w:r>
      <w:r w:rsidR="00A8718E" w:rsidRPr="007D7526">
        <w:rPr>
          <w:rFonts w:ascii="Arial" w:eastAsia="Times New Roman" w:hAnsi="Arial" w:cs="Arial"/>
          <w:color w:val="auto"/>
          <w:spacing w:val="0"/>
          <w:sz w:val="24"/>
          <w:szCs w:val="24"/>
          <w:lang w:eastAsia="en-US"/>
        </w:rPr>
        <w:t xml:space="preserve">NAFIN </w:t>
      </w:r>
      <w:r w:rsidRPr="007D7526">
        <w:rPr>
          <w:rFonts w:ascii="Arial" w:eastAsia="Times New Roman" w:hAnsi="Arial" w:cs="Arial"/>
          <w:color w:val="auto"/>
          <w:spacing w:val="0"/>
          <w:sz w:val="24"/>
          <w:szCs w:val="24"/>
          <w:lang w:eastAsia="en-US"/>
        </w:rPr>
        <w:t xml:space="preserve">deberá presentar para la revisión del Banco </w:t>
      </w:r>
      <w:r w:rsidR="00A8718E" w:rsidRPr="007D7526">
        <w:rPr>
          <w:rFonts w:ascii="Arial" w:eastAsia="Times New Roman" w:hAnsi="Arial" w:cs="Arial"/>
          <w:color w:val="auto"/>
          <w:spacing w:val="0"/>
          <w:sz w:val="24"/>
          <w:szCs w:val="24"/>
          <w:lang w:eastAsia="en-US"/>
        </w:rPr>
        <w:t>el</w:t>
      </w:r>
      <w:r w:rsidR="004918DC" w:rsidRPr="007D7526">
        <w:rPr>
          <w:rFonts w:ascii="Arial" w:eastAsia="Times New Roman" w:hAnsi="Arial" w:cs="Arial"/>
          <w:color w:val="auto"/>
          <w:spacing w:val="0"/>
          <w:sz w:val="24"/>
          <w:szCs w:val="24"/>
          <w:lang w:eastAsia="en-US"/>
        </w:rPr>
        <w:t xml:space="preserve"> </w:t>
      </w:r>
      <w:r w:rsidRPr="007D7526">
        <w:rPr>
          <w:rFonts w:ascii="Arial" w:eastAsia="Times New Roman" w:hAnsi="Arial" w:cs="Arial"/>
          <w:color w:val="auto"/>
          <w:spacing w:val="0"/>
          <w:sz w:val="24"/>
          <w:szCs w:val="24"/>
          <w:lang w:eastAsia="en-US"/>
        </w:rPr>
        <w:t xml:space="preserve">Plan de Adquisiciones relacionado con las Operaciones Elegibles de los </w:t>
      </w:r>
      <w:r w:rsidR="0075055A" w:rsidRPr="007D7526">
        <w:rPr>
          <w:rFonts w:ascii="Arial" w:eastAsia="Times New Roman" w:hAnsi="Arial" w:cs="Arial"/>
          <w:color w:val="auto"/>
          <w:spacing w:val="0"/>
          <w:sz w:val="24"/>
          <w:szCs w:val="24"/>
          <w:lang w:eastAsia="en-US"/>
        </w:rPr>
        <w:t>Sub-prestatarios</w:t>
      </w:r>
      <w:r w:rsidRPr="007D7526">
        <w:rPr>
          <w:rFonts w:ascii="Arial" w:eastAsia="Times New Roman" w:hAnsi="Arial" w:cs="Arial"/>
          <w:color w:val="auto"/>
          <w:spacing w:val="0"/>
          <w:sz w:val="24"/>
          <w:szCs w:val="24"/>
          <w:lang w:eastAsia="en-US"/>
        </w:rPr>
        <w:t xml:space="preserve"> Elegibles del Sector Público. El Plan de Adquisiciones deberá ser actualizado, durante la ejecución del </w:t>
      </w:r>
      <w:r w:rsidR="00743CAA" w:rsidRPr="007D7526">
        <w:rPr>
          <w:rFonts w:ascii="Arial" w:eastAsia="Times New Roman" w:hAnsi="Arial" w:cs="Arial"/>
          <w:color w:val="auto"/>
          <w:spacing w:val="0"/>
          <w:sz w:val="24"/>
          <w:szCs w:val="24"/>
          <w:lang w:eastAsia="en-US"/>
        </w:rPr>
        <w:t>PFTRG</w:t>
      </w:r>
      <w:r w:rsidRPr="007D7526">
        <w:rPr>
          <w:rFonts w:ascii="Arial" w:eastAsia="Times New Roman" w:hAnsi="Arial" w:cs="Arial"/>
          <w:color w:val="auto"/>
          <w:spacing w:val="0"/>
          <w:sz w:val="24"/>
          <w:szCs w:val="24"/>
          <w:lang w:eastAsia="en-US"/>
        </w:rPr>
        <w:t xml:space="preserve">. NAFIN deberá exigir </w:t>
      </w:r>
      <w:r w:rsidR="004918DC" w:rsidRPr="007D7526">
        <w:rPr>
          <w:rFonts w:ascii="Arial" w:eastAsia="Times New Roman" w:hAnsi="Arial" w:cs="Arial"/>
          <w:color w:val="auto"/>
          <w:spacing w:val="0"/>
          <w:sz w:val="24"/>
          <w:szCs w:val="24"/>
          <w:lang w:eastAsia="en-US"/>
        </w:rPr>
        <w:t xml:space="preserve">a </w:t>
      </w:r>
      <w:r w:rsidRPr="007D7526">
        <w:rPr>
          <w:rFonts w:ascii="Arial" w:eastAsia="Times New Roman" w:hAnsi="Arial" w:cs="Arial"/>
          <w:color w:val="auto"/>
          <w:spacing w:val="0"/>
          <w:sz w:val="24"/>
          <w:szCs w:val="24"/>
          <w:lang w:eastAsia="en-US"/>
        </w:rPr>
        <w:t xml:space="preserve">los </w:t>
      </w:r>
      <w:r w:rsidR="0075055A" w:rsidRPr="007D7526">
        <w:rPr>
          <w:rFonts w:ascii="Arial" w:eastAsia="Times New Roman" w:hAnsi="Arial" w:cs="Arial"/>
          <w:color w:val="auto"/>
          <w:spacing w:val="0"/>
          <w:sz w:val="24"/>
          <w:szCs w:val="24"/>
          <w:lang w:eastAsia="en-US"/>
        </w:rPr>
        <w:t>Sub-prestatarios</w:t>
      </w:r>
      <w:r w:rsidRPr="007D7526">
        <w:rPr>
          <w:rFonts w:ascii="Arial" w:eastAsia="Times New Roman" w:hAnsi="Arial" w:cs="Arial"/>
          <w:color w:val="auto"/>
          <w:spacing w:val="0"/>
          <w:sz w:val="24"/>
          <w:szCs w:val="24"/>
          <w:lang w:eastAsia="en-US"/>
        </w:rPr>
        <w:t xml:space="preserve"> Elegibles del Sector Público, la información necesaria para poder elaborar dicho Plan de Adquisiciones.</w:t>
      </w:r>
      <w:bookmarkStart w:id="127" w:name="_Toc321244956"/>
      <w:bookmarkEnd w:id="126"/>
    </w:p>
    <w:p w14:paraId="16DCD6DB" w14:textId="77777777" w:rsidR="005E102B" w:rsidRDefault="00364983" w:rsidP="009067BA">
      <w:pPr>
        <w:pStyle w:val="Subtitle"/>
        <w:numPr>
          <w:ilvl w:val="1"/>
          <w:numId w:val="51"/>
        </w:numPr>
        <w:jc w:val="both"/>
      </w:pPr>
      <w:r w:rsidRPr="000A37CF">
        <w:rPr>
          <w:rFonts w:ascii="Arial" w:eastAsia="Times New Roman" w:hAnsi="Arial" w:cs="Arial"/>
          <w:color w:val="auto"/>
          <w:spacing w:val="0"/>
          <w:sz w:val="24"/>
          <w:szCs w:val="24"/>
          <w:u w:val="single"/>
          <w:lang w:eastAsia="en-US"/>
        </w:rPr>
        <w:t>Revisión ex</w:t>
      </w:r>
      <w:r w:rsidR="004918DC" w:rsidRPr="000A37CF">
        <w:rPr>
          <w:rFonts w:ascii="Arial" w:eastAsia="Times New Roman" w:hAnsi="Arial" w:cs="Arial"/>
          <w:color w:val="auto"/>
          <w:spacing w:val="0"/>
          <w:sz w:val="24"/>
          <w:szCs w:val="24"/>
          <w:u w:val="single"/>
          <w:lang w:eastAsia="en-US"/>
        </w:rPr>
        <w:t>-</w:t>
      </w:r>
      <w:r w:rsidRPr="000A37CF">
        <w:rPr>
          <w:rFonts w:ascii="Arial" w:eastAsia="Times New Roman" w:hAnsi="Arial" w:cs="Arial"/>
          <w:color w:val="auto"/>
          <w:spacing w:val="0"/>
          <w:sz w:val="24"/>
          <w:szCs w:val="24"/>
          <w:u w:val="single"/>
          <w:lang w:eastAsia="en-US"/>
        </w:rPr>
        <w:t>post:</w:t>
      </w:r>
      <w:r w:rsidRPr="007D7526">
        <w:rPr>
          <w:rFonts w:ascii="Arial" w:eastAsia="Times New Roman" w:hAnsi="Arial" w:cs="Arial"/>
          <w:color w:val="auto"/>
          <w:spacing w:val="0"/>
          <w:sz w:val="24"/>
          <w:szCs w:val="24"/>
          <w:lang w:eastAsia="en-US"/>
        </w:rPr>
        <w:t xml:space="preserve"> Salvo que el BID determine por escrito lo contrario, todas las contrataciones podrán ser revisadas por NAFIN o el Banco, en forma ex</w:t>
      </w:r>
      <w:r w:rsidR="00F855AA" w:rsidRPr="007D7526">
        <w:rPr>
          <w:rFonts w:ascii="Arial" w:eastAsia="Times New Roman" w:hAnsi="Arial" w:cs="Arial"/>
          <w:color w:val="auto"/>
          <w:spacing w:val="0"/>
          <w:sz w:val="24"/>
          <w:szCs w:val="24"/>
          <w:lang w:eastAsia="en-US"/>
        </w:rPr>
        <w:t>–</w:t>
      </w:r>
      <w:r w:rsidRPr="007D7526">
        <w:rPr>
          <w:rFonts w:ascii="Arial" w:eastAsia="Times New Roman" w:hAnsi="Arial" w:cs="Arial"/>
          <w:color w:val="auto"/>
          <w:spacing w:val="0"/>
          <w:sz w:val="24"/>
          <w:szCs w:val="24"/>
          <w:lang w:eastAsia="en-US"/>
        </w:rPr>
        <w:t>post</w:t>
      </w:r>
      <w:r w:rsidR="00F855AA" w:rsidRPr="007D7526">
        <w:rPr>
          <w:rFonts w:ascii="Arial" w:eastAsia="Times New Roman" w:hAnsi="Arial" w:cs="Arial"/>
          <w:color w:val="auto"/>
          <w:spacing w:val="0"/>
          <w:sz w:val="24"/>
          <w:szCs w:val="24"/>
          <w:lang w:eastAsia="en-US"/>
        </w:rPr>
        <w:t>,</w:t>
      </w:r>
      <w:r w:rsidRPr="007D7526">
        <w:rPr>
          <w:rFonts w:ascii="Arial" w:eastAsia="Times New Roman" w:hAnsi="Arial" w:cs="Arial"/>
          <w:color w:val="auto"/>
          <w:spacing w:val="0"/>
          <w:sz w:val="24"/>
          <w:szCs w:val="24"/>
          <w:lang w:eastAsia="en-US"/>
        </w:rPr>
        <w:t xml:space="preserve"> de conformidad con los procedimientos establecidos </w:t>
      </w:r>
      <w:r w:rsidR="00A23EB6" w:rsidRPr="007D7526">
        <w:rPr>
          <w:rFonts w:ascii="Arial" w:eastAsia="Times New Roman" w:hAnsi="Arial" w:cs="Arial"/>
          <w:color w:val="auto"/>
          <w:spacing w:val="0"/>
          <w:sz w:val="24"/>
          <w:szCs w:val="24"/>
          <w:lang w:eastAsia="en-US"/>
        </w:rPr>
        <w:t xml:space="preserve">en los numerales </w:t>
      </w:r>
      <w:r w:rsidRPr="007D7526">
        <w:rPr>
          <w:rFonts w:ascii="Arial" w:eastAsia="Times New Roman" w:hAnsi="Arial" w:cs="Arial"/>
          <w:color w:val="auto"/>
          <w:spacing w:val="0"/>
          <w:sz w:val="24"/>
          <w:szCs w:val="24"/>
          <w:lang w:eastAsia="en-US"/>
        </w:rPr>
        <w:t>2 y 3 del Apéndice 1 de las Políticas de Adquisiciones.</w:t>
      </w:r>
      <w:bookmarkEnd w:id="127"/>
    </w:p>
    <w:p w14:paraId="312B4DC0" w14:textId="77777777" w:rsidR="009067BA" w:rsidRDefault="00364983" w:rsidP="009067BA">
      <w:pPr>
        <w:pStyle w:val="Paragraph"/>
        <w:numPr>
          <w:ilvl w:val="0"/>
          <w:numId w:val="51"/>
        </w:numPr>
        <w:ind w:hanging="644"/>
        <w:outlineLvl w:val="9"/>
        <w:rPr>
          <w:rFonts w:ascii="Arial" w:hAnsi="Arial" w:cs="Arial"/>
          <w:b/>
          <w:szCs w:val="24"/>
          <w:lang w:val="es-MX"/>
        </w:rPr>
      </w:pPr>
      <w:bookmarkStart w:id="128" w:name="_Toc321244957"/>
      <w:r w:rsidRPr="00BE4DD3">
        <w:rPr>
          <w:rFonts w:ascii="Arial" w:hAnsi="Arial" w:cs="Arial"/>
          <w:b/>
          <w:szCs w:val="24"/>
          <w:lang w:val="es-MX"/>
        </w:rPr>
        <w:t>Contratación de servicios de consultoría.</w:t>
      </w:r>
      <w:r w:rsidR="00E0439F" w:rsidRPr="00BE4DD3">
        <w:rPr>
          <w:rFonts w:ascii="Arial" w:hAnsi="Arial" w:cs="Arial"/>
          <w:b/>
          <w:szCs w:val="24"/>
          <w:lang w:val="es-MX"/>
        </w:rPr>
        <w:t xml:space="preserve"> </w:t>
      </w:r>
      <w:r w:rsidRPr="00BE4DD3">
        <w:rPr>
          <w:rFonts w:ascii="Arial" w:hAnsi="Arial" w:cs="Arial"/>
          <w:szCs w:val="24"/>
          <w:lang w:val="es-MX"/>
        </w:rPr>
        <w:t>La selección y contratación de consultores deberá ser llevada a cabo de conformidad con las disposiciones establecidas en el Documento GN-2350-9</w:t>
      </w:r>
      <w:r w:rsidR="00A70948" w:rsidRPr="00BE4DD3">
        <w:rPr>
          <w:rFonts w:ascii="Arial" w:hAnsi="Arial" w:cs="Arial"/>
          <w:szCs w:val="24"/>
          <w:lang w:val="es-MX"/>
        </w:rPr>
        <w:t xml:space="preserve"> del BID</w:t>
      </w:r>
      <w:r w:rsidRPr="00BE4DD3">
        <w:rPr>
          <w:rFonts w:ascii="Arial" w:hAnsi="Arial" w:cs="Arial"/>
          <w:szCs w:val="24"/>
          <w:lang w:val="es-MX"/>
        </w:rPr>
        <w:t xml:space="preserve"> (“Políticas para la </w:t>
      </w:r>
      <w:r w:rsidR="00186EF4">
        <w:rPr>
          <w:rFonts w:ascii="Arial" w:hAnsi="Arial" w:cs="Arial"/>
          <w:szCs w:val="24"/>
          <w:lang w:val="es-MX"/>
        </w:rPr>
        <w:t>S</w:t>
      </w:r>
      <w:r w:rsidRPr="00BE4DD3">
        <w:rPr>
          <w:rFonts w:ascii="Arial" w:hAnsi="Arial" w:cs="Arial"/>
          <w:szCs w:val="24"/>
          <w:lang w:val="es-MX"/>
        </w:rPr>
        <w:t xml:space="preserve">elección y </w:t>
      </w:r>
      <w:r w:rsidR="00186EF4">
        <w:rPr>
          <w:rFonts w:ascii="Arial" w:hAnsi="Arial" w:cs="Arial"/>
          <w:szCs w:val="24"/>
          <w:lang w:val="es-MX"/>
        </w:rPr>
        <w:t>C</w:t>
      </w:r>
      <w:r w:rsidRPr="00BE4DD3">
        <w:rPr>
          <w:rFonts w:ascii="Arial" w:hAnsi="Arial" w:cs="Arial"/>
          <w:szCs w:val="24"/>
          <w:lang w:val="es-MX"/>
        </w:rPr>
        <w:t xml:space="preserve">ontratación de </w:t>
      </w:r>
      <w:r w:rsidR="00186EF4">
        <w:rPr>
          <w:rFonts w:ascii="Arial" w:hAnsi="Arial" w:cs="Arial"/>
          <w:szCs w:val="24"/>
          <w:lang w:val="es-MX"/>
        </w:rPr>
        <w:t>C</w:t>
      </w:r>
      <w:r w:rsidRPr="00BE4DD3">
        <w:rPr>
          <w:rFonts w:ascii="Arial" w:hAnsi="Arial" w:cs="Arial"/>
          <w:szCs w:val="24"/>
          <w:lang w:val="es-MX"/>
        </w:rPr>
        <w:t xml:space="preserve">onsultores </w:t>
      </w:r>
      <w:r w:rsidR="00186EF4">
        <w:rPr>
          <w:rFonts w:ascii="Arial" w:hAnsi="Arial" w:cs="Arial"/>
          <w:szCs w:val="24"/>
          <w:lang w:val="es-MX"/>
        </w:rPr>
        <w:t>F</w:t>
      </w:r>
      <w:r w:rsidRPr="00BE4DD3">
        <w:rPr>
          <w:rFonts w:ascii="Arial" w:hAnsi="Arial" w:cs="Arial"/>
          <w:szCs w:val="24"/>
          <w:lang w:val="es-MX"/>
        </w:rPr>
        <w:t xml:space="preserve">inanciados por el Banco Interamericano de Desarrollo”), de fecha </w:t>
      </w:r>
      <w:r w:rsidR="00A8718E" w:rsidRPr="00BE4DD3">
        <w:rPr>
          <w:rFonts w:ascii="Arial" w:hAnsi="Arial" w:cs="Arial"/>
          <w:szCs w:val="24"/>
          <w:lang w:val="es-MX"/>
        </w:rPr>
        <w:t xml:space="preserve"> marzo </w:t>
      </w:r>
      <w:r w:rsidRPr="00BE4DD3">
        <w:rPr>
          <w:rFonts w:ascii="Arial" w:hAnsi="Arial" w:cs="Arial"/>
          <w:szCs w:val="24"/>
          <w:lang w:val="es-MX"/>
        </w:rPr>
        <w:t xml:space="preserve">de 2011 (en adelante denominado las “Políticas de Consultores”), y conforme a los acuerdos establecidos conjuntamente entre </w:t>
      </w:r>
      <w:r w:rsidR="003A7B4B" w:rsidRPr="00BE4DD3">
        <w:rPr>
          <w:rFonts w:ascii="Arial" w:hAnsi="Arial" w:cs="Arial"/>
          <w:szCs w:val="24"/>
          <w:lang w:val="es-MX"/>
        </w:rPr>
        <w:t xml:space="preserve"> las autoridades normativas </w:t>
      </w:r>
      <w:r w:rsidRPr="00BE4DD3">
        <w:rPr>
          <w:rFonts w:ascii="Arial" w:hAnsi="Arial" w:cs="Arial"/>
          <w:szCs w:val="24"/>
          <w:lang w:val="es-MX"/>
        </w:rPr>
        <w:t>de México y el BID reflejados en los lineamientos y disposiciones para la aplicación de los “Documentos Estándar de Contratación de Servicios de Consultoría</w:t>
      </w:r>
      <w:r w:rsidR="00A23EB6" w:rsidRPr="00BE4DD3">
        <w:rPr>
          <w:rFonts w:ascii="Arial" w:hAnsi="Arial" w:cs="Arial"/>
          <w:szCs w:val="24"/>
          <w:lang w:val="es-MX"/>
        </w:rPr>
        <w:t>”</w:t>
      </w:r>
      <w:r w:rsidR="0089746B" w:rsidRPr="00BE4DD3">
        <w:rPr>
          <w:rFonts w:ascii="Arial" w:hAnsi="Arial" w:cs="Arial"/>
          <w:szCs w:val="24"/>
          <w:lang w:val="es-MX"/>
        </w:rPr>
        <w:t xml:space="preserve"> vigentes</w:t>
      </w:r>
      <w:r w:rsidRPr="00BE4DD3">
        <w:rPr>
          <w:rFonts w:ascii="Arial" w:hAnsi="Arial" w:cs="Arial"/>
          <w:szCs w:val="24"/>
          <w:lang w:val="es-MX"/>
        </w:rPr>
        <w:t xml:space="preserve">, que NAFIN declara conocer, y que se encuentran disponibles en la página </w:t>
      </w:r>
      <w:hyperlink r:id="rId15" w:history="1">
        <w:r w:rsidR="00A23EB6" w:rsidRPr="008725AB">
          <w:rPr>
            <w:rStyle w:val="Hyperlink"/>
            <w:rFonts w:ascii="Arial" w:hAnsi="Arial" w:cs="Arial"/>
            <w:sz w:val="22"/>
            <w:szCs w:val="24"/>
            <w:lang w:val="es-MX"/>
          </w:rPr>
          <w:t>http:</w:t>
        </w:r>
        <w:r w:rsidR="00A23EB6" w:rsidRPr="008725AB">
          <w:rPr>
            <w:rStyle w:val="Hyperlink"/>
            <w:rFonts w:ascii="Arial" w:hAnsi="Arial" w:cs="Arial"/>
            <w:b/>
            <w:sz w:val="22"/>
            <w:szCs w:val="24"/>
            <w:lang w:val="es-MX"/>
          </w:rPr>
          <w:t>//</w:t>
        </w:r>
        <w:r w:rsidR="00A23EB6" w:rsidRPr="008725AB">
          <w:rPr>
            <w:rStyle w:val="Hyperlink"/>
            <w:rFonts w:ascii="Arial" w:hAnsi="Arial" w:cs="Arial"/>
            <w:sz w:val="22"/>
            <w:szCs w:val="24"/>
            <w:lang w:val="es-MX"/>
          </w:rPr>
          <w:t>www.funcionpublica.gob.mx/unaopspf/dredotp/normace.htm</w:t>
        </w:r>
      </w:hyperlink>
      <w:r w:rsidRPr="00BE4DD3">
        <w:rPr>
          <w:rFonts w:ascii="Arial" w:hAnsi="Arial" w:cs="Arial"/>
          <w:szCs w:val="24"/>
          <w:lang w:val="es-MX"/>
        </w:rPr>
        <w:t>, y por las siguientes disposiciones</w:t>
      </w:r>
      <w:bookmarkEnd w:id="128"/>
      <w:r w:rsidR="00B249BA">
        <w:rPr>
          <w:rFonts w:ascii="Arial" w:hAnsi="Arial" w:cs="Arial"/>
          <w:szCs w:val="24"/>
          <w:lang w:val="es-MX"/>
        </w:rPr>
        <w:t>:</w:t>
      </w:r>
      <w:bookmarkStart w:id="129" w:name="_Toc321244958"/>
    </w:p>
    <w:p w14:paraId="65529AF3" w14:textId="77777777" w:rsidR="00364983" w:rsidRPr="009067BA" w:rsidRDefault="00364983" w:rsidP="0031636D">
      <w:pPr>
        <w:pStyle w:val="Paragraph"/>
        <w:numPr>
          <w:ilvl w:val="0"/>
          <w:numId w:val="51"/>
        </w:numPr>
        <w:ind w:left="426" w:hanging="852"/>
        <w:outlineLvl w:val="9"/>
        <w:rPr>
          <w:rFonts w:ascii="Arial" w:hAnsi="Arial" w:cs="Arial"/>
          <w:b/>
          <w:szCs w:val="24"/>
          <w:lang w:val="es-MX"/>
        </w:rPr>
      </w:pPr>
      <w:r w:rsidRPr="009067BA">
        <w:rPr>
          <w:rFonts w:ascii="Arial" w:hAnsi="Arial" w:cs="Arial"/>
          <w:szCs w:val="24"/>
          <w:lang w:val="es-MX"/>
        </w:rPr>
        <w:t>NAFIN o el correspondiente Sub</w:t>
      </w:r>
      <w:r w:rsidR="00AF79BB" w:rsidRPr="009067BA">
        <w:rPr>
          <w:rFonts w:ascii="Arial" w:hAnsi="Arial" w:cs="Arial"/>
          <w:szCs w:val="24"/>
          <w:lang w:val="es-MX"/>
        </w:rPr>
        <w:t>-</w:t>
      </w:r>
      <w:r w:rsidRPr="009067BA">
        <w:rPr>
          <w:rFonts w:ascii="Arial" w:hAnsi="Arial" w:cs="Arial"/>
          <w:szCs w:val="24"/>
          <w:lang w:val="es-MX"/>
        </w:rPr>
        <w:t xml:space="preserve">prestatario Elegible, según corresponda, llevará a cabo la selección y contratación de consultores mediante el método establecido en la </w:t>
      </w:r>
      <w:r w:rsidRPr="009067BA">
        <w:rPr>
          <w:rFonts w:ascii="Arial" w:hAnsi="Arial" w:cs="Arial"/>
          <w:szCs w:val="24"/>
          <w:lang w:val="es-MX"/>
        </w:rPr>
        <w:lastRenderedPageBreak/>
        <w:t xml:space="preserve">Sección II y en los párrafos 3.16 a 3.20 de las </w:t>
      </w:r>
      <w:r w:rsidR="006827F3" w:rsidRPr="009067BA">
        <w:rPr>
          <w:rFonts w:ascii="Arial" w:hAnsi="Arial" w:cs="Arial"/>
          <w:szCs w:val="24"/>
          <w:lang w:val="es-MX"/>
        </w:rPr>
        <w:t>Políticas</w:t>
      </w:r>
      <w:r w:rsidRPr="009067BA">
        <w:rPr>
          <w:rFonts w:ascii="Arial" w:hAnsi="Arial" w:cs="Arial"/>
          <w:szCs w:val="24"/>
          <w:lang w:val="es-MX"/>
        </w:rPr>
        <w:t xml:space="preserve"> de Consultores para la selección basada en la calidad y el costo; y mediante la aplicación de cualquiera de los métodos establecidos en las Secciones III y V o en el Apéndice 4 de dichas políticas, según la naturaleza del </w:t>
      </w:r>
      <w:r w:rsidR="003C42E2" w:rsidRPr="009067BA">
        <w:rPr>
          <w:rFonts w:ascii="Arial" w:hAnsi="Arial" w:cs="Arial"/>
          <w:szCs w:val="24"/>
          <w:lang w:val="es-MX"/>
        </w:rPr>
        <w:t>Sub-</w:t>
      </w:r>
      <w:r w:rsidRPr="009067BA">
        <w:rPr>
          <w:rFonts w:ascii="Arial" w:hAnsi="Arial" w:cs="Arial"/>
          <w:szCs w:val="24"/>
          <w:lang w:val="es-MX"/>
        </w:rPr>
        <w:t>prestatario Elegible, para la selección de firmas consultoras y de consultores individuales, respectivamente. Para efectos de lo estipulado en el párrafo 2.7 de las Políticas de Consultores, la lista corta de consultores cuyo costo estimado sea menor al equivalente de quinientos mil dólares</w:t>
      </w:r>
      <w:r w:rsidR="001E0F33">
        <w:rPr>
          <w:rFonts w:ascii="Arial" w:hAnsi="Arial" w:cs="Arial"/>
          <w:szCs w:val="24"/>
          <w:lang w:val="es-MX"/>
        </w:rPr>
        <w:t xml:space="preserve"> americanos</w:t>
      </w:r>
      <w:r w:rsidRPr="009067BA">
        <w:rPr>
          <w:rFonts w:ascii="Arial" w:hAnsi="Arial" w:cs="Arial"/>
          <w:szCs w:val="24"/>
          <w:lang w:val="es-MX"/>
        </w:rPr>
        <w:t xml:space="preserve"> (US$500,000.00) por contrato podrá estar conformada en su totalidad por consultores nacionales. Las contrataciones de servicios de consultoría se llevarán a cabo de conformidad con documentos previamente acordados con el Banco, cuando corresponda según la naturaleza del </w:t>
      </w:r>
      <w:r w:rsidR="003C42E2" w:rsidRPr="009067BA">
        <w:rPr>
          <w:rFonts w:ascii="Arial" w:hAnsi="Arial" w:cs="Arial"/>
          <w:szCs w:val="24"/>
          <w:lang w:val="es-MX"/>
        </w:rPr>
        <w:t>Sub-</w:t>
      </w:r>
      <w:r w:rsidRPr="009067BA">
        <w:rPr>
          <w:rFonts w:ascii="Arial" w:hAnsi="Arial" w:cs="Arial"/>
          <w:szCs w:val="24"/>
          <w:lang w:val="es-MX"/>
        </w:rPr>
        <w:t>prestatario.</w:t>
      </w:r>
      <w:bookmarkEnd w:id="129"/>
    </w:p>
    <w:p w14:paraId="2D0F3674" w14:textId="77777777" w:rsidR="00364983" w:rsidRDefault="00364983" w:rsidP="009067BA">
      <w:pPr>
        <w:pStyle w:val="Paragraph"/>
        <w:numPr>
          <w:ilvl w:val="0"/>
          <w:numId w:val="51"/>
        </w:numPr>
        <w:tabs>
          <w:tab w:val="left" w:pos="1701"/>
        </w:tabs>
        <w:ind w:hanging="644"/>
        <w:outlineLvl w:val="9"/>
        <w:rPr>
          <w:rFonts w:ascii="Arial" w:hAnsi="Arial" w:cs="Arial"/>
          <w:szCs w:val="24"/>
          <w:lang w:val="es-MX"/>
        </w:rPr>
      </w:pPr>
      <w:bookmarkStart w:id="130" w:name="_Toc321244959"/>
      <w:r w:rsidRPr="00B249BA">
        <w:rPr>
          <w:rFonts w:ascii="Arial" w:hAnsi="Arial" w:cs="Arial"/>
          <w:szCs w:val="24"/>
          <w:u w:val="single"/>
          <w:lang w:val="es-MX"/>
        </w:rPr>
        <w:t>Planificación de las Adquisiciones</w:t>
      </w:r>
      <w:r w:rsidRPr="00B249BA">
        <w:rPr>
          <w:rFonts w:ascii="Arial" w:hAnsi="Arial" w:cs="Arial"/>
          <w:szCs w:val="24"/>
          <w:lang w:val="es-MX"/>
        </w:rPr>
        <w:t xml:space="preserve">: </w:t>
      </w:r>
      <w:r w:rsidR="0089746B" w:rsidRPr="00B249BA">
        <w:rPr>
          <w:rFonts w:ascii="Arial" w:hAnsi="Arial" w:cs="Arial"/>
          <w:szCs w:val="24"/>
          <w:lang w:val="es-MX"/>
        </w:rPr>
        <w:t xml:space="preserve">NAFIN </w:t>
      </w:r>
      <w:r w:rsidRPr="00B249BA">
        <w:rPr>
          <w:rFonts w:ascii="Arial" w:hAnsi="Arial" w:cs="Arial"/>
          <w:szCs w:val="24"/>
          <w:lang w:val="es-MX"/>
        </w:rPr>
        <w:t xml:space="preserve">deberá exigir de los </w:t>
      </w:r>
      <w:r w:rsidR="0075055A" w:rsidRPr="00B249BA">
        <w:rPr>
          <w:rFonts w:ascii="Arial" w:hAnsi="Arial" w:cs="Arial"/>
          <w:szCs w:val="24"/>
          <w:lang w:val="es-MX"/>
        </w:rPr>
        <w:t>Sub-prestatarios</w:t>
      </w:r>
      <w:r w:rsidRPr="00B249BA">
        <w:rPr>
          <w:rFonts w:ascii="Arial" w:hAnsi="Arial" w:cs="Arial"/>
          <w:szCs w:val="24"/>
          <w:lang w:val="es-MX"/>
        </w:rPr>
        <w:t xml:space="preserve"> Elegibles la información necesaria para poder elaborar un Plan de Adquisiciones, cuando corresponda, según la naturaleza públic</w:t>
      </w:r>
      <w:r w:rsidR="008C309D" w:rsidRPr="00B249BA">
        <w:rPr>
          <w:rFonts w:ascii="Arial" w:hAnsi="Arial" w:cs="Arial"/>
          <w:szCs w:val="24"/>
          <w:lang w:val="es-MX"/>
        </w:rPr>
        <w:t>a</w:t>
      </w:r>
      <w:r w:rsidRPr="00B249BA">
        <w:rPr>
          <w:rFonts w:ascii="Arial" w:hAnsi="Arial" w:cs="Arial"/>
          <w:szCs w:val="24"/>
          <w:lang w:val="es-MX"/>
        </w:rPr>
        <w:t xml:space="preserve"> o privada del </w:t>
      </w:r>
      <w:r w:rsidR="003C42E2" w:rsidRPr="00B249BA">
        <w:rPr>
          <w:rFonts w:ascii="Arial" w:hAnsi="Arial" w:cs="Arial"/>
          <w:szCs w:val="24"/>
          <w:lang w:val="es-MX"/>
        </w:rPr>
        <w:t>Sub-</w:t>
      </w:r>
      <w:r w:rsidRPr="00B249BA">
        <w:rPr>
          <w:rFonts w:ascii="Arial" w:hAnsi="Arial" w:cs="Arial"/>
          <w:szCs w:val="24"/>
          <w:lang w:val="es-MX"/>
        </w:rPr>
        <w:t xml:space="preserve">prestatario Elegible, de conformidad con lo dispuesto en las Políticas de Adquisiciones y Políticas de Consultores. Este Plan deberá ser actualizado cada doce (12) meses durante la ejecución del </w:t>
      </w:r>
      <w:r w:rsidR="003C42E2" w:rsidRPr="00B249BA">
        <w:rPr>
          <w:rFonts w:ascii="Arial" w:hAnsi="Arial" w:cs="Arial"/>
          <w:szCs w:val="24"/>
          <w:lang w:val="es-MX"/>
        </w:rPr>
        <w:t>Sub-</w:t>
      </w:r>
      <w:r w:rsidRPr="00B249BA">
        <w:rPr>
          <w:rFonts w:ascii="Arial" w:hAnsi="Arial" w:cs="Arial"/>
          <w:szCs w:val="24"/>
          <w:lang w:val="es-MX"/>
        </w:rPr>
        <w:t>préstamo y cada versión será informada al BID. La contratación de servicios de consultoría, deberá ser llevada a cabo de conformidad con dicho Plan de Adquisiciones.</w:t>
      </w:r>
      <w:bookmarkEnd w:id="130"/>
    </w:p>
    <w:p w14:paraId="3BA8DDF4" w14:textId="77777777" w:rsidR="006D0F84" w:rsidRPr="000A37CF" w:rsidRDefault="006D0F84" w:rsidP="000A37CF">
      <w:pPr>
        <w:pStyle w:val="Paragraph"/>
        <w:numPr>
          <w:ilvl w:val="0"/>
          <w:numId w:val="51"/>
        </w:numPr>
        <w:ind w:hanging="630"/>
        <w:outlineLvl w:val="9"/>
        <w:rPr>
          <w:rFonts w:ascii="Arial" w:hAnsi="Arial" w:cs="Arial"/>
          <w:szCs w:val="24"/>
          <w:lang w:val="es-MX"/>
        </w:rPr>
      </w:pPr>
      <w:r w:rsidRPr="00B249BA">
        <w:rPr>
          <w:rFonts w:ascii="Arial" w:hAnsi="Arial" w:cs="Arial"/>
          <w:szCs w:val="24"/>
          <w:u w:val="single"/>
          <w:lang w:val="es-MX"/>
        </w:rPr>
        <w:t xml:space="preserve">Revisión </w:t>
      </w:r>
      <w:r w:rsidRPr="00B249BA">
        <w:rPr>
          <w:rFonts w:ascii="Arial" w:hAnsi="Arial" w:cs="Arial"/>
          <w:i/>
          <w:szCs w:val="24"/>
          <w:u w:val="single"/>
          <w:lang w:val="es-MX"/>
        </w:rPr>
        <w:t>ex-ante</w:t>
      </w:r>
      <w:r w:rsidRPr="00B249BA">
        <w:rPr>
          <w:rFonts w:ascii="Arial" w:hAnsi="Arial" w:cs="Arial"/>
          <w:szCs w:val="24"/>
          <w:u w:val="single"/>
          <w:lang w:val="es-MX"/>
        </w:rPr>
        <w:t xml:space="preserve"> y </w:t>
      </w:r>
      <w:r w:rsidRPr="00B249BA">
        <w:rPr>
          <w:rFonts w:ascii="Arial" w:hAnsi="Arial" w:cs="Arial"/>
          <w:i/>
          <w:szCs w:val="24"/>
          <w:u w:val="single"/>
          <w:lang w:val="es-MX"/>
        </w:rPr>
        <w:t>ex-post</w:t>
      </w:r>
      <w:r w:rsidRPr="00B249BA">
        <w:rPr>
          <w:rFonts w:ascii="Arial" w:hAnsi="Arial" w:cs="Arial"/>
          <w:i/>
          <w:szCs w:val="24"/>
          <w:lang w:val="es-MX"/>
        </w:rPr>
        <w:t>:</w:t>
      </w:r>
      <w:r w:rsidRPr="00B249BA">
        <w:rPr>
          <w:rFonts w:ascii="Arial" w:hAnsi="Arial" w:cs="Arial"/>
          <w:szCs w:val="24"/>
          <w:lang w:val="es-MX"/>
        </w:rPr>
        <w:t xml:space="preserve"> Salvo que se trate de contratos de servicios de consultoría cuyo costo estimado sea superior al equivalente de doscientos mil dólares </w:t>
      </w:r>
      <w:r>
        <w:rPr>
          <w:rFonts w:ascii="Arial" w:hAnsi="Arial" w:cs="Arial"/>
          <w:szCs w:val="24"/>
          <w:lang w:val="es-MX"/>
        </w:rPr>
        <w:t xml:space="preserve">americanos </w:t>
      </w:r>
      <w:r w:rsidRPr="00B249BA">
        <w:rPr>
          <w:rFonts w:ascii="Arial" w:hAnsi="Arial" w:cs="Arial"/>
          <w:szCs w:val="24"/>
          <w:lang w:val="es-MX"/>
        </w:rPr>
        <w:t xml:space="preserve">(US$200,000.00), los cuales podrán ser revisados por NAFIN de manera </w:t>
      </w:r>
      <w:r w:rsidRPr="00B249BA">
        <w:rPr>
          <w:rFonts w:ascii="Arial" w:hAnsi="Arial" w:cs="Arial"/>
          <w:i/>
          <w:szCs w:val="24"/>
          <w:lang w:val="es-MX"/>
        </w:rPr>
        <w:t>Ex-ante</w:t>
      </w:r>
      <w:r w:rsidRPr="00B249BA">
        <w:rPr>
          <w:rFonts w:ascii="Arial" w:hAnsi="Arial" w:cs="Arial"/>
          <w:szCs w:val="24"/>
          <w:lang w:val="es-MX"/>
        </w:rPr>
        <w:t xml:space="preserve">, todos los contratos de servicios de consultoría podrán ser revisados por NAFIN en forma </w:t>
      </w:r>
      <w:r w:rsidRPr="00B249BA">
        <w:rPr>
          <w:rFonts w:ascii="Arial" w:hAnsi="Arial" w:cs="Arial"/>
          <w:i/>
          <w:szCs w:val="24"/>
          <w:lang w:val="es-MX"/>
        </w:rPr>
        <w:t>ex-post</w:t>
      </w:r>
      <w:r w:rsidRPr="00B249BA">
        <w:rPr>
          <w:rFonts w:ascii="Arial" w:hAnsi="Arial" w:cs="Arial"/>
          <w:szCs w:val="24"/>
          <w:lang w:val="es-MX"/>
        </w:rPr>
        <w:t xml:space="preserve">, de conformidad con los procedimientos establecidos en las Políticas de Consultores. El Banco podrá revisar de manera </w:t>
      </w:r>
      <w:r w:rsidRPr="00B249BA">
        <w:rPr>
          <w:rFonts w:ascii="Arial" w:hAnsi="Arial" w:cs="Arial"/>
          <w:i/>
          <w:szCs w:val="24"/>
          <w:lang w:val="es-MX"/>
        </w:rPr>
        <w:t>ex-post</w:t>
      </w:r>
      <w:r w:rsidRPr="00B249BA">
        <w:rPr>
          <w:rFonts w:ascii="Arial" w:hAnsi="Arial" w:cs="Arial"/>
          <w:szCs w:val="24"/>
          <w:lang w:val="es-MX"/>
        </w:rPr>
        <w:t xml:space="preserve"> las contrataciones que realice NAFIN</w:t>
      </w:r>
      <w:r w:rsidRPr="00BE4DD3">
        <w:rPr>
          <w:rFonts w:ascii="Arial" w:hAnsi="Arial" w:cs="Arial"/>
          <w:szCs w:val="24"/>
          <w:lang w:val="es-MX"/>
        </w:rPr>
        <w:t>.</w:t>
      </w:r>
    </w:p>
    <w:p w14:paraId="58579D00" w14:textId="77777777" w:rsidR="00292D1F" w:rsidRDefault="00292D1F">
      <w:pPr>
        <w:rPr>
          <w:rFonts w:ascii="Arial" w:hAnsi="Arial" w:cs="Arial"/>
          <w:sz w:val="24"/>
          <w:szCs w:val="24"/>
        </w:rPr>
      </w:pPr>
      <w:r>
        <w:rPr>
          <w:rFonts w:ascii="Arial" w:hAnsi="Arial" w:cs="Arial"/>
          <w:szCs w:val="24"/>
        </w:rPr>
        <w:br w:type="page"/>
      </w:r>
    </w:p>
    <w:p w14:paraId="342EEE27" w14:textId="77777777" w:rsidR="00D623EB" w:rsidRPr="0031636D" w:rsidRDefault="00D623EB" w:rsidP="000A37CF">
      <w:pPr>
        <w:pStyle w:val="Chapter"/>
        <w:tabs>
          <w:tab w:val="clear" w:pos="1440"/>
          <w:tab w:val="clear" w:pos="3054"/>
          <w:tab w:val="left" w:pos="720"/>
        </w:tabs>
        <w:ind w:left="720" w:hanging="720"/>
        <w:jc w:val="left"/>
        <w:rPr>
          <w:rFonts w:ascii="Arial" w:hAnsi="Arial" w:cs="Arial"/>
          <w:sz w:val="32"/>
          <w:szCs w:val="32"/>
        </w:rPr>
      </w:pPr>
      <w:bookmarkStart w:id="131" w:name="_Toc197782555"/>
      <w:bookmarkStart w:id="132" w:name="_Toc198025794"/>
      <w:bookmarkStart w:id="133" w:name="_Toc205191263"/>
      <w:bookmarkStart w:id="134" w:name="_Toc207082509"/>
      <w:bookmarkStart w:id="135" w:name="_Toc207082542"/>
      <w:bookmarkStart w:id="136" w:name="_Toc240434725"/>
      <w:bookmarkStart w:id="137" w:name="_Toc321244961"/>
      <w:bookmarkStart w:id="138" w:name="_Toc450149565"/>
      <w:r w:rsidRPr="0031636D">
        <w:rPr>
          <w:rFonts w:ascii="Arial" w:hAnsi="Arial" w:cs="Arial"/>
          <w:sz w:val="32"/>
          <w:szCs w:val="32"/>
        </w:rPr>
        <w:lastRenderedPageBreak/>
        <w:t xml:space="preserve">Mecanismos de Desembolso de los Recursos del </w:t>
      </w:r>
      <w:bookmarkEnd w:id="131"/>
      <w:bookmarkEnd w:id="132"/>
      <w:bookmarkEnd w:id="133"/>
      <w:bookmarkEnd w:id="134"/>
      <w:bookmarkEnd w:id="135"/>
      <w:bookmarkEnd w:id="136"/>
      <w:bookmarkEnd w:id="137"/>
      <w:r w:rsidR="00743CAA" w:rsidRPr="0031636D">
        <w:rPr>
          <w:rFonts w:ascii="Arial" w:hAnsi="Arial" w:cs="Arial"/>
          <w:sz w:val="32"/>
          <w:szCs w:val="32"/>
        </w:rPr>
        <w:t>PFTRG</w:t>
      </w:r>
      <w:bookmarkEnd w:id="138"/>
    </w:p>
    <w:p w14:paraId="07733041" w14:textId="77777777" w:rsidR="004C7307" w:rsidRPr="008725AB" w:rsidRDefault="004C7307" w:rsidP="009067BA">
      <w:pPr>
        <w:pStyle w:val="Paragraph"/>
        <w:numPr>
          <w:ilvl w:val="0"/>
          <w:numId w:val="38"/>
        </w:numPr>
        <w:ind w:hanging="786"/>
        <w:outlineLvl w:val="9"/>
        <w:rPr>
          <w:rFonts w:ascii="Arial" w:hAnsi="Arial" w:cs="Arial"/>
          <w:szCs w:val="24"/>
          <w:lang w:val="es-MX"/>
        </w:rPr>
      </w:pPr>
      <w:bookmarkStart w:id="139" w:name="_Toc321244962"/>
      <w:bookmarkStart w:id="140" w:name="_Ref231622309"/>
      <w:r w:rsidRPr="008725AB">
        <w:rPr>
          <w:rFonts w:ascii="Arial" w:hAnsi="Arial" w:cs="Arial"/>
          <w:szCs w:val="24"/>
          <w:lang w:val="es-MX"/>
        </w:rPr>
        <w:t>El Banco dese</w:t>
      </w:r>
      <w:r w:rsidR="003002C4" w:rsidRPr="008725AB">
        <w:rPr>
          <w:rFonts w:ascii="Arial" w:hAnsi="Arial" w:cs="Arial"/>
          <w:szCs w:val="24"/>
          <w:lang w:val="es-MX"/>
        </w:rPr>
        <w:t>m</w:t>
      </w:r>
      <w:r w:rsidRPr="008725AB">
        <w:rPr>
          <w:rFonts w:ascii="Arial" w:hAnsi="Arial" w:cs="Arial"/>
          <w:szCs w:val="24"/>
          <w:lang w:val="es-MX"/>
        </w:rPr>
        <w:t>bolsará a NAFIN recursos del Financiamiento de conformidad con los siguientes mecanismos según corresponda:</w:t>
      </w:r>
      <w:bookmarkEnd w:id="139"/>
    </w:p>
    <w:p w14:paraId="690ED82C" w14:textId="77777777" w:rsidR="005E102B" w:rsidRPr="008725AB" w:rsidRDefault="004C7307" w:rsidP="009067BA">
      <w:pPr>
        <w:pStyle w:val="Paragraph"/>
        <w:numPr>
          <w:ilvl w:val="0"/>
          <w:numId w:val="40"/>
        </w:numPr>
        <w:tabs>
          <w:tab w:val="left" w:pos="1890"/>
          <w:tab w:val="left" w:pos="7797"/>
        </w:tabs>
        <w:ind w:left="1418" w:hanging="142"/>
        <w:outlineLvl w:val="2"/>
        <w:rPr>
          <w:rFonts w:ascii="Arial" w:hAnsi="Arial" w:cs="Arial"/>
          <w:szCs w:val="24"/>
          <w:lang w:val="es-MX"/>
        </w:rPr>
      </w:pPr>
      <w:bookmarkStart w:id="141" w:name="_Toc321244963"/>
      <w:bookmarkStart w:id="142" w:name="_Toc448309491"/>
      <w:bookmarkStart w:id="143" w:name="_Toc450149566"/>
      <w:r w:rsidRPr="00E502AD">
        <w:rPr>
          <w:rFonts w:ascii="Arial" w:hAnsi="Arial" w:cs="Arial"/>
          <w:b/>
          <w:bCs/>
          <w:szCs w:val="24"/>
          <w:lang w:val="es-MX"/>
        </w:rPr>
        <w:t xml:space="preserve">Desembolsos para </w:t>
      </w:r>
      <w:r w:rsidR="0075055A" w:rsidRPr="00E502AD">
        <w:rPr>
          <w:rFonts w:ascii="Arial" w:hAnsi="Arial" w:cs="Arial"/>
          <w:b/>
          <w:bCs/>
          <w:szCs w:val="24"/>
          <w:lang w:val="es-MX"/>
        </w:rPr>
        <w:t>Sub-préstamos</w:t>
      </w:r>
      <w:r w:rsidRPr="008725AB">
        <w:rPr>
          <w:rFonts w:ascii="Arial" w:hAnsi="Arial" w:cs="Arial"/>
          <w:szCs w:val="24"/>
          <w:lang w:val="es-MX"/>
        </w:rPr>
        <w:t xml:space="preserve">. </w:t>
      </w:r>
      <w:r w:rsidR="003002C4" w:rsidRPr="008725AB">
        <w:rPr>
          <w:rFonts w:ascii="Arial" w:hAnsi="Arial" w:cs="Arial"/>
          <w:szCs w:val="24"/>
          <w:lang w:val="es-MX"/>
        </w:rPr>
        <w:t>Prevé el desembolso de recursos de acuerdo a la modalidad de</w:t>
      </w:r>
      <w:r w:rsidR="00A11A93" w:rsidRPr="008725AB">
        <w:rPr>
          <w:rFonts w:ascii="Arial" w:hAnsi="Arial" w:cs="Arial"/>
          <w:szCs w:val="24"/>
          <w:lang w:val="es-MX"/>
        </w:rPr>
        <w:t>:</w:t>
      </w:r>
      <w:bookmarkEnd w:id="141"/>
      <w:bookmarkEnd w:id="142"/>
      <w:bookmarkEnd w:id="143"/>
    </w:p>
    <w:p w14:paraId="7987F06A" w14:textId="4BB11371" w:rsidR="00943C77" w:rsidRPr="008725AB" w:rsidRDefault="00AF79BB" w:rsidP="00EC08C2">
      <w:pPr>
        <w:pStyle w:val="Paragraph"/>
        <w:numPr>
          <w:ilvl w:val="0"/>
          <w:numId w:val="0"/>
        </w:numPr>
        <w:tabs>
          <w:tab w:val="left" w:pos="1440"/>
          <w:tab w:val="left" w:pos="7797"/>
        </w:tabs>
        <w:ind w:left="1418" w:hanging="450"/>
        <w:outlineLvl w:val="2"/>
        <w:rPr>
          <w:rFonts w:ascii="Arial" w:hAnsi="Arial" w:cs="Arial"/>
          <w:szCs w:val="24"/>
          <w:lang w:val="es-MX"/>
        </w:rPr>
      </w:pPr>
      <w:bookmarkStart w:id="144" w:name="_Toc321244964"/>
      <w:bookmarkStart w:id="145" w:name="_Toc448309492"/>
      <w:bookmarkStart w:id="146" w:name="_Toc450149567"/>
      <w:r w:rsidRPr="00EC08C2">
        <w:rPr>
          <w:rFonts w:ascii="Arial" w:hAnsi="Arial" w:cs="Arial"/>
          <w:szCs w:val="24"/>
          <w:lang w:val="es-MX"/>
        </w:rPr>
        <w:t>a)</w:t>
      </w:r>
      <w:r w:rsidRPr="008725AB">
        <w:rPr>
          <w:rFonts w:ascii="Arial" w:hAnsi="Arial" w:cs="Arial"/>
          <w:b/>
          <w:szCs w:val="24"/>
          <w:lang w:val="es-MX"/>
        </w:rPr>
        <w:tab/>
      </w:r>
      <w:r w:rsidR="003002C4" w:rsidRPr="00E502AD">
        <w:rPr>
          <w:rFonts w:ascii="Arial" w:hAnsi="Arial" w:cs="Arial"/>
          <w:szCs w:val="24"/>
          <w:lang w:val="es-MX"/>
        </w:rPr>
        <w:t>Anticipo de Fondos</w:t>
      </w:r>
      <w:r w:rsidR="00B97726" w:rsidRPr="008725AB">
        <w:rPr>
          <w:rFonts w:ascii="Arial" w:hAnsi="Arial" w:cs="Arial"/>
          <w:szCs w:val="24"/>
          <w:lang w:val="es-MX"/>
        </w:rPr>
        <w:t xml:space="preserve"> en función de la </w:t>
      </w:r>
      <w:r w:rsidR="004F335B" w:rsidRPr="008725AB">
        <w:rPr>
          <w:rFonts w:ascii="Arial" w:hAnsi="Arial" w:cs="Arial"/>
          <w:szCs w:val="24"/>
          <w:lang w:val="es-MX"/>
        </w:rPr>
        <w:t>programación</w:t>
      </w:r>
      <w:r w:rsidR="00B97726" w:rsidRPr="008725AB">
        <w:rPr>
          <w:rFonts w:ascii="Arial" w:hAnsi="Arial" w:cs="Arial"/>
          <w:szCs w:val="24"/>
          <w:lang w:val="es-MX"/>
        </w:rPr>
        <w:t xml:space="preserve"> financiera semestral del </w:t>
      </w:r>
      <w:r w:rsidR="00743CAA" w:rsidRPr="008725AB">
        <w:rPr>
          <w:rFonts w:ascii="Arial" w:hAnsi="Arial" w:cs="Arial"/>
          <w:szCs w:val="24"/>
          <w:lang w:val="es-MX"/>
        </w:rPr>
        <w:t>PFTRG</w:t>
      </w:r>
      <w:r w:rsidR="00B97726" w:rsidRPr="008725AB">
        <w:rPr>
          <w:rFonts w:ascii="Arial" w:hAnsi="Arial" w:cs="Arial"/>
          <w:szCs w:val="24"/>
          <w:lang w:val="es-MX"/>
        </w:rPr>
        <w:t xml:space="preserve"> y la proyección de requerimientos financieros de los </w:t>
      </w:r>
      <w:r w:rsidR="0075055A" w:rsidRPr="008725AB">
        <w:rPr>
          <w:rFonts w:ascii="Arial" w:hAnsi="Arial" w:cs="Arial"/>
          <w:szCs w:val="24"/>
          <w:lang w:val="es-MX"/>
        </w:rPr>
        <w:t>Sub-prestatarios</w:t>
      </w:r>
      <w:r w:rsidR="00B97726" w:rsidRPr="008725AB">
        <w:rPr>
          <w:rFonts w:ascii="Arial" w:hAnsi="Arial" w:cs="Arial"/>
          <w:szCs w:val="24"/>
          <w:lang w:val="es-MX"/>
        </w:rPr>
        <w:t xml:space="preserve"> Elegibles</w:t>
      </w:r>
      <w:r w:rsidR="00E54C48" w:rsidRPr="008725AB">
        <w:rPr>
          <w:rFonts w:ascii="Arial" w:hAnsi="Arial" w:cs="Arial"/>
          <w:szCs w:val="24"/>
          <w:lang w:val="es-MX"/>
        </w:rPr>
        <w:t xml:space="preserve">, NAFIN podrá solicitar al Banco recursos de la línea del préstamo bajo esta modalidad, para hacer frente a las obligaciones contraídas en los diversos proyectos del </w:t>
      </w:r>
      <w:r w:rsidR="00743CAA" w:rsidRPr="008725AB">
        <w:rPr>
          <w:rFonts w:ascii="Arial" w:hAnsi="Arial" w:cs="Arial"/>
          <w:szCs w:val="24"/>
          <w:lang w:val="es-MX"/>
        </w:rPr>
        <w:t>PFTRG</w:t>
      </w:r>
      <w:r w:rsidR="0016308B" w:rsidRPr="008725AB">
        <w:rPr>
          <w:rFonts w:ascii="Arial" w:hAnsi="Arial" w:cs="Arial"/>
          <w:szCs w:val="24"/>
          <w:lang w:val="es-MX"/>
        </w:rPr>
        <w:t xml:space="preserve"> hasta por un plazo de seis</w:t>
      </w:r>
      <w:r w:rsidR="006670CD">
        <w:rPr>
          <w:rFonts w:ascii="Arial" w:hAnsi="Arial" w:cs="Arial"/>
          <w:szCs w:val="24"/>
          <w:lang w:val="es-MX"/>
        </w:rPr>
        <w:t xml:space="preserve"> </w:t>
      </w:r>
      <w:r w:rsidR="00D238CA">
        <w:rPr>
          <w:rFonts w:ascii="Arial" w:hAnsi="Arial" w:cs="Arial"/>
          <w:szCs w:val="24"/>
          <w:lang w:val="es-MX"/>
        </w:rPr>
        <w:t>(6)</w:t>
      </w:r>
      <w:r w:rsidR="0016308B" w:rsidRPr="008725AB">
        <w:rPr>
          <w:rFonts w:ascii="Arial" w:hAnsi="Arial" w:cs="Arial"/>
          <w:szCs w:val="24"/>
          <w:lang w:val="es-MX"/>
        </w:rPr>
        <w:t xml:space="preserve"> meses</w:t>
      </w:r>
      <w:r w:rsidR="00B97726" w:rsidRPr="008725AB">
        <w:rPr>
          <w:rFonts w:ascii="Arial" w:hAnsi="Arial" w:cs="Arial"/>
          <w:szCs w:val="24"/>
          <w:lang w:val="es-MX"/>
        </w:rPr>
        <w:t>.</w:t>
      </w:r>
      <w:r w:rsidR="00943C77" w:rsidRPr="008725AB">
        <w:rPr>
          <w:rFonts w:ascii="Arial" w:hAnsi="Arial" w:cs="Arial"/>
          <w:szCs w:val="24"/>
          <w:lang w:val="es-MX"/>
        </w:rPr>
        <w:t xml:space="preserve"> El monto máximo de cada anticipo de fondos será fijado por el Banco con base en las necesidades de liquidez del </w:t>
      </w:r>
      <w:r w:rsidR="00743CAA" w:rsidRPr="008725AB">
        <w:rPr>
          <w:rFonts w:ascii="Arial" w:hAnsi="Arial" w:cs="Arial"/>
          <w:szCs w:val="24"/>
          <w:lang w:val="es-MX"/>
        </w:rPr>
        <w:t>PFTRG</w:t>
      </w:r>
      <w:r w:rsidR="00943C77" w:rsidRPr="008725AB">
        <w:rPr>
          <w:rFonts w:ascii="Arial" w:hAnsi="Arial" w:cs="Arial"/>
          <w:szCs w:val="24"/>
          <w:lang w:val="es-MX"/>
        </w:rPr>
        <w:t xml:space="preserve"> para atender previsiones periódicas de gastos. En ningún caso el monto máximo de un anticipo de fondos podrá exceder la suma requerida para el financiamiento de dichos gastos, durante un período máximo de seis (6) meses, de conformidad con el cronograma de inversiones, el</w:t>
      </w:r>
      <w:r w:rsidR="00B750D8" w:rsidRPr="008725AB">
        <w:rPr>
          <w:rFonts w:ascii="Arial" w:hAnsi="Arial" w:cs="Arial"/>
          <w:szCs w:val="24"/>
          <w:lang w:val="es-MX"/>
        </w:rPr>
        <w:t xml:space="preserve"> </w:t>
      </w:r>
      <w:r w:rsidR="00943C77" w:rsidRPr="008725AB">
        <w:rPr>
          <w:rFonts w:ascii="Arial" w:hAnsi="Arial" w:cs="Arial"/>
          <w:szCs w:val="24"/>
          <w:lang w:val="es-MX"/>
        </w:rPr>
        <w:t>flujo de recursos requeridos para dichos propósitos y la capacidad demostrada por NAFIN para utilizar los recursos del financiamiento.</w:t>
      </w:r>
      <w:bookmarkEnd w:id="144"/>
      <w:bookmarkEnd w:id="145"/>
      <w:bookmarkEnd w:id="146"/>
    </w:p>
    <w:p w14:paraId="6F1F09F1" w14:textId="77777777" w:rsidR="00943C77" w:rsidRPr="008725AB" w:rsidRDefault="004F335B" w:rsidP="00EC08C2">
      <w:pPr>
        <w:pStyle w:val="Paragraph"/>
        <w:numPr>
          <w:ilvl w:val="0"/>
          <w:numId w:val="0"/>
        </w:numPr>
        <w:tabs>
          <w:tab w:val="left" w:pos="1440"/>
          <w:tab w:val="left" w:pos="2552"/>
        </w:tabs>
        <w:ind w:left="1418"/>
        <w:outlineLvl w:val="9"/>
        <w:rPr>
          <w:rFonts w:ascii="Arial" w:hAnsi="Arial" w:cs="Arial"/>
          <w:szCs w:val="24"/>
          <w:lang w:val="es-MX"/>
        </w:rPr>
      </w:pPr>
      <w:bookmarkStart w:id="147" w:name="_Toc321244965"/>
      <w:r w:rsidRPr="008725AB">
        <w:rPr>
          <w:rFonts w:ascii="Arial" w:hAnsi="Arial" w:cs="Arial"/>
          <w:szCs w:val="24"/>
          <w:lang w:val="es-MX"/>
        </w:rPr>
        <w:t xml:space="preserve">El Banco podrá </w:t>
      </w:r>
      <w:r w:rsidR="00F62BBD" w:rsidRPr="008725AB">
        <w:rPr>
          <w:rFonts w:ascii="Arial" w:hAnsi="Arial" w:cs="Arial"/>
          <w:szCs w:val="24"/>
          <w:lang w:val="es-MX"/>
        </w:rPr>
        <w:t>(</w:t>
      </w:r>
      <w:r w:rsidRPr="008725AB">
        <w:rPr>
          <w:rFonts w:ascii="Arial" w:hAnsi="Arial" w:cs="Arial"/>
          <w:szCs w:val="24"/>
          <w:lang w:val="es-MX"/>
        </w:rPr>
        <w:t xml:space="preserve">i) ampliar el monto máximo del Anticipo de Fondos vigente cuando hayan surgido necesidades inmediatas de efectivo que lo ameriten, si así se le solicita justificadamente y se le presenta un estado de los gastos programados para la ejecución del </w:t>
      </w:r>
      <w:r w:rsidR="00743CAA" w:rsidRPr="008725AB">
        <w:rPr>
          <w:rFonts w:ascii="Arial" w:hAnsi="Arial" w:cs="Arial"/>
          <w:szCs w:val="24"/>
          <w:lang w:val="es-MX"/>
        </w:rPr>
        <w:t>PFTRG</w:t>
      </w:r>
      <w:r w:rsidRPr="008725AB">
        <w:rPr>
          <w:rFonts w:ascii="Arial" w:hAnsi="Arial" w:cs="Arial"/>
          <w:szCs w:val="24"/>
          <w:lang w:val="es-MX"/>
        </w:rPr>
        <w:t xml:space="preserve"> correspondiente al período del Anticipo vigente; o </w:t>
      </w:r>
      <w:r w:rsidR="00F62BBD" w:rsidRPr="008725AB">
        <w:rPr>
          <w:rFonts w:ascii="Arial" w:hAnsi="Arial" w:cs="Arial"/>
          <w:szCs w:val="24"/>
          <w:lang w:val="es-MX"/>
        </w:rPr>
        <w:t>(</w:t>
      </w:r>
      <w:r w:rsidRPr="008725AB">
        <w:rPr>
          <w:rFonts w:ascii="Arial" w:hAnsi="Arial" w:cs="Arial"/>
          <w:szCs w:val="24"/>
          <w:lang w:val="es-MX"/>
        </w:rPr>
        <w:t>ii) efectuar un nuevo anticipo de fondos cuando se haya justificado, al menos el 80% del total de los fondos desembolsados por concepto de anticipos.</w:t>
      </w:r>
      <w:bookmarkEnd w:id="147"/>
    </w:p>
    <w:p w14:paraId="14CD5113" w14:textId="77777777" w:rsidR="00943C77" w:rsidRPr="008725AB" w:rsidRDefault="00943C77" w:rsidP="00EC08C2">
      <w:pPr>
        <w:pStyle w:val="Paragraph"/>
        <w:numPr>
          <w:ilvl w:val="0"/>
          <w:numId w:val="0"/>
        </w:numPr>
        <w:tabs>
          <w:tab w:val="left" w:pos="1440"/>
          <w:tab w:val="left" w:pos="2552"/>
        </w:tabs>
        <w:ind w:left="1418"/>
        <w:outlineLvl w:val="9"/>
        <w:rPr>
          <w:rFonts w:ascii="Arial" w:hAnsi="Arial" w:cs="Arial"/>
          <w:szCs w:val="24"/>
          <w:lang w:val="es-MX"/>
        </w:rPr>
      </w:pPr>
      <w:bookmarkStart w:id="148" w:name="_Toc321244966"/>
      <w:r w:rsidRPr="008725AB">
        <w:rPr>
          <w:rFonts w:ascii="Arial" w:hAnsi="Arial" w:cs="Arial"/>
          <w:szCs w:val="24"/>
          <w:lang w:val="es-MX"/>
        </w:rPr>
        <w:t>El Banco podrá también reducir o cancelar el saldo total acumulado del o de los anticipos de fondos en el caso de que determine que los recursos desembolsados del Financiamiento no han sido utilizados o justificados debida y oportunamente al Banco.</w:t>
      </w:r>
      <w:bookmarkEnd w:id="148"/>
    </w:p>
    <w:p w14:paraId="23ABF662" w14:textId="77777777" w:rsidR="00E80D63" w:rsidRPr="00CB7D36" w:rsidRDefault="00E80D63" w:rsidP="009067BA">
      <w:pPr>
        <w:pStyle w:val="Paragraph"/>
        <w:numPr>
          <w:ilvl w:val="0"/>
          <w:numId w:val="23"/>
        </w:numPr>
        <w:tabs>
          <w:tab w:val="left" w:pos="1890"/>
          <w:tab w:val="left" w:pos="7797"/>
        </w:tabs>
        <w:outlineLvl w:val="2"/>
        <w:rPr>
          <w:rFonts w:ascii="Arial" w:hAnsi="Arial" w:cs="Arial"/>
          <w:szCs w:val="24"/>
          <w:lang w:val="es-MX"/>
        </w:rPr>
      </w:pPr>
      <w:bookmarkStart w:id="149" w:name="_Toc448309493"/>
      <w:bookmarkStart w:id="150" w:name="_Toc450149568"/>
      <w:r w:rsidRPr="00E502AD">
        <w:rPr>
          <w:rFonts w:ascii="Arial" w:hAnsi="Arial" w:cs="Arial"/>
          <w:b/>
          <w:bCs/>
          <w:szCs w:val="24"/>
          <w:lang w:val="es-MX"/>
        </w:rPr>
        <w:t>Reembolso de Gastos efectuados por NAFIN en Operaciones Elegibles</w:t>
      </w:r>
      <w:r w:rsidRPr="00E502AD">
        <w:rPr>
          <w:rFonts w:ascii="Arial" w:hAnsi="Arial" w:cs="Arial"/>
          <w:szCs w:val="24"/>
          <w:lang w:val="es-MX"/>
        </w:rPr>
        <w:t xml:space="preserve"> se </w:t>
      </w:r>
      <w:r w:rsidR="00AA6E05" w:rsidRPr="00E502AD">
        <w:rPr>
          <w:rFonts w:ascii="Arial" w:hAnsi="Arial" w:cs="Arial"/>
          <w:szCs w:val="24"/>
          <w:lang w:val="es-MX"/>
        </w:rPr>
        <w:t>realizarán</w:t>
      </w:r>
      <w:r w:rsidRPr="00E502AD">
        <w:rPr>
          <w:rFonts w:ascii="Arial" w:hAnsi="Arial" w:cs="Arial"/>
          <w:szCs w:val="24"/>
          <w:lang w:val="es-MX"/>
        </w:rPr>
        <w:t xml:space="preserve"> conforme a las solicitudes de desembolso para reembolsar</w:t>
      </w:r>
      <w:r w:rsidRPr="008725AB">
        <w:rPr>
          <w:rFonts w:ascii="Arial" w:hAnsi="Arial" w:cs="Arial"/>
        </w:rPr>
        <w:t xml:space="preserve"> gastos financiados deberán realizarse prontamente, a medida que NAFIN incurra en dichos gastos. Sólo se podrán destinar los recursos del Financiamiento para reembolsar gastos efectuados por NAFIN en Operaciones Elegibles del PFTRG conforme a lo siguiente:</w:t>
      </w:r>
      <w:bookmarkStart w:id="151" w:name="_Toc321244967"/>
      <w:bookmarkEnd w:id="149"/>
      <w:bookmarkEnd w:id="150"/>
    </w:p>
    <w:p w14:paraId="1717D516" w14:textId="77777777" w:rsidR="00651E21" w:rsidRPr="008725AB" w:rsidRDefault="00C9551D" w:rsidP="00CB7D36">
      <w:pPr>
        <w:pStyle w:val="Paragraph"/>
        <w:numPr>
          <w:ilvl w:val="0"/>
          <w:numId w:val="0"/>
        </w:numPr>
        <w:tabs>
          <w:tab w:val="left" w:pos="1890"/>
          <w:tab w:val="left" w:pos="7797"/>
        </w:tabs>
        <w:ind w:left="1440"/>
        <w:outlineLvl w:val="2"/>
        <w:rPr>
          <w:rFonts w:ascii="Arial" w:hAnsi="Arial" w:cs="Arial"/>
        </w:rPr>
      </w:pPr>
      <w:bookmarkStart w:id="152" w:name="_Toc448309494"/>
      <w:bookmarkStart w:id="153" w:name="_Toc450149569"/>
      <w:r w:rsidRPr="008C38DE">
        <w:rPr>
          <w:rFonts w:ascii="Arial" w:hAnsi="Arial" w:cs="Arial"/>
          <w:highlight w:val="yellow"/>
          <w:lang w:val="es-MX"/>
        </w:rPr>
        <w:t>Para el préstamo 317</w:t>
      </w:r>
      <w:r w:rsidRPr="008C38DE">
        <w:rPr>
          <w:rFonts w:ascii="Arial" w:hAnsi="Arial" w:cs="Arial"/>
          <w:highlight w:val="yellow"/>
        </w:rPr>
        <w:t>8</w:t>
      </w:r>
      <w:r w:rsidRPr="008C38DE">
        <w:rPr>
          <w:rFonts w:ascii="Arial" w:hAnsi="Arial" w:cs="Arial"/>
          <w:highlight w:val="yellow"/>
          <w:lang w:val="es-MX"/>
        </w:rPr>
        <w:t>/</w:t>
      </w:r>
      <w:r w:rsidRPr="008C38DE">
        <w:rPr>
          <w:rFonts w:ascii="Arial" w:hAnsi="Arial" w:cs="Arial"/>
          <w:highlight w:val="yellow"/>
        </w:rPr>
        <w:t>O</w:t>
      </w:r>
      <w:r w:rsidRPr="008C38DE">
        <w:rPr>
          <w:rFonts w:ascii="Arial" w:hAnsi="Arial" w:cs="Arial"/>
          <w:highlight w:val="yellow"/>
          <w:lang w:val="es-MX"/>
        </w:rPr>
        <w:t>C-ME</w:t>
      </w:r>
      <w:r w:rsidR="008A0F41" w:rsidRPr="008C38DE">
        <w:rPr>
          <w:rFonts w:ascii="Arial" w:hAnsi="Arial" w:cs="Arial"/>
          <w:highlight w:val="yellow"/>
          <w:lang w:val="es-MX"/>
        </w:rPr>
        <w:t xml:space="preserve"> (Clausula 3.03 </w:t>
      </w:r>
      <w:r w:rsidR="008A0F41" w:rsidRPr="008C38DE">
        <w:rPr>
          <w:rFonts w:ascii="Arial" w:hAnsi="Arial" w:cs="Arial"/>
          <w:highlight w:val="yellow"/>
        </w:rPr>
        <w:t>del contrato de préstamo</w:t>
      </w:r>
      <w:r w:rsidR="008A0F41" w:rsidRPr="008725AB">
        <w:rPr>
          <w:rFonts w:ascii="Arial" w:hAnsi="Arial" w:cs="Arial"/>
          <w:lang w:val="es-MX"/>
        </w:rPr>
        <w:t>)</w:t>
      </w:r>
      <w:r w:rsidRPr="00CB7D36">
        <w:rPr>
          <w:rFonts w:ascii="Arial" w:hAnsi="Arial" w:cs="Arial"/>
        </w:rPr>
        <w:t>, se podrán utilizar los recursos del Préstamo para reembolsar gastos efectuados en el Programa a partir del 9 de abril del 2014 y hasta el 29 de mayo de 2014, hasta por un monto equivalente al 20% del Préstamo</w:t>
      </w:r>
      <w:r w:rsidR="008A0F41" w:rsidRPr="008725AB">
        <w:rPr>
          <w:rFonts w:ascii="Arial" w:hAnsi="Arial" w:cs="Arial"/>
        </w:rPr>
        <w:t xml:space="preserve"> </w:t>
      </w:r>
      <w:r w:rsidRPr="00CB7D36">
        <w:rPr>
          <w:rFonts w:ascii="Arial" w:hAnsi="Arial" w:cs="Arial"/>
        </w:rPr>
        <w:t>(</w:t>
      </w:r>
      <w:r w:rsidR="00D238CA">
        <w:rPr>
          <w:rFonts w:ascii="Arial" w:hAnsi="Arial" w:cs="Arial"/>
        </w:rPr>
        <w:t>o US$</w:t>
      </w:r>
      <w:r w:rsidRPr="00CB7D36">
        <w:rPr>
          <w:rFonts w:ascii="Arial" w:hAnsi="Arial" w:cs="Arial"/>
        </w:rPr>
        <w:t xml:space="preserve">10.86 </w:t>
      </w:r>
      <w:r w:rsidR="00D238CA">
        <w:rPr>
          <w:rFonts w:ascii="Arial" w:hAnsi="Arial" w:cs="Arial"/>
        </w:rPr>
        <w:t>millones</w:t>
      </w:r>
      <w:r w:rsidRPr="00CB7D36">
        <w:rPr>
          <w:rFonts w:ascii="Arial" w:hAnsi="Arial" w:cs="Arial"/>
        </w:rPr>
        <w:t xml:space="preserve">), siempre que se hayan cumplido requisitos sustancialmente análogos a los establecidos en </w:t>
      </w:r>
      <w:r w:rsidR="00FA3FB2">
        <w:rPr>
          <w:rFonts w:ascii="Arial" w:hAnsi="Arial" w:cs="Arial"/>
        </w:rPr>
        <w:t xml:space="preserve">el </w:t>
      </w:r>
      <w:r w:rsidRPr="00CB7D36">
        <w:rPr>
          <w:rFonts w:ascii="Arial" w:hAnsi="Arial" w:cs="Arial"/>
        </w:rPr>
        <w:t>Contrato</w:t>
      </w:r>
      <w:r w:rsidR="00FA3FB2">
        <w:rPr>
          <w:rFonts w:ascii="Arial" w:hAnsi="Arial" w:cs="Arial"/>
        </w:rPr>
        <w:t xml:space="preserve"> de Préstamo</w:t>
      </w:r>
      <w:r w:rsidRPr="00CB7D36">
        <w:rPr>
          <w:rFonts w:ascii="Arial" w:hAnsi="Arial" w:cs="Arial"/>
        </w:rPr>
        <w:t xml:space="preserve">. Queda entendido que, con la aceptación del Banco, también se podrán utilizar recursos del Préstamo para reembolsar gastos efectuados o </w:t>
      </w:r>
      <w:r w:rsidRPr="00CB7D36">
        <w:rPr>
          <w:rFonts w:ascii="Arial" w:hAnsi="Arial" w:cs="Arial"/>
        </w:rPr>
        <w:lastRenderedPageBreak/>
        <w:t xml:space="preserve">financiar los que se efectúen en el Programa a partir del 29 de mayo de 2014 y hasta la fecha de vigencia </w:t>
      </w:r>
      <w:r w:rsidR="00EC08C2" w:rsidRPr="00CB7D36">
        <w:rPr>
          <w:rFonts w:ascii="Arial" w:hAnsi="Arial" w:cs="Arial"/>
        </w:rPr>
        <w:t>del</w:t>
      </w:r>
      <w:r w:rsidR="00EC08C2">
        <w:rPr>
          <w:rFonts w:ascii="Arial" w:hAnsi="Arial" w:cs="Arial"/>
        </w:rPr>
        <w:t xml:space="preserve"> Contrato</w:t>
      </w:r>
      <w:r w:rsidRPr="00CB7D36">
        <w:rPr>
          <w:rFonts w:ascii="Arial" w:hAnsi="Arial" w:cs="Arial"/>
        </w:rPr>
        <w:t xml:space="preserve"> </w:t>
      </w:r>
      <w:r w:rsidR="00FA3FB2">
        <w:rPr>
          <w:rFonts w:ascii="Arial" w:hAnsi="Arial" w:cs="Arial"/>
        </w:rPr>
        <w:t xml:space="preserve">de Préstamo </w:t>
      </w:r>
      <w:r w:rsidRPr="00CB7D36">
        <w:rPr>
          <w:rFonts w:ascii="Arial" w:hAnsi="Arial" w:cs="Arial"/>
          <w:lang w:val="es-MX"/>
        </w:rPr>
        <w:t>(25 de febrero de 20</w:t>
      </w:r>
      <w:r w:rsidR="003B6BF9">
        <w:rPr>
          <w:rFonts w:ascii="Arial" w:hAnsi="Arial" w:cs="Arial"/>
          <w:lang w:val="es-MX"/>
        </w:rPr>
        <w:t>21</w:t>
      </w:r>
      <w:r w:rsidRPr="00CB7D36">
        <w:rPr>
          <w:rFonts w:ascii="Arial" w:hAnsi="Arial" w:cs="Arial"/>
          <w:lang w:val="es-MX"/>
        </w:rPr>
        <w:t>)</w:t>
      </w:r>
      <w:r w:rsidRPr="00CB7D36">
        <w:rPr>
          <w:rFonts w:ascii="Arial" w:hAnsi="Arial" w:cs="Arial"/>
        </w:rPr>
        <w:t>, siempre que se hayan cumplido, asimismo, los mencionados requisitos.</w:t>
      </w:r>
      <w:bookmarkEnd w:id="152"/>
      <w:bookmarkEnd w:id="153"/>
    </w:p>
    <w:p w14:paraId="08566B69" w14:textId="77777777" w:rsidR="00E80D63" w:rsidRPr="00224272" w:rsidRDefault="00E80D63" w:rsidP="00224272">
      <w:pPr>
        <w:pStyle w:val="Paragraph"/>
        <w:numPr>
          <w:ilvl w:val="0"/>
          <w:numId w:val="0"/>
        </w:numPr>
        <w:tabs>
          <w:tab w:val="left" w:pos="1890"/>
          <w:tab w:val="left" w:pos="7797"/>
        </w:tabs>
        <w:ind w:left="1440"/>
        <w:outlineLvl w:val="2"/>
        <w:rPr>
          <w:rFonts w:ascii="Arial" w:hAnsi="Arial" w:cs="Arial"/>
        </w:rPr>
      </w:pPr>
      <w:bookmarkStart w:id="154" w:name="_Toc448309496"/>
      <w:bookmarkStart w:id="155" w:name="_Toc450149571"/>
      <w:r w:rsidRPr="008725AB">
        <w:rPr>
          <w:rFonts w:ascii="Arial" w:hAnsi="Arial" w:cs="Arial"/>
        </w:rPr>
        <w:t xml:space="preserve">Para el Convenio de Financiamiento No Reembolsable con Recuperación Contingente No. </w:t>
      </w:r>
      <w:r w:rsidR="00916DA6" w:rsidRPr="00224272">
        <w:rPr>
          <w:rFonts w:ascii="Arial" w:hAnsi="Arial" w:cs="Arial"/>
        </w:rPr>
        <w:t>GRT/TC-14423-ME</w:t>
      </w:r>
      <w:r w:rsidRPr="00224272">
        <w:rPr>
          <w:rFonts w:ascii="Arial" w:hAnsi="Arial" w:cs="Arial"/>
        </w:rPr>
        <w:t xml:space="preserve">, se podrán utilizar recursos de la Contribución para </w:t>
      </w:r>
      <w:r w:rsidR="008424B8" w:rsidRPr="00224272">
        <w:rPr>
          <w:rFonts w:ascii="Arial" w:hAnsi="Arial" w:cs="Arial"/>
          <w:lang w:val="es-MX"/>
        </w:rPr>
        <w:t>financiar</w:t>
      </w:r>
      <w:r w:rsidR="00D5333A" w:rsidRPr="008725AB">
        <w:rPr>
          <w:rFonts w:ascii="Arial" w:hAnsi="Arial" w:cs="Arial"/>
          <w:lang w:val="es-MX"/>
        </w:rPr>
        <w:t xml:space="preserve"> servicios independientes de terceros, proveer asesoramiento sobre la validac</w:t>
      </w:r>
      <w:r w:rsidR="00D5333A" w:rsidRPr="00224272">
        <w:rPr>
          <w:rFonts w:ascii="Arial" w:hAnsi="Arial" w:cs="Arial"/>
          <w:lang w:val="es-MX"/>
        </w:rPr>
        <w:t xml:space="preserve">ión y certificación técnica para la elegibilidad de los proyectos y realizar estudios técnicos, </w:t>
      </w:r>
      <w:r w:rsidRPr="00224272">
        <w:rPr>
          <w:rFonts w:ascii="Arial" w:hAnsi="Arial" w:cs="Arial"/>
        </w:rPr>
        <w:t xml:space="preserve">a partir de la suscripción del Convenio </w:t>
      </w:r>
      <w:r w:rsidR="00FA3FB2">
        <w:rPr>
          <w:rFonts w:ascii="Arial" w:hAnsi="Arial" w:cs="Arial"/>
        </w:rPr>
        <w:t xml:space="preserve">de Financiamiento </w:t>
      </w:r>
      <w:r w:rsidRPr="00224272">
        <w:rPr>
          <w:rFonts w:ascii="Arial" w:hAnsi="Arial" w:cs="Arial"/>
        </w:rPr>
        <w:t>(</w:t>
      </w:r>
      <w:r w:rsidR="00916DA6" w:rsidRPr="00224272">
        <w:rPr>
          <w:rFonts w:ascii="Arial" w:hAnsi="Arial" w:cs="Arial"/>
        </w:rPr>
        <w:t xml:space="preserve">3 </w:t>
      </w:r>
      <w:r w:rsidRPr="00224272">
        <w:rPr>
          <w:rFonts w:ascii="Arial" w:hAnsi="Arial" w:cs="Arial"/>
        </w:rPr>
        <w:t xml:space="preserve">de </w:t>
      </w:r>
      <w:r w:rsidR="00916DA6" w:rsidRPr="00224272">
        <w:rPr>
          <w:rFonts w:ascii="Arial" w:hAnsi="Arial" w:cs="Arial"/>
        </w:rPr>
        <w:t xml:space="preserve">octubre </w:t>
      </w:r>
      <w:r w:rsidRPr="00224272">
        <w:rPr>
          <w:rFonts w:ascii="Arial" w:hAnsi="Arial" w:cs="Arial"/>
        </w:rPr>
        <w:t>de 201</w:t>
      </w:r>
      <w:r w:rsidR="00D5333A" w:rsidRPr="00224272">
        <w:rPr>
          <w:rFonts w:ascii="Arial" w:hAnsi="Arial" w:cs="Arial"/>
        </w:rPr>
        <w:t>4</w:t>
      </w:r>
      <w:r w:rsidRPr="00224272">
        <w:rPr>
          <w:rFonts w:ascii="Arial" w:hAnsi="Arial" w:cs="Arial"/>
        </w:rPr>
        <w:t>), siempre que se hayan cumplido requisitos sustancialmente análogos a los establecidos en el mismo.</w:t>
      </w:r>
      <w:bookmarkEnd w:id="154"/>
      <w:bookmarkEnd w:id="155"/>
    </w:p>
    <w:p w14:paraId="76635A62" w14:textId="77777777" w:rsidR="00C9551D" w:rsidRPr="00AC3DDA" w:rsidRDefault="008A0F41" w:rsidP="00502834">
      <w:pPr>
        <w:pStyle w:val="Paragraph"/>
        <w:numPr>
          <w:ilvl w:val="0"/>
          <w:numId w:val="0"/>
        </w:numPr>
        <w:tabs>
          <w:tab w:val="left" w:pos="1890"/>
          <w:tab w:val="left" w:pos="7797"/>
        </w:tabs>
        <w:ind w:left="1440"/>
        <w:outlineLvl w:val="2"/>
        <w:rPr>
          <w:rFonts w:ascii="Arial" w:hAnsi="Arial" w:cs="Arial"/>
        </w:rPr>
      </w:pPr>
      <w:bookmarkStart w:id="156" w:name="_Toc448309497"/>
      <w:bookmarkStart w:id="157" w:name="_Toc450149572"/>
      <w:r w:rsidRPr="00502834">
        <w:rPr>
          <w:rFonts w:ascii="Arial" w:hAnsi="Arial" w:cs="Arial"/>
        </w:rPr>
        <w:t>Para el Convenio de Financiamiento No Reembolsable con Recuperación Contingente No. GRT/TC-14424-ME, se podrán utilizar recursos de la Contribución para reembolsar gastos efectuados o financiar los que se efectúen en el Program</w:t>
      </w:r>
      <w:r w:rsidRPr="00AC3DDA">
        <w:rPr>
          <w:rFonts w:ascii="Arial" w:hAnsi="Arial" w:cs="Arial"/>
        </w:rPr>
        <w:t xml:space="preserve">a, a partir de la suscripción </w:t>
      </w:r>
      <w:r w:rsidR="00EC08C2" w:rsidRPr="00AC3DDA">
        <w:rPr>
          <w:rFonts w:ascii="Arial" w:hAnsi="Arial" w:cs="Arial"/>
        </w:rPr>
        <w:t>del Convenio</w:t>
      </w:r>
      <w:r w:rsidR="00FA3FB2">
        <w:rPr>
          <w:rFonts w:ascii="Arial" w:hAnsi="Arial" w:cs="Arial"/>
        </w:rPr>
        <w:t xml:space="preserve"> de Financiamiento</w:t>
      </w:r>
      <w:r w:rsidRPr="00AC3DDA">
        <w:rPr>
          <w:rFonts w:ascii="Arial" w:hAnsi="Arial" w:cs="Arial"/>
        </w:rPr>
        <w:t xml:space="preserve"> (10 de noviembre de 201</w:t>
      </w:r>
      <w:r w:rsidR="00D5333A" w:rsidRPr="00AC3DDA">
        <w:rPr>
          <w:rFonts w:ascii="Arial" w:hAnsi="Arial" w:cs="Arial"/>
        </w:rPr>
        <w:t>4</w:t>
      </w:r>
      <w:r w:rsidRPr="00AC3DDA">
        <w:rPr>
          <w:rFonts w:ascii="Arial" w:hAnsi="Arial" w:cs="Arial"/>
        </w:rPr>
        <w:t>), siempre que se hayan cumplido requisitos sustancialmente análogos a los establecidos en el mismo.</w:t>
      </w:r>
      <w:bookmarkEnd w:id="156"/>
      <w:bookmarkEnd w:id="157"/>
    </w:p>
    <w:p w14:paraId="5C8F4721" w14:textId="77777777" w:rsidR="00FD12FF" w:rsidRPr="008725AB" w:rsidRDefault="00FD12FF" w:rsidP="00BA4230">
      <w:pPr>
        <w:pStyle w:val="Paragraph"/>
        <w:numPr>
          <w:ilvl w:val="0"/>
          <w:numId w:val="0"/>
        </w:numPr>
        <w:tabs>
          <w:tab w:val="left" w:pos="2552"/>
        </w:tabs>
        <w:ind w:left="1440"/>
        <w:outlineLvl w:val="9"/>
        <w:rPr>
          <w:rFonts w:ascii="Arial" w:hAnsi="Arial" w:cs="Arial"/>
          <w:szCs w:val="24"/>
          <w:lang w:val="es-MX"/>
        </w:rPr>
      </w:pPr>
      <w:bookmarkStart w:id="158" w:name="_Toc321244968"/>
      <w:bookmarkEnd w:id="151"/>
      <w:r w:rsidRPr="008725AB">
        <w:rPr>
          <w:rFonts w:ascii="Arial" w:hAnsi="Arial" w:cs="Arial"/>
          <w:szCs w:val="24"/>
          <w:lang w:val="es-MX"/>
        </w:rPr>
        <w:t xml:space="preserve">Asimismo, se podrá acceder al Reembolso de Cartera Crediticia, mediante el concepto de reconocimiento de cartera previamente apoyada por NAFIN que se enmarque dentro de los objetivos del </w:t>
      </w:r>
      <w:r w:rsidR="00743CAA" w:rsidRPr="008725AB">
        <w:rPr>
          <w:rFonts w:ascii="Arial" w:hAnsi="Arial" w:cs="Arial"/>
          <w:szCs w:val="24"/>
          <w:lang w:val="es-MX"/>
        </w:rPr>
        <w:t>PFTRG</w:t>
      </w:r>
      <w:r w:rsidR="00253C2A" w:rsidRPr="008725AB">
        <w:rPr>
          <w:rFonts w:ascii="Arial" w:hAnsi="Arial" w:cs="Arial"/>
          <w:szCs w:val="24"/>
          <w:lang w:val="es-MX"/>
        </w:rPr>
        <w:t>.</w:t>
      </w:r>
      <w:r w:rsidRPr="008725AB">
        <w:rPr>
          <w:rFonts w:ascii="Arial" w:hAnsi="Arial" w:cs="Arial"/>
          <w:szCs w:val="24"/>
          <w:lang w:val="es-MX"/>
        </w:rPr>
        <w:t xml:space="preserve"> Los controles y verificaciones por parte del BID</w:t>
      </w:r>
      <w:r w:rsidR="00706968" w:rsidRPr="008725AB">
        <w:rPr>
          <w:rFonts w:ascii="Arial" w:hAnsi="Arial" w:cs="Arial"/>
          <w:szCs w:val="24"/>
          <w:lang w:val="es-MX"/>
        </w:rPr>
        <w:t>,</w:t>
      </w:r>
      <w:r w:rsidRPr="008725AB">
        <w:rPr>
          <w:rFonts w:ascii="Arial" w:hAnsi="Arial" w:cs="Arial"/>
          <w:szCs w:val="24"/>
          <w:lang w:val="es-MX"/>
        </w:rPr>
        <w:t xml:space="preserve"> se harán por muestreo y ex</w:t>
      </w:r>
      <w:r w:rsidR="00CE450C" w:rsidRPr="008725AB">
        <w:rPr>
          <w:rFonts w:ascii="Arial" w:hAnsi="Arial" w:cs="Arial"/>
          <w:szCs w:val="24"/>
          <w:lang w:val="es-MX"/>
        </w:rPr>
        <w:t>-</w:t>
      </w:r>
      <w:r w:rsidRPr="008725AB">
        <w:rPr>
          <w:rFonts w:ascii="Arial" w:hAnsi="Arial" w:cs="Arial"/>
          <w:szCs w:val="24"/>
          <w:lang w:val="es-MX"/>
        </w:rPr>
        <w:t>post.</w:t>
      </w:r>
      <w:bookmarkEnd w:id="158"/>
    </w:p>
    <w:p w14:paraId="7FA89B9F" w14:textId="77777777" w:rsidR="008620B5" w:rsidRPr="008725AB" w:rsidRDefault="008620B5" w:rsidP="00EC08C2">
      <w:pPr>
        <w:pStyle w:val="Paragraph"/>
        <w:numPr>
          <w:ilvl w:val="0"/>
          <w:numId w:val="0"/>
        </w:numPr>
        <w:tabs>
          <w:tab w:val="left" w:pos="2552"/>
        </w:tabs>
        <w:ind w:left="1418"/>
        <w:outlineLvl w:val="9"/>
        <w:rPr>
          <w:rFonts w:ascii="Arial" w:hAnsi="Arial" w:cs="Arial"/>
          <w:szCs w:val="24"/>
          <w:lang w:val="es-MX"/>
        </w:rPr>
      </w:pPr>
      <w:bookmarkStart w:id="159" w:name="_Toc321244969"/>
      <w:r w:rsidRPr="008725AB">
        <w:rPr>
          <w:rFonts w:ascii="Arial" w:hAnsi="Arial" w:cs="Arial"/>
          <w:szCs w:val="24"/>
          <w:lang w:val="es-MX"/>
        </w:rPr>
        <w:t>Para acceder a este mecanismo, NAFIN deberá enviar al Banco la lista y monto de las operaciones elegibles financiadas, las cuales serán sujetas de revisión y/o auditoría posterior.</w:t>
      </w:r>
      <w:bookmarkEnd w:id="159"/>
    </w:p>
    <w:p w14:paraId="02670C6A" w14:textId="77777777" w:rsidR="008620B5" w:rsidRPr="008725AB" w:rsidRDefault="008620B5" w:rsidP="00EC08C2">
      <w:pPr>
        <w:pStyle w:val="Paragraph"/>
        <w:numPr>
          <w:ilvl w:val="0"/>
          <w:numId w:val="0"/>
        </w:numPr>
        <w:tabs>
          <w:tab w:val="left" w:pos="2552"/>
        </w:tabs>
        <w:ind w:left="1418"/>
        <w:outlineLvl w:val="9"/>
        <w:rPr>
          <w:rFonts w:ascii="Arial" w:hAnsi="Arial" w:cs="Arial"/>
          <w:szCs w:val="24"/>
          <w:lang w:val="es-MX"/>
        </w:rPr>
      </w:pPr>
      <w:bookmarkStart w:id="160" w:name="_Toc321244970"/>
      <w:r w:rsidRPr="008725AB">
        <w:rPr>
          <w:rFonts w:ascii="Arial" w:hAnsi="Arial" w:cs="Arial"/>
          <w:szCs w:val="24"/>
          <w:lang w:val="es-MX"/>
        </w:rPr>
        <w:t>El detalle de las operaciones elegibles financiables, contendrá la siguiente información:</w:t>
      </w:r>
      <w:bookmarkEnd w:id="160"/>
    </w:p>
    <w:p w14:paraId="4653F67B" w14:textId="77777777" w:rsidR="00A7041E" w:rsidRPr="008725AB" w:rsidRDefault="00A7041E"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Entidad Federativa</w:t>
      </w:r>
      <w:r w:rsidR="00CE450C" w:rsidRPr="008725AB">
        <w:rPr>
          <w:rFonts w:ascii="Arial" w:hAnsi="Arial" w:cs="Arial"/>
          <w:b w:val="0"/>
          <w:lang w:val="es-MX"/>
        </w:rPr>
        <w:t>.</w:t>
      </w:r>
    </w:p>
    <w:p w14:paraId="1E239A77" w14:textId="77777777" w:rsidR="00A7041E" w:rsidRPr="008725AB" w:rsidRDefault="00A7041E"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Número de crédito</w:t>
      </w:r>
      <w:r w:rsidR="00CE450C" w:rsidRPr="008725AB">
        <w:rPr>
          <w:rFonts w:ascii="Arial" w:hAnsi="Arial" w:cs="Arial"/>
          <w:b w:val="0"/>
          <w:lang w:val="es-MX"/>
        </w:rPr>
        <w:t>.</w:t>
      </w:r>
    </w:p>
    <w:p w14:paraId="56E9802D" w14:textId="77777777" w:rsidR="00E23A90" w:rsidRPr="008725AB" w:rsidRDefault="00E23A90"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Clave del beneficiario</w:t>
      </w:r>
      <w:r w:rsidR="00CE450C" w:rsidRPr="008725AB">
        <w:rPr>
          <w:rFonts w:ascii="Arial" w:hAnsi="Arial" w:cs="Arial"/>
          <w:b w:val="0"/>
          <w:lang w:val="es-MX"/>
        </w:rPr>
        <w:t>.</w:t>
      </w:r>
    </w:p>
    <w:p w14:paraId="56E719FC" w14:textId="77777777" w:rsidR="00E23A90" w:rsidRPr="008725AB" w:rsidRDefault="00E23A90"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 xml:space="preserve">Clave o código del </w:t>
      </w:r>
      <w:r w:rsidR="00CE450C" w:rsidRPr="008725AB">
        <w:rPr>
          <w:rFonts w:ascii="Arial" w:hAnsi="Arial" w:cs="Arial"/>
          <w:b w:val="0"/>
          <w:lang w:val="es-MX"/>
        </w:rPr>
        <w:t>IFI</w:t>
      </w:r>
      <w:r w:rsidRPr="008725AB">
        <w:rPr>
          <w:rFonts w:ascii="Arial" w:hAnsi="Arial" w:cs="Arial"/>
          <w:b w:val="0"/>
          <w:lang w:val="es-MX"/>
        </w:rPr>
        <w:t xml:space="preserve"> o Ente Intermediario</w:t>
      </w:r>
      <w:r w:rsidR="00CE450C" w:rsidRPr="008725AB">
        <w:rPr>
          <w:rFonts w:ascii="Arial" w:hAnsi="Arial" w:cs="Arial"/>
          <w:b w:val="0"/>
          <w:lang w:val="es-MX"/>
        </w:rPr>
        <w:t>.</w:t>
      </w:r>
    </w:p>
    <w:p w14:paraId="7ADCB801" w14:textId="77777777" w:rsidR="008620B5" w:rsidRPr="008725AB" w:rsidRDefault="008620B5"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Tipo de Crédito</w:t>
      </w:r>
      <w:r w:rsidR="00CE450C" w:rsidRPr="008725AB">
        <w:rPr>
          <w:rFonts w:ascii="Arial" w:hAnsi="Arial" w:cs="Arial"/>
          <w:b w:val="0"/>
          <w:lang w:val="es-MX"/>
        </w:rPr>
        <w:t>.</w:t>
      </w:r>
    </w:p>
    <w:p w14:paraId="008BE7F1" w14:textId="77777777" w:rsidR="008620B5" w:rsidRPr="008725AB" w:rsidRDefault="008620B5"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Monto</w:t>
      </w:r>
      <w:r w:rsidR="00E0439F" w:rsidRPr="008725AB">
        <w:rPr>
          <w:rFonts w:ascii="Arial" w:hAnsi="Arial" w:cs="Arial"/>
          <w:b w:val="0"/>
          <w:lang w:val="es-MX"/>
        </w:rPr>
        <w:t xml:space="preserve"> </w:t>
      </w:r>
      <w:r w:rsidRPr="008725AB">
        <w:rPr>
          <w:rFonts w:ascii="Arial" w:hAnsi="Arial" w:cs="Arial"/>
          <w:b w:val="0"/>
          <w:lang w:val="es-MX"/>
        </w:rPr>
        <w:t>otorgado de crédito especificando el tipo de moneda</w:t>
      </w:r>
      <w:r w:rsidR="00CE450C" w:rsidRPr="008725AB">
        <w:rPr>
          <w:rFonts w:ascii="Arial" w:hAnsi="Arial" w:cs="Arial"/>
          <w:b w:val="0"/>
          <w:lang w:val="es-MX"/>
        </w:rPr>
        <w:t>.</w:t>
      </w:r>
    </w:p>
    <w:p w14:paraId="124DB97B" w14:textId="77777777" w:rsidR="008620B5" w:rsidRPr="008725AB" w:rsidRDefault="008620B5"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Fecha de pago</w:t>
      </w:r>
      <w:r w:rsidR="00CE450C" w:rsidRPr="008725AB">
        <w:rPr>
          <w:rFonts w:ascii="Arial" w:hAnsi="Arial" w:cs="Arial"/>
          <w:b w:val="0"/>
          <w:lang w:val="es-MX"/>
        </w:rPr>
        <w:t>.</w:t>
      </w:r>
    </w:p>
    <w:p w14:paraId="4AD16E9D" w14:textId="77777777" w:rsidR="00AB0988" w:rsidRPr="008725AB" w:rsidRDefault="008620B5"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Plazo de amortización</w:t>
      </w:r>
      <w:r w:rsidR="00CE450C" w:rsidRPr="008725AB">
        <w:rPr>
          <w:rFonts w:ascii="Arial" w:hAnsi="Arial" w:cs="Arial"/>
          <w:b w:val="0"/>
          <w:lang w:val="es-MX"/>
        </w:rPr>
        <w:t>.</w:t>
      </w:r>
    </w:p>
    <w:p w14:paraId="5F8D5496" w14:textId="77777777" w:rsidR="00542638" w:rsidRPr="008725AB" w:rsidRDefault="00CE450C" w:rsidP="00CE450C">
      <w:pPr>
        <w:pStyle w:val="SubHeading1"/>
        <w:tabs>
          <w:tab w:val="clear" w:pos="1872"/>
          <w:tab w:val="num" w:pos="1701"/>
        </w:tabs>
        <w:spacing w:before="0" w:after="60"/>
        <w:ind w:left="2448" w:hanging="432"/>
        <w:rPr>
          <w:rFonts w:ascii="Arial" w:hAnsi="Arial" w:cs="Arial"/>
          <w:lang w:val="es-MX"/>
        </w:rPr>
      </w:pPr>
      <w:r w:rsidRPr="008725AB">
        <w:rPr>
          <w:rFonts w:ascii="Arial" w:hAnsi="Arial" w:cs="Arial"/>
          <w:b w:val="0"/>
          <w:lang w:val="es-MX"/>
        </w:rPr>
        <w:t xml:space="preserve">Tasa </w:t>
      </w:r>
      <w:r w:rsidR="00542638" w:rsidRPr="008725AB">
        <w:rPr>
          <w:rFonts w:ascii="Arial" w:hAnsi="Arial" w:cs="Arial"/>
          <w:b w:val="0"/>
          <w:lang w:val="es-MX"/>
        </w:rPr>
        <w:t>de interés</w:t>
      </w:r>
      <w:r w:rsidRPr="008725AB">
        <w:rPr>
          <w:rFonts w:ascii="Arial" w:hAnsi="Arial" w:cs="Arial"/>
          <w:b w:val="0"/>
          <w:lang w:val="es-MX"/>
        </w:rPr>
        <w:t>.</w:t>
      </w:r>
    </w:p>
    <w:p w14:paraId="4BF2F507" w14:textId="77777777" w:rsidR="00542638" w:rsidRPr="008725AB" w:rsidRDefault="00542638" w:rsidP="00CE450C">
      <w:pPr>
        <w:pStyle w:val="SubHeading1"/>
        <w:tabs>
          <w:tab w:val="clear" w:pos="1872"/>
          <w:tab w:val="num" w:pos="1701"/>
        </w:tabs>
        <w:spacing w:before="0"/>
        <w:ind w:left="2448" w:hanging="432"/>
        <w:rPr>
          <w:rFonts w:ascii="Arial" w:hAnsi="Arial" w:cs="Arial"/>
          <w:lang w:val="es-MX"/>
        </w:rPr>
      </w:pPr>
      <w:r w:rsidRPr="008725AB">
        <w:rPr>
          <w:rFonts w:ascii="Arial" w:hAnsi="Arial" w:cs="Arial"/>
          <w:b w:val="0"/>
          <w:lang w:val="es-MX"/>
        </w:rPr>
        <w:t>Cualesquiera comisiones</w:t>
      </w:r>
      <w:r w:rsidR="00CE450C" w:rsidRPr="008725AB">
        <w:rPr>
          <w:rFonts w:ascii="Arial" w:hAnsi="Arial" w:cs="Arial"/>
          <w:b w:val="0"/>
          <w:lang w:val="es-MX"/>
        </w:rPr>
        <w:t>.</w:t>
      </w:r>
    </w:p>
    <w:p w14:paraId="42AEF505" w14:textId="77777777" w:rsidR="004459D5" w:rsidRPr="008725AB" w:rsidRDefault="004459D5" w:rsidP="000A37CF">
      <w:pPr>
        <w:pStyle w:val="Paragraph"/>
        <w:numPr>
          <w:ilvl w:val="0"/>
          <w:numId w:val="0"/>
        </w:numPr>
        <w:tabs>
          <w:tab w:val="left" w:pos="2552"/>
        </w:tabs>
        <w:ind w:left="1440"/>
        <w:outlineLvl w:val="9"/>
        <w:rPr>
          <w:rFonts w:ascii="Arial" w:hAnsi="Arial" w:cs="Arial"/>
          <w:szCs w:val="24"/>
          <w:lang w:val="es-MX"/>
        </w:rPr>
      </w:pPr>
      <w:r w:rsidRPr="008725AB">
        <w:rPr>
          <w:rFonts w:ascii="Arial" w:hAnsi="Arial" w:cs="Arial"/>
          <w:szCs w:val="24"/>
          <w:lang w:val="es-MX"/>
        </w:rPr>
        <w:t>Con carácter general,</w:t>
      </w:r>
      <w:r w:rsidR="00E0439F" w:rsidRPr="008725AB">
        <w:rPr>
          <w:rFonts w:ascii="Arial" w:hAnsi="Arial" w:cs="Arial"/>
          <w:szCs w:val="24"/>
          <w:lang w:val="es-MX"/>
        </w:rPr>
        <w:t xml:space="preserve"> </w:t>
      </w:r>
      <w:r w:rsidRPr="008725AB">
        <w:rPr>
          <w:rFonts w:ascii="Arial" w:hAnsi="Arial" w:cs="Arial"/>
          <w:szCs w:val="24"/>
          <w:lang w:val="es-MX"/>
        </w:rPr>
        <w:t xml:space="preserve">NAFIN proporcionará al BID la información necesaria para determinar el grado de traspaso de las condiciones concesionales de los recursos del CTF al prestatario final, así como el índice de apalancamiento logrado </w:t>
      </w:r>
      <w:r w:rsidR="00CE450C" w:rsidRPr="008725AB">
        <w:rPr>
          <w:rFonts w:ascii="Arial" w:hAnsi="Arial" w:cs="Arial"/>
          <w:szCs w:val="24"/>
          <w:lang w:val="es-MX"/>
        </w:rPr>
        <w:t xml:space="preserve">con </w:t>
      </w:r>
      <w:r w:rsidRPr="008725AB">
        <w:rPr>
          <w:rFonts w:ascii="Arial" w:hAnsi="Arial" w:cs="Arial"/>
          <w:szCs w:val="24"/>
          <w:lang w:val="es-MX"/>
        </w:rPr>
        <w:t xml:space="preserve">los recursos del </w:t>
      </w:r>
      <w:r w:rsidR="00A937BE" w:rsidRPr="008725AB">
        <w:rPr>
          <w:rFonts w:ascii="Arial" w:hAnsi="Arial" w:cs="Arial"/>
          <w:szCs w:val="24"/>
          <w:lang w:val="es-MX"/>
        </w:rPr>
        <w:t>CTF</w:t>
      </w:r>
      <w:r w:rsidRPr="008725AB">
        <w:rPr>
          <w:rFonts w:ascii="Arial" w:hAnsi="Arial" w:cs="Arial"/>
          <w:szCs w:val="24"/>
          <w:lang w:val="es-MX"/>
        </w:rPr>
        <w:t xml:space="preserve"> respecto de cualquier </w:t>
      </w:r>
      <w:r w:rsidRPr="008725AB">
        <w:rPr>
          <w:rFonts w:ascii="Arial" w:hAnsi="Arial" w:cs="Arial"/>
          <w:szCs w:val="24"/>
          <w:lang w:val="es-MX"/>
        </w:rPr>
        <w:lastRenderedPageBreak/>
        <w:t>otro recurso. Esto permitirá que el equipo de proyecto remita un informe a la Unidad de Administración del CTF, al Comité del Fondo Fiduciario del CTF y al BID sobre las condiciones de los sub</w:t>
      </w:r>
      <w:r w:rsidR="00CE450C" w:rsidRPr="008725AB">
        <w:rPr>
          <w:rFonts w:ascii="Arial" w:hAnsi="Arial" w:cs="Arial"/>
          <w:szCs w:val="24"/>
          <w:lang w:val="es-MX"/>
        </w:rPr>
        <w:t>-</w:t>
      </w:r>
      <w:r w:rsidRPr="008725AB">
        <w:rPr>
          <w:rFonts w:ascii="Arial" w:hAnsi="Arial" w:cs="Arial"/>
          <w:szCs w:val="24"/>
          <w:lang w:val="es-MX"/>
        </w:rPr>
        <w:t>préstamos.</w:t>
      </w:r>
    </w:p>
    <w:p w14:paraId="4CFA94BC" w14:textId="77777777" w:rsidR="00854537" w:rsidRPr="0098699B" w:rsidRDefault="00D623EB" w:rsidP="009067BA">
      <w:pPr>
        <w:pStyle w:val="Paragraph"/>
        <w:numPr>
          <w:ilvl w:val="0"/>
          <w:numId w:val="41"/>
        </w:numPr>
        <w:ind w:left="709"/>
        <w:rPr>
          <w:rFonts w:ascii="Arial" w:hAnsi="Arial" w:cs="Arial"/>
          <w:szCs w:val="24"/>
          <w:lang w:val="es-MX"/>
        </w:rPr>
      </w:pPr>
      <w:bookmarkStart w:id="161" w:name="_Toc240434728"/>
      <w:bookmarkStart w:id="162" w:name="_Toc230672798"/>
      <w:bookmarkStart w:id="163" w:name="_Toc321244976"/>
      <w:bookmarkStart w:id="164" w:name="_Toc448309498"/>
      <w:bookmarkStart w:id="165" w:name="_Toc450149573"/>
      <w:bookmarkStart w:id="166" w:name="_Toc197782559"/>
      <w:bookmarkStart w:id="167" w:name="_Toc198025798"/>
      <w:bookmarkStart w:id="168" w:name="_Toc205191267"/>
      <w:bookmarkStart w:id="169" w:name="_Toc207082513"/>
      <w:bookmarkStart w:id="170" w:name="_Toc207082546"/>
      <w:bookmarkEnd w:id="140"/>
      <w:r w:rsidRPr="00E502AD">
        <w:rPr>
          <w:rFonts w:ascii="Arial" w:hAnsi="Arial" w:cs="Arial"/>
          <w:b/>
          <w:szCs w:val="24"/>
          <w:lang w:val="es-MX"/>
        </w:rPr>
        <w:t>Proceso de Tramitación de Desembolsos</w:t>
      </w:r>
      <w:bookmarkEnd w:id="161"/>
      <w:r w:rsidR="00506EF1" w:rsidRPr="00E502AD">
        <w:rPr>
          <w:rFonts w:ascii="Arial" w:hAnsi="Arial" w:cs="Arial"/>
          <w:szCs w:val="24"/>
          <w:lang w:val="es-MX"/>
        </w:rPr>
        <w:t>.</w:t>
      </w:r>
      <w:bookmarkEnd w:id="162"/>
      <w:bookmarkEnd w:id="163"/>
      <w:r w:rsidR="00506EF1" w:rsidRPr="002428EE">
        <w:rPr>
          <w:rFonts w:ascii="Arial" w:hAnsi="Arial" w:cs="Arial"/>
          <w:szCs w:val="24"/>
          <w:lang w:val="es-MX"/>
        </w:rPr>
        <w:t xml:space="preserve"> </w:t>
      </w:r>
      <w:bookmarkStart w:id="171" w:name="_Toc321244977"/>
      <w:r w:rsidR="00854537" w:rsidRPr="002428EE">
        <w:rPr>
          <w:rFonts w:ascii="Arial" w:hAnsi="Arial" w:cs="Arial"/>
          <w:szCs w:val="24"/>
          <w:lang w:val="es-MX"/>
        </w:rPr>
        <w:t xml:space="preserve">Para </w:t>
      </w:r>
      <w:r w:rsidR="00D128F7">
        <w:rPr>
          <w:rFonts w:ascii="Arial" w:hAnsi="Arial" w:cs="Arial"/>
          <w:szCs w:val="24"/>
          <w:lang w:val="es-MX"/>
        </w:rPr>
        <w:t>el préstamo</w:t>
      </w:r>
      <w:r w:rsidR="00854537" w:rsidRPr="002428EE">
        <w:rPr>
          <w:rFonts w:ascii="Arial" w:hAnsi="Arial" w:cs="Arial"/>
          <w:szCs w:val="24"/>
          <w:lang w:val="es-MX"/>
        </w:rPr>
        <w:t xml:space="preserve"> 3178/OC-ME</w:t>
      </w:r>
      <w:r w:rsidR="00854537" w:rsidRPr="005E1C2C">
        <w:rPr>
          <w:rFonts w:ascii="Arial" w:hAnsi="Arial" w:cs="Arial"/>
          <w:szCs w:val="24"/>
          <w:lang w:val="es-MX"/>
        </w:rPr>
        <w:t xml:space="preserve">, </w:t>
      </w:r>
      <w:r w:rsidRPr="005E1C2C">
        <w:rPr>
          <w:rFonts w:ascii="Arial" w:hAnsi="Arial" w:cs="Arial"/>
          <w:szCs w:val="24"/>
          <w:lang w:val="es-MX"/>
        </w:rPr>
        <w:t>NAFIN</w:t>
      </w:r>
      <w:r w:rsidR="00D128F7">
        <w:rPr>
          <w:rFonts w:ascii="Arial" w:hAnsi="Arial" w:cs="Arial"/>
          <w:szCs w:val="24"/>
          <w:lang w:val="es-MX"/>
        </w:rPr>
        <w:t xml:space="preserve"> con el apoyo del INEEL,</w:t>
      </w:r>
      <w:r w:rsidRPr="005E1C2C">
        <w:rPr>
          <w:rFonts w:ascii="Arial" w:hAnsi="Arial" w:cs="Arial"/>
          <w:szCs w:val="24"/>
          <w:lang w:val="es-MX"/>
        </w:rPr>
        <w:t xml:space="preserve"> seleccionará la cartera que cumpla con las características señaladas en este ROP y la enviará al Banco mediante la presentación de una solicitud de desembolso respaldada por o</w:t>
      </w:r>
      <w:r w:rsidRPr="00B54B00">
        <w:rPr>
          <w:rFonts w:ascii="Arial" w:hAnsi="Arial" w:cs="Arial"/>
          <w:szCs w:val="24"/>
          <w:lang w:val="es-MX"/>
        </w:rPr>
        <w:t>peraciones elegibles. Una vez recibida, el BID procesará el desembolso reintegrando los recursos a la cuenta que NAFIN señale.</w:t>
      </w:r>
      <w:bookmarkEnd w:id="171"/>
      <w:r w:rsidRPr="00B54B00">
        <w:rPr>
          <w:rFonts w:ascii="Arial" w:hAnsi="Arial" w:cs="Arial"/>
          <w:szCs w:val="24"/>
          <w:lang w:val="es-MX"/>
        </w:rPr>
        <w:t xml:space="preserve"> </w:t>
      </w:r>
      <w:r w:rsidR="00395F74" w:rsidRPr="008E245E">
        <w:rPr>
          <w:rFonts w:ascii="Arial" w:hAnsi="Arial" w:cs="Arial"/>
          <w:szCs w:val="24"/>
          <w:lang w:val="es-MX"/>
        </w:rPr>
        <w:t>NAFIN y el BID acordarán un formato para la rendición de gastos</w:t>
      </w:r>
      <w:r w:rsidR="00395F74" w:rsidRPr="0098699B">
        <w:rPr>
          <w:rFonts w:ascii="Arial" w:hAnsi="Arial" w:cs="Arial"/>
          <w:szCs w:val="24"/>
          <w:lang w:val="es-MX"/>
        </w:rPr>
        <w:t>.</w:t>
      </w:r>
      <w:bookmarkEnd w:id="164"/>
      <w:bookmarkEnd w:id="165"/>
      <w:r w:rsidR="00395F74" w:rsidRPr="0098699B">
        <w:rPr>
          <w:rFonts w:ascii="Arial" w:hAnsi="Arial" w:cs="Arial"/>
          <w:szCs w:val="24"/>
          <w:lang w:val="es-MX"/>
        </w:rPr>
        <w:t xml:space="preserve"> </w:t>
      </w:r>
    </w:p>
    <w:p w14:paraId="4428DAEB" w14:textId="77777777" w:rsidR="005E102B" w:rsidRPr="008E245E" w:rsidRDefault="0053275F" w:rsidP="00EC08C2">
      <w:pPr>
        <w:pStyle w:val="Paragraph"/>
        <w:numPr>
          <w:ilvl w:val="0"/>
          <w:numId w:val="0"/>
        </w:numPr>
        <w:ind w:left="709"/>
        <w:rPr>
          <w:rFonts w:ascii="Arial" w:hAnsi="Arial" w:cs="Arial"/>
          <w:szCs w:val="24"/>
          <w:lang w:val="es-MX"/>
        </w:rPr>
      </w:pPr>
      <w:bookmarkStart w:id="172" w:name="_Toc448309499"/>
      <w:bookmarkStart w:id="173" w:name="_Toc450149574"/>
      <w:r>
        <w:rPr>
          <w:rFonts w:ascii="Arial" w:hAnsi="Arial" w:cs="Arial"/>
          <w:szCs w:val="24"/>
          <w:lang w:val="es-MX"/>
        </w:rPr>
        <w:t xml:space="preserve">Para el </w:t>
      </w:r>
      <w:r w:rsidRPr="0053275F">
        <w:rPr>
          <w:rFonts w:ascii="Arial" w:hAnsi="Arial" w:cs="Arial"/>
          <w:szCs w:val="24"/>
          <w:lang w:val="es-MX"/>
        </w:rPr>
        <w:t xml:space="preserve">Convenio de Financiamiento No Reembolsable con Recuperación </w:t>
      </w:r>
      <w:r w:rsidRPr="002428EE">
        <w:rPr>
          <w:rFonts w:ascii="Arial" w:hAnsi="Arial" w:cs="Arial"/>
          <w:szCs w:val="24"/>
          <w:lang w:val="es-MX"/>
        </w:rPr>
        <w:t xml:space="preserve">Contingente No. GRT/TC-14424-ME, </w:t>
      </w:r>
      <w:r w:rsidR="004725E6" w:rsidRPr="002428EE">
        <w:rPr>
          <w:rFonts w:ascii="Arial" w:hAnsi="Arial" w:cs="Arial"/>
          <w:szCs w:val="24"/>
          <w:lang w:val="es-MX"/>
        </w:rPr>
        <w:t xml:space="preserve">NAFIN podrá utilizar los recursos de contragarantía </w:t>
      </w:r>
      <w:r w:rsidR="004725E6" w:rsidRPr="005E1C2C">
        <w:rPr>
          <w:rFonts w:ascii="Arial" w:hAnsi="Arial" w:cs="Arial"/>
          <w:szCs w:val="24"/>
          <w:lang w:val="es-MX"/>
        </w:rPr>
        <w:t xml:space="preserve">cuando </w:t>
      </w:r>
      <w:r w:rsidR="00B159D5">
        <w:rPr>
          <w:rFonts w:ascii="Arial" w:hAnsi="Arial" w:cs="Arial"/>
          <w:szCs w:val="24"/>
          <w:lang w:val="es-MX"/>
        </w:rPr>
        <w:t xml:space="preserve">un proyecto </w:t>
      </w:r>
      <w:r w:rsidR="004725E6" w:rsidRPr="005E1C2C">
        <w:rPr>
          <w:rFonts w:ascii="Arial" w:hAnsi="Arial" w:cs="Arial"/>
          <w:szCs w:val="24"/>
          <w:lang w:val="es-MX"/>
        </w:rPr>
        <w:t>se encuentre en alguna etapa del fracaso</w:t>
      </w:r>
      <w:r w:rsidR="00B159D5">
        <w:rPr>
          <w:rFonts w:ascii="Arial" w:hAnsi="Arial" w:cs="Arial"/>
          <w:szCs w:val="24"/>
          <w:lang w:val="es-MX"/>
        </w:rPr>
        <w:t xml:space="preserve">, de acuerdo a lo descrito en el </w:t>
      </w:r>
      <w:r w:rsidR="00D128F7">
        <w:rPr>
          <w:rFonts w:ascii="Arial" w:hAnsi="Arial" w:cs="Arial"/>
          <w:szCs w:val="24"/>
          <w:lang w:val="es-MX"/>
        </w:rPr>
        <w:t>C</w:t>
      </w:r>
      <w:r w:rsidR="00B159D5">
        <w:rPr>
          <w:rFonts w:ascii="Arial" w:hAnsi="Arial" w:cs="Arial"/>
          <w:szCs w:val="24"/>
          <w:lang w:val="es-MX"/>
        </w:rPr>
        <w:t>apítulo V de este ROP</w:t>
      </w:r>
      <w:r w:rsidR="004725E6" w:rsidRPr="00B54B00">
        <w:rPr>
          <w:rFonts w:ascii="Arial" w:hAnsi="Arial" w:cs="Arial"/>
          <w:szCs w:val="24"/>
          <w:lang w:val="es-MX"/>
        </w:rPr>
        <w:t>.</w:t>
      </w:r>
      <w:bookmarkEnd w:id="172"/>
      <w:bookmarkEnd w:id="173"/>
    </w:p>
    <w:p w14:paraId="6E63556A" w14:textId="77777777" w:rsidR="00F550A8" w:rsidRDefault="00D623EB" w:rsidP="00EC08C2">
      <w:pPr>
        <w:pStyle w:val="Paragraph"/>
        <w:numPr>
          <w:ilvl w:val="0"/>
          <w:numId w:val="0"/>
        </w:numPr>
        <w:tabs>
          <w:tab w:val="left" w:pos="2552"/>
        </w:tabs>
        <w:ind w:left="709"/>
        <w:outlineLvl w:val="9"/>
        <w:rPr>
          <w:rFonts w:ascii="Arial" w:hAnsi="Arial" w:cs="Arial"/>
          <w:szCs w:val="24"/>
          <w:lang w:val="es-MX"/>
        </w:rPr>
      </w:pPr>
      <w:bookmarkStart w:id="174" w:name="_Toc321244978"/>
      <w:bookmarkEnd w:id="166"/>
      <w:bookmarkEnd w:id="167"/>
      <w:bookmarkEnd w:id="168"/>
      <w:bookmarkEnd w:id="169"/>
      <w:bookmarkEnd w:id="170"/>
      <w:r w:rsidRPr="002428EE">
        <w:rPr>
          <w:rFonts w:ascii="Arial" w:hAnsi="Arial" w:cs="Arial"/>
          <w:b/>
          <w:szCs w:val="24"/>
          <w:lang w:val="es-MX"/>
        </w:rPr>
        <w:t>Plazo para el desembolso de los recursos</w:t>
      </w:r>
      <w:r w:rsidRPr="002428EE">
        <w:rPr>
          <w:rFonts w:ascii="Arial" w:hAnsi="Arial" w:cs="Arial"/>
          <w:szCs w:val="24"/>
          <w:lang w:val="es-MX"/>
        </w:rPr>
        <w:t xml:space="preserve">. El </w:t>
      </w:r>
      <w:r w:rsidR="003B64B7" w:rsidRPr="002428EE">
        <w:rPr>
          <w:rFonts w:ascii="Arial" w:hAnsi="Arial" w:cs="Arial"/>
          <w:szCs w:val="24"/>
          <w:lang w:val="es-MX"/>
        </w:rPr>
        <w:t xml:space="preserve">Proyecto </w:t>
      </w:r>
      <w:r w:rsidRPr="002428EE">
        <w:rPr>
          <w:rFonts w:ascii="Arial" w:hAnsi="Arial" w:cs="Arial"/>
          <w:szCs w:val="24"/>
          <w:lang w:val="es-MX"/>
        </w:rPr>
        <w:t xml:space="preserve">tendrá </w:t>
      </w:r>
      <w:r w:rsidR="00121F37" w:rsidRPr="002428EE">
        <w:rPr>
          <w:rFonts w:ascii="Arial" w:hAnsi="Arial" w:cs="Arial"/>
          <w:szCs w:val="24"/>
          <w:lang w:val="es-MX"/>
        </w:rPr>
        <w:t xml:space="preserve">plazos para ejercer la totalidad de los recursos </w:t>
      </w:r>
      <w:r w:rsidRPr="002428EE">
        <w:rPr>
          <w:rFonts w:ascii="Arial" w:hAnsi="Arial" w:cs="Arial"/>
          <w:szCs w:val="24"/>
          <w:lang w:val="es-MX"/>
        </w:rPr>
        <w:t xml:space="preserve">a partir de la firma del Contrato </w:t>
      </w:r>
      <w:r w:rsidR="00121F37" w:rsidRPr="002428EE">
        <w:rPr>
          <w:rFonts w:ascii="Arial" w:hAnsi="Arial" w:cs="Arial"/>
          <w:szCs w:val="24"/>
          <w:lang w:val="es-MX"/>
        </w:rPr>
        <w:t>con el BID, conforme a lo siguiente:</w:t>
      </w:r>
    </w:p>
    <w:p w14:paraId="73D0C0DC" w14:textId="77777777" w:rsidR="00121F37" w:rsidRPr="000A37CF" w:rsidRDefault="00B4214A" w:rsidP="001E2FDB">
      <w:pPr>
        <w:pStyle w:val="Paragraph"/>
        <w:numPr>
          <w:ilvl w:val="0"/>
          <w:numId w:val="0"/>
        </w:numPr>
        <w:tabs>
          <w:tab w:val="left" w:pos="0"/>
        </w:tabs>
        <w:spacing w:before="240" w:after="0"/>
        <w:jc w:val="center"/>
        <w:outlineLvl w:val="9"/>
        <w:rPr>
          <w:rFonts w:ascii="Arial" w:hAnsi="Arial" w:cs="Arial"/>
          <w:b/>
          <w:sz w:val="22"/>
          <w:szCs w:val="24"/>
          <w:lang w:val="es-MX"/>
        </w:rPr>
      </w:pPr>
      <w:r w:rsidRPr="000A37CF">
        <w:rPr>
          <w:rFonts w:ascii="Arial" w:hAnsi="Arial" w:cs="Arial"/>
          <w:b/>
          <w:sz w:val="22"/>
          <w:szCs w:val="24"/>
          <w:lang w:val="es-MX"/>
        </w:rPr>
        <w:t xml:space="preserve">Tabla 7. Plazos para desembolso </w:t>
      </w:r>
      <w:r w:rsidR="00321195" w:rsidRPr="00321195">
        <w:rPr>
          <w:rFonts w:ascii="Arial" w:hAnsi="Arial" w:cs="Arial"/>
          <w:b/>
          <w:sz w:val="22"/>
          <w:szCs w:val="24"/>
          <w:lang w:val="es-MX"/>
        </w:rPr>
        <w:t xml:space="preserve">de </w:t>
      </w:r>
      <w:r w:rsidR="00321195">
        <w:rPr>
          <w:rFonts w:ascii="Arial" w:hAnsi="Arial" w:cs="Arial"/>
          <w:b/>
          <w:sz w:val="22"/>
          <w:szCs w:val="24"/>
          <w:lang w:val="es-MX"/>
        </w:rPr>
        <w:t>P</w:t>
      </w:r>
      <w:r w:rsidRPr="000A37CF">
        <w:rPr>
          <w:rFonts w:ascii="Arial" w:hAnsi="Arial" w:cs="Arial"/>
          <w:b/>
          <w:sz w:val="22"/>
          <w:szCs w:val="24"/>
          <w:lang w:val="es-MX"/>
        </w:rPr>
        <w:t xml:space="preserve">réstamo </w:t>
      </w:r>
      <w:r w:rsidR="00321195">
        <w:rPr>
          <w:rFonts w:ascii="Arial" w:hAnsi="Arial" w:cs="Arial"/>
          <w:b/>
          <w:sz w:val="22"/>
          <w:szCs w:val="24"/>
          <w:lang w:val="es-MX"/>
        </w:rPr>
        <w:t>y/o CT.</w:t>
      </w:r>
    </w:p>
    <w:tbl>
      <w:tblPr>
        <w:tblStyle w:val="Tabladecuadrcula5oscura-nfasis11"/>
        <w:tblpPr w:leftFromText="141" w:rightFromText="141" w:vertAnchor="text" w:horzAnchor="margin" w:tblpXSpec="center" w:tblpY="246"/>
        <w:tblW w:w="0" w:type="auto"/>
        <w:tblLook w:val="04A0" w:firstRow="1" w:lastRow="0" w:firstColumn="1" w:lastColumn="0" w:noHBand="0" w:noVBand="1"/>
      </w:tblPr>
      <w:tblGrid>
        <w:gridCol w:w="2405"/>
        <w:gridCol w:w="5387"/>
      </w:tblGrid>
      <w:tr w:rsidR="002428EE" w14:paraId="7A1EA035" w14:textId="77777777" w:rsidTr="002428EE">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2A83B3C8" w14:textId="77777777" w:rsidR="002428EE" w:rsidRPr="007439DF" w:rsidRDefault="002428EE" w:rsidP="001E2FDB">
            <w:pPr>
              <w:pStyle w:val="Paragraph"/>
              <w:numPr>
                <w:ilvl w:val="0"/>
                <w:numId w:val="0"/>
              </w:numPr>
              <w:tabs>
                <w:tab w:val="left" w:pos="2552"/>
              </w:tabs>
              <w:spacing w:before="0"/>
              <w:jc w:val="center"/>
              <w:outlineLvl w:val="9"/>
              <w:rPr>
                <w:rFonts w:ascii="Arial" w:hAnsi="Arial" w:cs="Arial"/>
                <w:szCs w:val="24"/>
                <w:lang w:val="es-MX"/>
              </w:rPr>
            </w:pPr>
            <w:r w:rsidRPr="002428EE">
              <w:rPr>
                <w:rFonts w:ascii="Arial" w:hAnsi="Arial" w:cs="Arial"/>
                <w:sz w:val="20"/>
                <w:szCs w:val="24"/>
                <w:lang w:val="es-MX"/>
              </w:rPr>
              <w:t>Préstamo y/o Cooperación</w:t>
            </w:r>
            <w:r w:rsidRPr="007439DF">
              <w:rPr>
                <w:rFonts w:ascii="Arial" w:hAnsi="Arial" w:cs="Arial"/>
                <w:sz w:val="20"/>
                <w:szCs w:val="24"/>
                <w:lang w:val="es-MX"/>
              </w:rPr>
              <w:t xml:space="preserve"> Técnica</w:t>
            </w:r>
          </w:p>
        </w:tc>
        <w:tc>
          <w:tcPr>
            <w:tcW w:w="5387" w:type="dxa"/>
            <w:vAlign w:val="center"/>
          </w:tcPr>
          <w:p w14:paraId="1994BCE0" w14:textId="77777777" w:rsidR="002428EE" w:rsidRPr="007439DF" w:rsidRDefault="002428EE" w:rsidP="001E2FDB">
            <w:pPr>
              <w:pStyle w:val="Paragraph"/>
              <w:numPr>
                <w:ilvl w:val="0"/>
                <w:numId w:val="0"/>
              </w:numPr>
              <w:tabs>
                <w:tab w:val="left" w:pos="2552"/>
              </w:tabs>
              <w:spacing w:before="0"/>
              <w:jc w:val="center"/>
              <w:outlineLvl w:val="9"/>
              <w:cnfStyle w:val="100000000000" w:firstRow="1" w:lastRow="0" w:firstColumn="0" w:lastColumn="0" w:oddVBand="0" w:evenVBand="0" w:oddHBand="0" w:evenHBand="0" w:firstRowFirstColumn="0" w:firstRowLastColumn="0" w:lastRowFirstColumn="0" w:lastRowLastColumn="0"/>
              <w:rPr>
                <w:rFonts w:ascii="Arial" w:hAnsi="Arial" w:cs="Arial"/>
                <w:szCs w:val="24"/>
                <w:lang w:val="es-MX"/>
              </w:rPr>
            </w:pPr>
            <w:r w:rsidRPr="007439DF">
              <w:rPr>
                <w:rFonts w:ascii="Arial" w:hAnsi="Arial" w:cs="Arial"/>
                <w:sz w:val="20"/>
                <w:szCs w:val="24"/>
                <w:lang w:val="es-MX"/>
              </w:rPr>
              <w:t>Plazo para desembolso</w:t>
            </w:r>
          </w:p>
        </w:tc>
      </w:tr>
      <w:tr w:rsidR="002428EE" w14:paraId="59BD794B" w14:textId="77777777" w:rsidTr="000A37CF">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3F5125C" w14:textId="77777777" w:rsidR="002428EE" w:rsidRPr="000A37CF" w:rsidRDefault="002428EE" w:rsidP="001E2FDB">
            <w:pPr>
              <w:pStyle w:val="Paragraph"/>
              <w:numPr>
                <w:ilvl w:val="0"/>
                <w:numId w:val="0"/>
              </w:numPr>
              <w:tabs>
                <w:tab w:val="left" w:pos="2552"/>
              </w:tabs>
              <w:spacing w:before="0"/>
              <w:jc w:val="left"/>
              <w:outlineLvl w:val="9"/>
              <w:rPr>
                <w:rFonts w:ascii="Arial" w:hAnsi="Arial" w:cs="Arial"/>
                <w:b w:val="0"/>
                <w:sz w:val="20"/>
                <w:szCs w:val="24"/>
                <w:lang w:val="es-MX"/>
              </w:rPr>
            </w:pPr>
            <w:r w:rsidRPr="000A37CF">
              <w:rPr>
                <w:rFonts w:ascii="Arial" w:hAnsi="Arial" w:cs="Arial"/>
                <w:sz w:val="20"/>
                <w:szCs w:val="24"/>
                <w:lang w:val="es-MX"/>
              </w:rPr>
              <w:t>3178/OC-ME</w:t>
            </w:r>
          </w:p>
        </w:tc>
        <w:tc>
          <w:tcPr>
            <w:tcW w:w="5387" w:type="dxa"/>
          </w:tcPr>
          <w:p w14:paraId="6BCE05B2" w14:textId="6343BC7A" w:rsidR="002428EE" w:rsidRPr="000A37CF" w:rsidRDefault="00A74FD9" w:rsidP="001E2FDB">
            <w:pPr>
              <w:pStyle w:val="Paragraph"/>
              <w:numPr>
                <w:ilvl w:val="0"/>
                <w:numId w:val="0"/>
              </w:numPr>
              <w:tabs>
                <w:tab w:val="left" w:pos="2552"/>
              </w:tabs>
              <w:spacing w:before="0"/>
              <w:outlineLvl w:val="9"/>
              <w:cnfStyle w:val="000000100000" w:firstRow="0" w:lastRow="0" w:firstColumn="0" w:lastColumn="0" w:oddVBand="0" w:evenVBand="0" w:oddHBand="1" w:evenHBand="0" w:firstRowFirstColumn="0" w:firstRowLastColumn="0" w:lastRowFirstColumn="0" w:lastRowLastColumn="0"/>
              <w:rPr>
                <w:rFonts w:ascii="Arial" w:hAnsi="Arial" w:cs="Arial"/>
                <w:sz w:val="20"/>
                <w:szCs w:val="24"/>
                <w:lang w:val="es-MX"/>
              </w:rPr>
            </w:pPr>
            <w:r>
              <w:rPr>
                <w:rFonts w:ascii="Arial" w:hAnsi="Arial" w:cs="Arial"/>
                <w:sz w:val="20"/>
                <w:szCs w:val="24"/>
                <w:lang w:val="es-MX"/>
              </w:rPr>
              <w:t>8</w:t>
            </w:r>
            <w:r w:rsidR="002428EE" w:rsidRPr="000A37CF">
              <w:rPr>
                <w:rFonts w:ascii="Arial" w:hAnsi="Arial" w:cs="Arial"/>
                <w:sz w:val="20"/>
                <w:szCs w:val="24"/>
                <w:lang w:val="es-MX"/>
              </w:rPr>
              <w:t xml:space="preserve"> años contados a partir de la fecha de entrada en vigencia</w:t>
            </w:r>
          </w:p>
        </w:tc>
      </w:tr>
      <w:tr w:rsidR="002428EE" w14:paraId="5A8DD859" w14:textId="77777777" w:rsidTr="000A37CF">
        <w:trPr>
          <w:trHeight w:val="229"/>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54E3275C" w14:textId="77777777" w:rsidR="002428EE" w:rsidRPr="000A37CF" w:rsidRDefault="002428EE" w:rsidP="001E2FDB">
            <w:pPr>
              <w:pStyle w:val="Paragraph"/>
              <w:numPr>
                <w:ilvl w:val="0"/>
                <w:numId w:val="0"/>
              </w:numPr>
              <w:tabs>
                <w:tab w:val="left" w:pos="2552"/>
              </w:tabs>
              <w:spacing w:before="0"/>
              <w:jc w:val="left"/>
              <w:outlineLvl w:val="9"/>
              <w:rPr>
                <w:rFonts w:ascii="Arial" w:hAnsi="Arial" w:cs="Arial"/>
                <w:b w:val="0"/>
                <w:sz w:val="20"/>
                <w:szCs w:val="24"/>
                <w:lang w:val="es-MX"/>
              </w:rPr>
            </w:pPr>
            <w:r w:rsidRPr="000A37CF">
              <w:rPr>
                <w:rFonts w:ascii="Arial" w:hAnsi="Arial" w:cs="Arial"/>
                <w:sz w:val="20"/>
                <w:szCs w:val="24"/>
                <w:lang w:val="es-MX"/>
              </w:rPr>
              <w:t xml:space="preserve">GRT-TC-14424-ME </w:t>
            </w:r>
          </w:p>
        </w:tc>
        <w:tc>
          <w:tcPr>
            <w:tcW w:w="5387" w:type="dxa"/>
          </w:tcPr>
          <w:p w14:paraId="2969CA97" w14:textId="38A279C6" w:rsidR="002428EE" w:rsidRPr="000A37CF" w:rsidRDefault="00A74FD9" w:rsidP="001E2FDB">
            <w:pPr>
              <w:pStyle w:val="Paragraph"/>
              <w:numPr>
                <w:ilvl w:val="0"/>
                <w:numId w:val="0"/>
              </w:numPr>
              <w:tabs>
                <w:tab w:val="left" w:pos="2552"/>
              </w:tabs>
              <w:spacing w:before="0"/>
              <w:outlineLvl w:val="9"/>
              <w:cnfStyle w:val="000000000000" w:firstRow="0" w:lastRow="0" w:firstColumn="0" w:lastColumn="0" w:oddVBand="0" w:evenVBand="0" w:oddHBand="0" w:evenHBand="0" w:firstRowFirstColumn="0" w:firstRowLastColumn="0" w:lastRowFirstColumn="0" w:lastRowLastColumn="0"/>
              <w:rPr>
                <w:rFonts w:ascii="Arial" w:hAnsi="Arial" w:cs="Arial"/>
                <w:sz w:val="20"/>
                <w:szCs w:val="24"/>
                <w:lang w:val="es-MX"/>
              </w:rPr>
            </w:pPr>
            <w:r>
              <w:rPr>
                <w:rFonts w:ascii="Arial" w:hAnsi="Arial" w:cs="Arial"/>
                <w:sz w:val="20"/>
                <w:szCs w:val="24"/>
                <w:lang w:val="es-MX"/>
              </w:rPr>
              <w:t>5</w:t>
            </w:r>
            <w:r w:rsidR="002428EE" w:rsidRPr="000A37CF">
              <w:rPr>
                <w:rFonts w:ascii="Arial" w:hAnsi="Arial" w:cs="Arial"/>
                <w:sz w:val="20"/>
                <w:szCs w:val="24"/>
                <w:lang w:val="es-MX"/>
              </w:rPr>
              <w:t xml:space="preserve"> años contados a partir de la fecha de vigencia de este convenio</w:t>
            </w:r>
          </w:p>
        </w:tc>
      </w:tr>
    </w:tbl>
    <w:p w14:paraId="0EB1B1D7" w14:textId="77777777" w:rsidR="002428EE" w:rsidRDefault="002428EE" w:rsidP="001E2FDB">
      <w:pPr>
        <w:pStyle w:val="Paragraph"/>
        <w:numPr>
          <w:ilvl w:val="0"/>
          <w:numId w:val="0"/>
        </w:numPr>
        <w:tabs>
          <w:tab w:val="left" w:pos="2552"/>
        </w:tabs>
        <w:spacing w:before="0"/>
        <w:ind w:left="1368"/>
        <w:outlineLvl w:val="9"/>
        <w:rPr>
          <w:rFonts w:ascii="Arial" w:hAnsi="Arial" w:cs="Arial"/>
          <w:szCs w:val="24"/>
          <w:lang w:val="es-MX"/>
        </w:rPr>
      </w:pPr>
    </w:p>
    <w:p w14:paraId="520040F9" w14:textId="77777777" w:rsidR="002428EE" w:rsidRDefault="002428EE" w:rsidP="004E48A5">
      <w:pPr>
        <w:pStyle w:val="Paragraph"/>
        <w:numPr>
          <w:ilvl w:val="0"/>
          <w:numId w:val="0"/>
        </w:numPr>
        <w:tabs>
          <w:tab w:val="left" w:pos="2552"/>
        </w:tabs>
        <w:ind w:left="1368"/>
        <w:outlineLvl w:val="9"/>
        <w:rPr>
          <w:rFonts w:ascii="Arial" w:hAnsi="Arial" w:cs="Arial"/>
          <w:szCs w:val="24"/>
          <w:lang w:val="es-MX"/>
        </w:rPr>
      </w:pPr>
    </w:p>
    <w:p w14:paraId="6EC96F50" w14:textId="77777777" w:rsidR="002428EE" w:rsidRDefault="002428EE" w:rsidP="004E48A5">
      <w:pPr>
        <w:pStyle w:val="Paragraph"/>
        <w:numPr>
          <w:ilvl w:val="0"/>
          <w:numId w:val="0"/>
        </w:numPr>
        <w:tabs>
          <w:tab w:val="left" w:pos="2552"/>
        </w:tabs>
        <w:ind w:left="1368"/>
        <w:outlineLvl w:val="9"/>
        <w:rPr>
          <w:rFonts w:ascii="Arial" w:hAnsi="Arial" w:cs="Arial"/>
          <w:szCs w:val="24"/>
          <w:lang w:val="es-MX"/>
        </w:rPr>
      </w:pPr>
    </w:p>
    <w:p w14:paraId="40C04E9E" w14:textId="77777777" w:rsidR="00F550A8" w:rsidRDefault="00F550A8" w:rsidP="004E48A5">
      <w:pPr>
        <w:pStyle w:val="Paragraph"/>
        <w:numPr>
          <w:ilvl w:val="0"/>
          <w:numId w:val="0"/>
        </w:numPr>
        <w:tabs>
          <w:tab w:val="left" w:pos="2552"/>
        </w:tabs>
        <w:ind w:left="1368"/>
        <w:outlineLvl w:val="9"/>
        <w:rPr>
          <w:rFonts w:ascii="Arial" w:hAnsi="Arial" w:cs="Arial"/>
          <w:szCs w:val="24"/>
          <w:lang w:val="es-MX"/>
        </w:rPr>
      </w:pPr>
      <w:bookmarkStart w:id="175" w:name="_Toc321244979"/>
      <w:bookmarkEnd w:id="174"/>
    </w:p>
    <w:p w14:paraId="2C94D54C" w14:textId="77777777" w:rsidR="00F550A8" w:rsidRDefault="00F550A8" w:rsidP="004E48A5">
      <w:pPr>
        <w:pStyle w:val="Paragraph"/>
        <w:numPr>
          <w:ilvl w:val="0"/>
          <w:numId w:val="0"/>
        </w:numPr>
        <w:tabs>
          <w:tab w:val="left" w:pos="2552"/>
        </w:tabs>
        <w:ind w:left="1368"/>
        <w:outlineLvl w:val="9"/>
        <w:rPr>
          <w:rFonts w:ascii="Arial" w:hAnsi="Arial" w:cs="Arial"/>
          <w:szCs w:val="24"/>
          <w:lang w:val="es-MX"/>
        </w:rPr>
      </w:pPr>
    </w:p>
    <w:p w14:paraId="64C78C8A" w14:textId="77777777" w:rsidR="00F550A8" w:rsidRDefault="00F550A8" w:rsidP="004E48A5">
      <w:pPr>
        <w:pStyle w:val="Paragraph"/>
        <w:numPr>
          <w:ilvl w:val="0"/>
          <w:numId w:val="0"/>
        </w:numPr>
        <w:tabs>
          <w:tab w:val="left" w:pos="2552"/>
        </w:tabs>
        <w:ind w:left="1368"/>
        <w:outlineLvl w:val="9"/>
        <w:rPr>
          <w:rFonts w:ascii="Arial" w:hAnsi="Arial" w:cs="Arial"/>
          <w:szCs w:val="24"/>
          <w:lang w:val="es-MX"/>
        </w:rPr>
      </w:pPr>
    </w:p>
    <w:p w14:paraId="5667725B" w14:textId="77777777" w:rsidR="00395F74" w:rsidRPr="00437672" w:rsidRDefault="008620B5" w:rsidP="00EC08C2">
      <w:pPr>
        <w:pStyle w:val="Paragraph"/>
        <w:numPr>
          <w:ilvl w:val="0"/>
          <w:numId w:val="0"/>
        </w:numPr>
        <w:tabs>
          <w:tab w:val="left" w:pos="2552"/>
        </w:tabs>
        <w:ind w:left="709"/>
        <w:outlineLvl w:val="9"/>
        <w:rPr>
          <w:rFonts w:ascii="Arial" w:hAnsi="Arial" w:cs="Arial"/>
          <w:szCs w:val="24"/>
          <w:lang w:val="es-MX"/>
        </w:rPr>
      </w:pPr>
      <w:r w:rsidRPr="00437672">
        <w:rPr>
          <w:rFonts w:ascii="Arial" w:hAnsi="Arial" w:cs="Arial"/>
          <w:szCs w:val="24"/>
          <w:lang w:val="es-MX"/>
        </w:rPr>
        <w:t xml:space="preserve">NAFIN deberá: (a) presentar a la satisfacción del Banco, dentro del plazo de </w:t>
      </w:r>
      <w:r w:rsidR="00532D11" w:rsidRPr="00437672">
        <w:rPr>
          <w:rFonts w:ascii="Arial" w:hAnsi="Arial" w:cs="Arial"/>
          <w:szCs w:val="24"/>
          <w:lang w:val="es-MX"/>
        </w:rPr>
        <w:t xml:space="preserve">treinta </w:t>
      </w:r>
      <w:r w:rsidRPr="00437672">
        <w:rPr>
          <w:rFonts w:ascii="Arial" w:hAnsi="Arial" w:cs="Arial"/>
          <w:szCs w:val="24"/>
          <w:lang w:val="es-MX"/>
        </w:rPr>
        <w:t>(</w:t>
      </w:r>
      <w:r w:rsidR="00532D11" w:rsidRPr="00437672">
        <w:rPr>
          <w:rFonts w:ascii="Arial" w:hAnsi="Arial" w:cs="Arial"/>
          <w:szCs w:val="24"/>
          <w:lang w:val="es-MX"/>
        </w:rPr>
        <w:t>3</w:t>
      </w:r>
      <w:r w:rsidRPr="00437672">
        <w:rPr>
          <w:rFonts w:ascii="Arial" w:hAnsi="Arial" w:cs="Arial"/>
          <w:szCs w:val="24"/>
          <w:lang w:val="es-MX"/>
        </w:rPr>
        <w:t xml:space="preserve">0) días </w:t>
      </w:r>
      <w:r w:rsidR="00532D11" w:rsidRPr="00437672">
        <w:rPr>
          <w:rFonts w:ascii="Arial" w:hAnsi="Arial" w:cs="Arial"/>
          <w:szCs w:val="24"/>
          <w:lang w:val="es-MX"/>
        </w:rPr>
        <w:t>previos a</w:t>
      </w:r>
      <w:r w:rsidRPr="00437672">
        <w:rPr>
          <w:rFonts w:ascii="Arial" w:hAnsi="Arial" w:cs="Arial"/>
          <w:szCs w:val="24"/>
          <w:lang w:val="es-MX"/>
        </w:rPr>
        <w:t xml:space="preserve"> la fecha estipulada para el último desembolso del Financiamiento, la documentación de respaldo de los gastos efectuados con cargo al </w:t>
      </w:r>
      <w:r w:rsidR="00743CAA" w:rsidRPr="00437672">
        <w:rPr>
          <w:rFonts w:ascii="Arial" w:hAnsi="Arial" w:cs="Arial"/>
          <w:szCs w:val="24"/>
          <w:lang w:val="es-MX"/>
        </w:rPr>
        <w:t>PFTRG</w:t>
      </w:r>
      <w:r w:rsidRPr="00437672">
        <w:rPr>
          <w:rFonts w:ascii="Arial" w:hAnsi="Arial" w:cs="Arial"/>
          <w:szCs w:val="24"/>
          <w:lang w:val="es-MX"/>
        </w:rPr>
        <w:t xml:space="preserve"> y demás información que el Banco hubiera solicitado</w:t>
      </w:r>
      <w:r w:rsidR="00321195">
        <w:rPr>
          <w:rFonts w:ascii="Arial" w:hAnsi="Arial" w:cs="Arial"/>
          <w:szCs w:val="24"/>
          <w:lang w:val="es-MX"/>
        </w:rPr>
        <w:t>;</w:t>
      </w:r>
      <w:r w:rsidRPr="00437672">
        <w:rPr>
          <w:rFonts w:ascii="Arial" w:hAnsi="Arial" w:cs="Arial"/>
          <w:szCs w:val="24"/>
          <w:lang w:val="es-MX"/>
        </w:rPr>
        <w:t xml:space="preserve"> y (b) devolver al Banco, a más tardar el </w:t>
      </w:r>
      <w:r w:rsidR="00104042" w:rsidRPr="00437672">
        <w:rPr>
          <w:rFonts w:ascii="Arial" w:hAnsi="Arial" w:cs="Arial"/>
          <w:szCs w:val="24"/>
          <w:lang w:val="es-MX"/>
        </w:rPr>
        <w:t>último día de v</w:t>
      </w:r>
      <w:r w:rsidRPr="00437672">
        <w:rPr>
          <w:rFonts w:ascii="Arial" w:hAnsi="Arial" w:cs="Arial"/>
          <w:szCs w:val="24"/>
          <w:lang w:val="es-MX"/>
        </w:rPr>
        <w:t>e</w:t>
      </w:r>
      <w:r w:rsidR="00104042" w:rsidRPr="00437672">
        <w:rPr>
          <w:rFonts w:ascii="Arial" w:hAnsi="Arial" w:cs="Arial"/>
          <w:szCs w:val="24"/>
          <w:lang w:val="es-MX"/>
        </w:rPr>
        <w:t>n</w:t>
      </w:r>
      <w:r w:rsidRPr="00437672">
        <w:rPr>
          <w:rFonts w:ascii="Arial" w:hAnsi="Arial" w:cs="Arial"/>
          <w:szCs w:val="24"/>
          <w:lang w:val="es-MX"/>
        </w:rPr>
        <w:t>cimiento del período de cierre, el saldo sin justificar de los recursos desembolsados</w:t>
      </w:r>
      <w:r w:rsidR="002C43C5" w:rsidRPr="00437672">
        <w:rPr>
          <w:rFonts w:ascii="Arial" w:hAnsi="Arial" w:cs="Arial"/>
          <w:szCs w:val="24"/>
          <w:lang w:val="es-MX"/>
        </w:rPr>
        <w:t xml:space="preserve"> del Financiamiento.</w:t>
      </w:r>
      <w:bookmarkEnd w:id="175"/>
      <w:r w:rsidR="00395F74" w:rsidRPr="00437672">
        <w:rPr>
          <w:rFonts w:ascii="Arial" w:hAnsi="Arial" w:cs="Arial"/>
          <w:szCs w:val="24"/>
          <w:lang w:val="es-MX"/>
        </w:rPr>
        <w:t xml:space="preserve">  </w:t>
      </w:r>
    </w:p>
    <w:p w14:paraId="599B004C" w14:textId="77777777" w:rsidR="008620B5" w:rsidRPr="00437672" w:rsidRDefault="00395F74" w:rsidP="00EC08C2">
      <w:pPr>
        <w:pStyle w:val="Paragraph"/>
        <w:numPr>
          <w:ilvl w:val="0"/>
          <w:numId w:val="0"/>
        </w:numPr>
        <w:tabs>
          <w:tab w:val="left" w:pos="2552"/>
        </w:tabs>
        <w:ind w:left="709"/>
        <w:outlineLvl w:val="9"/>
        <w:rPr>
          <w:rFonts w:ascii="Arial" w:hAnsi="Arial" w:cs="Arial"/>
          <w:szCs w:val="24"/>
          <w:lang w:val="es-MX"/>
        </w:rPr>
      </w:pPr>
      <w:r w:rsidRPr="00437672">
        <w:rPr>
          <w:rFonts w:ascii="Arial" w:hAnsi="Arial" w:cs="Arial"/>
          <w:szCs w:val="24"/>
          <w:lang w:val="es-MX"/>
        </w:rPr>
        <w:t>NAFIN podrá solicitar anticipo de recursos al BID por un flujo de caja no mayor a 180 días y por lo tanto dichos anticipos deberán ser justificados al BID en este plazo</w:t>
      </w:r>
      <w:r w:rsidR="007C2E91" w:rsidRPr="00437672">
        <w:rPr>
          <w:rFonts w:ascii="Arial" w:hAnsi="Arial" w:cs="Arial"/>
          <w:szCs w:val="24"/>
          <w:lang w:val="es-MX"/>
        </w:rPr>
        <w:t xml:space="preserve">, pudiendo </w:t>
      </w:r>
      <w:r w:rsidR="00780A90" w:rsidRPr="00437672">
        <w:rPr>
          <w:rFonts w:ascii="Arial" w:hAnsi="Arial" w:cs="Arial"/>
          <w:szCs w:val="24"/>
          <w:lang w:val="es-MX"/>
        </w:rPr>
        <w:t>solicitar</w:t>
      </w:r>
      <w:r w:rsidR="007C2E91" w:rsidRPr="00437672">
        <w:rPr>
          <w:rFonts w:ascii="Arial" w:hAnsi="Arial" w:cs="Arial"/>
          <w:szCs w:val="24"/>
          <w:lang w:val="es-MX"/>
        </w:rPr>
        <w:t xml:space="preserve"> al BID la extensión del mismo</w:t>
      </w:r>
      <w:r w:rsidRPr="00437672">
        <w:rPr>
          <w:rFonts w:ascii="Arial" w:hAnsi="Arial" w:cs="Arial"/>
          <w:szCs w:val="24"/>
          <w:lang w:val="es-MX"/>
        </w:rPr>
        <w:t xml:space="preserve">. </w:t>
      </w:r>
    </w:p>
    <w:p w14:paraId="2A674B63" w14:textId="77777777" w:rsidR="00292D1F" w:rsidRDefault="00D43B20" w:rsidP="00EC08C2">
      <w:pPr>
        <w:pStyle w:val="Paragraph"/>
        <w:numPr>
          <w:ilvl w:val="0"/>
          <w:numId w:val="0"/>
        </w:numPr>
        <w:tabs>
          <w:tab w:val="left" w:pos="2552"/>
        </w:tabs>
        <w:ind w:left="709"/>
        <w:outlineLvl w:val="9"/>
        <w:rPr>
          <w:rFonts w:ascii="Arial" w:hAnsi="Arial" w:cs="Arial"/>
          <w:szCs w:val="24"/>
          <w:lang w:val="es-MX"/>
        </w:rPr>
      </w:pPr>
      <w:r w:rsidRPr="00437672">
        <w:rPr>
          <w:rFonts w:ascii="Arial" w:hAnsi="Arial" w:cs="Arial"/>
          <w:szCs w:val="24"/>
          <w:lang w:val="es-MX"/>
        </w:rPr>
        <w:t>En el caso de que los servicios de auditoría se financien con cargo a los recursos del Financiamiento y de que dichos servicios no se terminen y paguen antes de la fecha de último desembolso el contrato con el auditor deberá contemplar el pago directo con cargo a la contrapartida o recursos propios de NAFIN.  Lo anterior será previamente acordado con el Banco. El pago final al auditor se realizará una vez que el BID haya dado el cumplimiento al requisito contractual de presentar los estados financieros y demás informes requeridos contractualmente.</w:t>
      </w:r>
    </w:p>
    <w:p w14:paraId="57C3DE65" w14:textId="77777777" w:rsidR="00292D1F" w:rsidRDefault="00292D1F">
      <w:pPr>
        <w:rPr>
          <w:rFonts w:ascii="Arial" w:hAnsi="Arial" w:cs="Arial"/>
          <w:sz w:val="24"/>
          <w:szCs w:val="24"/>
        </w:rPr>
      </w:pPr>
      <w:r>
        <w:rPr>
          <w:rFonts w:ascii="Arial" w:hAnsi="Arial" w:cs="Arial"/>
          <w:szCs w:val="24"/>
        </w:rPr>
        <w:br w:type="page"/>
      </w:r>
    </w:p>
    <w:p w14:paraId="1037A2D5" w14:textId="77777777" w:rsidR="00EE5D78" w:rsidRPr="0031636D" w:rsidRDefault="00EE5D78" w:rsidP="000A37CF">
      <w:pPr>
        <w:pStyle w:val="Chapter"/>
        <w:tabs>
          <w:tab w:val="clear" w:pos="1440"/>
          <w:tab w:val="clear" w:pos="3054"/>
          <w:tab w:val="left" w:pos="720"/>
        </w:tabs>
        <w:ind w:left="0" w:firstLine="0"/>
        <w:jc w:val="left"/>
        <w:rPr>
          <w:rFonts w:ascii="Arial" w:hAnsi="Arial" w:cs="Arial"/>
          <w:sz w:val="32"/>
          <w:szCs w:val="32"/>
        </w:rPr>
      </w:pPr>
      <w:bookmarkStart w:id="176" w:name="_Toc198027195"/>
      <w:bookmarkStart w:id="177" w:name="_Toc198025801"/>
      <w:bookmarkStart w:id="178" w:name="_Toc198027197"/>
      <w:bookmarkStart w:id="179" w:name="_Toc321244981"/>
      <w:bookmarkStart w:id="180" w:name="_Toc450149575"/>
      <w:bookmarkStart w:id="181" w:name="_Toc197782562"/>
      <w:bookmarkStart w:id="182" w:name="_Toc198025802"/>
      <w:bookmarkStart w:id="183" w:name="_Toc205191271"/>
      <w:bookmarkStart w:id="184" w:name="_Toc207082516"/>
      <w:bookmarkStart w:id="185" w:name="_Toc207082549"/>
      <w:bookmarkStart w:id="186" w:name="_Toc240434730"/>
      <w:bookmarkEnd w:id="176"/>
      <w:bookmarkEnd w:id="177"/>
      <w:bookmarkEnd w:id="178"/>
      <w:r w:rsidRPr="0031636D">
        <w:rPr>
          <w:rFonts w:ascii="Arial" w:hAnsi="Arial" w:cs="Arial"/>
          <w:sz w:val="32"/>
          <w:szCs w:val="32"/>
        </w:rPr>
        <w:lastRenderedPageBreak/>
        <w:t>Supervisión,</w:t>
      </w:r>
      <w:r w:rsidR="00E0439F" w:rsidRPr="0031636D">
        <w:rPr>
          <w:rFonts w:ascii="Arial" w:hAnsi="Arial" w:cs="Arial"/>
          <w:sz w:val="32"/>
          <w:szCs w:val="32"/>
        </w:rPr>
        <w:t xml:space="preserve"> </w:t>
      </w:r>
      <w:r w:rsidRPr="0031636D">
        <w:rPr>
          <w:rFonts w:ascii="Arial" w:hAnsi="Arial" w:cs="Arial"/>
          <w:sz w:val="32"/>
          <w:szCs w:val="32"/>
        </w:rPr>
        <w:t>Control e Informes</w:t>
      </w:r>
      <w:bookmarkEnd w:id="179"/>
      <w:bookmarkEnd w:id="180"/>
    </w:p>
    <w:p w14:paraId="416E8C90" w14:textId="77777777" w:rsidR="00124D43" w:rsidRDefault="00EE5D78" w:rsidP="009067BA">
      <w:pPr>
        <w:pStyle w:val="Paragraph"/>
        <w:numPr>
          <w:ilvl w:val="0"/>
          <w:numId w:val="31"/>
        </w:numPr>
        <w:tabs>
          <w:tab w:val="left" w:pos="426"/>
        </w:tabs>
        <w:ind w:left="426" w:hanging="568"/>
        <w:outlineLvl w:val="9"/>
        <w:rPr>
          <w:rFonts w:ascii="Arial" w:hAnsi="Arial" w:cs="Arial"/>
          <w:szCs w:val="24"/>
          <w:lang w:val="es-MX"/>
        </w:rPr>
      </w:pPr>
      <w:bookmarkStart w:id="187" w:name="_Toc321244982"/>
      <w:r w:rsidRPr="00437672">
        <w:rPr>
          <w:rFonts w:ascii="Arial" w:hAnsi="Arial" w:cs="Arial"/>
          <w:szCs w:val="24"/>
          <w:lang w:val="es-MX"/>
        </w:rPr>
        <w:t xml:space="preserve">El Banco en acuerdo previo con NAFIN, podrá inspeccionar el estado de ejecución del </w:t>
      </w:r>
      <w:r w:rsidR="00743CAA" w:rsidRPr="00437672">
        <w:rPr>
          <w:rFonts w:ascii="Arial" w:hAnsi="Arial" w:cs="Arial"/>
          <w:szCs w:val="24"/>
          <w:lang w:val="es-MX"/>
        </w:rPr>
        <w:t>PFTRG</w:t>
      </w:r>
      <w:r w:rsidRPr="00437672">
        <w:rPr>
          <w:rFonts w:ascii="Arial" w:hAnsi="Arial" w:cs="Arial"/>
          <w:szCs w:val="24"/>
          <w:lang w:val="es-MX"/>
        </w:rPr>
        <w:t>.</w:t>
      </w:r>
      <w:bookmarkEnd w:id="187"/>
      <w:r w:rsidRPr="00437672">
        <w:rPr>
          <w:rFonts w:ascii="Arial" w:hAnsi="Arial" w:cs="Arial"/>
          <w:szCs w:val="24"/>
          <w:lang w:val="es-MX"/>
        </w:rPr>
        <w:t xml:space="preserve"> </w:t>
      </w:r>
      <w:bookmarkStart w:id="188" w:name="_Toc321244983"/>
    </w:p>
    <w:p w14:paraId="49133938" w14:textId="77777777" w:rsidR="00124D43" w:rsidRDefault="00EE5D78" w:rsidP="009067BA">
      <w:pPr>
        <w:pStyle w:val="Paragraph"/>
        <w:numPr>
          <w:ilvl w:val="0"/>
          <w:numId w:val="31"/>
        </w:numPr>
        <w:tabs>
          <w:tab w:val="left" w:pos="284"/>
        </w:tabs>
        <w:ind w:left="426" w:hanging="568"/>
        <w:outlineLvl w:val="9"/>
        <w:rPr>
          <w:rFonts w:ascii="Arial" w:hAnsi="Arial" w:cs="Arial"/>
          <w:szCs w:val="24"/>
          <w:lang w:val="es-MX"/>
        </w:rPr>
      </w:pPr>
      <w:r w:rsidRPr="00437672">
        <w:rPr>
          <w:rFonts w:ascii="Arial" w:hAnsi="Arial" w:cs="Arial"/>
          <w:szCs w:val="24"/>
          <w:lang w:val="es-MX"/>
        </w:rPr>
        <w:t xml:space="preserve">NAFIN preparará y presentará para la implementación del </w:t>
      </w:r>
      <w:r w:rsidR="00743CAA" w:rsidRPr="00437672">
        <w:rPr>
          <w:rFonts w:ascii="Arial" w:hAnsi="Arial" w:cs="Arial"/>
          <w:szCs w:val="24"/>
          <w:lang w:val="es-MX"/>
        </w:rPr>
        <w:t>PFTRG</w:t>
      </w:r>
      <w:r w:rsidRPr="00437672">
        <w:rPr>
          <w:rFonts w:ascii="Arial" w:hAnsi="Arial" w:cs="Arial"/>
          <w:szCs w:val="24"/>
          <w:lang w:val="es-MX"/>
        </w:rPr>
        <w:t>, Planes de Ejecución</w:t>
      </w:r>
      <w:r w:rsidR="003625C9">
        <w:rPr>
          <w:rFonts w:ascii="Arial" w:hAnsi="Arial" w:cs="Arial"/>
          <w:szCs w:val="24"/>
          <w:lang w:val="es-MX"/>
        </w:rPr>
        <w:t xml:space="preserve"> Plurianuales (PEP)</w:t>
      </w:r>
      <w:r w:rsidRPr="00437672">
        <w:rPr>
          <w:rFonts w:ascii="Arial" w:hAnsi="Arial" w:cs="Arial"/>
          <w:szCs w:val="24"/>
          <w:lang w:val="es-MX"/>
        </w:rPr>
        <w:t xml:space="preserve"> del </w:t>
      </w:r>
      <w:r w:rsidR="00743CAA" w:rsidRPr="00437672">
        <w:rPr>
          <w:rFonts w:ascii="Arial" w:hAnsi="Arial" w:cs="Arial"/>
          <w:szCs w:val="24"/>
          <w:lang w:val="es-MX"/>
        </w:rPr>
        <w:t>PFTRG</w:t>
      </w:r>
      <w:r w:rsidR="00BD4503" w:rsidRPr="00437672">
        <w:rPr>
          <w:rFonts w:ascii="Arial" w:hAnsi="Arial" w:cs="Arial"/>
          <w:szCs w:val="24"/>
          <w:lang w:val="es-MX"/>
        </w:rPr>
        <w:t>,</w:t>
      </w:r>
      <w:r w:rsidRPr="00437672">
        <w:rPr>
          <w:rFonts w:ascii="Arial" w:hAnsi="Arial" w:cs="Arial"/>
          <w:szCs w:val="24"/>
          <w:lang w:val="es-MX"/>
        </w:rPr>
        <w:t xml:space="preserve"> a más tardar el </w:t>
      </w:r>
      <w:r w:rsidR="00FA2FC4" w:rsidRPr="00437672">
        <w:rPr>
          <w:rFonts w:ascii="Arial" w:hAnsi="Arial" w:cs="Arial"/>
          <w:szCs w:val="24"/>
          <w:lang w:val="es-MX"/>
        </w:rPr>
        <w:t xml:space="preserve">día </w:t>
      </w:r>
      <w:r w:rsidRPr="00437672">
        <w:rPr>
          <w:rFonts w:ascii="Arial" w:hAnsi="Arial" w:cs="Arial"/>
          <w:szCs w:val="24"/>
          <w:lang w:val="es-MX"/>
        </w:rPr>
        <w:t xml:space="preserve">31 de enero de cada año calendario. Los PEP deberán incluir, como mínimo, información relacionada con las actividades y proyectos a ser financiados durante el año calendario siguiente, incluyendo el correspondiente cronograma y el presupuesto estimado. El PEP correspondiente al primer año de ejecución del </w:t>
      </w:r>
      <w:r w:rsidR="00743CAA" w:rsidRPr="00437672">
        <w:rPr>
          <w:rFonts w:ascii="Arial" w:hAnsi="Arial" w:cs="Arial"/>
          <w:szCs w:val="24"/>
          <w:lang w:val="es-MX"/>
        </w:rPr>
        <w:t>PFTRG</w:t>
      </w:r>
      <w:r w:rsidRPr="00437672">
        <w:rPr>
          <w:rFonts w:ascii="Arial" w:hAnsi="Arial" w:cs="Arial"/>
          <w:szCs w:val="24"/>
          <w:lang w:val="es-MX"/>
        </w:rPr>
        <w:t>, será presentado por</w:t>
      </w:r>
      <w:r w:rsidR="00776F84" w:rsidRPr="00437672">
        <w:rPr>
          <w:rFonts w:ascii="Arial" w:hAnsi="Arial" w:cs="Arial"/>
          <w:szCs w:val="24"/>
          <w:lang w:val="es-MX"/>
        </w:rPr>
        <w:t xml:space="preserve"> NAFIN</w:t>
      </w:r>
      <w:r w:rsidRPr="00437672">
        <w:rPr>
          <w:rFonts w:ascii="Arial" w:hAnsi="Arial" w:cs="Arial"/>
          <w:szCs w:val="24"/>
          <w:lang w:val="es-MX"/>
        </w:rPr>
        <w:t xml:space="preserve">, con ocasión del informe inicial del </w:t>
      </w:r>
      <w:r w:rsidR="00743CAA" w:rsidRPr="00437672">
        <w:rPr>
          <w:rFonts w:ascii="Arial" w:hAnsi="Arial" w:cs="Arial"/>
          <w:szCs w:val="24"/>
          <w:lang w:val="es-MX"/>
        </w:rPr>
        <w:t>PFTRG</w:t>
      </w:r>
      <w:r w:rsidRPr="00437672">
        <w:rPr>
          <w:rFonts w:ascii="Arial" w:hAnsi="Arial" w:cs="Arial"/>
          <w:szCs w:val="24"/>
          <w:lang w:val="es-MX"/>
        </w:rPr>
        <w:t>.</w:t>
      </w:r>
      <w:bookmarkEnd w:id="188"/>
      <w:r w:rsidRPr="00437672">
        <w:rPr>
          <w:rFonts w:ascii="Arial" w:hAnsi="Arial" w:cs="Arial"/>
          <w:szCs w:val="24"/>
          <w:lang w:val="es-MX"/>
        </w:rPr>
        <w:t xml:space="preserve"> </w:t>
      </w:r>
      <w:bookmarkStart w:id="189" w:name="_Toc321244984"/>
    </w:p>
    <w:p w14:paraId="0186E912" w14:textId="77777777" w:rsidR="00EE5D78" w:rsidRPr="00437672" w:rsidRDefault="00EE5D78" w:rsidP="009067BA">
      <w:pPr>
        <w:pStyle w:val="Paragraph"/>
        <w:numPr>
          <w:ilvl w:val="0"/>
          <w:numId w:val="31"/>
        </w:numPr>
        <w:tabs>
          <w:tab w:val="left" w:pos="284"/>
        </w:tabs>
        <w:ind w:left="426" w:hanging="568"/>
        <w:outlineLvl w:val="9"/>
        <w:rPr>
          <w:rFonts w:ascii="Arial" w:hAnsi="Arial" w:cs="Arial"/>
          <w:szCs w:val="24"/>
          <w:lang w:val="es-MX"/>
        </w:rPr>
      </w:pPr>
      <w:r w:rsidRPr="00437672">
        <w:rPr>
          <w:rFonts w:ascii="Arial" w:hAnsi="Arial" w:cs="Arial"/>
          <w:szCs w:val="24"/>
          <w:lang w:val="es-MX"/>
        </w:rPr>
        <w:t>NAFIN reportará al Banco</w:t>
      </w:r>
      <w:r w:rsidR="00CA6D60" w:rsidRPr="00437672">
        <w:rPr>
          <w:rFonts w:ascii="Arial" w:hAnsi="Arial" w:cs="Arial"/>
          <w:szCs w:val="24"/>
          <w:lang w:val="es-MX"/>
        </w:rPr>
        <w:t>,</w:t>
      </w:r>
      <w:r w:rsidRPr="00437672">
        <w:rPr>
          <w:rFonts w:ascii="Arial" w:hAnsi="Arial" w:cs="Arial"/>
          <w:szCs w:val="24"/>
          <w:lang w:val="es-MX"/>
        </w:rPr>
        <w:t xml:space="preserve"> a través de Informes Semestrales</w:t>
      </w:r>
      <w:r w:rsidR="00CA6D60" w:rsidRPr="00437672">
        <w:rPr>
          <w:rFonts w:ascii="Arial" w:hAnsi="Arial" w:cs="Arial"/>
          <w:szCs w:val="24"/>
          <w:lang w:val="es-MX"/>
        </w:rPr>
        <w:t>,</w:t>
      </w:r>
      <w:r w:rsidRPr="00437672">
        <w:rPr>
          <w:rFonts w:ascii="Arial" w:hAnsi="Arial" w:cs="Arial"/>
          <w:szCs w:val="24"/>
          <w:lang w:val="es-MX"/>
        </w:rPr>
        <w:t xml:space="preserve"> la evolución de las metas y los indicadores acordados con el Banco </w:t>
      </w:r>
      <w:r w:rsidR="00D122FC" w:rsidRPr="00437672">
        <w:rPr>
          <w:rFonts w:ascii="Arial" w:hAnsi="Arial" w:cs="Arial"/>
          <w:szCs w:val="24"/>
          <w:lang w:val="es-MX"/>
        </w:rPr>
        <w:t xml:space="preserve">y en particular los contenidos en la </w:t>
      </w:r>
      <w:r w:rsidRPr="00437672">
        <w:rPr>
          <w:rFonts w:ascii="Arial" w:hAnsi="Arial" w:cs="Arial"/>
          <w:szCs w:val="24"/>
          <w:lang w:val="es-MX"/>
        </w:rPr>
        <w:t xml:space="preserve">Matriz de Resultados del </w:t>
      </w:r>
      <w:r w:rsidR="00743CAA" w:rsidRPr="00437672">
        <w:rPr>
          <w:rFonts w:ascii="Arial" w:hAnsi="Arial" w:cs="Arial"/>
          <w:szCs w:val="24"/>
          <w:lang w:val="es-MX"/>
        </w:rPr>
        <w:t>PFTRG</w:t>
      </w:r>
      <w:r w:rsidR="00AB0988" w:rsidRPr="00437672">
        <w:rPr>
          <w:rFonts w:ascii="Arial" w:hAnsi="Arial" w:cs="Arial"/>
          <w:szCs w:val="24"/>
          <w:lang w:val="es-MX"/>
        </w:rPr>
        <w:t xml:space="preserve"> (</w:t>
      </w:r>
      <w:hyperlink w:anchor="_Anexo_F" w:history="1">
        <w:r w:rsidR="00AB0988" w:rsidRPr="00124D43">
          <w:rPr>
            <w:rFonts w:ascii="Arial" w:hAnsi="Arial" w:cs="Arial"/>
            <w:szCs w:val="24"/>
            <w:lang w:val="es-MX"/>
          </w:rPr>
          <w:t xml:space="preserve">Anexo </w:t>
        </w:r>
      </w:hyperlink>
      <w:r w:rsidR="00AD65AE" w:rsidRPr="00124D43">
        <w:rPr>
          <w:rFonts w:ascii="Arial" w:hAnsi="Arial" w:cs="Arial"/>
          <w:szCs w:val="24"/>
          <w:lang w:val="es-MX"/>
        </w:rPr>
        <w:t>E</w:t>
      </w:r>
      <w:r w:rsidR="00AB0988" w:rsidRPr="00437672">
        <w:rPr>
          <w:rFonts w:ascii="Arial" w:hAnsi="Arial" w:cs="Arial"/>
          <w:szCs w:val="24"/>
          <w:lang w:val="es-MX"/>
        </w:rPr>
        <w:t>)</w:t>
      </w:r>
      <w:r w:rsidRPr="00437672">
        <w:rPr>
          <w:rFonts w:ascii="Arial" w:hAnsi="Arial" w:cs="Arial"/>
          <w:szCs w:val="24"/>
          <w:lang w:val="es-MX"/>
        </w:rPr>
        <w:t>.</w:t>
      </w:r>
      <w:bookmarkEnd w:id="189"/>
    </w:p>
    <w:p w14:paraId="2FA81535" w14:textId="77777777" w:rsidR="005E102B" w:rsidRPr="00437672" w:rsidRDefault="00EE5D78" w:rsidP="009067BA">
      <w:pPr>
        <w:pStyle w:val="Paragraph"/>
        <w:numPr>
          <w:ilvl w:val="1"/>
          <w:numId w:val="30"/>
        </w:numPr>
        <w:outlineLvl w:val="9"/>
        <w:rPr>
          <w:rFonts w:ascii="Arial" w:hAnsi="Arial" w:cs="Arial"/>
          <w:szCs w:val="24"/>
          <w:lang w:val="es-MX"/>
        </w:rPr>
      </w:pPr>
      <w:bookmarkStart w:id="190" w:name="_Toc321244985"/>
      <w:r w:rsidRPr="00437672">
        <w:rPr>
          <w:rFonts w:ascii="Arial" w:hAnsi="Arial" w:cs="Arial"/>
          <w:szCs w:val="24"/>
          <w:lang w:val="es-MX"/>
        </w:rPr>
        <w:t xml:space="preserve">NAFIN entregará los reportes de la ejecución del Préstamo en un plazo de </w:t>
      </w:r>
      <w:r w:rsidR="003625C9">
        <w:rPr>
          <w:rFonts w:ascii="Arial" w:hAnsi="Arial" w:cs="Arial"/>
          <w:szCs w:val="24"/>
          <w:lang w:val="es-MX"/>
        </w:rPr>
        <w:t>sesenta (</w:t>
      </w:r>
      <w:r w:rsidRPr="00437672">
        <w:rPr>
          <w:rFonts w:ascii="Arial" w:hAnsi="Arial" w:cs="Arial"/>
          <w:szCs w:val="24"/>
          <w:lang w:val="es-MX"/>
        </w:rPr>
        <w:t>60</w:t>
      </w:r>
      <w:r w:rsidR="003625C9">
        <w:rPr>
          <w:rFonts w:ascii="Arial" w:hAnsi="Arial" w:cs="Arial"/>
          <w:szCs w:val="24"/>
          <w:lang w:val="es-MX"/>
        </w:rPr>
        <w:t>)</w:t>
      </w:r>
      <w:r w:rsidRPr="00437672">
        <w:rPr>
          <w:rFonts w:ascii="Arial" w:hAnsi="Arial" w:cs="Arial"/>
          <w:szCs w:val="24"/>
          <w:lang w:val="es-MX"/>
        </w:rPr>
        <w:t xml:space="preserve"> días naturales posteriores a la conclusión de cada semestre (agosto y febrero)</w:t>
      </w:r>
      <w:r w:rsidR="00532D11" w:rsidRPr="00437672">
        <w:rPr>
          <w:rFonts w:ascii="Arial" w:hAnsi="Arial" w:cs="Arial"/>
          <w:szCs w:val="24"/>
          <w:lang w:val="es-MX"/>
        </w:rPr>
        <w:t>.</w:t>
      </w:r>
      <w:bookmarkEnd w:id="190"/>
    </w:p>
    <w:p w14:paraId="5E425889" w14:textId="77777777" w:rsidR="00EE5D78" w:rsidRPr="00437672" w:rsidRDefault="00EE5D78" w:rsidP="009067BA">
      <w:pPr>
        <w:pStyle w:val="Paragraph"/>
        <w:numPr>
          <w:ilvl w:val="1"/>
          <w:numId w:val="30"/>
        </w:numPr>
        <w:outlineLvl w:val="9"/>
        <w:rPr>
          <w:rFonts w:ascii="Arial" w:hAnsi="Arial" w:cs="Arial"/>
          <w:szCs w:val="24"/>
          <w:lang w:val="es-MX"/>
        </w:rPr>
      </w:pPr>
      <w:bookmarkStart w:id="191" w:name="_Toc321244986"/>
      <w:r w:rsidRPr="00437672">
        <w:rPr>
          <w:rFonts w:ascii="Arial" w:hAnsi="Arial" w:cs="Arial"/>
          <w:szCs w:val="24"/>
          <w:lang w:val="es-MX"/>
        </w:rPr>
        <w:t xml:space="preserve">Adicionalmente, como parte del monitoreo, el Banco podrá realizar el seguimiento y verificación de la utilización de los recursos por parte de </w:t>
      </w:r>
      <w:r w:rsidR="001052EB" w:rsidRPr="00437672">
        <w:rPr>
          <w:rFonts w:ascii="Arial" w:hAnsi="Arial" w:cs="Arial"/>
          <w:szCs w:val="24"/>
          <w:lang w:val="es-MX"/>
        </w:rPr>
        <w:t>los IFI’s</w:t>
      </w:r>
      <w:r w:rsidRPr="00437672">
        <w:rPr>
          <w:rFonts w:ascii="Arial" w:hAnsi="Arial" w:cs="Arial"/>
          <w:szCs w:val="24"/>
          <w:lang w:val="es-MX"/>
        </w:rPr>
        <w:t xml:space="preserve"> elegibles y/o c</w:t>
      </w:r>
      <w:r w:rsidRPr="00437672">
        <w:rPr>
          <w:rFonts w:ascii="Arial" w:hAnsi="Arial" w:cs="Arial"/>
          <w:szCs w:val="24"/>
          <w:lang w:val="es-MX" w:eastAsia="en-US"/>
        </w:rPr>
        <w:t xml:space="preserve">ualquier otro tipo de instrumento que realice intermediación, </w:t>
      </w:r>
      <w:r w:rsidRPr="00437672">
        <w:rPr>
          <w:rFonts w:ascii="Arial" w:hAnsi="Arial" w:cs="Arial"/>
          <w:szCs w:val="24"/>
          <w:lang w:val="es-MX"/>
        </w:rPr>
        <w:t>a cuyo efecto y en todo momento, NAFIN será la responsable de solicitar a sus Intermediarios la información que acuerde</w:t>
      </w:r>
      <w:r w:rsidR="00E0439F" w:rsidRPr="00437672">
        <w:rPr>
          <w:rFonts w:ascii="Arial" w:hAnsi="Arial" w:cs="Arial"/>
          <w:szCs w:val="24"/>
          <w:lang w:val="es-MX"/>
        </w:rPr>
        <w:t xml:space="preserve"> </w:t>
      </w:r>
      <w:r w:rsidRPr="00437672">
        <w:rPr>
          <w:rFonts w:ascii="Arial" w:hAnsi="Arial" w:cs="Arial"/>
          <w:szCs w:val="24"/>
          <w:lang w:val="es-MX"/>
        </w:rPr>
        <w:t>con el Banco.</w:t>
      </w:r>
      <w:bookmarkEnd w:id="191"/>
    </w:p>
    <w:p w14:paraId="324B73A6" w14:textId="77777777" w:rsidR="00EE5D78" w:rsidRPr="00437672" w:rsidRDefault="00EE5D78" w:rsidP="009067BA">
      <w:pPr>
        <w:pStyle w:val="Paragraph"/>
        <w:numPr>
          <w:ilvl w:val="1"/>
          <w:numId w:val="30"/>
        </w:numPr>
        <w:outlineLvl w:val="9"/>
        <w:rPr>
          <w:rFonts w:ascii="Arial" w:hAnsi="Arial" w:cs="Arial"/>
          <w:szCs w:val="24"/>
          <w:lang w:val="es-MX"/>
        </w:rPr>
      </w:pPr>
      <w:bookmarkStart w:id="192" w:name="_Toc321244987"/>
      <w:r w:rsidRPr="00437672">
        <w:rPr>
          <w:rFonts w:ascii="Arial" w:hAnsi="Arial" w:cs="Arial"/>
          <w:szCs w:val="24"/>
          <w:lang w:val="es-MX"/>
        </w:rPr>
        <w:t>NAFIN se compromete a que se realice un</w:t>
      </w:r>
      <w:r w:rsidR="00AB0988" w:rsidRPr="00437672">
        <w:rPr>
          <w:rFonts w:ascii="Arial" w:hAnsi="Arial" w:cs="Arial"/>
          <w:szCs w:val="24"/>
          <w:lang w:val="es-MX"/>
        </w:rPr>
        <w:t>a</w:t>
      </w:r>
      <w:r w:rsidRPr="00437672">
        <w:rPr>
          <w:rFonts w:ascii="Arial" w:hAnsi="Arial" w:cs="Arial"/>
          <w:szCs w:val="24"/>
          <w:lang w:val="es-MX"/>
        </w:rPr>
        <w:t xml:space="preserve"> </w:t>
      </w:r>
      <w:r w:rsidR="003625C9">
        <w:rPr>
          <w:rFonts w:ascii="Arial" w:hAnsi="Arial" w:cs="Arial"/>
          <w:szCs w:val="24"/>
          <w:lang w:val="es-MX"/>
        </w:rPr>
        <w:t>E</w:t>
      </w:r>
      <w:r w:rsidRPr="00437672">
        <w:rPr>
          <w:rFonts w:ascii="Arial" w:hAnsi="Arial" w:cs="Arial"/>
          <w:szCs w:val="24"/>
          <w:lang w:val="es-MX"/>
        </w:rPr>
        <w:t xml:space="preserve">valuación de </w:t>
      </w:r>
      <w:r w:rsidR="003625C9">
        <w:rPr>
          <w:rFonts w:ascii="Arial" w:hAnsi="Arial" w:cs="Arial"/>
          <w:szCs w:val="24"/>
          <w:lang w:val="es-MX"/>
        </w:rPr>
        <w:t>M</w:t>
      </w:r>
      <w:r w:rsidRPr="00437672">
        <w:rPr>
          <w:rFonts w:ascii="Arial" w:hAnsi="Arial" w:cs="Arial"/>
          <w:szCs w:val="24"/>
          <w:lang w:val="es-MX"/>
        </w:rPr>
        <w:t xml:space="preserve">edio </w:t>
      </w:r>
      <w:r w:rsidR="003625C9">
        <w:rPr>
          <w:rFonts w:ascii="Arial" w:hAnsi="Arial" w:cs="Arial"/>
          <w:szCs w:val="24"/>
          <w:lang w:val="es-MX"/>
        </w:rPr>
        <w:t>T</w:t>
      </w:r>
      <w:r w:rsidRPr="00437672">
        <w:rPr>
          <w:rFonts w:ascii="Arial" w:hAnsi="Arial" w:cs="Arial"/>
          <w:szCs w:val="24"/>
          <w:lang w:val="es-MX"/>
        </w:rPr>
        <w:t xml:space="preserve">érmino a los </w:t>
      </w:r>
      <w:r w:rsidR="00D66F1F" w:rsidRPr="00437672">
        <w:rPr>
          <w:rFonts w:ascii="Arial" w:hAnsi="Arial" w:cs="Arial"/>
          <w:szCs w:val="24"/>
          <w:lang w:val="es-MX"/>
        </w:rPr>
        <w:t xml:space="preserve">treinta y seis </w:t>
      </w:r>
      <w:r w:rsidRPr="00437672">
        <w:rPr>
          <w:rFonts w:ascii="Arial" w:hAnsi="Arial" w:cs="Arial"/>
          <w:szCs w:val="24"/>
          <w:lang w:val="es-MX"/>
        </w:rPr>
        <w:t>(</w:t>
      </w:r>
      <w:r w:rsidR="00D66F1F" w:rsidRPr="00437672">
        <w:rPr>
          <w:rFonts w:ascii="Arial" w:hAnsi="Arial" w:cs="Arial"/>
          <w:szCs w:val="24"/>
          <w:lang w:val="es-MX"/>
        </w:rPr>
        <w:t>36</w:t>
      </w:r>
      <w:r w:rsidRPr="00437672">
        <w:rPr>
          <w:rFonts w:ascii="Arial" w:hAnsi="Arial" w:cs="Arial"/>
          <w:szCs w:val="24"/>
          <w:lang w:val="es-MX"/>
        </w:rPr>
        <w:t>) meses de entrada en vigencia del Contrato de Préstamo, o cuando se haya desembolsado el cincuenta por ciento (50%) de los recursos del Financiamiento, lo que ocurra primero, que deberá considerar entre otros, los siguientes aspectos:</w:t>
      </w:r>
      <w:bookmarkEnd w:id="192"/>
      <w:r w:rsidRPr="00437672">
        <w:rPr>
          <w:rFonts w:ascii="Arial" w:hAnsi="Arial" w:cs="Arial"/>
          <w:szCs w:val="24"/>
          <w:lang w:val="es-MX"/>
        </w:rPr>
        <w:t xml:space="preserve"> </w:t>
      </w:r>
    </w:p>
    <w:p w14:paraId="13A06A72" w14:textId="77777777" w:rsidR="00D61E5C" w:rsidRPr="00437672" w:rsidRDefault="00CA6D60" w:rsidP="009067BA">
      <w:pPr>
        <w:pStyle w:val="Paragraph"/>
        <w:numPr>
          <w:ilvl w:val="5"/>
          <w:numId w:val="10"/>
        </w:numPr>
        <w:tabs>
          <w:tab w:val="clear" w:pos="6118"/>
          <w:tab w:val="num" w:pos="2268"/>
        </w:tabs>
        <w:ind w:left="1584" w:hanging="684"/>
        <w:outlineLvl w:val="9"/>
        <w:rPr>
          <w:rFonts w:ascii="Arial" w:hAnsi="Arial" w:cs="Arial"/>
          <w:szCs w:val="24"/>
          <w:lang w:val="es-MX"/>
        </w:rPr>
      </w:pPr>
      <w:bookmarkStart w:id="193" w:name="_Toc321244988"/>
      <w:r w:rsidRPr="00437672">
        <w:rPr>
          <w:rFonts w:ascii="Arial" w:hAnsi="Arial" w:cs="Arial"/>
          <w:szCs w:val="24"/>
          <w:lang w:val="es-MX"/>
        </w:rPr>
        <w:t xml:space="preserve">El </w:t>
      </w:r>
      <w:r w:rsidR="00EE5D78" w:rsidRPr="00437672">
        <w:rPr>
          <w:rFonts w:ascii="Arial" w:hAnsi="Arial" w:cs="Arial"/>
          <w:szCs w:val="24"/>
          <w:lang w:val="es-MX"/>
        </w:rPr>
        <w:t>cumplimiento de las metas que se establecieron en el PEP, según el cronograma de actividades definido para la realización de cada uno de sus componentes</w:t>
      </w:r>
      <w:r w:rsidRPr="00437672">
        <w:rPr>
          <w:rFonts w:ascii="Arial" w:hAnsi="Arial" w:cs="Arial"/>
          <w:szCs w:val="24"/>
          <w:lang w:val="es-MX"/>
        </w:rPr>
        <w:t>.</w:t>
      </w:r>
      <w:bookmarkEnd w:id="193"/>
    </w:p>
    <w:p w14:paraId="0C20414D" w14:textId="77777777" w:rsidR="00D61E5C" w:rsidRPr="00437672" w:rsidRDefault="00CA6D60" w:rsidP="009067BA">
      <w:pPr>
        <w:pStyle w:val="Paragraph"/>
        <w:numPr>
          <w:ilvl w:val="5"/>
          <w:numId w:val="10"/>
        </w:numPr>
        <w:tabs>
          <w:tab w:val="clear" w:pos="6118"/>
          <w:tab w:val="num" w:pos="2268"/>
        </w:tabs>
        <w:ind w:left="1584" w:hanging="684"/>
        <w:outlineLvl w:val="9"/>
        <w:rPr>
          <w:rFonts w:ascii="Arial" w:hAnsi="Arial" w:cs="Arial"/>
          <w:szCs w:val="24"/>
          <w:lang w:val="es-MX"/>
        </w:rPr>
      </w:pPr>
      <w:bookmarkStart w:id="194" w:name="_Toc321244989"/>
      <w:r w:rsidRPr="00437672">
        <w:rPr>
          <w:rFonts w:ascii="Arial" w:hAnsi="Arial" w:cs="Arial"/>
          <w:szCs w:val="24"/>
          <w:lang w:val="es-MX"/>
        </w:rPr>
        <w:t>L</w:t>
      </w:r>
      <w:r w:rsidR="00EE5D78" w:rsidRPr="00437672">
        <w:rPr>
          <w:rFonts w:ascii="Arial" w:hAnsi="Arial" w:cs="Arial"/>
          <w:szCs w:val="24"/>
          <w:lang w:val="es-MX"/>
        </w:rPr>
        <w:t>os avances en la implementación de las actividades definidas en la Matriz de Resultados</w:t>
      </w:r>
      <w:r w:rsidR="0077298C" w:rsidRPr="00437672">
        <w:rPr>
          <w:rFonts w:ascii="Arial" w:hAnsi="Arial" w:cs="Arial"/>
          <w:szCs w:val="24"/>
          <w:lang w:val="es-MX"/>
        </w:rPr>
        <w:t xml:space="preserve"> y el comportamiento del resto de los indicadores monitoreados</w:t>
      </w:r>
      <w:r w:rsidRPr="00437672">
        <w:rPr>
          <w:rFonts w:ascii="Arial" w:hAnsi="Arial" w:cs="Arial"/>
          <w:szCs w:val="24"/>
          <w:lang w:val="es-MX"/>
        </w:rPr>
        <w:t>.</w:t>
      </w:r>
      <w:bookmarkEnd w:id="194"/>
    </w:p>
    <w:p w14:paraId="4C75EF0E" w14:textId="77777777" w:rsidR="00D61E5C" w:rsidRPr="00437672" w:rsidRDefault="00CA6D60" w:rsidP="009067BA">
      <w:pPr>
        <w:pStyle w:val="Paragraph"/>
        <w:numPr>
          <w:ilvl w:val="5"/>
          <w:numId w:val="10"/>
        </w:numPr>
        <w:tabs>
          <w:tab w:val="clear" w:pos="6118"/>
          <w:tab w:val="num" w:pos="2268"/>
        </w:tabs>
        <w:ind w:left="1584" w:hanging="684"/>
        <w:outlineLvl w:val="9"/>
        <w:rPr>
          <w:rFonts w:ascii="Arial" w:hAnsi="Arial" w:cs="Arial"/>
          <w:szCs w:val="24"/>
          <w:lang w:val="es-MX"/>
        </w:rPr>
      </w:pPr>
      <w:bookmarkStart w:id="195" w:name="_Toc321244990"/>
      <w:r w:rsidRPr="00437672">
        <w:rPr>
          <w:rFonts w:ascii="Arial" w:hAnsi="Arial" w:cs="Arial"/>
          <w:szCs w:val="24"/>
          <w:lang w:val="es-MX"/>
        </w:rPr>
        <w:t xml:space="preserve">Evaluación </w:t>
      </w:r>
      <w:r w:rsidR="00EE5D78" w:rsidRPr="00437672">
        <w:rPr>
          <w:rFonts w:ascii="Arial" w:hAnsi="Arial" w:cs="Arial"/>
          <w:szCs w:val="24"/>
          <w:lang w:val="es-MX"/>
        </w:rPr>
        <w:t xml:space="preserve">de las Operaciones Elegibles financiadas, su estado de ejecución y situación de la cartera del </w:t>
      </w:r>
      <w:r w:rsidR="00743CAA" w:rsidRPr="00437672">
        <w:rPr>
          <w:rFonts w:ascii="Arial" w:hAnsi="Arial" w:cs="Arial"/>
          <w:szCs w:val="24"/>
          <w:lang w:val="es-MX"/>
        </w:rPr>
        <w:t>PFTRG</w:t>
      </w:r>
      <w:r w:rsidR="00EE5D78" w:rsidRPr="00437672">
        <w:rPr>
          <w:rFonts w:ascii="Arial" w:hAnsi="Arial" w:cs="Arial"/>
          <w:szCs w:val="24"/>
          <w:lang w:val="es-MX"/>
        </w:rPr>
        <w:t>; y</w:t>
      </w:r>
      <w:bookmarkEnd w:id="195"/>
    </w:p>
    <w:p w14:paraId="6360BBE2" w14:textId="77777777" w:rsidR="00EE5D78" w:rsidRDefault="00CA6D60" w:rsidP="009067BA">
      <w:pPr>
        <w:pStyle w:val="Paragraph"/>
        <w:numPr>
          <w:ilvl w:val="5"/>
          <w:numId w:val="10"/>
        </w:numPr>
        <w:tabs>
          <w:tab w:val="clear" w:pos="6118"/>
          <w:tab w:val="num" w:pos="2268"/>
        </w:tabs>
        <w:ind w:left="1584" w:hanging="684"/>
        <w:outlineLvl w:val="9"/>
        <w:rPr>
          <w:rFonts w:ascii="Arial" w:hAnsi="Arial" w:cs="Arial"/>
          <w:szCs w:val="24"/>
          <w:lang w:val="es-MX"/>
        </w:rPr>
      </w:pPr>
      <w:bookmarkStart w:id="196" w:name="_Toc321244991"/>
      <w:r w:rsidRPr="00437672">
        <w:rPr>
          <w:rFonts w:ascii="Arial" w:hAnsi="Arial" w:cs="Arial"/>
          <w:szCs w:val="24"/>
          <w:lang w:val="es-MX"/>
        </w:rPr>
        <w:t xml:space="preserve">Problemas </w:t>
      </w:r>
      <w:r w:rsidR="00EE5D78" w:rsidRPr="00437672">
        <w:rPr>
          <w:rFonts w:ascii="Arial" w:hAnsi="Arial" w:cs="Arial"/>
          <w:szCs w:val="24"/>
          <w:lang w:val="es-MX"/>
        </w:rPr>
        <w:t>confrontad</w:t>
      </w:r>
      <w:r w:rsidR="00D61E5C" w:rsidRPr="00437672">
        <w:rPr>
          <w:rFonts w:ascii="Arial" w:hAnsi="Arial" w:cs="Arial"/>
          <w:szCs w:val="24"/>
          <w:lang w:val="es-MX"/>
        </w:rPr>
        <w:t>o</w:t>
      </w:r>
      <w:r w:rsidR="00EE5D78" w:rsidRPr="00437672">
        <w:rPr>
          <w:rFonts w:ascii="Arial" w:hAnsi="Arial" w:cs="Arial"/>
          <w:szCs w:val="24"/>
          <w:lang w:val="es-MX"/>
        </w:rPr>
        <w:t xml:space="preserve">s y las recomendaciones que sean necesarias, con el fin de asegurar el cumplimiento de los objetivos del </w:t>
      </w:r>
      <w:r w:rsidR="00743CAA" w:rsidRPr="00437672">
        <w:rPr>
          <w:rFonts w:ascii="Arial" w:hAnsi="Arial" w:cs="Arial"/>
          <w:szCs w:val="24"/>
          <w:lang w:val="es-MX"/>
        </w:rPr>
        <w:t>PFTRG</w:t>
      </w:r>
      <w:r w:rsidR="00EE5D78" w:rsidRPr="00437672">
        <w:rPr>
          <w:rFonts w:ascii="Arial" w:hAnsi="Arial" w:cs="Arial"/>
          <w:szCs w:val="24"/>
          <w:lang w:val="es-MX"/>
        </w:rPr>
        <w:t>.</w:t>
      </w:r>
      <w:bookmarkEnd w:id="196"/>
    </w:p>
    <w:p w14:paraId="1114B81A" w14:textId="77777777" w:rsidR="00EE5D78" w:rsidRDefault="00EE5D78" w:rsidP="009067BA">
      <w:pPr>
        <w:pStyle w:val="Paragraph"/>
        <w:numPr>
          <w:ilvl w:val="0"/>
          <w:numId w:val="31"/>
        </w:numPr>
        <w:ind w:left="567" w:hanging="709"/>
        <w:outlineLvl w:val="9"/>
        <w:rPr>
          <w:rFonts w:ascii="Arial" w:hAnsi="Arial" w:cs="Arial"/>
          <w:szCs w:val="24"/>
          <w:lang w:val="es-MX"/>
        </w:rPr>
      </w:pPr>
      <w:bookmarkStart w:id="197" w:name="_Toc321244992"/>
      <w:r w:rsidRPr="00437672">
        <w:rPr>
          <w:rFonts w:ascii="Arial" w:hAnsi="Arial" w:cs="Arial"/>
          <w:szCs w:val="24"/>
          <w:lang w:val="es-MX"/>
        </w:rPr>
        <w:t>Asimismo, NAFIN acordará con el Banco llevar</w:t>
      </w:r>
      <w:r w:rsidR="00BD4503" w:rsidRPr="00437672">
        <w:rPr>
          <w:rFonts w:ascii="Arial" w:hAnsi="Arial" w:cs="Arial"/>
          <w:szCs w:val="24"/>
          <w:lang w:val="es-MX"/>
        </w:rPr>
        <w:t xml:space="preserve"> </w:t>
      </w:r>
      <w:r w:rsidRPr="00437672">
        <w:rPr>
          <w:rFonts w:ascii="Arial" w:hAnsi="Arial" w:cs="Arial"/>
          <w:szCs w:val="24"/>
          <w:lang w:val="es-MX"/>
        </w:rPr>
        <w:t xml:space="preserve">a cabo una reunión de seguimiento anual, en la cual se discutirá: (i) el avance de las actividades del </w:t>
      </w:r>
      <w:r w:rsidR="00743CAA" w:rsidRPr="00437672">
        <w:rPr>
          <w:rFonts w:ascii="Arial" w:hAnsi="Arial" w:cs="Arial"/>
          <w:szCs w:val="24"/>
          <w:lang w:val="es-MX"/>
        </w:rPr>
        <w:t>PFTRG</w:t>
      </w:r>
      <w:r w:rsidR="00C051CD">
        <w:rPr>
          <w:rFonts w:ascii="Arial" w:hAnsi="Arial" w:cs="Arial"/>
          <w:szCs w:val="24"/>
          <w:lang w:val="es-MX"/>
        </w:rPr>
        <w:t>;</w:t>
      </w:r>
      <w:r w:rsidRPr="00437672">
        <w:rPr>
          <w:rFonts w:ascii="Arial" w:hAnsi="Arial" w:cs="Arial"/>
          <w:szCs w:val="24"/>
          <w:lang w:val="es-MX"/>
        </w:rPr>
        <w:t xml:space="preserve"> </w:t>
      </w:r>
      <w:r w:rsidR="00CA6D60" w:rsidRPr="00437672">
        <w:rPr>
          <w:rFonts w:ascii="Arial" w:hAnsi="Arial" w:cs="Arial"/>
          <w:szCs w:val="24"/>
          <w:lang w:val="es-MX"/>
        </w:rPr>
        <w:t>(</w:t>
      </w:r>
      <w:r w:rsidRPr="00437672">
        <w:rPr>
          <w:rFonts w:ascii="Arial" w:hAnsi="Arial" w:cs="Arial"/>
          <w:szCs w:val="24"/>
          <w:lang w:val="es-MX"/>
        </w:rPr>
        <w:t>ii) el nivel de cumplimiento de los indicadores establecidos en la Matriz de Resultados</w:t>
      </w:r>
      <w:r w:rsidR="00C051CD">
        <w:rPr>
          <w:rFonts w:ascii="Arial" w:hAnsi="Arial" w:cs="Arial"/>
          <w:szCs w:val="24"/>
          <w:lang w:val="es-MX"/>
        </w:rPr>
        <w:t>;</w:t>
      </w:r>
      <w:r w:rsidRPr="00437672">
        <w:rPr>
          <w:rFonts w:ascii="Arial" w:hAnsi="Arial" w:cs="Arial"/>
          <w:szCs w:val="24"/>
          <w:lang w:val="es-MX"/>
        </w:rPr>
        <w:t xml:space="preserve"> y (iii) el PEP para el siguiente año y el estado de ejecución del </w:t>
      </w:r>
      <w:r w:rsidR="00743CAA" w:rsidRPr="00437672">
        <w:rPr>
          <w:rFonts w:ascii="Arial" w:hAnsi="Arial" w:cs="Arial"/>
          <w:szCs w:val="24"/>
          <w:lang w:val="es-MX"/>
        </w:rPr>
        <w:t>PFTRG</w:t>
      </w:r>
      <w:r w:rsidRPr="00437672">
        <w:rPr>
          <w:rFonts w:ascii="Arial" w:hAnsi="Arial" w:cs="Arial"/>
          <w:szCs w:val="24"/>
          <w:lang w:val="es-MX"/>
        </w:rPr>
        <w:t>.</w:t>
      </w:r>
      <w:bookmarkEnd w:id="197"/>
    </w:p>
    <w:p w14:paraId="62E77F9B" w14:textId="77777777" w:rsidR="00EE5D78" w:rsidRDefault="00EE5D78" w:rsidP="009067BA">
      <w:pPr>
        <w:pStyle w:val="Paragraph"/>
        <w:numPr>
          <w:ilvl w:val="0"/>
          <w:numId w:val="31"/>
        </w:numPr>
        <w:ind w:left="567" w:hanging="709"/>
        <w:outlineLvl w:val="9"/>
        <w:rPr>
          <w:rFonts w:ascii="Arial" w:hAnsi="Arial" w:cs="Arial"/>
          <w:szCs w:val="24"/>
          <w:lang w:val="es-MX"/>
        </w:rPr>
      </w:pPr>
      <w:bookmarkStart w:id="198" w:name="_Toc321244993"/>
      <w:r w:rsidRPr="00437672">
        <w:rPr>
          <w:rFonts w:ascii="Arial" w:hAnsi="Arial" w:cs="Arial"/>
          <w:szCs w:val="24"/>
          <w:lang w:val="es-MX"/>
        </w:rPr>
        <w:lastRenderedPageBreak/>
        <w:t>NAFIN deberá actualizar el PEP cuando fuese necesario, e informar al Banco de la misma mediante la presentación de los informes semestrales de avance correspondientes.</w:t>
      </w:r>
      <w:bookmarkEnd w:id="198"/>
    </w:p>
    <w:p w14:paraId="6617460E" w14:textId="77777777" w:rsidR="004459D5" w:rsidRDefault="00F3304B" w:rsidP="009067BA">
      <w:pPr>
        <w:pStyle w:val="Paragraph"/>
        <w:numPr>
          <w:ilvl w:val="0"/>
          <w:numId w:val="31"/>
        </w:numPr>
        <w:ind w:left="567" w:hanging="709"/>
        <w:outlineLvl w:val="9"/>
        <w:rPr>
          <w:rFonts w:ascii="Arial" w:hAnsi="Arial" w:cs="Arial"/>
          <w:szCs w:val="24"/>
          <w:lang w:val="es-MX"/>
        </w:rPr>
      </w:pPr>
      <w:bookmarkStart w:id="199" w:name="_Toc321244994"/>
      <w:r w:rsidRPr="00437672">
        <w:rPr>
          <w:rFonts w:ascii="Arial" w:hAnsi="Arial" w:cs="Arial"/>
          <w:szCs w:val="24"/>
          <w:lang w:val="es-MX"/>
        </w:rPr>
        <w:t>NAFIN</w:t>
      </w:r>
      <w:r w:rsidR="00AC2D83" w:rsidRPr="00437672">
        <w:rPr>
          <w:rFonts w:ascii="Arial" w:hAnsi="Arial" w:cs="Arial"/>
          <w:szCs w:val="24"/>
          <w:lang w:val="es-MX"/>
        </w:rPr>
        <w:t xml:space="preserve"> deberá preparar y presentar los Informes Financieros </w:t>
      </w:r>
      <w:r w:rsidR="006A6FC6" w:rsidRPr="00437672">
        <w:rPr>
          <w:rFonts w:ascii="Arial" w:hAnsi="Arial" w:cs="Arial"/>
          <w:szCs w:val="24"/>
          <w:lang w:val="es-MX"/>
        </w:rPr>
        <w:t>Semestrales</w:t>
      </w:r>
      <w:r w:rsidR="00AC2D83" w:rsidRPr="00437672">
        <w:rPr>
          <w:rFonts w:ascii="Arial" w:hAnsi="Arial" w:cs="Arial"/>
          <w:szCs w:val="24"/>
          <w:lang w:val="es-MX"/>
        </w:rPr>
        <w:t xml:space="preserve"> </w:t>
      </w:r>
      <w:r w:rsidR="004459D5" w:rsidRPr="00437672">
        <w:rPr>
          <w:rFonts w:ascii="Arial" w:hAnsi="Arial" w:cs="Arial"/>
          <w:szCs w:val="24"/>
          <w:lang w:val="es-MX"/>
        </w:rPr>
        <w:t xml:space="preserve">e Informe Final Anual </w:t>
      </w:r>
      <w:r w:rsidR="00AC2D83" w:rsidRPr="00437672">
        <w:rPr>
          <w:rFonts w:ascii="Arial" w:hAnsi="Arial" w:cs="Arial"/>
          <w:szCs w:val="24"/>
          <w:lang w:val="es-MX"/>
        </w:rPr>
        <w:t>a</w:t>
      </w:r>
      <w:r w:rsidR="003A7B4B" w:rsidRPr="00437672">
        <w:rPr>
          <w:rFonts w:ascii="Arial" w:hAnsi="Arial" w:cs="Arial"/>
          <w:szCs w:val="24"/>
          <w:lang w:val="es-MX"/>
        </w:rPr>
        <w:t xml:space="preserve"> las autoridades normativas </w:t>
      </w:r>
      <w:r w:rsidR="00AC2D83" w:rsidRPr="00437672">
        <w:rPr>
          <w:rFonts w:ascii="Arial" w:hAnsi="Arial" w:cs="Arial"/>
          <w:szCs w:val="24"/>
          <w:lang w:val="es-MX"/>
        </w:rPr>
        <w:t>de acuerdo con la</w:t>
      </w:r>
      <w:r w:rsidR="004459D5" w:rsidRPr="00437672">
        <w:rPr>
          <w:rFonts w:ascii="Arial" w:hAnsi="Arial" w:cs="Arial"/>
          <w:szCs w:val="24"/>
          <w:lang w:val="es-MX"/>
        </w:rPr>
        <w:t xml:space="preserve"> versión vigente de la</w:t>
      </w:r>
      <w:r w:rsidR="00E0439F" w:rsidRPr="00437672">
        <w:rPr>
          <w:rFonts w:ascii="Arial" w:hAnsi="Arial" w:cs="Arial"/>
          <w:szCs w:val="24"/>
          <w:lang w:val="es-MX"/>
        </w:rPr>
        <w:t xml:space="preserve"> </w:t>
      </w:r>
      <w:r w:rsidR="00AC2D83" w:rsidRPr="00437672">
        <w:rPr>
          <w:rFonts w:ascii="Arial" w:hAnsi="Arial" w:cs="Arial"/>
          <w:szCs w:val="24"/>
          <w:lang w:val="es-MX"/>
        </w:rPr>
        <w:t>Guía</w:t>
      </w:r>
      <w:r w:rsidRPr="00437672">
        <w:rPr>
          <w:rFonts w:ascii="Arial" w:hAnsi="Arial" w:cs="Arial"/>
          <w:szCs w:val="24"/>
          <w:lang w:val="es-MX"/>
        </w:rPr>
        <w:t xml:space="preserve"> para la G</w:t>
      </w:r>
      <w:r w:rsidR="00AC2D83" w:rsidRPr="00437672">
        <w:rPr>
          <w:rFonts w:ascii="Arial" w:hAnsi="Arial" w:cs="Arial"/>
          <w:szCs w:val="24"/>
          <w:lang w:val="es-MX"/>
        </w:rPr>
        <w:t>e</w:t>
      </w:r>
      <w:r w:rsidRPr="00437672">
        <w:rPr>
          <w:rFonts w:ascii="Arial" w:hAnsi="Arial" w:cs="Arial"/>
          <w:szCs w:val="24"/>
          <w:lang w:val="es-MX"/>
        </w:rPr>
        <w:t>s</w:t>
      </w:r>
      <w:r w:rsidR="00AC2D83" w:rsidRPr="00437672">
        <w:rPr>
          <w:rFonts w:ascii="Arial" w:hAnsi="Arial" w:cs="Arial"/>
          <w:szCs w:val="24"/>
          <w:lang w:val="es-MX"/>
        </w:rPr>
        <w:t xml:space="preserve">tión </w:t>
      </w:r>
      <w:r w:rsidRPr="00437672">
        <w:rPr>
          <w:rFonts w:ascii="Arial" w:hAnsi="Arial" w:cs="Arial"/>
          <w:szCs w:val="24"/>
          <w:lang w:val="es-MX"/>
        </w:rPr>
        <w:t>Financiera de los Proyectos F</w:t>
      </w:r>
      <w:r w:rsidR="00AC2D83" w:rsidRPr="00437672">
        <w:rPr>
          <w:rFonts w:ascii="Arial" w:hAnsi="Arial" w:cs="Arial"/>
          <w:szCs w:val="24"/>
          <w:lang w:val="es-MX"/>
        </w:rPr>
        <w:t>in</w:t>
      </w:r>
      <w:r w:rsidRPr="00437672">
        <w:rPr>
          <w:rFonts w:ascii="Arial" w:hAnsi="Arial" w:cs="Arial"/>
          <w:szCs w:val="24"/>
          <w:lang w:val="es-MX"/>
        </w:rPr>
        <w:t xml:space="preserve">anciados </w:t>
      </w:r>
      <w:r w:rsidR="00AC2D83" w:rsidRPr="00437672">
        <w:rPr>
          <w:rFonts w:ascii="Arial" w:hAnsi="Arial" w:cs="Arial"/>
          <w:szCs w:val="24"/>
          <w:lang w:val="es-MX"/>
        </w:rPr>
        <w:t xml:space="preserve">por los </w:t>
      </w:r>
      <w:r w:rsidRPr="00437672">
        <w:rPr>
          <w:rFonts w:ascii="Arial" w:hAnsi="Arial" w:cs="Arial"/>
          <w:szCs w:val="24"/>
          <w:lang w:val="es-MX"/>
        </w:rPr>
        <w:t>Organismos</w:t>
      </w:r>
      <w:r w:rsidR="00AC2D83" w:rsidRPr="00437672">
        <w:rPr>
          <w:rFonts w:ascii="Arial" w:hAnsi="Arial" w:cs="Arial"/>
          <w:szCs w:val="24"/>
          <w:lang w:val="es-MX"/>
        </w:rPr>
        <w:t xml:space="preserve"> Financieros Internacionales emitida por la</w:t>
      </w:r>
      <w:r w:rsidR="003A7B4B" w:rsidRPr="00437672">
        <w:rPr>
          <w:rFonts w:ascii="Arial" w:hAnsi="Arial" w:cs="Arial"/>
          <w:szCs w:val="24"/>
          <w:lang w:val="es-MX"/>
        </w:rPr>
        <w:t xml:space="preserve"> autoridad normativa</w:t>
      </w:r>
      <w:r w:rsidR="00BD4503" w:rsidRPr="00437672">
        <w:rPr>
          <w:rFonts w:ascii="Arial" w:hAnsi="Arial" w:cs="Arial"/>
          <w:szCs w:val="24"/>
          <w:lang w:val="es-MX"/>
        </w:rPr>
        <w:t xml:space="preserve">. </w:t>
      </w:r>
      <w:bookmarkEnd w:id="199"/>
    </w:p>
    <w:p w14:paraId="25E784BE" w14:textId="77777777" w:rsidR="00AC2D83" w:rsidRDefault="00D161ED" w:rsidP="009067BA">
      <w:pPr>
        <w:pStyle w:val="Paragraph"/>
        <w:numPr>
          <w:ilvl w:val="0"/>
          <w:numId w:val="31"/>
        </w:numPr>
        <w:ind w:left="567" w:hanging="709"/>
        <w:outlineLvl w:val="9"/>
        <w:rPr>
          <w:rFonts w:ascii="Arial" w:hAnsi="Arial" w:cs="Arial"/>
          <w:szCs w:val="24"/>
          <w:lang w:val="es-MX"/>
        </w:rPr>
      </w:pPr>
      <w:r w:rsidRPr="00437672">
        <w:rPr>
          <w:rFonts w:ascii="Arial" w:hAnsi="Arial" w:cs="Arial"/>
          <w:szCs w:val="24"/>
          <w:lang w:val="es-MX"/>
        </w:rPr>
        <w:t xml:space="preserve">En su caso, NAFIN deberá preparar y presentar el </w:t>
      </w:r>
      <w:r w:rsidR="004459D5" w:rsidRPr="00437672">
        <w:rPr>
          <w:rFonts w:ascii="Arial" w:hAnsi="Arial" w:cs="Arial"/>
          <w:szCs w:val="24"/>
          <w:lang w:val="es-MX"/>
        </w:rPr>
        <w:t xml:space="preserve">Informe Semestral del </w:t>
      </w:r>
      <w:r w:rsidR="00A937BE" w:rsidRPr="00437672">
        <w:rPr>
          <w:rFonts w:ascii="Arial" w:hAnsi="Arial" w:cs="Arial"/>
          <w:szCs w:val="24"/>
          <w:lang w:val="es-MX"/>
        </w:rPr>
        <w:t xml:space="preserve">Anticipo de </w:t>
      </w:r>
      <w:r w:rsidR="004459D5" w:rsidRPr="00437672">
        <w:rPr>
          <w:rFonts w:ascii="Arial" w:hAnsi="Arial" w:cs="Arial"/>
          <w:szCs w:val="24"/>
          <w:lang w:val="es-MX"/>
        </w:rPr>
        <w:t>Fondo</w:t>
      </w:r>
      <w:r w:rsidR="00A937BE" w:rsidRPr="00437672">
        <w:rPr>
          <w:rFonts w:ascii="Arial" w:hAnsi="Arial" w:cs="Arial"/>
          <w:szCs w:val="24"/>
          <w:lang w:val="es-MX"/>
        </w:rPr>
        <w:t>s</w:t>
      </w:r>
      <w:r w:rsidR="004459D5" w:rsidRPr="00437672">
        <w:rPr>
          <w:rFonts w:ascii="Arial" w:hAnsi="Arial" w:cs="Arial"/>
          <w:szCs w:val="24"/>
          <w:lang w:val="es-MX"/>
        </w:rPr>
        <w:t xml:space="preserve"> </w:t>
      </w:r>
      <w:r w:rsidR="00A937BE" w:rsidRPr="00437672">
        <w:rPr>
          <w:rFonts w:ascii="Arial" w:hAnsi="Arial" w:cs="Arial"/>
          <w:szCs w:val="24"/>
          <w:lang w:val="es-MX"/>
        </w:rPr>
        <w:t xml:space="preserve">y/o del Fondo </w:t>
      </w:r>
      <w:r w:rsidR="004459D5" w:rsidRPr="00437672">
        <w:rPr>
          <w:rFonts w:ascii="Arial" w:hAnsi="Arial" w:cs="Arial"/>
          <w:szCs w:val="24"/>
          <w:lang w:val="es-MX"/>
        </w:rPr>
        <w:t>Rotatorio (ISFR)</w:t>
      </w:r>
      <w:r w:rsidRPr="00437672">
        <w:rPr>
          <w:rFonts w:ascii="Arial" w:hAnsi="Arial" w:cs="Arial"/>
          <w:szCs w:val="24"/>
          <w:lang w:val="es-MX"/>
        </w:rPr>
        <w:t>, para su entrega al BID.</w:t>
      </w:r>
    </w:p>
    <w:p w14:paraId="3DDC37F4" w14:textId="77777777" w:rsidR="00292D1F" w:rsidRPr="000A37CF" w:rsidRDefault="0077298C" w:rsidP="000A37CF">
      <w:pPr>
        <w:pStyle w:val="Paragraph"/>
        <w:numPr>
          <w:ilvl w:val="0"/>
          <w:numId w:val="31"/>
        </w:numPr>
        <w:ind w:left="567" w:hanging="709"/>
        <w:outlineLvl w:val="9"/>
        <w:rPr>
          <w:rFonts w:ascii="Arial" w:hAnsi="Arial" w:cs="Arial"/>
          <w:b/>
          <w:smallCaps/>
        </w:rPr>
      </w:pPr>
      <w:bookmarkStart w:id="200" w:name="_Toc321244995"/>
      <w:r w:rsidRPr="000A37CF">
        <w:rPr>
          <w:rFonts w:ascii="Arial" w:hAnsi="Arial" w:cs="Arial"/>
          <w:szCs w:val="24"/>
          <w:lang w:val="es-MX"/>
        </w:rPr>
        <w:t>Finalmente, NAFIN presentar</w:t>
      </w:r>
      <w:r w:rsidR="003C6229" w:rsidRPr="000A37CF">
        <w:rPr>
          <w:rFonts w:ascii="Arial" w:hAnsi="Arial" w:cs="Arial"/>
          <w:szCs w:val="24"/>
          <w:lang w:val="es-MX"/>
        </w:rPr>
        <w:t>á</w:t>
      </w:r>
      <w:r w:rsidRPr="000A37CF">
        <w:rPr>
          <w:rFonts w:ascii="Arial" w:hAnsi="Arial" w:cs="Arial"/>
          <w:szCs w:val="24"/>
          <w:lang w:val="es-MX"/>
        </w:rPr>
        <w:t xml:space="preserve"> al Banco un </w:t>
      </w:r>
      <w:r w:rsidR="00C051CD" w:rsidRPr="000A37CF">
        <w:rPr>
          <w:rFonts w:ascii="Arial" w:hAnsi="Arial" w:cs="Arial"/>
          <w:szCs w:val="24"/>
          <w:lang w:val="es-MX"/>
        </w:rPr>
        <w:t>I</w:t>
      </w:r>
      <w:r w:rsidRPr="000A37CF">
        <w:rPr>
          <w:rFonts w:ascii="Arial" w:hAnsi="Arial" w:cs="Arial"/>
          <w:szCs w:val="24"/>
          <w:lang w:val="es-MX"/>
        </w:rPr>
        <w:t xml:space="preserve">nforme de </w:t>
      </w:r>
      <w:r w:rsidR="00C051CD" w:rsidRPr="000A37CF">
        <w:rPr>
          <w:rFonts w:ascii="Arial" w:hAnsi="Arial" w:cs="Arial"/>
          <w:szCs w:val="24"/>
          <w:lang w:val="es-MX"/>
        </w:rPr>
        <w:t>E</w:t>
      </w:r>
      <w:r w:rsidRPr="000A37CF">
        <w:rPr>
          <w:rFonts w:ascii="Arial" w:hAnsi="Arial" w:cs="Arial"/>
          <w:szCs w:val="24"/>
          <w:lang w:val="es-MX"/>
        </w:rPr>
        <w:t xml:space="preserve">valuación </w:t>
      </w:r>
      <w:r w:rsidR="00C051CD" w:rsidRPr="000A37CF">
        <w:rPr>
          <w:rFonts w:ascii="Arial" w:hAnsi="Arial" w:cs="Arial"/>
          <w:szCs w:val="24"/>
          <w:lang w:val="es-MX"/>
        </w:rPr>
        <w:t>F</w:t>
      </w:r>
      <w:r w:rsidRPr="000A37CF">
        <w:rPr>
          <w:rFonts w:ascii="Arial" w:hAnsi="Arial" w:cs="Arial"/>
          <w:szCs w:val="24"/>
          <w:lang w:val="es-MX"/>
        </w:rPr>
        <w:t xml:space="preserve">inal, transcurridos seis </w:t>
      </w:r>
      <w:r w:rsidR="00C051CD" w:rsidRPr="000A37CF">
        <w:rPr>
          <w:rFonts w:ascii="Arial" w:hAnsi="Arial" w:cs="Arial"/>
          <w:szCs w:val="24"/>
          <w:lang w:val="es-MX"/>
        </w:rPr>
        <w:t xml:space="preserve">(6) </w:t>
      </w:r>
      <w:r w:rsidRPr="000A37CF">
        <w:rPr>
          <w:rFonts w:ascii="Arial" w:hAnsi="Arial" w:cs="Arial"/>
          <w:szCs w:val="24"/>
          <w:lang w:val="es-MX"/>
        </w:rPr>
        <w:t xml:space="preserve">meses desde </w:t>
      </w:r>
      <w:r w:rsidR="00B67F25" w:rsidRPr="000A37CF">
        <w:rPr>
          <w:rFonts w:ascii="Arial" w:hAnsi="Arial" w:cs="Arial"/>
          <w:szCs w:val="24"/>
          <w:lang w:val="es-MX"/>
        </w:rPr>
        <w:t>el término</w:t>
      </w:r>
      <w:r w:rsidRPr="000A37CF">
        <w:rPr>
          <w:rFonts w:ascii="Arial" w:hAnsi="Arial" w:cs="Arial"/>
          <w:szCs w:val="24"/>
          <w:lang w:val="es-MX"/>
        </w:rPr>
        <w:t xml:space="preserve"> del periodo de desembolso, con la información relevante para evaluar el cumplimiento de los objetivos</w:t>
      </w:r>
      <w:r w:rsidR="005B352F" w:rsidRPr="000A37CF">
        <w:rPr>
          <w:rFonts w:ascii="Arial" w:hAnsi="Arial" w:cs="Arial"/>
          <w:szCs w:val="24"/>
          <w:lang w:val="es-MX"/>
        </w:rPr>
        <w:t>,</w:t>
      </w:r>
      <w:r w:rsidRPr="000A37CF">
        <w:rPr>
          <w:rFonts w:ascii="Arial" w:hAnsi="Arial" w:cs="Arial"/>
          <w:szCs w:val="24"/>
          <w:lang w:val="es-MX"/>
        </w:rPr>
        <w:t xml:space="preserve"> el comportamiento de los indicadores</w:t>
      </w:r>
      <w:r w:rsidR="005B352F" w:rsidRPr="000A37CF">
        <w:rPr>
          <w:rFonts w:ascii="Arial" w:hAnsi="Arial" w:cs="Arial"/>
          <w:szCs w:val="24"/>
          <w:lang w:val="es-MX"/>
        </w:rPr>
        <w:t xml:space="preserve"> y los estados de cuenta correspondientes</w:t>
      </w:r>
      <w:r w:rsidRPr="000A37CF">
        <w:rPr>
          <w:rFonts w:ascii="Arial" w:hAnsi="Arial" w:cs="Arial"/>
          <w:szCs w:val="24"/>
          <w:lang w:val="es-MX"/>
        </w:rPr>
        <w:t>.</w:t>
      </w:r>
      <w:bookmarkEnd w:id="200"/>
      <w:r w:rsidR="00F93677" w:rsidRPr="000A37CF">
        <w:rPr>
          <w:rFonts w:ascii="Arial" w:hAnsi="Arial" w:cs="Arial"/>
          <w:szCs w:val="24"/>
          <w:lang w:val="es-MX"/>
        </w:rPr>
        <w:br/>
      </w:r>
      <w:bookmarkStart w:id="201" w:name="_Toc321244996"/>
    </w:p>
    <w:p w14:paraId="445B57B1" w14:textId="77777777" w:rsidR="005310E9" w:rsidRPr="0031636D" w:rsidRDefault="00022625" w:rsidP="000A37CF">
      <w:pPr>
        <w:pStyle w:val="Chapter"/>
        <w:tabs>
          <w:tab w:val="clear" w:pos="1440"/>
          <w:tab w:val="clear" w:pos="3054"/>
          <w:tab w:val="num" w:pos="720"/>
          <w:tab w:val="left" w:pos="2835"/>
        </w:tabs>
        <w:ind w:left="720" w:hanging="720"/>
        <w:jc w:val="left"/>
        <w:rPr>
          <w:rFonts w:asciiTheme="minorHAnsi" w:hAnsiTheme="minorHAnsi"/>
          <w:sz w:val="32"/>
          <w:szCs w:val="32"/>
        </w:rPr>
      </w:pPr>
      <w:bookmarkStart w:id="202" w:name="_Toc450149576"/>
      <w:r w:rsidRPr="0031636D">
        <w:rPr>
          <w:rFonts w:asciiTheme="minorHAnsi" w:hAnsiTheme="minorHAnsi"/>
          <w:sz w:val="32"/>
          <w:szCs w:val="32"/>
        </w:rPr>
        <w:t>Auditorías</w:t>
      </w:r>
      <w:bookmarkEnd w:id="201"/>
      <w:bookmarkEnd w:id="202"/>
    </w:p>
    <w:p w14:paraId="7F400926" w14:textId="77777777" w:rsidR="00655249" w:rsidRPr="00B249BA" w:rsidRDefault="00655249" w:rsidP="009067BA">
      <w:pPr>
        <w:pStyle w:val="Paragraph"/>
        <w:numPr>
          <w:ilvl w:val="0"/>
          <w:numId w:val="32"/>
        </w:numPr>
        <w:ind w:hanging="720"/>
        <w:outlineLvl w:val="9"/>
        <w:rPr>
          <w:color w:val="0000FF"/>
          <w:u w:val="single"/>
          <w:lang w:val="es-MX"/>
        </w:rPr>
      </w:pPr>
      <w:bookmarkStart w:id="203" w:name="_Toc321244997"/>
      <w:r w:rsidRPr="00437672">
        <w:rPr>
          <w:rFonts w:ascii="Arial" w:hAnsi="Arial" w:cs="Arial"/>
          <w:szCs w:val="24"/>
          <w:lang w:val="es-MX" w:eastAsia="en-US"/>
        </w:rPr>
        <w:t>La</w:t>
      </w:r>
      <w:r w:rsidRPr="00437672">
        <w:rPr>
          <w:rFonts w:ascii="Arial" w:hAnsi="Arial" w:cs="Arial"/>
          <w:iCs/>
          <w:lang w:val="es-MX"/>
        </w:rPr>
        <w:t xml:space="preserve"> auditoría financiera del Proyecto se realizará anualmente por un auditor externo aceptable para el BID y de acuerdo con los Términos Generales de Referencia</w:t>
      </w:r>
      <w:r w:rsidR="00094D8C" w:rsidRPr="00437672">
        <w:rPr>
          <w:rFonts w:ascii="Arial" w:hAnsi="Arial" w:cs="Arial"/>
          <w:iCs/>
          <w:lang w:val="es-MX"/>
        </w:rPr>
        <w:t xml:space="preserve"> (TGR</w:t>
      </w:r>
      <w:r w:rsidR="00C051CD">
        <w:rPr>
          <w:rFonts w:ascii="Arial" w:hAnsi="Arial" w:cs="Arial"/>
          <w:iCs/>
          <w:lang w:val="es-MX"/>
        </w:rPr>
        <w:t>’</w:t>
      </w:r>
      <w:r w:rsidR="00094D8C" w:rsidRPr="00437672">
        <w:rPr>
          <w:rFonts w:ascii="Arial" w:hAnsi="Arial" w:cs="Arial"/>
          <w:iCs/>
          <w:lang w:val="es-MX"/>
        </w:rPr>
        <w:t>s)</w:t>
      </w:r>
      <w:r w:rsidRPr="00437672">
        <w:rPr>
          <w:rFonts w:ascii="Arial" w:hAnsi="Arial" w:cs="Arial"/>
          <w:iCs/>
          <w:lang w:val="es-MX"/>
        </w:rPr>
        <w:t xml:space="preserve"> </w:t>
      </w:r>
      <w:r w:rsidRPr="00437672">
        <w:rPr>
          <w:rFonts w:ascii="Arial" w:hAnsi="Arial" w:cs="Arial"/>
          <w:iCs/>
          <w:color w:val="333333"/>
          <w:lang w:val="es-MX"/>
        </w:rPr>
        <w:t xml:space="preserve">para Auditorías a Proyectos Financiados por Organismos Financieros Internacionales </w:t>
      </w:r>
      <w:r w:rsidR="000C4D9E" w:rsidRPr="00437672">
        <w:rPr>
          <w:rFonts w:ascii="Arial" w:hAnsi="Arial" w:cs="Arial"/>
          <w:iCs/>
          <w:color w:val="333333"/>
          <w:lang w:val="es-MX"/>
        </w:rPr>
        <w:t>vigentes</w:t>
      </w:r>
      <w:r w:rsidRPr="00437672">
        <w:rPr>
          <w:rFonts w:ascii="Arial" w:hAnsi="Arial" w:cs="Arial"/>
          <w:iCs/>
          <w:color w:val="333333"/>
          <w:lang w:val="es-MX"/>
        </w:rPr>
        <w:t xml:space="preserve">, así como </w:t>
      </w:r>
      <w:r w:rsidRPr="00437672">
        <w:rPr>
          <w:rFonts w:ascii="Arial" w:hAnsi="Arial" w:cs="Arial"/>
          <w:iCs/>
          <w:lang w:val="es-MX"/>
        </w:rPr>
        <w:t xml:space="preserve">la Guía </w:t>
      </w:r>
      <w:r w:rsidR="00256496" w:rsidRPr="00437672">
        <w:rPr>
          <w:rFonts w:ascii="Arial" w:hAnsi="Arial" w:cs="Arial"/>
          <w:iCs/>
          <w:lang w:val="es-MX"/>
        </w:rPr>
        <w:t xml:space="preserve">General </w:t>
      </w:r>
      <w:r w:rsidRPr="00437672">
        <w:rPr>
          <w:rFonts w:ascii="Arial" w:hAnsi="Arial" w:cs="Arial"/>
          <w:iCs/>
          <w:color w:val="333333"/>
          <w:lang w:val="es-MX"/>
        </w:rPr>
        <w:t xml:space="preserve">para la Gestión Financiera de los Proyectos Financiados por Organismos Financieros Internacionales </w:t>
      </w:r>
      <w:r w:rsidR="00094D8C" w:rsidRPr="00437672">
        <w:rPr>
          <w:rFonts w:ascii="Arial" w:hAnsi="Arial" w:cs="Arial"/>
          <w:iCs/>
          <w:color w:val="333333"/>
          <w:lang w:val="es-MX"/>
        </w:rPr>
        <w:t>de acuerdo con la versión vigente</w:t>
      </w:r>
      <w:r w:rsidRPr="00437672">
        <w:rPr>
          <w:rFonts w:ascii="Arial" w:hAnsi="Arial" w:cs="Arial"/>
          <w:iCs/>
          <w:color w:val="333333"/>
          <w:lang w:val="es-MX"/>
        </w:rPr>
        <w:t>,</w:t>
      </w:r>
      <w:r w:rsidR="00806657" w:rsidRPr="00437672">
        <w:rPr>
          <w:rFonts w:ascii="Arial" w:hAnsi="Arial" w:cs="Arial"/>
          <w:iCs/>
          <w:color w:val="333333"/>
          <w:lang w:val="es-MX"/>
        </w:rPr>
        <w:t xml:space="preserve"> </w:t>
      </w:r>
      <w:r w:rsidRPr="00437672">
        <w:rPr>
          <w:rFonts w:ascii="Arial" w:hAnsi="Arial" w:cs="Arial"/>
          <w:iCs/>
          <w:lang w:val="es-MX"/>
        </w:rPr>
        <w:t>acordad</w:t>
      </w:r>
      <w:r w:rsidR="00094D8C" w:rsidRPr="00437672">
        <w:rPr>
          <w:rFonts w:ascii="Arial" w:hAnsi="Arial" w:cs="Arial"/>
          <w:iCs/>
          <w:lang w:val="es-MX"/>
        </w:rPr>
        <w:t>a</w:t>
      </w:r>
      <w:r w:rsidRPr="00437672">
        <w:rPr>
          <w:rFonts w:ascii="Arial" w:hAnsi="Arial" w:cs="Arial"/>
          <w:iCs/>
          <w:lang w:val="es-MX"/>
        </w:rPr>
        <w:t xml:space="preserve"> entre el BID y</w:t>
      </w:r>
      <w:r w:rsidR="003A7B4B" w:rsidRPr="00437672">
        <w:rPr>
          <w:rFonts w:ascii="Arial" w:hAnsi="Arial" w:cs="Arial"/>
          <w:szCs w:val="24"/>
          <w:lang w:val="es-MX"/>
        </w:rPr>
        <w:t xml:space="preserve"> las autoridades normativas</w:t>
      </w:r>
      <w:r w:rsidRPr="00437672">
        <w:rPr>
          <w:rFonts w:ascii="Arial" w:hAnsi="Arial" w:cs="Arial"/>
          <w:szCs w:val="24"/>
          <w:lang w:val="es-MX"/>
        </w:rPr>
        <w:t>,</w:t>
      </w:r>
      <w:r w:rsidR="00E0439F" w:rsidRPr="00437672">
        <w:rPr>
          <w:rFonts w:ascii="Arial" w:hAnsi="Arial" w:cs="Arial"/>
          <w:iCs/>
          <w:lang w:val="es-MX"/>
        </w:rPr>
        <w:t xml:space="preserve"> </w:t>
      </w:r>
      <w:r w:rsidRPr="00437672">
        <w:rPr>
          <w:rFonts w:ascii="Arial" w:hAnsi="Arial" w:cs="Arial"/>
          <w:iCs/>
          <w:lang w:val="es-MX"/>
        </w:rPr>
        <w:t xml:space="preserve">y que se encuentran disponibles en la dirección electrónica: </w:t>
      </w:r>
      <w:r w:rsidR="00075623" w:rsidRPr="007D7526">
        <w:rPr>
          <w:rFonts w:ascii="Arial" w:hAnsi="Arial" w:cs="Arial"/>
          <w:color w:val="0000FF"/>
          <w:u w:val="single"/>
          <w:lang w:val="es-MX"/>
        </w:rPr>
        <w:t>http://www.funcionpublica.gob.mx/index.php/unidades-administrativas/direccion-general-de-auditorias-externas/servicios-que-proporciona-dgae.html</w:t>
      </w:r>
      <w:r w:rsidR="00075623" w:rsidRPr="00437672">
        <w:rPr>
          <w:lang w:val="es-MX"/>
        </w:rPr>
        <w:t xml:space="preserve"> </w:t>
      </w:r>
      <w:bookmarkEnd w:id="203"/>
    </w:p>
    <w:p w14:paraId="56ABED91" w14:textId="77777777" w:rsidR="00B249BA" w:rsidRPr="00437672" w:rsidRDefault="00B249BA" w:rsidP="009067BA">
      <w:pPr>
        <w:pStyle w:val="Paragraph"/>
        <w:numPr>
          <w:ilvl w:val="0"/>
          <w:numId w:val="0"/>
        </w:numPr>
        <w:ind w:left="567" w:hanging="720"/>
        <w:outlineLvl w:val="9"/>
        <w:rPr>
          <w:color w:val="0000FF"/>
          <w:u w:val="single"/>
          <w:lang w:val="es-MX"/>
        </w:rPr>
      </w:pPr>
    </w:p>
    <w:p w14:paraId="1CC5A9C5" w14:textId="77777777" w:rsidR="002C1089" w:rsidRPr="007D7526" w:rsidRDefault="002C1089" w:rsidP="009067BA">
      <w:pPr>
        <w:pStyle w:val="Paragraph"/>
        <w:numPr>
          <w:ilvl w:val="0"/>
          <w:numId w:val="32"/>
        </w:numPr>
        <w:ind w:hanging="720"/>
        <w:outlineLvl w:val="9"/>
        <w:rPr>
          <w:rFonts w:ascii="Arial" w:hAnsi="Arial" w:cs="Arial"/>
          <w:lang w:val="es-MX"/>
        </w:rPr>
      </w:pPr>
      <w:bookmarkStart w:id="204" w:name="_Toc321244998"/>
      <w:r w:rsidRPr="007D7526">
        <w:rPr>
          <w:rFonts w:ascii="Arial" w:hAnsi="Arial" w:cs="Arial"/>
          <w:lang w:val="es-MX"/>
        </w:rPr>
        <w:t>Los</w:t>
      </w:r>
      <w:r w:rsidRPr="007D7526">
        <w:rPr>
          <w:rFonts w:ascii="Arial" w:hAnsi="Arial" w:cs="Arial"/>
          <w:szCs w:val="24"/>
          <w:lang w:val="es-MX"/>
        </w:rPr>
        <w:t xml:space="preserve"> Estados Financieros sobre el </w:t>
      </w:r>
      <w:r w:rsidR="00743CAA" w:rsidRPr="007D7526">
        <w:rPr>
          <w:rFonts w:ascii="Arial" w:hAnsi="Arial" w:cs="Arial"/>
          <w:szCs w:val="24"/>
          <w:lang w:val="es-MX"/>
        </w:rPr>
        <w:t>PFTRG</w:t>
      </w:r>
      <w:r w:rsidRPr="007D7526">
        <w:rPr>
          <w:rFonts w:ascii="Arial" w:hAnsi="Arial" w:cs="Arial"/>
          <w:szCs w:val="24"/>
          <w:lang w:val="es-MX"/>
        </w:rPr>
        <w:t xml:space="preserve"> y Estados Financieros de</w:t>
      </w:r>
      <w:r w:rsidR="005B5EDC" w:rsidRPr="007D7526">
        <w:rPr>
          <w:rFonts w:ascii="Arial" w:hAnsi="Arial" w:cs="Arial"/>
          <w:szCs w:val="24"/>
          <w:lang w:val="es-MX"/>
        </w:rPr>
        <w:t xml:space="preserve"> NAFIN </w:t>
      </w:r>
      <w:r w:rsidRPr="007D7526">
        <w:rPr>
          <w:rFonts w:ascii="Arial" w:hAnsi="Arial" w:cs="Arial"/>
          <w:szCs w:val="24"/>
          <w:lang w:val="es-MX"/>
        </w:rPr>
        <w:t xml:space="preserve"> deberán ser presentados al Banco </w:t>
      </w:r>
      <w:r w:rsidR="00C051CD">
        <w:rPr>
          <w:rFonts w:ascii="Arial" w:hAnsi="Arial" w:cs="Arial"/>
          <w:szCs w:val="24"/>
          <w:lang w:val="es-MX"/>
        </w:rPr>
        <w:t>ciento ochenta (</w:t>
      </w:r>
      <w:r w:rsidR="00D66F1F" w:rsidRPr="007D7526">
        <w:rPr>
          <w:rFonts w:ascii="Arial" w:hAnsi="Arial" w:cs="Arial"/>
          <w:szCs w:val="24"/>
          <w:lang w:val="es-MX"/>
        </w:rPr>
        <w:t>180</w:t>
      </w:r>
      <w:r w:rsidR="00C051CD">
        <w:rPr>
          <w:rFonts w:ascii="Arial" w:hAnsi="Arial" w:cs="Arial"/>
          <w:szCs w:val="24"/>
          <w:lang w:val="es-MX"/>
        </w:rPr>
        <w:t>)</w:t>
      </w:r>
      <w:r w:rsidR="00D66F1F" w:rsidRPr="007D7526">
        <w:rPr>
          <w:rFonts w:ascii="Arial" w:hAnsi="Arial" w:cs="Arial"/>
          <w:szCs w:val="24"/>
          <w:lang w:val="es-MX"/>
        </w:rPr>
        <w:t xml:space="preserve"> </w:t>
      </w:r>
      <w:r w:rsidRPr="007D7526">
        <w:rPr>
          <w:rFonts w:ascii="Arial" w:hAnsi="Arial" w:cs="Arial"/>
          <w:szCs w:val="24"/>
          <w:lang w:val="es-MX"/>
        </w:rPr>
        <w:t xml:space="preserve">días después de concluido cada ejercicio fiscal (diciembre), </w:t>
      </w:r>
      <w:r w:rsidR="00EE71DD" w:rsidRPr="007D7526">
        <w:rPr>
          <w:rFonts w:ascii="Arial" w:hAnsi="Arial" w:cs="Arial"/>
          <w:lang w:val="es-MX"/>
        </w:rPr>
        <w:t>y los</w:t>
      </w:r>
      <w:r w:rsidRPr="007D7526">
        <w:rPr>
          <w:rFonts w:ascii="Arial" w:hAnsi="Arial" w:cs="Arial"/>
          <w:lang w:val="es-MX"/>
        </w:rPr>
        <w:t xml:space="preserve"> Estado</w:t>
      </w:r>
      <w:r w:rsidR="00EE71DD" w:rsidRPr="007D7526">
        <w:rPr>
          <w:rFonts w:ascii="Arial" w:hAnsi="Arial" w:cs="Arial"/>
          <w:lang w:val="es-MX"/>
        </w:rPr>
        <w:t>s</w:t>
      </w:r>
      <w:r w:rsidRPr="007D7526">
        <w:rPr>
          <w:rFonts w:ascii="Arial" w:hAnsi="Arial" w:cs="Arial"/>
          <w:lang w:val="es-MX"/>
        </w:rPr>
        <w:t xml:space="preserve"> Financiero</w:t>
      </w:r>
      <w:r w:rsidR="00EE71DD" w:rsidRPr="007D7526">
        <w:rPr>
          <w:rFonts w:ascii="Arial" w:hAnsi="Arial" w:cs="Arial"/>
          <w:lang w:val="es-MX"/>
        </w:rPr>
        <w:t>s</w:t>
      </w:r>
      <w:r w:rsidRPr="007D7526">
        <w:rPr>
          <w:rFonts w:ascii="Arial" w:hAnsi="Arial" w:cs="Arial"/>
          <w:lang w:val="es-MX"/>
        </w:rPr>
        <w:t xml:space="preserve"> A</w:t>
      </w:r>
      <w:r w:rsidR="00EE71DD" w:rsidRPr="007D7526">
        <w:rPr>
          <w:rFonts w:ascii="Arial" w:hAnsi="Arial" w:cs="Arial"/>
          <w:lang w:val="es-MX"/>
        </w:rPr>
        <w:t>udita</w:t>
      </w:r>
      <w:r w:rsidR="000933C7" w:rsidRPr="007D7526">
        <w:rPr>
          <w:rFonts w:ascii="Arial" w:hAnsi="Arial" w:cs="Arial"/>
          <w:lang w:val="es-MX"/>
        </w:rPr>
        <w:t>dos</w:t>
      </w:r>
      <w:r w:rsidRPr="007D7526">
        <w:rPr>
          <w:rFonts w:ascii="Arial" w:hAnsi="Arial" w:cs="Arial"/>
          <w:lang w:val="es-MX"/>
        </w:rPr>
        <w:t xml:space="preserve"> (EFA) final</w:t>
      </w:r>
      <w:r w:rsidR="00EE71DD" w:rsidRPr="007D7526">
        <w:rPr>
          <w:rFonts w:ascii="Arial" w:hAnsi="Arial" w:cs="Arial"/>
          <w:lang w:val="es-MX"/>
        </w:rPr>
        <w:t>es</w:t>
      </w:r>
      <w:r w:rsidRPr="007D7526">
        <w:rPr>
          <w:rFonts w:ascii="Arial" w:hAnsi="Arial" w:cs="Arial"/>
          <w:lang w:val="es-MX"/>
        </w:rPr>
        <w:t xml:space="preserve"> </w:t>
      </w:r>
      <w:r w:rsidR="00787579" w:rsidRPr="007D7526">
        <w:rPr>
          <w:rFonts w:ascii="Arial" w:hAnsi="Arial" w:cs="Arial"/>
          <w:lang w:val="es-MX"/>
        </w:rPr>
        <w:t xml:space="preserve">del </w:t>
      </w:r>
      <w:r w:rsidR="00743CAA" w:rsidRPr="007D7526">
        <w:rPr>
          <w:rFonts w:ascii="Arial" w:hAnsi="Arial" w:cs="Arial"/>
          <w:lang w:val="es-MX"/>
        </w:rPr>
        <w:t>PFTRG</w:t>
      </w:r>
      <w:r w:rsidR="00787579" w:rsidRPr="007D7526">
        <w:rPr>
          <w:rFonts w:ascii="Arial" w:hAnsi="Arial" w:cs="Arial"/>
          <w:lang w:val="es-MX"/>
        </w:rPr>
        <w:t xml:space="preserve"> </w:t>
      </w:r>
      <w:r w:rsidR="00C051CD">
        <w:rPr>
          <w:rFonts w:ascii="Arial" w:hAnsi="Arial" w:cs="Arial"/>
          <w:lang w:val="es-MX"/>
        </w:rPr>
        <w:t>ciento ochenta (</w:t>
      </w:r>
      <w:r w:rsidR="00D66F1F" w:rsidRPr="007D7526">
        <w:rPr>
          <w:rFonts w:ascii="Arial" w:hAnsi="Arial" w:cs="Arial"/>
          <w:lang w:val="es-MX"/>
        </w:rPr>
        <w:t>180</w:t>
      </w:r>
      <w:r w:rsidR="00C051CD">
        <w:rPr>
          <w:rFonts w:ascii="Arial" w:hAnsi="Arial" w:cs="Arial"/>
          <w:lang w:val="es-MX"/>
        </w:rPr>
        <w:t>)</w:t>
      </w:r>
      <w:r w:rsidR="00D66F1F" w:rsidRPr="007D7526">
        <w:rPr>
          <w:rFonts w:ascii="Arial" w:hAnsi="Arial" w:cs="Arial"/>
          <w:lang w:val="es-MX"/>
        </w:rPr>
        <w:t xml:space="preserve"> </w:t>
      </w:r>
      <w:r w:rsidRPr="007D7526">
        <w:rPr>
          <w:rFonts w:ascii="Arial" w:hAnsi="Arial" w:cs="Arial"/>
          <w:lang w:val="es-MX"/>
        </w:rPr>
        <w:t>días después de la fecha</w:t>
      </w:r>
      <w:r w:rsidR="005B5EDC" w:rsidRPr="007D7526">
        <w:rPr>
          <w:rFonts w:ascii="Arial" w:hAnsi="Arial" w:cs="Arial"/>
          <w:lang w:val="es-MX"/>
        </w:rPr>
        <w:t xml:space="preserve"> de </w:t>
      </w:r>
      <w:r w:rsidR="007D2630" w:rsidRPr="007D7526">
        <w:rPr>
          <w:rFonts w:ascii="Arial" w:hAnsi="Arial" w:cs="Arial"/>
          <w:lang w:val="es-MX"/>
        </w:rPr>
        <w:t>último desembolso</w:t>
      </w:r>
      <w:r w:rsidR="00012BFA" w:rsidRPr="007D7526">
        <w:rPr>
          <w:rFonts w:ascii="Arial" w:hAnsi="Arial" w:cs="Arial"/>
          <w:lang w:val="es-MX"/>
        </w:rPr>
        <w:t>,</w:t>
      </w:r>
      <w:r w:rsidR="00012BFA" w:rsidRPr="007D7526">
        <w:rPr>
          <w:rFonts w:ascii="Arial" w:hAnsi="Arial" w:cs="Arial"/>
          <w:szCs w:val="24"/>
          <w:lang w:val="es-MX"/>
        </w:rPr>
        <w:t xml:space="preserve"> conforme a la Guía </w:t>
      </w:r>
      <w:r w:rsidR="005B5EDC" w:rsidRPr="007D7526">
        <w:rPr>
          <w:rFonts w:ascii="Arial" w:hAnsi="Arial" w:cs="Arial"/>
          <w:szCs w:val="24"/>
          <w:lang w:val="es-MX"/>
        </w:rPr>
        <w:t xml:space="preserve">General </w:t>
      </w:r>
      <w:r w:rsidR="00012BFA" w:rsidRPr="007D7526">
        <w:rPr>
          <w:rFonts w:ascii="Arial" w:hAnsi="Arial" w:cs="Arial"/>
          <w:szCs w:val="24"/>
          <w:lang w:val="es-MX"/>
        </w:rPr>
        <w:t>para la Gestión Financiera de los proyectos financiados por OFI</w:t>
      </w:r>
      <w:r w:rsidR="00CA6D60" w:rsidRPr="007D7526">
        <w:rPr>
          <w:rFonts w:ascii="Arial" w:hAnsi="Arial" w:cs="Arial"/>
          <w:szCs w:val="24"/>
          <w:lang w:val="es-MX"/>
        </w:rPr>
        <w:t>s</w:t>
      </w:r>
      <w:r w:rsidR="00012BFA" w:rsidRPr="007D7526">
        <w:rPr>
          <w:rFonts w:ascii="Arial" w:hAnsi="Arial" w:cs="Arial"/>
          <w:szCs w:val="24"/>
          <w:lang w:val="es-MX"/>
        </w:rPr>
        <w:t xml:space="preserve"> y Modelos emitidos por </w:t>
      </w:r>
      <w:r w:rsidR="005B5EDC" w:rsidRPr="007D7526">
        <w:rPr>
          <w:rFonts w:ascii="Arial" w:hAnsi="Arial" w:cs="Arial"/>
          <w:szCs w:val="24"/>
          <w:lang w:val="es-MX"/>
        </w:rPr>
        <w:t xml:space="preserve">las autoridades normativas </w:t>
      </w:r>
      <w:r w:rsidR="00012BFA" w:rsidRPr="007D7526">
        <w:rPr>
          <w:rFonts w:ascii="Arial" w:hAnsi="Arial" w:cs="Arial"/>
          <w:szCs w:val="24"/>
          <w:lang w:val="es-MX"/>
        </w:rPr>
        <w:t>(incluyendo la Conciliación del Fondo Rotatorio a cargo de Administración de Proyectos)</w:t>
      </w:r>
      <w:r w:rsidR="00032B60" w:rsidRPr="007D7526">
        <w:rPr>
          <w:rFonts w:ascii="Arial" w:hAnsi="Arial" w:cs="Arial"/>
          <w:szCs w:val="24"/>
          <w:lang w:val="es-MX"/>
        </w:rPr>
        <w:t>.</w:t>
      </w:r>
      <w:r w:rsidR="00532D11" w:rsidRPr="007D7526">
        <w:rPr>
          <w:rFonts w:ascii="Arial" w:hAnsi="Arial" w:cs="Arial"/>
          <w:lang w:val="es-MX"/>
        </w:rPr>
        <w:t xml:space="preserve"> Los EFA deberán incluir información sobre: (a) el monto, estado y nivel de uso de las LCC que se hayan abierto; (b) datos básicos de los beneficiarios; (c) si existieran, los montos provenientes de recuperaciones y su eventual reinversión</w:t>
      </w:r>
      <w:bookmarkEnd w:id="204"/>
      <w:r w:rsidR="00B249BA" w:rsidRPr="007D7526">
        <w:rPr>
          <w:rFonts w:ascii="Arial" w:hAnsi="Arial" w:cs="Arial"/>
          <w:lang w:val="es-MX"/>
        </w:rPr>
        <w:t>.</w:t>
      </w:r>
    </w:p>
    <w:p w14:paraId="660EB917" w14:textId="77777777" w:rsidR="00292D1F" w:rsidRPr="000A37CF" w:rsidRDefault="001F0696" w:rsidP="000A37CF">
      <w:pPr>
        <w:pStyle w:val="Paragraph"/>
        <w:numPr>
          <w:ilvl w:val="0"/>
          <w:numId w:val="32"/>
        </w:numPr>
        <w:ind w:hanging="720"/>
        <w:outlineLvl w:val="9"/>
        <w:rPr>
          <w:rFonts w:ascii="Tahoma" w:hAnsi="Tahoma" w:cs="Tahoma"/>
        </w:rPr>
      </w:pPr>
      <w:bookmarkStart w:id="205" w:name="_Toc321244999"/>
      <w:r w:rsidRPr="000A37CF">
        <w:rPr>
          <w:rFonts w:ascii="Arial" w:hAnsi="Arial" w:cs="Arial"/>
          <w:lang w:val="es-MX"/>
        </w:rPr>
        <w:t xml:space="preserve">Adicionalmente, NAFIN presentará informes financieros sobre la cuenta del </w:t>
      </w:r>
      <w:r w:rsidR="00743CAA" w:rsidRPr="000A37CF">
        <w:rPr>
          <w:rFonts w:ascii="Arial" w:hAnsi="Arial" w:cs="Arial"/>
          <w:lang w:val="es-MX"/>
        </w:rPr>
        <w:t>PFTRG</w:t>
      </w:r>
      <w:r w:rsidRPr="000A37CF">
        <w:rPr>
          <w:rFonts w:ascii="Arial" w:hAnsi="Arial" w:cs="Arial"/>
          <w:lang w:val="es-MX"/>
        </w:rPr>
        <w:t xml:space="preserve">, dictaminados por una firma auditora, durante el periodo de </w:t>
      </w:r>
      <w:r w:rsidR="00C051CD" w:rsidRPr="000A37CF">
        <w:rPr>
          <w:rFonts w:ascii="Arial" w:hAnsi="Arial" w:cs="Arial"/>
          <w:lang w:val="es-MX"/>
        </w:rPr>
        <w:t>diez (</w:t>
      </w:r>
      <w:r w:rsidR="00462FEC" w:rsidRPr="000A37CF">
        <w:rPr>
          <w:rFonts w:ascii="Arial" w:hAnsi="Arial" w:cs="Arial"/>
          <w:lang w:val="es-MX"/>
        </w:rPr>
        <w:t>10</w:t>
      </w:r>
      <w:r w:rsidR="00C051CD" w:rsidRPr="000A37CF">
        <w:rPr>
          <w:rFonts w:ascii="Arial" w:hAnsi="Arial" w:cs="Arial"/>
          <w:lang w:val="es-MX"/>
        </w:rPr>
        <w:t>)</w:t>
      </w:r>
      <w:r w:rsidR="00462FEC" w:rsidRPr="000A37CF">
        <w:rPr>
          <w:rFonts w:ascii="Arial" w:hAnsi="Arial" w:cs="Arial"/>
          <w:lang w:val="es-MX"/>
        </w:rPr>
        <w:t xml:space="preserve"> </w:t>
      </w:r>
      <w:r w:rsidRPr="000A37CF">
        <w:rPr>
          <w:rFonts w:ascii="Arial" w:hAnsi="Arial" w:cs="Arial"/>
          <w:lang w:val="es-MX"/>
        </w:rPr>
        <w:t xml:space="preserve">años posteriores a la fecha del último desembolso del financiamiento del Banco, para comprobar el destino final de las Operaciones Elegibles financiadas por el </w:t>
      </w:r>
      <w:r w:rsidR="00743CAA" w:rsidRPr="000A37CF">
        <w:rPr>
          <w:rFonts w:ascii="Arial" w:hAnsi="Arial" w:cs="Arial"/>
          <w:lang w:val="es-MX"/>
        </w:rPr>
        <w:t>PFTRG</w:t>
      </w:r>
      <w:r w:rsidRPr="000A37CF">
        <w:rPr>
          <w:rFonts w:ascii="Arial" w:hAnsi="Arial" w:cs="Arial"/>
          <w:lang w:val="es-MX"/>
        </w:rPr>
        <w:t xml:space="preserve"> y en especial sobre la utilización de las </w:t>
      </w:r>
      <w:r w:rsidR="00C06E45" w:rsidRPr="000A37CF">
        <w:rPr>
          <w:rFonts w:ascii="Arial" w:hAnsi="Arial" w:cs="Arial"/>
          <w:lang w:val="es-MX"/>
        </w:rPr>
        <w:t>LCC</w:t>
      </w:r>
      <w:r w:rsidRPr="000A37CF">
        <w:rPr>
          <w:rFonts w:ascii="Arial" w:hAnsi="Arial" w:cs="Arial"/>
          <w:lang w:val="es-MX"/>
        </w:rPr>
        <w:t>.</w:t>
      </w:r>
      <w:bookmarkEnd w:id="205"/>
    </w:p>
    <w:p w14:paraId="5DDF8EFB" w14:textId="77777777" w:rsidR="009A4EB1" w:rsidRPr="0031636D" w:rsidRDefault="009A4EB1" w:rsidP="000A37CF">
      <w:pPr>
        <w:pStyle w:val="Chapter"/>
        <w:tabs>
          <w:tab w:val="clear" w:pos="1440"/>
          <w:tab w:val="clear" w:pos="3054"/>
          <w:tab w:val="left" w:pos="0"/>
        </w:tabs>
        <w:ind w:left="0" w:firstLine="0"/>
        <w:jc w:val="left"/>
        <w:rPr>
          <w:rFonts w:asciiTheme="minorHAnsi" w:hAnsiTheme="minorHAnsi"/>
          <w:sz w:val="32"/>
          <w:szCs w:val="32"/>
        </w:rPr>
      </w:pPr>
      <w:bookmarkStart w:id="206" w:name="_Toc321245000"/>
      <w:bookmarkStart w:id="207" w:name="_Toc450149577"/>
      <w:bookmarkEnd w:id="181"/>
      <w:bookmarkEnd w:id="182"/>
      <w:bookmarkEnd w:id="183"/>
      <w:bookmarkEnd w:id="184"/>
      <w:bookmarkEnd w:id="185"/>
      <w:bookmarkEnd w:id="186"/>
      <w:r w:rsidRPr="0031636D">
        <w:rPr>
          <w:rFonts w:asciiTheme="minorHAnsi" w:hAnsiTheme="minorHAnsi"/>
          <w:sz w:val="32"/>
          <w:szCs w:val="32"/>
        </w:rPr>
        <w:lastRenderedPageBreak/>
        <w:t xml:space="preserve">Estructura Operativa-Administrativa del </w:t>
      </w:r>
      <w:bookmarkEnd w:id="206"/>
      <w:r w:rsidR="00743CAA" w:rsidRPr="0031636D">
        <w:rPr>
          <w:rFonts w:asciiTheme="minorHAnsi" w:hAnsiTheme="minorHAnsi"/>
          <w:sz w:val="32"/>
          <w:szCs w:val="32"/>
        </w:rPr>
        <w:t>PFTRG</w:t>
      </w:r>
      <w:bookmarkEnd w:id="207"/>
    </w:p>
    <w:p w14:paraId="647D150A" w14:textId="4BC69EB6" w:rsidR="006670CD" w:rsidRPr="008C38DE" w:rsidRDefault="006670CD" w:rsidP="009067BA">
      <w:pPr>
        <w:pStyle w:val="Paragraph"/>
        <w:numPr>
          <w:ilvl w:val="0"/>
          <w:numId w:val="35"/>
        </w:numPr>
        <w:ind w:left="426" w:hanging="568"/>
        <w:outlineLvl w:val="9"/>
        <w:rPr>
          <w:rFonts w:ascii="Arial" w:hAnsi="Arial" w:cs="Arial"/>
          <w:szCs w:val="24"/>
          <w:lang w:val="es-MX"/>
        </w:rPr>
      </w:pPr>
      <w:bookmarkStart w:id="208" w:name="_Toc321245001"/>
      <w:r w:rsidRPr="008C38DE">
        <w:rPr>
          <w:rFonts w:ascii="Arial" w:hAnsi="Arial" w:cs="Arial"/>
          <w:b/>
          <w:szCs w:val="24"/>
          <w:lang w:val="es-MX"/>
        </w:rPr>
        <w:t xml:space="preserve">Comité </w:t>
      </w:r>
      <w:r w:rsidR="008630A7">
        <w:rPr>
          <w:rFonts w:ascii="Arial" w:hAnsi="Arial" w:cs="Arial"/>
          <w:b/>
          <w:szCs w:val="24"/>
          <w:lang w:val="es-MX"/>
        </w:rPr>
        <w:t>de Coordinación del Programa</w:t>
      </w:r>
      <w:r w:rsidR="00476543">
        <w:rPr>
          <w:rFonts w:ascii="Arial" w:hAnsi="Arial" w:cs="Arial"/>
          <w:szCs w:val="24"/>
          <w:lang w:val="es-MX"/>
        </w:rPr>
        <w:t xml:space="preserve">.  </w:t>
      </w:r>
      <w:r w:rsidR="00476543" w:rsidRPr="008C38DE">
        <w:rPr>
          <w:rFonts w:ascii="Arial" w:hAnsi="Arial" w:cs="Arial"/>
          <w:szCs w:val="24"/>
        </w:rPr>
        <w:t xml:space="preserve">Fiduciariamente el programa seguirá siendo ejecutado por NAFIN, esta vez con apoyo del INEEL como brazo técnico operativo, y en estrecha coordinación con la SENER como cabeza de sector. Para ello, se propone establecer un </w:t>
      </w:r>
      <w:r w:rsidR="00476543">
        <w:rPr>
          <w:rFonts w:ascii="Arial" w:hAnsi="Arial" w:cs="Arial"/>
          <w:szCs w:val="24"/>
        </w:rPr>
        <w:t>C</w:t>
      </w:r>
      <w:r w:rsidR="00476543" w:rsidRPr="008C38DE">
        <w:rPr>
          <w:rFonts w:ascii="Arial" w:hAnsi="Arial" w:cs="Arial"/>
          <w:szCs w:val="24"/>
        </w:rPr>
        <w:t xml:space="preserve">omité </w:t>
      </w:r>
      <w:r w:rsidR="00476543">
        <w:rPr>
          <w:rFonts w:ascii="Arial" w:hAnsi="Arial" w:cs="Arial"/>
          <w:szCs w:val="24"/>
        </w:rPr>
        <w:t>O</w:t>
      </w:r>
      <w:r w:rsidR="00476543" w:rsidRPr="008C38DE">
        <w:rPr>
          <w:rFonts w:ascii="Arial" w:hAnsi="Arial" w:cs="Arial"/>
          <w:szCs w:val="24"/>
        </w:rPr>
        <w:t>perativo que será convocado por la SENER, con participación de NAFIN, INEEL, SHCP y el Banco Interamericano de Desarrollo (BID). El comité deberá facilitar el establecimiento de un mecanismo de ejecución coordinado por las entidades pertinentes, de acuerdo con sus competencias y responsabilidades, garantizando así una ejecución integral y de mayor impacto del programa. Este comité operativo será el resultado del actual grupo de trabajo conformado por las partes antes mencionadas que busca apoyar la ejecución coordinada del programa</w:t>
      </w:r>
      <w:r w:rsidR="00476543">
        <w:rPr>
          <w:rFonts w:ascii="Arial" w:hAnsi="Arial" w:cs="Arial"/>
          <w:szCs w:val="24"/>
        </w:rPr>
        <w:t>.</w:t>
      </w:r>
    </w:p>
    <w:p w14:paraId="2C259ABC" w14:textId="004259CD" w:rsidR="00476543" w:rsidRPr="009179E6" w:rsidRDefault="00476543" w:rsidP="009067BA">
      <w:pPr>
        <w:pStyle w:val="Paragraph"/>
        <w:numPr>
          <w:ilvl w:val="0"/>
          <w:numId w:val="35"/>
        </w:numPr>
        <w:ind w:left="426" w:hanging="568"/>
        <w:outlineLvl w:val="9"/>
        <w:rPr>
          <w:rFonts w:ascii="Arial" w:hAnsi="Arial" w:cs="Arial"/>
          <w:szCs w:val="24"/>
          <w:lang w:val="es-MX"/>
        </w:rPr>
      </w:pPr>
      <w:r w:rsidRPr="008C38DE">
        <w:rPr>
          <w:rFonts w:ascii="Arial" w:hAnsi="Arial" w:cs="Arial"/>
          <w:szCs w:val="24"/>
        </w:rPr>
        <w:t>Una vez que se haya aprobado la modificación el programa, este grupo de trabajo se transformará en el comité de coordinación que esté conformado por NAFIN, SENER, SHCP, INEEL y el BID, y que será presidido por la SENER una vez que la operación modificada haya sido aprobada en el directorio del BID.</w:t>
      </w:r>
    </w:p>
    <w:p w14:paraId="7B8976E2" w14:textId="77777777" w:rsidR="009A4EB1" w:rsidRPr="0058712B" w:rsidRDefault="009A4EB1" w:rsidP="009067BA">
      <w:pPr>
        <w:pStyle w:val="Paragraph"/>
        <w:numPr>
          <w:ilvl w:val="0"/>
          <w:numId w:val="35"/>
        </w:numPr>
        <w:ind w:left="426" w:hanging="568"/>
        <w:outlineLvl w:val="9"/>
        <w:rPr>
          <w:rFonts w:ascii="Arial" w:hAnsi="Arial" w:cs="Arial"/>
          <w:szCs w:val="24"/>
          <w:lang w:val="es-MX"/>
        </w:rPr>
      </w:pPr>
      <w:r w:rsidRPr="0058712B">
        <w:rPr>
          <w:rFonts w:ascii="Arial" w:hAnsi="Arial" w:cs="Arial"/>
          <w:b/>
          <w:szCs w:val="24"/>
          <w:lang w:val="es-MX"/>
        </w:rPr>
        <w:t xml:space="preserve">Coordinación del </w:t>
      </w:r>
      <w:r w:rsidR="00743CAA" w:rsidRPr="0058712B">
        <w:rPr>
          <w:rFonts w:ascii="Arial" w:hAnsi="Arial" w:cs="Arial"/>
          <w:b/>
          <w:szCs w:val="24"/>
          <w:lang w:val="es-MX"/>
        </w:rPr>
        <w:t>PFTRG</w:t>
      </w:r>
      <w:r w:rsidR="00B40616" w:rsidRPr="0058712B">
        <w:rPr>
          <w:rFonts w:ascii="Arial" w:hAnsi="Arial" w:cs="Arial"/>
          <w:b/>
          <w:szCs w:val="24"/>
          <w:lang w:val="es-MX"/>
        </w:rPr>
        <w:t xml:space="preserve"> </w:t>
      </w:r>
      <w:r w:rsidR="00B40616" w:rsidRPr="003B665D">
        <w:rPr>
          <w:rFonts w:ascii="Arial" w:hAnsi="Arial" w:cs="Arial"/>
          <w:b/>
          <w:szCs w:val="24"/>
          <w:lang w:val="es-MX"/>
        </w:rPr>
        <w:t xml:space="preserve">con </w:t>
      </w:r>
      <w:r w:rsidR="00B40616" w:rsidRPr="000A37CF">
        <w:rPr>
          <w:rFonts w:ascii="Arial" w:hAnsi="Arial" w:cs="Arial"/>
          <w:b/>
          <w:szCs w:val="24"/>
          <w:lang w:val="es-MX"/>
        </w:rPr>
        <w:t>el Banco</w:t>
      </w:r>
      <w:r w:rsidRPr="000A37CF">
        <w:rPr>
          <w:rFonts w:ascii="Arial" w:hAnsi="Arial" w:cs="Arial"/>
          <w:b/>
          <w:szCs w:val="24"/>
          <w:lang w:val="es-MX"/>
        </w:rPr>
        <w:t>.</w:t>
      </w:r>
      <w:r w:rsidRPr="0058712B">
        <w:rPr>
          <w:rFonts w:ascii="Arial" w:hAnsi="Arial" w:cs="Arial"/>
          <w:szCs w:val="24"/>
          <w:lang w:val="es-MX"/>
        </w:rPr>
        <w:t xml:space="preserve"> Los procedimientos legales y administrativos relacionados con la ejecución del </w:t>
      </w:r>
      <w:r w:rsidR="00743CAA" w:rsidRPr="0058712B">
        <w:rPr>
          <w:rFonts w:ascii="Arial" w:hAnsi="Arial" w:cs="Arial"/>
          <w:szCs w:val="24"/>
          <w:lang w:val="es-MX"/>
        </w:rPr>
        <w:t>PFTRG</w:t>
      </w:r>
      <w:r w:rsidRPr="0058712B">
        <w:rPr>
          <w:rFonts w:ascii="Arial" w:hAnsi="Arial" w:cs="Arial"/>
          <w:szCs w:val="24"/>
          <w:lang w:val="es-MX"/>
        </w:rPr>
        <w:t xml:space="preserve">, </w:t>
      </w:r>
      <w:r w:rsidR="00B0186D" w:rsidRPr="0058712B">
        <w:rPr>
          <w:rFonts w:ascii="Arial" w:hAnsi="Arial" w:cs="Arial"/>
          <w:szCs w:val="24"/>
          <w:lang w:val="es-MX"/>
        </w:rPr>
        <w:t xml:space="preserve">que </w:t>
      </w:r>
      <w:r w:rsidRPr="0058712B">
        <w:rPr>
          <w:rFonts w:ascii="Arial" w:hAnsi="Arial" w:cs="Arial"/>
          <w:szCs w:val="24"/>
          <w:lang w:val="es-MX"/>
        </w:rPr>
        <w:t>deben ser gestionados ante</w:t>
      </w:r>
      <w:r w:rsidR="002725FF" w:rsidRPr="0058712B">
        <w:rPr>
          <w:rFonts w:ascii="Arial" w:hAnsi="Arial" w:cs="Arial"/>
          <w:szCs w:val="24"/>
          <w:lang w:val="es-MX"/>
        </w:rPr>
        <w:t xml:space="preserve"> el Banco</w:t>
      </w:r>
      <w:r w:rsidRPr="0058712B">
        <w:rPr>
          <w:rFonts w:ascii="Arial" w:hAnsi="Arial" w:cs="Arial"/>
          <w:szCs w:val="24"/>
          <w:lang w:val="es-MX"/>
        </w:rPr>
        <w:t xml:space="preserve"> </w:t>
      </w:r>
      <w:r w:rsidR="00B0186D" w:rsidRPr="0058712B">
        <w:rPr>
          <w:rFonts w:ascii="Arial" w:hAnsi="Arial" w:cs="Arial"/>
          <w:szCs w:val="24"/>
          <w:lang w:val="es-MX"/>
        </w:rPr>
        <w:t xml:space="preserve">se realizarán </w:t>
      </w:r>
      <w:r w:rsidRPr="0058712B">
        <w:rPr>
          <w:rFonts w:ascii="Arial" w:hAnsi="Arial" w:cs="Arial"/>
          <w:szCs w:val="24"/>
          <w:lang w:val="es-MX"/>
        </w:rPr>
        <w:t>a través de</w:t>
      </w:r>
      <w:r w:rsidR="00FF4DD8" w:rsidRPr="0058712B">
        <w:rPr>
          <w:rFonts w:ascii="Arial" w:hAnsi="Arial" w:cs="Arial"/>
          <w:szCs w:val="24"/>
          <w:lang w:val="es-MX"/>
        </w:rPr>
        <w:t xml:space="preserve"> la DOFI de </w:t>
      </w:r>
      <w:r w:rsidRPr="0058712B">
        <w:rPr>
          <w:rFonts w:ascii="Arial" w:hAnsi="Arial" w:cs="Arial"/>
          <w:szCs w:val="24"/>
          <w:lang w:val="es-MX"/>
        </w:rPr>
        <w:t xml:space="preserve">NAFIN. </w:t>
      </w:r>
      <w:r w:rsidR="00806A29">
        <w:rPr>
          <w:rFonts w:ascii="Arial" w:hAnsi="Arial" w:cs="Arial"/>
          <w:szCs w:val="24"/>
          <w:lang w:val="es-MX"/>
        </w:rPr>
        <w:t xml:space="preserve">Esta </w:t>
      </w:r>
      <w:r w:rsidR="00A1335A">
        <w:rPr>
          <w:rFonts w:ascii="Arial" w:hAnsi="Arial" w:cs="Arial"/>
          <w:szCs w:val="24"/>
          <w:lang w:val="es-MX"/>
        </w:rPr>
        <w:t xml:space="preserve">Dirección </w:t>
      </w:r>
      <w:r w:rsidR="00A1335A" w:rsidRPr="0058712B">
        <w:rPr>
          <w:rFonts w:ascii="Arial" w:hAnsi="Arial" w:cs="Arial"/>
          <w:szCs w:val="24"/>
          <w:lang w:val="es-MX"/>
        </w:rPr>
        <w:t>es</w:t>
      </w:r>
      <w:r w:rsidRPr="0058712B">
        <w:rPr>
          <w:rFonts w:ascii="Arial" w:hAnsi="Arial" w:cs="Arial"/>
          <w:szCs w:val="24"/>
          <w:lang w:val="es-MX"/>
        </w:rPr>
        <w:t xml:space="preserve"> la ventanilla única ante el Banco para:</w:t>
      </w:r>
      <w:bookmarkEnd w:id="208"/>
    </w:p>
    <w:p w14:paraId="63A2B269" w14:textId="77777777" w:rsidR="005E102B" w:rsidRPr="0058712B" w:rsidRDefault="00455843" w:rsidP="009067BA">
      <w:pPr>
        <w:numPr>
          <w:ilvl w:val="0"/>
          <w:numId w:val="33"/>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z w:val="24"/>
          <w:szCs w:val="24"/>
          <w:shd w:val="clear" w:color="auto" w:fill="FFFFFF"/>
        </w:rPr>
      </w:pPr>
      <w:r w:rsidRPr="0058712B">
        <w:rPr>
          <w:rFonts w:ascii="Arial" w:hAnsi="Arial" w:cs="Arial"/>
          <w:sz w:val="24"/>
          <w:szCs w:val="24"/>
        </w:rPr>
        <w:t xml:space="preserve">El seguimiento para el cumplimiento de los compromisos contractuales establecidos en </w:t>
      </w:r>
      <w:r w:rsidR="00C54609">
        <w:rPr>
          <w:rFonts w:ascii="Arial" w:hAnsi="Arial" w:cs="Arial"/>
          <w:sz w:val="24"/>
          <w:szCs w:val="24"/>
        </w:rPr>
        <w:t xml:space="preserve">los </w:t>
      </w:r>
      <w:r w:rsidRPr="0058712B">
        <w:rPr>
          <w:rFonts w:ascii="Arial" w:hAnsi="Arial" w:cs="Arial"/>
          <w:sz w:val="24"/>
          <w:szCs w:val="24"/>
        </w:rPr>
        <w:t>Contrato</w:t>
      </w:r>
      <w:r w:rsidR="00C54609">
        <w:rPr>
          <w:rFonts w:ascii="Arial" w:hAnsi="Arial" w:cs="Arial"/>
          <w:sz w:val="24"/>
          <w:szCs w:val="24"/>
        </w:rPr>
        <w:t>s</w:t>
      </w:r>
      <w:r w:rsidRPr="0058712B">
        <w:rPr>
          <w:rFonts w:ascii="Arial" w:hAnsi="Arial" w:cs="Arial"/>
          <w:sz w:val="24"/>
          <w:szCs w:val="24"/>
        </w:rPr>
        <w:t xml:space="preserve"> de Préstamo</w:t>
      </w:r>
      <w:r w:rsidR="00A11A93" w:rsidRPr="0058712B">
        <w:rPr>
          <w:rFonts w:ascii="Arial" w:hAnsi="Arial" w:cs="Arial"/>
          <w:sz w:val="24"/>
          <w:szCs w:val="24"/>
        </w:rPr>
        <w:t>.</w:t>
      </w:r>
    </w:p>
    <w:p w14:paraId="73A35F27" w14:textId="77777777" w:rsidR="005E102B" w:rsidRPr="0058712B" w:rsidRDefault="009A4EB1" w:rsidP="009067BA">
      <w:pPr>
        <w:numPr>
          <w:ilvl w:val="0"/>
          <w:numId w:val="33"/>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z w:val="24"/>
          <w:szCs w:val="24"/>
          <w:shd w:val="clear" w:color="auto" w:fill="FFFFFF"/>
        </w:rPr>
      </w:pPr>
      <w:r w:rsidRPr="0058712B">
        <w:rPr>
          <w:rFonts w:ascii="Arial" w:hAnsi="Arial" w:cs="Arial"/>
          <w:sz w:val="24"/>
          <w:szCs w:val="24"/>
        </w:rPr>
        <w:t>La revisión y gestión de los procesos de adquisición y contratación</w:t>
      </w:r>
      <w:r w:rsidR="00E0439F" w:rsidRPr="0058712B">
        <w:rPr>
          <w:rFonts w:ascii="Arial" w:hAnsi="Arial" w:cs="Arial"/>
          <w:sz w:val="24"/>
          <w:szCs w:val="24"/>
        </w:rPr>
        <w:t xml:space="preserve"> </w:t>
      </w:r>
      <w:r w:rsidRPr="0058712B">
        <w:rPr>
          <w:rFonts w:ascii="Arial" w:hAnsi="Arial" w:cs="Arial"/>
          <w:sz w:val="24"/>
          <w:szCs w:val="24"/>
        </w:rPr>
        <w:t>sujetos a revisión previa y que requieren la obtención de la No Objeción del Banco, así como la revisión y registro de los procesos de adquisición y contratación sujetos a revisión posterior o</w:t>
      </w:r>
      <w:r w:rsidR="000D7C13" w:rsidRPr="0058712B">
        <w:rPr>
          <w:rFonts w:ascii="Arial" w:hAnsi="Arial" w:cs="Arial"/>
          <w:sz w:val="24"/>
          <w:szCs w:val="24"/>
        </w:rPr>
        <w:t xml:space="preserve"> ex-post</w:t>
      </w:r>
      <w:r w:rsidR="00A11A93" w:rsidRPr="0058712B">
        <w:rPr>
          <w:rFonts w:ascii="Arial" w:hAnsi="Arial" w:cs="Arial"/>
          <w:sz w:val="24"/>
          <w:szCs w:val="24"/>
        </w:rPr>
        <w:t>.</w:t>
      </w:r>
    </w:p>
    <w:p w14:paraId="5D86426B" w14:textId="77777777" w:rsidR="005E102B" w:rsidRPr="00B54B00" w:rsidRDefault="00104DB9" w:rsidP="009067BA">
      <w:pPr>
        <w:numPr>
          <w:ilvl w:val="0"/>
          <w:numId w:val="33"/>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z w:val="24"/>
          <w:szCs w:val="24"/>
          <w:shd w:val="clear" w:color="auto" w:fill="FFFFFF"/>
        </w:rPr>
      </w:pPr>
      <w:r w:rsidRPr="0058712B">
        <w:rPr>
          <w:rFonts w:ascii="Arial" w:hAnsi="Arial" w:cs="Arial"/>
          <w:sz w:val="24"/>
          <w:szCs w:val="24"/>
        </w:rPr>
        <w:t xml:space="preserve">La negociación o renegociación con el Banco de los documentos legales del </w:t>
      </w:r>
      <w:r w:rsidR="00743CAA" w:rsidRPr="0058712B">
        <w:rPr>
          <w:rFonts w:ascii="Arial" w:hAnsi="Arial" w:cs="Arial"/>
          <w:sz w:val="24"/>
          <w:szCs w:val="24"/>
        </w:rPr>
        <w:t>PFTRG</w:t>
      </w:r>
      <w:r w:rsidRPr="0058712B">
        <w:rPr>
          <w:rFonts w:ascii="Arial" w:hAnsi="Arial" w:cs="Arial"/>
          <w:sz w:val="24"/>
          <w:szCs w:val="24"/>
        </w:rPr>
        <w:t>, y de aquéllos normativos directamente vinculados al mismo</w:t>
      </w:r>
      <w:r w:rsidR="00B0186D" w:rsidRPr="0058712B">
        <w:rPr>
          <w:rFonts w:ascii="Arial" w:hAnsi="Arial" w:cs="Arial"/>
          <w:sz w:val="24"/>
          <w:szCs w:val="24"/>
        </w:rPr>
        <w:t>, siempre y cuando las área</w:t>
      </w:r>
      <w:r w:rsidR="00806657" w:rsidRPr="005E1C2C">
        <w:rPr>
          <w:rFonts w:ascii="Arial" w:hAnsi="Arial" w:cs="Arial"/>
          <w:sz w:val="24"/>
          <w:szCs w:val="24"/>
        </w:rPr>
        <w:t>s</w:t>
      </w:r>
      <w:r w:rsidR="00B0186D" w:rsidRPr="005E1C2C">
        <w:rPr>
          <w:rFonts w:ascii="Arial" w:hAnsi="Arial" w:cs="Arial"/>
          <w:sz w:val="24"/>
          <w:szCs w:val="24"/>
        </w:rPr>
        <w:t xml:space="preserve"> técnicas lo hayan validado</w:t>
      </w:r>
      <w:r w:rsidRPr="005E1C2C">
        <w:rPr>
          <w:rFonts w:ascii="Arial" w:hAnsi="Arial" w:cs="Arial"/>
          <w:sz w:val="24"/>
          <w:szCs w:val="24"/>
        </w:rPr>
        <w:t xml:space="preserve">. </w:t>
      </w:r>
    </w:p>
    <w:p w14:paraId="02AEE867" w14:textId="77777777" w:rsidR="005E102B" w:rsidRPr="0098699B" w:rsidRDefault="009A4EB1" w:rsidP="009067BA">
      <w:pPr>
        <w:numPr>
          <w:ilvl w:val="0"/>
          <w:numId w:val="33"/>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z w:val="24"/>
          <w:szCs w:val="24"/>
          <w:shd w:val="clear" w:color="auto" w:fill="FFFFFF"/>
        </w:rPr>
      </w:pPr>
      <w:r w:rsidRPr="008E245E">
        <w:rPr>
          <w:rFonts w:ascii="Arial" w:hAnsi="Arial" w:cs="Arial"/>
          <w:sz w:val="24"/>
          <w:szCs w:val="24"/>
        </w:rPr>
        <w:t xml:space="preserve">La presentación del </w:t>
      </w:r>
      <w:r w:rsidR="008A3EA9">
        <w:rPr>
          <w:rFonts w:ascii="Arial" w:hAnsi="Arial" w:cs="Arial"/>
          <w:sz w:val="24"/>
          <w:szCs w:val="24"/>
        </w:rPr>
        <w:t>P</w:t>
      </w:r>
      <w:r w:rsidRPr="008E245E">
        <w:rPr>
          <w:rFonts w:ascii="Arial" w:hAnsi="Arial" w:cs="Arial"/>
          <w:sz w:val="24"/>
          <w:szCs w:val="24"/>
        </w:rPr>
        <w:t xml:space="preserve">lan de </w:t>
      </w:r>
      <w:r w:rsidR="008A3EA9">
        <w:rPr>
          <w:rFonts w:ascii="Arial" w:hAnsi="Arial" w:cs="Arial"/>
          <w:sz w:val="24"/>
          <w:szCs w:val="24"/>
        </w:rPr>
        <w:t>A</w:t>
      </w:r>
      <w:r w:rsidRPr="008E245E">
        <w:rPr>
          <w:rFonts w:ascii="Arial" w:hAnsi="Arial" w:cs="Arial"/>
          <w:sz w:val="24"/>
          <w:szCs w:val="24"/>
        </w:rPr>
        <w:t>dquisiciones</w:t>
      </w:r>
      <w:r w:rsidR="00C54609">
        <w:rPr>
          <w:rFonts w:ascii="Arial" w:hAnsi="Arial" w:cs="Arial"/>
          <w:sz w:val="24"/>
          <w:szCs w:val="24"/>
        </w:rPr>
        <w:t>, en su caso</w:t>
      </w:r>
      <w:r w:rsidRPr="008E245E">
        <w:rPr>
          <w:rFonts w:ascii="Arial" w:hAnsi="Arial" w:cs="Arial"/>
          <w:sz w:val="24"/>
          <w:szCs w:val="24"/>
        </w:rPr>
        <w:t>, los informes de avance físico y financiero del Proyecto</w:t>
      </w:r>
      <w:r w:rsidR="002C6F1A" w:rsidRPr="0098699B">
        <w:rPr>
          <w:rFonts w:ascii="Arial" w:hAnsi="Arial" w:cs="Arial"/>
          <w:sz w:val="24"/>
          <w:szCs w:val="24"/>
        </w:rPr>
        <w:t>.</w:t>
      </w:r>
    </w:p>
    <w:p w14:paraId="0B166F9E" w14:textId="77777777" w:rsidR="005E102B" w:rsidRPr="0098699B" w:rsidRDefault="009A4EB1" w:rsidP="009067BA">
      <w:pPr>
        <w:numPr>
          <w:ilvl w:val="0"/>
          <w:numId w:val="33"/>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z w:val="24"/>
          <w:szCs w:val="24"/>
          <w:shd w:val="clear" w:color="auto" w:fill="FFFFFF"/>
        </w:rPr>
      </w:pPr>
      <w:r w:rsidRPr="0098699B">
        <w:rPr>
          <w:rFonts w:ascii="Arial" w:hAnsi="Arial" w:cs="Arial"/>
          <w:sz w:val="24"/>
          <w:szCs w:val="24"/>
        </w:rPr>
        <w:t>La coordinación y atención de las misiones de supervisión</w:t>
      </w:r>
      <w:r w:rsidR="00A11A93" w:rsidRPr="0098699B">
        <w:rPr>
          <w:rFonts w:ascii="Arial" w:hAnsi="Arial" w:cs="Arial"/>
          <w:sz w:val="24"/>
          <w:szCs w:val="24"/>
        </w:rPr>
        <w:t>.</w:t>
      </w:r>
    </w:p>
    <w:p w14:paraId="76C4BCB7" w14:textId="77777777" w:rsidR="005E102B" w:rsidRPr="00D17E81" w:rsidRDefault="009A4EB1" w:rsidP="009067BA">
      <w:pPr>
        <w:pStyle w:val="ListParagraph"/>
        <w:numPr>
          <w:ilvl w:val="0"/>
          <w:numId w:val="33"/>
        </w:numPr>
        <w:tabs>
          <w:tab w:val="left" w:pos="851"/>
          <w:tab w:val="left" w:pos="1418"/>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hd w:val="clear" w:color="auto" w:fill="FFFFFF"/>
        </w:rPr>
      </w:pPr>
      <w:r w:rsidRPr="00D17E81">
        <w:rPr>
          <w:rFonts w:ascii="Arial" w:hAnsi="Arial" w:cs="Arial"/>
        </w:rPr>
        <w:t xml:space="preserve">En general para toda consulta o solicitud que se requiera realizar ante </w:t>
      </w:r>
      <w:r w:rsidR="00784276" w:rsidRPr="00D17E81">
        <w:rPr>
          <w:rFonts w:ascii="Arial" w:hAnsi="Arial" w:cs="Arial"/>
        </w:rPr>
        <w:t>el Banco</w:t>
      </w:r>
      <w:r w:rsidRPr="00D17E81">
        <w:rPr>
          <w:rFonts w:ascii="Arial" w:hAnsi="Arial" w:cs="Arial"/>
        </w:rPr>
        <w:t>.</w:t>
      </w:r>
    </w:p>
    <w:p w14:paraId="7488B1C7" w14:textId="77777777" w:rsidR="005E102B" w:rsidRPr="00D17E81" w:rsidRDefault="0068449B" w:rsidP="009067BA">
      <w:pPr>
        <w:pStyle w:val="ListParagraph"/>
        <w:numPr>
          <w:ilvl w:val="0"/>
          <w:numId w:val="33"/>
        </w:numPr>
        <w:tabs>
          <w:tab w:val="left" w:pos="851"/>
          <w:tab w:val="left" w:pos="1418"/>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hd w:val="clear" w:color="auto" w:fill="FFFFFF"/>
        </w:rPr>
      </w:pPr>
      <w:r w:rsidRPr="00D17E81">
        <w:rPr>
          <w:rFonts w:ascii="Arial" w:hAnsi="Arial" w:cs="Arial"/>
        </w:rPr>
        <w:t>El registro de las operaciones elegibles</w:t>
      </w:r>
      <w:r w:rsidR="00A9433D" w:rsidRPr="00D17E81">
        <w:rPr>
          <w:rFonts w:ascii="Arial" w:hAnsi="Arial" w:cs="Arial"/>
        </w:rPr>
        <w:t>, en su caso,</w:t>
      </w:r>
      <w:r w:rsidRPr="00D17E81">
        <w:rPr>
          <w:rFonts w:ascii="Arial" w:hAnsi="Arial" w:cs="Arial"/>
        </w:rPr>
        <w:t xml:space="preserve"> será realizado por la Subdirección de Agente Financiero en el </w:t>
      </w:r>
      <w:r w:rsidR="00B66F95" w:rsidRPr="00D17E81">
        <w:rPr>
          <w:rFonts w:ascii="Arial" w:hAnsi="Arial" w:cs="Arial"/>
        </w:rPr>
        <w:t>Sistema de Administración de Crédito Externo.</w:t>
      </w:r>
    </w:p>
    <w:p w14:paraId="3B191335" w14:textId="77777777" w:rsidR="004459D5" w:rsidRPr="00D17E81" w:rsidRDefault="004459D5" w:rsidP="009067BA">
      <w:pPr>
        <w:pStyle w:val="ListParagraph"/>
        <w:numPr>
          <w:ilvl w:val="0"/>
          <w:numId w:val="33"/>
        </w:numPr>
        <w:tabs>
          <w:tab w:val="left" w:pos="851"/>
          <w:tab w:val="left" w:pos="1418"/>
          <w:tab w:val="left" w:pos="4248"/>
          <w:tab w:val="left" w:pos="4956"/>
          <w:tab w:val="left" w:pos="5664"/>
          <w:tab w:val="left" w:pos="6372"/>
          <w:tab w:val="left" w:pos="7080"/>
          <w:tab w:val="left" w:pos="7788"/>
          <w:tab w:val="left" w:pos="8496"/>
          <w:tab w:val="left" w:pos="9204"/>
          <w:tab w:val="left" w:pos="9472"/>
        </w:tabs>
        <w:spacing w:after="120"/>
        <w:jc w:val="both"/>
        <w:rPr>
          <w:rFonts w:ascii="Arial" w:hAnsi="Arial" w:cs="Arial"/>
          <w:shd w:val="clear" w:color="auto" w:fill="FFFFFF"/>
        </w:rPr>
      </w:pPr>
      <w:r w:rsidRPr="00D17E81">
        <w:rPr>
          <w:rFonts w:ascii="Arial" w:hAnsi="Arial" w:cs="Arial"/>
        </w:rPr>
        <w:t>Administración integral del Anticipo de Fondos</w:t>
      </w:r>
    </w:p>
    <w:p w14:paraId="4C02B218" w14:textId="77777777" w:rsidR="00C57009" w:rsidRPr="00D17E81" w:rsidRDefault="00FC765D" w:rsidP="00CA6D60">
      <w:pPr>
        <w:tabs>
          <w:tab w:val="left" w:pos="851"/>
          <w:tab w:val="left" w:pos="993"/>
          <w:tab w:val="left" w:pos="4956"/>
          <w:tab w:val="left" w:pos="6372"/>
          <w:tab w:val="left" w:pos="7080"/>
          <w:tab w:val="left" w:pos="7788"/>
          <w:tab w:val="left" w:pos="8496"/>
          <w:tab w:val="left" w:pos="9204"/>
          <w:tab w:val="left" w:pos="9472"/>
        </w:tabs>
        <w:spacing w:before="120" w:after="120"/>
        <w:ind w:left="850"/>
        <w:jc w:val="both"/>
        <w:rPr>
          <w:rFonts w:ascii="Arial" w:hAnsi="Arial" w:cs="Arial"/>
          <w:sz w:val="24"/>
          <w:szCs w:val="24"/>
        </w:rPr>
      </w:pPr>
      <w:r w:rsidRPr="00D17E81">
        <w:rPr>
          <w:rFonts w:ascii="Arial" w:hAnsi="Arial" w:cs="Arial"/>
          <w:sz w:val="24"/>
          <w:szCs w:val="24"/>
        </w:rPr>
        <w:t xml:space="preserve">La </w:t>
      </w:r>
      <w:r w:rsidR="00897AC2" w:rsidRPr="00D17E81">
        <w:rPr>
          <w:rFonts w:ascii="Arial" w:hAnsi="Arial" w:cs="Arial"/>
          <w:sz w:val="24"/>
          <w:szCs w:val="24"/>
        </w:rPr>
        <w:t>DAC</w:t>
      </w:r>
      <w:r w:rsidRPr="00D17E81">
        <w:rPr>
          <w:rFonts w:ascii="Arial" w:hAnsi="Arial" w:cs="Arial"/>
          <w:sz w:val="24"/>
          <w:szCs w:val="24"/>
        </w:rPr>
        <w:t xml:space="preserve"> será la ventana con el Banco para: </w:t>
      </w:r>
    </w:p>
    <w:p w14:paraId="1E771465" w14:textId="77777777" w:rsidR="005E102B" w:rsidRPr="00D17E81" w:rsidRDefault="00C57009" w:rsidP="009067BA">
      <w:pPr>
        <w:numPr>
          <w:ilvl w:val="0"/>
          <w:numId w:val="34"/>
        </w:num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z w:val="24"/>
          <w:szCs w:val="24"/>
          <w:shd w:val="clear" w:color="auto" w:fill="FFFFFF"/>
        </w:rPr>
      </w:pPr>
      <w:r w:rsidRPr="00D17E81">
        <w:rPr>
          <w:rFonts w:ascii="Arial" w:hAnsi="Arial" w:cs="Arial"/>
          <w:sz w:val="24"/>
          <w:szCs w:val="24"/>
        </w:rPr>
        <w:t>La revisión y el trámite de los desembolsos del Préstamo</w:t>
      </w:r>
      <w:r w:rsidR="00A11A93" w:rsidRPr="00D17E81">
        <w:rPr>
          <w:rFonts w:ascii="Arial" w:hAnsi="Arial" w:cs="Arial"/>
          <w:sz w:val="24"/>
          <w:szCs w:val="24"/>
        </w:rPr>
        <w:t>.</w:t>
      </w:r>
    </w:p>
    <w:p w14:paraId="595619B7" w14:textId="77777777" w:rsidR="005E102B" w:rsidRPr="00D17E81" w:rsidRDefault="00C57009" w:rsidP="009067BA">
      <w:pPr>
        <w:numPr>
          <w:ilvl w:val="0"/>
          <w:numId w:val="3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jc w:val="both"/>
        <w:rPr>
          <w:rFonts w:ascii="Arial" w:hAnsi="Arial" w:cs="Arial"/>
          <w:sz w:val="24"/>
          <w:szCs w:val="24"/>
          <w:shd w:val="clear" w:color="auto" w:fill="FFFFFF"/>
        </w:rPr>
      </w:pPr>
      <w:r w:rsidRPr="00D17E81">
        <w:rPr>
          <w:rFonts w:ascii="Arial" w:hAnsi="Arial" w:cs="Arial"/>
          <w:sz w:val="24"/>
          <w:szCs w:val="24"/>
        </w:rPr>
        <w:t>La administración de los recursos del Préstamo</w:t>
      </w:r>
      <w:r w:rsidR="00A11A93" w:rsidRPr="00D17E81">
        <w:rPr>
          <w:rFonts w:ascii="Arial" w:hAnsi="Arial" w:cs="Arial"/>
          <w:sz w:val="24"/>
          <w:szCs w:val="24"/>
        </w:rPr>
        <w:t>.</w:t>
      </w:r>
    </w:p>
    <w:p w14:paraId="57257611" w14:textId="77777777" w:rsidR="005E102B" w:rsidRPr="00B249BA" w:rsidRDefault="00C57009" w:rsidP="009067BA">
      <w:pPr>
        <w:numPr>
          <w:ilvl w:val="0"/>
          <w:numId w:val="34"/>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120"/>
        <w:jc w:val="both"/>
        <w:rPr>
          <w:rFonts w:ascii="Arial" w:hAnsi="Arial" w:cs="Arial"/>
          <w:sz w:val="24"/>
          <w:szCs w:val="24"/>
          <w:shd w:val="clear" w:color="auto" w:fill="FFFFFF"/>
        </w:rPr>
      </w:pPr>
      <w:r w:rsidRPr="00D17E81">
        <w:rPr>
          <w:rFonts w:ascii="Arial" w:hAnsi="Arial" w:cs="Arial"/>
          <w:sz w:val="24"/>
          <w:szCs w:val="24"/>
        </w:rPr>
        <w:t>El pago del servicio de la deuda</w:t>
      </w:r>
      <w:r w:rsidR="00A11A93" w:rsidRPr="00D17E81">
        <w:rPr>
          <w:rFonts w:ascii="Arial" w:hAnsi="Arial" w:cs="Arial"/>
          <w:sz w:val="24"/>
          <w:szCs w:val="24"/>
        </w:rPr>
        <w:t>.</w:t>
      </w:r>
    </w:p>
    <w:p w14:paraId="532F5C4A" w14:textId="77777777" w:rsidR="00806A29" w:rsidRPr="00B6201F" w:rsidRDefault="00806A29" w:rsidP="002A3540">
      <w:pPr>
        <w:tabs>
          <w:tab w:val="left" w:pos="851"/>
          <w:tab w:val="left" w:pos="1418"/>
          <w:tab w:val="left" w:pos="4248"/>
          <w:tab w:val="left" w:pos="4956"/>
          <w:tab w:val="left" w:pos="5664"/>
          <w:tab w:val="left" w:pos="6372"/>
          <w:tab w:val="left" w:pos="7080"/>
          <w:tab w:val="left" w:pos="7788"/>
          <w:tab w:val="left" w:pos="8496"/>
          <w:tab w:val="left" w:pos="9204"/>
          <w:tab w:val="left" w:pos="9472"/>
        </w:tabs>
        <w:spacing w:after="120"/>
        <w:jc w:val="both"/>
        <w:rPr>
          <w:rFonts w:ascii="Arial" w:hAnsi="Arial" w:cs="Arial"/>
          <w:shd w:val="clear" w:color="auto" w:fill="FFFFFF"/>
        </w:rPr>
      </w:pPr>
      <w:r w:rsidRPr="00B6201F">
        <w:rPr>
          <w:rFonts w:ascii="Arial" w:hAnsi="Arial" w:cs="Arial"/>
          <w:shd w:val="clear" w:color="auto" w:fill="FFFFFF"/>
        </w:rPr>
        <w:lastRenderedPageBreak/>
        <w:t xml:space="preserve">  </w:t>
      </w:r>
    </w:p>
    <w:p w14:paraId="5AF47539" w14:textId="77777777" w:rsidR="00B40616" w:rsidRDefault="009F6369" w:rsidP="009067BA">
      <w:pPr>
        <w:pStyle w:val="Paragraph"/>
        <w:numPr>
          <w:ilvl w:val="0"/>
          <w:numId w:val="35"/>
        </w:numPr>
        <w:ind w:left="567" w:hanging="851"/>
        <w:outlineLvl w:val="9"/>
        <w:rPr>
          <w:rFonts w:ascii="Arial" w:hAnsi="Arial" w:cs="Arial"/>
          <w:szCs w:val="24"/>
          <w:lang w:val="es-MX"/>
        </w:rPr>
      </w:pPr>
      <w:bookmarkStart w:id="209" w:name="_Toc321245002"/>
      <w:r w:rsidRPr="00D17E81">
        <w:rPr>
          <w:rFonts w:ascii="Arial" w:hAnsi="Arial" w:cs="Arial"/>
          <w:b/>
          <w:szCs w:val="24"/>
          <w:lang w:val="es-MX"/>
        </w:rPr>
        <w:t>Coordinación</w:t>
      </w:r>
      <w:r w:rsidR="00B40616" w:rsidRPr="00D17E81">
        <w:rPr>
          <w:rFonts w:ascii="Arial" w:hAnsi="Arial" w:cs="Arial"/>
          <w:b/>
          <w:szCs w:val="24"/>
          <w:lang w:val="es-MX"/>
        </w:rPr>
        <w:t xml:space="preserve"> </w:t>
      </w:r>
      <w:r w:rsidR="002725FF" w:rsidRPr="00D17E81">
        <w:rPr>
          <w:rFonts w:ascii="Arial" w:hAnsi="Arial" w:cs="Arial"/>
          <w:b/>
          <w:szCs w:val="24"/>
          <w:lang w:val="es-MX"/>
        </w:rPr>
        <w:t>Interinstitucional</w:t>
      </w:r>
      <w:r w:rsidR="00B40616" w:rsidRPr="00D17E81">
        <w:rPr>
          <w:rFonts w:ascii="Arial" w:hAnsi="Arial" w:cs="Arial"/>
          <w:b/>
          <w:szCs w:val="24"/>
          <w:lang w:val="es-MX"/>
        </w:rPr>
        <w:t xml:space="preserve"> del </w:t>
      </w:r>
      <w:r w:rsidR="00743CAA" w:rsidRPr="0058712B">
        <w:rPr>
          <w:rFonts w:ascii="Arial" w:hAnsi="Arial" w:cs="Arial"/>
          <w:b/>
          <w:szCs w:val="24"/>
          <w:lang w:val="es-MX"/>
        </w:rPr>
        <w:t>PFTRG</w:t>
      </w:r>
      <w:r w:rsidR="00B40616" w:rsidRPr="0058712B">
        <w:rPr>
          <w:rFonts w:ascii="Arial" w:hAnsi="Arial" w:cs="Arial"/>
          <w:szCs w:val="24"/>
          <w:lang w:val="es-MX"/>
        </w:rPr>
        <w:t xml:space="preserve">. </w:t>
      </w:r>
      <w:r w:rsidR="005718F7" w:rsidRPr="0058712B">
        <w:rPr>
          <w:rFonts w:ascii="Arial" w:hAnsi="Arial" w:cs="Arial"/>
          <w:szCs w:val="24"/>
          <w:lang w:val="es-MX"/>
        </w:rPr>
        <w:t xml:space="preserve">NAFIN funge como organismo ejecutor del </w:t>
      </w:r>
      <w:r w:rsidR="00743CAA" w:rsidRPr="0058712B">
        <w:rPr>
          <w:rFonts w:ascii="Arial" w:hAnsi="Arial" w:cs="Arial"/>
          <w:szCs w:val="24"/>
          <w:lang w:val="es-MX"/>
        </w:rPr>
        <w:t>PFTRG</w:t>
      </w:r>
      <w:r w:rsidR="005718F7" w:rsidRPr="0058712B">
        <w:rPr>
          <w:rFonts w:ascii="Arial" w:hAnsi="Arial" w:cs="Arial"/>
          <w:szCs w:val="24"/>
          <w:lang w:val="es-MX"/>
        </w:rPr>
        <w:t xml:space="preserve">, por lo que internamente el Coordinador del </w:t>
      </w:r>
      <w:r w:rsidR="00743CAA" w:rsidRPr="0058712B">
        <w:rPr>
          <w:rFonts w:ascii="Arial" w:hAnsi="Arial" w:cs="Arial"/>
          <w:szCs w:val="24"/>
          <w:lang w:val="es-MX"/>
        </w:rPr>
        <w:t>PFTRG</w:t>
      </w:r>
      <w:r w:rsidR="005718F7" w:rsidRPr="0058712B">
        <w:rPr>
          <w:rFonts w:ascii="Arial" w:hAnsi="Arial" w:cs="Arial"/>
          <w:szCs w:val="24"/>
          <w:lang w:val="es-MX"/>
        </w:rPr>
        <w:t xml:space="preserve"> será </w:t>
      </w:r>
      <w:r w:rsidR="00C41FC8" w:rsidRPr="0058712B">
        <w:rPr>
          <w:rFonts w:ascii="Arial" w:hAnsi="Arial" w:cs="Arial"/>
          <w:szCs w:val="24"/>
          <w:lang w:val="es-MX"/>
        </w:rPr>
        <w:t>la DOFI</w:t>
      </w:r>
      <w:r w:rsidR="005718F7" w:rsidRPr="0058712B">
        <w:rPr>
          <w:rFonts w:ascii="Arial" w:hAnsi="Arial" w:cs="Arial"/>
          <w:szCs w:val="24"/>
          <w:lang w:val="es-MX"/>
        </w:rPr>
        <w:t xml:space="preserve">, quien se encargará de </w:t>
      </w:r>
      <w:r w:rsidR="002725FF" w:rsidRPr="0058712B">
        <w:rPr>
          <w:rFonts w:ascii="Arial" w:hAnsi="Arial" w:cs="Arial"/>
          <w:szCs w:val="24"/>
          <w:lang w:val="es-MX"/>
        </w:rPr>
        <w:t xml:space="preserve">apoyar </w:t>
      </w:r>
      <w:r w:rsidR="00E658FB" w:rsidRPr="0058712B">
        <w:rPr>
          <w:rFonts w:ascii="Arial" w:hAnsi="Arial" w:cs="Arial"/>
          <w:szCs w:val="24"/>
          <w:lang w:val="es-MX"/>
        </w:rPr>
        <w:t xml:space="preserve">a las áreas técnicas que participan en la implementación y operación, </w:t>
      </w:r>
      <w:r w:rsidR="005718F7" w:rsidRPr="0058712B">
        <w:rPr>
          <w:rFonts w:ascii="Arial" w:hAnsi="Arial" w:cs="Arial"/>
          <w:szCs w:val="24"/>
          <w:lang w:val="es-MX"/>
        </w:rPr>
        <w:t xml:space="preserve">principalmente con la </w:t>
      </w:r>
      <w:r w:rsidR="00C57009" w:rsidRPr="0058712B">
        <w:rPr>
          <w:rFonts w:ascii="Arial" w:hAnsi="Arial" w:cs="Arial"/>
          <w:szCs w:val="24"/>
          <w:lang w:val="es-MX"/>
        </w:rPr>
        <w:t>D</w:t>
      </w:r>
      <w:r w:rsidR="00B6201F">
        <w:rPr>
          <w:rFonts w:ascii="Arial" w:hAnsi="Arial" w:cs="Arial"/>
          <w:szCs w:val="24"/>
          <w:lang w:val="es-MX"/>
        </w:rPr>
        <w:t>PS</w:t>
      </w:r>
      <w:r w:rsidR="00C57009" w:rsidRPr="0058712B">
        <w:rPr>
          <w:rFonts w:ascii="Arial" w:hAnsi="Arial" w:cs="Arial"/>
          <w:szCs w:val="24"/>
          <w:lang w:val="es-MX"/>
        </w:rPr>
        <w:t>,</w:t>
      </w:r>
      <w:r w:rsidR="00A9433D" w:rsidRPr="0058712B">
        <w:rPr>
          <w:rFonts w:ascii="Arial" w:hAnsi="Arial" w:cs="Arial"/>
          <w:szCs w:val="24"/>
          <w:lang w:val="es-MX"/>
        </w:rPr>
        <w:t xml:space="preserve"> </w:t>
      </w:r>
      <w:r w:rsidR="002C6F1A" w:rsidRPr="0058712B">
        <w:rPr>
          <w:rFonts w:ascii="Arial" w:hAnsi="Arial" w:cs="Arial"/>
          <w:szCs w:val="24"/>
          <w:lang w:val="es-MX"/>
        </w:rPr>
        <w:t>así</w:t>
      </w:r>
      <w:r w:rsidR="00A9433D" w:rsidRPr="0058712B">
        <w:rPr>
          <w:rFonts w:ascii="Arial" w:hAnsi="Arial" w:cs="Arial"/>
          <w:szCs w:val="24"/>
          <w:lang w:val="es-MX"/>
        </w:rPr>
        <w:t xml:space="preserve"> como en su</w:t>
      </w:r>
      <w:r w:rsidR="00A7186E" w:rsidRPr="0058712B">
        <w:rPr>
          <w:rFonts w:ascii="Arial" w:hAnsi="Arial" w:cs="Arial"/>
          <w:szCs w:val="24"/>
          <w:lang w:val="es-MX"/>
        </w:rPr>
        <w:t xml:space="preserve"> </w:t>
      </w:r>
      <w:r w:rsidR="00A9433D" w:rsidRPr="0058712B">
        <w:rPr>
          <w:rFonts w:ascii="Arial" w:hAnsi="Arial" w:cs="Arial"/>
          <w:szCs w:val="24"/>
          <w:lang w:val="es-MX"/>
        </w:rPr>
        <w:t xml:space="preserve">caso </w:t>
      </w:r>
      <w:r w:rsidR="00B6201F">
        <w:rPr>
          <w:rFonts w:ascii="Arial" w:hAnsi="Arial" w:cs="Arial"/>
          <w:szCs w:val="24"/>
          <w:lang w:val="es-MX"/>
        </w:rPr>
        <w:t xml:space="preserve">con la DDP, </w:t>
      </w:r>
      <w:r w:rsidR="00C57009" w:rsidRPr="0058712B">
        <w:rPr>
          <w:rFonts w:ascii="Arial" w:hAnsi="Arial" w:cs="Arial"/>
          <w:szCs w:val="24"/>
          <w:lang w:val="es-MX"/>
        </w:rPr>
        <w:t xml:space="preserve"> la </w:t>
      </w:r>
      <w:r w:rsidR="00B6201F">
        <w:rPr>
          <w:rFonts w:ascii="Arial" w:hAnsi="Arial" w:cs="Arial"/>
          <w:szCs w:val="24"/>
          <w:lang w:val="es-MX"/>
        </w:rPr>
        <w:t xml:space="preserve">DAC, la </w:t>
      </w:r>
      <w:r w:rsidR="00FC765D" w:rsidRPr="0058712B">
        <w:rPr>
          <w:rFonts w:ascii="Arial" w:hAnsi="Arial" w:cs="Arial"/>
          <w:szCs w:val="24"/>
          <w:lang w:val="es-MX"/>
        </w:rPr>
        <w:t>Dirección de Crédito</w:t>
      </w:r>
      <w:r w:rsidR="00B6201F">
        <w:rPr>
          <w:rFonts w:ascii="Arial" w:hAnsi="Arial" w:cs="Arial"/>
          <w:szCs w:val="24"/>
          <w:lang w:val="es-MX"/>
        </w:rPr>
        <w:t xml:space="preserve"> (DC)</w:t>
      </w:r>
      <w:r w:rsidR="00FC765D" w:rsidRPr="0058712B">
        <w:rPr>
          <w:rFonts w:ascii="Arial" w:hAnsi="Arial" w:cs="Arial"/>
          <w:szCs w:val="24"/>
          <w:lang w:val="es-MX"/>
        </w:rPr>
        <w:t xml:space="preserve">, </w:t>
      </w:r>
      <w:r w:rsidR="004F30FD" w:rsidRPr="0058712B">
        <w:rPr>
          <w:rFonts w:ascii="Arial" w:hAnsi="Arial" w:cs="Arial"/>
          <w:szCs w:val="24"/>
          <w:lang w:val="es-MX"/>
        </w:rPr>
        <w:t>y la Dirección de Seguimiento y Recuperación</w:t>
      </w:r>
      <w:r w:rsidR="00B6201F">
        <w:rPr>
          <w:rFonts w:ascii="Arial" w:hAnsi="Arial" w:cs="Arial"/>
          <w:szCs w:val="24"/>
          <w:lang w:val="es-MX"/>
        </w:rPr>
        <w:t xml:space="preserve"> (DSR)</w:t>
      </w:r>
      <w:r w:rsidR="004F30FD" w:rsidRPr="0058712B">
        <w:rPr>
          <w:rFonts w:ascii="Arial" w:hAnsi="Arial" w:cs="Arial"/>
          <w:szCs w:val="24"/>
          <w:lang w:val="es-MX"/>
        </w:rPr>
        <w:t xml:space="preserve">; </w:t>
      </w:r>
      <w:r w:rsidR="005718F7" w:rsidRPr="0058712B">
        <w:rPr>
          <w:rFonts w:ascii="Arial" w:hAnsi="Arial" w:cs="Arial"/>
          <w:szCs w:val="24"/>
          <w:lang w:val="es-MX"/>
        </w:rPr>
        <w:t xml:space="preserve">para la recopilación de información necesaria a ser presentada ante el Banco, y con cualquier otra área de NAFIN que participe en las diversas acciones del </w:t>
      </w:r>
      <w:r w:rsidR="00743CAA" w:rsidRPr="0058712B">
        <w:rPr>
          <w:rFonts w:ascii="Arial" w:hAnsi="Arial" w:cs="Arial"/>
          <w:szCs w:val="24"/>
          <w:lang w:val="es-MX"/>
        </w:rPr>
        <w:t>PFTRG</w:t>
      </w:r>
      <w:r w:rsidR="005718F7" w:rsidRPr="0058712B">
        <w:rPr>
          <w:rFonts w:ascii="Arial" w:hAnsi="Arial" w:cs="Arial"/>
          <w:szCs w:val="24"/>
          <w:lang w:val="es-MX"/>
        </w:rPr>
        <w:t>.</w:t>
      </w:r>
      <w:r w:rsidR="00E658FB" w:rsidRPr="0058712B">
        <w:rPr>
          <w:rFonts w:ascii="Arial" w:hAnsi="Arial" w:cs="Arial"/>
          <w:szCs w:val="24"/>
          <w:lang w:val="es-MX"/>
        </w:rPr>
        <w:t xml:space="preserve"> Las funciones y responsabilidades de</w:t>
      </w:r>
      <w:r w:rsidR="00837108" w:rsidRPr="0058712B">
        <w:rPr>
          <w:rFonts w:ascii="Arial" w:hAnsi="Arial" w:cs="Arial"/>
          <w:szCs w:val="24"/>
          <w:lang w:val="es-MX"/>
        </w:rPr>
        <w:t xml:space="preserve"> la</w:t>
      </w:r>
      <w:r w:rsidR="00E658FB" w:rsidRPr="0058712B">
        <w:rPr>
          <w:rFonts w:ascii="Arial" w:hAnsi="Arial" w:cs="Arial"/>
          <w:szCs w:val="24"/>
          <w:lang w:val="es-MX"/>
        </w:rPr>
        <w:t xml:space="preserve"> </w:t>
      </w:r>
      <w:r w:rsidR="00C41FC8" w:rsidRPr="0058712B">
        <w:rPr>
          <w:rFonts w:ascii="Arial" w:hAnsi="Arial" w:cs="Arial"/>
          <w:szCs w:val="24"/>
          <w:lang w:val="es-MX"/>
        </w:rPr>
        <w:t>DOFI</w:t>
      </w:r>
      <w:r w:rsidR="00C54609">
        <w:rPr>
          <w:rFonts w:ascii="Arial" w:hAnsi="Arial" w:cs="Arial"/>
          <w:szCs w:val="24"/>
          <w:lang w:val="es-MX"/>
        </w:rPr>
        <w:t>,</w:t>
      </w:r>
      <w:r w:rsidR="004055D9" w:rsidRPr="0058712B">
        <w:rPr>
          <w:rFonts w:ascii="Arial" w:hAnsi="Arial" w:cs="Arial"/>
          <w:szCs w:val="24"/>
          <w:lang w:val="es-MX"/>
        </w:rPr>
        <w:t xml:space="preserve"> a través de </w:t>
      </w:r>
      <w:r w:rsidR="00C54609">
        <w:rPr>
          <w:rFonts w:ascii="Arial" w:hAnsi="Arial" w:cs="Arial"/>
          <w:szCs w:val="24"/>
          <w:lang w:val="es-MX"/>
        </w:rPr>
        <w:t xml:space="preserve">la Subdirección </w:t>
      </w:r>
      <w:r w:rsidR="004055D9" w:rsidRPr="0058712B">
        <w:rPr>
          <w:rFonts w:ascii="Arial" w:hAnsi="Arial" w:cs="Arial"/>
          <w:szCs w:val="24"/>
          <w:lang w:val="es-MX"/>
        </w:rPr>
        <w:t>de Proyectos</w:t>
      </w:r>
      <w:r w:rsidR="00C41FC8" w:rsidRPr="0058712B">
        <w:rPr>
          <w:rFonts w:ascii="Arial" w:hAnsi="Arial" w:cs="Arial"/>
          <w:szCs w:val="24"/>
          <w:lang w:val="es-MX"/>
        </w:rPr>
        <w:t xml:space="preserve"> </w:t>
      </w:r>
      <w:r w:rsidR="00BC50F0">
        <w:rPr>
          <w:rFonts w:ascii="Arial" w:hAnsi="Arial" w:cs="Arial"/>
          <w:szCs w:val="24"/>
          <w:lang w:val="es-MX"/>
        </w:rPr>
        <w:t xml:space="preserve">Financiados por OFI´s, </w:t>
      </w:r>
      <w:r w:rsidR="00837108" w:rsidRPr="0058712B">
        <w:rPr>
          <w:rFonts w:ascii="Arial" w:hAnsi="Arial" w:cs="Arial"/>
          <w:szCs w:val="24"/>
          <w:lang w:val="es-MX"/>
        </w:rPr>
        <w:t xml:space="preserve">para la administración del </w:t>
      </w:r>
      <w:r w:rsidR="00743CAA" w:rsidRPr="0058712B">
        <w:rPr>
          <w:rFonts w:ascii="Arial" w:hAnsi="Arial" w:cs="Arial"/>
          <w:szCs w:val="24"/>
          <w:lang w:val="es-MX"/>
        </w:rPr>
        <w:t>PFTRG</w:t>
      </w:r>
      <w:r w:rsidR="00837108" w:rsidRPr="0058712B">
        <w:rPr>
          <w:rFonts w:ascii="Arial" w:hAnsi="Arial" w:cs="Arial"/>
          <w:szCs w:val="24"/>
          <w:lang w:val="es-MX"/>
        </w:rPr>
        <w:t xml:space="preserve"> </w:t>
      </w:r>
      <w:r w:rsidR="00E658FB" w:rsidRPr="0058712B">
        <w:rPr>
          <w:rFonts w:ascii="Arial" w:hAnsi="Arial" w:cs="Arial"/>
          <w:szCs w:val="24"/>
          <w:lang w:val="es-MX"/>
        </w:rPr>
        <w:t>son:</w:t>
      </w:r>
      <w:bookmarkEnd w:id="209"/>
    </w:p>
    <w:p w14:paraId="6F41EC96" w14:textId="77777777" w:rsidR="005E102B" w:rsidRPr="0058712B" w:rsidRDefault="00455843" w:rsidP="009067BA">
      <w:pPr>
        <w:numPr>
          <w:ilvl w:val="0"/>
          <w:numId w:val="1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ind w:left="1354"/>
        <w:jc w:val="both"/>
        <w:rPr>
          <w:rFonts w:ascii="Arial" w:hAnsi="Arial" w:cs="Arial"/>
          <w:sz w:val="24"/>
          <w:szCs w:val="24"/>
        </w:rPr>
      </w:pPr>
      <w:r w:rsidRPr="0058712B">
        <w:rPr>
          <w:rFonts w:ascii="Arial" w:hAnsi="Arial" w:cs="Arial"/>
          <w:sz w:val="24"/>
          <w:szCs w:val="24"/>
        </w:rPr>
        <w:t xml:space="preserve">Asegurar la adecuada participación de las diversas </w:t>
      </w:r>
      <w:r w:rsidR="008F4856" w:rsidRPr="0058712B">
        <w:rPr>
          <w:rFonts w:ascii="Arial" w:hAnsi="Arial" w:cs="Arial"/>
          <w:sz w:val="24"/>
          <w:szCs w:val="24"/>
        </w:rPr>
        <w:t>áreas</w:t>
      </w:r>
      <w:r w:rsidRPr="0058712B">
        <w:rPr>
          <w:rFonts w:ascii="Arial" w:hAnsi="Arial" w:cs="Arial"/>
          <w:sz w:val="24"/>
          <w:szCs w:val="24"/>
        </w:rPr>
        <w:t xml:space="preserve"> involucradas en la ejecución del </w:t>
      </w:r>
      <w:r w:rsidR="00743CAA" w:rsidRPr="0058712B">
        <w:rPr>
          <w:rFonts w:ascii="Arial" w:hAnsi="Arial" w:cs="Arial"/>
          <w:sz w:val="24"/>
          <w:szCs w:val="24"/>
        </w:rPr>
        <w:t>PFTRG</w:t>
      </w:r>
      <w:r w:rsidR="00A11A93" w:rsidRPr="0058712B">
        <w:rPr>
          <w:rFonts w:ascii="Arial" w:hAnsi="Arial" w:cs="Arial"/>
          <w:sz w:val="24"/>
          <w:szCs w:val="24"/>
        </w:rPr>
        <w:t>.</w:t>
      </w:r>
    </w:p>
    <w:p w14:paraId="4F1E3160" w14:textId="77777777" w:rsidR="005E102B" w:rsidRPr="0058712B" w:rsidRDefault="00A24D28" w:rsidP="009067BA">
      <w:pPr>
        <w:numPr>
          <w:ilvl w:val="0"/>
          <w:numId w:val="1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ind w:left="1354"/>
        <w:jc w:val="both"/>
        <w:rPr>
          <w:rFonts w:ascii="Arial" w:hAnsi="Arial" w:cs="Arial"/>
          <w:sz w:val="24"/>
          <w:szCs w:val="24"/>
        </w:rPr>
      </w:pPr>
      <w:r w:rsidRPr="0058712B">
        <w:rPr>
          <w:rFonts w:ascii="Arial" w:hAnsi="Arial" w:cs="Arial"/>
          <w:sz w:val="24"/>
          <w:szCs w:val="24"/>
        </w:rPr>
        <w:t>C</w:t>
      </w:r>
      <w:r w:rsidR="009A4EB1" w:rsidRPr="0058712B">
        <w:rPr>
          <w:rFonts w:ascii="Arial" w:hAnsi="Arial" w:cs="Arial"/>
          <w:sz w:val="24"/>
          <w:szCs w:val="24"/>
        </w:rPr>
        <w:t>umplir puntualmen</w:t>
      </w:r>
      <w:r w:rsidR="00E658FB" w:rsidRPr="0058712B">
        <w:rPr>
          <w:rFonts w:ascii="Arial" w:hAnsi="Arial" w:cs="Arial"/>
          <w:sz w:val="24"/>
          <w:szCs w:val="24"/>
        </w:rPr>
        <w:t>te cada una de</w:t>
      </w:r>
      <w:r w:rsidRPr="0058712B">
        <w:rPr>
          <w:rFonts w:ascii="Arial" w:hAnsi="Arial" w:cs="Arial"/>
          <w:sz w:val="24"/>
          <w:szCs w:val="24"/>
        </w:rPr>
        <w:t xml:space="preserve"> las obligaciones </w:t>
      </w:r>
      <w:r w:rsidR="009A4EB1" w:rsidRPr="0058712B">
        <w:rPr>
          <w:rFonts w:ascii="Arial" w:hAnsi="Arial" w:cs="Arial"/>
          <w:sz w:val="24"/>
          <w:szCs w:val="24"/>
        </w:rPr>
        <w:t xml:space="preserve">establecidas en </w:t>
      </w:r>
      <w:r w:rsidR="00C72448" w:rsidRPr="0058712B">
        <w:rPr>
          <w:rFonts w:ascii="Arial" w:hAnsi="Arial" w:cs="Arial"/>
          <w:sz w:val="24"/>
          <w:szCs w:val="24"/>
        </w:rPr>
        <w:t xml:space="preserve">los </w:t>
      </w:r>
      <w:r w:rsidR="009A4EB1" w:rsidRPr="0058712B">
        <w:rPr>
          <w:rFonts w:ascii="Arial" w:hAnsi="Arial" w:cs="Arial"/>
          <w:sz w:val="24"/>
          <w:szCs w:val="24"/>
        </w:rPr>
        <w:t>Contrato</w:t>
      </w:r>
      <w:r w:rsidR="00C72448" w:rsidRPr="0058712B">
        <w:rPr>
          <w:rFonts w:ascii="Arial" w:hAnsi="Arial" w:cs="Arial"/>
          <w:sz w:val="24"/>
          <w:szCs w:val="24"/>
        </w:rPr>
        <w:t>s</w:t>
      </w:r>
      <w:r w:rsidR="009A4EB1" w:rsidRPr="0058712B">
        <w:rPr>
          <w:rFonts w:ascii="Arial" w:hAnsi="Arial" w:cs="Arial"/>
          <w:sz w:val="24"/>
          <w:szCs w:val="24"/>
        </w:rPr>
        <w:t xml:space="preserve"> de Préstamo </w:t>
      </w:r>
      <w:r w:rsidR="00C72448" w:rsidRPr="0058712B">
        <w:rPr>
          <w:rFonts w:ascii="Arial" w:hAnsi="Arial" w:cs="Arial"/>
          <w:sz w:val="24"/>
          <w:szCs w:val="24"/>
        </w:rPr>
        <w:t xml:space="preserve">y de las Cooperaciones Técnicas </w:t>
      </w:r>
      <w:r w:rsidR="009A4EB1" w:rsidRPr="0058712B">
        <w:rPr>
          <w:rFonts w:ascii="Arial" w:hAnsi="Arial" w:cs="Arial"/>
          <w:sz w:val="24"/>
          <w:szCs w:val="24"/>
        </w:rPr>
        <w:t>y sus Anexos.</w:t>
      </w:r>
    </w:p>
    <w:p w14:paraId="54590584" w14:textId="77777777" w:rsidR="005E102B" w:rsidRPr="0058712B" w:rsidRDefault="00455843" w:rsidP="009067BA">
      <w:pPr>
        <w:pStyle w:val="CuerpoA"/>
        <w:numPr>
          <w:ilvl w:val="0"/>
          <w:numId w:val="1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ind w:left="1354"/>
        <w:jc w:val="both"/>
        <w:rPr>
          <w:rFonts w:ascii="Arial" w:hAnsi="Arial" w:cs="Arial"/>
          <w:szCs w:val="24"/>
          <w:lang w:val="es-MX"/>
        </w:rPr>
      </w:pPr>
      <w:r w:rsidRPr="0058712B">
        <w:rPr>
          <w:rFonts w:ascii="Arial" w:hAnsi="Arial" w:cs="Arial"/>
          <w:szCs w:val="24"/>
          <w:lang w:val="es-MX"/>
        </w:rPr>
        <w:t>Proporcionar</w:t>
      </w:r>
      <w:r w:rsidR="00E0439F" w:rsidRPr="0058712B">
        <w:rPr>
          <w:rFonts w:ascii="Arial" w:hAnsi="Arial" w:cs="Arial"/>
          <w:szCs w:val="24"/>
          <w:lang w:val="es-MX"/>
        </w:rPr>
        <w:t xml:space="preserve"> </w:t>
      </w:r>
      <w:r w:rsidRPr="0058712B">
        <w:rPr>
          <w:rFonts w:ascii="Arial" w:hAnsi="Arial" w:cs="Arial"/>
          <w:szCs w:val="24"/>
          <w:lang w:val="es-MX"/>
        </w:rPr>
        <w:t>la información que requiera el Banco durante las misiones y</w:t>
      </w:r>
      <w:r w:rsidR="007E36C3" w:rsidRPr="0058712B">
        <w:rPr>
          <w:rFonts w:ascii="Arial" w:hAnsi="Arial" w:cs="Arial"/>
          <w:szCs w:val="24"/>
          <w:lang w:val="es-MX"/>
        </w:rPr>
        <w:t xml:space="preserve"> visitas de supervisión</w:t>
      </w:r>
      <w:r w:rsidR="002505AC" w:rsidRPr="0058712B">
        <w:rPr>
          <w:rFonts w:ascii="Arial" w:hAnsi="Arial" w:cs="Arial"/>
          <w:szCs w:val="24"/>
          <w:lang w:val="es-MX"/>
        </w:rPr>
        <w:t>, previa autorización de las áreas técnicas</w:t>
      </w:r>
      <w:r w:rsidR="007E36C3" w:rsidRPr="0058712B">
        <w:rPr>
          <w:rFonts w:ascii="Arial" w:hAnsi="Arial" w:cs="Arial"/>
          <w:szCs w:val="24"/>
          <w:lang w:val="es-MX"/>
        </w:rPr>
        <w:t>.</w:t>
      </w:r>
    </w:p>
    <w:p w14:paraId="76358A64" w14:textId="77777777" w:rsidR="005E102B" w:rsidRPr="0058712B" w:rsidRDefault="00455843" w:rsidP="009067BA">
      <w:pPr>
        <w:numPr>
          <w:ilvl w:val="0"/>
          <w:numId w:val="12"/>
        </w:numPr>
        <w:tabs>
          <w:tab w:val="left" w:pos="708"/>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ind w:left="1354"/>
        <w:jc w:val="both"/>
        <w:rPr>
          <w:rFonts w:ascii="Arial" w:hAnsi="Arial" w:cs="Arial"/>
          <w:sz w:val="24"/>
          <w:szCs w:val="24"/>
        </w:rPr>
      </w:pPr>
      <w:r w:rsidRPr="0058712B">
        <w:rPr>
          <w:rFonts w:ascii="Arial" w:hAnsi="Arial" w:cs="Arial"/>
          <w:sz w:val="24"/>
          <w:szCs w:val="24"/>
        </w:rPr>
        <w:t>Presentar los informes de av</w:t>
      </w:r>
      <w:r w:rsidR="007E36C3" w:rsidRPr="0058712B">
        <w:rPr>
          <w:rFonts w:ascii="Arial" w:hAnsi="Arial" w:cs="Arial"/>
          <w:sz w:val="24"/>
          <w:szCs w:val="24"/>
        </w:rPr>
        <w:t>ance físico y financiero</w:t>
      </w:r>
      <w:r w:rsidR="00A11A93" w:rsidRPr="0058712B">
        <w:rPr>
          <w:rFonts w:ascii="Arial" w:hAnsi="Arial" w:cs="Arial"/>
          <w:sz w:val="24"/>
          <w:szCs w:val="24"/>
        </w:rPr>
        <w:t>.</w:t>
      </w:r>
      <w:r w:rsidRPr="0058712B">
        <w:rPr>
          <w:rFonts w:ascii="Arial" w:hAnsi="Arial" w:cs="Arial"/>
          <w:sz w:val="24"/>
          <w:szCs w:val="24"/>
        </w:rPr>
        <w:t xml:space="preserve"> </w:t>
      </w:r>
    </w:p>
    <w:p w14:paraId="7F0B1EAD" w14:textId="77777777" w:rsidR="005E102B" w:rsidRPr="0058712B" w:rsidRDefault="00455843" w:rsidP="009067BA">
      <w:pPr>
        <w:pStyle w:val="CuerpoA"/>
        <w:numPr>
          <w:ilvl w:val="0"/>
          <w:numId w:val="1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ind w:left="1354"/>
        <w:jc w:val="both"/>
        <w:rPr>
          <w:rFonts w:ascii="Arial" w:hAnsi="Arial" w:cs="Arial"/>
          <w:szCs w:val="24"/>
          <w:lang w:val="es-MX"/>
        </w:rPr>
      </w:pPr>
      <w:r w:rsidRPr="0058712B">
        <w:rPr>
          <w:rFonts w:ascii="Arial" w:hAnsi="Arial" w:cs="Arial"/>
          <w:szCs w:val="24"/>
          <w:lang w:val="es-MX"/>
        </w:rPr>
        <w:t xml:space="preserve">Llevar a cabo </w:t>
      </w:r>
      <w:r w:rsidR="002505AC" w:rsidRPr="0058712B">
        <w:rPr>
          <w:rFonts w:ascii="Arial" w:hAnsi="Arial" w:cs="Arial"/>
          <w:szCs w:val="24"/>
          <w:lang w:val="es-MX"/>
        </w:rPr>
        <w:t xml:space="preserve">los procesos para </w:t>
      </w:r>
      <w:r w:rsidRPr="0058712B">
        <w:rPr>
          <w:rFonts w:ascii="Arial" w:hAnsi="Arial" w:cs="Arial"/>
          <w:szCs w:val="24"/>
          <w:lang w:val="es-MX"/>
        </w:rPr>
        <w:t>la</w:t>
      </w:r>
      <w:r w:rsidR="00806657" w:rsidRPr="0058712B">
        <w:rPr>
          <w:rFonts w:ascii="Arial" w:hAnsi="Arial" w:cs="Arial"/>
          <w:szCs w:val="24"/>
          <w:lang w:val="es-MX"/>
        </w:rPr>
        <w:t>s</w:t>
      </w:r>
      <w:r w:rsidRPr="0058712B">
        <w:rPr>
          <w:rFonts w:ascii="Arial" w:hAnsi="Arial" w:cs="Arial"/>
          <w:szCs w:val="24"/>
          <w:lang w:val="es-MX"/>
        </w:rPr>
        <w:t xml:space="preserve"> adquisiciones de bienes y/o la contratación de obras y servicios que corresp</w:t>
      </w:r>
      <w:r w:rsidR="007E36C3" w:rsidRPr="0058712B">
        <w:rPr>
          <w:rFonts w:ascii="Arial" w:hAnsi="Arial" w:cs="Arial"/>
          <w:szCs w:val="24"/>
          <w:lang w:val="es-MX"/>
        </w:rPr>
        <w:t>ondan.</w:t>
      </w:r>
    </w:p>
    <w:p w14:paraId="68A4D8E4" w14:textId="77777777" w:rsidR="005E102B" w:rsidRPr="0058712B" w:rsidRDefault="00455843" w:rsidP="009067BA">
      <w:pPr>
        <w:numPr>
          <w:ilvl w:val="0"/>
          <w:numId w:val="1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ind w:left="1354"/>
        <w:jc w:val="both"/>
        <w:rPr>
          <w:rFonts w:ascii="Arial" w:hAnsi="Arial" w:cs="Arial"/>
          <w:sz w:val="24"/>
          <w:szCs w:val="24"/>
        </w:rPr>
      </w:pPr>
      <w:r w:rsidRPr="0058712B">
        <w:rPr>
          <w:rFonts w:ascii="Arial" w:hAnsi="Arial" w:cs="Arial"/>
          <w:sz w:val="24"/>
          <w:szCs w:val="24"/>
        </w:rPr>
        <w:t>Entregar a</w:t>
      </w:r>
      <w:r w:rsidR="00C41FC8" w:rsidRPr="0058712B">
        <w:rPr>
          <w:rFonts w:ascii="Arial" w:hAnsi="Arial" w:cs="Arial"/>
          <w:sz w:val="24"/>
          <w:szCs w:val="24"/>
        </w:rPr>
        <w:t xml:space="preserve"> la DAC</w:t>
      </w:r>
      <w:r w:rsidRPr="0058712B">
        <w:rPr>
          <w:rFonts w:ascii="Arial" w:hAnsi="Arial" w:cs="Arial"/>
          <w:sz w:val="24"/>
          <w:szCs w:val="24"/>
        </w:rPr>
        <w:t>, en los términos que ést</w:t>
      </w:r>
      <w:r w:rsidR="00CE72ED" w:rsidRPr="0058712B">
        <w:rPr>
          <w:rFonts w:ascii="Arial" w:hAnsi="Arial" w:cs="Arial"/>
          <w:sz w:val="24"/>
          <w:szCs w:val="24"/>
        </w:rPr>
        <w:t>a</w:t>
      </w:r>
      <w:r w:rsidRPr="0058712B">
        <w:rPr>
          <w:rFonts w:ascii="Arial" w:hAnsi="Arial" w:cs="Arial"/>
          <w:sz w:val="24"/>
          <w:szCs w:val="24"/>
        </w:rPr>
        <w:t xml:space="preserve"> determine, la documentación que le requiera, a efecto de que se tramiten las solicitudes de desem</w:t>
      </w:r>
      <w:r w:rsidR="005000C5" w:rsidRPr="0058712B">
        <w:rPr>
          <w:rFonts w:ascii="Arial" w:hAnsi="Arial" w:cs="Arial"/>
          <w:sz w:val="24"/>
          <w:szCs w:val="24"/>
        </w:rPr>
        <w:t>bolso de</w:t>
      </w:r>
      <w:r w:rsidR="00BC50F0">
        <w:rPr>
          <w:rFonts w:ascii="Arial" w:hAnsi="Arial" w:cs="Arial"/>
          <w:sz w:val="24"/>
          <w:szCs w:val="24"/>
        </w:rPr>
        <w:t xml:space="preserve"> los</w:t>
      </w:r>
      <w:r w:rsidR="005000C5" w:rsidRPr="0058712B">
        <w:rPr>
          <w:rFonts w:ascii="Arial" w:hAnsi="Arial" w:cs="Arial"/>
          <w:sz w:val="24"/>
          <w:szCs w:val="24"/>
        </w:rPr>
        <w:t xml:space="preserve"> Préstamo</w:t>
      </w:r>
      <w:r w:rsidR="00BC50F0">
        <w:rPr>
          <w:rFonts w:ascii="Arial" w:hAnsi="Arial" w:cs="Arial"/>
          <w:sz w:val="24"/>
          <w:szCs w:val="24"/>
        </w:rPr>
        <w:t>s</w:t>
      </w:r>
      <w:r w:rsidR="005000C5" w:rsidRPr="0058712B">
        <w:rPr>
          <w:rFonts w:ascii="Arial" w:hAnsi="Arial" w:cs="Arial"/>
          <w:sz w:val="24"/>
          <w:szCs w:val="24"/>
        </w:rPr>
        <w:t>.</w:t>
      </w:r>
    </w:p>
    <w:p w14:paraId="1721A163" w14:textId="77777777" w:rsidR="005E102B" w:rsidRPr="0058712B" w:rsidRDefault="009A4EB1" w:rsidP="009067BA">
      <w:pPr>
        <w:numPr>
          <w:ilvl w:val="0"/>
          <w:numId w:val="1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ind w:left="1354"/>
        <w:jc w:val="both"/>
        <w:rPr>
          <w:rFonts w:ascii="Arial" w:hAnsi="Arial" w:cs="Arial"/>
          <w:sz w:val="24"/>
          <w:szCs w:val="24"/>
        </w:rPr>
      </w:pPr>
      <w:r w:rsidRPr="0058712B">
        <w:rPr>
          <w:rFonts w:ascii="Arial" w:hAnsi="Arial" w:cs="Arial"/>
          <w:sz w:val="24"/>
          <w:szCs w:val="24"/>
        </w:rPr>
        <w:t xml:space="preserve">Mantener en custodia los comprobantes de los gastos que efectúe con cargo al Préstamo, durante un plazo de </w:t>
      </w:r>
      <w:r w:rsidR="004459D5" w:rsidRPr="0058712B">
        <w:rPr>
          <w:rFonts w:ascii="Arial" w:hAnsi="Arial" w:cs="Arial"/>
          <w:sz w:val="24"/>
          <w:szCs w:val="24"/>
        </w:rPr>
        <w:t xml:space="preserve">siete </w:t>
      </w:r>
      <w:r w:rsidRPr="0058712B">
        <w:rPr>
          <w:rFonts w:ascii="Arial" w:hAnsi="Arial" w:cs="Arial"/>
          <w:sz w:val="24"/>
          <w:szCs w:val="24"/>
        </w:rPr>
        <w:t>(</w:t>
      </w:r>
      <w:r w:rsidR="004459D5" w:rsidRPr="0058712B">
        <w:rPr>
          <w:rFonts w:ascii="Arial" w:hAnsi="Arial" w:cs="Arial"/>
          <w:sz w:val="24"/>
          <w:szCs w:val="24"/>
        </w:rPr>
        <w:t>7</w:t>
      </w:r>
      <w:r w:rsidRPr="0058712B">
        <w:rPr>
          <w:rFonts w:ascii="Arial" w:hAnsi="Arial" w:cs="Arial"/>
          <w:sz w:val="24"/>
          <w:szCs w:val="24"/>
        </w:rPr>
        <w:t>) años posteriores a la fecha en que el Banco reciba el Informe de Auditoría correspondiente al ejercicio en que se realice el último desembolso</w:t>
      </w:r>
      <w:r w:rsidR="00CE473C" w:rsidRPr="0058712B">
        <w:rPr>
          <w:rFonts w:ascii="Arial" w:hAnsi="Arial" w:cs="Arial"/>
          <w:sz w:val="24"/>
          <w:szCs w:val="24"/>
        </w:rPr>
        <w:t>.</w:t>
      </w:r>
    </w:p>
    <w:p w14:paraId="0038FE6D" w14:textId="77777777" w:rsidR="005E102B" w:rsidRPr="0058712B" w:rsidRDefault="009A4EB1" w:rsidP="009067BA">
      <w:pPr>
        <w:numPr>
          <w:ilvl w:val="0"/>
          <w:numId w:val="12"/>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spacing w:after="60"/>
        <w:ind w:left="1354"/>
        <w:jc w:val="both"/>
        <w:rPr>
          <w:rFonts w:ascii="Arial" w:hAnsi="Arial" w:cs="Arial"/>
          <w:sz w:val="24"/>
          <w:szCs w:val="24"/>
        </w:rPr>
      </w:pPr>
      <w:r w:rsidRPr="0058712B">
        <w:rPr>
          <w:rFonts w:ascii="Arial" w:hAnsi="Arial" w:cs="Arial"/>
          <w:sz w:val="24"/>
          <w:szCs w:val="24"/>
        </w:rPr>
        <w:t>Mantener un sistema de administración financiera que incluya: i) información física y financiera del</w:t>
      </w:r>
      <w:r w:rsidR="00E0439F" w:rsidRPr="0058712B">
        <w:rPr>
          <w:rFonts w:ascii="Arial" w:hAnsi="Arial" w:cs="Arial"/>
          <w:sz w:val="24"/>
          <w:szCs w:val="24"/>
        </w:rPr>
        <w:t xml:space="preserve"> </w:t>
      </w:r>
      <w:r w:rsidRPr="0058712B">
        <w:rPr>
          <w:rFonts w:ascii="Arial" w:hAnsi="Arial" w:cs="Arial"/>
          <w:sz w:val="24"/>
          <w:szCs w:val="24"/>
        </w:rPr>
        <w:t xml:space="preserve">Proyecto, y ii) </w:t>
      </w:r>
      <w:r w:rsidR="00CE72ED" w:rsidRPr="0058712B">
        <w:rPr>
          <w:rFonts w:ascii="Arial" w:hAnsi="Arial" w:cs="Arial"/>
          <w:sz w:val="24"/>
          <w:szCs w:val="24"/>
        </w:rPr>
        <w:t xml:space="preserve">a través de la Subdirección de Operación de Agente Financieros, </w:t>
      </w:r>
      <w:r w:rsidRPr="0058712B">
        <w:rPr>
          <w:rFonts w:ascii="Arial" w:hAnsi="Arial" w:cs="Arial"/>
          <w:sz w:val="24"/>
          <w:szCs w:val="24"/>
        </w:rPr>
        <w:t xml:space="preserve">un sistema de contabilidad, registros y cuentas separadas identificables del </w:t>
      </w:r>
      <w:r w:rsidR="00743CAA" w:rsidRPr="0058712B">
        <w:rPr>
          <w:rFonts w:ascii="Arial" w:hAnsi="Arial" w:cs="Arial"/>
          <w:sz w:val="24"/>
          <w:szCs w:val="24"/>
        </w:rPr>
        <w:t>PFTRG</w:t>
      </w:r>
      <w:r w:rsidR="007E36C3" w:rsidRPr="0058712B">
        <w:rPr>
          <w:rFonts w:ascii="Arial" w:hAnsi="Arial" w:cs="Arial"/>
          <w:sz w:val="24"/>
          <w:szCs w:val="24"/>
        </w:rPr>
        <w:t>, que le permita</w:t>
      </w:r>
      <w:r w:rsidR="00A24D28" w:rsidRPr="0058712B">
        <w:rPr>
          <w:rFonts w:ascii="Arial" w:hAnsi="Arial" w:cs="Arial"/>
          <w:sz w:val="24"/>
          <w:szCs w:val="24"/>
        </w:rPr>
        <w:t xml:space="preserve"> </w:t>
      </w:r>
      <w:r w:rsidRPr="0058712B">
        <w:rPr>
          <w:rFonts w:ascii="Arial" w:hAnsi="Arial" w:cs="Arial"/>
          <w:sz w:val="24"/>
          <w:szCs w:val="24"/>
        </w:rPr>
        <w:t>preparar los estados financieros de tal forma que se cuente con información completa de los flujos de recursos del Préstamo</w:t>
      </w:r>
      <w:r w:rsidR="00532D11" w:rsidRPr="0058712B">
        <w:rPr>
          <w:rFonts w:ascii="Arial" w:hAnsi="Arial" w:cs="Arial"/>
          <w:sz w:val="24"/>
          <w:szCs w:val="24"/>
        </w:rPr>
        <w:t xml:space="preserve"> y cada fuente</w:t>
      </w:r>
      <w:r w:rsidR="00E0439F" w:rsidRPr="0058712B">
        <w:rPr>
          <w:rFonts w:ascii="Arial" w:hAnsi="Arial" w:cs="Arial"/>
          <w:sz w:val="24"/>
          <w:szCs w:val="24"/>
        </w:rPr>
        <w:t xml:space="preserve"> </w:t>
      </w:r>
      <w:r w:rsidR="00532D11" w:rsidRPr="0058712B">
        <w:rPr>
          <w:rFonts w:ascii="Arial" w:hAnsi="Arial" w:cs="Arial"/>
          <w:sz w:val="24"/>
          <w:szCs w:val="24"/>
        </w:rPr>
        <w:t xml:space="preserve">de financiamiento del </w:t>
      </w:r>
      <w:r w:rsidR="00743CAA" w:rsidRPr="0058712B">
        <w:rPr>
          <w:rFonts w:ascii="Arial" w:hAnsi="Arial" w:cs="Arial"/>
          <w:sz w:val="24"/>
          <w:szCs w:val="24"/>
        </w:rPr>
        <w:t>PFTRG</w:t>
      </w:r>
      <w:r w:rsidRPr="0058712B">
        <w:rPr>
          <w:rFonts w:ascii="Arial" w:hAnsi="Arial" w:cs="Arial"/>
          <w:sz w:val="24"/>
          <w:szCs w:val="24"/>
        </w:rPr>
        <w:t>.</w:t>
      </w:r>
    </w:p>
    <w:p w14:paraId="25855C90" w14:textId="77777777" w:rsidR="005E102B" w:rsidRDefault="00455843" w:rsidP="009067BA">
      <w:pPr>
        <w:pStyle w:val="CuerpoA"/>
        <w:numPr>
          <w:ilvl w:val="0"/>
          <w:numId w:val="12"/>
        </w:numPr>
        <w:tabs>
          <w:tab w:val="left" w:pos="2835"/>
          <w:tab w:val="left" w:pos="3543"/>
          <w:tab w:val="left" w:pos="4252"/>
          <w:tab w:val="left" w:pos="4961"/>
          <w:tab w:val="left" w:pos="5669"/>
          <w:tab w:val="left" w:pos="6378"/>
          <w:tab w:val="left" w:pos="7087"/>
          <w:tab w:val="left" w:pos="7795"/>
          <w:tab w:val="left" w:pos="8504"/>
          <w:tab w:val="left" w:pos="9213"/>
        </w:tabs>
        <w:spacing w:after="120"/>
        <w:ind w:left="1354"/>
        <w:jc w:val="both"/>
        <w:rPr>
          <w:rFonts w:ascii="Arial" w:hAnsi="Arial" w:cs="Arial"/>
          <w:szCs w:val="24"/>
          <w:lang w:val="es-MX"/>
        </w:rPr>
      </w:pPr>
      <w:r w:rsidRPr="0058712B">
        <w:rPr>
          <w:rFonts w:ascii="Arial" w:hAnsi="Arial" w:cs="Arial"/>
          <w:szCs w:val="24"/>
          <w:lang w:val="es-MX"/>
        </w:rPr>
        <w:t>Contratar a los auditores externos de conformidad con los procedimientos y criterios de la</w:t>
      </w:r>
      <w:r w:rsidR="00CE72ED" w:rsidRPr="0058712B">
        <w:rPr>
          <w:rFonts w:ascii="Arial" w:hAnsi="Arial" w:cs="Arial"/>
          <w:szCs w:val="24"/>
          <w:lang w:val="es-MX"/>
        </w:rPr>
        <w:t xml:space="preserve"> autoridad normativa</w:t>
      </w:r>
      <w:r w:rsidRPr="0058712B">
        <w:rPr>
          <w:rFonts w:ascii="Arial" w:hAnsi="Arial" w:cs="Arial"/>
          <w:szCs w:val="24"/>
          <w:lang w:val="es-MX"/>
        </w:rPr>
        <w:t xml:space="preserve">, a efecto de que se realicen las auditorías anuales del </w:t>
      </w:r>
      <w:r w:rsidR="00743CAA" w:rsidRPr="0058712B">
        <w:rPr>
          <w:rFonts w:ascii="Arial" w:hAnsi="Arial" w:cs="Arial"/>
          <w:szCs w:val="24"/>
          <w:lang w:val="es-MX"/>
        </w:rPr>
        <w:t>PFTRG</w:t>
      </w:r>
      <w:r w:rsidRPr="0058712B">
        <w:rPr>
          <w:rFonts w:ascii="Arial" w:hAnsi="Arial" w:cs="Arial"/>
          <w:szCs w:val="24"/>
          <w:lang w:val="es-MX"/>
        </w:rPr>
        <w:t>.</w:t>
      </w:r>
    </w:p>
    <w:p w14:paraId="083CC64D" w14:textId="77777777" w:rsidR="00670F23" w:rsidRDefault="009F6369" w:rsidP="009067BA">
      <w:pPr>
        <w:pStyle w:val="Paragraph"/>
        <w:numPr>
          <w:ilvl w:val="0"/>
          <w:numId w:val="35"/>
        </w:numPr>
        <w:ind w:left="567" w:hanging="710"/>
        <w:outlineLvl w:val="9"/>
        <w:rPr>
          <w:rFonts w:ascii="Arial" w:hAnsi="Arial" w:cs="Arial"/>
          <w:b/>
          <w:szCs w:val="24"/>
          <w:lang w:val="es-MX"/>
        </w:rPr>
      </w:pPr>
      <w:bookmarkStart w:id="210" w:name="_Toc321245003"/>
      <w:r w:rsidRPr="0058712B">
        <w:rPr>
          <w:rFonts w:ascii="Arial" w:hAnsi="Arial" w:cs="Arial"/>
          <w:b/>
          <w:szCs w:val="24"/>
          <w:lang w:val="es-MX"/>
        </w:rPr>
        <w:t>Equipo</w:t>
      </w:r>
      <w:r w:rsidR="009A4EB1" w:rsidRPr="0058712B">
        <w:rPr>
          <w:rFonts w:ascii="Arial" w:hAnsi="Arial" w:cs="Arial"/>
          <w:b/>
          <w:szCs w:val="24"/>
          <w:lang w:val="es-MX"/>
        </w:rPr>
        <w:t xml:space="preserve"> </w:t>
      </w:r>
      <w:r w:rsidR="00B95891" w:rsidRPr="0058712B">
        <w:rPr>
          <w:rFonts w:ascii="Arial" w:hAnsi="Arial" w:cs="Arial"/>
          <w:b/>
          <w:szCs w:val="24"/>
          <w:lang w:val="es-MX"/>
        </w:rPr>
        <w:t>Técnico</w:t>
      </w:r>
      <w:r w:rsidR="009A4EB1" w:rsidRPr="0058712B">
        <w:rPr>
          <w:rFonts w:ascii="Arial" w:hAnsi="Arial" w:cs="Arial"/>
          <w:b/>
          <w:szCs w:val="24"/>
          <w:lang w:val="es-MX"/>
        </w:rPr>
        <w:t xml:space="preserve"> y de Apoyo</w:t>
      </w:r>
      <w:r w:rsidR="008F4856" w:rsidRPr="0058712B">
        <w:rPr>
          <w:rFonts w:ascii="Arial" w:hAnsi="Arial" w:cs="Arial"/>
          <w:b/>
          <w:szCs w:val="24"/>
          <w:lang w:val="es-MX"/>
        </w:rPr>
        <w:t>.</w:t>
      </w:r>
      <w:r w:rsidR="008F4856" w:rsidRPr="0058712B">
        <w:rPr>
          <w:rFonts w:ascii="Arial" w:hAnsi="Arial" w:cs="Arial"/>
          <w:szCs w:val="24"/>
          <w:lang w:val="es-MX"/>
        </w:rPr>
        <w:t xml:space="preserve"> </w:t>
      </w:r>
      <w:r w:rsidR="009A4EB1" w:rsidRPr="0058712B">
        <w:rPr>
          <w:rFonts w:ascii="Arial" w:hAnsi="Arial" w:cs="Arial"/>
          <w:szCs w:val="24"/>
          <w:lang w:val="es-MX"/>
        </w:rPr>
        <w:t xml:space="preserve">Para la ejecución del </w:t>
      </w:r>
      <w:r w:rsidR="00743CAA" w:rsidRPr="0058712B">
        <w:rPr>
          <w:rFonts w:ascii="Arial" w:hAnsi="Arial" w:cs="Arial"/>
          <w:szCs w:val="24"/>
          <w:lang w:val="es-MX"/>
        </w:rPr>
        <w:t>PFTRG</w:t>
      </w:r>
      <w:r w:rsidR="009A4EB1" w:rsidRPr="0058712B">
        <w:rPr>
          <w:rFonts w:ascii="Arial" w:hAnsi="Arial" w:cs="Arial"/>
          <w:szCs w:val="24"/>
          <w:lang w:val="es-MX"/>
        </w:rPr>
        <w:t xml:space="preserve">, </w:t>
      </w:r>
      <w:r w:rsidR="008F4856" w:rsidRPr="0058712B">
        <w:rPr>
          <w:rFonts w:ascii="Arial" w:hAnsi="Arial" w:cs="Arial"/>
          <w:szCs w:val="24"/>
          <w:lang w:val="es-MX"/>
        </w:rPr>
        <w:t xml:space="preserve">NAFIN </w:t>
      </w:r>
      <w:r w:rsidR="007B0F5D">
        <w:rPr>
          <w:rFonts w:ascii="Arial" w:hAnsi="Arial" w:cs="Arial"/>
          <w:szCs w:val="24"/>
          <w:lang w:val="es-MX"/>
        </w:rPr>
        <w:t xml:space="preserve">contará con el apoyo técnico del INEEL, el cual </w:t>
      </w:r>
      <w:r w:rsidR="007E36C3" w:rsidRPr="0058712B">
        <w:rPr>
          <w:rFonts w:ascii="Arial" w:hAnsi="Arial" w:cs="Arial"/>
          <w:szCs w:val="24"/>
          <w:lang w:val="es-MX"/>
        </w:rPr>
        <w:t xml:space="preserve">será responsable de las </w:t>
      </w:r>
      <w:r w:rsidR="007E36C3" w:rsidRPr="009C5A47">
        <w:rPr>
          <w:rFonts w:ascii="Arial" w:hAnsi="Arial" w:cs="Arial"/>
          <w:b/>
          <w:szCs w:val="24"/>
          <w:lang w:val="es-MX"/>
        </w:rPr>
        <w:t>definiciones técnicas</w:t>
      </w:r>
      <w:r w:rsidR="002505AC" w:rsidRPr="009C5A47">
        <w:rPr>
          <w:rFonts w:ascii="Arial" w:hAnsi="Arial" w:cs="Arial"/>
          <w:b/>
          <w:szCs w:val="24"/>
          <w:lang w:val="es-MX"/>
        </w:rPr>
        <w:t xml:space="preserve"> y</w:t>
      </w:r>
      <w:r w:rsidR="007E36C3" w:rsidRPr="009C5A47">
        <w:rPr>
          <w:rFonts w:ascii="Arial" w:hAnsi="Arial" w:cs="Arial"/>
          <w:b/>
          <w:szCs w:val="24"/>
          <w:lang w:val="es-MX"/>
        </w:rPr>
        <w:t xml:space="preserve"> ejecución de los componentes</w:t>
      </w:r>
      <w:r w:rsidR="002505AC" w:rsidRPr="009C5A47">
        <w:rPr>
          <w:rFonts w:ascii="Arial" w:hAnsi="Arial" w:cs="Arial"/>
          <w:b/>
          <w:szCs w:val="24"/>
          <w:lang w:val="es-MX"/>
        </w:rPr>
        <w:t xml:space="preserve"> del </w:t>
      </w:r>
      <w:r w:rsidR="00743CAA" w:rsidRPr="009C5A47">
        <w:rPr>
          <w:rFonts w:ascii="Arial" w:hAnsi="Arial" w:cs="Arial"/>
          <w:b/>
          <w:szCs w:val="24"/>
          <w:lang w:val="es-MX"/>
        </w:rPr>
        <w:t>PFTRG</w:t>
      </w:r>
      <w:r w:rsidR="009A4EB1" w:rsidRPr="009C5A47">
        <w:rPr>
          <w:rFonts w:ascii="Arial" w:hAnsi="Arial" w:cs="Arial"/>
          <w:b/>
          <w:szCs w:val="24"/>
          <w:lang w:val="es-MX"/>
        </w:rPr>
        <w:t>.</w:t>
      </w:r>
    </w:p>
    <w:p w14:paraId="1E902C80" w14:textId="18790866" w:rsidR="007B0F5D" w:rsidRPr="000A37CF" w:rsidRDefault="007B0F5D" w:rsidP="009067BA">
      <w:pPr>
        <w:pStyle w:val="Paragraph"/>
        <w:numPr>
          <w:ilvl w:val="0"/>
          <w:numId w:val="35"/>
        </w:numPr>
        <w:ind w:left="567" w:hanging="710"/>
        <w:outlineLvl w:val="9"/>
        <w:rPr>
          <w:rFonts w:ascii="Arial" w:hAnsi="Arial" w:cs="Arial"/>
          <w:szCs w:val="24"/>
          <w:lang w:val="es-MX"/>
        </w:rPr>
      </w:pPr>
      <w:r w:rsidRPr="000A37CF">
        <w:rPr>
          <w:rFonts w:ascii="Arial" w:hAnsi="Arial" w:cs="Arial"/>
          <w:szCs w:val="24"/>
          <w:lang w:val="es-MX"/>
        </w:rPr>
        <w:t>Así mismo NAFIN cuenta con</w:t>
      </w:r>
      <w:r w:rsidR="00F26D6D">
        <w:rPr>
          <w:rFonts w:ascii="Arial" w:hAnsi="Arial" w:cs="Arial"/>
          <w:szCs w:val="24"/>
          <w:lang w:val="es-MX"/>
        </w:rPr>
        <w:t xml:space="preserve"> </w:t>
      </w:r>
      <w:r w:rsidRPr="000A37CF">
        <w:rPr>
          <w:rFonts w:ascii="Arial" w:hAnsi="Arial" w:cs="Arial"/>
          <w:szCs w:val="24"/>
          <w:lang w:val="es-MX"/>
        </w:rPr>
        <w:t>el</w:t>
      </w:r>
      <w:r w:rsidR="00F26D6D">
        <w:rPr>
          <w:rFonts w:ascii="Arial" w:hAnsi="Arial" w:cs="Arial"/>
          <w:szCs w:val="24"/>
          <w:lang w:val="es-MX"/>
        </w:rPr>
        <w:t xml:space="preserve"> </w:t>
      </w:r>
      <w:r w:rsidRPr="000A37CF">
        <w:rPr>
          <w:rFonts w:ascii="Arial" w:hAnsi="Arial" w:cs="Arial"/>
          <w:szCs w:val="24"/>
          <w:lang w:val="es-MX"/>
        </w:rPr>
        <w:t>apoyo del siguiente equipo de trabajo:</w:t>
      </w:r>
    </w:p>
    <w:p w14:paraId="1C07EAA4" w14:textId="24EE179A" w:rsidR="00A83F64" w:rsidRPr="00670F23" w:rsidRDefault="008630A7" w:rsidP="008C38DE">
      <w:pPr>
        <w:pStyle w:val="Paragraph"/>
        <w:numPr>
          <w:ilvl w:val="0"/>
          <w:numId w:val="0"/>
        </w:numPr>
        <w:ind w:left="567"/>
        <w:outlineLvl w:val="9"/>
        <w:rPr>
          <w:rFonts w:ascii="Arial" w:hAnsi="Arial" w:cs="Arial"/>
          <w:szCs w:val="24"/>
          <w:lang w:val="es-MX"/>
        </w:rPr>
      </w:pPr>
      <w:r>
        <w:rPr>
          <w:rFonts w:ascii="Arial" w:hAnsi="Arial" w:cs="Arial"/>
          <w:b/>
          <w:szCs w:val="24"/>
          <w:lang w:val="es-MX"/>
        </w:rPr>
        <w:lastRenderedPageBreak/>
        <w:t>*</w:t>
      </w:r>
      <w:r w:rsidR="0076504F">
        <w:rPr>
          <w:rFonts w:ascii="Arial" w:hAnsi="Arial" w:cs="Arial"/>
          <w:b/>
          <w:szCs w:val="24"/>
          <w:lang w:val="es-MX"/>
        </w:rPr>
        <w:tab/>
      </w:r>
      <w:r w:rsidR="00A83F64" w:rsidRPr="00670F23">
        <w:rPr>
          <w:rFonts w:ascii="Arial" w:hAnsi="Arial" w:cs="Arial"/>
          <w:b/>
          <w:szCs w:val="24"/>
          <w:lang w:val="es-MX"/>
        </w:rPr>
        <w:t>Dirección de Proyectos Sustentables</w:t>
      </w:r>
      <w:r w:rsidR="00652595" w:rsidRPr="00670F23">
        <w:rPr>
          <w:rFonts w:ascii="Arial" w:hAnsi="Arial" w:cs="Arial"/>
          <w:b/>
          <w:szCs w:val="24"/>
          <w:lang w:val="es-MX"/>
        </w:rPr>
        <w:t>;</w:t>
      </w:r>
      <w:r w:rsidR="00A83F64" w:rsidRPr="00670F23">
        <w:rPr>
          <w:rFonts w:ascii="Arial" w:hAnsi="Arial" w:cs="Arial"/>
          <w:szCs w:val="24"/>
          <w:lang w:val="es-MX"/>
        </w:rPr>
        <w:t xml:space="preserve"> con la encomienda de ejecutar el </w:t>
      </w:r>
      <w:r w:rsidR="00743CAA" w:rsidRPr="00670F23">
        <w:rPr>
          <w:rFonts w:ascii="Arial" w:hAnsi="Arial" w:cs="Arial"/>
          <w:szCs w:val="24"/>
          <w:lang w:val="es-MX"/>
        </w:rPr>
        <w:t>PFTRG</w:t>
      </w:r>
      <w:r w:rsidR="00A83F64" w:rsidRPr="00670F23">
        <w:rPr>
          <w:rFonts w:ascii="Arial" w:hAnsi="Arial" w:cs="Arial"/>
          <w:szCs w:val="24"/>
          <w:lang w:val="es-MX"/>
        </w:rPr>
        <w:t xml:space="preserve"> e identificar y financiar proyectos</w:t>
      </w:r>
      <w:r w:rsidR="00E0439F" w:rsidRPr="00670F23">
        <w:rPr>
          <w:rFonts w:ascii="Arial" w:hAnsi="Arial" w:cs="Arial"/>
          <w:szCs w:val="24"/>
          <w:lang w:val="es-MX"/>
        </w:rPr>
        <w:t xml:space="preserve"> </w:t>
      </w:r>
      <w:r w:rsidR="00A83F64" w:rsidRPr="00670F23">
        <w:rPr>
          <w:rFonts w:ascii="Arial" w:hAnsi="Arial" w:cs="Arial"/>
          <w:szCs w:val="24"/>
          <w:lang w:val="es-MX"/>
        </w:rPr>
        <w:t xml:space="preserve">de </w:t>
      </w:r>
      <w:r w:rsidR="00CE73E8" w:rsidRPr="00670F23">
        <w:rPr>
          <w:rFonts w:ascii="Arial" w:hAnsi="Arial" w:cs="Arial"/>
          <w:szCs w:val="24"/>
          <w:lang w:val="es-MX"/>
        </w:rPr>
        <w:t>E</w:t>
      </w:r>
      <w:r w:rsidR="00652595" w:rsidRPr="00670F23">
        <w:rPr>
          <w:rFonts w:ascii="Arial" w:hAnsi="Arial" w:cs="Arial"/>
          <w:szCs w:val="24"/>
          <w:lang w:val="es-MX"/>
        </w:rPr>
        <w:t>G</w:t>
      </w:r>
      <w:r w:rsidR="00CE73E8" w:rsidRPr="00670F23">
        <w:rPr>
          <w:rFonts w:ascii="Arial" w:hAnsi="Arial" w:cs="Arial"/>
          <w:szCs w:val="24"/>
          <w:lang w:val="es-MX"/>
        </w:rPr>
        <w:t>R</w:t>
      </w:r>
      <w:r w:rsidR="00A83F64" w:rsidRPr="00670F23">
        <w:rPr>
          <w:rFonts w:ascii="Arial" w:hAnsi="Arial" w:cs="Arial"/>
          <w:szCs w:val="24"/>
          <w:lang w:val="es-MX"/>
        </w:rPr>
        <w:t xml:space="preserve"> y de eficiencia energética que tiendan a reducir la emisión de </w:t>
      </w:r>
      <w:r w:rsidR="00CE73E8" w:rsidRPr="00670F23">
        <w:rPr>
          <w:rFonts w:ascii="Arial" w:hAnsi="Arial" w:cs="Arial"/>
          <w:szCs w:val="24"/>
          <w:lang w:val="es-MX"/>
        </w:rPr>
        <w:t>GEI</w:t>
      </w:r>
      <w:r w:rsidR="00A83F64" w:rsidRPr="00670F23">
        <w:rPr>
          <w:rFonts w:ascii="Arial" w:hAnsi="Arial" w:cs="Arial"/>
          <w:szCs w:val="24"/>
          <w:lang w:val="es-MX"/>
        </w:rPr>
        <w:t xml:space="preserve"> elegibles de financiamiento bajo el </w:t>
      </w:r>
      <w:r w:rsidR="00743CAA" w:rsidRPr="00670F23">
        <w:rPr>
          <w:rFonts w:ascii="Arial" w:hAnsi="Arial" w:cs="Arial"/>
          <w:szCs w:val="24"/>
          <w:lang w:val="es-MX"/>
        </w:rPr>
        <w:t>PFTRG</w:t>
      </w:r>
      <w:r w:rsidR="00A83F64" w:rsidRPr="00670F23">
        <w:rPr>
          <w:rFonts w:ascii="Arial" w:hAnsi="Arial" w:cs="Arial"/>
          <w:szCs w:val="24"/>
          <w:lang w:val="es-MX"/>
        </w:rPr>
        <w:t>.</w:t>
      </w:r>
      <w:bookmarkEnd w:id="210"/>
    </w:p>
    <w:p w14:paraId="76C15BA2" w14:textId="01DD97F9" w:rsidR="009A4EB1" w:rsidRPr="00670F23" w:rsidRDefault="0076504F" w:rsidP="00670F23">
      <w:pPr>
        <w:pStyle w:val="Paragraph"/>
        <w:numPr>
          <w:ilvl w:val="0"/>
          <w:numId w:val="0"/>
        </w:numPr>
        <w:ind w:left="567"/>
        <w:outlineLvl w:val="9"/>
        <w:rPr>
          <w:rFonts w:ascii="Arial" w:hAnsi="Arial" w:cs="Arial"/>
          <w:szCs w:val="24"/>
          <w:lang w:val="es-MX"/>
        </w:rPr>
      </w:pPr>
      <w:r>
        <w:rPr>
          <w:rFonts w:ascii="Arial" w:hAnsi="Arial" w:cs="Arial"/>
          <w:b/>
          <w:szCs w:val="24"/>
          <w:lang w:val="es-MX"/>
        </w:rPr>
        <w:t>*</w:t>
      </w:r>
      <w:r>
        <w:rPr>
          <w:rFonts w:ascii="Arial" w:hAnsi="Arial" w:cs="Arial"/>
          <w:b/>
          <w:szCs w:val="24"/>
          <w:lang w:val="es-MX"/>
        </w:rPr>
        <w:tab/>
      </w:r>
      <w:r w:rsidR="004D2739" w:rsidRPr="00670F23">
        <w:rPr>
          <w:rFonts w:ascii="Arial" w:hAnsi="Arial" w:cs="Arial"/>
          <w:b/>
          <w:szCs w:val="24"/>
          <w:lang w:val="es-MX"/>
        </w:rPr>
        <w:t>D</w:t>
      </w:r>
      <w:r w:rsidR="002505AC" w:rsidRPr="00670F23">
        <w:rPr>
          <w:rFonts w:ascii="Arial" w:hAnsi="Arial" w:cs="Arial"/>
          <w:b/>
          <w:szCs w:val="24"/>
          <w:lang w:val="es-MX"/>
        </w:rPr>
        <w:t>irección de Crédito</w:t>
      </w:r>
      <w:r w:rsidR="004D2739" w:rsidRPr="00670F23">
        <w:rPr>
          <w:rFonts w:ascii="Arial" w:hAnsi="Arial" w:cs="Arial"/>
          <w:szCs w:val="24"/>
          <w:lang w:val="es-MX"/>
        </w:rPr>
        <w:t>,</w:t>
      </w:r>
      <w:r w:rsidR="00E0439F" w:rsidRPr="00670F23">
        <w:rPr>
          <w:rFonts w:ascii="Arial" w:hAnsi="Arial" w:cs="Arial"/>
          <w:szCs w:val="24"/>
          <w:lang w:val="es-MX"/>
        </w:rPr>
        <w:t xml:space="preserve"> </w:t>
      </w:r>
      <w:r w:rsidR="00973760" w:rsidRPr="00670F23">
        <w:rPr>
          <w:rFonts w:ascii="Arial" w:hAnsi="Arial" w:cs="Arial"/>
          <w:szCs w:val="24"/>
          <w:lang w:val="es-MX"/>
        </w:rPr>
        <w:t xml:space="preserve">es el área encargada de la formulación de las normas, políticas y procedimientos que regulan la operación crediticia de NAFIN, por lo que su </w:t>
      </w:r>
      <w:r w:rsidR="00CB5E86" w:rsidRPr="00670F23">
        <w:rPr>
          <w:rFonts w:ascii="Arial" w:hAnsi="Arial" w:cs="Arial"/>
          <w:szCs w:val="24"/>
          <w:lang w:val="es-MX"/>
        </w:rPr>
        <w:t xml:space="preserve">responsabilidad </w:t>
      </w:r>
      <w:r w:rsidR="00973760" w:rsidRPr="00670F23">
        <w:rPr>
          <w:rFonts w:ascii="Arial" w:hAnsi="Arial" w:cs="Arial"/>
          <w:szCs w:val="24"/>
          <w:lang w:val="es-MX"/>
        </w:rPr>
        <w:t xml:space="preserve">en el </w:t>
      </w:r>
      <w:r w:rsidR="00743CAA" w:rsidRPr="00670F23">
        <w:rPr>
          <w:rFonts w:ascii="Arial" w:hAnsi="Arial" w:cs="Arial"/>
          <w:szCs w:val="24"/>
          <w:lang w:val="es-MX"/>
        </w:rPr>
        <w:t>PFTRG</w:t>
      </w:r>
      <w:r w:rsidR="00973760" w:rsidRPr="00670F23">
        <w:rPr>
          <w:rFonts w:ascii="Arial" w:hAnsi="Arial" w:cs="Arial"/>
          <w:szCs w:val="24"/>
          <w:lang w:val="es-MX"/>
        </w:rPr>
        <w:t xml:space="preserve"> consiste en</w:t>
      </w:r>
      <w:r w:rsidR="002505AC" w:rsidRPr="00670F23">
        <w:rPr>
          <w:rFonts w:ascii="Arial" w:hAnsi="Arial" w:cs="Arial"/>
          <w:szCs w:val="24"/>
          <w:lang w:val="es-MX"/>
        </w:rPr>
        <w:t xml:space="preserve"> </w:t>
      </w:r>
      <w:r w:rsidR="00900118" w:rsidRPr="00670F23">
        <w:rPr>
          <w:rFonts w:ascii="Arial" w:hAnsi="Arial" w:cs="Arial"/>
          <w:szCs w:val="24"/>
          <w:lang w:val="es-MX"/>
        </w:rPr>
        <w:t xml:space="preserve">evaluar </w:t>
      </w:r>
      <w:r w:rsidR="00152807" w:rsidRPr="00670F23">
        <w:rPr>
          <w:rFonts w:ascii="Arial" w:hAnsi="Arial" w:cs="Arial"/>
          <w:szCs w:val="24"/>
          <w:lang w:val="es-MX"/>
        </w:rPr>
        <w:t>la viabilidad financiera y determina</w:t>
      </w:r>
      <w:r w:rsidR="00900118" w:rsidRPr="00670F23">
        <w:rPr>
          <w:rFonts w:ascii="Arial" w:hAnsi="Arial" w:cs="Arial"/>
          <w:szCs w:val="24"/>
          <w:lang w:val="es-MX"/>
        </w:rPr>
        <w:t>r</w:t>
      </w:r>
      <w:r w:rsidR="00152807" w:rsidRPr="00670F23">
        <w:rPr>
          <w:rFonts w:ascii="Arial" w:hAnsi="Arial" w:cs="Arial"/>
          <w:szCs w:val="24"/>
          <w:lang w:val="es-MX"/>
        </w:rPr>
        <w:t xml:space="preserve"> el nivel de riesgo de los proyectos que, en su caso, sean elegibles para ser</w:t>
      </w:r>
      <w:r w:rsidR="00E0439F" w:rsidRPr="00670F23">
        <w:rPr>
          <w:rFonts w:ascii="Arial" w:hAnsi="Arial" w:cs="Arial"/>
          <w:szCs w:val="24"/>
          <w:lang w:val="es-MX"/>
        </w:rPr>
        <w:t xml:space="preserve"> </w:t>
      </w:r>
      <w:r w:rsidR="00152807" w:rsidRPr="00670F23">
        <w:rPr>
          <w:rFonts w:ascii="Arial" w:hAnsi="Arial" w:cs="Arial"/>
          <w:szCs w:val="24"/>
          <w:lang w:val="es-MX"/>
        </w:rPr>
        <w:t>financiados con recursos de</w:t>
      </w:r>
      <w:r w:rsidR="00DB7C06" w:rsidRPr="00670F23">
        <w:rPr>
          <w:rFonts w:ascii="Arial" w:hAnsi="Arial" w:cs="Arial"/>
          <w:szCs w:val="24"/>
          <w:lang w:val="es-MX"/>
        </w:rPr>
        <w:t xml:space="preserve"> </w:t>
      </w:r>
      <w:r w:rsidR="00152807" w:rsidRPr="00670F23">
        <w:rPr>
          <w:rFonts w:ascii="Arial" w:hAnsi="Arial" w:cs="Arial"/>
          <w:szCs w:val="24"/>
          <w:lang w:val="es-MX"/>
        </w:rPr>
        <w:t>l</w:t>
      </w:r>
      <w:r w:rsidR="00DB7C06" w:rsidRPr="00670F23">
        <w:rPr>
          <w:rFonts w:ascii="Arial" w:hAnsi="Arial" w:cs="Arial"/>
          <w:szCs w:val="24"/>
          <w:lang w:val="es-MX"/>
        </w:rPr>
        <w:t>os</w:t>
      </w:r>
      <w:r w:rsidR="00152807" w:rsidRPr="00670F23">
        <w:rPr>
          <w:rFonts w:ascii="Arial" w:hAnsi="Arial" w:cs="Arial"/>
          <w:szCs w:val="24"/>
          <w:lang w:val="es-MX"/>
        </w:rPr>
        <w:t xml:space="preserve"> préstamo</w:t>
      </w:r>
      <w:r w:rsidR="00DB7C06" w:rsidRPr="00670F23">
        <w:rPr>
          <w:rFonts w:ascii="Arial" w:hAnsi="Arial" w:cs="Arial"/>
          <w:szCs w:val="24"/>
          <w:lang w:val="es-MX"/>
        </w:rPr>
        <w:t>s y cooperaciones técnicas citadas</w:t>
      </w:r>
      <w:r w:rsidR="002505AC" w:rsidRPr="00670F23">
        <w:rPr>
          <w:rFonts w:ascii="Arial" w:hAnsi="Arial" w:cs="Arial"/>
          <w:szCs w:val="24"/>
          <w:lang w:val="es-MX"/>
        </w:rPr>
        <w:t>.</w:t>
      </w:r>
      <w:r w:rsidR="00E0439F" w:rsidRPr="00670F23">
        <w:rPr>
          <w:rFonts w:ascii="Arial" w:hAnsi="Arial" w:cs="Arial"/>
          <w:szCs w:val="24"/>
          <w:lang w:val="es-MX"/>
        </w:rPr>
        <w:t xml:space="preserve"> </w:t>
      </w:r>
    </w:p>
    <w:p w14:paraId="72E54FAF" w14:textId="22133F30" w:rsidR="007911FA" w:rsidRPr="00670F23" w:rsidRDefault="0076504F" w:rsidP="00670F23">
      <w:pPr>
        <w:pStyle w:val="Paragraph"/>
        <w:numPr>
          <w:ilvl w:val="0"/>
          <w:numId w:val="0"/>
        </w:numPr>
        <w:ind w:left="567"/>
        <w:outlineLvl w:val="9"/>
        <w:rPr>
          <w:rFonts w:ascii="Arial" w:hAnsi="Arial" w:cs="Arial"/>
          <w:szCs w:val="24"/>
          <w:lang w:val="es-MX"/>
        </w:rPr>
      </w:pPr>
      <w:r>
        <w:rPr>
          <w:rFonts w:ascii="Arial" w:hAnsi="Arial" w:cs="Arial"/>
          <w:b/>
          <w:szCs w:val="24"/>
          <w:lang w:val="es-MX"/>
        </w:rPr>
        <w:t>*</w:t>
      </w:r>
      <w:r>
        <w:rPr>
          <w:rFonts w:ascii="Arial" w:hAnsi="Arial" w:cs="Arial"/>
          <w:b/>
          <w:szCs w:val="24"/>
          <w:lang w:val="es-MX"/>
        </w:rPr>
        <w:tab/>
      </w:r>
      <w:r w:rsidR="000D0AE9" w:rsidRPr="00670F23">
        <w:rPr>
          <w:rFonts w:ascii="Arial" w:hAnsi="Arial" w:cs="Arial"/>
          <w:b/>
          <w:szCs w:val="24"/>
          <w:lang w:val="es-MX"/>
        </w:rPr>
        <w:t>D</w:t>
      </w:r>
      <w:r w:rsidR="002505AC" w:rsidRPr="00670F23">
        <w:rPr>
          <w:rFonts w:ascii="Arial" w:hAnsi="Arial" w:cs="Arial"/>
          <w:b/>
          <w:szCs w:val="24"/>
          <w:lang w:val="es-MX"/>
        </w:rPr>
        <w:t>irección de Administración Crediticia</w:t>
      </w:r>
      <w:r w:rsidR="000D0AE9" w:rsidRPr="00670F23">
        <w:rPr>
          <w:rFonts w:ascii="Arial" w:hAnsi="Arial" w:cs="Arial"/>
          <w:b/>
          <w:szCs w:val="24"/>
          <w:lang w:val="es-MX"/>
        </w:rPr>
        <w:t>,</w:t>
      </w:r>
      <w:r w:rsidR="000D0AE9" w:rsidRPr="00670F23">
        <w:rPr>
          <w:rFonts w:ascii="Arial" w:hAnsi="Arial" w:cs="Arial"/>
          <w:szCs w:val="24"/>
          <w:lang w:val="es-MX"/>
        </w:rPr>
        <w:t xml:space="preserve"> cuya función es a</w:t>
      </w:r>
      <w:r w:rsidR="009A4EB1" w:rsidRPr="00670F23">
        <w:rPr>
          <w:rFonts w:ascii="Arial" w:hAnsi="Arial" w:cs="Arial"/>
          <w:szCs w:val="24"/>
          <w:lang w:val="es-MX"/>
        </w:rPr>
        <w:t>dministrar en el SIRAC la cartera crediticia de N</w:t>
      </w:r>
      <w:r w:rsidR="000D0AE9" w:rsidRPr="00670F23">
        <w:rPr>
          <w:rFonts w:ascii="Arial" w:hAnsi="Arial" w:cs="Arial"/>
          <w:szCs w:val="24"/>
          <w:lang w:val="es-MX"/>
        </w:rPr>
        <w:t>AFIN</w:t>
      </w:r>
      <w:r w:rsidR="009A4EB1" w:rsidRPr="00670F23">
        <w:rPr>
          <w:rFonts w:ascii="Arial" w:hAnsi="Arial" w:cs="Arial"/>
          <w:szCs w:val="24"/>
          <w:lang w:val="es-MX"/>
        </w:rPr>
        <w:t>, generar su contabilidad y obtener información</w:t>
      </w:r>
      <w:r w:rsidR="00E0439F" w:rsidRPr="00670F23">
        <w:rPr>
          <w:rFonts w:ascii="Arial" w:hAnsi="Arial" w:cs="Arial"/>
          <w:szCs w:val="24"/>
          <w:lang w:val="es-MX"/>
        </w:rPr>
        <w:t xml:space="preserve"> </w:t>
      </w:r>
      <w:r w:rsidR="009A4EB1" w:rsidRPr="00670F23">
        <w:rPr>
          <w:rFonts w:ascii="Arial" w:hAnsi="Arial" w:cs="Arial"/>
          <w:szCs w:val="24"/>
          <w:lang w:val="es-MX"/>
        </w:rPr>
        <w:t>exacta y oportuna</w:t>
      </w:r>
      <w:r w:rsidR="00077CC0" w:rsidRPr="00670F23">
        <w:rPr>
          <w:rFonts w:ascii="Arial" w:hAnsi="Arial" w:cs="Arial"/>
          <w:szCs w:val="24"/>
          <w:lang w:val="es-MX"/>
        </w:rPr>
        <w:t xml:space="preserve">; </w:t>
      </w:r>
      <w:r w:rsidR="00B05190" w:rsidRPr="00670F23">
        <w:rPr>
          <w:rFonts w:ascii="Arial" w:hAnsi="Arial" w:cs="Arial"/>
          <w:szCs w:val="24"/>
          <w:lang w:val="es-MX"/>
        </w:rPr>
        <w:t xml:space="preserve">asimismo, administrará los recursos del FIG. </w:t>
      </w:r>
      <w:r w:rsidR="00CB5E86" w:rsidRPr="00670F23">
        <w:rPr>
          <w:rFonts w:ascii="Arial" w:hAnsi="Arial" w:cs="Arial"/>
          <w:szCs w:val="24"/>
          <w:lang w:val="es-MX"/>
        </w:rPr>
        <w:t xml:space="preserve">Esta Dirección proporcionará al Administrador de Proyectos, la información relativa a las operaciones apoyadas al amparo del </w:t>
      </w:r>
      <w:r w:rsidR="00743CAA" w:rsidRPr="00670F23">
        <w:rPr>
          <w:rFonts w:ascii="Arial" w:hAnsi="Arial" w:cs="Arial"/>
          <w:szCs w:val="24"/>
          <w:lang w:val="es-MX"/>
        </w:rPr>
        <w:t>PFTRG</w:t>
      </w:r>
      <w:r w:rsidR="00CB5E86" w:rsidRPr="00670F23">
        <w:rPr>
          <w:rFonts w:ascii="Arial" w:hAnsi="Arial" w:cs="Arial"/>
          <w:szCs w:val="24"/>
          <w:lang w:val="es-MX"/>
        </w:rPr>
        <w:t xml:space="preserve">, con la información descrita en el párrafo </w:t>
      </w:r>
      <w:r w:rsidR="00AB0988" w:rsidRPr="00670F23">
        <w:rPr>
          <w:rFonts w:ascii="Arial" w:hAnsi="Arial" w:cs="Arial"/>
          <w:szCs w:val="24"/>
          <w:lang w:val="es-MX"/>
        </w:rPr>
        <w:t>1</w:t>
      </w:r>
      <w:r w:rsidR="003E5056" w:rsidRPr="00670F23">
        <w:rPr>
          <w:rFonts w:ascii="Arial" w:hAnsi="Arial" w:cs="Arial"/>
          <w:szCs w:val="24"/>
          <w:lang w:val="es-MX"/>
        </w:rPr>
        <w:t>6</w:t>
      </w:r>
      <w:r w:rsidR="00AB0988" w:rsidRPr="00670F23">
        <w:rPr>
          <w:rFonts w:ascii="Arial" w:hAnsi="Arial" w:cs="Arial"/>
          <w:szCs w:val="24"/>
          <w:lang w:val="es-MX"/>
        </w:rPr>
        <w:t>.</w:t>
      </w:r>
      <w:r w:rsidR="003E5056" w:rsidRPr="00670F23">
        <w:rPr>
          <w:rFonts w:ascii="Arial" w:hAnsi="Arial" w:cs="Arial"/>
          <w:szCs w:val="24"/>
          <w:lang w:val="es-MX"/>
        </w:rPr>
        <w:t>1</w:t>
      </w:r>
      <w:r w:rsidR="00B468AD" w:rsidRPr="00670F23">
        <w:rPr>
          <w:rFonts w:ascii="Arial" w:hAnsi="Arial" w:cs="Arial"/>
          <w:szCs w:val="24"/>
          <w:lang w:val="es-MX"/>
        </w:rPr>
        <w:t>. b)</w:t>
      </w:r>
      <w:r w:rsidR="00E0439F" w:rsidRPr="00670F23">
        <w:rPr>
          <w:rFonts w:ascii="Arial" w:hAnsi="Arial" w:cs="Arial"/>
          <w:szCs w:val="24"/>
          <w:lang w:val="es-MX"/>
        </w:rPr>
        <w:t xml:space="preserve"> </w:t>
      </w:r>
      <w:r w:rsidR="00CB5E86" w:rsidRPr="00670F23">
        <w:rPr>
          <w:rFonts w:ascii="Arial" w:hAnsi="Arial" w:cs="Arial"/>
          <w:szCs w:val="24"/>
          <w:lang w:val="es-MX"/>
        </w:rPr>
        <w:t>de este ROP</w:t>
      </w:r>
      <w:r w:rsidR="002505AC" w:rsidRPr="00670F23">
        <w:rPr>
          <w:rFonts w:ascii="Arial" w:hAnsi="Arial" w:cs="Arial"/>
          <w:szCs w:val="24"/>
          <w:lang w:val="es-MX"/>
        </w:rPr>
        <w:t xml:space="preserve">, con objeto de que el Administrador de Proyectos de Organismos Financieros pueda </w:t>
      </w:r>
      <w:r w:rsidR="00C25580" w:rsidRPr="00670F23">
        <w:rPr>
          <w:rFonts w:ascii="Arial" w:hAnsi="Arial" w:cs="Arial"/>
          <w:szCs w:val="24"/>
          <w:lang w:val="es-MX"/>
        </w:rPr>
        <w:t>pre</w:t>
      </w:r>
      <w:r w:rsidR="00D161ED" w:rsidRPr="00670F23">
        <w:rPr>
          <w:rFonts w:ascii="Arial" w:hAnsi="Arial" w:cs="Arial"/>
          <w:szCs w:val="24"/>
          <w:lang w:val="es-MX"/>
        </w:rPr>
        <w:t xml:space="preserve">parar </w:t>
      </w:r>
      <w:r w:rsidR="007911FA" w:rsidRPr="00670F23">
        <w:rPr>
          <w:rFonts w:ascii="Arial" w:hAnsi="Arial" w:cs="Arial"/>
          <w:szCs w:val="24"/>
          <w:lang w:val="es-MX"/>
        </w:rPr>
        <w:t>las solicitudes de desembolso</w:t>
      </w:r>
      <w:r w:rsidR="00941D32" w:rsidRPr="00670F23">
        <w:rPr>
          <w:rFonts w:ascii="Arial" w:hAnsi="Arial" w:cs="Arial"/>
          <w:szCs w:val="24"/>
          <w:lang w:val="es-MX"/>
        </w:rPr>
        <w:t xml:space="preserve"> correspondientes</w:t>
      </w:r>
      <w:r w:rsidR="001C5A5D" w:rsidRPr="00670F23">
        <w:rPr>
          <w:rFonts w:ascii="Arial" w:hAnsi="Arial" w:cs="Arial"/>
          <w:szCs w:val="24"/>
          <w:lang w:val="es-MX"/>
        </w:rPr>
        <w:t>, para su trámite ante el BID</w:t>
      </w:r>
      <w:r w:rsidR="002505AC" w:rsidRPr="00670F23">
        <w:rPr>
          <w:rFonts w:ascii="Arial" w:hAnsi="Arial" w:cs="Arial"/>
          <w:szCs w:val="24"/>
          <w:lang w:val="es-MX"/>
        </w:rPr>
        <w:t>.</w:t>
      </w:r>
    </w:p>
    <w:p w14:paraId="622ED3E6" w14:textId="61C9552A" w:rsidR="002B359F" w:rsidRPr="00670F23" w:rsidRDefault="0076504F" w:rsidP="00670F23">
      <w:pPr>
        <w:pStyle w:val="Paragraph"/>
        <w:numPr>
          <w:ilvl w:val="0"/>
          <w:numId w:val="0"/>
        </w:numPr>
        <w:ind w:left="567"/>
        <w:outlineLvl w:val="9"/>
        <w:rPr>
          <w:rFonts w:ascii="Arial" w:hAnsi="Arial" w:cs="Arial"/>
          <w:szCs w:val="24"/>
          <w:lang w:val="es-MX"/>
        </w:rPr>
      </w:pPr>
      <w:r>
        <w:rPr>
          <w:rFonts w:ascii="Arial" w:hAnsi="Arial" w:cs="Arial"/>
          <w:b/>
          <w:szCs w:val="24"/>
          <w:lang w:val="es-MX"/>
        </w:rPr>
        <w:t>*</w:t>
      </w:r>
      <w:r>
        <w:rPr>
          <w:rFonts w:ascii="Arial" w:hAnsi="Arial" w:cs="Arial"/>
          <w:b/>
          <w:szCs w:val="24"/>
          <w:lang w:val="es-MX"/>
        </w:rPr>
        <w:tab/>
      </w:r>
      <w:r w:rsidR="007911FA" w:rsidRPr="00670F23">
        <w:rPr>
          <w:rFonts w:ascii="Arial" w:hAnsi="Arial" w:cs="Arial"/>
          <w:b/>
          <w:szCs w:val="24"/>
          <w:lang w:val="es-MX"/>
        </w:rPr>
        <w:t>D</w:t>
      </w:r>
      <w:r w:rsidR="00941D32" w:rsidRPr="00670F23">
        <w:rPr>
          <w:rFonts w:ascii="Arial" w:hAnsi="Arial" w:cs="Arial"/>
          <w:b/>
          <w:szCs w:val="24"/>
          <w:lang w:val="es-MX"/>
        </w:rPr>
        <w:t>irección de Seguimiento y Recuperación</w:t>
      </w:r>
      <w:r w:rsidR="007911FA" w:rsidRPr="00670F23">
        <w:rPr>
          <w:rFonts w:ascii="Arial" w:hAnsi="Arial" w:cs="Arial"/>
          <w:szCs w:val="24"/>
          <w:lang w:val="es-MX"/>
        </w:rPr>
        <w:t>,</w:t>
      </w:r>
      <w:r w:rsidR="00973760" w:rsidRPr="00670F23">
        <w:rPr>
          <w:rFonts w:ascii="Arial" w:hAnsi="Arial" w:cs="Arial"/>
          <w:szCs w:val="24"/>
          <w:lang w:val="es-MX"/>
        </w:rPr>
        <w:t xml:space="preserve"> </w:t>
      </w:r>
      <w:r w:rsidR="009260BE" w:rsidRPr="00670F23">
        <w:rPr>
          <w:rFonts w:ascii="Arial" w:hAnsi="Arial" w:cs="Arial"/>
          <w:szCs w:val="24"/>
          <w:lang w:val="es-MX"/>
        </w:rPr>
        <w:t xml:space="preserve">Con el </w:t>
      </w:r>
      <w:r w:rsidR="00973760" w:rsidRPr="00670F23">
        <w:rPr>
          <w:rFonts w:ascii="Arial" w:hAnsi="Arial" w:cs="Arial"/>
          <w:szCs w:val="24"/>
          <w:lang w:val="es-MX"/>
        </w:rPr>
        <w:t xml:space="preserve">propósito </w:t>
      </w:r>
      <w:r w:rsidR="009260BE" w:rsidRPr="00670F23">
        <w:rPr>
          <w:rFonts w:ascii="Arial" w:hAnsi="Arial" w:cs="Arial"/>
          <w:szCs w:val="24"/>
          <w:lang w:val="es-MX"/>
        </w:rPr>
        <w:t xml:space="preserve">de </w:t>
      </w:r>
      <w:r w:rsidR="00973760" w:rsidRPr="00670F23">
        <w:rPr>
          <w:rFonts w:ascii="Arial" w:hAnsi="Arial" w:cs="Arial"/>
          <w:szCs w:val="24"/>
          <w:lang w:val="es-MX"/>
        </w:rPr>
        <w:t xml:space="preserve">llevar a cabo la supervisión y seguimiento de los </w:t>
      </w:r>
      <w:r w:rsidR="00693927" w:rsidRPr="00670F23">
        <w:rPr>
          <w:rFonts w:ascii="Arial" w:hAnsi="Arial" w:cs="Arial"/>
          <w:szCs w:val="24"/>
          <w:lang w:val="es-MX"/>
        </w:rPr>
        <w:t>IFI’s</w:t>
      </w:r>
      <w:r w:rsidR="00973760" w:rsidRPr="00670F23">
        <w:rPr>
          <w:rFonts w:ascii="Arial" w:hAnsi="Arial" w:cs="Arial"/>
          <w:szCs w:val="24"/>
          <w:lang w:val="es-MX"/>
        </w:rPr>
        <w:t xml:space="preserve"> y no bancarios</w:t>
      </w:r>
      <w:r w:rsidR="00B468AD" w:rsidRPr="00670F23">
        <w:rPr>
          <w:rFonts w:ascii="Arial" w:hAnsi="Arial" w:cs="Arial"/>
          <w:szCs w:val="24"/>
          <w:lang w:val="es-MX"/>
        </w:rPr>
        <w:t xml:space="preserve"> y de las operaciones en primer piso de acuerdo con el Sistema Normativo de Crédito de NAFIN</w:t>
      </w:r>
      <w:r w:rsidR="00973760" w:rsidRPr="00670F23">
        <w:rPr>
          <w:rFonts w:ascii="Arial" w:hAnsi="Arial" w:cs="Arial"/>
          <w:szCs w:val="24"/>
          <w:lang w:val="es-MX"/>
        </w:rPr>
        <w:t>.</w:t>
      </w:r>
      <w:r w:rsidR="00E0439F" w:rsidRPr="00670F23">
        <w:rPr>
          <w:rFonts w:ascii="Arial" w:hAnsi="Arial" w:cs="Arial"/>
          <w:szCs w:val="24"/>
          <w:lang w:val="es-MX"/>
        </w:rPr>
        <w:t xml:space="preserve"> </w:t>
      </w:r>
      <w:r w:rsidR="00973760" w:rsidRPr="00670F23">
        <w:rPr>
          <w:rFonts w:ascii="Arial" w:hAnsi="Arial" w:cs="Arial"/>
          <w:szCs w:val="24"/>
          <w:lang w:val="es-MX"/>
        </w:rPr>
        <w:t xml:space="preserve">Su injerencia en el </w:t>
      </w:r>
      <w:r w:rsidR="00743CAA" w:rsidRPr="00670F23">
        <w:rPr>
          <w:rFonts w:ascii="Arial" w:hAnsi="Arial" w:cs="Arial"/>
          <w:szCs w:val="24"/>
          <w:lang w:val="es-MX"/>
        </w:rPr>
        <w:t>PFTRG</w:t>
      </w:r>
      <w:r w:rsidR="00973760" w:rsidRPr="00670F23">
        <w:rPr>
          <w:rFonts w:ascii="Arial" w:hAnsi="Arial" w:cs="Arial"/>
          <w:szCs w:val="24"/>
          <w:lang w:val="es-MX"/>
        </w:rPr>
        <w:t xml:space="preserve"> radica en </w:t>
      </w:r>
      <w:r w:rsidR="00941D32" w:rsidRPr="00670F23">
        <w:rPr>
          <w:rFonts w:ascii="Arial" w:hAnsi="Arial" w:cs="Arial"/>
          <w:szCs w:val="24"/>
          <w:lang w:val="es-MX"/>
        </w:rPr>
        <w:t xml:space="preserve">proporcionar </w:t>
      </w:r>
      <w:r w:rsidR="00145696" w:rsidRPr="00670F23">
        <w:rPr>
          <w:rFonts w:ascii="Arial" w:hAnsi="Arial" w:cs="Arial"/>
          <w:szCs w:val="24"/>
          <w:lang w:val="es-MX"/>
        </w:rPr>
        <w:t xml:space="preserve">a la DOFI </w:t>
      </w:r>
      <w:r w:rsidR="00941D32" w:rsidRPr="00670F23">
        <w:rPr>
          <w:rFonts w:ascii="Arial" w:hAnsi="Arial" w:cs="Arial"/>
          <w:szCs w:val="24"/>
          <w:lang w:val="es-MX"/>
        </w:rPr>
        <w:t xml:space="preserve">la información que </w:t>
      </w:r>
      <w:r w:rsidR="00145696" w:rsidRPr="00670F23">
        <w:rPr>
          <w:rFonts w:ascii="Arial" w:hAnsi="Arial" w:cs="Arial"/>
          <w:szCs w:val="24"/>
          <w:lang w:val="es-MX"/>
        </w:rPr>
        <w:t xml:space="preserve">le </w:t>
      </w:r>
      <w:r w:rsidR="00941D32" w:rsidRPr="00670F23">
        <w:rPr>
          <w:rFonts w:ascii="Arial" w:hAnsi="Arial" w:cs="Arial"/>
          <w:szCs w:val="24"/>
          <w:lang w:val="es-MX"/>
        </w:rPr>
        <w:t>solicit</w:t>
      </w:r>
      <w:r w:rsidR="00C25580" w:rsidRPr="00670F23">
        <w:rPr>
          <w:rFonts w:ascii="Arial" w:hAnsi="Arial" w:cs="Arial"/>
          <w:szCs w:val="24"/>
          <w:lang w:val="es-MX"/>
        </w:rPr>
        <w:t>e</w:t>
      </w:r>
      <w:r w:rsidR="00941D32" w:rsidRPr="00670F23">
        <w:rPr>
          <w:rFonts w:ascii="Arial" w:hAnsi="Arial" w:cs="Arial"/>
          <w:szCs w:val="24"/>
          <w:lang w:val="es-MX"/>
        </w:rPr>
        <w:t xml:space="preserve"> </w:t>
      </w:r>
      <w:r w:rsidR="00145696" w:rsidRPr="00670F23">
        <w:rPr>
          <w:rFonts w:ascii="Arial" w:hAnsi="Arial" w:cs="Arial"/>
          <w:szCs w:val="24"/>
          <w:lang w:val="es-MX"/>
        </w:rPr>
        <w:t>a</w:t>
      </w:r>
      <w:r w:rsidR="00E0439F" w:rsidRPr="00670F23">
        <w:rPr>
          <w:rFonts w:ascii="Arial" w:hAnsi="Arial" w:cs="Arial"/>
          <w:szCs w:val="24"/>
          <w:lang w:val="es-MX"/>
        </w:rPr>
        <w:t xml:space="preserve"> </w:t>
      </w:r>
      <w:r w:rsidR="00941D32" w:rsidRPr="00670F23">
        <w:rPr>
          <w:rFonts w:ascii="Arial" w:hAnsi="Arial" w:cs="Arial"/>
          <w:szCs w:val="24"/>
          <w:lang w:val="es-MX"/>
        </w:rPr>
        <w:t>los</w:t>
      </w:r>
      <w:r w:rsidR="00C43B97" w:rsidRPr="00670F23">
        <w:rPr>
          <w:rFonts w:ascii="Arial" w:hAnsi="Arial" w:cs="Arial"/>
          <w:szCs w:val="24"/>
          <w:lang w:val="es-MX"/>
        </w:rPr>
        <w:t xml:space="preserve"> </w:t>
      </w:r>
      <w:r w:rsidR="00693927" w:rsidRPr="00670F23">
        <w:rPr>
          <w:rFonts w:ascii="Arial" w:hAnsi="Arial" w:cs="Arial"/>
          <w:szCs w:val="24"/>
          <w:lang w:val="es-MX"/>
        </w:rPr>
        <w:t>IFI’s</w:t>
      </w:r>
      <w:r w:rsidR="00A34563" w:rsidRPr="00670F23">
        <w:rPr>
          <w:rFonts w:ascii="Arial" w:hAnsi="Arial" w:cs="Arial"/>
          <w:szCs w:val="24"/>
          <w:lang w:val="es-MX"/>
        </w:rPr>
        <w:t>, S</w:t>
      </w:r>
      <w:r w:rsidR="00B468AD" w:rsidRPr="00670F23">
        <w:rPr>
          <w:rFonts w:ascii="Arial" w:hAnsi="Arial" w:cs="Arial"/>
          <w:szCs w:val="24"/>
          <w:lang w:val="es-MX"/>
        </w:rPr>
        <w:t>ub</w:t>
      </w:r>
      <w:r w:rsidR="00A34563" w:rsidRPr="00670F23">
        <w:rPr>
          <w:rFonts w:ascii="Arial" w:hAnsi="Arial" w:cs="Arial"/>
          <w:szCs w:val="24"/>
          <w:lang w:val="es-MX"/>
        </w:rPr>
        <w:t>-</w:t>
      </w:r>
      <w:r w:rsidR="00B468AD" w:rsidRPr="00670F23">
        <w:rPr>
          <w:rFonts w:ascii="Arial" w:hAnsi="Arial" w:cs="Arial"/>
          <w:szCs w:val="24"/>
          <w:lang w:val="es-MX"/>
        </w:rPr>
        <w:t>prestatarios</w:t>
      </w:r>
      <w:r w:rsidR="00941D32" w:rsidRPr="00670F23">
        <w:rPr>
          <w:rFonts w:ascii="Arial" w:hAnsi="Arial" w:cs="Arial"/>
          <w:szCs w:val="24"/>
          <w:lang w:val="es-MX"/>
        </w:rPr>
        <w:t xml:space="preserve"> y</w:t>
      </w:r>
      <w:r w:rsidR="007404E7" w:rsidRPr="00670F23">
        <w:rPr>
          <w:rFonts w:ascii="Arial" w:hAnsi="Arial" w:cs="Arial"/>
          <w:szCs w:val="24"/>
          <w:lang w:val="es-MX"/>
        </w:rPr>
        <w:t>/o</w:t>
      </w:r>
      <w:r w:rsidR="00941D32" w:rsidRPr="00670F23">
        <w:rPr>
          <w:rFonts w:ascii="Arial" w:hAnsi="Arial" w:cs="Arial"/>
          <w:szCs w:val="24"/>
          <w:lang w:val="es-MX"/>
        </w:rPr>
        <w:t xml:space="preserve"> cualquier otro tipo de </w:t>
      </w:r>
      <w:r w:rsidR="00145696" w:rsidRPr="00670F23">
        <w:rPr>
          <w:rFonts w:ascii="Arial" w:hAnsi="Arial" w:cs="Arial"/>
          <w:szCs w:val="24"/>
          <w:lang w:val="es-MX"/>
        </w:rPr>
        <w:t>intermediario</w:t>
      </w:r>
      <w:r w:rsidR="00E0439F" w:rsidRPr="00670F23">
        <w:rPr>
          <w:rFonts w:ascii="Arial" w:hAnsi="Arial" w:cs="Arial"/>
          <w:szCs w:val="24"/>
          <w:lang w:val="es-MX"/>
        </w:rPr>
        <w:t xml:space="preserve"> </w:t>
      </w:r>
      <w:r w:rsidR="00941D32" w:rsidRPr="00670F23">
        <w:rPr>
          <w:rFonts w:ascii="Arial" w:hAnsi="Arial" w:cs="Arial"/>
          <w:szCs w:val="24"/>
          <w:lang w:val="es-MX"/>
        </w:rPr>
        <w:t xml:space="preserve">que haya participado en el financiamiento del </w:t>
      </w:r>
      <w:r w:rsidR="00743CAA" w:rsidRPr="00670F23">
        <w:rPr>
          <w:rFonts w:ascii="Arial" w:hAnsi="Arial" w:cs="Arial"/>
          <w:szCs w:val="24"/>
          <w:lang w:val="es-MX"/>
        </w:rPr>
        <w:t>PFTRG</w:t>
      </w:r>
      <w:r w:rsidR="00B468AD" w:rsidRPr="00670F23">
        <w:rPr>
          <w:rFonts w:ascii="Arial" w:hAnsi="Arial" w:cs="Arial"/>
          <w:szCs w:val="24"/>
          <w:lang w:val="es-MX"/>
        </w:rPr>
        <w:t>.</w:t>
      </w:r>
      <w:r w:rsidR="002B359F" w:rsidRPr="00670F23">
        <w:rPr>
          <w:rFonts w:ascii="Arial" w:hAnsi="Arial" w:cs="Arial"/>
          <w:szCs w:val="24"/>
          <w:lang w:val="es-MX"/>
        </w:rPr>
        <w:t xml:space="preserve"> </w:t>
      </w:r>
    </w:p>
    <w:p w14:paraId="39840AFA" w14:textId="1E99DBC8" w:rsidR="002B359F" w:rsidRDefault="0076504F" w:rsidP="00670F23">
      <w:pPr>
        <w:pStyle w:val="Paragraph"/>
        <w:numPr>
          <w:ilvl w:val="0"/>
          <w:numId w:val="0"/>
        </w:numPr>
        <w:ind w:left="567"/>
        <w:outlineLvl w:val="9"/>
        <w:rPr>
          <w:rFonts w:ascii="Arial" w:hAnsi="Arial" w:cs="Arial"/>
          <w:szCs w:val="24"/>
          <w:lang w:val="es-MX"/>
        </w:rPr>
      </w:pPr>
      <w:r>
        <w:rPr>
          <w:rFonts w:ascii="Arial" w:hAnsi="Arial" w:cs="Arial"/>
          <w:b/>
          <w:szCs w:val="24"/>
          <w:lang w:val="es-MX"/>
        </w:rPr>
        <w:t>*</w:t>
      </w:r>
      <w:r>
        <w:rPr>
          <w:rFonts w:ascii="Arial" w:hAnsi="Arial" w:cs="Arial"/>
          <w:b/>
          <w:szCs w:val="24"/>
          <w:lang w:val="es-MX"/>
        </w:rPr>
        <w:tab/>
      </w:r>
      <w:r w:rsidR="002B359F" w:rsidRPr="00670F23">
        <w:rPr>
          <w:rFonts w:ascii="Arial" w:hAnsi="Arial" w:cs="Arial"/>
          <w:b/>
          <w:szCs w:val="24"/>
          <w:lang w:val="es-MX"/>
        </w:rPr>
        <w:t>Dirección</w:t>
      </w:r>
      <w:r w:rsidR="00D55FC1" w:rsidRPr="00670F23">
        <w:rPr>
          <w:rFonts w:ascii="Arial" w:hAnsi="Arial" w:cs="Arial"/>
          <w:b/>
          <w:szCs w:val="24"/>
          <w:lang w:val="es-MX"/>
        </w:rPr>
        <w:t xml:space="preserve"> de Desarrollo de Productos</w:t>
      </w:r>
      <w:r w:rsidR="002B359F" w:rsidRPr="00670F23">
        <w:rPr>
          <w:rFonts w:ascii="Arial" w:hAnsi="Arial" w:cs="Arial"/>
          <w:b/>
          <w:szCs w:val="24"/>
          <w:lang w:val="es-MX"/>
        </w:rPr>
        <w:t>,</w:t>
      </w:r>
      <w:r w:rsidR="002B359F" w:rsidRPr="00670F23">
        <w:rPr>
          <w:rFonts w:ascii="Arial" w:hAnsi="Arial" w:cs="Arial"/>
          <w:szCs w:val="24"/>
          <w:lang w:val="es-MX"/>
        </w:rPr>
        <w:t xml:space="preserve"> </w:t>
      </w:r>
      <w:r w:rsidR="00D55FC1" w:rsidRPr="00670F23">
        <w:rPr>
          <w:rFonts w:ascii="Arial" w:hAnsi="Arial" w:cs="Arial"/>
          <w:szCs w:val="24"/>
          <w:lang w:val="es-MX"/>
        </w:rPr>
        <w:t xml:space="preserve">Con el </w:t>
      </w:r>
      <w:r w:rsidR="002B359F" w:rsidRPr="00670F23">
        <w:rPr>
          <w:rFonts w:ascii="Arial" w:hAnsi="Arial" w:cs="Arial"/>
          <w:szCs w:val="24"/>
          <w:lang w:val="es-MX"/>
        </w:rPr>
        <w:t xml:space="preserve">propósito llevar a cabo la administración </w:t>
      </w:r>
      <w:r w:rsidR="009260BE" w:rsidRPr="00670F23">
        <w:rPr>
          <w:rFonts w:ascii="Arial" w:hAnsi="Arial" w:cs="Arial"/>
          <w:szCs w:val="24"/>
          <w:lang w:val="es-MX"/>
        </w:rPr>
        <w:t xml:space="preserve">de </w:t>
      </w:r>
      <w:r w:rsidR="00B6201F" w:rsidRPr="00670F23">
        <w:rPr>
          <w:rFonts w:ascii="Arial" w:hAnsi="Arial" w:cs="Arial"/>
          <w:szCs w:val="24"/>
          <w:lang w:val="es-MX"/>
        </w:rPr>
        <w:t xml:space="preserve">una parte de </w:t>
      </w:r>
      <w:r w:rsidR="009260BE" w:rsidRPr="00670F23">
        <w:rPr>
          <w:rFonts w:ascii="Arial" w:hAnsi="Arial" w:cs="Arial"/>
          <w:szCs w:val="24"/>
          <w:lang w:val="es-MX"/>
        </w:rPr>
        <w:t>los recursos del Programa, a trav</w:t>
      </w:r>
      <w:r w:rsidR="00D55FC1" w:rsidRPr="00670F23">
        <w:rPr>
          <w:rFonts w:ascii="Arial" w:hAnsi="Arial" w:cs="Arial"/>
          <w:szCs w:val="24"/>
          <w:lang w:val="es-MX"/>
        </w:rPr>
        <w:t>és</w:t>
      </w:r>
      <w:r w:rsidR="009260BE" w:rsidRPr="00670F23">
        <w:rPr>
          <w:rFonts w:ascii="Arial" w:hAnsi="Arial" w:cs="Arial"/>
          <w:szCs w:val="24"/>
          <w:lang w:val="es-MX"/>
        </w:rPr>
        <w:t xml:space="preserve"> de un </w:t>
      </w:r>
      <w:r w:rsidR="002B359F" w:rsidRPr="00670F23">
        <w:rPr>
          <w:rFonts w:ascii="Arial" w:hAnsi="Arial" w:cs="Arial"/>
          <w:szCs w:val="24"/>
          <w:lang w:val="es-MX"/>
        </w:rPr>
        <w:t>Fideicomiso.</w:t>
      </w:r>
    </w:p>
    <w:p w14:paraId="19A5EC4B" w14:textId="77777777" w:rsidR="00F93677" w:rsidRPr="00670F23" w:rsidRDefault="00F93677" w:rsidP="00670F23">
      <w:pPr>
        <w:pStyle w:val="Paragraph"/>
        <w:numPr>
          <w:ilvl w:val="0"/>
          <w:numId w:val="0"/>
        </w:numPr>
        <w:ind w:left="567"/>
        <w:outlineLvl w:val="9"/>
        <w:rPr>
          <w:rFonts w:ascii="Arial" w:hAnsi="Arial" w:cs="Arial"/>
          <w:szCs w:val="24"/>
          <w:lang w:val="es-MX"/>
        </w:rPr>
      </w:pPr>
    </w:p>
    <w:p w14:paraId="0D66BA10" w14:textId="77777777" w:rsidR="00222176" w:rsidRPr="000A37CF" w:rsidRDefault="007B0F5D" w:rsidP="00B249BA">
      <w:pPr>
        <w:pStyle w:val="Paragraph"/>
        <w:numPr>
          <w:ilvl w:val="0"/>
          <w:numId w:val="0"/>
        </w:numPr>
        <w:jc w:val="center"/>
        <w:outlineLvl w:val="9"/>
        <w:rPr>
          <w:rFonts w:asciiTheme="minorHAnsi" w:hAnsi="Calibri" w:cstheme="minorBidi"/>
          <w:b/>
          <w:bCs/>
          <w:kern w:val="24"/>
          <w:sz w:val="28"/>
          <w:szCs w:val="28"/>
          <w:lang w:val="es-MX"/>
        </w:rPr>
      </w:pPr>
      <w:bookmarkStart w:id="211" w:name="_Toc321245004"/>
      <w:r w:rsidRPr="000A37CF">
        <w:rPr>
          <w:rFonts w:asciiTheme="minorHAnsi" w:hAnsi="Calibri" w:cstheme="minorBidi"/>
          <w:b/>
          <w:bCs/>
          <w:kern w:val="24"/>
          <w:sz w:val="28"/>
          <w:szCs w:val="28"/>
          <w:lang w:val="es-MX"/>
        </w:rPr>
        <w:t>Figura 4</w:t>
      </w:r>
      <w:r w:rsidR="0004126A" w:rsidRPr="000A37CF">
        <w:rPr>
          <w:rFonts w:asciiTheme="minorHAnsi" w:hAnsi="Calibri" w:cstheme="minorBidi"/>
          <w:b/>
          <w:bCs/>
          <w:kern w:val="24"/>
          <w:sz w:val="28"/>
          <w:szCs w:val="28"/>
          <w:lang w:val="es-MX"/>
        </w:rPr>
        <w:t xml:space="preserve">. Flujo Operativo </w:t>
      </w:r>
      <w:r w:rsidR="00F93677">
        <w:rPr>
          <w:rFonts w:asciiTheme="minorHAnsi" w:hAnsi="Calibri" w:cstheme="minorBidi"/>
          <w:b/>
          <w:bCs/>
          <w:kern w:val="24"/>
          <w:sz w:val="28"/>
          <w:szCs w:val="28"/>
          <w:lang w:val="es-MX"/>
        </w:rPr>
        <w:t xml:space="preserve">de NAFIN para el </w:t>
      </w:r>
      <w:bookmarkEnd w:id="211"/>
      <w:r w:rsidR="00743CAA" w:rsidRPr="000A37CF">
        <w:rPr>
          <w:rFonts w:asciiTheme="minorHAnsi" w:hAnsi="Calibri" w:cstheme="minorBidi"/>
          <w:b/>
          <w:bCs/>
          <w:kern w:val="24"/>
          <w:sz w:val="28"/>
          <w:szCs w:val="28"/>
          <w:lang w:val="es-MX"/>
        </w:rPr>
        <w:t>PFTRG</w:t>
      </w:r>
    </w:p>
    <w:p w14:paraId="38FCAFDC" w14:textId="77777777" w:rsidR="00B23124" w:rsidRPr="00C92720" w:rsidRDefault="00FF1AF3" w:rsidP="000A4B2D">
      <w:pPr>
        <w:jc w:val="center"/>
      </w:pPr>
      <w:r>
        <w:rPr>
          <w:noProof/>
          <w:lang w:val="en-US" w:eastAsia="en-US"/>
        </w:rPr>
        <w:lastRenderedPageBreak/>
        <w:drawing>
          <wp:inline distT="0" distB="0" distL="0" distR="0" wp14:anchorId="04CA13E8" wp14:editId="576A5192">
            <wp:extent cx="5986003" cy="4974609"/>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99488" cy="4985815"/>
                    </a:xfrm>
                    <a:prstGeom prst="rect">
                      <a:avLst/>
                    </a:prstGeom>
                    <a:noFill/>
                  </pic:spPr>
                </pic:pic>
              </a:graphicData>
            </a:graphic>
          </wp:inline>
        </w:drawing>
      </w:r>
    </w:p>
    <w:p w14:paraId="50F35FAA" w14:textId="77777777" w:rsidR="009B6611" w:rsidRPr="00C92720" w:rsidRDefault="009B6611" w:rsidP="000A4B2D"/>
    <w:p w14:paraId="025C5A68" w14:textId="77777777" w:rsidR="0015505C" w:rsidRPr="00C92720" w:rsidRDefault="0015505C" w:rsidP="000A4B2D">
      <w:pPr>
        <w:jc w:val="center"/>
        <w:rPr>
          <w:rFonts w:ascii="Arial" w:hAnsi="Arial" w:cs="Arial"/>
          <w:b/>
          <w:sz w:val="24"/>
          <w:szCs w:val="24"/>
        </w:rPr>
      </w:pPr>
    </w:p>
    <w:p w14:paraId="2C04EDC5" w14:textId="77777777" w:rsidR="00230812" w:rsidRPr="0031636D" w:rsidRDefault="00230812" w:rsidP="000A37CF">
      <w:pPr>
        <w:pStyle w:val="Chapter"/>
        <w:tabs>
          <w:tab w:val="clear" w:pos="1440"/>
          <w:tab w:val="clear" w:pos="3054"/>
          <w:tab w:val="left" w:pos="0"/>
          <w:tab w:val="num" w:pos="720"/>
        </w:tabs>
        <w:ind w:left="0" w:firstLine="0"/>
        <w:jc w:val="left"/>
        <w:rPr>
          <w:rFonts w:ascii="Arial" w:hAnsi="Arial" w:cs="Arial"/>
          <w:sz w:val="32"/>
          <w:szCs w:val="32"/>
        </w:rPr>
      </w:pPr>
      <w:bookmarkStart w:id="212" w:name="_Toc198025803"/>
      <w:bookmarkStart w:id="213" w:name="_Toc198027199"/>
      <w:bookmarkStart w:id="214" w:name="_Toc207082518"/>
      <w:bookmarkStart w:id="215" w:name="_Toc207082551"/>
      <w:bookmarkStart w:id="216" w:name="_Toc198025805"/>
      <w:bookmarkStart w:id="217" w:name="_Toc198027201"/>
      <w:bookmarkStart w:id="218" w:name="_Toc198025807"/>
      <w:bookmarkStart w:id="219" w:name="_Toc198027203"/>
      <w:bookmarkStart w:id="220" w:name="_Toc197782565"/>
      <w:bookmarkStart w:id="221" w:name="_Toc198025808"/>
      <w:bookmarkStart w:id="222" w:name="_Toc205191274"/>
      <w:bookmarkStart w:id="223" w:name="_Toc207082521"/>
      <w:bookmarkStart w:id="224" w:name="_Toc207082554"/>
      <w:bookmarkStart w:id="225" w:name="_Toc240434734"/>
      <w:bookmarkStart w:id="226" w:name="_Toc321245006"/>
      <w:bookmarkStart w:id="227" w:name="_Toc450149578"/>
      <w:bookmarkEnd w:id="212"/>
      <w:bookmarkEnd w:id="213"/>
      <w:bookmarkEnd w:id="214"/>
      <w:bookmarkEnd w:id="215"/>
      <w:bookmarkEnd w:id="216"/>
      <w:bookmarkEnd w:id="217"/>
      <w:bookmarkEnd w:id="218"/>
      <w:bookmarkEnd w:id="219"/>
      <w:r w:rsidRPr="0031636D">
        <w:rPr>
          <w:rFonts w:ascii="Arial" w:hAnsi="Arial" w:cs="Arial"/>
          <w:sz w:val="32"/>
          <w:szCs w:val="32"/>
        </w:rPr>
        <w:t>Modificaciones del Reglamento</w:t>
      </w:r>
      <w:bookmarkEnd w:id="220"/>
      <w:bookmarkEnd w:id="221"/>
      <w:bookmarkEnd w:id="222"/>
      <w:bookmarkEnd w:id="223"/>
      <w:bookmarkEnd w:id="224"/>
      <w:bookmarkEnd w:id="225"/>
      <w:bookmarkEnd w:id="226"/>
      <w:bookmarkEnd w:id="227"/>
    </w:p>
    <w:p w14:paraId="54227BEE" w14:textId="77777777" w:rsidR="00230812" w:rsidRPr="00C92720" w:rsidRDefault="00E45040" w:rsidP="009067BA">
      <w:pPr>
        <w:pStyle w:val="Paragraph"/>
        <w:numPr>
          <w:ilvl w:val="1"/>
          <w:numId w:val="28"/>
        </w:numPr>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72"/>
        </w:tabs>
        <w:ind w:left="142" w:hanging="568"/>
        <w:outlineLvl w:val="9"/>
        <w:rPr>
          <w:rFonts w:ascii="Arial" w:hAnsi="Arial" w:cs="Arial"/>
          <w:szCs w:val="24"/>
          <w:lang w:val="es-MX"/>
        </w:rPr>
      </w:pPr>
      <w:bookmarkStart w:id="228" w:name="_Toc321245007"/>
      <w:r>
        <w:rPr>
          <w:rFonts w:ascii="Arial" w:hAnsi="Arial" w:cs="Arial"/>
          <w:szCs w:val="24"/>
          <w:lang w:val="es-MX"/>
        </w:rPr>
        <w:t xml:space="preserve"> </w:t>
      </w:r>
      <w:r w:rsidR="009067BA">
        <w:rPr>
          <w:rFonts w:ascii="Arial" w:hAnsi="Arial" w:cs="Arial"/>
          <w:szCs w:val="24"/>
          <w:lang w:val="es-MX"/>
        </w:rPr>
        <w:t>N</w:t>
      </w:r>
      <w:r w:rsidR="004F267F" w:rsidRPr="00C05BF9">
        <w:rPr>
          <w:rFonts w:ascii="Arial" w:hAnsi="Arial" w:cs="Arial"/>
          <w:szCs w:val="24"/>
          <w:lang w:val="es-MX"/>
        </w:rPr>
        <w:t>AFIN</w:t>
      </w:r>
      <w:r w:rsidR="00230812" w:rsidRPr="00C05BF9">
        <w:rPr>
          <w:rFonts w:ascii="Arial" w:hAnsi="Arial" w:cs="Arial"/>
          <w:szCs w:val="24"/>
          <w:lang w:val="es-MX"/>
        </w:rPr>
        <w:t xml:space="preserve"> podrá sugerir modificaciones al presente Reglamento para adaptarlo a nuevas circunstancias o condiciones que pudieran presentarse en el transcurso de su ejecución. Cualquier modificación a este Reglamento se hará conforme a las normas y procedimientos del Banco y entrará en vigencia una vez que el BID exprese su no-objeción</w:t>
      </w:r>
      <w:r w:rsidR="00230812" w:rsidRPr="00C92720">
        <w:rPr>
          <w:rFonts w:ascii="Arial" w:hAnsi="Arial" w:cs="Arial"/>
          <w:szCs w:val="24"/>
          <w:lang w:val="es-MX"/>
        </w:rPr>
        <w:t>.</w:t>
      </w:r>
      <w:bookmarkEnd w:id="228"/>
    </w:p>
    <w:p w14:paraId="49F93061" w14:textId="77777777" w:rsidR="00545033" w:rsidRPr="00C92720" w:rsidRDefault="00545033" w:rsidP="000A4B2D">
      <w:pPr>
        <w:pStyle w:val="AODocTxt"/>
        <w:numPr>
          <w:ilvl w:val="0"/>
          <w:numId w:val="0"/>
        </w:numPr>
        <w:spacing w:before="0" w:line="240" w:lineRule="auto"/>
        <w:rPr>
          <w:rFonts w:ascii="Arial" w:hAnsi="Arial" w:cs="Arial"/>
          <w:b/>
          <w:sz w:val="24"/>
          <w:szCs w:val="24"/>
          <w:lang w:val="es-MX"/>
        </w:rPr>
      </w:pPr>
    </w:p>
    <w:p w14:paraId="77C1C7AF" w14:textId="77777777" w:rsidR="00545033" w:rsidRPr="00292D1F" w:rsidRDefault="00545033" w:rsidP="00292D1F">
      <w:pPr>
        <w:pStyle w:val="Heading1"/>
        <w:pageBreakBefore/>
        <w:numPr>
          <w:ilvl w:val="0"/>
          <w:numId w:val="0"/>
        </w:numPr>
        <w:spacing w:after="360"/>
        <w:jc w:val="center"/>
        <w:rPr>
          <w:rFonts w:cs="Arial"/>
          <w:sz w:val="22"/>
        </w:rPr>
      </w:pPr>
      <w:bookmarkStart w:id="229" w:name="_Toc321245008"/>
      <w:bookmarkStart w:id="230" w:name="_Toc450149579"/>
      <w:r w:rsidRPr="00292D1F">
        <w:rPr>
          <w:rFonts w:cs="Arial"/>
          <w:sz w:val="22"/>
        </w:rPr>
        <w:lastRenderedPageBreak/>
        <w:t>ANEXO A</w:t>
      </w:r>
      <w:bookmarkEnd w:id="229"/>
      <w:bookmarkEnd w:id="230"/>
    </w:p>
    <w:p w14:paraId="60168B98" w14:textId="77777777" w:rsidR="00545033" w:rsidRPr="000A37CF" w:rsidRDefault="00545033" w:rsidP="000A37CF">
      <w:pPr>
        <w:jc w:val="center"/>
        <w:rPr>
          <w:rFonts w:ascii="Arial" w:hAnsi="Arial" w:cs="Arial"/>
          <w:b/>
          <w:sz w:val="24"/>
        </w:rPr>
      </w:pPr>
      <w:r w:rsidRPr="000A37CF">
        <w:rPr>
          <w:rFonts w:ascii="Arial" w:hAnsi="Arial" w:cs="Arial"/>
          <w:b/>
          <w:sz w:val="24"/>
        </w:rPr>
        <w:t xml:space="preserve">GUIA </w:t>
      </w:r>
      <w:r w:rsidR="00066C7A">
        <w:rPr>
          <w:rFonts w:ascii="Arial" w:hAnsi="Arial" w:cs="Arial"/>
          <w:b/>
          <w:sz w:val="24"/>
        </w:rPr>
        <w:t>DE LOS CRITERIOS DE EVALUACIÓN</w:t>
      </w:r>
      <w:r w:rsidR="00263787">
        <w:rPr>
          <w:rFonts w:ascii="Arial" w:hAnsi="Arial" w:cs="Arial"/>
          <w:b/>
          <w:sz w:val="24"/>
        </w:rPr>
        <w:t xml:space="preserve"> DE LOS PROYECTOS DE PERFORACIÓN</w:t>
      </w:r>
    </w:p>
    <w:p w14:paraId="5BF62C58" w14:textId="77777777" w:rsidR="00545033" w:rsidRDefault="00545033" w:rsidP="000A4B2D">
      <w:pPr>
        <w:rPr>
          <w:rFonts w:ascii="Arial" w:hAnsi="Arial" w:cs="Arial"/>
          <w:b/>
        </w:rPr>
      </w:pPr>
    </w:p>
    <w:p w14:paraId="0E101BEA" w14:textId="77777777" w:rsidR="00263787" w:rsidRDefault="00263787" w:rsidP="000A37CF">
      <w:pPr>
        <w:jc w:val="center"/>
        <w:rPr>
          <w:rFonts w:ascii="Arial" w:hAnsi="Arial" w:cs="Arial"/>
          <w:b/>
        </w:rPr>
      </w:pPr>
      <w:r w:rsidRPr="00D4147E">
        <w:rPr>
          <w:rFonts w:ascii="Arial" w:hAnsi="Arial" w:cs="Arial"/>
          <w:noProof/>
          <w:lang w:val="en-US" w:eastAsia="en-US"/>
        </w:rPr>
        <w:drawing>
          <wp:inline distT="0" distB="0" distL="0" distR="0" wp14:anchorId="24C820E9" wp14:editId="2CA36070">
            <wp:extent cx="3377422" cy="2770496"/>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389327" cy="2780262"/>
                    </a:xfrm>
                    <a:prstGeom prst="rect">
                      <a:avLst/>
                    </a:prstGeom>
                  </pic:spPr>
                </pic:pic>
              </a:graphicData>
            </a:graphic>
          </wp:inline>
        </w:drawing>
      </w:r>
    </w:p>
    <w:p w14:paraId="1B0BA1B9" w14:textId="77777777" w:rsidR="00263787" w:rsidRDefault="00263787" w:rsidP="000A37CF">
      <w:pPr>
        <w:jc w:val="center"/>
        <w:rPr>
          <w:rFonts w:ascii="Arial" w:hAnsi="Arial" w:cs="Arial"/>
          <w:b/>
        </w:rPr>
      </w:pPr>
      <w:r w:rsidRPr="00D4147E">
        <w:rPr>
          <w:rFonts w:ascii="Arial" w:hAnsi="Arial" w:cs="Arial"/>
          <w:noProof/>
          <w:lang w:val="en-US" w:eastAsia="en-US"/>
        </w:rPr>
        <w:drawing>
          <wp:inline distT="0" distB="0" distL="0" distR="0" wp14:anchorId="12B781B5" wp14:editId="24F7A824">
            <wp:extent cx="3377821" cy="433379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384667" cy="4342573"/>
                    </a:xfrm>
                    <a:prstGeom prst="rect">
                      <a:avLst/>
                    </a:prstGeom>
                  </pic:spPr>
                </pic:pic>
              </a:graphicData>
            </a:graphic>
          </wp:inline>
        </w:drawing>
      </w:r>
    </w:p>
    <w:p w14:paraId="2847F526" w14:textId="77777777" w:rsidR="00263787" w:rsidRDefault="00263787" w:rsidP="000A37CF">
      <w:pPr>
        <w:jc w:val="center"/>
        <w:rPr>
          <w:rFonts w:ascii="Arial" w:hAnsi="Arial" w:cs="Arial"/>
          <w:b/>
        </w:rPr>
      </w:pPr>
      <w:r>
        <w:rPr>
          <w:rFonts w:ascii="Arial" w:hAnsi="Arial" w:cs="Arial"/>
          <w:b/>
        </w:rPr>
        <w:lastRenderedPageBreak/>
        <w:t>ANEXO A. Continuación…….</w:t>
      </w:r>
    </w:p>
    <w:p w14:paraId="6B947C75" w14:textId="77777777" w:rsidR="00263787" w:rsidRDefault="00263787" w:rsidP="000A37CF">
      <w:pPr>
        <w:jc w:val="center"/>
        <w:rPr>
          <w:rFonts w:ascii="Arial" w:hAnsi="Arial" w:cs="Arial"/>
          <w:b/>
        </w:rPr>
      </w:pPr>
    </w:p>
    <w:p w14:paraId="3A77838C" w14:textId="77777777" w:rsidR="00263787" w:rsidRDefault="00263787" w:rsidP="000A37CF">
      <w:pPr>
        <w:jc w:val="center"/>
        <w:rPr>
          <w:rFonts w:ascii="Arial" w:hAnsi="Arial" w:cs="Arial"/>
          <w:b/>
        </w:rPr>
      </w:pPr>
    </w:p>
    <w:p w14:paraId="15FE7332" w14:textId="77777777" w:rsidR="00263787" w:rsidRPr="00D17E81" w:rsidRDefault="00263787" w:rsidP="000A37CF">
      <w:pPr>
        <w:jc w:val="center"/>
        <w:rPr>
          <w:rFonts w:ascii="Arial" w:hAnsi="Arial" w:cs="Arial"/>
          <w:b/>
        </w:rPr>
      </w:pPr>
      <w:r w:rsidRPr="00D4147E">
        <w:rPr>
          <w:rFonts w:ascii="Arial" w:hAnsi="Arial" w:cs="Arial"/>
          <w:noProof/>
          <w:lang w:val="en-US" w:eastAsia="en-US"/>
        </w:rPr>
        <w:drawing>
          <wp:inline distT="0" distB="0" distL="0" distR="0" wp14:anchorId="4BFA2712" wp14:editId="56B9CE01">
            <wp:extent cx="3437477" cy="3687943"/>
            <wp:effectExtent l="0" t="0" r="0" b="825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446831" cy="3697978"/>
                    </a:xfrm>
                    <a:prstGeom prst="rect">
                      <a:avLst/>
                    </a:prstGeom>
                  </pic:spPr>
                </pic:pic>
              </a:graphicData>
            </a:graphic>
          </wp:inline>
        </w:drawing>
      </w:r>
    </w:p>
    <w:p w14:paraId="00199125" w14:textId="6FE1E851" w:rsidR="00695C90" w:rsidRDefault="00695C90" w:rsidP="000A4B2D">
      <w:pPr>
        <w:pStyle w:val="AODocTxt"/>
        <w:numPr>
          <w:ilvl w:val="0"/>
          <w:numId w:val="0"/>
        </w:numPr>
        <w:spacing w:before="0" w:line="240" w:lineRule="auto"/>
        <w:rPr>
          <w:rFonts w:ascii="Arial" w:hAnsi="Arial" w:cs="Arial"/>
          <w:b/>
          <w:sz w:val="24"/>
          <w:szCs w:val="24"/>
          <w:lang w:val="es-MX"/>
        </w:rPr>
      </w:pPr>
    </w:p>
    <w:p w14:paraId="49607157" w14:textId="77777777" w:rsidR="00695C90" w:rsidRPr="00695C90" w:rsidRDefault="00695C90" w:rsidP="00695C90">
      <w:pPr>
        <w:rPr>
          <w:lang w:val="es-ES_tradnl"/>
        </w:rPr>
      </w:pPr>
    </w:p>
    <w:p w14:paraId="13E90175" w14:textId="1C8BE073" w:rsidR="00695C90" w:rsidRPr="00695C90" w:rsidRDefault="00695C90" w:rsidP="00695C90">
      <w:pPr>
        <w:shd w:val="clear" w:color="auto" w:fill="D9D9D9"/>
        <w:jc w:val="center"/>
        <w:rPr>
          <w:rFonts w:ascii="Arial" w:eastAsia="SimSun" w:hAnsi="Arial" w:cs="Arial"/>
          <w:b/>
          <w:sz w:val="22"/>
          <w:szCs w:val="24"/>
          <w:lang w:val="es-ES_tradnl" w:eastAsia="en-US"/>
        </w:rPr>
      </w:pPr>
      <w:bookmarkStart w:id="231" w:name="_Toc323923096"/>
      <w:r w:rsidRPr="00695C90">
        <w:rPr>
          <w:rFonts w:ascii="Arial" w:hAnsi="Arial" w:cs="Arial"/>
          <w:b/>
          <w:bCs/>
          <w:sz w:val="24"/>
          <w:szCs w:val="24"/>
        </w:rPr>
        <w:t xml:space="preserve">Anexo </w:t>
      </w:r>
      <w:r>
        <w:rPr>
          <w:rFonts w:ascii="Arial" w:hAnsi="Arial" w:cs="Arial"/>
          <w:b/>
          <w:bCs/>
          <w:sz w:val="24"/>
          <w:szCs w:val="24"/>
        </w:rPr>
        <w:t>B</w:t>
      </w:r>
      <w:r w:rsidRPr="00695C90">
        <w:rPr>
          <w:rFonts w:ascii="Arial" w:hAnsi="Arial" w:cs="Arial"/>
          <w:b/>
          <w:bCs/>
          <w:sz w:val="24"/>
          <w:szCs w:val="24"/>
        </w:rPr>
        <w:t>. Marco para de Reasentamiento Involuntario</w:t>
      </w:r>
    </w:p>
    <w:p w14:paraId="6CE999BA" w14:textId="77777777" w:rsidR="00695C90" w:rsidRPr="00695C90" w:rsidRDefault="00695C90" w:rsidP="00695C90">
      <w:pPr>
        <w:numPr>
          <w:ilvl w:val="0"/>
          <w:numId w:val="4"/>
        </w:numPr>
        <w:spacing w:before="120" w:after="120"/>
        <w:jc w:val="center"/>
        <w:rPr>
          <w:rFonts w:ascii="Arial" w:hAnsi="Arial" w:cs="Arial"/>
          <w:bCs/>
          <w:sz w:val="22"/>
          <w:szCs w:val="24"/>
          <w:lang w:val="es-AR" w:eastAsia="es-ES"/>
        </w:rPr>
      </w:pPr>
      <w:r w:rsidRPr="00695C90">
        <w:rPr>
          <w:rFonts w:ascii="Arial" w:hAnsi="Arial" w:cs="Arial"/>
          <w:bCs/>
          <w:sz w:val="22"/>
          <w:szCs w:val="24"/>
          <w:lang w:val="es-AR" w:eastAsia="es-ES"/>
        </w:rPr>
        <w:t>Lineamientos para la Preparación de Planes de Reasentamiento (PRI)</w:t>
      </w:r>
      <w:bookmarkEnd w:id="231"/>
    </w:p>
    <w:p w14:paraId="58BB6590" w14:textId="77777777" w:rsidR="00695C90" w:rsidRPr="00695C90" w:rsidRDefault="00695C90" w:rsidP="00695C90">
      <w:pPr>
        <w:rPr>
          <w:rFonts w:ascii="Arial" w:hAnsi="Arial" w:cs="Arial"/>
          <w:b/>
          <w:sz w:val="22"/>
          <w:lang w:val="es-ES_tradnl"/>
        </w:rPr>
      </w:pPr>
    </w:p>
    <w:p w14:paraId="28341BDB" w14:textId="77777777" w:rsidR="00695C90" w:rsidRPr="00695C90" w:rsidRDefault="00695C90" w:rsidP="00695C90">
      <w:pPr>
        <w:rPr>
          <w:rFonts w:ascii="Arial" w:hAnsi="Arial" w:cs="Arial"/>
          <w:b/>
          <w:sz w:val="22"/>
          <w:lang w:val="es-ES_tradnl"/>
        </w:rPr>
      </w:pPr>
      <w:r w:rsidRPr="00695C90">
        <w:rPr>
          <w:rFonts w:ascii="Arial" w:hAnsi="Arial" w:cs="Arial"/>
          <w:b/>
          <w:sz w:val="22"/>
          <w:lang w:val="es-ES_tradnl"/>
        </w:rPr>
        <w:t>Alcance</w:t>
      </w:r>
    </w:p>
    <w:p w14:paraId="721D7287" w14:textId="77777777" w:rsidR="00695C90" w:rsidRPr="00695C90" w:rsidRDefault="00695C90" w:rsidP="00695C90">
      <w:pPr>
        <w:ind w:left="360"/>
        <w:jc w:val="both"/>
        <w:rPr>
          <w:rFonts w:ascii="Arial" w:hAnsi="Arial" w:cs="Arial"/>
          <w:sz w:val="22"/>
          <w:szCs w:val="22"/>
          <w:lang w:val="es-ES_tradnl"/>
        </w:rPr>
      </w:pPr>
    </w:p>
    <w:p w14:paraId="6EBF9A4E"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El objetivo de esta sección es un marco de procedimiento bajo el cual el Programa gestionaría el reasentamiento involuntario de población en el caso que alguna de sus actividades así lo requiriera, o la afectación de bienes o medios de subsistencia. </w:t>
      </w:r>
    </w:p>
    <w:p w14:paraId="478F8684" w14:textId="77777777" w:rsidR="00695C90" w:rsidRPr="00695C90" w:rsidRDefault="00695C90" w:rsidP="00695C90">
      <w:pPr>
        <w:ind w:left="360"/>
        <w:jc w:val="both"/>
        <w:rPr>
          <w:rFonts w:ascii="Arial" w:hAnsi="Arial" w:cs="Arial"/>
          <w:sz w:val="22"/>
          <w:szCs w:val="22"/>
          <w:lang w:val="es-ES"/>
        </w:rPr>
      </w:pPr>
    </w:p>
    <w:p w14:paraId="68284A3F"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En caso de que se determine que algún proyecto requiera el reasentamiento involuntario de población o afectación de activos, el Ejecutor del Proyecto (EP) se requerirá al concesionario del proyecto que presente como parte del PGAS un Plan Preliminar de Reasentamiento Involuntario de acuerdo con los lineamientos que aquí se establecen. Este Plan deberá basarse en la normativa legal vigente en México los lineamientos de la OP 765 del BID conforme a los lineamientos que este Marco de Reasentamientos Involuntarios establece. El Plan de Reasentamiento Involuntario será presentado a la UE para su aprobación y participación en el Programa.</w:t>
      </w:r>
    </w:p>
    <w:p w14:paraId="6CB539FC" w14:textId="77777777" w:rsidR="00695C90" w:rsidRPr="00695C90" w:rsidRDefault="00695C90" w:rsidP="00695C90">
      <w:pPr>
        <w:ind w:left="360"/>
        <w:jc w:val="both"/>
        <w:rPr>
          <w:rFonts w:ascii="Arial" w:hAnsi="Arial" w:cs="Arial"/>
          <w:sz w:val="22"/>
          <w:szCs w:val="22"/>
          <w:lang w:val="es-ES"/>
        </w:rPr>
      </w:pPr>
    </w:p>
    <w:p w14:paraId="7F7E7659"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Este Marco abarca los efectos económicos y sociales directos resultantes de los proyectos financiados por el Programa y causados por la privación involuntaria de tierras, que de por resultado: a) el desplazamiento o la pérdida de la vivienda; b) la pérdida de los activos o del </w:t>
      </w:r>
      <w:r w:rsidRPr="00695C90">
        <w:rPr>
          <w:rFonts w:ascii="Arial" w:hAnsi="Arial" w:cs="Arial"/>
          <w:sz w:val="22"/>
          <w:szCs w:val="22"/>
          <w:lang w:val="es-ES"/>
        </w:rPr>
        <w:lastRenderedPageBreak/>
        <w:t>acceso a los activos, o c) la pérdida de las fuentes de ingresos o de los medios de subsistencia, ya sea que los afectados deban trasladarse a otro lugar o no.</w:t>
      </w:r>
    </w:p>
    <w:p w14:paraId="318F33A3" w14:textId="77777777" w:rsidR="00695C90" w:rsidRPr="00695C90" w:rsidRDefault="00695C90" w:rsidP="00695C90">
      <w:pPr>
        <w:rPr>
          <w:rFonts w:ascii="Arial" w:hAnsi="Arial" w:cs="Arial"/>
          <w:b/>
          <w:lang w:val="es-ES"/>
        </w:rPr>
      </w:pPr>
    </w:p>
    <w:p w14:paraId="5DBCBF11" w14:textId="77777777" w:rsidR="00695C90" w:rsidRPr="00695C90" w:rsidRDefault="00695C90" w:rsidP="00695C90">
      <w:pPr>
        <w:rPr>
          <w:rFonts w:ascii="Arial" w:hAnsi="Arial" w:cs="Arial"/>
          <w:b/>
        </w:rPr>
      </w:pPr>
      <w:r w:rsidRPr="00695C90">
        <w:rPr>
          <w:rFonts w:ascii="Arial" w:hAnsi="Arial" w:cs="Arial"/>
          <w:b/>
          <w:sz w:val="22"/>
        </w:rPr>
        <w:t>Objetivos</w:t>
      </w:r>
    </w:p>
    <w:p w14:paraId="2CFADAA0" w14:textId="77777777" w:rsidR="00695C90" w:rsidRPr="00695C90" w:rsidRDefault="00695C90" w:rsidP="00695C90">
      <w:pPr>
        <w:rPr>
          <w:rFonts w:ascii="Arial" w:hAnsi="Arial" w:cs="Arial"/>
          <w:b/>
        </w:rPr>
      </w:pPr>
    </w:p>
    <w:p w14:paraId="2EA1F1BC"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Será objetivo de los Planes de Reasentamiento Involuntario que se formulen gestionar adecuadamente la ejecución de los proyectos con el medio social y ambiental resolviendo las necesidades de reasentamiento de acuerdo con la legislación vigente y con los siguientes objetivos específicos:  </w:t>
      </w:r>
    </w:p>
    <w:p w14:paraId="15C38953" w14:textId="77777777" w:rsidR="00695C90" w:rsidRPr="00695C90" w:rsidRDefault="00695C90" w:rsidP="00695C90">
      <w:pPr>
        <w:numPr>
          <w:ilvl w:val="0"/>
          <w:numId w:val="59"/>
        </w:numPr>
        <w:spacing w:before="120" w:after="120"/>
        <w:jc w:val="both"/>
        <w:outlineLvl w:val="2"/>
        <w:rPr>
          <w:rFonts w:ascii="Arial" w:hAnsi="Arial" w:cs="Arial"/>
          <w:sz w:val="22"/>
          <w:szCs w:val="24"/>
          <w:lang w:val="es-ES" w:eastAsia="es-ES_tradnl"/>
        </w:rPr>
      </w:pPr>
      <w:bookmarkStart w:id="232" w:name="_Toc305144423"/>
      <w:bookmarkStart w:id="233" w:name="_Toc305145307"/>
      <w:bookmarkStart w:id="234" w:name="_Toc305145589"/>
      <w:bookmarkStart w:id="235" w:name="_Toc305145873"/>
      <w:bookmarkStart w:id="236" w:name="_Toc306963415"/>
      <w:r w:rsidRPr="00695C90">
        <w:rPr>
          <w:rFonts w:ascii="Arial" w:hAnsi="Arial" w:cs="Arial"/>
          <w:sz w:val="22"/>
          <w:szCs w:val="24"/>
          <w:lang w:val="es-ES" w:eastAsia="es-ES_tradnl"/>
        </w:rPr>
        <w:t xml:space="preserve">Analizar alternativas para minimizar, siempre que sea posible, la necesidad de reasentamientos involuntarios de personas; </w:t>
      </w:r>
      <w:bookmarkEnd w:id="232"/>
      <w:bookmarkEnd w:id="233"/>
      <w:bookmarkEnd w:id="234"/>
      <w:bookmarkEnd w:id="235"/>
      <w:bookmarkEnd w:id="236"/>
    </w:p>
    <w:p w14:paraId="0977E855" w14:textId="77777777" w:rsidR="00695C90" w:rsidRPr="00695C90" w:rsidRDefault="00695C90" w:rsidP="00695C90">
      <w:pPr>
        <w:numPr>
          <w:ilvl w:val="0"/>
          <w:numId w:val="59"/>
        </w:numPr>
        <w:spacing w:before="120" w:after="120"/>
        <w:jc w:val="both"/>
        <w:outlineLvl w:val="2"/>
        <w:rPr>
          <w:rFonts w:ascii="Arial" w:hAnsi="Arial" w:cs="Arial"/>
          <w:sz w:val="22"/>
          <w:szCs w:val="24"/>
          <w:lang w:val="es-ES" w:eastAsia="es-ES_tradnl"/>
        </w:rPr>
      </w:pPr>
      <w:bookmarkStart w:id="237" w:name="_Toc305144424"/>
      <w:bookmarkStart w:id="238" w:name="_Toc305145308"/>
      <w:bookmarkStart w:id="239" w:name="_Toc305145590"/>
      <w:bookmarkStart w:id="240" w:name="_Toc305145874"/>
      <w:bookmarkStart w:id="241" w:name="_Toc306963416"/>
      <w:r w:rsidRPr="00695C90">
        <w:rPr>
          <w:rFonts w:ascii="Arial" w:hAnsi="Arial" w:cs="Arial"/>
          <w:sz w:val="22"/>
          <w:szCs w:val="24"/>
          <w:lang w:val="es-ES" w:eastAsia="es-ES_tradnl"/>
        </w:rPr>
        <w:t xml:space="preserve">Garantizar que el reasentamiento se lleve a cabo de conformidad con la legislación nacional y los principios y prácticas de la OP 765 del BID. </w:t>
      </w:r>
      <w:bookmarkEnd w:id="237"/>
      <w:bookmarkEnd w:id="238"/>
      <w:bookmarkEnd w:id="239"/>
      <w:bookmarkEnd w:id="240"/>
      <w:bookmarkEnd w:id="241"/>
    </w:p>
    <w:p w14:paraId="5818BAAD" w14:textId="77777777" w:rsidR="00695C90" w:rsidRPr="00695C90" w:rsidRDefault="00695C90" w:rsidP="00695C90">
      <w:pPr>
        <w:numPr>
          <w:ilvl w:val="0"/>
          <w:numId w:val="59"/>
        </w:numPr>
        <w:spacing w:before="120" w:after="120"/>
        <w:jc w:val="both"/>
        <w:outlineLvl w:val="2"/>
        <w:rPr>
          <w:rFonts w:ascii="Arial" w:hAnsi="Arial" w:cs="Arial"/>
          <w:sz w:val="22"/>
          <w:szCs w:val="24"/>
          <w:lang w:val="es-ES" w:eastAsia="es-ES_tradnl"/>
        </w:rPr>
      </w:pPr>
      <w:bookmarkStart w:id="242" w:name="_Toc305144425"/>
      <w:bookmarkStart w:id="243" w:name="_Toc305145309"/>
      <w:bookmarkStart w:id="244" w:name="_Toc305145591"/>
      <w:bookmarkStart w:id="245" w:name="_Toc305145875"/>
      <w:bookmarkStart w:id="246" w:name="_Toc306963417"/>
      <w:r w:rsidRPr="00695C90">
        <w:rPr>
          <w:rFonts w:ascii="Arial" w:hAnsi="Arial" w:cs="Arial"/>
          <w:sz w:val="22"/>
          <w:szCs w:val="24"/>
          <w:lang w:val="es-ES" w:eastAsia="es-ES_tradnl"/>
        </w:rPr>
        <w:t>Contribuir a establecer resultados sostenibles a largo plazo para lograr el restablecimiento, y de ser posible el mejoramiento de las personas afectadas por el reasentamiento.</w:t>
      </w:r>
      <w:bookmarkEnd w:id="242"/>
      <w:bookmarkEnd w:id="243"/>
      <w:bookmarkEnd w:id="244"/>
      <w:bookmarkEnd w:id="245"/>
      <w:bookmarkEnd w:id="246"/>
    </w:p>
    <w:p w14:paraId="47BE68B9" w14:textId="77777777" w:rsidR="00695C90" w:rsidRPr="00695C90" w:rsidRDefault="00695C90" w:rsidP="00695C90">
      <w:pPr>
        <w:autoSpaceDE w:val="0"/>
        <w:autoSpaceDN w:val="0"/>
        <w:adjustRightInd w:val="0"/>
        <w:outlineLvl w:val="2"/>
        <w:rPr>
          <w:rFonts w:ascii="Arial" w:hAnsi="Arial" w:cs="Arial"/>
          <w:bCs/>
          <w:u w:val="single"/>
          <w:lang w:val="es-ES"/>
        </w:rPr>
      </w:pPr>
    </w:p>
    <w:p w14:paraId="6EC44DEE" w14:textId="77777777" w:rsidR="00695C90" w:rsidRPr="00695C90" w:rsidRDefault="00695C90" w:rsidP="00695C90">
      <w:pPr>
        <w:rPr>
          <w:rFonts w:ascii="Arial" w:hAnsi="Arial" w:cs="Arial"/>
          <w:b/>
        </w:rPr>
      </w:pPr>
      <w:r w:rsidRPr="00695C90">
        <w:rPr>
          <w:rFonts w:ascii="Arial" w:hAnsi="Arial" w:cs="Arial"/>
          <w:b/>
          <w:sz w:val="22"/>
        </w:rPr>
        <w:t>Principios</w:t>
      </w:r>
    </w:p>
    <w:p w14:paraId="7BEEA3A9" w14:textId="77777777" w:rsidR="00695C90" w:rsidRPr="00695C90" w:rsidRDefault="00695C90" w:rsidP="00695C90">
      <w:pPr>
        <w:rPr>
          <w:rFonts w:ascii="Arial" w:hAnsi="Arial" w:cs="Arial"/>
          <w:b/>
        </w:rPr>
      </w:pPr>
    </w:p>
    <w:p w14:paraId="0D098282"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Todos los impactos negativos del reasentamiento involuntario, en la medida de lo posible, deben evitarse. Cada proyecto debe analizar todas las opciones viables posibles, con el fin de sugerir la que cause menor desplazamiento.</w:t>
      </w:r>
    </w:p>
    <w:p w14:paraId="40E06F4C" w14:textId="77777777" w:rsidR="00695C90" w:rsidRPr="00695C90" w:rsidRDefault="00695C90" w:rsidP="00695C90">
      <w:pPr>
        <w:ind w:left="360"/>
        <w:jc w:val="both"/>
        <w:rPr>
          <w:rFonts w:ascii="Arial" w:hAnsi="Arial" w:cs="Arial"/>
          <w:sz w:val="22"/>
          <w:szCs w:val="22"/>
          <w:lang w:val="es-ES"/>
        </w:rPr>
      </w:pPr>
    </w:p>
    <w:p w14:paraId="7D1A87AE"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En caso de ser necesario el reasentamiento se deben diseñar y ejecutar planes de reasentamiento para asistir a la población desplazada en el restablecimiento o mejoramiento de sus condiciones.</w:t>
      </w:r>
    </w:p>
    <w:p w14:paraId="7DD40C94" w14:textId="77777777" w:rsidR="00695C90" w:rsidRPr="00695C90" w:rsidRDefault="00695C90" w:rsidP="00695C90">
      <w:pPr>
        <w:ind w:left="360"/>
        <w:jc w:val="both"/>
        <w:rPr>
          <w:rFonts w:ascii="Arial" w:hAnsi="Arial" w:cs="Arial"/>
          <w:sz w:val="22"/>
          <w:szCs w:val="22"/>
          <w:lang w:val="es-ES"/>
        </w:rPr>
      </w:pPr>
    </w:p>
    <w:p w14:paraId="4AF37909"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Todos los habitantes de los sitios intervenidos por las acciones del proyecto, independiente de la forma de tenencia que acrediten, tendrán derecho a ser asistidos en el restablecimiento de sus condiciones de vida.</w:t>
      </w:r>
    </w:p>
    <w:p w14:paraId="79771E11" w14:textId="77777777" w:rsidR="00695C90" w:rsidRPr="00695C90" w:rsidRDefault="00695C90" w:rsidP="00695C90">
      <w:pPr>
        <w:ind w:left="360"/>
        <w:jc w:val="both"/>
        <w:rPr>
          <w:rFonts w:ascii="Arial" w:hAnsi="Arial" w:cs="Arial"/>
          <w:sz w:val="22"/>
          <w:szCs w:val="22"/>
          <w:lang w:val="es-ES"/>
        </w:rPr>
      </w:pPr>
    </w:p>
    <w:p w14:paraId="69C95D2C"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Las soluciones de reasentamiento que proponga el ejecutor responderán a los impactos causados por el desplazamiento.</w:t>
      </w:r>
    </w:p>
    <w:p w14:paraId="6D084982" w14:textId="77777777" w:rsidR="00695C90" w:rsidRPr="00695C90" w:rsidRDefault="00695C90" w:rsidP="00695C90">
      <w:pPr>
        <w:ind w:left="360"/>
        <w:jc w:val="both"/>
        <w:rPr>
          <w:rFonts w:ascii="Arial" w:hAnsi="Arial" w:cs="Arial"/>
          <w:sz w:val="22"/>
          <w:szCs w:val="22"/>
          <w:lang w:val="es-ES"/>
        </w:rPr>
      </w:pPr>
    </w:p>
    <w:p w14:paraId="71F8E8F9"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La población afectada recibirá toda la información pertinente sobre sus derechos y el estado en que se encuentra su proceso.</w:t>
      </w:r>
    </w:p>
    <w:p w14:paraId="750E9642" w14:textId="77777777" w:rsidR="00695C90" w:rsidRPr="00695C90" w:rsidRDefault="00695C90" w:rsidP="00695C90">
      <w:pPr>
        <w:ind w:left="360"/>
        <w:jc w:val="both"/>
        <w:rPr>
          <w:rFonts w:ascii="Arial" w:hAnsi="Arial" w:cs="Arial"/>
          <w:sz w:val="22"/>
          <w:szCs w:val="22"/>
          <w:lang w:val="es-ES"/>
        </w:rPr>
      </w:pPr>
    </w:p>
    <w:p w14:paraId="4BA76148"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La población que deba ser reasentada será consultada sobre las alternativas del reasentamiento y los planes que se formulen para ello.</w:t>
      </w:r>
    </w:p>
    <w:p w14:paraId="6F4BD202" w14:textId="77777777" w:rsidR="00695C90" w:rsidRPr="00695C90" w:rsidRDefault="00695C90" w:rsidP="00695C90">
      <w:pPr>
        <w:ind w:left="360"/>
        <w:jc w:val="both"/>
        <w:rPr>
          <w:rFonts w:ascii="Arial" w:hAnsi="Arial" w:cs="Arial"/>
          <w:sz w:val="22"/>
          <w:szCs w:val="22"/>
          <w:lang w:val="es-ES"/>
        </w:rPr>
      </w:pPr>
    </w:p>
    <w:p w14:paraId="4AC4822C"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Todo el proceso de reasentamiento debe ser manejado con transparencia y solo debe cubrir a la población afectada, mediante la utilización de criterios y procedimientos equitativos</w:t>
      </w:r>
    </w:p>
    <w:p w14:paraId="6FC2BE1A" w14:textId="77777777" w:rsidR="00695C90" w:rsidRPr="00695C90" w:rsidRDefault="00695C90" w:rsidP="00695C90">
      <w:pPr>
        <w:ind w:left="360"/>
        <w:jc w:val="both"/>
        <w:rPr>
          <w:rFonts w:ascii="Arial" w:hAnsi="Arial" w:cs="Arial"/>
          <w:sz w:val="22"/>
          <w:szCs w:val="22"/>
          <w:lang w:val="es-ES"/>
        </w:rPr>
      </w:pPr>
    </w:p>
    <w:p w14:paraId="1D03EFC5"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Las instituciones involucradas en las acciones y actividades del reasentamiento asignarán los recursos pertinentes en forma oportuna para ejecutar en el tiempo previsto el reasentamiento.</w:t>
      </w:r>
    </w:p>
    <w:p w14:paraId="3B122A04" w14:textId="77777777" w:rsidR="00695C90" w:rsidRPr="00695C90" w:rsidRDefault="00695C90" w:rsidP="00695C90">
      <w:pPr>
        <w:rPr>
          <w:rFonts w:ascii="Arial" w:hAnsi="Arial" w:cs="Arial"/>
          <w:b/>
          <w:lang w:val="es-ES"/>
        </w:rPr>
      </w:pPr>
    </w:p>
    <w:p w14:paraId="42E29FF0" w14:textId="77777777" w:rsidR="00695C90" w:rsidRPr="00695C90" w:rsidRDefault="00695C90" w:rsidP="00695C90">
      <w:pPr>
        <w:rPr>
          <w:rFonts w:ascii="Arial" w:hAnsi="Arial" w:cs="Arial"/>
          <w:b/>
          <w:sz w:val="22"/>
        </w:rPr>
      </w:pPr>
      <w:r w:rsidRPr="00695C90">
        <w:rPr>
          <w:rFonts w:ascii="Arial" w:hAnsi="Arial" w:cs="Arial"/>
          <w:b/>
          <w:sz w:val="22"/>
        </w:rPr>
        <w:t>Contenidos</w:t>
      </w:r>
    </w:p>
    <w:p w14:paraId="0B1E94C8" w14:textId="77777777" w:rsidR="00695C90" w:rsidRPr="00695C90" w:rsidRDefault="00695C90" w:rsidP="00695C90">
      <w:pPr>
        <w:rPr>
          <w:rFonts w:ascii="Arial" w:hAnsi="Arial" w:cs="Arial"/>
          <w:b/>
        </w:rPr>
      </w:pPr>
    </w:p>
    <w:p w14:paraId="2F3E60EC"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El Plan de Reasentamiento Involuntario (PRI) comprenderá, como mínimo, los elementos siguientes: </w:t>
      </w:r>
    </w:p>
    <w:p w14:paraId="07191448" w14:textId="77777777" w:rsidR="00695C90" w:rsidRPr="00695C90" w:rsidRDefault="00695C90" w:rsidP="00695C90">
      <w:pPr>
        <w:numPr>
          <w:ilvl w:val="0"/>
          <w:numId w:val="62"/>
        </w:numPr>
        <w:spacing w:before="120" w:after="120"/>
        <w:jc w:val="both"/>
        <w:outlineLvl w:val="2"/>
        <w:rPr>
          <w:rFonts w:ascii="Arial" w:hAnsi="Arial" w:cs="Arial"/>
          <w:sz w:val="22"/>
          <w:szCs w:val="24"/>
          <w:lang w:val="es-ES" w:eastAsia="es-ES_tradnl"/>
        </w:rPr>
      </w:pPr>
      <w:bookmarkStart w:id="247" w:name="_Toc305144426"/>
      <w:bookmarkStart w:id="248" w:name="_Toc305145310"/>
      <w:bookmarkStart w:id="249" w:name="_Toc305145592"/>
      <w:bookmarkStart w:id="250" w:name="_Toc305145876"/>
      <w:bookmarkStart w:id="251" w:name="_Toc306963418"/>
      <w:r w:rsidRPr="00695C90">
        <w:rPr>
          <w:rFonts w:ascii="Arial" w:hAnsi="Arial" w:cs="Arial"/>
          <w:sz w:val="22"/>
          <w:szCs w:val="24"/>
          <w:lang w:val="es-ES" w:eastAsia="es-ES_tradnl"/>
        </w:rPr>
        <w:lastRenderedPageBreak/>
        <w:t>un censo de las personas desplazadas y la valoración de los bienes involucrados;</w:t>
      </w:r>
      <w:bookmarkEnd w:id="247"/>
      <w:bookmarkEnd w:id="248"/>
      <w:bookmarkEnd w:id="249"/>
      <w:bookmarkEnd w:id="250"/>
      <w:bookmarkEnd w:id="251"/>
    </w:p>
    <w:p w14:paraId="682BB9C3" w14:textId="77777777" w:rsidR="00695C90" w:rsidRPr="00695C90" w:rsidRDefault="00695C90" w:rsidP="00695C90">
      <w:pPr>
        <w:numPr>
          <w:ilvl w:val="0"/>
          <w:numId w:val="62"/>
        </w:numPr>
        <w:spacing w:before="120" w:after="120"/>
        <w:jc w:val="both"/>
        <w:outlineLvl w:val="2"/>
        <w:rPr>
          <w:rFonts w:ascii="Arial" w:hAnsi="Arial" w:cs="Arial"/>
          <w:sz w:val="22"/>
          <w:szCs w:val="24"/>
          <w:lang w:val="es-ES" w:eastAsia="es-ES_tradnl"/>
        </w:rPr>
      </w:pPr>
      <w:bookmarkStart w:id="252" w:name="_Toc305144427"/>
      <w:bookmarkStart w:id="253" w:name="_Toc305145311"/>
      <w:bookmarkStart w:id="254" w:name="_Toc305145593"/>
      <w:bookmarkStart w:id="255" w:name="_Toc305145877"/>
      <w:bookmarkStart w:id="256" w:name="_Toc306963419"/>
      <w:r w:rsidRPr="00695C90">
        <w:rPr>
          <w:rFonts w:ascii="Arial" w:hAnsi="Arial" w:cs="Arial"/>
          <w:sz w:val="22"/>
          <w:szCs w:val="24"/>
          <w:lang w:val="es-ES" w:eastAsia="es-ES_tradnl"/>
        </w:rPr>
        <w:t>criterios de elegibilidad para determinar las compensaciones correspondientes de acuerdo con las características de los afectados incluyendo condiciones de vulnerabilidad y equidad de género.</w:t>
      </w:r>
    </w:p>
    <w:p w14:paraId="7082631A" w14:textId="77777777" w:rsidR="00695C90" w:rsidRPr="00695C90" w:rsidRDefault="00695C90" w:rsidP="00695C90">
      <w:pPr>
        <w:numPr>
          <w:ilvl w:val="0"/>
          <w:numId w:val="62"/>
        </w:numPr>
        <w:spacing w:before="120" w:after="120"/>
        <w:jc w:val="both"/>
        <w:outlineLvl w:val="2"/>
        <w:rPr>
          <w:rFonts w:ascii="Arial" w:hAnsi="Arial" w:cs="Arial"/>
          <w:sz w:val="22"/>
          <w:szCs w:val="24"/>
          <w:lang w:val="es-ES" w:eastAsia="es-ES_tradnl"/>
        </w:rPr>
      </w:pPr>
      <w:r w:rsidRPr="00695C90">
        <w:rPr>
          <w:rFonts w:ascii="Arial" w:hAnsi="Arial" w:cs="Arial"/>
          <w:sz w:val="22"/>
          <w:szCs w:val="24"/>
          <w:lang w:val="es-ES" w:eastAsia="es-ES_tradnl"/>
        </w:rPr>
        <w:t>una descripción de la compensación y otro tipo de asistencia para el reasentamiento que se ha de proporcionar;</w:t>
      </w:r>
      <w:bookmarkEnd w:id="252"/>
      <w:bookmarkEnd w:id="253"/>
      <w:bookmarkEnd w:id="254"/>
      <w:bookmarkEnd w:id="255"/>
      <w:bookmarkEnd w:id="256"/>
    </w:p>
    <w:p w14:paraId="5520C08C" w14:textId="77777777" w:rsidR="00695C90" w:rsidRPr="00695C90" w:rsidRDefault="00695C90" w:rsidP="00695C90">
      <w:pPr>
        <w:numPr>
          <w:ilvl w:val="0"/>
          <w:numId w:val="62"/>
        </w:numPr>
        <w:spacing w:before="120" w:after="120"/>
        <w:jc w:val="both"/>
        <w:outlineLvl w:val="2"/>
        <w:rPr>
          <w:rFonts w:ascii="Arial" w:hAnsi="Arial" w:cs="Arial"/>
          <w:sz w:val="22"/>
          <w:szCs w:val="24"/>
          <w:lang w:val="es-ES" w:eastAsia="es-ES_tradnl"/>
        </w:rPr>
      </w:pPr>
      <w:bookmarkStart w:id="257" w:name="_Toc305144428"/>
      <w:bookmarkStart w:id="258" w:name="_Toc305145312"/>
      <w:bookmarkStart w:id="259" w:name="_Toc305145594"/>
      <w:bookmarkStart w:id="260" w:name="_Toc305145878"/>
      <w:bookmarkStart w:id="261" w:name="_Toc306963420"/>
      <w:r w:rsidRPr="00695C90">
        <w:rPr>
          <w:rFonts w:ascii="Arial" w:hAnsi="Arial" w:cs="Arial"/>
          <w:sz w:val="22"/>
          <w:szCs w:val="24"/>
          <w:lang w:val="es-ES" w:eastAsia="es-ES_tradnl"/>
        </w:rPr>
        <w:t>la celebración de consultas con las personas desplazadas sobre alternativas aceptables;</w:t>
      </w:r>
      <w:bookmarkEnd w:id="257"/>
      <w:bookmarkEnd w:id="258"/>
      <w:bookmarkEnd w:id="259"/>
      <w:bookmarkEnd w:id="260"/>
      <w:bookmarkEnd w:id="261"/>
    </w:p>
    <w:p w14:paraId="6487AE79" w14:textId="77777777" w:rsidR="00695C90" w:rsidRPr="00695C90" w:rsidRDefault="00695C90" w:rsidP="00695C90">
      <w:pPr>
        <w:numPr>
          <w:ilvl w:val="0"/>
          <w:numId w:val="62"/>
        </w:numPr>
        <w:spacing w:before="120" w:after="120"/>
        <w:jc w:val="both"/>
        <w:outlineLvl w:val="2"/>
        <w:rPr>
          <w:rFonts w:ascii="Arial" w:hAnsi="Arial" w:cs="Arial"/>
          <w:sz w:val="22"/>
          <w:szCs w:val="24"/>
          <w:lang w:val="es-ES" w:eastAsia="es-ES_tradnl"/>
        </w:rPr>
      </w:pPr>
      <w:bookmarkStart w:id="262" w:name="_Toc305144429"/>
      <w:bookmarkStart w:id="263" w:name="_Toc305145313"/>
      <w:bookmarkStart w:id="264" w:name="_Toc305145595"/>
      <w:bookmarkStart w:id="265" w:name="_Toc305145879"/>
      <w:bookmarkStart w:id="266" w:name="_Toc306963421"/>
      <w:r w:rsidRPr="00695C90">
        <w:rPr>
          <w:rFonts w:ascii="Arial" w:hAnsi="Arial" w:cs="Arial"/>
          <w:sz w:val="22"/>
          <w:szCs w:val="24"/>
          <w:lang w:val="es-ES" w:eastAsia="es-ES_tradnl"/>
        </w:rPr>
        <w:t>responsabilidad institucional por la ejecución y los procedimientos para la compensación de los reclamos y quejas;</w:t>
      </w:r>
      <w:bookmarkEnd w:id="262"/>
      <w:bookmarkEnd w:id="263"/>
      <w:bookmarkEnd w:id="264"/>
      <w:bookmarkEnd w:id="265"/>
      <w:bookmarkEnd w:id="266"/>
    </w:p>
    <w:p w14:paraId="443D3C36" w14:textId="77777777" w:rsidR="00695C90" w:rsidRPr="00695C90" w:rsidRDefault="00695C90" w:rsidP="00695C90">
      <w:pPr>
        <w:numPr>
          <w:ilvl w:val="0"/>
          <w:numId w:val="62"/>
        </w:numPr>
        <w:spacing w:before="120" w:after="120"/>
        <w:jc w:val="both"/>
        <w:outlineLvl w:val="2"/>
        <w:rPr>
          <w:rFonts w:ascii="Arial" w:hAnsi="Arial" w:cs="Arial"/>
          <w:sz w:val="22"/>
          <w:szCs w:val="24"/>
          <w:lang w:val="es-ES" w:eastAsia="es-ES_tradnl"/>
        </w:rPr>
      </w:pPr>
      <w:bookmarkStart w:id="267" w:name="_Toc305144430"/>
      <w:bookmarkStart w:id="268" w:name="_Toc305145314"/>
      <w:bookmarkStart w:id="269" w:name="_Toc305145596"/>
      <w:bookmarkStart w:id="270" w:name="_Toc305145880"/>
      <w:bookmarkStart w:id="271" w:name="_Toc306963422"/>
      <w:r w:rsidRPr="00695C90">
        <w:rPr>
          <w:rFonts w:ascii="Arial" w:hAnsi="Arial" w:cs="Arial"/>
          <w:sz w:val="22"/>
          <w:szCs w:val="24"/>
          <w:lang w:val="es-ES" w:eastAsia="es-ES_tradnl"/>
        </w:rPr>
        <w:t>disposiciones sobre seguimiento y evaluación; y</w:t>
      </w:r>
      <w:bookmarkEnd w:id="267"/>
      <w:bookmarkEnd w:id="268"/>
      <w:bookmarkEnd w:id="269"/>
      <w:bookmarkEnd w:id="270"/>
      <w:bookmarkEnd w:id="271"/>
    </w:p>
    <w:p w14:paraId="7C3BBECD" w14:textId="77777777" w:rsidR="00695C90" w:rsidRPr="00695C90" w:rsidRDefault="00695C90" w:rsidP="00695C90">
      <w:pPr>
        <w:numPr>
          <w:ilvl w:val="0"/>
          <w:numId w:val="62"/>
        </w:numPr>
        <w:spacing w:before="120" w:after="120"/>
        <w:jc w:val="both"/>
        <w:outlineLvl w:val="2"/>
        <w:rPr>
          <w:rFonts w:ascii="Arial" w:hAnsi="Arial" w:cs="Arial"/>
          <w:sz w:val="22"/>
          <w:szCs w:val="24"/>
          <w:lang w:val="es-ES" w:eastAsia="es-ES_tradnl"/>
        </w:rPr>
      </w:pPr>
      <w:bookmarkStart w:id="272" w:name="_Toc305144431"/>
      <w:bookmarkStart w:id="273" w:name="_Toc305145315"/>
      <w:bookmarkStart w:id="274" w:name="_Toc305145597"/>
      <w:bookmarkStart w:id="275" w:name="_Toc305145881"/>
      <w:bookmarkStart w:id="276" w:name="_Toc306963423"/>
      <w:r w:rsidRPr="00695C90">
        <w:rPr>
          <w:rFonts w:ascii="Arial" w:hAnsi="Arial" w:cs="Arial"/>
          <w:sz w:val="22"/>
          <w:szCs w:val="24"/>
          <w:lang w:val="es-ES" w:eastAsia="es-ES_tradnl"/>
        </w:rPr>
        <w:t>calendario y presupuesto.</w:t>
      </w:r>
      <w:bookmarkEnd w:id="272"/>
      <w:bookmarkEnd w:id="273"/>
      <w:bookmarkEnd w:id="274"/>
      <w:bookmarkEnd w:id="275"/>
      <w:bookmarkEnd w:id="276"/>
    </w:p>
    <w:p w14:paraId="1B13C0DA" w14:textId="77777777" w:rsidR="00695C90" w:rsidRPr="00695C90" w:rsidRDefault="00695C90" w:rsidP="00695C90">
      <w:pPr>
        <w:ind w:left="360"/>
        <w:jc w:val="both"/>
        <w:outlineLvl w:val="2"/>
        <w:rPr>
          <w:rFonts w:ascii="Arial" w:hAnsi="Arial" w:cs="Arial"/>
          <w:lang w:val="es-ES"/>
        </w:rPr>
      </w:pPr>
    </w:p>
    <w:p w14:paraId="5FDA20C4" w14:textId="77777777" w:rsidR="00695C90" w:rsidRPr="00695C90" w:rsidRDefault="00695C90" w:rsidP="00695C90">
      <w:pPr>
        <w:numPr>
          <w:ilvl w:val="0"/>
          <w:numId w:val="60"/>
        </w:numPr>
        <w:jc w:val="both"/>
        <w:rPr>
          <w:rFonts w:ascii="Arial" w:hAnsi="Arial" w:cs="Arial"/>
          <w:sz w:val="22"/>
          <w:szCs w:val="22"/>
          <w:lang w:val="es-ES_tradnl"/>
        </w:rPr>
      </w:pPr>
      <w:r w:rsidRPr="00695C90">
        <w:rPr>
          <w:rFonts w:ascii="Arial" w:hAnsi="Arial" w:cs="Arial"/>
          <w:sz w:val="22"/>
          <w:szCs w:val="22"/>
          <w:lang w:val="es-ES"/>
        </w:rPr>
        <w:t xml:space="preserve">Se llevarán a cabo evaluaciones sociales para identificar a las personas que probablemente deban ser reasentadas y/o sean afectadas por el desplazamiento económico incluyendo: </w:t>
      </w:r>
    </w:p>
    <w:p w14:paraId="4E27FA89"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277" w:name="_Toc305144432"/>
      <w:bookmarkStart w:id="278" w:name="_Toc305145316"/>
      <w:bookmarkStart w:id="279" w:name="_Toc305145598"/>
      <w:bookmarkStart w:id="280" w:name="_Toc305145882"/>
      <w:bookmarkStart w:id="281" w:name="_Toc306963424"/>
      <w:r w:rsidRPr="00695C90">
        <w:rPr>
          <w:rFonts w:ascii="Arial" w:hAnsi="Arial" w:cs="Arial"/>
          <w:sz w:val="22"/>
          <w:szCs w:val="24"/>
          <w:lang w:val="es-ES" w:eastAsia="es-ES_tradnl"/>
        </w:rPr>
        <w:t>Criterios de elegibilidad para designar alcances y características de las compensaciones o cualquier otro tipo de asistencia.</w:t>
      </w:r>
      <w:bookmarkEnd w:id="277"/>
      <w:bookmarkEnd w:id="278"/>
      <w:bookmarkEnd w:id="279"/>
      <w:bookmarkEnd w:id="280"/>
      <w:bookmarkEnd w:id="281"/>
      <w:r w:rsidRPr="00695C90">
        <w:rPr>
          <w:rFonts w:ascii="Arial" w:hAnsi="Arial" w:cs="Arial"/>
          <w:sz w:val="22"/>
          <w:szCs w:val="24"/>
          <w:lang w:val="es-ES" w:eastAsia="es-ES_tradnl"/>
        </w:rPr>
        <w:t xml:space="preserve"> </w:t>
      </w:r>
    </w:p>
    <w:p w14:paraId="6EC332DB"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282" w:name="_Toc305144433"/>
      <w:bookmarkStart w:id="283" w:name="_Toc305145317"/>
      <w:bookmarkStart w:id="284" w:name="_Toc305145599"/>
      <w:bookmarkStart w:id="285" w:name="_Toc305145883"/>
      <w:bookmarkStart w:id="286" w:name="_Toc306963425"/>
      <w:r w:rsidRPr="00695C90">
        <w:rPr>
          <w:rFonts w:ascii="Arial" w:hAnsi="Arial" w:cs="Arial"/>
          <w:sz w:val="22"/>
          <w:szCs w:val="24"/>
          <w:lang w:val="es-ES" w:eastAsia="es-ES_tradnl"/>
        </w:rPr>
        <w:t>Descripción de impactos que sufrirá la población afectada (económicos, socioculturales, socio ambientales; etc.).</w:t>
      </w:r>
      <w:bookmarkEnd w:id="282"/>
      <w:bookmarkEnd w:id="283"/>
      <w:bookmarkEnd w:id="284"/>
      <w:bookmarkEnd w:id="285"/>
      <w:bookmarkEnd w:id="286"/>
      <w:r w:rsidRPr="00695C90">
        <w:rPr>
          <w:rFonts w:ascii="Arial" w:hAnsi="Arial" w:cs="Arial"/>
          <w:sz w:val="22"/>
          <w:szCs w:val="24"/>
          <w:lang w:val="es-ES" w:eastAsia="es-ES_tradnl"/>
        </w:rPr>
        <w:t xml:space="preserve"> </w:t>
      </w:r>
    </w:p>
    <w:p w14:paraId="5182FAA3"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287" w:name="_Toc305144434"/>
      <w:bookmarkStart w:id="288" w:name="_Toc305145318"/>
      <w:bookmarkStart w:id="289" w:name="_Toc305145600"/>
      <w:bookmarkStart w:id="290" w:name="_Toc305145884"/>
      <w:bookmarkStart w:id="291" w:name="_Toc306963426"/>
      <w:r w:rsidRPr="00695C90">
        <w:rPr>
          <w:rFonts w:ascii="Arial" w:hAnsi="Arial" w:cs="Arial"/>
          <w:sz w:val="22"/>
          <w:szCs w:val="24"/>
          <w:lang w:val="es-ES" w:eastAsia="es-ES_tradnl"/>
        </w:rPr>
        <w:t>Tipología de afectados que establezca las diferencias en términos de afectación de la población teniendo en cuenta diversas variables socioeconómicas.</w:t>
      </w:r>
      <w:bookmarkEnd w:id="287"/>
      <w:bookmarkEnd w:id="288"/>
      <w:bookmarkEnd w:id="289"/>
      <w:bookmarkEnd w:id="290"/>
      <w:bookmarkEnd w:id="291"/>
      <w:r w:rsidRPr="00695C90">
        <w:rPr>
          <w:rFonts w:ascii="Arial" w:hAnsi="Arial" w:cs="Arial"/>
          <w:sz w:val="22"/>
          <w:szCs w:val="24"/>
          <w:lang w:val="es-ES" w:eastAsia="es-ES_tradnl"/>
        </w:rPr>
        <w:t xml:space="preserve"> Este análisis se efectuará con un enfoque de género y toda la información generada se desagregará por género.  </w:t>
      </w:r>
    </w:p>
    <w:p w14:paraId="28D61B74"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292" w:name="_Toc305144435"/>
      <w:bookmarkStart w:id="293" w:name="_Toc305145319"/>
      <w:bookmarkStart w:id="294" w:name="_Toc305145601"/>
      <w:bookmarkStart w:id="295" w:name="_Toc305145885"/>
      <w:bookmarkStart w:id="296" w:name="_Toc306963427"/>
      <w:r w:rsidRPr="00695C90">
        <w:rPr>
          <w:rFonts w:ascii="Arial" w:hAnsi="Arial" w:cs="Arial"/>
          <w:sz w:val="22"/>
          <w:szCs w:val="24"/>
          <w:lang w:val="es-ES" w:eastAsia="es-ES_tradnl"/>
        </w:rPr>
        <w:t>Grados de afectación según los niveles de vulnerabilidad y riesgo incluyendo un análisis de género.</w:t>
      </w:r>
      <w:bookmarkEnd w:id="292"/>
      <w:bookmarkEnd w:id="293"/>
      <w:bookmarkEnd w:id="294"/>
      <w:bookmarkEnd w:id="295"/>
      <w:bookmarkEnd w:id="296"/>
      <w:r w:rsidRPr="00695C90">
        <w:rPr>
          <w:rFonts w:ascii="Arial" w:hAnsi="Arial" w:cs="Arial"/>
          <w:sz w:val="22"/>
          <w:szCs w:val="24"/>
          <w:lang w:val="es-ES" w:eastAsia="es-ES_tradnl"/>
        </w:rPr>
        <w:t xml:space="preserve"> </w:t>
      </w:r>
    </w:p>
    <w:p w14:paraId="38E7FB9F" w14:textId="77777777" w:rsidR="00695C90" w:rsidRPr="00695C90" w:rsidRDefault="00695C90" w:rsidP="00695C90">
      <w:pPr>
        <w:ind w:left="360"/>
        <w:jc w:val="both"/>
        <w:rPr>
          <w:rFonts w:ascii="Arial" w:hAnsi="Arial" w:cs="Arial"/>
          <w:sz w:val="22"/>
          <w:szCs w:val="22"/>
          <w:lang w:val="es-ES"/>
        </w:rPr>
      </w:pPr>
    </w:p>
    <w:p w14:paraId="36ACCB5E" w14:textId="77777777" w:rsidR="00695C90" w:rsidRPr="00695C90" w:rsidRDefault="00695C90" w:rsidP="00695C90">
      <w:pPr>
        <w:numPr>
          <w:ilvl w:val="0"/>
          <w:numId w:val="60"/>
        </w:numPr>
        <w:jc w:val="both"/>
        <w:rPr>
          <w:rFonts w:ascii="Arial" w:hAnsi="Arial" w:cs="Arial"/>
          <w:sz w:val="22"/>
          <w:szCs w:val="22"/>
        </w:rPr>
      </w:pPr>
      <w:r w:rsidRPr="00695C90">
        <w:rPr>
          <w:rFonts w:ascii="Arial" w:hAnsi="Arial" w:cs="Arial"/>
          <w:sz w:val="22"/>
          <w:szCs w:val="22"/>
          <w:lang w:val="es-ES"/>
        </w:rPr>
        <w:t xml:space="preserve">Se desarrollará un proceso de consulta que asegure la participación significativa de las personas afectadas en las decisiones relativas al reasentamiento. </w:t>
      </w:r>
      <w:r w:rsidRPr="00695C90">
        <w:rPr>
          <w:rFonts w:ascii="Arial" w:hAnsi="Arial" w:cs="Arial"/>
          <w:sz w:val="22"/>
          <w:szCs w:val="22"/>
        </w:rPr>
        <w:t>Deberá asegurarse que:</w:t>
      </w:r>
    </w:p>
    <w:p w14:paraId="1E02AF5D"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297" w:name="_Toc305144436"/>
      <w:bookmarkStart w:id="298" w:name="_Toc305145320"/>
      <w:bookmarkStart w:id="299" w:name="_Toc305145602"/>
      <w:bookmarkStart w:id="300" w:name="_Toc305145886"/>
      <w:bookmarkStart w:id="301" w:name="_Toc306963428"/>
      <w:r w:rsidRPr="00695C90">
        <w:rPr>
          <w:rFonts w:ascii="Arial" w:hAnsi="Arial" w:cs="Arial"/>
          <w:sz w:val="22"/>
          <w:szCs w:val="24"/>
          <w:lang w:val="es-ES" w:eastAsia="es-ES_tradnl"/>
        </w:rPr>
        <w:t>se informe a las personas desplazadas acerca de sus opciones y derechos relacionados con el reasentamiento;</w:t>
      </w:r>
      <w:bookmarkEnd w:id="297"/>
      <w:bookmarkEnd w:id="298"/>
      <w:bookmarkEnd w:id="299"/>
      <w:bookmarkEnd w:id="300"/>
      <w:bookmarkEnd w:id="301"/>
    </w:p>
    <w:p w14:paraId="680E50EF"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02" w:name="_Toc305144437"/>
      <w:bookmarkStart w:id="303" w:name="_Toc305145321"/>
      <w:bookmarkStart w:id="304" w:name="_Toc305145603"/>
      <w:bookmarkStart w:id="305" w:name="_Toc305145887"/>
      <w:bookmarkStart w:id="306" w:name="_Toc306963429"/>
      <w:r w:rsidRPr="00695C90">
        <w:rPr>
          <w:rFonts w:ascii="Arial" w:hAnsi="Arial" w:cs="Arial"/>
          <w:sz w:val="22"/>
          <w:szCs w:val="24"/>
          <w:lang w:val="es-ES" w:eastAsia="es-ES_tradnl"/>
        </w:rPr>
        <w:t>se les consulte y se les dé a elegir entre distintas opciones técnicas y económicas viables de reasentamiento, y</w:t>
      </w:r>
      <w:bookmarkEnd w:id="302"/>
      <w:bookmarkEnd w:id="303"/>
      <w:bookmarkEnd w:id="304"/>
      <w:bookmarkEnd w:id="305"/>
      <w:bookmarkEnd w:id="306"/>
    </w:p>
    <w:p w14:paraId="0843CBFA"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07" w:name="_Toc305144438"/>
      <w:bookmarkStart w:id="308" w:name="_Toc305145322"/>
      <w:bookmarkStart w:id="309" w:name="_Toc305145604"/>
      <w:bookmarkStart w:id="310" w:name="_Toc305145888"/>
      <w:bookmarkStart w:id="311" w:name="_Toc306963430"/>
      <w:r w:rsidRPr="00695C90">
        <w:rPr>
          <w:rFonts w:ascii="Arial" w:hAnsi="Arial" w:cs="Arial"/>
          <w:sz w:val="22"/>
          <w:szCs w:val="24"/>
          <w:lang w:val="es-ES" w:eastAsia="es-ES_tradnl"/>
        </w:rPr>
        <w:t>se les otorgue una indemnización rápida y efectiva equivalente al costo total de reposición por las pérdidas de activos atribuibles directamente al proyecto.</w:t>
      </w:r>
      <w:bookmarkEnd w:id="307"/>
      <w:bookmarkEnd w:id="308"/>
      <w:bookmarkEnd w:id="309"/>
      <w:bookmarkEnd w:id="310"/>
      <w:bookmarkEnd w:id="311"/>
    </w:p>
    <w:p w14:paraId="2BF4DF8F"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r w:rsidRPr="00695C90">
        <w:rPr>
          <w:rFonts w:ascii="Arial" w:hAnsi="Arial" w:cs="Arial"/>
          <w:sz w:val="22"/>
          <w:szCs w:val="24"/>
          <w:lang w:val="es-ES" w:eastAsia="es-ES_tradnl"/>
        </w:rPr>
        <w:t>Este proceso se preparará con un enfoque de género para asegurar la participación de las mujeres.</w:t>
      </w:r>
    </w:p>
    <w:p w14:paraId="6C312B17" w14:textId="77777777" w:rsidR="00695C90" w:rsidRPr="00695C90" w:rsidRDefault="00695C90" w:rsidP="00695C90">
      <w:pPr>
        <w:ind w:left="360"/>
        <w:jc w:val="both"/>
        <w:rPr>
          <w:rFonts w:ascii="Arial" w:hAnsi="Arial" w:cs="Arial"/>
          <w:sz w:val="22"/>
          <w:szCs w:val="22"/>
          <w:lang w:val="es-ES"/>
        </w:rPr>
      </w:pPr>
    </w:p>
    <w:p w14:paraId="354F0FC3"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Si entre los efectos del proyecto se incluye el traslado físico se deberán prever medidas que garanticen que las personas desplazadas:</w:t>
      </w:r>
    </w:p>
    <w:p w14:paraId="351C6FCD"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12" w:name="_Toc305144439"/>
      <w:bookmarkStart w:id="313" w:name="_Toc305145323"/>
      <w:bookmarkStart w:id="314" w:name="_Toc305145605"/>
      <w:bookmarkStart w:id="315" w:name="_Toc305145889"/>
      <w:bookmarkStart w:id="316" w:name="_Toc306963431"/>
      <w:r w:rsidRPr="00695C90">
        <w:rPr>
          <w:rFonts w:ascii="Arial" w:hAnsi="Arial" w:cs="Arial"/>
          <w:sz w:val="22"/>
          <w:szCs w:val="24"/>
          <w:lang w:val="es-ES" w:eastAsia="es-ES_tradnl"/>
        </w:rPr>
        <w:t>reciban asistencia (como subsidios de traslado) durante el traslado, y</w:t>
      </w:r>
      <w:bookmarkEnd w:id="312"/>
      <w:bookmarkEnd w:id="313"/>
      <w:bookmarkEnd w:id="314"/>
      <w:bookmarkEnd w:id="315"/>
      <w:bookmarkEnd w:id="316"/>
    </w:p>
    <w:p w14:paraId="1EF9DBA6"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17" w:name="_Toc305144440"/>
      <w:bookmarkStart w:id="318" w:name="_Toc305145324"/>
      <w:bookmarkStart w:id="319" w:name="_Toc305145606"/>
      <w:bookmarkStart w:id="320" w:name="_Toc305145890"/>
      <w:bookmarkStart w:id="321" w:name="_Toc306963432"/>
      <w:r w:rsidRPr="00695C90">
        <w:rPr>
          <w:rFonts w:ascii="Arial" w:hAnsi="Arial" w:cs="Arial"/>
          <w:sz w:val="22"/>
          <w:szCs w:val="24"/>
          <w:lang w:val="es-ES" w:eastAsia="es-ES_tradnl"/>
        </w:rPr>
        <w:t>reciban viviendas o sitios para vivienda, o, según el caso, sitios agrícolas cuyo potencial productivo, ubicación y otros factores sean, como mínimo, equivalentes o más ventajosos a los del sitio de procedencia</w:t>
      </w:r>
      <w:bookmarkEnd w:id="317"/>
      <w:bookmarkEnd w:id="318"/>
      <w:bookmarkEnd w:id="319"/>
      <w:bookmarkEnd w:id="320"/>
      <w:bookmarkEnd w:id="321"/>
    </w:p>
    <w:p w14:paraId="726C306A" w14:textId="77777777" w:rsidR="00695C90" w:rsidRPr="00695C90" w:rsidRDefault="00695C90" w:rsidP="00695C90">
      <w:pPr>
        <w:ind w:left="360"/>
        <w:jc w:val="both"/>
        <w:rPr>
          <w:rFonts w:ascii="Arial" w:hAnsi="Arial" w:cs="Arial"/>
          <w:sz w:val="22"/>
          <w:szCs w:val="22"/>
          <w:lang w:val="es-ES"/>
        </w:rPr>
      </w:pPr>
    </w:p>
    <w:p w14:paraId="3B8A4CCB"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lastRenderedPageBreak/>
        <w:t>El Plan de Reasentamiento Involuntario deberá estipular además medidas que aseguren que a las personas desplazadas se les ofrecerá apoyo después del desplazamiento, durante un período de transición, basado en una estimación prudente del tiempo que probablemente necesiten para restablecer sus medios de subsistencia y sus niveles de vida.</w:t>
      </w:r>
    </w:p>
    <w:p w14:paraId="43B0CC02" w14:textId="77777777" w:rsidR="00695C90" w:rsidRPr="00695C90" w:rsidRDefault="00695C90" w:rsidP="00695C90">
      <w:pPr>
        <w:ind w:left="360"/>
        <w:jc w:val="both"/>
        <w:rPr>
          <w:rFonts w:ascii="Arial" w:hAnsi="Arial" w:cs="Arial"/>
          <w:sz w:val="22"/>
          <w:szCs w:val="22"/>
          <w:lang w:val="es-ES"/>
        </w:rPr>
      </w:pPr>
    </w:p>
    <w:p w14:paraId="708F2E68"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A fin de lograr los objetivos de esta política, se deberá prestar atención especial a las necesidades de los grupos desplazados vulnerables, especialmente los que se encuentran por debajo de la línea de pobreza, los que carecen de tierras, los ancianos, las mujeres y los niños, las poblaciones indígenas, las minorías étnicas, u otras personas desplazadas que no estén protegidas por la legislación nacional sobre indemnización de tierras.</w:t>
      </w:r>
    </w:p>
    <w:p w14:paraId="3FF44923" w14:textId="77777777" w:rsidR="00695C90" w:rsidRPr="00695C90" w:rsidRDefault="00695C90" w:rsidP="00695C90">
      <w:pPr>
        <w:ind w:left="360"/>
        <w:jc w:val="both"/>
        <w:rPr>
          <w:rFonts w:ascii="Arial" w:hAnsi="Arial" w:cs="Arial"/>
          <w:sz w:val="22"/>
          <w:szCs w:val="22"/>
          <w:lang w:val="es-ES"/>
        </w:rPr>
      </w:pPr>
    </w:p>
    <w:p w14:paraId="19A69936"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En el caso de poblaciones indígenas u otros grupos humanos vulnerables deberá asegurarse que se hayan estudiado todas las opciones viables de diseño del proyecto para evitar el desplazamiento físico de esos grupos.</w:t>
      </w:r>
    </w:p>
    <w:p w14:paraId="275069C3" w14:textId="77777777" w:rsidR="00695C90" w:rsidRPr="00695C90" w:rsidRDefault="00695C90" w:rsidP="00695C90">
      <w:pPr>
        <w:ind w:left="360"/>
        <w:jc w:val="both"/>
        <w:rPr>
          <w:rFonts w:ascii="Arial" w:hAnsi="Arial" w:cs="Arial"/>
          <w:sz w:val="22"/>
          <w:szCs w:val="22"/>
          <w:lang w:val="es-ES"/>
        </w:rPr>
      </w:pPr>
    </w:p>
    <w:p w14:paraId="52F619B5"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Deberá darse preferencia a las estrategias de reasentamiento que contemplen la entrega de tierras a las personas desplazadas cuyos medios de subsistencia dependan de la tierra. En los casos en que se ofrezcan tierras de reemplazo, se proporcionará a los reasentadas, tierras cuyo potencial productivo, ventajas de ubicación y otros factores sean, como mínimo, equivalentes o ventajosos en conjunto, a las tierras de las cuales se les privó.</w:t>
      </w:r>
    </w:p>
    <w:p w14:paraId="4645139D" w14:textId="77777777" w:rsidR="00695C90" w:rsidRPr="00695C90" w:rsidRDefault="00695C90" w:rsidP="00695C90">
      <w:pPr>
        <w:ind w:left="360"/>
        <w:jc w:val="both"/>
        <w:rPr>
          <w:rFonts w:ascii="Arial" w:hAnsi="Arial" w:cs="Arial"/>
          <w:sz w:val="22"/>
          <w:szCs w:val="22"/>
          <w:lang w:val="es-ES"/>
        </w:rPr>
      </w:pPr>
    </w:p>
    <w:p w14:paraId="630E4639"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En caso de producirse el reasentamiento físico, la selección del nuevo sitio de habitación tendrá en consideración dos criterios principales: i) la opinión de la población afectada; y ii) la propuesta de los técnicos que se designen acerca de las mejores oportunidades para el restablecimiento oportuno de los medios de subsistencia. La definición de las alternativas de reasentamiento y restitución será una combinación de: a) las preferencias de los afectados; b) la vulnerabilidad y la capacidad adaptativa, y c) la viabilidad de su implementación establecida por los técnicos.</w:t>
      </w:r>
    </w:p>
    <w:p w14:paraId="35A8F0E5" w14:textId="77777777" w:rsidR="00695C90" w:rsidRPr="00695C90" w:rsidRDefault="00695C90" w:rsidP="00695C90">
      <w:pPr>
        <w:ind w:left="360"/>
        <w:jc w:val="both"/>
        <w:rPr>
          <w:rFonts w:ascii="Arial" w:hAnsi="Arial" w:cs="Arial"/>
          <w:sz w:val="22"/>
          <w:szCs w:val="22"/>
          <w:lang w:val="es-ES"/>
        </w:rPr>
      </w:pPr>
    </w:p>
    <w:p w14:paraId="2D2E4228"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Se establecerá un protocolo para la presentación de comunicaciones y reclamos acordado con las personas afectadas.</w:t>
      </w:r>
    </w:p>
    <w:p w14:paraId="62ACBE83" w14:textId="77777777" w:rsidR="00695C90" w:rsidRPr="00695C90" w:rsidRDefault="00695C90" w:rsidP="00695C90">
      <w:pPr>
        <w:rPr>
          <w:rFonts w:ascii="Arial" w:hAnsi="Arial" w:cs="Arial"/>
          <w:b/>
          <w:lang w:val="es-ES"/>
        </w:rPr>
      </w:pPr>
    </w:p>
    <w:p w14:paraId="18159A75" w14:textId="77777777" w:rsidR="00695C90" w:rsidRPr="00695C90" w:rsidRDefault="00695C90" w:rsidP="00695C90">
      <w:pPr>
        <w:rPr>
          <w:rFonts w:ascii="Arial" w:hAnsi="Arial" w:cs="Arial"/>
          <w:b/>
          <w:sz w:val="22"/>
          <w:lang w:val="es-AR"/>
        </w:rPr>
      </w:pPr>
      <w:r w:rsidRPr="00695C90">
        <w:rPr>
          <w:rFonts w:ascii="Arial" w:hAnsi="Arial" w:cs="Arial"/>
          <w:b/>
          <w:sz w:val="22"/>
          <w:szCs w:val="24"/>
        </w:rPr>
        <w:t xml:space="preserve">APENDICE I - </w:t>
      </w:r>
      <w:r w:rsidRPr="00695C90">
        <w:rPr>
          <w:rFonts w:ascii="Arial" w:hAnsi="Arial" w:cs="Arial"/>
          <w:b/>
          <w:sz w:val="22"/>
          <w:lang w:val="es-AR"/>
        </w:rPr>
        <w:t xml:space="preserve">Implementación del Plan de Reasentamiento Involuntario </w:t>
      </w:r>
    </w:p>
    <w:p w14:paraId="0FD33F71" w14:textId="77777777" w:rsidR="00695C90" w:rsidRPr="00695C90" w:rsidRDefault="00695C90" w:rsidP="00695C90">
      <w:pPr>
        <w:rPr>
          <w:rFonts w:ascii="Arial" w:hAnsi="Arial" w:cs="Arial"/>
          <w:b/>
          <w:lang w:val="es-AR"/>
        </w:rPr>
      </w:pPr>
    </w:p>
    <w:p w14:paraId="363589B9" w14:textId="77777777" w:rsidR="00695C90" w:rsidRPr="00695C90" w:rsidRDefault="00695C90" w:rsidP="00695C90">
      <w:pPr>
        <w:ind w:left="360"/>
        <w:jc w:val="both"/>
        <w:rPr>
          <w:rFonts w:ascii="Arial" w:hAnsi="Arial" w:cs="Arial"/>
          <w:sz w:val="22"/>
          <w:szCs w:val="22"/>
          <w:lang w:val="es-ES"/>
        </w:rPr>
      </w:pPr>
    </w:p>
    <w:p w14:paraId="3EF15679"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El EIAS de los proyectos, incluirán un plan de reasentamiento involuntario (PRI) de acuerdo con los lineamientos establecidos en este Marco. </w:t>
      </w:r>
    </w:p>
    <w:p w14:paraId="4B8F38BF" w14:textId="77777777" w:rsidR="00695C90" w:rsidRPr="00695C90" w:rsidRDefault="00695C90" w:rsidP="00695C90">
      <w:pPr>
        <w:ind w:left="360"/>
        <w:jc w:val="both"/>
        <w:rPr>
          <w:rFonts w:ascii="Arial" w:hAnsi="Arial" w:cs="Arial"/>
          <w:sz w:val="22"/>
          <w:szCs w:val="22"/>
          <w:lang w:val="es-ES"/>
        </w:rPr>
      </w:pPr>
    </w:p>
    <w:p w14:paraId="5080DA97"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La Unidad Ejecutora (especialistas ambiental y social) evaluará y aprobará el referido Plan en el marco del proceso de análisis de la EIAS correspondiente. </w:t>
      </w:r>
    </w:p>
    <w:p w14:paraId="7A4EBF93" w14:textId="77777777" w:rsidR="00695C90" w:rsidRPr="00695C90" w:rsidRDefault="00695C90" w:rsidP="00695C90">
      <w:pPr>
        <w:ind w:left="360"/>
        <w:jc w:val="both"/>
        <w:rPr>
          <w:rFonts w:ascii="Arial" w:hAnsi="Arial" w:cs="Arial"/>
          <w:sz w:val="22"/>
          <w:szCs w:val="22"/>
          <w:lang w:val="es-ES"/>
        </w:rPr>
      </w:pPr>
    </w:p>
    <w:p w14:paraId="3A1859BF"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En la evaluación del PRI, la UE determinará a) la voluntad y capacidad de los concesionarios de aplicar el instrumento de reasentamiento; b) la viabilidad de las medidas propuestas para mejorar o restablecer los medios de subsistencia y los niveles de vida; c) la disponibilidad de fondos suficientes para las actividades de reasentamiento; d) los riesgos importantes que existen, en particular el riesgo de empobrecimiento, debido a una aplicación inadecuada del instrumento de reasentamiento y e) la compatibilidad entre el instrumento de reasentamiento propuesto y el plan de ejecución del proyecto. </w:t>
      </w:r>
    </w:p>
    <w:p w14:paraId="5337CB3A" w14:textId="77777777" w:rsidR="00695C90" w:rsidRPr="00695C90" w:rsidRDefault="00695C90" w:rsidP="00695C90">
      <w:pPr>
        <w:ind w:left="360"/>
        <w:jc w:val="both"/>
        <w:rPr>
          <w:rFonts w:ascii="Arial" w:hAnsi="Arial" w:cs="Arial"/>
          <w:sz w:val="22"/>
          <w:szCs w:val="22"/>
          <w:lang w:val="es-ES"/>
        </w:rPr>
      </w:pPr>
    </w:p>
    <w:p w14:paraId="1E7C5DEB"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La UE evaluará el PRI y propondrá las modificaciones que fuera necesarias. En caso de no aprobación, el PRI será devuelto al responsable con las observaciones correspondientes </w:t>
      </w:r>
      <w:r w:rsidRPr="00695C90">
        <w:rPr>
          <w:rFonts w:ascii="Arial" w:hAnsi="Arial" w:cs="Arial"/>
          <w:sz w:val="22"/>
          <w:szCs w:val="22"/>
          <w:lang w:val="es-ES"/>
        </w:rPr>
        <w:lastRenderedPageBreak/>
        <w:t>para su incorporación; se prevé la realización de reuniones entre técnicos de la UE y quienes elaboraron el Plan no aprobado, para facilitar sus correcciones y posterior aceptación.</w:t>
      </w:r>
    </w:p>
    <w:p w14:paraId="242BBECA" w14:textId="77777777" w:rsidR="00695C90" w:rsidRPr="00695C90" w:rsidRDefault="00695C90" w:rsidP="00695C90">
      <w:pPr>
        <w:ind w:left="360"/>
        <w:jc w:val="both"/>
        <w:rPr>
          <w:rFonts w:ascii="Arial" w:hAnsi="Arial" w:cs="Arial"/>
          <w:sz w:val="22"/>
          <w:szCs w:val="22"/>
          <w:lang w:val="es-ES"/>
        </w:rPr>
      </w:pPr>
    </w:p>
    <w:p w14:paraId="3D430A9F"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Una vez aprobado la EIAS del proyecto y el PRI será puesto a disposición de la población afectada y publicado para su consulta pública.</w:t>
      </w:r>
    </w:p>
    <w:p w14:paraId="4FFB5B4A" w14:textId="77777777" w:rsidR="00695C90" w:rsidRPr="00695C90" w:rsidRDefault="00695C90" w:rsidP="00695C90">
      <w:pPr>
        <w:ind w:left="360"/>
        <w:jc w:val="both"/>
        <w:rPr>
          <w:rFonts w:ascii="Arial" w:hAnsi="Arial" w:cs="Arial"/>
          <w:sz w:val="22"/>
          <w:szCs w:val="22"/>
          <w:lang w:val="es-ES"/>
        </w:rPr>
      </w:pPr>
    </w:p>
    <w:p w14:paraId="78EA0470"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lang w:val="es-ES"/>
        </w:rPr>
        <w:t xml:space="preserve">El concesionario será responsable de elaborar el Plan de Reasentamiento Involuntario que incluya todas las revisiones propuestas como condición para ser elegible para financiamiento </w:t>
      </w:r>
      <w:r w:rsidRPr="00695C90">
        <w:rPr>
          <w:rFonts w:ascii="Arial" w:hAnsi="Arial" w:cs="Arial"/>
          <w:sz w:val="22"/>
          <w:szCs w:val="22"/>
          <w:lang w:val="es-ES"/>
        </w:rPr>
        <w:t>del proyecto. La UE asesorará y orientará también en el proceso de monitoreo de la ejecución de los Planes de Reasentamiento Involuntario.</w:t>
      </w:r>
    </w:p>
    <w:p w14:paraId="44B945BB" w14:textId="77777777" w:rsidR="00695C90" w:rsidRPr="00695C90" w:rsidRDefault="00695C90" w:rsidP="00695C90">
      <w:pPr>
        <w:ind w:left="360"/>
        <w:jc w:val="both"/>
        <w:rPr>
          <w:rFonts w:ascii="Arial" w:hAnsi="Arial" w:cs="Arial"/>
          <w:sz w:val="22"/>
          <w:szCs w:val="22"/>
          <w:lang w:val="es-ES"/>
        </w:rPr>
      </w:pPr>
    </w:p>
    <w:p w14:paraId="12B4F951"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La UE vigilará el cumplimiento de las medidas y acciones planteadas en el Plan de Reasentamiento y otorgará asesoramiento al concesionario cuando éste lo requiera.  </w:t>
      </w:r>
    </w:p>
    <w:p w14:paraId="43CD5EDC" w14:textId="77777777" w:rsidR="00695C90" w:rsidRPr="00695C90" w:rsidRDefault="00695C90" w:rsidP="00695C90">
      <w:pPr>
        <w:ind w:left="360"/>
        <w:jc w:val="both"/>
        <w:rPr>
          <w:rFonts w:ascii="Arial" w:hAnsi="Arial" w:cs="Arial"/>
          <w:sz w:val="22"/>
          <w:szCs w:val="22"/>
          <w:lang w:val="es-ES"/>
        </w:rPr>
      </w:pPr>
    </w:p>
    <w:p w14:paraId="38BCEDDF"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lang w:val="es-ES"/>
        </w:rPr>
        <w:t xml:space="preserve">El concesionario se encargará de realizar Informes de ejecución con la frecuencia solicitada por la UEP </w:t>
      </w:r>
      <w:r w:rsidRPr="00695C90">
        <w:rPr>
          <w:rFonts w:ascii="Arial" w:hAnsi="Arial" w:cs="Arial"/>
          <w:sz w:val="22"/>
          <w:szCs w:val="22"/>
          <w:lang w:val="es-ES"/>
        </w:rPr>
        <w:t xml:space="preserve">con los resultados de monitoreo y seguimiento del PRI y los enviará a la UEP. Este informe será puesto a disposición del BID. </w:t>
      </w:r>
    </w:p>
    <w:p w14:paraId="42FE5695" w14:textId="77777777" w:rsidR="00695C90" w:rsidRPr="00695C90" w:rsidRDefault="00695C90" w:rsidP="00695C90">
      <w:pPr>
        <w:ind w:left="360"/>
        <w:jc w:val="both"/>
        <w:rPr>
          <w:rFonts w:ascii="Arial" w:hAnsi="Arial" w:cs="Arial"/>
          <w:sz w:val="22"/>
          <w:szCs w:val="22"/>
          <w:lang w:val="es-ES"/>
        </w:rPr>
      </w:pPr>
    </w:p>
    <w:p w14:paraId="324C726A"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La UEP realizará visitas a los proyectos y solicitará información de los mismos como parte del monitoreo y seguimiento de la ejecución de los PRI. </w:t>
      </w:r>
    </w:p>
    <w:p w14:paraId="39CE0FA5" w14:textId="77777777" w:rsidR="00695C90" w:rsidRPr="00695C90" w:rsidRDefault="00695C90" w:rsidP="00695C90">
      <w:pPr>
        <w:jc w:val="both"/>
        <w:outlineLvl w:val="2"/>
        <w:rPr>
          <w:rFonts w:ascii="Arial" w:hAnsi="Arial" w:cs="Arial"/>
          <w:lang w:val="es-ES"/>
        </w:rPr>
      </w:pPr>
    </w:p>
    <w:p w14:paraId="313AFD31" w14:textId="77777777" w:rsidR="00695C90" w:rsidRPr="00695C90" w:rsidRDefault="00695C90" w:rsidP="00695C90">
      <w:pPr>
        <w:rPr>
          <w:rFonts w:ascii="Arial" w:hAnsi="Arial" w:cs="Arial"/>
          <w:b/>
          <w:sz w:val="22"/>
          <w:lang w:val="es-ES"/>
        </w:rPr>
      </w:pPr>
      <w:r w:rsidRPr="00695C90">
        <w:rPr>
          <w:rFonts w:ascii="Arial" w:hAnsi="Arial" w:cs="Arial"/>
          <w:b/>
          <w:sz w:val="22"/>
          <w:lang w:val="es-ES"/>
        </w:rPr>
        <w:t>Cronograma de ejecución de las actividades de Reasentamiento</w:t>
      </w:r>
    </w:p>
    <w:p w14:paraId="3F1008E2" w14:textId="77777777" w:rsidR="00695C90" w:rsidRPr="00695C90" w:rsidRDefault="00695C90" w:rsidP="00695C90">
      <w:pPr>
        <w:rPr>
          <w:rFonts w:ascii="Arial" w:hAnsi="Arial" w:cs="Arial"/>
          <w:b/>
          <w:lang w:val="es-ES"/>
        </w:rPr>
      </w:pPr>
    </w:p>
    <w:p w14:paraId="653195E6"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 xml:space="preserve">La ejecución de las actividades de reasentamiento estará vinculada a la ejecución del componente de inversión del proyecto, con el fin de que el desplazamiento o la restricción del acceso no se produzcan antes de que se hayan establecido las medidas necesarias para el reasentamiento. </w:t>
      </w:r>
    </w:p>
    <w:p w14:paraId="3A50838E" w14:textId="77777777" w:rsidR="00695C90" w:rsidRPr="00695C90" w:rsidRDefault="00695C90" w:rsidP="00695C90">
      <w:pPr>
        <w:ind w:left="360"/>
        <w:jc w:val="both"/>
        <w:rPr>
          <w:rFonts w:ascii="Arial" w:hAnsi="Arial" w:cs="Arial"/>
          <w:sz w:val="22"/>
          <w:szCs w:val="22"/>
          <w:lang w:val="es-ES"/>
        </w:rPr>
      </w:pPr>
    </w:p>
    <w:p w14:paraId="3DD3A0C0"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En particular, la privación de tierras y otros activos conexos sólo podrá ocurrir una vez que se haya pagado la indemnización y, cuando corresponda, una vez que se hayan proporcionado sitios de reasentamiento y subsidios de traslado a las personas desplazadas.</w:t>
      </w:r>
    </w:p>
    <w:p w14:paraId="7ACAA822" w14:textId="77777777" w:rsidR="00695C90" w:rsidRPr="00695C90" w:rsidRDefault="00695C90" w:rsidP="00695C90">
      <w:pPr>
        <w:rPr>
          <w:rFonts w:ascii="Arial" w:hAnsi="Arial" w:cs="Arial"/>
          <w:b/>
          <w:lang w:val="es-ES"/>
        </w:rPr>
      </w:pPr>
    </w:p>
    <w:p w14:paraId="4BA11E02" w14:textId="77777777" w:rsidR="00695C90" w:rsidRPr="00695C90" w:rsidRDefault="00695C90" w:rsidP="00695C90">
      <w:pPr>
        <w:rPr>
          <w:rFonts w:ascii="Arial" w:hAnsi="Arial" w:cs="Arial"/>
          <w:b/>
          <w:sz w:val="22"/>
          <w:lang w:val="es-ES"/>
        </w:rPr>
      </w:pPr>
      <w:r w:rsidRPr="00695C90">
        <w:rPr>
          <w:rFonts w:ascii="Arial" w:hAnsi="Arial" w:cs="Arial"/>
          <w:b/>
          <w:sz w:val="22"/>
          <w:lang w:val="es-ES"/>
        </w:rPr>
        <w:t>Seguimiento y Monitoreo de los Planes de Reasentamiento Involuntario</w:t>
      </w:r>
    </w:p>
    <w:p w14:paraId="7F08FDBA" w14:textId="77777777" w:rsidR="00695C90" w:rsidRPr="00695C90" w:rsidRDefault="00695C90" w:rsidP="00695C90">
      <w:pPr>
        <w:rPr>
          <w:rFonts w:ascii="Arial" w:hAnsi="Arial" w:cs="Arial"/>
          <w:b/>
          <w:lang w:val="es-ES"/>
        </w:rPr>
      </w:pPr>
    </w:p>
    <w:p w14:paraId="16FAC1F5"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La UEP será el responsable del seguimiento y ejecución de las siguientes medidas de monitoreo:</w:t>
      </w:r>
    </w:p>
    <w:p w14:paraId="2CEF915F"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22" w:name="_Toc305144441"/>
      <w:bookmarkStart w:id="323" w:name="_Toc305145325"/>
      <w:bookmarkStart w:id="324" w:name="_Toc305145607"/>
      <w:bookmarkStart w:id="325" w:name="_Toc305145891"/>
      <w:bookmarkStart w:id="326" w:name="_Toc306963433"/>
      <w:r w:rsidRPr="00695C90">
        <w:rPr>
          <w:rFonts w:ascii="Arial" w:hAnsi="Arial" w:cs="Arial"/>
          <w:sz w:val="22"/>
          <w:szCs w:val="24"/>
          <w:lang w:val="es-ES" w:eastAsia="es-ES_tradnl"/>
        </w:rPr>
        <w:t>Efectuar un seguimiento mensual de la implementación del PRI, haciendo los ajustes necesarios del plan y del cronograma que permitan mantener los objetivos generales.</w:t>
      </w:r>
      <w:bookmarkEnd w:id="322"/>
      <w:bookmarkEnd w:id="323"/>
      <w:bookmarkEnd w:id="324"/>
      <w:bookmarkEnd w:id="325"/>
      <w:bookmarkEnd w:id="326"/>
    </w:p>
    <w:p w14:paraId="7DA8BA48"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27" w:name="_Toc305144442"/>
      <w:bookmarkStart w:id="328" w:name="_Toc305145326"/>
      <w:bookmarkStart w:id="329" w:name="_Toc305145608"/>
      <w:bookmarkStart w:id="330" w:name="_Toc305145892"/>
      <w:bookmarkStart w:id="331" w:name="_Toc306963434"/>
      <w:r w:rsidRPr="00695C90">
        <w:rPr>
          <w:rFonts w:ascii="Arial" w:hAnsi="Arial" w:cs="Arial"/>
          <w:sz w:val="22"/>
          <w:szCs w:val="24"/>
          <w:lang w:val="es-ES" w:eastAsia="es-ES_tradnl"/>
        </w:rPr>
        <w:t>Monitorear, después del reasentamiento físico, la implementación de los programas de apoyo según lo previsto en cada uno de ellos.</w:t>
      </w:r>
      <w:bookmarkEnd w:id="327"/>
      <w:bookmarkEnd w:id="328"/>
      <w:bookmarkEnd w:id="329"/>
      <w:bookmarkEnd w:id="330"/>
      <w:bookmarkEnd w:id="331"/>
    </w:p>
    <w:p w14:paraId="4CFF5504"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32" w:name="_Toc305144443"/>
      <w:bookmarkStart w:id="333" w:name="_Toc305145327"/>
      <w:bookmarkStart w:id="334" w:name="_Toc305145609"/>
      <w:bookmarkStart w:id="335" w:name="_Toc305145893"/>
      <w:bookmarkStart w:id="336" w:name="_Toc306963435"/>
      <w:r w:rsidRPr="00695C90">
        <w:rPr>
          <w:rFonts w:ascii="Arial" w:hAnsi="Arial" w:cs="Arial"/>
          <w:sz w:val="22"/>
          <w:szCs w:val="24"/>
          <w:lang w:val="es-ES" w:eastAsia="es-ES_tradnl"/>
        </w:rPr>
        <w:t>Realizar una auditoría externa del plan de reubicación si lo considera necesario.</w:t>
      </w:r>
      <w:bookmarkEnd w:id="332"/>
      <w:bookmarkEnd w:id="333"/>
      <w:bookmarkEnd w:id="334"/>
      <w:bookmarkEnd w:id="335"/>
      <w:bookmarkEnd w:id="336"/>
    </w:p>
    <w:p w14:paraId="7A6D53D7"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37" w:name="_Toc305144444"/>
      <w:bookmarkStart w:id="338" w:name="_Toc305145328"/>
      <w:bookmarkStart w:id="339" w:name="_Toc305145610"/>
      <w:bookmarkStart w:id="340" w:name="_Toc305145894"/>
      <w:bookmarkStart w:id="341" w:name="_Toc306963436"/>
      <w:r w:rsidRPr="00695C90">
        <w:rPr>
          <w:rFonts w:ascii="Arial" w:hAnsi="Arial" w:cs="Arial"/>
          <w:sz w:val="22"/>
          <w:szCs w:val="24"/>
          <w:lang w:val="es-ES" w:eastAsia="es-ES_tradnl"/>
        </w:rPr>
        <w:t>Evaluar mensualmente durante seis meses la situación y bienestar de la población afectada, establecer un plazo de seguimiento hasta que su bienestar se estabilice, y monitorear el restablecimiento de los ingresos y reposición de los bienes perdidos.</w:t>
      </w:r>
      <w:bookmarkEnd w:id="337"/>
      <w:bookmarkEnd w:id="338"/>
      <w:bookmarkEnd w:id="339"/>
      <w:bookmarkEnd w:id="340"/>
      <w:bookmarkEnd w:id="341"/>
    </w:p>
    <w:p w14:paraId="4F3653B1" w14:textId="77777777" w:rsidR="00695C90" w:rsidRPr="00695C90" w:rsidRDefault="00695C90" w:rsidP="00695C90">
      <w:pPr>
        <w:numPr>
          <w:ilvl w:val="0"/>
          <w:numId w:val="61"/>
        </w:numPr>
        <w:spacing w:before="120" w:after="120"/>
        <w:jc w:val="both"/>
        <w:outlineLvl w:val="2"/>
        <w:rPr>
          <w:rFonts w:ascii="Arial" w:hAnsi="Arial" w:cs="Arial"/>
          <w:sz w:val="22"/>
          <w:szCs w:val="24"/>
          <w:lang w:val="es-ES" w:eastAsia="es-ES_tradnl"/>
        </w:rPr>
      </w:pPr>
      <w:bookmarkStart w:id="342" w:name="_Toc305144445"/>
      <w:bookmarkStart w:id="343" w:name="_Toc305145329"/>
      <w:bookmarkStart w:id="344" w:name="_Toc305145611"/>
      <w:bookmarkStart w:id="345" w:name="_Toc305145895"/>
      <w:bookmarkStart w:id="346" w:name="_Toc306963437"/>
      <w:r w:rsidRPr="00695C90">
        <w:rPr>
          <w:rFonts w:ascii="Arial" w:hAnsi="Arial" w:cs="Arial"/>
          <w:sz w:val="22"/>
          <w:szCs w:val="24"/>
          <w:lang w:val="es-ES" w:eastAsia="es-ES_tradnl"/>
        </w:rPr>
        <w:t>Llevar a cabo evaluaciones anuales de la situación socioeconómica de la población afectada por el reasentamiento y los resultados de restablecimiento conforme con los indicadores establecidos para ello.</w:t>
      </w:r>
      <w:bookmarkEnd w:id="342"/>
      <w:bookmarkEnd w:id="343"/>
      <w:bookmarkEnd w:id="344"/>
      <w:bookmarkEnd w:id="345"/>
      <w:bookmarkEnd w:id="346"/>
    </w:p>
    <w:p w14:paraId="72359F6A" w14:textId="77777777" w:rsidR="00695C90" w:rsidRPr="00695C90" w:rsidRDefault="00695C90" w:rsidP="00695C90">
      <w:pPr>
        <w:rPr>
          <w:rFonts w:ascii="Arial" w:hAnsi="Arial" w:cs="Arial"/>
          <w:b/>
          <w:lang w:val="es-ES"/>
        </w:rPr>
      </w:pPr>
    </w:p>
    <w:p w14:paraId="0E3197DA" w14:textId="77777777" w:rsidR="00695C90" w:rsidRPr="00695C90" w:rsidRDefault="00695C90" w:rsidP="00695C90">
      <w:pPr>
        <w:rPr>
          <w:rFonts w:ascii="Arial" w:hAnsi="Arial" w:cs="Arial"/>
          <w:b/>
          <w:sz w:val="22"/>
        </w:rPr>
      </w:pPr>
      <w:r w:rsidRPr="00695C90">
        <w:rPr>
          <w:rFonts w:ascii="Arial" w:hAnsi="Arial" w:cs="Arial"/>
          <w:b/>
          <w:sz w:val="22"/>
        </w:rPr>
        <w:t>Reclamos y Quejas</w:t>
      </w:r>
    </w:p>
    <w:p w14:paraId="1F9B40DE" w14:textId="77777777" w:rsidR="00695C90" w:rsidRPr="00695C90" w:rsidRDefault="00695C90" w:rsidP="00695C90">
      <w:pPr>
        <w:rPr>
          <w:rFonts w:ascii="Arial" w:hAnsi="Arial" w:cs="Arial"/>
          <w:b/>
        </w:rPr>
      </w:pPr>
    </w:p>
    <w:p w14:paraId="221440BE" w14:textId="77777777" w:rsidR="00695C90" w:rsidRPr="00695C90" w:rsidRDefault="00695C90" w:rsidP="00695C90">
      <w:pPr>
        <w:numPr>
          <w:ilvl w:val="0"/>
          <w:numId w:val="60"/>
        </w:numPr>
        <w:jc w:val="both"/>
        <w:rPr>
          <w:rFonts w:ascii="Arial" w:hAnsi="Arial" w:cs="Arial"/>
          <w:sz w:val="22"/>
          <w:szCs w:val="22"/>
          <w:lang w:val="es-ES"/>
        </w:rPr>
      </w:pPr>
      <w:r w:rsidRPr="00695C90">
        <w:rPr>
          <w:rFonts w:ascii="Arial" w:hAnsi="Arial" w:cs="Arial"/>
          <w:sz w:val="22"/>
          <w:szCs w:val="22"/>
          <w:lang w:val="es-ES"/>
        </w:rPr>
        <w:t>Las UEP establecerán y divulgarán procedimientos para atender y canalizar las quejas y conflictos que se reciban y registren, procurando que estos se diluciden en el ámbito local con la participación de las autoridades y las organizaciones comunitarias, mediante negociaciones que logren consenso.</w:t>
      </w:r>
    </w:p>
    <w:p w14:paraId="7E04866C" w14:textId="77777777" w:rsidR="00695C90" w:rsidRPr="00695C90" w:rsidRDefault="00695C90" w:rsidP="00695C90">
      <w:pPr>
        <w:ind w:left="360"/>
        <w:jc w:val="both"/>
        <w:rPr>
          <w:rFonts w:ascii="Arial" w:hAnsi="Arial" w:cs="Arial"/>
          <w:sz w:val="22"/>
          <w:szCs w:val="22"/>
          <w:lang w:val="es-ES"/>
        </w:rPr>
      </w:pPr>
    </w:p>
    <w:p w14:paraId="0EA5CF6E" w14:textId="77777777" w:rsidR="00695C90" w:rsidRPr="00695C90" w:rsidRDefault="00695C90" w:rsidP="00695C90">
      <w:pPr>
        <w:numPr>
          <w:ilvl w:val="0"/>
          <w:numId w:val="60"/>
        </w:numPr>
        <w:jc w:val="both"/>
        <w:rPr>
          <w:rFonts w:ascii="Arial" w:hAnsi="Arial" w:cs="Arial"/>
          <w:lang w:val="es-ES_tradnl"/>
        </w:rPr>
      </w:pPr>
      <w:r w:rsidRPr="00695C90">
        <w:rPr>
          <w:rFonts w:ascii="Arial" w:hAnsi="Arial" w:cs="Arial"/>
          <w:sz w:val="22"/>
          <w:szCs w:val="22"/>
          <w:lang w:val="es-ES"/>
        </w:rPr>
        <w:t xml:space="preserve">De no lograrse acuerdos en este ámbito y no prosperar los mecanismos de conciliación, se recurrirá a los procedimientos que contemple la legislación. </w:t>
      </w:r>
    </w:p>
    <w:p w14:paraId="0A135B8C" w14:textId="77777777" w:rsidR="00695C90" w:rsidRPr="00695C90" w:rsidRDefault="00695C90" w:rsidP="00695C90">
      <w:pPr>
        <w:ind w:left="720"/>
        <w:rPr>
          <w:rFonts w:ascii="Arial" w:eastAsia="Calibri" w:hAnsi="Arial" w:cs="Arial"/>
          <w:sz w:val="24"/>
          <w:szCs w:val="24"/>
          <w:lang w:val="es-ES_tradnl"/>
        </w:rPr>
      </w:pPr>
    </w:p>
    <w:p w14:paraId="23ABC042" w14:textId="77777777" w:rsidR="00695C90" w:rsidRPr="00695C90" w:rsidRDefault="00695C90" w:rsidP="00695C90">
      <w:pPr>
        <w:jc w:val="both"/>
        <w:rPr>
          <w:rFonts w:ascii="Arial" w:hAnsi="Arial" w:cs="Arial"/>
          <w:lang w:val="es-ES_tradnl"/>
        </w:rPr>
      </w:pPr>
    </w:p>
    <w:p w14:paraId="0EFB78E0" w14:textId="77777777" w:rsidR="00695C90" w:rsidRPr="00695C90" w:rsidRDefault="00695C90" w:rsidP="00695C90">
      <w:pPr>
        <w:jc w:val="both"/>
        <w:rPr>
          <w:rFonts w:ascii="Arial" w:hAnsi="Arial" w:cs="Arial"/>
          <w:lang w:val="es-ES_tradnl"/>
        </w:rPr>
      </w:pPr>
    </w:p>
    <w:p w14:paraId="6058D522" w14:textId="77777777" w:rsidR="00695C90" w:rsidRPr="00695C90" w:rsidRDefault="00695C90" w:rsidP="00695C90">
      <w:pPr>
        <w:jc w:val="both"/>
        <w:rPr>
          <w:rFonts w:ascii="Arial" w:hAnsi="Arial" w:cs="Arial"/>
          <w:lang w:val="es-ES_tradnl"/>
        </w:rPr>
      </w:pPr>
    </w:p>
    <w:p w14:paraId="4AF55630" w14:textId="77777777" w:rsidR="00695C90" w:rsidRPr="00695C90" w:rsidRDefault="00695C90" w:rsidP="00695C90">
      <w:pPr>
        <w:numPr>
          <w:ilvl w:val="0"/>
          <w:numId w:val="4"/>
        </w:numPr>
        <w:spacing w:before="120" w:after="120"/>
        <w:jc w:val="center"/>
        <w:rPr>
          <w:rFonts w:ascii="Arial" w:hAnsi="Arial" w:cs="Arial"/>
          <w:b/>
          <w:bCs/>
          <w:sz w:val="22"/>
          <w:szCs w:val="24"/>
          <w:lang w:val="es-AR" w:eastAsia="es-ES"/>
        </w:rPr>
      </w:pPr>
      <w:bookmarkStart w:id="347" w:name="_Toc323923095"/>
    </w:p>
    <w:p w14:paraId="40F84B4D" w14:textId="77777777" w:rsidR="00695C90" w:rsidRPr="00695C90" w:rsidRDefault="00695C90" w:rsidP="00695C90">
      <w:pPr>
        <w:numPr>
          <w:ilvl w:val="0"/>
          <w:numId w:val="4"/>
        </w:numPr>
        <w:spacing w:before="120" w:after="120"/>
        <w:jc w:val="center"/>
        <w:rPr>
          <w:rFonts w:ascii="Arial" w:hAnsi="Arial" w:cs="Arial"/>
          <w:b/>
          <w:bCs/>
          <w:sz w:val="22"/>
          <w:szCs w:val="24"/>
          <w:lang w:val="es-AR" w:eastAsia="es-ES"/>
        </w:rPr>
      </w:pPr>
    </w:p>
    <w:p w14:paraId="106D96FA" w14:textId="77777777" w:rsidR="00695C90" w:rsidRPr="00695C90" w:rsidRDefault="00695C90" w:rsidP="00695C90">
      <w:pPr>
        <w:numPr>
          <w:ilvl w:val="0"/>
          <w:numId w:val="4"/>
        </w:numPr>
        <w:spacing w:before="120" w:after="120"/>
        <w:jc w:val="center"/>
        <w:rPr>
          <w:rFonts w:ascii="Arial" w:hAnsi="Arial" w:cs="Arial"/>
          <w:b/>
          <w:bCs/>
          <w:sz w:val="22"/>
          <w:szCs w:val="24"/>
          <w:lang w:val="es-AR" w:eastAsia="es-ES"/>
        </w:rPr>
      </w:pPr>
    </w:p>
    <w:p w14:paraId="5745ABAB" w14:textId="77777777" w:rsidR="00695C90" w:rsidRPr="00695C90" w:rsidRDefault="00695C90" w:rsidP="00695C90">
      <w:pPr>
        <w:numPr>
          <w:ilvl w:val="0"/>
          <w:numId w:val="4"/>
        </w:numPr>
        <w:spacing w:before="120" w:after="120"/>
        <w:jc w:val="center"/>
        <w:rPr>
          <w:rFonts w:ascii="Arial" w:hAnsi="Arial" w:cs="Arial"/>
          <w:b/>
          <w:bCs/>
          <w:sz w:val="22"/>
          <w:szCs w:val="24"/>
          <w:lang w:val="es-AR" w:eastAsia="es-ES"/>
        </w:rPr>
      </w:pPr>
    </w:p>
    <w:p w14:paraId="26D79777" w14:textId="77777777" w:rsidR="00695C90" w:rsidRPr="00695C90" w:rsidRDefault="00695C90" w:rsidP="00695C90">
      <w:pPr>
        <w:numPr>
          <w:ilvl w:val="0"/>
          <w:numId w:val="4"/>
        </w:numPr>
        <w:spacing w:before="120" w:after="120"/>
        <w:jc w:val="center"/>
        <w:rPr>
          <w:rFonts w:ascii="Arial" w:hAnsi="Arial" w:cs="Arial"/>
          <w:b/>
          <w:bCs/>
          <w:sz w:val="22"/>
          <w:szCs w:val="24"/>
          <w:lang w:val="es-AR" w:eastAsia="es-ES"/>
        </w:rPr>
      </w:pPr>
    </w:p>
    <w:p w14:paraId="37DA69A0" w14:textId="77777777" w:rsidR="00695C90" w:rsidRPr="00695C90" w:rsidRDefault="00695C90" w:rsidP="00695C90">
      <w:pPr>
        <w:numPr>
          <w:ilvl w:val="0"/>
          <w:numId w:val="4"/>
        </w:numPr>
        <w:spacing w:before="120" w:after="120"/>
        <w:rPr>
          <w:rFonts w:ascii="Arial" w:hAnsi="Arial" w:cs="Arial"/>
          <w:b/>
          <w:bCs/>
          <w:sz w:val="22"/>
          <w:szCs w:val="24"/>
          <w:lang w:val="es-AR" w:eastAsia="es-ES"/>
        </w:rPr>
      </w:pPr>
    </w:p>
    <w:p w14:paraId="5112FE35" w14:textId="77777777" w:rsidR="00695C90" w:rsidRPr="00695C90" w:rsidRDefault="00695C90" w:rsidP="00695C90">
      <w:pPr>
        <w:rPr>
          <w:lang w:val="es-AR" w:eastAsia="es-ES"/>
        </w:rPr>
      </w:pPr>
    </w:p>
    <w:p w14:paraId="60AF2459" w14:textId="77777777" w:rsidR="00695C90" w:rsidRPr="00695C90" w:rsidRDefault="00695C90" w:rsidP="00695C90">
      <w:pPr>
        <w:rPr>
          <w:lang w:val="es-AR" w:eastAsia="es-ES"/>
        </w:rPr>
      </w:pPr>
    </w:p>
    <w:p w14:paraId="3A125628" w14:textId="77777777" w:rsidR="00695C90" w:rsidRPr="00695C90" w:rsidRDefault="00695C90" w:rsidP="00695C90">
      <w:pPr>
        <w:rPr>
          <w:lang w:val="es-AR" w:eastAsia="es-ES"/>
        </w:rPr>
      </w:pPr>
    </w:p>
    <w:p w14:paraId="6C7FFE9E" w14:textId="199B6939" w:rsidR="00695C90" w:rsidRPr="00695C90" w:rsidRDefault="00695C90" w:rsidP="00695C90">
      <w:pPr>
        <w:shd w:val="clear" w:color="auto" w:fill="D9D9D9"/>
        <w:jc w:val="center"/>
        <w:rPr>
          <w:rFonts w:ascii="Arial" w:hAnsi="Arial" w:cs="Arial"/>
          <w:b/>
          <w:bCs/>
          <w:sz w:val="24"/>
          <w:szCs w:val="24"/>
        </w:rPr>
      </w:pPr>
      <w:r w:rsidRPr="00695C90">
        <w:rPr>
          <w:rFonts w:ascii="Arial" w:hAnsi="Arial" w:cs="Arial"/>
          <w:b/>
          <w:bCs/>
          <w:sz w:val="24"/>
          <w:szCs w:val="24"/>
        </w:rPr>
        <w:t xml:space="preserve">Anexo </w:t>
      </w:r>
      <w:r>
        <w:rPr>
          <w:rFonts w:ascii="Arial" w:hAnsi="Arial" w:cs="Arial"/>
          <w:b/>
          <w:bCs/>
          <w:sz w:val="24"/>
          <w:szCs w:val="24"/>
        </w:rPr>
        <w:t>C</w:t>
      </w:r>
      <w:r w:rsidRPr="00695C90">
        <w:rPr>
          <w:rFonts w:ascii="Arial" w:hAnsi="Arial" w:cs="Arial"/>
          <w:b/>
          <w:bCs/>
          <w:sz w:val="24"/>
          <w:szCs w:val="24"/>
        </w:rPr>
        <w:t>. Marco para Pueblos Indígenas</w:t>
      </w:r>
    </w:p>
    <w:p w14:paraId="0557D52F" w14:textId="77777777" w:rsidR="00695C90" w:rsidRPr="00695C90" w:rsidRDefault="00695C90" w:rsidP="00695C90">
      <w:pPr>
        <w:numPr>
          <w:ilvl w:val="0"/>
          <w:numId w:val="4"/>
        </w:numPr>
        <w:spacing w:before="120" w:after="120"/>
        <w:jc w:val="center"/>
        <w:rPr>
          <w:rFonts w:ascii="Arial" w:hAnsi="Arial" w:cs="Arial"/>
          <w:bCs/>
          <w:sz w:val="22"/>
          <w:szCs w:val="24"/>
          <w:lang w:val="es-AR" w:eastAsia="es-ES"/>
        </w:rPr>
      </w:pPr>
      <w:r w:rsidRPr="00695C90">
        <w:rPr>
          <w:rFonts w:ascii="Arial" w:hAnsi="Arial" w:cs="Arial"/>
          <w:bCs/>
          <w:sz w:val="22"/>
          <w:szCs w:val="24"/>
          <w:lang w:val="es-AR" w:eastAsia="es-ES"/>
        </w:rPr>
        <w:t>Lineamientos generales para la preparación de Planes de Pueblos Indígenas PPI)</w:t>
      </w:r>
      <w:bookmarkEnd w:id="347"/>
      <w:r w:rsidRPr="00695C90">
        <w:rPr>
          <w:rFonts w:ascii="Arial" w:hAnsi="Arial" w:cs="Arial"/>
          <w:bCs/>
          <w:sz w:val="22"/>
          <w:szCs w:val="24"/>
          <w:lang w:val="es-AR" w:eastAsia="es-ES"/>
        </w:rPr>
        <w:t xml:space="preserve"> </w:t>
      </w:r>
    </w:p>
    <w:p w14:paraId="159A2134" w14:textId="77777777" w:rsidR="00695C90" w:rsidRPr="00695C90" w:rsidRDefault="00695C90" w:rsidP="00695C90">
      <w:pPr>
        <w:spacing w:before="120" w:after="120"/>
        <w:ind w:left="720"/>
        <w:jc w:val="both"/>
        <w:outlineLvl w:val="1"/>
        <w:rPr>
          <w:rFonts w:ascii="Arial" w:hAnsi="Arial" w:cs="Arial"/>
          <w:sz w:val="24"/>
          <w:szCs w:val="24"/>
          <w:lang w:val="es-ES_tradnl"/>
        </w:rPr>
      </w:pPr>
    </w:p>
    <w:p w14:paraId="54F8730C"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 xml:space="preserve">En el caso que se identifique presencia de pueblos originarios/indígenas en el área de influencia de algún proyecto y que las actividades de éste afecten o contemplen la realización de actividades con pueblos originarios/indígenas, la EE/EPDA/UEP deberá formular como parte del PGAS un Anexo a la EIAS del proyecto una propuesta preliminar del Plan de Pueblos originarios/indígenas (PPO/PPI), el cual la Provincia deberá completar como Plan de Pueblos Indígenas definitivo una vez aprobado el préstamo. </w:t>
      </w:r>
    </w:p>
    <w:p w14:paraId="5A62852D" w14:textId="77777777" w:rsidR="00695C90" w:rsidRPr="00695C90" w:rsidRDefault="00695C90" w:rsidP="00695C90">
      <w:pPr>
        <w:jc w:val="both"/>
        <w:rPr>
          <w:rFonts w:ascii="Arial" w:hAnsi="Arial" w:cs="Arial"/>
          <w:sz w:val="22"/>
          <w:szCs w:val="22"/>
          <w:lang w:val="es-ES"/>
        </w:rPr>
      </w:pPr>
    </w:p>
    <w:p w14:paraId="109BE5D1"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El objetivo de los Planes de Pueblos Originarios/Indígenas es asegurar que las actividades de los proyectos que los involucren se lleven a cabo con absoluto respeto de la dignidad, derechos humanos, economías y culturas de los pueblos originarios/indígenas involucrados y también para que éstos tengan mayores oportunidades para recibir beneficios socio económicos que sean culturalmente apropiados e inclusivos desde el punto de vista intergeneracional y de género.</w:t>
      </w:r>
    </w:p>
    <w:p w14:paraId="47CC4DEE" w14:textId="77777777" w:rsidR="00695C90" w:rsidRPr="00695C90" w:rsidRDefault="00695C90" w:rsidP="00695C90">
      <w:pPr>
        <w:ind w:left="360"/>
        <w:jc w:val="both"/>
        <w:rPr>
          <w:rFonts w:ascii="Arial" w:hAnsi="Arial" w:cs="Arial"/>
          <w:sz w:val="22"/>
          <w:szCs w:val="22"/>
          <w:lang w:val="es-ES"/>
        </w:rPr>
      </w:pPr>
    </w:p>
    <w:p w14:paraId="03D6767C"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 xml:space="preserve">Los PPO/PPI deben establecer las medidas que se adoptarán para asegurar que: a) los pueblos originarios/indígenas involucrados en el proyecto reciban beneficios sociales y económicos apropiados desde el punto de vista cultural, y b) si se identifican posibles efectos adversos sobre los mismos, dichos efectos se eviten, se reduzcan lo más posible, se mitiguen o se compensen. </w:t>
      </w:r>
    </w:p>
    <w:p w14:paraId="558C306A" w14:textId="77777777" w:rsidR="00695C90" w:rsidRPr="00695C90" w:rsidRDefault="00695C90" w:rsidP="00695C90">
      <w:pPr>
        <w:ind w:left="360"/>
        <w:jc w:val="both"/>
        <w:rPr>
          <w:rFonts w:ascii="Arial" w:hAnsi="Arial" w:cs="Arial"/>
          <w:sz w:val="22"/>
          <w:szCs w:val="22"/>
          <w:lang w:val="es-ES"/>
        </w:rPr>
      </w:pPr>
    </w:p>
    <w:p w14:paraId="7E2A2347"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Es recomendable la contratación de consultores especializados para asesorar en el diseño de los PPO/PPI y para promover la relación y comunicación con las comunidades involucradas.</w:t>
      </w:r>
    </w:p>
    <w:p w14:paraId="319853A7" w14:textId="77777777" w:rsidR="00695C90" w:rsidRPr="00695C90" w:rsidRDefault="00695C90" w:rsidP="00695C90">
      <w:pPr>
        <w:ind w:left="360"/>
        <w:jc w:val="both"/>
        <w:rPr>
          <w:rFonts w:ascii="Arial" w:hAnsi="Arial" w:cs="Arial"/>
          <w:sz w:val="22"/>
          <w:szCs w:val="22"/>
          <w:lang w:val="es-ES"/>
        </w:rPr>
      </w:pPr>
    </w:p>
    <w:p w14:paraId="3BCE070F"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La responsabilidad institucional primaria por la confección y aplicación de los PPI corresponde a cada uno de los concesionarios bajo la supervisión de la Ejecutora del Proyecto. En todas las provincias existe vasta experiencia para dar respuesta a las necesidades y demandas del pueblo originario/indígena, ya sea a través de organismos de gobierno específicos o de estrategias políticas de diferentes áreas orientadas a esta población. El BID asesorará a la UE en lineamientos para la formulación, ejecución y monitoreo de los PPI.</w:t>
      </w:r>
    </w:p>
    <w:p w14:paraId="69F198AC" w14:textId="77777777" w:rsidR="00695C90" w:rsidRPr="00695C90" w:rsidRDefault="00695C90" w:rsidP="00695C90">
      <w:pPr>
        <w:ind w:left="360"/>
        <w:jc w:val="both"/>
        <w:rPr>
          <w:rFonts w:ascii="Arial" w:hAnsi="Arial" w:cs="Arial"/>
          <w:lang w:val="es-ES"/>
        </w:rPr>
      </w:pPr>
    </w:p>
    <w:p w14:paraId="747AF099" w14:textId="77777777" w:rsidR="00695C90" w:rsidRPr="00695C90" w:rsidRDefault="00695C90" w:rsidP="00695C90">
      <w:pPr>
        <w:numPr>
          <w:ilvl w:val="0"/>
          <w:numId w:val="64"/>
        </w:numPr>
        <w:jc w:val="both"/>
        <w:rPr>
          <w:rFonts w:ascii="Arial" w:hAnsi="Arial" w:cs="Arial"/>
          <w:lang w:val="es-ES"/>
        </w:rPr>
      </w:pPr>
      <w:r w:rsidRPr="00695C90">
        <w:rPr>
          <w:rFonts w:ascii="Arial" w:hAnsi="Arial" w:cs="Arial"/>
          <w:sz w:val="22"/>
          <w:szCs w:val="22"/>
          <w:lang w:val="es-ES"/>
        </w:rPr>
        <w:t>El PPI de un proyecto contendrá como mínimo la siguiente información</w:t>
      </w:r>
      <w:r w:rsidRPr="00695C90">
        <w:rPr>
          <w:rFonts w:ascii="Arial" w:hAnsi="Arial" w:cs="Arial"/>
          <w:lang w:val="es-ES"/>
        </w:rPr>
        <w:t xml:space="preserve">: </w:t>
      </w:r>
    </w:p>
    <w:p w14:paraId="2B6D0FED" w14:textId="77777777" w:rsidR="00695C90" w:rsidRPr="00695C90" w:rsidRDefault="00695C90" w:rsidP="00695C90">
      <w:pPr>
        <w:spacing w:after="120"/>
        <w:ind w:left="993"/>
        <w:jc w:val="both"/>
        <w:outlineLvl w:val="2"/>
        <w:rPr>
          <w:rFonts w:ascii="Arial" w:hAnsi="Arial" w:cs="Arial"/>
          <w:sz w:val="22"/>
          <w:lang w:val="es-ES"/>
        </w:rPr>
      </w:pPr>
    </w:p>
    <w:p w14:paraId="1208B1C5" w14:textId="77777777" w:rsidR="00695C90" w:rsidRPr="00695C90" w:rsidRDefault="00695C90" w:rsidP="00695C90">
      <w:pPr>
        <w:spacing w:after="120"/>
        <w:ind w:left="993"/>
        <w:jc w:val="both"/>
        <w:outlineLvl w:val="2"/>
        <w:rPr>
          <w:rFonts w:ascii="Arial" w:hAnsi="Arial" w:cs="Arial"/>
          <w:sz w:val="22"/>
          <w:lang w:val="es-ES"/>
        </w:rPr>
      </w:pPr>
      <w:bookmarkStart w:id="348" w:name="_Toc305144400"/>
      <w:bookmarkStart w:id="349" w:name="_Toc305145284"/>
      <w:bookmarkStart w:id="350" w:name="_Toc305145566"/>
      <w:bookmarkStart w:id="351" w:name="_Toc305145850"/>
      <w:bookmarkStart w:id="352" w:name="_Toc306963392"/>
      <w:r w:rsidRPr="00695C90">
        <w:rPr>
          <w:rFonts w:ascii="Arial" w:hAnsi="Arial" w:cs="Arial"/>
          <w:sz w:val="22"/>
          <w:lang w:val="es-ES"/>
        </w:rPr>
        <w:t xml:space="preserve">• Evaluación Social: Se preparará una evaluación sociocultural que incluya las características demográficas, sociales y culturales de los </w:t>
      </w:r>
      <w:r w:rsidRPr="00695C90">
        <w:rPr>
          <w:rFonts w:ascii="Arial" w:hAnsi="Arial" w:cs="Arial"/>
          <w:sz w:val="22"/>
          <w:szCs w:val="22"/>
          <w:lang w:val="es-ES"/>
        </w:rPr>
        <w:t xml:space="preserve">pueblos originarios/indígenas </w:t>
      </w:r>
      <w:r w:rsidRPr="00695C90">
        <w:rPr>
          <w:rFonts w:ascii="Arial" w:hAnsi="Arial" w:cs="Arial"/>
          <w:sz w:val="22"/>
          <w:lang w:val="es-ES"/>
        </w:rPr>
        <w:t xml:space="preserve">involucrados. Determinación de los posibles efectos positivos o negativos del proyecto sobre los mismos, y examen de alternativas al proyecto cuando los efectos negativos puedan ser importantes. El alcance, la profundidad y el tipo de análisis practicado en la evaluación social serán proporcionales a la naturaleza y dimensión de los posibles efectos del proyecto sobre los </w:t>
      </w:r>
      <w:r w:rsidRPr="00695C90">
        <w:rPr>
          <w:rFonts w:ascii="Arial" w:hAnsi="Arial" w:cs="Arial"/>
          <w:sz w:val="22"/>
          <w:szCs w:val="22"/>
          <w:lang w:val="es-ES"/>
        </w:rPr>
        <w:t>pueblos originarios/indígenas</w:t>
      </w:r>
      <w:r w:rsidRPr="00695C90">
        <w:rPr>
          <w:rFonts w:ascii="Arial" w:hAnsi="Arial" w:cs="Arial"/>
          <w:sz w:val="22"/>
          <w:lang w:val="es-ES"/>
        </w:rPr>
        <w:t>, ya sean efectos positivos o negativos.</w:t>
      </w:r>
      <w:bookmarkEnd w:id="348"/>
      <w:bookmarkEnd w:id="349"/>
      <w:bookmarkEnd w:id="350"/>
      <w:bookmarkEnd w:id="351"/>
      <w:bookmarkEnd w:id="352"/>
    </w:p>
    <w:p w14:paraId="72988EA8" w14:textId="77777777" w:rsidR="00695C90" w:rsidRPr="00695C90" w:rsidRDefault="00695C90" w:rsidP="00695C90">
      <w:pPr>
        <w:spacing w:after="120"/>
        <w:ind w:left="993"/>
        <w:jc w:val="both"/>
        <w:outlineLvl w:val="2"/>
        <w:rPr>
          <w:rFonts w:ascii="Arial" w:hAnsi="Arial" w:cs="Arial"/>
          <w:sz w:val="22"/>
          <w:lang w:val="es-ES"/>
        </w:rPr>
      </w:pPr>
      <w:bookmarkStart w:id="353" w:name="_Toc305144401"/>
      <w:bookmarkStart w:id="354" w:name="_Toc305145285"/>
      <w:bookmarkStart w:id="355" w:name="_Toc305145567"/>
      <w:bookmarkStart w:id="356" w:name="_Toc305145851"/>
      <w:bookmarkStart w:id="357" w:name="_Toc306963393"/>
      <w:r w:rsidRPr="00695C90">
        <w:rPr>
          <w:rFonts w:ascii="Arial" w:hAnsi="Arial" w:cs="Arial"/>
          <w:sz w:val="22"/>
          <w:lang w:val="es-ES"/>
        </w:rPr>
        <w:t>• Un esquema que asegure que se lleven a cabo consultas previas, libres e informadas con los pueblos originarios/indígenas donde se presentarán los principales aspectos del proyecto, objetivos centrales, sus acciones y alcances, con especial énfasis en las adaptaciones culturales para las comunidades del plan de acción propuesto.</w:t>
      </w:r>
      <w:bookmarkEnd w:id="353"/>
      <w:bookmarkEnd w:id="354"/>
      <w:bookmarkEnd w:id="355"/>
      <w:bookmarkEnd w:id="356"/>
      <w:bookmarkEnd w:id="357"/>
      <w:r w:rsidRPr="00695C90">
        <w:rPr>
          <w:rFonts w:ascii="Arial" w:hAnsi="Arial" w:cs="Arial"/>
          <w:sz w:val="22"/>
          <w:lang w:val="es-ES"/>
        </w:rPr>
        <w:t xml:space="preserve"> </w:t>
      </w:r>
    </w:p>
    <w:p w14:paraId="61A5B6CB" w14:textId="77777777" w:rsidR="00695C90" w:rsidRPr="00695C90" w:rsidRDefault="00695C90" w:rsidP="00695C90">
      <w:pPr>
        <w:spacing w:after="120"/>
        <w:ind w:left="993"/>
        <w:jc w:val="both"/>
        <w:outlineLvl w:val="2"/>
        <w:rPr>
          <w:rFonts w:ascii="Arial" w:hAnsi="Arial" w:cs="Arial"/>
          <w:sz w:val="22"/>
          <w:lang w:val="es-ES"/>
        </w:rPr>
      </w:pPr>
      <w:bookmarkStart w:id="358" w:name="_Toc305144402"/>
      <w:bookmarkStart w:id="359" w:name="_Toc305145286"/>
      <w:bookmarkStart w:id="360" w:name="_Toc305145568"/>
      <w:bookmarkStart w:id="361" w:name="_Toc305145852"/>
      <w:bookmarkStart w:id="362" w:name="_Toc306963394"/>
      <w:r w:rsidRPr="00695C90">
        <w:rPr>
          <w:rFonts w:ascii="Arial" w:hAnsi="Arial" w:cs="Arial"/>
          <w:sz w:val="22"/>
          <w:lang w:val="es-ES"/>
        </w:rPr>
        <w:t>• En la preparación de los PPI se tendrán en cuenta las estrategias de difusión y comunicación específicas y adecuadas para los pueblos originarios/indígenas que garanticen el pleno conocimiento de las actividades del Proyecto. Al respecto se preverá: (i) elaboración de material en lengua originaria, (ii) capacitación de agentes para la comunicación y consulta con comunidades;</w:t>
      </w:r>
      <w:bookmarkEnd w:id="358"/>
      <w:bookmarkEnd w:id="359"/>
      <w:bookmarkEnd w:id="360"/>
      <w:bookmarkEnd w:id="361"/>
      <w:bookmarkEnd w:id="362"/>
    </w:p>
    <w:p w14:paraId="2D627C03" w14:textId="77777777" w:rsidR="00695C90" w:rsidRPr="00695C90" w:rsidRDefault="00695C90" w:rsidP="00695C90">
      <w:pPr>
        <w:spacing w:after="120"/>
        <w:ind w:left="993"/>
        <w:jc w:val="both"/>
        <w:outlineLvl w:val="2"/>
        <w:rPr>
          <w:rFonts w:ascii="Arial" w:hAnsi="Arial" w:cs="Arial"/>
          <w:sz w:val="22"/>
          <w:lang w:val="es-ES"/>
        </w:rPr>
      </w:pPr>
      <w:bookmarkStart w:id="363" w:name="_Toc305144403"/>
      <w:bookmarkStart w:id="364" w:name="_Toc305145287"/>
      <w:bookmarkStart w:id="365" w:name="_Toc305145569"/>
      <w:bookmarkStart w:id="366" w:name="_Toc305145853"/>
      <w:bookmarkStart w:id="367" w:name="_Toc306963395"/>
      <w:r w:rsidRPr="00695C90">
        <w:rPr>
          <w:rFonts w:ascii="Arial" w:hAnsi="Arial" w:cs="Arial"/>
          <w:sz w:val="22"/>
          <w:lang w:val="es-ES"/>
        </w:rPr>
        <w:t>• Un plan de acción con las medidas necesarias para asegurar que los pueblos originarios/indígenas obtengan beneficios sociales y económicos adecuados que incluya, en caso necesario, medidas para fortalecer la capacidad de la entidad ejecutora del proyecto. Dicho Plan de Acción deberá establecer las responsabilidades primarias respecto a las acciones involucradas, los sistemas de seguimiento y evaluación e informes a elaborar.</w:t>
      </w:r>
      <w:bookmarkEnd w:id="363"/>
      <w:bookmarkEnd w:id="364"/>
      <w:bookmarkEnd w:id="365"/>
      <w:bookmarkEnd w:id="366"/>
      <w:bookmarkEnd w:id="367"/>
    </w:p>
    <w:p w14:paraId="363C5901" w14:textId="77777777" w:rsidR="00695C90" w:rsidRPr="00695C90" w:rsidRDefault="00695C90" w:rsidP="00695C90">
      <w:pPr>
        <w:spacing w:after="120"/>
        <w:ind w:left="993"/>
        <w:jc w:val="both"/>
        <w:outlineLvl w:val="2"/>
        <w:rPr>
          <w:rFonts w:ascii="Arial" w:hAnsi="Arial" w:cs="Arial"/>
          <w:sz w:val="22"/>
          <w:lang w:val="es-ES"/>
        </w:rPr>
      </w:pPr>
      <w:bookmarkStart w:id="368" w:name="_Toc305144404"/>
      <w:bookmarkStart w:id="369" w:name="_Toc305145288"/>
      <w:bookmarkStart w:id="370" w:name="_Toc305145570"/>
      <w:bookmarkStart w:id="371" w:name="_Toc305145854"/>
      <w:bookmarkStart w:id="372" w:name="_Toc306963396"/>
      <w:r w:rsidRPr="00695C90">
        <w:rPr>
          <w:rFonts w:ascii="Arial" w:hAnsi="Arial" w:cs="Arial"/>
          <w:sz w:val="22"/>
          <w:lang w:val="es-ES"/>
        </w:rPr>
        <w:t>• Cuando se identifiquen posibles efectos negativos sobre los pueblos originarios/indígenas, un plan de acción adecuado con las medidas necesarias para evitar, reducir lo más posible, mitigar o compensar los efectos adversos.</w:t>
      </w:r>
      <w:bookmarkEnd w:id="368"/>
      <w:bookmarkEnd w:id="369"/>
      <w:bookmarkEnd w:id="370"/>
      <w:bookmarkEnd w:id="371"/>
      <w:bookmarkEnd w:id="372"/>
    </w:p>
    <w:p w14:paraId="442F5401" w14:textId="77777777" w:rsidR="00695C90" w:rsidRPr="00695C90" w:rsidRDefault="00695C90" w:rsidP="00695C90">
      <w:pPr>
        <w:spacing w:after="120"/>
        <w:ind w:left="993"/>
        <w:jc w:val="both"/>
        <w:outlineLvl w:val="2"/>
        <w:rPr>
          <w:rFonts w:ascii="Arial" w:hAnsi="Arial" w:cs="Arial"/>
          <w:sz w:val="22"/>
          <w:lang w:val="es-ES"/>
        </w:rPr>
      </w:pPr>
      <w:bookmarkStart w:id="373" w:name="_Toc305144405"/>
      <w:bookmarkStart w:id="374" w:name="_Toc305145289"/>
      <w:bookmarkStart w:id="375" w:name="_Toc305145571"/>
      <w:bookmarkStart w:id="376" w:name="_Toc305145855"/>
      <w:bookmarkStart w:id="377" w:name="_Toc306963397"/>
      <w:r w:rsidRPr="00695C90">
        <w:rPr>
          <w:rFonts w:ascii="Arial" w:hAnsi="Arial" w:cs="Arial"/>
          <w:sz w:val="22"/>
          <w:lang w:val="es-ES"/>
        </w:rPr>
        <w:t>• Las estimaciones de costos y el plan de financiamiento del PPI.</w:t>
      </w:r>
      <w:bookmarkEnd w:id="373"/>
      <w:bookmarkEnd w:id="374"/>
      <w:bookmarkEnd w:id="375"/>
      <w:bookmarkEnd w:id="376"/>
      <w:bookmarkEnd w:id="377"/>
    </w:p>
    <w:p w14:paraId="66B67FA1" w14:textId="77777777" w:rsidR="00695C90" w:rsidRPr="00695C90" w:rsidRDefault="00695C90" w:rsidP="00695C90">
      <w:pPr>
        <w:spacing w:after="120"/>
        <w:ind w:left="993"/>
        <w:jc w:val="both"/>
        <w:outlineLvl w:val="2"/>
        <w:rPr>
          <w:rFonts w:ascii="Arial" w:hAnsi="Arial" w:cs="Arial"/>
          <w:sz w:val="22"/>
          <w:lang w:val="es-ES"/>
        </w:rPr>
      </w:pPr>
      <w:bookmarkStart w:id="378" w:name="_Toc305144406"/>
      <w:bookmarkStart w:id="379" w:name="_Toc305145290"/>
      <w:bookmarkStart w:id="380" w:name="_Toc305145572"/>
      <w:bookmarkStart w:id="381" w:name="_Toc305145856"/>
      <w:bookmarkStart w:id="382" w:name="_Toc306963398"/>
      <w:r w:rsidRPr="00695C90">
        <w:rPr>
          <w:rFonts w:ascii="Arial" w:hAnsi="Arial" w:cs="Arial"/>
          <w:sz w:val="22"/>
          <w:lang w:val="es-ES"/>
        </w:rPr>
        <w:t>• Procedimientos accesibles adecuados al proyecto para resolver quejas de las comunidades involucradas durante la ejecución del proyecto.</w:t>
      </w:r>
      <w:bookmarkEnd w:id="378"/>
      <w:bookmarkEnd w:id="379"/>
      <w:bookmarkEnd w:id="380"/>
      <w:bookmarkEnd w:id="381"/>
      <w:bookmarkEnd w:id="382"/>
      <w:r w:rsidRPr="00695C90">
        <w:rPr>
          <w:rFonts w:ascii="Arial" w:hAnsi="Arial" w:cs="Arial"/>
          <w:sz w:val="22"/>
          <w:lang w:val="es-ES"/>
        </w:rPr>
        <w:t xml:space="preserve"> </w:t>
      </w:r>
    </w:p>
    <w:p w14:paraId="024B3875" w14:textId="77777777" w:rsidR="00695C90" w:rsidRPr="00695C90" w:rsidRDefault="00695C90" w:rsidP="00695C90">
      <w:pPr>
        <w:spacing w:after="120"/>
        <w:ind w:left="993"/>
        <w:jc w:val="both"/>
        <w:outlineLvl w:val="2"/>
        <w:rPr>
          <w:rFonts w:ascii="Arial" w:hAnsi="Arial" w:cs="Arial"/>
        </w:rPr>
      </w:pPr>
      <w:bookmarkStart w:id="383" w:name="_Toc305144407"/>
      <w:bookmarkStart w:id="384" w:name="_Toc305145291"/>
      <w:bookmarkStart w:id="385" w:name="_Toc305145573"/>
      <w:bookmarkStart w:id="386" w:name="_Toc305145857"/>
      <w:bookmarkStart w:id="387" w:name="_Toc306963399"/>
      <w:r w:rsidRPr="00695C90">
        <w:rPr>
          <w:rFonts w:ascii="Arial" w:hAnsi="Arial" w:cs="Arial"/>
          <w:sz w:val="22"/>
          <w:lang w:val="es-ES"/>
        </w:rPr>
        <w:t xml:space="preserve">• Plan de </w:t>
      </w:r>
      <w:r w:rsidRPr="00695C90">
        <w:rPr>
          <w:rFonts w:ascii="Arial" w:hAnsi="Arial" w:cs="Arial"/>
          <w:sz w:val="22"/>
          <w:szCs w:val="22"/>
          <w:lang w:val="es-ES"/>
        </w:rPr>
        <w:t xml:space="preserve">Reasentamiento </w:t>
      </w:r>
      <w:r w:rsidRPr="00695C90">
        <w:rPr>
          <w:rFonts w:ascii="Arial" w:hAnsi="Arial" w:cs="Arial"/>
          <w:sz w:val="22"/>
          <w:szCs w:val="22"/>
          <w:lang w:val="es-ES_tradnl"/>
        </w:rPr>
        <w:t>Involuntario</w:t>
      </w:r>
      <w:r w:rsidRPr="00695C90">
        <w:rPr>
          <w:rFonts w:ascii="Arial" w:hAnsi="Arial" w:cs="Arial"/>
          <w:sz w:val="22"/>
          <w:lang w:val="es-ES"/>
        </w:rPr>
        <w:t>. Si un proyecto implica el desplazamiento físico de Pueblos Originarios/Indígenas, deberá asegurarse específicamente que: a) se hayan estudiado otros posibles diseños del proyecto que permitan evitar el desplazamiento físico, y b) se haya obtenido amplio apoyo al mismo por parte de los pueblos indígenas afectadas, en el contexto del proceso de consulta previa, libre e informada. Se desarrollará un Plan de Reasentamiento conforme a lo establecido en los lineamientos correspondientes del ROP.</w:t>
      </w:r>
      <w:bookmarkEnd w:id="383"/>
      <w:bookmarkEnd w:id="384"/>
      <w:bookmarkEnd w:id="385"/>
      <w:bookmarkEnd w:id="386"/>
      <w:bookmarkEnd w:id="387"/>
    </w:p>
    <w:p w14:paraId="1AC18260"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lastRenderedPageBreak/>
        <w:t>Implementación de los Planes para Pueblos Indígenas</w:t>
      </w:r>
    </w:p>
    <w:p w14:paraId="0CB35441" w14:textId="77777777" w:rsidR="00695C90" w:rsidRPr="00695C90" w:rsidRDefault="00695C90" w:rsidP="00695C90">
      <w:pPr>
        <w:ind w:left="720"/>
        <w:jc w:val="both"/>
        <w:outlineLvl w:val="2"/>
        <w:rPr>
          <w:rFonts w:ascii="Arial" w:hAnsi="Arial" w:cs="Arial"/>
          <w:sz w:val="22"/>
          <w:lang w:val="es-ES"/>
        </w:rPr>
      </w:pPr>
    </w:p>
    <w:p w14:paraId="56B3EEA5" w14:textId="77777777" w:rsidR="00695C90" w:rsidRPr="00695C90" w:rsidRDefault="00695C90" w:rsidP="00695C90">
      <w:pPr>
        <w:numPr>
          <w:ilvl w:val="0"/>
          <w:numId w:val="63"/>
        </w:numPr>
        <w:jc w:val="both"/>
        <w:outlineLvl w:val="2"/>
        <w:rPr>
          <w:rFonts w:ascii="Arial" w:hAnsi="Arial" w:cs="Arial"/>
          <w:sz w:val="22"/>
          <w:lang w:val="es-ES"/>
        </w:rPr>
      </w:pPr>
      <w:bookmarkStart w:id="388" w:name="_Toc305144408"/>
      <w:bookmarkStart w:id="389" w:name="_Toc305145292"/>
      <w:bookmarkStart w:id="390" w:name="_Toc305145574"/>
      <w:bookmarkStart w:id="391" w:name="_Toc305145858"/>
      <w:bookmarkStart w:id="392" w:name="_Toc306963400"/>
      <w:r w:rsidRPr="00695C90">
        <w:rPr>
          <w:rFonts w:ascii="Arial" w:hAnsi="Arial" w:cs="Arial"/>
          <w:sz w:val="22"/>
          <w:lang w:val="es-ES"/>
        </w:rPr>
        <w:t xml:space="preserve">En el caso de los proyectos que involucren poblaciones indígenas, los EIAS de dichos proyectos incluirán la preparación de pueblos indígenas (PPI) y su ejecución corresponderá al responsable del proyecto bajo la supervisión de la Ejecutora del Proyecto. </w:t>
      </w:r>
      <w:bookmarkEnd w:id="388"/>
      <w:bookmarkEnd w:id="389"/>
      <w:bookmarkEnd w:id="390"/>
      <w:bookmarkEnd w:id="391"/>
      <w:bookmarkEnd w:id="392"/>
    </w:p>
    <w:p w14:paraId="4FD71026" w14:textId="77777777" w:rsidR="00695C90" w:rsidRPr="00695C90" w:rsidRDefault="00695C90" w:rsidP="00695C90">
      <w:pPr>
        <w:ind w:left="720"/>
        <w:jc w:val="both"/>
        <w:outlineLvl w:val="2"/>
        <w:rPr>
          <w:rFonts w:ascii="Arial" w:hAnsi="Arial" w:cs="Arial"/>
          <w:sz w:val="22"/>
          <w:lang w:val="es-ES"/>
        </w:rPr>
      </w:pPr>
      <w:bookmarkStart w:id="393" w:name="_Toc305144409"/>
      <w:bookmarkStart w:id="394" w:name="_Toc305145293"/>
      <w:bookmarkStart w:id="395" w:name="_Toc305145575"/>
      <w:bookmarkStart w:id="396" w:name="_Toc305145859"/>
      <w:bookmarkStart w:id="397" w:name="_Toc306963401"/>
    </w:p>
    <w:p w14:paraId="08936457" w14:textId="77777777" w:rsidR="00695C90" w:rsidRPr="00695C90" w:rsidRDefault="00695C90" w:rsidP="00695C90">
      <w:pPr>
        <w:numPr>
          <w:ilvl w:val="0"/>
          <w:numId w:val="63"/>
        </w:numPr>
        <w:jc w:val="both"/>
        <w:outlineLvl w:val="2"/>
        <w:rPr>
          <w:rFonts w:ascii="Arial" w:hAnsi="Arial" w:cs="Arial"/>
          <w:sz w:val="22"/>
          <w:lang w:val="es-ES"/>
        </w:rPr>
      </w:pPr>
      <w:bookmarkStart w:id="398" w:name="_Toc305144410"/>
      <w:bookmarkStart w:id="399" w:name="_Toc305145294"/>
      <w:bookmarkStart w:id="400" w:name="_Toc305145576"/>
      <w:bookmarkStart w:id="401" w:name="_Toc305145860"/>
      <w:bookmarkStart w:id="402" w:name="_Toc306963402"/>
      <w:bookmarkEnd w:id="393"/>
      <w:bookmarkEnd w:id="394"/>
      <w:bookmarkEnd w:id="395"/>
      <w:bookmarkEnd w:id="396"/>
      <w:bookmarkEnd w:id="397"/>
      <w:r w:rsidRPr="00695C90">
        <w:rPr>
          <w:rFonts w:ascii="Arial" w:hAnsi="Arial" w:cs="Arial"/>
          <w:sz w:val="22"/>
          <w:lang w:val="es-ES"/>
        </w:rPr>
        <w:t>Los responsables de los aspectos sociales y ambientales dentro de la Unidad Ejecutora deberán evaluar y aprobar el referido Plan en el proceso del análisis de la EIAS correspondiente.</w:t>
      </w:r>
      <w:bookmarkEnd w:id="398"/>
      <w:bookmarkEnd w:id="399"/>
      <w:bookmarkEnd w:id="400"/>
      <w:bookmarkEnd w:id="401"/>
      <w:bookmarkEnd w:id="402"/>
      <w:r w:rsidRPr="00695C90">
        <w:rPr>
          <w:rFonts w:ascii="Arial" w:hAnsi="Arial" w:cs="Arial"/>
          <w:sz w:val="22"/>
          <w:lang w:val="es-ES"/>
        </w:rPr>
        <w:t xml:space="preserve"> </w:t>
      </w:r>
    </w:p>
    <w:p w14:paraId="197D0B9D" w14:textId="77777777" w:rsidR="00695C90" w:rsidRPr="00695C90" w:rsidRDefault="00695C90" w:rsidP="00695C90">
      <w:pPr>
        <w:ind w:left="720"/>
        <w:jc w:val="both"/>
        <w:outlineLvl w:val="2"/>
        <w:rPr>
          <w:rFonts w:ascii="Arial" w:hAnsi="Arial" w:cs="Arial"/>
          <w:sz w:val="22"/>
          <w:lang w:val="es-ES"/>
        </w:rPr>
      </w:pPr>
    </w:p>
    <w:p w14:paraId="6D334DBD" w14:textId="77777777" w:rsidR="00695C90" w:rsidRPr="00695C90" w:rsidRDefault="00695C90" w:rsidP="00695C90">
      <w:pPr>
        <w:numPr>
          <w:ilvl w:val="0"/>
          <w:numId w:val="63"/>
        </w:numPr>
        <w:jc w:val="both"/>
        <w:outlineLvl w:val="2"/>
        <w:rPr>
          <w:rFonts w:ascii="Arial" w:hAnsi="Arial" w:cs="Arial"/>
          <w:sz w:val="22"/>
          <w:lang w:val="es-ES"/>
        </w:rPr>
      </w:pPr>
      <w:bookmarkStart w:id="403" w:name="_Toc305144411"/>
      <w:bookmarkStart w:id="404" w:name="_Toc305145295"/>
      <w:bookmarkStart w:id="405" w:name="_Toc305145577"/>
      <w:bookmarkStart w:id="406" w:name="_Toc305145861"/>
      <w:bookmarkStart w:id="407" w:name="_Toc306963403"/>
      <w:r w:rsidRPr="00695C90">
        <w:rPr>
          <w:rFonts w:ascii="Arial" w:hAnsi="Arial" w:cs="Arial"/>
          <w:sz w:val="22"/>
          <w:lang w:val="es-ES"/>
        </w:rPr>
        <w:t>La Unidad Ejecutora propondrá en su caso las modificaciones necesarias. En caso de no aprobación por la UE el informe del /PPI será devuelto al responsable con las observaciones correspondientes para su incorporación; se prevé la realización de reuniones entre técnicos de la UE y quienes elaboraron el Plan no aprobado, para facilitar sus correcciones y posterior aceptación.</w:t>
      </w:r>
      <w:bookmarkEnd w:id="403"/>
      <w:bookmarkEnd w:id="404"/>
      <w:bookmarkEnd w:id="405"/>
      <w:bookmarkEnd w:id="406"/>
      <w:bookmarkEnd w:id="407"/>
    </w:p>
    <w:p w14:paraId="643A4558" w14:textId="77777777" w:rsidR="00695C90" w:rsidRPr="00695C90" w:rsidRDefault="00695C90" w:rsidP="00695C90">
      <w:pPr>
        <w:ind w:left="720"/>
        <w:jc w:val="both"/>
        <w:outlineLvl w:val="2"/>
        <w:rPr>
          <w:rFonts w:ascii="Arial" w:hAnsi="Arial" w:cs="Arial"/>
          <w:sz w:val="22"/>
          <w:lang w:val="es-ES"/>
        </w:rPr>
      </w:pPr>
    </w:p>
    <w:p w14:paraId="2A831A36" w14:textId="77777777" w:rsidR="00695C90" w:rsidRPr="00695C90" w:rsidRDefault="00695C90" w:rsidP="00695C90">
      <w:pPr>
        <w:numPr>
          <w:ilvl w:val="0"/>
          <w:numId w:val="63"/>
        </w:numPr>
        <w:jc w:val="both"/>
        <w:outlineLvl w:val="2"/>
        <w:rPr>
          <w:rFonts w:ascii="Arial" w:hAnsi="Arial" w:cs="Arial"/>
          <w:sz w:val="22"/>
          <w:lang w:val="es-ES"/>
        </w:rPr>
      </w:pPr>
      <w:bookmarkStart w:id="408" w:name="_Toc305144412"/>
      <w:bookmarkStart w:id="409" w:name="_Toc305145296"/>
      <w:bookmarkStart w:id="410" w:name="_Toc305145578"/>
      <w:bookmarkStart w:id="411" w:name="_Toc305145862"/>
      <w:bookmarkStart w:id="412" w:name="_Toc306963404"/>
      <w:r w:rsidRPr="00695C90">
        <w:rPr>
          <w:rFonts w:ascii="Arial" w:hAnsi="Arial" w:cs="Arial"/>
          <w:sz w:val="22"/>
          <w:lang w:val="es-ES"/>
        </w:rPr>
        <w:t>Una vez aprobado la EIAS del proyecto y el PPI correspondiente, el concesionario bajo la supervisión de la UE o el órgano designado responsable para ello procederá a realizar la consulta de este entre la población indígena involucrada y se será publicado para su consulta pública.</w:t>
      </w:r>
      <w:bookmarkEnd w:id="408"/>
      <w:bookmarkEnd w:id="409"/>
      <w:bookmarkEnd w:id="410"/>
      <w:bookmarkEnd w:id="411"/>
      <w:bookmarkEnd w:id="412"/>
    </w:p>
    <w:p w14:paraId="029149E9" w14:textId="77777777" w:rsidR="00695C90" w:rsidRPr="00695C90" w:rsidRDefault="00695C90" w:rsidP="00695C90">
      <w:pPr>
        <w:ind w:left="720"/>
        <w:jc w:val="both"/>
        <w:outlineLvl w:val="2"/>
        <w:rPr>
          <w:rFonts w:ascii="Arial" w:hAnsi="Arial" w:cs="Arial"/>
          <w:sz w:val="22"/>
          <w:lang w:val="es-ES"/>
        </w:rPr>
      </w:pPr>
    </w:p>
    <w:p w14:paraId="1ACD1D47" w14:textId="77777777" w:rsidR="00695C90" w:rsidRPr="00695C90" w:rsidRDefault="00695C90" w:rsidP="00695C90">
      <w:pPr>
        <w:numPr>
          <w:ilvl w:val="0"/>
          <w:numId w:val="63"/>
        </w:numPr>
        <w:jc w:val="both"/>
        <w:outlineLvl w:val="2"/>
        <w:rPr>
          <w:rFonts w:ascii="Arial" w:hAnsi="Arial" w:cs="Arial"/>
          <w:sz w:val="22"/>
          <w:lang w:val="es-ES"/>
        </w:rPr>
      </w:pPr>
      <w:bookmarkStart w:id="413" w:name="_Toc305144413"/>
      <w:bookmarkStart w:id="414" w:name="_Toc305145297"/>
      <w:bookmarkStart w:id="415" w:name="_Toc305145579"/>
      <w:bookmarkStart w:id="416" w:name="_Toc305145863"/>
      <w:bookmarkStart w:id="417" w:name="_Toc306963405"/>
      <w:r w:rsidRPr="00695C90">
        <w:rPr>
          <w:rFonts w:ascii="Arial" w:hAnsi="Arial" w:cs="Arial"/>
          <w:sz w:val="22"/>
          <w:lang w:val="es-ES"/>
        </w:rPr>
        <w:t>El concesionario será responsable de elaborar el PPI Definitivo incorporando las modificaciones requeridas. La UE deberá orientar y asesorar al concesionario en la ejecución y monitoreo del PPI</w:t>
      </w:r>
      <w:bookmarkEnd w:id="413"/>
      <w:bookmarkEnd w:id="414"/>
      <w:bookmarkEnd w:id="415"/>
      <w:bookmarkEnd w:id="416"/>
      <w:bookmarkEnd w:id="417"/>
      <w:r w:rsidRPr="00695C90">
        <w:rPr>
          <w:rFonts w:ascii="Arial" w:hAnsi="Arial" w:cs="Arial"/>
          <w:sz w:val="22"/>
          <w:lang w:val="es-ES"/>
        </w:rPr>
        <w:t>.</w:t>
      </w:r>
    </w:p>
    <w:p w14:paraId="49E8F806" w14:textId="77777777" w:rsidR="00695C90" w:rsidRPr="00695C90" w:rsidRDefault="00695C90" w:rsidP="00695C90">
      <w:pPr>
        <w:ind w:left="720"/>
        <w:jc w:val="both"/>
        <w:outlineLvl w:val="2"/>
        <w:rPr>
          <w:rFonts w:ascii="Arial" w:hAnsi="Arial" w:cs="Arial"/>
          <w:sz w:val="22"/>
          <w:lang w:val="es-ES"/>
        </w:rPr>
      </w:pPr>
    </w:p>
    <w:p w14:paraId="097FD6C0" w14:textId="77777777" w:rsidR="00695C90" w:rsidRPr="00695C90" w:rsidRDefault="00695C90" w:rsidP="00695C90">
      <w:pPr>
        <w:numPr>
          <w:ilvl w:val="0"/>
          <w:numId w:val="63"/>
        </w:numPr>
        <w:jc w:val="both"/>
        <w:outlineLvl w:val="2"/>
        <w:rPr>
          <w:rFonts w:ascii="Arial" w:hAnsi="Arial" w:cs="Arial"/>
          <w:sz w:val="22"/>
          <w:lang w:val="es-ES"/>
        </w:rPr>
      </w:pPr>
      <w:bookmarkStart w:id="418" w:name="_Toc305144415"/>
      <w:bookmarkStart w:id="419" w:name="_Toc305145299"/>
      <w:bookmarkStart w:id="420" w:name="_Toc305145581"/>
      <w:bookmarkStart w:id="421" w:name="_Toc305145865"/>
      <w:bookmarkStart w:id="422" w:name="_Toc306963407"/>
      <w:r w:rsidRPr="00695C90">
        <w:rPr>
          <w:rFonts w:ascii="Arial" w:hAnsi="Arial" w:cs="Arial"/>
          <w:sz w:val="22"/>
          <w:lang w:val="es-ES"/>
        </w:rPr>
        <w:t xml:space="preserve">El concesionario se encargará de realizar Informes, con la frecuencia solicitada, con los resultados de monitoreo y seguimiento de los PPI y los enviará a la UE. Este informe será puesto a disposición del BID. </w:t>
      </w:r>
      <w:bookmarkEnd w:id="418"/>
      <w:bookmarkEnd w:id="419"/>
      <w:bookmarkEnd w:id="420"/>
      <w:bookmarkEnd w:id="421"/>
      <w:bookmarkEnd w:id="422"/>
    </w:p>
    <w:p w14:paraId="085E2BB1" w14:textId="77777777" w:rsidR="00695C90" w:rsidRPr="00695C90" w:rsidRDefault="00695C90" w:rsidP="00695C90">
      <w:pPr>
        <w:ind w:left="720"/>
        <w:jc w:val="both"/>
        <w:outlineLvl w:val="2"/>
        <w:rPr>
          <w:rFonts w:ascii="Arial" w:hAnsi="Arial" w:cs="Arial"/>
          <w:sz w:val="22"/>
          <w:lang w:val="es-ES"/>
        </w:rPr>
      </w:pPr>
    </w:p>
    <w:p w14:paraId="1FBED1A9" w14:textId="77777777" w:rsidR="00695C90" w:rsidRPr="00695C90" w:rsidRDefault="00695C90" w:rsidP="00695C90">
      <w:pPr>
        <w:numPr>
          <w:ilvl w:val="0"/>
          <w:numId w:val="63"/>
        </w:numPr>
        <w:jc w:val="both"/>
        <w:outlineLvl w:val="2"/>
        <w:rPr>
          <w:rFonts w:ascii="Arial" w:hAnsi="Arial" w:cs="Arial"/>
          <w:sz w:val="22"/>
          <w:lang w:val="es-ES"/>
        </w:rPr>
      </w:pPr>
      <w:bookmarkStart w:id="423" w:name="_Toc305144416"/>
      <w:bookmarkStart w:id="424" w:name="_Toc305145300"/>
      <w:bookmarkStart w:id="425" w:name="_Toc305145582"/>
      <w:bookmarkStart w:id="426" w:name="_Toc305145866"/>
      <w:bookmarkStart w:id="427" w:name="_Toc306963408"/>
      <w:r w:rsidRPr="00695C90">
        <w:rPr>
          <w:rFonts w:ascii="Arial" w:hAnsi="Arial" w:cs="Arial"/>
          <w:sz w:val="22"/>
          <w:lang w:val="es-ES"/>
        </w:rPr>
        <w:t xml:space="preserve">La UE realizará visitas a los proyectos y solicitará información de los estos como parte de su control y seguimiento de los PPI en ejecución. </w:t>
      </w:r>
      <w:bookmarkEnd w:id="423"/>
      <w:bookmarkEnd w:id="424"/>
      <w:bookmarkEnd w:id="425"/>
      <w:bookmarkEnd w:id="426"/>
      <w:bookmarkEnd w:id="427"/>
    </w:p>
    <w:p w14:paraId="767E083F" w14:textId="77777777" w:rsidR="00695C90" w:rsidRPr="00695C90" w:rsidRDefault="00695C90" w:rsidP="00695C90">
      <w:pPr>
        <w:spacing w:before="120" w:after="120"/>
        <w:ind w:left="709"/>
        <w:jc w:val="both"/>
        <w:outlineLvl w:val="2"/>
        <w:rPr>
          <w:rFonts w:ascii="Arial" w:hAnsi="Arial" w:cs="Arial"/>
          <w:sz w:val="24"/>
          <w:lang w:val="es-ES_tradnl"/>
        </w:rPr>
      </w:pPr>
    </w:p>
    <w:p w14:paraId="5C0F6081" w14:textId="77777777" w:rsidR="00695C90" w:rsidRPr="00695C90" w:rsidRDefault="00695C90" w:rsidP="00695C90">
      <w:pPr>
        <w:jc w:val="both"/>
        <w:rPr>
          <w:rFonts w:ascii="Arial" w:hAnsi="Arial" w:cs="Arial"/>
          <w:b/>
          <w:sz w:val="22"/>
          <w:szCs w:val="22"/>
        </w:rPr>
      </w:pPr>
      <w:r w:rsidRPr="00695C90">
        <w:rPr>
          <w:rFonts w:ascii="Arial" w:hAnsi="Arial" w:cs="Arial"/>
          <w:b/>
          <w:sz w:val="22"/>
          <w:szCs w:val="22"/>
        </w:rPr>
        <w:t>Consulta y Participación</w:t>
      </w:r>
    </w:p>
    <w:p w14:paraId="54F62C5F" w14:textId="77777777" w:rsidR="00695C90" w:rsidRPr="00695C90" w:rsidRDefault="00695C90" w:rsidP="00695C90">
      <w:pPr>
        <w:jc w:val="both"/>
        <w:rPr>
          <w:rFonts w:ascii="Arial" w:hAnsi="Arial" w:cs="Arial"/>
          <w:b/>
          <w:sz w:val="22"/>
          <w:szCs w:val="22"/>
        </w:rPr>
      </w:pPr>
    </w:p>
    <w:p w14:paraId="03112DDA"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Cuando un proyecto involucre a Pueblos Indígenas, se deberán celebrar consultas previas, libres e informadas y obtener el consentimiento de dichos pueblos de acciones dentro de sus tierras. Éstas deberán contemplar:</w:t>
      </w:r>
    </w:p>
    <w:p w14:paraId="4518C8E8" w14:textId="77777777" w:rsidR="00695C90" w:rsidRPr="00695C90" w:rsidRDefault="00695C90" w:rsidP="00695C90">
      <w:pPr>
        <w:ind w:left="360"/>
        <w:jc w:val="both"/>
        <w:rPr>
          <w:rFonts w:ascii="Arial" w:hAnsi="Arial" w:cs="Arial"/>
          <w:sz w:val="22"/>
          <w:szCs w:val="22"/>
          <w:lang w:val="es-ES"/>
        </w:rPr>
      </w:pPr>
    </w:p>
    <w:p w14:paraId="62E03569" w14:textId="77777777" w:rsidR="00695C90" w:rsidRPr="00695C90" w:rsidRDefault="00695C90" w:rsidP="00695C90">
      <w:pPr>
        <w:numPr>
          <w:ilvl w:val="0"/>
          <w:numId w:val="65"/>
        </w:numPr>
        <w:jc w:val="both"/>
        <w:outlineLvl w:val="2"/>
        <w:rPr>
          <w:rFonts w:ascii="Arial" w:hAnsi="Arial" w:cs="Arial"/>
          <w:sz w:val="22"/>
          <w:lang w:val="es-ES"/>
        </w:rPr>
      </w:pPr>
      <w:bookmarkStart w:id="428" w:name="_Toc305144417"/>
      <w:bookmarkStart w:id="429" w:name="_Toc305145301"/>
      <w:bookmarkStart w:id="430" w:name="_Toc305145583"/>
      <w:bookmarkStart w:id="431" w:name="_Toc305145867"/>
      <w:bookmarkStart w:id="432" w:name="_Toc306963409"/>
      <w:r w:rsidRPr="00695C90">
        <w:rPr>
          <w:rFonts w:ascii="Arial" w:hAnsi="Arial" w:cs="Arial"/>
          <w:sz w:val="22"/>
          <w:lang w:val="es-ES"/>
        </w:rPr>
        <w:t>Establecer un marco apropiado que favorezca la inclusión intergeneracional y de género y brinde, en cada etapa de la preparación y ejecución del proyecto, oportunidades de consulta con los pueblos originarios/indígenas afectados, las organizaciones de Pueblos Indígenas, sí las hubiera, y otras organizaciones de la sociedad civil que señalen los pueblos indígenas afectados;</w:t>
      </w:r>
      <w:bookmarkEnd w:id="428"/>
      <w:bookmarkEnd w:id="429"/>
      <w:bookmarkEnd w:id="430"/>
      <w:bookmarkEnd w:id="431"/>
      <w:bookmarkEnd w:id="432"/>
    </w:p>
    <w:p w14:paraId="4E6DF8C7" w14:textId="77777777" w:rsidR="00695C90" w:rsidRPr="00695C90" w:rsidRDefault="00695C90" w:rsidP="00695C90">
      <w:pPr>
        <w:ind w:left="720"/>
        <w:jc w:val="right"/>
        <w:outlineLvl w:val="2"/>
        <w:rPr>
          <w:rFonts w:ascii="Arial" w:hAnsi="Arial" w:cs="Arial"/>
          <w:sz w:val="22"/>
          <w:lang w:val="es-ES"/>
        </w:rPr>
      </w:pPr>
    </w:p>
    <w:p w14:paraId="6BEDB8E4" w14:textId="77777777" w:rsidR="00695C90" w:rsidRPr="00695C90" w:rsidRDefault="00695C90" w:rsidP="00695C90">
      <w:pPr>
        <w:numPr>
          <w:ilvl w:val="0"/>
          <w:numId w:val="65"/>
        </w:numPr>
        <w:jc w:val="both"/>
        <w:outlineLvl w:val="2"/>
        <w:rPr>
          <w:rFonts w:ascii="Arial" w:hAnsi="Arial" w:cs="Arial"/>
          <w:sz w:val="22"/>
          <w:lang w:val="es-ES"/>
        </w:rPr>
      </w:pPr>
      <w:bookmarkStart w:id="433" w:name="_Toc305144418"/>
      <w:bookmarkStart w:id="434" w:name="_Toc305145302"/>
      <w:bookmarkStart w:id="435" w:name="_Toc305145584"/>
      <w:bookmarkStart w:id="436" w:name="_Toc305145868"/>
      <w:bookmarkStart w:id="437" w:name="_Toc306963410"/>
      <w:r w:rsidRPr="00695C90">
        <w:rPr>
          <w:rFonts w:ascii="Arial" w:hAnsi="Arial" w:cs="Arial"/>
          <w:sz w:val="22"/>
          <w:lang w:val="es-ES"/>
        </w:rPr>
        <w:t>Emplear métodos de consulta adecuados a los valores sociales y culturales de los pueblos originarios/indígenas afectadas y a sus condiciones locales y, en el diseño de estos métodos, prestar especial atención a las inquietudes de las mujeres, los jóvenes y los niños indígenas y a que todos ellos puedan acceder a las oportunidades y ventajas del desarrollo, y</w:t>
      </w:r>
      <w:bookmarkEnd w:id="433"/>
      <w:bookmarkEnd w:id="434"/>
      <w:bookmarkEnd w:id="435"/>
      <w:bookmarkEnd w:id="436"/>
      <w:bookmarkEnd w:id="437"/>
    </w:p>
    <w:p w14:paraId="19DAF16D" w14:textId="77777777" w:rsidR="00695C90" w:rsidRPr="00695C90" w:rsidRDefault="00695C90" w:rsidP="00695C90">
      <w:pPr>
        <w:ind w:left="720"/>
        <w:jc w:val="both"/>
        <w:outlineLvl w:val="2"/>
        <w:rPr>
          <w:rFonts w:ascii="Arial" w:hAnsi="Arial" w:cs="Arial"/>
          <w:sz w:val="22"/>
          <w:lang w:val="es-ES"/>
        </w:rPr>
      </w:pPr>
    </w:p>
    <w:p w14:paraId="7F6C99F7" w14:textId="77777777" w:rsidR="00695C90" w:rsidRPr="00695C90" w:rsidRDefault="00695C90" w:rsidP="00695C90">
      <w:pPr>
        <w:numPr>
          <w:ilvl w:val="0"/>
          <w:numId w:val="65"/>
        </w:numPr>
        <w:jc w:val="both"/>
        <w:outlineLvl w:val="2"/>
        <w:rPr>
          <w:rFonts w:ascii="Arial" w:hAnsi="Arial" w:cs="Arial"/>
          <w:sz w:val="22"/>
          <w:lang w:val="es-ES"/>
        </w:rPr>
      </w:pPr>
      <w:bookmarkStart w:id="438" w:name="_Toc305144419"/>
      <w:bookmarkStart w:id="439" w:name="_Toc305145303"/>
      <w:bookmarkStart w:id="440" w:name="_Toc305145585"/>
      <w:bookmarkStart w:id="441" w:name="_Toc305145869"/>
      <w:bookmarkStart w:id="442" w:name="_Toc306963411"/>
      <w:r w:rsidRPr="00695C90">
        <w:rPr>
          <w:rFonts w:ascii="Arial" w:hAnsi="Arial" w:cs="Arial"/>
          <w:sz w:val="22"/>
          <w:lang w:val="es-ES"/>
        </w:rPr>
        <w:t>Facilitar a las comunidades involucradas, en cada etapa de la preparación y ejecución del proyecto toda la información pertinente sobre el proyecto (incluida una evaluación de los posibles efectos negativos del proyecto en los pueblos indígenas afectados) de una manera apropiada desde el punto de vista cultural.</w:t>
      </w:r>
      <w:bookmarkEnd w:id="438"/>
      <w:bookmarkEnd w:id="439"/>
      <w:bookmarkEnd w:id="440"/>
      <w:bookmarkEnd w:id="441"/>
      <w:bookmarkEnd w:id="442"/>
    </w:p>
    <w:p w14:paraId="045BA1DA" w14:textId="77777777" w:rsidR="00695C90" w:rsidRPr="00695C90" w:rsidRDefault="00695C90" w:rsidP="00695C90">
      <w:pPr>
        <w:ind w:left="720"/>
        <w:jc w:val="both"/>
        <w:outlineLvl w:val="2"/>
        <w:rPr>
          <w:rFonts w:ascii="Arial" w:hAnsi="Arial" w:cs="Arial"/>
          <w:sz w:val="22"/>
          <w:lang w:val="es-ES"/>
        </w:rPr>
      </w:pPr>
    </w:p>
    <w:p w14:paraId="4A5CEB41" w14:textId="77777777" w:rsidR="00695C90" w:rsidRPr="00695C90" w:rsidRDefault="00695C90" w:rsidP="00695C90">
      <w:pPr>
        <w:numPr>
          <w:ilvl w:val="0"/>
          <w:numId w:val="65"/>
        </w:numPr>
        <w:jc w:val="both"/>
        <w:outlineLvl w:val="2"/>
        <w:rPr>
          <w:rFonts w:ascii="Arial" w:hAnsi="Arial" w:cs="Arial"/>
          <w:sz w:val="22"/>
          <w:lang w:val="es-ES"/>
        </w:rPr>
      </w:pPr>
      <w:r w:rsidRPr="00695C90">
        <w:rPr>
          <w:rFonts w:ascii="Arial" w:hAnsi="Arial" w:cs="Arial"/>
          <w:sz w:val="22"/>
          <w:lang w:val="es-ES"/>
        </w:rPr>
        <w:t>Incluir la descripción y documentación de las actividades de consultas y participación como parte PPI, el que será puesto a disposición de las comunidades afectadas de manera de garantizar que la consulta sea previa, libre e informada, y que se obtenga el amplio apoyo de las mismas.</w:t>
      </w:r>
    </w:p>
    <w:p w14:paraId="69BA0C41" w14:textId="77777777" w:rsidR="00695C90" w:rsidRPr="00695C90" w:rsidRDefault="00695C90" w:rsidP="00695C90">
      <w:pPr>
        <w:spacing w:before="120" w:after="120"/>
        <w:ind w:left="8525" w:hanging="1296"/>
        <w:jc w:val="both"/>
        <w:outlineLvl w:val="2"/>
        <w:rPr>
          <w:rFonts w:ascii="Arial" w:hAnsi="Arial" w:cs="Arial"/>
          <w:sz w:val="24"/>
          <w:szCs w:val="24"/>
          <w:lang w:val="es-ES_tradnl"/>
        </w:rPr>
      </w:pPr>
    </w:p>
    <w:p w14:paraId="21750C2E" w14:textId="77777777" w:rsidR="00695C90" w:rsidRPr="00695C90" w:rsidRDefault="00695C90" w:rsidP="00695C90">
      <w:pPr>
        <w:jc w:val="both"/>
        <w:rPr>
          <w:rFonts w:ascii="Arial" w:hAnsi="Arial" w:cs="Arial"/>
          <w:b/>
          <w:sz w:val="22"/>
          <w:szCs w:val="22"/>
          <w:lang w:val="es-ES"/>
        </w:rPr>
      </w:pPr>
      <w:r w:rsidRPr="00695C90">
        <w:rPr>
          <w:rFonts w:ascii="Arial" w:hAnsi="Arial" w:cs="Arial"/>
          <w:b/>
          <w:sz w:val="22"/>
          <w:szCs w:val="22"/>
          <w:lang w:val="es-ES"/>
        </w:rPr>
        <w:t>Seguimiento y Monitoreo de los PPI</w:t>
      </w:r>
    </w:p>
    <w:p w14:paraId="22611023" w14:textId="77777777" w:rsidR="00695C90" w:rsidRPr="00695C90" w:rsidRDefault="00695C90" w:rsidP="00695C90">
      <w:pPr>
        <w:rPr>
          <w:rFonts w:ascii="Arial" w:hAnsi="Arial" w:cs="Arial"/>
          <w:b/>
          <w:lang w:val="es-ES"/>
        </w:rPr>
      </w:pPr>
    </w:p>
    <w:p w14:paraId="00B4D6E0"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La UE será el responsable del seguimiento y ejecución de las siguientes medidas de monitoreo:</w:t>
      </w:r>
    </w:p>
    <w:p w14:paraId="34A3FFC8" w14:textId="77777777" w:rsidR="00695C90" w:rsidRPr="00695C90" w:rsidRDefault="00695C90" w:rsidP="00695C90">
      <w:pPr>
        <w:ind w:left="360"/>
        <w:jc w:val="both"/>
        <w:rPr>
          <w:rFonts w:ascii="Arial" w:hAnsi="Arial" w:cs="Arial"/>
          <w:sz w:val="22"/>
          <w:szCs w:val="22"/>
          <w:lang w:val="es-ES"/>
        </w:rPr>
      </w:pPr>
    </w:p>
    <w:p w14:paraId="12985C2C" w14:textId="77777777" w:rsidR="00695C90" w:rsidRPr="00695C90" w:rsidRDefault="00695C90" w:rsidP="00695C90">
      <w:pPr>
        <w:numPr>
          <w:ilvl w:val="0"/>
          <w:numId w:val="66"/>
        </w:numPr>
        <w:jc w:val="both"/>
        <w:outlineLvl w:val="2"/>
        <w:rPr>
          <w:rFonts w:ascii="Arial" w:hAnsi="Arial" w:cs="Arial"/>
          <w:sz w:val="22"/>
          <w:lang w:val="es-ES"/>
        </w:rPr>
      </w:pPr>
      <w:bookmarkStart w:id="443" w:name="_Toc305144420"/>
      <w:bookmarkStart w:id="444" w:name="_Toc305145304"/>
      <w:bookmarkStart w:id="445" w:name="_Toc305145586"/>
      <w:bookmarkStart w:id="446" w:name="_Toc305145870"/>
      <w:bookmarkStart w:id="447" w:name="_Toc306963412"/>
      <w:r w:rsidRPr="00695C90">
        <w:rPr>
          <w:rFonts w:ascii="Arial" w:hAnsi="Arial" w:cs="Arial"/>
          <w:sz w:val="22"/>
          <w:lang w:val="es-ES"/>
        </w:rPr>
        <w:t>Efectuar un seguimiento mensual de la implementación del PPI, haciendo los ajustes necesarios del plan y del cronograma que permitan mantener los objetivos generales.</w:t>
      </w:r>
      <w:bookmarkEnd w:id="443"/>
      <w:bookmarkEnd w:id="444"/>
      <w:bookmarkEnd w:id="445"/>
      <w:bookmarkEnd w:id="446"/>
      <w:bookmarkEnd w:id="447"/>
    </w:p>
    <w:p w14:paraId="7A14D205" w14:textId="77777777" w:rsidR="00695C90" w:rsidRPr="00695C90" w:rsidRDefault="00695C90" w:rsidP="00695C90">
      <w:pPr>
        <w:ind w:left="720"/>
        <w:jc w:val="both"/>
        <w:outlineLvl w:val="2"/>
        <w:rPr>
          <w:rFonts w:ascii="Arial" w:hAnsi="Arial" w:cs="Arial"/>
          <w:sz w:val="22"/>
          <w:lang w:val="es-ES"/>
        </w:rPr>
      </w:pPr>
    </w:p>
    <w:p w14:paraId="0BC9FDB2" w14:textId="77777777" w:rsidR="00695C90" w:rsidRPr="00695C90" w:rsidRDefault="00695C90" w:rsidP="00695C90">
      <w:pPr>
        <w:numPr>
          <w:ilvl w:val="0"/>
          <w:numId w:val="66"/>
        </w:numPr>
        <w:jc w:val="both"/>
        <w:outlineLvl w:val="2"/>
        <w:rPr>
          <w:rFonts w:ascii="Arial" w:hAnsi="Arial" w:cs="Arial"/>
          <w:sz w:val="22"/>
          <w:lang w:val="es-ES"/>
        </w:rPr>
      </w:pPr>
      <w:bookmarkStart w:id="448" w:name="_Toc305144421"/>
      <w:bookmarkStart w:id="449" w:name="_Toc305145305"/>
      <w:bookmarkStart w:id="450" w:name="_Toc305145587"/>
      <w:bookmarkStart w:id="451" w:name="_Toc305145871"/>
      <w:bookmarkStart w:id="452" w:name="_Toc306963413"/>
      <w:r w:rsidRPr="00695C90">
        <w:rPr>
          <w:rFonts w:ascii="Arial" w:hAnsi="Arial" w:cs="Arial"/>
          <w:sz w:val="22"/>
          <w:lang w:val="es-ES"/>
        </w:rPr>
        <w:t>Monitorear la implementación de los programas de apoyo según lo previsto en cada uno de ellos.</w:t>
      </w:r>
      <w:bookmarkEnd w:id="448"/>
      <w:bookmarkEnd w:id="449"/>
      <w:bookmarkEnd w:id="450"/>
      <w:bookmarkEnd w:id="451"/>
      <w:bookmarkEnd w:id="452"/>
    </w:p>
    <w:p w14:paraId="5F1658E0" w14:textId="77777777" w:rsidR="00695C90" w:rsidRPr="00695C90" w:rsidRDefault="00695C90" w:rsidP="00695C90">
      <w:pPr>
        <w:ind w:left="720"/>
        <w:jc w:val="both"/>
        <w:outlineLvl w:val="2"/>
        <w:rPr>
          <w:rFonts w:ascii="Arial" w:hAnsi="Arial" w:cs="Arial"/>
          <w:sz w:val="22"/>
          <w:lang w:val="es-ES"/>
        </w:rPr>
      </w:pPr>
    </w:p>
    <w:p w14:paraId="775C6097" w14:textId="77777777" w:rsidR="00695C90" w:rsidRPr="00695C90" w:rsidRDefault="00695C90" w:rsidP="00695C90">
      <w:pPr>
        <w:numPr>
          <w:ilvl w:val="0"/>
          <w:numId w:val="66"/>
        </w:numPr>
        <w:jc w:val="both"/>
        <w:outlineLvl w:val="2"/>
        <w:rPr>
          <w:rFonts w:ascii="Arial" w:hAnsi="Arial" w:cs="Arial"/>
          <w:sz w:val="22"/>
          <w:lang w:val="es-ES"/>
        </w:rPr>
      </w:pPr>
      <w:bookmarkStart w:id="453" w:name="_Toc305144422"/>
      <w:bookmarkStart w:id="454" w:name="_Toc305145306"/>
      <w:bookmarkStart w:id="455" w:name="_Toc305145588"/>
      <w:bookmarkStart w:id="456" w:name="_Toc305145872"/>
      <w:bookmarkStart w:id="457" w:name="_Toc306963414"/>
      <w:r w:rsidRPr="00695C90">
        <w:rPr>
          <w:rFonts w:ascii="Arial" w:hAnsi="Arial" w:cs="Arial"/>
          <w:sz w:val="22"/>
          <w:lang w:val="es-ES"/>
        </w:rPr>
        <w:t>Realizar una auditoría externa del plan si lo considera necesario.</w:t>
      </w:r>
      <w:bookmarkEnd w:id="453"/>
      <w:bookmarkEnd w:id="454"/>
      <w:bookmarkEnd w:id="455"/>
      <w:bookmarkEnd w:id="456"/>
      <w:bookmarkEnd w:id="457"/>
      <w:r w:rsidRPr="00695C90">
        <w:rPr>
          <w:rFonts w:ascii="Arial" w:hAnsi="Arial" w:cs="Arial"/>
          <w:sz w:val="22"/>
          <w:lang w:val="es-ES"/>
        </w:rPr>
        <w:t xml:space="preserve">    </w:t>
      </w:r>
    </w:p>
    <w:p w14:paraId="2DF26B2E" w14:textId="77777777" w:rsidR="00695C90" w:rsidRPr="00695C90" w:rsidRDefault="00695C90" w:rsidP="00695C90">
      <w:pPr>
        <w:rPr>
          <w:rFonts w:ascii="Arial" w:hAnsi="Arial" w:cs="Arial"/>
          <w:b/>
          <w:lang w:val="es-ES"/>
        </w:rPr>
      </w:pPr>
    </w:p>
    <w:p w14:paraId="480693F5" w14:textId="77777777" w:rsidR="00695C90" w:rsidRPr="00695C90" w:rsidRDefault="00695C90" w:rsidP="00695C90">
      <w:pPr>
        <w:jc w:val="both"/>
        <w:rPr>
          <w:rFonts w:ascii="Arial" w:hAnsi="Arial" w:cs="Arial"/>
          <w:b/>
        </w:rPr>
      </w:pPr>
      <w:r w:rsidRPr="00695C90">
        <w:rPr>
          <w:rFonts w:ascii="Arial" w:hAnsi="Arial" w:cs="Arial"/>
          <w:b/>
          <w:sz w:val="22"/>
          <w:szCs w:val="22"/>
        </w:rPr>
        <w:t>Reclamos y Quejas</w:t>
      </w:r>
    </w:p>
    <w:p w14:paraId="3F670C73" w14:textId="77777777" w:rsidR="00695C90" w:rsidRPr="00695C90" w:rsidRDefault="00695C90" w:rsidP="00695C90">
      <w:pPr>
        <w:rPr>
          <w:rFonts w:ascii="Arial" w:hAnsi="Arial" w:cs="Arial"/>
          <w:b/>
        </w:rPr>
      </w:pPr>
    </w:p>
    <w:p w14:paraId="6F556793"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Los concesionarios establecerán y divulgarán procedimientos para atender y canalizar las quejas y conflictos que se reciban y registren, procurando que estas se diluciden en el ámbito local con la participación de las autoridades y los pueblos originarios/indígenas, mediante negociaciones que logren consenso.</w:t>
      </w:r>
    </w:p>
    <w:p w14:paraId="3A735D67" w14:textId="77777777" w:rsidR="00695C90" w:rsidRPr="00695C90" w:rsidRDefault="00695C90" w:rsidP="00695C90">
      <w:pPr>
        <w:ind w:left="360"/>
        <w:jc w:val="both"/>
        <w:rPr>
          <w:rFonts w:ascii="Arial" w:hAnsi="Arial" w:cs="Arial"/>
          <w:sz w:val="22"/>
          <w:szCs w:val="22"/>
          <w:lang w:val="es-ES"/>
        </w:rPr>
      </w:pPr>
    </w:p>
    <w:p w14:paraId="76D2FA94"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De no lograrse acuerdos en este ámbito y no prosperar los mecanismos de conciliación, entonces se recurrirá a los procedimientos que contemple la legislación local vigente, con la participación directa de la UE.</w:t>
      </w:r>
    </w:p>
    <w:p w14:paraId="16E3E885" w14:textId="77777777" w:rsidR="00695C90" w:rsidRPr="00695C90" w:rsidRDefault="00695C90" w:rsidP="00695C90">
      <w:pPr>
        <w:spacing w:before="120" w:after="120"/>
        <w:ind w:left="8525" w:hanging="1296"/>
        <w:jc w:val="both"/>
        <w:outlineLvl w:val="2"/>
        <w:rPr>
          <w:rFonts w:ascii="Arial" w:hAnsi="Arial" w:cs="Arial"/>
          <w:sz w:val="24"/>
          <w:lang w:val="es-ES_tradnl"/>
        </w:rPr>
      </w:pPr>
    </w:p>
    <w:p w14:paraId="405BE765" w14:textId="77777777" w:rsidR="00695C90" w:rsidRPr="00695C90" w:rsidRDefault="00695C90" w:rsidP="00695C90">
      <w:pPr>
        <w:jc w:val="both"/>
        <w:rPr>
          <w:rFonts w:ascii="Arial" w:hAnsi="Arial" w:cs="Arial"/>
          <w:b/>
          <w:lang w:val="es-ES"/>
        </w:rPr>
      </w:pPr>
      <w:r w:rsidRPr="00695C90">
        <w:rPr>
          <w:rFonts w:ascii="Arial" w:hAnsi="Arial" w:cs="Arial"/>
          <w:b/>
          <w:sz w:val="22"/>
          <w:szCs w:val="22"/>
          <w:lang w:val="es-ES"/>
        </w:rPr>
        <w:t>Difusión de los Planes para Pueblos Indígenas</w:t>
      </w:r>
    </w:p>
    <w:p w14:paraId="20C8E68F" w14:textId="77777777" w:rsidR="00695C90" w:rsidRPr="00695C90" w:rsidRDefault="00695C90" w:rsidP="00695C90">
      <w:pPr>
        <w:rPr>
          <w:rFonts w:ascii="Arial" w:hAnsi="Arial" w:cs="Arial"/>
          <w:b/>
          <w:lang w:val="es-ES"/>
        </w:rPr>
      </w:pPr>
    </w:p>
    <w:p w14:paraId="5641BFC2" w14:textId="77777777" w:rsidR="00695C90" w:rsidRPr="00695C90" w:rsidRDefault="00695C90" w:rsidP="00695C90">
      <w:pPr>
        <w:numPr>
          <w:ilvl w:val="0"/>
          <w:numId w:val="64"/>
        </w:numPr>
        <w:jc w:val="both"/>
        <w:rPr>
          <w:rFonts w:ascii="Arial" w:hAnsi="Arial" w:cs="Arial"/>
          <w:sz w:val="22"/>
          <w:szCs w:val="22"/>
          <w:lang w:val="es-ES"/>
        </w:rPr>
      </w:pPr>
      <w:r w:rsidRPr="00695C90">
        <w:rPr>
          <w:rFonts w:ascii="Arial" w:hAnsi="Arial" w:cs="Arial"/>
          <w:sz w:val="22"/>
          <w:szCs w:val="22"/>
          <w:lang w:val="es-ES"/>
        </w:rPr>
        <w:t>Se deberá poner a disposición de los pueblos originarios/indígenas afectados el informe de la evaluación social y el PPI de una manera apropiada y en la lengua adecuada. Para la difusión de los PPI entre el público en general se utilizarán los mecanismos de difusión establecidos para las EIAS.</w:t>
      </w:r>
    </w:p>
    <w:p w14:paraId="33665E14" w14:textId="77777777" w:rsidR="00695C90" w:rsidRPr="00695C90" w:rsidRDefault="00695C90" w:rsidP="00695C90">
      <w:pPr>
        <w:jc w:val="both"/>
        <w:rPr>
          <w:rFonts w:ascii="Arial" w:hAnsi="Arial" w:cs="Arial"/>
          <w:lang w:val="es-ES_tradnl"/>
        </w:rPr>
      </w:pPr>
    </w:p>
    <w:p w14:paraId="7933EE9E" w14:textId="77777777" w:rsidR="00695C90" w:rsidRPr="00695C90" w:rsidRDefault="00695C90" w:rsidP="00695C90">
      <w:pPr>
        <w:jc w:val="both"/>
        <w:rPr>
          <w:rFonts w:ascii="Arial" w:hAnsi="Arial" w:cs="Arial"/>
          <w:lang w:val="es-ES_tradnl"/>
        </w:rPr>
      </w:pPr>
    </w:p>
    <w:p w14:paraId="58561CEE" w14:textId="77777777" w:rsidR="00695C90" w:rsidRPr="00695C90" w:rsidRDefault="00695C90" w:rsidP="00695C90">
      <w:pPr>
        <w:jc w:val="both"/>
        <w:rPr>
          <w:rFonts w:ascii="Arial" w:hAnsi="Arial" w:cs="Arial"/>
          <w:lang w:val="es-ES_tradnl"/>
        </w:rPr>
      </w:pPr>
    </w:p>
    <w:p w14:paraId="7AA0C846" w14:textId="77777777" w:rsidR="00695C90" w:rsidRPr="00695C90" w:rsidRDefault="00695C90" w:rsidP="00695C90">
      <w:pPr>
        <w:jc w:val="both"/>
        <w:rPr>
          <w:rFonts w:ascii="Arial" w:hAnsi="Arial" w:cs="Arial"/>
          <w:lang w:val="es-ES_tradnl"/>
        </w:rPr>
      </w:pPr>
    </w:p>
    <w:p w14:paraId="05302244" w14:textId="77777777" w:rsidR="00695C90" w:rsidRPr="00695C90" w:rsidRDefault="00695C90" w:rsidP="00695C90">
      <w:pPr>
        <w:jc w:val="both"/>
        <w:rPr>
          <w:rFonts w:ascii="Arial" w:hAnsi="Arial" w:cs="Arial"/>
          <w:lang w:val="es-ES_tradnl"/>
        </w:rPr>
      </w:pPr>
    </w:p>
    <w:p w14:paraId="229F2F7F" w14:textId="497B1D5F" w:rsidR="00695C90" w:rsidRPr="00695C90" w:rsidRDefault="00695C90" w:rsidP="00695C90">
      <w:pPr>
        <w:shd w:val="clear" w:color="auto" w:fill="D9D9D9"/>
        <w:jc w:val="center"/>
        <w:rPr>
          <w:rFonts w:ascii="Arial" w:hAnsi="Arial" w:cs="Arial"/>
          <w:b/>
          <w:bCs/>
          <w:sz w:val="24"/>
          <w:szCs w:val="24"/>
        </w:rPr>
      </w:pPr>
      <w:r w:rsidRPr="00695C90">
        <w:rPr>
          <w:rFonts w:ascii="Arial" w:hAnsi="Arial" w:cs="Arial"/>
          <w:b/>
          <w:bCs/>
          <w:sz w:val="24"/>
          <w:szCs w:val="24"/>
        </w:rPr>
        <w:t xml:space="preserve">Anexo </w:t>
      </w:r>
      <w:r>
        <w:rPr>
          <w:rFonts w:ascii="Arial" w:hAnsi="Arial" w:cs="Arial"/>
          <w:b/>
          <w:bCs/>
          <w:sz w:val="24"/>
          <w:szCs w:val="24"/>
        </w:rPr>
        <w:t>D</w:t>
      </w:r>
      <w:r w:rsidRPr="00695C90">
        <w:rPr>
          <w:rFonts w:ascii="Arial" w:hAnsi="Arial" w:cs="Arial"/>
          <w:b/>
          <w:bCs/>
          <w:sz w:val="24"/>
          <w:szCs w:val="24"/>
        </w:rPr>
        <w:t xml:space="preserve">. Plan de Acción de Género </w:t>
      </w:r>
    </w:p>
    <w:p w14:paraId="4FEDD5BB" w14:textId="77777777" w:rsidR="00695C90" w:rsidRPr="00695C90" w:rsidRDefault="00695C90" w:rsidP="00695C90">
      <w:pPr>
        <w:rPr>
          <w:rFonts w:ascii="Arial" w:hAnsi="Arial" w:cs="Arial"/>
        </w:rPr>
      </w:pPr>
    </w:p>
    <w:p w14:paraId="722D426B" w14:textId="77777777" w:rsidR="00695C90" w:rsidRPr="00695C90" w:rsidRDefault="00695C90" w:rsidP="00695C90">
      <w:pPr>
        <w:rPr>
          <w:rFonts w:ascii="Arial" w:hAnsi="Arial" w:cs="Arial"/>
          <w:lang w:val="es-ES_tradnl"/>
        </w:rPr>
      </w:pPr>
    </w:p>
    <w:p w14:paraId="4D59FAC2" w14:textId="77777777" w:rsidR="00695C90" w:rsidRPr="00695C90" w:rsidRDefault="00695C90" w:rsidP="00695C90">
      <w:pPr>
        <w:jc w:val="both"/>
        <w:rPr>
          <w:rFonts w:ascii="Arial" w:hAnsi="Arial" w:cs="Arial"/>
          <w:sz w:val="22"/>
          <w:szCs w:val="22"/>
          <w:lang w:val="es-ES_tradnl"/>
        </w:rPr>
      </w:pPr>
      <w:r w:rsidRPr="00695C90">
        <w:rPr>
          <w:rFonts w:ascii="Arial" w:hAnsi="Arial" w:cs="Arial"/>
          <w:sz w:val="22"/>
          <w:szCs w:val="22"/>
          <w:lang w:val="es-ES_tradnl"/>
        </w:rPr>
        <w:lastRenderedPageBreak/>
        <w:t>La Política de Igualdad de Género (OP 761) identifica dos líneas de acción: i) promover activamente la igualdad de género en todas las intervenciones de proyecto financiados por el BID; y ii) prevenir o mitigar los impactos negativos sobre hombres y mueres por razones de género. De acuerdo no estas líneas de acción se proponen los siguientes lineamientos:</w:t>
      </w:r>
    </w:p>
    <w:p w14:paraId="0FF5AFEF" w14:textId="77777777" w:rsidR="00695C90" w:rsidRPr="00695C90" w:rsidRDefault="00695C90" w:rsidP="00695C90">
      <w:pPr>
        <w:jc w:val="both"/>
        <w:rPr>
          <w:rFonts w:ascii="Arial" w:hAnsi="Arial" w:cs="Arial"/>
          <w:sz w:val="22"/>
          <w:szCs w:val="22"/>
          <w:lang w:val="es-ES_tradnl"/>
        </w:rPr>
      </w:pPr>
    </w:p>
    <w:p w14:paraId="5F6B13ED" w14:textId="77777777" w:rsidR="00695C90" w:rsidRPr="00695C90" w:rsidRDefault="00695C90" w:rsidP="00695C90">
      <w:pPr>
        <w:jc w:val="both"/>
        <w:rPr>
          <w:rFonts w:ascii="Arial" w:hAnsi="Arial" w:cs="Arial"/>
          <w:b/>
          <w:sz w:val="22"/>
          <w:szCs w:val="22"/>
          <w:lang w:val="es-ES_tradnl"/>
        </w:rPr>
      </w:pPr>
      <w:r w:rsidRPr="00695C90">
        <w:rPr>
          <w:rFonts w:ascii="Arial" w:hAnsi="Arial" w:cs="Arial"/>
          <w:b/>
          <w:sz w:val="22"/>
          <w:szCs w:val="22"/>
          <w:lang w:val="es-ES_tradnl"/>
        </w:rPr>
        <w:t xml:space="preserve">Responsabilidades del Ejecutor </w:t>
      </w:r>
    </w:p>
    <w:p w14:paraId="29E85C77" w14:textId="77777777" w:rsidR="00695C90" w:rsidRPr="00695C90" w:rsidRDefault="00695C90" w:rsidP="00695C90">
      <w:pPr>
        <w:jc w:val="both"/>
        <w:rPr>
          <w:rFonts w:ascii="Arial" w:hAnsi="Arial" w:cs="Arial"/>
          <w:sz w:val="22"/>
          <w:szCs w:val="22"/>
          <w:lang w:val="es-ES_tradnl"/>
        </w:rPr>
      </w:pPr>
    </w:p>
    <w:p w14:paraId="52301440" w14:textId="77777777" w:rsidR="00695C90" w:rsidRPr="00695C90" w:rsidRDefault="00695C90" w:rsidP="00695C90">
      <w:pPr>
        <w:jc w:val="both"/>
        <w:rPr>
          <w:rFonts w:ascii="Arial" w:hAnsi="Arial" w:cs="Arial"/>
          <w:sz w:val="22"/>
          <w:szCs w:val="22"/>
          <w:lang w:val="es-ES_tradnl"/>
        </w:rPr>
      </w:pPr>
      <w:r w:rsidRPr="00695C90">
        <w:rPr>
          <w:rFonts w:ascii="Arial" w:hAnsi="Arial" w:cs="Arial"/>
          <w:sz w:val="22"/>
          <w:szCs w:val="22"/>
          <w:lang w:val="es-ES_tradnl"/>
        </w:rPr>
        <w:t>En todas las fases de la operación el Ejecutor se compromete a corroborar que los diferentes proyectos financiados bajo la operación (y sus consultores y contratistas) se incorporen acciones transversales de igualdad de género incluyendo:</w:t>
      </w:r>
    </w:p>
    <w:p w14:paraId="1985BEFB" w14:textId="77777777" w:rsidR="00695C90" w:rsidRPr="00695C90" w:rsidRDefault="00695C90" w:rsidP="00695C90">
      <w:pPr>
        <w:jc w:val="both"/>
        <w:rPr>
          <w:rFonts w:ascii="Arial" w:hAnsi="Arial" w:cs="Arial"/>
          <w:sz w:val="22"/>
          <w:szCs w:val="22"/>
          <w:lang w:val="es-ES_tradnl"/>
        </w:rPr>
      </w:pPr>
    </w:p>
    <w:p w14:paraId="3AFC73F5" w14:textId="77777777" w:rsidR="00695C90" w:rsidRPr="00695C90" w:rsidRDefault="00695C90" w:rsidP="00695C90">
      <w:pPr>
        <w:jc w:val="both"/>
        <w:rPr>
          <w:rFonts w:ascii="Arial" w:hAnsi="Arial" w:cs="Arial"/>
          <w:b/>
          <w:sz w:val="22"/>
          <w:szCs w:val="22"/>
          <w:lang w:val="es-ES_tradnl"/>
        </w:rPr>
      </w:pPr>
      <w:r w:rsidRPr="00695C90">
        <w:rPr>
          <w:rFonts w:ascii="Arial" w:hAnsi="Arial" w:cs="Arial"/>
          <w:b/>
          <w:sz w:val="22"/>
          <w:szCs w:val="22"/>
          <w:lang w:val="es-ES_tradnl"/>
        </w:rPr>
        <w:t>Información y consulta</w:t>
      </w:r>
    </w:p>
    <w:p w14:paraId="01F95081" w14:textId="77777777" w:rsidR="00695C90" w:rsidRPr="00695C90" w:rsidRDefault="00695C90" w:rsidP="00695C90">
      <w:pPr>
        <w:jc w:val="both"/>
        <w:rPr>
          <w:rFonts w:ascii="Arial" w:hAnsi="Arial" w:cs="Arial"/>
          <w:sz w:val="22"/>
          <w:szCs w:val="22"/>
          <w:lang w:val="es-ES_tradnl"/>
        </w:rPr>
      </w:pPr>
    </w:p>
    <w:p w14:paraId="549217D0" w14:textId="77777777" w:rsidR="00695C90" w:rsidRPr="00695C90" w:rsidRDefault="00695C90" w:rsidP="00695C90">
      <w:pPr>
        <w:jc w:val="both"/>
        <w:rPr>
          <w:rFonts w:ascii="Arial" w:hAnsi="Arial" w:cs="Arial"/>
          <w:sz w:val="22"/>
          <w:szCs w:val="22"/>
          <w:lang w:val="es-ES_tradnl"/>
        </w:rPr>
      </w:pPr>
      <w:r w:rsidRPr="00695C90">
        <w:rPr>
          <w:rFonts w:ascii="Arial" w:hAnsi="Arial" w:cs="Arial"/>
          <w:sz w:val="22"/>
          <w:szCs w:val="22"/>
          <w:lang w:val="es-ES_tradnl"/>
        </w:rPr>
        <w:t>Identificar y desagregar por género los actores relevantes dentro del área de influencia (beneficiarios, afectados, organizaciones, actores interesados) y establecer mecanismos adecuados (contenidos y medios), según las condiciones socioeconómicas y culturales prevalecientes para asegurar la participación de las mujeres en los procesos de información y consulta reportando específicamente sus contribuciones.</w:t>
      </w:r>
    </w:p>
    <w:p w14:paraId="03A87430" w14:textId="77777777" w:rsidR="00695C90" w:rsidRPr="00695C90" w:rsidRDefault="00695C90" w:rsidP="00695C90">
      <w:pPr>
        <w:jc w:val="both"/>
        <w:rPr>
          <w:rFonts w:ascii="Arial" w:hAnsi="Arial" w:cs="Arial"/>
          <w:sz w:val="22"/>
          <w:szCs w:val="22"/>
          <w:lang w:val="es-ES_tradnl"/>
        </w:rPr>
      </w:pPr>
    </w:p>
    <w:p w14:paraId="707E15F3" w14:textId="77777777" w:rsidR="00695C90" w:rsidRPr="00695C90" w:rsidRDefault="00695C90" w:rsidP="00695C90">
      <w:pPr>
        <w:jc w:val="both"/>
        <w:rPr>
          <w:rFonts w:ascii="Arial" w:hAnsi="Arial" w:cs="Arial"/>
          <w:b/>
          <w:sz w:val="22"/>
          <w:szCs w:val="22"/>
          <w:lang w:val="es-ES_tradnl"/>
        </w:rPr>
      </w:pPr>
      <w:r w:rsidRPr="00695C90">
        <w:rPr>
          <w:rFonts w:ascii="Arial" w:hAnsi="Arial" w:cs="Arial"/>
          <w:b/>
          <w:sz w:val="22"/>
          <w:szCs w:val="22"/>
          <w:lang w:val="es-ES_tradnl"/>
        </w:rPr>
        <w:t>Toma de decisiones y participación en los beneficios</w:t>
      </w:r>
    </w:p>
    <w:p w14:paraId="301CF42E" w14:textId="77777777" w:rsidR="00695C90" w:rsidRPr="00695C90" w:rsidRDefault="00695C90" w:rsidP="00695C90">
      <w:pPr>
        <w:jc w:val="both"/>
        <w:rPr>
          <w:rFonts w:ascii="Arial" w:hAnsi="Arial" w:cs="Arial"/>
          <w:sz w:val="22"/>
          <w:szCs w:val="22"/>
          <w:lang w:val="es-ES_tradnl"/>
        </w:rPr>
      </w:pPr>
    </w:p>
    <w:p w14:paraId="61D04793" w14:textId="77777777" w:rsidR="00695C90" w:rsidRPr="00695C90" w:rsidRDefault="00695C90" w:rsidP="00695C90">
      <w:pPr>
        <w:jc w:val="both"/>
        <w:rPr>
          <w:rFonts w:ascii="Arial" w:hAnsi="Arial" w:cs="Arial"/>
          <w:sz w:val="22"/>
          <w:szCs w:val="22"/>
          <w:lang w:val="es-ES_tradnl"/>
        </w:rPr>
      </w:pPr>
      <w:r w:rsidRPr="00695C90">
        <w:rPr>
          <w:rFonts w:ascii="Arial" w:hAnsi="Arial" w:cs="Arial"/>
          <w:sz w:val="22"/>
          <w:szCs w:val="22"/>
          <w:lang w:val="es-ES_tradnl"/>
        </w:rPr>
        <w:t xml:space="preserve">Durante la vida de la operación: i) Asegurar que en las actividades de preparación, ejecución y operación según corresponda las mujeres participen en la toma de decisiones que las afecten o la beneficien; ii) identificar y poner en práctica medidas para mejorar la participación de las mujeres en Identificar en las oportunidades de empleo y capacitación y otras medidas de fortalecimiento de habilidades y organización relacionadas con el proyecto. </w:t>
      </w:r>
    </w:p>
    <w:p w14:paraId="0E56BB75" w14:textId="77777777" w:rsidR="00695C90" w:rsidRPr="00695C90" w:rsidRDefault="00695C90" w:rsidP="00695C90">
      <w:pPr>
        <w:jc w:val="both"/>
        <w:rPr>
          <w:rFonts w:ascii="Arial" w:hAnsi="Arial" w:cs="Arial"/>
          <w:sz w:val="22"/>
          <w:szCs w:val="22"/>
          <w:lang w:val="es-ES_tradnl"/>
        </w:rPr>
      </w:pPr>
    </w:p>
    <w:p w14:paraId="30621DF2" w14:textId="77777777" w:rsidR="00695C90" w:rsidRPr="00695C90" w:rsidRDefault="00695C90" w:rsidP="00695C90">
      <w:pPr>
        <w:jc w:val="both"/>
        <w:rPr>
          <w:rFonts w:ascii="Arial" w:hAnsi="Arial" w:cs="Arial"/>
          <w:b/>
          <w:sz w:val="22"/>
          <w:szCs w:val="22"/>
          <w:lang w:val="es-ES_tradnl"/>
        </w:rPr>
      </w:pPr>
      <w:r w:rsidRPr="00695C90">
        <w:rPr>
          <w:rFonts w:ascii="Arial" w:hAnsi="Arial" w:cs="Arial"/>
          <w:b/>
          <w:sz w:val="22"/>
          <w:szCs w:val="22"/>
          <w:lang w:val="es-ES_tradnl"/>
        </w:rPr>
        <w:t>Medidas de prevención de impactos por género</w:t>
      </w:r>
    </w:p>
    <w:p w14:paraId="3F23875C" w14:textId="77777777" w:rsidR="00695C90" w:rsidRPr="00695C90" w:rsidRDefault="00695C90" w:rsidP="00695C90">
      <w:pPr>
        <w:jc w:val="both"/>
        <w:rPr>
          <w:rFonts w:ascii="Arial" w:hAnsi="Arial" w:cs="Arial"/>
          <w:sz w:val="22"/>
          <w:szCs w:val="22"/>
          <w:lang w:val="es-ES_tradnl"/>
        </w:rPr>
      </w:pPr>
    </w:p>
    <w:p w14:paraId="510CA1F9" w14:textId="77777777" w:rsidR="00695C90" w:rsidRPr="00695C90" w:rsidRDefault="00695C90" w:rsidP="00695C90">
      <w:pPr>
        <w:jc w:val="both"/>
        <w:rPr>
          <w:rFonts w:ascii="Arial" w:hAnsi="Arial" w:cs="Arial"/>
          <w:sz w:val="22"/>
          <w:szCs w:val="22"/>
          <w:lang w:val="es-ES_tradnl"/>
        </w:rPr>
      </w:pPr>
      <w:r w:rsidRPr="00695C90">
        <w:rPr>
          <w:rFonts w:ascii="Arial" w:hAnsi="Arial" w:cs="Arial"/>
          <w:sz w:val="22"/>
          <w:szCs w:val="22"/>
          <w:lang w:val="es-ES_tradnl"/>
        </w:rPr>
        <w:t>Como parte de las medidas preventivas que pudieran derivar en impactos negativos por género: i) incorporar códigos de conducta para los trabajadores; ii) proporcionar capacitación a empleados y trabajadores para evitar acciones que afecten específicamente a las mujeres; y iii) establecer sistemas de comunicación y manejo de quejas de las comunidades y/o habitantes circunvecinos para resolver rápidamente cualquier conducta que viole el código de conducta y de relaciones con la comunidad establecidos; iv) estas medidas se incorporarán en los contratos de los contratistas que participen en las obras de los proyecto.</w:t>
      </w:r>
    </w:p>
    <w:p w14:paraId="6CAEA738" w14:textId="77777777" w:rsidR="00695C90" w:rsidRPr="00695C90" w:rsidRDefault="00695C90" w:rsidP="00695C90">
      <w:pPr>
        <w:jc w:val="both"/>
        <w:rPr>
          <w:rFonts w:ascii="Arial" w:hAnsi="Arial" w:cs="Arial"/>
          <w:lang w:val="es-ES_tradnl"/>
        </w:rPr>
      </w:pPr>
    </w:p>
    <w:p w14:paraId="0352006A" w14:textId="77777777" w:rsidR="00695C90" w:rsidRPr="00695C90" w:rsidRDefault="00695C90" w:rsidP="00695C90">
      <w:pPr>
        <w:jc w:val="both"/>
        <w:rPr>
          <w:rFonts w:ascii="Arial" w:hAnsi="Arial" w:cs="Arial"/>
          <w:lang w:val="es-ES_tradnl"/>
        </w:rPr>
      </w:pPr>
    </w:p>
    <w:p w14:paraId="7BE699BA" w14:textId="77777777" w:rsidR="00695C90" w:rsidRPr="00695C90" w:rsidRDefault="00695C90" w:rsidP="00695C90">
      <w:pPr>
        <w:jc w:val="both"/>
        <w:rPr>
          <w:rFonts w:ascii="Arial" w:hAnsi="Arial" w:cs="Arial"/>
          <w:lang w:val="es-ES_tradnl"/>
        </w:rPr>
      </w:pPr>
    </w:p>
    <w:p w14:paraId="58A46FC1" w14:textId="77777777" w:rsidR="00695C90" w:rsidRPr="00695C90" w:rsidRDefault="00695C90" w:rsidP="00695C90">
      <w:pPr>
        <w:jc w:val="both"/>
        <w:rPr>
          <w:rFonts w:ascii="Arial" w:hAnsi="Arial" w:cs="Arial"/>
          <w:lang w:val="es-ES_tradnl"/>
        </w:rPr>
      </w:pPr>
    </w:p>
    <w:p w14:paraId="37602158" w14:textId="77777777" w:rsidR="00695C90" w:rsidRPr="00695C90" w:rsidRDefault="00695C90" w:rsidP="00695C90">
      <w:pPr>
        <w:jc w:val="both"/>
        <w:rPr>
          <w:rFonts w:ascii="Arial" w:hAnsi="Arial" w:cs="Arial"/>
          <w:lang w:val="es-ES_tradnl"/>
        </w:rPr>
      </w:pPr>
    </w:p>
    <w:p w14:paraId="7DEC0BD3" w14:textId="2B0525CC" w:rsidR="00695C90" w:rsidRPr="00695C90" w:rsidRDefault="00695C90" w:rsidP="00695C90">
      <w:pPr>
        <w:shd w:val="clear" w:color="auto" w:fill="D9D9D9"/>
        <w:jc w:val="center"/>
        <w:rPr>
          <w:rFonts w:ascii="Arial" w:hAnsi="Arial" w:cs="Arial"/>
          <w:b/>
          <w:bCs/>
          <w:sz w:val="24"/>
          <w:szCs w:val="24"/>
        </w:rPr>
      </w:pPr>
      <w:r w:rsidRPr="00695C90">
        <w:rPr>
          <w:rFonts w:ascii="Arial" w:hAnsi="Arial" w:cs="Arial"/>
          <w:b/>
          <w:bCs/>
          <w:sz w:val="24"/>
          <w:szCs w:val="24"/>
        </w:rPr>
        <w:t xml:space="preserve">Anexo </w:t>
      </w:r>
      <w:r>
        <w:rPr>
          <w:rFonts w:ascii="Arial" w:hAnsi="Arial" w:cs="Arial"/>
          <w:b/>
          <w:bCs/>
          <w:sz w:val="24"/>
          <w:szCs w:val="24"/>
        </w:rPr>
        <w:t>E.</w:t>
      </w:r>
      <w:r w:rsidRPr="00695C90">
        <w:rPr>
          <w:rFonts w:ascii="Arial" w:hAnsi="Arial" w:cs="Arial"/>
          <w:b/>
          <w:bCs/>
          <w:sz w:val="24"/>
          <w:szCs w:val="24"/>
        </w:rPr>
        <w:t xml:space="preserve"> Lineamientos para la Consulta </w:t>
      </w:r>
    </w:p>
    <w:p w14:paraId="638E9C34" w14:textId="77777777" w:rsidR="00695C90" w:rsidRPr="00695C90" w:rsidRDefault="00695C90" w:rsidP="00695C90">
      <w:pPr>
        <w:jc w:val="both"/>
        <w:rPr>
          <w:rFonts w:ascii="Arial" w:hAnsi="Arial" w:cs="Arial"/>
        </w:rPr>
      </w:pPr>
    </w:p>
    <w:p w14:paraId="710B6F26" w14:textId="77777777" w:rsidR="00695C90" w:rsidRPr="00695C90" w:rsidRDefault="00695C90" w:rsidP="00695C90">
      <w:pPr>
        <w:jc w:val="both"/>
        <w:rPr>
          <w:rFonts w:ascii="Arial" w:hAnsi="Arial" w:cs="Arial"/>
        </w:rPr>
      </w:pPr>
    </w:p>
    <w:p w14:paraId="5EB3F319" w14:textId="77777777" w:rsidR="00695C90" w:rsidRPr="00695C90" w:rsidRDefault="00695C90" w:rsidP="00695C90">
      <w:pPr>
        <w:jc w:val="center"/>
        <w:rPr>
          <w:rFonts w:ascii="Arial" w:hAnsi="Arial" w:cs="Arial"/>
          <w:b/>
          <w:sz w:val="22"/>
          <w:szCs w:val="22"/>
          <w:u w:val="single"/>
        </w:rPr>
      </w:pPr>
      <w:r w:rsidRPr="00695C90">
        <w:rPr>
          <w:rFonts w:ascii="Arial" w:hAnsi="Arial" w:cs="Arial"/>
          <w:b/>
          <w:sz w:val="22"/>
          <w:szCs w:val="22"/>
          <w:u w:val="single"/>
        </w:rPr>
        <w:t xml:space="preserve">Lineamientos para la Consulta </w:t>
      </w:r>
    </w:p>
    <w:p w14:paraId="3881EE4F" w14:textId="77777777" w:rsidR="00695C90" w:rsidRPr="00695C90" w:rsidRDefault="00695C90" w:rsidP="00695C90">
      <w:pPr>
        <w:jc w:val="center"/>
        <w:rPr>
          <w:rFonts w:ascii="Arial" w:hAnsi="Arial" w:cs="Arial"/>
          <w:b/>
          <w:sz w:val="22"/>
          <w:szCs w:val="22"/>
          <w:u w:val="single"/>
        </w:rPr>
      </w:pPr>
    </w:p>
    <w:p w14:paraId="6BA01993" w14:textId="77777777" w:rsidR="00695C90" w:rsidRPr="00695C90" w:rsidRDefault="00695C90" w:rsidP="00695C90">
      <w:pPr>
        <w:contextualSpacing/>
        <w:rPr>
          <w:rFonts w:ascii="Arial" w:hAnsi="Arial" w:cs="Arial"/>
          <w:b/>
          <w:sz w:val="22"/>
          <w:szCs w:val="22"/>
        </w:rPr>
      </w:pPr>
    </w:p>
    <w:p w14:paraId="7802042D" w14:textId="77777777" w:rsidR="00695C90" w:rsidRPr="00695C90" w:rsidRDefault="00695C90" w:rsidP="00695C90">
      <w:pPr>
        <w:ind w:firstLine="450"/>
        <w:contextualSpacing/>
        <w:rPr>
          <w:rFonts w:ascii="Arial" w:hAnsi="Arial" w:cs="Arial"/>
          <w:b/>
          <w:sz w:val="22"/>
          <w:szCs w:val="22"/>
        </w:rPr>
      </w:pPr>
      <w:r w:rsidRPr="00695C90">
        <w:rPr>
          <w:rFonts w:ascii="Arial" w:hAnsi="Arial" w:cs="Arial"/>
          <w:b/>
          <w:sz w:val="22"/>
          <w:szCs w:val="22"/>
        </w:rPr>
        <w:t>Objetivos</w:t>
      </w:r>
    </w:p>
    <w:p w14:paraId="00672238" w14:textId="77777777" w:rsidR="00695C90" w:rsidRPr="00695C90" w:rsidRDefault="00695C90" w:rsidP="00695C90">
      <w:pPr>
        <w:spacing w:before="240"/>
        <w:ind w:left="450"/>
        <w:rPr>
          <w:rFonts w:ascii="Arial" w:hAnsi="Arial" w:cs="Arial"/>
          <w:sz w:val="22"/>
          <w:szCs w:val="22"/>
        </w:rPr>
      </w:pPr>
      <w:r w:rsidRPr="00695C90">
        <w:rPr>
          <w:rFonts w:ascii="Arial" w:hAnsi="Arial" w:cs="Arial"/>
          <w:sz w:val="22"/>
          <w:szCs w:val="22"/>
        </w:rPr>
        <w:t xml:space="preserve">De acuerdo con la normativa ambiental nacional y las salvaguardas del BID, se ha establecido como  buena práctica, obligatoria para los proyectos financiados por el BID,  llevar a cabo un proceso de consulta en las diversas fases de preparación, ejecución y </w:t>
      </w:r>
      <w:r w:rsidRPr="00695C90">
        <w:rPr>
          <w:rFonts w:ascii="Arial" w:hAnsi="Arial" w:cs="Arial"/>
          <w:sz w:val="22"/>
          <w:szCs w:val="22"/>
        </w:rPr>
        <w:lastRenderedPageBreak/>
        <w:t xml:space="preserve">operación de los mismos, la finalidad de promover la participación de los actores involucrados  y tomar en cuenta sus puntos de vista e incorporar medidas para optimizar los beneficios del proyecto, minimizar y/o mitigar las posibles consecuencias negativas y evitar el surgimiento de conflictos.  </w:t>
      </w:r>
    </w:p>
    <w:p w14:paraId="0F98792A" w14:textId="77777777" w:rsidR="00695C90" w:rsidRPr="00695C90" w:rsidRDefault="00695C90" w:rsidP="00695C90">
      <w:pPr>
        <w:ind w:firstLine="450"/>
        <w:rPr>
          <w:rFonts w:ascii="Arial" w:hAnsi="Arial" w:cs="Arial"/>
          <w:b/>
          <w:sz w:val="22"/>
          <w:szCs w:val="22"/>
        </w:rPr>
      </w:pPr>
    </w:p>
    <w:p w14:paraId="676D0A49" w14:textId="77777777" w:rsidR="00695C90" w:rsidRPr="00695C90" w:rsidRDefault="00695C90" w:rsidP="00695C90">
      <w:pPr>
        <w:ind w:firstLine="450"/>
        <w:rPr>
          <w:rFonts w:ascii="Arial" w:hAnsi="Arial" w:cs="Arial"/>
          <w:b/>
          <w:sz w:val="22"/>
          <w:szCs w:val="22"/>
        </w:rPr>
      </w:pPr>
      <w:r w:rsidRPr="00695C90">
        <w:rPr>
          <w:rFonts w:ascii="Arial" w:hAnsi="Arial" w:cs="Arial"/>
          <w:b/>
          <w:sz w:val="22"/>
          <w:szCs w:val="22"/>
        </w:rPr>
        <w:t>Lineamientos y principios</w:t>
      </w:r>
    </w:p>
    <w:p w14:paraId="5D308C68" w14:textId="77777777" w:rsidR="00695C90" w:rsidRPr="00695C90" w:rsidRDefault="00695C90" w:rsidP="00695C90">
      <w:pPr>
        <w:ind w:left="450"/>
        <w:contextualSpacing/>
        <w:rPr>
          <w:rFonts w:ascii="Arial" w:hAnsi="Arial" w:cs="Arial"/>
          <w:sz w:val="22"/>
          <w:szCs w:val="22"/>
        </w:rPr>
      </w:pPr>
    </w:p>
    <w:p w14:paraId="2A8767CC" w14:textId="77777777" w:rsidR="00695C90" w:rsidRPr="00695C90" w:rsidRDefault="00695C90" w:rsidP="00695C90">
      <w:pPr>
        <w:ind w:left="450"/>
        <w:contextualSpacing/>
        <w:rPr>
          <w:rFonts w:ascii="Arial" w:hAnsi="Arial" w:cs="Arial"/>
          <w:sz w:val="22"/>
          <w:szCs w:val="22"/>
        </w:rPr>
      </w:pPr>
      <w:r w:rsidRPr="00695C90">
        <w:rPr>
          <w:rFonts w:ascii="Arial" w:hAnsi="Arial" w:cs="Arial"/>
          <w:sz w:val="22"/>
          <w:szCs w:val="22"/>
        </w:rPr>
        <w:t>La consulta se define como un proceso que abarca tanto la preparación como la ejecución de los proyectos y un programa de comunicación durante la operación, así como el establecimiento, a lo largo del proceso de un sistema para el manejo y resolución de quejas y reclamos que evite el escalamiento de conflictos.</w:t>
      </w:r>
    </w:p>
    <w:p w14:paraId="27A5B3CF" w14:textId="77777777" w:rsidR="00695C90" w:rsidRPr="00695C90" w:rsidRDefault="00695C90" w:rsidP="00695C90">
      <w:pPr>
        <w:ind w:left="450"/>
        <w:contextualSpacing/>
        <w:rPr>
          <w:rFonts w:ascii="Arial" w:hAnsi="Arial" w:cs="Arial"/>
          <w:sz w:val="22"/>
          <w:szCs w:val="22"/>
        </w:rPr>
      </w:pPr>
    </w:p>
    <w:p w14:paraId="1AEFD69B" w14:textId="77777777" w:rsidR="00695C90" w:rsidRPr="00695C90" w:rsidRDefault="00695C90" w:rsidP="00695C90">
      <w:pPr>
        <w:ind w:left="450"/>
        <w:jc w:val="both"/>
        <w:rPr>
          <w:rFonts w:ascii="Arial" w:hAnsi="Arial" w:cs="Arial"/>
          <w:sz w:val="22"/>
          <w:szCs w:val="22"/>
        </w:rPr>
      </w:pPr>
      <w:r w:rsidRPr="00695C90">
        <w:rPr>
          <w:rFonts w:ascii="Arial" w:hAnsi="Arial" w:cs="Arial"/>
          <w:sz w:val="22"/>
          <w:szCs w:val="22"/>
        </w:rPr>
        <w:t xml:space="preserve">El Ejecutor tendrá la responsabilidad de asegurar que en todos los proyectos dentro de la operación de lleven a cabo se procesos de consulta bajo una metodología inclusiva, con enfoque de género, para asegurar la participación de las mujeres y culturalmente apropiada para adecuarse a las tradiciones y normas culturales de las poblaciones indígenas bajo los siguientes principios: </w:t>
      </w:r>
      <w:r w:rsidRPr="00695C90">
        <w:rPr>
          <w:rFonts w:ascii="Arial" w:hAnsi="Arial" w:cs="Arial"/>
          <w:i/>
          <w:sz w:val="22"/>
          <w:szCs w:val="22"/>
        </w:rPr>
        <w:t>Buena fe:</w:t>
      </w:r>
      <w:r w:rsidRPr="00695C90">
        <w:rPr>
          <w:rFonts w:ascii="Arial" w:hAnsi="Arial" w:cs="Arial"/>
          <w:sz w:val="22"/>
          <w:szCs w:val="22"/>
        </w:rPr>
        <w:t xml:space="preserve"> El proceso de consulta previa se realiza mediante un entre los promotores de los proyectos y las organizaciones y comunidades dentro del área del proyecto, a en un clima de confianza mutua que tiene como objetivo alcanzar acuerdos y obtener apoyo al proyecto y en su caso el consentimiento libre e informado si se requiere efectuar acuerdos específicos.</w:t>
      </w:r>
    </w:p>
    <w:p w14:paraId="7E08B9F1" w14:textId="77777777" w:rsidR="00695C90" w:rsidRPr="00695C90" w:rsidRDefault="00695C90" w:rsidP="00695C90">
      <w:pPr>
        <w:ind w:left="720"/>
        <w:jc w:val="both"/>
        <w:rPr>
          <w:rFonts w:ascii="Arial" w:eastAsia="Calibri" w:hAnsi="Arial" w:cs="Arial"/>
          <w:sz w:val="22"/>
          <w:szCs w:val="22"/>
        </w:rPr>
      </w:pPr>
    </w:p>
    <w:p w14:paraId="2FD25740" w14:textId="77777777" w:rsidR="00695C90" w:rsidRPr="00695C90" w:rsidRDefault="00695C90" w:rsidP="00695C90">
      <w:pPr>
        <w:numPr>
          <w:ilvl w:val="0"/>
          <w:numId w:val="74"/>
        </w:numPr>
        <w:spacing w:after="200"/>
        <w:contextualSpacing/>
        <w:jc w:val="both"/>
        <w:rPr>
          <w:rFonts w:ascii="Arial" w:eastAsia="Calibri" w:hAnsi="Arial" w:cs="Arial"/>
          <w:sz w:val="22"/>
          <w:szCs w:val="22"/>
        </w:rPr>
      </w:pPr>
      <w:r w:rsidRPr="00695C90">
        <w:rPr>
          <w:rFonts w:ascii="Arial" w:eastAsia="Calibri" w:hAnsi="Arial" w:cs="Arial"/>
          <w:i/>
          <w:sz w:val="22"/>
          <w:szCs w:val="22"/>
        </w:rPr>
        <w:t>Libre:</w:t>
      </w:r>
      <w:r w:rsidRPr="00695C90">
        <w:rPr>
          <w:rFonts w:ascii="Arial" w:eastAsia="Calibri" w:hAnsi="Arial" w:cs="Arial"/>
          <w:sz w:val="22"/>
          <w:szCs w:val="22"/>
        </w:rPr>
        <w:t xml:space="preserve"> Se garantiza que la participación y toma de decisiones por parte de los vecinos (hombres y mujeres) y comunidades indígenas se realizará sin ninguna coerción, intimidación o manipulación.</w:t>
      </w:r>
    </w:p>
    <w:p w14:paraId="336A001A" w14:textId="77777777" w:rsidR="00695C90" w:rsidRPr="00695C90" w:rsidRDefault="00695C90" w:rsidP="00695C90">
      <w:pPr>
        <w:ind w:left="720"/>
        <w:jc w:val="both"/>
        <w:rPr>
          <w:rFonts w:ascii="Arial" w:eastAsia="Calibri" w:hAnsi="Arial" w:cs="Arial"/>
          <w:sz w:val="22"/>
          <w:szCs w:val="22"/>
        </w:rPr>
      </w:pPr>
    </w:p>
    <w:p w14:paraId="0492B4B9" w14:textId="77777777" w:rsidR="00695C90" w:rsidRPr="00695C90" w:rsidRDefault="00695C90" w:rsidP="00695C90">
      <w:pPr>
        <w:numPr>
          <w:ilvl w:val="0"/>
          <w:numId w:val="74"/>
        </w:numPr>
        <w:spacing w:after="200"/>
        <w:contextualSpacing/>
        <w:jc w:val="both"/>
        <w:rPr>
          <w:rFonts w:ascii="Arial" w:eastAsia="Calibri" w:hAnsi="Arial" w:cs="Arial"/>
          <w:sz w:val="22"/>
          <w:szCs w:val="22"/>
        </w:rPr>
      </w:pPr>
      <w:r w:rsidRPr="00695C90">
        <w:rPr>
          <w:rFonts w:ascii="Arial" w:eastAsia="Calibri" w:hAnsi="Arial" w:cs="Arial"/>
          <w:sz w:val="22"/>
          <w:szCs w:val="22"/>
        </w:rPr>
        <w:t>Previo: Se pretende obtener el apoyo, acuerdo o consentimiento con suficiente antelación a cualquier autorización o comienzo de medidas técnicas y administrativas, o proyecto que se pretende llevar a cabo.</w:t>
      </w:r>
    </w:p>
    <w:p w14:paraId="0B2BD76E" w14:textId="77777777" w:rsidR="00695C90" w:rsidRPr="00695C90" w:rsidRDefault="00695C90" w:rsidP="00695C90">
      <w:pPr>
        <w:ind w:left="720"/>
        <w:jc w:val="both"/>
        <w:rPr>
          <w:rFonts w:ascii="Arial" w:eastAsia="Calibri" w:hAnsi="Arial" w:cs="Arial"/>
          <w:sz w:val="22"/>
          <w:szCs w:val="22"/>
        </w:rPr>
      </w:pPr>
    </w:p>
    <w:p w14:paraId="2BF44F9C" w14:textId="77777777" w:rsidR="00695C90" w:rsidRPr="00695C90" w:rsidRDefault="00695C90" w:rsidP="00695C90">
      <w:pPr>
        <w:numPr>
          <w:ilvl w:val="0"/>
          <w:numId w:val="74"/>
        </w:numPr>
        <w:spacing w:after="200"/>
        <w:contextualSpacing/>
        <w:jc w:val="both"/>
        <w:rPr>
          <w:rFonts w:ascii="Arial" w:eastAsia="Calibri" w:hAnsi="Arial" w:cs="Arial"/>
          <w:sz w:val="22"/>
          <w:szCs w:val="22"/>
        </w:rPr>
      </w:pPr>
      <w:r w:rsidRPr="00695C90">
        <w:rPr>
          <w:rFonts w:ascii="Arial" w:eastAsia="Calibri" w:hAnsi="Arial" w:cs="Arial"/>
          <w:i/>
          <w:sz w:val="22"/>
          <w:szCs w:val="22"/>
        </w:rPr>
        <w:t>Informado:</w:t>
      </w:r>
      <w:r w:rsidRPr="00695C90">
        <w:rPr>
          <w:rFonts w:ascii="Arial" w:eastAsia="Calibri" w:hAnsi="Arial" w:cs="Arial"/>
          <w:sz w:val="22"/>
          <w:szCs w:val="22"/>
        </w:rPr>
        <w:t xml:space="preserve"> Se requiere suministrar la información necesaria sobre los objetivos y alcances del proyecto, la ubicación de las áreas que potencialmente pueden ser afectadas, una evaluación preliminar de los probables impactos económicos, sociales, culturales y ambientales. En casa caso se presentarán las medidas de mitigación previstas. </w:t>
      </w:r>
    </w:p>
    <w:p w14:paraId="569ED36F" w14:textId="77777777" w:rsidR="00695C90" w:rsidRPr="00695C90" w:rsidRDefault="00695C90" w:rsidP="00695C90">
      <w:pPr>
        <w:ind w:left="720"/>
        <w:rPr>
          <w:rFonts w:ascii="Arial" w:eastAsia="Calibri" w:hAnsi="Arial" w:cs="Arial"/>
          <w:i/>
          <w:sz w:val="22"/>
          <w:szCs w:val="22"/>
        </w:rPr>
      </w:pPr>
    </w:p>
    <w:p w14:paraId="26223945" w14:textId="77777777" w:rsidR="00695C90" w:rsidRPr="00695C90" w:rsidRDefault="00695C90" w:rsidP="00695C90">
      <w:pPr>
        <w:numPr>
          <w:ilvl w:val="0"/>
          <w:numId w:val="74"/>
        </w:numPr>
        <w:spacing w:after="200"/>
        <w:contextualSpacing/>
        <w:jc w:val="both"/>
        <w:rPr>
          <w:rFonts w:ascii="Arial" w:eastAsia="Calibri" w:hAnsi="Arial" w:cs="Arial"/>
          <w:sz w:val="22"/>
          <w:szCs w:val="22"/>
        </w:rPr>
      </w:pPr>
      <w:r w:rsidRPr="00695C90">
        <w:rPr>
          <w:rFonts w:ascii="Arial" w:eastAsia="Calibri" w:hAnsi="Arial" w:cs="Arial"/>
          <w:i/>
          <w:sz w:val="22"/>
          <w:szCs w:val="22"/>
        </w:rPr>
        <w:t>Culturalmente adecuada:</w:t>
      </w:r>
      <w:r w:rsidRPr="00695C90">
        <w:rPr>
          <w:rFonts w:ascii="Arial" w:eastAsia="Calibri" w:hAnsi="Arial" w:cs="Arial"/>
          <w:sz w:val="22"/>
          <w:szCs w:val="22"/>
        </w:rPr>
        <w:t xml:space="preserve"> La consulta toma en cuenta las condiciones socioeconómicas y culturales del entorno social de los proyectos, las costumbres, formas de organización local y en particular de las juntas vecinales y organizaciones indígenas, teniendo en cuenta los valores, concepciones, tiempos, sistemas de referencia e incluso formas de concebir la consulta de los pueblos indígenas (en su caso) y comunidades locales. </w:t>
      </w:r>
    </w:p>
    <w:p w14:paraId="09FBCDC8" w14:textId="77777777" w:rsidR="00695C90" w:rsidRPr="00695C90" w:rsidRDefault="00695C90" w:rsidP="00695C90">
      <w:pPr>
        <w:ind w:left="720"/>
        <w:rPr>
          <w:rFonts w:ascii="Arial" w:eastAsia="Calibri" w:hAnsi="Arial" w:cs="Arial"/>
          <w:sz w:val="22"/>
          <w:szCs w:val="22"/>
        </w:rPr>
      </w:pPr>
    </w:p>
    <w:p w14:paraId="1C123099" w14:textId="77777777" w:rsidR="00695C90" w:rsidRPr="00695C90" w:rsidRDefault="00695C90" w:rsidP="00695C90">
      <w:pPr>
        <w:numPr>
          <w:ilvl w:val="0"/>
          <w:numId w:val="74"/>
        </w:numPr>
        <w:spacing w:after="200"/>
        <w:contextualSpacing/>
        <w:jc w:val="both"/>
        <w:rPr>
          <w:rFonts w:ascii="Arial" w:eastAsia="Calibri" w:hAnsi="Arial" w:cs="Arial"/>
          <w:sz w:val="22"/>
          <w:szCs w:val="22"/>
        </w:rPr>
      </w:pPr>
      <w:r w:rsidRPr="00695C90">
        <w:rPr>
          <w:rFonts w:ascii="Arial" w:eastAsia="Calibri" w:hAnsi="Arial" w:cs="Arial"/>
          <w:i/>
          <w:sz w:val="22"/>
          <w:szCs w:val="22"/>
        </w:rPr>
        <w:t>Transparencia</w:t>
      </w:r>
      <w:r w:rsidRPr="00695C90">
        <w:rPr>
          <w:rFonts w:ascii="Arial" w:eastAsia="Calibri" w:hAnsi="Arial" w:cs="Arial"/>
          <w:sz w:val="22"/>
          <w:szCs w:val="22"/>
        </w:rPr>
        <w:t>: La consulta es sistemática y transparente, con el objeto de dotar de seguridad jurídica al proceso y sus resultados. Al respecto se llevará un registro de participación y se levantarán actas de acuerdos accesibles a los interesados. Los resultados de la consulta se anexan a los EIAS, Planes de reasentamiento y/o Pan de Pueblos Indígenas según corresponda/</w:t>
      </w:r>
    </w:p>
    <w:p w14:paraId="00DF273E" w14:textId="77777777" w:rsidR="00695C90" w:rsidRPr="00695C90" w:rsidRDefault="00695C90" w:rsidP="00695C90">
      <w:pPr>
        <w:ind w:firstLine="708"/>
        <w:jc w:val="both"/>
        <w:rPr>
          <w:rFonts w:ascii="Arial" w:hAnsi="Arial" w:cs="Arial"/>
          <w:b/>
          <w:sz w:val="22"/>
          <w:szCs w:val="22"/>
        </w:rPr>
      </w:pPr>
      <w:r w:rsidRPr="00695C90">
        <w:rPr>
          <w:rFonts w:ascii="Arial" w:hAnsi="Arial" w:cs="Arial"/>
          <w:b/>
          <w:sz w:val="22"/>
          <w:szCs w:val="22"/>
        </w:rPr>
        <w:t>Principales Actividades</w:t>
      </w:r>
    </w:p>
    <w:p w14:paraId="0BF117D8" w14:textId="77777777" w:rsidR="00695C90" w:rsidRPr="00695C90" w:rsidRDefault="00695C90" w:rsidP="00695C90">
      <w:pPr>
        <w:spacing w:before="120"/>
        <w:ind w:left="720" w:right="288"/>
        <w:jc w:val="both"/>
        <w:rPr>
          <w:rFonts w:ascii="Arial" w:hAnsi="Arial" w:cs="Arial"/>
          <w:sz w:val="22"/>
          <w:szCs w:val="22"/>
        </w:rPr>
      </w:pPr>
      <w:r w:rsidRPr="00695C90">
        <w:rPr>
          <w:rFonts w:ascii="Arial" w:hAnsi="Arial" w:cs="Arial"/>
          <w:sz w:val="22"/>
          <w:szCs w:val="22"/>
        </w:rPr>
        <w:lastRenderedPageBreak/>
        <w:t xml:space="preserve">Como actividades específicas del proceso de consulta del proyecto, sin excluir otras que sean pertinentes según el tipo y localización del proyecto, se proponen las siguientes actividades: ales: </w:t>
      </w:r>
    </w:p>
    <w:p w14:paraId="3B2C744A" w14:textId="77777777" w:rsidR="00695C90" w:rsidRPr="00695C90" w:rsidRDefault="00695C90" w:rsidP="00695C90">
      <w:pPr>
        <w:ind w:left="360"/>
        <w:rPr>
          <w:rFonts w:ascii="Arial" w:eastAsia="Calibri" w:hAnsi="Arial" w:cs="Arial"/>
          <w:sz w:val="22"/>
          <w:szCs w:val="22"/>
        </w:rPr>
      </w:pPr>
    </w:p>
    <w:p w14:paraId="3376106A" w14:textId="77777777" w:rsidR="00695C90" w:rsidRPr="00695C90" w:rsidRDefault="00695C90" w:rsidP="00695C90">
      <w:pPr>
        <w:numPr>
          <w:ilvl w:val="0"/>
          <w:numId w:val="71"/>
        </w:numPr>
        <w:spacing w:after="200"/>
        <w:contextualSpacing/>
        <w:jc w:val="both"/>
        <w:rPr>
          <w:rFonts w:ascii="Arial" w:eastAsia="Calibri" w:hAnsi="Arial" w:cs="Arial"/>
          <w:b/>
          <w:sz w:val="22"/>
          <w:szCs w:val="22"/>
        </w:rPr>
      </w:pPr>
      <w:r w:rsidRPr="00695C90">
        <w:rPr>
          <w:rFonts w:ascii="Arial" w:eastAsia="Calibri" w:hAnsi="Arial" w:cs="Arial"/>
          <w:b/>
          <w:sz w:val="22"/>
          <w:szCs w:val="22"/>
        </w:rPr>
        <w:t xml:space="preserve">Identificación de actores y acuerdos preliminares: </w:t>
      </w:r>
    </w:p>
    <w:p w14:paraId="53608647" w14:textId="77777777" w:rsidR="00695C90" w:rsidRPr="00695C90" w:rsidRDefault="00695C90" w:rsidP="00695C90">
      <w:pPr>
        <w:ind w:left="720"/>
        <w:jc w:val="both"/>
        <w:rPr>
          <w:rFonts w:ascii="Arial" w:eastAsia="Calibri" w:hAnsi="Arial" w:cs="Arial"/>
          <w:b/>
          <w:sz w:val="22"/>
          <w:szCs w:val="22"/>
        </w:rPr>
      </w:pPr>
    </w:p>
    <w:p w14:paraId="390C2E7B" w14:textId="77777777" w:rsidR="00695C90" w:rsidRPr="00695C90" w:rsidRDefault="00695C90" w:rsidP="00695C90">
      <w:pPr>
        <w:numPr>
          <w:ilvl w:val="0"/>
          <w:numId w:val="73"/>
        </w:numPr>
        <w:spacing w:after="200"/>
        <w:contextualSpacing/>
        <w:jc w:val="both"/>
        <w:rPr>
          <w:rFonts w:ascii="Arial" w:eastAsia="Calibri" w:hAnsi="Arial" w:cs="Arial"/>
          <w:b/>
          <w:sz w:val="22"/>
          <w:szCs w:val="22"/>
        </w:rPr>
      </w:pPr>
      <w:r w:rsidRPr="00695C90">
        <w:rPr>
          <w:rFonts w:ascii="Arial" w:eastAsia="Calibri" w:hAnsi="Arial" w:cs="Arial"/>
          <w:sz w:val="22"/>
          <w:szCs w:val="22"/>
        </w:rPr>
        <w:t xml:space="preserve">Identificar y caracterizar a los actores es un proceso fundamental para definir los alcances y modalidades de la consulta. Es conveniente efectuar reuniones preliminares y acordar el protocolo de consulta a llevar a cabo; este paso facilita el proceso y logras consensos. </w:t>
      </w:r>
    </w:p>
    <w:p w14:paraId="235FF29C" w14:textId="77777777" w:rsidR="00695C90" w:rsidRPr="00695C90" w:rsidRDefault="00695C90" w:rsidP="00695C90">
      <w:pPr>
        <w:ind w:left="720" w:hanging="270"/>
        <w:jc w:val="both"/>
        <w:rPr>
          <w:rFonts w:ascii="Arial" w:eastAsia="Calibri" w:hAnsi="Arial" w:cs="Arial"/>
          <w:b/>
          <w:sz w:val="22"/>
          <w:szCs w:val="22"/>
        </w:rPr>
      </w:pPr>
    </w:p>
    <w:p w14:paraId="32EB20EA" w14:textId="77777777" w:rsidR="00695C90" w:rsidRPr="00695C90" w:rsidRDefault="00695C90" w:rsidP="00695C90">
      <w:pPr>
        <w:numPr>
          <w:ilvl w:val="0"/>
          <w:numId w:val="71"/>
        </w:numPr>
        <w:spacing w:after="200"/>
        <w:contextualSpacing/>
        <w:jc w:val="both"/>
        <w:rPr>
          <w:rFonts w:ascii="Arial" w:eastAsia="Calibri" w:hAnsi="Arial" w:cs="Arial"/>
          <w:b/>
          <w:sz w:val="22"/>
          <w:szCs w:val="22"/>
        </w:rPr>
      </w:pPr>
      <w:r w:rsidRPr="00695C90">
        <w:rPr>
          <w:rFonts w:ascii="Arial" w:eastAsia="Calibri" w:hAnsi="Arial" w:cs="Arial"/>
          <w:b/>
          <w:sz w:val="22"/>
          <w:szCs w:val="22"/>
        </w:rPr>
        <w:t>Fase Informativa</w:t>
      </w:r>
    </w:p>
    <w:p w14:paraId="015A8D79" w14:textId="77777777" w:rsidR="00695C90" w:rsidRPr="00695C90" w:rsidRDefault="00695C90" w:rsidP="00695C90">
      <w:pPr>
        <w:ind w:left="720"/>
        <w:jc w:val="both"/>
        <w:rPr>
          <w:rFonts w:ascii="Arial" w:eastAsia="Calibri" w:hAnsi="Arial" w:cs="Arial"/>
          <w:sz w:val="22"/>
          <w:szCs w:val="22"/>
        </w:rPr>
      </w:pPr>
    </w:p>
    <w:p w14:paraId="09F213FB" w14:textId="77777777" w:rsidR="00695C90" w:rsidRPr="00695C90" w:rsidRDefault="00695C90" w:rsidP="00695C90">
      <w:pPr>
        <w:numPr>
          <w:ilvl w:val="0"/>
          <w:numId w:val="72"/>
        </w:numPr>
        <w:spacing w:after="200"/>
        <w:ind w:left="1080"/>
        <w:contextualSpacing/>
        <w:jc w:val="both"/>
        <w:rPr>
          <w:rFonts w:ascii="Arial" w:eastAsia="Calibri" w:hAnsi="Arial" w:cs="Arial"/>
          <w:sz w:val="22"/>
          <w:szCs w:val="22"/>
        </w:rPr>
      </w:pPr>
      <w:r w:rsidRPr="00695C90">
        <w:rPr>
          <w:rFonts w:ascii="Arial" w:eastAsia="Calibri" w:hAnsi="Arial" w:cs="Arial"/>
          <w:sz w:val="22"/>
          <w:szCs w:val="22"/>
        </w:rPr>
        <w:t>Esta fase incluye: i) presentar los objetivos del proyecto, componentes y los beneficios potenciales para los involucrados; ii) presentar los impactos y medidas de mitigación y en su caso los procedimientos de compensación previstos; y iii) presentar a los representantes y mantener acceso al diálogo. Esta fase incluye un tiempo para diseminación y de deliberación al interior de las organizaciones.</w:t>
      </w:r>
    </w:p>
    <w:p w14:paraId="26F5406E" w14:textId="77777777" w:rsidR="00695C90" w:rsidRPr="00695C90" w:rsidRDefault="00695C90" w:rsidP="00695C90">
      <w:pPr>
        <w:ind w:left="720"/>
        <w:jc w:val="both"/>
        <w:rPr>
          <w:rFonts w:ascii="Arial" w:eastAsia="Calibri" w:hAnsi="Arial" w:cs="Arial"/>
          <w:sz w:val="22"/>
          <w:szCs w:val="22"/>
        </w:rPr>
      </w:pPr>
    </w:p>
    <w:p w14:paraId="29B57C70" w14:textId="77777777" w:rsidR="00695C90" w:rsidRPr="00695C90" w:rsidRDefault="00695C90" w:rsidP="00695C90">
      <w:pPr>
        <w:ind w:left="720"/>
        <w:jc w:val="both"/>
        <w:rPr>
          <w:rFonts w:ascii="Arial" w:eastAsia="Calibri" w:hAnsi="Arial" w:cs="Arial"/>
          <w:sz w:val="22"/>
          <w:szCs w:val="22"/>
        </w:rPr>
      </w:pPr>
    </w:p>
    <w:p w14:paraId="3273A6EC" w14:textId="77777777" w:rsidR="00695C90" w:rsidRPr="00695C90" w:rsidRDefault="00695C90" w:rsidP="00695C90">
      <w:pPr>
        <w:numPr>
          <w:ilvl w:val="0"/>
          <w:numId w:val="71"/>
        </w:numPr>
        <w:spacing w:after="200"/>
        <w:contextualSpacing/>
        <w:jc w:val="both"/>
        <w:rPr>
          <w:rFonts w:ascii="Arial" w:eastAsia="Calibri" w:hAnsi="Arial" w:cs="Arial"/>
          <w:b/>
          <w:sz w:val="22"/>
          <w:szCs w:val="22"/>
        </w:rPr>
      </w:pPr>
      <w:r w:rsidRPr="00695C90">
        <w:rPr>
          <w:rFonts w:ascii="Arial" w:eastAsia="Calibri" w:hAnsi="Arial" w:cs="Arial"/>
          <w:b/>
          <w:sz w:val="22"/>
          <w:szCs w:val="22"/>
        </w:rPr>
        <w:t>Fase consultiva (Desarrollo de los eventos de consulta pública)</w:t>
      </w:r>
    </w:p>
    <w:p w14:paraId="19D77FD8" w14:textId="77777777" w:rsidR="00695C90" w:rsidRPr="00695C90" w:rsidRDefault="00695C90" w:rsidP="00695C90">
      <w:pPr>
        <w:ind w:left="720"/>
        <w:jc w:val="both"/>
        <w:rPr>
          <w:rFonts w:ascii="Arial" w:eastAsia="Calibri" w:hAnsi="Arial" w:cs="Arial"/>
          <w:sz w:val="22"/>
          <w:szCs w:val="22"/>
        </w:rPr>
      </w:pPr>
    </w:p>
    <w:p w14:paraId="7B5043F7" w14:textId="77777777" w:rsidR="00695C90" w:rsidRPr="00695C90" w:rsidRDefault="00695C90" w:rsidP="00695C90">
      <w:pPr>
        <w:numPr>
          <w:ilvl w:val="0"/>
          <w:numId w:val="70"/>
        </w:numPr>
        <w:spacing w:after="200"/>
        <w:contextualSpacing/>
        <w:jc w:val="both"/>
        <w:rPr>
          <w:rFonts w:ascii="Arial" w:eastAsia="Calibri" w:hAnsi="Arial" w:cs="Arial"/>
          <w:sz w:val="22"/>
          <w:szCs w:val="22"/>
        </w:rPr>
      </w:pPr>
      <w:r w:rsidRPr="00695C90">
        <w:rPr>
          <w:rFonts w:ascii="Arial" w:eastAsia="Calibri" w:hAnsi="Arial" w:cs="Arial"/>
          <w:sz w:val="22"/>
          <w:szCs w:val="22"/>
        </w:rPr>
        <w:t xml:space="preserve">La fase consultiva propiamente se establece con los representantes de las organizaciones confirmadas durante la fase anterior y con el protocolo acordado. Este proceso se realiza de acuerdo con la organización y forma de toma de decisión locales y autoridades de comunidades indígenas, en su caso. Debe preverse, por pertinencia cultural, que en los eventos de consulta pública se cuente con personal bilingüe y/o un traductor que facilite la comunicación con los asistentes que hablan una lengua indígena. </w:t>
      </w:r>
    </w:p>
    <w:p w14:paraId="514C4FA8" w14:textId="77777777" w:rsidR="00695C90" w:rsidRPr="00695C90" w:rsidRDefault="00695C90" w:rsidP="00695C90">
      <w:pPr>
        <w:ind w:left="1080"/>
        <w:jc w:val="both"/>
        <w:rPr>
          <w:rFonts w:ascii="Arial" w:eastAsia="Calibri" w:hAnsi="Arial" w:cs="Arial"/>
          <w:sz w:val="22"/>
          <w:szCs w:val="22"/>
        </w:rPr>
      </w:pPr>
    </w:p>
    <w:p w14:paraId="7798B812" w14:textId="77777777" w:rsidR="00695C90" w:rsidRPr="00695C90" w:rsidRDefault="00695C90" w:rsidP="00695C90">
      <w:pPr>
        <w:numPr>
          <w:ilvl w:val="0"/>
          <w:numId w:val="70"/>
        </w:numPr>
        <w:spacing w:after="200"/>
        <w:contextualSpacing/>
        <w:jc w:val="both"/>
        <w:rPr>
          <w:rFonts w:ascii="Arial" w:eastAsia="Calibri" w:hAnsi="Arial" w:cs="Arial"/>
          <w:sz w:val="22"/>
          <w:szCs w:val="22"/>
        </w:rPr>
      </w:pPr>
      <w:r w:rsidRPr="00695C90">
        <w:rPr>
          <w:rFonts w:ascii="Arial" w:eastAsia="Calibri" w:hAnsi="Arial" w:cs="Arial"/>
          <w:sz w:val="22"/>
          <w:szCs w:val="22"/>
        </w:rPr>
        <w:t>Las fechas, sitios y horarios de la consulta se fijarán de manera tal que todos los actores involucrados e interesados en el proyecto puedan participar; de ser necesario el promotor aportará el apoyo logístico necesario.”</w:t>
      </w:r>
    </w:p>
    <w:p w14:paraId="38DA74CA" w14:textId="77777777" w:rsidR="00695C90" w:rsidRPr="00695C90" w:rsidRDefault="00695C90" w:rsidP="00695C90">
      <w:pPr>
        <w:ind w:left="1080"/>
        <w:jc w:val="both"/>
        <w:rPr>
          <w:rFonts w:ascii="Arial" w:eastAsia="Calibri" w:hAnsi="Arial" w:cs="Arial"/>
          <w:sz w:val="22"/>
          <w:szCs w:val="22"/>
        </w:rPr>
      </w:pPr>
    </w:p>
    <w:p w14:paraId="2FBF32BD" w14:textId="77777777" w:rsidR="00695C90" w:rsidRPr="00695C90" w:rsidRDefault="00695C90" w:rsidP="00695C90">
      <w:pPr>
        <w:numPr>
          <w:ilvl w:val="0"/>
          <w:numId w:val="70"/>
        </w:numPr>
        <w:spacing w:after="200"/>
        <w:contextualSpacing/>
        <w:jc w:val="both"/>
        <w:rPr>
          <w:rFonts w:ascii="Arial" w:eastAsia="Calibri" w:hAnsi="Arial" w:cs="Arial"/>
          <w:sz w:val="22"/>
          <w:szCs w:val="22"/>
        </w:rPr>
      </w:pPr>
      <w:r w:rsidRPr="00695C90">
        <w:rPr>
          <w:rFonts w:ascii="Arial" w:eastAsia="Calibri" w:hAnsi="Arial" w:cs="Arial"/>
          <w:sz w:val="22"/>
          <w:szCs w:val="22"/>
        </w:rPr>
        <w:t>Registro y diseminación: Es necesario llevar un registro (con la identificación pertinente) de los participantes, desagregado por género; ii) levantar y firmar un acta con las principales preocupaciones/requerimientos y en su caso respuestas ofrecidas; los resultados de las consultas deben ser accesible al público. El responsable del proyecto tomara en cuenta las propuestas presentadas y de ser posible las incorporara al diseño proceso del proyecto informando de ello a las partes relevantes</w:t>
      </w:r>
    </w:p>
    <w:p w14:paraId="550A4FD4" w14:textId="77777777" w:rsidR="00695C90" w:rsidRPr="00695C90" w:rsidRDefault="00695C90" w:rsidP="00695C90">
      <w:pPr>
        <w:ind w:left="720"/>
        <w:jc w:val="both"/>
        <w:rPr>
          <w:rFonts w:ascii="Arial" w:eastAsia="Calibri" w:hAnsi="Arial" w:cs="Arial"/>
          <w:sz w:val="22"/>
          <w:szCs w:val="22"/>
        </w:rPr>
      </w:pPr>
    </w:p>
    <w:p w14:paraId="07A569B0" w14:textId="77777777" w:rsidR="00695C90" w:rsidRPr="00695C90" w:rsidRDefault="00695C90" w:rsidP="00695C90">
      <w:pPr>
        <w:numPr>
          <w:ilvl w:val="0"/>
          <w:numId w:val="71"/>
        </w:numPr>
        <w:spacing w:after="200"/>
        <w:contextualSpacing/>
        <w:jc w:val="both"/>
        <w:rPr>
          <w:rFonts w:ascii="Arial" w:eastAsia="Calibri" w:hAnsi="Arial" w:cs="Arial"/>
          <w:b/>
          <w:sz w:val="22"/>
          <w:szCs w:val="22"/>
        </w:rPr>
      </w:pPr>
      <w:r w:rsidRPr="00695C90">
        <w:rPr>
          <w:rFonts w:ascii="Arial" w:eastAsia="Calibri" w:hAnsi="Arial" w:cs="Arial"/>
          <w:b/>
          <w:sz w:val="22"/>
          <w:szCs w:val="22"/>
        </w:rPr>
        <w:t>Mecanismo para la presentación, manejo y resolución de quejas</w:t>
      </w:r>
    </w:p>
    <w:p w14:paraId="6FD4271A" w14:textId="77777777" w:rsidR="00695C90" w:rsidRPr="00695C90" w:rsidRDefault="00695C90" w:rsidP="00695C90">
      <w:pPr>
        <w:ind w:left="720"/>
        <w:rPr>
          <w:rFonts w:ascii="Arial" w:eastAsia="Calibri" w:hAnsi="Arial" w:cs="Arial"/>
          <w:sz w:val="22"/>
          <w:szCs w:val="22"/>
        </w:rPr>
      </w:pPr>
    </w:p>
    <w:p w14:paraId="38ED0A0E" w14:textId="77777777" w:rsidR="00695C90" w:rsidRPr="00695C90" w:rsidRDefault="00695C90" w:rsidP="00695C90">
      <w:pPr>
        <w:numPr>
          <w:ilvl w:val="0"/>
          <w:numId w:val="70"/>
        </w:numPr>
        <w:spacing w:after="200"/>
        <w:contextualSpacing/>
        <w:jc w:val="both"/>
        <w:rPr>
          <w:rFonts w:ascii="Arial" w:eastAsia="Calibri" w:hAnsi="Arial" w:cs="Arial"/>
          <w:sz w:val="22"/>
          <w:szCs w:val="22"/>
        </w:rPr>
      </w:pPr>
      <w:r w:rsidRPr="00695C90">
        <w:rPr>
          <w:rFonts w:ascii="Arial" w:eastAsia="Calibri" w:hAnsi="Arial" w:cs="Arial"/>
          <w:sz w:val="22"/>
          <w:szCs w:val="22"/>
        </w:rPr>
        <w:t>Durante la consulta se presentará el mecanismo establecido para recibir y atender quejas y reclamos proporcionando los medios que resulten accesibles para ello.</w:t>
      </w:r>
    </w:p>
    <w:p w14:paraId="78A78D6E" w14:textId="77777777" w:rsidR="00695C90" w:rsidRPr="00695C90" w:rsidRDefault="00695C90" w:rsidP="00695C90">
      <w:pPr>
        <w:ind w:left="1080"/>
        <w:rPr>
          <w:rFonts w:ascii="Arial" w:eastAsia="Calibri" w:hAnsi="Arial" w:cs="Arial"/>
          <w:sz w:val="22"/>
          <w:szCs w:val="22"/>
        </w:rPr>
      </w:pPr>
    </w:p>
    <w:p w14:paraId="4EE9A6B4" w14:textId="77777777" w:rsidR="00695C90" w:rsidRPr="00695C90" w:rsidRDefault="00695C90" w:rsidP="00695C90">
      <w:pPr>
        <w:contextualSpacing/>
        <w:jc w:val="both"/>
        <w:rPr>
          <w:rFonts w:ascii="Arial" w:hAnsi="Arial" w:cs="Arial"/>
        </w:rPr>
      </w:pPr>
    </w:p>
    <w:p w14:paraId="74AD1709" w14:textId="77777777" w:rsidR="00695C90" w:rsidRPr="00695C90" w:rsidRDefault="00695C90" w:rsidP="00695C90">
      <w:pPr>
        <w:rPr>
          <w:rFonts w:ascii="Arial" w:hAnsi="Arial" w:cs="Arial"/>
          <w:lang w:val="es-ES_tradnl"/>
        </w:rPr>
      </w:pPr>
    </w:p>
    <w:p w14:paraId="2F59B7B2" w14:textId="485BB1EB" w:rsidR="00695C90" w:rsidRPr="00695C90" w:rsidRDefault="00695C90" w:rsidP="00695C90">
      <w:pPr>
        <w:shd w:val="clear" w:color="auto" w:fill="D9D9D9"/>
        <w:jc w:val="center"/>
        <w:rPr>
          <w:rFonts w:ascii="Arial" w:hAnsi="Arial" w:cs="Arial"/>
          <w:b/>
          <w:bCs/>
          <w:sz w:val="24"/>
          <w:szCs w:val="24"/>
          <w:lang w:val="pt-BR"/>
        </w:rPr>
      </w:pPr>
      <w:r w:rsidRPr="00695C90">
        <w:rPr>
          <w:rFonts w:ascii="Arial" w:hAnsi="Arial" w:cs="Arial"/>
          <w:b/>
          <w:bCs/>
          <w:sz w:val="24"/>
          <w:szCs w:val="24"/>
          <w:lang w:val="pt-BR"/>
        </w:rPr>
        <w:t xml:space="preserve">Anexo </w:t>
      </w:r>
      <w:r>
        <w:rPr>
          <w:rFonts w:ascii="Arial" w:hAnsi="Arial" w:cs="Arial"/>
          <w:b/>
          <w:bCs/>
          <w:sz w:val="24"/>
          <w:szCs w:val="24"/>
          <w:lang w:val="pt-BR"/>
        </w:rPr>
        <w:t>F</w:t>
      </w:r>
      <w:r w:rsidRPr="00695C90">
        <w:rPr>
          <w:rFonts w:ascii="Arial" w:hAnsi="Arial" w:cs="Arial"/>
          <w:b/>
          <w:bCs/>
          <w:sz w:val="24"/>
          <w:szCs w:val="24"/>
          <w:lang w:val="pt-BR"/>
        </w:rPr>
        <w:t>. Listado de Actividades Excluídas o Lista Negativa</w:t>
      </w:r>
    </w:p>
    <w:p w14:paraId="1FE8F238" w14:textId="77777777" w:rsidR="00695C90" w:rsidRPr="00695C90" w:rsidRDefault="00695C90" w:rsidP="00695C90">
      <w:pPr>
        <w:jc w:val="both"/>
        <w:rPr>
          <w:rFonts w:ascii="Arial" w:eastAsia="SimSun" w:hAnsi="Arial" w:cs="Arial"/>
          <w:b/>
          <w:sz w:val="24"/>
          <w:szCs w:val="24"/>
          <w:lang w:val="pt-BR" w:eastAsia="en-US"/>
        </w:rPr>
      </w:pPr>
    </w:p>
    <w:p w14:paraId="46A11DEB" w14:textId="77777777" w:rsidR="00695C90" w:rsidRPr="00695C90" w:rsidRDefault="00695C90" w:rsidP="00695C90">
      <w:pPr>
        <w:autoSpaceDE w:val="0"/>
        <w:autoSpaceDN w:val="0"/>
        <w:adjustRightInd w:val="0"/>
        <w:jc w:val="both"/>
        <w:rPr>
          <w:rFonts w:ascii="Arial" w:hAnsi="Arial" w:cs="Arial"/>
          <w:color w:val="0000FF"/>
          <w:sz w:val="22"/>
          <w:szCs w:val="24"/>
          <w:u w:val="double"/>
        </w:rPr>
      </w:pPr>
      <w:r w:rsidRPr="00695C90">
        <w:rPr>
          <w:rFonts w:ascii="Arial" w:hAnsi="Arial" w:cs="Arial"/>
          <w:sz w:val="22"/>
          <w:szCs w:val="24"/>
        </w:rPr>
        <w:t>El BID no otorga financiamiento para proyectos ni compañías involucrados en la producción, comercio o uso de los productos, sustancias o actividades enunciados en la siguiente lista:</w:t>
      </w:r>
    </w:p>
    <w:p w14:paraId="2E059677" w14:textId="77777777" w:rsidR="00695C90" w:rsidRPr="00695C90" w:rsidRDefault="00695C90" w:rsidP="00695C90">
      <w:pPr>
        <w:jc w:val="both"/>
        <w:rPr>
          <w:rFonts w:ascii="Arial" w:eastAsia="SimSun" w:hAnsi="Arial" w:cs="Arial"/>
          <w:color w:val="000000"/>
          <w:sz w:val="22"/>
          <w:szCs w:val="24"/>
          <w:u w:val="double"/>
          <w:lang w:eastAsia="en-US"/>
        </w:rPr>
      </w:pPr>
    </w:p>
    <w:p w14:paraId="276A21C2" w14:textId="77777777" w:rsidR="00695C90" w:rsidRPr="00695C90" w:rsidRDefault="00695C90" w:rsidP="00695C90">
      <w:pPr>
        <w:numPr>
          <w:ilvl w:val="0"/>
          <w:numId w:val="6"/>
        </w:numPr>
        <w:autoSpaceDE w:val="0"/>
        <w:autoSpaceDN w:val="0"/>
        <w:adjustRightInd w:val="0"/>
        <w:spacing w:after="60"/>
        <w:jc w:val="both"/>
        <w:rPr>
          <w:rFonts w:ascii="Arial" w:hAnsi="Arial" w:cs="Arial"/>
          <w:color w:val="0000FF"/>
          <w:sz w:val="22"/>
          <w:szCs w:val="22"/>
          <w:u w:val="double"/>
        </w:rPr>
      </w:pPr>
      <w:r w:rsidRPr="00695C90">
        <w:rPr>
          <w:rFonts w:ascii="Arial" w:hAnsi="Arial" w:cs="Arial"/>
          <w:sz w:val="22"/>
          <w:szCs w:val="24"/>
        </w:rPr>
        <w:t>Los que sean ilegales conforme a las leyes o reglamentos del país receptor, o co</w:t>
      </w:r>
      <w:r w:rsidRPr="00695C90">
        <w:rPr>
          <w:rFonts w:ascii="Arial" w:hAnsi="Arial" w:cs="Arial"/>
          <w:sz w:val="22"/>
          <w:szCs w:val="22"/>
        </w:rPr>
        <w:t>nforme a convenciones y tratados internacionales ratificados por éste.</w:t>
      </w:r>
    </w:p>
    <w:p w14:paraId="2D9DD0BE"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color w:val="000000"/>
          <w:sz w:val="22"/>
          <w:szCs w:val="22"/>
          <w:u w:val="double"/>
        </w:rPr>
      </w:pPr>
      <w:r w:rsidRPr="00695C90">
        <w:rPr>
          <w:rFonts w:ascii="Arial" w:hAnsi="Arial" w:cs="Arial"/>
          <w:color w:val="000000"/>
          <w:sz w:val="22"/>
          <w:szCs w:val="22"/>
          <w:u w:val="double"/>
        </w:rPr>
        <w:t>Armas y municiones.</w:t>
      </w:r>
    </w:p>
    <w:p w14:paraId="1A5DC485"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Tabaco.</w:t>
      </w:r>
      <w:r w:rsidRPr="00695C90">
        <w:rPr>
          <w:rFonts w:ascii="Arial" w:hAnsi="Arial" w:cs="Arial"/>
          <w:sz w:val="22"/>
          <w:szCs w:val="22"/>
          <w:vertAlign w:val="superscript"/>
        </w:rPr>
        <w:footnoteReference w:id="12"/>
      </w:r>
    </w:p>
    <w:p w14:paraId="1A48DE56"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Juegos de azar, casinos y empresas equivalentes</w:t>
      </w:r>
      <w:r w:rsidRPr="00695C90">
        <w:rPr>
          <w:rFonts w:ascii="Arial" w:hAnsi="Arial" w:cs="Arial"/>
          <w:sz w:val="22"/>
          <w:szCs w:val="22"/>
          <w:vertAlign w:val="superscript"/>
        </w:rPr>
        <w:footnoteReference w:id="13"/>
      </w:r>
      <w:r w:rsidRPr="00695C90">
        <w:rPr>
          <w:rFonts w:ascii="Arial" w:hAnsi="Arial" w:cs="Arial"/>
          <w:sz w:val="22"/>
          <w:szCs w:val="22"/>
        </w:rPr>
        <w:t>.</w:t>
      </w:r>
    </w:p>
    <w:p w14:paraId="78864FAC" w14:textId="77777777" w:rsidR="00695C90" w:rsidRPr="00695C90" w:rsidRDefault="00695C90" w:rsidP="00695C90">
      <w:pPr>
        <w:widowControl w:val="0"/>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Animales y plantas silvestres o productos derivados de ellos reglamentados conforme a la Convención sobre el Comercio Internacional de Especies Amenazadas de Fauna y Flora Silvestres (CITES)</w:t>
      </w:r>
      <w:r w:rsidRPr="00695C90">
        <w:rPr>
          <w:rFonts w:ascii="Arial" w:hAnsi="Arial" w:cs="Arial"/>
          <w:sz w:val="22"/>
          <w:szCs w:val="22"/>
          <w:vertAlign w:val="superscript"/>
        </w:rPr>
        <w:footnoteReference w:id="14"/>
      </w:r>
      <w:r w:rsidRPr="00695C90">
        <w:rPr>
          <w:rFonts w:ascii="Arial" w:hAnsi="Arial" w:cs="Arial"/>
          <w:sz w:val="22"/>
          <w:szCs w:val="22"/>
        </w:rPr>
        <w:t>.</w:t>
      </w:r>
    </w:p>
    <w:p w14:paraId="53AB6FCC"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Materiales radioactivos</w:t>
      </w:r>
      <w:r w:rsidRPr="00695C90">
        <w:rPr>
          <w:rFonts w:ascii="Arial" w:hAnsi="Arial" w:cs="Arial"/>
          <w:sz w:val="22"/>
          <w:szCs w:val="22"/>
          <w:vertAlign w:val="superscript"/>
        </w:rPr>
        <w:footnoteReference w:id="15"/>
      </w:r>
      <w:r w:rsidRPr="00695C90">
        <w:rPr>
          <w:rFonts w:ascii="Arial" w:hAnsi="Arial" w:cs="Arial"/>
          <w:sz w:val="22"/>
          <w:szCs w:val="22"/>
        </w:rPr>
        <w:t>.</w:t>
      </w:r>
    </w:p>
    <w:p w14:paraId="72ECB7C1"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Fibras de amianto no aglutinado</w:t>
      </w:r>
      <w:r w:rsidRPr="00695C90">
        <w:rPr>
          <w:rFonts w:ascii="Arial" w:hAnsi="Arial" w:cs="Arial"/>
          <w:sz w:val="22"/>
          <w:szCs w:val="22"/>
          <w:vertAlign w:val="superscript"/>
        </w:rPr>
        <w:footnoteReference w:id="16"/>
      </w:r>
      <w:r w:rsidRPr="00695C90">
        <w:rPr>
          <w:rFonts w:ascii="Arial" w:hAnsi="Arial" w:cs="Arial"/>
          <w:sz w:val="22"/>
          <w:szCs w:val="22"/>
        </w:rPr>
        <w:t>.</w:t>
      </w:r>
    </w:p>
    <w:p w14:paraId="7E524E5C"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Proyectos u operaciones forestales que no sean congruentes con la Política de medio ambiente y observancia de salvaguardias del Banco (documento GN-2208-20).</w:t>
      </w:r>
    </w:p>
    <w:p w14:paraId="36952B50"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Compuestos de bifenilo policlorado.</w:t>
      </w:r>
    </w:p>
    <w:p w14:paraId="13AB7AB3"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Productos farmacéuticos sujetos a eliminación gradual o prohibición internacional</w:t>
      </w:r>
      <w:r w:rsidRPr="00695C90">
        <w:rPr>
          <w:rFonts w:ascii="Arial" w:hAnsi="Arial" w:cs="Arial"/>
          <w:sz w:val="22"/>
          <w:szCs w:val="22"/>
          <w:vertAlign w:val="superscript"/>
        </w:rPr>
        <w:footnoteReference w:id="17"/>
      </w:r>
      <w:r w:rsidRPr="00695C90">
        <w:rPr>
          <w:rFonts w:ascii="Arial" w:hAnsi="Arial" w:cs="Arial"/>
          <w:sz w:val="22"/>
          <w:szCs w:val="22"/>
        </w:rPr>
        <w:t>.</w:t>
      </w:r>
    </w:p>
    <w:p w14:paraId="348EE850"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Pesticidas y herbicidas sujetos a eliminación gradual o prohibición internacional</w:t>
      </w:r>
      <w:r w:rsidRPr="00695C90">
        <w:rPr>
          <w:rFonts w:ascii="Arial" w:hAnsi="Arial" w:cs="Arial"/>
          <w:sz w:val="22"/>
          <w:szCs w:val="22"/>
          <w:vertAlign w:val="superscript"/>
        </w:rPr>
        <w:footnoteReference w:id="18"/>
      </w:r>
      <w:r w:rsidRPr="00695C90">
        <w:rPr>
          <w:rFonts w:ascii="Arial" w:hAnsi="Arial" w:cs="Arial"/>
          <w:sz w:val="22"/>
          <w:szCs w:val="22"/>
        </w:rPr>
        <w:t>. Sustancias que agotan la capa de ozono sujetas a eliminación gradual internacional</w:t>
      </w:r>
      <w:r w:rsidRPr="00695C90">
        <w:rPr>
          <w:rFonts w:ascii="Arial" w:hAnsi="Arial" w:cs="Arial"/>
          <w:sz w:val="22"/>
          <w:szCs w:val="22"/>
          <w:vertAlign w:val="superscript"/>
        </w:rPr>
        <w:footnoteReference w:id="19"/>
      </w:r>
      <w:r w:rsidRPr="00695C90">
        <w:rPr>
          <w:rFonts w:ascii="Arial" w:hAnsi="Arial" w:cs="Arial"/>
          <w:sz w:val="22"/>
          <w:szCs w:val="22"/>
        </w:rPr>
        <w:t xml:space="preserve">. </w:t>
      </w:r>
    </w:p>
    <w:p w14:paraId="6973233F"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Pesca en el entorno marítimo con redes de arrastre superiores a 2,5 km de longitud.</w:t>
      </w:r>
    </w:p>
    <w:p w14:paraId="011C0E18"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 xml:space="preserve"> Movimientos transfronterizos de desechos y productos de desecho</w:t>
      </w:r>
      <w:r w:rsidRPr="00695C90">
        <w:rPr>
          <w:rFonts w:ascii="Arial" w:hAnsi="Arial" w:cs="Arial"/>
          <w:sz w:val="22"/>
          <w:szCs w:val="22"/>
          <w:vertAlign w:val="superscript"/>
        </w:rPr>
        <w:footnoteReference w:id="20"/>
      </w:r>
      <w:r w:rsidRPr="00695C90">
        <w:rPr>
          <w:rFonts w:ascii="Arial" w:hAnsi="Arial" w:cs="Arial"/>
          <w:sz w:val="22"/>
          <w:szCs w:val="22"/>
        </w:rPr>
        <w:t>, excepto desechos no peligrosos destinados a reciclaje.</w:t>
      </w:r>
    </w:p>
    <w:p w14:paraId="2C5558E8"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t>Contaminantes Orgánicos Persistentes</w:t>
      </w:r>
      <w:r w:rsidRPr="00695C90">
        <w:rPr>
          <w:rFonts w:ascii="Arial" w:hAnsi="Arial" w:cs="Arial"/>
          <w:sz w:val="22"/>
          <w:szCs w:val="22"/>
          <w:vertAlign w:val="superscript"/>
        </w:rPr>
        <w:footnoteReference w:id="21"/>
      </w:r>
      <w:r w:rsidRPr="00695C90">
        <w:rPr>
          <w:rFonts w:ascii="Arial" w:hAnsi="Arial" w:cs="Arial"/>
          <w:sz w:val="22"/>
          <w:szCs w:val="22"/>
        </w:rPr>
        <w:t>.</w:t>
      </w:r>
    </w:p>
    <w:p w14:paraId="614079DF" w14:textId="77777777" w:rsidR="00695C90" w:rsidRPr="00695C90" w:rsidRDefault="00695C90" w:rsidP="00695C90">
      <w:pPr>
        <w:numPr>
          <w:ilvl w:val="1"/>
          <w:numId w:val="5"/>
        </w:numPr>
        <w:tabs>
          <w:tab w:val="num" w:pos="1080"/>
        </w:tabs>
        <w:autoSpaceDE w:val="0"/>
        <w:autoSpaceDN w:val="0"/>
        <w:adjustRightInd w:val="0"/>
        <w:spacing w:after="60"/>
        <w:ind w:left="1080"/>
        <w:jc w:val="both"/>
        <w:rPr>
          <w:rFonts w:ascii="Arial" w:hAnsi="Arial" w:cs="Arial"/>
          <w:sz w:val="22"/>
          <w:szCs w:val="22"/>
        </w:rPr>
      </w:pPr>
      <w:r w:rsidRPr="00695C90">
        <w:rPr>
          <w:rFonts w:ascii="Arial" w:hAnsi="Arial" w:cs="Arial"/>
          <w:sz w:val="22"/>
          <w:szCs w:val="22"/>
        </w:rPr>
        <w:lastRenderedPageBreak/>
        <w:t>Incumplimiento de los principios fundamentales de los trabajadores y de los derechos en el trabajo</w:t>
      </w:r>
      <w:r w:rsidRPr="00695C90">
        <w:rPr>
          <w:rFonts w:ascii="Arial" w:hAnsi="Arial" w:cs="Arial"/>
          <w:sz w:val="22"/>
          <w:szCs w:val="22"/>
          <w:vertAlign w:val="superscript"/>
        </w:rPr>
        <w:footnoteReference w:id="22"/>
      </w:r>
      <w:r w:rsidRPr="00695C90">
        <w:rPr>
          <w:rFonts w:ascii="Arial" w:hAnsi="Arial" w:cs="Arial"/>
          <w:sz w:val="22"/>
          <w:szCs w:val="22"/>
        </w:rPr>
        <w:t>.</w:t>
      </w:r>
    </w:p>
    <w:p w14:paraId="489A6E40" w14:textId="67847A6B" w:rsidR="00695C90" w:rsidRDefault="00695C90" w:rsidP="000A4B2D">
      <w:pPr>
        <w:pStyle w:val="AODocTxt"/>
        <w:numPr>
          <w:ilvl w:val="0"/>
          <w:numId w:val="0"/>
        </w:numPr>
        <w:spacing w:before="0" w:line="240" w:lineRule="auto"/>
        <w:rPr>
          <w:rFonts w:ascii="Arial" w:hAnsi="Arial" w:cs="Arial"/>
          <w:b/>
          <w:sz w:val="24"/>
          <w:szCs w:val="24"/>
          <w:lang w:val="es-MX"/>
        </w:rPr>
      </w:pPr>
    </w:p>
    <w:p w14:paraId="60594DA9" w14:textId="5D0530B9" w:rsidR="00695C90" w:rsidRDefault="00695C90" w:rsidP="000A4B2D">
      <w:pPr>
        <w:pStyle w:val="AODocTxt"/>
        <w:numPr>
          <w:ilvl w:val="0"/>
          <w:numId w:val="0"/>
        </w:numPr>
        <w:spacing w:before="0" w:line="240" w:lineRule="auto"/>
        <w:rPr>
          <w:rFonts w:ascii="Arial" w:hAnsi="Arial" w:cs="Arial"/>
          <w:b/>
          <w:sz w:val="24"/>
          <w:szCs w:val="24"/>
          <w:lang w:val="es-MX"/>
        </w:rPr>
      </w:pPr>
    </w:p>
    <w:p w14:paraId="2B2B0B5D" w14:textId="77777777" w:rsidR="00695C90" w:rsidRPr="00A24830" w:rsidRDefault="00695C90" w:rsidP="000A4B2D">
      <w:pPr>
        <w:pStyle w:val="AODocTxt"/>
        <w:numPr>
          <w:ilvl w:val="0"/>
          <w:numId w:val="0"/>
        </w:numPr>
        <w:spacing w:before="0" w:line="240" w:lineRule="auto"/>
        <w:rPr>
          <w:rFonts w:ascii="Arial" w:hAnsi="Arial" w:cs="Arial"/>
          <w:b/>
          <w:sz w:val="24"/>
          <w:szCs w:val="24"/>
          <w:lang w:val="es-MX"/>
        </w:rPr>
      </w:pPr>
    </w:p>
    <w:p w14:paraId="2360AC89" w14:textId="41B7DC06" w:rsidR="00695C90" w:rsidRDefault="00695C90" w:rsidP="008C38DE">
      <w:pPr>
        <w:pStyle w:val="AODocTxt"/>
        <w:numPr>
          <w:ilvl w:val="0"/>
          <w:numId w:val="0"/>
        </w:numPr>
        <w:spacing w:before="0" w:line="240" w:lineRule="auto"/>
        <w:jc w:val="center"/>
        <w:rPr>
          <w:rFonts w:ascii="Arial" w:eastAsia="Times New Roman" w:hAnsi="Arial" w:cs="Arial"/>
          <w:b/>
          <w:bCs/>
          <w:sz w:val="24"/>
          <w:szCs w:val="24"/>
          <w:lang w:val="es-MX" w:eastAsia="es-MX"/>
        </w:rPr>
      </w:pPr>
      <w:bookmarkStart w:id="458" w:name="_DV_M380"/>
      <w:bookmarkStart w:id="459" w:name="_DV_M381"/>
      <w:bookmarkStart w:id="460" w:name="_DV_M382"/>
      <w:bookmarkStart w:id="461" w:name="_DV_M383"/>
      <w:bookmarkStart w:id="462" w:name="_DV_M384"/>
      <w:bookmarkStart w:id="463" w:name="_DV_M385"/>
      <w:bookmarkStart w:id="464" w:name="_DV_M386"/>
      <w:bookmarkStart w:id="465" w:name="_DV_M387"/>
      <w:bookmarkStart w:id="466" w:name="_DV_M388"/>
      <w:bookmarkStart w:id="467" w:name="_DV_M389"/>
      <w:bookmarkStart w:id="468" w:name="_DV_M390"/>
      <w:bookmarkStart w:id="469" w:name="_DV_M391"/>
      <w:bookmarkStart w:id="470" w:name="_DV_M392"/>
      <w:bookmarkStart w:id="471" w:name="_DV_M393"/>
      <w:bookmarkStart w:id="472" w:name="_DV_M395"/>
      <w:bookmarkStart w:id="473" w:name="_DV_M397"/>
      <w:bookmarkStart w:id="474" w:name="_DV_M398"/>
      <w:bookmarkStart w:id="475" w:name="_DV_M399"/>
      <w:bookmarkStart w:id="476" w:name="_DV_M394"/>
      <w:bookmarkStart w:id="477" w:name="cap9_2"/>
      <w:bookmarkStart w:id="478" w:name="ESSectionPages"/>
      <w:bookmarkStart w:id="479" w:name="_ANEXO_C"/>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Arial" w:eastAsia="Times New Roman" w:hAnsi="Arial" w:cs="Arial"/>
          <w:b/>
          <w:bCs/>
          <w:sz w:val="24"/>
          <w:szCs w:val="24"/>
          <w:lang w:val="es-MX" w:eastAsia="es-MX"/>
        </w:rPr>
        <w:t>ANEXO G.</w:t>
      </w:r>
    </w:p>
    <w:p w14:paraId="63096CCD" w14:textId="77777777" w:rsidR="00695C90" w:rsidRDefault="00695C90" w:rsidP="000A4B2D">
      <w:pPr>
        <w:pStyle w:val="AODocTxt"/>
        <w:numPr>
          <w:ilvl w:val="0"/>
          <w:numId w:val="0"/>
        </w:numPr>
        <w:spacing w:before="0" w:line="240" w:lineRule="auto"/>
        <w:jc w:val="left"/>
        <w:rPr>
          <w:rFonts w:ascii="Arial" w:eastAsia="Times New Roman" w:hAnsi="Arial" w:cs="Arial"/>
          <w:b/>
          <w:bCs/>
          <w:sz w:val="24"/>
          <w:szCs w:val="24"/>
          <w:lang w:val="es-MX" w:eastAsia="es-MX"/>
        </w:rPr>
      </w:pPr>
    </w:p>
    <w:p w14:paraId="7704657E" w14:textId="42D68CB6" w:rsidR="0015505C" w:rsidRPr="001F2EAD" w:rsidRDefault="004D4A53" w:rsidP="000A4B2D">
      <w:pPr>
        <w:pStyle w:val="AODocTxt"/>
        <w:numPr>
          <w:ilvl w:val="0"/>
          <w:numId w:val="0"/>
        </w:numPr>
        <w:spacing w:before="0" w:line="240" w:lineRule="auto"/>
        <w:jc w:val="left"/>
        <w:rPr>
          <w:rFonts w:ascii="Arial" w:eastAsia="Times New Roman" w:hAnsi="Arial" w:cs="Arial"/>
          <w:b/>
          <w:bCs/>
          <w:sz w:val="24"/>
          <w:szCs w:val="24"/>
          <w:lang w:val="es-MX" w:eastAsia="es-MX"/>
        </w:rPr>
      </w:pPr>
      <w:r w:rsidRPr="001F2EAD">
        <w:rPr>
          <w:rFonts w:ascii="Arial" w:eastAsia="Times New Roman" w:hAnsi="Arial" w:cs="Arial"/>
          <w:b/>
          <w:bCs/>
          <w:sz w:val="24"/>
          <w:szCs w:val="24"/>
          <w:lang w:val="es-MX" w:eastAsia="es-MX"/>
        </w:rPr>
        <w:t>CUESTIONARIO PARA LA IDENTIFICACIÓN DE RIESGO AMBIENTAL Y</w:t>
      </w:r>
      <w:r w:rsidR="00E0439F" w:rsidRPr="001F2EAD">
        <w:rPr>
          <w:rFonts w:ascii="Arial" w:eastAsia="Times New Roman" w:hAnsi="Arial" w:cs="Arial"/>
          <w:b/>
          <w:bCs/>
          <w:sz w:val="24"/>
          <w:szCs w:val="24"/>
          <w:lang w:val="es-MX" w:eastAsia="es-MX"/>
        </w:rPr>
        <w:t xml:space="preserve"> </w:t>
      </w:r>
      <w:r w:rsidRPr="001F2EAD">
        <w:rPr>
          <w:rFonts w:ascii="Arial" w:eastAsia="Times New Roman" w:hAnsi="Arial" w:cs="Arial"/>
          <w:b/>
          <w:bCs/>
          <w:sz w:val="24"/>
          <w:szCs w:val="24"/>
          <w:lang w:val="es-MX" w:eastAsia="es-MX"/>
        </w:rPr>
        <w:t xml:space="preserve">SOCIAL </w:t>
      </w:r>
    </w:p>
    <w:tbl>
      <w:tblPr>
        <w:tblStyle w:val="TableGrid"/>
        <w:tblpPr w:leftFromText="141" w:rightFromText="141" w:vertAnchor="text" w:horzAnchor="margin" w:tblpX="108" w:tblpY="693"/>
        <w:tblW w:w="0" w:type="auto"/>
        <w:tblLook w:val="04A0" w:firstRow="1" w:lastRow="0" w:firstColumn="1" w:lastColumn="0" w:noHBand="0" w:noVBand="1"/>
      </w:tblPr>
      <w:tblGrid>
        <w:gridCol w:w="2118"/>
        <w:gridCol w:w="6095"/>
        <w:gridCol w:w="424"/>
        <w:gridCol w:w="510"/>
        <w:gridCol w:w="595"/>
      </w:tblGrid>
      <w:tr w:rsidR="0015505C" w:rsidRPr="008D4979" w14:paraId="0979FAED" w14:textId="77777777" w:rsidTr="00B013DD">
        <w:tc>
          <w:tcPr>
            <w:tcW w:w="2118" w:type="dxa"/>
          </w:tcPr>
          <w:p w14:paraId="7EB683D6" w14:textId="77777777" w:rsidR="0015505C" w:rsidRPr="00AF5EB5" w:rsidRDefault="0015505C" w:rsidP="00B013DD">
            <w:pPr>
              <w:jc w:val="center"/>
              <w:rPr>
                <w:rFonts w:ascii="Arial" w:hAnsi="Arial" w:cs="Arial"/>
                <w:b/>
                <w:sz w:val="20"/>
                <w:szCs w:val="20"/>
              </w:rPr>
            </w:pPr>
            <w:r w:rsidRPr="00AF5EB5">
              <w:rPr>
                <w:rFonts w:ascii="Arial" w:hAnsi="Arial" w:cs="Arial"/>
                <w:b/>
              </w:rPr>
              <w:t>Política del BID</w:t>
            </w:r>
          </w:p>
        </w:tc>
        <w:tc>
          <w:tcPr>
            <w:tcW w:w="0" w:type="auto"/>
            <w:tcBorders>
              <w:bottom w:val="single" w:sz="4" w:space="0" w:color="auto"/>
            </w:tcBorders>
          </w:tcPr>
          <w:p w14:paraId="3AECACB1" w14:textId="77777777" w:rsidR="0015505C" w:rsidRPr="00AF5EB5" w:rsidRDefault="0015505C" w:rsidP="00B013DD">
            <w:pPr>
              <w:jc w:val="center"/>
              <w:rPr>
                <w:rFonts w:ascii="Arial" w:hAnsi="Arial" w:cs="Arial"/>
                <w:b/>
                <w:sz w:val="20"/>
                <w:szCs w:val="20"/>
              </w:rPr>
            </w:pPr>
            <w:r w:rsidRPr="00AF5EB5">
              <w:rPr>
                <w:rFonts w:ascii="Arial" w:hAnsi="Arial" w:cs="Arial"/>
                <w:b/>
              </w:rPr>
              <w:t>Temas alerta Potencial</w:t>
            </w:r>
          </w:p>
        </w:tc>
        <w:tc>
          <w:tcPr>
            <w:tcW w:w="0" w:type="auto"/>
            <w:tcBorders>
              <w:bottom w:val="single" w:sz="4" w:space="0" w:color="auto"/>
            </w:tcBorders>
          </w:tcPr>
          <w:p w14:paraId="24A9D732" w14:textId="77777777" w:rsidR="0015505C" w:rsidRPr="00AF5EB5" w:rsidRDefault="0015505C" w:rsidP="00B013DD">
            <w:pPr>
              <w:jc w:val="center"/>
              <w:rPr>
                <w:rFonts w:ascii="Arial" w:hAnsi="Arial" w:cs="Arial"/>
                <w:b/>
                <w:sz w:val="20"/>
                <w:szCs w:val="20"/>
              </w:rPr>
            </w:pPr>
            <w:r w:rsidRPr="00AF5EB5">
              <w:rPr>
                <w:rFonts w:ascii="Arial" w:hAnsi="Arial" w:cs="Arial"/>
                <w:b/>
              </w:rPr>
              <w:t>Si</w:t>
            </w:r>
          </w:p>
        </w:tc>
        <w:tc>
          <w:tcPr>
            <w:tcW w:w="0" w:type="auto"/>
            <w:tcBorders>
              <w:bottom w:val="single" w:sz="4" w:space="0" w:color="auto"/>
            </w:tcBorders>
          </w:tcPr>
          <w:p w14:paraId="22B16B4A" w14:textId="77777777" w:rsidR="0015505C" w:rsidRPr="00AF5EB5" w:rsidRDefault="0015505C" w:rsidP="00B013DD">
            <w:pPr>
              <w:jc w:val="center"/>
              <w:rPr>
                <w:rFonts w:ascii="Arial" w:hAnsi="Arial" w:cs="Arial"/>
                <w:b/>
                <w:sz w:val="20"/>
                <w:szCs w:val="20"/>
              </w:rPr>
            </w:pPr>
            <w:r w:rsidRPr="00AF5EB5">
              <w:rPr>
                <w:rFonts w:ascii="Arial" w:hAnsi="Arial" w:cs="Arial"/>
                <w:b/>
              </w:rPr>
              <w:t>No</w:t>
            </w:r>
          </w:p>
        </w:tc>
        <w:tc>
          <w:tcPr>
            <w:tcW w:w="0" w:type="auto"/>
            <w:tcBorders>
              <w:bottom w:val="single" w:sz="4" w:space="0" w:color="auto"/>
            </w:tcBorders>
          </w:tcPr>
          <w:p w14:paraId="0B6DAC5C" w14:textId="77777777" w:rsidR="0015505C" w:rsidRPr="00AF5EB5" w:rsidRDefault="0015505C" w:rsidP="00B013DD">
            <w:pPr>
              <w:jc w:val="center"/>
              <w:rPr>
                <w:rFonts w:ascii="Arial" w:hAnsi="Arial" w:cs="Arial"/>
                <w:b/>
                <w:sz w:val="20"/>
                <w:szCs w:val="20"/>
              </w:rPr>
            </w:pPr>
            <w:r w:rsidRPr="00AF5EB5">
              <w:rPr>
                <w:rFonts w:ascii="Arial" w:hAnsi="Arial" w:cs="Arial"/>
                <w:b/>
              </w:rPr>
              <w:t>N/A</w:t>
            </w:r>
          </w:p>
        </w:tc>
      </w:tr>
      <w:tr w:rsidR="0015505C" w:rsidRPr="00D17E81" w14:paraId="7867CF32" w14:textId="77777777" w:rsidTr="000A37CF">
        <w:trPr>
          <w:trHeight w:val="1006"/>
        </w:trPr>
        <w:tc>
          <w:tcPr>
            <w:tcW w:w="2118" w:type="dxa"/>
            <w:vMerge w:val="restart"/>
          </w:tcPr>
          <w:p w14:paraId="279BFDBD" w14:textId="77777777" w:rsidR="0015505C" w:rsidRPr="00AF5EB5" w:rsidRDefault="0015505C" w:rsidP="00B013DD">
            <w:pPr>
              <w:rPr>
                <w:rFonts w:ascii="Arial" w:hAnsi="Arial" w:cs="Arial"/>
                <w:sz w:val="20"/>
                <w:szCs w:val="20"/>
              </w:rPr>
            </w:pPr>
            <w:r w:rsidRPr="00AF5EB5">
              <w:rPr>
                <w:rFonts w:ascii="Arial" w:hAnsi="Arial" w:cs="Arial"/>
              </w:rPr>
              <w:t>Reasentamientos y Grupos Indígenas</w:t>
            </w:r>
          </w:p>
        </w:tc>
        <w:tc>
          <w:tcPr>
            <w:tcW w:w="0" w:type="auto"/>
          </w:tcPr>
          <w:p w14:paraId="2661F282" w14:textId="77777777" w:rsidR="0015505C" w:rsidRPr="00AF5EB5" w:rsidRDefault="0015505C" w:rsidP="00547708">
            <w:pPr>
              <w:jc w:val="both"/>
              <w:rPr>
                <w:rFonts w:ascii="Arial" w:hAnsi="Arial" w:cs="Arial"/>
                <w:sz w:val="20"/>
                <w:szCs w:val="20"/>
              </w:rPr>
            </w:pPr>
            <w:r w:rsidRPr="00AF5EB5">
              <w:rPr>
                <w:rFonts w:ascii="Arial" w:hAnsi="Arial" w:cs="Arial"/>
              </w:rPr>
              <w:t>Desplazamiento y reasentamiento involuntario de las personas que vivan en el área de influencia del proyecto, salvo en los casos</w:t>
            </w:r>
            <w:r w:rsidR="00E0439F" w:rsidRPr="00AF5EB5">
              <w:rPr>
                <w:rFonts w:ascii="Arial" w:hAnsi="Arial" w:cs="Arial"/>
              </w:rPr>
              <w:t xml:space="preserve"> </w:t>
            </w:r>
            <w:r w:rsidRPr="00AF5EB5">
              <w:rPr>
                <w:rFonts w:ascii="Arial" w:hAnsi="Arial" w:cs="Arial"/>
              </w:rPr>
              <w:t>en que las áreas son peligrosas o no aptas para el asentamiento humano (se deberá demostrar, según sea el caso</w:t>
            </w:r>
          </w:p>
          <w:p w14:paraId="16A13D92" w14:textId="77777777" w:rsidR="0015505C" w:rsidRPr="00AF5EB5" w:rsidRDefault="0015505C" w:rsidP="00B013DD">
            <w:pPr>
              <w:rPr>
                <w:rFonts w:ascii="Arial" w:hAnsi="Arial" w:cs="Arial"/>
                <w:sz w:val="20"/>
                <w:szCs w:val="20"/>
              </w:rPr>
            </w:pPr>
          </w:p>
        </w:tc>
        <w:tc>
          <w:tcPr>
            <w:tcW w:w="0" w:type="auto"/>
          </w:tcPr>
          <w:p w14:paraId="42C3C36F" w14:textId="77777777" w:rsidR="0015505C" w:rsidRPr="0016468E" w:rsidRDefault="0015505C" w:rsidP="00B013DD">
            <w:pPr>
              <w:rPr>
                <w:rFonts w:ascii="Arial" w:hAnsi="Arial" w:cs="Arial"/>
                <w:sz w:val="20"/>
                <w:szCs w:val="20"/>
              </w:rPr>
            </w:pPr>
          </w:p>
        </w:tc>
        <w:tc>
          <w:tcPr>
            <w:tcW w:w="0" w:type="auto"/>
          </w:tcPr>
          <w:p w14:paraId="6B2D5868" w14:textId="77777777" w:rsidR="0015505C" w:rsidRPr="00AF5EB5" w:rsidRDefault="0015505C" w:rsidP="00B013DD">
            <w:pPr>
              <w:rPr>
                <w:rFonts w:ascii="Arial" w:hAnsi="Arial" w:cs="Arial"/>
                <w:sz w:val="20"/>
                <w:szCs w:val="20"/>
              </w:rPr>
            </w:pPr>
          </w:p>
        </w:tc>
        <w:tc>
          <w:tcPr>
            <w:tcW w:w="0" w:type="auto"/>
          </w:tcPr>
          <w:p w14:paraId="45A57AE0" w14:textId="77777777" w:rsidR="0015505C" w:rsidRPr="00AF5EB5" w:rsidRDefault="0015505C" w:rsidP="00B013DD">
            <w:pPr>
              <w:rPr>
                <w:rFonts w:ascii="Arial" w:hAnsi="Arial" w:cs="Arial"/>
                <w:sz w:val="20"/>
                <w:szCs w:val="20"/>
              </w:rPr>
            </w:pPr>
          </w:p>
        </w:tc>
      </w:tr>
      <w:tr w:rsidR="0015505C" w:rsidRPr="00D17E81" w14:paraId="17D54F5A" w14:textId="77777777" w:rsidTr="00B013DD">
        <w:trPr>
          <w:trHeight w:val="920"/>
        </w:trPr>
        <w:tc>
          <w:tcPr>
            <w:tcW w:w="2118" w:type="dxa"/>
            <w:vMerge/>
          </w:tcPr>
          <w:p w14:paraId="4184999D" w14:textId="77777777" w:rsidR="0015505C" w:rsidRPr="00AF5EB5" w:rsidRDefault="0015505C" w:rsidP="00B013DD">
            <w:pPr>
              <w:rPr>
                <w:rFonts w:ascii="Arial" w:hAnsi="Arial" w:cs="Arial"/>
                <w:sz w:val="20"/>
                <w:szCs w:val="20"/>
              </w:rPr>
            </w:pPr>
          </w:p>
        </w:tc>
        <w:tc>
          <w:tcPr>
            <w:tcW w:w="0" w:type="auto"/>
          </w:tcPr>
          <w:p w14:paraId="1705FDF8" w14:textId="77777777" w:rsidR="005E102B" w:rsidRPr="00AF5EB5" w:rsidRDefault="0015505C" w:rsidP="009067BA">
            <w:pPr>
              <w:numPr>
                <w:ilvl w:val="3"/>
                <w:numId w:val="4"/>
              </w:numPr>
              <w:spacing w:before="240" w:line="260" w:lineRule="atLeast"/>
              <w:ind w:left="0" w:firstLine="8"/>
              <w:jc w:val="both"/>
              <w:rPr>
                <w:rFonts w:ascii="Arial" w:eastAsia="Times New Roman" w:hAnsi="Arial" w:cs="Arial"/>
                <w:sz w:val="20"/>
                <w:szCs w:val="20"/>
                <w:lang w:eastAsia="es-MX"/>
              </w:rPr>
            </w:pPr>
            <w:r w:rsidRPr="00AF5EB5">
              <w:rPr>
                <w:rFonts w:ascii="Arial" w:hAnsi="Arial" w:cs="Arial"/>
              </w:rPr>
              <w:t>Existen zonas indígenas potencialmente afectadas por</w:t>
            </w:r>
            <w:r w:rsidR="00F54343" w:rsidRPr="00AF5EB5">
              <w:rPr>
                <w:rFonts w:ascii="Arial" w:hAnsi="Arial" w:cs="Arial"/>
              </w:rPr>
              <w:t xml:space="preserve"> </w:t>
            </w:r>
            <w:r w:rsidRPr="00AF5EB5">
              <w:rPr>
                <w:rFonts w:ascii="Arial" w:hAnsi="Arial" w:cs="Arial"/>
              </w:rPr>
              <w:t>el proyecto</w:t>
            </w:r>
          </w:p>
          <w:p w14:paraId="5BECD614" w14:textId="77777777" w:rsidR="0015505C" w:rsidRPr="00AF5EB5" w:rsidRDefault="0015505C" w:rsidP="00B013DD">
            <w:pPr>
              <w:rPr>
                <w:rFonts w:ascii="Arial" w:hAnsi="Arial" w:cs="Arial"/>
                <w:sz w:val="20"/>
                <w:szCs w:val="20"/>
              </w:rPr>
            </w:pPr>
          </w:p>
        </w:tc>
        <w:tc>
          <w:tcPr>
            <w:tcW w:w="0" w:type="auto"/>
          </w:tcPr>
          <w:p w14:paraId="27DDA5F1" w14:textId="77777777" w:rsidR="0015505C" w:rsidRPr="0016468E" w:rsidRDefault="0015505C" w:rsidP="00B013DD">
            <w:pPr>
              <w:rPr>
                <w:rFonts w:ascii="Arial" w:hAnsi="Arial" w:cs="Arial"/>
                <w:sz w:val="20"/>
                <w:szCs w:val="20"/>
              </w:rPr>
            </w:pPr>
          </w:p>
        </w:tc>
        <w:tc>
          <w:tcPr>
            <w:tcW w:w="0" w:type="auto"/>
          </w:tcPr>
          <w:p w14:paraId="7D33DEDF" w14:textId="77777777" w:rsidR="0015505C" w:rsidRPr="00AF5EB5" w:rsidRDefault="0015505C" w:rsidP="00B013DD">
            <w:pPr>
              <w:rPr>
                <w:rFonts w:ascii="Arial" w:hAnsi="Arial" w:cs="Arial"/>
                <w:sz w:val="20"/>
                <w:szCs w:val="20"/>
              </w:rPr>
            </w:pPr>
          </w:p>
        </w:tc>
        <w:tc>
          <w:tcPr>
            <w:tcW w:w="0" w:type="auto"/>
          </w:tcPr>
          <w:p w14:paraId="49FA066D" w14:textId="77777777" w:rsidR="0015505C" w:rsidRPr="00AF5EB5" w:rsidRDefault="0015505C" w:rsidP="00B013DD">
            <w:pPr>
              <w:rPr>
                <w:rFonts w:ascii="Arial" w:hAnsi="Arial" w:cs="Arial"/>
                <w:sz w:val="20"/>
                <w:szCs w:val="20"/>
              </w:rPr>
            </w:pPr>
          </w:p>
        </w:tc>
      </w:tr>
      <w:tr w:rsidR="0015505C" w:rsidRPr="00D17E81" w14:paraId="38B0919F" w14:textId="77777777" w:rsidTr="00B013DD">
        <w:tc>
          <w:tcPr>
            <w:tcW w:w="2118" w:type="dxa"/>
          </w:tcPr>
          <w:p w14:paraId="6D51FBAC" w14:textId="77777777" w:rsidR="0015505C" w:rsidRPr="00AF5EB5" w:rsidRDefault="0015505C" w:rsidP="00547708">
            <w:pPr>
              <w:rPr>
                <w:rFonts w:ascii="Arial" w:hAnsi="Arial" w:cs="Arial"/>
                <w:sz w:val="20"/>
                <w:szCs w:val="20"/>
              </w:rPr>
            </w:pPr>
            <w:r w:rsidRPr="00AF5EB5">
              <w:rPr>
                <w:rFonts w:ascii="Arial" w:hAnsi="Arial" w:cs="Arial"/>
              </w:rPr>
              <w:t>Política de Desastres Naturales e Inesperados</w:t>
            </w:r>
          </w:p>
        </w:tc>
        <w:tc>
          <w:tcPr>
            <w:tcW w:w="0" w:type="auto"/>
          </w:tcPr>
          <w:p w14:paraId="7D30D65D" w14:textId="77777777" w:rsidR="0015505C" w:rsidRPr="00AF5EB5" w:rsidRDefault="0015505C" w:rsidP="00547708">
            <w:pPr>
              <w:jc w:val="both"/>
              <w:rPr>
                <w:rFonts w:ascii="Arial" w:hAnsi="Arial" w:cs="Arial"/>
                <w:sz w:val="20"/>
                <w:szCs w:val="20"/>
              </w:rPr>
            </w:pPr>
            <w:r w:rsidRPr="00AF5EB5">
              <w:rPr>
                <w:rFonts w:ascii="Arial" w:hAnsi="Arial" w:cs="Arial"/>
              </w:rPr>
              <w:t>La actividad a financiar en el área del proyecto está situad</w:t>
            </w:r>
            <w:r w:rsidR="00B6201F" w:rsidRPr="00AF5EB5">
              <w:rPr>
                <w:rFonts w:ascii="Arial" w:hAnsi="Arial" w:cs="Arial"/>
              </w:rPr>
              <w:t>a</w:t>
            </w:r>
            <w:r w:rsidRPr="00AF5EB5">
              <w:rPr>
                <w:rFonts w:ascii="Arial" w:hAnsi="Arial" w:cs="Arial"/>
              </w:rPr>
              <w:t xml:space="preserve"> dentro de un área o sector geográfico expuesto a los riesgos naturales, es decir que pudiera afectar gravemente a la economía nacional, dañando las construcciones en obra y ocasionando pérdidas de bienes materiales.</w:t>
            </w:r>
          </w:p>
          <w:p w14:paraId="559CA8BE" w14:textId="77777777" w:rsidR="00F54343" w:rsidRPr="0016468E" w:rsidRDefault="00F54343" w:rsidP="00B013DD">
            <w:pPr>
              <w:rPr>
                <w:rFonts w:ascii="Arial" w:hAnsi="Arial" w:cs="Arial"/>
                <w:sz w:val="20"/>
                <w:szCs w:val="20"/>
              </w:rPr>
            </w:pPr>
          </w:p>
        </w:tc>
        <w:tc>
          <w:tcPr>
            <w:tcW w:w="0" w:type="auto"/>
          </w:tcPr>
          <w:p w14:paraId="76025DB5" w14:textId="77777777" w:rsidR="0015505C" w:rsidRPr="00AF5EB5" w:rsidRDefault="0015505C" w:rsidP="00B013DD">
            <w:pPr>
              <w:rPr>
                <w:rFonts w:ascii="Arial" w:hAnsi="Arial" w:cs="Arial"/>
                <w:sz w:val="20"/>
                <w:szCs w:val="20"/>
              </w:rPr>
            </w:pPr>
          </w:p>
        </w:tc>
        <w:tc>
          <w:tcPr>
            <w:tcW w:w="0" w:type="auto"/>
          </w:tcPr>
          <w:p w14:paraId="53D1DD0B" w14:textId="77777777" w:rsidR="0015505C" w:rsidRPr="00AF5EB5" w:rsidRDefault="0015505C" w:rsidP="00B013DD">
            <w:pPr>
              <w:rPr>
                <w:rFonts w:ascii="Arial" w:hAnsi="Arial" w:cs="Arial"/>
                <w:sz w:val="20"/>
                <w:szCs w:val="20"/>
              </w:rPr>
            </w:pPr>
          </w:p>
        </w:tc>
        <w:tc>
          <w:tcPr>
            <w:tcW w:w="0" w:type="auto"/>
          </w:tcPr>
          <w:p w14:paraId="3519C53D" w14:textId="77777777" w:rsidR="0015505C" w:rsidRPr="00AF5EB5" w:rsidRDefault="0015505C" w:rsidP="00B013DD">
            <w:pPr>
              <w:rPr>
                <w:rFonts w:ascii="Arial" w:hAnsi="Arial" w:cs="Arial"/>
                <w:sz w:val="20"/>
                <w:szCs w:val="20"/>
              </w:rPr>
            </w:pPr>
          </w:p>
        </w:tc>
      </w:tr>
      <w:tr w:rsidR="0015505C" w:rsidRPr="00D17E81" w14:paraId="42FDDCEB" w14:textId="77777777" w:rsidTr="00B013DD">
        <w:tc>
          <w:tcPr>
            <w:tcW w:w="2118" w:type="dxa"/>
          </w:tcPr>
          <w:p w14:paraId="68CF6025" w14:textId="77777777" w:rsidR="0015505C" w:rsidRPr="00AF5EB5" w:rsidRDefault="0015505C" w:rsidP="00547708">
            <w:pPr>
              <w:rPr>
                <w:rFonts w:ascii="Arial" w:hAnsi="Arial" w:cs="Arial"/>
                <w:sz w:val="20"/>
                <w:szCs w:val="20"/>
              </w:rPr>
            </w:pPr>
            <w:r w:rsidRPr="00AF5EB5">
              <w:rPr>
                <w:rFonts w:ascii="Arial" w:hAnsi="Arial" w:cs="Arial"/>
              </w:rPr>
              <w:t>Legislación y Reglamento nacionales</w:t>
            </w:r>
          </w:p>
        </w:tc>
        <w:tc>
          <w:tcPr>
            <w:tcW w:w="0" w:type="auto"/>
          </w:tcPr>
          <w:p w14:paraId="76A84E0B" w14:textId="77777777" w:rsidR="0015505C" w:rsidRPr="00AF5EB5" w:rsidRDefault="0015505C" w:rsidP="00547708">
            <w:pPr>
              <w:jc w:val="both"/>
              <w:rPr>
                <w:rFonts w:ascii="Arial" w:hAnsi="Arial" w:cs="Arial"/>
                <w:sz w:val="20"/>
                <w:szCs w:val="20"/>
              </w:rPr>
            </w:pPr>
            <w:r w:rsidRPr="00AF5EB5">
              <w:rPr>
                <w:rFonts w:ascii="Arial" w:hAnsi="Arial" w:cs="Arial"/>
              </w:rPr>
              <w:t>Existen Impactos potenciales que están fuera de conformidad con leyes</w:t>
            </w:r>
            <w:r w:rsidR="00E0439F" w:rsidRPr="00AF5EB5">
              <w:rPr>
                <w:rFonts w:ascii="Arial" w:hAnsi="Arial" w:cs="Arial"/>
              </w:rPr>
              <w:t xml:space="preserve"> </w:t>
            </w:r>
            <w:r w:rsidRPr="00AF5EB5">
              <w:rPr>
                <w:rFonts w:ascii="Arial" w:hAnsi="Arial" w:cs="Arial"/>
              </w:rPr>
              <w:t>o regulaciones ambientales del país en donde se pretende ejecutar la operación.</w:t>
            </w:r>
          </w:p>
          <w:p w14:paraId="31C6FDB3" w14:textId="77777777" w:rsidR="00F54343" w:rsidRPr="0016468E" w:rsidRDefault="00F54343" w:rsidP="00547708">
            <w:pPr>
              <w:jc w:val="both"/>
              <w:rPr>
                <w:rFonts w:ascii="Arial" w:hAnsi="Arial" w:cs="Arial"/>
                <w:sz w:val="20"/>
                <w:szCs w:val="20"/>
              </w:rPr>
            </w:pPr>
          </w:p>
        </w:tc>
        <w:tc>
          <w:tcPr>
            <w:tcW w:w="0" w:type="auto"/>
          </w:tcPr>
          <w:p w14:paraId="39FF7FB0" w14:textId="77777777" w:rsidR="0015505C" w:rsidRPr="00AF5EB5" w:rsidRDefault="0015505C" w:rsidP="00B013DD">
            <w:pPr>
              <w:rPr>
                <w:rFonts w:ascii="Arial" w:hAnsi="Arial" w:cs="Arial"/>
                <w:sz w:val="20"/>
                <w:szCs w:val="20"/>
              </w:rPr>
            </w:pPr>
          </w:p>
        </w:tc>
        <w:tc>
          <w:tcPr>
            <w:tcW w:w="0" w:type="auto"/>
          </w:tcPr>
          <w:p w14:paraId="19D25D9A" w14:textId="77777777" w:rsidR="0015505C" w:rsidRPr="00AF5EB5" w:rsidRDefault="0015505C" w:rsidP="00B013DD">
            <w:pPr>
              <w:rPr>
                <w:rFonts w:ascii="Arial" w:hAnsi="Arial" w:cs="Arial"/>
                <w:sz w:val="20"/>
                <w:szCs w:val="20"/>
              </w:rPr>
            </w:pPr>
          </w:p>
        </w:tc>
        <w:tc>
          <w:tcPr>
            <w:tcW w:w="0" w:type="auto"/>
          </w:tcPr>
          <w:p w14:paraId="365DAE8B" w14:textId="77777777" w:rsidR="0015505C" w:rsidRPr="00AF5EB5" w:rsidRDefault="0015505C" w:rsidP="00B013DD">
            <w:pPr>
              <w:rPr>
                <w:rFonts w:ascii="Arial" w:hAnsi="Arial" w:cs="Arial"/>
                <w:sz w:val="20"/>
                <w:szCs w:val="20"/>
              </w:rPr>
            </w:pPr>
          </w:p>
        </w:tc>
      </w:tr>
      <w:tr w:rsidR="0015505C" w:rsidRPr="00D17E81" w14:paraId="1C2A9313" w14:textId="77777777" w:rsidTr="00B013DD">
        <w:tc>
          <w:tcPr>
            <w:tcW w:w="2118" w:type="dxa"/>
          </w:tcPr>
          <w:p w14:paraId="2010F5B8" w14:textId="77777777" w:rsidR="0015505C" w:rsidRPr="00AF5EB5" w:rsidRDefault="0015505C" w:rsidP="00B013DD">
            <w:pPr>
              <w:rPr>
                <w:rFonts w:ascii="Arial" w:hAnsi="Arial" w:cs="Arial"/>
                <w:sz w:val="20"/>
                <w:szCs w:val="20"/>
              </w:rPr>
            </w:pPr>
            <w:r w:rsidRPr="00AF5EB5">
              <w:rPr>
                <w:rFonts w:ascii="Arial" w:hAnsi="Arial" w:cs="Arial"/>
              </w:rPr>
              <w:t>Pre-evaluación y clasificación</w:t>
            </w:r>
          </w:p>
        </w:tc>
        <w:tc>
          <w:tcPr>
            <w:tcW w:w="0" w:type="auto"/>
          </w:tcPr>
          <w:p w14:paraId="45AF5F39" w14:textId="77777777" w:rsidR="0015505C" w:rsidRPr="00AF5EB5" w:rsidRDefault="0015505C" w:rsidP="00547708">
            <w:pPr>
              <w:jc w:val="both"/>
              <w:rPr>
                <w:rFonts w:ascii="Arial" w:hAnsi="Arial" w:cs="Arial"/>
                <w:sz w:val="20"/>
                <w:szCs w:val="20"/>
              </w:rPr>
            </w:pPr>
            <w:r w:rsidRPr="00AF5EB5">
              <w:rPr>
                <w:rFonts w:ascii="Arial" w:hAnsi="Arial" w:cs="Arial"/>
              </w:rPr>
              <w:t>La operación incluye un trabajo civil de infraestructura considerable (número grande de trabajadores, uso de maquinaria pesada, o modificación física del terreno)</w:t>
            </w:r>
          </w:p>
          <w:p w14:paraId="73E4DD34" w14:textId="77777777" w:rsidR="00F54343" w:rsidRPr="0016468E" w:rsidRDefault="00F54343" w:rsidP="00547708">
            <w:pPr>
              <w:jc w:val="both"/>
              <w:rPr>
                <w:rFonts w:ascii="Arial" w:hAnsi="Arial" w:cs="Arial"/>
                <w:sz w:val="20"/>
                <w:szCs w:val="20"/>
              </w:rPr>
            </w:pPr>
          </w:p>
        </w:tc>
        <w:tc>
          <w:tcPr>
            <w:tcW w:w="0" w:type="auto"/>
          </w:tcPr>
          <w:p w14:paraId="2E070961" w14:textId="77777777" w:rsidR="0015505C" w:rsidRPr="00AF5EB5" w:rsidRDefault="0015505C" w:rsidP="00B013DD">
            <w:pPr>
              <w:rPr>
                <w:rFonts w:ascii="Arial" w:hAnsi="Arial" w:cs="Arial"/>
                <w:sz w:val="20"/>
                <w:szCs w:val="20"/>
              </w:rPr>
            </w:pPr>
          </w:p>
        </w:tc>
        <w:tc>
          <w:tcPr>
            <w:tcW w:w="0" w:type="auto"/>
          </w:tcPr>
          <w:p w14:paraId="5EFFA0E2" w14:textId="77777777" w:rsidR="0015505C" w:rsidRPr="00AF5EB5" w:rsidRDefault="0015505C" w:rsidP="00B013DD">
            <w:pPr>
              <w:rPr>
                <w:rFonts w:ascii="Arial" w:hAnsi="Arial" w:cs="Arial"/>
                <w:sz w:val="20"/>
                <w:szCs w:val="20"/>
              </w:rPr>
            </w:pPr>
          </w:p>
        </w:tc>
        <w:tc>
          <w:tcPr>
            <w:tcW w:w="0" w:type="auto"/>
          </w:tcPr>
          <w:p w14:paraId="0FCBE55B" w14:textId="77777777" w:rsidR="0015505C" w:rsidRPr="00AF5EB5" w:rsidRDefault="0015505C" w:rsidP="00B013DD">
            <w:pPr>
              <w:rPr>
                <w:rFonts w:ascii="Arial" w:hAnsi="Arial" w:cs="Arial"/>
                <w:sz w:val="20"/>
                <w:szCs w:val="20"/>
              </w:rPr>
            </w:pPr>
          </w:p>
        </w:tc>
      </w:tr>
      <w:tr w:rsidR="0015505C" w:rsidRPr="00D17E81" w14:paraId="71EA852F" w14:textId="77777777" w:rsidTr="00B013DD">
        <w:trPr>
          <w:trHeight w:val="762"/>
        </w:trPr>
        <w:tc>
          <w:tcPr>
            <w:tcW w:w="2118" w:type="dxa"/>
          </w:tcPr>
          <w:p w14:paraId="28591087" w14:textId="77777777" w:rsidR="0015505C" w:rsidRPr="00AF5EB5" w:rsidRDefault="0015505C" w:rsidP="00B013DD">
            <w:pPr>
              <w:rPr>
                <w:rFonts w:ascii="Arial" w:hAnsi="Arial" w:cs="Arial"/>
                <w:sz w:val="20"/>
                <w:szCs w:val="20"/>
              </w:rPr>
            </w:pPr>
            <w:r w:rsidRPr="00AF5EB5">
              <w:rPr>
                <w:rFonts w:ascii="Arial" w:hAnsi="Arial" w:cs="Arial"/>
              </w:rPr>
              <w:lastRenderedPageBreak/>
              <w:t>Requisitos y Evaluación Ambiental</w:t>
            </w:r>
          </w:p>
        </w:tc>
        <w:tc>
          <w:tcPr>
            <w:tcW w:w="0" w:type="auto"/>
          </w:tcPr>
          <w:p w14:paraId="7BDBCF99" w14:textId="77777777" w:rsidR="0015505C" w:rsidRPr="0016468E" w:rsidRDefault="0015505C" w:rsidP="00B013DD">
            <w:pPr>
              <w:rPr>
                <w:rFonts w:ascii="Arial" w:hAnsi="Arial" w:cs="Arial"/>
                <w:sz w:val="20"/>
                <w:szCs w:val="20"/>
              </w:rPr>
            </w:pPr>
          </w:p>
          <w:p w14:paraId="3AB82881" w14:textId="77777777" w:rsidR="0015505C" w:rsidRPr="00AF5EB5" w:rsidRDefault="0015505C" w:rsidP="00B013DD">
            <w:pPr>
              <w:rPr>
                <w:rFonts w:ascii="Arial" w:hAnsi="Arial" w:cs="Arial"/>
                <w:sz w:val="20"/>
                <w:szCs w:val="20"/>
              </w:rPr>
            </w:pPr>
            <w:r w:rsidRPr="00AF5EB5">
              <w:rPr>
                <w:rFonts w:ascii="Arial" w:hAnsi="Arial" w:cs="Arial"/>
              </w:rPr>
              <w:t>Una Evaluación Ambiental se realizará.</w:t>
            </w:r>
          </w:p>
          <w:p w14:paraId="45F6A385" w14:textId="77777777" w:rsidR="0015505C" w:rsidRPr="0016468E" w:rsidRDefault="0015505C" w:rsidP="00B013DD">
            <w:pPr>
              <w:rPr>
                <w:rFonts w:ascii="Arial" w:hAnsi="Arial" w:cs="Arial"/>
                <w:sz w:val="20"/>
                <w:szCs w:val="20"/>
              </w:rPr>
            </w:pPr>
          </w:p>
        </w:tc>
        <w:tc>
          <w:tcPr>
            <w:tcW w:w="0" w:type="auto"/>
          </w:tcPr>
          <w:p w14:paraId="21EC0A2C" w14:textId="77777777" w:rsidR="0015505C" w:rsidRPr="00AF5EB5" w:rsidRDefault="0015505C" w:rsidP="00B013DD">
            <w:pPr>
              <w:rPr>
                <w:rFonts w:ascii="Arial" w:hAnsi="Arial" w:cs="Arial"/>
                <w:sz w:val="20"/>
                <w:szCs w:val="20"/>
              </w:rPr>
            </w:pPr>
          </w:p>
        </w:tc>
        <w:tc>
          <w:tcPr>
            <w:tcW w:w="0" w:type="auto"/>
          </w:tcPr>
          <w:p w14:paraId="774F0030" w14:textId="77777777" w:rsidR="0015505C" w:rsidRPr="00AF5EB5" w:rsidRDefault="0015505C" w:rsidP="00B013DD">
            <w:pPr>
              <w:rPr>
                <w:rFonts w:ascii="Arial" w:hAnsi="Arial" w:cs="Arial"/>
                <w:sz w:val="20"/>
                <w:szCs w:val="20"/>
              </w:rPr>
            </w:pPr>
          </w:p>
        </w:tc>
        <w:tc>
          <w:tcPr>
            <w:tcW w:w="0" w:type="auto"/>
          </w:tcPr>
          <w:p w14:paraId="2CC73936" w14:textId="77777777" w:rsidR="0015505C" w:rsidRPr="00AF5EB5" w:rsidRDefault="0015505C" w:rsidP="00B013DD">
            <w:pPr>
              <w:rPr>
                <w:rFonts w:ascii="Arial" w:hAnsi="Arial" w:cs="Arial"/>
                <w:sz w:val="20"/>
                <w:szCs w:val="20"/>
              </w:rPr>
            </w:pPr>
          </w:p>
        </w:tc>
      </w:tr>
      <w:tr w:rsidR="0015505C" w:rsidRPr="00D17E81" w14:paraId="3F09C3D5" w14:textId="77777777" w:rsidTr="00B013DD">
        <w:tc>
          <w:tcPr>
            <w:tcW w:w="2118" w:type="dxa"/>
          </w:tcPr>
          <w:p w14:paraId="4D046199" w14:textId="77777777" w:rsidR="0015505C" w:rsidRPr="00AF5EB5" w:rsidRDefault="0015505C" w:rsidP="00B013DD">
            <w:pPr>
              <w:rPr>
                <w:rFonts w:ascii="Arial" w:hAnsi="Arial" w:cs="Arial"/>
                <w:sz w:val="20"/>
                <w:szCs w:val="20"/>
              </w:rPr>
            </w:pPr>
            <w:r w:rsidRPr="00AF5EB5">
              <w:rPr>
                <w:rFonts w:ascii="Arial" w:hAnsi="Arial" w:cs="Arial"/>
              </w:rPr>
              <w:t>Impactos Transfronterizos</w:t>
            </w:r>
          </w:p>
        </w:tc>
        <w:tc>
          <w:tcPr>
            <w:tcW w:w="0" w:type="auto"/>
          </w:tcPr>
          <w:p w14:paraId="3C20F86F" w14:textId="77777777" w:rsidR="0015505C" w:rsidRPr="00AF5EB5" w:rsidRDefault="0015505C" w:rsidP="00547708">
            <w:pPr>
              <w:jc w:val="both"/>
              <w:rPr>
                <w:rFonts w:ascii="Arial" w:hAnsi="Arial" w:cs="Arial"/>
                <w:sz w:val="20"/>
                <w:szCs w:val="20"/>
              </w:rPr>
            </w:pPr>
            <w:r w:rsidRPr="00AF5EB5">
              <w:rPr>
                <w:rFonts w:ascii="Arial" w:hAnsi="Arial" w:cs="Arial"/>
              </w:rPr>
              <w:t>Afecta recursos naturales de un país no implicado en el proyecto, incluyendo áreas tales como canales, recursos marinas costeras, áreas protegidas, vertientes regionales de aire y/o acuíferos.</w:t>
            </w:r>
          </w:p>
        </w:tc>
        <w:tc>
          <w:tcPr>
            <w:tcW w:w="0" w:type="auto"/>
          </w:tcPr>
          <w:p w14:paraId="57E78999" w14:textId="77777777" w:rsidR="0015505C" w:rsidRPr="0016468E" w:rsidRDefault="0015505C" w:rsidP="00B013DD">
            <w:pPr>
              <w:rPr>
                <w:rFonts w:ascii="Arial" w:hAnsi="Arial" w:cs="Arial"/>
                <w:sz w:val="20"/>
                <w:szCs w:val="20"/>
              </w:rPr>
            </w:pPr>
          </w:p>
        </w:tc>
        <w:tc>
          <w:tcPr>
            <w:tcW w:w="0" w:type="auto"/>
          </w:tcPr>
          <w:p w14:paraId="6896932A" w14:textId="77777777" w:rsidR="0015505C" w:rsidRPr="00AF5EB5" w:rsidRDefault="0015505C" w:rsidP="00B013DD">
            <w:pPr>
              <w:rPr>
                <w:rFonts w:ascii="Arial" w:hAnsi="Arial" w:cs="Arial"/>
                <w:sz w:val="20"/>
                <w:szCs w:val="20"/>
              </w:rPr>
            </w:pPr>
          </w:p>
        </w:tc>
        <w:tc>
          <w:tcPr>
            <w:tcW w:w="0" w:type="auto"/>
          </w:tcPr>
          <w:p w14:paraId="73989144" w14:textId="77777777" w:rsidR="0015505C" w:rsidRPr="00AF5EB5" w:rsidRDefault="0015505C" w:rsidP="00B013DD">
            <w:pPr>
              <w:rPr>
                <w:rFonts w:ascii="Arial" w:hAnsi="Arial" w:cs="Arial"/>
                <w:sz w:val="20"/>
                <w:szCs w:val="20"/>
              </w:rPr>
            </w:pPr>
          </w:p>
        </w:tc>
      </w:tr>
      <w:tr w:rsidR="0015505C" w:rsidRPr="00B013DD" w14:paraId="006DA136" w14:textId="77777777" w:rsidTr="00B013DD">
        <w:tc>
          <w:tcPr>
            <w:tcW w:w="2118" w:type="dxa"/>
          </w:tcPr>
          <w:p w14:paraId="74AA8C08" w14:textId="77777777" w:rsidR="0015505C" w:rsidRPr="00AF5EB5" w:rsidRDefault="0015505C" w:rsidP="00B013DD">
            <w:pPr>
              <w:rPr>
                <w:rFonts w:ascii="Arial" w:hAnsi="Arial" w:cs="Arial"/>
                <w:sz w:val="20"/>
                <w:szCs w:val="20"/>
              </w:rPr>
            </w:pPr>
            <w:r w:rsidRPr="00AF5EB5">
              <w:rPr>
                <w:rFonts w:ascii="Arial" w:hAnsi="Arial" w:cs="Arial"/>
              </w:rPr>
              <w:t>Materiales Peligrosos</w:t>
            </w:r>
          </w:p>
        </w:tc>
        <w:tc>
          <w:tcPr>
            <w:tcW w:w="0" w:type="auto"/>
          </w:tcPr>
          <w:p w14:paraId="4DCAFDF3" w14:textId="77777777" w:rsidR="0015505C" w:rsidRPr="00AF5EB5" w:rsidRDefault="0015505C" w:rsidP="00547708">
            <w:pPr>
              <w:jc w:val="both"/>
              <w:rPr>
                <w:rFonts w:ascii="Arial" w:hAnsi="Arial" w:cs="Arial"/>
                <w:sz w:val="20"/>
                <w:szCs w:val="20"/>
              </w:rPr>
            </w:pPr>
            <w:r w:rsidRPr="00AF5EB5">
              <w:rPr>
                <w:rFonts w:ascii="Arial" w:hAnsi="Arial" w:cs="Arial"/>
              </w:rPr>
              <w:t>Uso de materiales peligrosos que puedan afectar potencialmente la salud de trabajadores o de comunidades locales</w:t>
            </w:r>
          </w:p>
        </w:tc>
        <w:tc>
          <w:tcPr>
            <w:tcW w:w="0" w:type="auto"/>
          </w:tcPr>
          <w:p w14:paraId="7F7D349B" w14:textId="77777777" w:rsidR="0015505C" w:rsidRPr="0016468E" w:rsidRDefault="0015505C" w:rsidP="00B013DD">
            <w:pPr>
              <w:rPr>
                <w:rFonts w:ascii="Arial" w:hAnsi="Arial" w:cs="Arial"/>
                <w:sz w:val="20"/>
                <w:szCs w:val="20"/>
              </w:rPr>
            </w:pPr>
          </w:p>
        </w:tc>
        <w:tc>
          <w:tcPr>
            <w:tcW w:w="0" w:type="auto"/>
          </w:tcPr>
          <w:p w14:paraId="01581CA4" w14:textId="77777777" w:rsidR="0015505C" w:rsidRPr="00AF5EB5" w:rsidRDefault="0015505C" w:rsidP="00B013DD">
            <w:pPr>
              <w:rPr>
                <w:rFonts w:ascii="Arial" w:hAnsi="Arial" w:cs="Arial"/>
                <w:sz w:val="20"/>
                <w:szCs w:val="20"/>
              </w:rPr>
            </w:pPr>
          </w:p>
        </w:tc>
        <w:tc>
          <w:tcPr>
            <w:tcW w:w="0" w:type="auto"/>
          </w:tcPr>
          <w:p w14:paraId="2C4F7CA5" w14:textId="77777777" w:rsidR="0015505C" w:rsidRPr="00AF5EB5" w:rsidRDefault="0015505C" w:rsidP="00B013DD">
            <w:pPr>
              <w:rPr>
                <w:rFonts w:ascii="Arial" w:hAnsi="Arial" w:cs="Arial"/>
                <w:sz w:val="20"/>
                <w:szCs w:val="20"/>
              </w:rPr>
            </w:pPr>
          </w:p>
        </w:tc>
      </w:tr>
    </w:tbl>
    <w:p w14:paraId="08CE3660" w14:textId="77777777" w:rsidR="009E58E3" w:rsidRPr="00B013DD" w:rsidRDefault="009E58E3" w:rsidP="00506EF1">
      <w:pPr>
        <w:pStyle w:val="Title"/>
        <w:jc w:val="left"/>
        <w:outlineLvl w:val="9"/>
        <w:rPr>
          <w:rFonts w:ascii="Arial" w:hAnsi="Arial" w:cs="Arial"/>
          <w:sz w:val="24"/>
          <w:szCs w:val="24"/>
        </w:rPr>
      </w:pPr>
    </w:p>
    <w:p w14:paraId="6A08C0FA" w14:textId="77777777" w:rsidR="0061329D" w:rsidRDefault="0061329D" w:rsidP="000A37CF">
      <w:pPr>
        <w:pStyle w:val="Title"/>
        <w:pBdr>
          <w:bottom w:val="single" w:sz="12" w:space="13" w:color="auto"/>
        </w:pBdr>
        <w:jc w:val="left"/>
        <w:outlineLvl w:val="9"/>
        <w:rPr>
          <w:rFonts w:ascii="Arial" w:hAnsi="Arial" w:cs="Arial"/>
          <w:sz w:val="24"/>
          <w:szCs w:val="24"/>
        </w:rPr>
      </w:pPr>
    </w:p>
    <w:p w14:paraId="6CE01813" w14:textId="77777777" w:rsidR="003372C5" w:rsidRDefault="003372C5" w:rsidP="00506EF1">
      <w:pPr>
        <w:pStyle w:val="Title"/>
        <w:jc w:val="left"/>
        <w:outlineLvl w:val="9"/>
        <w:rPr>
          <w:rFonts w:ascii="Arial" w:eastAsiaTheme="minorHAnsi" w:hAnsi="Arial" w:cs="Arial"/>
          <w:sz w:val="24"/>
          <w:szCs w:val="24"/>
          <w:lang w:eastAsia="en-US"/>
        </w:rPr>
      </w:pPr>
      <w:bookmarkStart w:id="480" w:name="_Toc321245012"/>
      <w:r w:rsidRPr="00B013DD">
        <w:rPr>
          <w:rFonts w:ascii="Arial" w:eastAsiaTheme="minorHAnsi" w:hAnsi="Arial" w:cs="Arial"/>
          <w:sz w:val="24"/>
          <w:szCs w:val="24"/>
          <w:lang w:eastAsia="en-US"/>
        </w:rPr>
        <w:t>Nombre y Firma del Representante Legal</w:t>
      </w:r>
      <w:bookmarkEnd w:id="480"/>
    </w:p>
    <w:p w14:paraId="6C088843" w14:textId="77777777" w:rsidR="0061329D" w:rsidRDefault="0061329D" w:rsidP="00506EF1">
      <w:pPr>
        <w:pStyle w:val="Title"/>
        <w:jc w:val="left"/>
        <w:outlineLvl w:val="9"/>
        <w:rPr>
          <w:rFonts w:ascii="Arial" w:eastAsiaTheme="minorHAnsi" w:hAnsi="Arial" w:cs="Arial"/>
          <w:sz w:val="24"/>
          <w:szCs w:val="24"/>
          <w:lang w:eastAsia="en-US"/>
        </w:rPr>
      </w:pPr>
    </w:p>
    <w:p w14:paraId="1E6059D1" w14:textId="77777777" w:rsidR="0061329D" w:rsidRPr="00B013DD" w:rsidRDefault="0061329D" w:rsidP="00506EF1">
      <w:pPr>
        <w:pStyle w:val="Title"/>
        <w:jc w:val="left"/>
        <w:outlineLvl w:val="9"/>
        <w:rPr>
          <w:rFonts w:ascii="Arial" w:eastAsiaTheme="minorHAnsi" w:hAnsi="Arial" w:cs="Arial"/>
          <w:sz w:val="24"/>
          <w:szCs w:val="24"/>
          <w:lang w:eastAsia="en-US"/>
        </w:rPr>
      </w:pPr>
    </w:p>
    <w:p w14:paraId="71627AEB" w14:textId="77777777" w:rsidR="00DF222F" w:rsidRPr="00B013DD" w:rsidRDefault="00DF222F" w:rsidP="00506EF1">
      <w:pPr>
        <w:pStyle w:val="Title"/>
        <w:outlineLvl w:val="9"/>
        <w:rPr>
          <w:rFonts w:ascii="Arial" w:hAnsi="Arial" w:cs="Arial"/>
          <w:sz w:val="24"/>
          <w:szCs w:val="24"/>
        </w:rPr>
        <w:sectPr w:rsidR="00DF222F" w:rsidRPr="00B013DD" w:rsidSect="00E45040">
          <w:headerReference w:type="even" r:id="rId20"/>
          <w:headerReference w:type="default" r:id="rId21"/>
          <w:footerReference w:type="even" r:id="rId22"/>
          <w:footerReference w:type="default" r:id="rId23"/>
          <w:headerReference w:type="first" r:id="rId24"/>
          <w:footerReference w:type="first" r:id="rId25"/>
          <w:pgSz w:w="12240" w:h="15840"/>
          <w:pgMar w:top="1418" w:right="1296" w:bottom="1418" w:left="1418" w:header="709" w:footer="709" w:gutter="0"/>
          <w:cols w:space="708"/>
          <w:docGrid w:linePitch="360"/>
        </w:sectPr>
      </w:pPr>
    </w:p>
    <w:p w14:paraId="6A127AF6" w14:textId="3BE105FF" w:rsidR="00F54343" w:rsidRPr="00B249BA" w:rsidRDefault="00EA7F24" w:rsidP="00B249BA">
      <w:pPr>
        <w:pStyle w:val="Heading1"/>
        <w:pageBreakBefore/>
        <w:numPr>
          <w:ilvl w:val="0"/>
          <w:numId w:val="0"/>
        </w:numPr>
        <w:spacing w:after="360"/>
        <w:jc w:val="center"/>
        <w:rPr>
          <w:rFonts w:cs="Arial"/>
          <w:sz w:val="22"/>
        </w:rPr>
      </w:pPr>
      <w:bookmarkStart w:id="481" w:name="_Toc321245013"/>
      <w:bookmarkStart w:id="482" w:name="_Toc450149582"/>
      <w:r w:rsidRPr="00B249BA">
        <w:rPr>
          <w:rFonts w:cs="Arial"/>
          <w:sz w:val="22"/>
        </w:rPr>
        <w:lastRenderedPageBreak/>
        <w:t xml:space="preserve">ANEXO </w:t>
      </w:r>
      <w:r w:rsidR="00695C90">
        <w:rPr>
          <w:rFonts w:cs="Arial"/>
          <w:sz w:val="22"/>
        </w:rPr>
        <w:t>H</w:t>
      </w:r>
      <w:bookmarkEnd w:id="481"/>
      <w:bookmarkEnd w:id="482"/>
    </w:p>
    <w:p w14:paraId="6204174A" w14:textId="77777777" w:rsidR="00406EC6" w:rsidRDefault="000B69DE" w:rsidP="00F8713F">
      <w:pPr>
        <w:pStyle w:val="Title"/>
        <w:outlineLvl w:val="9"/>
        <w:rPr>
          <w:rFonts w:ascii="Arial" w:hAnsi="Arial" w:cs="Arial"/>
          <w:b/>
          <w:bCs/>
          <w:sz w:val="24"/>
          <w:szCs w:val="24"/>
        </w:rPr>
      </w:pPr>
      <w:bookmarkStart w:id="483" w:name="_Toc321245014"/>
      <w:r w:rsidRPr="005E1C2C">
        <w:rPr>
          <w:rFonts w:ascii="Arial" w:hAnsi="Arial" w:cs="Arial"/>
          <w:b/>
          <w:bCs/>
          <w:sz w:val="24"/>
          <w:szCs w:val="24"/>
        </w:rPr>
        <w:t xml:space="preserve">DOCUMENTOS QUE DEBE INTEGRAR </w:t>
      </w:r>
      <w:r w:rsidR="00F8713F">
        <w:rPr>
          <w:rFonts w:ascii="Arial" w:hAnsi="Arial" w:cs="Arial"/>
          <w:b/>
          <w:bCs/>
          <w:sz w:val="24"/>
          <w:szCs w:val="24"/>
        </w:rPr>
        <w:t>EL INTERMEDIARIO</w:t>
      </w:r>
      <w:r w:rsidRPr="00987185">
        <w:rPr>
          <w:rFonts w:ascii="Arial" w:hAnsi="Arial" w:cs="Arial"/>
          <w:b/>
          <w:bCs/>
          <w:sz w:val="24"/>
          <w:szCs w:val="24"/>
        </w:rPr>
        <w:t xml:space="preserve"> EN EL EXPEDIENTE DEL PROYECTO</w:t>
      </w:r>
      <w:bookmarkEnd w:id="483"/>
    </w:p>
    <w:p w14:paraId="51FE6F9D" w14:textId="77777777" w:rsidR="00DE73CC" w:rsidRPr="0098699B" w:rsidRDefault="00DE73CC" w:rsidP="00506EF1">
      <w:pPr>
        <w:pStyle w:val="Title"/>
        <w:jc w:val="left"/>
        <w:outlineLvl w:val="9"/>
        <w:rPr>
          <w:rFonts w:ascii="Arial" w:hAnsi="Arial" w:cs="Arial"/>
          <w:sz w:val="24"/>
          <w:szCs w:val="24"/>
        </w:rPr>
      </w:pPr>
    </w:p>
    <w:p w14:paraId="290CABEF" w14:textId="77777777" w:rsidR="009A4037" w:rsidRPr="0098699B" w:rsidRDefault="009A4037" w:rsidP="00506EF1">
      <w:pPr>
        <w:pStyle w:val="Title"/>
        <w:jc w:val="left"/>
        <w:outlineLvl w:val="9"/>
        <w:rPr>
          <w:rFonts w:ascii="Arial" w:hAnsi="Arial" w:cs="Arial"/>
          <w:color w:val="1F497D" w:themeColor="text2"/>
          <w:sz w:val="24"/>
          <w:szCs w:val="24"/>
        </w:rPr>
      </w:pPr>
    </w:p>
    <w:tbl>
      <w:tblPr>
        <w:tblW w:w="8647" w:type="dxa"/>
        <w:tblInd w:w="48" w:type="dxa"/>
        <w:tblCellMar>
          <w:left w:w="0" w:type="dxa"/>
          <w:right w:w="0" w:type="dxa"/>
        </w:tblCellMar>
        <w:tblLook w:val="0600" w:firstRow="0" w:lastRow="0" w:firstColumn="0" w:lastColumn="0" w:noHBand="1" w:noVBand="1"/>
      </w:tblPr>
      <w:tblGrid>
        <w:gridCol w:w="8647"/>
      </w:tblGrid>
      <w:tr w:rsidR="00DE73CC" w:rsidRPr="00D17E81" w14:paraId="5C924F56" w14:textId="77777777" w:rsidTr="006012FF">
        <w:trPr>
          <w:trHeight w:val="507"/>
        </w:trPr>
        <w:tc>
          <w:tcPr>
            <w:tcW w:w="8647" w:type="dxa"/>
            <w:tcBorders>
              <w:top w:val="single" w:sz="8" w:space="0" w:color="000000"/>
              <w:left w:val="single" w:sz="8" w:space="0" w:color="000000"/>
              <w:bottom w:val="single" w:sz="8" w:space="0" w:color="000000"/>
              <w:right w:val="single" w:sz="8" w:space="0" w:color="000000"/>
            </w:tcBorders>
            <w:shd w:val="clear" w:color="auto" w:fill="auto"/>
            <w:tcMar>
              <w:top w:w="15" w:type="dxa"/>
              <w:left w:w="48" w:type="dxa"/>
              <w:bottom w:w="0" w:type="dxa"/>
              <w:right w:w="48" w:type="dxa"/>
            </w:tcMar>
            <w:vAlign w:val="center"/>
            <w:hideMark/>
          </w:tcPr>
          <w:p w14:paraId="662CB7C1" w14:textId="77777777" w:rsidR="00DE73CC" w:rsidRPr="000A37CF" w:rsidRDefault="00DE73CC" w:rsidP="006012FF">
            <w:pPr>
              <w:spacing w:before="120"/>
              <w:ind w:left="720" w:hanging="720"/>
              <w:rPr>
                <w:rFonts w:ascii="Arial" w:hAnsi="Arial" w:cs="Arial"/>
                <w:sz w:val="22"/>
                <w:szCs w:val="24"/>
              </w:rPr>
            </w:pPr>
            <w:r w:rsidRPr="000A37CF">
              <w:rPr>
                <w:rFonts w:ascii="Arial" w:hAnsi="Arial" w:cs="Arial"/>
                <w:b/>
                <w:bCs/>
                <w:color w:val="000000" w:themeColor="text1"/>
                <w:kern w:val="24"/>
                <w:sz w:val="22"/>
                <w:szCs w:val="24"/>
              </w:rPr>
              <w:t>I.</w:t>
            </w:r>
            <w:r w:rsidRPr="000A37CF">
              <w:rPr>
                <w:rFonts w:ascii="Arial" w:hAnsi="Arial" w:cs="Arial"/>
                <w:b/>
                <w:bCs/>
                <w:color w:val="000000" w:themeColor="text1"/>
                <w:kern w:val="24"/>
                <w:sz w:val="22"/>
                <w:szCs w:val="24"/>
              </w:rPr>
              <w:tab/>
              <w:t>AUTORIZACION</w:t>
            </w:r>
          </w:p>
        </w:tc>
      </w:tr>
      <w:tr w:rsidR="00DE73CC" w:rsidRPr="00D17E81" w14:paraId="6D791B75" w14:textId="77777777" w:rsidTr="006012FF">
        <w:trPr>
          <w:trHeight w:val="507"/>
        </w:trPr>
        <w:tc>
          <w:tcPr>
            <w:tcW w:w="8647" w:type="dxa"/>
            <w:tcBorders>
              <w:top w:val="single" w:sz="8" w:space="0" w:color="000000"/>
              <w:left w:val="single" w:sz="8" w:space="0" w:color="000000"/>
              <w:bottom w:val="single" w:sz="8" w:space="0" w:color="000000"/>
              <w:right w:val="single" w:sz="8" w:space="0" w:color="000000"/>
            </w:tcBorders>
            <w:shd w:val="clear" w:color="auto" w:fill="auto"/>
            <w:tcMar>
              <w:top w:w="15" w:type="dxa"/>
              <w:left w:w="48" w:type="dxa"/>
              <w:bottom w:w="0" w:type="dxa"/>
              <w:right w:w="48" w:type="dxa"/>
            </w:tcMar>
            <w:vAlign w:val="center"/>
            <w:hideMark/>
          </w:tcPr>
          <w:p w14:paraId="73FA897B" w14:textId="77777777" w:rsidR="00DE73CC" w:rsidRPr="000A37CF" w:rsidRDefault="00DE73CC" w:rsidP="00DE73CC">
            <w:pPr>
              <w:numPr>
                <w:ilvl w:val="0"/>
                <w:numId w:val="20"/>
              </w:numPr>
              <w:contextualSpacing/>
              <w:rPr>
                <w:rFonts w:ascii="Arial" w:hAnsi="Arial" w:cs="Arial"/>
                <w:sz w:val="22"/>
                <w:szCs w:val="24"/>
              </w:rPr>
            </w:pPr>
            <w:r w:rsidRPr="000A37CF">
              <w:rPr>
                <w:rFonts w:ascii="Arial" w:hAnsi="Arial" w:cs="Arial"/>
                <w:color w:val="000000" w:themeColor="text1"/>
                <w:kern w:val="24"/>
                <w:sz w:val="22"/>
                <w:szCs w:val="24"/>
              </w:rPr>
              <w:t>Acuerdo del Comité de Crédito</w:t>
            </w:r>
          </w:p>
        </w:tc>
      </w:tr>
      <w:tr w:rsidR="00DE73CC" w:rsidRPr="00D17E81" w14:paraId="7D01E8B1" w14:textId="77777777" w:rsidTr="006012FF">
        <w:trPr>
          <w:trHeight w:val="507"/>
        </w:trPr>
        <w:tc>
          <w:tcPr>
            <w:tcW w:w="8647" w:type="dxa"/>
            <w:tcBorders>
              <w:top w:val="single" w:sz="8" w:space="0" w:color="000000"/>
              <w:left w:val="single" w:sz="8" w:space="0" w:color="000000"/>
              <w:bottom w:val="single" w:sz="8" w:space="0" w:color="000000"/>
              <w:right w:val="single" w:sz="8" w:space="0" w:color="000000"/>
            </w:tcBorders>
            <w:shd w:val="clear" w:color="auto" w:fill="auto"/>
            <w:tcMar>
              <w:top w:w="15" w:type="dxa"/>
              <w:left w:w="48" w:type="dxa"/>
              <w:bottom w:w="0" w:type="dxa"/>
              <w:right w:w="48" w:type="dxa"/>
            </w:tcMar>
            <w:vAlign w:val="center"/>
            <w:hideMark/>
          </w:tcPr>
          <w:p w14:paraId="5A1F475F" w14:textId="77777777" w:rsidR="00DE73CC" w:rsidRPr="000A37CF" w:rsidRDefault="00DE73CC" w:rsidP="006012FF">
            <w:pPr>
              <w:spacing w:before="120"/>
              <w:ind w:left="720" w:hanging="720"/>
              <w:rPr>
                <w:rFonts w:ascii="Arial" w:hAnsi="Arial" w:cs="Arial"/>
                <w:b/>
                <w:bCs/>
                <w:color w:val="000000" w:themeColor="text1"/>
                <w:kern w:val="24"/>
                <w:sz w:val="22"/>
                <w:szCs w:val="24"/>
              </w:rPr>
            </w:pPr>
            <w:r w:rsidRPr="000A37CF">
              <w:rPr>
                <w:rFonts w:ascii="Arial" w:hAnsi="Arial" w:cs="Arial"/>
                <w:b/>
                <w:bCs/>
                <w:color w:val="000000" w:themeColor="text1"/>
                <w:kern w:val="24"/>
                <w:sz w:val="22"/>
                <w:szCs w:val="24"/>
              </w:rPr>
              <w:t>II.</w:t>
            </w:r>
            <w:r w:rsidRPr="000A37CF">
              <w:rPr>
                <w:rFonts w:ascii="Arial" w:hAnsi="Arial" w:cs="Arial"/>
                <w:b/>
                <w:bCs/>
                <w:color w:val="000000" w:themeColor="text1"/>
                <w:kern w:val="24"/>
                <w:sz w:val="22"/>
                <w:szCs w:val="24"/>
              </w:rPr>
              <w:tab/>
              <w:t>DISPOSICIONES</w:t>
            </w:r>
          </w:p>
        </w:tc>
      </w:tr>
      <w:tr w:rsidR="00DE73CC" w:rsidRPr="00D17E81" w14:paraId="7AC877D2" w14:textId="77777777" w:rsidTr="006012FF">
        <w:trPr>
          <w:trHeight w:val="507"/>
        </w:trPr>
        <w:tc>
          <w:tcPr>
            <w:tcW w:w="8647" w:type="dxa"/>
            <w:tcBorders>
              <w:top w:val="single" w:sz="8" w:space="0" w:color="000000"/>
              <w:left w:val="single" w:sz="8" w:space="0" w:color="000000"/>
              <w:bottom w:val="single" w:sz="8" w:space="0" w:color="000000"/>
              <w:right w:val="single" w:sz="8" w:space="0" w:color="000000"/>
            </w:tcBorders>
            <w:shd w:val="clear" w:color="auto" w:fill="auto"/>
            <w:tcMar>
              <w:top w:w="15" w:type="dxa"/>
              <w:left w:w="48" w:type="dxa"/>
              <w:bottom w:w="0" w:type="dxa"/>
              <w:right w:w="48" w:type="dxa"/>
            </w:tcMar>
            <w:vAlign w:val="center"/>
            <w:hideMark/>
          </w:tcPr>
          <w:p w14:paraId="4D48BEB1" w14:textId="77777777" w:rsidR="00DE73CC" w:rsidRPr="000A37CF" w:rsidRDefault="00DE73CC" w:rsidP="00FF1AF3">
            <w:pPr>
              <w:numPr>
                <w:ilvl w:val="0"/>
                <w:numId w:val="20"/>
              </w:numPr>
              <w:contextualSpacing/>
              <w:jc w:val="both"/>
              <w:rPr>
                <w:rFonts w:ascii="Arial" w:hAnsi="Arial" w:cs="Arial"/>
                <w:color w:val="000000" w:themeColor="text1"/>
                <w:kern w:val="24"/>
                <w:sz w:val="22"/>
                <w:szCs w:val="24"/>
              </w:rPr>
            </w:pPr>
            <w:r w:rsidRPr="000A37CF">
              <w:rPr>
                <w:rFonts w:ascii="Arial" w:hAnsi="Arial" w:cs="Arial"/>
                <w:color w:val="000000" w:themeColor="text1"/>
                <w:kern w:val="24"/>
                <w:sz w:val="22"/>
                <w:szCs w:val="24"/>
              </w:rPr>
              <w:t xml:space="preserve">Comprobación documental y </w:t>
            </w:r>
            <w:r w:rsidR="00FF1AF3" w:rsidRPr="000A37CF">
              <w:rPr>
                <w:rFonts w:ascii="Arial" w:hAnsi="Arial" w:cs="Arial"/>
                <w:color w:val="000000" w:themeColor="text1"/>
                <w:kern w:val="24"/>
                <w:sz w:val="22"/>
                <w:szCs w:val="24"/>
              </w:rPr>
              <w:t>r</w:t>
            </w:r>
            <w:r w:rsidRPr="000A37CF">
              <w:rPr>
                <w:rFonts w:ascii="Arial" w:hAnsi="Arial" w:cs="Arial"/>
                <w:color w:val="000000" w:themeColor="text1"/>
                <w:kern w:val="24"/>
                <w:sz w:val="22"/>
                <w:szCs w:val="24"/>
              </w:rPr>
              <w:t>eporte de visita con verificación de aplicación de recursos</w:t>
            </w:r>
            <w:r w:rsidR="00FF1AF3" w:rsidRPr="000A37CF">
              <w:rPr>
                <w:rFonts w:ascii="Arial" w:hAnsi="Arial" w:cs="Arial"/>
                <w:color w:val="000000" w:themeColor="text1"/>
                <w:kern w:val="24"/>
                <w:sz w:val="22"/>
                <w:szCs w:val="24"/>
              </w:rPr>
              <w:t xml:space="preserve"> por parte del Intermediario,</w:t>
            </w:r>
            <w:r w:rsidRPr="000A37CF">
              <w:rPr>
                <w:rFonts w:ascii="Arial" w:hAnsi="Arial" w:cs="Arial"/>
                <w:color w:val="000000" w:themeColor="text1"/>
                <w:kern w:val="24"/>
                <w:sz w:val="22"/>
                <w:szCs w:val="24"/>
              </w:rPr>
              <w:t xml:space="preserve"> lo cual estará a disposición del Banco si requiere la supervisión de los activos fijos.</w:t>
            </w:r>
          </w:p>
        </w:tc>
      </w:tr>
      <w:tr w:rsidR="00DE73CC" w:rsidRPr="00D17E81" w14:paraId="425AF17C" w14:textId="77777777" w:rsidTr="006012FF">
        <w:trPr>
          <w:trHeight w:val="507"/>
        </w:trPr>
        <w:tc>
          <w:tcPr>
            <w:tcW w:w="8647" w:type="dxa"/>
            <w:tcBorders>
              <w:top w:val="single" w:sz="8" w:space="0" w:color="000000"/>
              <w:left w:val="single" w:sz="8" w:space="0" w:color="000000"/>
              <w:bottom w:val="single" w:sz="8" w:space="0" w:color="000000"/>
              <w:right w:val="single" w:sz="8" w:space="0" w:color="000000"/>
            </w:tcBorders>
            <w:shd w:val="clear" w:color="auto" w:fill="auto"/>
            <w:tcMar>
              <w:top w:w="15" w:type="dxa"/>
              <w:left w:w="48" w:type="dxa"/>
              <w:bottom w:w="0" w:type="dxa"/>
              <w:right w:w="48" w:type="dxa"/>
            </w:tcMar>
            <w:vAlign w:val="center"/>
            <w:hideMark/>
          </w:tcPr>
          <w:p w14:paraId="77A9A63A" w14:textId="77777777" w:rsidR="00DE73CC" w:rsidRPr="000A37CF" w:rsidRDefault="00DE73CC" w:rsidP="00DE73CC">
            <w:pPr>
              <w:spacing w:before="120"/>
              <w:ind w:left="720" w:hanging="720"/>
              <w:rPr>
                <w:rFonts w:ascii="Arial" w:hAnsi="Arial" w:cs="Arial"/>
                <w:b/>
                <w:bCs/>
                <w:color w:val="000000" w:themeColor="text1"/>
                <w:kern w:val="24"/>
                <w:sz w:val="22"/>
                <w:szCs w:val="24"/>
              </w:rPr>
            </w:pPr>
            <w:r w:rsidRPr="000A37CF">
              <w:rPr>
                <w:rFonts w:ascii="Arial" w:hAnsi="Arial" w:cs="Arial"/>
                <w:b/>
                <w:bCs/>
                <w:color w:val="000000" w:themeColor="text1"/>
                <w:kern w:val="24"/>
                <w:sz w:val="22"/>
                <w:szCs w:val="24"/>
              </w:rPr>
              <w:t>III.</w:t>
            </w:r>
            <w:r w:rsidRPr="000A37CF">
              <w:rPr>
                <w:rFonts w:ascii="Arial" w:hAnsi="Arial" w:cs="Arial"/>
                <w:b/>
                <w:bCs/>
                <w:color w:val="000000" w:themeColor="text1"/>
                <w:kern w:val="24"/>
                <w:sz w:val="22"/>
                <w:szCs w:val="24"/>
              </w:rPr>
              <w:tab/>
              <w:t>COMUNICADOS</w:t>
            </w:r>
          </w:p>
        </w:tc>
      </w:tr>
      <w:tr w:rsidR="00DE73CC" w:rsidRPr="00D17E81" w14:paraId="2E5E6CD3" w14:textId="77777777" w:rsidTr="006012FF">
        <w:trPr>
          <w:trHeight w:val="961"/>
        </w:trPr>
        <w:tc>
          <w:tcPr>
            <w:tcW w:w="8647" w:type="dxa"/>
            <w:tcBorders>
              <w:top w:val="single" w:sz="8" w:space="0" w:color="000000"/>
              <w:left w:val="single" w:sz="8" w:space="0" w:color="000000"/>
              <w:bottom w:val="single" w:sz="8" w:space="0" w:color="000000"/>
              <w:right w:val="single" w:sz="8" w:space="0" w:color="000000"/>
            </w:tcBorders>
            <w:shd w:val="clear" w:color="auto" w:fill="auto"/>
            <w:tcMar>
              <w:top w:w="15" w:type="dxa"/>
              <w:left w:w="48" w:type="dxa"/>
              <w:bottom w:w="0" w:type="dxa"/>
              <w:right w:w="48" w:type="dxa"/>
            </w:tcMar>
            <w:vAlign w:val="center"/>
            <w:hideMark/>
          </w:tcPr>
          <w:p w14:paraId="35EF09F9" w14:textId="77777777" w:rsidR="00DE73CC" w:rsidRPr="000A37CF" w:rsidRDefault="00DE73CC" w:rsidP="00DE73CC">
            <w:pPr>
              <w:numPr>
                <w:ilvl w:val="0"/>
                <w:numId w:val="20"/>
              </w:numPr>
              <w:contextualSpacing/>
              <w:rPr>
                <w:rFonts w:ascii="Arial" w:hAnsi="Arial" w:cs="Arial"/>
                <w:color w:val="000000" w:themeColor="text1"/>
                <w:kern w:val="24"/>
                <w:sz w:val="22"/>
                <w:szCs w:val="24"/>
              </w:rPr>
            </w:pPr>
            <w:r w:rsidRPr="000A37CF">
              <w:rPr>
                <w:rFonts w:ascii="Arial" w:hAnsi="Arial" w:cs="Arial"/>
                <w:color w:val="000000" w:themeColor="text1"/>
                <w:kern w:val="24"/>
                <w:sz w:val="22"/>
                <w:szCs w:val="24"/>
              </w:rPr>
              <w:t>Comunicaciones varios del intermediario y las relativas a los incumplimientos detectados y respuesta de su acreditada a las solicitudes</w:t>
            </w:r>
          </w:p>
        </w:tc>
      </w:tr>
    </w:tbl>
    <w:p w14:paraId="7781AC8C" w14:textId="77777777" w:rsidR="009A4037" w:rsidRPr="0098699B" w:rsidRDefault="009A4037" w:rsidP="00506EF1">
      <w:pPr>
        <w:pStyle w:val="Title"/>
        <w:jc w:val="left"/>
        <w:outlineLvl w:val="9"/>
        <w:rPr>
          <w:rFonts w:ascii="Arial" w:hAnsi="Arial" w:cs="Arial"/>
          <w:color w:val="1F497D" w:themeColor="text2"/>
          <w:sz w:val="24"/>
          <w:szCs w:val="24"/>
        </w:rPr>
      </w:pPr>
    </w:p>
    <w:p w14:paraId="44C56527" w14:textId="77777777" w:rsidR="001175D2" w:rsidRPr="00D17E81" w:rsidRDefault="001175D2" w:rsidP="00506EF1">
      <w:pPr>
        <w:pStyle w:val="Title"/>
        <w:jc w:val="left"/>
        <w:outlineLvl w:val="9"/>
        <w:rPr>
          <w:rFonts w:ascii="Arial" w:hAnsi="Arial" w:cs="Arial"/>
          <w:color w:val="1F497D" w:themeColor="text2"/>
          <w:sz w:val="24"/>
          <w:szCs w:val="24"/>
        </w:rPr>
      </w:pPr>
    </w:p>
    <w:p w14:paraId="63C67164" w14:textId="77777777" w:rsidR="001175D2" w:rsidRDefault="001175D2" w:rsidP="000A4B2D">
      <w:pPr>
        <w:rPr>
          <w:rFonts w:ascii="Arial" w:hAnsi="Arial" w:cs="Arial"/>
          <w:sz w:val="24"/>
          <w:szCs w:val="24"/>
        </w:rPr>
      </w:pPr>
      <w:r w:rsidRPr="00D17E81">
        <w:rPr>
          <w:rFonts w:ascii="Arial" w:hAnsi="Arial" w:cs="Arial"/>
          <w:sz w:val="24"/>
          <w:szCs w:val="24"/>
        </w:rPr>
        <w:t>Para conocimiento de los Intermediarios Financieros, de los documentos que deben tener bajo custodia.</w:t>
      </w:r>
    </w:p>
    <w:p w14:paraId="4EF8FC91" w14:textId="77777777" w:rsidR="007B0F5D" w:rsidRDefault="007B0F5D" w:rsidP="000A4B2D">
      <w:pPr>
        <w:rPr>
          <w:rFonts w:ascii="Arial" w:hAnsi="Arial" w:cs="Arial"/>
          <w:sz w:val="24"/>
          <w:szCs w:val="24"/>
        </w:rPr>
      </w:pPr>
    </w:p>
    <w:p w14:paraId="40FE2E74" w14:textId="77777777" w:rsidR="0061329D" w:rsidRDefault="0061329D" w:rsidP="000A4B2D">
      <w:pPr>
        <w:rPr>
          <w:rFonts w:ascii="Arial" w:hAnsi="Arial" w:cs="Arial"/>
          <w:sz w:val="24"/>
          <w:szCs w:val="24"/>
        </w:rPr>
      </w:pPr>
    </w:p>
    <w:p w14:paraId="7248E191" w14:textId="77777777" w:rsidR="0061329D" w:rsidRDefault="0061329D" w:rsidP="000A4B2D">
      <w:pPr>
        <w:rPr>
          <w:rFonts w:ascii="Arial" w:hAnsi="Arial" w:cs="Arial"/>
          <w:sz w:val="24"/>
          <w:szCs w:val="24"/>
        </w:rPr>
      </w:pPr>
    </w:p>
    <w:p w14:paraId="7102782D" w14:textId="77777777" w:rsidR="0061329D" w:rsidRDefault="0061329D" w:rsidP="000A4B2D">
      <w:pPr>
        <w:rPr>
          <w:rFonts w:ascii="Arial" w:hAnsi="Arial" w:cs="Arial"/>
          <w:sz w:val="24"/>
          <w:szCs w:val="24"/>
        </w:rPr>
      </w:pPr>
    </w:p>
    <w:p w14:paraId="06C943F9" w14:textId="77777777" w:rsidR="007B0F5D" w:rsidRDefault="007B0F5D" w:rsidP="000A4B2D">
      <w:pPr>
        <w:rPr>
          <w:rFonts w:ascii="Arial" w:hAnsi="Arial" w:cs="Arial"/>
          <w:sz w:val="24"/>
          <w:szCs w:val="24"/>
        </w:rPr>
        <w:sectPr w:rsidR="007B0F5D" w:rsidSect="001F1E82">
          <w:footerReference w:type="default" r:id="rId26"/>
          <w:pgSz w:w="12240" w:h="15840"/>
          <w:pgMar w:top="1418" w:right="1296" w:bottom="1418" w:left="1701" w:header="709" w:footer="709" w:gutter="0"/>
          <w:cols w:space="708"/>
          <w:docGrid w:linePitch="360"/>
        </w:sectPr>
      </w:pPr>
    </w:p>
    <w:p w14:paraId="7241510A" w14:textId="2F36CB75" w:rsidR="006E1145" w:rsidRPr="00581224" w:rsidRDefault="003005BD" w:rsidP="00B249BA">
      <w:pPr>
        <w:pStyle w:val="Heading1"/>
        <w:pageBreakBefore/>
        <w:numPr>
          <w:ilvl w:val="0"/>
          <w:numId w:val="0"/>
        </w:numPr>
        <w:spacing w:after="360"/>
        <w:jc w:val="center"/>
        <w:rPr>
          <w:rFonts w:cs="Arial"/>
          <w:sz w:val="22"/>
          <w:lang w:val="pt-BR"/>
        </w:rPr>
      </w:pPr>
      <w:bookmarkStart w:id="484" w:name="_Anexo_F"/>
      <w:bookmarkStart w:id="485" w:name="_Toc450149583"/>
      <w:bookmarkEnd w:id="484"/>
      <w:r w:rsidRPr="003005BD">
        <w:rPr>
          <w:rFonts w:cs="Arial"/>
          <w:sz w:val="22"/>
          <w:lang w:val="pt-BR"/>
        </w:rPr>
        <w:lastRenderedPageBreak/>
        <w:t xml:space="preserve">ANEXO </w:t>
      </w:r>
      <w:r w:rsidR="00695C90">
        <w:rPr>
          <w:rFonts w:cs="Arial"/>
          <w:sz w:val="22"/>
          <w:lang w:val="pt-BR"/>
        </w:rPr>
        <w:t>I</w:t>
      </w:r>
      <w:bookmarkEnd w:id="485"/>
    </w:p>
    <w:p w14:paraId="27896E41" w14:textId="77777777" w:rsidR="00FC40A7" w:rsidRDefault="00FC40A7" w:rsidP="000A4B2D">
      <w:pPr>
        <w:tabs>
          <w:tab w:val="left" w:pos="619"/>
        </w:tabs>
        <w:rPr>
          <w:rFonts w:ascii="Arial" w:hAnsi="Arial" w:cs="Arial"/>
          <w:b/>
          <w:bCs/>
          <w:sz w:val="22"/>
          <w:szCs w:val="22"/>
          <w:lang w:val="pt-BR"/>
        </w:rPr>
      </w:pPr>
    </w:p>
    <w:tbl>
      <w:tblPr>
        <w:tblStyle w:val="TableGrid2"/>
        <w:tblW w:w="15030" w:type="dxa"/>
        <w:tblInd w:w="-360" w:type="dxa"/>
        <w:tblLook w:val="04A0" w:firstRow="1" w:lastRow="0" w:firstColumn="1" w:lastColumn="0" w:noHBand="0" w:noVBand="1"/>
      </w:tblPr>
      <w:tblGrid>
        <w:gridCol w:w="2430"/>
        <w:gridCol w:w="12600"/>
      </w:tblGrid>
      <w:tr w:rsidR="00FC40A7" w:rsidRPr="00FC40A7" w14:paraId="6004E9CD" w14:textId="77777777" w:rsidTr="00DE2C7A">
        <w:tc>
          <w:tcPr>
            <w:tcW w:w="15030" w:type="dxa"/>
            <w:gridSpan w:val="2"/>
            <w:tcBorders>
              <w:top w:val="nil"/>
              <w:left w:val="nil"/>
              <w:bottom w:val="single" w:sz="4" w:space="0" w:color="auto"/>
              <w:right w:val="nil"/>
            </w:tcBorders>
            <w:vAlign w:val="center"/>
          </w:tcPr>
          <w:p w14:paraId="3A8373F9" w14:textId="77777777" w:rsidR="00FC40A7" w:rsidRPr="00FC40A7" w:rsidRDefault="00FC40A7" w:rsidP="00FC40A7">
            <w:pPr>
              <w:spacing w:before="240" w:after="240"/>
              <w:jc w:val="center"/>
              <w:rPr>
                <w:rFonts w:ascii="Arial" w:hAnsi="Arial" w:cs="Arial"/>
                <w:b/>
                <w:smallCaps/>
                <w:sz w:val="20"/>
                <w:lang w:val="es-ES"/>
              </w:rPr>
            </w:pPr>
            <w:r w:rsidRPr="00FC40A7">
              <w:rPr>
                <w:rFonts w:ascii="Arial" w:hAnsi="Arial" w:cs="Arial"/>
                <w:b/>
                <w:smallCaps/>
                <w:lang w:val="es-ES"/>
              </w:rPr>
              <w:t>Matriz de Resultados Modificada</w:t>
            </w:r>
          </w:p>
        </w:tc>
      </w:tr>
      <w:tr w:rsidR="00FC40A7" w:rsidRPr="00FC40A7" w14:paraId="3A9DFDCF" w14:textId="77777777" w:rsidTr="00DE2C7A">
        <w:tc>
          <w:tcPr>
            <w:tcW w:w="2430" w:type="dxa"/>
            <w:tcBorders>
              <w:top w:val="single" w:sz="4" w:space="0" w:color="auto"/>
            </w:tcBorders>
            <w:vAlign w:val="center"/>
          </w:tcPr>
          <w:p w14:paraId="378A4F37" w14:textId="77777777" w:rsidR="00FC40A7" w:rsidRPr="00FC40A7" w:rsidRDefault="00FC40A7" w:rsidP="00FC40A7">
            <w:pPr>
              <w:jc w:val="center"/>
              <w:rPr>
                <w:rFonts w:ascii="Arial" w:hAnsi="Arial" w:cs="Arial"/>
                <w:sz w:val="18"/>
                <w:szCs w:val="18"/>
              </w:rPr>
            </w:pPr>
            <w:r w:rsidRPr="00FC40A7">
              <w:rPr>
                <w:rFonts w:ascii="Arial" w:hAnsi="Arial" w:cs="Arial"/>
                <w:b/>
                <w:bCs/>
                <w:sz w:val="18"/>
                <w:szCs w:val="18"/>
              </w:rPr>
              <w:t>Objetivo</w:t>
            </w:r>
          </w:p>
        </w:tc>
        <w:tc>
          <w:tcPr>
            <w:tcW w:w="12600" w:type="dxa"/>
            <w:tcBorders>
              <w:top w:val="single" w:sz="4" w:space="0" w:color="auto"/>
            </w:tcBorders>
            <w:vAlign w:val="center"/>
          </w:tcPr>
          <w:p w14:paraId="500DC07B" w14:textId="77777777" w:rsidR="00FC40A7" w:rsidRPr="00FC40A7" w:rsidRDefault="00FC40A7" w:rsidP="00FC40A7">
            <w:pPr>
              <w:spacing w:before="120"/>
              <w:jc w:val="both"/>
              <w:rPr>
                <w:rFonts w:ascii="Arial" w:hAnsi="Arial" w:cs="Arial"/>
                <w:sz w:val="18"/>
                <w:szCs w:val="18"/>
                <w:lang w:val="es-ES_tradnl"/>
              </w:rPr>
            </w:pPr>
            <w:r w:rsidRPr="00FC40A7">
              <w:rPr>
                <w:rFonts w:ascii="Arial" w:hAnsi="Arial" w:cs="Arial"/>
                <w:sz w:val="18"/>
                <w:szCs w:val="18"/>
                <w:lang w:val="es-ES_tradnl"/>
              </w:rPr>
              <w:t>El objetivo del programa es aumentar la generación de electricidad a partir de fuentes geotérmicas a fin de contribuir a la diversificación de la matriz energética, así como reducir la dependencia de los combustibles fósiles y las emisiones de Gases de Efecto Invernadero (GEI) en México. Para ello, el programa tiene el propósito de aumentar la escala de las inversiones en los proyectos de generación geo-termoeléctrica dando acceso a una serie de mecanismos financieros adaptados para satisfacer las necesidades específicas de cada una de las etapas de desarrollo de los proyectos. Esto incluye mecanismos de mitigación de riesgos y distintos mecanismos de financiamiento para las fases de exploración, perforación, preparación del campo, construcción y operación de proyectos geotérmicos privados.</w:t>
            </w:r>
          </w:p>
        </w:tc>
      </w:tr>
    </w:tbl>
    <w:p w14:paraId="5A1EC0D8" w14:textId="77777777" w:rsidR="00FC40A7" w:rsidRPr="00FC40A7" w:rsidRDefault="00FC40A7" w:rsidP="00FC40A7">
      <w:pPr>
        <w:spacing w:after="160" w:line="259" w:lineRule="auto"/>
        <w:rPr>
          <w:rFonts w:ascii="Arial" w:eastAsia="Calibri" w:hAnsi="Arial" w:cs="Arial"/>
          <w:lang w:val="es-ES_tradnl" w:eastAsia="en-US"/>
        </w:rPr>
      </w:pPr>
    </w:p>
    <w:tbl>
      <w:tblPr>
        <w:tblStyle w:val="TableGrid2"/>
        <w:tblpPr w:leftFromText="180" w:rightFromText="180" w:vertAnchor="text" w:tblpXSpec="center" w:tblpY="1"/>
        <w:tblOverlap w:val="never"/>
        <w:tblW w:w="15025" w:type="dxa"/>
        <w:tblLayout w:type="fixed"/>
        <w:tblLook w:val="04A0" w:firstRow="1" w:lastRow="0" w:firstColumn="1" w:lastColumn="0" w:noHBand="0" w:noVBand="1"/>
      </w:tblPr>
      <w:tblGrid>
        <w:gridCol w:w="2335"/>
        <w:gridCol w:w="1260"/>
        <w:gridCol w:w="799"/>
        <w:gridCol w:w="744"/>
        <w:gridCol w:w="810"/>
        <w:gridCol w:w="720"/>
        <w:gridCol w:w="720"/>
        <w:gridCol w:w="720"/>
        <w:gridCol w:w="720"/>
        <w:gridCol w:w="737"/>
        <w:gridCol w:w="793"/>
        <w:gridCol w:w="805"/>
        <w:gridCol w:w="1165"/>
        <w:gridCol w:w="2697"/>
      </w:tblGrid>
      <w:tr w:rsidR="00FC40A7" w:rsidRPr="00FC40A7" w14:paraId="44056DD7" w14:textId="77777777" w:rsidTr="00FC40A7">
        <w:trPr>
          <w:tblHeader/>
        </w:trPr>
        <w:tc>
          <w:tcPr>
            <w:tcW w:w="2335" w:type="dxa"/>
            <w:shd w:val="clear" w:color="auto" w:fill="F2F2F2"/>
            <w:vAlign w:val="center"/>
          </w:tcPr>
          <w:p w14:paraId="68D905B8"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bCs/>
                <w:sz w:val="18"/>
                <w:szCs w:val="18"/>
              </w:rPr>
              <w:t>Indicadores</w:t>
            </w:r>
          </w:p>
        </w:tc>
        <w:tc>
          <w:tcPr>
            <w:tcW w:w="1260" w:type="dxa"/>
            <w:shd w:val="clear" w:color="auto" w:fill="F2F2F2"/>
            <w:vAlign w:val="center"/>
          </w:tcPr>
          <w:p w14:paraId="68BD4938"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bCs/>
                <w:sz w:val="18"/>
                <w:szCs w:val="18"/>
              </w:rPr>
              <w:t>Unidad</w:t>
            </w:r>
          </w:p>
        </w:tc>
        <w:tc>
          <w:tcPr>
            <w:tcW w:w="799" w:type="dxa"/>
            <w:shd w:val="clear" w:color="auto" w:fill="F2F2F2"/>
            <w:vAlign w:val="center"/>
          </w:tcPr>
          <w:p w14:paraId="40AEE055"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Línea de base</w:t>
            </w:r>
          </w:p>
        </w:tc>
        <w:tc>
          <w:tcPr>
            <w:tcW w:w="744" w:type="dxa"/>
            <w:shd w:val="clear" w:color="auto" w:fill="F2F2F2"/>
            <w:vAlign w:val="center"/>
          </w:tcPr>
          <w:p w14:paraId="0FE0E171"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1 2016</w:t>
            </w:r>
          </w:p>
        </w:tc>
        <w:tc>
          <w:tcPr>
            <w:tcW w:w="810" w:type="dxa"/>
            <w:shd w:val="clear" w:color="auto" w:fill="F2F2F2"/>
            <w:vAlign w:val="center"/>
          </w:tcPr>
          <w:p w14:paraId="4135673F"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2 2017</w:t>
            </w:r>
          </w:p>
        </w:tc>
        <w:tc>
          <w:tcPr>
            <w:tcW w:w="720" w:type="dxa"/>
            <w:shd w:val="clear" w:color="auto" w:fill="F2F2F2"/>
            <w:vAlign w:val="center"/>
          </w:tcPr>
          <w:p w14:paraId="38C6A265"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3 2018</w:t>
            </w:r>
          </w:p>
        </w:tc>
        <w:tc>
          <w:tcPr>
            <w:tcW w:w="720" w:type="dxa"/>
            <w:shd w:val="clear" w:color="auto" w:fill="F2F2F2"/>
            <w:vAlign w:val="center"/>
          </w:tcPr>
          <w:p w14:paraId="3750D39C"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4 2019</w:t>
            </w:r>
          </w:p>
        </w:tc>
        <w:tc>
          <w:tcPr>
            <w:tcW w:w="720" w:type="dxa"/>
            <w:shd w:val="clear" w:color="auto" w:fill="F2F2F2"/>
            <w:vAlign w:val="center"/>
          </w:tcPr>
          <w:p w14:paraId="32D2D61F"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5 2020</w:t>
            </w:r>
          </w:p>
        </w:tc>
        <w:tc>
          <w:tcPr>
            <w:tcW w:w="720" w:type="dxa"/>
            <w:shd w:val="clear" w:color="auto" w:fill="F2F2F2"/>
            <w:vAlign w:val="center"/>
          </w:tcPr>
          <w:p w14:paraId="5D6D43EB"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6 2021</w:t>
            </w:r>
          </w:p>
        </w:tc>
        <w:tc>
          <w:tcPr>
            <w:tcW w:w="737" w:type="dxa"/>
            <w:shd w:val="clear" w:color="auto" w:fill="F2F2F2"/>
            <w:vAlign w:val="center"/>
          </w:tcPr>
          <w:p w14:paraId="43D37459"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7 2022</w:t>
            </w:r>
          </w:p>
        </w:tc>
        <w:tc>
          <w:tcPr>
            <w:tcW w:w="793" w:type="dxa"/>
            <w:shd w:val="clear" w:color="auto" w:fill="F2F2F2"/>
            <w:vAlign w:val="center"/>
          </w:tcPr>
          <w:p w14:paraId="22235C57"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8 2023</w:t>
            </w:r>
          </w:p>
        </w:tc>
        <w:tc>
          <w:tcPr>
            <w:tcW w:w="805" w:type="dxa"/>
            <w:shd w:val="clear" w:color="auto" w:fill="F2F2F2"/>
            <w:vAlign w:val="center"/>
          </w:tcPr>
          <w:p w14:paraId="419A3F8F"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Año 9 2024</w:t>
            </w:r>
          </w:p>
        </w:tc>
        <w:tc>
          <w:tcPr>
            <w:tcW w:w="1165" w:type="dxa"/>
            <w:shd w:val="clear" w:color="auto" w:fill="F2F2F2"/>
            <w:vAlign w:val="center"/>
          </w:tcPr>
          <w:p w14:paraId="55853581"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Metal al Final del Programa</w:t>
            </w:r>
            <w:r w:rsidRPr="00FC40A7">
              <w:rPr>
                <w:rFonts w:ascii="Arial" w:hAnsi="Arial" w:cs="Arial"/>
                <w:b/>
                <w:sz w:val="18"/>
                <w:szCs w:val="18"/>
                <w:vertAlign w:val="superscript"/>
                <w:lang w:val="es-ES_tradnl"/>
              </w:rPr>
              <w:t>1</w:t>
            </w:r>
          </w:p>
        </w:tc>
        <w:tc>
          <w:tcPr>
            <w:tcW w:w="2697" w:type="dxa"/>
            <w:shd w:val="clear" w:color="auto" w:fill="F2F2F2"/>
            <w:vAlign w:val="center"/>
          </w:tcPr>
          <w:p w14:paraId="7262668F"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Descripción / Fuente de verificación</w:t>
            </w:r>
          </w:p>
        </w:tc>
      </w:tr>
      <w:tr w:rsidR="00FC40A7" w:rsidRPr="00FC40A7" w14:paraId="685BD160" w14:textId="77777777" w:rsidTr="00FC40A7">
        <w:tc>
          <w:tcPr>
            <w:tcW w:w="15025" w:type="dxa"/>
            <w:gridSpan w:val="14"/>
            <w:shd w:val="clear" w:color="auto" w:fill="BFBFBF"/>
          </w:tcPr>
          <w:p w14:paraId="1F53AE8B"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b/>
                <w:sz w:val="18"/>
                <w:szCs w:val="18"/>
                <w:lang w:val="es-ES_tradnl"/>
              </w:rPr>
              <w:t>Producto Componente I</w:t>
            </w:r>
          </w:p>
        </w:tc>
      </w:tr>
      <w:tr w:rsidR="00FC40A7" w:rsidRPr="00FC40A7" w14:paraId="51E16A53" w14:textId="77777777" w:rsidTr="00FC40A7">
        <w:tc>
          <w:tcPr>
            <w:tcW w:w="2335" w:type="dxa"/>
            <w:vAlign w:val="center"/>
          </w:tcPr>
          <w:p w14:paraId="257C49A3"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Recursos de Recuperación Contingente (CRG) otorgados a proyectos geotérmicos con recursos del programa</w:t>
            </w:r>
          </w:p>
        </w:tc>
        <w:tc>
          <w:tcPr>
            <w:tcW w:w="1260" w:type="dxa"/>
            <w:vAlign w:val="center"/>
          </w:tcPr>
          <w:p w14:paraId="2C21AC10"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Número de proyectos (perforados) usando CRG aprobados por NAFIN</w:t>
            </w:r>
          </w:p>
        </w:tc>
        <w:tc>
          <w:tcPr>
            <w:tcW w:w="799" w:type="dxa"/>
            <w:vAlign w:val="center"/>
          </w:tcPr>
          <w:p w14:paraId="22D29DFB"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44" w:type="dxa"/>
            <w:shd w:val="clear" w:color="auto" w:fill="D9D9D9"/>
            <w:vAlign w:val="center"/>
          </w:tcPr>
          <w:p w14:paraId="05037A8F"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810" w:type="dxa"/>
            <w:shd w:val="clear" w:color="auto" w:fill="D9D9D9"/>
            <w:vAlign w:val="center"/>
          </w:tcPr>
          <w:p w14:paraId="7181614A"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20" w:type="dxa"/>
            <w:vAlign w:val="center"/>
          </w:tcPr>
          <w:p w14:paraId="0B7E4D92"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20" w:type="dxa"/>
            <w:vAlign w:val="center"/>
          </w:tcPr>
          <w:p w14:paraId="07728CEB"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2</w:t>
            </w:r>
          </w:p>
        </w:tc>
        <w:tc>
          <w:tcPr>
            <w:tcW w:w="720" w:type="dxa"/>
            <w:vAlign w:val="center"/>
          </w:tcPr>
          <w:p w14:paraId="5094D3A9"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2</w:t>
            </w:r>
          </w:p>
        </w:tc>
        <w:tc>
          <w:tcPr>
            <w:tcW w:w="720" w:type="dxa"/>
            <w:vAlign w:val="center"/>
          </w:tcPr>
          <w:p w14:paraId="7888CE63"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37" w:type="dxa"/>
            <w:vAlign w:val="center"/>
          </w:tcPr>
          <w:p w14:paraId="33629D8F"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93" w:type="dxa"/>
            <w:vAlign w:val="center"/>
          </w:tcPr>
          <w:p w14:paraId="69433882"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805" w:type="dxa"/>
            <w:vAlign w:val="center"/>
          </w:tcPr>
          <w:p w14:paraId="52DBD0F5"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1165" w:type="dxa"/>
            <w:vAlign w:val="center"/>
          </w:tcPr>
          <w:p w14:paraId="55EC18E6"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4</w:t>
            </w:r>
            <w:r w:rsidRPr="00FC40A7">
              <w:rPr>
                <w:rFonts w:ascii="Arial" w:hAnsi="Arial" w:cs="Arial"/>
                <w:color w:val="FFFFFF"/>
                <w:sz w:val="18"/>
                <w:szCs w:val="18"/>
                <w:vertAlign w:val="superscript"/>
                <w:lang w:val="es-ES_tradnl"/>
              </w:rPr>
              <w:footnoteReference w:id="23"/>
            </w:r>
          </w:p>
        </w:tc>
        <w:tc>
          <w:tcPr>
            <w:tcW w:w="2697" w:type="dxa"/>
            <w:vAlign w:val="center"/>
          </w:tcPr>
          <w:p w14:paraId="5D841DD9"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La meta incluye a todos los proyecto apoyados, tanto exitosos como fallidos.</w:t>
            </w:r>
          </w:p>
          <w:p w14:paraId="3079F60F"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reporte del programa elaborado por NAFIN. Las estimaciones consideran que un proyecto beneficiario que es exitoso durante etapas tempranas de exploración podría ser elegible para recibir apoyo del programa en la fase de perforación de producción</w:t>
            </w:r>
          </w:p>
        </w:tc>
      </w:tr>
      <w:tr w:rsidR="00FC40A7" w:rsidRPr="00FC40A7" w14:paraId="018D48E5" w14:textId="77777777" w:rsidTr="00FC40A7">
        <w:tc>
          <w:tcPr>
            <w:tcW w:w="15025" w:type="dxa"/>
            <w:gridSpan w:val="14"/>
            <w:shd w:val="clear" w:color="auto" w:fill="BFBFBF"/>
          </w:tcPr>
          <w:p w14:paraId="4FB8D9ED"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b/>
                <w:sz w:val="18"/>
                <w:szCs w:val="18"/>
                <w:lang w:val="es-ES_tradnl"/>
              </w:rPr>
              <w:t>Producto Componente II</w:t>
            </w:r>
          </w:p>
        </w:tc>
      </w:tr>
      <w:tr w:rsidR="00FC40A7" w:rsidRPr="00FC40A7" w14:paraId="489E500E" w14:textId="77777777" w:rsidTr="00FC40A7">
        <w:tc>
          <w:tcPr>
            <w:tcW w:w="2335" w:type="dxa"/>
            <w:vAlign w:val="center"/>
          </w:tcPr>
          <w:p w14:paraId="24322CF8"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Préstamos otorgados por el programa a proyectos geotérmicos en cualquier etapa de su desarrollo</w:t>
            </w:r>
          </w:p>
        </w:tc>
        <w:tc>
          <w:tcPr>
            <w:tcW w:w="1260" w:type="dxa"/>
            <w:vAlign w:val="center"/>
          </w:tcPr>
          <w:p w14:paraId="33F3ED47"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Número de préstamos aprobados por NAFIN</w:t>
            </w:r>
          </w:p>
        </w:tc>
        <w:tc>
          <w:tcPr>
            <w:tcW w:w="799" w:type="dxa"/>
            <w:vAlign w:val="center"/>
          </w:tcPr>
          <w:p w14:paraId="2FE29133"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44" w:type="dxa"/>
            <w:shd w:val="clear" w:color="auto" w:fill="D9D9D9"/>
            <w:vAlign w:val="center"/>
          </w:tcPr>
          <w:p w14:paraId="21E92FE7"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810" w:type="dxa"/>
            <w:shd w:val="clear" w:color="auto" w:fill="D9D9D9"/>
            <w:vAlign w:val="center"/>
          </w:tcPr>
          <w:p w14:paraId="09DF6F00"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20" w:type="dxa"/>
            <w:vAlign w:val="center"/>
          </w:tcPr>
          <w:p w14:paraId="5BB20610"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20" w:type="dxa"/>
            <w:vAlign w:val="center"/>
          </w:tcPr>
          <w:p w14:paraId="579F78B4"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20" w:type="dxa"/>
            <w:vAlign w:val="center"/>
          </w:tcPr>
          <w:p w14:paraId="1BE66E4E"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w:t>
            </w:r>
          </w:p>
        </w:tc>
        <w:tc>
          <w:tcPr>
            <w:tcW w:w="720" w:type="dxa"/>
            <w:vAlign w:val="center"/>
          </w:tcPr>
          <w:p w14:paraId="722262CD"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w:t>
            </w:r>
          </w:p>
        </w:tc>
        <w:tc>
          <w:tcPr>
            <w:tcW w:w="737" w:type="dxa"/>
            <w:vAlign w:val="center"/>
          </w:tcPr>
          <w:p w14:paraId="2C3542B7"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93" w:type="dxa"/>
            <w:vAlign w:val="center"/>
          </w:tcPr>
          <w:p w14:paraId="124D4438"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805" w:type="dxa"/>
            <w:vAlign w:val="center"/>
          </w:tcPr>
          <w:p w14:paraId="393ED4BD"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1165" w:type="dxa"/>
            <w:vAlign w:val="center"/>
          </w:tcPr>
          <w:p w14:paraId="3A741992"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2</w:t>
            </w:r>
          </w:p>
        </w:tc>
        <w:tc>
          <w:tcPr>
            <w:tcW w:w="2697" w:type="dxa"/>
            <w:vAlign w:val="center"/>
          </w:tcPr>
          <w:p w14:paraId="1305D7C0"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 xml:space="preserve">Valores con base en acuerdos de préstamos, financiados con recursos del programa. Las cifras toman en cuenta préstamos en cualquier etapa del desarrollo incluyendo, </w:t>
            </w:r>
            <w:r w:rsidRPr="00FC40A7">
              <w:rPr>
                <w:rFonts w:ascii="Arial" w:hAnsi="Arial" w:cs="Arial"/>
                <w:sz w:val="18"/>
                <w:szCs w:val="18"/>
                <w:lang w:val="es-ES_tradnl"/>
              </w:rPr>
              <w:lastRenderedPageBreak/>
              <w:t>préstamos asegurados, blandos, y/o refinanciamiento de proyectos que avanzaron de la etapa de exploración temprana a las etapas de perforación de producción y construcción. No incluye CRG que ya son monitoreados con otro indicador.</w:t>
            </w:r>
          </w:p>
          <w:p w14:paraId="62328ED4"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reporte del programa elaborado por NAFIN</w:t>
            </w:r>
          </w:p>
        </w:tc>
      </w:tr>
      <w:tr w:rsidR="00FC40A7" w:rsidRPr="00FC40A7" w14:paraId="3B4EE222" w14:textId="77777777" w:rsidTr="00FC40A7">
        <w:tc>
          <w:tcPr>
            <w:tcW w:w="15025" w:type="dxa"/>
            <w:gridSpan w:val="14"/>
            <w:shd w:val="clear" w:color="auto" w:fill="BFBFBF"/>
          </w:tcPr>
          <w:p w14:paraId="7C71F848"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b/>
                <w:sz w:val="18"/>
                <w:szCs w:val="18"/>
                <w:lang w:val="es-ES_tradnl"/>
              </w:rPr>
              <w:lastRenderedPageBreak/>
              <w:t>Resultados</w:t>
            </w:r>
          </w:p>
        </w:tc>
      </w:tr>
      <w:tr w:rsidR="00FC40A7" w:rsidRPr="00FC40A7" w14:paraId="7EB29B0B" w14:textId="77777777" w:rsidTr="00FC40A7">
        <w:tc>
          <w:tcPr>
            <w:tcW w:w="2335" w:type="dxa"/>
            <w:shd w:val="clear" w:color="auto" w:fill="auto"/>
            <w:vAlign w:val="center"/>
          </w:tcPr>
          <w:p w14:paraId="5C46157B"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Proyectos geotérmicos totales financiados por el programa en alguna etapa que alcanzaron su cierre financiero para la construcción de una planta</w:t>
            </w:r>
          </w:p>
        </w:tc>
        <w:tc>
          <w:tcPr>
            <w:tcW w:w="1260" w:type="dxa"/>
            <w:shd w:val="clear" w:color="auto" w:fill="auto"/>
            <w:vAlign w:val="center"/>
          </w:tcPr>
          <w:p w14:paraId="07B2F571"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Número</w:t>
            </w:r>
          </w:p>
        </w:tc>
        <w:tc>
          <w:tcPr>
            <w:tcW w:w="799" w:type="dxa"/>
            <w:shd w:val="clear" w:color="auto" w:fill="auto"/>
            <w:vAlign w:val="center"/>
          </w:tcPr>
          <w:p w14:paraId="777E96C9"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44" w:type="dxa"/>
            <w:shd w:val="clear" w:color="auto" w:fill="D9D9D9"/>
            <w:vAlign w:val="center"/>
          </w:tcPr>
          <w:p w14:paraId="4E6B99B3" w14:textId="77777777" w:rsidR="00FC40A7" w:rsidRPr="00FC40A7" w:rsidRDefault="00FC40A7" w:rsidP="00FC40A7">
            <w:pPr>
              <w:spacing w:before="60" w:after="60"/>
              <w:jc w:val="center"/>
              <w:rPr>
                <w:rFonts w:ascii="Arial" w:hAnsi="Arial" w:cs="Arial"/>
                <w:sz w:val="18"/>
                <w:szCs w:val="18"/>
                <w:lang w:val="es-ES_tradnl"/>
              </w:rPr>
            </w:pPr>
          </w:p>
        </w:tc>
        <w:tc>
          <w:tcPr>
            <w:tcW w:w="810" w:type="dxa"/>
            <w:shd w:val="clear" w:color="auto" w:fill="D9D9D9"/>
            <w:vAlign w:val="center"/>
          </w:tcPr>
          <w:p w14:paraId="10F44B76"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06FFA2C5"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18141C30"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568A0EE4"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096A162D"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w:t>
            </w:r>
          </w:p>
        </w:tc>
        <w:tc>
          <w:tcPr>
            <w:tcW w:w="737" w:type="dxa"/>
            <w:shd w:val="clear" w:color="auto" w:fill="auto"/>
            <w:vAlign w:val="center"/>
          </w:tcPr>
          <w:p w14:paraId="45E16B8D"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w:t>
            </w:r>
          </w:p>
        </w:tc>
        <w:tc>
          <w:tcPr>
            <w:tcW w:w="793" w:type="dxa"/>
            <w:shd w:val="clear" w:color="auto" w:fill="auto"/>
            <w:vAlign w:val="center"/>
          </w:tcPr>
          <w:p w14:paraId="73E7EAB1"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805" w:type="dxa"/>
            <w:shd w:val="clear" w:color="auto" w:fill="auto"/>
            <w:vAlign w:val="center"/>
          </w:tcPr>
          <w:p w14:paraId="23238CC7"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1165" w:type="dxa"/>
            <w:shd w:val="clear" w:color="auto" w:fill="auto"/>
            <w:vAlign w:val="center"/>
          </w:tcPr>
          <w:p w14:paraId="25DC672A"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2</w:t>
            </w:r>
          </w:p>
        </w:tc>
        <w:tc>
          <w:tcPr>
            <w:tcW w:w="2697" w:type="dxa"/>
            <w:shd w:val="clear" w:color="auto" w:fill="auto"/>
            <w:vAlign w:val="center"/>
          </w:tcPr>
          <w:p w14:paraId="136E8AEE"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Incluye la cantidad total de proyectos que han logrado asegurar financiamiento total para la construcción de la planta en el año indicado. Debido a los largos períodos de vencimiento asociados con estos proyectos, los proyectos financiados desde la etapa de exploración temprana podrían no haber alcanzado esta etapa hasta pasado el período de monitoreo (ver meta año 10).</w:t>
            </w:r>
          </w:p>
          <w:p w14:paraId="12D489AE"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reporte del programa elaborado por NAFIN</w:t>
            </w:r>
          </w:p>
        </w:tc>
      </w:tr>
      <w:tr w:rsidR="00FC40A7" w:rsidRPr="00FC40A7" w14:paraId="5747F440" w14:textId="77777777" w:rsidTr="00FC40A7">
        <w:tc>
          <w:tcPr>
            <w:tcW w:w="2335" w:type="dxa"/>
            <w:shd w:val="clear" w:color="auto" w:fill="auto"/>
            <w:vAlign w:val="center"/>
          </w:tcPr>
          <w:p w14:paraId="24F2F619"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Proyectos geotérmicos totales financiados por el programa en alguna etapa que están en operación (producen electricidad)</w:t>
            </w:r>
          </w:p>
        </w:tc>
        <w:tc>
          <w:tcPr>
            <w:tcW w:w="1260" w:type="dxa"/>
            <w:shd w:val="clear" w:color="auto" w:fill="auto"/>
            <w:vAlign w:val="center"/>
          </w:tcPr>
          <w:p w14:paraId="17D7F5BA"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Número</w:t>
            </w:r>
          </w:p>
        </w:tc>
        <w:tc>
          <w:tcPr>
            <w:tcW w:w="799" w:type="dxa"/>
            <w:shd w:val="clear" w:color="auto" w:fill="auto"/>
            <w:vAlign w:val="center"/>
          </w:tcPr>
          <w:p w14:paraId="52FA8F79"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44" w:type="dxa"/>
            <w:shd w:val="clear" w:color="auto" w:fill="D9D9D9"/>
            <w:vAlign w:val="center"/>
          </w:tcPr>
          <w:p w14:paraId="715F09EB" w14:textId="77777777" w:rsidR="00FC40A7" w:rsidRPr="00FC40A7" w:rsidRDefault="00FC40A7" w:rsidP="00FC40A7">
            <w:pPr>
              <w:spacing w:before="60" w:after="60"/>
              <w:jc w:val="center"/>
              <w:rPr>
                <w:rFonts w:ascii="Arial" w:hAnsi="Arial" w:cs="Arial"/>
                <w:sz w:val="18"/>
                <w:szCs w:val="18"/>
                <w:lang w:val="es-ES_tradnl"/>
              </w:rPr>
            </w:pPr>
          </w:p>
        </w:tc>
        <w:tc>
          <w:tcPr>
            <w:tcW w:w="810" w:type="dxa"/>
            <w:shd w:val="clear" w:color="auto" w:fill="D9D9D9"/>
            <w:vAlign w:val="center"/>
          </w:tcPr>
          <w:p w14:paraId="660C6AF7"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05706378"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43A4AEFC"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1FD9E2D3"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04DF7400" w14:textId="77777777" w:rsidR="00FC40A7" w:rsidRPr="00FC40A7" w:rsidRDefault="00FC40A7" w:rsidP="00FC40A7">
            <w:pPr>
              <w:spacing w:before="60" w:after="60"/>
              <w:jc w:val="center"/>
              <w:rPr>
                <w:rFonts w:ascii="Arial" w:hAnsi="Arial" w:cs="Arial"/>
                <w:sz w:val="18"/>
                <w:szCs w:val="18"/>
                <w:lang w:val="es-ES_tradnl"/>
              </w:rPr>
            </w:pPr>
          </w:p>
        </w:tc>
        <w:tc>
          <w:tcPr>
            <w:tcW w:w="737" w:type="dxa"/>
            <w:shd w:val="clear" w:color="auto" w:fill="auto"/>
            <w:vAlign w:val="center"/>
          </w:tcPr>
          <w:p w14:paraId="0B71D216" w14:textId="77777777" w:rsidR="00FC40A7" w:rsidRPr="00FC40A7" w:rsidRDefault="00FC40A7" w:rsidP="00FC40A7">
            <w:pPr>
              <w:spacing w:before="60" w:after="60"/>
              <w:jc w:val="center"/>
              <w:rPr>
                <w:rFonts w:ascii="Arial" w:hAnsi="Arial" w:cs="Arial"/>
                <w:sz w:val="18"/>
                <w:szCs w:val="18"/>
                <w:lang w:val="es-ES_tradnl"/>
              </w:rPr>
            </w:pPr>
          </w:p>
        </w:tc>
        <w:tc>
          <w:tcPr>
            <w:tcW w:w="793" w:type="dxa"/>
            <w:shd w:val="clear" w:color="auto" w:fill="auto"/>
            <w:vAlign w:val="center"/>
          </w:tcPr>
          <w:p w14:paraId="28953E4E" w14:textId="77777777" w:rsidR="00FC40A7" w:rsidRPr="00FC40A7" w:rsidRDefault="00FC40A7" w:rsidP="00FC40A7">
            <w:pPr>
              <w:spacing w:before="60" w:after="60"/>
              <w:jc w:val="center"/>
              <w:rPr>
                <w:rFonts w:ascii="Arial" w:hAnsi="Arial" w:cs="Arial"/>
                <w:sz w:val="18"/>
                <w:szCs w:val="18"/>
                <w:lang w:val="es-ES_tradnl"/>
              </w:rPr>
            </w:pPr>
          </w:p>
        </w:tc>
        <w:tc>
          <w:tcPr>
            <w:tcW w:w="805" w:type="dxa"/>
            <w:shd w:val="clear" w:color="auto" w:fill="auto"/>
            <w:vAlign w:val="center"/>
          </w:tcPr>
          <w:p w14:paraId="0084058A"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2</w:t>
            </w:r>
          </w:p>
        </w:tc>
        <w:tc>
          <w:tcPr>
            <w:tcW w:w="1165" w:type="dxa"/>
            <w:shd w:val="clear" w:color="auto" w:fill="auto"/>
            <w:vAlign w:val="center"/>
          </w:tcPr>
          <w:p w14:paraId="63D53262"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2</w:t>
            </w:r>
          </w:p>
        </w:tc>
        <w:tc>
          <w:tcPr>
            <w:tcW w:w="2697" w:type="dxa"/>
            <w:shd w:val="clear" w:color="auto" w:fill="auto"/>
            <w:vAlign w:val="center"/>
          </w:tcPr>
          <w:p w14:paraId="04FABCBD"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Incluye la cantidad total de proyectos operando en el año indicado. Debido a los largos períodos de vencimiento asociados con estos proyectos, los proyectos financiados desde la etapa de exploración temprana podrían no estar en operación total sino hasta pasado el periodo de monitoreo (ver meta año 10).</w:t>
            </w:r>
          </w:p>
          <w:p w14:paraId="22274327"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reporte del programa elaborado por NAFIN</w:t>
            </w:r>
          </w:p>
        </w:tc>
      </w:tr>
      <w:tr w:rsidR="00FC40A7" w:rsidRPr="00FC40A7" w14:paraId="6BE189EB" w14:textId="77777777" w:rsidTr="00FC40A7">
        <w:tc>
          <w:tcPr>
            <w:tcW w:w="2335" w:type="dxa"/>
            <w:shd w:val="clear" w:color="auto" w:fill="auto"/>
            <w:vAlign w:val="center"/>
          </w:tcPr>
          <w:p w14:paraId="7E722738"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lastRenderedPageBreak/>
              <w:t>Capacidad de generación geotérmica instalada en proyectos financiados en alguna etapa por el programa</w:t>
            </w:r>
          </w:p>
        </w:tc>
        <w:tc>
          <w:tcPr>
            <w:tcW w:w="1260" w:type="dxa"/>
            <w:shd w:val="clear" w:color="auto" w:fill="auto"/>
            <w:vAlign w:val="center"/>
          </w:tcPr>
          <w:p w14:paraId="7C5785BA"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rPr>
              <w:t>MW</w:t>
            </w:r>
          </w:p>
        </w:tc>
        <w:tc>
          <w:tcPr>
            <w:tcW w:w="799" w:type="dxa"/>
            <w:shd w:val="clear" w:color="auto" w:fill="auto"/>
            <w:vAlign w:val="center"/>
          </w:tcPr>
          <w:p w14:paraId="44B23079"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44" w:type="dxa"/>
            <w:shd w:val="clear" w:color="auto" w:fill="D9D9D9"/>
            <w:vAlign w:val="center"/>
          </w:tcPr>
          <w:p w14:paraId="02FA6E33" w14:textId="77777777" w:rsidR="00FC40A7" w:rsidRPr="00FC40A7" w:rsidRDefault="00FC40A7" w:rsidP="00FC40A7">
            <w:pPr>
              <w:spacing w:before="60" w:after="60"/>
              <w:jc w:val="center"/>
              <w:rPr>
                <w:rFonts w:ascii="Arial" w:hAnsi="Arial" w:cs="Arial"/>
                <w:sz w:val="18"/>
                <w:szCs w:val="18"/>
                <w:lang w:val="es-ES_tradnl"/>
              </w:rPr>
            </w:pPr>
          </w:p>
        </w:tc>
        <w:tc>
          <w:tcPr>
            <w:tcW w:w="810" w:type="dxa"/>
            <w:shd w:val="clear" w:color="auto" w:fill="D9D9D9"/>
            <w:vAlign w:val="center"/>
          </w:tcPr>
          <w:p w14:paraId="5C623EA4"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400A088D"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5BF6D413"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2732C85A"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623CEA4D" w14:textId="77777777" w:rsidR="00FC40A7" w:rsidRPr="00FC40A7" w:rsidRDefault="00FC40A7" w:rsidP="00FC40A7">
            <w:pPr>
              <w:spacing w:before="60" w:after="60"/>
              <w:jc w:val="center"/>
              <w:rPr>
                <w:rFonts w:ascii="Arial" w:hAnsi="Arial" w:cs="Arial"/>
                <w:sz w:val="18"/>
                <w:szCs w:val="18"/>
                <w:lang w:val="es-ES_tradnl"/>
              </w:rPr>
            </w:pPr>
          </w:p>
        </w:tc>
        <w:tc>
          <w:tcPr>
            <w:tcW w:w="737" w:type="dxa"/>
            <w:shd w:val="clear" w:color="auto" w:fill="auto"/>
            <w:vAlign w:val="center"/>
          </w:tcPr>
          <w:p w14:paraId="55F5825C" w14:textId="77777777" w:rsidR="00FC40A7" w:rsidRPr="00FC40A7" w:rsidRDefault="00FC40A7" w:rsidP="00FC40A7">
            <w:pPr>
              <w:spacing w:before="60" w:after="60"/>
              <w:jc w:val="center"/>
              <w:rPr>
                <w:rFonts w:ascii="Arial" w:hAnsi="Arial" w:cs="Arial"/>
                <w:sz w:val="18"/>
                <w:szCs w:val="18"/>
                <w:lang w:val="es-ES_tradnl"/>
              </w:rPr>
            </w:pPr>
          </w:p>
        </w:tc>
        <w:tc>
          <w:tcPr>
            <w:tcW w:w="793" w:type="dxa"/>
            <w:shd w:val="clear" w:color="auto" w:fill="auto"/>
            <w:vAlign w:val="center"/>
          </w:tcPr>
          <w:p w14:paraId="4696DCF6"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15</w:t>
            </w:r>
          </w:p>
        </w:tc>
        <w:tc>
          <w:tcPr>
            <w:tcW w:w="805" w:type="dxa"/>
            <w:shd w:val="clear" w:color="auto" w:fill="auto"/>
            <w:vAlign w:val="center"/>
          </w:tcPr>
          <w:p w14:paraId="24A7A588"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15</w:t>
            </w:r>
          </w:p>
        </w:tc>
        <w:tc>
          <w:tcPr>
            <w:tcW w:w="1165" w:type="dxa"/>
            <w:shd w:val="clear" w:color="auto" w:fill="auto"/>
            <w:vAlign w:val="center"/>
          </w:tcPr>
          <w:p w14:paraId="4E8615EB"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30</w:t>
            </w:r>
          </w:p>
        </w:tc>
        <w:tc>
          <w:tcPr>
            <w:tcW w:w="2697" w:type="dxa"/>
            <w:shd w:val="clear" w:color="auto" w:fill="auto"/>
            <w:vAlign w:val="center"/>
          </w:tcPr>
          <w:p w14:paraId="0903A51A"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Sólo incluye la capacidad lista para producción</w:t>
            </w:r>
            <w:r w:rsidRPr="00FC40A7">
              <w:rPr>
                <w:rFonts w:ascii="Arial" w:hAnsi="Arial" w:cs="Arial"/>
                <w:sz w:val="18"/>
                <w:szCs w:val="18"/>
                <w:vertAlign w:val="superscript"/>
                <w:lang w:val="es-ES_tradnl"/>
              </w:rPr>
              <w:footnoteReference w:id="24"/>
            </w:r>
            <w:r w:rsidRPr="00FC40A7">
              <w:rPr>
                <w:rFonts w:ascii="Arial" w:hAnsi="Arial" w:cs="Arial"/>
                <w:sz w:val="18"/>
                <w:szCs w:val="18"/>
                <w:lang w:val="es-ES_tradnl"/>
              </w:rPr>
              <w:t>. Debido a los largos períodos de vencimiento asociados con estos proyectos, la capacidad resultante de proyectos financiados desde la etapa de exploración temprana podría no estar instalados hasta pasado el período de monitoreo (ver meta año 10)</w:t>
            </w:r>
          </w:p>
        </w:tc>
      </w:tr>
      <w:tr w:rsidR="00FC40A7" w:rsidRPr="00FC40A7" w14:paraId="4A64E158" w14:textId="77777777" w:rsidTr="00FC40A7">
        <w:tc>
          <w:tcPr>
            <w:tcW w:w="2335" w:type="dxa"/>
            <w:shd w:val="clear" w:color="auto" w:fill="auto"/>
            <w:vAlign w:val="center"/>
          </w:tcPr>
          <w:p w14:paraId="4674F468"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Producción de electricidad a partir de proyectos financiados en alguna etapa por el programa</w:t>
            </w:r>
          </w:p>
        </w:tc>
        <w:tc>
          <w:tcPr>
            <w:tcW w:w="1260" w:type="dxa"/>
            <w:shd w:val="clear" w:color="auto" w:fill="auto"/>
            <w:vAlign w:val="center"/>
          </w:tcPr>
          <w:p w14:paraId="0FD11353"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GWh/año</w:t>
            </w:r>
          </w:p>
        </w:tc>
        <w:tc>
          <w:tcPr>
            <w:tcW w:w="799" w:type="dxa"/>
            <w:shd w:val="clear" w:color="auto" w:fill="auto"/>
            <w:vAlign w:val="center"/>
          </w:tcPr>
          <w:p w14:paraId="62DF0CF3"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44" w:type="dxa"/>
            <w:shd w:val="clear" w:color="auto" w:fill="D9D9D9"/>
            <w:vAlign w:val="center"/>
          </w:tcPr>
          <w:p w14:paraId="2200B027" w14:textId="77777777" w:rsidR="00FC40A7" w:rsidRPr="00FC40A7" w:rsidRDefault="00FC40A7" w:rsidP="00FC40A7">
            <w:pPr>
              <w:spacing w:before="60" w:after="60"/>
              <w:jc w:val="center"/>
              <w:rPr>
                <w:rFonts w:ascii="Arial" w:hAnsi="Arial" w:cs="Arial"/>
                <w:sz w:val="18"/>
                <w:szCs w:val="18"/>
                <w:lang w:val="es-ES_tradnl"/>
              </w:rPr>
            </w:pPr>
          </w:p>
        </w:tc>
        <w:tc>
          <w:tcPr>
            <w:tcW w:w="810" w:type="dxa"/>
            <w:shd w:val="clear" w:color="auto" w:fill="D9D9D9"/>
            <w:vAlign w:val="center"/>
          </w:tcPr>
          <w:p w14:paraId="0F7294E6"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39C6EF08"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1FCCD795"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10772229"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456626C2" w14:textId="77777777" w:rsidR="00FC40A7" w:rsidRPr="00FC40A7" w:rsidRDefault="00FC40A7" w:rsidP="00FC40A7">
            <w:pPr>
              <w:spacing w:before="60" w:after="60"/>
              <w:jc w:val="center"/>
              <w:rPr>
                <w:rFonts w:ascii="Arial" w:hAnsi="Arial" w:cs="Arial"/>
                <w:sz w:val="18"/>
                <w:szCs w:val="18"/>
                <w:lang w:val="es-ES_tradnl"/>
              </w:rPr>
            </w:pPr>
          </w:p>
        </w:tc>
        <w:tc>
          <w:tcPr>
            <w:tcW w:w="737" w:type="dxa"/>
            <w:shd w:val="clear" w:color="auto" w:fill="auto"/>
            <w:vAlign w:val="center"/>
          </w:tcPr>
          <w:p w14:paraId="7AE9AC3A" w14:textId="77777777" w:rsidR="00FC40A7" w:rsidRPr="00FC40A7" w:rsidRDefault="00FC40A7" w:rsidP="00FC40A7">
            <w:pPr>
              <w:spacing w:before="60" w:after="60"/>
              <w:jc w:val="center"/>
              <w:rPr>
                <w:rFonts w:ascii="Arial" w:hAnsi="Arial" w:cs="Arial"/>
                <w:sz w:val="18"/>
                <w:szCs w:val="18"/>
                <w:lang w:val="es-ES_tradnl"/>
              </w:rPr>
            </w:pPr>
          </w:p>
        </w:tc>
        <w:tc>
          <w:tcPr>
            <w:tcW w:w="793" w:type="dxa"/>
            <w:shd w:val="clear" w:color="auto" w:fill="auto"/>
            <w:vAlign w:val="center"/>
          </w:tcPr>
          <w:p w14:paraId="71811F68"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110,38</w:t>
            </w:r>
          </w:p>
        </w:tc>
        <w:tc>
          <w:tcPr>
            <w:tcW w:w="805" w:type="dxa"/>
            <w:shd w:val="clear" w:color="auto" w:fill="auto"/>
            <w:vAlign w:val="center"/>
          </w:tcPr>
          <w:p w14:paraId="019EE02E"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220,75</w:t>
            </w:r>
          </w:p>
        </w:tc>
        <w:tc>
          <w:tcPr>
            <w:tcW w:w="1165" w:type="dxa"/>
            <w:shd w:val="clear" w:color="auto" w:fill="auto"/>
            <w:vAlign w:val="center"/>
          </w:tcPr>
          <w:p w14:paraId="470B00E1"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331,13</w:t>
            </w:r>
          </w:p>
        </w:tc>
        <w:tc>
          <w:tcPr>
            <w:tcW w:w="2697" w:type="dxa"/>
            <w:shd w:val="clear" w:color="auto" w:fill="auto"/>
            <w:vAlign w:val="center"/>
          </w:tcPr>
          <w:p w14:paraId="0C2D8C1D"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reporte del programa elaborado por NAFIN. Estimaciones con base en la capacidad instalada esperada, un factor de producción promedio en México de 24 horas/día, los 365 días/año</w:t>
            </w:r>
          </w:p>
        </w:tc>
      </w:tr>
      <w:tr w:rsidR="00FC40A7" w:rsidRPr="00FC40A7" w14:paraId="0F21164B" w14:textId="77777777" w:rsidTr="00FC40A7">
        <w:tc>
          <w:tcPr>
            <w:tcW w:w="2335" w:type="dxa"/>
            <w:shd w:val="clear" w:color="auto" w:fill="auto"/>
            <w:vAlign w:val="center"/>
          </w:tcPr>
          <w:p w14:paraId="1B25B846"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Gases de Efecto Invernadero (GEI) evitados por proyectos geotérmicos financiados en alguna etapa por el programa</w:t>
            </w:r>
          </w:p>
        </w:tc>
        <w:tc>
          <w:tcPr>
            <w:tcW w:w="1260" w:type="dxa"/>
            <w:shd w:val="clear" w:color="auto" w:fill="auto"/>
            <w:vAlign w:val="center"/>
          </w:tcPr>
          <w:p w14:paraId="111B1DF7"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ktCO2e/ año</w:t>
            </w:r>
          </w:p>
        </w:tc>
        <w:tc>
          <w:tcPr>
            <w:tcW w:w="799" w:type="dxa"/>
            <w:shd w:val="clear" w:color="auto" w:fill="auto"/>
            <w:vAlign w:val="center"/>
          </w:tcPr>
          <w:p w14:paraId="5859399D"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0</w:t>
            </w:r>
          </w:p>
        </w:tc>
        <w:tc>
          <w:tcPr>
            <w:tcW w:w="744" w:type="dxa"/>
            <w:shd w:val="clear" w:color="auto" w:fill="D9D9D9"/>
            <w:vAlign w:val="center"/>
          </w:tcPr>
          <w:p w14:paraId="72040E4E" w14:textId="77777777" w:rsidR="00FC40A7" w:rsidRPr="00FC40A7" w:rsidRDefault="00FC40A7" w:rsidP="00FC40A7">
            <w:pPr>
              <w:spacing w:before="60" w:after="60"/>
              <w:jc w:val="center"/>
              <w:rPr>
                <w:rFonts w:ascii="Arial" w:hAnsi="Arial" w:cs="Arial"/>
                <w:sz w:val="18"/>
                <w:szCs w:val="18"/>
                <w:lang w:val="es-ES_tradnl"/>
              </w:rPr>
            </w:pPr>
          </w:p>
        </w:tc>
        <w:tc>
          <w:tcPr>
            <w:tcW w:w="810" w:type="dxa"/>
            <w:shd w:val="clear" w:color="auto" w:fill="D9D9D9"/>
            <w:vAlign w:val="center"/>
          </w:tcPr>
          <w:p w14:paraId="20A5B11C"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0F8852DF"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7BDFE45D"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5748BC32" w14:textId="77777777" w:rsidR="00FC40A7" w:rsidRPr="00FC40A7" w:rsidRDefault="00FC40A7" w:rsidP="00FC40A7">
            <w:pPr>
              <w:spacing w:before="60" w:after="60"/>
              <w:jc w:val="center"/>
              <w:rPr>
                <w:rFonts w:ascii="Arial" w:hAnsi="Arial" w:cs="Arial"/>
                <w:sz w:val="18"/>
                <w:szCs w:val="18"/>
                <w:lang w:val="es-ES_tradnl"/>
              </w:rPr>
            </w:pPr>
          </w:p>
        </w:tc>
        <w:tc>
          <w:tcPr>
            <w:tcW w:w="720" w:type="dxa"/>
            <w:shd w:val="clear" w:color="auto" w:fill="auto"/>
            <w:vAlign w:val="center"/>
          </w:tcPr>
          <w:p w14:paraId="1C68A01C" w14:textId="77777777" w:rsidR="00FC40A7" w:rsidRPr="00FC40A7" w:rsidRDefault="00FC40A7" w:rsidP="00FC40A7">
            <w:pPr>
              <w:spacing w:before="60" w:after="60"/>
              <w:jc w:val="center"/>
              <w:rPr>
                <w:rFonts w:ascii="Arial" w:hAnsi="Arial" w:cs="Arial"/>
                <w:sz w:val="18"/>
                <w:szCs w:val="18"/>
                <w:lang w:val="es-ES_tradnl"/>
              </w:rPr>
            </w:pPr>
          </w:p>
        </w:tc>
        <w:tc>
          <w:tcPr>
            <w:tcW w:w="737" w:type="dxa"/>
            <w:shd w:val="clear" w:color="auto" w:fill="auto"/>
            <w:vAlign w:val="center"/>
          </w:tcPr>
          <w:p w14:paraId="74D312C2" w14:textId="77777777" w:rsidR="00FC40A7" w:rsidRPr="00FC40A7" w:rsidRDefault="00FC40A7" w:rsidP="00FC40A7">
            <w:pPr>
              <w:spacing w:before="60" w:after="60"/>
              <w:jc w:val="center"/>
              <w:rPr>
                <w:rFonts w:ascii="Arial" w:hAnsi="Arial" w:cs="Arial"/>
                <w:sz w:val="18"/>
                <w:szCs w:val="18"/>
                <w:lang w:val="es-ES_tradnl"/>
              </w:rPr>
            </w:pPr>
          </w:p>
        </w:tc>
        <w:tc>
          <w:tcPr>
            <w:tcW w:w="793" w:type="dxa"/>
            <w:shd w:val="clear" w:color="auto" w:fill="auto"/>
            <w:vAlign w:val="center"/>
          </w:tcPr>
          <w:p w14:paraId="60838C58"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64,24</w:t>
            </w:r>
          </w:p>
        </w:tc>
        <w:tc>
          <w:tcPr>
            <w:tcW w:w="805" w:type="dxa"/>
            <w:shd w:val="clear" w:color="auto" w:fill="auto"/>
            <w:vAlign w:val="center"/>
          </w:tcPr>
          <w:p w14:paraId="31ABED27"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128,24</w:t>
            </w:r>
          </w:p>
        </w:tc>
        <w:tc>
          <w:tcPr>
            <w:tcW w:w="1165" w:type="dxa"/>
            <w:shd w:val="clear" w:color="auto" w:fill="auto"/>
            <w:vAlign w:val="center"/>
          </w:tcPr>
          <w:p w14:paraId="2BB5BB33"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192,72</w:t>
            </w:r>
          </w:p>
        </w:tc>
        <w:tc>
          <w:tcPr>
            <w:tcW w:w="2697" w:type="dxa"/>
            <w:shd w:val="clear" w:color="auto" w:fill="auto"/>
            <w:vAlign w:val="center"/>
          </w:tcPr>
          <w:p w14:paraId="75DB58AF"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Toneladas de emisiones de GEI que serán reducidas o evitadas una vez que las plantas financiadas por el programa sean comisionadas.</w:t>
            </w:r>
          </w:p>
          <w:p w14:paraId="7AE62483"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estimaciones realizadas siguiendo la metodología del BID, con base en capacidad instalada (ver indicador arriba), producción prevista, y un factor de conversión promedio de 0.582 tCO</w:t>
            </w:r>
            <w:r w:rsidRPr="00FC40A7">
              <w:rPr>
                <w:rFonts w:ascii="Arial" w:hAnsi="Arial" w:cs="Arial"/>
                <w:sz w:val="18"/>
                <w:szCs w:val="18"/>
                <w:vertAlign w:val="subscript"/>
                <w:lang w:val="es-ES_tradnl"/>
              </w:rPr>
              <w:t>2</w:t>
            </w:r>
            <w:r w:rsidRPr="00FC40A7">
              <w:rPr>
                <w:rFonts w:ascii="Arial" w:hAnsi="Arial" w:cs="Arial"/>
                <w:sz w:val="18"/>
                <w:szCs w:val="18"/>
                <w:lang w:val="es-ES_tradnl"/>
              </w:rPr>
              <w:t>/MWh para generación eléctrica en México.</w:t>
            </w:r>
          </w:p>
          <w:p w14:paraId="6A13A801"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ktCO</w:t>
            </w:r>
            <w:r w:rsidRPr="00FC40A7">
              <w:rPr>
                <w:rFonts w:ascii="Arial" w:hAnsi="Arial" w:cs="Arial"/>
                <w:sz w:val="18"/>
                <w:szCs w:val="18"/>
                <w:vertAlign w:val="subscript"/>
                <w:lang w:val="es-ES_tradnl"/>
              </w:rPr>
              <w:t>2</w:t>
            </w:r>
            <w:r w:rsidRPr="00FC40A7">
              <w:rPr>
                <w:rFonts w:ascii="Arial" w:hAnsi="Arial" w:cs="Arial"/>
                <w:sz w:val="18"/>
                <w:szCs w:val="18"/>
                <w:lang w:val="es-ES_tradnl"/>
              </w:rPr>
              <w:t>e = miles de toneladas de CO</w:t>
            </w:r>
            <w:r w:rsidRPr="00FC40A7">
              <w:rPr>
                <w:rFonts w:ascii="Arial" w:hAnsi="Arial" w:cs="Arial"/>
                <w:sz w:val="18"/>
                <w:szCs w:val="18"/>
                <w:vertAlign w:val="subscript"/>
                <w:lang w:val="es-ES_tradnl"/>
              </w:rPr>
              <w:t>2</w:t>
            </w:r>
            <w:r w:rsidRPr="00FC40A7">
              <w:rPr>
                <w:rFonts w:ascii="Arial" w:hAnsi="Arial" w:cs="Arial"/>
                <w:sz w:val="18"/>
                <w:szCs w:val="18"/>
                <w:lang w:val="es-ES_tradnl"/>
              </w:rPr>
              <w:t xml:space="preserve"> equivalente</w:t>
            </w:r>
          </w:p>
        </w:tc>
      </w:tr>
      <w:tr w:rsidR="00FC40A7" w:rsidRPr="00FC40A7" w14:paraId="38542526" w14:textId="77777777" w:rsidTr="00FC40A7">
        <w:trPr>
          <w:trHeight w:val="247"/>
        </w:trPr>
        <w:tc>
          <w:tcPr>
            <w:tcW w:w="15025" w:type="dxa"/>
            <w:gridSpan w:val="14"/>
            <w:shd w:val="clear" w:color="auto" w:fill="BFBFBF"/>
            <w:vAlign w:val="center"/>
          </w:tcPr>
          <w:p w14:paraId="0360EC41" w14:textId="77777777" w:rsidR="00FC40A7" w:rsidRPr="00FC40A7" w:rsidRDefault="00FC40A7" w:rsidP="00FC40A7">
            <w:pPr>
              <w:spacing w:before="60" w:after="60"/>
              <w:rPr>
                <w:rFonts w:ascii="Arial" w:hAnsi="Arial" w:cs="Arial"/>
                <w:b/>
                <w:sz w:val="18"/>
                <w:szCs w:val="18"/>
                <w:lang w:val="es-ES_tradnl"/>
              </w:rPr>
            </w:pPr>
            <w:r w:rsidRPr="00FC40A7">
              <w:rPr>
                <w:rFonts w:ascii="Arial" w:hAnsi="Arial" w:cs="Arial"/>
                <w:b/>
                <w:sz w:val="18"/>
                <w:szCs w:val="18"/>
                <w:lang w:val="es-ES_tradnl"/>
              </w:rPr>
              <w:t>Impactos</w:t>
            </w:r>
          </w:p>
        </w:tc>
      </w:tr>
      <w:tr w:rsidR="00FC40A7" w:rsidRPr="00FC40A7" w14:paraId="4DA078DD" w14:textId="77777777" w:rsidTr="00FC40A7">
        <w:tc>
          <w:tcPr>
            <w:tcW w:w="2335" w:type="dxa"/>
            <w:shd w:val="clear" w:color="auto" w:fill="auto"/>
            <w:vAlign w:val="center"/>
          </w:tcPr>
          <w:p w14:paraId="0F21EABD"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 xml:space="preserve">Financiamiento adicional de terceras partes movilizado para desarrollar proyectos geotérmicos financiados en alguna etapa por el </w:t>
            </w:r>
            <w:r w:rsidRPr="00FC40A7">
              <w:rPr>
                <w:rFonts w:ascii="Arial" w:hAnsi="Arial" w:cs="Arial"/>
                <w:sz w:val="18"/>
                <w:szCs w:val="18"/>
                <w:lang w:val="es-ES_tradnl"/>
              </w:rPr>
              <w:lastRenderedPageBreak/>
              <w:t>programa</w:t>
            </w:r>
          </w:p>
        </w:tc>
        <w:tc>
          <w:tcPr>
            <w:tcW w:w="1260" w:type="dxa"/>
            <w:shd w:val="clear" w:color="auto" w:fill="auto"/>
            <w:vAlign w:val="center"/>
          </w:tcPr>
          <w:p w14:paraId="23371686"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lastRenderedPageBreak/>
              <w:t>Millones de US$</w:t>
            </w:r>
          </w:p>
        </w:tc>
        <w:tc>
          <w:tcPr>
            <w:tcW w:w="799" w:type="dxa"/>
            <w:shd w:val="clear" w:color="auto" w:fill="auto"/>
            <w:vAlign w:val="center"/>
          </w:tcPr>
          <w:p w14:paraId="1367DF8F"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b/>
                <w:sz w:val="18"/>
                <w:szCs w:val="18"/>
                <w:lang w:val="es-ES_tradnl"/>
              </w:rPr>
              <w:t>0</w:t>
            </w:r>
          </w:p>
        </w:tc>
        <w:tc>
          <w:tcPr>
            <w:tcW w:w="744" w:type="dxa"/>
            <w:shd w:val="clear" w:color="auto" w:fill="D9D9D9"/>
            <w:vAlign w:val="center"/>
          </w:tcPr>
          <w:p w14:paraId="12F8325D" w14:textId="77777777" w:rsidR="00FC40A7" w:rsidRPr="00FC40A7" w:rsidRDefault="00FC40A7" w:rsidP="00FC40A7">
            <w:pPr>
              <w:spacing w:before="60" w:after="60"/>
              <w:jc w:val="center"/>
              <w:rPr>
                <w:rFonts w:ascii="Arial" w:hAnsi="Arial" w:cs="Arial"/>
                <w:b/>
                <w:sz w:val="18"/>
                <w:szCs w:val="18"/>
                <w:lang w:val="es-ES_tradnl"/>
              </w:rPr>
            </w:pPr>
          </w:p>
        </w:tc>
        <w:tc>
          <w:tcPr>
            <w:tcW w:w="810" w:type="dxa"/>
            <w:shd w:val="clear" w:color="auto" w:fill="D9D9D9"/>
            <w:vAlign w:val="center"/>
          </w:tcPr>
          <w:p w14:paraId="56B0E337"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5B098F1E"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18C45F72"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408E6152"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31385684" w14:textId="77777777" w:rsidR="00FC40A7" w:rsidRPr="00FC40A7" w:rsidRDefault="00FC40A7" w:rsidP="00FC40A7">
            <w:pPr>
              <w:spacing w:before="60" w:after="60"/>
              <w:jc w:val="center"/>
              <w:rPr>
                <w:rFonts w:ascii="Arial" w:hAnsi="Arial" w:cs="Arial"/>
                <w:b/>
                <w:sz w:val="18"/>
                <w:szCs w:val="18"/>
                <w:lang w:val="es-ES_tradnl"/>
              </w:rPr>
            </w:pPr>
          </w:p>
        </w:tc>
        <w:tc>
          <w:tcPr>
            <w:tcW w:w="737" w:type="dxa"/>
            <w:shd w:val="clear" w:color="auto" w:fill="auto"/>
            <w:vAlign w:val="center"/>
          </w:tcPr>
          <w:p w14:paraId="595BC39E" w14:textId="77777777" w:rsidR="00FC40A7" w:rsidRPr="00FC40A7" w:rsidRDefault="00FC40A7" w:rsidP="00FC40A7">
            <w:pPr>
              <w:spacing w:before="60" w:after="60"/>
              <w:jc w:val="center"/>
              <w:rPr>
                <w:rFonts w:ascii="Arial" w:hAnsi="Arial" w:cs="Arial"/>
                <w:b/>
                <w:sz w:val="18"/>
                <w:szCs w:val="18"/>
                <w:lang w:val="es-ES_tradnl"/>
              </w:rPr>
            </w:pPr>
          </w:p>
        </w:tc>
        <w:tc>
          <w:tcPr>
            <w:tcW w:w="793" w:type="dxa"/>
            <w:shd w:val="clear" w:color="auto" w:fill="auto"/>
            <w:vAlign w:val="center"/>
          </w:tcPr>
          <w:p w14:paraId="306C710C" w14:textId="77777777" w:rsidR="00FC40A7" w:rsidRPr="00FC40A7" w:rsidRDefault="00FC40A7" w:rsidP="00FC40A7">
            <w:pPr>
              <w:spacing w:before="60" w:after="60"/>
              <w:jc w:val="center"/>
              <w:rPr>
                <w:rFonts w:ascii="Arial" w:hAnsi="Arial" w:cs="Arial"/>
                <w:b/>
                <w:sz w:val="18"/>
                <w:szCs w:val="18"/>
                <w:lang w:val="es-ES_tradnl"/>
              </w:rPr>
            </w:pPr>
          </w:p>
        </w:tc>
        <w:tc>
          <w:tcPr>
            <w:tcW w:w="805" w:type="dxa"/>
            <w:shd w:val="clear" w:color="auto" w:fill="auto"/>
            <w:vAlign w:val="center"/>
          </w:tcPr>
          <w:p w14:paraId="4B399B5F" w14:textId="77777777" w:rsidR="00FC40A7" w:rsidRPr="00FC40A7" w:rsidRDefault="00FC40A7" w:rsidP="00FC40A7">
            <w:pPr>
              <w:spacing w:before="60" w:after="60"/>
              <w:jc w:val="center"/>
              <w:rPr>
                <w:rFonts w:ascii="Arial" w:hAnsi="Arial" w:cs="Arial"/>
                <w:b/>
                <w:sz w:val="18"/>
                <w:szCs w:val="18"/>
                <w:lang w:val="es-ES_tradnl"/>
              </w:rPr>
            </w:pPr>
          </w:p>
        </w:tc>
        <w:tc>
          <w:tcPr>
            <w:tcW w:w="1165" w:type="dxa"/>
            <w:shd w:val="clear" w:color="auto" w:fill="auto"/>
            <w:vAlign w:val="center"/>
          </w:tcPr>
          <w:p w14:paraId="7C0A6652"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lang w:val="es-ES_tradnl"/>
              </w:rPr>
              <w:t>190</w:t>
            </w:r>
          </w:p>
        </w:tc>
        <w:tc>
          <w:tcPr>
            <w:tcW w:w="2697" w:type="dxa"/>
            <w:shd w:val="clear" w:color="auto" w:fill="auto"/>
            <w:vAlign w:val="center"/>
          </w:tcPr>
          <w:p w14:paraId="36045DB0"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 xml:space="preserve">Volumen de financiamiento directo de terceras partes apalancado a través del programa incluyendo todas las fuentes de financiamiento adicionales del gobierno, </w:t>
            </w:r>
            <w:r w:rsidRPr="00FC40A7">
              <w:rPr>
                <w:rFonts w:ascii="Arial" w:hAnsi="Arial" w:cs="Arial"/>
                <w:sz w:val="18"/>
                <w:szCs w:val="18"/>
                <w:lang w:val="es-ES_tradnl"/>
              </w:rPr>
              <w:lastRenderedPageBreak/>
              <w:t>NAFIN, instituciones financieras, además de aportes de capital privado o público, (excepto los aportes del BID y CTF).</w:t>
            </w:r>
          </w:p>
          <w:p w14:paraId="608AF331"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reporte del programa elaborado por NAFIN. Estimaciones con base en un coeficiente de endeudamiento de 70:30 (para la fase de explotación), costo de inversión de US$5 millones por pozo y US$2 a US$4 millones por MW instalado</w:t>
            </w:r>
          </w:p>
        </w:tc>
      </w:tr>
      <w:tr w:rsidR="00FC40A7" w:rsidRPr="00FC40A7" w14:paraId="6E0DB0D3" w14:textId="77777777" w:rsidTr="00FC40A7">
        <w:trPr>
          <w:trHeight w:val="1151"/>
        </w:trPr>
        <w:tc>
          <w:tcPr>
            <w:tcW w:w="2335" w:type="dxa"/>
            <w:shd w:val="clear" w:color="auto" w:fill="auto"/>
            <w:vAlign w:val="center"/>
          </w:tcPr>
          <w:p w14:paraId="20499CDD"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lastRenderedPageBreak/>
              <w:t>Capacidad geotérmica total instalada en México</w:t>
            </w:r>
          </w:p>
        </w:tc>
        <w:tc>
          <w:tcPr>
            <w:tcW w:w="1260" w:type="dxa"/>
            <w:shd w:val="clear" w:color="auto" w:fill="auto"/>
            <w:vAlign w:val="center"/>
          </w:tcPr>
          <w:p w14:paraId="43139750"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rPr>
              <w:t>MWe</w:t>
            </w:r>
          </w:p>
        </w:tc>
        <w:tc>
          <w:tcPr>
            <w:tcW w:w="799" w:type="dxa"/>
            <w:shd w:val="clear" w:color="auto" w:fill="auto"/>
            <w:vAlign w:val="center"/>
          </w:tcPr>
          <w:p w14:paraId="61A0A769" w14:textId="77777777" w:rsidR="00FC40A7" w:rsidRPr="00FC40A7" w:rsidRDefault="00FC40A7" w:rsidP="00FC40A7">
            <w:pPr>
              <w:spacing w:before="60" w:after="60"/>
              <w:jc w:val="center"/>
              <w:rPr>
                <w:rFonts w:ascii="Arial" w:hAnsi="Arial" w:cs="Arial"/>
                <w:b/>
                <w:sz w:val="18"/>
                <w:szCs w:val="18"/>
                <w:lang w:val="es-ES_tradnl"/>
              </w:rPr>
            </w:pPr>
            <w:r w:rsidRPr="00FC40A7">
              <w:rPr>
                <w:rFonts w:ascii="Arial" w:hAnsi="Arial" w:cs="Arial"/>
                <w:sz w:val="18"/>
                <w:szCs w:val="18"/>
              </w:rPr>
              <w:t>909</w:t>
            </w:r>
            <w:r w:rsidRPr="00FC40A7">
              <w:rPr>
                <w:rFonts w:ascii="Arial" w:hAnsi="Arial" w:cs="Arial"/>
                <w:sz w:val="18"/>
                <w:szCs w:val="18"/>
                <w:vertAlign w:val="superscript"/>
              </w:rPr>
              <w:footnoteReference w:id="25"/>
            </w:r>
          </w:p>
        </w:tc>
        <w:tc>
          <w:tcPr>
            <w:tcW w:w="744" w:type="dxa"/>
            <w:shd w:val="clear" w:color="auto" w:fill="D9D9D9"/>
            <w:vAlign w:val="center"/>
          </w:tcPr>
          <w:p w14:paraId="6B434EB1" w14:textId="77777777" w:rsidR="00FC40A7" w:rsidRPr="00FC40A7" w:rsidRDefault="00FC40A7" w:rsidP="00FC40A7">
            <w:pPr>
              <w:spacing w:before="60" w:after="60"/>
              <w:jc w:val="center"/>
              <w:rPr>
                <w:rFonts w:ascii="Arial" w:hAnsi="Arial" w:cs="Arial"/>
                <w:b/>
                <w:sz w:val="18"/>
                <w:szCs w:val="18"/>
                <w:lang w:val="es-ES_tradnl"/>
              </w:rPr>
            </w:pPr>
          </w:p>
        </w:tc>
        <w:tc>
          <w:tcPr>
            <w:tcW w:w="810" w:type="dxa"/>
            <w:shd w:val="clear" w:color="auto" w:fill="D9D9D9"/>
            <w:vAlign w:val="center"/>
          </w:tcPr>
          <w:p w14:paraId="102EDD8E"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70F650CC"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34869580"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2A221EDA"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7A065261" w14:textId="77777777" w:rsidR="00FC40A7" w:rsidRPr="00FC40A7" w:rsidRDefault="00FC40A7" w:rsidP="00FC40A7">
            <w:pPr>
              <w:spacing w:before="60" w:after="60"/>
              <w:jc w:val="center"/>
              <w:rPr>
                <w:rFonts w:ascii="Arial" w:hAnsi="Arial" w:cs="Arial"/>
                <w:b/>
                <w:sz w:val="18"/>
                <w:szCs w:val="18"/>
                <w:lang w:val="es-ES_tradnl"/>
              </w:rPr>
            </w:pPr>
          </w:p>
        </w:tc>
        <w:tc>
          <w:tcPr>
            <w:tcW w:w="737" w:type="dxa"/>
            <w:shd w:val="clear" w:color="auto" w:fill="auto"/>
            <w:vAlign w:val="center"/>
          </w:tcPr>
          <w:p w14:paraId="5F93547D" w14:textId="77777777" w:rsidR="00FC40A7" w:rsidRPr="00FC40A7" w:rsidRDefault="00FC40A7" w:rsidP="00FC40A7">
            <w:pPr>
              <w:spacing w:before="60" w:after="60"/>
              <w:jc w:val="center"/>
              <w:rPr>
                <w:rFonts w:ascii="Arial" w:hAnsi="Arial" w:cs="Arial"/>
                <w:b/>
                <w:sz w:val="18"/>
                <w:szCs w:val="18"/>
                <w:lang w:val="es-ES_tradnl"/>
              </w:rPr>
            </w:pPr>
          </w:p>
        </w:tc>
        <w:tc>
          <w:tcPr>
            <w:tcW w:w="793" w:type="dxa"/>
            <w:shd w:val="clear" w:color="auto" w:fill="auto"/>
            <w:vAlign w:val="center"/>
          </w:tcPr>
          <w:p w14:paraId="321D25FD" w14:textId="77777777" w:rsidR="00FC40A7" w:rsidRPr="00FC40A7" w:rsidRDefault="00FC40A7" w:rsidP="00FC40A7">
            <w:pPr>
              <w:spacing w:before="60" w:after="60"/>
              <w:jc w:val="center"/>
              <w:rPr>
                <w:rFonts w:ascii="Arial" w:hAnsi="Arial" w:cs="Arial"/>
                <w:b/>
                <w:sz w:val="18"/>
                <w:szCs w:val="18"/>
                <w:lang w:val="es-ES_tradnl"/>
              </w:rPr>
            </w:pPr>
          </w:p>
        </w:tc>
        <w:tc>
          <w:tcPr>
            <w:tcW w:w="805" w:type="dxa"/>
            <w:shd w:val="clear" w:color="auto" w:fill="auto"/>
            <w:vAlign w:val="center"/>
          </w:tcPr>
          <w:p w14:paraId="234727F0" w14:textId="77777777" w:rsidR="00FC40A7" w:rsidRPr="00FC40A7" w:rsidRDefault="00FC40A7" w:rsidP="00FC40A7">
            <w:pPr>
              <w:spacing w:before="60" w:after="60"/>
              <w:jc w:val="center"/>
              <w:rPr>
                <w:rFonts w:ascii="Arial" w:hAnsi="Arial" w:cs="Arial"/>
                <w:b/>
                <w:sz w:val="18"/>
                <w:szCs w:val="18"/>
                <w:lang w:val="es-ES_tradnl"/>
              </w:rPr>
            </w:pPr>
          </w:p>
        </w:tc>
        <w:tc>
          <w:tcPr>
            <w:tcW w:w="1165" w:type="dxa"/>
            <w:shd w:val="clear" w:color="auto" w:fill="auto"/>
            <w:vAlign w:val="center"/>
          </w:tcPr>
          <w:p w14:paraId="7BD3F189" w14:textId="77777777" w:rsidR="00FC40A7" w:rsidRPr="00FC40A7" w:rsidRDefault="00FC40A7" w:rsidP="00FC40A7">
            <w:pPr>
              <w:spacing w:before="60" w:after="60"/>
              <w:jc w:val="center"/>
              <w:rPr>
                <w:rFonts w:ascii="Arial" w:hAnsi="Arial" w:cs="Arial"/>
                <w:sz w:val="18"/>
                <w:szCs w:val="18"/>
                <w:lang w:val="es-ES_tradnl"/>
              </w:rPr>
            </w:pPr>
            <w:r w:rsidRPr="00FC40A7">
              <w:rPr>
                <w:rFonts w:ascii="Arial" w:hAnsi="Arial" w:cs="Arial"/>
                <w:sz w:val="18"/>
                <w:szCs w:val="18"/>
              </w:rPr>
              <w:t>1.108</w:t>
            </w:r>
            <w:r w:rsidRPr="00FC40A7">
              <w:rPr>
                <w:rFonts w:ascii="Arial" w:hAnsi="Arial" w:cs="Arial"/>
                <w:sz w:val="18"/>
                <w:szCs w:val="18"/>
                <w:vertAlign w:val="superscript"/>
              </w:rPr>
              <w:footnoteReference w:id="26"/>
            </w:r>
          </w:p>
        </w:tc>
        <w:tc>
          <w:tcPr>
            <w:tcW w:w="2697" w:type="dxa"/>
            <w:shd w:val="clear" w:color="auto" w:fill="auto"/>
            <w:vAlign w:val="center"/>
          </w:tcPr>
          <w:p w14:paraId="0CE5FC53"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SENER, Balance Nacional de Energía</w:t>
            </w:r>
          </w:p>
        </w:tc>
      </w:tr>
      <w:tr w:rsidR="00FC40A7" w:rsidRPr="00FC40A7" w14:paraId="4DE44B9A" w14:textId="77777777" w:rsidTr="00FC40A7">
        <w:tc>
          <w:tcPr>
            <w:tcW w:w="2335" w:type="dxa"/>
            <w:shd w:val="clear" w:color="auto" w:fill="auto"/>
            <w:vAlign w:val="center"/>
          </w:tcPr>
          <w:p w14:paraId="1E458318"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Producción de electricidad a partir de fuentes geotérmicas en México</w:t>
            </w:r>
          </w:p>
        </w:tc>
        <w:tc>
          <w:tcPr>
            <w:tcW w:w="1260" w:type="dxa"/>
            <w:shd w:val="clear" w:color="auto" w:fill="auto"/>
            <w:vAlign w:val="center"/>
          </w:tcPr>
          <w:p w14:paraId="6BC2EDAF"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GWh/ año</w:t>
            </w:r>
          </w:p>
        </w:tc>
        <w:tc>
          <w:tcPr>
            <w:tcW w:w="799" w:type="dxa"/>
            <w:shd w:val="clear" w:color="auto" w:fill="auto"/>
            <w:vAlign w:val="center"/>
          </w:tcPr>
          <w:p w14:paraId="302534BB"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6.148</w:t>
            </w:r>
            <w:r w:rsidRPr="00FC40A7">
              <w:rPr>
                <w:rFonts w:ascii="Arial" w:hAnsi="Arial" w:cs="Arial"/>
                <w:sz w:val="18"/>
                <w:szCs w:val="18"/>
                <w:vertAlign w:val="superscript"/>
              </w:rPr>
              <w:footnoteReference w:id="27"/>
            </w:r>
            <w:r w:rsidRPr="00FC40A7">
              <w:rPr>
                <w:rFonts w:ascii="Arial" w:hAnsi="Arial" w:cs="Arial"/>
                <w:sz w:val="18"/>
                <w:szCs w:val="18"/>
              </w:rPr>
              <w:t xml:space="preserve"> </w:t>
            </w:r>
          </w:p>
        </w:tc>
        <w:tc>
          <w:tcPr>
            <w:tcW w:w="744" w:type="dxa"/>
            <w:shd w:val="clear" w:color="auto" w:fill="D9D9D9"/>
            <w:vAlign w:val="center"/>
          </w:tcPr>
          <w:p w14:paraId="1E64C1FA" w14:textId="77777777" w:rsidR="00FC40A7" w:rsidRPr="00FC40A7" w:rsidRDefault="00FC40A7" w:rsidP="00FC40A7">
            <w:pPr>
              <w:spacing w:before="60" w:after="60"/>
              <w:jc w:val="center"/>
              <w:rPr>
                <w:rFonts w:ascii="Arial" w:hAnsi="Arial" w:cs="Arial"/>
                <w:b/>
                <w:sz w:val="18"/>
                <w:szCs w:val="18"/>
                <w:lang w:val="es-ES_tradnl"/>
              </w:rPr>
            </w:pPr>
          </w:p>
        </w:tc>
        <w:tc>
          <w:tcPr>
            <w:tcW w:w="810" w:type="dxa"/>
            <w:shd w:val="clear" w:color="auto" w:fill="D9D9D9"/>
            <w:vAlign w:val="center"/>
          </w:tcPr>
          <w:p w14:paraId="1A7257B5"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2F9B83F6"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7C223999"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48089C7D"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0D6855A2" w14:textId="77777777" w:rsidR="00FC40A7" w:rsidRPr="00FC40A7" w:rsidRDefault="00FC40A7" w:rsidP="00FC40A7">
            <w:pPr>
              <w:spacing w:before="60" w:after="60"/>
              <w:jc w:val="center"/>
              <w:rPr>
                <w:rFonts w:ascii="Arial" w:hAnsi="Arial" w:cs="Arial"/>
                <w:b/>
                <w:sz w:val="18"/>
                <w:szCs w:val="18"/>
                <w:lang w:val="es-ES_tradnl"/>
              </w:rPr>
            </w:pPr>
          </w:p>
        </w:tc>
        <w:tc>
          <w:tcPr>
            <w:tcW w:w="737" w:type="dxa"/>
            <w:shd w:val="clear" w:color="auto" w:fill="auto"/>
            <w:vAlign w:val="center"/>
          </w:tcPr>
          <w:p w14:paraId="76A9E2BE" w14:textId="77777777" w:rsidR="00FC40A7" w:rsidRPr="00FC40A7" w:rsidRDefault="00FC40A7" w:rsidP="00FC40A7">
            <w:pPr>
              <w:spacing w:before="60" w:after="60"/>
              <w:jc w:val="center"/>
              <w:rPr>
                <w:rFonts w:ascii="Arial" w:hAnsi="Arial" w:cs="Arial"/>
                <w:b/>
                <w:sz w:val="18"/>
                <w:szCs w:val="18"/>
                <w:lang w:val="es-ES_tradnl"/>
              </w:rPr>
            </w:pPr>
          </w:p>
        </w:tc>
        <w:tc>
          <w:tcPr>
            <w:tcW w:w="793" w:type="dxa"/>
            <w:shd w:val="clear" w:color="auto" w:fill="auto"/>
            <w:vAlign w:val="center"/>
          </w:tcPr>
          <w:p w14:paraId="6E6C8A62" w14:textId="77777777" w:rsidR="00FC40A7" w:rsidRPr="00FC40A7" w:rsidRDefault="00FC40A7" w:rsidP="00FC40A7">
            <w:pPr>
              <w:spacing w:before="60" w:after="60"/>
              <w:jc w:val="center"/>
              <w:rPr>
                <w:rFonts w:ascii="Arial" w:hAnsi="Arial" w:cs="Arial"/>
                <w:b/>
                <w:sz w:val="18"/>
                <w:szCs w:val="18"/>
                <w:lang w:val="es-ES_tradnl"/>
              </w:rPr>
            </w:pPr>
          </w:p>
        </w:tc>
        <w:tc>
          <w:tcPr>
            <w:tcW w:w="805" w:type="dxa"/>
            <w:shd w:val="clear" w:color="auto" w:fill="auto"/>
            <w:vAlign w:val="center"/>
          </w:tcPr>
          <w:p w14:paraId="5505B914" w14:textId="77777777" w:rsidR="00FC40A7" w:rsidRPr="00FC40A7" w:rsidRDefault="00FC40A7" w:rsidP="00FC40A7">
            <w:pPr>
              <w:spacing w:before="60" w:after="60"/>
              <w:jc w:val="center"/>
              <w:rPr>
                <w:rFonts w:ascii="Arial" w:hAnsi="Arial" w:cs="Arial"/>
                <w:b/>
                <w:sz w:val="18"/>
                <w:szCs w:val="18"/>
                <w:lang w:val="es-ES_tradnl"/>
              </w:rPr>
            </w:pPr>
          </w:p>
        </w:tc>
        <w:tc>
          <w:tcPr>
            <w:tcW w:w="1165" w:type="dxa"/>
            <w:shd w:val="clear" w:color="auto" w:fill="auto"/>
            <w:vAlign w:val="center"/>
          </w:tcPr>
          <w:p w14:paraId="579A0842"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6.921</w:t>
            </w:r>
          </w:p>
        </w:tc>
        <w:tc>
          <w:tcPr>
            <w:tcW w:w="2697" w:type="dxa"/>
            <w:shd w:val="clear" w:color="auto" w:fill="auto"/>
            <w:vAlign w:val="center"/>
          </w:tcPr>
          <w:p w14:paraId="4B3BBD91"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Información pública de la Comisión Reguladora de Energía (CRE) y la CFE. Estimaciones realizadas con base en el factor de producción promedio en México.</w:t>
            </w:r>
          </w:p>
        </w:tc>
      </w:tr>
      <w:tr w:rsidR="00FC40A7" w:rsidRPr="00FC40A7" w14:paraId="35B5DE13" w14:textId="77777777" w:rsidTr="00FC40A7">
        <w:tc>
          <w:tcPr>
            <w:tcW w:w="2335" w:type="dxa"/>
            <w:shd w:val="clear" w:color="auto" w:fill="auto"/>
            <w:vAlign w:val="center"/>
          </w:tcPr>
          <w:p w14:paraId="4A352A50"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t>Gases de Efecto Invernadero (GEI) en el sector energético mexicano</w:t>
            </w:r>
          </w:p>
        </w:tc>
        <w:tc>
          <w:tcPr>
            <w:tcW w:w="1260" w:type="dxa"/>
            <w:shd w:val="clear" w:color="auto" w:fill="auto"/>
            <w:vAlign w:val="center"/>
          </w:tcPr>
          <w:p w14:paraId="74A510F5"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Mt CO2e</w:t>
            </w:r>
          </w:p>
        </w:tc>
        <w:tc>
          <w:tcPr>
            <w:tcW w:w="799" w:type="dxa"/>
            <w:shd w:val="clear" w:color="auto" w:fill="auto"/>
            <w:vAlign w:val="center"/>
          </w:tcPr>
          <w:p w14:paraId="7B88754C"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503,8</w:t>
            </w:r>
            <w:r w:rsidRPr="00FC40A7">
              <w:rPr>
                <w:rFonts w:ascii="Arial" w:hAnsi="Arial" w:cs="Arial"/>
                <w:sz w:val="18"/>
                <w:szCs w:val="18"/>
                <w:vertAlign w:val="superscript"/>
              </w:rPr>
              <w:footnoteReference w:id="28"/>
            </w:r>
          </w:p>
        </w:tc>
        <w:tc>
          <w:tcPr>
            <w:tcW w:w="744" w:type="dxa"/>
            <w:shd w:val="clear" w:color="auto" w:fill="D9D9D9"/>
            <w:vAlign w:val="center"/>
          </w:tcPr>
          <w:p w14:paraId="3D08CCD6" w14:textId="77777777" w:rsidR="00FC40A7" w:rsidRPr="00FC40A7" w:rsidRDefault="00FC40A7" w:rsidP="00FC40A7">
            <w:pPr>
              <w:spacing w:before="60" w:after="60"/>
              <w:jc w:val="center"/>
              <w:rPr>
                <w:rFonts w:ascii="Arial" w:hAnsi="Arial" w:cs="Arial"/>
                <w:b/>
                <w:sz w:val="18"/>
                <w:szCs w:val="18"/>
                <w:lang w:val="es-ES_tradnl"/>
              </w:rPr>
            </w:pPr>
          </w:p>
        </w:tc>
        <w:tc>
          <w:tcPr>
            <w:tcW w:w="810" w:type="dxa"/>
            <w:shd w:val="clear" w:color="auto" w:fill="D9D9D9"/>
            <w:vAlign w:val="center"/>
          </w:tcPr>
          <w:p w14:paraId="15A6FAB2"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41EC470C"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206E5CAC"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44E5E6A2"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42CDBEE0" w14:textId="77777777" w:rsidR="00FC40A7" w:rsidRPr="00FC40A7" w:rsidRDefault="00FC40A7" w:rsidP="00FC40A7">
            <w:pPr>
              <w:spacing w:before="60" w:after="60"/>
              <w:jc w:val="center"/>
              <w:rPr>
                <w:rFonts w:ascii="Arial" w:hAnsi="Arial" w:cs="Arial"/>
                <w:b/>
                <w:sz w:val="18"/>
                <w:szCs w:val="18"/>
                <w:lang w:val="es-ES_tradnl"/>
              </w:rPr>
            </w:pPr>
          </w:p>
        </w:tc>
        <w:tc>
          <w:tcPr>
            <w:tcW w:w="737" w:type="dxa"/>
            <w:shd w:val="clear" w:color="auto" w:fill="auto"/>
            <w:vAlign w:val="center"/>
          </w:tcPr>
          <w:p w14:paraId="6A207209" w14:textId="77777777" w:rsidR="00FC40A7" w:rsidRPr="00FC40A7" w:rsidRDefault="00FC40A7" w:rsidP="00FC40A7">
            <w:pPr>
              <w:spacing w:before="60" w:after="60"/>
              <w:jc w:val="center"/>
              <w:rPr>
                <w:rFonts w:ascii="Arial" w:hAnsi="Arial" w:cs="Arial"/>
                <w:b/>
                <w:sz w:val="18"/>
                <w:szCs w:val="18"/>
                <w:lang w:val="es-ES_tradnl"/>
              </w:rPr>
            </w:pPr>
          </w:p>
        </w:tc>
        <w:tc>
          <w:tcPr>
            <w:tcW w:w="793" w:type="dxa"/>
            <w:shd w:val="clear" w:color="auto" w:fill="auto"/>
            <w:vAlign w:val="center"/>
          </w:tcPr>
          <w:p w14:paraId="79C3BB3A" w14:textId="77777777" w:rsidR="00FC40A7" w:rsidRPr="00FC40A7" w:rsidRDefault="00FC40A7" w:rsidP="00FC40A7">
            <w:pPr>
              <w:spacing w:before="60" w:after="60"/>
              <w:jc w:val="center"/>
              <w:rPr>
                <w:rFonts w:ascii="Arial" w:hAnsi="Arial" w:cs="Arial"/>
                <w:b/>
                <w:sz w:val="18"/>
                <w:szCs w:val="18"/>
                <w:lang w:val="es-ES_tradnl"/>
              </w:rPr>
            </w:pPr>
          </w:p>
        </w:tc>
        <w:tc>
          <w:tcPr>
            <w:tcW w:w="805" w:type="dxa"/>
            <w:shd w:val="clear" w:color="auto" w:fill="auto"/>
            <w:vAlign w:val="center"/>
          </w:tcPr>
          <w:p w14:paraId="64F298DA" w14:textId="77777777" w:rsidR="00FC40A7" w:rsidRPr="00FC40A7" w:rsidRDefault="00FC40A7" w:rsidP="00FC40A7">
            <w:pPr>
              <w:spacing w:before="60" w:after="60"/>
              <w:jc w:val="center"/>
              <w:rPr>
                <w:rFonts w:ascii="Arial" w:hAnsi="Arial" w:cs="Arial"/>
                <w:b/>
                <w:sz w:val="18"/>
                <w:szCs w:val="18"/>
                <w:lang w:val="es-ES_tradnl"/>
              </w:rPr>
            </w:pPr>
          </w:p>
        </w:tc>
        <w:tc>
          <w:tcPr>
            <w:tcW w:w="1165" w:type="dxa"/>
            <w:shd w:val="clear" w:color="auto" w:fill="auto"/>
            <w:vAlign w:val="center"/>
          </w:tcPr>
          <w:p w14:paraId="49DEDBE8"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814</w:t>
            </w:r>
          </w:p>
        </w:tc>
        <w:tc>
          <w:tcPr>
            <w:tcW w:w="2697" w:type="dxa"/>
            <w:shd w:val="clear" w:color="auto" w:fill="auto"/>
            <w:vAlign w:val="center"/>
          </w:tcPr>
          <w:p w14:paraId="05A71EAA"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 xml:space="preserve">Fuente: BID estimaciones con base en la </w:t>
            </w:r>
            <w:hyperlink r:id="rId27" w:history="1">
              <w:r w:rsidRPr="00FC40A7">
                <w:rPr>
                  <w:rFonts w:ascii="Arial" w:hAnsi="Arial" w:cs="Arial"/>
                  <w:color w:val="0563C1"/>
                  <w:sz w:val="18"/>
                  <w:szCs w:val="18"/>
                  <w:u w:val="single"/>
                  <w:lang w:val="es-ES_tradnl"/>
                </w:rPr>
                <w:t>Estrategia Nacional de Cambio Climático</w:t>
              </w:r>
            </w:hyperlink>
            <w:r w:rsidRPr="00FC40A7">
              <w:rPr>
                <w:rFonts w:ascii="Arial" w:hAnsi="Arial" w:cs="Arial"/>
                <w:sz w:val="18"/>
                <w:szCs w:val="18"/>
                <w:lang w:val="es-ES_tradnl"/>
              </w:rPr>
              <w:t xml:space="preserve"> (ENACC) y la </w:t>
            </w:r>
            <w:hyperlink r:id="rId28" w:history="1">
              <w:r w:rsidRPr="00FC40A7">
                <w:rPr>
                  <w:rFonts w:ascii="Arial" w:hAnsi="Arial" w:cs="Arial"/>
                  <w:color w:val="0563C1"/>
                  <w:sz w:val="18"/>
                  <w:szCs w:val="18"/>
                  <w:u w:val="single"/>
                  <w:lang w:val="es-ES_tradnl"/>
                </w:rPr>
                <w:t>Contribución sectorial a las emisiones, Quinta Comunicación al UNFCCC</w:t>
              </w:r>
            </w:hyperlink>
            <w:r w:rsidRPr="00FC40A7">
              <w:rPr>
                <w:rFonts w:ascii="Arial" w:hAnsi="Arial" w:cs="Arial"/>
                <w:sz w:val="18"/>
                <w:szCs w:val="18"/>
                <w:lang w:val="es-ES_tradnl"/>
              </w:rPr>
              <w:t>.</w:t>
            </w:r>
          </w:p>
          <w:p w14:paraId="775008E4"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Línea de base de GEI en 2024 y 2030 es 900MtCO</w:t>
            </w:r>
            <w:r w:rsidRPr="00FC40A7">
              <w:rPr>
                <w:rFonts w:ascii="Arial" w:hAnsi="Arial" w:cs="Arial"/>
                <w:sz w:val="18"/>
                <w:szCs w:val="18"/>
                <w:vertAlign w:val="subscript"/>
                <w:lang w:val="es-ES_tradnl"/>
              </w:rPr>
              <w:t>2</w:t>
            </w:r>
            <w:r w:rsidRPr="00FC40A7">
              <w:rPr>
                <w:rFonts w:ascii="Arial" w:hAnsi="Arial" w:cs="Arial"/>
                <w:sz w:val="18"/>
                <w:szCs w:val="18"/>
                <w:lang w:val="es-ES_tradnl"/>
              </w:rPr>
              <w:t>e/año y 996MtCO</w:t>
            </w:r>
            <w:r w:rsidRPr="00FC40A7">
              <w:rPr>
                <w:rFonts w:ascii="Arial" w:hAnsi="Arial" w:cs="Arial"/>
                <w:sz w:val="18"/>
                <w:szCs w:val="18"/>
                <w:vertAlign w:val="subscript"/>
                <w:lang w:val="es-ES_tradnl"/>
              </w:rPr>
              <w:t>2</w:t>
            </w:r>
            <w:r w:rsidRPr="00FC40A7">
              <w:rPr>
                <w:rFonts w:ascii="Arial" w:hAnsi="Arial" w:cs="Arial"/>
                <w:sz w:val="18"/>
                <w:szCs w:val="18"/>
                <w:lang w:val="es-ES_tradnl"/>
              </w:rPr>
              <w:t>e/ año respectivamente, y el potencial de abatimiento de emisiones en 2024 y 2030 es 86MtCO</w:t>
            </w:r>
            <w:r w:rsidRPr="00FC40A7">
              <w:rPr>
                <w:rFonts w:ascii="Arial" w:hAnsi="Arial" w:cs="Arial"/>
                <w:sz w:val="18"/>
                <w:szCs w:val="18"/>
                <w:vertAlign w:val="subscript"/>
                <w:lang w:val="es-ES_tradnl"/>
              </w:rPr>
              <w:t>2</w:t>
            </w:r>
            <w:r w:rsidRPr="00FC40A7">
              <w:rPr>
                <w:rFonts w:ascii="Arial" w:hAnsi="Arial" w:cs="Arial"/>
                <w:sz w:val="18"/>
                <w:szCs w:val="18"/>
                <w:lang w:val="es-ES_tradnl"/>
              </w:rPr>
              <w:t xml:space="preserve">e/año y </w:t>
            </w:r>
            <w:r w:rsidRPr="00FC40A7">
              <w:rPr>
                <w:rFonts w:ascii="Arial" w:hAnsi="Arial" w:cs="Arial"/>
                <w:sz w:val="18"/>
                <w:szCs w:val="18"/>
                <w:lang w:val="es-ES_tradnl"/>
              </w:rPr>
              <w:lastRenderedPageBreak/>
              <w:t>172MtCO</w:t>
            </w:r>
            <w:r w:rsidRPr="00FC40A7">
              <w:rPr>
                <w:rFonts w:ascii="Arial" w:hAnsi="Arial" w:cs="Arial"/>
                <w:sz w:val="18"/>
                <w:szCs w:val="18"/>
                <w:vertAlign w:val="subscript"/>
                <w:lang w:val="es-ES_tradnl"/>
              </w:rPr>
              <w:t>2</w:t>
            </w:r>
            <w:r w:rsidRPr="00FC40A7">
              <w:rPr>
                <w:rFonts w:ascii="Arial" w:hAnsi="Arial" w:cs="Arial"/>
                <w:sz w:val="18"/>
                <w:szCs w:val="18"/>
                <w:lang w:val="es-ES_tradnl"/>
              </w:rPr>
              <w:t xml:space="preserve">e/año respectivamente,  de acuerdo a la </w:t>
            </w:r>
            <w:hyperlink r:id="rId29" w:history="1">
              <w:r w:rsidRPr="00FC40A7">
                <w:rPr>
                  <w:rFonts w:ascii="Arial" w:hAnsi="Arial" w:cs="Arial"/>
                  <w:color w:val="0563C1"/>
                  <w:sz w:val="18"/>
                  <w:szCs w:val="18"/>
                  <w:u w:val="single"/>
                  <w:lang w:val="es-ES_tradnl"/>
                </w:rPr>
                <w:t>Contribución sectorial a las emisiones, Quinta Comunicación al UNFCCC</w:t>
              </w:r>
            </w:hyperlink>
            <w:r w:rsidRPr="00FC40A7">
              <w:rPr>
                <w:rFonts w:ascii="Arial" w:hAnsi="Arial" w:cs="Arial"/>
                <w:sz w:val="18"/>
                <w:szCs w:val="18"/>
                <w:lang w:val="es-ES_tradnl"/>
              </w:rPr>
              <w:t>.</w:t>
            </w:r>
          </w:p>
          <w:p w14:paraId="54720851"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pt-BR"/>
              </w:rPr>
              <w:t>MtCO</w:t>
            </w:r>
            <w:r w:rsidRPr="00FC40A7">
              <w:rPr>
                <w:rFonts w:ascii="Arial" w:hAnsi="Arial" w:cs="Arial"/>
                <w:sz w:val="18"/>
                <w:szCs w:val="18"/>
                <w:vertAlign w:val="subscript"/>
                <w:lang w:val="pt-BR"/>
              </w:rPr>
              <w:t>2</w:t>
            </w:r>
            <w:r w:rsidRPr="00FC40A7">
              <w:rPr>
                <w:rFonts w:ascii="Arial" w:hAnsi="Arial" w:cs="Arial"/>
                <w:sz w:val="18"/>
                <w:szCs w:val="18"/>
                <w:lang w:val="pt-BR"/>
              </w:rPr>
              <w:t>e = millones de toneladas de CO</w:t>
            </w:r>
            <w:r w:rsidRPr="00FC40A7">
              <w:rPr>
                <w:rFonts w:ascii="Arial" w:hAnsi="Arial" w:cs="Arial"/>
                <w:sz w:val="18"/>
                <w:szCs w:val="18"/>
                <w:vertAlign w:val="subscript"/>
                <w:lang w:val="pt-BR"/>
              </w:rPr>
              <w:t>2</w:t>
            </w:r>
            <w:r w:rsidRPr="00FC40A7">
              <w:rPr>
                <w:rFonts w:ascii="Arial" w:hAnsi="Arial" w:cs="Arial"/>
                <w:sz w:val="18"/>
                <w:szCs w:val="18"/>
                <w:lang w:val="pt-BR"/>
              </w:rPr>
              <w:t xml:space="preserve"> equivalente.</w:t>
            </w:r>
          </w:p>
        </w:tc>
      </w:tr>
      <w:tr w:rsidR="00FC40A7" w:rsidRPr="008C38DE" w14:paraId="280948AA" w14:textId="77777777" w:rsidTr="00FC40A7">
        <w:trPr>
          <w:trHeight w:val="1052"/>
        </w:trPr>
        <w:tc>
          <w:tcPr>
            <w:tcW w:w="2335" w:type="dxa"/>
            <w:shd w:val="clear" w:color="auto" w:fill="auto"/>
            <w:vAlign w:val="center"/>
          </w:tcPr>
          <w:p w14:paraId="1D153FCB" w14:textId="77777777" w:rsidR="00FC40A7" w:rsidRPr="00FC40A7" w:rsidRDefault="00FC40A7" w:rsidP="00FC40A7">
            <w:pPr>
              <w:spacing w:before="60" w:after="60"/>
              <w:rPr>
                <w:rFonts w:ascii="Arial" w:hAnsi="Arial" w:cs="Arial"/>
                <w:sz w:val="18"/>
                <w:szCs w:val="18"/>
                <w:lang w:val="es-ES_tradnl"/>
              </w:rPr>
            </w:pPr>
            <w:r w:rsidRPr="00FC40A7">
              <w:rPr>
                <w:rFonts w:ascii="Arial" w:hAnsi="Arial" w:cs="Arial"/>
                <w:sz w:val="18"/>
                <w:szCs w:val="18"/>
                <w:lang w:val="es-ES_tradnl"/>
              </w:rPr>
              <w:lastRenderedPageBreak/>
              <w:t>Porcentaje de energía renovable en la matriz eléctrica</w:t>
            </w:r>
          </w:p>
        </w:tc>
        <w:tc>
          <w:tcPr>
            <w:tcW w:w="1260" w:type="dxa"/>
            <w:shd w:val="clear" w:color="auto" w:fill="auto"/>
            <w:vAlign w:val="center"/>
          </w:tcPr>
          <w:p w14:paraId="533D0DC3"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 de generación</w:t>
            </w:r>
          </w:p>
        </w:tc>
        <w:tc>
          <w:tcPr>
            <w:tcW w:w="799" w:type="dxa"/>
            <w:shd w:val="clear" w:color="auto" w:fill="auto"/>
            <w:vAlign w:val="center"/>
          </w:tcPr>
          <w:p w14:paraId="6845C276"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19</w:t>
            </w:r>
            <w:r w:rsidRPr="00FC40A7">
              <w:rPr>
                <w:rFonts w:ascii="Arial" w:hAnsi="Arial" w:cs="Arial"/>
                <w:sz w:val="18"/>
                <w:szCs w:val="18"/>
                <w:vertAlign w:val="superscript"/>
              </w:rPr>
              <w:footnoteReference w:id="29"/>
            </w:r>
          </w:p>
        </w:tc>
        <w:tc>
          <w:tcPr>
            <w:tcW w:w="744" w:type="dxa"/>
            <w:shd w:val="clear" w:color="auto" w:fill="D9D9D9"/>
            <w:vAlign w:val="center"/>
          </w:tcPr>
          <w:p w14:paraId="574213CA" w14:textId="77777777" w:rsidR="00FC40A7" w:rsidRPr="00FC40A7" w:rsidRDefault="00FC40A7" w:rsidP="00FC40A7">
            <w:pPr>
              <w:spacing w:before="60" w:after="60"/>
              <w:jc w:val="center"/>
              <w:rPr>
                <w:rFonts w:ascii="Arial" w:hAnsi="Arial" w:cs="Arial"/>
                <w:b/>
                <w:sz w:val="18"/>
                <w:szCs w:val="18"/>
                <w:lang w:val="es-ES_tradnl"/>
              </w:rPr>
            </w:pPr>
          </w:p>
        </w:tc>
        <w:tc>
          <w:tcPr>
            <w:tcW w:w="810" w:type="dxa"/>
            <w:shd w:val="clear" w:color="auto" w:fill="D9D9D9"/>
            <w:vAlign w:val="center"/>
          </w:tcPr>
          <w:p w14:paraId="1CFE0DF1"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59699D0F"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43BB1F5E"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7CAF2798" w14:textId="77777777" w:rsidR="00FC40A7" w:rsidRPr="00FC40A7" w:rsidRDefault="00FC40A7" w:rsidP="00FC40A7">
            <w:pPr>
              <w:spacing w:before="60" w:after="60"/>
              <w:jc w:val="center"/>
              <w:rPr>
                <w:rFonts w:ascii="Arial" w:hAnsi="Arial" w:cs="Arial"/>
                <w:b/>
                <w:sz w:val="18"/>
                <w:szCs w:val="18"/>
                <w:lang w:val="es-ES_tradnl"/>
              </w:rPr>
            </w:pPr>
          </w:p>
        </w:tc>
        <w:tc>
          <w:tcPr>
            <w:tcW w:w="720" w:type="dxa"/>
            <w:shd w:val="clear" w:color="auto" w:fill="auto"/>
            <w:vAlign w:val="center"/>
          </w:tcPr>
          <w:p w14:paraId="668EF93D" w14:textId="77777777" w:rsidR="00FC40A7" w:rsidRPr="00FC40A7" w:rsidRDefault="00FC40A7" w:rsidP="00FC40A7">
            <w:pPr>
              <w:spacing w:before="60" w:after="60"/>
              <w:jc w:val="center"/>
              <w:rPr>
                <w:rFonts w:ascii="Arial" w:hAnsi="Arial" w:cs="Arial"/>
                <w:b/>
                <w:sz w:val="18"/>
                <w:szCs w:val="18"/>
                <w:lang w:val="es-ES_tradnl"/>
              </w:rPr>
            </w:pPr>
          </w:p>
        </w:tc>
        <w:tc>
          <w:tcPr>
            <w:tcW w:w="737" w:type="dxa"/>
            <w:shd w:val="clear" w:color="auto" w:fill="auto"/>
            <w:vAlign w:val="center"/>
          </w:tcPr>
          <w:p w14:paraId="15FC7F4A" w14:textId="77777777" w:rsidR="00FC40A7" w:rsidRPr="00FC40A7" w:rsidRDefault="00FC40A7" w:rsidP="00FC40A7">
            <w:pPr>
              <w:spacing w:before="60" w:after="60"/>
              <w:jc w:val="center"/>
              <w:rPr>
                <w:rFonts w:ascii="Arial" w:hAnsi="Arial" w:cs="Arial"/>
                <w:b/>
                <w:sz w:val="18"/>
                <w:szCs w:val="18"/>
                <w:lang w:val="es-ES_tradnl"/>
              </w:rPr>
            </w:pPr>
          </w:p>
        </w:tc>
        <w:tc>
          <w:tcPr>
            <w:tcW w:w="793" w:type="dxa"/>
            <w:shd w:val="clear" w:color="auto" w:fill="auto"/>
            <w:vAlign w:val="center"/>
          </w:tcPr>
          <w:p w14:paraId="12AC0377" w14:textId="77777777" w:rsidR="00FC40A7" w:rsidRPr="00FC40A7" w:rsidRDefault="00FC40A7" w:rsidP="00FC40A7">
            <w:pPr>
              <w:spacing w:before="60" w:after="60"/>
              <w:jc w:val="center"/>
              <w:rPr>
                <w:rFonts w:ascii="Arial" w:hAnsi="Arial" w:cs="Arial"/>
                <w:b/>
                <w:sz w:val="18"/>
                <w:szCs w:val="18"/>
                <w:lang w:val="es-ES_tradnl"/>
              </w:rPr>
            </w:pPr>
          </w:p>
        </w:tc>
        <w:tc>
          <w:tcPr>
            <w:tcW w:w="805" w:type="dxa"/>
            <w:shd w:val="clear" w:color="auto" w:fill="auto"/>
            <w:vAlign w:val="center"/>
          </w:tcPr>
          <w:p w14:paraId="6C0DADF1" w14:textId="77777777" w:rsidR="00FC40A7" w:rsidRPr="00FC40A7" w:rsidRDefault="00FC40A7" w:rsidP="00FC40A7">
            <w:pPr>
              <w:spacing w:before="60" w:after="60"/>
              <w:jc w:val="center"/>
              <w:rPr>
                <w:rFonts w:ascii="Arial" w:hAnsi="Arial" w:cs="Arial"/>
                <w:b/>
                <w:sz w:val="18"/>
                <w:szCs w:val="18"/>
                <w:lang w:val="es-ES_tradnl"/>
              </w:rPr>
            </w:pPr>
          </w:p>
        </w:tc>
        <w:tc>
          <w:tcPr>
            <w:tcW w:w="1165" w:type="dxa"/>
            <w:shd w:val="clear" w:color="auto" w:fill="auto"/>
            <w:vAlign w:val="center"/>
          </w:tcPr>
          <w:p w14:paraId="63D6DBDA" w14:textId="77777777" w:rsidR="00FC40A7" w:rsidRPr="00FC40A7" w:rsidRDefault="00FC40A7" w:rsidP="00FC40A7">
            <w:pPr>
              <w:spacing w:before="60" w:after="60"/>
              <w:jc w:val="center"/>
              <w:rPr>
                <w:rFonts w:ascii="Arial" w:hAnsi="Arial" w:cs="Arial"/>
                <w:sz w:val="18"/>
                <w:szCs w:val="18"/>
              </w:rPr>
            </w:pPr>
            <w:r w:rsidRPr="00FC40A7">
              <w:rPr>
                <w:rFonts w:ascii="Arial" w:hAnsi="Arial" w:cs="Arial"/>
                <w:sz w:val="18"/>
                <w:szCs w:val="18"/>
              </w:rPr>
              <w:t>27</w:t>
            </w:r>
            <w:r w:rsidRPr="00FC40A7">
              <w:rPr>
                <w:rFonts w:ascii="Arial" w:hAnsi="Arial" w:cs="Arial"/>
                <w:sz w:val="18"/>
                <w:szCs w:val="18"/>
                <w:vertAlign w:val="superscript"/>
              </w:rPr>
              <w:footnoteReference w:id="30"/>
            </w:r>
          </w:p>
        </w:tc>
        <w:tc>
          <w:tcPr>
            <w:tcW w:w="2697" w:type="dxa"/>
            <w:shd w:val="clear" w:color="auto" w:fill="auto"/>
            <w:vAlign w:val="center"/>
          </w:tcPr>
          <w:p w14:paraId="44BD2A37" w14:textId="77777777" w:rsidR="00FC40A7" w:rsidRPr="00FC40A7" w:rsidRDefault="00FC40A7" w:rsidP="00FC40A7">
            <w:pPr>
              <w:rPr>
                <w:rFonts w:ascii="Arial" w:hAnsi="Arial" w:cs="Arial"/>
                <w:sz w:val="18"/>
                <w:szCs w:val="18"/>
                <w:lang w:val="es-ES_tradnl"/>
              </w:rPr>
            </w:pPr>
            <w:r w:rsidRPr="00FC40A7">
              <w:rPr>
                <w:rFonts w:ascii="Arial" w:hAnsi="Arial" w:cs="Arial"/>
                <w:sz w:val="18"/>
                <w:szCs w:val="18"/>
                <w:lang w:val="es-ES_tradnl"/>
              </w:rPr>
              <w:t>Fuente: información pública de la CRE y la CFE.</w:t>
            </w:r>
          </w:p>
        </w:tc>
      </w:tr>
    </w:tbl>
    <w:p w14:paraId="07355C95" w14:textId="77777777" w:rsidR="00FC40A7" w:rsidRPr="00FC40A7" w:rsidRDefault="00FC40A7" w:rsidP="00FC40A7">
      <w:pPr>
        <w:spacing w:after="160" w:line="259" w:lineRule="auto"/>
        <w:rPr>
          <w:rFonts w:ascii="Arial" w:eastAsia="Calibri" w:hAnsi="Arial" w:cs="Arial"/>
          <w:lang w:val="es-ES_tradnl" w:eastAsia="en-US"/>
        </w:rPr>
      </w:pPr>
    </w:p>
    <w:p w14:paraId="5CBB50C3" w14:textId="77777777" w:rsidR="00FC40A7" w:rsidRPr="008C38DE" w:rsidRDefault="00FC40A7" w:rsidP="000A4B2D">
      <w:pPr>
        <w:tabs>
          <w:tab w:val="left" w:pos="619"/>
        </w:tabs>
        <w:rPr>
          <w:rFonts w:ascii="Arial" w:hAnsi="Arial" w:cs="Arial"/>
          <w:b/>
          <w:bCs/>
          <w:sz w:val="22"/>
          <w:szCs w:val="22"/>
          <w:lang w:val="es-ES_tradnl"/>
        </w:rPr>
      </w:pPr>
    </w:p>
    <w:p w14:paraId="06228680" w14:textId="77777777" w:rsidR="00FC40A7" w:rsidRPr="008C38DE" w:rsidRDefault="00FC40A7" w:rsidP="000A4B2D">
      <w:pPr>
        <w:tabs>
          <w:tab w:val="left" w:pos="619"/>
        </w:tabs>
        <w:rPr>
          <w:rFonts w:ascii="Arial" w:hAnsi="Arial" w:cs="Arial"/>
          <w:b/>
          <w:bCs/>
          <w:sz w:val="22"/>
          <w:szCs w:val="22"/>
          <w:lang w:val="es-ES_tradnl"/>
        </w:rPr>
      </w:pPr>
    </w:p>
    <w:p w14:paraId="7A167167" w14:textId="77777777" w:rsidR="00FC40A7" w:rsidRPr="008C38DE" w:rsidRDefault="00FC40A7" w:rsidP="000A4B2D">
      <w:pPr>
        <w:tabs>
          <w:tab w:val="left" w:pos="619"/>
        </w:tabs>
        <w:rPr>
          <w:rFonts w:ascii="Arial" w:hAnsi="Arial" w:cs="Arial"/>
          <w:b/>
          <w:bCs/>
          <w:sz w:val="22"/>
          <w:szCs w:val="22"/>
          <w:lang w:val="es-ES_tradnl"/>
        </w:rPr>
      </w:pPr>
    </w:p>
    <w:p w14:paraId="66BFCB5F" w14:textId="77777777" w:rsidR="00FC40A7" w:rsidRPr="008C38DE" w:rsidRDefault="00FC40A7" w:rsidP="000A4B2D">
      <w:pPr>
        <w:tabs>
          <w:tab w:val="left" w:pos="619"/>
        </w:tabs>
        <w:rPr>
          <w:rFonts w:ascii="Arial" w:hAnsi="Arial" w:cs="Arial"/>
          <w:b/>
          <w:bCs/>
          <w:sz w:val="22"/>
          <w:szCs w:val="22"/>
          <w:lang w:val="es-ES_tradnl"/>
        </w:rPr>
      </w:pPr>
    </w:p>
    <w:p w14:paraId="44FDB03E" w14:textId="77777777" w:rsidR="003403AD" w:rsidRPr="00FC40A7" w:rsidRDefault="003403AD" w:rsidP="00E50133">
      <w:pPr>
        <w:pStyle w:val="Paragraph"/>
        <w:numPr>
          <w:ilvl w:val="0"/>
          <w:numId w:val="0"/>
        </w:numPr>
        <w:rPr>
          <w:rFonts w:ascii="Arial" w:hAnsi="Arial" w:cs="Arial"/>
          <w:sz w:val="22"/>
          <w:szCs w:val="22"/>
          <w:lang w:val="en-US"/>
        </w:rPr>
      </w:pPr>
    </w:p>
    <w:sectPr w:rsidR="003403AD" w:rsidRPr="00FC40A7" w:rsidSect="000A37CF">
      <w:pgSz w:w="15840" w:h="12240" w:orient="landscape"/>
      <w:pgMar w:top="1701" w:right="1418" w:bottom="129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50D08" w14:textId="77777777" w:rsidR="0049483F" w:rsidRDefault="0049483F">
      <w:r>
        <w:separator/>
      </w:r>
    </w:p>
  </w:endnote>
  <w:endnote w:type="continuationSeparator" w:id="0">
    <w:p w14:paraId="12CDA8DC" w14:textId="77777777" w:rsidR="0049483F" w:rsidRDefault="00494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E0002AFF" w:usb1="C0007841" w:usb2="00000009" w:usb3="00000000" w:csb0="000001FF" w:csb1="00000000"/>
  </w:font>
  <w:font w:name="Arial Narrow">
    <w:panose1 w:val="020B0606020202030204"/>
    <w:charset w:val="00"/>
    <w:family w:val="swiss"/>
    <w:pitch w:val="variable"/>
    <w:sig w:usb0="00000285" w:usb1="000008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ヒラギノ角ゴ Pro W3">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00000287"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270D7" w14:textId="77777777" w:rsidR="00D55282" w:rsidRDefault="00D552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2FAC83" w14:textId="77777777" w:rsidR="00D55282" w:rsidRDefault="00D552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5985961"/>
      <w:docPartObj>
        <w:docPartGallery w:val="Page Numbers (Bottom of Page)"/>
        <w:docPartUnique/>
      </w:docPartObj>
    </w:sdtPr>
    <w:sdtEndPr/>
    <w:sdtContent>
      <w:p w14:paraId="67673126" w14:textId="77777777" w:rsidR="00D55282" w:rsidRDefault="00D55282" w:rsidP="001F1E82">
        <w:pPr>
          <w:pStyle w:val="Footer"/>
          <w:jc w:val="center"/>
        </w:pPr>
        <w:r>
          <w:fldChar w:fldCharType="begin"/>
        </w:r>
        <w:r>
          <w:instrText>PAGE   \* MERGEFORMAT</w:instrText>
        </w:r>
        <w:r>
          <w:fldChar w:fldCharType="separate"/>
        </w:r>
        <w:r w:rsidRPr="00B20378">
          <w:rPr>
            <w:noProof/>
            <w:lang w:val="es-ES"/>
          </w:rPr>
          <w:t>36</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90DE5" w14:textId="77777777" w:rsidR="009E0791" w:rsidRDefault="009E07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533244"/>
      <w:docPartObj>
        <w:docPartGallery w:val="Page Numbers (Bottom of Page)"/>
        <w:docPartUnique/>
      </w:docPartObj>
    </w:sdtPr>
    <w:sdtEndPr/>
    <w:sdtContent>
      <w:p w14:paraId="24EC479C" w14:textId="77777777" w:rsidR="00D55282" w:rsidRDefault="00D55282">
        <w:pPr>
          <w:pStyle w:val="Footer"/>
          <w:jc w:val="center"/>
        </w:pPr>
        <w:r>
          <w:fldChar w:fldCharType="begin"/>
        </w:r>
        <w:r>
          <w:instrText xml:space="preserve"> PAGE   \* MERGEFORMAT </w:instrText>
        </w:r>
        <w:r>
          <w:fldChar w:fldCharType="separate"/>
        </w:r>
        <w:r>
          <w:rPr>
            <w:noProof/>
          </w:rPr>
          <w:t>47</w:t>
        </w:r>
        <w:r>
          <w:rPr>
            <w:noProof/>
          </w:rPr>
          <w:fldChar w:fldCharType="end"/>
        </w:r>
      </w:p>
    </w:sdtContent>
  </w:sdt>
  <w:p w14:paraId="1783E4D8" w14:textId="77777777" w:rsidR="00D55282" w:rsidRDefault="00D552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21488" w14:textId="77777777" w:rsidR="0049483F" w:rsidRDefault="0049483F">
      <w:r>
        <w:separator/>
      </w:r>
    </w:p>
  </w:footnote>
  <w:footnote w:type="continuationSeparator" w:id="0">
    <w:p w14:paraId="0D4E52F0" w14:textId="77777777" w:rsidR="0049483F" w:rsidRDefault="0049483F">
      <w:r>
        <w:continuationSeparator/>
      </w:r>
    </w:p>
  </w:footnote>
  <w:footnote w:id="1">
    <w:p w14:paraId="4A815013" w14:textId="77777777" w:rsidR="00D55282" w:rsidRPr="000A37CF" w:rsidRDefault="00D55282" w:rsidP="000A37CF">
      <w:pPr>
        <w:pStyle w:val="FootnoteText"/>
        <w:spacing w:after="0"/>
        <w:rPr>
          <w:rFonts w:ascii="Arial" w:hAnsi="Arial" w:cs="Arial"/>
          <w:sz w:val="18"/>
          <w:szCs w:val="18"/>
        </w:rPr>
      </w:pPr>
      <w:r w:rsidRPr="000A37CF">
        <w:rPr>
          <w:rStyle w:val="FootnoteReference"/>
          <w:rFonts w:ascii="Arial" w:hAnsi="Arial" w:cs="Arial"/>
          <w:sz w:val="18"/>
          <w:szCs w:val="18"/>
        </w:rPr>
        <w:footnoteRef/>
      </w:r>
      <w:r w:rsidRPr="000A37CF">
        <w:rPr>
          <w:rFonts w:ascii="Arial" w:hAnsi="Arial" w:cs="Arial"/>
          <w:sz w:val="18"/>
          <w:szCs w:val="18"/>
        </w:rPr>
        <w:t xml:space="preserve"> </w:t>
      </w:r>
      <w:r w:rsidRPr="000A37CF">
        <w:rPr>
          <w:rFonts w:ascii="Arial" w:hAnsi="Arial" w:cs="Arial"/>
          <w:sz w:val="18"/>
          <w:szCs w:val="18"/>
        </w:rPr>
        <w:tab/>
        <w:t xml:space="preserve">Se deberá </w:t>
      </w:r>
      <w:r w:rsidRPr="007B0F5D">
        <w:rPr>
          <w:rFonts w:ascii="Arial" w:hAnsi="Arial" w:cs="Arial"/>
          <w:sz w:val="18"/>
          <w:szCs w:val="18"/>
        </w:rPr>
        <w:t>solicitar a los desarrolladores geotérmicos que tomen riesgo para el desarrollo de los pozos a través de la inversión de por lo menos 25% de los costos totales de la perforación</w:t>
      </w:r>
    </w:p>
  </w:footnote>
  <w:footnote w:id="2">
    <w:p w14:paraId="5DE9CA28" w14:textId="77777777" w:rsidR="00D55282" w:rsidRPr="000A37CF" w:rsidRDefault="00D55282" w:rsidP="000A37CF">
      <w:pPr>
        <w:pStyle w:val="FootnoteText"/>
        <w:spacing w:after="0"/>
        <w:rPr>
          <w:rFonts w:ascii="Arial" w:hAnsi="Arial" w:cs="Arial"/>
          <w:sz w:val="18"/>
          <w:szCs w:val="18"/>
        </w:rPr>
      </w:pPr>
      <w:r w:rsidRPr="007B0F5D">
        <w:rPr>
          <w:rStyle w:val="FootnoteReference"/>
          <w:rFonts w:ascii="Arial" w:hAnsi="Arial" w:cs="Arial"/>
          <w:sz w:val="18"/>
          <w:szCs w:val="18"/>
        </w:rPr>
        <w:footnoteRef/>
      </w:r>
      <w:r w:rsidRPr="007B0F5D">
        <w:rPr>
          <w:rFonts w:ascii="Arial" w:hAnsi="Arial" w:cs="Arial"/>
          <w:sz w:val="18"/>
          <w:szCs w:val="18"/>
        </w:rPr>
        <w:t xml:space="preserve"> </w:t>
      </w:r>
      <w:r w:rsidRPr="007B0F5D">
        <w:rPr>
          <w:rFonts w:ascii="Arial" w:hAnsi="Arial" w:cs="Arial"/>
          <w:sz w:val="18"/>
          <w:szCs w:val="18"/>
        </w:rPr>
        <w:tab/>
        <w:t>En caso de éxito, SENER</w:t>
      </w:r>
      <w:r w:rsidRPr="000A37CF">
        <w:rPr>
          <w:rFonts w:ascii="Arial" w:hAnsi="Arial" w:cs="Arial"/>
          <w:sz w:val="18"/>
          <w:szCs w:val="18"/>
        </w:rPr>
        <w:t xml:space="preserve"> determinará una fecha límite para que el desarrollador geotérmico privado tome la decisión de inversión para continuar desarrollando el/los capo(s) y la construcción y puesta en operación de la planta de generación geotérmica. En caso de que la decisión de inversión no se haya tomado durante el período de tiempo asignado, el permiso de exploración y/0 la concesión de explotación expirara y SENER habrá de traspasarlo a otro desarrollador interesado a través de un mecanismo competitivo y transparente que será detallado en el MOP/ROP como corresponda. Una vez recibido el permiso de exploración, el nuevo desarrollador tendrá que repagar el costo de los pozos exitosos ya desarrollados.</w:t>
      </w:r>
    </w:p>
  </w:footnote>
  <w:footnote w:id="3">
    <w:p w14:paraId="6CFD57E4" w14:textId="77777777" w:rsidR="00D55282" w:rsidRPr="00771E53" w:rsidRDefault="00D55282" w:rsidP="007B0F5D">
      <w:pPr>
        <w:pStyle w:val="FootnoteText"/>
        <w:spacing w:after="0"/>
        <w:rPr>
          <w:rFonts w:ascii="Arial" w:hAnsi="Arial" w:cs="Arial"/>
          <w:sz w:val="18"/>
          <w:szCs w:val="18"/>
        </w:rPr>
      </w:pPr>
      <w:r w:rsidRPr="007B0F5D">
        <w:rPr>
          <w:rStyle w:val="FootnoteReference"/>
          <w:rFonts w:ascii="Arial" w:hAnsi="Arial" w:cs="Arial"/>
          <w:sz w:val="18"/>
          <w:szCs w:val="18"/>
        </w:rPr>
        <w:footnoteRef/>
      </w:r>
      <w:r w:rsidRPr="007B0F5D">
        <w:rPr>
          <w:rFonts w:ascii="Arial" w:hAnsi="Arial" w:cs="Arial"/>
          <w:sz w:val="18"/>
          <w:szCs w:val="18"/>
        </w:rPr>
        <w:t xml:space="preserve"> </w:t>
      </w:r>
      <w:r w:rsidRPr="000A37CF">
        <w:rPr>
          <w:rFonts w:ascii="Arial" w:hAnsi="Arial" w:cs="Arial"/>
          <w:sz w:val="18"/>
          <w:szCs w:val="18"/>
        </w:rPr>
        <w:tab/>
        <w:t>El período de gracia de los prestamos concesionales que serán otorgados por NAFIN utilizando recursos de CTF será incrementado a al menos 5 años. El objetivo es mantener la tasa para los desarrolladores geotérmicos privados tan baja como sea posible para que los proyectos geotérmicos que sean seleccionados puedan ser competitivos en el mercado eléctrico mexicano. Cabes destacar que la tasa de interés de NAFIN considera la tasa de interés de CTF (0.75%).</w:t>
      </w:r>
    </w:p>
  </w:footnote>
  <w:footnote w:id="4">
    <w:p w14:paraId="171C918C" w14:textId="30F176DE" w:rsidR="004B187A" w:rsidRPr="008C38DE" w:rsidRDefault="004B187A" w:rsidP="008C38DE">
      <w:pPr>
        <w:pStyle w:val="FootnoteText"/>
        <w:spacing w:after="0"/>
        <w:rPr>
          <w:rFonts w:ascii="Arial" w:hAnsi="Arial" w:cs="Arial"/>
          <w:sz w:val="18"/>
          <w:szCs w:val="18"/>
        </w:rPr>
      </w:pPr>
      <w:r w:rsidRPr="008C38DE">
        <w:rPr>
          <w:rStyle w:val="FootnoteReference"/>
          <w:rFonts w:ascii="Arial" w:hAnsi="Arial" w:cs="Arial"/>
          <w:sz w:val="18"/>
          <w:szCs w:val="18"/>
        </w:rPr>
        <w:footnoteRef/>
      </w:r>
      <w:r w:rsidRPr="008C38DE">
        <w:rPr>
          <w:rFonts w:ascii="Arial" w:hAnsi="Arial" w:cs="Arial"/>
          <w:sz w:val="18"/>
          <w:szCs w:val="18"/>
        </w:rPr>
        <w:t xml:space="preserve"> </w:t>
      </w:r>
      <w:r w:rsidRPr="008C38DE">
        <w:rPr>
          <w:rFonts w:ascii="Arial" w:hAnsi="Arial" w:cs="Arial"/>
          <w:sz w:val="18"/>
          <w:szCs w:val="18"/>
        </w:rPr>
        <w:tab/>
        <w:t>Valor aproximado de 150 millones de pesos mexicanos, que fue calculado en base a una tasa de conversión promedio de 13 pesos mexicanos por dólar estadounidense en mayo de 2014.</w:t>
      </w:r>
    </w:p>
  </w:footnote>
  <w:footnote w:id="5">
    <w:p w14:paraId="4E21AD3B" w14:textId="77777777" w:rsidR="00D55282" w:rsidRPr="000A37CF" w:rsidRDefault="00D55282" w:rsidP="008C38DE">
      <w:pPr>
        <w:pStyle w:val="FootnoteText"/>
        <w:spacing w:after="0"/>
        <w:rPr>
          <w:rFonts w:ascii="Arial" w:hAnsi="Arial" w:cs="Arial"/>
          <w:sz w:val="18"/>
          <w:szCs w:val="18"/>
        </w:rPr>
      </w:pPr>
      <w:r w:rsidRPr="004B187A">
        <w:rPr>
          <w:rStyle w:val="FootnoteReference"/>
          <w:rFonts w:ascii="Arial" w:hAnsi="Arial" w:cs="Arial"/>
          <w:sz w:val="18"/>
          <w:szCs w:val="18"/>
        </w:rPr>
        <w:footnoteRef/>
      </w:r>
      <w:r w:rsidRPr="004B187A">
        <w:rPr>
          <w:rFonts w:ascii="Arial" w:hAnsi="Arial" w:cs="Arial"/>
          <w:sz w:val="18"/>
          <w:szCs w:val="18"/>
        </w:rPr>
        <w:t xml:space="preserve"> </w:t>
      </w:r>
      <w:r w:rsidRPr="004B187A">
        <w:rPr>
          <w:rFonts w:ascii="Arial" w:hAnsi="Arial" w:cs="Arial"/>
          <w:sz w:val="18"/>
          <w:szCs w:val="18"/>
        </w:rPr>
        <w:tab/>
        <w:t>Esto se cumplirá toda vez que el Comité del FOTEASE autorice a NAFIN que el etiquetado del Presupuesto</w:t>
      </w:r>
      <w:r w:rsidRPr="000A37CF">
        <w:rPr>
          <w:rFonts w:ascii="Arial" w:hAnsi="Arial" w:cs="Arial"/>
          <w:sz w:val="18"/>
          <w:szCs w:val="18"/>
        </w:rPr>
        <w:t xml:space="preserve"> de Egresos de la Federación 2012 para geotermia pueda ser utilizado para reembolsar y pagar a NAFIN las comisiones de compromiso que deriven por mantener vigente la línea de préstamo de CO, desde 2017 y hasta el primer desembolso de dichos recursos.</w:t>
      </w:r>
    </w:p>
  </w:footnote>
  <w:footnote w:id="6">
    <w:p w14:paraId="228288A3" w14:textId="77777777" w:rsidR="00D55282" w:rsidRPr="00430A47" w:rsidRDefault="00D55282" w:rsidP="00BA0225">
      <w:pPr>
        <w:pStyle w:val="FootnoteText"/>
      </w:pPr>
      <w:r>
        <w:rPr>
          <w:rStyle w:val="FootnoteReference"/>
        </w:rPr>
        <w:footnoteRef/>
      </w:r>
      <w:r>
        <w:t xml:space="preserve"> Grupos vulnerables se definen como aquellos grupos, poblaciones, o personas afectadas por el desplazamiento físico o económico cuyas actividades socioeconómicas son irreemplazables o para las cuales no existen medidas de restauración razonables.</w:t>
      </w:r>
    </w:p>
  </w:footnote>
  <w:footnote w:id="7">
    <w:p w14:paraId="04C08FD0" w14:textId="77777777" w:rsidR="00D55282" w:rsidRPr="003E5AB0" w:rsidRDefault="00D55282" w:rsidP="00BA0225">
      <w:pPr>
        <w:pStyle w:val="FootnoteText"/>
      </w:pPr>
      <w:r>
        <w:rPr>
          <w:rStyle w:val="FootnoteReference"/>
        </w:rPr>
        <w:footnoteRef/>
      </w:r>
      <w:r>
        <w:t xml:space="preserve"> Sitios con violencia generalizada constante se definen como áreas o regiones donde prevalece un contexto de inseguridad debido a actividades ilícitas, secuestros, conflictos armados, guerra, o cualquier tipo de violencia contra el ser humano.</w:t>
      </w:r>
    </w:p>
  </w:footnote>
  <w:footnote w:id="8">
    <w:p w14:paraId="6A59D3AF" w14:textId="77777777" w:rsidR="00D55282" w:rsidRPr="00474BF3" w:rsidRDefault="00D55282" w:rsidP="00BA0225">
      <w:pPr>
        <w:pStyle w:val="FootnoteText"/>
        <w:rPr>
          <w:lang w:val="es-ES_tradnl"/>
        </w:rPr>
      </w:pPr>
      <w:r>
        <w:rPr>
          <w:rStyle w:val="FootnoteReference"/>
        </w:rPr>
        <w:footnoteRef/>
      </w:r>
      <w:r>
        <w:t xml:space="preserve"> Los proyectos clasificados como de categoría ambiental y social “B</w:t>
      </w:r>
      <w:r w:rsidRPr="00474BF3">
        <w:rPr>
          <w:lang w:val="es-ES_tradnl"/>
        </w:rPr>
        <w:t>+</w:t>
      </w:r>
      <w:r>
        <w:rPr>
          <w:lang w:val="es-ES_tradnl"/>
        </w:rPr>
        <w:t>” son aquellos que podrían requerir de documentación adicional según sus impactos y riesgos específicos, además de la documentación requerida para un proyecto clasificado de categoría “B.”</w:t>
      </w:r>
    </w:p>
  </w:footnote>
  <w:footnote w:id="9">
    <w:p w14:paraId="131AD876" w14:textId="77777777" w:rsidR="00D55282" w:rsidRPr="00474BF3" w:rsidRDefault="00D55282" w:rsidP="00BA0225">
      <w:pPr>
        <w:pStyle w:val="FootnoteText"/>
        <w:rPr>
          <w:lang w:val="es-ES_tradnl"/>
        </w:rPr>
      </w:pPr>
      <w:r>
        <w:rPr>
          <w:rStyle w:val="FootnoteReference"/>
        </w:rPr>
        <w:footnoteRef/>
      </w:r>
      <w:r>
        <w:t xml:space="preserve"> Los proyectos clasificados como de categoría ambiental y social “B</w:t>
      </w:r>
      <w:r w:rsidRPr="00474BF3">
        <w:rPr>
          <w:lang w:val="es-ES_tradnl"/>
        </w:rPr>
        <w:t>+</w:t>
      </w:r>
      <w:r>
        <w:rPr>
          <w:lang w:val="es-ES_tradnl"/>
        </w:rPr>
        <w:t>” son aquellos que podrían requerir de documentación adicional según sus impactos y riesgos específicos, además de la documentación requerida para un proyecto clasificado de categoría “B.”</w:t>
      </w:r>
    </w:p>
  </w:footnote>
  <w:footnote w:id="10">
    <w:p w14:paraId="07EEF253" w14:textId="77777777" w:rsidR="00D55282" w:rsidRPr="006670F5" w:rsidRDefault="00D55282" w:rsidP="00BA0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s-ES_tradnl"/>
        </w:rPr>
      </w:pPr>
      <w:r w:rsidRPr="00815F24">
        <w:rPr>
          <w:rStyle w:val="FootnoteReference"/>
          <w:lang w:val="es-ES_tradnl"/>
        </w:rPr>
        <w:footnoteRef/>
      </w:r>
      <w:r w:rsidRPr="006670F5">
        <w:rPr>
          <w:lang w:val="es-ES_tradnl"/>
        </w:rPr>
        <w:t xml:space="preserve"> </w:t>
      </w:r>
      <w:r w:rsidRPr="00815F24">
        <w:rPr>
          <w:lang w:val="es-ES_tradnl"/>
        </w:rPr>
        <w:t>Un desastre natural se define como cualquier evento asociado a los siguientes riesgos: (i) e</w:t>
      </w:r>
      <w:r w:rsidRPr="006670F5">
        <w:rPr>
          <w:lang w:val="es-ES_tradnl"/>
        </w:rPr>
        <w:t xml:space="preserve">ventos sísmicos que incluyen terremotos, temblores y eventos asociados; </w:t>
      </w:r>
      <w:r w:rsidRPr="00815F24">
        <w:rPr>
          <w:lang w:val="es-ES_tradnl"/>
        </w:rPr>
        <w:t>(ii) i</w:t>
      </w:r>
      <w:r w:rsidRPr="006670F5">
        <w:rPr>
          <w:lang w:val="es-ES_tradnl"/>
        </w:rPr>
        <w:t xml:space="preserve">nundaciones costeras por marejadas, tsunamis, precipitaciones u otros eventos; </w:t>
      </w:r>
      <w:r w:rsidRPr="00815F24">
        <w:rPr>
          <w:lang w:val="es-ES_tradnl"/>
        </w:rPr>
        <w:t>(iii) i</w:t>
      </w:r>
      <w:r w:rsidRPr="006670F5">
        <w:rPr>
          <w:lang w:val="es-ES_tradnl"/>
        </w:rPr>
        <w:t>nundaci</w:t>
      </w:r>
      <w:r w:rsidRPr="00815F24">
        <w:rPr>
          <w:lang w:val="es-ES_tradnl"/>
        </w:rPr>
        <w:t>ones</w:t>
      </w:r>
      <w:r w:rsidRPr="006670F5">
        <w:rPr>
          <w:lang w:val="es-ES_tradnl"/>
        </w:rPr>
        <w:t xml:space="preserve"> </w:t>
      </w:r>
      <w:r w:rsidRPr="00815F24">
        <w:rPr>
          <w:lang w:val="es-ES_tradnl"/>
        </w:rPr>
        <w:t>en</w:t>
      </w:r>
      <w:r w:rsidRPr="006670F5">
        <w:rPr>
          <w:lang w:val="es-ES_tradnl"/>
        </w:rPr>
        <w:t xml:space="preserve"> tierra por precipitación u otros eventos;</w:t>
      </w:r>
      <w:r w:rsidRPr="00815F24">
        <w:rPr>
          <w:lang w:val="es-ES_tradnl"/>
        </w:rPr>
        <w:t xml:space="preserve"> (iv) h</w:t>
      </w:r>
      <w:r w:rsidRPr="006670F5">
        <w:rPr>
          <w:lang w:val="es-ES_tradnl"/>
        </w:rPr>
        <w:t xml:space="preserve">uracanes u otras tormentas que causan daños o pérdidas; </w:t>
      </w:r>
      <w:r w:rsidRPr="00815F24">
        <w:rPr>
          <w:lang w:val="es-ES_tradnl"/>
        </w:rPr>
        <w:t>(v) d</w:t>
      </w:r>
      <w:r w:rsidRPr="00A6718E">
        <w:rPr>
          <w:lang w:val="es-ES_tradnl"/>
        </w:rPr>
        <w:t xml:space="preserve">eslizamientos y problemas de estabilidad de taludes; </w:t>
      </w:r>
      <w:r w:rsidRPr="00815F24">
        <w:rPr>
          <w:lang w:val="es-ES_tradnl"/>
        </w:rPr>
        <w:t>(vi) s</w:t>
      </w:r>
      <w:r w:rsidRPr="00A6718E">
        <w:rPr>
          <w:lang w:val="es-ES_tradnl"/>
        </w:rPr>
        <w:t xml:space="preserve">equía; </w:t>
      </w:r>
      <w:r w:rsidRPr="00815F24">
        <w:rPr>
          <w:lang w:val="es-ES_tradnl"/>
        </w:rPr>
        <w:t>(vii) r</w:t>
      </w:r>
      <w:r w:rsidRPr="00A6718E">
        <w:rPr>
          <w:lang w:val="es-ES_tradnl"/>
        </w:rPr>
        <w:t xml:space="preserve">etiro glacial; </w:t>
      </w:r>
      <w:r w:rsidRPr="00815F24">
        <w:rPr>
          <w:lang w:val="es-ES_tradnl"/>
        </w:rPr>
        <w:t>(viii) a</w:t>
      </w:r>
      <w:r w:rsidRPr="00A6718E">
        <w:rPr>
          <w:lang w:val="es-ES_tradnl"/>
        </w:rPr>
        <w:t xml:space="preserve">ctividad volcánica y eventos asociados que incluyen lava, </w:t>
      </w:r>
      <w:r w:rsidRPr="00815F24">
        <w:rPr>
          <w:lang w:val="es-ES_tradnl"/>
        </w:rPr>
        <w:t>lahares</w:t>
      </w:r>
      <w:r w:rsidRPr="00A6718E">
        <w:rPr>
          <w:lang w:val="es-ES_tradnl"/>
        </w:rPr>
        <w:t xml:space="preserve">, </w:t>
      </w:r>
      <w:r w:rsidRPr="00815F24">
        <w:rPr>
          <w:lang w:val="es-ES_tradnl"/>
        </w:rPr>
        <w:t>emisiones</w:t>
      </w:r>
      <w:r w:rsidRPr="00A6718E">
        <w:rPr>
          <w:lang w:val="es-ES_tradnl"/>
        </w:rPr>
        <w:t xml:space="preserve"> de gas, deslizamientos de tierra y / o caída de cenizas; </w:t>
      </w:r>
      <w:r w:rsidRPr="00815F24">
        <w:rPr>
          <w:lang w:val="es-ES_tradnl"/>
        </w:rPr>
        <w:t>(ix) o</w:t>
      </w:r>
      <w:r w:rsidRPr="006670F5">
        <w:rPr>
          <w:lang w:val="es-ES_tradnl"/>
        </w:rPr>
        <w:t>tros</w:t>
      </w:r>
      <w:r w:rsidRPr="00815F24">
        <w:rPr>
          <w:lang w:val="es-ES_tradnl"/>
        </w:rPr>
        <w:t>, como</w:t>
      </w:r>
      <w:r w:rsidRPr="006670F5">
        <w:rPr>
          <w:lang w:val="es-ES_tradnl"/>
        </w:rPr>
        <w:t xml:space="preserve"> vientos fuertes, ventiscas, incendios forestales, olas de calor </w:t>
      </w:r>
      <w:r w:rsidRPr="00815F24">
        <w:rPr>
          <w:lang w:val="es-ES_tradnl"/>
        </w:rPr>
        <w:t>o de frío; (x) riesgos de aumento del nivel del mar al largo plazo; (xi) o</w:t>
      </w:r>
      <w:r w:rsidRPr="006670F5">
        <w:rPr>
          <w:lang w:val="es-ES_tradnl"/>
        </w:rPr>
        <w:t xml:space="preserve">tros cambios </w:t>
      </w:r>
      <w:r w:rsidRPr="00815F24">
        <w:rPr>
          <w:lang w:val="es-ES_tradnl"/>
        </w:rPr>
        <w:t xml:space="preserve">de aparición lenta </w:t>
      </w:r>
      <w:r w:rsidRPr="006670F5">
        <w:rPr>
          <w:lang w:val="es-ES_tradnl"/>
        </w:rPr>
        <w:t xml:space="preserve">relacionados con el clima, como las temperaturas </w:t>
      </w:r>
      <w:r w:rsidRPr="00815F24">
        <w:rPr>
          <w:lang w:val="es-ES_tradnl"/>
        </w:rPr>
        <w:t xml:space="preserve">promedias </w:t>
      </w:r>
      <w:r w:rsidRPr="006670F5">
        <w:rPr>
          <w:lang w:val="es-ES_tradnl"/>
        </w:rPr>
        <w:t>del aire o del mar, los patrones de precipitación, la insolación</w:t>
      </w:r>
      <w:r w:rsidRPr="00815F24">
        <w:rPr>
          <w:lang w:val="es-ES_tradnl"/>
        </w:rPr>
        <w:t>,</w:t>
      </w:r>
      <w:r w:rsidRPr="00A6718E">
        <w:rPr>
          <w:lang w:val="es-ES_tradnl"/>
        </w:rPr>
        <w:t xml:space="preserve"> y los patrones climáticos estacionales.</w:t>
      </w:r>
    </w:p>
    <w:p w14:paraId="74D30A41" w14:textId="77777777" w:rsidR="00D55282" w:rsidRPr="006670F5" w:rsidRDefault="00D55282" w:rsidP="00BA0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s-ES_tradnl"/>
        </w:rPr>
      </w:pPr>
    </w:p>
  </w:footnote>
  <w:footnote w:id="11">
    <w:p w14:paraId="1478A6CB" w14:textId="77777777" w:rsidR="00D55282" w:rsidRPr="000A37CF" w:rsidRDefault="00D55282" w:rsidP="000A37CF">
      <w:pPr>
        <w:pStyle w:val="FootnoteText"/>
        <w:spacing w:after="0"/>
        <w:ind w:left="274" w:hanging="274"/>
        <w:rPr>
          <w:rFonts w:ascii="Arial" w:hAnsi="Arial" w:cs="Arial"/>
          <w:sz w:val="18"/>
          <w:szCs w:val="18"/>
        </w:rPr>
      </w:pPr>
      <w:r w:rsidRPr="000A37CF">
        <w:rPr>
          <w:rStyle w:val="FootnoteReference"/>
          <w:rFonts w:ascii="Arial" w:hAnsi="Arial" w:cs="Arial"/>
          <w:sz w:val="18"/>
          <w:szCs w:val="18"/>
        </w:rPr>
        <w:footnoteRef/>
      </w:r>
      <w:r w:rsidRPr="000A37CF">
        <w:rPr>
          <w:rFonts w:ascii="Arial" w:hAnsi="Arial" w:cs="Arial"/>
          <w:sz w:val="18"/>
          <w:szCs w:val="18"/>
        </w:rPr>
        <w:tab/>
        <w:t>La comparación de precios es un método de contratación que se basa en la obtención de cotizaciones de precios de diversos proveedores (en el caso de bienes) o de varios contratistas (en el caso de obra pública), con un mínimo de tres, con el objeto de obtener precios competitivos. Es un método apropiado para adquirir bienes en existencia, fáciles de obtener, o productos a granel con especificaciones estándar y pequeño valor o trabajos sencillos de obra civil y pequeño valor. La solicitud de cotización de precios debe incluir una descripción y la cantidad de los bienes o las especificaciones de la obra, así como el plazo (o fecha de terminación) y lugar de entrega requerido. Las cotizaciones pueden presentarse por carta, fax o medios electrónicos. Para la evaluación de las cotizaciones el comprador debe seguir los mismos principios que aplican para las licitaciones públicas. Los términos de la oferta aceptada deben incorporarse en una orden de compra o en un contrato simplificado.</w:t>
      </w:r>
    </w:p>
  </w:footnote>
  <w:footnote w:id="12">
    <w:p w14:paraId="01905132" w14:textId="77777777" w:rsidR="00695C90" w:rsidRPr="00695C90" w:rsidRDefault="00695C90" w:rsidP="00695C90">
      <w:pPr>
        <w:pStyle w:val="FootnoteText"/>
        <w:rPr>
          <w:rFonts w:ascii="Calibri" w:hAnsi="Calibri" w:cs="Calibri"/>
          <w:lang w:val="es-ES"/>
        </w:rPr>
      </w:pPr>
      <w:r w:rsidRPr="00695C90">
        <w:rPr>
          <w:rStyle w:val="FootnoteReference"/>
          <w:rFonts w:ascii="Calibri" w:hAnsi="Calibri" w:cs="Calibri"/>
        </w:rPr>
        <w:footnoteRef/>
      </w:r>
      <w:r w:rsidRPr="00695C90">
        <w:rPr>
          <w:rFonts w:ascii="Calibri" w:hAnsi="Calibri" w:cs="Calibri"/>
          <w:lang w:val="es-ES"/>
        </w:rPr>
        <w:t xml:space="preserve"> </w:t>
      </w:r>
      <w:r w:rsidRPr="00695C90">
        <w:rPr>
          <w:rFonts w:ascii="Calibri" w:hAnsi="Calibri" w:cs="Calibri"/>
          <w:lang w:val="es-ES"/>
        </w:rPr>
        <w:tab/>
        <w:t xml:space="preserve">No se aplica a los patrocinadores de proyectos que no estén sustancialmente involucrados en estas actividades. “No sustancialmente involucrados” significa que la actividad en cuestión es secundaria a las operaciones principales del patrocinador del proyecto. </w:t>
      </w:r>
    </w:p>
  </w:footnote>
  <w:footnote w:id="13">
    <w:p w14:paraId="1887999F" w14:textId="77777777" w:rsidR="00695C90" w:rsidRPr="00695C90" w:rsidRDefault="00695C90" w:rsidP="00695C90">
      <w:pPr>
        <w:pStyle w:val="FootnoteText"/>
        <w:rPr>
          <w:rFonts w:ascii="Calibri" w:hAnsi="Calibri" w:cs="Calibri"/>
          <w:b/>
          <w:lang w:val="es-ES"/>
        </w:rPr>
      </w:pPr>
      <w:r w:rsidRPr="00695C90">
        <w:rPr>
          <w:rStyle w:val="FootnoteReference"/>
          <w:rFonts w:ascii="Calibri" w:hAnsi="Calibri" w:cs="Calibri"/>
          <w:b/>
        </w:rPr>
        <w:footnoteRef/>
      </w:r>
      <w:r w:rsidRPr="00695C90">
        <w:rPr>
          <w:rFonts w:ascii="Calibri" w:hAnsi="Calibri" w:cs="Calibri"/>
          <w:b/>
          <w:lang w:val="es-ES"/>
        </w:rPr>
        <w:t xml:space="preserve"> </w:t>
      </w:r>
      <w:r w:rsidRPr="00695C90">
        <w:rPr>
          <w:rFonts w:ascii="Calibri" w:hAnsi="Calibri" w:cs="Calibri"/>
          <w:b/>
          <w:lang w:val="es-ES"/>
        </w:rPr>
        <w:tab/>
        <w:t xml:space="preserve">No se aplica a los patrocinadores de proyectos que no estén sustancialmente involucrados en estas </w:t>
      </w:r>
      <w:r w:rsidRPr="00695C90">
        <w:rPr>
          <w:rFonts w:ascii="Calibri" w:hAnsi="Calibri" w:cs="Calibri"/>
          <w:lang w:val="es-ES"/>
        </w:rPr>
        <w:t xml:space="preserve">actividades. “No sustancialmente involucrados” significa que la actividad en cuestión es secundaria a las operaciones principales del patrocinador del proyecto. </w:t>
      </w:r>
    </w:p>
  </w:footnote>
  <w:footnote w:id="14">
    <w:p w14:paraId="251D33EB" w14:textId="77777777" w:rsidR="00695C90" w:rsidRPr="00695C90" w:rsidRDefault="00695C90" w:rsidP="00695C90">
      <w:pPr>
        <w:pStyle w:val="FootnoteText"/>
        <w:rPr>
          <w:rFonts w:ascii="Calibri" w:hAnsi="Calibri" w:cs="Calibri"/>
          <w:lang w:val="es-ES"/>
        </w:rPr>
      </w:pPr>
      <w:r w:rsidRPr="00695C90">
        <w:rPr>
          <w:rStyle w:val="FootnoteReference"/>
          <w:rFonts w:ascii="Calibri" w:hAnsi="Calibri" w:cs="Calibri"/>
        </w:rPr>
        <w:footnoteRef/>
      </w:r>
      <w:r w:rsidRPr="00695C90">
        <w:rPr>
          <w:rFonts w:ascii="Calibri" w:hAnsi="Calibri" w:cs="Calibri"/>
          <w:lang w:val="es-ES"/>
        </w:rPr>
        <w:t xml:space="preserve"> </w:t>
      </w:r>
      <w:r w:rsidRPr="00695C90">
        <w:rPr>
          <w:rFonts w:ascii="Calibri" w:hAnsi="Calibri" w:cs="Calibri"/>
          <w:lang w:val="es-ES"/>
        </w:rPr>
        <w:tab/>
        <w:t xml:space="preserve">Véase </w:t>
      </w:r>
      <w:hyperlink r:id="rId1" w:history="1">
        <w:r w:rsidRPr="00695C90">
          <w:rPr>
            <w:rStyle w:val="Hyperlink"/>
            <w:rFonts w:ascii="Calibri" w:hAnsi="Calibri" w:cs="Calibri"/>
            <w:lang w:val="es-ES"/>
          </w:rPr>
          <w:t>http://www.cites.org</w:t>
        </w:r>
      </w:hyperlink>
    </w:p>
  </w:footnote>
  <w:footnote w:id="15">
    <w:p w14:paraId="6C5D8477" w14:textId="77777777" w:rsidR="00695C90" w:rsidRPr="00695C90" w:rsidRDefault="00695C90" w:rsidP="00695C90">
      <w:pPr>
        <w:pStyle w:val="FootnoteText"/>
        <w:rPr>
          <w:rFonts w:ascii="Calibri" w:hAnsi="Calibri" w:cs="Calibri"/>
          <w:lang w:val="es-ES"/>
        </w:rPr>
      </w:pPr>
      <w:r w:rsidRPr="00695C90">
        <w:rPr>
          <w:rStyle w:val="FootnoteReference"/>
          <w:rFonts w:ascii="Calibri" w:hAnsi="Calibri" w:cs="Calibri"/>
        </w:rPr>
        <w:footnoteRef/>
      </w:r>
      <w:r w:rsidRPr="00695C90">
        <w:rPr>
          <w:rFonts w:ascii="Calibri" w:hAnsi="Calibri" w:cs="Calibri"/>
          <w:lang w:val="es-ES"/>
        </w:rPr>
        <w:t xml:space="preserve"> </w:t>
      </w:r>
      <w:r w:rsidRPr="00695C90">
        <w:rPr>
          <w:rFonts w:ascii="Calibri" w:hAnsi="Calibri" w:cs="Calibri"/>
          <w:lang w:val="es-ES"/>
        </w:rPr>
        <w:tab/>
        <w:t xml:space="preserve">No se aplica a la compra de equipo médico, equipos de control de calidad (medición) ni otros equipos en los que pueda demostrarse que la fuente radiactiva es insignificante y/o se encuentra debidamente revestida. </w:t>
      </w:r>
    </w:p>
  </w:footnote>
  <w:footnote w:id="16">
    <w:p w14:paraId="5AAFB35D" w14:textId="77777777" w:rsidR="00695C90" w:rsidRPr="00695C90" w:rsidRDefault="00695C90" w:rsidP="00695C90">
      <w:pPr>
        <w:pStyle w:val="FootnoteText"/>
        <w:rPr>
          <w:rFonts w:ascii="Calibri" w:hAnsi="Calibri" w:cs="Calibri"/>
          <w:lang w:val="es-ES"/>
        </w:rPr>
      </w:pPr>
      <w:r w:rsidRPr="00695C90">
        <w:rPr>
          <w:rStyle w:val="FootnoteReference"/>
          <w:rFonts w:ascii="Calibri" w:hAnsi="Calibri" w:cs="Calibri"/>
        </w:rPr>
        <w:footnoteRef/>
      </w:r>
      <w:r w:rsidRPr="00695C90">
        <w:rPr>
          <w:rFonts w:ascii="Calibri" w:hAnsi="Calibri" w:cs="Calibri"/>
          <w:lang w:val="es-ES"/>
        </w:rPr>
        <w:t xml:space="preserve"> </w:t>
      </w:r>
      <w:r w:rsidRPr="00695C90">
        <w:rPr>
          <w:rFonts w:ascii="Calibri" w:hAnsi="Calibri" w:cs="Calibri"/>
          <w:lang w:val="es-ES"/>
        </w:rPr>
        <w:tab/>
        <w:t>No se aplica a la compra y uso de fibrocemento de amianto aglutinado en el cual el contenido de amianto sea &lt;20%.</w:t>
      </w:r>
    </w:p>
  </w:footnote>
  <w:footnote w:id="17">
    <w:p w14:paraId="2180EF32" w14:textId="77777777" w:rsidR="00695C90" w:rsidRPr="00695C90" w:rsidRDefault="00695C90" w:rsidP="00695C90">
      <w:pPr>
        <w:pStyle w:val="FootnoteText"/>
        <w:rPr>
          <w:rFonts w:ascii="Calibri" w:hAnsi="Calibri" w:cs="Calibri"/>
          <w:i/>
          <w:iCs/>
          <w:lang w:val="en-US"/>
        </w:rPr>
      </w:pPr>
      <w:r w:rsidRPr="00695C90">
        <w:rPr>
          <w:rStyle w:val="FootnoteReference"/>
          <w:rFonts w:ascii="Calibri" w:hAnsi="Calibri" w:cs="Calibri"/>
        </w:rPr>
        <w:footnoteRef/>
      </w:r>
      <w:r w:rsidRPr="00695C90">
        <w:rPr>
          <w:rFonts w:ascii="Calibri" w:hAnsi="Calibri" w:cs="Calibri"/>
          <w:lang w:val="en-US"/>
        </w:rPr>
        <w:t xml:space="preserve"> </w:t>
      </w:r>
      <w:r w:rsidRPr="00695C90">
        <w:rPr>
          <w:rFonts w:ascii="Calibri" w:hAnsi="Calibri" w:cs="Calibri"/>
          <w:lang w:val="en-US"/>
        </w:rPr>
        <w:tab/>
        <w:t xml:space="preserve">Productos farmacéuticos sujetos a eliminación gradual o prohibición en Naciones Unidas, </w:t>
      </w:r>
      <w:r w:rsidRPr="00695C90">
        <w:rPr>
          <w:rFonts w:ascii="Calibri" w:hAnsi="Calibri" w:cs="Calibri"/>
          <w:i/>
          <w:iCs/>
          <w:lang w:val="en-US"/>
        </w:rPr>
        <w:t>Banned Products</w:t>
      </w:r>
      <w:r w:rsidRPr="00695C90">
        <w:rPr>
          <w:rFonts w:ascii="Calibri" w:hAnsi="Calibri" w:cs="Calibri"/>
          <w:lang w:val="en-US"/>
        </w:rPr>
        <w:t xml:space="preserve">: </w:t>
      </w:r>
      <w:r w:rsidRPr="00695C90">
        <w:rPr>
          <w:rFonts w:ascii="Calibri" w:hAnsi="Calibri" w:cs="Calibri"/>
          <w:i/>
          <w:iCs/>
          <w:lang w:val="en-US"/>
        </w:rPr>
        <w:t>Consolidated List of Products Whose Consumption and/or Sale Have Been Banned, Withdrawn, Severely Restricted or not Approved by Governments</w:t>
      </w:r>
      <w:r w:rsidRPr="00695C90">
        <w:rPr>
          <w:rFonts w:ascii="Calibri" w:hAnsi="Calibri" w:cs="Calibri"/>
          <w:lang w:val="en-US"/>
        </w:rPr>
        <w:t xml:space="preserve"> (última versión 2008). (</w:t>
      </w:r>
      <w:hyperlink r:id="rId2" w:history="1">
        <w:r w:rsidRPr="00695C90">
          <w:rPr>
            <w:rStyle w:val="Hyperlink"/>
            <w:rFonts w:ascii="Calibri" w:hAnsi="Calibri" w:cs="Calibri"/>
            <w:lang w:val="en-US"/>
          </w:rPr>
          <w:t>http://www.who.int/medicines/areas/quality_safety/safety_efficacy/pharm_restrictions/en/index.html</w:t>
        </w:r>
      </w:hyperlink>
      <w:r w:rsidRPr="00695C90">
        <w:rPr>
          <w:rFonts w:ascii="Calibri" w:hAnsi="Calibri" w:cs="Calibri"/>
          <w:lang w:val="en-US"/>
        </w:rPr>
        <w:t xml:space="preserve">) </w:t>
      </w:r>
    </w:p>
  </w:footnote>
  <w:footnote w:id="18">
    <w:p w14:paraId="6A652708" w14:textId="77777777" w:rsidR="00695C90" w:rsidRPr="00695C90" w:rsidRDefault="00695C90" w:rsidP="00695C90">
      <w:pPr>
        <w:pStyle w:val="FootnoteText"/>
        <w:rPr>
          <w:rFonts w:ascii="Calibri" w:hAnsi="Calibri" w:cs="Calibri"/>
          <w:lang w:val="es-ES"/>
        </w:rPr>
      </w:pPr>
      <w:r w:rsidRPr="00695C90">
        <w:rPr>
          <w:rStyle w:val="FootnoteReference"/>
          <w:rFonts w:ascii="Calibri" w:hAnsi="Calibri" w:cs="Calibri"/>
        </w:rPr>
        <w:footnoteRef/>
      </w:r>
      <w:r w:rsidRPr="00695C90">
        <w:rPr>
          <w:rFonts w:ascii="Calibri" w:hAnsi="Calibri" w:cs="Calibri"/>
          <w:lang w:val="es-ES"/>
        </w:rPr>
        <w:t xml:space="preserve"> </w:t>
      </w:r>
      <w:r w:rsidRPr="00695C90">
        <w:rPr>
          <w:rFonts w:ascii="Calibri" w:hAnsi="Calibri" w:cs="Calibri"/>
          <w:lang w:val="es-ES"/>
        </w:rPr>
        <w:tab/>
        <w:t>Pesticidas y herbicidas sujetos a eliminación gradual o prohibición incluidos en los Convenios de Rotterdam (</w:t>
      </w:r>
      <w:hyperlink r:id="rId3" w:history="1">
        <w:r w:rsidRPr="00695C90">
          <w:rPr>
            <w:rStyle w:val="Hyperlink"/>
            <w:rFonts w:ascii="Calibri" w:hAnsi="Calibri" w:cs="Calibri"/>
            <w:lang w:val="es-ES"/>
          </w:rPr>
          <w:t>http://www.pic.int</w:t>
        </w:r>
      </w:hyperlink>
      <w:r w:rsidRPr="00695C90">
        <w:rPr>
          <w:rFonts w:ascii="Calibri" w:hAnsi="Calibri" w:cs="Calibri"/>
          <w:lang w:val="es-ES"/>
        </w:rPr>
        <w:t>) y de Estocolmo (</w:t>
      </w:r>
      <w:hyperlink r:id="rId4" w:history="1">
        <w:r w:rsidRPr="00695C90">
          <w:rPr>
            <w:rStyle w:val="Hyperlink"/>
            <w:rFonts w:ascii="Calibri" w:hAnsi="Calibri" w:cs="Calibri"/>
            <w:lang w:val="es-ES"/>
          </w:rPr>
          <w:t>http://www.pops.int</w:t>
        </w:r>
      </w:hyperlink>
      <w:r w:rsidRPr="00695C90">
        <w:rPr>
          <w:rFonts w:ascii="Calibri" w:hAnsi="Calibri" w:cs="Calibri"/>
          <w:lang w:val="es-ES"/>
        </w:rPr>
        <w:t>).</w:t>
      </w:r>
    </w:p>
  </w:footnote>
  <w:footnote w:id="19">
    <w:p w14:paraId="45973DE4" w14:textId="77777777" w:rsidR="00695C90" w:rsidRPr="00695C90" w:rsidRDefault="00695C90" w:rsidP="00695C90">
      <w:pPr>
        <w:pStyle w:val="FootnoteText"/>
        <w:rPr>
          <w:rFonts w:ascii="Calibri" w:hAnsi="Calibri" w:cs="Calibri"/>
          <w:lang w:val="es-ES"/>
        </w:rPr>
      </w:pPr>
      <w:r>
        <w:rPr>
          <w:rStyle w:val="FootnoteReference"/>
        </w:rPr>
        <w:footnoteRef/>
      </w:r>
      <w:r>
        <w:t xml:space="preserve"> </w:t>
      </w:r>
      <w:r w:rsidRPr="00695C90">
        <w:rPr>
          <w:rFonts w:ascii="Calibri" w:hAnsi="Calibri" w:cs="Calibri"/>
          <w:lang w:val="es-ES"/>
        </w:rPr>
        <w:t xml:space="preserve">Las sustancias que agotan la capa de ozono son compuestos químicos que reaccionan con el ozono estratosférico y lo agotan, lo que da como resultado los ampliamente difundidos “agujeros de ozono”. El Protocolo de Montreal enumera dichas sustancias y sus fechas previstas de reducción y eliminación gradual. Los compuestos químicos reglamentados por el referido protocolo incluyen los aerosoles, refrigerantes, agentes sopladores para espumas, solventes y agentes extintores de fuego. </w:t>
      </w:r>
      <w:r w:rsidRPr="00695C90">
        <w:rPr>
          <w:rFonts w:ascii="Calibri" w:hAnsi="Calibri" w:cs="Calibri"/>
        </w:rPr>
        <w:t>(</w:t>
      </w:r>
      <w:hyperlink r:id="rId5" w:tooltip="blocked::http://ozone.unep.org/Publications/6ii_publications handbooks.shtml" w:history="1">
        <w:r w:rsidRPr="00695C90">
          <w:rPr>
            <w:rStyle w:val="Hyperlink"/>
            <w:rFonts w:ascii="Calibri" w:hAnsi="Calibri" w:cs="Calibri"/>
          </w:rPr>
          <w:t>http://ozone.unep.org/Publications/6ii_publications%20handbooks.shtml</w:t>
        </w:r>
      </w:hyperlink>
      <w:r w:rsidRPr="00695C90">
        <w:rPr>
          <w:rFonts w:ascii="Calibri" w:hAnsi="Calibri" w:cs="Calibri"/>
        </w:rPr>
        <w:t>).</w:t>
      </w:r>
    </w:p>
  </w:footnote>
  <w:footnote w:id="20">
    <w:p w14:paraId="562E2174" w14:textId="77777777" w:rsidR="00695C90" w:rsidRPr="00CA589C" w:rsidRDefault="00695C90" w:rsidP="00695C90">
      <w:pPr>
        <w:pStyle w:val="FootnoteText"/>
        <w:rPr>
          <w:lang w:val="es-ES_tradnl"/>
        </w:rPr>
      </w:pPr>
      <w:r>
        <w:rPr>
          <w:rStyle w:val="FootnoteReference"/>
        </w:rPr>
        <w:footnoteRef/>
      </w:r>
      <w:r>
        <w:t xml:space="preserve"> </w:t>
      </w:r>
      <w:r w:rsidRPr="00695C90">
        <w:rPr>
          <w:rFonts w:ascii="Calibri" w:hAnsi="Calibri" w:cs="Calibri"/>
          <w:lang w:val="es-ES"/>
        </w:rPr>
        <w:t>Definidos por el Convenio de Basilea (</w:t>
      </w:r>
      <w:hyperlink r:id="rId6" w:history="1">
        <w:r w:rsidRPr="00695C90">
          <w:rPr>
            <w:rStyle w:val="Hyperlink"/>
            <w:rFonts w:ascii="Calibri" w:hAnsi="Calibri" w:cs="Calibri"/>
            <w:lang w:val="es-ES"/>
          </w:rPr>
          <w:t>http://www.basel.int</w:t>
        </w:r>
      </w:hyperlink>
      <w:r w:rsidRPr="00695C90">
        <w:rPr>
          <w:rFonts w:ascii="Calibri" w:hAnsi="Calibri" w:cs="Calibri"/>
          <w:lang w:val="es-ES"/>
        </w:rPr>
        <w:t>).</w:t>
      </w:r>
    </w:p>
  </w:footnote>
  <w:footnote w:id="21">
    <w:p w14:paraId="42C63FE0" w14:textId="77777777" w:rsidR="00695C90" w:rsidRPr="00277FAB" w:rsidRDefault="00695C90" w:rsidP="00695C90">
      <w:pPr>
        <w:pStyle w:val="FootnoteText"/>
      </w:pPr>
      <w:r>
        <w:rPr>
          <w:rStyle w:val="FootnoteReference"/>
        </w:rPr>
        <w:footnoteRef/>
      </w:r>
      <w:r>
        <w:t xml:space="preserve"> </w:t>
      </w:r>
      <w:r w:rsidRPr="00695C90">
        <w:rPr>
          <w:rFonts w:ascii="Calibri" w:hAnsi="Calibri" w:cs="Calibri"/>
          <w:lang w:val="es-ES"/>
        </w:rPr>
        <w:t>Definidos por el Convenio Internacional sobre reducción y eliminación de contaminantes orgánicos persistentes (de septiembre de 1999) que actualmente incluye los pesticidas aldrina, clordano, dieldrina, endrina, heptacloro, mirex y toxafeno, así como los clorobencenos químicos de uso industrial (</w:t>
      </w:r>
      <w:hyperlink r:id="rId7" w:history="1">
        <w:r w:rsidRPr="00695C90">
          <w:rPr>
            <w:rStyle w:val="Hyperlink"/>
            <w:rFonts w:ascii="Calibri" w:hAnsi="Calibri" w:cs="Calibri"/>
            <w:lang w:val="es-ES"/>
          </w:rPr>
          <w:t>http://chm.pops.int/</w:t>
        </w:r>
      </w:hyperlink>
      <w:r w:rsidRPr="00695C90">
        <w:rPr>
          <w:rFonts w:ascii="Calibri" w:hAnsi="Calibri" w:cs="Calibri"/>
          <w:lang w:val="es-ES"/>
        </w:rPr>
        <w:t>).</w:t>
      </w:r>
    </w:p>
  </w:footnote>
  <w:footnote w:id="22">
    <w:p w14:paraId="4A8D3AF5" w14:textId="77777777" w:rsidR="00695C90" w:rsidRPr="00277FAB" w:rsidRDefault="00695C90" w:rsidP="00695C90">
      <w:pPr>
        <w:pStyle w:val="FootnoteText"/>
        <w:rPr>
          <w:lang w:val="es-ES_tradnl"/>
        </w:rPr>
      </w:pPr>
      <w:r>
        <w:rPr>
          <w:rStyle w:val="FootnoteReference"/>
        </w:rPr>
        <w:footnoteRef/>
      </w:r>
      <w:r>
        <w:t xml:space="preserve"> </w:t>
      </w:r>
      <w:r w:rsidRPr="00695C90">
        <w:rPr>
          <w:rFonts w:ascii="Calibri" w:hAnsi="Calibri" w:cs="Calibri"/>
          <w:lang w:val="es-ES"/>
        </w:rPr>
        <w:t xml:space="preserve">Los Principios y Derechos Fundamentales en el Trabajo significan: i) la libertad de asociación y la libertad sindical y el reconocimiento efectivo del derecho de negociación colectiva; ii) la prohibición de todas las formas de trabajo forzoso u obligatorio; iii) la prohibición del trabajo infantil, incluida, sin que suponga limitación, la prohibición de que personas menores de 18 años trabajen en condiciones peligrosas (incluidas las actividades de construcción), realicen trabajos nocturnos y sean declaradas aptas para trabajar en base a un examen médico; y iv) la eliminación de la discriminación en materia de empleo y ocupación, en la cual la discriminación se define como cualquier diferencia, exclusión o preferencia basada en motivos de raza, color, sexo, religión, opinión política u origen nacional o social. (Organización Internacional del Trabajo, </w:t>
      </w:r>
      <w:hyperlink r:id="rId8" w:history="1">
        <w:r w:rsidRPr="00695C90">
          <w:rPr>
            <w:rStyle w:val="Hyperlink"/>
            <w:rFonts w:ascii="Calibri" w:hAnsi="Calibri" w:cs="Calibri"/>
            <w:lang w:val="es-ES"/>
          </w:rPr>
          <w:t>http://www.ilo.org</w:t>
        </w:r>
      </w:hyperlink>
      <w:r w:rsidRPr="00695C90">
        <w:rPr>
          <w:rFonts w:ascii="Calibri" w:hAnsi="Calibri" w:cs="Calibri"/>
          <w:lang w:val="es-ES"/>
        </w:rPr>
        <w:t>).</w:t>
      </w:r>
    </w:p>
  </w:footnote>
  <w:footnote w:id="23">
    <w:p w14:paraId="252D63CC" w14:textId="77777777" w:rsidR="00FC40A7" w:rsidRPr="00EF3696" w:rsidRDefault="00FC40A7" w:rsidP="00FC40A7">
      <w:pPr>
        <w:pStyle w:val="FootnoteText"/>
        <w:spacing w:after="0"/>
        <w:rPr>
          <w:rFonts w:ascii="Arial" w:hAnsi="Arial" w:cs="Arial"/>
          <w:sz w:val="16"/>
          <w:szCs w:val="16"/>
        </w:rPr>
      </w:pPr>
      <w:r w:rsidRPr="00EF3696">
        <w:rPr>
          <w:rStyle w:val="FootnoteReference"/>
          <w:rFonts w:ascii="Arial" w:hAnsi="Arial" w:cs="Arial"/>
          <w:sz w:val="16"/>
          <w:szCs w:val="16"/>
        </w:rPr>
        <w:footnoteRef/>
      </w:r>
      <w:r w:rsidRPr="00EF3696">
        <w:rPr>
          <w:rFonts w:ascii="Arial" w:hAnsi="Arial" w:cs="Arial"/>
          <w:sz w:val="16"/>
          <w:szCs w:val="16"/>
        </w:rPr>
        <w:t xml:space="preserve"> </w:t>
      </w:r>
      <w:r w:rsidRPr="00EF3696">
        <w:rPr>
          <w:rFonts w:ascii="Arial" w:hAnsi="Arial" w:cs="Arial"/>
          <w:sz w:val="16"/>
          <w:szCs w:val="16"/>
        </w:rPr>
        <w:tab/>
        <w:t>Meta al final del programa y meta en el año diez son cifras acumuladas.</w:t>
      </w:r>
    </w:p>
  </w:footnote>
  <w:footnote w:id="24">
    <w:p w14:paraId="595A4E44" w14:textId="77777777" w:rsidR="00FC40A7" w:rsidRPr="00EF3696" w:rsidRDefault="00FC40A7" w:rsidP="00FC40A7">
      <w:pPr>
        <w:pStyle w:val="FootnoteText"/>
        <w:spacing w:after="0"/>
        <w:rPr>
          <w:rFonts w:ascii="Arial" w:hAnsi="Arial" w:cs="Arial"/>
          <w:sz w:val="16"/>
          <w:szCs w:val="16"/>
        </w:rPr>
      </w:pPr>
      <w:r w:rsidRPr="00EF3696">
        <w:rPr>
          <w:rStyle w:val="FootnoteReference"/>
          <w:rFonts w:ascii="Arial" w:hAnsi="Arial" w:cs="Arial"/>
          <w:sz w:val="16"/>
          <w:szCs w:val="16"/>
        </w:rPr>
        <w:footnoteRef/>
      </w:r>
      <w:r w:rsidRPr="00EF3696">
        <w:rPr>
          <w:rFonts w:ascii="Arial" w:hAnsi="Arial" w:cs="Arial"/>
          <w:sz w:val="16"/>
          <w:szCs w:val="16"/>
        </w:rPr>
        <w:t xml:space="preserve"> </w:t>
      </w:r>
      <w:r w:rsidRPr="00EF3696">
        <w:rPr>
          <w:rFonts w:ascii="Arial" w:hAnsi="Arial" w:cs="Arial"/>
          <w:sz w:val="16"/>
          <w:szCs w:val="16"/>
        </w:rPr>
        <w:tab/>
        <w:t>Para términos prácticos, el análisis asume que se desarrollarán 30MW en dos plantas de generación geotérmica con un promedio de 15MW de capacidad instalada cada una de ellas.</w:t>
      </w:r>
    </w:p>
  </w:footnote>
  <w:footnote w:id="25">
    <w:p w14:paraId="787979A4" w14:textId="77777777" w:rsidR="00FC40A7" w:rsidRPr="00EF3696" w:rsidRDefault="00FC40A7" w:rsidP="00FC40A7">
      <w:pPr>
        <w:pStyle w:val="FootnoteText"/>
        <w:spacing w:after="0"/>
        <w:rPr>
          <w:rFonts w:ascii="Arial" w:hAnsi="Arial" w:cs="Arial"/>
          <w:sz w:val="16"/>
          <w:szCs w:val="16"/>
        </w:rPr>
      </w:pPr>
      <w:r w:rsidRPr="00EF3696">
        <w:rPr>
          <w:rStyle w:val="FootnoteReference"/>
          <w:rFonts w:ascii="Arial" w:hAnsi="Arial" w:cs="Arial"/>
          <w:sz w:val="16"/>
          <w:szCs w:val="16"/>
        </w:rPr>
        <w:footnoteRef/>
      </w:r>
      <w:r w:rsidRPr="00EF3696">
        <w:rPr>
          <w:rFonts w:ascii="Arial" w:hAnsi="Arial" w:cs="Arial"/>
          <w:sz w:val="16"/>
          <w:szCs w:val="16"/>
          <w:vertAlign w:val="superscript"/>
        </w:rPr>
        <w:t xml:space="preserve"> </w:t>
      </w:r>
      <w:r w:rsidRPr="00EF3696">
        <w:rPr>
          <w:rFonts w:ascii="Arial" w:hAnsi="Arial" w:cs="Arial"/>
          <w:sz w:val="16"/>
          <w:szCs w:val="16"/>
          <w:vertAlign w:val="superscript"/>
        </w:rPr>
        <w:tab/>
      </w:r>
      <w:r w:rsidRPr="00EF3696">
        <w:rPr>
          <w:rFonts w:ascii="Arial" w:hAnsi="Arial" w:cs="Arial"/>
          <w:sz w:val="16"/>
          <w:szCs w:val="16"/>
        </w:rPr>
        <w:t xml:space="preserve">Capacidad total al final de 2016 (SENER). SENER, </w:t>
      </w:r>
      <w:hyperlink r:id="rId9" w:history="1">
        <w:r w:rsidRPr="00EF3696">
          <w:rPr>
            <w:rStyle w:val="Hyperlink"/>
            <w:rFonts w:ascii="Arial" w:hAnsi="Arial" w:cs="Arial"/>
            <w:sz w:val="16"/>
            <w:szCs w:val="16"/>
          </w:rPr>
          <w:t>Prospectiva de Energías Renovables 2017-2031.</w:t>
        </w:r>
      </w:hyperlink>
    </w:p>
  </w:footnote>
  <w:footnote w:id="26">
    <w:p w14:paraId="673C7AD7" w14:textId="77777777" w:rsidR="00FC40A7" w:rsidRPr="00EF3696" w:rsidRDefault="00FC40A7" w:rsidP="00FC40A7">
      <w:pPr>
        <w:pStyle w:val="FootnoteText"/>
        <w:spacing w:after="0"/>
        <w:rPr>
          <w:rFonts w:ascii="Arial" w:hAnsi="Arial" w:cs="Arial"/>
          <w:sz w:val="16"/>
          <w:szCs w:val="16"/>
        </w:rPr>
      </w:pPr>
      <w:r w:rsidRPr="00EF3696">
        <w:rPr>
          <w:rStyle w:val="FootnoteReference"/>
          <w:rFonts w:ascii="Arial" w:hAnsi="Arial" w:cs="Arial"/>
          <w:sz w:val="16"/>
          <w:szCs w:val="16"/>
        </w:rPr>
        <w:footnoteRef/>
      </w:r>
      <w:r w:rsidRPr="00EF3696">
        <w:rPr>
          <w:rFonts w:ascii="Arial" w:hAnsi="Arial" w:cs="Arial"/>
          <w:sz w:val="16"/>
          <w:szCs w:val="16"/>
        </w:rPr>
        <w:t xml:space="preserve"> </w:t>
      </w:r>
      <w:r w:rsidRPr="00EF3696">
        <w:rPr>
          <w:rFonts w:ascii="Arial" w:hAnsi="Arial" w:cs="Arial"/>
          <w:sz w:val="16"/>
          <w:szCs w:val="16"/>
        </w:rPr>
        <w:tab/>
        <w:t>Esta meta no necesariamente respondería a una contribución directa del programa.</w:t>
      </w:r>
    </w:p>
  </w:footnote>
  <w:footnote w:id="27">
    <w:p w14:paraId="16418A76" w14:textId="77777777" w:rsidR="00FC40A7" w:rsidRPr="00EF3696" w:rsidRDefault="00FC40A7" w:rsidP="00FC40A7">
      <w:pPr>
        <w:pStyle w:val="FootnoteText"/>
        <w:spacing w:after="0"/>
        <w:rPr>
          <w:rFonts w:ascii="Arial" w:hAnsi="Arial" w:cs="Arial"/>
          <w:sz w:val="16"/>
          <w:szCs w:val="16"/>
        </w:rPr>
      </w:pPr>
      <w:r w:rsidRPr="00EF3696">
        <w:rPr>
          <w:rStyle w:val="FootnoteReference"/>
          <w:rFonts w:ascii="Arial" w:hAnsi="Arial" w:cs="Arial"/>
          <w:sz w:val="16"/>
          <w:szCs w:val="16"/>
        </w:rPr>
        <w:footnoteRef/>
      </w:r>
      <w:r w:rsidRPr="00EF3696">
        <w:rPr>
          <w:rFonts w:ascii="Arial" w:hAnsi="Arial" w:cs="Arial"/>
          <w:sz w:val="16"/>
          <w:szCs w:val="16"/>
        </w:rPr>
        <w:t xml:space="preserve"> </w:t>
      </w:r>
      <w:r w:rsidRPr="00EF3696">
        <w:rPr>
          <w:rFonts w:ascii="Arial" w:hAnsi="Arial" w:cs="Arial"/>
          <w:sz w:val="16"/>
          <w:szCs w:val="16"/>
        </w:rPr>
        <w:tab/>
        <w:t xml:space="preserve">Generación bruta al final de 2016. SENER, </w:t>
      </w:r>
      <w:hyperlink r:id="rId10" w:history="1">
        <w:r w:rsidRPr="00EF3696">
          <w:rPr>
            <w:rStyle w:val="Hyperlink"/>
            <w:rFonts w:ascii="Arial" w:hAnsi="Arial" w:cs="Arial"/>
            <w:sz w:val="16"/>
            <w:szCs w:val="16"/>
          </w:rPr>
          <w:t>Prospectiva de Energías Renovables 2017-2031.</w:t>
        </w:r>
      </w:hyperlink>
    </w:p>
  </w:footnote>
  <w:footnote w:id="28">
    <w:p w14:paraId="6B698A1C" w14:textId="77777777" w:rsidR="00FC40A7" w:rsidRPr="00EF3696" w:rsidRDefault="00FC40A7" w:rsidP="00FC40A7">
      <w:pPr>
        <w:pStyle w:val="FootnoteText"/>
        <w:spacing w:after="0"/>
        <w:rPr>
          <w:rFonts w:ascii="Arial" w:hAnsi="Arial" w:cs="Arial"/>
          <w:sz w:val="16"/>
          <w:szCs w:val="16"/>
        </w:rPr>
      </w:pPr>
      <w:r w:rsidRPr="00EF3696">
        <w:rPr>
          <w:rStyle w:val="FootnoteReference"/>
          <w:rFonts w:ascii="Arial" w:hAnsi="Arial" w:cs="Arial"/>
          <w:sz w:val="16"/>
          <w:szCs w:val="16"/>
        </w:rPr>
        <w:footnoteRef/>
      </w:r>
      <w:r w:rsidRPr="00EF3696">
        <w:rPr>
          <w:rFonts w:ascii="Arial" w:hAnsi="Arial" w:cs="Arial"/>
          <w:sz w:val="16"/>
          <w:szCs w:val="16"/>
        </w:rPr>
        <w:t xml:space="preserve"> </w:t>
      </w:r>
      <w:r w:rsidRPr="00EF3696">
        <w:rPr>
          <w:rFonts w:ascii="Arial" w:hAnsi="Arial" w:cs="Arial"/>
          <w:sz w:val="16"/>
          <w:szCs w:val="16"/>
        </w:rPr>
        <w:tab/>
        <w:t>Quinta Comunicación Nacional de México al UNFCCC, (por sus siglas en inglés). Datos de 2010.</w:t>
      </w:r>
    </w:p>
  </w:footnote>
  <w:footnote w:id="29">
    <w:p w14:paraId="4AE44BAF" w14:textId="77777777" w:rsidR="00FC40A7" w:rsidRPr="00EF3696" w:rsidRDefault="00FC40A7" w:rsidP="00FC40A7">
      <w:pPr>
        <w:pStyle w:val="FootnoteText"/>
        <w:spacing w:after="0"/>
        <w:rPr>
          <w:rFonts w:ascii="Arial" w:hAnsi="Arial" w:cs="Arial"/>
          <w:sz w:val="16"/>
          <w:szCs w:val="16"/>
        </w:rPr>
      </w:pPr>
      <w:r w:rsidRPr="00EF3696">
        <w:rPr>
          <w:rStyle w:val="FootnoteReference"/>
          <w:rFonts w:ascii="Arial" w:hAnsi="Arial" w:cs="Arial"/>
          <w:sz w:val="16"/>
          <w:szCs w:val="16"/>
        </w:rPr>
        <w:footnoteRef/>
      </w:r>
      <w:r w:rsidRPr="00EF3696">
        <w:rPr>
          <w:rFonts w:ascii="Arial" w:hAnsi="Arial" w:cs="Arial"/>
          <w:sz w:val="16"/>
          <w:szCs w:val="16"/>
        </w:rPr>
        <w:t xml:space="preserve"> </w:t>
      </w:r>
      <w:r w:rsidRPr="00EF3696">
        <w:rPr>
          <w:rFonts w:ascii="Arial" w:hAnsi="Arial" w:cs="Arial"/>
          <w:sz w:val="16"/>
          <w:szCs w:val="16"/>
        </w:rPr>
        <w:tab/>
        <w:t xml:space="preserve">Sistema de Información Energética, Sector Eléctrico, 2017, </w:t>
      </w:r>
      <w:hyperlink r:id="rId11" w:history="1">
        <w:r w:rsidRPr="00EF3696">
          <w:rPr>
            <w:rStyle w:val="Hyperlink"/>
            <w:rFonts w:ascii="Arial" w:hAnsi="Arial" w:cs="Arial"/>
            <w:sz w:val="16"/>
            <w:szCs w:val="16"/>
          </w:rPr>
          <w:t>Generación bruta de energía por tecnología</w:t>
        </w:r>
      </w:hyperlink>
      <w:r w:rsidRPr="00EF3696">
        <w:rPr>
          <w:rFonts w:ascii="Arial" w:hAnsi="Arial" w:cs="Arial"/>
          <w:sz w:val="16"/>
          <w:szCs w:val="16"/>
        </w:rPr>
        <w:t>.</w:t>
      </w:r>
    </w:p>
  </w:footnote>
  <w:footnote w:id="30">
    <w:p w14:paraId="333847A0" w14:textId="77777777" w:rsidR="00FC40A7" w:rsidRPr="00EF3696" w:rsidRDefault="00FC40A7" w:rsidP="00FC40A7">
      <w:pPr>
        <w:pStyle w:val="FootnoteText"/>
        <w:spacing w:after="0"/>
        <w:rPr>
          <w:rFonts w:ascii="Arial" w:hAnsi="Arial" w:cs="Arial"/>
          <w:sz w:val="16"/>
          <w:szCs w:val="16"/>
        </w:rPr>
      </w:pPr>
      <w:r w:rsidRPr="00EF3696">
        <w:rPr>
          <w:rStyle w:val="FootnoteReference"/>
          <w:rFonts w:ascii="Arial" w:hAnsi="Arial" w:cs="Arial"/>
          <w:sz w:val="16"/>
          <w:szCs w:val="16"/>
        </w:rPr>
        <w:footnoteRef/>
      </w:r>
      <w:r w:rsidRPr="00EF3696">
        <w:rPr>
          <w:rFonts w:ascii="Arial" w:hAnsi="Arial" w:cs="Arial"/>
          <w:sz w:val="16"/>
          <w:szCs w:val="16"/>
        </w:rPr>
        <w:t xml:space="preserve"> </w:t>
      </w:r>
      <w:r w:rsidRPr="00EF3696">
        <w:rPr>
          <w:rFonts w:ascii="Arial" w:hAnsi="Arial" w:cs="Arial"/>
          <w:sz w:val="16"/>
          <w:szCs w:val="16"/>
        </w:rPr>
        <w:tab/>
        <w:t xml:space="preserve">Escenario 450 </w:t>
      </w:r>
      <w:hyperlink r:id="rId12" w:history="1">
        <w:r w:rsidRPr="00EF3696">
          <w:rPr>
            <w:rStyle w:val="Hyperlink"/>
            <w:rFonts w:ascii="Arial" w:hAnsi="Arial" w:cs="Arial"/>
            <w:sz w:val="16"/>
            <w:szCs w:val="16"/>
          </w:rPr>
          <w:t>Prospectiva de Energías Renovables 2012 – 2026</w:t>
        </w:r>
      </w:hyperlink>
      <w:r w:rsidRPr="00EF3696">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D103E" w14:textId="77777777" w:rsidR="00D55282" w:rsidRDefault="00D55282">
    <w:pPr>
      <w:pStyle w:val="Header"/>
      <w:jc w:val="center"/>
      <w:rPr>
        <w:rStyle w:val="PageNumber"/>
      </w:rPr>
    </w:pPr>
    <w:r>
      <w:rPr>
        <w:rStyle w:val="PageNumbe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5D7BA" w14:textId="333B1F06" w:rsidR="009E0791" w:rsidRDefault="009E07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3F488" w14:textId="77777777" w:rsidR="009E0791" w:rsidRDefault="009E07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multilevel"/>
    <w:tmpl w:val="00000014"/>
    <w:name w:val="WW8Num62"/>
    <w:lvl w:ilvl="0">
      <w:start w:val="5"/>
      <w:numFmt w:val="decimal"/>
      <w:lvlText w:val="%1"/>
      <w:lvlJc w:val="left"/>
      <w:pPr>
        <w:tabs>
          <w:tab w:val="num" w:pos="-694"/>
        </w:tabs>
        <w:ind w:left="-694" w:hanging="375"/>
      </w:pPr>
    </w:lvl>
    <w:lvl w:ilvl="1">
      <w:start w:val="1"/>
      <w:numFmt w:val="decimal"/>
      <w:lvlText w:val="%1.%2"/>
      <w:lvlJc w:val="left"/>
      <w:pPr>
        <w:tabs>
          <w:tab w:val="num" w:pos="-349"/>
        </w:tabs>
        <w:ind w:left="-349" w:hanging="720"/>
      </w:pPr>
    </w:lvl>
    <w:lvl w:ilvl="2">
      <w:start w:val="1"/>
      <w:numFmt w:val="decimal"/>
      <w:lvlText w:val="%1.%2.%3"/>
      <w:lvlJc w:val="left"/>
      <w:pPr>
        <w:tabs>
          <w:tab w:val="num" w:pos="11"/>
        </w:tabs>
        <w:ind w:left="11" w:hanging="1080"/>
      </w:pPr>
    </w:lvl>
    <w:lvl w:ilvl="3">
      <w:start w:val="1"/>
      <w:numFmt w:val="decimal"/>
      <w:lvlText w:val="%1.%2.%3.%4"/>
      <w:lvlJc w:val="left"/>
      <w:pPr>
        <w:tabs>
          <w:tab w:val="num" w:pos="11"/>
        </w:tabs>
        <w:ind w:left="11" w:hanging="1080"/>
      </w:pPr>
    </w:lvl>
    <w:lvl w:ilvl="4">
      <w:start w:val="1"/>
      <w:numFmt w:val="decimal"/>
      <w:lvlText w:val="%1.%2.%3.%4.%5"/>
      <w:lvlJc w:val="left"/>
      <w:pPr>
        <w:tabs>
          <w:tab w:val="num" w:pos="371"/>
        </w:tabs>
        <w:ind w:left="371" w:hanging="1440"/>
      </w:pPr>
    </w:lvl>
    <w:lvl w:ilvl="5">
      <w:start w:val="1"/>
      <w:numFmt w:val="decimal"/>
      <w:lvlText w:val="%1.%2.%3.%4.%5.%6"/>
      <w:lvlJc w:val="left"/>
      <w:pPr>
        <w:tabs>
          <w:tab w:val="num" w:pos="731"/>
        </w:tabs>
        <w:ind w:left="731" w:hanging="1800"/>
      </w:pPr>
    </w:lvl>
    <w:lvl w:ilvl="6">
      <w:start w:val="1"/>
      <w:numFmt w:val="decimal"/>
      <w:lvlText w:val="%1.%2.%3.%4.%5.%6.%7"/>
      <w:lvlJc w:val="left"/>
      <w:pPr>
        <w:tabs>
          <w:tab w:val="num" w:pos="1091"/>
        </w:tabs>
        <w:ind w:left="1091" w:hanging="2160"/>
      </w:pPr>
    </w:lvl>
    <w:lvl w:ilvl="7">
      <w:start w:val="1"/>
      <w:numFmt w:val="decimal"/>
      <w:lvlText w:val="%1.%2.%3.%4.%5.%6.%7.%8"/>
      <w:lvlJc w:val="left"/>
      <w:pPr>
        <w:tabs>
          <w:tab w:val="num" w:pos="1091"/>
        </w:tabs>
        <w:ind w:left="1091" w:hanging="2160"/>
      </w:pPr>
    </w:lvl>
    <w:lvl w:ilvl="8">
      <w:start w:val="1"/>
      <w:numFmt w:val="decimal"/>
      <w:lvlText w:val="%1.%2.%3.%4.%5.%6.%7.%8.%9"/>
      <w:lvlJc w:val="left"/>
      <w:pPr>
        <w:tabs>
          <w:tab w:val="num" w:pos="1451"/>
        </w:tabs>
        <w:ind w:left="1451" w:hanging="2520"/>
      </w:pPr>
    </w:lvl>
  </w:abstractNum>
  <w:abstractNum w:abstractNumId="1" w15:restartNumberingAfterBreak="0">
    <w:nsid w:val="05720913"/>
    <w:multiLevelType w:val="hybridMultilevel"/>
    <w:tmpl w:val="294469EA"/>
    <w:lvl w:ilvl="0" w:tplc="7C14B03A">
      <w:start w:val="1"/>
      <w:numFmt w:val="decimal"/>
      <w:lvlText w:val="17.%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830645"/>
    <w:multiLevelType w:val="hybridMultilevel"/>
    <w:tmpl w:val="6B46C37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 w15:restartNumberingAfterBreak="0">
    <w:nsid w:val="07771412"/>
    <w:multiLevelType w:val="hybridMultilevel"/>
    <w:tmpl w:val="4B36C9C8"/>
    <w:lvl w:ilvl="0" w:tplc="080A0001">
      <w:start w:val="1"/>
      <w:numFmt w:val="bullet"/>
      <w:lvlText w:val=""/>
      <w:lvlJc w:val="left"/>
      <w:pPr>
        <w:tabs>
          <w:tab w:val="num" w:pos="720"/>
        </w:tabs>
        <w:ind w:left="720" w:hanging="360"/>
      </w:pPr>
      <w:rPr>
        <w:rFonts w:ascii="Symbol" w:hAnsi="Symbol" w:hint="default"/>
      </w:rPr>
    </w:lvl>
    <w:lvl w:ilvl="1" w:tplc="BE44D4A4" w:tentative="1">
      <w:start w:val="1"/>
      <w:numFmt w:val="bullet"/>
      <w:lvlText w:val=""/>
      <w:lvlJc w:val="left"/>
      <w:pPr>
        <w:tabs>
          <w:tab w:val="num" w:pos="1440"/>
        </w:tabs>
        <w:ind w:left="1440" w:hanging="360"/>
      </w:pPr>
      <w:rPr>
        <w:rFonts w:ascii="Wingdings" w:hAnsi="Wingdings" w:hint="default"/>
      </w:rPr>
    </w:lvl>
    <w:lvl w:ilvl="2" w:tplc="525C06DA" w:tentative="1">
      <w:start w:val="1"/>
      <w:numFmt w:val="bullet"/>
      <w:lvlText w:val=""/>
      <w:lvlJc w:val="left"/>
      <w:pPr>
        <w:tabs>
          <w:tab w:val="num" w:pos="2160"/>
        </w:tabs>
        <w:ind w:left="2160" w:hanging="360"/>
      </w:pPr>
      <w:rPr>
        <w:rFonts w:ascii="Wingdings" w:hAnsi="Wingdings" w:hint="default"/>
      </w:rPr>
    </w:lvl>
    <w:lvl w:ilvl="3" w:tplc="1B2CBC56">
      <w:start w:val="1"/>
      <w:numFmt w:val="bullet"/>
      <w:lvlText w:val=""/>
      <w:lvlJc w:val="left"/>
      <w:pPr>
        <w:tabs>
          <w:tab w:val="num" w:pos="2880"/>
        </w:tabs>
        <w:ind w:left="2880" w:hanging="360"/>
      </w:pPr>
      <w:rPr>
        <w:rFonts w:ascii="Wingdings" w:hAnsi="Wingdings" w:hint="default"/>
      </w:rPr>
    </w:lvl>
    <w:lvl w:ilvl="4" w:tplc="E3AE4002" w:tentative="1">
      <w:start w:val="1"/>
      <w:numFmt w:val="bullet"/>
      <w:lvlText w:val=""/>
      <w:lvlJc w:val="left"/>
      <w:pPr>
        <w:tabs>
          <w:tab w:val="num" w:pos="3600"/>
        </w:tabs>
        <w:ind w:left="3600" w:hanging="360"/>
      </w:pPr>
      <w:rPr>
        <w:rFonts w:ascii="Wingdings" w:hAnsi="Wingdings" w:hint="default"/>
      </w:rPr>
    </w:lvl>
    <w:lvl w:ilvl="5" w:tplc="F6387A02" w:tentative="1">
      <w:start w:val="1"/>
      <w:numFmt w:val="bullet"/>
      <w:lvlText w:val=""/>
      <w:lvlJc w:val="left"/>
      <w:pPr>
        <w:tabs>
          <w:tab w:val="num" w:pos="4320"/>
        </w:tabs>
        <w:ind w:left="4320" w:hanging="360"/>
      </w:pPr>
      <w:rPr>
        <w:rFonts w:ascii="Wingdings" w:hAnsi="Wingdings" w:hint="default"/>
      </w:rPr>
    </w:lvl>
    <w:lvl w:ilvl="6" w:tplc="02F02444" w:tentative="1">
      <w:start w:val="1"/>
      <w:numFmt w:val="bullet"/>
      <w:lvlText w:val=""/>
      <w:lvlJc w:val="left"/>
      <w:pPr>
        <w:tabs>
          <w:tab w:val="num" w:pos="5040"/>
        </w:tabs>
        <w:ind w:left="5040" w:hanging="360"/>
      </w:pPr>
      <w:rPr>
        <w:rFonts w:ascii="Wingdings" w:hAnsi="Wingdings" w:hint="default"/>
      </w:rPr>
    </w:lvl>
    <w:lvl w:ilvl="7" w:tplc="9AC62A5A" w:tentative="1">
      <w:start w:val="1"/>
      <w:numFmt w:val="bullet"/>
      <w:lvlText w:val=""/>
      <w:lvlJc w:val="left"/>
      <w:pPr>
        <w:tabs>
          <w:tab w:val="num" w:pos="5760"/>
        </w:tabs>
        <w:ind w:left="5760" w:hanging="360"/>
      </w:pPr>
      <w:rPr>
        <w:rFonts w:ascii="Wingdings" w:hAnsi="Wingdings" w:hint="default"/>
      </w:rPr>
    </w:lvl>
    <w:lvl w:ilvl="8" w:tplc="29F871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9A608B"/>
    <w:multiLevelType w:val="hybridMultilevel"/>
    <w:tmpl w:val="51F6A82E"/>
    <w:lvl w:ilvl="0" w:tplc="5F384EE8">
      <w:start w:val="1"/>
      <w:numFmt w:val="lowerLetter"/>
      <w:lvlText w:val="%1."/>
      <w:lvlJc w:val="left"/>
      <w:pPr>
        <w:ind w:left="928"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15:restartNumberingAfterBreak="0">
    <w:nsid w:val="0A910C52"/>
    <w:multiLevelType w:val="hybridMultilevel"/>
    <w:tmpl w:val="9BC2EA56"/>
    <w:lvl w:ilvl="0" w:tplc="0C0A0001">
      <w:start w:val="6"/>
      <w:numFmt w:val="bullet"/>
      <w:lvlText w:val="-"/>
      <w:lvlJc w:val="left"/>
      <w:pPr>
        <w:tabs>
          <w:tab w:val="num" w:pos="360"/>
        </w:tabs>
        <w:ind w:left="360" w:hanging="360"/>
      </w:pPr>
      <w:rPr>
        <w:rFonts w:ascii="Times New Roman" w:eastAsia="Calibri" w:hAnsi="Times New Roman" w:cs="Times New Roman" w:hint="default"/>
        <w:b/>
      </w:rPr>
    </w:lvl>
    <w:lvl w:ilvl="1" w:tplc="0C0A0003" w:tentative="1">
      <w:start w:val="1"/>
      <w:numFmt w:val="lowerLetter"/>
      <w:lvlText w:val="%2."/>
      <w:lvlJc w:val="left"/>
      <w:pPr>
        <w:tabs>
          <w:tab w:val="num" w:pos="1080"/>
        </w:tabs>
        <w:ind w:left="1080" w:hanging="360"/>
      </w:pPr>
    </w:lvl>
    <w:lvl w:ilvl="2" w:tplc="0C0A0005" w:tentative="1">
      <w:start w:val="1"/>
      <w:numFmt w:val="lowerRoman"/>
      <w:lvlText w:val="%3."/>
      <w:lvlJc w:val="right"/>
      <w:pPr>
        <w:tabs>
          <w:tab w:val="num" w:pos="1800"/>
        </w:tabs>
        <w:ind w:left="1800" w:hanging="180"/>
      </w:p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6" w15:restartNumberingAfterBreak="0">
    <w:nsid w:val="0B20075C"/>
    <w:multiLevelType w:val="hybridMultilevel"/>
    <w:tmpl w:val="19F4176A"/>
    <w:lvl w:ilvl="0" w:tplc="B04251EA">
      <w:start w:val="2"/>
      <w:numFmt w:val="upperRoman"/>
      <w:lvlText w:val="%1."/>
      <w:lvlJc w:val="righ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BA97FCB"/>
    <w:multiLevelType w:val="hybridMultilevel"/>
    <w:tmpl w:val="19205152"/>
    <w:lvl w:ilvl="0" w:tplc="88EA2392">
      <w:start w:val="1"/>
      <w:numFmt w:val="decimal"/>
      <w:lvlText w:val="2.%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0D2A4192"/>
    <w:multiLevelType w:val="hybridMultilevel"/>
    <w:tmpl w:val="15CECCB2"/>
    <w:lvl w:ilvl="0" w:tplc="C69E1B14">
      <w:start w:val="1"/>
      <w:numFmt w:val="decimal"/>
      <w:lvlText w:val="18.%1"/>
      <w:lvlJc w:val="left"/>
      <w:pPr>
        <w:ind w:left="720" w:hanging="360"/>
      </w:pPr>
      <w:rPr>
        <w:rFonts w:ascii="Arial" w:hAnsi="Arial" w:cs="Arial"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DAB7FC9"/>
    <w:multiLevelType w:val="multilevel"/>
    <w:tmpl w:val="1034E05E"/>
    <w:lvl w:ilvl="0">
      <w:start w:val="1"/>
      <w:numFmt w:val="decimal"/>
      <w:pStyle w:val="Chapter"/>
      <w:lvlText w:val="%1."/>
      <w:lvlJc w:val="left"/>
      <w:pPr>
        <w:tabs>
          <w:tab w:val="num" w:pos="3054"/>
        </w:tabs>
        <w:ind w:left="2406" w:firstLine="288"/>
      </w:pPr>
      <w:rPr>
        <w:rFonts w:hint="default"/>
        <w:b/>
        <w:i w:val="0"/>
      </w:rPr>
    </w:lvl>
    <w:lvl w:ilvl="1">
      <w:start w:val="1"/>
      <w:numFmt w:val="decimal"/>
      <w:pStyle w:val="Paragraph"/>
      <w:isLgl/>
      <w:lvlText w:val="%1.%2"/>
      <w:lvlJc w:val="left"/>
      <w:pPr>
        <w:tabs>
          <w:tab w:val="num" w:pos="8525"/>
        </w:tabs>
        <w:ind w:left="8525" w:hanging="1296"/>
      </w:pPr>
      <w:rPr>
        <w:rFonts w:ascii="Arial" w:hAnsi="Arial" w:cs="Arial" w:hint="default"/>
        <w:b w:val="0"/>
        <w:strike w:val="0"/>
        <w:color w:val="auto"/>
      </w:rPr>
    </w:lvl>
    <w:lvl w:ilvl="2">
      <w:start w:val="1"/>
      <w:numFmt w:val="lowerLetter"/>
      <w:pStyle w:val="subpar"/>
      <w:lvlText w:val="%3."/>
      <w:lvlJc w:val="left"/>
      <w:pPr>
        <w:tabs>
          <w:tab w:val="num" w:pos="4032"/>
        </w:tabs>
        <w:ind w:left="4032" w:hanging="432"/>
      </w:pPr>
      <w:rPr>
        <w:rFonts w:hint="default"/>
      </w:rPr>
    </w:lvl>
    <w:lvl w:ilvl="3">
      <w:start w:val="1"/>
      <w:numFmt w:val="lowerRoman"/>
      <w:pStyle w:val="SubSubPar"/>
      <w:lvlText w:val="%4."/>
      <w:lvlJc w:val="right"/>
      <w:pPr>
        <w:tabs>
          <w:tab w:val="num" w:pos="4464"/>
        </w:tabs>
        <w:ind w:left="4464" w:hanging="288"/>
      </w:pPr>
      <w:rPr>
        <w:rFonts w:hint="default"/>
      </w:rPr>
    </w:lvl>
    <w:lvl w:ilvl="4">
      <w:start w:val="1"/>
      <w:numFmt w:val="decimal"/>
      <w:lvlText w:val="%1.%2.%3.%4.%5"/>
      <w:lvlJc w:val="left"/>
      <w:pPr>
        <w:tabs>
          <w:tab w:val="num" w:pos="3888"/>
        </w:tabs>
        <w:ind w:left="3888" w:hanging="1008"/>
      </w:pPr>
      <w:rPr>
        <w:rFonts w:hint="default"/>
      </w:rPr>
    </w:lvl>
    <w:lvl w:ilvl="5">
      <w:start w:val="1"/>
      <w:numFmt w:val="decimal"/>
      <w:lvlText w:val="%1.%2.%3.%4.%5.%6"/>
      <w:lvlJc w:val="left"/>
      <w:pPr>
        <w:tabs>
          <w:tab w:val="num" w:pos="4032"/>
        </w:tabs>
        <w:ind w:left="4032" w:hanging="1152"/>
      </w:pPr>
      <w:rPr>
        <w:rFonts w:hint="default"/>
      </w:rPr>
    </w:lvl>
    <w:lvl w:ilvl="6">
      <w:start w:val="1"/>
      <w:numFmt w:val="decimal"/>
      <w:lvlText w:val="%1.%2.%3.%4.%5.%6.%7"/>
      <w:lvlJc w:val="left"/>
      <w:pPr>
        <w:tabs>
          <w:tab w:val="num" w:pos="4176"/>
        </w:tabs>
        <w:ind w:left="4176" w:hanging="1296"/>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4464"/>
        </w:tabs>
        <w:ind w:left="4464" w:hanging="1584"/>
      </w:pPr>
      <w:rPr>
        <w:rFonts w:hint="default"/>
      </w:rPr>
    </w:lvl>
  </w:abstractNum>
  <w:abstractNum w:abstractNumId="10" w15:restartNumberingAfterBreak="0">
    <w:nsid w:val="0E8A75DE"/>
    <w:multiLevelType w:val="hybridMultilevel"/>
    <w:tmpl w:val="540003C2"/>
    <w:lvl w:ilvl="0" w:tplc="8966A5E6">
      <w:start w:val="4"/>
      <w:numFmt w:val="decimal"/>
      <w:lvlText w:val="17.%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EA2064C"/>
    <w:multiLevelType w:val="hybridMultilevel"/>
    <w:tmpl w:val="6DF007FA"/>
    <w:lvl w:ilvl="0" w:tplc="080A0001">
      <w:start w:val="1"/>
      <w:numFmt w:val="bullet"/>
      <w:lvlText w:val=""/>
      <w:lvlJc w:val="left"/>
      <w:pPr>
        <w:ind w:left="1080" w:hanging="360"/>
      </w:pPr>
      <w:rPr>
        <w:rFonts w:ascii="Symbol" w:hAnsi="Symbol" w:hint="default"/>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102879B8"/>
    <w:multiLevelType w:val="hybridMultilevel"/>
    <w:tmpl w:val="0A2C9C56"/>
    <w:lvl w:ilvl="0" w:tplc="A00ED514">
      <w:start w:val="1"/>
      <w:numFmt w:val="decimal"/>
      <w:lvlText w:val="16.%1"/>
      <w:lvlJc w:val="lef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1616877"/>
    <w:multiLevelType w:val="hybridMultilevel"/>
    <w:tmpl w:val="F53E0B8E"/>
    <w:lvl w:ilvl="0" w:tplc="9F8EA186">
      <w:start w:val="2"/>
      <w:numFmt w:val="lowerLetter"/>
      <w:lvlText w:val="%1)"/>
      <w:lvlJc w:val="left"/>
      <w:pPr>
        <w:ind w:left="142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1E52CF4"/>
    <w:multiLevelType w:val="hybridMultilevel"/>
    <w:tmpl w:val="2FDED422"/>
    <w:lvl w:ilvl="0" w:tplc="0552539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2E22A03"/>
    <w:multiLevelType w:val="hybridMultilevel"/>
    <w:tmpl w:val="F1D88756"/>
    <w:lvl w:ilvl="0" w:tplc="C2305976">
      <w:start w:val="1"/>
      <w:numFmt w:val="decimal"/>
      <w:lvlText w:val="14.%1"/>
      <w:lvlJc w:val="left"/>
      <w:pPr>
        <w:ind w:left="786" w:hanging="360"/>
      </w:pPr>
      <w:rPr>
        <w:rFonts w:hint="default"/>
      </w:rPr>
    </w:lvl>
    <w:lvl w:ilvl="1" w:tplc="E370BDF2">
      <w:start w:val="1"/>
      <w:numFmt w:val="lowerLetter"/>
      <w:lvlText w:val="%2."/>
      <w:lvlJc w:val="left"/>
      <w:pPr>
        <w:ind w:left="1440" w:hanging="360"/>
      </w:pPr>
      <w:rPr>
        <w:rFonts w:hint="default"/>
      </w:rPr>
    </w:lvl>
    <w:lvl w:ilvl="2" w:tplc="080A0017">
      <w:start w:val="1"/>
      <w:numFmt w:val="lowerLetter"/>
      <w:lvlText w:val="%3)"/>
      <w:lvlJc w:val="lef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30C5F47"/>
    <w:multiLevelType w:val="hybridMultilevel"/>
    <w:tmpl w:val="268AD314"/>
    <w:lvl w:ilvl="0" w:tplc="932A4060">
      <w:start w:val="4"/>
      <w:numFmt w:val="decimal"/>
      <w:lvlText w:val="14.%1"/>
      <w:lvlJc w:val="left"/>
      <w:pPr>
        <w:ind w:left="6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3571FF2"/>
    <w:multiLevelType w:val="singleLevel"/>
    <w:tmpl w:val="830E591C"/>
    <w:lvl w:ilvl="0">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137B03AC"/>
    <w:multiLevelType w:val="hybridMultilevel"/>
    <w:tmpl w:val="9FDE74B8"/>
    <w:lvl w:ilvl="0" w:tplc="7F78B87C">
      <w:start w:val="1"/>
      <w:numFmt w:val="decimal"/>
      <w:lvlText w:val="8.%1"/>
      <w:lvlJc w:val="left"/>
      <w:pPr>
        <w:ind w:left="786"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3E43411"/>
    <w:multiLevelType w:val="hybridMultilevel"/>
    <w:tmpl w:val="C5AE22AA"/>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 w15:restartNumberingAfterBreak="0">
    <w:nsid w:val="1764009F"/>
    <w:multiLevelType w:val="hybridMultilevel"/>
    <w:tmpl w:val="F8C8BB96"/>
    <w:lvl w:ilvl="0" w:tplc="080A000F">
      <w:start w:val="1"/>
      <w:numFmt w:val="decimal"/>
      <w:lvlText w:val="%1."/>
      <w:lvlJc w:val="left"/>
      <w:pPr>
        <w:tabs>
          <w:tab w:val="num" w:pos="1353"/>
        </w:tabs>
        <w:ind w:left="1353"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18244EFC"/>
    <w:multiLevelType w:val="hybridMultilevel"/>
    <w:tmpl w:val="98F45444"/>
    <w:lvl w:ilvl="0" w:tplc="95EC2888">
      <w:start w:val="1"/>
      <w:numFmt w:val="decimal"/>
      <w:lvlText w:val="14.%1"/>
      <w:lvlJc w:val="lef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197B320B"/>
    <w:multiLevelType w:val="hybridMultilevel"/>
    <w:tmpl w:val="839209B6"/>
    <w:lvl w:ilvl="0" w:tplc="0C0A0001">
      <w:start w:val="1"/>
      <w:numFmt w:val="upperRoman"/>
      <w:pStyle w:val="TtulodePrrafo"/>
      <w:lvlText w:val="%1."/>
      <w:lvlJc w:val="left"/>
      <w:pPr>
        <w:tabs>
          <w:tab w:val="num" w:pos="720"/>
        </w:tabs>
        <w:ind w:left="397" w:hanging="397"/>
      </w:pPr>
      <w:rPr>
        <w:rFonts w:hint="default"/>
        <w:b/>
        <w:i w:val="0"/>
        <w:color w:val="auto"/>
        <w:sz w:val="24"/>
      </w:rPr>
    </w:lvl>
    <w:lvl w:ilvl="1" w:tplc="0C0A0003">
      <w:start w:val="5"/>
      <w:numFmt w:val="bullet"/>
      <w:lvlText w:val="-"/>
      <w:lvlJc w:val="left"/>
      <w:pPr>
        <w:tabs>
          <w:tab w:val="num" w:pos="1440"/>
        </w:tabs>
        <w:ind w:left="1440" w:hanging="360"/>
      </w:pPr>
      <w:rPr>
        <w:rFonts w:ascii="Arial" w:eastAsia="Times New Roman" w:hAnsi="Arial" w:cs="Arial" w:hint="default"/>
      </w:r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23" w15:restartNumberingAfterBreak="0">
    <w:nsid w:val="19DA6484"/>
    <w:multiLevelType w:val="hybridMultilevel"/>
    <w:tmpl w:val="EEDAEB28"/>
    <w:lvl w:ilvl="0" w:tplc="9176E364">
      <w:start w:val="7"/>
      <w:numFmt w:val="decimal"/>
      <w:lvlText w:val="15.%1"/>
      <w:lvlJc w:val="left"/>
      <w:pPr>
        <w:ind w:left="36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1D690C79"/>
    <w:multiLevelType w:val="hybridMultilevel"/>
    <w:tmpl w:val="F26A6090"/>
    <w:lvl w:ilvl="0" w:tplc="C2305976">
      <w:start w:val="15"/>
      <w:numFmt w:val="decimal"/>
      <w:lvlText w:val="%1."/>
      <w:lvlJc w:val="left"/>
      <w:pPr>
        <w:ind w:left="3054" w:hanging="360"/>
      </w:pPr>
      <w:rPr>
        <w:rFonts w:hint="default"/>
      </w:rPr>
    </w:lvl>
    <w:lvl w:ilvl="1" w:tplc="591AC458">
      <w:start w:val="1"/>
      <w:numFmt w:val="decimal"/>
      <w:lvlText w:val="20.%2"/>
      <w:lvlJc w:val="left"/>
      <w:pPr>
        <w:ind w:left="644" w:hanging="360"/>
      </w:pPr>
      <w:rPr>
        <w:rFonts w:hint="default"/>
      </w:rPr>
    </w:lvl>
    <w:lvl w:ilvl="2" w:tplc="080A001B" w:tentative="1">
      <w:start w:val="1"/>
      <w:numFmt w:val="lowerRoman"/>
      <w:lvlText w:val="%3."/>
      <w:lvlJc w:val="right"/>
      <w:pPr>
        <w:ind w:left="4494" w:hanging="180"/>
      </w:pPr>
    </w:lvl>
    <w:lvl w:ilvl="3" w:tplc="080A000F" w:tentative="1">
      <w:start w:val="1"/>
      <w:numFmt w:val="decimal"/>
      <w:lvlText w:val="%4."/>
      <w:lvlJc w:val="left"/>
      <w:pPr>
        <w:ind w:left="5214" w:hanging="360"/>
      </w:pPr>
    </w:lvl>
    <w:lvl w:ilvl="4" w:tplc="080A0019" w:tentative="1">
      <w:start w:val="1"/>
      <w:numFmt w:val="lowerLetter"/>
      <w:lvlText w:val="%5."/>
      <w:lvlJc w:val="left"/>
      <w:pPr>
        <w:ind w:left="5934" w:hanging="360"/>
      </w:pPr>
    </w:lvl>
    <w:lvl w:ilvl="5" w:tplc="080A001B" w:tentative="1">
      <w:start w:val="1"/>
      <w:numFmt w:val="lowerRoman"/>
      <w:lvlText w:val="%6."/>
      <w:lvlJc w:val="right"/>
      <w:pPr>
        <w:ind w:left="6654" w:hanging="180"/>
      </w:pPr>
    </w:lvl>
    <w:lvl w:ilvl="6" w:tplc="080A000F" w:tentative="1">
      <w:start w:val="1"/>
      <w:numFmt w:val="decimal"/>
      <w:lvlText w:val="%7."/>
      <w:lvlJc w:val="left"/>
      <w:pPr>
        <w:ind w:left="7374" w:hanging="360"/>
      </w:pPr>
    </w:lvl>
    <w:lvl w:ilvl="7" w:tplc="080A0019" w:tentative="1">
      <w:start w:val="1"/>
      <w:numFmt w:val="lowerLetter"/>
      <w:lvlText w:val="%8."/>
      <w:lvlJc w:val="left"/>
      <w:pPr>
        <w:ind w:left="8094" w:hanging="360"/>
      </w:pPr>
    </w:lvl>
    <w:lvl w:ilvl="8" w:tplc="080A001B" w:tentative="1">
      <w:start w:val="1"/>
      <w:numFmt w:val="lowerRoman"/>
      <w:lvlText w:val="%9."/>
      <w:lvlJc w:val="right"/>
      <w:pPr>
        <w:ind w:left="8814" w:hanging="180"/>
      </w:pPr>
    </w:lvl>
  </w:abstractNum>
  <w:abstractNum w:abstractNumId="25" w15:restartNumberingAfterBreak="0">
    <w:nsid w:val="222357B9"/>
    <w:multiLevelType w:val="hybridMultilevel"/>
    <w:tmpl w:val="46742B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3721605"/>
    <w:multiLevelType w:val="hybridMultilevel"/>
    <w:tmpl w:val="F10CF1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6F348C"/>
    <w:multiLevelType w:val="hybridMultilevel"/>
    <w:tmpl w:val="30EE7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055042"/>
    <w:multiLevelType w:val="multilevel"/>
    <w:tmpl w:val="5F582BA4"/>
    <w:lvl w:ilvl="0">
      <w:start w:val="1"/>
      <w:numFmt w:val="none"/>
      <w:lvlRestart w:val="0"/>
      <w:suff w:val="nothing"/>
      <w:lvlText w:val=""/>
      <w:lvlJc w:val="left"/>
      <w:pPr>
        <w:ind w:left="5686" w:hanging="720"/>
      </w:pPr>
    </w:lvl>
    <w:lvl w:ilvl="1">
      <w:start w:val="1"/>
      <w:numFmt w:val="decimal"/>
      <w:lvlText w:val="%2."/>
      <w:lvlJc w:val="left"/>
      <w:pPr>
        <w:tabs>
          <w:tab w:val="num" w:pos="6262"/>
        </w:tabs>
        <w:ind w:left="6262" w:hanging="576"/>
      </w:pPr>
      <w:rPr>
        <w:b/>
      </w:rPr>
    </w:lvl>
    <w:lvl w:ilvl="2">
      <w:start w:val="1"/>
      <w:numFmt w:val="lowerLetter"/>
      <w:lvlText w:val="%3)"/>
      <w:lvlJc w:val="left"/>
      <w:pPr>
        <w:tabs>
          <w:tab w:val="num" w:pos="6838"/>
        </w:tabs>
        <w:ind w:left="6838" w:hanging="576"/>
      </w:pPr>
      <w:rPr>
        <w:b/>
      </w:rPr>
    </w:lvl>
    <w:lvl w:ilvl="3">
      <w:start w:val="1"/>
      <w:numFmt w:val="lowerRoman"/>
      <w:lvlText w:val="(%4)"/>
      <w:lvlJc w:val="right"/>
      <w:pPr>
        <w:tabs>
          <w:tab w:val="num" w:pos="7342"/>
        </w:tabs>
        <w:ind w:left="7342" w:hanging="288"/>
      </w:pPr>
      <w:rPr>
        <w:b/>
      </w:rPr>
    </w:lvl>
    <w:lvl w:ilvl="4">
      <w:start w:val="1"/>
      <w:numFmt w:val="decimal"/>
      <w:lvlText w:val="%5)"/>
      <w:lvlJc w:val="left"/>
      <w:pPr>
        <w:tabs>
          <w:tab w:val="num" w:pos="5974"/>
        </w:tabs>
        <w:ind w:left="5974" w:hanging="432"/>
      </w:pPr>
    </w:lvl>
    <w:lvl w:ilvl="5">
      <w:start w:val="1"/>
      <w:numFmt w:val="lowerLetter"/>
      <w:lvlText w:val="%6)"/>
      <w:lvlJc w:val="left"/>
      <w:pPr>
        <w:tabs>
          <w:tab w:val="num" w:pos="6118"/>
        </w:tabs>
        <w:ind w:left="6118" w:hanging="432"/>
      </w:pPr>
    </w:lvl>
    <w:lvl w:ilvl="6">
      <w:start w:val="1"/>
      <w:numFmt w:val="lowerRoman"/>
      <w:lvlText w:val="%7)"/>
      <w:lvlJc w:val="right"/>
      <w:pPr>
        <w:tabs>
          <w:tab w:val="num" w:pos="6262"/>
        </w:tabs>
        <w:ind w:left="6262" w:hanging="288"/>
      </w:pPr>
    </w:lvl>
    <w:lvl w:ilvl="7">
      <w:start w:val="1"/>
      <w:numFmt w:val="lowerLetter"/>
      <w:lvlText w:val="%8."/>
      <w:lvlJc w:val="left"/>
      <w:pPr>
        <w:tabs>
          <w:tab w:val="num" w:pos="6406"/>
        </w:tabs>
        <w:ind w:left="6406" w:hanging="432"/>
      </w:pPr>
    </w:lvl>
    <w:lvl w:ilvl="8">
      <w:start w:val="1"/>
      <w:numFmt w:val="lowerRoman"/>
      <w:lvlText w:val="%9."/>
      <w:lvlJc w:val="right"/>
      <w:pPr>
        <w:tabs>
          <w:tab w:val="num" w:pos="6550"/>
        </w:tabs>
        <w:ind w:left="6550" w:hanging="144"/>
      </w:pPr>
    </w:lvl>
  </w:abstractNum>
  <w:abstractNum w:abstractNumId="29" w15:restartNumberingAfterBreak="0">
    <w:nsid w:val="2EC32BD9"/>
    <w:multiLevelType w:val="multilevel"/>
    <w:tmpl w:val="F10C16E8"/>
    <w:lvl w:ilvl="0">
      <w:start w:val="1"/>
      <w:numFmt w:val="decimal"/>
      <w:lvlText w:val="%1."/>
      <w:lvlJc w:val="left"/>
      <w:pPr>
        <w:tabs>
          <w:tab w:val="num" w:pos="360"/>
        </w:tabs>
        <w:ind w:left="360" w:hanging="360"/>
      </w:pPr>
      <w:rPr>
        <w:rFonts w:ascii="Times New Roman" w:hAnsi="Times New Roman" w:cs="Times New Roman" w:hint="default"/>
        <w:b w:val="0"/>
        <w:sz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09343CB"/>
    <w:multiLevelType w:val="hybridMultilevel"/>
    <w:tmpl w:val="C0D2C958"/>
    <w:lvl w:ilvl="0" w:tplc="F9EA342A">
      <w:start w:val="1"/>
      <w:numFmt w:val="decimal"/>
      <w:lvlText w:val="13.%1"/>
      <w:lvlJc w:val="lef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31304B30"/>
    <w:multiLevelType w:val="hybridMultilevel"/>
    <w:tmpl w:val="0B82F89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31D61F94"/>
    <w:multiLevelType w:val="multilevel"/>
    <w:tmpl w:val="4C724800"/>
    <w:lvl w:ilvl="0">
      <w:start w:val="1"/>
      <w:numFmt w:val="bullet"/>
      <w:pStyle w:val="JVK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2011703"/>
    <w:multiLevelType w:val="hybridMultilevel"/>
    <w:tmpl w:val="017C5F2C"/>
    <w:lvl w:ilvl="0" w:tplc="0A0EF4E6">
      <w:start w:val="1"/>
      <w:numFmt w:val="decimal"/>
      <w:lvlText w:val="3.%1"/>
      <w:lvlJc w:val="left"/>
      <w:pPr>
        <w:ind w:left="5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337262BC"/>
    <w:multiLevelType w:val="hybridMultilevel"/>
    <w:tmpl w:val="180031D8"/>
    <w:lvl w:ilvl="0" w:tplc="99002416">
      <w:start w:val="1"/>
      <w:numFmt w:val="lowerRoman"/>
      <w:pStyle w:val="Romanos2"/>
      <w:lvlText w:val="%1."/>
      <w:lvlJc w:val="left"/>
      <w:pPr>
        <w:ind w:left="720" w:hanging="360"/>
      </w:pPr>
      <w:rPr>
        <w:rFonts w:hint="default"/>
      </w:rPr>
    </w:lvl>
    <w:lvl w:ilvl="1" w:tplc="080A0019" w:tentative="1">
      <w:start w:val="1"/>
      <w:numFmt w:val="lowerLetter"/>
      <w:lvlText w:val="%2."/>
      <w:lvlJc w:val="left"/>
      <w:pPr>
        <w:ind w:left="1440" w:hanging="360"/>
      </w:pPr>
    </w:lvl>
    <w:lvl w:ilvl="2" w:tplc="72D84F28">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3430501E"/>
    <w:multiLevelType w:val="hybridMultilevel"/>
    <w:tmpl w:val="1CCE74FC"/>
    <w:lvl w:ilvl="0" w:tplc="C060CD2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9B4991"/>
    <w:multiLevelType w:val="multilevel"/>
    <w:tmpl w:val="CFACA586"/>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1296"/>
        </w:tabs>
        <w:ind w:left="1296"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37" w15:restartNumberingAfterBreak="0">
    <w:nsid w:val="35B8026F"/>
    <w:multiLevelType w:val="hybridMultilevel"/>
    <w:tmpl w:val="1D742B7E"/>
    <w:lvl w:ilvl="0" w:tplc="BB4027E8">
      <w:start w:val="1"/>
      <w:numFmt w:val="decimal"/>
      <w:lvlText w:val="11.%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8CF1C8E"/>
    <w:multiLevelType w:val="hybridMultilevel"/>
    <w:tmpl w:val="3BF48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ADE146C"/>
    <w:multiLevelType w:val="hybridMultilevel"/>
    <w:tmpl w:val="49CEC698"/>
    <w:lvl w:ilvl="0" w:tplc="C060CD22">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0" w15:restartNumberingAfterBreak="0">
    <w:nsid w:val="3AFA59BA"/>
    <w:multiLevelType w:val="hybridMultilevel"/>
    <w:tmpl w:val="F1607038"/>
    <w:lvl w:ilvl="0" w:tplc="080A000F">
      <w:start w:val="1"/>
      <w:numFmt w:val="decimal"/>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41" w15:restartNumberingAfterBreak="0">
    <w:nsid w:val="3CDF0234"/>
    <w:multiLevelType w:val="hybridMultilevel"/>
    <w:tmpl w:val="8FF2B43E"/>
    <w:lvl w:ilvl="0" w:tplc="4B34799A">
      <w:start w:val="1"/>
      <w:numFmt w:val="decimal"/>
      <w:lvlText w:val="12.%1"/>
      <w:lvlJc w:val="left"/>
      <w:pPr>
        <w:ind w:left="377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FEB49DB"/>
    <w:multiLevelType w:val="hybridMultilevel"/>
    <w:tmpl w:val="537C3EDA"/>
    <w:lvl w:ilvl="0" w:tplc="10FE4E5C">
      <w:start w:val="1"/>
      <w:numFmt w:val="lowerLetter"/>
      <w:lvlText w:val="%1)"/>
      <w:lvlJc w:val="left"/>
      <w:pPr>
        <w:tabs>
          <w:tab w:val="num" w:pos="720"/>
        </w:tabs>
        <w:ind w:left="720" w:hanging="360"/>
      </w:pPr>
    </w:lvl>
    <w:lvl w:ilvl="1" w:tplc="73D2DAF2">
      <w:start w:val="1"/>
      <w:numFmt w:val="lowerLetter"/>
      <w:lvlText w:val="%2."/>
      <w:lvlJc w:val="left"/>
      <w:pPr>
        <w:tabs>
          <w:tab w:val="num" w:pos="1440"/>
        </w:tabs>
        <w:ind w:left="1440" w:hanging="360"/>
      </w:pPr>
    </w:lvl>
    <w:lvl w:ilvl="2" w:tplc="F2788A26">
      <w:start w:val="1"/>
      <w:numFmt w:val="lowerRoman"/>
      <w:lvlText w:val="%3."/>
      <w:lvlJc w:val="right"/>
      <w:pPr>
        <w:tabs>
          <w:tab w:val="num" w:pos="2160"/>
        </w:tabs>
        <w:ind w:left="2160" w:hanging="180"/>
      </w:pPr>
    </w:lvl>
    <w:lvl w:ilvl="3" w:tplc="4B50D396" w:tentative="1">
      <w:start w:val="1"/>
      <w:numFmt w:val="decimal"/>
      <w:lvlText w:val="%4."/>
      <w:lvlJc w:val="left"/>
      <w:pPr>
        <w:tabs>
          <w:tab w:val="num" w:pos="2880"/>
        </w:tabs>
        <w:ind w:left="2880" w:hanging="360"/>
      </w:pPr>
    </w:lvl>
    <w:lvl w:ilvl="4" w:tplc="AEEE58A8" w:tentative="1">
      <w:start w:val="1"/>
      <w:numFmt w:val="lowerLetter"/>
      <w:lvlText w:val="%5."/>
      <w:lvlJc w:val="left"/>
      <w:pPr>
        <w:tabs>
          <w:tab w:val="num" w:pos="3600"/>
        </w:tabs>
        <w:ind w:left="3600" w:hanging="360"/>
      </w:pPr>
    </w:lvl>
    <w:lvl w:ilvl="5" w:tplc="92B26504" w:tentative="1">
      <w:start w:val="1"/>
      <w:numFmt w:val="lowerRoman"/>
      <w:lvlText w:val="%6."/>
      <w:lvlJc w:val="right"/>
      <w:pPr>
        <w:tabs>
          <w:tab w:val="num" w:pos="4320"/>
        </w:tabs>
        <w:ind w:left="4320" w:hanging="180"/>
      </w:pPr>
    </w:lvl>
    <w:lvl w:ilvl="6" w:tplc="C3FC3FF6" w:tentative="1">
      <w:start w:val="1"/>
      <w:numFmt w:val="decimal"/>
      <w:lvlText w:val="%7."/>
      <w:lvlJc w:val="left"/>
      <w:pPr>
        <w:tabs>
          <w:tab w:val="num" w:pos="5040"/>
        </w:tabs>
        <w:ind w:left="5040" w:hanging="360"/>
      </w:pPr>
    </w:lvl>
    <w:lvl w:ilvl="7" w:tplc="4680F598" w:tentative="1">
      <w:start w:val="1"/>
      <w:numFmt w:val="lowerLetter"/>
      <w:lvlText w:val="%8."/>
      <w:lvlJc w:val="left"/>
      <w:pPr>
        <w:tabs>
          <w:tab w:val="num" w:pos="5760"/>
        </w:tabs>
        <w:ind w:left="5760" w:hanging="360"/>
      </w:pPr>
    </w:lvl>
    <w:lvl w:ilvl="8" w:tplc="6FD483EC" w:tentative="1">
      <w:start w:val="1"/>
      <w:numFmt w:val="lowerRoman"/>
      <w:lvlText w:val="%9."/>
      <w:lvlJc w:val="right"/>
      <w:pPr>
        <w:tabs>
          <w:tab w:val="num" w:pos="6480"/>
        </w:tabs>
        <w:ind w:left="6480" w:hanging="180"/>
      </w:pPr>
    </w:lvl>
  </w:abstractNum>
  <w:abstractNum w:abstractNumId="43" w15:restartNumberingAfterBreak="0">
    <w:nsid w:val="429C2FB8"/>
    <w:multiLevelType w:val="hybridMultilevel"/>
    <w:tmpl w:val="93F6BA68"/>
    <w:lvl w:ilvl="0" w:tplc="4782AF1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42C24F26"/>
    <w:multiLevelType w:val="hybridMultilevel"/>
    <w:tmpl w:val="F67CA8A6"/>
    <w:lvl w:ilvl="0" w:tplc="8C7C0A5E">
      <w:start w:val="1"/>
      <w:numFmt w:val="decimal"/>
      <w:lvlText w:val="15.%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35C6246"/>
    <w:multiLevelType w:val="multilevel"/>
    <w:tmpl w:val="BBD8FE1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580"/>
        </w:tabs>
        <w:ind w:left="1580" w:hanging="1296"/>
      </w:pPr>
      <w:rPr>
        <w:rFonts w:ascii="Arial" w:hAnsi="Arial" w:cs="Arial" w:hint="default"/>
        <w:strike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tabs>
          <w:tab w:val="num" w:pos="2160"/>
        </w:tabs>
        <w:ind w:left="2160" w:hanging="1008"/>
      </w:pPr>
    </w:lvl>
    <w:lvl w:ilvl="5">
      <w:start w:val="1"/>
      <w:numFmt w:val="decimal"/>
      <w:lvlText w:val="%1.%2.%3.%4.%5.%6"/>
      <w:lvlJc w:val="left"/>
      <w:pPr>
        <w:tabs>
          <w:tab w:val="num" w:pos="2304"/>
        </w:tabs>
        <w:ind w:left="2304" w:hanging="1152"/>
      </w:pPr>
    </w:lvl>
    <w:lvl w:ilvl="6">
      <w:start w:val="1"/>
      <w:numFmt w:val="decimal"/>
      <w:lvlText w:val="%1.%2.%3.%4.%5.%6.%7"/>
      <w:lvlJc w:val="left"/>
      <w:pPr>
        <w:tabs>
          <w:tab w:val="num" w:pos="2448"/>
        </w:tabs>
        <w:ind w:left="2448" w:hanging="1296"/>
      </w:pPr>
    </w:lvl>
    <w:lvl w:ilvl="7">
      <w:start w:val="1"/>
      <w:numFmt w:val="decimal"/>
      <w:lvlText w:val="%1.%2.%3.%4.%5.%6.%7.%8"/>
      <w:lvlJc w:val="left"/>
      <w:pPr>
        <w:tabs>
          <w:tab w:val="num" w:pos="2592"/>
        </w:tabs>
        <w:ind w:left="2592" w:hanging="1440"/>
      </w:pPr>
    </w:lvl>
    <w:lvl w:ilvl="8">
      <w:start w:val="1"/>
      <w:numFmt w:val="decimal"/>
      <w:lvlText w:val="%1.%2.%3.%4.%5.%6.%7.%8.%9"/>
      <w:lvlJc w:val="left"/>
      <w:pPr>
        <w:tabs>
          <w:tab w:val="num" w:pos="2736"/>
        </w:tabs>
        <w:ind w:left="2736" w:hanging="1584"/>
      </w:pPr>
    </w:lvl>
  </w:abstractNum>
  <w:abstractNum w:abstractNumId="46" w15:restartNumberingAfterBreak="0">
    <w:nsid w:val="43641816"/>
    <w:multiLevelType w:val="hybridMultilevel"/>
    <w:tmpl w:val="F796F50A"/>
    <w:lvl w:ilvl="0" w:tplc="2E98F1D4">
      <w:start w:val="1"/>
      <w:numFmt w:val="decimal"/>
      <w:lvlText w:val="19.%1"/>
      <w:lvlJc w:val="left"/>
      <w:pPr>
        <w:ind w:left="502"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7124D03"/>
    <w:multiLevelType w:val="hybridMultilevel"/>
    <w:tmpl w:val="BE847C64"/>
    <w:lvl w:ilvl="0" w:tplc="A5C29618">
      <w:start w:val="1"/>
      <w:numFmt w:val="decimal"/>
      <w:lvlText w:val="10.%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475B3203"/>
    <w:multiLevelType w:val="multilevel"/>
    <w:tmpl w:val="6096DEFC"/>
    <w:name w:val="AOBullet2"/>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49" w15:restartNumberingAfterBreak="0">
    <w:nsid w:val="4A6E2EB5"/>
    <w:multiLevelType w:val="hybridMultilevel"/>
    <w:tmpl w:val="308A975A"/>
    <w:lvl w:ilvl="0" w:tplc="6D783538">
      <w:start w:val="1"/>
      <w:numFmt w:val="bullet"/>
      <w:lvlText w:val=""/>
      <w:lvlJc w:val="left"/>
      <w:pPr>
        <w:ind w:left="1080" w:hanging="360"/>
      </w:pPr>
      <w:rPr>
        <w:rFonts w:ascii="Symbol" w:hAnsi="Symbol" w:hint="default"/>
        <w:color w:val="auto"/>
      </w:rPr>
    </w:lvl>
    <w:lvl w:ilvl="1" w:tplc="147A0FCE" w:tentative="1">
      <w:start w:val="1"/>
      <w:numFmt w:val="bullet"/>
      <w:lvlText w:val="o"/>
      <w:lvlJc w:val="left"/>
      <w:pPr>
        <w:ind w:left="1800" w:hanging="360"/>
      </w:pPr>
      <w:rPr>
        <w:rFonts w:ascii="Courier New" w:hAnsi="Courier New" w:cs="Courier New" w:hint="default"/>
      </w:rPr>
    </w:lvl>
    <w:lvl w:ilvl="2" w:tplc="C99E5D9E" w:tentative="1">
      <w:start w:val="1"/>
      <w:numFmt w:val="bullet"/>
      <w:lvlText w:val=""/>
      <w:lvlJc w:val="left"/>
      <w:pPr>
        <w:ind w:left="2520" w:hanging="360"/>
      </w:pPr>
      <w:rPr>
        <w:rFonts w:ascii="Wingdings" w:hAnsi="Wingdings" w:hint="default"/>
      </w:rPr>
    </w:lvl>
    <w:lvl w:ilvl="3" w:tplc="FBF0D394" w:tentative="1">
      <w:start w:val="1"/>
      <w:numFmt w:val="bullet"/>
      <w:lvlText w:val=""/>
      <w:lvlJc w:val="left"/>
      <w:pPr>
        <w:ind w:left="3240" w:hanging="360"/>
      </w:pPr>
      <w:rPr>
        <w:rFonts w:ascii="Symbol" w:hAnsi="Symbol" w:hint="default"/>
      </w:rPr>
    </w:lvl>
    <w:lvl w:ilvl="4" w:tplc="6B727E58" w:tentative="1">
      <w:start w:val="1"/>
      <w:numFmt w:val="bullet"/>
      <w:lvlText w:val="o"/>
      <w:lvlJc w:val="left"/>
      <w:pPr>
        <w:ind w:left="3960" w:hanging="360"/>
      </w:pPr>
      <w:rPr>
        <w:rFonts w:ascii="Courier New" w:hAnsi="Courier New" w:cs="Courier New" w:hint="default"/>
      </w:rPr>
    </w:lvl>
    <w:lvl w:ilvl="5" w:tplc="76B68A78" w:tentative="1">
      <w:start w:val="1"/>
      <w:numFmt w:val="bullet"/>
      <w:lvlText w:val=""/>
      <w:lvlJc w:val="left"/>
      <w:pPr>
        <w:ind w:left="4680" w:hanging="360"/>
      </w:pPr>
      <w:rPr>
        <w:rFonts w:ascii="Wingdings" w:hAnsi="Wingdings" w:hint="default"/>
      </w:rPr>
    </w:lvl>
    <w:lvl w:ilvl="6" w:tplc="A978FB48" w:tentative="1">
      <w:start w:val="1"/>
      <w:numFmt w:val="bullet"/>
      <w:lvlText w:val=""/>
      <w:lvlJc w:val="left"/>
      <w:pPr>
        <w:ind w:left="5400" w:hanging="360"/>
      </w:pPr>
      <w:rPr>
        <w:rFonts w:ascii="Symbol" w:hAnsi="Symbol" w:hint="default"/>
      </w:rPr>
    </w:lvl>
    <w:lvl w:ilvl="7" w:tplc="874A838A" w:tentative="1">
      <w:start w:val="1"/>
      <w:numFmt w:val="bullet"/>
      <w:lvlText w:val="o"/>
      <w:lvlJc w:val="left"/>
      <w:pPr>
        <w:ind w:left="6120" w:hanging="360"/>
      </w:pPr>
      <w:rPr>
        <w:rFonts w:ascii="Courier New" w:hAnsi="Courier New" w:cs="Courier New" w:hint="default"/>
      </w:rPr>
    </w:lvl>
    <w:lvl w:ilvl="8" w:tplc="E42E67E0" w:tentative="1">
      <w:start w:val="1"/>
      <w:numFmt w:val="bullet"/>
      <w:lvlText w:val=""/>
      <w:lvlJc w:val="left"/>
      <w:pPr>
        <w:ind w:left="6840" w:hanging="360"/>
      </w:pPr>
      <w:rPr>
        <w:rFonts w:ascii="Wingdings" w:hAnsi="Wingdings" w:hint="default"/>
      </w:rPr>
    </w:lvl>
  </w:abstractNum>
  <w:abstractNum w:abstractNumId="50" w15:restartNumberingAfterBreak="0">
    <w:nsid w:val="4D2C4E72"/>
    <w:multiLevelType w:val="hybridMultilevel"/>
    <w:tmpl w:val="71CE7EB2"/>
    <w:lvl w:ilvl="0" w:tplc="3852272E">
      <w:start w:val="1"/>
      <w:numFmt w:val="bullet"/>
      <w:pStyle w:val="vietacuadrada"/>
      <w:lvlText w:val=""/>
      <w:lvlJc w:val="left"/>
      <w:pPr>
        <w:tabs>
          <w:tab w:val="num" w:pos="720"/>
        </w:tabs>
        <w:ind w:left="720" w:hanging="360"/>
      </w:pPr>
      <w:rPr>
        <w:rFonts w:ascii="Wingdings" w:hAnsi="Wingdings" w:hint="default"/>
        <w:color w:val="808080"/>
      </w:rPr>
    </w:lvl>
    <w:lvl w:ilvl="1" w:tplc="62360BF8" w:tentative="1">
      <w:start w:val="1"/>
      <w:numFmt w:val="bullet"/>
      <w:lvlText w:val="o"/>
      <w:lvlJc w:val="left"/>
      <w:pPr>
        <w:tabs>
          <w:tab w:val="num" w:pos="1440"/>
        </w:tabs>
        <w:ind w:left="1440" w:hanging="360"/>
      </w:pPr>
      <w:rPr>
        <w:rFonts w:ascii="Courier New" w:hAnsi="Courier New" w:hint="default"/>
      </w:rPr>
    </w:lvl>
    <w:lvl w:ilvl="2" w:tplc="89B8FA56" w:tentative="1">
      <w:start w:val="1"/>
      <w:numFmt w:val="bullet"/>
      <w:lvlText w:val=""/>
      <w:lvlJc w:val="left"/>
      <w:pPr>
        <w:tabs>
          <w:tab w:val="num" w:pos="2160"/>
        </w:tabs>
        <w:ind w:left="2160" w:hanging="360"/>
      </w:pPr>
      <w:rPr>
        <w:rFonts w:ascii="Wingdings" w:hAnsi="Wingdings" w:hint="default"/>
      </w:rPr>
    </w:lvl>
    <w:lvl w:ilvl="3" w:tplc="3E5A585E" w:tentative="1">
      <w:start w:val="1"/>
      <w:numFmt w:val="bullet"/>
      <w:lvlText w:val=""/>
      <w:lvlJc w:val="left"/>
      <w:pPr>
        <w:tabs>
          <w:tab w:val="num" w:pos="2880"/>
        </w:tabs>
        <w:ind w:left="2880" w:hanging="360"/>
      </w:pPr>
      <w:rPr>
        <w:rFonts w:ascii="Symbol" w:hAnsi="Symbol" w:hint="default"/>
      </w:rPr>
    </w:lvl>
    <w:lvl w:ilvl="4" w:tplc="66FAFAF0" w:tentative="1">
      <w:start w:val="1"/>
      <w:numFmt w:val="bullet"/>
      <w:lvlText w:val="o"/>
      <w:lvlJc w:val="left"/>
      <w:pPr>
        <w:tabs>
          <w:tab w:val="num" w:pos="3600"/>
        </w:tabs>
        <w:ind w:left="3600" w:hanging="360"/>
      </w:pPr>
      <w:rPr>
        <w:rFonts w:ascii="Courier New" w:hAnsi="Courier New" w:hint="default"/>
      </w:rPr>
    </w:lvl>
    <w:lvl w:ilvl="5" w:tplc="72406EAC" w:tentative="1">
      <w:start w:val="1"/>
      <w:numFmt w:val="bullet"/>
      <w:lvlText w:val=""/>
      <w:lvlJc w:val="left"/>
      <w:pPr>
        <w:tabs>
          <w:tab w:val="num" w:pos="4320"/>
        </w:tabs>
        <w:ind w:left="4320" w:hanging="360"/>
      </w:pPr>
      <w:rPr>
        <w:rFonts w:ascii="Wingdings" w:hAnsi="Wingdings" w:hint="default"/>
      </w:rPr>
    </w:lvl>
    <w:lvl w:ilvl="6" w:tplc="16DC7A94" w:tentative="1">
      <w:start w:val="1"/>
      <w:numFmt w:val="bullet"/>
      <w:lvlText w:val=""/>
      <w:lvlJc w:val="left"/>
      <w:pPr>
        <w:tabs>
          <w:tab w:val="num" w:pos="5040"/>
        </w:tabs>
        <w:ind w:left="5040" w:hanging="360"/>
      </w:pPr>
      <w:rPr>
        <w:rFonts w:ascii="Symbol" w:hAnsi="Symbol" w:hint="default"/>
      </w:rPr>
    </w:lvl>
    <w:lvl w:ilvl="7" w:tplc="E99A5402" w:tentative="1">
      <w:start w:val="1"/>
      <w:numFmt w:val="bullet"/>
      <w:lvlText w:val="o"/>
      <w:lvlJc w:val="left"/>
      <w:pPr>
        <w:tabs>
          <w:tab w:val="num" w:pos="5760"/>
        </w:tabs>
        <w:ind w:left="5760" w:hanging="360"/>
      </w:pPr>
      <w:rPr>
        <w:rFonts w:ascii="Courier New" w:hAnsi="Courier New" w:hint="default"/>
      </w:rPr>
    </w:lvl>
    <w:lvl w:ilvl="8" w:tplc="61045CD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1736661"/>
    <w:multiLevelType w:val="hybridMultilevel"/>
    <w:tmpl w:val="C434976C"/>
    <w:lvl w:ilvl="0" w:tplc="426A5A5A">
      <w:start w:val="1"/>
      <w:numFmt w:val="decimal"/>
      <w:lvlText w:val="%16"/>
      <w:lvlJc w:val="left"/>
      <w:pPr>
        <w:ind w:left="5378" w:hanging="36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51C668F5"/>
    <w:multiLevelType w:val="hybridMultilevel"/>
    <w:tmpl w:val="8B48C22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15:restartNumberingAfterBreak="0">
    <w:nsid w:val="5ED13BF5"/>
    <w:multiLevelType w:val="hybridMultilevel"/>
    <w:tmpl w:val="D248A1E6"/>
    <w:lvl w:ilvl="0" w:tplc="1E481C32">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63F87D2F"/>
    <w:multiLevelType w:val="hybridMultilevel"/>
    <w:tmpl w:val="21922A1C"/>
    <w:lvl w:ilvl="0" w:tplc="C92C45C8">
      <w:start w:val="1"/>
      <w:numFmt w:val="lowerLetter"/>
      <w:lvlText w:val="%1)"/>
      <w:lvlJc w:val="left"/>
      <w:pPr>
        <w:ind w:left="1796" w:hanging="360"/>
      </w:pPr>
      <w:rPr>
        <w:rFonts w:hint="default"/>
      </w:rPr>
    </w:lvl>
    <w:lvl w:ilvl="1" w:tplc="080A0019" w:tentative="1">
      <w:start w:val="1"/>
      <w:numFmt w:val="lowerLetter"/>
      <w:lvlText w:val="%2."/>
      <w:lvlJc w:val="left"/>
      <w:pPr>
        <w:ind w:left="2516" w:hanging="360"/>
      </w:pPr>
    </w:lvl>
    <w:lvl w:ilvl="2" w:tplc="080A001B" w:tentative="1">
      <w:start w:val="1"/>
      <w:numFmt w:val="lowerRoman"/>
      <w:lvlText w:val="%3."/>
      <w:lvlJc w:val="right"/>
      <w:pPr>
        <w:ind w:left="3236" w:hanging="180"/>
      </w:pPr>
    </w:lvl>
    <w:lvl w:ilvl="3" w:tplc="080A000F">
      <w:start w:val="1"/>
      <w:numFmt w:val="decimal"/>
      <w:lvlText w:val="%4."/>
      <w:lvlJc w:val="left"/>
      <w:pPr>
        <w:ind w:left="3956" w:hanging="360"/>
      </w:pPr>
    </w:lvl>
    <w:lvl w:ilvl="4" w:tplc="080A0019" w:tentative="1">
      <w:start w:val="1"/>
      <w:numFmt w:val="lowerLetter"/>
      <w:lvlText w:val="%5."/>
      <w:lvlJc w:val="left"/>
      <w:pPr>
        <w:ind w:left="4676" w:hanging="360"/>
      </w:pPr>
    </w:lvl>
    <w:lvl w:ilvl="5" w:tplc="080A001B" w:tentative="1">
      <w:start w:val="1"/>
      <w:numFmt w:val="lowerRoman"/>
      <w:lvlText w:val="%6."/>
      <w:lvlJc w:val="right"/>
      <w:pPr>
        <w:ind w:left="5396" w:hanging="180"/>
      </w:pPr>
    </w:lvl>
    <w:lvl w:ilvl="6" w:tplc="080A000F" w:tentative="1">
      <w:start w:val="1"/>
      <w:numFmt w:val="decimal"/>
      <w:lvlText w:val="%7."/>
      <w:lvlJc w:val="left"/>
      <w:pPr>
        <w:ind w:left="6116" w:hanging="360"/>
      </w:pPr>
    </w:lvl>
    <w:lvl w:ilvl="7" w:tplc="080A0019" w:tentative="1">
      <w:start w:val="1"/>
      <w:numFmt w:val="lowerLetter"/>
      <w:lvlText w:val="%8."/>
      <w:lvlJc w:val="left"/>
      <w:pPr>
        <w:ind w:left="6836" w:hanging="360"/>
      </w:pPr>
    </w:lvl>
    <w:lvl w:ilvl="8" w:tplc="080A001B" w:tentative="1">
      <w:start w:val="1"/>
      <w:numFmt w:val="lowerRoman"/>
      <w:lvlText w:val="%9."/>
      <w:lvlJc w:val="right"/>
      <w:pPr>
        <w:ind w:left="7556" w:hanging="180"/>
      </w:pPr>
    </w:lvl>
  </w:abstractNum>
  <w:abstractNum w:abstractNumId="55" w15:restartNumberingAfterBreak="0">
    <w:nsid w:val="65DF6804"/>
    <w:multiLevelType w:val="hybridMultilevel"/>
    <w:tmpl w:val="7BFE54BA"/>
    <w:lvl w:ilvl="0" w:tplc="837CC0BA">
      <w:start w:val="6"/>
      <w:numFmt w:val="bullet"/>
      <w:lvlText w:val="-"/>
      <w:lvlJc w:val="left"/>
      <w:pPr>
        <w:tabs>
          <w:tab w:val="num" w:pos="360"/>
        </w:tabs>
        <w:ind w:left="360" w:hanging="360"/>
      </w:pPr>
      <w:rPr>
        <w:rFonts w:ascii="Times New Roman" w:eastAsia="Calibri" w:hAnsi="Times New Roman" w:cs="Times New Roman"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6" w15:restartNumberingAfterBreak="0">
    <w:nsid w:val="69B16B48"/>
    <w:multiLevelType w:val="hybridMultilevel"/>
    <w:tmpl w:val="CDD4ED82"/>
    <w:name w:val="AODoc"/>
    <w:lvl w:ilvl="0" w:tplc="1D1E5FF6">
      <w:start w:val="1"/>
      <w:numFmt w:val="bullet"/>
      <w:lvlText w:val=""/>
      <w:lvlJc w:val="left"/>
      <w:pPr>
        <w:tabs>
          <w:tab w:val="num" w:pos="2160"/>
        </w:tabs>
        <w:ind w:left="2160" w:hanging="360"/>
      </w:pPr>
      <w:rPr>
        <w:rFonts w:ascii="Symbol" w:hAnsi="Symbol" w:cs="Times New Roman" w:hint="default"/>
        <w:color w:val="auto"/>
      </w:rPr>
    </w:lvl>
    <w:lvl w:ilvl="1" w:tplc="080A0019">
      <w:start w:val="1"/>
      <w:numFmt w:val="bullet"/>
      <w:lvlText w:val=""/>
      <w:lvlJc w:val="left"/>
      <w:pPr>
        <w:tabs>
          <w:tab w:val="num" w:pos="1440"/>
        </w:tabs>
        <w:ind w:left="1440" w:hanging="360"/>
      </w:pPr>
      <w:rPr>
        <w:rFonts w:ascii="Symbol" w:hAnsi="Symbol" w:cs="Times New Roman" w:hint="default"/>
        <w:color w:val="auto"/>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C541E4"/>
    <w:multiLevelType w:val="multilevel"/>
    <w:tmpl w:val="E6F04090"/>
    <w:lvl w:ilvl="0">
      <w:start w:val="1"/>
      <w:numFmt w:val="none"/>
      <w:lvlRestart w:val="0"/>
      <w:pStyle w:val="FirstHeading"/>
      <w:suff w:val="nothing"/>
      <w:lvlText w:val=""/>
      <w:lvlJc w:val="left"/>
      <w:pPr>
        <w:ind w:left="5686" w:hanging="720"/>
      </w:pPr>
      <w:rPr>
        <w:rFonts w:hint="default"/>
      </w:rPr>
    </w:lvl>
    <w:lvl w:ilvl="1">
      <w:start w:val="1"/>
      <w:numFmt w:val="decimal"/>
      <w:pStyle w:val="SecHeading"/>
      <w:lvlText w:val="%2."/>
      <w:lvlJc w:val="left"/>
      <w:pPr>
        <w:tabs>
          <w:tab w:val="num" w:pos="6262"/>
        </w:tabs>
        <w:ind w:left="6262" w:hanging="576"/>
      </w:pPr>
      <w:rPr>
        <w:rFonts w:hint="default"/>
        <w:b/>
      </w:rPr>
    </w:lvl>
    <w:lvl w:ilvl="2">
      <w:start w:val="1"/>
      <w:numFmt w:val="lowerLetter"/>
      <w:pStyle w:val="SubHeading1"/>
      <w:lvlText w:val="%3)"/>
      <w:lvlJc w:val="left"/>
      <w:pPr>
        <w:tabs>
          <w:tab w:val="num" w:pos="6838"/>
        </w:tabs>
        <w:ind w:left="6838" w:hanging="576"/>
      </w:pPr>
      <w:rPr>
        <w:rFonts w:hint="default"/>
        <w:b/>
      </w:rPr>
    </w:lvl>
    <w:lvl w:ilvl="3">
      <w:start w:val="1"/>
      <w:numFmt w:val="lowerRoman"/>
      <w:pStyle w:val="Subheading2"/>
      <w:lvlText w:val="(%4)"/>
      <w:lvlJc w:val="right"/>
      <w:pPr>
        <w:tabs>
          <w:tab w:val="num" w:pos="7342"/>
        </w:tabs>
        <w:ind w:left="7342" w:hanging="288"/>
      </w:pPr>
      <w:rPr>
        <w:rFonts w:hint="default"/>
        <w:b/>
      </w:rPr>
    </w:lvl>
    <w:lvl w:ilvl="4">
      <w:start w:val="1"/>
      <w:numFmt w:val="decimal"/>
      <w:pStyle w:val="Heading5"/>
      <w:lvlText w:val="%5)"/>
      <w:lvlJc w:val="left"/>
      <w:pPr>
        <w:tabs>
          <w:tab w:val="num" w:pos="5974"/>
        </w:tabs>
        <w:ind w:left="5974" w:hanging="432"/>
      </w:pPr>
      <w:rPr>
        <w:rFonts w:hint="default"/>
      </w:rPr>
    </w:lvl>
    <w:lvl w:ilvl="5">
      <w:start w:val="1"/>
      <w:numFmt w:val="lowerLetter"/>
      <w:pStyle w:val="Heading6"/>
      <w:lvlText w:val="%6)"/>
      <w:lvlJc w:val="left"/>
      <w:pPr>
        <w:tabs>
          <w:tab w:val="num" w:pos="6118"/>
        </w:tabs>
        <w:ind w:left="6118" w:hanging="432"/>
      </w:pPr>
      <w:rPr>
        <w:rFonts w:hint="default"/>
      </w:rPr>
    </w:lvl>
    <w:lvl w:ilvl="6">
      <w:start w:val="1"/>
      <w:numFmt w:val="lowerRoman"/>
      <w:pStyle w:val="Heading7"/>
      <w:lvlText w:val="%7)"/>
      <w:lvlJc w:val="right"/>
      <w:pPr>
        <w:tabs>
          <w:tab w:val="num" w:pos="6262"/>
        </w:tabs>
        <w:ind w:left="6262" w:hanging="288"/>
      </w:pPr>
      <w:rPr>
        <w:rFonts w:hint="default"/>
      </w:rPr>
    </w:lvl>
    <w:lvl w:ilvl="7">
      <w:start w:val="1"/>
      <w:numFmt w:val="lowerLetter"/>
      <w:pStyle w:val="Heading8"/>
      <w:lvlText w:val="%8."/>
      <w:lvlJc w:val="left"/>
      <w:pPr>
        <w:tabs>
          <w:tab w:val="num" w:pos="6406"/>
        </w:tabs>
        <w:ind w:left="6406" w:hanging="432"/>
      </w:pPr>
      <w:rPr>
        <w:rFonts w:hint="default"/>
      </w:rPr>
    </w:lvl>
    <w:lvl w:ilvl="8">
      <w:start w:val="1"/>
      <w:numFmt w:val="lowerRoman"/>
      <w:pStyle w:val="Heading9"/>
      <w:lvlText w:val="%9."/>
      <w:lvlJc w:val="right"/>
      <w:pPr>
        <w:tabs>
          <w:tab w:val="num" w:pos="6550"/>
        </w:tabs>
        <w:ind w:left="6550" w:hanging="144"/>
      </w:pPr>
      <w:rPr>
        <w:rFonts w:hint="default"/>
      </w:rPr>
    </w:lvl>
  </w:abstractNum>
  <w:abstractNum w:abstractNumId="58" w15:restartNumberingAfterBreak="0">
    <w:nsid w:val="6C0B230A"/>
    <w:multiLevelType w:val="hybridMultilevel"/>
    <w:tmpl w:val="E92025C8"/>
    <w:lvl w:ilvl="0" w:tplc="B38EDA8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9" w15:restartNumberingAfterBreak="0">
    <w:nsid w:val="70775B86"/>
    <w:multiLevelType w:val="hybridMultilevel"/>
    <w:tmpl w:val="D5AE0EBA"/>
    <w:lvl w:ilvl="0" w:tplc="080A000F">
      <w:start w:val="1"/>
      <w:numFmt w:val="decimal"/>
      <w:lvlText w:val="%1."/>
      <w:lvlJc w:val="left"/>
      <w:pPr>
        <w:tabs>
          <w:tab w:val="num" w:pos="1353"/>
        </w:tabs>
        <w:ind w:left="1353" w:hanging="360"/>
      </w:pPr>
      <w:rPr>
        <w:rFonts w:hint="default"/>
      </w:rPr>
    </w:lvl>
    <w:lvl w:ilvl="1" w:tplc="080A0019">
      <w:start w:val="1"/>
      <w:numFmt w:val="bullet"/>
      <w:lvlText w:val="o"/>
      <w:lvlJc w:val="left"/>
      <w:pPr>
        <w:tabs>
          <w:tab w:val="num" w:pos="2148"/>
        </w:tabs>
        <w:ind w:left="2148" w:hanging="360"/>
      </w:pPr>
      <w:rPr>
        <w:rFonts w:ascii="Courier New" w:hAnsi="Courier New" w:cs="Courier New" w:hint="default"/>
      </w:rPr>
    </w:lvl>
    <w:lvl w:ilvl="2" w:tplc="080A001B">
      <w:start w:val="1"/>
      <w:numFmt w:val="bullet"/>
      <w:lvlText w:val=""/>
      <w:lvlJc w:val="left"/>
      <w:pPr>
        <w:tabs>
          <w:tab w:val="num" w:pos="2868"/>
        </w:tabs>
        <w:ind w:left="2868" w:hanging="360"/>
      </w:pPr>
      <w:rPr>
        <w:rFonts w:ascii="Wingdings" w:hAnsi="Wingdings" w:hint="default"/>
      </w:rPr>
    </w:lvl>
    <w:lvl w:ilvl="3" w:tplc="080A000F" w:tentative="1">
      <w:start w:val="1"/>
      <w:numFmt w:val="bullet"/>
      <w:lvlText w:val=""/>
      <w:lvlJc w:val="left"/>
      <w:pPr>
        <w:tabs>
          <w:tab w:val="num" w:pos="3588"/>
        </w:tabs>
        <w:ind w:left="3588" w:hanging="360"/>
      </w:pPr>
      <w:rPr>
        <w:rFonts w:ascii="Symbol" w:hAnsi="Symbol" w:hint="default"/>
      </w:rPr>
    </w:lvl>
    <w:lvl w:ilvl="4" w:tplc="080A0019" w:tentative="1">
      <w:start w:val="1"/>
      <w:numFmt w:val="bullet"/>
      <w:lvlText w:val="o"/>
      <w:lvlJc w:val="left"/>
      <w:pPr>
        <w:tabs>
          <w:tab w:val="num" w:pos="4308"/>
        </w:tabs>
        <w:ind w:left="4308" w:hanging="360"/>
      </w:pPr>
      <w:rPr>
        <w:rFonts w:ascii="Courier New" w:hAnsi="Courier New" w:cs="Courier New" w:hint="default"/>
      </w:rPr>
    </w:lvl>
    <w:lvl w:ilvl="5" w:tplc="080A001B" w:tentative="1">
      <w:start w:val="1"/>
      <w:numFmt w:val="bullet"/>
      <w:lvlText w:val=""/>
      <w:lvlJc w:val="left"/>
      <w:pPr>
        <w:tabs>
          <w:tab w:val="num" w:pos="5028"/>
        </w:tabs>
        <w:ind w:left="5028" w:hanging="360"/>
      </w:pPr>
      <w:rPr>
        <w:rFonts w:ascii="Wingdings" w:hAnsi="Wingdings" w:hint="default"/>
      </w:rPr>
    </w:lvl>
    <w:lvl w:ilvl="6" w:tplc="080A000F" w:tentative="1">
      <w:start w:val="1"/>
      <w:numFmt w:val="bullet"/>
      <w:lvlText w:val=""/>
      <w:lvlJc w:val="left"/>
      <w:pPr>
        <w:tabs>
          <w:tab w:val="num" w:pos="5748"/>
        </w:tabs>
        <w:ind w:left="5748" w:hanging="360"/>
      </w:pPr>
      <w:rPr>
        <w:rFonts w:ascii="Symbol" w:hAnsi="Symbol" w:hint="default"/>
      </w:rPr>
    </w:lvl>
    <w:lvl w:ilvl="7" w:tplc="080A0019" w:tentative="1">
      <w:start w:val="1"/>
      <w:numFmt w:val="bullet"/>
      <w:lvlText w:val="o"/>
      <w:lvlJc w:val="left"/>
      <w:pPr>
        <w:tabs>
          <w:tab w:val="num" w:pos="6468"/>
        </w:tabs>
        <w:ind w:left="6468" w:hanging="360"/>
      </w:pPr>
      <w:rPr>
        <w:rFonts w:ascii="Courier New" w:hAnsi="Courier New" w:cs="Courier New" w:hint="default"/>
      </w:rPr>
    </w:lvl>
    <w:lvl w:ilvl="8" w:tplc="080A001B"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0EE29E1"/>
    <w:multiLevelType w:val="hybridMultilevel"/>
    <w:tmpl w:val="780A8990"/>
    <w:lvl w:ilvl="0" w:tplc="BA3C0BD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1CC65C7"/>
    <w:multiLevelType w:val="hybridMultilevel"/>
    <w:tmpl w:val="A498CF9C"/>
    <w:lvl w:ilvl="0" w:tplc="133073AA">
      <w:start w:val="1"/>
      <w:numFmt w:val="lowerLetter"/>
      <w:lvlText w:val="%1."/>
      <w:lvlJc w:val="left"/>
      <w:pPr>
        <w:tabs>
          <w:tab w:val="num" w:pos="360"/>
        </w:tabs>
        <w:ind w:left="360" w:hanging="360"/>
      </w:pPr>
    </w:lvl>
    <w:lvl w:ilvl="1" w:tplc="0C0A0003" w:tentative="1">
      <w:start w:val="1"/>
      <w:numFmt w:val="lowerLetter"/>
      <w:lvlText w:val="%2."/>
      <w:lvlJc w:val="left"/>
      <w:pPr>
        <w:tabs>
          <w:tab w:val="num" w:pos="1080"/>
        </w:tabs>
        <w:ind w:left="1080" w:hanging="360"/>
      </w:pPr>
    </w:lvl>
    <w:lvl w:ilvl="2" w:tplc="0C0A0005" w:tentative="1">
      <w:start w:val="1"/>
      <w:numFmt w:val="lowerRoman"/>
      <w:lvlText w:val="%3."/>
      <w:lvlJc w:val="right"/>
      <w:pPr>
        <w:tabs>
          <w:tab w:val="num" w:pos="1800"/>
        </w:tabs>
        <w:ind w:left="1800" w:hanging="180"/>
      </w:p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62" w15:restartNumberingAfterBreak="0">
    <w:nsid w:val="71E12100"/>
    <w:multiLevelType w:val="multilevel"/>
    <w:tmpl w:val="5E9AD048"/>
    <w:lvl w:ilvl="0">
      <w:start w:val="1"/>
      <w:numFmt w:val="decimal"/>
      <w:lvlText w:val="%1."/>
      <w:lvlJc w:val="left"/>
      <w:pPr>
        <w:tabs>
          <w:tab w:val="num" w:pos="360"/>
        </w:tabs>
        <w:ind w:left="360" w:hanging="360"/>
      </w:pPr>
      <w:rPr>
        <w:rFonts w:ascii="Times New Roman" w:hAnsi="Times New Roman" w:cs="Times New Roman" w:hint="default"/>
        <w:b w:val="0"/>
        <w:sz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73D45559"/>
    <w:multiLevelType w:val="hybridMultilevel"/>
    <w:tmpl w:val="537C3EDA"/>
    <w:lvl w:ilvl="0" w:tplc="1EDEA126">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15:restartNumberingAfterBreak="0">
    <w:nsid w:val="74220421"/>
    <w:multiLevelType w:val="hybridMultilevel"/>
    <w:tmpl w:val="513A88D0"/>
    <w:lvl w:ilvl="0" w:tplc="080A0019">
      <w:start w:val="1"/>
      <w:numFmt w:val="lowerLetter"/>
      <w:lvlText w:val="%1."/>
      <w:lvlJc w:val="left"/>
      <w:pPr>
        <w:ind w:left="786"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74C74592"/>
    <w:multiLevelType w:val="multilevel"/>
    <w:tmpl w:val="95CC3492"/>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6" w15:restartNumberingAfterBreak="0">
    <w:nsid w:val="76A72639"/>
    <w:multiLevelType w:val="hybridMultilevel"/>
    <w:tmpl w:val="2FD8E8CA"/>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78A06DC3"/>
    <w:multiLevelType w:val="hybridMultilevel"/>
    <w:tmpl w:val="38509EB4"/>
    <w:lvl w:ilvl="0" w:tplc="3D38E330">
      <w:start w:val="1"/>
      <w:numFmt w:val="decimal"/>
      <w:lvlText w:val="%1."/>
      <w:lvlJc w:val="left"/>
      <w:pPr>
        <w:ind w:left="1152" w:hanging="720"/>
      </w:pPr>
      <w:rPr>
        <w:rFonts w:hint="default"/>
        <w:b w:val="0"/>
        <w:i w:val="0"/>
        <w:sz w:val="20"/>
      </w:rPr>
    </w:lvl>
    <w:lvl w:ilvl="1" w:tplc="080A0019" w:tentative="1">
      <w:start w:val="1"/>
      <w:numFmt w:val="lowerLetter"/>
      <w:lvlText w:val="%2."/>
      <w:lvlJc w:val="left"/>
      <w:pPr>
        <w:ind w:left="1512" w:hanging="360"/>
      </w:pPr>
    </w:lvl>
    <w:lvl w:ilvl="2" w:tplc="080A001B" w:tentative="1">
      <w:start w:val="1"/>
      <w:numFmt w:val="lowerRoman"/>
      <w:lvlText w:val="%3."/>
      <w:lvlJc w:val="right"/>
      <w:pPr>
        <w:ind w:left="2232" w:hanging="180"/>
      </w:pPr>
    </w:lvl>
    <w:lvl w:ilvl="3" w:tplc="080A000F" w:tentative="1">
      <w:start w:val="1"/>
      <w:numFmt w:val="decimal"/>
      <w:lvlText w:val="%4."/>
      <w:lvlJc w:val="left"/>
      <w:pPr>
        <w:ind w:left="2952" w:hanging="360"/>
      </w:pPr>
    </w:lvl>
    <w:lvl w:ilvl="4" w:tplc="080A0019" w:tentative="1">
      <w:start w:val="1"/>
      <w:numFmt w:val="lowerLetter"/>
      <w:lvlText w:val="%5."/>
      <w:lvlJc w:val="left"/>
      <w:pPr>
        <w:ind w:left="3672" w:hanging="360"/>
      </w:pPr>
    </w:lvl>
    <w:lvl w:ilvl="5" w:tplc="080A001B" w:tentative="1">
      <w:start w:val="1"/>
      <w:numFmt w:val="lowerRoman"/>
      <w:lvlText w:val="%6."/>
      <w:lvlJc w:val="right"/>
      <w:pPr>
        <w:ind w:left="4392" w:hanging="180"/>
      </w:pPr>
    </w:lvl>
    <w:lvl w:ilvl="6" w:tplc="080A000F" w:tentative="1">
      <w:start w:val="1"/>
      <w:numFmt w:val="decimal"/>
      <w:lvlText w:val="%7."/>
      <w:lvlJc w:val="left"/>
      <w:pPr>
        <w:ind w:left="5112" w:hanging="360"/>
      </w:pPr>
    </w:lvl>
    <w:lvl w:ilvl="7" w:tplc="080A0019" w:tentative="1">
      <w:start w:val="1"/>
      <w:numFmt w:val="lowerLetter"/>
      <w:lvlText w:val="%8."/>
      <w:lvlJc w:val="left"/>
      <w:pPr>
        <w:ind w:left="5832" w:hanging="360"/>
      </w:pPr>
    </w:lvl>
    <w:lvl w:ilvl="8" w:tplc="080A001B" w:tentative="1">
      <w:start w:val="1"/>
      <w:numFmt w:val="lowerRoman"/>
      <w:lvlText w:val="%9."/>
      <w:lvlJc w:val="right"/>
      <w:pPr>
        <w:ind w:left="6552" w:hanging="180"/>
      </w:pPr>
    </w:lvl>
  </w:abstractNum>
  <w:abstractNum w:abstractNumId="68" w15:restartNumberingAfterBreak="0">
    <w:nsid w:val="78E3622E"/>
    <w:multiLevelType w:val="hybridMultilevel"/>
    <w:tmpl w:val="812AAE9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9" w15:restartNumberingAfterBreak="0">
    <w:nsid w:val="7AC244A4"/>
    <w:multiLevelType w:val="hybridMultilevel"/>
    <w:tmpl w:val="9F8079B6"/>
    <w:lvl w:ilvl="0" w:tplc="8E329348">
      <w:start w:val="1"/>
      <w:numFmt w:val="decimal"/>
      <w:lvlText w:val="9.%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7AC40D0B"/>
    <w:multiLevelType w:val="hybridMultilevel"/>
    <w:tmpl w:val="537C3EDA"/>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CE24202"/>
    <w:multiLevelType w:val="hybridMultilevel"/>
    <w:tmpl w:val="92461202"/>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2" w15:restartNumberingAfterBreak="0">
    <w:nsid w:val="7DC07F85"/>
    <w:multiLevelType w:val="hybridMultilevel"/>
    <w:tmpl w:val="B1B270F0"/>
    <w:lvl w:ilvl="0" w:tplc="DB5E2D7A">
      <w:start w:val="1"/>
      <w:numFmt w:val="bullet"/>
      <w:pStyle w:val="ListBullet"/>
      <w:lvlText w:val=""/>
      <w:lvlJc w:val="left"/>
      <w:pPr>
        <w:tabs>
          <w:tab w:val="num" w:pos="360"/>
        </w:tabs>
        <w:ind w:left="360" w:hanging="360"/>
      </w:pPr>
      <w:rPr>
        <w:rFonts w:ascii="Symbol" w:hAnsi="Symbol" w:hint="default"/>
      </w:rPr>
    </w:lvl>
    <w:lvl w:ilvl="1" w:tplc="28B05C26" w:tentative="1">
      <w:start w:val="1"/>
      <w:numFmt w:val="bullet"/>
      <w:lvlText w:val="o"/>
      <w:lvlJc w:val="left"/>
      <w:pPr>
        <w:tabs>
          <w:tab w:val="num" w:pos="1440"/>
        </w:tabs>
        <w:ind w:left="1440" w:hanging="360"/>
      </w:pPr>
      <w:rPr>
        <w:rFonts w:ascii="Courier New" w:hAnsi="Courier New" w:hint="default"/>
      </w:rPr>
    </w:lvl>
    <w:lvl w:ilvl="2" w:tplc="738AED78" w:tentative="1">
      <w:start w:val="1"/>
      <w:numFmt w:val="bullet"/>
      <w:lvlText w:val=""/>
      <w:lvlJc w:val="left"/>
      <w:pPr>
        <w:tabs>
          <w:tab w:val="num" w:pos="2160"/>
        </w:tabs>
        <w:ind w:left="2160" w:hanging="360"/>
      </w:pPr>
      <w:rPr>
        <w:rFonts w:ascii="Wingdings" w:hAnsi="Wingdings" w:hint="default"/>
      </w:rPr>
    </w:lvl>
    <w:lvl w:ilvl="3" w:tplc="AFCA4622" w:tentative="1">
      <w:start w:val="1"/>
      <w:numFmt w:val="bullet"/>
      <w:lvlText w:val=""/>
      <w:lvlJc w:val="left"/>
      <w:pPr>
        <w:tabs>
          <w:tab w:val="num" w:pos="2880"/>
        </w:tabs>
        <w:ind w:left="2880" w:hanging="360"/>
      </w:pPr>
      <w:rPr>
        <w:rFonts w:ascii="Symbol" w:hAnsi="Symbol" w:hint="default"/>
      </w:rPr>
    </w:lvl>
    <w:lvl w:ilvl="4" w:tplc="E16A49F6" w:tentative="1">
      <w:start w:val="1"/>
      <w:numFmt w:val="bullet"/>
      <w:lvlText w:val="o"/>
      <w:lvlJc w:val="left"/>
      <w:pPr>
        <w:tabs>
          <w:tab w:val="num" w:pos="3600"/>
        </w:tabs>
        <w:ind w:left="3600" w:hanging="360"/>
      </w:pPr>
      <w:rPr>
        <w:rFonts w:ascii="Courier New" w:hAnsi="Courier New" w:hint="default"/>
      </w:rPr>
    </w:lvl>
    <w:lvl w:ilvl="5" w:tplc="E0500622" w:tentative="1">
      <w:start w:val="1"/>
      <w:numFmt w:val="bullet"/>
      <w:lvlText w:val=""/>
      <w:lvlJc w:val="left"/>
      <w:pPr>
        <w:tabs>
          <w:tab w:val="num" w:pos="4320"/>
        </w:tabs>
        <w:ind w:left="4320" w:hanging="360"/>
      </w:pPr>
      <w:rPr>
        <w:rFonts w:ascii="Wingdings" w:hAnsi="Wingdings" w:hint="default"/>
      </w:rPr>
    </w:lvl>
    <w:lvl w:ilvl="6" w:tplc="CAFA59AA" w:tentative="1">
      <w:start w:val="1"/>
      <w:numFmt w:val="bullet"/>
      <w:lvlText w:val=""/>
      <w:lvlJc w:val="left"/>
      <w:pPr>
        <w:tabs>
          <w:tab w:val="num" w:pos="5040"/>
        </w:tabs>
        <w:ind w:left="5040" w:hanging="360"/>
      </w:pPr>
      <w:rPr>
        <w:rFonts w:ascii="Symbol" w:hAnsi="Symbol" w:hint="default"/>
      </w:rPr>
    </w:lvl>
    <w:lvl w:ilvl="7" w:tplc="4DEE2CEE" w:tentative="1">
      <w:start w:val="1"/>
      <w:numFmt w:val="bullet"/>
      <w:lvlText w:val="o"/>
      <w:lvlJc w:val="left"/>
      <w:pPr>
        <w:tabs>
          <w:tab w:val="num" w:pos="5760"/>
        </w:tabs>
        <w:ind w:left="5760" w:hanging="360"/>
      </w:pPr>
      <w:rPr>
        <w:rFonts w:ascii="Courier New" w:hAnsi="Courier New" w:hint="default"/>
      </w:rPr>
    </w:lvl>
    <w:lvl w:ilvl="8" w:tplc="1FF096BC"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F70374F"/>
    <w:multiLevelType w:val="hybridMultilevel"/>
    <w:tmpl w:val="07548BEA"/>
    <w:lvl w:ilvl="0" w:tplc="080A0013">
      <w:start w:val="1"/>
      <w:numFmt w:val="upperRoman"/>
      <w:lvlText w:val="%1."/>
      <w:lvlJc w:val="righ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num w:numId="1">
    <w:abstractNumId w:val="65"/>
  </w:num>
  <w:num w:numId="2">
    <w:abstractNumId w:val="50"/>
  </w:num>
  <w:num w:numId="3">
    <w:abstractNumId w:val="22"/>
  </w:num>
  <w:num w:numId="4">
    <w:abstractNumId w:val="48"/>
  </w:num>
  <w:num w:numId="5">
    <w:abstractNumId w:val="56"/>
  </w:num>
  <w:num w:numId="6">
    <w:abstractNumId w:val="49"/>
  </w:num>
  <w:num w:numId="7">
    <w:abstractNumId w:val="45"/>
  </w:num>
  <w:num w:numId="8">
    <w:abstractNumId w:val="54"/>
  </w:num>
  <w:num w:numId="9">
    <w:abstractNumId w:val="14"/>
  </w:num>
  <w:num w:numId="10">
    <w:abstractNumId w:val="28"/>
  </w:num>
  <w:num w:numId="11">
    <w:abstractNumId w:val="9"/>
  </w:num>
  <w:num w:numId="12">
    <w:abstractNumId w:val="20"/>
  </w:num>
  <w:num w:numId="13">
    <w:abstractNumId w:val="67"/>
  </w:num>
  <w:num w:numId="14">
    <w:abstractNumId w:val="2"/>
  </w:num>
  <w:num w:numId="15">
    <w:abstractNumId w:val="57"/>
  </w:num>
  <w:num w:numId="16">
    <w:abstractNumId w:val="40"/>
  </w:num>
  <w:num w:numId="17">
    <w:abstractNumId w:val="72"/>
  </w:num>
  <w:num w:numId="18">
    <w:abstractNumId w:val="32"/>
  </w:num>
  <w:num w:numId="19">
    <w:abstractNumId w:val="34"/>
  </w:num>
  <w:num w:numId="20">
    <w:abstractNumId w:val="3"/>
  </w:num>
  <w:num w:numId="21">
    <w:abstractNumId w:val="60"/>
  </w:num>
  <w:num w:numId="22">
    <w:abstractNumId w:val="68"/>
  </w:num>
  <w:num w:numId="23">
    <w:abstractNumId w:val="13"/>
  </w:num>
  <w:num w:numId="24">
    <w:abstractNumId w:val="47"/>
  </w:num>
  <w:num w:numId="25">
    <w:abstractNumId w:val="71"/>
  </w:num>
  <w:num w:numId="26">
    <w:abstractNumId w:val="41"/>
  </w:num>
  <w:num w:numId="27">
    <w:abstractNumId w:val="30"/>
  </w:num>
  <w:num w:numId="28">
    <w:abstractNumId w:val="24"/>
  </w:num>
  <w:num w:numId="29">
    <w:abstractNumId w:val="44"/>
  </w:num>
  <w:num w:numId="30">
    <w:abstractNumId w:val="10"/>
  </w:num>
  <w:num w:numId="31">
    <w:abstractNumId w:val="1"/>
  </w:num>
  <w:num w:numId="32">
    <w:abstractNumId w:val="8"/>
  </w:num>
  <w:num w:numId="33">
    <w:abstractNumId w:val="53"/>
  </w:num>
  <w:num w:numId="34">
    <w:abstractNumId w:val="59"/>
  </w:num>
  <w:num w:numId="35">
    <w:abstractNumId w:val="46"/>
  </w:num>
  <w:num w:numId="36">
    <w:abstractNumId w:val="7"/>
  </w:num>
  <w:num w:numId="37">
    <w:abstractNumId w:val="33"/>
  </w:num>
  <w:num w:numId="38">
    <w:abstractNumId w:val="12"/>
  </w:num>
  <w:num w:numId="39">
    <w:abstractNumId w:val="66"/>
  </w:num>
  <w:num w:numId="40">
    <w:abstractNumId w:val="73"/>
  </w:num>
  <w:num w:numId="41">
    <w:abstractNumId w:val="6"/>
  </w:num>
  <w:num w:numId="42">
    <w:abstractNumId w:val="18"/>
  </w:num>
  <w:num w:numId="43">
    <w:abstractNumId w:val="64"/>
  </w:num>
  <w:num w:numId="44">
    <w:abstractNumId w:val="69"/>
  </w:num>
  <w:num w:numId="45">
    <w:abstractNumId w:val="11"/>
  </w:num>
  <w:num w:numId="46">
    <w:abstractNumId w:val="37"/>
  </w:num>
  <w:num w:numId="47">
    <w:abstractNumId w:val="21"/>
  </w:num>
  <w:num w:numId="48">
    <w:abstractNumId w:val="15"/>
  </w:num>
  <w:num w:numId="49">
    <w:abstractNumId w:val="16"/>
  </w:num>
  <w:num w:numId="50">
    <w:abstractNumId w:val="4"/>
  </w:num>
  <w:num w:numId="51">
    <w:abstractNumId w:val="23"/>
  </w:num>
  <w:num w:numId="52">
    <w:abstractNumId w:val="35"/>
  </w:num>
  <w:num w:numId="53">
    <w:abstractNumId w:val="39"/>
  </w:num>
  <w:num w:numId="54">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num>
  <w:num w:numId="56">
    <w:abstractNumId w:val="9"/>
  </w:num>
  <w:num w:numId="57">
    <w:abstractNumId w:val="58"/>
  </w:num>
  <w:num w:numId="58">
    <w:abstractNumId w:val="17"/>
  </w:num>
  <w:num w:numId="59">
    <w:abstractNumId w:val="61"/>
  </w:num>
  <w:num w:numId="60">
    <w:abstractNumId w:val="29"/>
  </w:num>
  <w:num w:numId="61">
    <w:abstractNumId w:val="55"/>
  </w:num>
  <w:num w:numId="62">
    <w:abstractNumId w:val="5"/>
  </w:num>
  <w:num w:numId="63">
    <w:abstractNumId w:val="70"/>
  </w:num>
  <w:num w:numId="64">
    <w:abstractNumId w:val="62"/>
  </w:num>
  <w:num w:numId="65">
    <w:abstractNumId w:val="63"/>
  </w:num>
  <w:num w:numId="66">
    <w:abstractNumId w:val="42"/>
  </w:num>
  <w:num w:numId="67">
    <w:abstractNumId w:val="27"/>
  </w:num>
  <w:num w:numId="68">
    <w:abstractNumId w:val="38"/>
  </w:num>
  <w:num w:numId="69">
    <w:abstractNumId w:val="19"/>
  </w:num>
  <w:num w:numId="70">
    <w:abstractNumId w:val="52"/>
  </w:num>
  <w:num w:numId="71">
    <w:abstractNumId w:val="43"/>
  </w:num>
  <w:num w:numId="72">
    <w:abstractNumId w:val="31"/>
  </w:num>
  <w:num w:numId="73">
    <w:abstractNumId w:val="25"/>
  </w:num>
  <w:num w:numId="74">
    <w:abstractNumId w:val="26"/>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812"/>
    <w:rsid w:val="0000031A"/>
    <w:rsid w:val="00000962"/>
    <w:rsid w:val="00000979"/>
    <w:rsid w:val="0000274C"/>
    <w:rsid w:val="00004793"/>
    <w:rsid w:val="000065AD"/>
    <w:rsid w:val="000069BC"/>
    <w:rsid w:val="0001068F"/>
    <w:rsid w:val="00010AAB"/>
    <w:rsid w:val="00012BFA"/>
    <w:rsid w:val="00013905"/>
    <w:rsid w:val="00014BD4"/>
    <w:rsid w:val="00015629"/>
    <w:rsid w:val="00016621"/>
    <w:rsid w:val="000166B9"/>
    <w:rsid w:val="000204C3"/>
    <w:rsid w:val="00020DC9"/>
    <w:rsid w:val="000223DA"/>
    <w:rsid w:val="000223FC"/>
    <w:rsid w:val="00022625"/>
    <w:rsid w:val="00022985"/>
    <w:rsid w:val="00023E54"/>
    <w:rsid w:val="00024570"/>
    <w:rsid w:val="00025768"/>
    <w:rsid w:val="00025A7C"/>
    <w:rsid w:val="00025DD1"/>
    <w:rsid w:val="00026D81"/>
    <w:rsid w:val="00031398"/>
    <w:rsid w:val="00031712"/>
    <w:rsid w:val="00031FDF"/>
    <w:rsid w:val="00032B60"/>
    <w:rsid w:val="00033FF4"/>
    <w:rsid w:val="00034CF8"/>
    <w:rsid w:val="000361AF"/>
    <w:rsid w:val="000367F7"/>
    <w:rsid w:val="00037F39"/>
    <w:rsid w:val="000404C5"/>
    <w:rsid w:val="00040A51"/>
    <w:rsid w:val="0004126A"/>
    <w:rsid w:val="00041F52"/>
    <w:rsid w:val="000424DE"/>
    <w:rsid w:val="0004313E"/>
    <w:rsid w:val="00043255"/>
    <w:rsid w:val="000438D6"/>
    <w:rsid w:val="000441C4"/>
    <w:rsid w:val="00045032"/>
    <w:rsid w:val="00046E01"/>
    <w:rsid w:val="00047DB7"/>
    <w:rsid w:val="0005009A"/>
    <w:rsid w:val="000500EF"/>
    <w:rsid w:val="0005069B"/>
    <w:rsid w:val="00051B94"/>
    <w:rsid w:val="00051D50"/>
    <w:rsid w:val="00051D51"/>
    <w:rsid w:val="000544F5"/>
    <w:rsid w:val="00055226"/>
    <w:rsid w:val="00055831"/>
    <w:rsid w:val="00055C77"/>
    <w:rsid w:val="00056B5D"/>
    <w:rsid w:val="00056DB9"/>
    <w:rsid w:val="00057A52"/>
    <w:rsid w:val="00057A8A"/>
    <w:rsid w:val="0006045D"/>
    <w:rsid w:val="000622B0"/>
    <w:rsid w:val="000637B3"/>
    <w:rsid w:val="00066C7A"/>
    <w:rsid w:val="0007054F"/>
    <w:rsid w:val="00071AE6"/>
    <w:rsid w:val="00071D2E"/>
    <w:rsid w:val="00072DCA"/>
    <w:rsid w:val="00075623"/>
    <w:rsid w:val="00077CC0"/>
    <w:rsid w:val="00077E35"/>
    <w:rsid w:val="00077FEC"/>
    <w:rsid w:val="000800A7"/>
    <w:rsid w:val="0008216D"/>
    <w:rsid w:val="00083BAA"/>
    <w:rsid w:val="00084D86"/>
    <w:rsid w:val="00091AAA"/>
    <w:rsid w:val="0009201C"/>
    <w:rsid w:val="00092077"/>
    <w:rsid w:val="00092A2E"/>
    <w:rsid w:val="000931B2"/>
    <w:rsid w:val="000933C7"/>
    <w:rsid w:val="00094736"/>
    <w:rsid w:val="00094D8C"/>
    <w:rsid w:val="000956D1"/>
    <w:rsid w:val="00095773"/>
    <w:rsid w:val="00096607"/>
    <w:rsid w:val="0009689C"/>
    <w:rsid w:val="000A103B"/>
    <w:rsid w:val="000A1912"/>
    <w:rsid w:val="000A1ACD"/>
    <w:rsid w:val="000A37CF"/>
    <w:rsid w:val="000A4B2D"/>
    <w:rsid w:val="000A5119"/>
    <w:rsid w:val="000B0978"/>
    <w:rsid w:val="000B0D36"/>
    <w:rsid w:val="000B43B9"/>
    <w:rsid w:val="000B4F96"/>
    <w:rsid w:val="000B69DE"/>
    <w:rsid w:val="000B69E3"/>
    <w:rsid w:val="000B7176"/>
    <w:rsid w:val="000B718B"/>
    <w:rsid w:val="000B7C11"/>
    <w:rsid w:val="000C025D"/>
    <w:rsid w:val="000C1712"/>
    <w:rsid w:val="000C190A"/>
    <w:rsid w:val="000C22B0"/>
    <w:rsid w:val="000C2A94"/>
    <w:rsid w:val="000C311F"/>
    <w:rsid w:val="000C4333"/>
    <w:rsid w:val="000C4549"/>
    <w:rsid w:val="000C461E"/>
    <w:rsid w:val="000C4D9E"/>
    <w:rsid w:val="000C6DFB"/>
    <w:rsid w:val="000C71BB"/>
    <w:rsid w:val="000D0795"/>
    <w:rsid w:val="000D0AE9"/>
    <w:rsid w:val="000D0FAA"/>
    <w:rsid w:val="000D1198"/>
    <w:rsid w:val="000D1321"/>
    <w:rsid w:val="000D4B89"/>
    <w:rsid w:val="000D62AE"/>
    <w:rsid w:val="000D7C13"/>
    <w:rsid w:val="000D7C19"/>
    <w:rsid w:val="000E04E6"/>
    <w:rsid w:val="000E1B53"/>
    <w:rsid w:val="000E3A55"/>
    <w:rsid w:val="000E3F0A"/>
    <w:rsid w:val="000E795A"/>
    <w:rsid w:val="000F0E10"/>
    <w:rsid w:val="000F1903"/>
    <w:rsid w:val="000F30E6"/>
    <w:rsid w:val="000F37CE"/>
    <w:rsid w:val="000F4196"/>
    <w:rsid w:val="000F6480"/>
    <w:rsid w:val="00100E4E"/>
    <w:rsid w:val="00100F80"/>
    <w:rsid w:val="00101275"/>
    <w:rsid w:val="0010132F"/>
    <w:rsid w:val="00102919"/>
    <w:rsid w:val="001033A2"/>
    <w:rsid w:val="0010351E"/>
    <w:rsid w:val="00103E97"/>
    <w:rsid w:val="00104042"/>
    <w:rsid w:val="00104DB9"/>
    <w:rsid w:val="00105276"/>
    <w:rsid w:val="001052EB"/>
    <w:rsid w:val="001056BF"/>
    <w:rsid w:val="001112C2"/>
    <w:rsid w:val="001113C2"/>
    <w:rsid w:val="001116F9"/>
    <w:rsid w:val="00112D84"/>
    <w:rsid w:val="00113FBF"/>
    <w:rsid w:val="001150BB"/>
    <w:rsid w:val="0011573E"/>
    <w:rsid w:val="00115EA8"/>
    <w:rsid w:val="0011621E"/>
    <w:rsid w:val="001175D2"/>
    <w:rsid w:val="0012175B"/>
    <w:rsid w:val="00121A75"/>
    <w:rsid w:val="00121B39"/>
    <w:rsid w:val="00121F37"/>
    <w:rsid w:val="00122C7B"/>
    <w:rsid w:val="00123F3D"/>
    <w:rsid w:val="00124D43"/>
    <w:rsid w:val="0012673E"/>
    <w:rsid w:val="0012775C"/>
    <w:rsid w:val="00131AFD"/>
    <w:rsid w:val="0013264E"/>
    <w:rsid w:val="00133B55"/>
    <w:rsid w:val="001340A8"/>
    <w:rsid w:val="00136106"/>
    <w:rsid w:val="0013618A"/>
    <w:rsid w:val="001407EC"/>
    <w:rsid w:val="00140B36"/>
    <w:rsid w:val="00141F75"/>
    <w:rsid w:val="00142039"/>
    <w:rsid w:val="00145696"/>
    <w:rsid w:val="00145DBA"/>
    <w:rsid w:val="001477ED"/>
    <w:rsid w:val="00147E2F"/>
    <w:rsid w:val="001500CD"/>
    <w:rsid w:val="001513A1"/>
    <w:rsid w:val="0015186F"/>
    <w:rsid w:val="00152807"/>
    <w:rsid w:val="0015353B"/>
    <w:rsid w:val="001545E9"/>
    <w:rsid w:val="001546AC"/>
    <w:rsid w:val="0015505C"/>
    <w:rsid w:val="0015539A"/>
    <w:rsid w:val="001555E2"/>
    <w:rsid w:val="0015714D"/>
    <w:rsid w:val="00157AF6"/>
    <w:rsid w:val="00160639"/>
    <w:rsid w:val="00160E69"/>
    <w:rsid w:val="0016308B"/>
    <w:rsid w:val="00163128"/>
    <w:rsid w:val="0016468E"/>
    <w:rsid w:val="00164886"/>
    <w:rsid w:val="001652E9"/>
    <w:rsid w:val="00165AE4"/>
    <w:rsid w:val="00165B50"/>
    <w:rsid w:val="001663A8"/>
    <w:rsid w:val="00172CEE"/>
    <w:rsid w:val="001732C8"/>
    <w:rsid w:val="00173840"/>
    <w:rsid w:val="00173B07"/>
    <w:rsid w:val="00173BBA"/>
    <w:rsid w:val="00174502"/>
    <w:rsid w:val="00174E40"/>
    <w:rsid w:val="00176F09"/>
    <w:rsid w:val="00177F79"/>
    <w:rsid w:val="001819AA"/>
    <w:rsid w:val="00181DC3"/>
    <w:rsid w:val="00183EF3"/>
    <w:rsid w:val="00184381"/>
    <w:rsid w:val="00186EF4"/>
    <w:rsid w:val="00187B8C"/>
    <w:rsid w:val="001916C5"/>
    <w:rsid w:val="00191BE5"/>
    <w:rsid w:val="0019552F"/>
    <w:rsid w:val="001962E4"/>
    <w:rsid w:val="00196F2C"/>
    <w:rsid w:val="0019769A"/>
    <w:rsid w:val="001A0EDF"/>
    <w:rsid w:val="001A0FFE"/>
    <w:rsid w:val="001A1045"/>
    <w:rsid w:val="001A1EF9"/>
    <w:rsid w:val="001A2045"/>
    <w:rsid w:val="001A26B5"/>
    <w:rsid w:val="001A2DE3"/>
    <w:rsid w:val="001A34F4"/>
    <w:rsid w:val="001A3B6D"/>
    <w:rsid w:val="001A41A6"/>
    <w:rsid w:val="001A5B24"/>
    <w:rsid w:val="001A5DFF"/>
    <w:rsid w:val="001A7598"/>
    <w:rsid w:val="001A7D32"/>
    <w:rsid w:val="001B0791"/>
    <w:rsid w:val="001B08F4"/>
    <w:rsid w:val="001B1E25"/>
    <w:rsid w:val="001B2B20"/>
    <w:rsid w:val="001B461E"/>
    <w:rsid w:val="001B5F84"/>
    <w:rsid w:val="001B7451"/>
    <w:rsid w:val="001B7569"/>
    <w:rsid w:val="001B767A"/>
    <w:rsid w:val="001C21AC"/>
    <w:rsid w:val="001C2CF5"/>
    <w:rsid w:val="001C48DE"/>
    <w:rsid w:val="001C5A5D"/>
    <w:rsid w:val="001D0440"/>
    <w:rsid w:val="001D0FDD"/>
    <w:rsid w:val="001D53A5"/>
    <w:rsid w:val="001D547E"/>
    <w:rsid w:val="001D5601"/>
    <w:rsid w:val="001D6EA2"/>
    <w:rsid w:val="001D7852"/>
    <w:rsid w:val="001D7BB2"/>
    <w:rsid w:val="001D7E4C"/>
    <w:rsid w:val="001E0B3E"/>
    <w:rsid w:val="001E0F33"/>
    <w:rsid w:val="001E20AE"/>
    <w:rsid w:val="001E2FDB"/>
    <w:rsid w:val="001E3558"/>
    <w:rsid w:val="001E3829"/>
    <w:rsid w:val="001E4711"/>
    <w:rsid w:val="001E4800"/>
    <w:rsid w:val="001E5AAB"/>
    <w:rsid w:val="001E6111"/>
    <w:rsid w:val="001E6385"/>
    <w:rsid w:val="001E6777"/>
    <w:rsid w:val="001E6CFC"/>
    <w:rsid w:val="001F0696"/>
    <w:rsid w:val="001F15CF"/>
    <w:rsid w:val="001F1E82"/>
    <w:rsid w:val="001F27C7"/>
    <w:rsid w:val="001F2EAD"/>
    <w:rsid w:val="001F34F7"/>
    <w:rsid w:val="001F34FD"/>
    <w:rsid w:val="001F3517"/>
    <w:rsid w:val="001F3845"/>
    <w:rsid w:val="001F5114"/>
    <w:rsid w:val="001F564B"/>
    <w:rsid w:val="001F6D02"/>
    <w:rsid w:val="001F78E9"/>
    <w:rsid w:val="00201A97"/>
    <w:rsid w:val="0020214D"/>
    <w:rsid w:val="002031CC"/>
    <w:rsid w:val="00203A8A"/>
    <w:rsid w:val="00203C72"/>
    <w:rsid w:val="00204F0F"/>
    <w:rsid w:val="00205293"/>
    <w:rsid w:val="0020668C"/>
    <w:rsid w:val="00207256"/>
    <w:rsid w:val="00207D24"/>
    <w:rsid w:val="0021036E"/>
    <w:rsid w:val="002124BA"/>
    <w:rsid w:val="0021264C"/>
    <w:rsid w:val="00212AF2"/>
    <w:rsid w:val="00213872"/>
    <w:rsid w:val="00214297"/>
    <w:rsid w:val="002172B8"/>
    <w:rsid w:val="00222176"/>
    <w:rsid w:val="00223B03"/>
    <w:rsid w:val="00224272"/>
    <w:rsid w:val="00224886"/>
    <w:rsid w:val="00225973"/>
    <w:rsid w:val="002266B5"/>
    <w:rsid w:val="00230812"/>
    <w:rsid w:val="0023117F"/>
    <w:rsid w:val="002327A1"/>
    <w:rsid w:val="0024233B"/>
    <w:rsid w:val="002428EE"/>
    <w:rsid w:val="0024290D"/>
    <w:rsid w:val="00242B57"/>
    <w:rsid w:val="00244249"/>
    <w:rsid w:val="00244675"/>
    <w:rsid w:val="002446F4"/>
    <w:rsid w:val="00244F35"/>
    <w:rsid w:val="00245016"/>
    <w:rsid w:val="00245AEF"/>
    <w:rsid w:val="002461CF"/>
    <w:rsid w:val="00246F02"/>
    <w:rsid w:val="002505AC"/>
    <w:rsid w:val="00250FA0"/>
    <w:rsid w:val="00251F37"/>
    <w:rsid w:val="00253C2A"/>
    <w:rsid w:val="00256496"/>
    <w:rsid w:val="0026003D"/>
    <w:rsid w:val="0026062D"/>
    <w:rsid w:val="00263787"/>
    <w:rsid w:val="0026599D"/>
    <w:rsid w:val="00265F42"/>
    <w:rsid w:val="00266987"/>
    <w:rsid w:val="00266E50"/>
    <w:rsid w:val="00267897"/>
    <w:rsid w:val="0027123F"/>
    <w:rsid w:val="002725FF"/>
    <w:rsid w:val="00272845"/>
    <w:rsid w:val="00273293"/>
    <w:rsid w:val="00274BE5"/>
    <w:rsid w:val="00274F0B"/>
    <w:rsid w:val="002750FE"/>
    <w:rsid w:val="002755E6"/>
    <w:rsid w:val="00275B78"/>
    <w:rsid w:val="0028043B"/>
    <w:rsid w:val="00281184"/>
    <w:rsid w:val="002819E9"/>
    <w:rsid w:val="00285444"/>
    <w:rsid w:val="002858C1"/>
    <w:rsid w:val="00286733"/>
    <w:rsid w:val="00286F95"/>
    <w:rsid w:val="00287228"/>
    <w:rsid w:val="002872BE"/>
    <w:rsid w:val="002875B3"/>
    <w:rsid w:val="002920AC"/>
    <w:rsid w:val="002924E0"/>
    <w:rsid w:val="00292745"/>
    <w:rsid w:val="00292D1F"/>
    <w:rsid w:val="00293459"/>
    <w:rsid w:val="002934A4"/>
    <w:rsid w:val="00293C25"/>
    <w:rsid w:val="00294855"/>
    <w:rsid w:val="0029670A"/>
    <w:rsid w:val="0029771F"/>
    <w:rsid w:val="002A17D5"/>
    <w:rsid w:val="002A2083"/>
    <w:rsid w:val="002A3087"/>
    <w:rsid w:val="002A31DA"/>
    <w:rsid w:val="002A3540"/>
    <w:rsid w:val="002A47DA"/>
    <w:rsid w:val="002A7102"/>
    <w:rsid w:val="002B0C14"/>
    <w:rsid w:val="002B2638"/>
    <w:rsid w:val="002B313D"/>
    <w:rsid w:val="002B359F"/>
    <w:rsid w:val="002B572E"/>
    <w:rsid w:val="002C04C4"/>
    <w:rsid w:val="002C0E18"/>
    <w:rsid w:val="002C1089"/>
    <w:rsid w:val="002C2FCB"/>
    <w:rsid w:val="002C43C5"/>
    <w:rsid w:val="002C5FFF"/>
    <w:rsid w:val="002C6F1A"/>
    <w:rsid w:val="002C7D51"/>
    <w:rsid w:val="002C7E1C"/>
    <w:rsid w:val="002D1EAD"/>
    <w:rsid w:val="002D2AB0"/>
    <w:rsid w:val="002E0111"/>
    <w:rsid w:val="002E0F6A"/>
    <w:rsid w:val="002E140C"/>
    <w:rsid w:val="002E3A2E"/>
    <w:rsid w:val="002E6A58"/>
    <w:rsid w:val="002E7F24"/>
    <w:rsid w:val="002F082C"/>
    <w:rsid w:val="002F1773"/>
    <w:rsid w:val="002F2D5F"/>
    <w:rsid w:val="002F4319"/>
    <w:rsid w:val="002F4923"/>
    <w:rsid w:val="002F4D75"/>
    <w:rsid w:val="002F52C8"/>
    <w:rsid w:val="002F5D38"/>
    <w:rsid w:val="002F64A3"/>
    <w:rsid w:val="002F68B9"/>
    <w:rsid w:val="002F73A1"/>
    <w:rsid w:val="003002C4"/>
    <w:rsid w:val="003005BD"/>
    <w:rsid w:val="0030107F"/>
    <w:rsid w:val="003015A1"/>
    <w:rsid w:val="00306E86"/>
    <w:rsid w:val="003077E1"/>
    <w:rsid w:val="00311D84"/>
    <w:rsid w:val="00312EAF"/>
    <w:rsid w:val="0031636D"/>
    <w:rsid w:val="00316AD8"/>
    <w:rsid w:val="0031770F"/>
    <w:rsid w:val="003177C3"/>
    <w:rsid w:val="00317EDB"/>
    <w:rsid w:val="00320F67"/>
    <w:rsid w:val="00321195"/>
    <w:rsid w:val="003226CA"/>
    <w:rsid w:val="00322D02"/>
    <w:rsid w:val="0032464C"/>
    <w:rsid w:val="00327990"/>
    <w:rsid w:val="0033116C"/>
    <w:rsid w:val="00332B38"/>
    <w:rsid w:val="00334FDA"/>
    <w:rsid w:val="00335B25"/>
    <w:rsid w:val="00336567"/>
    <w:rsid w:val="003372C5"/>
    <w:rsid w:val="00337570"/>
    <w:rsid w:val="003401D1"/>
    <w:rsid w:val="003403AD"/>
    <w:rsid w:val="00341DA2"/>
    <w:rsid w:val="00342C85"/>
    <w:rsid w:val="0034484F"/>
    <w:rsid w:val="003452F4"/>
    <w:rsid w:val="00345C9D"/>
    <w:rsid w:val="0034778E"/>
    <w:rsid w:val="00351508"/>
    <w:rsid w:val="0035340E"/>
    <w:rsid w:val="00353E61"/>
    <w:rsid w:val="00355C99"/>
    <w:rsid w:val="003619FC"/>
    <w:rsid w:val="00361B90"/>
    <w:rsid w:val="00362064"/>
    <w:rsid w:val="003625C9"/>
    <w:rsid w:val="00362FAE"/>
    <w:rsid w:val="00364983"/>
    <w:rsid w:val="003654A4"/>
    <w:rsid w:val="0036690B"/>
    <w:rsid w:val="00366AEF"/>
    <w:rsid w:val="003710EB"/>
    <w:rsid w:val="00371500"/>
    <w:rsid w:val="003736B3"/>
    <w:rsid w:val="00374559"/>
    <w:rsid w:val="00374969"/>
    <w:rsid w:val="00380C0F"/>
    <w:rsid w:val="00381E2A"/>
    <w:rsid w:val="003832DE"/>
    <w:rsid w:val="0038502A"/>
    <w:rsid w:val="00385FFE"/>
    <w:rsid w:val="003864A3"/>
    <w:rsid w:val="0038684F"/>
    <w:rsid w:val="003874ED"/>
    <w:rsid w:val="00392787"/>
    <w:rsid w:val="00393429"/>
    <w:rsid w:val="00394564"/>
    <w:rsid w:val="00394D96"/>
    <w:rsid w:val="00395F74"/>
    <w:rsid w:val="00397F32"/>
    <w:rsid w:val="003A24E1"/>
    <w:rsid w:val="003A3326"/>
    <w:rsid w:val="003A33E5"/>
    <w:rsid w:val="003A3884"/>
    <w:rsid w:val="003A5922"/>
    <w:rsid w:val="003A5C25"/>
    <w:rsid w:val="003A7B4B"/>
    <w:rsid w:val="003B03D1"/>
    <w:rsid w:val="003B22E5"/>
    <w:rsid w:val="003B263B"/>
    <w:rsid w:val="003B280D"/>
    <w:rsid w:val="003B4FB4"/>
    <w:rsid w:val="003B5C2D"/>
    <w:rsid w:val="003B64B7"/>
    <w:rsid w:val="003B665D"/>
    <w:rsid w:val="003B6BF9"/>
    <w:rsid w:val="003B6E3D"/>
    <w:rsid w:val="003C152D"/>
    <w:rsid w:val="003C155B"/>
    <w:rsid w:val="003C42E2"/>
    <w:rsid w:val="003C5DC4"/>
    <w:rsid w:val="003C6229"/>
    <w:rsid w:val="003C68E7"/>
    <w:rsid w:val="003C6A9A"/>
    <w:rsid w:val="003D17FD"/>
    <w:rsid w:val="003D23AB"/>
    <w:rsid w:val="003D2D37"/>
    <w:rsid w:val="003D3DDA"/>
    <w:rsid w:val="003D4440"/>
    <w:rsid w:val="003D5098"/>
    <w:rsid w:val="003E08D2"/>
    <w:rsid w:val="003E18BE"/>
    <w:rsid w:val="003E3D17"/>
    <w:rsid w:val="003E5056"/>
    <w:rsid w:val="003E5EEF"/>
    <w:rsid w:val="003E643F"/>
    <w:rsid w:val="003F09EE"/>
    <w:rsid w:val="003F3743"/>
    <w:rsid w:val="003F43DA"/>
    <w:rsid w:val="003F57C3"/>
    <w:rsid w:val="00400B61"/>
    <w:rsid w:val="004018B5"/>
    <w:rsid w:val="00402239"/>
    <w:rsid w:val="0040332A"/>
    <w:rsid w:val="00403499"/>
    <w:rsid w:val="004055D9"/>
    <w:rsid w:val="00405FCE"/>
    <w:rsid w:val="00406EC6"/>
    <w:rsid w:val="0040721E"/>
    <w:rsid w:val="00407EE7"/>
    <w:rsid w:val="004108B3"/>
    <w:rsid w:val="00410E61"/>
    <w:rsid w:val="00413E75"/>
    <w:rsid w:val="0041429D"/>
    <w:rsid w:val="00414EC1"/>
    <w:rsid w:val="00416231"/>
    <w:rsid w:val="0041730E"/>
    <w:rsid w:val="004177DA"/>
    <w:rsid w:val="0042023B"/>
    <w:rsid w:val="0042129C"/>
    <w:rsid w:val="004221A0"/>
    <w:rsid w:val="00422204"/>
    <w:rsid w:val="00422B35"/>
    <w:rsid w:val="0042310B"/>
    <w:rsid w:val="00423AEC"/>
    <w:rsid w:val="004248CB"/>
    <w:rsid w:val="004250B1"/>
    <w:rsid w:val="004279B2"/>
    <w:rsid w:val="004300DD"/>
    <w:rsid w:val="00430A92"/>
    <w:rsid w:val="00431B37"/>
    <w:rsid w:val="00431D2E"/>
    <w:rsid w:val="004345BD"/>
    <w:rsid w:val="00435BD6"/>
    <w:rsid w:val="00435CF0"/>
    <w:rsid w:val="00435E1E"/>
    <w:rsid w:val="00437672"/>
    <w:rsid w:val="004416DE"/>
    <w:rsid w:val="004419BA"/>
    <w:rsid w:val="00442137"/>
    <w:rsid w:val="004426A6"/>
    <w:rsid w:val="004430DD"/>
    <w:rsid w:val="00443EF9"/>
    <w:rsid w:val="00444B1F"/>
    <w:rsid w:val="004459D5"/>
    <w:rsid w:val="00451BA8"/>
    <w:rsid w:val="00454976"/>
    <w:rsid w:val="0045554D"/>
    <w:rsid w:val="00455843"/>
    <w:rsid w:val="00455F0B"/>
    <w:rsid w:val="00460FDB"/>
    <w:rsid w:val="00462FEC"/>
    <w:rsid w:val="00465FBA"/>
    <w:rsid w:val="004676DB"/>
    <w:rsid w:val="0047029E"/>
    <w:rsid w:val="004725E6"/>
    <w:rsid w:val="004732A3"/>
    <w:rsid w:val="00474889"/>
    <w:rsid w:val="00475D5A"/>
    <w:rsid w:val="004763A6"/>
    <w:rsid w:val="00476543"/>
    <w:rsid w:val="0047732A"/>
    <w:rsid w:val="00482312"/>
    <w:rsid w:val="004832D1"/>
    <w:rsid w:val="00484FF9"/>
    <w:rsid w:val="00485B77"/>
    <w:rsid w:val="00485CEE"/>
    <w:rsid w:val="00486545"/>
    <w:rsid w:val="004918DC"/>
    <w:rsid w:val="0049370C"/>
    <w:rsid w:val="0049483F"/>
    <w:rsid w:val="00494F27"/>
    <w:rsid w:val="00495983"/>
    <w:rsid w:val="004961F1"/>
    <w:rsid w:val="004975ED"/>
    <w:rsid w:val="00497912"/>
    <w:rsid w:val="00497E3E"/>
    <w:rsid w:val="004A0C99"/>
    <w:rsid w:val="004B0AA8"/>
    <w:rsid w:val="004B0C51"/>
    <w:rsid w:val="004B187A"/>
    <w:rsid w:val="004B2B2F"/>
    <w:rsid w:val="004B3FE5"/>
    <w:rsid w:val="004B4B3D"/>
    <w:rsid w:val="004B7261"/>
    <w:rsid w:val="004B7772"/>
    <w:rsid w:val="004B7950"/>
    <w:rsid w:val="004B7AB5"/>
    <w:rsid w:val="004C1EC1"/>
    <w:rsid w:val="004C21C6"/>
    <w:rsid w:val="004C40A1"/>
    <w:rsid w:val="004C5315"/>
    <w:rsid w:val="004C5861"/>
    <w:rsid w:val="004C7307"/>
    <w:rsid w:val="004D0D6B"/>
    <w:rsid w:val="004D1785"/>
    <w:rsid w:val="004D1B84"/>
    <w:rsid w:val="004D23C6"/>
    <w:rsid w:val="004D2739"/>
    <w:rsid w:val="004D4A53"/>
    <w:rsid w:val="004D4A56"/>
    <w:rsid w:val="004D68A6"/>
    <w:rsid w:val="004E2640"/>
    <w:rsid w:val="004E3207"/>
    <w:rsid w:val="004E4331"/>
    <w:rsid w:val="004E48A5"/>
    <w:rsid w:val="004F1BA5"/>
    <w:rsid w:val="004F267F"/>
    <w:rsid w:val="004F28C8"/>
    <w:rsid w:val="004F2D67"/>
    <w:rsid w:val="004F30FD"/>
    <w:rsid w:val="004F335B"/>
    <w:rsid w:val="004F369D"/>
    <w:rsid w:val="004F3A80"/>
    <w:rsid w:val="004F4AA5"/>
    <w:rsid w:val="004F56D8"/>
    <w:rsid w:val="004F66B2"/>
    <w:rsid w:val="004F7215"/>
    <w:rsid w:val="005000C5"/>
    <w:rsid w:val="00501C37"/>
    <w:rsid w:val="00501F5A"/>
    <w:rsid w:val="00502834"/>
    <w:rsid w:val="00502EC1"/>
    <w:rsid w:val="00503831"/>
    <w:rsid w:val="00503E53"/>
    <w:rsid w:val="005049EB"/>
    <w:rsid w:val="00504EC3"/>
    <w:rsid w:val="00506EF1"/>
    <w:rsid w:val="0051066C"/>
    <w:rsid w:val="00511661"/>
    <w:rsid w:val="00511EFD"/>
    <w:rsid w:val="00512BA8"/>
    <w:rsid w:val="005135FA"/>
    <w:rsid w:val="0051392D"/>
    <w:rsid w:val="005145D5"/>
    <w:rsid w:val="0051640F"/>
    <w:rsid w:val="00516730"/>
    <w:rsid w:val="005173BA"/>
    <w:rsid w:val="005203ED"/>
    <w:rsid w:val="005206EA"/>
    <w:rsid w:val="00521418"/>
    <w:rsid w:val="00521B7F"/>
    <w:rsid w:val="00521E4F"/>
    <w:rsid w:val="00523837"/>
    <w:rsid w:val="00524D49"/>
    <w:rsid w:val="00526459"/>
    <w:rsid w:val="0052762F"/>
    <w:rsid w:val="0052763E"/>
    <w:rsid w:val="005310E9"/>
    <w:rsid w:val="00531D34"/>
    <w:rsid w:val="00531E0E"/>
    <w:rsid w:val="005326A2"/>
    <w:rsid w:val="0053275F"/>
    <w:rsid w:val="00532D11"/>
    <w:rsid w:val="00533445"/>
    <w:rsid w:val="00533B5B"/>
    <w:rsid w:val="005344D1"/>
    <w:rsid w:val="00534BA2"/>
    <w:rsid w:val="0053709C"/>
    <w:rsid w:val="00542638"/>
    <w:rsid w:val="00542954"/>
    <w:rsid w:val="00542A4F"/>
    <w:rsid w:val="0054448B"/>
    <w:rsid w:val="005445D9"/>
    <w:rsid w:val="00544CFB"/>
    <w:rsid w:val="00545033"/>
    <w:rsid w:val="00545630"/>
    <w:rsid w:val="00546C37"/>
    <w:rsid w:val="00547708"/>
    <w:rsid w:val="005500A5"/>
    <w:rsid w:val="00550191"/>
    <w:rsid w:val="00552284"/>
    <w:rsid w:val="0055333F"/>
    <w:rsid w:val="00554546"/>
    <w:rsid w:val="00556079"/>
    <w:rsid w:val="00556AE7"/>
    <w:rsid w:val="00557109"/>
    <w:rsid w:val="0056003F"/>
    <w:rsid w:val="00562726"/>
    <w:rsid w:val="00565D7E"/>
    <w:rsid w:val="005703F4"/>
    <w:rsid w:val="0057085D"/>
    <w:rsid w:val="00570E5C"/>
    <w:rsid w:val="005718F7"/>
    <w:rsid w:val="00571E79"/>
    <w:rsid w:val="005738DF"/>
    <w:rsid w:val="00574626"/>
    <w:rsid w:val="00574B46"/>
    <w:rsid w:val="00576131"/>
    <w:rsid w:val="00577923"/>
    <w:rsid w:val="0058055C"/>
    <w:rsid w:val="00581224"/>
    <w:rsid w:val="005834E0"/>
    <w:rsid w:val="005834F8"/>
    <w:rsid w:val="00585D7C"/>
    <w:rsid w:val="005863CD"/>
    <w:rsid w:val="0058712B"/>
    <w:rsid w:val="005902E8"/>
    <w:rsid w:val="0059086C"/>
    <w:rsid w:val="005914A4"/>
    <w:rsid w:val="00591F54"/>
    <w:rsid w:val="00592A5B"/>
    <w:rsid w:val="00592AA1"/>
    <w:rsid w:val="00592E08"/>
    <w:rsid w:val="00594608"/>
    <w:rsid w:val="00595E51"/>
    <w:rsid w:val="00596AA8"/>
    <w:rsid w:val="00596E05"/>
    <w:rsid w:val="005A259F"/>
    <w:rsid w:val="005A2959"/>
    <w:rsid w:val="005A71B0"/>
    <w:rsid w:val="005A7641"/>
    <w:rsid w:val="005B0D9F"/>
    <w:rsid w:val="005B25FD"/>
    <w:rsid w:val="005B352F"/>
    <w:rsid w:val="005B5EDC"/>
    <w:rsid w:val="005B644D"/>
    <w:rsid w:val="005B6AEA"/>
    <w:rsid w:val="005B7738"/>
    <w:rsid w:val="005C1F18"/>
    <w:rsid w:val="005C1F6F"/>
    <w:rsid w:val="005C2001"/>
    <w:rsid w:val="005C4747"/>
    <w:rsid w:val="005C4A9D"/>
    <w:rsid w:val="005C4B6B"/>
    <w:rsid w:val="005C6492"/>
    <w:rsid w:val="005C7E1E"/>
    <w:rsid w:val="005D113D"/>
    <w:rsid w:val="005D19CC"/>
    <w:rsid w:val="005D4901"/>
    <w:rsid w:val="005D6FB1"/>
    <w:rsid w:val="005D78CE"/>
    <w:rsid w:val="005D7F12"/>
    <w:rsid w:val="005E07B7"/>
    <w:rsid w:val="005E0B73"/>
    <w:rsid w:val="005E102B"/>
    <w:rsid w:val="005E1C2C"/>
    <w:rsid w:val="005E27A5"/>
    <w:rsid w:val="005E2FE3"/>
    <w:rsid w:val="005E3B09"/>
    <w:rsid w:val="005E5EAF"/>
    <w:rsid w:val="005E6CEB"/>
    <w:rsid w:val="005E7B36"/>
    <w:rsid w:val="005F00B8"/>
    <w:rsid w:val="005F0484"/>
    <w:rsid w:val="005F34B4"/>
    <w:rsid w:val="005F54D6"/>
    <w:rsid w:val="005F5886"/>
    <w:rsid w:val="005F5887"/>
    <w:rsid w:val="005F5C92"/>
    <w:rsid w:val="005F613A"/>
    <w:rsid w:val="005F6906"/>
    <w:rsid w:val="005F77CC"/>
    <w:rsid w:val="006002AA"/>
    <w:rsid w:val="0060127B"/>
    <w:rsid w:val="006012FF"/>
    <w:rsid w:val="00601884"/>
    <w:rsid w:val="0060188F"/>
    <w:rsid w:val="006021F9"/>
    <w:rsid w:val="0060222B"/>
    <w:rsid w:val="00605F5B"/>
    <w:rsid w:val="00610A37"/>
    <w:rsid w:val="00613066"/>
    <w:rsid w:val="0061329D"/>
    <w:rsid w:val="00613AED"/>
    <w:rsid w:val="00613B1C"/>
    <w:rsid w:val="00613FFF"/>
    <w:rsid w:val="006144B9"/>
    <w:rsid w:val="00616137"/>
    <w:rsid w:val="00617BA9"/>
    <w:rsid w:val="00620868"/>
    <w:rsid w:val="00621347"/>
    <w:rsid w:val="00621C9C"/>
    <w:rsid w:val="0062278F"/>
    <w:rsid w:val="00622DC2"/>
    <w:rsid w:val="0062334B"/>
    <w:rsid w:val="006246F9"/>
    <w:rsid w:val="00624CD6"/>
    <w:rsid w:val="0062561B"/>
    <w:rsid w:val="00627F1A"/>
    <w:rsid w:val="00631ADB"/>
    <w:rsid w:val="006347E0"/>
    <w:rsid w:val="00634FE4"/>
    <w:rsid w:val="00635518"/>
    <w:rsid w:val="00635821"/>
    <w:rsid w:val="00635BBE"/>
    <w:rsid w:val="00642772"/>
    <w:rsid w:val="006428F2"/>
    <w:rsid w:val="0064412E"/>
    <w:rsid w:val="0064544A"/>
    <w:rsid w:val="00645DFA"/>
    <w:rsid w:val="00647474"/>
    <w:rsid w:val="00651854"/>
    <w:rsid w:val="00651E21"/>
    <w:rsid w:val="00652595"/>
    <w:rsid w:val="006528A6"/>
    <w:rsid w:val="00655249"/>
    <w:rsid w:val="00656B88"/>
    <w:rsid w:val="006575C6"/>
    <w:rsid w:val="006608A2"/>
    <w:rsid w:val="00660B9A"/>
    <w:rsid w:val="00661079"/>
    <w:rsid w:val="00663AE0"/>
    <w:rsid w:val="00664683"/>
    <w:rsid w:val="00666076"/>
    <w:rsid w:val="00666319"/>
    <w:rsid w:val="006670CD"/>
    <w:rsid w:val="00670F23"/>
    <w:rsid w:val="0067177C"/>
    <w:rsid w:val="00671EDC"/>
    <w:rsid w:val="00671F8A"/>
    <w:rsid w:val="006727D6"/>
    <w:rsid w:val="00672B4F"/>
    <w:rsid w:val="006733B1"/>
    <w:rsid w:val="006742C1"/>
    <w:rsid w:val="00674472"/>
    <w:rsid w:val="006754C6"/>
    <w:rsid w:val="00676C8B"/>
    <w:rsid w:val="0068169C"/>
    <w:rsid w:val="006827F3"/>
    <w:rsid w:val="0068438D"/>
    <w:rsid w:val="0068449B"/>
    <w:rsid w:val="006849C9"/>
    <w:rsid w:val="00686A9A"/>
    <w:rsid w:val="00686CEB"/>
    <w:rsid w:val="006872DF"/>
    <w:rsid w:val="00687513"/>
    <w:rsid w:val="00687EFC"/>
    <w:rsid w:val="006921B3"/>
    <w:rsid w:val="006931B5"/>
    <w:rsid w:val="0069320C"/>
    <w:rsid w:val="00693927"/>
    <w:rsid w:val="00693C63"/>
    <w:rsid w:val="00693DFA"/>
    <w:rsid w:val="00695135"/>
    <w:rsid w:val="00695C90"/>
    <w:rsid w:val="00696603"/>
    <w:rsid w:val="006969A1"/>
    <w:rsid w:val="00697CCC"/>
    <w:rsid w:val="006A2A2D"/>
    <w:rsid w:val="006A3AA7"/>
    <w:rsid w:val="006A6FC6"/>
    <w:rsid w:val="006B4E28"/>
    <w:rsid w:val="006B6E81"/>
    <w:rsid w:val="006B7C0B"/>
    <w:rsid w:val="006B7FA3"/>
    <w:rsid w:val="006C0D47"/>
    <w:rsid w:val="006C24D6"/>
    <w:rsid w:val="006C5DE4"/>
    <w:rsid w:val="006D04BB"/>
    <w:rsid w:val="006D0E42"/>
    <w:rsid w:val="006D0F84"/>
    <w:rsid w:val="006D1A70"/>
    <w:rsid w:val="006D1B31"/>
    <w:rsid w:val="006D219A"/>
    <w:rsid w:val="006D243F"/>
    <w:rsid w:val="006D3279"/>
    <w:rsid w:val="006D33EC"/>
    <w:rsid w:val="006D3E8C"/>
    <w:rsid w:val="006D441E"/>
    <w:rsid w:val="006D66A9"/>
    <w:rsid w:val="006D77DE"/>
    <w:rsid w:val="006E00B8"/>
    <w:rsid w:val="006E1145"/>
    <w:rsid w:val="006E1E02"/>
    <w:rsid w:val="006E1E8D"/>
    <w:rsid w:val="006E346A"/>
    <w:rsid w:val="006E3890"/>
    <w:rsid w:val="006E69B9"/>
    <w:rsid w:val="006E78FC"/>
    <w:rsid w:val="006E7B44"/>
    <w:rsid w:val="006E7F2E"/>
    <w:rsid w:val="006F1AF6"/>
    <w:rsid w:val="006F20B3"/>
    <w:rsid w:val="006F2209"/>
    <w:rsid w:val="006F234B"/>
    <w:rsid w:val="006F411C"/>
    <w:rsid w:val="006F4301"/>
    <w:rsid w:val="006F72FC"/>
    <w:rsid w:val="0070014E"/>
    <w:rsid w:val="00700244"/>
    <w:rsid w:val="0070122F"/>
    <w:rsid w:val="00702CB0"/>
    <w:rsid w:val="00702D36"/>
    <w:rsid w:val="007062A3"/>
    <w:rsid w:val="00706968"/>
    <w:rsid w:val="00706D34"/>
    <w:rsid w:val="00710FA0"/>
    <w:rsid w:val="00711067"/>
    <w:rsid w:val="00712035"/>
    <w:rsid w:val="00716711"/>
    <w:rsid w:val="0071718F"/>
    <w:rsid w:val="00722B2D"/>
    <w:rsid w:val="00722BD8"/>
    <w:rsid w:val="00723363"/>
    <w:rsid w:val="00723A0C"/>
    <w:rsid w:val="007247DE"/>
    <w:rsid w:val="007268FD"/>
    <w:rsid w:val="007271EB"/>
    <w:rsid w:val="00727214"/>
    <w:rsid w:val="0073163D"/>
    <w:rsid w:val="00734053"/>
    <w:rsid w:val="00734202"/>
    <w:rsid w:val="0073603B"/>
    <w:rsid w:val="007370C5"/>
    <w:rsid w:val="00737836"/>
    <w:rsid w:val="00737BC2"/>
    <w:rsid w:val="007404E7"/>
    <w:rsid w:val="007410BF"/>
    <w:rsid w:val="00742DBA"/>
    <w:rsid w:val="00743CAA"/>
    <w:rsid w:val="00744118"/>
    <w:rsid w:val="007457E3"/>
    <w:rsid w:val="007459E3"/>
    <w:rsid w:val="007471E6"/>
    <w:rsid w:val="00747200"/>
    <w:rsid w:val="00747243"/>
    <w:rsid w:val="0075055A"/>
    <w:rsid w:val="00750586"/>
    <w:rsid w:val="00751625"/>
    <w:rsid w:val="00751AC6"/>
    <w:rsid w:val="007533FE"/>
    <w:rsid w:val="00753FA9"/>
    <w:rsid w:val="007545E7"/>
    <w:rsid w:val="00755329"/>
    <w:rsid w:val="007574C3"/>
    <w:rsid w:val="0076056C"/>
    <w:rsid w:val="0076155E"/>
    <w:rsid w:val="00763E8B"/>
    <w:rsid w:val="00764131"/>
    <w:rsid w:val="007645F9"/>
    <w:rsid w:val="0076504F"/>
    <w:rsid w:val="0076574F"/>
    <w:rsid w:val="00765C37"/>
    <w:rsid w:val="00765DB3"/>
    <w:rsid w:val="00766593"/>
    <w:rsid w:val="00766798"/>
    <w:rsid w:val="00767B58"/>
    <w:rsid w:val="00771444"/>
    <w:rsid w:val="00771557"/>
    <w:rsid w:val="00772329"/>
    <w:rsid w:val="0077298C"/>
    <w:rsid w:val="0077683F"/>
    <w:rsid w:val="007768BA"/>
    <w:rsid w:val="00776F84"/>
    <w:rsid w:val="007779DB"/>
    <w:rsid w:val="0078003C"/>
    <w:rsid w:val="00780A90"/>
    <w:rsid w:val="00781CAE"/>
    <w:rsid w:val="00783C0D"/>
    <w:rsid w:val="00784276"/>
    <w:rsid w:val="00787579"/>
    <w:rsid w:val="0078773C"/>
    <w:rsid w:val="007901D2"/>
    <w:rsid w:val="00790A7B"/>
    <w:rsid w:val="007911FA"/>
    <w:rsid w:val="0079294B"/>
    <w:rsid w:val="007943A2"/>
    <w:rsid w:val="007952FF"/>
    <w:rsid w:val="00795447"/>
    <w:rsid w:val="00795D26"/>
    <w:rsid w:val="00796B68"/>
    <w:rsid w:val="00797576"/>
    <w:rsid w:val="00797DBD"/>
    <w:rsid w:val="007A040C"/>
    <w:rsid w:val="007A2310"/>
    <w:rsid w:val="007A235A"/>
    <w:rsid w:val="007A23C3"/>
    <w:rsid w:val="007A28E2"/>
    <w:rsid w:val="007A2BE8"/>
    <w:rsid w:val="007A39AB"/>
    <w:rsid w:val="007A7730"/>
    <w:rsid w:val="007B0775"/>
    <w:rsid w:val="007B0F5D"/>
    <w:rsid w:val="007B202C"/>
    <w:rsid w:val="007B23CF"/>
    <w:rsid w:val="007B3503"/>
    <w:rsid w:val="007B54D6"/>
    <w:rsid w:val="007B7473"/>
    <w:rsid w:val="007B7FDC"/>
    <w:rsid w:val="007C2AED"/>
    <w:rsid w:val="007C2E91"/>
    <w:rsid w:val="007C4B22"/>
    <w:rsid w:val="007C4D25"/>
    <w:rsid w:val="007C679A"/>
    <w:rsid w:val="007D04CB"/>
    <w:rsid w:val="007D057E"/>
    <w:rsid w:val="007D2630"/>
    <w:rsid w:val="007D2B4C"/>
    <w:rsid w:val="007D31D8"/>
    <w:rsid w:val="007D7526"/>
    <w:rsid w:val="007D78DF"/>
    <w:rsid w:val="007D7A71"/>
    <w:rsid w:val="007E085E"/>
    <w:rsid w:val="007E10B2"/>
    <w:rsid w:val="007E16A2"/>
    <w:rsid w:val="007E1A33"/>
    <w:rsid w:val="007E21C0"/>
    <w:rsid w:val="007E30C8"/>
    <w:rsid w:val="007E36C3"/>
    <w:rsid w:val="007E39FF"/>
    <w:rsid w:val="007E41E8"/>
    <w:rsid w:val="007E4249"/>
    <w:rsid w:val="007E51EB"/>
    <w:rsid w:val="007E5772"/>
    <w:rsid w:val="007F0EF6"/>
    <w:rsid w:val="007F13E8"/>
    <w:rsid w:val="007F36FB"/>
    <w:rsid w:val="007F3AFC"/>
    <w:rsid w:val="007F3E6B"/>
    <w:rsid w:val="007F4D6F"/>
    <w:rsid w:val="00800855"/>
    <w:rsid w:val="008020C5"/>
    <w:rsid w:val="00803135"/>
    <w:rsid w:val="00803CF8"/>
    <w:rsid w:val="00805D1B"/>
    <w:rsid w:val="00806657"/>
    <w:rsid w:val="00806A29"/>
    <w:rsid w:val="00807646"/>
    <w:rsid w:val="00807E51"/>
    <w:rsid w:val="00816E83"/>
    <w:rsid w:val="008175EC"/>
    <w:rsid w:val="00817CE3"/>
    <w:rsid w:val="00820056"/>
    <w:rsid w:val="008218CA"/>
    <w:rsid w:val="00821C25"/>
    <w:rsid w:val="00823B81"/>
    <w:rsid w:val="00823BE1"/>
    <w:rsid w:val="008254A3"/>
    <w:rsid w:val="00825E58"/>
    <w:rsid w:val="00826B91"/>
    <w:rsid w:val="00830FB7"/>
    <w:rsid w:val="00831FCE"/>
    <w:rsid w:val="00832555"/>
    <w:rsid w:val="00833086"/>
    <w:rsid w:val="0083311C"/>
    <w:rsid w:val="0083498F"/>
    <w:rsid w:val="00837108"/>
    <w:rsid w:val="00837B9F"/>
    <w:rsid w:val="0084002C"/>
    <w:rsid w:val="0084018A"/>
    <w:rsid w:val="008401DE"/>
    <w:rsid w:val="008401EF"/>
    <w:rsid w:val="00840E05"/>
    <w:rsid w:val="0084124F"/>
    <w:rsid w:val="0084220F"/>
    <w:rsid w:val="008424B8"/>
    <w:rsid w:val="0084513E"/>
    <w:rsid w:val="0084642F"/>
    <w:rsid w:val="008502DE"/>
    <w:rsid w:val="00851115"/>
    <w:rsid w:val="0085187B"/>
    <w:rsid w:val="008519FE"/>
    <w:rsid w:val="00852219"/>
    <w:rsid w:val="00852751"/>
    <w:rsid w:val="008539AB"/>
    <w:rsid w:val="00854537"/>
    <w:rsid w:val="008575B9"/>
    <w:rsid w:val="008578C3"/>
    <w:rsid w:val="00860126"/>
    <w:rsid w:val="00860A5B"/>
    <w:rsid w:val="00861050"/>
    <w:rsid w:val="00861FD2"/>
    <w:rsid w:val="008620B5"/>
    <w:rsid w:val="00862788"/>
    <w:rsid w:val="008630A7"/>
    <w:rsid w:val="00867026"/>
    <w:rsid w:val="0087208B"/>
    <w:rsid w:val="008725AB"/>
    <w:rsid w:val="0087338D"/>
    <w:rsid w:val="00874C5C"/>
    <w:rsid w:val="00875E87"/>
    <w:rsid w:val="00876B56"/>
    <w:rsid w:val="00877B51"/>
    <w:rsid w:val="00880826"/>
    <w:rsid w:val="00881A3D"/>
    <w:rsid w:val="00883D2A"/>
    <w:rsid w:val="008840FC"/>
    <w:rsid w:val="0089137C"/>
    <w:rsid w:val="008948E3"/>
    <w:rsid w:val="00895676"/>
    <w:rsid w:val="00895D06"/>
    <w:rsid w:val="008971D6"/>
    <w:rsid w:val="0089746B"/>
    <w:rsid w:val="00897AC2"/>
    <w:rsid w:val="008A08DA"/>
    <w:rsid w:val="008A0984"/>
    <w:rsid w:val="008A0F41"/>
    <w:rsid w:val="008A1590"/>
    <w:rsid w:val="008A21CD"/>
    <w:rsid w:val="008A2D59"/>
    <w:rsid w:val="008A3E57"/>
    <w:rsid w:val="008A3EA9"/>
    <w:rsid w:val="008B2475"/>
    <w:rsid w:val="008B293C"/>
    <w:rsid w:val="008B3F71"/>
    <w:rsid w:val="008B40DF"/>
    <w:rsid w:val="008B44B5"/>
    <w:rsid w:val="008B4AD2"/>
    <w:rsid w:val="008B501A"/>
    <w:rsid w:val="008C08D4"/>
    <w:rsid w:val="008C269A"/>
    <w:rsid w:val="008C2907"/>
    <w:rsid w:val="008C2C6B"/>
    <w:rsid w:val="008C309D"/>
    <w:rsid w:val="008C38DE"/>
    <w:rsid w:val="008C3C08"/>
    <w:rsid w:val="008C7371"/>
    <w:rsid w:val="008C74DA"/>
    <w:rsid w:val="008D0178"/>
    <w:rsid w:val="008D0885"/>
    <w:rsid w:val="008D1C16"/>
    <w:rsid w:val="008D1EA1"/>
    <w:rsid w:val="008D23B6"/>
    <w:rsid w:val="008D2AC8"/>
    <w:rsid w:val="008D3FF4"/>
    <w:rsid w:val="008D4979"/>
    <w:rsid w:val="008D5440"/>
    <w:rsid w:val="008D6B22"/>
    <w:rsid w:val="008E245E"/>
    <w:rsid w:val="008E2749"/>
    <w:rsid w:val="008E2B04"/>
    <w:rsid w:val="008E3717"/>
    <w:rsid w:val="008F12E4"/>
    <w:rsid w:val="008F1822"/>
    <w:rsid w:val="008F1C13"/>
    <w:rsid w:val="008F4856"/>
    <w:rsid w:val="008F4E79"/>
    <w:rsid w:val="008F5A52"/>
    <w:rsid w:val="008F5D29"/>
    <w:rsid w:val="008F71D5"/>
    <w:rsid w:val="00900118"/>
    <w:rsid w:val="0090230F"/>
    <w:rsid w:val="0090388C"/>
    <w:rsid w:val="00905CA4"/>
    <w:rsid w:val="009067BA"/>
    <w:rsid w:val="009070F7"/>
    <w:rsid w:val="00907998"/>
    <w:rsid w:val="009112E7"/>
    <w:rsid w:val="00912EFD"/>
    <w:rsid w:val="009146C9"/>
    <w:rsid w:val="009151F8"/>
    <w:rsid w:val="00915736"/>
    <w:rsid w:val="009158FC"/>
    <w:rsid w:val="0091599B"/>
    <w:rsid w:val="009159C3"/>
    <w:rsid w:val="00916DA6"/>
    <w:rsid w:val="009179E6"/>
    <w:rsid w:val="00920A81"/>
    <w:rsid w:val="00920D1E"/>
    <w:rsid w:val="009224A6"/>
    <w:rsid w:val="0092399C"/>
    <w:rsid w:val="009260BE"/>
    <w:rsid w:val="0092724E"/>
    <w:rsid w:val="00927783"/>
    <w:rsid w:val="009306B4"/>
    <w:rsid w:val="00930E83"/>
    <w:rsid w:val="0093168F"/>
    <w:rsid w:val="00932BBF"/>
    <w:rsid w:val="00933280"/>
    <w:rsid w:val="009344D1"/>
    <w:rsid w:val="00934707"/>
    <w:rsid w:val="009358D8"/>
    <w:rsid w:val="00936F04"/>
    <w:rsid w:val="00940900"/>
    <w:rsid w:val="00941D32"/>
    <w:rsid w:val="00941D95"/>
    <w:rsid w:val="009422E2"/>
    <w:rsid w:val="009426D1"/>
    <w:rsid w:val="009431D4"/>
    <w:rsid w:val="00943B13"/>
    <w:rsid w:val="00943C77"/>
    <w:rsid w:val="00944E93"/>
    <w:rsid w:val="00945698"/>
    <w:rsid w:val="00952378"/>
    <w:rsid w:val="00953C8F"/>
    <w:rsid w:val="00954458"/>
    <w:rsid w:val="00954818"/>
    <w:rsid w:val="009567A1"/>
    <w:rsid w:val="00956DBA"/>
    <w:rsid w:val="009572A1"/>
    <w:rsid w:val="0096019E"/>
    <w:rsid w:val="0096050D"/>
    <w:rsid w:val="00962B38"/>
    <w:rsid w:val="00965538"/>
    <w:rsid w:val="00966825"/>
    <w:rsid w:val="009673FF"/>
    <w:rsid w:val="00970B46"/>
    <w:rsid w:val="00972593"/>
    <w:rsid w:val="00973760"/>
    <w:rsid w:val="00974E39"/>
    <w:rsid w:val="009753C4"/>
    <w:rsid w:val="00975736"/>
    <w:rsid w:val="00975963"/>
    <w:rsid w:val="00975C02"/>
    <w:rsid w:val="0097650F"/>
    <w:rsid w:val="00980F48"/>
    <w:rsid w:val="009847AB"/>
    <w:rsid w:val="00986012"/>
    <w:rsid w:val="0098699B"/>
    <w:rsid w:val="00986E81"/>
    <w:rsid w:val="00987185"/>
    <w:rsid w:val="0098726E"/>
    <w:rsid w:val="00992A29"/>
    <w:rsid w:val="00993BC6"/>
    <w:rsid w:val="00994574"/>
    <w:rsid w:val="00995FED"/>
    <w:rsid w:val="009978C7"/>
    <w:rsid w:val="009A04C3"/>
    <w:rsid w:val="009A2326"/>
    <w:rsid w:val="009A2A2C"/>
    <w:rsid w:val="009A3015"/>
    <w:rsid w:val="009A310C"/>
    <w:rsid w:val="009A38A8"/>
    <w:rsid w:val="009A3F44"/>
    <w:rsid w:val="009A4037"/>
    <w:rsid w:val="009A4EB1"/>
    <w:rsid w:val="009A5801"/>
    <w:rsid w:val="009A5A38"/>
    <w:rsid w:val="009A60A2"/>
    <w:rsid w:val="009A642F"/>
    <w:rsid w:val="009A7315"/>
    <w:rsid w:val="009A7424"/>
    <w:rsid w:val="009B1553"/>
    <w:rsid w:val="009B2F0C"/>
    <w:rsid w:val="009B425F"/>
    <w:rsid w:val="009B496C"/>
    <w:rsid w:val="009B56CC"/>
    <w:rsid w:val="009B5C65"/>
    <w:rsid w:val="009B6611"/>
    <w:rsid w:val="009B6628"/>
    <w:rsid w:val="009B7296"/>
    <w:rsid w:val="009C152C"/>
    <w:rsid w:val="009C16C0"/>
    <w:rsid w:val="009C1F6D"/>
    <w:rsid w:val="009C4FB2"/>
    <w:rsid w:val="009C5A47"/>
    <w:rsid w:val="009C6905"/>
    <w:rsid w:val="009C70D9"/>
    <w:rsid w:val="009D0D31"/>
    <w:rsid w:val="009D254C"/>
    <w:rsid w:val="009D2F04"/>
    <w:rsid w:val="009D33C5"/>
    <w:rsid w:val="009D35EC"/>
    <w:rsid w:val="009D3788"/>
    <w:rsid w:val="009D5639"/>
    <w:rsid w:val="009D59F9"/>
    <w:rsid w:val="009D5D83"/>
    <w:rsid w:val="009D6FEA"/>
    <w:rsid w:val="009D73AC"/>
    <w:rsid w:val="009D7457"/>
    <w:rsid w:val="009D7502"/>
    <w:rsid w:val="009D7AA2"/>
    <w:rsid w:val="009D7FFB"/>
    <w:rsid w:val="009E0791"/>
    <w:rsid w:val="009E1299"/>
    <w:rsid w:val="009E4760"/>
    <w:rsid w:val="009E4E17"/>
    <w:rsid w:val="009E58E3"/>
    <w:rsid w:val="009E5BF7"/>
    <w:rsid w:val="009E69A7"/>
    <w:rsid w:val="009F1136"/>
    <w:rsid w:val="009F1198"/>
    <w:rsid w:val="009F1604"/>
    <w:rsid w:val="009F1E4F"/>
    <w:rsid w:val="009F1EF7"/>
    <w:rsid w:val="009F3F89"/>
    <w:rsid w:val="009F6369"/>
    <w:rsid w:val="009F65D1"/>
    <w:rsid w:val="00A00BF7"/>
    <w:rsid w:val="00A016F1"/>
    <w:rsid w:val="00A021AD"/>
    <w:rsid w:val="00A05A1D"/>
    <w:rsid w:val="00A065F7"/>
    <w:rsid w:val="00A067C6"/>
    <w:rsid w:val="00A11A93"/>
    <w:rsid w:val="00A125B6"/>
    <w:rsid w:val="00A1335A"/>
    <w:rsid w:val="00A158A1"/>
    <w:rsid w:val="00A16635"/>
    <w:rsid w:val="00A16BBE"/>
    <w:rsid w:val="00A171D9"/>
    <w:rsid w:val="00A1737A"/>
    <w:rsid w:val="00A17B92"/>
    <w:rsid w:val="00A201C3"/>
    <w:rsid w:val="00A20A92"/>
    <w:rsid w:val="00A21396"/>
    <w:rsid w:val="00A2147B"/>
    <w:rsid w:val="00A22051"/>
    <w:rsid w:val="00A2264F"/>
    <w:rsid w:val="00A22F62"/>
    <w:rsid w:val="00A23A64"/>
    <w:rsid w:val="00A23EB6"/>
    <w:rsid w:val="00A244B7"/>
    <w:rsid w:val="00A24830"/>
    <w:rsid w:val="00A24D28"/>
    <w:rsid w:val="00A2551F"/>
    <w:rsid w:val="00A256CD"/>
    <w:rsid w:val="00A25BCD"/>
    <w:rsid w:val="00A27D7F"/>
    <w:rsid w:val="00A32915"/>
    <w:rsid w:val="00A3321B"/>
    <w:rsid w:val="00A34563"/>
    <w:rsid w:val="00A3658F"/>
    <w:rsid w:val="00A375AF"/>
    <w:rsid w:val="00A37DDF"/>
    <w:rsid w:val="00A40B10"/>
    <w:rsid w:val="00A42843"/>
    <w:rsid w:val="00A43FC3"/>
    <w:rsid w:val="00A45825"/>
    <w:rsid w:val="00A47650"/>
    <w:rsid w:val="00A50D63"/>
    <w:rsid w:val="00A51667"/>
    <w:rsid w:val="00A52CB5"/>
    <w:rsid w:val="00A5308E"/>
    <w:rsid w:val="00A545FB"/>
    <w:rsid w:val="00A55EE7"/>
    <w:rsid w:val="00A57A93"/>
    <w:rsid w:val="00A657E3"/>
    <w:rsid w:val="00A6669F"/>
    <w:rsid w:val="00A668ED"/>
    <w:rsid w:val="00A7041E"/>
    <w:rsid w:val="00A70948"/>
    <w:rsid w:val="00A70F30"/>
    <w:rsid w:val="00A71145"/>
    <w:rsid w:val="00A7186E"/>
    <w:rsid w:val="00A71B82"/>
    <w:rsid w:val="00A72195"/>
    <w:rsid w:val="00A74CFE"/>
    <w:rsid w:val="00A74FD9"/>
    <w:rsid w:val="00A7502E"/>
    <w:rsid w:val="00A75D23"/>
    <w:rsid w:val="00A80B5C"/>
    <w:rsid w:val="00A81744"/>
    <w:rsid w:val="00A83F64"/>
    <w:rsid w:val="00A8507D"/>
    <w:rsid w:val="00A8718E"/>
    <w:rsid w:val="00A907D2"/>
    <w:rsid w:val="00A91866"/>
    <w:rsid w:val="00A92192"/>
    <w:rsid w:val="00A92B65"/>
    <w:rsid w:val="00A937BE"/>
    <w:rsid w:val="00A93DD0"/>
    <w:rsid w:val="00A941C3"/>
    <w:rsid w:val="00A9433D"/>
    <w:rsid w:val="00A948E5"/>
    <w:rsid w:val="00A95250"/>
    <w:rsid w:val="00A9618E"/>
    <w:rsid w:val="00A966BF"/>
    <w:rsid w:val="00A966D7"/>
    <w:rsid w:val="00A96CF8"/>
    <w:rsid w:val="00AA2D60"/>
    <w:rsid w:val="00AA2F25"/>
    <w:rsid w:val="00AA3966"/>
    <w:rsid w:val="00AA3A12"/>
    <w:rsid w:val="00AA3E93"/>
    <w:rsid w:val="00AA4F2C"/>
    <w:rsid w:val="00AA59AB"/>
    <w:rsid w:val="00AA5C74"/>
    <w:rsid w:val="00AA6E05"/>
    <w:rsid w:val="00AA71D0"/>
    <w:rsid w:val="00AA726C"/>
    <w:rsid w:val="00AA7C62"/>
    <w:rsid w:val="00AB0988"/>
    <w:rsid w:val="00AB2B3D"/>
    <w:rsid w:val="00AB2B91"/>
    <w:rsid w:val="00AB3B94"/>
    <w:rsid w:val="00AB3F5C"/>
    <w:rsid w:val="00AB4B7F"/>
    <w:rsid w:val="00AB5843"/>
    <w:rsid w:val="00AB673B"/>
    <w:rsid w:val="00AB7632"/>
    <w:rsid w:val="00AC00DC"/>
    <w:rsid w:val="00AC1410"/>
    <w:rsid w:val="00AC14B4"/>
    <w:rsid w:val="00AC1616"/>
    <w:rsid w:val="00AC228F"/>
    <w:rsid w:val="00AC2D83"/>
    <w:rsid w:val="00AC3D4D"/>
    <w:rsid w:val="00AC3DDA"/>
    <w:rsid w:val="00AC5ABB"/>
    <w:rsid w:val="00AC6326"/>
    <w:rsid w:val="00AC647E"/>
    <w:rsid w:val="00AC7588"/>
    <w:rsid w:val="00AC7BBF"/>
    <w:rsid w:val="00AD33B7"/>
    <w:rsid w:val="00AD4A82"/>
    <w:rsid w:val="00AD51E0"/>
    <w:rsid w:val="00AD5B87"/>
    <w:rsid w:val="00AD65AE"/>
    <w:rsid w:val="00AD7F7C"/>
    <w:rsid w:val="00AE3184"/>
    <w:rsid w:val="00AE39C0"/>
    <w:rsid w:val="00AE4021"/>
    <w:rsid w:val="00AE4F9D"/>
    <w:rsid w:val="00AE541F"/>
    <w:rsid w:val="00AE6F51"/>
    <w:rsid w:val="00AE7469"/>
    <w:rsid w:val="00AF02B4"/>
    <w:rsid w:val="00AF08EF"/>
    <w:rsid w:val="00AF0CC5"/>
    <w:rsid w:val="00AF2FD6"/>
    <w:rsid w:val="00AF37CF"/>
    <w:rsid w:val="00AF4743"/>
    <w:rsid w:val="00AF5594"/>
    <w:rsid w:val="00AF57FF"/>
    <w:rsid w:val="00AF5EB5"/>
    <w:rsid w:val="00AF70E2"/>
    <w:rsid w:val="00AF7152"/>
    <w:rsid w:val="00AF79BB"/>
    <w:rsid w:val="00B00592"/>
    <w:rsid w:val="00B008FC"/>
    <w:rsid w:val="00B013DD"/>
    <w:rsid w:val="00B0186D"/>
    <w:rsid w:val="00B01AF9"/>
    <w:rsid w:val="00B033FC"/>
    <w:rsid w:val="00B039A7"/>
    <w:rsid w:val="00B04055"/>
    <w:rsid w:val="00B0428A"/>
    <w:rsid w:val="00B04A4D"/>
    <w:rsid w:val="00B05190"/>
    <w:rsid w:val="00B06B8D"/>
    <w:rsid w:val="00B07534"/>
    <w:rsid w:val="00B10065"/>
    <w:rsid w:val="00B1041A"/>
    <w:rsid w:val="00B11095"/>
    <w:rsid w:val="00B11A15"/>
    <w:rsid w:val="00B127B9"/>
    <w:rsid w:val="00B139D6"/>
    <w:rsid w:val="00B14A67"/>
    <w:rsid w:val="00B159D5"/>
    <w:rsid w:val="00B15F69"/>
    <w:rsid w:val="00B16AF5"/>
    <w:rsid w:val="00B20378"/>
    <w:rsid w:val="00B21A71"/>
    <w:rsid w:val="00B21ADD"/>
    <w:rsid w:val="00B222D5"/>
    <w:rsid w:val="00B23124"/>
    <w:rsid w:val="00B238BF"/>
    <w:rsid w:val="00B249A0"/>
    <w:rsid w:val="00B249BA"/>
    <w:rsid w:val="00B24B88"/>
    <w:rsid w:val="00B24E48"/>
    <w:rsid w:val="00B2522F"/>
    <w:rsid w:val="00B26067"/>
    <w:rsid w:val="00B26B81"/>
    <w:rsid w:val="00B3034C"/>
    <w:rsid w:val="00B318BB"/>
    <w:rsid w:val="00B3227F"/>
    <w:rsid w:val="00B323BF"/>
    <w:rsid w:val="00B3244F"/>
    <w:rsid w:val="00B32C91"/>
    <w:rsid w:val="00B335CC"/>
    <w:rsid w:val="00B339A5"/>
    <w:rsid w:val="00B33A7B"/>
    <w:rsid w:val="00B34148"/>
    <w:rsid w:val="00B3484D"/>
    <w:rsid w:val="00B36E61"/>
    <w:rsid w:val="00B36E7E"/>
    <w:rsid w:val="00B40230"/>
    <w:rsid w:val="00B40616"/>
    <w:rsid w:val="00B4212B"/>
    <w:rsid w:val="00B4214A"/>
    <w:rsid w:val="00B424AC"/>
    <w:rsid w:val="00B436EE"/>
    <w:rsid w:val="00B45A11"/>
    <w:rsid w:val="00B45BFA"/>
    <w:rsid w:val="00B46398"/>
    <w:rsid w:val="00B468AD"/>
    <w:rsid w:val="00B53381"/>
    <w:rsid w:val="00B54B00"/>
    <w:rsid w:val="00B5523F"/>
    <w:rsid w:val="00B55C1B"/>
    <w:rsid w:val="00B56721"/>
    <w:rsid w:val="00B571BE"/>
    <w:rsid w:val="00B6201F"/>
    <w:rsid w:val="00B64E19"/>
    <w:rsid w:val="00B651E2"/>
    <w:rsid w:val="00B6574E"/>
    <w:rsid w:val="00B6577F"/>
    <w:rsid w:val="00B66F95"/>
    <w:rsid w:val="00B67F25"/>
    <w:rsid w:val="00B7242E"/>
    <w:rsid w:val="00B72C7C"/>
    <w:rsid w:val="00B73634"/>
    <w:rsid w:val="00B738AB"/>
    <w:rsid w:val="00B73A8E"/>
    <w:rsid w:val="00B7471C"/>
    <w:rsid w:val="00B750D8"/>
    <w:rsid w:val="00B75846"/>
    <w:rsid w:val="00B75B8A"/>
    <w:rsid w:val="00B76206"/>
    <w:rsid w:val="00B83B7F"/>
    <w:rsid w:val="00B85FC6"/>
    <w:rsid w:val="00B86FE9"/>
    <w:rsid w:val="00B908A6"/>
    <w:rsid w:val="00B909EE"/>
    <w:rsid w:val="00B92919"/>
    <w:rsid w:val="00B938B3"/>
    <w:rsid w:val="00B95891"/>
    <w:rsid w:val="00B96304"/>
    <w:rsid w:val="00B9637E"/>
    <w:rsid w:val="00B966A7"/>
    <w:rsid w:val="00B97726"/>
    <w:rsid w:val="00B97957"/>
    <w:rsid w:val="00BA0225"/>
    <w:rsid w:val="00BA0B02"/>
    <w:rsid w:val="00BA3D8C"/>
    <w:rsid w:val="00BA402B"/>
    <w:rsid w:val="00BA4230"/>
    <w:rsid w:val="00BA5EC1"/>
    <w:rsid w:val="00BA5F4D"/>
    <w:rsid w:val="00BA725D"/>
    <w:rsid w:val="00BA7A63"/>
    <w:rsid w:val="00BB021F"/>
    <w:rsid w:val="00BB276E"/>
    <w:rsid w:val="00BB2E39"/>
    <w:rsid w:val="00BB5FF9"/>
    <w:rsid w:val="00BB65D8"/>
    <w:rsid w:val="00BB6CCC"/>
    <w:rsid w:val="00BC0674"/>
    <w:rsid w:val="00BC11A5"/>
    <w:rsid w:val="00BC2DB5"/>
    <w:rsid w:val="00BC449E"/>
    <w:rsid w:val="00BC50F0"/>
    <w:rsid w:val="00BC7BB4"/>
    <w:rsid w:val="00BD2C97"/>
    <w:rsid w:val="00BD3132"/>
    <w:rsid w:val="00BD4503"/>
    <w:rsid w:val="00BD4D34"/>
    <w:rsid w:val="00BD5573"/>
    <w:rsid w:val="00BD690E"/>
    <w:rsid w:val="00BD7FA8"/>
    <w:rsid w:val="00BE1FDF"/>
    <w:rsid w:val="00BE2B84"/>
    <w:rsid w:val="00BE2ECC"/>
    <w:rsid w:val="00BE2F93"/>
    <w:rsid w:val="00BE3762"/>
    <w:rsid w:val="00BE3820"/>
    <w:rsid w:val="00BE45F7"/>
    <w:rsid w:val="00BE4DD3"/>
    <w:rsid w:val="00BE541B"/>
    <w:rsid w:val="00BE7E59"/>
    <w:rsid w:val="00BF076F"/>
    <w:rsid w:val="00BF1A3C"/>
    <w:rsid w:val="00BF1C9F"/>
    <w:rsid w:val="00BF608D"/>
    <w:rsid w:val="00BF7384"/>
    <w:rsid w:val="00BF76F1"/>
    <w:rsid w:val="00C00C61"/>
    <w:rsid w:val="00C01400"/>
    <w:rsid w:val="00C02B29"/>
    <w:rsid w:val="00C043CC"/>
    <w:rsid w:val="00C051CD"/>
    <w:rsid w:val="00C0532A"/>
    <w:rsid w:val="00C05BF9"/>
    <w:rsid w:val="00C06C33"/>
    <w:rsid w:val="00C06E45"/>
    <w:rsid w:val="00C104DA"/>
    <w:rsid w:val="00C11457"/>
    <w:rsid w:val="00C1403D"/>
    <w:rsid w:val="00C1427C"/>
    <w:rsid w:val="00C154E5"/>
    <w:rsid w:val="00C16BEA"/>
    <w:rsid w:val="00C17254"/>
    <w:rsid w:val="00C22204"/>
    <w:rsid w:val="00C22D20"/>
    <w:rsid w:val="00C23A82"/>
    <w:rsid w:val="00C25580"/>
    <w:rsid w:val="00C25669"/>
    <w:rsid w:val="00C261D4"/>
    <w:rsid w:val="00C274D4"/>
    <w:rsid w:val="00C310A3"/>
    <w:rsid w:val="00C33017"/>
    <w:rsid w:val="00C33430"/>
    <w:rsid w:val="00C33584"/>
    <w:rsid w:val="00C345C4"/>
    <w:rsid w:val="00C410E6"/>
    <w:rsid w:val="00C416A1"/>
    <w:rsid w:val="00C41FC8"/>
    <w:rsid w:val="00C4212E"/>
    <w:rsid w:val="00C42FC8"/>
    <w:rsid w:val="00C43B97"/>
    <w:rsid w:val="00C441A3"/>
    <w:rsid w:val="00C445B1"/>
    <w:rsid w:val="00C4492A"/>
    <w:rsid w:val="00C4510E"/>
    <w:rsid w:val="00C457E8"/>
    <w:rsid w:val="00C4580E"/>
    <w:rsid w:val="00C459C7"/>
    <w:rsid w:val="00C46276"/>
    <w:rsid w:val="00C520D3"/>
    <w:rsid w:val="00C5249C"/>
    <w:rsid w:val="00C526E6"/>
    <w:rsid w:val="00C52FE5"/>
    <w:rsid w:val="00C54609"/>
    <w:rsid w:val="00C57009"/>
    <w:rsid w:val="00C600DE"/>
    <w:rsid w:val="00C61F52"/>
    <w:rsid w:val="00C64947"/>
    <w:rsid w:val="00C66C8A"/>
    <w:rsid w:val="00C67229"/>
    <w:rsid w:val="00C67C93"/>
    <w:rsid w:val="00C67CE9"/>
    <w:rsid w:val="00C71443"/>
    <w:rsid w:val="00C71A16"/>
    <w:rsid w:val="00C72448"/>
    <w:rsid w:val="00C7296E"/>
    <w:rsid w:val="00C732A6"/>
    <w:rsid w:val="00C75B0F"/>
    <w:rsid w:val="00C75D1B"/>
    <w:rsid w:val="00C75D23"/>
    <w:rsid w:val="00C767FA"/>
    <w:rsid w:val="00C80B37"/>
    <w:rsid w:val="00C80FB3"/>
    <w:rsid w:val="00C81C20"/>
    <w:rsid w:val="00C82099"/>
    <w:rsid w:val="00C83DFF"/>
    <w:rsid w:val="00C83E96"/>
    <w:rsid w:val="00C845FE"/>
    <w:rsid w:val="00C8783F"/>
    <w:rsid w:val="00C87CFF"/>
    <w:rsid w:val="00C90458"/>
    <w:rsid w:val="00C92720"/>
    <w:rsid w:val="00C92D71"/>
    <w:rsid w:val="00C92E7F"/>
    <w:rsid w:val="00C93DE7"/>
    <w:rsid w:val="00C95022"/>
    <w:rsid w:val="00C9551D"/>
    <w:rsid w:val="00C96350"/>
    <w:rsid w:val="00C96800"/>
    <w:rsid w:val="00C96B6A"/>
    <w:rsid w:val="00C97982"/>
    <w:rsid w:val="00C97E95"/>
    <w:rsid w:val="00CA07A6"/>
    <w:rsid w:val="00CA0814"/>
    <w:rsid w:val="00CA106C"/>
    <w:rsid w:val="00CA6D60"/>
    <w:rsid w:val="00CB10A0"/>
    <w:rsid w:val="00CB2579"/>
    <w:rsid w:val="00CB2719"/>
    <w:rsid w:val="00CB2F38"/>
    <w:rsid w:val="00CB33A1"/>
    <w:rsid w:val="00CB4704"/>
    <w:rsid w:val="00CB5E86"/>
    <w:rsid w:val="00CB7A18"/>
    <w:rsid w:val="00CB7D36"/>
    <w:rsid w:val="00CC0A53"/>
    <w:rsid w:val="00CC192A"/>
    <w:rsid w:val="00CC21DB"/>
    <w:rsid w:val="00CC30E5"/>
    <w:rsid w:val="00CC47B1"/>
    <w:rsid w:val="00CC55BE"/>
    <w:rsid w:val="00CC6AF3"/>
    <w:rsid w:val="00CC73CF"/>
    <w:rsid w:val="00CD00DE"/>
    <w:rsid w:val="00CD03B9"/>
    <w:rsid w:val="00CD095F"/>
    <w:rsid w:val="00CD168C"/>
    <w:rsid w:val="00CD18D6"/>
    <w:rsid w:val="00CD1FC1"/>
    <w:rsid w:val="00CD2490"/>
    <w:rsid w:val="00CD5B4E"/>
    <w:rsid w:val="00CD5EB8"/>
    <w:rsid w:val="00CD7194"/>
    <w:rsid w:val="00CD7327"/>
    <w:rsid w:val="00CD7773"/>
    <w:rsid w:val="00CD777C"/>
    <w:rsid w:val="00CD7818"/>
    <w:rsid w:val="00CD79C6"/>
    <w:rsid w:val="00CD7EAE"/>
    <w:rsid w:val="00CE013D"/>
    <w:rsid w:val="00CE1119"/>
    <w:rsid w:val="00CE4097"/>
    <w:rsid w:val="00CE450C"/>
    <w:rsid w:val="00CE4643"/>
    <w:rsid w:val="00CE473C"/>
    <w:rsid w:val="00CE489D"/>
    <w:rsid w:val="00CE6527"/>
    <w:rsid w:val="00CE6575"/>
    <w:rsid w:val="00CE72ED"/>
    <w:rsid w:val="00CE73E8"/>
    <w:rsid w:val="00CF0EB1"/>
    <w:rsid w:val="00CF2ABE"/>
    <w:rsid w:val="00CF32A1"/>
    <w:rsid w:val="00CF5558"/>
    <w:rsid w:val="00CF5809"/>
    <w:rsid w:val="00CF6860"/>
    <w:rsid w:val="00CF707F"/>
    <w:rsid w:val="00CF7225"/>
    <w:rsid w:val="00CF742C"/>
    <w:rsid w:val="00D027DB"/>
    <w:rsid w:val="00D0294D"/>
    <w:rsid w:val="00D03A9C"/>
    <w:rsid w:val="00D0465E"/>
    <w:rsid w:val="00D048FD"/>
    <w:rsid w:val="00D05411"/>
    <w:rsid w:val="00D05F35"/>
    <w:rsid w:val="00D07BF4"/>
    <w:rsid w:val="00D122FC"/>
    <w:rsid w:val="00D128F7"/>
    <w:rsid w:val="00D13719"/>
    <w:rsid w:val="00D13C19"/>
    <w:rsid w:val="00D15B23"/>
    <w:rsid w:val="00D161ED"/>
    <w:rsid w:val="00D1715E"/>
    <w:rsid w:val="00D177E2"/>
    <w:rsid w:val="00D17E81"/>
    <w:rsid w:val="00D2153D"/>
    <w:rsid w:val="00D22139"/>
    <w:rsid w:val="00D230D2"/>
    <w:rsid w:val="00D2355D"/>
    <w:rsid w:val="00D238CA"/>
    <w:rsid w:val="00D23AA7"/>
    <w:rsid w:val="00D244D1"/>
    <w:rsid w:val="00D24617"/>
    <w:rsid w:val="00D26309"/>
    <w:rsid w:val="00D271A1"/>
    <w:rsid w:val="00D276EF"/>
    <w:rsid w:val="00D279D1"/>
    <w:rsid w:val="00D3026E"/>
    <w:rsid w:val="00D32373"/>
    <w:rsid w:val="00D32B0A"/>
    <w:rsid w:val="00D33EBD"/>
    <w:rsid w:val="00D34015"/>
    <w:rsid w:val="00D3539E"/>
    <w:rsid w:val="00D35CBF"/>
    <w:rsid w:val="00D3710F"/>
    <w:rsid w:val="00D415EF"/>
    <w:rsid w:val="00D435AD"/>
    <w:rsid w:val="00D43B20"/>
    <w:rsid w:val="00D445E1"/>
    <w:rsid w:val="00D456B7"/>
    <w:rsid w:val="00D463C1"/>
    <w:rsid w:val="00D466B2"/>
    <w:rsid w:val="00D46822"/>
    <w:rsid w:val="00D46BEC"/>
    <w:rsid w:val="00D479DC"/>
    <w:rsid w:val="00D5333A"/>
    <w:rsid w:val="00D55282"/>
    <w:rsid w:val="00D55F13"/>
    <w:rsid w:val="00D55FC1"/>
    <w:rsid w:val="00D562FB"/>
    <w:rsid w:val="00D56E27"/>
    <w:rsid w:val="00D610EB"/>
    <w:rsid w:val="00D61E5C"/>
    <w:rsid w:val="00D623EB"/>
    <w:rsid w:val="00D6341B"/>
    <w:rsid w:val="00D63533"/>
    <w:rsid w:val="00D64958"/>
    <w:rsid w:val="00D660F2"/>
    <w:rsid w:val="00D66F07"/>
    <w:rsid w:val="00D66F1F"/>
    <w:rsid w:val="00D7043D"/>
    <w:rsid w:val="00D7201A"/>
    <w:rsid w:val="00D72925"/>
    <w:rsid w:val="00D74010"/>
    <w:rsid w:val="00D7651E"/>
    <w:rsid w:val="00D765EE"/>
    <w:rsid w:val="00D77150"/>
    <w:rsid w:val="00D77B0E"/>
    <w:rsid w:val="00D80194"/>
    <w:rsid w:val="00D813FC"/>
    <w:rsid w:val="00D82577"/>
    <w:rsid w:val="00D83EAF"/>
    <w:rsid w:val="00D84C0B"/>
    <w:rsid w:val="00D860BD"/>
    <w:rsid w:val="00D8673F"/>
    <w:rsid w:val="00D86FA8"/>
    <w:rsid w:val="00D87A11"/>
    <w:rsid w:val="00D919B9"/>
    <w:rsid w:val="00D92021"/>
    <w:rsid w:val="00D95DD0"/>
    <w:rsid w:val="00D95EB0"/>
    <w:rsid w:val="00D96348"/>
    <w:rsid w:val="00D97089"/>
    <w:rsid w:val="00DA0265"/>
    <w:rsid w:val="00DA4C29"/>
    <w:rsid w:val="00DA4E20"/>
    <w:rsid w:val="00DA68DD"/>
    <w:rsid w:val="00DA75CC"/>
    <w:rsid w:val="00DB092D"/>
    <w:rsid w:val="00DB0C79"/>
    <w:rsid w:val="00DB1A21"/>
    <w:rsid w:val="00DB1F04"/>
    <w:rsid w:val="00DB344D"/>
    <w:rsid w:val="00DB5786"/>
    <w:rsid w:val="00DB65EF"/>
    <w:rsid w:val="00DB6A21"/>
    <w:rsid w:val="00DB7C06"/>
    <w:rsid w:val="00DC092B"/>
    <w:rsid w:val="00DC0E1B"/>
    <w:rsid w:val="00DC10A7"/>
    <w:rsid w:val="00DC1C53"/>
    <w:rsid w:val="00DC1F9A"/>
    <w:rsid w:val="00DC54AC"/>
    <w:rsid w:val="00DC689F"/>
    <w:rsid w:val="00DC71EE"/>
    <w:rsid w:val="00DC7D10"/>
    <w:rsid w:val="00DD0014"/>
    <w:rsid w:val="00DD0133"/>
    <w:rsid w:val="00DD1404"/>
    <w:rsid w:val="00DD25C6"/>
    <w:rsid w:val="00DD2BC6"/>
    <w:rsid w:val="00DD4C50"/>
    <w:rsid w:val="00DE0595"/>
    <w:rsid w:val="00DE2A8D"/>
    <w:rsid w:val="00DE3C09"/>
    <w:rsid w:val="00DE4285"/>
    <w:rsid w:val="00DE73CC"/>
    <w:rsid w:val="00DF222F"/>
    <w:rsid w:val="00DF24CE"/>
    <w:rsid w:val="00DF3403"/>
    <w:rsid w:val="00DF6247"/>
    <w:rsid w:val="00DF6B83"/>
    <w:rsid w:val="00DF74EA"/>
    <w:rsid w:val="00E01CAD"/>
    <w:rsid w:val="00E02AE9"/>
    <w:rsid w:val="00E02B47"/>
    <w:rsid w:val="00E0439F"/>
    <w:rsid w:val="00E057F8"/>
    <w:rsid w:val="00E10964"/>
    <w:rsid w:val="00E10A7E"/>
    <w:rsid w:val="00E11AC8"/>
    <w:rsid w:val="00E121ED"/>
    <w:rsid w:val="00E13AE9"/>
    <w:rsid w:val="00E146DA"/>
    <w:rsid w:val="00E14A13"/>
    <w:rsid w:val="00E1528C"/>
    <w:rsid w:val="00E15B3F"/>
    <w:rsid w:val="00E17324"/>
    <w:rsid w:val="00E17C7A"/>
    <w:rsid w:val="00E20CB1"/>
    <w:rsid w:val="00E23A90"/>
    <w:rsid w:val="00E24F66"/>
    <w:rsid w:val="00E25004"/>
    <w:rsid w:val="00E263BD"/>
    <w:rsid w:val="00E26C62"/>
    <w:rsid w:val="00E30404"/>
    <w:rsid w:val="00E322BE"/>
    <w:rsid w:val="00E33543"/>
    <w:rsid w:val="00E33CB3"/>
    <w:rsid w:val="00E33D05"/>
    <w:rsid w:val="00E34C9C"/>
    <w:rsid w:val="00E406FC"/>
    <w:rsid w:val="00E423BC"/>
    <w:rsid w:val="00E44C41"/>
    <w:rsid w:val="00E45040"/>
    <w:rsid w:val="00E45E5E"/>
    <w:rsid w:val="00E463D3"/>
    <w:rsid w:val="00E46DBC"/>
    <w:rsid w:val="00E47A48"/>
    <w:rsid w:val="00E50133"/>
    <w:rsid w:val="00E502AD"/>
    <w:rsid w:val="00E50E5D"/>
    <w:rsid w:val="00E51FA8"/>
    <w:rsid w:val="00E522D2"/>
    <w:rsid w:val="00E53752"/>
    <w:rsid w:val="00E5425D"/>
    <w:rsid w:val="00E543FF"/>
    <w:rsid w:val="00E548E6"/>
    <w:rsid w:val="00E54C48"/>
    <w:rsid w:val="00E579ED"/>
    <w:rsid w:val="00E6052C"/>
    <w:rsid w:val="00E6127A"/>
    <w:rsid w:val="00E63B66"/>
    <w:rsid w:val="00E658FB"/>
    <w:rsid w:val="00E67BF3"/>
    <w:rsid w:val="00E7179B"/>
    <w:rsid w:val="00E71B2B"/>
    <w:rsid w:val="00E72169"/>
    <w:rsid w:val="00E723CB"/>
    <w:rsid w:val="00E72C93"/>
    <w:rsid w:val="00E7310C"/>
    <w:rsid w:val="00E733E5"/>
    <w:rsid w:val="00E74D4A"/>
    <w:rsid w:val="00E8025E"/>
    <w:rsid w:val="00E807F3"/>
    <w:rsid w:val="00E80D63"/>
    <w:rsid w:val="00E81657"/>
    <w:rsid w:val="00E82E15"/>
    <w:rsid w:val="00E84A41"/>
    <w:rsid w:val="00E84DE1"/>
    <w:rsid w:val="00E93246"/>
    <w:rsid w:val="00E94BF3"/>
    <w:rsid w:val="00E958CC"/>
    <w:rsid w:val="00E95928"/>
    <w:rsid w:val="00E95C91"/>
    <w:rsid w:val="00E9749B"/>
    <w:rsid w:val="00E97AC9"/>
    <w:rsid w:val="00EA1131"/>
    <w:rsid w:val="00EA1265"/>
    <w:rsid w:val="00EA1FE9"/>
    <w:rsid w:val="00EA26BC"/>
    <w:rsid w:val="00EA29DE"/>
    <w:rsid w:val="00EA2D86"/>
    <w:rsid w:val="00EA4211"/>
    <w:rsid w:val="00EA636E"/>
    <w:rsid w:val="00EA6DA7"/>
    <w:rsid w:val="00EA6F34"/>
    <w:rsid w:val="00EA71A9"/>
    <w:rsid w:val="00EA731D"/>
    <w:rsid w:val="00EA7F24"/>
    <w:rsid w:val="00EB04DA"/>
    <w:rsid w:val="00EB07E6"/>
    <w:rsid w:val="00EB1285"/>
    <w:rsid w:val="00EB2F21"/>
    <w:rsid w:val="00EB4BFB"/>
    <w:rsid w:val="00EB4E67"/>
    <w:rsid w:val="00EB6949"/>
    <w:rsid w:val="00EB69DE"/>
    <w:rsid w:val="00EC08C2"/>
    <w:rsid w:val="00EC206A"/>
    <w:rsid w:val="00EC331D"/>
    <w:rsid w:val="00EC3E12"/>
    <w:rsid w:val="00EC4608"/>
    <w:rsid w:val="00EC4A8B"/>
    <w:rsid w:val="00EC64E7"/>
    <w:rsid w:val="00EC7007"/>
    <w:rsid w:val="00EC7737"/>
    <w:rsid w:val="00ED0E90"/>
    <w:rsid w:val="00ED165E"/>
    <w:rsid w:val="00ED20ED"/>
    <w:rsid w:val="00ED2138"/>
    <w:rsid w:val="00ED2B83"/>
    <w:rsid w:val="00ED356C"/>
    <w:rsid w:val="00ED3BE4"/>
    <w:rsid w:val="00ED56F3"/>
    <w:rsid w:val="00EE05AA"/>
    <w:rsid w:val="00EE0F90"/>
    <w:rsid w:val="00EE219F"/>
    <w:rsid w:val="00EE2DA4"/>
    <w:rsid w:val="00EE5945"/>
    <w:rsid w:val="00EE5D78"/>
    <w:rsid w:val="00EE71DD"/>
    <w:rsid w:val="00EE7D9E"/>
    <w:rsid w:val="00EF0BB0"/>
    <w:rsid w:val="00EF1DAE"/>
    <w:rsid w:val="00EF3DFB"/>
    <w:rsid w:val="00EF530A"/>
    <w:rsid w:val="00EF58D4"/>
    <w:rsid w:val="00EF75B9"/>
    <w:rsid w:val="00EF7907"/>
    <w:rsid w:val="00F001AB"/>
    <w:rsid w:val="00F00913"/>
    <w:rsid w:val="00F00B83"/>
    <w:rsid w:val="00F00C5F"/>
    <w:rsid w:val="00F01FED"/>
    <w:rsid w:val="00F02F87"/>
    <w:rsid w:val="00F03464"/>
    <w:rsid w:val="00F068CD"/>
    <w:rsid w:val="00F07DA0"/>
    <w:rsid w:val="00F14727"/>
    <w:rsid w:val="00F1521B"/>
    <w:rsid w:val="00F15A11"/>
    <w:rsid w:val="00F15EAB"/>
    <w:rsid w:val="00F16D93"/>
    <w:rsid w:val="00F17E10"/>
    <w:rsid w:val="00F25357"/>
    <w:rsid w:val="00F25C7C"/>
    <w:rsid w:val="00F26D6D"/>
    <w:rsid w:val="00F273EB"/>
    <w:rsid w:val="00F27E93"/>
    <w:rsid w:val="00F3304B"/>
    <w:rsid w:val="00F33131"/>
    <w:rsid w:val="00F33B17"/>
    <w:rsid w:val="00F3479F"/>
    <w:rsid w:val="00F3528C"/>
    <w:rsid w:val="00F354F0"/>
    <w:rsid w:val="00F3753C"/>
    <w:rsid w:val="00F400ED"/>
    <w:rsid w:val="00F40483"/>
    <w:rsid w:val="00F4156E"/>
    <w:rsid w:val="00F43729"/>
    <w:rsid w:val="00F445C4"/>
    <w:rsid w:val="00F46D79"/>
    <w:rsid w:val="00F506E0"/>
    <w:rsid w:val="00F51B8A"/>
    <w:rsid w:val="00F53C39"/>
    <w:rsid w:val="00F53E55"/>
    <w:rsid w:val="00F54343"/>
    <w:rsid w:val="00F54807"/>
    <w:rsid w:val="00F550A8"/>
    <w:rsid w:val="00F556B4"/>
    <w:rsid w:val="00F60B9B"/>
    <w:rsid w:val="00F61A0D"/>
    <w:rsid w:val="00F62BBD"/>
    <w:rsid w:val="00F6371C"/>
    <w:rsid w:val="00F65BBB"/>
    <w:rsid w:val="00F6636B"/>
    <w:rsid w:val="00F67230"/>
    <w:rsid w:val="00F6732D"/>
    <w:rsid w:val="00F67CEA"/>
    <w:rsid w:val="00F707A1"/>
    <w:rsid w:val="00F70B54"/>
    <w:rsid w:val="00F737F7"/>
    <w:rsid w:val="00F75641"/>
    <w:rsid w:val="00F76168"/>
    <w:rsid w:val="00F76CFF"/>
    <w:rsid w:val="00F809A7"/>
    <w:rsid w:val="00F80B7E"/>
    <w:rsid w:val="00F81C74"/>
    <w:rsid w:val="00F84C3E"/>
    <w:rsid w:val="00F855AA"/>
    <w:rsid w:val="00F85C96"/>
    <w:rsid w:val="00F860B0"/>
    <w:rsid w:val="00F86473"/>
    <w:rsid w:val="00F8679C"/>
    <w:rsid w:val="00F8713F"/>
    <w:rsid w:val="00F8788B"/>
    <w:rsid w:val="00F91E4B"/>
    <w:rsid w:val="00F92921"/>
    <w:rsid w:val="00F93677"/>
    <w:rsid w:val="00F948D8"/>
    <w:rsid w:val="00F95BBE"/>
    <w:rsid w:val="00F96DE1"/>
    <w:rsid w:val="00FA021D"/>
    <w:rsid w:val="00FA08DA"/>
    <w:rsid w:val="00FA1B50"/>
    <w:rsid w:val="00FA2FC4"/>
    <w:rsid w:val="00FA3FB2"/>
    <w:rsid w:val="00FA4A53"/>
    <w:rsid w:val="00FA6110"/>
    <w:rsid w:val="00FA6F5B"/>
    <w:rsid w:val="00FA7CFB"/>
    <w:rsid w:val="00FB3EA5"/>
    <w:rsid w:val="00FB44A5"/>
    <w:rsid w:val="00FB6624"/>
    <w:rsid w:val="00FB6674"/>
    <w:rsid w:val="00FB7081"/>
    <w:rsid w:val="00FC0074"/>
    <w:rsid w:val="00FC1A37"/>
    <w:rsid w:val="00FC2488"/>
    <w:rsid w:val="00FC251C"/>
    <w:rsid w:val="00FC2F80"/>
    <w:rsid w:val="00FC40A7"/>
    <w:rsid w:val="00FC41E6"/>
    <w:rsid w:val="00FC46F1"/>
    <w:rsid w:val="00FC4863"/>
    <w:rsid w:val="00FC4C75"/>
    <w:rsid w:val="00FC765D"/>
    <w:rsid w:val="00FD0EB9"/>
    <w:rsid w:val="00FD12FF"/>
    <w:rsid w:val="00FD1A49"/>
    <w:rsid w:val="00FD1E00"/>
    <w:rsid w:val="00FD27DC"/>
    <w:rsid w:val="00FD2ADC"/>
    <w:rsid w:val="00FD4C2F"/>
    <w:rsid w:val="00FD6061"/>
    <w:rsid w:val="00FD6C10"/>
    <w:rsid w:val="00FD6FB5"/>
    <w:rsid w:val="00FE0222"/>
    <w:rsid w:val="00FE0E7D"/>
    <w:rsid w:val="00FE235C"/>
    <w:rsid w:val="00FE2C40"/>
    <w:rsid w:val="00FE34EA"/>
    <w:rsid w:val="00FE3EAE"/>
    <w:rsid w:val="00FE571A"/>
    <w:rsid w:val="00FE57F3"/>
    <w:rsid w:val="00FE71FC"/>
    <w:rsid w:val="00FF0038"/>
    <w:rsid w:val="00FF17B6"/>
    <w:rsid w:val="00FF1AF3"/>
    <w:rsid w:val="00FF2898"/>
    <w:rsid w:val="00FF4B9C"/>
    <w:rsid w:val="00FF4DD8"/>
    <w:rsid w:val="00FF5456"/>
    <w:rsid w:val="00FF6757"/>
    <w:rsid w:val="00FF7610"/>
    <w:rsid w:val="00FF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1E7CEC9"/>
  <w15:docId w15:val="{8174C95F-2811-48F8-9B02-0F3427835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7E59"/>
  </w:style>
  <w:style w:type="paragraph" w:styleId="Heading1">
    <w:name w:val="heading 1"/>
    <w:basedOn w:val="Normal"/>
    <w:next w:val="Normal"/>
    <w:link w:val="Heading1Char"/>
    <w:qFormat/>
    <w:rsid w:val="00335B25"/>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335B25"/>
    <w:pPr>
      <w:keepNext/>
      <w:numPr>
        <w:ilvl w:val="1"/>
        <w:numId w:val="1"/>
      </w:numPr>
      <w:spacing w:before="240" w:after="60"/>
      <w:outlineLvl w:val="1"/>
    </w:pPr>
    <w:rPr>
      <w:rFonts w:ascii="Arial" w:hAnsi="Arial"/>
      <w:b/>
      <w:i/>
    </w:rPr>
  </w:style>
  <w:style w:type="paragraph" w:styleId="Heading3">
    <w:name w:val="heading 3"/>
    <w:basedOn w:val="Normal"/>
    <w:next w:val="Normal"/>
    <w:link w:val="Heading3Char"/>
    <w:qFormat/>
    <w:rsid w:val="00335B25"/>
    <w:pPr>
      <w:keepNext/>
      <w:numPr>
        <w:ilvl w:val="2"/>
        <w:numId w:val="1"/>
      </w:numPr>
      <w:spacing w:before="240" w:after="60"/>
      <w:outlineLvl w:val="2"/>
    </w:pPr>
    <w:rPr>
      <w:rFonts w:ascii="Arial" w:hAnsi="Arial"/>
    </w:rPr>
  </w:style>
  <w:style w:type="paragraph" w:styleId="Heading4">
    <w:name w:val="heading 4"/>
    <w:basedOn w:val="Normal"/>
    <w:next w:val="Normal"/>
    <w:qFormat/>
    <w:rsid w:val="00335B25"/>
    <w:pPr>
      <w:keepNext/>
      <w:numPr>
        <w:ilvl w:val="3"/>
        <w:numId w:val="1"/>
      </w:numPr>
      <w:spacing w:before="240" w:after="60"/>
      <w:outlineLvl w:val="3"/>
    </w:pPr>
    <w:rPr>
      <w:rFonts w:ascii="Arial" w:hAnsi="Arial"/>
      <w:b/>
    </w:rPr>
  </w:style>
  <w:style w:type="paragraph" w:styleId="Heading5">
    <w:name w:val="heading 5"/>
    <w:basedOn w:val="Normal"/>
    <w:next w:val="Normal"/>
    <w:link w:val="Heading5Char"/>
    <w:uiPriority w:val="9"/>
    <w:qFormat/>
    <w:rsid w:val="00533445"/>
    <w:pPr>
      <w:numPr>
        <w:ilvl w:val="4"/>
        <w:numId w:val="15"/>
      </w:numPr>
      <w:spacing w:before="240" w:after="60"/>
      <w:outlineLvl w:val="4"/>
    </w:pPr>
    <w:rPr>
      <w:sz w:val="22"/>
    </w:rPr>
  </w:style>
  <w:style w:type="paragraph" w:styleId="Heading6">
    <w:name w:val="heading 6"/>
    <w:basedOn w:val="Normal"/>
    <w:next w:val="Normal"/>
    <w:qFormat/>
    <w:rsid w:val="00533445"/>
    <w:pPr>
      <w:numPr>
        <w:ilvl w:val="5"/>
        <w:numId w:val="15"/>
      </w:numPr>
      <w:spacing w:before="240" w:after="60"/>
      <w:outlineLvl w:val="5"/>
    </w:pPr>
    <w:rPr>
      <w:i/>
      <w:sz w:val="22"/>
    </w:rPr>
  </w:style>
  <w:style w:type="paragraph" w:styleId="Heading7">
    <w:name w:val="heading 7"/>
    <w:basedOn w:val="Normal"/>
    <w:next w:val="Normal"/>
    <w:qFormat/>
    <w:rsid w:val="00533445"/>
    <w:pPr>
      <w:numPr>
        <w:ilvl w:val="6"/>
        <w:numId w:val="15"/>
      </w:numPr>
      <w:spacing w:before="240" w:after="60"/>
      <w:outlineLvl w:val="6"/>
    </w:pPr>
    <w:rPr>
      <w:rFonts w:ascii="Arial" w:hAnsi="Arial"/>
    </w:rPr>
  </w:style>
  <w:style w:type="paragraph" w:styleId="Heading8">
    <w:name w:val="heading 8"/>
    <w:basedOn w:val="Normal"/>
    <w:next w:val="Normal"/>
    <w:qFormat/>
    <w:rsid w:val="00533445"/>
    <w:pPr>
      <w:numPr>
        <w:ilvl w:val="7"/>
        <w:numId w:val="15"/>
      </w:numPr>
      <w:spacing w:before="240" w:after="60"/>
      <w:outlineLvl w:val="7"/>
    </w:pPr>
    <w:rPr>
      <w:rFonts w:ascii="Arial" w:hAnsi="Arial"/>
      <w:i/>
    </w:rPr>
  </w:style>
  <w:style w:type="paragraph" w:styleId="Heading9">
    <w:name w:val="heading 9"/>
    <w:basedOn w:val="Normal"/>
    <w:next w:val="Normal"/>
    <w:qFormat/>
    <w:rsid w:val="00533445"/>
    <w:pPr>
      <w:numPr>
        <w:ilvl w:val="8"/>
        <w:numId w:val="1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335B25"/>
    <w:rPr>
      <w:caps/>
      <w:lang w:val="es-ES_tradnl"/>
    </w:rPr>
  </w:style>
  <w:style w:type="paragraph" w:customStyle="1" w:styleId="ABBR">
    <w:name w:val="ABBR"/>
    <w:basedOn w:val="Annex"/>
    <w:rsid w:val="00335B25"/>
  </w:style>
  <w:style w:type="paragraph" w:customStyle="1" w:styleId="AbbrDesc">
    <w:name w:val="AbbrDesc"/>
    <w:basedOn w:val="Normal"/>
    <w:rsid w:val="00335B25"/>
    <w:pPr>
      <w:tabs>
        <w:tab w:val="left" w:pos="3060"/>
      </w:tabs>
      <w:jc w:val="both"/>
    </w:pPr>
    <w:rPr>
      <w:lang w:val="es-ES_tradnl"/>
    </w:rPr>
  </w:style>
  <w:style w:type="paragraph" w:styleId="BodyText">
    <w:name w:val="Body Text"/>
    <w:aliases w:val="alphabet list,a)  Body Text,Body Text sub head"/>
    <w:basedOn w:val="Normal"/>
    <w:link w:val="BodyTextChar"/>
    <w:rsid w:val="00335B25"/>
    <w:pPr>
      <w:tabs>
        <w:tab w:val="left" w:pos="3060"/>
      </w:tabs>
      <w:jc w:val="center"/>
    </w:pPr>
  </w:style>
  <w:style w:type="paragraph" w:styleId="BodyTextIndent">
    <w:name w:val="Body Text Indent"/>
    <w:basedOn w:val="Normal"/>
    <w:link w:val="BodyTextIndentChar"/>
    <w:uiPriority w:val="99"/>
    <w:rsid w:val="00335B25"/>
    <w:pPr>
      <w:spacing w:after="120"/>
      <w:ind w:left="360"/>
    </w:pPr>
    <w:rPr>
      <w:sz w:val="24"/>
    </w:rPr>
  </w:style>
  <w:style w:type="paragraph" w:styleId="BodyTextIndent3">
    <w:name w:val="Body Text Indent 3"/>
    <w:basedOn w:val="Normal"/>
    <w:link w:val="BodyTextIndent3Char"/>
    <w:uiPriority w:val="99"/>
    <w:rsid w:val="00335B25"/>
    <w:pPr>
      <w:spacing w:after="120"/>
      <w:ind w:left="360"/>
    </w:pPr>
    <w:rPr>
      <w:sz w:val="24"/>
    </w:rPr>
  </w:style>
  <w:style w:type="paragraph" w:customStyle="1" w:styleId="Chapter">
    <w:name w:val="Chapter"/>
    <w:basedOn w:val="Normal"/>
    <w:next w:val="Normal"/>
    <w:link w:val="ChapterCar"/>
    <w:rsid w:val="00533445"/>
    <w:pPr>
      <w:keepNext/>
      <w:numPr>
        <w:numId w:val="11"/>
      </w:numPr>
      <w:tabs>
        <w:tab w:val="left" w:pos="1440"/>
      </w:tabs>
      <w:spacing w:before="240" w:after="240"/>
      <w:jc w:val="center"/>
    </w:pPr>
    <w:rPr>
      <w:b/>
      <w:smallCaps/>
      <w:sz w:val="24"/>
      <w:lang w:val="es-ES_tradnl"/>
    </w:rPr>
  </w:style>
  <w:style w:type="paragraph" w:styleId="DocumentMap">
    <w:name w:val="Document Map"/>
    <w:basedOn w:val="Normal"/>
    <w:semiHidden/>
    <w:rsid w:val="00335B25"/>
    <w:pPr>
      <w:shd w:val="clear" w:color="auto" w:fill="000080"/>
    </w:pPr>
    <w:rPr>
      <w:rFonts w:ascii="Tahoma" w:hAnsi="Tahoma"/>
    </w:rPr>
  </w:style>
  <w:style w:type="paragraph" w:customStyle="1" w:styleId="FirstHeading">
    <w:name w:val="FirstHeading"/>
    <w:basedOn w:val="Normal"/>
    <w:next w:val="Normal"/>
    <w:rsid w:val="00533445"/>
    <w:pPr>
      <w:keepNext/>
      <w:numPr>
        <w:numId w:val="15"/>
      </w:numPr>
      <w:tabs>
        <w:tab w:val="left" w:pos="0"/>
        <w:tab w:val="left" w:pos="86"/>
      </w:tabs>
      <w:spacing w:before="120" w:after="120"/>
    </w:pPr>
    <w:rPr>
      <w:b/>
      <w:sz w:val="24"/>
      <w:lang w:val="es-ES_tradnl"/>
    </w:rPr>
  </w:style>
  <w:style w:type="paragraph" w:styleId="Footer">
    <w:name w:val="footer"/>
    <w:basedOn w:val="Normal"/>
    <w:link w:val="FooterChar"/>
    <w:uiPriority w:val="99"/>
    <w:rsid w:val="00335B25"/>
    <w:pPr>
      <w:tabs>
        <w:tab w:val="center" w:pos="4320"/>
        <w:tab w:val="right" w:pos="8640"/>
      </w:tabs>
    </w:pPr>
  </w:style>
  <w:style w:type="paragraph" w:styleId="FootnoteText">
    <w:name w:val="footnote text"/>
    <w:aliases w:val="fn,Texto nota pie IIRSA,foottextfra,footnote,F,ft,Texto,nota,pie,Ref.,al,F1,texto de nota al pie,NOTA AL PIE TESIS PUCP,footnote text,Geneva 9,Font: Geneva 9,Boston 10,f,Fußnotentextr,Texto nota pie Car Car,single space,Fußn,footno"/>
    <w:basedOn w:val="Normal"/>
    <w:link w:val="FootnoteTextChar"/>
    <w:qFormat/>
    <w:rsid w:val="00335B25"/>
    <w:pPr>
      <w:keepNext/>
      <w:keepLines/>
      <w:spacing w:after="120"/>
      <w:ind w:left="288" w:hanging="288"/>
      <w:jc w:val="both"/>
    </w:pPr>
    <w:rPr>
      <w:spacing w:val="-3"/>
    </w:rPr>
  </w:style>
  <w:style w:type="paragraph" w:styleId="Header">
    <w:name w:val="header"/>
    <w:basedOn w:val="Normal"/>
    <w:link w:val="HeaderChar"/>
    <w:uiPriority w:val="99"/>
    <w:rsid w:val="00335B25"/>
    <w:pPr>
      <w:tabs>
        <w:tab w:val="center" w:pos="4320"/>
        <w:tab w:val="right" w:pos="8640"/>
      </w:tabs>
    </w:pPr>
  </w:style>
  <w:style w:type="character" w:styleId="LineNumber">
    <w:name w:val="line number"/>
    <w:basedOn w:val="DefaultParagraphFont"/>
    <w:rsid w:val="00335B25"/>
  </w:style>
  <w:style w:type="paragraph" w:customStyle="1" w:styleId="MasterSourceText">
    <w:name w:val="Master_SourceText"/>
    <w:basedOn w:val="Normal"/>
    <w:rsid w:val="00335B25"/>
    <w:pPr>
      <w:tabs>
        <w:tab w:val="left" w:pos="1440"/>
      </w:tabs>
      <w:ind w:left="1440" w:hanging="720"/>
      <w:jc w:val="both"/>
    </w:pPr>
    <w:rPr>
      <w:lang w:val="es-ES_tradnl"/>
    </w:rPr>
  </w:style>
  <w:style w:type="paragraph" w:customStyle="1" w:styleId="Newpage">
    <w:name w:val="Newpage"/>
    <w:basedOn w:val="Chapter"/>
    <w:uiPriority w:val="99"/>
    <w:rsid w:val="00335B25"/>
    <w:pPr>
      <w:numPr>
        <w:numId w:val="0"/>
      </w:numPr>
      <w:tabs>
        <w:tab w:val="left" w:pos="3060"/>
      </w:tabs>
      <w:spacing w:after="0"/>
    </w:pPr>
  </w:style>
  <w:style w:type="character" w:styleId="PageNumber">
    <w:name w:val="page number"/>
    <w:basedOn w:val="DefaultParagraphFont"/>
    <w:rsid w:val="00335B25"/>
  </w:style>
  <w:style w:type="paragraph" w:customStyle="1" w:styleId="Paragraph">
    <w:name w:val="Paragraph"/>
    <w:aliases w:val="paragraph,p,PARAGRAPH,PG,pa,at"/>
    <w:basedOn w:val="BodyTextIndent"/>
    <w:link w:val="ParagraphCar"/>
    <w:qFormat/>
    <w:rsid w:val="00533445"/>
    <w:pPr>
      <w:numPr>
        <w:ilvl w:val="1"/>
        <w:numId w:val="11"/>
      </w:numPr>
      <w:spacing w:before="120"/>
      <w:jc w:val="both"/>
      <w:outlineLvl w:val="1"/>
    </w:pPr>
    <w:rPr>
      <w:lang w:val="es-ES_tradnl"/>
    </w:rPr>
  </w:style>
  <w:style w:type="paragraph" w:customStyle="1" w:styleId="RegheadTab">
    <w:name w:val="RegheadTab"/>
    <w:basedOn w:val="FirstHeading"/>
    <w:rsid w:val="00335B25"/>
    <w:pPr>
      <w:numPr>
        <w:numId w:val="0"/>
      </w:numPr>
      <w:tabs>
        <w:tab w:val="num" w:pos="504"/>
      </w:tabs>
      <w:spacing w:after="0"/>
      <w:ind w:left="504" w:hanging="504"/>
      <w:jc w:val="center"/>
    </w:pPr>
  </w:style>
  <w:style w:type="paragraph" w:customStyle="1" w:styleId="SecHeading">
    <w:name w:val="SecHeading"/>
    <w:basedOn w:val="Normal"/>
    <w:next w:val="Paragraph"/>
    <w:rsid w:val="00533445"/>
    <w:pPr>
      <w:keepNext/>
      <w:numPr>
        <w:ilvl w:val="1"/>
        <w:numId w:val="15"/>
      </w:numPr>
      <w:spacing w:before="120" w:after="120"/>
    </w:pPr>
    <w:rPr>
      <w:b/>
      <w:sz w:val="24"/>
      <w:lang w:val="es-ES_tradnl"/>
    </w:rPr>
  </w:style>
  <w:style w:type="paragraph" w:customStyle="1" w:styleId="SubHeading1">
    <w:name w:val="SubHeading1"/>
    <w:basedOn w:val="SecHeading"/>
    <w:rsid w:val="00533445"/>
    <w:pPr>
      <w:numPr>
        <w:ilvl w:val="2"/>
      </w:numPr>
      <w:tabs>
        <w:tab w:val="clear" w:pos="6838"/>
        <w:tab w:val="num" w:pos="1872"/>
      </w:tabs>
      <w:ind w:left="1872"/>
    </w:pPr>
  </w:style>
  <w:style w:type="paragraph" w:customStyle="1" w:styleId="Subheading2">
    <w:name w:val="Subheading2"/>
    <w:basedOn w:val="SecHeading"/>
    <w:rsid w:val="00533445"/>
    <w:pPr>
      <w:numPr>
        <w:ilvl w:val="3"/>
      </w:numPr>
      <w:tabs>
        <w:tab w:val="clear" w:pos="7342"/>
        <w:tab w:val="num" w:pos="2376"/>
      </w:tabs>
      <w:ind w:left="2376"/>
    </w:pPr>
  </w:style>
  <w:style w:type="paragraph" w:customStyle="1" w:styleId="subpar">
    <w:name w:val="subpar"/>
    <w:basedOn w:val="BodyTextIndent3"/>
    <w:rsid w:val="00533445"/>
    <w:pPr>
      <w:numPr>
        <w:ilvl w:val="2"/>
        <w:numId w:val="11"/>
      </w:numPr>
      <w:spacing w:before="120"/>
      <w:jc w:val="both"/>
      <w:outlineLvl w:val="2"/>
    </w:pPr>
    <w:rPr>
      <w:lang w:val="es-ES_tradnl"/>
    </w:rPr>
  </w:style>
  <w:style w:type="paragraph" w:customStyle="1" w:styleId="SubSubPar">
    <w:name w:val="SubSubPar"/>
    <w:basedOn w:val="subpar"/>
    <w:rsid w:val="00533445"/>
    <w:pPr>
      <w:numPr>
        <w:ilvl w:val="3"/>
      </w:numPr>
      <w:tabs>
        <w:tab w:val="left" w:pos="0"/>
        <w:tab w:val="num" w:pos="1296"/>
      </w:tabs>
      <w:ind w:left="1296"/>
    </w:pPr>
  </w:style>
  <w:style w:type="paragraph" w:styleId="Title">
    <w:name w:val="Title"/>
    <w:basedOn w:val="Normal"/>
    <w:link w:val="TitleChar"/>
    <w:qFormat/>
    <w:rsid w:val="00335B25"/>
    <w:pPr>
      <w:tabs>
        <w:tab w:val="left" w:pos="1440"/>
        <w:tab w:val="left" w:pos="3060"/>
      </w:tabs>
      <w:jc w:val="center"/>
      <w:outlineLvl w:val="0"/>
    </w:pPr>
  </w:style>
  <w:style w:type="paragraph" w:styleId="TOC1">
    <w:name w:val="toc 1"/>
    <w:basedOn w:val="Normal"/>
    <w:next w:val="Normal"/>
    <w:autoRedefine/>
    <w:uiPriority w:val="39"/>
    <w:rsid w:val="0070014E"/>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rsid w:val="00335B25"/>
    <w:pPr>
      <w:spacing w:before="120"/>
      <w:ind w:left="200"/>
    </w:pPr>
    <w:rPr>
      <w:rFonts w:asciiTheme="minorHAnsi" w:hAnsiTheme="minorHAnsi" w:cstheme="minorHAnsi"/>
      <w:b/>
      <w:bCs/>
      <w:sz w:val="22"/>
      <w:szCs w:val="22"/>
    </w:rPr>
  </w:style>
  <w:style w:type="paragraph" w:styleId="TOC3">
    <w:name w:val="toc 3"/>
    <w:basedOn w:val="Normal"/>
    <w:next w:val="Normal"/>
    <w:autoRedefine/>
    <w:uiPriority w:val="39"/>
    <w:rsid w:val="00944E93"/>
    <w:pPr>
      <w:tabs>
        <w:tab w:val="left" w:pos="1000"/>
        <w:tab w:val="right" w:leader="dot" w:pos="9516"/>
      </w:tabs>
      <w:ind w:left="851" w:hanging="425"/>
    </w:pPr>
    <w:rPr>
      <w:rFonts w:asciiTheme="minorHAnsi" w:hAnsiTheme="minorHAnsi" w:cstheme="minorHAnsi"/>
    </w:rPr>
  </w:style>
  <w:style w:type="paragraph" w:styleId="TOC4">
    <w:name w:val="toc 4"/>
    <w:basedOn w:val="Normal"/>
    <w:next w:val="Normal"/>
    <w:autoRedefine/>
    <w:uiPriority w:val="39"/>
    <w:rsid w:val="00335B25"/>
    <w:pPr>
      <w:ind w:left="600"/>
    </w:pPr>
    <w:rPr>
      <w:rFonts w:asciiTheme="minorHAnsi" w:hAnsiTheme="minorHAnsi" w:cstheme="minorHAnsi"/>
    </w:rPr>
  </w:style>
  <w:style w:type="paragraph" w:styleId="TOC5">
    <w:name w:val="toc 5"/>
    <w:basedOn w:val="Normal"/>
    <w:next w:val="Normal"/>
    <w:autoRedefine/>
    <w:uiPriority w:val="39"/>
    <w:rsid w:val="00335B25"/>
    <w:pPr>
      <w:ind w:left="800"/>
    </w:pPr>
    <w:rPr>
      <w:rFonts w:asciiTheme="minorHAnsi" w:hAnsiTheme="minorHAnsi" w:cstheme="minorHAnsi"/>
    </w:rPr>
  </w:style>
  <w:style w:type="paragraph" w:styleId="TOC6">
    <w:name w:val="toc 6"/>
    <w:basedOn w:val="Normal"/>
    <w:next w:val="Normal"/>
    <w:autoRedefine/>
    <w:uiPriority w:val="39"/>
    <w:rsid w:val="00335B25"/>
    <w:pPr>
      <w:ind w:left="1000"/>
    </w:pPr>
    <w:rPr>
      <w:rFonts w:asciiTheme="minorHAnsi" w:hAnsiTheme="minorHAnsi" w:cstheme="minorHAnsi"/>
    </w:rPr>
  </w:style>
  <w:style w:type="paragraph" w:styleId="TOC7">
    <w:name w:val="toc 7"/>
    <w:basedOn w:val="Normal"/>
    <w:next w:val="Normal"/>
    <w:autoRedefine/>
    <w:uiPriority w:val="39"/>
    <w:rsid w:val="00335B25"/>
    <w:pPr>
      <w:ind w:left="1200"/>
    </w:pPr>
    <w:rPr>
      <w:rFonts w:asciiTheme="minorHAnsi" w:hAnsiTheme="minorHAnsi" w:cstheme="minorHAnsi"/>
    </w:rPr>
  </w:style>
  <w:style w:type="paragraph" w:styleId="TOC8">
    <w:name w:val="toc 8"/>
    <w:basedOn w:val="Normal"/>
    <w:next w:val="Normal"/>
    <w:autoRedefine/>
    <w:uiPriority w:val="39"/>
    <w:rsid w:val="00335B25"/>
    <w:pPr>
      <w:ind w:left="1400"/>
    </w:pPr>
    <w:rPr>
      <w:rFonts w:asciiTheme="minorHAnsi" w:hAnsiTheme="minorHAnsi" w:cstheme="minorHAnsi"/>
    </w:rPr>
  </w:style>
  <w:style w:type="paragraph" w:styleId="TOC9">
    <w:name w:val="toc 9"/>
    <w:basedOn w:val="Normal"/>
    <w:next w:val="Normal"/>
    <w:autoRedefine/>
    <w:uiPriority w:val="39"/>
    <w:rsid w:val="00335B25"/>
    <w:pPr>
      <w:ind w:left="1600"/>
    </w:pPr>
    <w:rPr>
      <w:rFonts w:asciiTheme="minorHAnsi" w:hAnsiTheme="minorHAnsi" w:cstheme="minorHAnsi"/>
    </w:rPr>
  </w:style>
  <w:style w:type="character" w:styleId="FollowedHyperlink">
    <w:name w:val="FollowedHyperlink"/>
    <w:basedOn w:val="DefaultParagraphFont"/>
    <w:rsid w:val="00335B25"/>
    <w:rPr>
      <w:color w:val="800080"/>
      <w:u w:val="single"/>
    </w:rPr>
  </w:style>
  <w:style w:type="character" w:styleId="Hyperlink">
    <w:name w:val="Hyperlink"/>
    <w:basedOn w:val="DefaultParagraphFont"/>
    <w:uiPriority w:val="99"/>
    <w:rsid w:val="00335B25"/>
    <w:rPr>
      <w:color w:val="0000FF"/>
      <w:u w:val="single"/>
    </w:rPr>
  </w:style>
  <w:style w:type="paragraph" w:styleId="BodyTextIndent2">
    <w:name w:val="Body Text Indent 2"/>
    <w:basedOn w:val="Normal"/>
    <w:rsid w:val="00335B25"/>
    <w:pPr>
      <w:tabs>
        <w:tab w:val="left" w:pos="3240"/>
        <w:tab w:val="left" w:pos="3600"/>
      </w:tabs>
      <w:spacing w:line="360" w:lineRule="auto"/>
      <w:ind w:left="3600" w:hanging="3600"/>
    </w:pPr>
    <w:rPr>
      <w:sz w:val="23"/>
      <w:lang w:val="es-ES_tradnl"/>
    </w:rPr>
  </w:style>
  <w:style w:type="paragraph" w:styleId="BodyText2">
    <w:name w:val="Body Text 2"/>
    <w:basedOn w:val="Normal"/>
    <w:rsid w:val="00335B25"/>
    <w:pPr>
      <w:spacing w:after="120"/>
    </w:pPr>
    <w:rPr>
      <w:sz w:val="24"/>
      <w:lang w:val="es-ES_tradnl"/>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rsid w:val="00335B25"/>
    <w:rPr>
      <w:vertAlign w:val="superscript"/>
    </w:rPr>
  </w:style>
  <w:style w:type="paragraph" w:customStyle="1" w:styleId="Para1">
    <w:name w:val="Para1"/>
    <w:basedOn w:val="NormalIndent"/>
    <w:rsid w:val="00335B25"/>
    <w:pPr>
      <w:tabs>
        <w:tab w:val="left" w:pos="720"/>
        <w:tab w:val="left" w:pos="1080"/>
      </w:tabs>
      <w:spacing w:after="120"/>
      <w:ind w:left="0"/>
      <w:jc w:val="both"/>
    </w:pPr>
    <w:rPr>
      <w:rFonts w:eastAsia="Batang"/>
      <w:snapToGrid w:val="0"/>
      <w:lang w:val="en-US" w:eastAsia="ko-KR"/>
    </w:rPr>
  </w:style>
  <w:style w:type="character" w:styleId="CommentReference">
    <w:name w:val="annotation reference"/>
    <w:basedOn w:val="DefaultParagraphFont"/>
    <w:uiPriority w:val="99"/>
    <w:semiHidden/>
    <w:rsid w:val="00335B25"/>
    <w:rPr>
      <w:sz w:val="16"/>
      <w:szCs w:val="16"/>
    </w:rPr>
  </w:style>
  <w:style w:type="paragraph" w:styleId="CommentText">
    <w:name w:val="annotation text"/>
    <w:basedOn w:val="Normal"/>
    <w:link w:val="CommentTextChar"/>
    <w:uiPriority w:val="99"/>
    <w:rsid w:val="00335B25"/>
    <w:rPr>
      <w:lang w:val="en-US" w:eastAsia="en-US"/>
    </w:rPr>
  </w:style>
  <w:style w:type="paragraph" w:styleId="CommentSubject">
    <w:name w:val="annotation subject"/>
    <w:basedOn w:val="CommentText"/>
    <w:next w:val="CommentText"/>
    <w:link w:val="CommentSubjectChar"/>
    <w:uiPriority w:val="99"/>
    <w:semiHidden/>
    <w:rsid w:val="00335B25"/>
    <w:rPr>
      <w:b/>
      <w:bCs/>
      <w:lang w:val="es-MX" w:eastAsia="es-MX"/>
    </w:rPr>
  </w:style>
  <w:style w:type="character" w:customStyle="1" w:styleId="Edgar3Char">
    <w:name w:val="Edgar 3 Char"/>
    <w:aliases w:val="Título 3 yy Char Char"/>
    <w:basedOn w:val="DefaultParagraphFont"/>
    <w:rsid w:val="00335B25"/>
    <w:rPr>
      <w:rFonts w:ascii="Arial" w:hAnsi="Arial"/>
      <w:lang w:bidi="ar-SA"/>
    </w:rPr>
  </w:style>
  <w:style w:type="paragraph" w:styleId="NormalIndent">
    <w:name w:val="Normal Indent"/>
    <w:basedOn w:val="Normal"/>
    <w:rsid w:val="00335B25"/>
    <w:pPr>
      <w:ind w:left="720"/>
    </w:pPr>
  </w:style>
  <w:style w:type="paragraph" w:styleId="BalloonText">
    <w:name w:val="Balloon Text"/>
    <w:basedOn w:val="Normal"/>
    <w:link w:val="BalloonTextChar"/>
    <w:uiPriority w:val="99"/>
    <w:rsid w:val="00335B25"/>
    <w:rPr>
      <w:rFonts w:ascii="Tahoma" w:hAnsi="Tahoma" w:cs="Tahoma"/>
      <w:sz w:val="16"/>
      <w:szCs w:val="16"/>
    </w:rPr>
  </w:style>
  <w:style w:type="character" w:customStyle="1" w:styleId="SecHeadingChar">
    <w:name w:val="SecHeading Char"/>
    <w:basedOn w:val="DefaultParagraphFont"/>
    <w:rsid w:val="00335B25"/>
    <w:rPr>
      <w:b/>
      <w:lang w:val="es-ES_tradnl" w:bidi="ar-SA"/>
    </w:rPr>
  </w:style>
  <w:style w:type="character" w:customStyle="1" w:styleId="ParagraphCar">
    <w:name w:val="Paragraph Car"/>
    <w:basedOn w:val="DefaultParagraphFont"/>
    <w:link w:val="Paragraph"/>
    <w:rsid w:val="00533445"/>
    <w:rPr>
      <w:sz w:val="24"/>
      <w:lang w:val="es-ES_tradnl"/>
    </w:rPr>
  </w:style>
  <w:style w:type="character" w:customStyle="1" w:styleId="ParagraphChar">
    <w:name w:val="Paragraph Char"/>
    <w:basedOn w:val="DefaultParagraphFont"/>
    <w:rsid w:val="00F80B7E"/>
    <w:rPr>
      <w:sz w:val="24"/>
      <w:lang w:val="es-ES_tradnl" w:eastAsia="en-US" w:bidi="ar-SA"/>
    </w:rPr>
  </w:style>
  <w:style w:type="paragraph" w:customStyle="1" w:styleId="Regtable">
    <w:name w:val="Regtable"/>
    <w:basedOn w:val="Normal"/>
    <w:rsid w:val="00533445"/>
    <w:pPr>
      <w:keepLines/>
      <w:framePr w:wrap="around" w:vAnchor="text" w:hAnchor="text" w:y="1"/>
      <w:spacing w:before="20" w:after="20"/>
    </w:pPr>
  </w:style>
  <w:style w:type="paragraph" w:customStyle="1" w:styleId="TableTitle">
    <w:name w:val="TableTitle"/>
    <w:basedOn w:val="Normal"/>
    <w:rsid w:val="00533445"/>
    <w:pPr>
      <w:keepNext/>
      <w:framePr w:wrap="around" w:vAnchor="text" w:hAnchor="text" w:y="1"/>
      <w:spacing w:before="20" w:after="20"/>
      <w:jc w:val="center"/>
    </w:pPr>
    <w:rPr>
      <w:rFonts w:ascii="Times New Roman Bold" w:hAnsi="Times New Roman Bold"/>
      <w:b/>
      <w:spacing w:val="-3"/>
    </w:rPr>
  </w:style>
  <w:style w:type="paragraph" w:customStyle="1" w:styleId="vietacuadrada">
    <w:name w:val="viñeta cuadrada"/>
    <w:basedOn w:val="Normal"/>
    <w:autoRedefine/>
    <w:rsid w:val="0011621E"/>
    <w:pPr>
      <w:numPr>
        <w:numId w:val="2"/>
      </w:numPr>
      <w:spacing w:after="240"/>
      <w:ind w:right="1278"/>
      <w:jc w:val="both"/>
    </w:pPr>
    <w:rPr>
      <w:rFonts w:ascii="Arial Narrow" w:hAnsi="Arial Narrow" w:cs="Arial"/>
      <w:szCs w:val="16"/>
      <w:lang w:val="es-ES" w:eastAsia="es-ES"/>
    </w:rPr>
  </w:style>
  <w:style w:type="paragraph" w:customStyle="1" w:styleId="TextoTablaRol">
    <w:name w:val="Texto Tabla Rol"/>
    <w:basedOn w:val="Normal"/>
    <w:rsid w:val="0011621E"/>
    <w:pPr>
      <w:jc w:val="center"/>
    </w:pPr>
    <w:rPr>
      <w:rFonts w:cs="Arial"/>
      <w:sz w:val="24"/>
      <w:lang w:eastAsia="es-ES"/>
    </w:rPr>
  </w:style>
  <w:style w:type="paragraph" w:customStyle="1" w:styleId="TtulodePrrafo">
    <w:name w:val="Título de Párrafo"/>
    <w:basedOn w:val="Normal"/>
    <w:next w:val="CuerpodeTexto"/>
    <w:rsid w:val="0011621E"/>
    <w:pPr>
      <w:numPr>
        <w:numId w:val="3"/>
      </w:numPr>
    </w:pPr>
    <w:rPr>
      <w:rFonts w:cs="Arial"/>
      <w:b/>
      <w:bCs/>
      <w:sz w:val="24"/>
      <w:szCs w:val="24"/>
      <w:lang w:eastAsia="es-ES"/>
    </w:rPr>
  </w:style>
  <w:style w:type="paragraph" w:customStyle="1" w:styleId="CuerpodeTexto">
    <w:name w:val="Cuerpo de Texto"/>
    <w:basedOn w:val="Normal"/>
    <w:rsid w:val="0011621E"/>
    <w:pPr>
      <w:jc w:val="both"/>
    </w:pPr>
    <w:rPr>
      <w:sz w:val="24"/>
      <w:szCs w:val="24"/>
      <w:lang w:val="es-ES" w:eastAsia="en-US"/>
    </w:rPr>
  </w:style>
  <w:style w:type="paragraph" w:customStyle="1" w:styleId="CuerpoA">
    <w:name w:val="Cuerpo A"/>
    <w:rsid w:val="0011621E"/>
    <w:rPr>
      <w:rFonts w:ascii="Helvetica" w:eastAsia="ヒラギノ角ゴ Pro W3" w:hAnsi="Helvetica"/>
      <w:color w:val="000000"/>
      <w:sz w:val="24"/>
      <w:lang w:val="es-ES_tradnl" w:eastAsia="es-ES_tradnl"/>
    </w:rPr>
  </w:style>
  <w:style w:type="character" w:customStyle="1" w:styleId="Refdenotaalpie1">
    <w:name w:val="Ref. de nota al pie1"/>
    <w:rsid w:val="0011621E"/>
    <w:rPr>
      <w:color w:val="000000"/>
      <w:vertAlign w:val="superscript"/>
    </w:rPr>
  </w:style>
  <w:style w:type="paragraph" w:customStyle="1" w:styleId="Textonotapie1">
    <w:name w:val="Texto nota pie1"/>
    <w:rsid w:val="0011621E"/>
    <w:rPr>
      <w:rFonts w:eastAsia="ヒラギノ角ゴ Pro W3"/>
      <w:color w:val="000000"/>
      <w:sz w:val="24"/>
      <w:lang w:val="es-ES_tradnl" w:eastAsia="es-ES_tradnl"/>
    </w:rPr>
  </w:style>
  <w:style w:type="paragraph" w:customStyle="1" w:styleId="Tablaconcuadrcula1">
    <w:name w:val="Tabla con cuadrícula1"/>
    <w:rsid w:val="0011621E"/>
    <w:rPr>
      <w:rFonts w:eastAsia="ヒラギノ角ゴ Pro W3"/>
      <w:color w:val="000000"/>
      <w:sz w:val="24"/>
      <w:lang w:val="es-ES_tradnl" w:eastAsia="es-ES_tradnl"/>
    </w:rPr>
  </w:style>
  <w:style w:type="character" w:customStyle="1" w:styleId="Hipervnculo1">
    <w:name w:val="Hipervínculo1"/>
    <w:rsid w:val="00655249"/>
    <w:rPr>
      <w:color w:val="0000FF"/>
      <w:u w:val="single"/>
    </w:rPr>
  </w:style>
  <w:style w:type="paragraph" w:styleId="NormalWeb">
    <w:name w:val="Normal (Web)"/>
    <w:basedOn w:val="Normal"/>
    <w:uiPriority w:val="99"/>
    <w:unhideWhenUsed/>
    <w:rsid w:val="00702D36"/>
    <w:pPr>
      <w:spacing w:before="100" w:beforeAutospacing="1" w:after="100" w:afterAutospacing="1"/>
    </w:pPr>
    <w:rPr>
      <w:sz w:val="24"/>
      <w:szCs w:val="24"/>
    </w:rPr>
  </w:style>
  <w:style w:type="paragraph" w:customStyle="1" w:styleId="Default">
    <w:name w:val="Default"/>
    <w:rsid w:val="009B496C"/>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D244D1"/>
    <w:pPr>
      <w:ind w:left="720"/>
    </w:pPr>
    <w:rPr>
      <w:rFonts w:eastAsiaTheme="minorHAnsi"/>
      <w:sz w:val="24"/>
      <w:szCs w:val="24"/>
    </w:rPr>
  </w:style>
  <w:style w:type="paragraph" w:customStyle="1" w:styleId="AODocTxt">
    <w:name w:val="AODocTxt"/>
    <w:basedOn w:val="Normal"/>
    <w:rsid w:val="00474889"/>
    <w:pPr>
      <w:numPr>
        <w:numId w:val="4"/>
      </w:numPr>
      <w:spacing w:before="240" w:line="260" w:lineRule="atLeast"/>
      <w:jc w:val="both"/>
    </w:pPr>
    <w:rPr>
      <w:rFonts w:eastAsia="SimSun"/>
      <w:sz w:val="22"/>
      <w:szCs w:val="22"/>
      <w:lang w:val="en-US" w:eastAsia="en-US"/>
    </w:rPr>
  </w:style>
  <w:style w:type="paragraph" w:customStyle="1" w:styleId="AODocTxtL1">
    <w:name w:val="AODocTxtL1"/>
    <w:basedOn w:val="AODocTxt"/>
    <w:rsid w:val="00474889"/>
    <w:pPr>
      <w:numPr>
        <w:ilvl w:val="1"/>
      </w:numPr>
    </w:pPr>
  </w:style>
  <w:style w:type="paragraph" w:customStyle="1" w:styleId="AODocTxtL2">
    <w:name w:val="AODocTxtL2"/>
    <w:basedOn w:val="AODocTxt"/>
    <w:rsid w:val="00474889"/>
    <w:pPr>
      <w:numPr>
        <w:ilvl w:val="2"/>
      </w:numPr>
    </w:pPr>
  </w:style>
  <w:style w:type="paragraph" w:customStyle="1" w:styleId="AODocTxtL3">
    <w:name w:val="AODocTxtL3"/>
    <w:basedOn w:val="AODocTxt"/>
    <w:rsid w:val="00474889"/>
    <w:pPr>
      <w:numPr>
        <w:ilvl w:val="3"/>
      </w:numPr>
    </w:pPr>
  </w:style>
  <w:style w:type="paragraph" w:customStyle="1" w:styleId="AODocTxtL4">
    <w:name w:val="AODocTxtL4"/>
    <w:basedOn w:val="AODocTxt"/>
    <w:rsid w:val="00474889"/>
    <w:pPr>
      <w:numPr>
        <w:ilvl w:val="4"/>
      </w:numPr>
    </w:pPr>
  </w:style>
  <w:style w:type="paragraph" w:customStyle="1" w:styleId="AODocTxtL5">
    <w:name w:val="AODocTxtL5"/>
    <w:basedOn w:val="AODocTxt"/>
    <w:rsid w:val="00474889"/>
    <w:pPr>
      <w:numPr>
        <w:ilvl w:val="5"/>
      </w:numPr>
    </w:pPr>
  </w:style>
  <w:style w:type="paragraph" w:customStyle="1" w:styleId="AODocTxtL6">
    <w:name w:val="AODocTxtL6"/>
    <w:basedOn w:val="AODocTxt"/>
    <w:rsid w:val="00474889"/>
    <w:pPr>
      <w:numPr>
        <w:ilvl w:val="6"/>
      </w:numPr>
    </w:pPr>
  </w:style>
  <w:style w:type="paragraph" w:customStyle="1" w:styleId="AODocTxtL7">
    <w:name w:val="AODocTxtL7"/>
    <w:basedOn w:val="AODocTxt"/>
    <w:rsid w:val="00474889"/>
    <w:pPr>
      <w:numPr>
        <w:ilvl w:val="7"/>
      </w:numPr>
    </w:pPr>
  </w:style>
  <w:style w:type="paragraph" w:customStyle="1" w:styleId="AODocTxtL8">
    <w:name w:val="AODocTxtL8"/>
    <w:basedOn w:val="AODocTxt"/>
    <w:rsid w:val="00474889"/>
    <w:pPr>
      <w:numPr>
        <w:ilvl w:val="8"/>
      </w:numPr>
    </w:pPr>
  </w:style>
  <w:style w:type="character" w:customStyle="1" w:styleId="DeltaViewInsertion">
    <w:name w:val="DeltaView Insertion"/>
    <w:rsid w:val="00474889"/>
    <w:rPr>
      <w:color w:val="0000FF"/>
      <w:spacing w:val="0"/>
      <w:u w:val="double"/>
    </w:rPr>
  </w:style>
  <w:style w:type="character" w:customStyle="1" w:styleId="TitleChar">
    <w:name w:val="Title Char"/>
    <w:basedOn w:val="DefaultParagraphFont"/>
    <w:link w:val="Title"/>
    <w:rsid w:val="0015505C"/>
  </w:style>
  <w:style w:type="table" w:styleId="TableGrid">
    <w:name w:val="Table Grid"/>
    <w:basedOn w:val="TableNormal"/>
    <w:uiPriority w:val="59"/>
    <w:rsid w:val="001550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F7152"/>
  </w:style>
  <w:style w:type="character" w:customStyle="1" w:styleId="HeaderChar">
    <w:name w:val="Header Char"/>
    <w:basedOn w:val="DefaultParagraphFont"/>
    <w:link w:val="Header"/>
    <w:uiPriority w:val="99"/>
    <w:rsid w:val="006921B3"/>
  </w:style>
  <w:style w:type="character" w:customStyle="1" w:styleId="FooterChar">
    <w:name w:val="Footer Char"/>
    <w:basedOn w:val="DefaultParagraphFont"/>
    <w:link w:val="Footer"/>
    <w:uiPriority w:val="99"/>
    <w:rsid w:val="006921B3"/>
  </w:style>
  <w:style w:type="character" w:customStyle="1" w:styleId="FootnoteTextChar">
    <w:name w:val="Footnote Text Char"/>
    <w:aliases w:val="fn Char,Texto nota pie IIRSA Char,foottextfra Char,footnote Char,F Char,ft Char,Texto Char,nota Char,pie Char,Ref. Char,al Char,F1 Char,texto de nota al pie Char,NOTA AL PIE TESIS PUCP Char,footnote text Char,Geneva 9 Char,f Char"/>
    <w:basedOn w:val="DefaultParagraphFont"/>
    <w:link w:val="FootnoteText"/>
    <w:rsid w:val="006921B3"/>
    <w:rPr>
      <w:spacing w:val="-3"/>
    </w:rPr>
  </w:style>
  <w:style w:type="character" w:customStyle="1" w:styleId="BodyTextChar">
    <w:name w:val="Body Text Char"/>
    <w:aliases w:val="alphabet list Char,a)  Body Text Char,Body Text sub head Char"/>
    <w:basedOn w:val="DefaultParagraphFont"/>
    <w:link w:val="BodyText"/>
    <w:rsid w:val="006921B3"/>
  </w:style>
  <w:style w:type="character" w:customStyle="1" w:styleId="BodyTextIndentChar">
    <w:name w:val="Body Text Indent Char"/>
    <w:basedOn w:val="DefaultParagraphFont"/>
    <w:link w:val="BodyTextIndent"/>
    <w:uiPriority w:val="99"/>
    <w:rsid w:val="006921B3"/>
    <w:rPr>
      <w:sz w:val="24"/>
    </w:rPr>
  </w:style>
  <w:style w:type="character" w:customStyle="1" w:styleId="BodyTextIndent3Char">
    <w:name w:val="Body Text Indent 3 Char"/>
    <w:basedOn w:val="DefaultParagraphFont"/>
    <w:link w:val="BodyTextIndent3"/>
    <w:uiPriority w:val="99"/>
    <w:rsid w:val="006921B3"/>
    <w:rPr>
      <w:sz w:val="24"/>
    </w:rPr>
  </w:style>
  <w:style w:type="character" w:customStyle="1" w:styleId="Heading1Char">
    <w:name w:val="Heading 1 Char"/>
    <w:basedOn w:val="DefaultParagraphFont"/>
    <w:link w:val="Heading1"/>
    <w:rsid w:val="006921B3"/>
    <w:rPr>
      <w:rFonts w:ascii="Arial" w:hAnsi="Arial"/>
      <w:b/>
      <w:kern w:val="28"/>
      <w:sz w:val="28"/>
    </w:rPr>
  </w:style>
  <w:style w:type="character" w:customStyle="1" w:styleId="Heading2Char">
    <w:name w:val="Heading 2 Char"/>
    <w:basedOn w:val="DefaultParagraphFont"/>
    <w:link w:val="Heading2"/>
    <w:rsid w:val="006921B3"/>
    <w:rPr>
      <w:rFonts w:ascii="Arial" w:hAnsi="Arial"/>
      <w:b/>
      <w:i/>
    </w:rPr>
  </w:style>
  <w:style w:type="character" w:customStyle="1" w:styleId="Heading3Char">
    <w:name w:val="Heading 3 Char"/>
    <w:basedOn w:val="DefaultParagraphFont"/>
    <w:link w:val="Heading3"/>
    <w:rsid w:val="006921B3"/>
    <w:rPr>
      <w:rFonts w:ascii="Arial" w:hAnsi="Arial"/>
    </w:rPr>
  </w:style>
  <w:style w:type="character" w:customStyle="1" w:styleId="Heading5Char">
    <w:name w:val="Heading 5 Char"/>
    <w:basedOn w:val="DefaultParagraphFont"/>
    <w:link w:val="Heading5"/>
    <w:uiPriority w:val="9"/>
    <w:rsid w:val="006921B3"/>
    <w:rPr>
      <w:sz w:val="22"/>
    </w:rPr>
  </w:style>
  <w:style w:type="character" w:customStyle="1" w:styleId="longtext">
    <w:name w:val="long_text"/>
    <w:basedOn w:val="DefaultParagraphFont"/>
    <w:rsid w:val="006921B3"/>
  </w:style>
  <w:style w:type="character" w:customStyle="1" w:styleId="jfk-button-label1">
    <w:name w:val="jfk-button-label1"/>
    <w:basedOn w:val="DefaultParagraphFont"/>
    <w:rsid w:val="006921B3"/>
  </w:style>
  <w:style w:type="paragraph" w:styleId="Caption">
    <w:name w:val="caption"/>
    <w:basedOn w:val="Normal"/>
    <w:next w:val="Normal"/>
    <w:qFormat/>
    <w:rsid w:val="006921B3"/>
    <w:pPr>
      <w:jc w:val="center"/>
    </w:pPr>
    <w:rPr>
      <w:b/>
      <w:sz w:val="24"/>
      <w:lang w:val="en-US" w:eastAsia="en-US"/>
    </w:rPr>
  </w:style>
  <w:style w:type="paragraph" w:styleId="ListBullet">
    <w:name w:val="List Bullet"/>
    <w:basedOn w:val="Normal"/>
    <w:rsid w:val="006921B3"/>
    <w:pPr>
      <w:numPr>
        <w:numId w:val="17"/>
      </w:numPr>
    </w:pPr>
    <w:rPr>
      <w:sz w:val="24"/>
      <w:szCs w:val="24"/>
      <w:lang w:val="en-US" w:eastAsia="en-US"/>
    </w:rPr>
  </w:style>
  <w:style w:type="paragraph" w:customStyle="1" w:styleId="BankNormal">
    <w:name w:val="BankNormal"/>
    <w:basedOn w:val="Normal"/>
    <w:rsid w:val="006921B3"/>
    <w:pPr>
      <w:spacing w:after="240"/>
    </w:pPr>
    <w:rPr>
      <w:sz w:val="24"/>
      <w:lang w:val="en-US" w:eastAsia="en-US"/>
    </w:rPr>
  </w:style>
  <w:style w:type="paragraph" w:customStyle="1" w:styleId="JVKNorm">
    <w:name w:val="JVK Norm"/>
    <w:basedOn w:val="Heading5"/>
    <w:rsid w:val="006921B3"/>
    <w:pPr>
      <w:numPr>
        <w:ilvl w:val="0"/>
        <w:numId w:val="0"/>
      </w:numPr>
      <w:spacing w:before="0" w:after="240"/>
      <w:jc w:val="both"/>
      <w:outlineLvl w:val="9"/>
    </w:pPr>
    <w:rPr>
      <w:lang w:val="en-US" w:eastAsia="en-US"/>
    </w:rPr>
  </w:style>
  <w:style w:type="paragraph" w:customStyle="1" w:styleId="JVKBullet">
    <w:name w:val="JVK Bullet"/>
    <w:basedOn w:val="Normal"/>
    <w:rsid w:val="006921B3"/>
    <w:pPr>
      <w:widowControl w:val="0"/>
      <w:numPr>
        <w:numId w:val="18"/>
      </w:numPr>
      <w:jc w:val="both"/>
    </w:pPr>
    <w:rPr>
      <w:sz w:val="22"/>
      <w:lang w:val="en-US" w:eastAsia="en-US"/>
    </w:rPr>
  </w:style>
  <w:style w:type="paragraph" w:styleId="HTMLPreformatted">
    <w:name w:val="HTML Preformatted"/>
    <w:basedOn w:val="Normal"/>
    <w:link w:val="HTMLPreformattedChar"/>
    <w:uiPriority w:val="99"/>
    <w:unhideWhenUsed/>
    <w:rsid w:val="00692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zh-CN"/>
    </w:rPr>
  </w:style>
  <w:style w:type="character" w:customStyle="1" w:styleId="HTMLPreformattedChar">
    <w:name w:val="HTML Preformatted Char"/>
    <w:basedOn w:val="DefaultParagraphFont"/>
    <w:link w:val="HTMLPreformatted"/>
    <w:uiPriority w:val="99"/>
    <w:rsid w:val="006921B3"/>
    <w:rPr>
      <w:rFonts w:ascii="Courier New" w:hAnsi="Courier New" w:cs="Courier New"/>
      <w:lang w:val="en-US" w:eastAsia="zh-CN"/>
    </w:rPr>
  </w:style>
  <w:style w:type="character" w:customStyle="1" w:styleId="BalloonTextChar">
    <w:name w:val="Balloon Text Char"/>
    <w:basedOn w:val="DefaultParagraphFont"/>
    <w:link w:val="BalloonText"/>
    <w:uiPriority w:val="99"/>
    <w:rsid w:val="006921B3"/>
    <w:rPr>
      <w:rFonts w:ascii="Tahoma" w:hAnsi="Tahoma" w:cs="Tahoma"/>
      <w:sz w:val="16"/>
      <w:szCs w:val="16"/>
    </w:rPr>
  </w:style>
  <w:style w:type="paragraph" w:customStyle="1" w:styleId="Captulo">
    <w:name w:val="Capítulo"/>
    <w:basedOn w:val="Chapter"/>
    <w:link w:val="CaptuloCar"/>
    <w:qFormat/>
    <w:rsid w:val="00C92720"/>
    <w:pPr>
      <w:tabs>
        <w:tab w:val="num" w:pos="3420"/>
      </w:tabs>
      <w:spacing w:before="360"/>
      <w:ind w:left="3420" w:hanging="540"/>
      <w:jc w:val="left"/>
      <w:outlineLvl w:val="0"/>
    </w:pPr>
    <w:rPr>
      <w:rFonts w:ascii="Arial" w:hAnsi="Arial" w:cs="Arial"/>
      <w:szCs w:val="24"/>
      <w:lang w:val="es-MX"/>
    </w:rPr>
  </w:style>
  <w:style w:type="paragraph" w:customStyle="1" w:styleId="Romanos2">
    <w:name w:val="Romanos 2"/>
    <w:basedOn w:val="Normal"/>
    <w:rsid w:val="00287228"/>
    <w:pPr>
      <w:numPr>
        <w:numId w:val="19"/>
      </w:numPr>
    </w:pPr>
  </w:style>
  <w:style w:type="character" w:customStyle="1" w:styleId="ChapterCar">
    <w:name w:val="Chapter Car"/>
    <w:basedOn w:val="DefaultParagraphFont"/>
    <w:link w:val="Chapter"/>
    <w:rsid w:val="00C92720"/>
    <w:rPr>
      <w:b/>
      <w:smallCaps/>
      <w:sz w:val="24"/>
      <w:lang w:val="es-ES_tradnl"/>
    </w:rPr>
  </w:style>
  <w:style w:type="character" w:customStyle="1" w:styleId="CaptuloCar">
    <w:name w:val="Capítulo Car"/>
    <w:basedOn w:val="ChapterCar"/>
    <w:link w:val="Captulo"/>
    <w:rsid w:val="00C92720"/>
    <w:rPr>
      <w:rFonts w:ascii="Arial" w:hAnsi="Arial" w:cs="Arial"/>
      <w:b/>
      <w:smallCaps/>
      <w:sz w:val="24"/>
      <w:szCs w:val="24"/>
      <w:lang w:val="es-ES_tradnl"/>
    </w:rPr>
  </w:style>
  <w:style w:type="paragraph" w:styleId="EndnoteText">
    <w:name w:val="endnote text"/>
    <w:basedOn w:val="Normal"/>
    <w:link w:val="EndnoteTextChar"/>
    <w:rsid w:val="00266987"/>
  </w:style>
  <w:style w:type="character" w:customStyle="1" w:styleId="EndnoteTextChar">
    <w:name w:val="Endnote Text Char"/>
    <w:basedOn w:val="DefaultParagraphFont"/>
    <w:link w:val="EndnoteText"/>
    <w:rsid w:val="00266987"/>
  </w:style>
  <w:style w:type="character" w:styleId="EndnoteReference">
    <w:name w:val="endnote reference"/>
    <w:basedOn w:val="DefaultParagraphFont"/>
    <w:rsid w:val="00266987"/>
    <w:rPr>
      <w:vertAlign w:val="superscript"/>
    </w:rPr>
  </w:style>
  <w:style w:type="paragraph" w:customStyle="1" w:styleId="ANEXO">
    <w:name w:val="ANEXO"/>
    <w:basedOn w:val="Heading1"/>
    <w:link w:val="ANEXOCar"/>
    <w:qFormat/>
    <w:rsid w:val="0096019E"/>
    <w:pPr>
      <w:pageBreakBefore/>
      <w:numPr>
        <w:numId w:val="0"/>
      </w:numPr>
      <w:spacing w:after="360"/>
      <w:jc w:val="right"/>
    </w:pPr>
    <w:rPr>
      <w:rFonts w:cs="Arial"/>
      <w:sz w:val="22"/>
    </w:rPr>
  </w:style>
  <w:style w:type="character" w:customStyle="1" w:styleId="ANEXOCar">
    <w:name w:val="ANEXO Car"/>
    <w:basedOn w:val="Heading1Char"/>
    <w:link w:val="ANEXO"/>
    <w:rsid w:val="0096019E"/>
    <w:rPr>
      <w:rFonts w:ascii="Arial" w:hAnsi="Arial" w:cs="Arial"/>
      <w:b/>
      <w:kern w:val="28"/>
      <w:sz w:val="22"/>
    </w:rPr>
  </w:style>
  <w:style w:type="numbering" w:customStyle="1" w:styleId="Sinlista1">
    <w:name w:val="Sin lista1"/>
    <w:next w:val="NoList"/>
    <w:uiPriority w:val="99"/>
    <w:semiHidden/>
    <w:unhideWhenUsed/>
    <w:rsid w:val="003A5922"/>
  </w:style>
  <w:style w:type="table" w:customStyle="1" w:styleId="Tablaconcuadrcula2">
    <w:name w:val="Tabla con cuadrícula2"/>
    <w:basedOn w:val="TableNormal"/>
    <w:next w:val="TableGrid"/>
    <w:uiPriority w:val="59"/>
    <w:rsid w:val="003A5922"/>
    <w:rPr>
      <w:rFonts w:ascii="Calibri" w:eastAsia="SimSun" w:hAnsi="Calibri"/>
      <w:sz w:val="22"/>
      <w:szCs w:val="22"/>
      <w:lang w:val="en-US"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1">
    <w:name w:val="Tabla de cuadrícula 41"/>
    <w:basedOn w:val="TableNormal"/>
    <w:uiPriority w:val="49"/>
    <w:rsid w:val="0099457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5oscura-nfasis11">
    <w:name w:val="Tabla de cuadrícula 5 oscura - Énfasis 11"/>
    <w:basedOn w:val="TableNormal"/>
    <w:uiPriority w:val="50"/>
    <w:rsid w:val="00121F3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ommentTextChar">
    <w:name w:val="Comment Text Char"/>
    <w:basedOn w:val="DefaultParagraphFont"/>
    <w:link w:val="CommentText"/>
    <w:uiPriority w:val="99"/>
    <w:rsid w:val="008D4979"/>
    <w:rPr>
      <w:lang w:val="en-US" w:eastAsia="en-US"/>
    </w:rPr>
  </w:style>
  <w:style w:type="paragraph" w:styleId="TOCHeading">
    <w:name w:val="TOC Heading"/>
    <w:basedOn w:val="Heading1"/>
    <w:next w:val="Normal"/>
    <w:uiPriority w:val="39"/>
    <w:unhideWhenUsed/>
    <w:qFormat/>
    <w:rsid w:val="000C190A"/>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Subtitle">
    <w:name w:val="Subtitle"/>
    <w:basedOn w:val="Normal"/>
    <w:next w:val="Normal"/>
    <w:link w:val="SubtitleChar"/>
    <w:qFormat/>
    <w:rsid w:val="00100F8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100F80"/>
    <w:rPr>
      <w:rFonts w:asciiTheme="minorHAnsi" w:eastAsiaTheme="minorEastAsia" w:hAnsiTheme="minorHAnsi" w:cstheme="minorBidi"/>
      <w:color w:val="5A5A5A" w:themeColor="text1" w:themeTint="A5"/>
      <w:spacing w:val="15"/>
      <w:sz w:val="22"/>
      <w:szCs w:val="22"/>
    </w:rPr>
  </w:style>
  <w:style w:type="character" w:styleId="Strong">
    <w:name w:val="Strong"/>
    <w:basedOn w:val="DefaultParagraphFont"/>
    <w:qFormat/>
    <w:rsid w:val="00E502AD"/>
    <w:rPr>
      <w:b/>
      <w:bCs/>
    </w:rPr>
  </w:style>
  <w:style w:type="paragraph" w:customStyle="1" w:styleId="Bullet">
    <w:name w:val="Bullet"/>
    <w:basedOn w:val="Normal"/>
    <w:rsid w:val="00BA0225"/>
    <w:pPr>
      <w:numPr>
        <w:numId w:val="58"/>
      </w:numPr>
      <w:spacing w:line="288" w:lineRule="auto"/>
      <w:jc w:val="both"/>
    </w:pPr>
    <w:rPr>
      <w:rFonts w:ascii="Arial" w:hAnsi="Arial"/>
      <w:sz w:val="22"/>
      <w:lang w:val="es-ES_tradnl" w:eastAsia="es-ES_tradnl"/>
    </w:rPr>
  </w:style>
  <w:style w:type="character" w:customStyle="1" w:styleId="CommentSubjectChar">
    <w:name w:val="Comment Subject Char"/>
    <w:basedOn w:val="CommentTextChar"/>
    <w:link w:val="CommentSubject"/>
    <w:uiPriority w:val="99"/>
    <w:semiHidden/>
    <w:rsid w:val="00BA0225"/>
    <w:rPr>
      <w:b/>
      <w:bCs/>
      <w:lang w:val="en-US" w:eastAsia="en-US"/>
    </w:rPr>
  </w:style>
  <w:style w:type="table" w:customStyle="1" w:styleId="TableGrid1">
    <w:name w:val="Table Grid1"/>
    <w:basedOn w:val="TableNormal"/>
    <w:next w:val="TableGrid"/>
    <w:uiPriority w:val="59"/>
    <w:rsid w:val="0086012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C40A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73335">
      <w:bodyDiv w:val="1"/>
      <w:marLeft w:val="0"/>
      <w:marRight w:val="0"/>
      <w:marTop w:val="0"/>
      <w:marBottom w:val="0"/>
      <w:divBdr>
        <w:top w:val="none" w:sz="0" w:space="0" w:color="auto"/>
        <w:left w:val="none" w:sz="0" w:space="0" w:color="auto"/>
        <w:bottom w:val="none" w:sz="0" w:space="0" w:color="auto"/>
        <w:right w:val="none" w:sz="0" w:space="0" w:color="auto"/>
      </w:divBdr>
    </w:div>
    <w:div w:id="66610740">
      <w:bodyDiv w:val="1"/>
      <w:marLeft w:val="0"/>
      <w:marRight w:val="0"/>
      <w:marTop w:val="0"/>
      <w:marBottom w:val="0"/>
      <w:divBdr>
        <w:top w:val="none" w:sz="0" w:space="0" w:color="auto"/>
        <w:left w:val="none" w:sz="0" w:space="0" w:color="auto"/>
        <w:bottom w:val="none" w:sz="0" w:space="0" w:color="auto"/>
        <w:right w:val="none" w:sz="0" w:space="0" w:color="auto"/>
      </w:divBdr>
    </w:div>
    <w:div w:id="73287806">
      <w:bodyDiv w:val="1"/>
      <w:marLeft w:val="0"/>
      <w:marRight w:val="0"/>
      <w:marTop w:val="0"/>
      <w:marBottom w:val="0"/>
      <w:divBdr>
        <w:top w:val="none" w:sz="0" w:space="0" w:color="auto"/>
        <w:left w:val="none" w:sz="0" w:space="0" w:color="auto"/>
        <w:bottom w:val="none" w:sz="0" w:space="0" w:color="auto"/>
        <w:right w:val="none" w:sz="0" w:space="0" w:color="auto"/>
      </w:divBdr>
    </w:div>
    <w:div w:id="130640906">
      <w:bodyDiv w:val="1"/>
      <w:marLeft w:val="0"/>
      <w:marRight w:val="0"/>
      <w:marTop w:val="0"/>
      <w:marBottom w:val="0"/>
      <w:divBdr>
        <w:top w:val="none" w:sz="0" w:space="0" w:color="auto"/>
        <w:left w:val="none" w:sz="0" w:space="0" w:color="auto"/>
        <w:bottom w:val="none" w:sz="0" w:space="0" w:color="auto"/>
        <w:right w:val="none" w:sz="0" w:space="0" w:color="auto"/>
      </w:divBdr>
    </w:div>
    <w:div w:id="150681656">
      <w:bodyDiv w:val="1"/>
      <w:marLeft w:val="0"/>
      <w:marRight w:val="0"/>
      <w:marTop w:val="0"/>
      <w:marBottom w:val="0"/>
      <w:divBdr>
        <w:top w:val="none" w:sz="0" w:space="0" w:color="auto"/>
        <w:left w:val="none" w:sz="0" w:space="0" w:color="auto"/>
        <w:bottom w:val="none" w:sz="0" w:space="0" w:color="auto"/>
        <w:right w:val="none" w:sz="0" w:space="0" w:color="auto"/>
      </w:divBdr>
    </w:div>
    <w:div w:id="187448641">
      <w:bodyDiv w:val="1"/>
      <w:marLeft w:val="0"/>
      <w:marRight w:val="0"/>
      <w:marTop w:val="0"/>
      <w:marBottom w:val="0"/>
      <w:divBdr>
        <w:top w:val="none" w:sz="0" w:space="0" w:color="auto"/>
        <w:left w:val="none" w:sz="0" w:space="0" w:color="auto"/>
        <w:bottom w:val="none" w:sz="0" w:space="0" w:color="auto"/>
        <w:right w:val="none" w:sz="0" w:space="0" w:color="auto"/>
      </w:divBdr>
    </w:div>
    <w:div w:id="223684128">
      <w:bodyDiv w:val="1"/>
      <w:marLeft w:val="0"/>
      <w:marRight w:val="0"/>
      <w:marTop w:val="0"/>
      <w:marBottom w:val="0"/>
      <w:divBdr>
        <w:top w:val="none" w:sz="0" w:space="0" w:color="auto"/>
        <w:left w:val="none" w:sz="0" w:space="0" w:color="auto"/>
        <w:bottom w:val="none" w:sz="0" w:space="0" w:color="auto"/>
        <w:right w:val="none" w:sz="0" w:space="0" w:color="auto"/>
      </w:divBdr>
    </w:div>
    <w:div w:id="253708961">
      <w:bodyDiv w:val="1"/>
      <w:marLeft w:val="0"/>
      <w:marRight w:val="0"/>
      <w:marTop w:val="0"/>
      <w:marBottom w:val="0"/>
      <w:divBdr>
        <w:top w:val="none" w:sz="0" w:space="0" w:color="auto"/>
        <w:left w:val="none" w:sz="0" w:space="0" w:color="auto"/>
        <w:bottom w:val="none" w:sz="0" w:space="0" w:color="auto"/>
        <w:right w:val="none" w:sz="0" w:space="0" w:color="auto"/>
      </w:divBdr>
    </w:div>
    <w:div w:id="393045890">
      <w:bodyDiv w:val="1"/>
      <w:marLeft w:val="0"/>
      <w:marRight w:val="0"/>
      <w:marTop w:val="0"/>
      <w:marBottom w:val="0"/>
      <w:divBdr>
        <w:top w:val="none" w:sz="0" w:space="0" w:color="auto"/>
        <w:left w:val="none" w:sz="0" w:space="0" w:color="auto"/>
        <w:bottom w:val="none" w:sz="0" w:space="0" w:color="auto"/>
        <w:right w:val="none" w:sz="0" w:space="0" w:color="auto"/>
      </w:divBdr>
    </w:div>
    <w:div w:id="435711744">
      <w:bodyDiv w:val="1"/>
      <w:marLeft w:val="0"/>
      <w:marRight w:val="0"/>
      <w:marTop w:val="0"/>
      <w:marBottom w:val="0"/>
      <w:divBdr>
        <w:top w:val="none" w:sz="0" w:space="0" w:color="auto"/>
        <w:left w:val="none" w:sz="0" w:space="0" w:color="auto"/>
        <w:bottom w:val="none" w:sz="0" w:space="0" w:color="auto"/>
        <w:right w:val="none" w:sz="0" w:space="0" w:color="auto"/>
      </w:divBdr>
      <w:divsChild>
        <w:div w:id="246814552">
          <w:marLeft w:val="360"/>
          <w:marRight w:val="0"/>
          <w:marTop w:val="0"/>
          <w:marBottom w:val="0"/>
          <w:divBdr>
            <w:top w:val="none" w:sz="0" w:space="0" w:color="auto"/>
            <w:left w:val="none" w:sz="0" w:space="0" w:color="auto"/>
            <w:bottom w:val="none" w:sz="0" w:space="0" w:color="auto"/>
            <w:right w:val="none" w:sz="0" w:space="0" w:color="auto"/>
          </w:divBdr>
        </w:div>
        <w:div w:id="401099818">
          <w:marLeft w:val="360"/>
          <w:marRight w:val="0"/>
          <w:marTop w:val="0"/>
          <w:marBottom w:val="0"/>
          <w:divBdr>
            <w:top w:val="none" w:sz="0" w:space="0" w:color="auto"/>
            <w:left w:val="none" w:sz="0" w:space="0" w:color="auto"/>
            <w:bottom w:val="none" w:sz="0" w:space="0" w:color="auto"/>
            <w:right w:val="none" w:sz="0" w:space="0" w:color="auto"/>
          </w:divBdr>
        </w:div>
        <w:div w:id="972908268">
          <w:marLeft w:val="360"/>
          <w:marRight w:val="0"/>
          <w:marTop w:val="0"/>
          <w:marBottom w:val="0"/>
          <w:divBdr>
            <w:top w:val="none" w:sz="0" w:space="0" w:color="auto"/>
            <w:left w:val="none" w:sz="0" w:space="0" w:color="auto"/>
            <w:bottom w:val="none" w:sz="0" w:space="0" w:color="auto"/>
            <w:right w:val="none" w:sz="0" w:space="0" w:color="auto"/>
          </w:divBdr>
        </w:div>
      </w:divsChild>
    </w:div>
    <w:div w:id="504442195">
      <w:bodyDiv w:val="1"/>
      <w:marLeft w:val="0"/>
      <w:marRight w:val="0"/>
      <w:marTop w:val="0"/>
      <w:marBottom w:val="0"/>
      <w:divBdr>
        <w:top w:val="none" w:sz="0" w:space="0" w:color="auto"/>
        <w:left w:val="none" w:sz="0" w:space="0" w:color="auto"/>
        <w:bottom w:val="none" w:sz="0" w:space="0" w:color="auto"/>
        <w:right w:val="none" w:sz="0" w:space="0" w:color="auto"/>
      </w:divBdr>
      <w:divsChild>
        <w:div w:id="1460875943">
          <w:marLeft w:val="360"/>
          <w:marRight w:val="0"/>
          <w:marTop w:val="0"/>
          <w:marBottom w:val="0"/>
          <w:divBdr>
            <w:top w:val="none" w:sz="0" w:space="0" w:color="auto"/>
            <w:left w:val="none" w:sz="0" w:space="0" w:color="auto"/>
            <w:bottom w:val="none" w:sz="0" w:space="0" w:color="auto"/>
            <w:right w:val="none" w:sz="0" w:space="0" w:color="auto"/>
          </w:divBdr>
        </w:div>
        <w:div w:id="1633360088">
          <w:marLeft w:val="360"/>
          <w:marRight w:val="0"/>
          <w:marTop w:val="0"/>
          <w:marBottom w:val="0"/>
          <w:divBdr>
            <w:top w:val="none" w:sz="0" w:space="0" w:color="auto"/>
            <w:left w:val="none" w:sz="0" w:space="0" w:color="auto"/>
            <w:bottom w:val="none" w:sz="0" w:space="0" w:color="auto"/>
            <w:right w:val="none" w:sz="0" w:space="0" w:color="auto"/>
          </w:divBdr>
        </w:div>
        <w:div w:id="2015300077">
          <w:marLeft w:val="360"/>
          <w:marRight w:val="0"/>
          <w:marTop w:val="0"/>
          <w:marBottom w:val="0"/>
          <w:divBdr>
            <w:top w:val="none" w:sz="0" w:space="0" w:color="auto"/>
            <w:left w:val="none" w:sz="0" w:space="0" w:color="auto"/>
            <w:bottom w:val="none" w:sz="0" w:space="0" w:color="auto"/>
            <w:right w:val="none" w:sz="0" w:space="0" w:color="auto"/>
          </w:divBdr>
        </w:div>
      </w:divsChild>
    </w:div>
    <w:div w:id="523831650">
      <w:bodyDiv w:val="1"/>
      <w:marLeft w:val="0"/>
      <w:marRight w:val="0"/>
      <w:marTop w:val="0"/>
      <w:marBottom w:val="0"/>
      <w:divBdr>
        <w:top w:val="none" w:sz="0" w:space="0" w:color="auto"/>
        <w:left w:val="none" w:sz="0" w:space="0" w:color="auto"/>
        <w:bottom w:val="none" w:sz="0" w:space="0" w:color="auto"/>
        <w:right w:val="none" w:sz="0" w:space="0" w:color="auto"/>
      </w:divBdr>
    </w:div>
    <w:div w:id="608246263">
      <w:bodyDiv w:val="1"/>
      <w:marLeft w:val="0"/>
      <w:marRight w:val="0"/>
      <w:marTop w:val="0"/>
      <w:marBottom w:val="0"/>
      <w:divBdr>
        <w:top w:val="none" w:sz="0" w:space="0" w:color="auto"/>
        <w:left w:val="none" w:sz="0" w:space="0" w:color="auto"/>
        <w:bottom w:val="none" w:sz="0" w:space="0" w:color="auto"/>
        <w:right w:val="none" w:sz="0" w:space="0" w:color="auto"/>
      </w:divBdr>
    </w:div>
    <w:div w:id="738479488">
      <w:bodyDiv w:val="1"/>
      <w:marLeft w:val="0"/>
      <w:marRight w:val="0"/>
      <w:marTop w:val="0"/>
      <w:marBottom w:val="0"/>
      <w:divBdr>
        <w:top w:val="none" w:sz="0" w:space="0" w:color="auto"/>
        <w:left w:val="none" w:sz="0" w:space="0" w:color="auto"/>
        <w:bottom w:val="none" w:sz="0" w:space="0" w:color="auto"/>
        <w:right w:val="none" w:sz="0" w:space="0" w:color="auto"/>
      </w:divBdr>
    </w:div>
    <w:div w:id="767850216">
      <w:bodyDiv w:val="1"/>
      <w:marLeft w:val="0"/>
      <w:marRight w:val="0"/>
      <w:marTop w:val="0"/>
      <w:marBottom w:val="0"/>
      <w:divBdr>
        <w:top w:val="none" w:sz="0" w:space="0" w:color="auto"/>
        <w:left w:val="none" w:sz="0" w:space="0" w:color="auto"/>
        <w:bottom w:val="none" w:sz="0" w:space="0" w:color="auto"/>
        <w:right w:val="none" w:sz="0" w:space="0" w:color="auto"/>
      </w:divBdr>
    </w:div>
    <w:div w:id="864445741">
      <w:bodyDiv w:val="1"/>
      <w:marLeft w:val="0"/>
      <w:marRight w:val="0"/>
      <w:marTop w:val="0"/>
      <w:marBottom w:val="0"/>
      <w:divBdr>
        <w:top w:val="none" w:sz="0" w:space="0" w:color="auto"/>
        <w:left w:val="none" w:sz="0" w:space="0" w:color="auto"/>
        <w:bottom w:val="none" w:sz="0" w:space="0" w:color="auto"/>
        <w:right w:val="none" w:sz="0" w:space="0" w:color="auto"/>
      </w:divBdr>
    </w:div>
    <w:div w:id="935865396">
      <w:bodyDiv w:val="1"/>
      <w:marLeft w:val="0"/>
      <w:marRight w:val="0"/>
      <w:marTop w:val="0"/>
      <w:marBottom w:val="0"/>
      <w:divBdr>
        <w:top w:val="none" w:sz="0" w:space="0" w:color="auto"/>
        <w:left w:val="none" w:sz="0" w:space="0" w:color="auto"/>
        <w:bottom w:val="none" w:sz="0" w:space="0" w:color="auto"/>
        <w:right w:val="none" w:sz="0" w:space="0" w:color="auto"/>
      </w:divBdr>
    </w:div>
    <w:div w:id="1023363229">
      <w:bodyDiv w:val="1"/>
      <w:marLeft w:val="0"/>
      <w:marRight w:val="0"/>
      <w:marTop w:val="0"/>
      <w:marBottom w:val="0"/>
      <w:divBdr>
        <w:top w:val="none" w:sz="0" w:space="0" w:color="auto"/>
        <w:left w:val="none" w:sz="0" w:space="0" w:color="auto"/>
        <w:bottom w:val="none" w:sz="0" w:space="0" w:color="auto"/>
        <w:right w:val="none" w:sz="0" w:space="0" w:color="auto"/>
      </w:divBdr>
    </w:div>
    <w:div w:id="1087270723">
      <w:bodyDiv w:val="1"/>
      <w:marLeft w:val="0"/>
      <w:marRight w:val="0"/>
      <w:marTop w:val="0"/>
      <w:marBottom w:val="0"/>
      <w:divBdr>
        <w:top w:val="none" w:sz="0" w:space="0" w:color="auto"/>
        <w:left w:val="none" w:sz="0" w:space="0" w:color="auto"/>
        <w:bottom w:val="none" w:sz="0" w:space="0" w:color="auto"/>
        <w:right w:val="none" w:sz="0" w:space="0" w:color="auto"/>
      </w:divBdr>
    </w:div>
    <w:div w:id="1087271216">
      <w:bodyDiv w:val="1"/>
      <w:marLeft w:val="0"/>
      <w:marRight w:val="0"/>
      <w:marTop w:val="0"/>
      <w:marBottom w:val="0"/>
      <w:divBdr>
        <w:top w:val="none" w:sz="0" w:space="0" w:color="auto"/>
        <w:left w:val="none" w:sz="0" w:space="0" w:color="auto"/>
        <w:bottom w:val="none" w:sz="0" w:space="0" w:color="auto"/>
        <w:right w:val="none" w:sz="0" w:space="0" w:color="auto"/>
      </w:divBdr>
    </w:div>
    <w:div w:id="1114329781">
      <w:bodyDiv w:val="1"/>
      <w:marLeft w:val="0"/>
      <w:marRight w:val="0"/>
      <w:marTop w:val="0"/>
      <w:marBottom w:val="0"/>
      <w:divBdr>
        <w:top w:val="none" w:sz="0" w:space="0" w:color="auto"/>
        <w:left w:val="none" w:sz="0" w:space="0" w:color="auto"/>
        <w:bottom w:val="none" w:sz="0" w:space="0" w:color="auto"/>
        <w:right w:val="none" w:sz="0" w:space="0" w:color="auto"/>
      </w:divBdr>
    </w:div>
    <w:div w:id="1154177035">
      <w:bodyDiv w:val="1"/>
      <w:marLeft w:val="0"/>
      <w:marRight w:val="0"/>
      <w:marTop w:val="0"/>
      <w:marBottom w:val="0"/>
      <w:divBdr>
        <w:top w:val="none" w:sz="0" w:space="0" w:color="auto"/>
        <w:left w:val="none" w:sz="0" w:space="0" w:color="auto"/>
        <w:bottom w:val="none" w:sz="0" w:space="0" w:color="auto"/>
        <w:right w:val="none" w:sz="0" w:space="0" w:color="auto"/>
      </w:divBdr>
    </w:div>
    <w:div w:id="1164007217">
      <w:bodyDiv w:val="1"/>
      <w:marLeft w:val="0"/>
      <w:marRight w:val="0"/>
      <w:marTop w:val="0"/>
      <w:marBottom w:val="0"/>
      <w:divBdr>
        <w:top w:val="none" w:sz="0" w:space="0" w:color="auto"/>
        <w:left w:val="none" w:sz="0" w:space="0" w:color="auto"/>
        <w:bottom w:val="none" w:sz="0" w:space="0" w:color="auto"/>
        <w:right w:val="none" w:sz="0" w:space="0" w:color="auto"/>
      </w:divBdr>
    </w:div>
    <w:div w:id="1383559744">
      <w:bodyDiv w:val="1"/>
      <w:marLeft w:val="0"/>
      <w:marRight w:val="0"/>
      <w:marTop w:val="0"/>
      <w:marBottom w:val="0"/>
      <w:divBdr>
        <w:top w:val="none" w:sz="0" w:space="0" w:color="auto"/>
        <w:left w:val="none" w:sz="0" w:space="0" w:color="auto"/>
        <w:bottom w:val="none" w:sz="0" w:space="0" w:color="auto"/>
        <w:right w:val="none" w:sz="0" w:space="0" w:color="auto"/>
      </w:divBdr>
      <w:divsChild>
        <w:div w:id="109058696">
          <w:marLeft w:val="144"/>
          <w:marRight w:val="0"/>
          <w:marTop w:val="0"/>
          <w:marBottom w:val="0"/>
          <w:divBdr>
            <w:top w:val="none" w:sz="0" w:space="0" w:color="auto"/>
            <w:left w:val="none" w:sz="0" w:space="0" w:color="auto"/>
            <w:bottom w:val="none" w:sz="0" w:space="0" w:color="auto"/>
            <w:right w:val="none" w:sz="0" w:space="0" w:color="auto"/>
          </w:divBdr>
        </w:div>
      </w:divsChild>
    </w:div>
    <w:div w:id="1389378619">
      <w:bodyDiv w:val="1"/>
      <w:marLeft w:val="0"/>
      <w:marRight w:val="0"/>
      <w:marTop w:val="0"/>
      <w:marBottom w:val="0"/>
      <w:divBdr>
        <w:top w:val="none" w:sz="0" w:space="0" w:color="auto"/>
        <w:left w:val="none" w:sz="0" w:space="0" w:color="auto"/>
        <w:bottom w:val="none" w:sz="0" w:space="0" w:color="auto"/>
        <w:right w:val="none" w:sz="0" w:space="0" w:color="auto"/>
      </w:divBdr>
    </w:div>
    <w:div w:id="1437677445">
      <w:bodyDiv w:val="1"/>
      <w:marLeft w:val="0"/>
      <w:marRight w:val="0"/>
      <w:marTop w:val="0"/>
      <w:marBottom w:val="0"/>
      <w:divBdr>
        <w:top w:val="none" w:sz="0" w:space="0" w:color="auto"/>
        <w:left w:val="none" w:sz="0" w:space="0" w:color="auto"/>
        <w:bottom w:val="none" w:sz="0" w:space="0" w:color="auto"/>
        <w:right w:val="none" w:sz="0" w:space="0" w:color="auto"/>
      </w:divBdr>
      <w:divsChild>
        <w:div w:id="428430314">
          <w:marLeft w:val="0"/>
          <w:marRight w:val="0"/>
          <w:marTop w:val="0"/>
          <w:marBottom w:val="0"/>
          <w:divBdr>
            <w:top w:val="none" w:sz="0" w:space="0" w:color="auto"/>
            <w:left w:val="none" w:sz="0" w:space="0" w:color="auto"/>
            <w:bottom w:val="none" w:sz="0" w:space="0" w:color="auto"/>
            <w:right w:val="none" w:sz="0" w:space="0" w:color="auto"/>
          </w:divBdr>
          <w:divsChild>
            <w:div w:id="1339576680">
              <w:marLeft w:val="0"/>
              <w:marRight w:val="0"/>
              <w:marTop w:val="0"/>
              <w:marBottom w:val="0"/>
              <w:divBdr>
                <w:top w:val="none" w:sz="0" w:space="0" w:color="auto"/>
                <w:left w:val="none" w:sz="0" w:space="0" w:color="auto"/>
                <w:bottom w:val="none" w:sz="0" w:space="0" w:color="auto"/>
                <w:right w:val="none" w:sz="0" w:space="0" w:color="auto"/>
              </w:divBdr>
              <w:divsChild>
                <w:div w:id="46728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821484">
      <w:bodyDiv w:val="1"/>
      <w:marLeft w:val="0"/>
      <w:marRight w:val="0"/>
      <w:marTop w:val="0"/>
      <w:marBottom w:val="0"/>
      <w:divBdr>
        <w:top w:val="none" w:sz="0" w:space="0" w:color="auto"/>
        <w:left w:val="none" w:sz="0" w:space="0" w:color="auto"/>
        <w:bottom w:val="none" w:sz="0" w:space="0" w:color="auto"/>
        <w:right w:val="none" w:sz="0" w:space="0" w:color="auto"/>
      </w:divBdr>
    </w:div>
    <w:div w:id="1585844500">
      <w:bodyDiv w:val="1"/>
      <w:marLeft w:val="0"/>
      <w:marRight w:val="0"/>
      <w:marTop w:val="0"/>
      <w:marBottom w:val="0"/>
      <w:divBdr>
        <w:top w:val="none" w:sz="0" w:space="0" w:color="auto"/>
        <w:left w:val="none" w:sz="0" w:space="0" w:color="auto"/>
        <w:bottom w:val="none" w:sz="0" w:space="0" w:color="auto"/>
        <w:right w:val="none" w:sz="0" w:space="0" w:color="auto"/>
      </w:divBdr>
      <w:divsChild>
        <w:div w:id="1500075413">
          <w:marLeft w:val="634"/>
          <w:marRight w:val="0"/>
          <w:marTop w:val="0"/>
          <w:marBottom w:val="0"/>
          <w:divBdr>
            <w:top w:val="none" w:sz="0" w:space="0" w:color="auto"/>
            <w:left w:val="none" w:sz="0" w:space="0" w:color="auto"/>
            <w:bottom w:val="none" w:sz="0" w:space="0" w:color="auto"/>
            <w:right w:val="none" w:sz="0" w:space="0" w:color="auto"/>
          </w:divBdr>
        </w:div>
      </w:divsChild>
    </w:div>
    <w:div w:id="1591768913">
      <w:bodyDiv w:val="1"/>
      <w:marLeft w:val="0"/>
      <w:marRight w:val="0"/>
      <w:marTop w:val="0"/>
      <w:marBottom w:val="0"/>
      <w:divBdr>
        <w:top w:val="none" w:sz="0" w:space="0" w:color="auto"/>
        <w:left w:val="none" w:sz="0" w:space="0" w:color="auto"/>
        <w:bottom w:val="none" w:sz="0" w:space="0" w:color="auto"/>
        <w:right w:val="none" w:sz="0" w:space="0" w:color="auto"/>
      </w:divBdr>
    </w:div>
    <w:div w:id="1625039813">
      <w:bodyDiv w:val="1"/>
      <w:marLeft w:val="0"/>
      <w:marRight w:val="0"/>
      <w:marTop w:val="0"/>
      <w:marBottom w:val="0"/>
      <w:divBdr>
        <w:top w:val="none" w:sz="0" w:space="0" w:color="auto"/>
        <w:left w:val="none" w:sz="0" w:space="0" w:color="auto"/>
        <w:bottom w:val="none" w:sz="0" w:space="0" w:color="auto"/>
        <w:right w:val="none" w:sz="0" w:space="0" w:color="auto"/>
      </w:divBdr>
    </w:div>
    <w:div w:id="1689480572">
      <w:bodyDiv w:val="1"/>
      <w:marLeft w:val="0"/>
      <w:marRight w:val="0"/>
      <w:marTop w:val="0"/>
      <w:marBottom w:val="0"/>
      <w:divBdr>
        <w:top w:val="none" w:sz="0" w:space="0" w:color="auto"/>
        <w:left w:val="none" w:sz="0" w:space="0" w:color="auto"/>
        <w:bottom w:val="none" w:sz="0" w:space="0" w:color="auto"/>
        <w:right w:val="none" w:sz="0" w:space="0" w:color="auto"/>
      </w:divBdr>
    </w:div>
    <w:div w:id="1793211099">
      <w:bodyDiv w:val="1"/>
      <w:marLeft w:val="0"/>
      <w:marRight w:val="0"/>
      <w:marTop w:val="0"/>
      <w:marBottom w:val="0"/>
      <w:divBdr>
        <w:top w:val="none" w:sz="0" w:space="0" w:color="auto"/>
        <w:left w:val="none" w:sz="0" w:space="0" w:color="auto"/>
        <w:bottom w:val="none" w:sz="0" w:space="0" w:color="auto"/>
        <w:right w:val="none" w:sz="0" w:space="0" w:color="auto"/>
      </w:divBdr>
    </w:div>
    <w:div w:id="1873575002">
      <w:bodyDiv w:val="1"/>
      <w:marLeft w:val="0"/>
      <w:marRight w:val="0"/>
      <w:marTop w:val="0"/>
      <w:marBottom w:val="0"/>
      <w:divBdr>
        <w:top w:val="none" w:sz="0" w:space="0" w:color="auto"/>
        <w:left w:val="none" w:sz="0" w:space="0" w:color="auto"/>
        <w:bottom w:val="none" w:sz="0" w:space="0" w:color="auto"/>
        <w:right w:val="none" w:sz="0" w:space="0" w:color="auto"/>
      </w:divBdr>
    </w:div>
    <w:div w:id="1888370040">
      <w:bodyDiv w:val="1"/>
      <w:marLeft w:val="0"/>
      <w:marRight w:val="0"/>
      <w:marTop w:val="0"/>
      <w:marBottom w:val="0"/>
      <w:divBdr>
        <w:top w:val="none" w:sz="0" w:space="0" w:color="auto"/>
        <w:left w:val="none" w:sz="0" w:space="0" w:color="auto"/>
        <w:bottom w:val="none" w:sz="0" w:space="0" w:color="auto"/>
        <w:right w:val="none" w:sz="0" w:space="0" w:color="auto"/>
      </w:divBdr>
    </w:div>
    <w:div w:id="1901360069">
      <w:bodyDiv w:val="1"/>
      <w:marLeft w:val="0"/>
      <w:marRight w:val="0"/>
      <w:marTop w:val="0"/>
      <w:marBottom w:val="0"/>
      <w:divBdr>
        <w:top w:val="none" w:sz="0" w:space="0" w:color="auto"/>
        <w:left w:val="none" w:sz="0" w:space="0" w:color="auto"/>
        <w:bottom w:val="none" w:sz="0" w:space="0" w:color="auto"/>
        <w:right w:val="none" w:sz="0" w:space="0" w:color="auto"/>
      </w:divBdr>
      <w:divsChild>
        <w:div w:id="980185542">
          <w:marLeft w:val="634"/>
          <w:marRight w:val="0"/>
          <w:marTop w:val="0"/>
          <w:marBottom w:val="0"/>
          <w:divBdr>
            <w:top w:val="none" w:sz="0" w:space="0" w:color="auto"/>
            <w:left w:val="none" w:sz="0" w:space="0" w:color="auto"/>
            <w:bottom w:val="none" w:sz="0" w:space="0" w:color="auto"/>
            <w:right w:val="none" w:sz="0" w:space="0" w:color="auto"/>
          </w:divBdr>
        </w:div>
      </w:divsChild>
    </w:div>
    <w:div w:id="1903363566">
      <w:bodyDiv w:val="1"/>
      <w:marLeft w:val="0"/>
      <w:marRight w:val="0"/>
      <w:marTop w:val="0"/>
      <w:marBottom w:val="0"/>
      <w:divBdr>
        <w:top w:val="none" w:sz="0" w:space="0" w:color="auto"/>
        <w:left w:val="none" w:sz="0" w:space="0" w:color="auto"/>
        <w:bottom w:val="none" w:sz="0" w:space="0" w:color="auto"/>
        <w:right w:val="none" w:sz="0" w:space="0" w:color="auto"/>
      </w:divBdr>
    </w:div>
    <w:div w:id="1916275775">
      <w:bodyDiv w:val="1"/>
      <w:marLeft w:val="0"/>
      <w:marRight w:val="0"/>
      <w:marTop w:val="0"/>
      <w:marBottom w:val="0"/>
      <w:divBdr>
        <w:top w:val="none" w:sz="0" w:space="0" w:color="auto"/>
        <w:left w:val="none" w:sz="0" w:space="0" w:color="auto"/>
        <w:bottom w:val="none" w:sz="0" w:space="0" w:color="auto"/>
        <w:right w:val="none" w:sz="0" w:space="0" w:color="auto"/>
      </w:divBdr>
    </w:div>
    <w:div w:id="2066832359">
      <w:bodyDiv w:val="1"/>
      <w:marLeft w:val="0"/>
      <w:marRight w:val="0"/>
      <w:marTop w:val="0"/>
      <w:marBottom w:val="0"/>
      <w:divBdr>
        <w:top w:val="none" w:sz="0" w:space="0" w:color="auto"/>
        <w:left w:val="none" w:sz="0" w:space="0" w:color="auto"/>
        <w:bottom w:val="none" w:sz="0" w:space="0" w:color="auto"/>
        <w:right w:val="none" w:sz="0" w:space="0" w:color="auto"/>
      </w:divBdr>
    </w:div>
    <w:div w:id="2076128394">
      <w:bodyDiv w:val="1"/>
      <w:marLeft w:val="0"/>
      <w:marRight w:val="0"/>
      <w:marTop w:val="0"/>
      <w:marBottom w:val="0"/>
      <w:divBdr>
        <w:top w:val="none" w:sz="0" w:space="0" w:color="auto"/>
        <w:left w:val="none" w:sz="0" w:space="0" w:color="auto"/>
        <w:bottom w:val="none" w:sz="0" w:space="0" w:color="auto"/>
        <w:right w:val="none" w:sz="0" w:space="0" w:color="auto"/>
      </w:divBdr>
      <w:divsChild>
        <w:div w:id="399910644">
          <w:marLeft w:val="547"/>
          <w:marRight w:val="0"/>
          <w:marTop w:val="0"/>
          <w:marBottom w:val="0"/>
          <w:divBdr>
            <w:top w:val="none" w:sz="0" w:space="0" w:color="auto"/>
            <w:left w:val="none" w:sz="0" w:space="0" w:color="auto"/>
            <w:bottom w:val="none" w:sz="0" w:space="0" w:color="auto"/>
            <w:right w:val="none" w:sz="0" w:space="0" w:color="auto"/>
          </w:divBdr>
        </w:div>
        <w:div w:id="492834945">
          <w:marLeft w:val="547"/>
          <w:marRight w:val="0"/>
          <w:marTop w:val="0"/>
          <w:marBottom w:val="0"/>
          <w:divBdr>
            <w:top w:val="none" w:sz="0" w:space="0" w:color="auto"/>
            <w:left w:val="none" w:sz="0" w:space="0" w:color="auto"/>
            <w:bottom w:val="none" w:sz="0" w:space="0" w:color="auto"/>
            <w:right w:val="none" w:sz="0" w:space="0" w:color="auto"/>
          </w:divBdr>
        </w:div>
        <w:div w:id="653995703">
          <w:marLeft w:val="547"/>
          <w:marRight w:val="0"/>
          <w:marTop w:val="0"/>
          <w:marBottom w:val="0"/>
          <w:divBdr>
            <w:top w:val="none" w:sz="0" w:space="0" w:color="auto"/>
            <w:left w:val="none" w:sz="0" w:space="0" w:color="auto"/>
            <w:bottom w:val="none" w:sz="0" w:space="0" w:color="auto"/>
            <w:right w:val="none" w:sz="0" w:space="0" w:color="auto"/>
          </w:divBdr>
        </w:div>
        <w:div w:id="893156167">
          <w:marLeft w:val="547"/>
          <w:marRight w:val="0"/>
          <w:marTop w:val="0"/>
          <w:marBottom w:val="0"/>
          <w:divBdr>
            <w:top w:val="none" w:sz="0" w:space="0" w:color="auto"/>
            <w:left w:val="none" w:sz="0" w:space="0" w:color="auto"/>
            <w:bottom w:val="none" w:sz="0" w:space="0" w:color="auto"/>
            <w:right w:val="none" w:sz="0" w:space="0" w:color="auto"/>
          </w:divBdr>
        </w:div>
        <w:div w:id="1108962165">
          <w:marLeft w:val="547"/>
          <w:marRight w:val="0"/>
          <w:marTop w:val="0"/>
          <w:marBottom w:val="0"/>
          <w:divBdr>
            <w:top w:val="none" w:sz="0" w:space="0" w:color="auto"/>
            <w:left w:val="none" w:sz="0" w:space="0" w:color="auto"/>
            <w:bottom w:val="none" w:sz="0" w:space="0" w:color="auto"/>
            <w:right w:val="none" w:sz="0" w:space="0" w:color="auto"/>
          </w:divBdr>
        </w:div>
      </w:divsChild>
    </w:div>
    <w:div w:id="2090468008">
      <w:bodyDiv w:val="1"/>
      <w:marLeft w:val="0"/>
      <w:marRight w:val="0"/>
      <w:marTop w:val="0"/>
      <w:marBottom w:val="0"/>
      <w:divBdr>
        <w:top w:val="none" w:sz="0" w:space="0" w:color="auto"/>
        <w:left w:val="none" w:sz="0" w:space="0" w:color="auto"/>
        <w:bottom w:val="none" w:sz="0" w:space="0" w:color="auto"/>
        <w:right w:val="none" w:sz="0" w:space="0" w:color="auto"/>
      </w:divBdr>
    </w:div>
    <w:div w:id="2119330218">
      <w:bodyDiv w:val="1"/>
      <w:marLeft w:val="0"/>
      <w:marRight w:val="0"/>
      <w:marTop w:val="0"/>
      <w:marBottom w:val="0"/>
      <w:divBdr>
        <w:top w:val="none" w:sz="0" w:space="0" w:color="auto"/>
        <w:left w:val="none" w:sz="0" w:space="0" w:color="auto"/>
        <w:bottom w:val="none" w:sz="0" w:space="0" w:color="auto"/>
        <w:right w:val="none" w:sz="0" w:space="0" w:color="auto"/>
      </w:divBdr>
      <w:divsChild>
        <w:div w:id="1281839513">
          <w:marLeft w:val="360"/>
          <w:marRight w:val="0"/>
          <w:marTop w:val="0"/>
          <w:marBottom w:val="0"/>
          <w:divBdr>
            <w:top w:val="none" w:sz="0" w:space="0" w:color="auto"/>
            <w:left w:val="none" w:sz="0" w:space="0" w:color="auto"/>
            <w:bottom w:val="none" w:sz="0" w:space="0" w:color="auto"/>
            <w:right w:val="none" w:sz="0" w:space="0" w:color="auto"/>
          </w:divBdr>
        </w:div>
        <w:div w:id="1855194681">
          <w:marLeft w:val="360"/>
          <w:marRight w:val="0"/>
          <w:marTop w:val="0"/>
          <w:marBottom w:val="0"/>
          <w:divBdr>
            <w:top w:val="none" w:sz="0" w:space="0" w:color="auto"/>
            <w:left w:val="none" w:sz="0" w:space="0" w:color="auto"/>
            <w:bottom w:val="none" w:sz="0" w:space="0" w:color="auto"/>
            <w:right w:val="none" w:sz="0" w:space="0" w:color="auto"/>
          </w:divBdr>
        </w:div>
        <w:div w:id="2116096511">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footer" Target="footer3.xml"/><Relationship Id="rId33" Type="http://schemas.openxmlformats.org/officeDocument/2006/relationships/customXml" Target="../customXml/item9.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29" Type="http://schemas.openxmlformats.org/officeDocument/2006/relationships/hyperlink" Target="http://unfccc.int/resource/docs/natc/mexnc5s.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32" Type="http://schemas.openxmlformats.org/officeDocument/2006/relationships/customXml" Target="../customXml/item8.xml"/><Relationship Id="rId5" Type="http://schemas.openxmlformats.org/officeDocument/2006/relationships/customXml" Target="../customXml/item5.xml"/><Relationship Id="rId15" Type="http://schemas.openxmlformats.org/officeDocument/2006/relationships/hyperlink" Target="http://www.funcionpublica.gob.mx/unaopspf/dredotp/normace.htm" TargetMode="External"/><Relationship Id="rId23" Type="http://schemas.openxmlformats.org/officeDocument/2006/relationships/footer" Target="footer2.xml"/><Relationship Id="rId28" Type="http://schemas.openxmlformats.org/officeDocument/2006/relationships/hyperlink" Target="http://unfccc.int/resource/docs/natc/mexnc5s.pdf" TargetMode="External"/><Relationship Id="rId10" Type="http://schemas.openxmlformats.org/officeDocument/2006/relationships/webSettings" Target="webSettings.xml"/><Relationship Id="rId19" Type="http://schemas.openxmlformats.org/officeDocument/2006/relationships/image" Target="media/image5.png"/><Relationship Id="rId31" Type="http://schemas.openxmlformats.org/officeDocument/2006/relationships/theme" Target="theme/theme1.xml"/><Relationship Id="rId30"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yperlink" Target="http://www.funcionpublica.gob.mx/unaopspf/unaop1.htm" TargetMode="External"/><Relationship Id="rId22" Type="http://schemas.openxmlformats.org/officeDocument/2006/relationships/footer" Target="footer1.xml"/><Relationship Id="rId27" Type="http://schemas.openxmlformats.org/officeDocument/2006/relationships/hyperlink" Target="http://www.semarnat.gob.mx/archivosanteriores/informacionambiental/Documents/06_otras/ENCC.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ilo.org/" TargetMode="External"/><Relationship Id="rId3" Type="http://schemas.openxmlformats.org/officeDocument/2006/relationships/hyperlink" Target="http://www.pic.int" TargetMode="External"/><Relationship Id="rId7" Type="http://schemas.openxmlformats.org/officeDocument/2006/relationships/hyperlink" Target="http://chm.pops.int/" TargetMode="External"/><Relationship Id="rId12" Type="http://schemas.openxmlformats.org/officeDocument/2006/relationships/hyperlink" Target="file:///C:/Users/camilag/AppData/Local/Microsoft/Windows/INetCache/Content.Outlook/WZNO6P9W/Prospectiva%20de%20Energ&#237;as%20Renovables%202012%20-%202026" TargetMode="External"/><Relationship Id="rId2" Type="http://schemas.openxmlformats.org/officeDocument/2006/relationships/hyperlink" Target="http://www.who.int/medicines/areas/quality_safety/safety_efficacy/pharm_restrictions/en/index.html" TargetMode="External"/><Relationship Id="rId1" Type="http://schemas.openxmlformats.org/officeDocument/2006/relationships/hyperlink" Target="http://www.cites.org/" TargetMode="External"/><Relationship Id="rId6" Type="http://schemas.openxmlformats.org/officeDocument/2006/relationships/hyperlink" Target="http://www.basel.int" TargetMode="External"/><Relationship Id="rId11" Type="http://schemas.openxmlformats.org/officeDocument/2006/relationships/hyperlink" Target="http://sie.energia.gob.mx/bdiController.do?action=cuadro&amp;cvecua=IIIA1C05" TargetMode="External"/><Relationship Id="rId5" Type="http://schemas.openxmlformats.org/officeDocument/2006/relationships/hyperlink" Target="http://ozone.unep.org/Publications/6ii_publications%20handbooks.shtml" TargetMode="External"/><Relationship Id="rId10" Type="http://schemas.openxmlformats.org/officeDocument/2006/relationships/hyperlink" Target="https://www.gob.mx/cms/uploads/attachment/file/284342/Prospectiva_de_Energ_as_Renovables_2017.pdf" TargetMode="External"/><Relationship Id="rId4" Type="http://schemas.openxmlformats.org/officeDocument/2006/relationships/hyperlink" Target="http://www.pops.int" TargetMode="External"/><Relationship Id="rId9" Type="http://schemas.openxmlformats.org/officeDocument/2006/relationships/hyperlink" Target="https://www.gob.mx/cms/uploads/attachment/file/284342/Prospectiva_de_Energ_as_Renovables_20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GENERALsp.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20" ma:contentTypeDescription="A content type to manage public (operations) IDB documents" ma:contentTypeScope="" ma:versionID="11afa8d1988f62cd04a91f1742905598">
  <xsd:schema xmlns:xsd="http://www.w3.org/2001/XMLSchema" xmlns:xs="http://www.w3.org/2001/XMLSchema" xmlns:p="http://schemas.microsoft.com/office/2006/metadata/properties" xmlns:ns2="cdc7663a-08f0-4737-9e8c-148ce897a09c" targetNamespace="http://schemas.microsoft.com/office/2006/metadata/properties" ma:root="true" ma:fieldsID="ca48c7391b8e8b71c79889b0807631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R0002190477</Record_x0020_Number>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Bonifaz Urquizu, Jeanette</Document_x0020_Author>
    <_dlc_DocId xmlns="cdc7663a-08f0-4737-9e8c-148ce897a09c">EZSHARE-567788752-29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54</Value>
      <Value>24</Value>
      <Value>37</Value>
      <Value>36</Value>
      <Value>1</Value>
      <Value>19</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ME-L1148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3178/OC-ME;3179/TC-ME;</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Document_x0020_Language_x0020_IDB xmlns="cdc7663a-08f0-4737-9e8c-148ce897a09c">Spanish</Document_x0020_Language_x0020_IDB>
    <_dlc_DocIdUrl xmlns="cdc7663a-08f0-4737-9e8c-148ce897a09c">
      <Url>https://idbg.sharepoint.com/teams/EZ-ME-LON/ME-L1148/_layouts/15/DocIdRedir.aspx?ID=EZSHARE-567788752-29</Url>
      <Description>EZSHARE-567788752-29</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5AB6375-472B-4BD0-840A-B8ED1F52DF6A}"/>
</file>

<file path=customXml/itemProps2.xml><?xml version="1.0" encoding="utf-8"?>
<ds:datastoreItem xmlns:ds="http://schemas.openxmlformats.org/officeDocument/2006/customXml" ds:itemID="{8F8E3E30-A300-42A3-ADF0-0394DF4F0063}">
  <ds:schemaRefs>
    <ds:schemaRef ds:uri="http://schemas.microsoft.com/sharepoint/events"/>
  </ds:schemaRefs>
</ds:datastoreItem>
</file>

<file path=customXml/itemProps3.xml><?xml version="1.0" encoding="utf-8"?>
<ds:datastoreItem xmlns:ds="http://schemas.openxmlformats.org/officeDocument/2006/customXml" ds:itemID="{34AEF0F0-D0AA-40C6-94E4-036783821CC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7F614F3D-D66A-4EC7-B4D3-032EE5A97DAB}">
  <ds:schemaRefs>
    <ds:schemaRef ds:uri="Microsoft.SharePoint.Taxonomy.ContentTypeSync"/>
  </ds:schemaRefs>
</ds:datastoreItem>
</file>

<file path=customXml/itemProps5.xml><?xml version="1.0" encoding="utf-8"?>
<ds:datastoreItem xmlns:ds="http://schemas.openxmlformats.org/officeDocument/2006/customXml" ds:itemID="{2512A6CB-86EF-4E39-AEAD-A5E02BC4135B}">
  <ds:schemaRefs>
    <ds:schemaRef ds:uri="http://schemas.microsoft.com/sharepoint/v3/contenttype/forms"/>
  </ds:schemaRefs>
</ds:datastoreItem>
</file>

<file path=customXml/itemProps6.xml><?xml version="1.0" encoding="utf-8"?>
<ds:datastoreItem xmlns:ds="http://schemas.openxmlformats.org/officeDocument/2006/customXml" ds:itemID="{D2F0679A-E7D9-41FB-8C24-BF11552A6D93}">
  <ds:schemaRefs>
    <ds:schemaRef ds:uri="http://schemas.openxmlformats.org/officeDocument/2006/bibliography"/>
  </ds:schemaRefs>
</ds:datastoreItem>
</file>

<file path=customXml/itemProps7.xml><?xml version="1.0" encoding="utf-8"?>
<ds:datastoreItem xmlns:ds="http://schemas.openxmlformats.org/officeDocument/2006/customXml" ds:itemID="{E861E295-21C9-4500-A12B-0BAC94EEE794}"/>
</file>

<file path=customXml/itemProps8.xml><?xml version="1.0" encoding="utf-8"?>
<ds:datastoreItem xmlns:ds="http://schemas.openxmlformats.org/officeDocument/2006/customXml" ds:itemID="{BE710F8F-8FE5-4F30-BE9A-56F77BBFC87D}"/>
</file>

<file path=customXml/itemProps9.xml><?xml version="1.0" encoding="utf-8"?>
<ds:datastoreItem xmlns:ds="http://schemas.openxmlformats.org/officeDocument/2006/customXml" ds:itemID="{690643A6-3C78-4E30-9A4F-1DDDAE38940A}"/>
</file>

<file path=docProps/app.xml><?xml version="1.0" encoding="utf-8"?>
<Properties xmlns="http://schemas.openxmlformats.org/officeDocument/2006/extended-properties" xmlns:vt="http://schemas.openxmlformats.org/officeDocument/2006/docPropsVTypes">
  <Template>GENERALsp.dot</Template>
  <TotalTime>5440</TotalTime>
  <Pages>69</Pages>
  <Words>23816</Words>
  <Characters>135754</Characters>
  <Application>Microsoft Office Word</Application>
  <DocSecurity>0</DocSecurity>
  <Lines>1131</Lines>
  <Paragraphs>318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MEXICO</vt:lpstr>
      <vt:lpstr>MEXICO</vt:lpstr>
    </vt:vector>
  </TitlesOfParts>
  <Company>Nacional Financiera S.N.C</Company>
  <LinksUpToDate>false</LinksUpToDate>
  <CharactersWithSpaces>159252</CharactersWithSpaces>
  <SharedDoc>false</SharedDoc>
  <HLinks>
    <vt:vector size="6" baseType="variant">
      <vt:variant>
        <vt:i4>262160</vt:i4>
      </vt:variant>
      <vt:variant>
        <vt:i4>72</vt:i4>
      </vt:variant>
      <vt:variant>
        <vt:i4>0</vt:i4>
      </vt:variant>
      <vt:variant>
        <vt:i4>5</vt:i4>
      </vt:variant>
      <vt:variant>
        <vt:lpwstr>http://www.funcionpublica.gob.mx/unaopspf/credito/normace.htm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MEXICO</dc:title>
  <dc:creator>ANGELADO</dc:creator>
  <cp:keywords/>
  <cp:lastModifiedBy>Bonifaz Urquizu, Jeanette</cp:lastModifiedBy>
  <cp:revision>26</cp:revision>
  <cp:lastPrinted>2016-05-10T00:32:00Z</cp:lastPrinted>
  <dcterms:created xsi:type="dcterms:W3CDTF">2018-04-05T15:03:00Z</dcterms:created>
  <dcterms:modified xsi:type="dcterms:W3CDTF">2018-07-19T20:43:00Z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4e6af212-de33-44b0-9c48-ec3afc559932</vt:lpwstr>
  </property>
  <property fmtid="{D5CDD505-2E9C-101B-9397-08002B2CF9AE}" pid="6" name="Series Operations IDB">
    <vt:lpwstr/>
  </property>
  <property fmtid="{D5CDD505-2E9C-101B-9397-08002B2CF9AE}" pid="7" name="Sub-Sector">
    <vt:lpwstr>37;#CLIMATE CHANGE FINANCING|0721090b-7598-4438-912e-9210b5215a71</vt:lpwstr>
  </property>
  <property fmtid="{D5CDD505-2E9C-101B-9397-08002B2CF9AE}" pid="8" name="Country">
    <vt:lpwstr>19;#Mexico|0eba6470-e7ea-46fd-a959-d4c243acaf26</vt:lpwstr>
  </property>
  <property fmtid="{D5CDD505-2E9C-101B-9397-08002B2CF9AE}" pid="9" name="Fund IDB">
    <vt:lpwstr>54;#CTF|09590cec-0e26-4757-bcca-8a4fab00b407;#24;#ORC|c028a4b2-ad8b-4cf4-9cac-a2ae6a778e23</vt:lpwstr>
  </property>
  <property fmtid="{D5CDD505-2E9C-101B-9397-08002B2CF9AE}" pid="10" name="_dlc_DocIdItemGuid">
    <vt:lpwstr>4bc1c4a1-5c19-4d79-bbe7-4b7dabc378a0</vt:lpwstr>
  </property>
  <property fmtid="{D5CDD505-2E9C-101B-9397-08002B2CF9AE}" pid="11" name="Sector IDB">
    <vt:lpwstr>36;#ENVIRONMENT AND NATURAL DISASTERS|261e2b33-090b-4ab0-8e06-3aa3e7f32d57</vt:lpwstr>
  </property>
  <property fmtid="{D5CDD505-2E9C-101B-9397-08002B2CF9AE}" pid="12" name="Function Operations IDB">
    <vt:lpwstr>1;#Project Preparation, Planning and Design|29ca0c72-1fc4-435f-a09c-28585cb5eac9</vt:lpwstr>
  </property>
  <property fmtid="{D5CDD505-2E9C-101B-9397-08002B2CF9AE}" pid="13" name="Disclosure Activity">
    <vt:lpwstr>Loan Proposal</vt:lpwstr>
  </property>
  <property fmtid="{D5CDD505-2E9C-101B-9397-08002B2CF9AE}" pid="14" name="ContentTypeId">
    <vt:lpwstr>0x0101001A458A224826124E8B45B1D613300CFC0072D1FEB6A15E734391F4430B1F48A51E</vt:lpwstr>
  </property>
</Properties>
</file>