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0A2D10" w14:textId="77777777" w:rsidR="007116B2" w:rsidRPr="001F731F" w:rsidRDefault="007116B2" w:rsidP="007116B2">
      <w:pPr>
        <w:pStyle w:val="SubSubPar"/>
        <w:numPr>
          <w:ilvl w:val="0"/>
          <w:numId w:val="0"/>
        </w:numPr>
        <w:spacing w:after="0"/>
        <w:jc w:val="center"/>
        <w:rPr>
          <w:rFonts w:ascii="Arial" w:hAnsi="Arial" w:cs="Arial"/>
          <w:smallCaps/>
          <w:sz w:val="22"/>
          <w:szCs w:val="22"/>
          <w:lang w:val="es-ES_tradnl"/>
        </w:rPr>
      </w:pPr>
      <w:bookmarkStart w:id="0" w:name="_Toc388249744"/>
      <w:bookmarkStart w:id="1" w:name="_Hlk36292361"/>
      <w:r w:rsidRPr="001F731F">
        <w:rPr>
          <w:rFonts w:ascii="Arial" w:hAnsi="Arial" w:cs="Arial"/>
          <w:smallCaps/>
          <w:sz w:val="22"/>
          <w:szCs w:val="22"/>
          <w:lang w:val="es-ES_tradnl"/>
        </w:rPr>
        <w:t>Documento del Banco Interamericano De Desarrollo</w:t>
      </w:r>
      <w:bookmarkEnd w:id="0"/>
    </w:p>
    <w:p w14:paraId="716F8AF0" w14:textId="77777777" w:rsidR="007116B2" w:rsidRPr="001F731F" w:rsidRDefault="007116B2" w:rsidP="007116B2">
      <w:pPr>
        <w:spacing w:before="120" w:after="120" w:line="240" w:lineRule="auto"/>
        <w:jc w:val="center"/>
        <w:rPr>
          <w:rFonts w:ascii="Arial" w:hAnsi="Arial" w:cs="Arial"/>
          <w:lang w:val="es-ES_tradnl"/>
        </w:rPr>
      </w:pPr>
    </w:p>
    <w:p w14:paraId="5F320801" w14:textId="77777777" w:rsidR="007116B2" w:rsidRPr="001F731F" w:rsidRDefault="007116B2" w:rsidP="007116B2">
      <w:pPr>
        <w:spacing w:before="120" w:after="120" w:line="240" w:lineRule="auto"/>
        <w:jc w:val="center"/>
        <w:rPr>
          <w:rFonts w:ascii="Arial" w:hAnsi="Arial" w:cs="Arial"/>
          <w:lang w:val="es-ES_tradnl"/>
        </w:rPr>
      </w:pPr>
    </w:p>
    <w:p w14:paraId="1D6A0115" w14:textId="77777777" w:rsidR="007116B2" w:rsidRPr="001F731F" w:rsidRDefault="007116B2" w:rsidP="007116B2">
      <w:pPr>
        <w:spacing w:before="120" w:after="120" w:line="240" w:lineRule="auto"/>
        <w:jc w:val="center"/>
        <w:rPr>
          <w:rFonts w:ascii="Arial" w:hAnsi="Arial" w:cs="Arial"/>
          <w:lang w:val="es-ES_tradnl"/>
        </w:rPr>
      </w:pPr>
    </w:p>
    <w:p w14:paraId="06B839A1" w14:textId="77777777" w:rsidR="007116B2" w:rsidRPr="001F731F" w:rsidRDefault="007116B2" w:rsidP="007116B2">
      <w:pPr>
        <w:spacing w:before="120" w:after="120" w:line="240" w:lineRule="auto"/>
        <w:jc w:val="center"/>
        <w:rPr>
          <w:rFonts w:ascii="Arial" w:hAnsi="Arial" w:cs="Arial"/>
          <w:lang w:val="es-ES_tradnl"/>
        </w:rPr>
      </w:pPr>
    </w:p>
    <w:p w14:paraId="64879566" w14:textId="76B61915" w:rsidR="007116B2" w:rsidRPr="001516A6" w:rsidRDefault="00F73DDD" w:rsidP="007116B2">
      <w:pPr>
        <w:tabs>
          <w:tab w:val="left" w:pos="1440"/>
          <w:tab w:val="left" w:pos="3060"/>
        </w:tabs>
        <w:jc w:val="center"/>
        <w:rPr>
          <w:rFonts w:ascii="Arial" w:hAnsi="Arial" w:cs="Arial"/>
          <w:b/>
          <w:smallCaps/>
          <w:sz w:val="28"/>
          <w:szCs w:val="28"/>
          <w:lang w:val="es-ES_tradnl"/>
        </w:rPr>
      </w:pPr>
      <w:r>
        <w:rPr>
          <w:rFonts w:ascii="Arial" w:hAnsi="Arial" w:cs="Arial"/>
          <w:b/>
          <w:smallCaps/>
          <w:sz w:val="28"/>
          <w:szCs w:val="28"/>
          <w:lang w:val="es-ES_tradnl"/>
        </w:rPr>
        <w:t>México</w:t>
      </w:r>
    </w:p>
    <w:p w14:paraId="407B67EF" w14:textId="77777777" w:rsidR="007116B2" w:rsidRPr="001F731F" w:rsidRDefault="007116B2" w:rsidP="007116B2">
      <w:pPr>
        <w:tabs>
          <w:tab w:val="left" w:pos="1440"/>
          <w:tab w:val="left" w:pos="3060"/>
        </w:tabs>
        <w:jc w:val="center"/>
        <w:rPr>
          <w:rFonts w:ascii="Arial" w:hAnsi="Arial" w:cs="Arial"/>
          <w:smallCaps/>
          <w:lang w:val="es-ES_tradnl"/>
        </w:rPr>
      </w:pPr>
    </w:p>
    <w:p w14:paraId="62C3B055" w14:textId="77777777" w:rsidR="001A207D" w:rsidRPr="001E273A" w:rsidRDefault="001A207D" w:rsidP="001A207D">
      <w:pPr>
        <w:tabs>
          <w:tab w:val="left" w:pos="1440"/>
          <w:tab w:val="left" w:pos="3060"/>
        </w:tabs>
        <w:jc w:val="center"/>
        <w:rPr>
          <w:rFonts w:ascii="Arial" w:hAnsi="Arial" w:cs="Arial"/>
          <w:b/>
          <w:smallCaps/>
          <w:sz w:val="28"/>
          <w:szCs w:val="28"/>
          <w:lang w:val="es-ES"/>
        </w:rPr>
      </w:pPr>
      <w:r w:rsidRPr="001E273A">
        <w:rPr>
          <w:rFonts w:ascii="Arial" w:hAnsi="Arial" w:cs="Arial"/>
          <w:b/>
          <w:smallCaps/>
          <w:sz w:val="28"/>
          <w:szCs w:val="28"/>
          <w:lang w:val="es-ES"/>
        </w:rPr>
        <w:t>Reformulación del Programa de Financiamiento y Transferencia de Riesgos para Geotermia para financiar el Programa Global de Crédito para la Defensa del Tejido Productivo y el Empleo</w:t>
      </w:r>
    </w:p>
    <w:p w14:paraId="59210816" w14:textId="77777777" w:rsidR="00AB03F4" w:rsidRPr="00046E14" w:rsidRDefault="00AB03F4" w:rsidP="00AB03F4">
      <w:pPr>
        <w:tabs>
          <w:tab w:val="left" w:pos="1440"/>
          <w:tab w:val="left" w:pos="3060"/>
        </w:tabs>
        <w:jc w:val="center"/>
        <w:rPr>
          <w:rFonts w:ascii="Arial" w:hAnsi="Arial" w:cs="Arial"/>
          <w:smallCaps/>
          <w:lang w:val="es-ES"/>
        </w:rPr>
      </w:pPr>
    </w:p>
    <w:p w14:paraId="63401519" w14:textId="77777777" w:rsidR="00AB03F4" w:rsidRPr="0095324D" w:rsidRDefault="00AB03F4" w:rsidP="00AB03F4">
      <w:pPr>
        <w:tabs>
          <w:tab w:val="left" w:pos="1440"/>
          <w:tab w:val="left" w:pos="3060"/>
        </w:tabs>
        <w:jc w:val="center"/>
        <w:rPr>
          <w:rFonts w:ascii="Arial" w:hAnsi="Arial" w:cs="Arial"/>
          <w:smallCaps/>
          <w:lang w:val="es-ES"/>
        </w:rPr>
      </w:pPr>
    </w:p>
    <w:p w14:paraId="0026CE87" w14:textId="77777777" w:rsidR="002E765F" w:rsidRPr="0095324D" w:rsidRDefault="002E765F" w:rsidP="002E765F">
      <w:pPr>
        <w:tabs>
          <w:tab w:val="left" w:pos="1440"/>
          <w:tab w:val="left" w:pos="3060"/>
        </w:tabs>
        <w:jc w:val="center"/>
        <w:rPr>
          <w:rFonts w:ascii="Arial" w:hAnsi="Arial" w:cs="Arial"/>
          <w:b/>
          <w:smallCaps/>
          <w:lang w:val="es-ES"/>
        </w:rPr>
      </w:pPr>
      <w:r w:rsidRPr="0095324D">
        <w:rPr>
          <w:rFonts w:ascii="Arial" w:hAnsi="Arial" w:cs="Arial"/>
          <w:b/>
          <w:smallCaps/>
          <w:lang w:val="es-ES"/>
        </w:rPr>
        <w:t>(Modificación del Contrato de Préstamo No. 3178/OC-ME y de las Resoluciones DE-38/14 y DE-41/18)</w:t>
      </w:r>
    </w:p>
    <w:p w14:paraId="6C0BC542" w14:textId="77777777" w:rsidR="00FF2EDB" w:rsidRPr="003E6FC6" w:rsidRDefault="00FF2EDB" w:rsidP="00FF2EDB">
      <w:pPr>
        <w:tabs>
          <w:tab w:val="left" w:pos="1440"/>
          <w:tab w:val="left" w:pos="3060"/>
        </w:tabs>
        <w:jc w:val="center"/>
        <w:rPr>
          <w:rFonts w:ascii="Arial" w:hAnsi="Arial" w:cs="Arial"/>
          <w:smallCaps/>
          <w:sz w:val="28"/>
          <w:szCs w:val="28"/>
          <w:lang w:val="es-ES"/>
        </w:rPr>
      </w:pPr>
    </w:p>
    <w:p w14:paraId="329F5C0E" w14:textId="414D2F3F" w:rsidR="007116B2" w:rsidRDefault="007116B2" w:rsidP="007116B2">
      <w:pPr>
        <w:tabs>
          <w:tab w:val="left" w:pos="1440"/>
          <w:tab w:val="left" w:pos="3060"/>
        </w:tabs>
        <w:jc w:val="center"/>
        <w:outlineLvl w:val="0"/>
        <w:rPr>
          <w:rFonts w:ascii="Arial" w:hAnsi="Arial" w:cs="Arial"/>
          <w:b/>
          <w:smallCaps/>
          <w:sz w:val="24"/>
          <w:lang w:val="es-ES_tradnl"/>
        </w:rPr>
      </w:pPr>
    </w:p>
    <w:p w14:paraId="491A51E3" w14:textId="77777777" w:rsidR="00357BA7" w:rsidRPr="001F731F" w:rsidRDefault="00357BA7" w:rsidP="007116B2">
      <w:pPr>
        <w:tabs>
          <w:tab w:val="left" w:pos="1440"/>
          <w:tab w:val="left" w:pos="3060"/>
        </w:tabs>
        <w:jc w:val="center"/>
        <w:outlineLvl w:val="0"/>
        <w:rPr>
          <w:rFonts w:ascii="Arial" w:hAnsi="Arial" w:cs="Arial"/>
          <w:b/>
          <w:smallCaps/>
          <w:sz w:val="24"/>
          <w:lang w:val="es-ES_tradnl"/>
        </w:rPr>
      </w:pPr>
    </w:p>
    <w:p w14:paraId="269B5C61" w14:textId="77777777" w:rsidR="007116B2" w:rsidRPr="001F731F" w:rsidRDefault="007116B2" w:rsidP="007116B2">
      <w:pPr>
        <w:tabs>
          <w:tab w:val="left" w:pos="1440"/>
          <w:tab w:val="left" w:pos="3060"/>
        </w:tabs>
        <w:jc w:val="center"/>
        <w:outlineLvl w:val="0"/>
        <w:rPr>
          <w:rFonts w:ascii="Arial" w:hAnsi="Arial" w:cs="Arial"/>
          <w:b/>
          <w:smallCaps/>
          <w:sz w:val="24"/>
          <w:lang w:val="es-ES_tradnl"/>
        </w:rPr>
      </w:pPr>
      <w:r w:rsidRPr="001F731F">
        <w:rPr>
          <w:rFonts w:ascii="Arial" w:hAnsi="Arial" w:cs="Arial"/>
          <w:b/>
          <w:smallCaps/>
          <w:sz w:val="24"/>
          <w:lang w:val="es-ES_tradnl"/>
        </w:rPr>
        <w:t>Plan de Monitoreo y Evaluación</w:t>
      </w:r>
    </w:p>
    <w:p w14:paraId="3133C02B" w14:textId="77777777" w:rsidR="007116B2" w:rsidRPr="001F731F" w:rsidRDefault="007116B2" w:rsidP="007116B2">
      <w:pPr>
        <w:spacing w:after="100" w:afterAutospacing="1" w:line="240" w:lineRule="auto"/>
        <w:jc w:val="center"/>
        <w:rPr>
          <w:rFonts w:ascii="Arial" w:hAnsi="Arial" w:cs="Arial"/>
          <w:b/>
          <w:lang w:val="es-ES_tradnl"/>
        </w:rPr>
      </w:pPr>
    </w:p>
    <w:p w14:paraId="295FFDAD" w14:textId="77777777" w:rsidR="007116B2" w:rsidRPr="001F731F" w:rsidRDefault="007116B2" w:rsidP="007116B2">
      <w:pPr>
        <w:pStyle w:val="TOC3"/>
        <w:rPr>
          <w:rFonts w:ascii="Arial" w:hAnsi="Arial" w:cs="Arial"/>
          <w:sz w:val="22"/>
          <w:lang w:val="es-ES_tradnl"/>
        </w:rPr>
      </w:pPr>
    </w:p>
    <w:p w14:paraId="62939755" w14:textId="0EDB1399" w:rsidR="007116B2" w:rsidRDefault="007116B2" w:rsidP="007116B2">
      <w:pPr>
        <w:rPr>
          <w:rFonts w:ascii="Arial" w:hAnsi="Arial" w:cs="Arial"/>
          <w:lang w:val="es-ES_tradnl"/>
        </w:rPr>
      </w:pPr>
    </w:p>
    <w:p w14:paraId="29ED49A9" w14:textId="0F2FAA85" w:rsidR="00357BA7" w:rsidRDefault="00357BA7" w:rsidP="007116B2">
      <w:pPr>
        <w:rPr>
          <w:rFonts w:ascii="Arial" w:hAnsi="Arial" w:cs="Arial"/>
          <w:lang w:val="es-ES_tradnl"/>
        </w:rPr>
      </w:pPr>
    </w:p>
    <w:p w14:paraId="32AD66CA" w14:textId="77777777" w:rsidR="00357BA7" w:rsidRPr="001F731F" w:rsidRDefault="00357BA7" w:rsidP="007116B2">
      <w:pPr>
        <w:rPr>
          <w:rFonts w:ascii="Arial" w:hAnsi="Arial" w:cs="Arial"/>
          <w:lang w:val="es-ES_tradnl"/>
        </w:rPr>
      </w:pPr>
    </w:p>
    <w:p w14:paraId="53218EA4" w14:textId="77777777" w:rsidR="007116B2" w:rsidRPr="001F731F" w:rsidRDefault="007116B2" w:rsidP="007116B2">
      <w:pPr>
        <w:rPr>
          <w:rFonts w:ascii="Arial" w:hAnsi="Arial" w:cs="Arial"/>
          <w:b/>
          <w:lang w:val="es-ES_tradnl"/>
        </w:rPr>
      </w:pPr>
      <w:r w:rsidRPr="001F731F">
        <w:rPr>
          <w:rFonts w:ascii="Arial" w:hAnsi="Arial" w:cs="Arial"/>
          <w:noProof/>
          <w:lang w:val="es-MX" w:eastAsia="es-MX"/>
        </w:rPr>
        <mc:AlternateContent>
          <mc:Choice Requires="wps">
            <w:drawing>
              <wp:anchor distT="0" distB="0" distL="114300" distR="114300" simplePos="0" relativeHeight="251658240" behindDoc="0" locked="0" layoutInCell="1" allowOverlap="1" wp14:anchorId="321CF101" wp14:editId="258DD0E6">
                <wp:simplePos x="0" y="0"/>
                <wp:positionH relativeFrom="column">
                  <wp:posOffset>-215900</wp:posOffset>
                </wp:positionH>
                <wp:positionV relativeFrom="paragraph">
                  <wp:posOffset>272416</wp:posOffset>
                </wp:positionV>
                <wp:extent cx="5734050" cy="304800"/>
                <wp:effectExtent l="0" t="0" r="19050" b="1905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304800"/>
                        </a:xfrm>
                        <a:prstGeom prst="rect">
                          <a:avLst/>
                        </a:prstGeom>
                        <a:solidFill>
                          <a:srgbClr val="FFFFFF"/>
                        </a:solidFill>
                        <a:ln w="9525">
                          <a:solidFill>
                            <a:srgbClr val="000000"/>
                          </a:solidFill>
                          <a:miter lim="800000"/>
                          <a:headEnd/>
                          <a:tailEnd/>
                        </a:ln>
                      </wps:spPr>
                      <wps:txbx>
                        <w:txbxContent>
                          <w:p w14:paraId="5D017DC1" w14:textId="78334BEA" w:rsidR="00DB18CA" w:rsidRPr="00486549" w:rsidRDefault="00DB18CA" w:rsidP="00500555">
                            <w:pPr>
                              <w:spacing w:after="0" w:line="240" w:lineRule="auto"/>
                              <w:jc w:val="center"/>
                              <w:rPr>
                                <w:rFonts w:ascii="Arial" w:hAnsi="Arial" w:cs="Arial"/>
                                <w:sz w:val="20"/>
                                <w:lang w:val="es-ES_tradnl"/>
                              </w:rPr>
                            </w:pPr>
                            <w:bookmarkStart w:id="2" w:name="_Hlk20177833"/>
                            <w:r w:rsidRPr="00F9341C">
                              <w:rPr>
                                <w:rFonts w:ascii="Arial" w:hAnsi="Arial" w:cs="Arial"/>
                                <w:szCs w:val="24"/>
                                <w:lang w:val="es-419"/>
                              </w:rPr>
                              <w:t>Este documento fue preparado por</w:t>
                            </w:r>
                            <w:r>
                              <w:rPr>
                                <w:rFonts w:ascii="Arial" w:hAnsi="Arial" w:cs="Arial"/>
                                <w:szCs w:val="24"/>
                                <w:lang w:val="es-419"/>
                              </w:rPr>
                              <w:t>:</w:t>
                            </w:r>
                            <w:r w:rsidRPr="00F9341C">
                              <w:rPr>
                                <w:rFonts w:ascii="Arial" w:hAnsi="Arial" w:cs="Arial"/>
                                <w:szCs w:val="24"/>
                                <w:lang w:val="es-419"/>
                              </w:rPr>
                              <w:t xml:space="preserve"> </w:t>
                            </w:r>
                            <w:r w:rsidR="00500555">
                              <w:rPr>
                                <w:rFonts w:ascii="Arial" w:hAnsi="Arial" w:cs="Arial"/>
                                <w:szCs w:val="24"/>
                                <w:lang w:val="es-419"/>
                              </w:rPr>
                              <w:t>Isabel Haro</w:t>
                            </w:r>
                            <w:r>
                              <w:rPr>
                                <w:rFonts w:ascii="Arial" w:hAnsi="Arial" w:cs="Arial"/>
                                <w:szCs w:val="24"/>
                                <w:lang w:val="es-419"/>
                              </w:rPr>
                              <w:t>.</w:t>
                            </w:r>
                            <w:bookmarkEnd w:id="2"/>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21CF101" id="_x0000_t202" coordsize="21600,21600" o:spt="202" path="m,l,21600r21600,l21600,xe">
                <v:stroke joinstyle="miter"/>
                <v:path gradientshapeok="t" o:connecttype="rect"/>
              </v:shapetype>
              <v:shape id="Text Box 1" o:spid="_x0000_s1026" type="#_x0000_t202" style="position:absolute;margin-left:-17pt;margin-top:21.45pt;width:451.5pt;height: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">
                <v:textbox>
                  <w:txbxContent>
                    <w:p w14:paraId="5D017DC1" w14:textId="78334BEA" w:rsidR="00DB18CA" w:rsidRPr="00486549" w:rsidRDefault="00DB18CA" w:rsidP="00500555">
                      <w:pPr>
                        <w:spacing w:after="0" w:line="240" w:lineRule="auto"/>
                        <w:jc w:val="center"/>
                        <w:rPr>
                          <w:rFonts w:ascii="Arial" w:hAnsi="Arial" w:cs="Arial"/>
                          <w:sz w:val="20"/>
                          <w:lang w:val="es-ES_tradnl"/>
                        </w:rPr>
                      </w:pPr>
                      <w:bookmarkStart w:id="3" w:name="_Hlk20177833"/>
                      <w:r w:rsidRPr="00F9341C">
                        <w:rPr>
                          <w:rFonts w:ascii="Arial" w:hAnsi="Arial" w:cs="Arial"/>
                          <w:szCs w:val="24"/>
                          <w:lang w:val="es-419"/>
                        </w:rPr>
                        <w:t>Este documento fue preparado por</w:t>
                      </w:r>
                      <w:r>
                        <w:rPr>
                          <w:rFonts w:ascii="Arial" w:hAnsi="Arial" w:cs="Arial"/>
                          <w:szCs w:val="24"/>
                          <w:lang w:val="es-419"/>
                        </w:rPr>
                        <w:t>:</w:t>
                      </w:r>
                      <w:r w:rsidRPr="00F9341C">
                        <w:rPr>
                          <w:rFonts w:ascii="Arial" w:hAnsi="Arial" w:cs="Arial"/>
                          <w:szCs w:val="24"/>
                          <w:lang w:val="es-419"/>
                        </w:rPr>
                        <w:t xml:space="preserve"> </w:t>
                      </w:r>
                      <w:r w:rsidR="00500555">
                        <w:rPr>
                          <w:rFonts w:ascii="Arial" w:hAnsi="Arial" w:cs="Arial"/>
                          <w:szCs w:val="24"/>
                          <w:lang w:val="es-419"/>
                        </w:rPr>
                        <w:t>Isabel Haro</w:t>
                      </w:r>
                      <w:r>
                        <w:rPr>
                          <w:rFonts w:ascii="Arial" w:hAnsi="Arial" w:cs="Arial"/>
                          <w:szCs w:val="24"/>
                          <w:lang w:val="es-419"/>
                        </w:rPr>
                        <w:t>.</w:t>
                      </w:r>
                      <w:bookmarkEnd w:id="3"/>
                    </w:p>
                  </w:txbxContent>
                </v:textbox>
              </v:shape>
            </w:pict>
          </mc:Fallback>
        </mc:AlternateContent>
      </w:r>
    </w:p>
    <w:p w14:paraId="4969FF98" w14:textId="77777777" w:rsidR="007116B2" w:rsidRPr="001F731F" w:rsidRDefault="007116B2" w:rsidP="007116B2">
      <w:pPr>
        <w:rPr>
          <w:rFonts w:ascii="Arial" w:hAnsi="Arial" w:cs="Arial"/>
          <w:b/>
          <w:lang w:val="es-ES_tradnl"/>
        </w:rPr>
      </w:pPr>
    </w:p>
    <w:p w14:paraId="027F5825" w14:textId="77777777" w:rsidR="007116B2" w:rsidRPr="001F731F" w:rsidRDefault="007116B2" w:rsidP="007116B2">
      <w:pPr>
        <w:rPr>
          <w:rFonts w:ascii="Arial" w:hAnsi="Arial" w:cs="Arial"/>
          <w:b/>
          <w:lang w:val="es-ES_tradnl"/>
        </w:rPr>
      </w:pPr>
    </w:p>
    <w:p w14:paraId="1F053DA3" w14:textId="77777777" w:rsidR="009D6B4F" w:rsidRDefault="009D6B4F">
      <w:pPr>
        <w:spacing w:after="160" w:line="259" w:lineRule="auto"/>
        <w:rPr>
          <w:rStyle w:val="BookTitle"/>
          <w:rFonts w:ascii="Arial" w:hAnsi="Arial" w:cs="Arial"/>
          <w:lang w:val="es-ES_tradnl"/>
        </w:rPr>
      </w:pPr>
      <w:r>
        <w:rPr>
          <w:rStyle w:val="BookTitle"/>
          <w:rFonts w:ascii="Arial" w:hAnsi="Arial" w:cs="Arial"/>
          <w:lang w:val="es-ES_tradnl"/>
        </w:rPr>
        <w:br w:type="page"/>
      </w:r>
    </w:p>
    <w:p w14:paraId="44E7EA5A" w14:textId="6C94AEDD" w:rsidR="007116B2" w:rsidRPr="001F731F" w:rsidRDefault="007116B2" w:rsidP="007116B2">
      <w:pPr>
        <w:jc w:val="center"/>
        <w:rPr>
          <w:rFonts w:ascii="Arial" w:hAnsi="Arial" w:cs="Arial"/>
          <w:b/>
          <w:bCs/>
          <w:smallCaps/>
          <w:spacing w:val="5"/>
          <w:lang w:val="es-ES_tradnl"/>
        </w:rPr>
      </w:pPr>
      <w:r w:rsidRPr="001F731F">
        <w:rPr>
          <w:rStyle w:val="BookTitle"/>
          <w:rFonts w:ascii="Arial" w:hAnsi="Arial" w:cs="Arial"/>
          <w:lang w:val="es-ES_tradnl"/>
        </w:rPr>
        <w:lastRenderedPageBreak/>
        <w:t>CONTENIDO</w:t>
      </w:r>
    </w:p>
    <w:p w14:paraId="3B150397" w14:textId="62D08682" w:rsidR="00C51797" w:rsidRPr="00500555" w:rsidRDefault="007116B2">
      <w:pPr>
        <w:pStyle w:val="TOC1"/>
        <w:rPr>
          <w:rFonts w:ascii="Arial" w:hAnsi="Arial" w:cs="Arial"/>
          <w:b w:val="0"/>
          <w:smallCaps w:val="0"/>
          <w:sz w:val="22"/>
          <w:lang w:val="es-PE" w:eastAsia="en-US"/>
        </w:rPr>
      </w:pPr>
      <w:r w:rsidRPr="00500555">
        <w:rPr>
          <w:rFonts w:ascii="Arial" w:hAnsi="Arial" w:cs="Arial"/>
          <w:b w:val="0"/>
          <w:noProof w:val="0"/>
          <w:sz w:val="22"/>
          <w:lang w:val="es-ES_tradnl"/>
        </w:rPr>
        <w:fldChar w:fldCharType="begin"/>
      </w:r>
      <w:r w:rsidRPr="00500555">
        <w:rPr>
          <w:rFonts w:ascii="Arial" w:hAnsi="Arial" w:cs="Arial"/>
          <w:b w:val="0"/>
          <w:noProof w:val="0"/>
          <w:sz w:val="22"/>
          <w:lang w:val="es-ES_tradnl"/>
        </w:rPr>
        <w:instrText xml:space="preserve"> TOC \f \t "Chapter,1,FirstHeading,2,SecHeading,3" </w:instrText>
      </w:r>
      <w:r w:rsidRPr="00500555">
        <w:rPr>
          <w:rFonts w:ascii="Arial" w:hAnsi="Arial" w:cs="Arial"/>
          <w:b w:val="0"/>
          <w:noProof w:val="0"/>
          <w:sz w:val="22"/>
          <w:lang w:val="es-ES_tradnl"/>
        </w:rPr>
        <w:fldChar w:fldCharType="separate"/>
      </w:r>
      <w:r w:rsidR="00C51797" w:rsidRPr="00500555">
        <w:rPr>
          <w:rFonts w:ascii="Arial" w:hAnsi="Arial" w:cs="Arial"/>
          <w:sz w:val="22"/>
          <w:lang w:val="es-ES_tradnl"/>
        </w:rPr>
        <w:t>I.</w:t>
      </w:r>
      <w:r w:rsidR="00C51797" w:rsidRPr="00500555">
        <w:rPr>
          <w:rFonts w:ascii="Arial" w:hAnsi="Arial" w:cs="Arial"/>
          <w:b w:val="0"/>
          <w:smallCaps w:val="0"/>
          <w:sz w:val="22"/>
          <w:lang w:val="es-PE" w:eastAsia="en-US"/>
        </w:rPr>
        <w:tab/>
      </w:r>
      <w:r w:rsidR="00C51797" w:rsidRPr="00500555">
        <w:rPr>
          <w:rFonts w:ascii="Arial" w:hAnsi="Arial" w:cs="Arial"/>
          <w:sz w:val="22"/>
          <w:lang w:val="es-ES_tradnl"/>
        </w:rPr>
        <w:t>Introducción</w:t>
      </w:r>
      <w:r w:rsidR="00C51797" w:rsidRPr="00500555">
        <w:rPr>
          <w:rFonts w:ascii="Arial" w:hAnsi="Arial" w:cs="Arial"/>
          <w:sz w:val="22"/>
          <w:lang w:val="es-PE"/>
        </w:rPr>
        <w:tab/>
      </w:r>
      <w:r w:rsidR="00C51797" w:rsidRPr="00500555">
        <w:rPr>
          <w:rFonts w:ascii="Arial" w:hAnsi="Arial" w:cs="Arial"/>
          <w:sz w:val="22"/>
        </w:rPr>
        <w:fldChar w:fldCharType="begin"/>
      </w:r>
      <w:r w:rsidR="00C51797" w:rsidRPr="00500555">
        <w:rPr>
          <w:rFonts w:ascii="Arial" w:hAnsi="Arial" w:cs="Arial"/>
          <w:sz w:val="22"/>
          <w:lang w:val="es-PE"/>
        </w:rPr>
        <w:instrText xml:space="preserve"> PAGEREF _Toc43286367 \h </w:instrText>
      </w:r>
      <w:r w:rsidR="00C51797" w:rsidRPr="00500555">
        <w:rPr>
          <w:rFonts w:ascii="Arial" w:hAnsi="Arial" w:cs="Arial"/>
          <w:sz w:val="22"/>
        </w:rPr>
      </w:r>
      <w:r w:rsidR="00C51797" w:rsidRPr="00500555">
        <w:rPr>
          <w:rFonts w:ascii="Arial" w:hAnsi="Arial" w:cs="Arial"/>
          <w:sz w:val="22"/>
        </w:rPr>
        <w:fldChar w:fldCharType="separate"/>
      </w:r>
      <w:r w:rsidR="00CD0585">
        <w:rPr>
          <w:rFonts w:ascii="Arial" w:hAnsi="Arial" w:cs="Arial"/>
          <w:sz w:val="22"/>
          <w:lang w:val="es-PE"/>
        </w:rPr>
        <w:t>2</w:t>
      </w:r>
      <w:r w:rsidR="00C51797" w:rsidRPr="00500555">
        <w:rPr>
          <w:rFonts w:ascii="Arial" w:hAnsi="Arial" w:cs="Arial"/>
          <w:sz w:val="22"/>
        </w:rPr>
        <w:fldChar w:fldCharType="end"/>
      </w:r>
    </w:p>
    <w:p w14:paraId="30378781" w14:textId="48DC2944" w:rsidR="00C51797" w:rsidRPr="00500555" w:rsidRDefault="00C51797">
      <w:pPr>
        <w:pStyle w:val="TOC1"/>
        <w:rPr>
          <w:rFonts w:ascii="Arial" w:hAnsi="Arial" w:cs="Arial"/>
          <w:b w:val="0"/>
          <w:smallCaps w:val="0"/>
          <w:sz w:val="22"/>
          <w:lang w:val="es-PE" w:eastAsia="en-US"/>
        </w:rPr>
      </w:pPr>
      <w:r w:rsidRPr="00500555">
        <w:rPr>
          <w:rFonts w:ascii="Arial" w:hAnsi="Arial" w:cs="Arial"/>
          <w:sz w:val="22"/>
          <w:lang w:val="es-ES_tradnl"/>
        </w:rPr>
        <w:t>II.</w:t>
      </w:r>
      <w:r w:rsidRPr="00500555">
        <w:rPr>
          <w:rFonts w:ascii="Arial" w:hAnsi="Arial" w:cs="Arial"/>
          <w:b w:val="0"/>
          <w:smallCaps w:val="0"/>
          <w:sz w:val="22"/>
          <w:lang w:val="es-PE" w:eastAsia="en-US"/>
        </w:rPr>
        <w:tab/>
      </w:r>
      <w:r w:rsidRPr="00500555">
        <w:rPr>
          <w:rFonts w:ascii="Arial" w:hAnsi="Arial" w:cs="Arial"/>
          <w:sz w:val="22"/>
          <w:lang w:val="es-ES_tradnl"/>
        </w:rPr>
        <w:t>Monitoreo</w:t>
      </w:r>
      <w:r w:rsidRPr="00500555">
        <w:rPr>
          <w:rFonts w:ascii="Arial" w:hAnsi="Arial" w:cs="Arial"/>
          <w:sz w:val="22"/>
          <w:lang w:val="es-PE"/>
        </w:rPr>
        <w:tab/>
      </w:r>
      <w:r w:rsidRPr="00500555">
        <w:rPr>
          <w:rFonts w:ascii="Arial" w:hAnsi="Arial" w:cs="Arial"/>
          <w:sz w:val="22"/>
        </w:rPr>
        <w:fldChar w:fldCharType="begin"/>
      </w:r>
      <w:r w:rsidRPr="00500555">
        <w:rPr>
          <w:rFonts w:ascii="Arial" w:hAnsi="Arial" w:cs="Arial"/>
          <w:sz w:val="22"/>
          <w:lang w:val="es-PE"/>
        </w:rPr>
        <w:instrText xml:space="preserve"> PAGEREF _Toc43286368 \h </w:instrText>
      </w:r>
      <w:r w:rsidRPr="00500555">
        <w:rPr>
          <w:rFonts w:ascii="Arial" w:hAnsi="Arial" w:cs="Arial"/>
          <w:sz w:val="22"/>
        </w:rPr>
      </w:r>
      <w:r w:rsidRPr="00500555">
        <w:rPr>
          <w:rFonts w:ascii="Arial" w:hAnsi="Arial" w:cs="Arial"/>
          <w:sz w:val="22"/>
        </w:rPr>
        <w:fldChar w:fldCharType="separate"/>
      </w:r>
      <w:r w:rsidR="00CD0585">
        <w:rPr>
          <w:rFonts w:ascii="Arial" w:hAnsi="Arial" w:cs="Arial"/>
          <w:sz w:val="22"/>
          <w:lang w:val="es-PE"/>
        </w:rPr>
        <w:t>5</w:t>
      </w:r>
      <w:r w:rsidRPr="00500555">
        <w:rPr>
          <w:rFonts w:ascii="Arial" w:hAnsi="Arial" w:cs="Arial"/>
          <w:sz w:val="22"/>
        </w:rPr>
        <w:fldChar w:fldCharType="end"/>
      </w:r>
    </w:p>
    <w:p w14:paraId="5D563CEC" w14:textId="32E70723" w:rsidR="00C51797" w:rsidRPr="00500555" w:rsidRDefault="00C51797">
      <w:pPr>
        <w:pStyle w:val="TOC3"/>
        <w:rPr>
          <w:rFonts w:ascii="Arial" w:hAnsi="Arial" w:cs="Arial"/>
          <w:noProof/>
          <w:sz w:val="22"/>
          <w:lang w:val="es-PE" w:eastAsia="en-US"/>
        </w:rPr>
      </w:pPr>
      <w:r w:rsidRPr="00500555">
        <w:rPr>
          <w:rFonts w:ascii="Arial" w:hAnsi="Arial" w:cs="Arial"/>
          <w:noProof/>
          <w:sz w:val="22"/>
          <w:lang w:val="es-PE"/>
        </w:rPr>
        <w:t>1.</w:t>
      </w:r>
      <w:r w:rsidRPr="00500555">
        <w:rPr>
          <w:rFonts w:ascii="Arial" w:hAnsi="Arial" w:cs="Arial"/>
          <w:noProof/>
          <w:sz w:val="22"/>
          <w:lang w:val="es-PE" w:eastAsia="en-US"/>
        </w:rPr>
        <w:tab/>
      </w:r>
      <w:r w:rsidRPr="00500555">
        <w:rPr>
          <w:rFonts w:ascii="Arial" w:hAnsi="Arial" w:cs="Arial"/>
          <w:noProof/>
          <w:sz w:val="22"/>
          <w:lang w:val="es-PE"/>
        </w:rPr>
        <w:t>Indicadores</w:t>
      </w:r>
      <w:r w:rsidRPr="00500555">
        <w:rPr>
          <w:rFonts w:ascii="Arial" w:hAnsi="Arial" w:cs="Arial"/>
          <w:noProof/>
          <w:sz w:val="22"/>
          <w:lang w:val="es-PE"/>
        </w:rPr>
        <w:tab/>
      </w:r>
      <w:r w:rsidRPr="00500555">
        <w:rPr>
          <w:rFonts w:ascii="Arial" w:hAnsi="Arial" w:cs="Arial"/>
          <w:noProof/>
          <w:sz w:val="22"/>
        </w:rPr>
        <w:fldChar w:fldCharType="begin"/>
      </w:r>
      <w:r w:rsidRPr="00500555">
        <w:rPr>
          <w:rFonts w:ascii="Arial" w:hAnsi="Arial" w:cs="Arial"/>
          <w:noProof/>
          <w:sz w:val="22"/>
          <w:lang w:val="es-PE"/>
        </w:rPr>
        <w:instrText xml:space="preserve"> PAGEREF _Toc43286369 \h </w:instrText>
      </w:r>
      <w:r w:rsidRPr="00500555">
        <w:rPr>
          <w:rFonts w:ascii="Arial" w:hAnsi="Arial" w:cs="Arial"/>
          <w:noProof/>
          <w:sz w:val="22"/>
        </w:rPr>
      </w:r>
      <w:r w:rsidRPr="00500555">
        <w:rPr>
          <w:rFonts w:ascii="Arial" w:hAnsi="Arial" w:cs="Arial"/>
          <w:noProof/>
          <w:sz w:val="22"/>
        </w:rPr>
        <w:fldChar w:fldCharType="separate"/>
      </w:r>
      <w:r w:rsidR="00CD0585">
        <w:rPr>
          <w:rFonts w:ascii="Arial" w:hAnsi="Arial" w:cs="Arial"/>
          <w:noProof/>
          <w:sz w:val="22"/>
          <w:lang w:val="es-PE"/>
        </w:rPr>
        <w:t>5</w:t>
      </w:r>
      <w:r w:rsidRPr="00500555">
        <w:rPr>
          <w:rFonts w:ascii="Arial" w:hAnsi="Arial" w:cs="Arial"/>
          <w:noProof/>
          <w:sz w:val="22"/>
        </w:rPr>
        <w:fldChar w:fldCharType="end"/>
      </w:r>
    </w:p>
    <w:p w14:paraId="506C1A80" w14:textId="5E78AB6A" w:rsidR="00C51797" w:rsidRPr="00500555" w:rsidRDefault="00C51797">
      <w:pPr>
        <w:pStyle w:val="TOC3"/>
        <w:rPr>
          <w:rFonts w:ascii="Arial" w:hAnsi="Arial" w:cs="Arial"/>
          <w:noProof/>
          <w:sz w:val="22"/>
          <w:lang w:val="es-PE" w:eastAsia="en-US"/>
        </w:rPr>
      </w:pPr>
      <w:r w:rsidRPr="00500555">
        <w:rPr>
          <w:rFonts w:ascii="Arial" w:hAnsi="Arial" w:cs="Arial"/>
          <w:noProof/>
          <w:sz w:val="22"/>
          <w:lang w:val="es-PE"/>
        </w:rPr>
        <w:t>2.</w:t>
      </w:r>
      <w:r w:rsidRPr="00500555">
        <w:rPr>
          <w:rFonts w:ascii="Arial" w:hAnsi="Arial" w:cs="Arial"/>
          <w:noProof/>
          <w:sz w:val="22"/>
          <w:lang w:val="es-PE" w:eastAsia="en-US"/>
        </w:rPr>
        <w:tab/>
      </w:r>
      <w:r w:rsidRPr="00500555">
        <w:rPr>
          <w:rFonts w:ascii="Arial" w:hAnsi="Arial" w:cs="Arial"/>
          <w:noProof/>
          <w:sz w:val="22"/>
          <w:lang w:val="es-PE"/>
        </w:rPr>
        <w:t>Recolección de Información e Instrumentos</w:t>
      </w:r>
      <w:r w:rsidRPr="00500555">
        <w:rPr>
          <w:rFonts w:ascii="Arial" w:hAnsi="Arial" w:cs="Arial"/>
          <w:noProof/>
          <w:sz w:val="22"/>
          <w:lang w:val="es-PE"/>
        </w:rPr>
        <w:tab/>
      </w:r>
      <w:r w:rsidRPr="00500555">
        <w:rPr>
          <w:rFonts w:ascii="Arial" w:hAnsi="Arial" w:cs="Arial"/>
          <w:noProof/>
          <w:sz w:val="22"/>
        </w:rPr>
        <w:fldChar w:fldCharType="begin"/>
      </w:r>
      <w:r w:rsidRPr="00500555">
        <w:rPr>
          <w:rFonts w:ascii="Arial" w:hAnsi="Arial" w:cs="Arial"/>
          <w:noProof/>
          <w:sz w:val="22"/>
          <w:lang w:val="es-PE"/>
        </w:rPr>
        <w:instrText xml:space="preserve"> PAGEREF _Toc43286370 \h </w:instrText>
      </w:r>
      <w:r w:rsidRPr="00500555">
        <w:rPr>
          <w:rFonts w:ascii="Arial" w:hAnsi="Arial" w:cs="Arial"/>
          <w:noProof/>
          <w:sz w:val="22"/>
        </w:rPr>
      </w:r>
      <w:r w:rsidRPr="00500555">
        <w:rPr>
          <w:rFonts w:ascii="Arial" w:hAnsi="Arial" w:cs="Arial"/>
          <w:noProof/>
          <w:sz w:val="22"/>
        </w:rPr>
        <w:fldChar w:fldCharType="separate"/>
      </w:r>
      <w:r w:rsidR="00CD0585">
        <w:rPr>
          <w:rFonts w:ascii="Arial" w:hAnsi="Arial" w:cs="Arial"/>
          <w:noProof/>
          <w:sz w:val="22"/>
          <w:lang w:val="es-PE"/>
        </w:rPr>
        <w:t>7</w:t>
      </w:r>
      <w:r w:rsidRPr="00500555">
        <w:rPr>
          <w:rFonts w:ascii="Arial" w:hAnsi="Arial" w:cs="Arial"/>
          <w:noProof/>
          <w:sz w:val="22"/>
        </w:rPr>
        <w:fldChar w:fldCharType="end"/>
      </w:r>
    </w:p>
    <w:p w14:paraId="5E418880" w14:textId="139492CC" w:rsidR="00C51797" w:rsidRPr="00500555" w:rsidRDefault="00C51797">
      <w:pPr>
        <w:pStyle w:val="TOC3"/>
        <w:rPr>
          <w:rFonts w:ascii="Arial" w:hAnsi="Arial" w:cs="Arial"/>
          <w:noProof/>
          <w:sz w:val="22"/>
          <w:lang w:val="es-PE" w:eastAsia="en-US"/>
        </w:rPr>
      </w:pPr>
      <w:r w:rsidRPr="00500555">
        <w:rPr>
          <w:rFonts w:ascii="Arial" w:hAnsi="Arial" w:cs="Arial"/>
          <w:noProof/>
          <w:sz w:val="22"/>
          <w:lang w:val="es-PE"/>
        </w:rPr>
        <w:t>3.</w:t>
      </w:r>
      <w:r w:rsidRPr="00500555">
        <w:rPr>
          <w:rFonts w:ascii="Arial" w:hAnsi="Arial" w:cs="Arial"/>
          <w:noProof/>
          <w:sz w:val="22"/>
          <w:lang w:val="es-PE" w:eastAsia="en-US"/>
        </w:rPr>
        <w:tab/>
      </w:r>
      <w:r w:rsidRPr="00500555">
        <w:rPr>
          <w:rFonts w:ascii="Arial" w:hAnsi="Arial" w:cs="Arial"/>
          <w:noProof/>
          <w:sz w:val="22"/>
          <w:lang w:val="es-PE"/>
        </w:rPr>
        <w:t>Presentación de Informes</w:t>
      </w:r>
      <w:r w:rsidRPr="00500555">
        <w:rPr>
          <w:rFonts w:ascii="Arial" w:hAnsi="Arial" w:cs="Arial"/>
          <w:noProof/>
          <w:sz w:val="22"/>
          <w:lang w:val="es-PE"/>
        </w:rPr>
        <w:tab/>
      </w:r>
      <w:r w:rsidRPr="00500555">
        <w:rPr>
          <w:rFonts w:ascii="Arial" w:hAnsi="Arial" w:cs="Arial"/>
          <w:noProof/>
          <w:sz w:val="22"/>
        </w:rPr>
        <w:fldChar w:fldCharType="begin"/>
      </w:r>
      <w:r w:rsidRPr="00500555">
        <w:rPr>
          <w:rFonts w:ascii="Arial" w:hAnsi="Arial" w:cs="Arial"/>
          <w:noProof/>
          <w:sz w:val="22"/>
          <w:lang w:val="es-PE"/>
        </w:rPr>
        <w:instrText xml:space="preserve"> PAGEREF _Toc43286371 \h </w:instrText>
      </w:r>
      <w:r w:rsidRPr="00500555">
        <w:rPr>
          <w:rFonts w:ascii="Arial" w:hAnsi="Arial" w:cs="Arial"/>
          <w:noProof/>
          <w:sz w:val="22"/>
        </w:rPr>
      </w:r>
      <w:r w:rsidRPr="00500555">
        <w:rPr>
          <w:rFonts w:ascii="Arial" w:hAnsi="Arial" w:cs="Arial"/>
          <w:noProof/>
          <w:sz w:val="22"/>
        </w:rPr>
        <w:fldChar w:fldCharType="separate"/>
      </w:r>
      <w:r w:rsidR="00CD0585">
        <w:rPr>
          <w:rFonts w:ascii="Arial" w:hAnsi="Arial" w:cs="Arial"/>
          <w:noProof/>
          <w:sz w:val="22"/>
          <w:lang w:val="es-PE"/>
        </w:rPr>
        <w:t>8</w:t>
      </w:r>
      <w:r w:rsidRPr="00500555">
        <w:rPr>
          <w:rFonts w:ascii="Arial" w:hAnsi="Arial" w:cs="Arial"/>
          <w:noProof/>
          <w:sz w:val="22"/>
        </w:rPr>
        <w:fldChar w:fldCharType="end"/>
      </w:r>
    </w:p>
    <w:p w14:paraId="131E74D6" w14:textId="6305C51C" w:rsidR="00C51797" w:rsidRPr="00500555" w:rsidRDefault="00C51797">
      <w:pPr>
        <w:pStyle w:val="TOC3"/>
        <w:rPr>
          <w:rFonts w:ascii="Arial" w:hAnsi="Arial" w:cs="Arial"/>
          <w:noProof/>
          <w:sz w:val="22"/>
          <w:lang w:val="es-PE" w:eastAsia="en-US"/>
        </w:rPr>
      </w:pPr>
      <w:r w:rsidRPr="00500555">
        <w:rPr>
          <w:rFonts w:ascii="Arial" w:hAnsi="Arial" w:cs="Arial"/>
          <w:noProof/>
          <w:sz w:val="22"/>
          <w:lang w:val="es-PE"/>
        </w:rPr>
        <w:t>4.</w:t>
      </w:r>
      <w:r w:rsidRPr="00500555">
        <w:rPr>
          <w:rFonts w:ascii="Arial" w:hAnsi="Arial" w:cs="Arial"/>
          <w:noProof/>
          <w:sz w:val="22"/>
          <w:lang w:val="es-PE" w:eastAsia="en-US"/>
        </w:rPr>
        <w:tab/>
      </w:r>
      <w:r w:rsidRPr="00500555">
        <w:rPr>
          <w:rFonts w:ascii="Arial" w:hAnsi="Arial" w:cs="Arial"/>
          <w:noProof/>
          <w:sz w:val="22"/>
          <w:lang w:val="es-PE"/>
        </w:rPr>
        <w:t>Coordinación del Monitoreo, Plan de Trabajo y Presupuesto</w:t>
      </w:r>
      <w:r w:rsidRPr="00500555">
        <w:rPr>
          <w:rFonts w:ascii="Arial" w:hAnsi="Arial" w:cs="Arial"/>
          <w:noProof/>
          <w:sz w:val="22"/>
          <w:lang w:val="es-PE"/>
        </w:rPr>
        <w:tab/>
      </w:r>
      <w:r w:rsidRPr="00500555">
        <w:rPr>
          <w:rFonts w:ascii="Arial" w:hAnsi="Arial" w:cs="Arial"/>
          <w:noProof/>
          <w:sz w:val="22"/>
        </w:rPr>
        <w:fldChar w:fldCharType="begin"/>
      </w:r>
      <w:r w:rsidRPr="00500555">
        <w:rPr>
          <w:rFonts w:ascii="Arial" w:hAnsi="Arial" w:cs="Arial"/>
          <w:noProof/>
          <w:sz w:val="22"/>
          <w:lang w:val="es-PE"/>
        </w:rPr>
        <w:instrText xml:space="preserve"> PAGEREF _Toc43286372 \h </w:instrText>
      </w:r>
      <w:r w:rsidRPr="00500555">
        <w:rPr>
          <w:rFonts w:ascii="Arial" w:hAnsi="Arial" w:cs="Arial"/>
          <w:noProof/>
          <w:sz w:val="22"/>
        </w:rPr>
      </w:r>
      <w:r w:rsidRPr="00500555">
        <w:rPr>
          <w:rFonts w:ascii="Arial" w:hAnsi="Arial" w:cs="Arial"/>
          <w:noProof/>
          <w:sz w:val="22"/>
        </w:rPr>
        <w:fldChar w:fldCharType="separate"/>
      </w:r>
      <w:r w:rsidR="00CD0585">
        <w:rPr>
          <w:rFonts w:ascii="Arial" w:hAnsi="Arial" w:cs="Arial"/>
          <w:noProof/>
          <w:sz w:val="22"/>
          <w:lang w:val="es-PE"/>
        </w:rPr>
        <w:t>9</w:t>
      </w:r>
      <w:r w:rsidRPr="00500555">
        <w:rPr>
          <w:rFonts w:ascii="Arial" w:hAnsi="Arial" w:cs="Arial"/>
          <w:noProof/>
          <w:sz w:val="22"/>
        </w:rPr>
        <w:fldChar w:fldCharType="end"/>
      </w:r>
    </w:p>
    <w:p w14:paraId="12750385" w14:textId="7A579033" w:rsidR="00C51797" w:rsidRPr="00500555" w:rsidRDefault="00C51797">
      <w:pPr>
        <w:pStyle w:val="TOC1"/>
        <w:rPr>
          <w:rFonts w:ascii="Arial" w:hAnsi="Arial" w:cs="Arial"/>
          <w:b w:val="0"/>
          <w:smallCaps w:val="0"/>
          <w:sz w:val="22"/>
          <w:lang w:eastAsia="en-US"/>
        </w:rPr>
      </w:pPr>
      <w:r w:rsidRPr="00500555">
        <w:rPr>
          <w:rFonts w:ascii="Arial" w:hAnsi="Arial" w:cs="Arial"/>
          <w:sz w:val="22"/>
          <w:lang w:val="es-ES_tradnl"/>
        </w:rPr>
        <w:t>III.</w:t>
      </w:r>
      <w:r w:rsidRPr="00500555">
        <w:rPr>
          <w:rFonts w:ascii="Arial" w:hAnsi="Arial" w:cs="Arial"/>
          <w:b w:val="0"/>
          <w:smallCaps w:val="0"/>
          <w:sz w:val="22"/>
          <w:lang w:eastAsia="en-US"/>
        </w:rPr>
        <w:tab/>
      </w:r>
      <w:r w:rsidRPr="00500555">
        <w:rPr>
          <w:rFonts w:ascii="Arial" w:hAnsi="Arial" w:cs="Arial"/>
          <w:sz w:val="22"/>
          <w:lang w:val="es-ES_tradnl"/>
        </w:rPr>
        <w:t>Evaluación</w:t>
      </w:r>
      <w:r w:rsidRPr="00500555">
        <w:rPr>
          <w:rFonts w:ascii="Arial" w:hAnsi="Arial" w:cs="Arial"/>
          <w:sz w:val="22"/>
        </w:rPr>
        <w:tab/>
      </w:r>
      <w:r w:rsidRPr="00500555">
        <w:rPr>
          <w:rFonts w:ascii="Arial" w:hAnsi="Arial" w:cs="Arial"/>
          <w:sz w:val="22"/>
        </w:rPr>
        <w:fldChar w:fldCharType="begin"/>
      </w:r>
      <w:r w:rsidRPr="00500555">
        <w:rPr>
          <w:rFonts w:ascii="Arial" w:hAnsi="Arial" w:cs="Arial"/>
          <w:sz w:val="22"/>
        </w:rPr>
        <w:instrText xml:space="preserve"> PAGEREF _Toc43286373 \h </w:instrText>
      </w:r>
      <w:r w:rsidRPr="00500555">
        <w:rPr>
          <w:rFonts w:ascii="Arial" w:hAnsi="Arial" w:cs="Arial"/>
          <w:sz w:val="22"/>
        </w:rPr>
      </w:r>
      <w:r w:rsidRPr="00500555">
        <w:rPr>
          <w:rFonts w:ascii="Arial" w:hAnsi="Arial" w:cs="Arial"/>
          <w:sz w:val="22"/>
        </w:rPr>
        <w:fldChar w:fldCharType="separate"/>
      </w:r>
      <w:r w:rsidR="00CD0585">
        <w:rPr>
          <w:rFonts w:ascii="Arial" w:hAnsi="Arial" w:cs="Arial"/>
          <w:sz w:val="22"/>
        </w:rPr>
        <w:t>9</w:t>
      </w:r>
      <w:r w:rsidRPr="00500555">
        <w:rPr>
          <w:rFonts w:ascii="Arial" w:hAnsi="Arial" w:cs="Arial"/>
          <w:sz w:val="22"/>
        </w:rPr>
        <w:fldChar w:fldCharType="end"/>
      </w:r>
    </w:p>
    <w:p w14:paraId="4E2C68EB" w14:textId="2E14CDA0" w:rsidR="007116B2" w:rsidRPr="001F731F" w:rsidRDefault="007116B2" w:rsidP="007116B2">
      <w:pPr>
        <w:pStyle w:val="TOC3"/>
        <w:rPr>
          <w:rFonts w:ascii="Arial" w:hAnsi="Arial" w:cs="Arial"/>
          <w:sz w:val="22"/>
          <w:lang w:val="es-ES_tradnl"/>
        </w:rPr>
      </w:pPr>
      <w:r w:rsidRPr="00500555">
        <w:rPr>
          <w:rFonts w:ascii="Arial" w:hAnsi="Arial" w:cs="Arial"/>
          <w:sz w:val="22"/>
          <w:lang w:val="es-ES_tradnl"/>
        </w:rPr>
        <w:fldChar w:fldCharType="end"/>
      </w:r>
    </w:p>
    <w:p w14:paraId="18C1DBAF" w14:textId="77777777" w:rsidR="007116B2" w:rsidRPr="001F731F" w:rsidRDefault="007116B2" w:rsidP="007116B2">
      <w:pPr>
        <w:rPr>
          <w:rFonts w:ascii="Arial" w:hAnsi="Arial" w:cs="Arial"/>
          <w:lang w:val="es-ES_tradnl"/>
        </w:rPr>
      </w:pPr>
    </w:p>
    <w:p w14:paraId="60159A05" w14:textId="77777777" w:rsidR="007116B2" w:rsidRPr="001F731F" w:rsidRDefault="007116B2" w:rsidP="007116B2">
      <w:pPr>
        <w:rPr>
          <w:rFonts w:ascii="Arial" w:hAnsi="Arial" w:cs="Arial"/>
          <w:lang w:val="es-ES_tradnl"/>
        </w:rPr>
      </w:pPr>
    </w:p>
    <w:p w14:paraId="37C29CAA" w14:textId="77777777" w:rsidR="007116B2" w:rsidRPr="001F731F" w:rsidRDefault="007116B2" w:rsidP="007116B2">
      <w:pPr>
        <w:rPr>
          <w:rFonts w:ascii="Arial" w:hAnsi="Arial" w:cs="Arial"/>
          <w:lang w:val="es-ES_tradnl"/>
        </w:rPr>
        <w:sectPr w:rsidR="007116B2" w:rsidRPr="001F731F" w:rsidSect="00454CB5">
          <w:footerReference w:type="default" r:id="rId14"/>
          <w:pgSz w:w="12240" w:h="15840"/>
          <w:pgMar w:top="1440" w:right="1800" w:bottom="1440" w:left="1800" w:header="720" w:footer="720" w:gutter="0"/>
          <w:pgNumType w:start="0"/>
          <w:cols w:space="720"/>
          <w:titlePg/>
          <w:docGrid w:linePitch="360"/>
        </w:sectPr>
      </w:pPr>
      <w:r w:rsidRPr="001F731F">
        <w:rPr>
          <w:rFonts w:ascii="Arial" w:hAnsi="Arial" w:cs="Arial"/>
          <w:lang w:val="es-ES_tradnl"/>
        </w:rPr>
        <w:br w:type="page"/>
      </w:r>
    </w:p>
    <w:p w14:paraId="40010059" w14:textId="77777777" w:rsidR="007116B2" w:rsidRPr="00C51797" w:rsidRDefault="007116B2" w:rsidP="007116B2">
      <w:pPr>
        <w:pStyle w:val="Chapter"/>
        <w:spacing w:before="0"/>
        <w:rPr>
          <w:rFonts w:ascii="Arial" w:hAnsi="Arial" w:cs="Arial"/>
          <w:sz w:val="22"/>
          <w:szCs w:val="22"/>
          <w:lang w:val="es-ES_tradnl"/>
        </w:rPr>
      </w:pPr>
      <w:bookmarkStart w:id="4" w:name="_Toc352756751"/>
      <w:bookmarkStart w:id="5" w:name="_Toc43286367"/>
      <w:r w:rsidRPr="00C51797">
        <w:rPr>
          <w:rFonts w:ascii="Arial" w:hAnsi="Arial" w:cs="Arial"/>
          <w:sz w:val="22"/>
          <w:szCs w:val="22"/>
          <w:lang w:val="es-ES_tradnl"/>
        </w:rPr>
        <w:lastRenderedPageBreak/>
        <w:t>Introducción</w:t>
      </w:r>
      <w:bookmarkEnd w:id="4"/>
      <w:bookmarkEnd w:id="5"/>
      <w:r w:rsidRPr="00C51797">
        <w:rPr>
          <w:rFonts w:ascii="Arial" w:hAnsi="Arial" w:cs="Arial"/>
          <w:sz w:val="22"/>
          <w:szCs w:val="22"/>
          <w:lang w:val="es-ES_tradnl"/>
        </w:rPr>
        <w:t xml:space="preserve"> </w:t>
      </w:r>
    </w:p>
    <w:p w14:paraId="39F9F7D0" w14:textId="39F53A2A" w:rsidR="00AB03F4" w:rsidRPr="00AB03F4" w:rsidRDefault="00454CB5" w:rsidP="00454CB5">
      <w:pPr>
        <w:pStyle w:val="Paragraph"/>
        <w:numPr>
          <w:ilvl w:val="1"/>
          <w:numId w:val="4"/>
        </w:numPr>
        <w:ind w:left="630" w:hanging="630"/>
        <w:rPr>
          <w:rFonts w:ascii="Arial" w:hAnsi="Arial" w:cs="Arial"/>
          <w:sz w:val="22"/>
          <w:szCs w:val="22"/>
          <w:lang w:val="es-ES_tradnl"/>
        </w:rPr>
      </w:pPr>
      <w:r w:rsidRPr="00454CB5">
        <w:rPr>
          <w:rFonts w:ascii="Arial" w:hAnsi="Arial" w:cs="Arial"/>
          <w:b/>
          <w:bCs/>
          <w:sz w:val="22"/>
          <w:szCs w:val="22"/>
          <w:lang w:val="es-ES_tradnl"/>
        </w:rPr>
        <w:t>Antecedentes de la intervención.</w:t>
      </w:r>
      <w:r w:rsidRPr="00454CB5">
        <w:rPr>
          <w:rFonts w:ascii="Arial" w:hAnsi="Arial" w:cs="Arial"/>
          <w:sz w:val="22"/>
          <w:szCs w:val="22"/>
          <w:lang w:val="es-ES"/>
        </w:rPr>
        <w:t xml:space="preserve"> </w:t>
      </w:r>
      <w:r w:rsidR="00AB03F4" w:rsidRPr="00AB03F4">
        <w:rPr>
          <w:rFonts w:ascii="Arial" w:hAnsi="Arial" w:cs="Arial"/>
          <w:sz w:val="22"/>
          <w:szCs w:val="22"/>
          <w:lang w:val="es-PE"/>
        </w:rPr>
        <w:t xml:space="preserve">El </w:t>
      </w:r>
      <w:r w:rsidR="00AB03F4">
        <w:rPr>
          <w:rFonts w:ascii="Arial" w:hAnsi="Arial" w:cs="Arial"/>
          <w:sz w:val="22"/>
          <w:szCs w:val="22"/>
          <w:lang w:val="es-PE"/>
        </w:rPr>
        <w:t>programa propuesto corresponde a</w:t>
      </w:r>
      <w:r w:rsidR="00AB03F4" w:rsidRPr="00AB03F4">
        <w:rPr>
          <w:rFonts w:ascii="Arial" w:hAnsi="Arial" w:cs="Arial"/>
          <w:sz w:val="22"/>
          <w:szCs w:val="22"/>
          <w:lang w:val="es-PE"/>
        </w:rPr>
        <w:t xml:space="preserve"> la reformulación del </w:t>
      </w:r>
      <w:bookmarkStart w:id="6" w:name="_Hlk39070341"/>
      <w:r w:rsidR="00053C5F" w:rsidRPr="00053C5F">
        <w:rPr>
          <w:rFonts w:ascii="Arial" w:hAnsi="Arial" w:cs="Arial"/>
          <w:sz w:val="22"/>
          <w:szCs w:val="22"/>
          <w:lang w:val="es-ES_tradnl"/>
        </w:rPr>
        <w:t>Programa de Financiamiento y Transferencia de Riesgos para Geotermia</w:t>
      </w:r>
      <w:r w:rsidR="00AB03F4" w:rsidRPr="00AB03F4">
        <w:rPr>
          <w:rFonts w:ascii="Arial" w:hAnsi="Arial" w:cs="Arial"/>
          <w:sz w:val="22"/>
          <w:szCs w:val="22"/>
          <w:lang w:val="es-PE"/>
        </w:rPr>
        <w:t xml:space="preserve"> </w:t>
      </w:r>
      <w:bookmarkEnd w:id="6"/>
      <w:r w:rsidR="00AB03F4" w:rsidRPr="00AB03F4">
        <w:rPr>
          <w:rFonts w:ascii="Arial" w:hAnsi="Arial" w:cs="Arial"/>
          <w:sz w:val="22"/>
          <w:szCs w:val="22"/>
          <w:lang w:val="es-PE"/>
        </w:rPr>
        <w:t>(</w:t>
      </w:r>
      <w:hyperlink r:id="rId15" w:history="1">
        <w:r w:rsidR="00710C9A" w:rsidRPr="00710C9A">
          <w:rPr>
            <w:rStyle w:val="Hyperlink"/>
            <w:rFonts w:ascii="Arial" w:eastAsiaTheme="minorEastAsia" w:hAnsi="Arial" w:cs="Arial"/>
            <w:sz w:val="22"/>
            <w:szCs w:val="22"/>
            <w:lang w:val="es-CO"/>
          </w:rPr>
          <w:t>3178/OC</w:t>
        </w:r>
        <w:r w:rsidR="009F33B2">
          <w:rPr>
            <w:rStyle w:val="Hyperlink"/>
            <w:rFonts w:ascii="Arial" w:eastAsiaTheme="minorEastAsia" w:hAnsi="Arial" w:cs="Arial"/>
            <w:sz w:val="22"/>
            <w:szCs w:val="22"/>
            <w:lang w:val="es-CO"/>
          </w:rPr>
          <w:noBreakHyphen/>
        </w:r>
        <w:r w:rsidR="00710C9A" w:rsidRPr="00710C9A">
          <w:rPr>
            <w:rStyle w:val="Hyperlink"/>
            <w:rFonts w:ascii="Arial" w:eastAsiaTheme="minorEastAsia" w:hAnsi="Arial" w:cs="Arial"/>
            <w:sz w:val="22"/>
            <w:szCs w:val="22"/>
            <w:lang w:val="es-CO"/>
          </w:rPr>
          <w:t>ME</w:t>
        </w:r>
      </w:hyperlink>
      <w:r w:rsidR="00AB03F4" w:rsidRPr="00AB03F4">
        <w:rPr>
          <w:rFonts w:ascii="Arial" w:hAnsi="Arial" w:cs="Arial"/>
          <w:sz w:val="22"/>
          <w:szCs w:val="22"/>
          <w:lang w:val="es-PE"/>
        </w:rPr>
        <w:t xml:space="preserve">) con base en la solicitud del Gobierno de México </w:t>
      </w:r>
      <w:r w:rsidR="00AB03F4" w:rsidRPr="00AB03F4">
        <w:rPr>
          <w:rFonts w:ascii="Arial" w:eastAsiaTheme="minorHAnsi" w:hAnsi="Arial" w:cs="Arial"/>
          <w:color w:val="000000"/>
          <w:sz w:val="22"/>
          <w:szCs w:val="22"/>
          <w:lang w:val="es-PE"/>
        </w:rPr>
        <w:t>el 28 de abril de 2020,</w:t>
      </w:r>
      <w:r w:rsidR="00AB03F4" w:rsidRPr="00AB03F4">
        <w:rPr>
          <w:rFonts w:ascii="Arial" w:hAnsi="Arial" w:cs="Arial"/>
          <w:sz w:val="22"/>
          <w:szCs w:val="22"/>
          <w:lang w:val="es-PE"/>
        </w:rPr>
        <w:t xml:space="preserve"> a fin de que el mismo </w:t>
      </w:r>
      <w:r w:rsidR="009F33B2">
        <w:rPr>
          <w:rFonts w:ascii="Arial" w:hAnsi="Arial" w:cs="Arial"/>
          <w:sz w:val="22"/>
          <w:szCs w:val="22"/>
          <w:lang w:val="es-PE"/>
        </w:rPr>
        <w:t>P</w:t>
      </w:r>
      <w:r w:rsidR="00AB03F4" w:rsidRPr="00AB03F4">
        <w:rPr>
          <w:rFonts w:ascii="Arial" w:hAnsi="Arial" w:cs="Arial"/>
          <w:sz w:val="22"/>
          <w:szCs w:val="22"/>
          <w:lang w:val="es-PE"/>
        </w:rPr>
        <w:t xml:space="preserve">restatario y </w:t>
      </w:r>
      <w:r w:rsidR="009F33B2">
        <w:rPr>
          <w:rFonts w:ascii="Arial" w:hAnsi="Arial" w:cs="Arial"/>
          <w:sz w:val="22"/>
          <w:szCs w:val="22"/>
          <w:lang w:val="es-PE"/>
        </w:rPr>
        <w:t>O</w:t>
      </w:r>
      <w:r w:rsidR="00AB03F4" w:rsidRPr="00AB03F4">
        <w:rPr>
          <w:rFonts w:ascii="Arial" w:hAnsi="Arial" w:cs="Arial"/>
          <w:sz w:val="22"/>
          <w:szCs w:val="22"/>
          <w:lang w:val="es-PE"/>
        </w:rPr>
        <w:t xml:space="preserve">rganismo </w:t>
      </w:r>
      <w:r w:rsidR="009F33B2">
        <w:rPr>
          <w:rFonts w:ascii="Arial" w:hAnsi="Arial" w:cs="Arial"/>
          <w:sz w:val="22"/>
          <w:szCs w:val="22"/>
          <w:lang w:val="es-PE"/>
        </w:rPr>
        <w:t>E</w:t>
      </w:r>
      <w:r w:rsidR="00AB03F4" w:rsidRPr="00AB03F4">
        <w:rPr>
          <w:rFonts w:ascii="Arial" w:hAnsi="Arial" w:cs="Arial"/>
          <w:sz w:val="22"/>
          <w:szCs w:val="22"/>
          <w:lang w:val="es-PE"/>
        </w:rPr>
        <w:t>jecutor, NAFIN, apoye programas institucionales de reactivación económica a empresas afectadas por la contingencia sanitaria por el COVID-19</w:t>
      </w:r>
      <w:r w:rsidR="00AB03F4">
        <w:rPr>
          <w:rFonts w:ascii="Arial" w:hAnsi="Arial" w:cs="Arial"/>
          <w:sz w:val="22"/>
          <w:szCs w:val="22"/>
          <w:lang w:val="es-PE"/>
        </w:rPr>
        <w:t>.</w:t>
      </w:r>
    </w:p>
    <w:p w14:paraId="255F09F1" w14:textId="6D91E8A3" w:rsidR="00454CB5" w:rsidRPr="00A8655B" w:rsidRDefault="00266BBA" w:rsidP="00454CB5">
      <w:pPr>
        <w:pStyle w:val="Paragraph"/>
        <w:numPr>
          <w:ilvl w:val="1"/>
          <w:numId w:val="4"/>
        </w:numPr>
        <w:ind w:left="630" w:hanging="630"/>
        <w:rPr>
          <w:rFonts w:ascii="Arial" w:hAnsi="Arial" w:cs="Arial"/>
          <w:sz w:val="22"/>
          <w:szCs w:val="22"/>
          <w:lang w:val="es-ES_tradnl"/>
        </w:rPr>
      </w:pPr>
      <w:r w:rsidRPr="00C32624">
        <w:rPr>
          <w:rFonts w:ascii="Arial" w:hAnsi="Arial" w:cs="Arial"/>
          <w:sz w:val="22"/>
          <w:szCs w:val="22"/>
          <w:lang w:val="es-ES"/>
        </w:rPr>
        <w:t xml:space="preserve">El 11 de marzo de 2020, la Organización Mundial de la Salud (OMS) </w:t>
      </w:r>
      <w:r>
        <w:rPr>
          <w:rFonts w:ascii="Arial" w:hAnsi="Arial" w:cs="Arial"/>
          <w:sz w:val="22"/>
          <w:szCs w:val="22"/>
          <w:lang w:val="es-ES"/>
        </w:rPr>
        <w:t>declar</w:t>
      </w:r>
      <w:r w:rsidRPr="00C32624">
        <w:rPr>
          <w:rFonts w:ascii="Arial" w:hAnsi="Arial" w:cs="Arial"/>
          <w:sz w:val="22"/>
          <w:szCs w:val="22"/>
          <w:lang w:val="es-ES"/>
        </w:rPr>
        <w:t>ó como una pandemia a la enfermedad COVID-19, causada por el virus que afecta las vías respiratorias, novel-Coronavirus o nCoV2019. Al</w:t>
      </w:r>
      <w:r w:rsidRPr="0030513D" w:rsidDel="00E9036D">
        <w:rPr>
          <w:rFonts w:ascii="Arial" w:hAnsi="Arial" w:cs="Arial"/>
          <w:sz w:val="22"/>
          <w:szCs w:val="22"/>
          <w:lang w:val="es-ES"/>
        </w:rPr>
        <w:t xml:space="preserve"> </w:t>
      </w:r>
      <w:r>
        <w:rPr>
          <w:rFonts w:ascii="Arial" w:hAnsi="Arial" w:cs="Arial"/>
          <w:sz w:val="22"/>
          <w:szCs w:val="22"/>
          <w:lang w:val="es-ES"/>
        </w:rPr>
        <w:t>22</w:t>
      </w:r>
      <w:r w:rsidRPr="0030513D">
        <w:rPr>
          <w:rFonts w:ascii="Arial" w:hAnsi="Arial" w:cs="Arial"/>
          <w:sz w:val="22"/>
          <w:szCs w:val="22"/>
          <w:lang w:val="es-ES"/>
        </w:rPr>
        <w:t xml:space="preserve"> de </w:t>
      </w:r>
      <w:r>
        <w:rPr>
          <w:rFonts w:ascii="Arial" w:hAnsi="Arial" w:cs="Arial"/>
          <w:sz w:val="22"/>
          <w:szCs w:val="22"/>
          <w:lang w:val="es-ES"/>
        </w:rPr>
        <w:t>julio</w:t>
      </w:r>
      <w:r w:rsidRPr="00C32624">
        <w:rPr>
          <w:rFonts w:ascii="Arial" w:hAnsi="Arial" w:cs="Arial"/>
          <w:sz w:val="22"/>
          <w:szCs w:val="22"/>
          <w:lang w:val="es-ES"/>
        </w:rPr>
        <w:t xml:space="preserve">, según la OMS, se registran más de </w:t>
      </w:r>
      <w:r>
        <w:rPr>
          <w:rFonts w:ascii="Arial" w:hAnsi="Arial" w:cs="Arial"/>
          <w:sz w:val="22"/>
          <w:szCs w:val="22"/>
          <w:lang w:val="es-ES"/>
        </w:rPr>
        <w:t>14</w:t>
      </w:r>
      <w:r w:rsidRPr="00C32624">
        <w:rPr>
          <w:rFonts w:ascii="Arial" w:hAnsi="Arial" w:cs="Arial"/>
          <w:sz w:val="22"/>
          <w:szCs w:val="22"/>
          <w:lang w:val="es-ES"/>
        </w:rPr>
        <w:t xml:space="preserve"> millones</w:t>
      </w:r>
      <w:r>
        <w:rPr>
          <w:rFonts w:ascii="Arial" w:hAnsi="Arial" w:cs="Arial"/>
          <w:sz w:val="22"/>
          <w:szCs w:val="22"/>
          <w:lang w:val="es-ES"/>
        </w:rPr>
        <w:t xml:space="preserve"> de</w:t>
      </w:r>
      <w:r w:rsidRPr="00C32624">
        <w:rPr>
          <w:rFonts w:ascii="Arial" w:hAnsi="Arial" w:cs="Arial"/>
          <w:sz w:val="22"/>
          <w:szCs w:val="22"/>
          <w:lang w:val="es-ES"/>
        </w:rPr>
        <w:t xml:space="preserve"> casos confirmados de COVID-19, que han resultado en </w:t>
      </w:r>
      <w:r>
        <w:rPr>
          <w:rFonts w:ascii="Arial" w:hAnsi="Arial" w:cs="Arial"/>
          <w:sz w:val="22"/>
          <w:szCs w:val="22"/>
          <w:lang w:val="es-ES"/>
        </w:rPr>
        <w:t xml:space="preserve">cerca </w:t>
      </w:r>
      <w:r w:rsidRPr="00C32624">
        <w:rPr>
          <w:rFonts w:ascii="Arial" w:hAnsi="Arial" w:cs="Arial"/>
          <w:sz w:val="22"/>
          <w:szCs w:val="22"/>
          <w:lang w:val="es-ES"/>
        </w:rPr>
        <w:t xml:space="preserve">de </w:t>
      </w:r>
      <w:r>
        <w:rPr>
          <w:rFonts w:ascii="Arial" w:hAnsi="Arial" w:cs="Arial"/>
          <w:sz w:val="22"/>
          <w:szCs w:val="22"/>
          <w:lang w:val="es-ES"/>
        </w:rPr>
        <w:t>612</w:t>
      </w:r>
      <w:r w:rsidRPr="00C32624">
        <w:rPr>
          <w:rFonts w:ascii="Arial" w:hAnsi="Arial" w:cs="Arial"/>
          <w:sz w:val="22"/>
          <w:szCs w:val="22"/>
          <w:lang w:val="es-ES"/>
        </w:rPr>
        <w:t>.000</w:t>
      </w:r>
      <w:r>
        <w:rPr>
          <w:rFonts w:ascii="ZWAdobeF" w:hAnsi="ZWAdobeF" w:cs="ZWAdobeF"/>
          <w:sz w:val="2"/>
          <w:szCs w:val="2"/>
          <w:lang w:val="es-ES"/>
        </w:rPr>
        <w:t>F</w:t>
      </w:r>
      <w:r w:rsidRPr="00C32624">
        <w:rPr>
          <w:rFonts w:ascii="Arial" w:hAnsi="Arial" w:cs="Arial"/>
          <w:sz w:val="22"/>
          <w:szCs w:val="22"/>
          <w:vertAlign w:val="superscript"/>
          <w:lang w:val="es-ES"/>
        </w:rPr>
        <w:footnoteReference w:id="2"/>
      </w:r>
      <w:r w:rsidRPr="00C32624">
        <w:rPr>
          <w:rFonts w:ascii="Arial" w:hAnsi="Arial" w:cs="Arial"/>
          <w:sz w:val="22"/>
          <w:szCs w:val="22"/>
          <w:lang w:val="es-ES"/>
        </w:rPr>
        <w:t xml:space="preserve"> muertes. En América Latina y el Caribe (ALC) se han reportado cerca de </w:t>
      </w:r>
      <w:r>
        <w:rPr>
          <w:rFonts w:ascii="Arial" w:hAnsi="Arial" w:cs="Arial"/>
          <w:sz w:val="22"/>
          <w:szCs w:val="22"/>
          <w:lang w:val="es-ES"/>
        </w:rPr>
        <w:t xml:space="preserve">3,9 millones de </w:t>
      </w:r>
      <w:r w:rsidRPr="00C32624">
        <w:rPr>
          <w:rFonts w:ascii="Arial" w:hAnsi="Arial" w:cs="Arial"/>
          <w:sz w:val="22"/>
          <w:szCs w:val="22"/>
          <w:lang w:val="es-ES"/>
        </w:rPr>
        <w:t xml:space="preserve">casos y </w:t>
      </w:r>
      <w:r>
        <w:rPr>
          <w:rFonts w:ascii="Arial" w:hAnsi="Arial" w:cs="Arial"/>
          <w:sz w:val="22"/>
          <w:szCs w:val="22"/>
          <w:lang w:val="es-ES"/>
        </w:rPr>
        <w:t>164</w:t>
      </w:r>
      <w:r w:rsidRPr="00C32624">
        <w:rPr>
          <w:rFonts w:ascii="Arial" w:hAnsi="Arial" w:cs="Arial"/>
          <w:sz w:val="22"/>
          <w:szCs w:val="22"/>
          <w:lang w:val="es-ES"/>
        </w:rPr>
        <w:t>.000 fallecidos</w:t>
      </w:r>
      <w:r w:rsidRPr="00C32624">
        <w:rPr>
          <w:rFonts w:ascii="Arial" w:hAnsi="Arial" w:cs="Arial"/>
          <w:sz w:val="22"/>
          <w:szCs w:val="22"/>
          <w:vertAlign w:val="superscript"/>
          <w:lang w:val="es-ES"/>
        </w:rPr>
        <w:footnoteReference w:id="3"/>
      </w:r>
      <w:r w:rsidRPr="00C32624">
        <w:rPr>
          <w:rFonts w:ascii="Arial" w:hAnsi="Arial" w:cs="Arial"/>
          <w:sz w:val="22"/>
          <w:szCs w:val="22"/>
          <w:lang w:val="es-ES"/>
        </w:rPr>
        <w:t xml:space="preserve">, mientras que en México estas cifras suman </w:t>
      </w:r>
      <w:r>
        <w:rPr>
          <w:rFonts w:ascii="Arial" w:hAnsi="Arial" w:cs="Arial"/>
          <w:sz w:val="22"/>
          <w:szCs w:val="22"/>
          <w:lang w:val="es-ES"/>
        </w:rPr>
        <w:t>350</w:t>
      </w:r>
      <w:r w:rsidRPr="00C32624">
        <w:rPr>
          <w:rFonts w:ascii="Arial" w:hAnsi="Arial" w:cs="Arial"/>
          <w:sz w:val="22"/>
          <w:szCs w:val="22"/>
          <w:lang w:val="es-ES"/>
        </w:rPr>
        <w:t xml:space="preserve">.000 y </w:t>
      </w:r>
      <w:r>
        <w:rPr>
          <w:rFonts w:ascii="Arial" w:hAnsi="Arial" w:cs="Arial"/>
          <w:sz w:val="22"/>
          <w:szCs w:val="22"/>
          <w:lang w:val="es-ES"/>
        </w:rPr>
        <w:t>cerca de 40</w:t>
      </w:r>
      <w:r w:rsidRPr="00C32624">
        <w:rPr>
          <w:rFonts w:ascii="Arial" w:hAnsi="Arial" w:cs="Arial"/>
          <w:sz w:val="22"/>
          <w:szCs w:val="22"/>
          <w:lang w:val="es-ES"/>
        </w:rPr>
        <w:t>.</w:t>
      </w:r>
      <w:r>
        <w:rPr>
          <w:rFonts w:ascii="Arial" w:hAnsi="Arial" w:cs="Arial"/>
          <w:sz w:val="22"/>
          <w:szCs w:val="22"/>
          <w:lang w:val="es-ES"/>
        </w:rPr>
        <w:t>000</w:t>
      </w:r>
      <w:r w:rsidRPr="00C32624">
        <w:rPr>
          <w:rFonts w:ascii="Arial" w:hAnsi="Arial" w:cs="Arial"/>
          <w:sz w:val="22"/>
          <w:szCs w:val="22"/>
          <w:lang w:val="es-ES"/>
        </w:rPr>
        <w:t>, respectivamente</w:t>
      </w:r>
      <w:r w:rsidR="00BC1B30" w:rsidRPr="00BC1B30">
        <w:rPr>
          <w:rFonts w:ascii="Arial" w:hAnsi="Arial" w:cs="Arial"/>
          <w:sz w:val="22"/>
          <w:szCs w:val="22"/>
          <w:lang w:val="es-ES"/>
        </w:rPr>
        <w:t>. Se espera que el número de casos y de muertes en este</w:t>
      </w:r>
      <w:r w:rsidR="00BC1B30" w:rsidRPr="00BC1B30">
        <w:rPr>
          <w:rFonts w:ascii="Arial" w:hAnsi="Arial" w:cs="Arial"/>
          <w:sz w:val="22"/>
          <w:szCs w:val="22"/>
          <w:lang w:val="es-ES_tradnl"/>
        </w:rPr>
        <w:t xml:space="preserve"> país siga aumentando al situarse en la Fase 3 de máxima transmisión. Según la OMS, México se encuentra en el Nivel 4 de 5 en cuanto a su nivel de preparación y capacidad para manejar eventos de salud pública</w:t>
      </w:r>
      <w:r w:rsidR="00BC1B30" w:rsidRPr="00BC1B30">
        <w:rPr>
          <w:rFonts w:ascii="Arial" w:hAnsi="Arial" w:cs="Arial"/>
          <w:sz w:val="22"/>
          <w:szCs w:val="22"/>
          <w:vertAlign w:val="superscript"/>
          <w:lang w:val="es-ES_tradnl"/>
        </w:rPr>
        <w:footnoteReference w:id="4"/>
      </w:r>
      <w:r w:rsidR="00BC1B30" w:rsidRPr="00BC1B30">
        <w:rPr>
          <w:rFonts w:ascii="Arial" w:hAnsi="Arial" w:cs="Arial"/>
          <w:sz w:val="22"/>
          <w:szCs w:val="22"/>
          <w:lang w:val="es-ES_tradnl"/>
        </w:rPr>
        <w:t xml:space="preserve">. Para hacer frente a la pandemia, la Secretaría de Salud instituyó la Jornada Nacional de Sana Distancia del 23 de marzo al 30 de mayo de 2020 y, a partir de </w:t>
      </w:r>
      <w:r w:rsidR="00271126" w:rsidRPr="00BC1B30">
        <w:rPr>
          <w:rFonts w:ascii="Arial" w:hAnsi="Arial" w:cs="Arial"/>
          <w:sz w:val="22"/>
          <w:szCs w:val="22"/>
          <w:lang w:val="es-ES_tradnl"/>
        </w:rPr>
        <w:t>esta</w:t>
      </w:r>
      <w:r w:rsidR="00BC1B30" w:rsidRPr="00BC1B30">
        <w:rPr>
          <w:rFonts w:ascii="Arial" w:hAnsi="Arial" w:cs="Arial"/>
          <w:sz w:val="22"/>
          <w:szCs w:val="22"/>
          <w:lang w:val="es-ES_tradnl"/>
        </w:rPr>
        <w:t xml:space="preserve"> fecha, el uso de semáforos de riesgo epidemiológicos a nivel estatal para marcar el regreso a las actividades normales</w:t>
      </w:r>
      <w:r w:rsidR="00BC1B30" w:rsidRPr="00BC1B30">
        <w:rPr>
          <w:rFonts w:ascii="Arial" w:hAnsi="Arial" w:cs="Arial"/>
          <w:sz w:val="22"/>
          <w:szCs w:val="22"/>
          <w:vertAlign w:val="superscript"/>
          <w:lang w:val="es-ES_tradnl"/>
        </w:rPr>
        <w:footnoteReference w:id="5"/>
      </w:r>
      <w:r w:rsidR="00134246" w:rsidRPr="00134246">
        <w:rPr>
          <w:rFonts w:ascii="Arial" w:hAnsi="Arial" w:cs="Arial"/>
          <w:sz w:val="22"/>
          <w:szCs w:val="22"/>
          <w:lang w:val="es-PE"/>
        </w:rPr>
        <w:t>.</w:t>
      </w:r>
      <w:r w:rsidR="00454CB5">
        <w:rPr>
          <w:rFonts w:ascii="Arial" w:hAnsi="Arial" w:cs="Arial"/>
          <w:sz w:val="22"/>
          <w:szCs w:val="22"/>
          <w:lang w:val="es-ES"/>
        </w:rPr>
        <w:t xml:space="preserve"> </w:t>
      </w:r>
    </w:p>
    <w:p w14:paraId="2E65ABC6" w14:textId="55F77C7C" w:rsidR="00454CB5" w:rsidRDefault="00EC142F" w:rsidP="00454CB5">
      <w:pPr>
        <w:pStyle w:val="Paragraph"/>
        <w:numPr>
          <w:ilvl w:val="1"/>
          <w:numId w:val="4"/>
        </w:numPr>
        <w:ind w:left="630" w:hanging="630"/>
        <w:rPr>
          <w:rFonts w:ascii="Arial" w:hAnsi="Arial" w:cs="Arial"/>
          <w:sz w:val="22"/>
          <w:szCs w:val="22"/>
          <w:lang w:val="es-ES_tradnl"/>
        </w:rPr>
      </w:pPr>
      <w:r w:rsidRPr="00EC142F">
        <w:rPr>
          <w:rFonts w:ascii="Arial" w:hAnsi="Arial" w:cs="Arial"/>
          <w:sz w:val="22"/>
          <w:szCs w:val="22"/>
          <w:lang w:val="es-CO"/>
        </w:rPr>
        <w:t>Los impactos económicos del COVID-19 se presentarán por varios canales y en distintos momentos. Primero, y asociado con la prioridad de salvar vidas en el muy corto plazo, están los costos directos, relacionados con la respuesta del sector salud. En segundo lugar, se encuentran los costos asociados con los cambios en el comportamiento de las personas, necesarios para “aplanar la curva” de progresión de COVID-19 y contribuir así a salvar vidas. Estos comportamientos pueden deberse a mandatos gubernamentales (cierre de escuelas, cancelación de eventos públicos, etc.), a decisiones de las empresas y otras instituciones (establecer teletrabajo, ajustar niveles de producción, etc.) y decisiones de consumidores (resultado de reducir el contacto social)</w:t>
      </w:r>
      <w:r w:rsidR="00454CB5" w:rsidRPr="00A8655B">
        <w:rPr>
          <w:rFonts w:ascii="Arial" w:hAnsi="Arial" w:cs="Arial"/>
          <w:sz w:val="22"/>
          <w:szCs w:val="22"/>
          <w:lang w:val="es-ES_tradnl"/>
        </w:rPr>
        <w:t xml:space="preserve">. </w:t>
      </w:r>
    </w:p>
    <w:p w14:paraId="05F32126" w14:textId="672ED546" w:rsidR="00A8655B" w:rsidRPr="00A8655B" w:rsidRDefault="00BF52B4" w:rsidP="00A8655B">
      <w:pPr>
        <w:pStyle w:val="Paragraph"/>
        <w:numPr>
          <w:ilvl w:val="1"/>
          <w:numId w:val="4"/>
        </w:numPr>
        <w:ind w:left="630" w:hanging="630"/>
        <w:rPr>
          <w:rFonts w:ascii="Arial" w:hAnsi="Arial" w:cs="Arial"/>
          <w:sz w:val="22"/>
          <w:szCs w:val="22"/>
          <w:lang w:val="es-ES_tradnl"/>
        </w:rPr>
      </w:pPr>
      <w:r w:rsidRPr="00BF52B4">
        <w:rPr>
          <w:rFonts w:ascii="Arial" w:hAnsi="Arial" w:cs="Arial"/>
          <w:sz w:val="22"/>
          <w:szCs w:val="22"/>
          <w:lang w:val="es-CO"/>
        </w:rPr>
        <w:t>Las políticas públicas y los cambios de comportamiento llevarán a una contracción económica muy significativa, con manifestaciones inmediatas y efectos que se mantendrán por un plazo mayor, incluso cuando la emergencia sanitaria haya pasado. En esta línea, desde una perspectiva macroeconómica, además de la contracción de la demanda interna, la Comisión Económica para América Latina y el Caribe (CEPAL) considera que hay al menos cinco canales de transmisión para los impactos de la crisis en la economía de la región</w:t>
      </w:r>
      <w:r w:rsidRPr="00BF52B4">
        <w:rPr>
          <w:rFonts w:ascii="ZWAdobeF" w:hAnsi="ZWAdobeF" w:cs="ZWAdobeF"/>
          <w:sz w:val="2"/>
          <w:szCs w:val="2"/>
          <w:lang w:val="es-CO"/>
        </w:rPr>
        <w:t>5F5F</w:t>
      </w:r>
      <w:r w:rsidRPr="00F75E90">
        <w:rPr>
          <w:rFonts w:ascii="Arial" w:hAnsi="Arial" w:cs="Arial"/>
          <w:sz w:val="22"/>
          <w:szCs w:val="22"/>
          <w:vertAlign w:val="superscript"/>
        </w:rPr>
        <w:footnoteReference w:id="6"/>
      </w:r>
      <w:r w:rsidRPr="00BF52B4">
        <w:rPr>
          <w:rFonts w:ascii="Arial" w:hAnsi="Arial" w:cs="Arial"/>
          <w:sz w:val="22"/>
          <w:szCs w:val="22"/>
          <w:lang w:val="es-CO"/>
        </w:rPr>
        <w:t>: (i) disminución de la actividad económica de los principales socios comerciales que impactará las demanda por exportaciones; (ii) caída en la demanda por servicios de turismo; (iii) interrupción de las cadenas globales de valor; (iv)</w:t>
      </w:r>
      <w:r w:rsidR="00387108">
        <w:rPr>
          <w:rFonts w:ascii="Arial" w:hAnsi="Arial" w:cs="Arial"/>
          <w:sz w:val="22"/>
          <w:szCs w:val="22"/>
          <w:lang w:val="es-CO"/>
        </w:rPr>
        <w:t> </w:t>
      </w:r>
      <w:r w:rsidRPr="00BF52B4">
        <w:rPr>
          <w:rFonts w:ascii="Arial" w:hAnsi="Arial" w:cs="Arial"/>
          <w:sz w:val="22"/>
          <w:szCs w:val="22"/>
          <w:lang w:val="es-CO"/>
        </w:rPr>
        <w:t>caída en precios de productos básicos; y (v) empeoramiento de las condiciones financieras</w:t>
      </w:r>
      <w:r w:rsidR="00A8655B">
        <w:rPr>
          <w:rFonts w:ascii="Arial" w:hAnsi="Arial" w:cs="Arial"/>
          <w:sz w:val="22"/>
          <w:szCs w:val="22"/>
          <w:lang w:val="es-ES_tradnl"/>
        </w:rPr>
        <w:t xml:space="preserve">. </w:t>
      </w:r>
      <w:r w:rsidR="00902665" w:rsidRPr="00902665">
        <w:rPr>
          <w:rFonts w:ascii="Arial" w:hAnsi="Arial" w:cs="Arial"/>
          <w:sz w:val="22"/>
          <w:szCs w:val="22"/>
          <w:lang w:val="es-ES_tradnl"/>
        </w:rPr>
        <w:t xml:space="preserve">Para los aspectos generales de la intervención ver </w:t>
      </w:r>
      <w:hyperlink r:id="rId16" w:history="1">
        <w:hyperlink r:id="rId17" w:history="1">
          <w:r w:rsidR="00902665" w:rsidRPr="00902665">
            <w:rPr>
              <w:rStyle w:val="Hyperlink"/>
              <w:rFonts w:ascii="Arial" w:hAnsi="Arial" w:cs="Arial"/>
              <w:sz w:val="22"/>
              <w:szCs w:val="22"/>
              <w:lang w:val="es-ES_tradnl"/>
            </w:rPr>
            <w:t>EEO#2</w:t>
          </w:r>
        </w:hyperlink>
      </w:hyperlink>
      <w:r w:rsidR="00902665">
        <w:rPr>
          <w:rFonts w:ascii="Arial" w:hAnsi="Arial" w:cs="Arial"/>
          <w:sz w:val="22"/>
          <w:szCs w:val="22"/>
          <w:lang w:val="es-ES_tradnl"/>
        </w:rPr>
        <w:t xml:space="preserve">. </w:t>
      </w:r>
    </w:p>
    <w:p w14:paraId="3BD482FA" w14:textId="0B8608E2" w:rsidR="00514234" w:rsidRPr="00514234" w:rsidRDefault="00514234" w:rsidP="00A8655B">
      <w:pPr>
        <w:pStyle w:val="Paragraph"/>
        <w:numPr>
          <w:ilvl w:val="1"/>
          <w:numId w:val="4"/>
        </w:numPr>
        <w:ind w:left="630" w:hanging="630"/>
        <w:rPr>
          <w:rFonts w:ascii="Arial" w:hAnsi="Arial" w:cs="Arial"/>
          <w:sz w:val="22"/>
          <w:szCs w:val="22"/>
          <w:lang w:val="es-ES_tradnl"/>
        </w:rPr>
      </w:pPr>
      <w:r w:rsidRPr="00E15EA1">
        <w:rPr>
          <w:rFonts w:ascii="Arial" w:hAnsi="Arial" w:cs="Arial"/>
          <w:sz w:val="22"/>
          <w:szCs w:val="22"/>
          <w:lang w:val="es-ES"/>
        </w:rPr>
        <w:t>En pr</w:t>
      </w:r>
      <w:r w:rsidRPr="00B40281">
        <w:rPr>
          <w:rFonts w:ascii="Arial" w:hAnsi="Arial" w:cs="Arial"/>
          <w:sz w:val="22"/>
          <w:szCs w:val="22"/>
          <w:lang w:val="es-ES"/>
        </w:rPr>
        <w:t xml:space="preserve">imer lugar, la </w:t>
      </w:r>
      <w:r w:rsidRPr="006249D6">
        <w:rPr>
          <w:rFonts w:ascii="Arial" w:hAnsi="Arial" w:cs="Arial"/>
          <w:sz w:val="22"/>
          <w:szCs w:val="22"/>
          <w:lang w:val="es-ES"/>
        </w:rPr>
        <w:t xml:space="preserve">caída </w:t>
      </w:r>
      <w:r w:rsidRPr="00502314">
        <w:rPr>
          <w:rFonts w:ascii="Arial" w:hAnsi="Arial" w:cs="Arial"/>
          <w:sz w:val="22"/>
          <w:szCs w:val="22"/>
          <w:lang w:val="es-ES"/>
        </w:rPr>
        <w:t>de la actividad económica</w:t>
      </w:r>
      <w:r w:rsidRPr="00B2623E">
        <w:rPr>
          <w:rFonts w:ascii="Arial" w:hAnsi="Arial" w:cs="Arial"/>
          <w:sz w:val="22"/>
          <w:szCs w:val="22"/>
          <w:lang w:val="es-ES"/>
        </w:rPr>
        <w:t xml:space="preserve"> supone dos factores de </w:t>
      </w:r>
      <w:r w:rsidRPr="009B7B46">
        <w:rPr>
          <w:rFonts w:ascii="Arial" w:hAnsi="Arial" w:cs="Arial"/>
          <w:sz w:val="22"/>
          <w:szCs w:val="22"/>
          <w:lang w:val="es-ES"/>
        </w:rPr>
        <w:t>estrés</w:t>
      </w:r>
      <w:r w:rsidRPr="00031233">
        <w:rPr>
          <w:rFonts w:ascii="Arial" w:hAnsi="Arial" w:cs="Arial"/>
          <w:sz w:val="22"/>
          <w:szCs w:val="22"/>
          <w:lang w:val="es-ES"/>
        </w:rPr>
        <w:t xml:space="preserve"> para la </w:t>
      </w:r>
      <w:r w:rsidR="00A5406D" w:rsidRPr="00A8655B">
        <w:rPr>
          <w:rFonts w:ascii="Arial" w:hAnsi="Arial" w:cs="Arial"/>
          <w:sz w:val="22"/>
          <w:szCs w:val="22"/>
          <w:lang w:val="es-ES_tradnl"/>
        </w:rPr>
        <w:t>M</w:t>
      </w:r>
      <w:r w:rsidR="00A5406D">
        <w:rPr>
          <w:rFonts w:ascii="Arial" w:hAnsi="Arial" w:cs="Arial"/>
          <w:sz w:val="22"/>
          <w:szCs w:val="22"/>
          <w:lang w:val="es-ES_tradnl"/>
        </w:rPr>
        <w:t>i</w:t>
      </w:r>
      <w:r w:rsidR="00A5406D" w:rsidRPr="00A8655B">
        <w:rPr>
          <w:rFonts w:ascii="Arial" w:hAnsi="Arial" w:cs="Arial"/>
          <w:sz w:val="22"/>
          <w:szCs w:val="22"/>
          <w:lang w:val="es-ES_tradnl"/>
        </w:rPr>
        <w:t>P</w:t>
      </w:r>
      <w:r w:rsidR="00A5406D">
        <w:rPr>
          <w:rFonts w:ascii="Arial" w:hAnsi="Arial" w:cs="Arial"/>
          <w:sz w:val="22"/>
          <w:szCs w:val="22"/>
          <w:lang w:val="es-ES_tradnl"/>
        </w:rPr>
        <w:t>y</w:t>
      </w:r>
      <w:r w:rsidR="00A5406D" w:rsidRPr="00A8655B">
        <w:rPr>
          <w:rFonts w:ascii="Arial" w:hAnsi="Arial" w:cs="Arial"/>
          <w:sz w:val="22"/>
          <w:szCs w:val="22"/>
          <w:lang w:val="es-ES_tradnl"/>
        </w:rPr>
        <w:t>ME</w:t>
      </w:r>
      <w:r w:rsidRPr="00F622F4">
        <w:rPr>
          <w:rFonts w:ascii="Arial" w:hAnsi="Arial" w:cs="Arial"/>
          <w:sz w:val="22"/>
          <w:szCs w:val="22"/>
          <w:lang w:val="es-ES"/>
        </w:rPr>
        <w:t xml:space="preserve">: </w:t>
      </w:r>
      <w:r w:rsidR="001D639A">
        <w:rPr>
          <w:rFonts w:ascii="Arial" w:hAnsi="Arial" w:cs="Arial"/>
          <w:sz w:val="22"/>
          <w:szCs w:val="22"/>
          <w:lang w:val="es-ES"/>
        </w:rPr>
        <w:t>(</w:t>
      </w:r>
      <w:r w:rsidRPr="00F622F4">
        <w:rPr>
          <w:rFonts w:ascii="Arial" w:hAnsi="Arial" w:cs="Arial"/>
          <w:sz w:val="22"/>
          <w:szCs w:val="22"/>
          <w:lang w:val="es-ES"/>
        </w:rPr>
        <w:t>i)</w:t>
      </w:r>
      <w:r w:rsidR="001D639A">
        <w:rPr>
          <w:rFonts w:ascii="Arial" w:hAnsi="Arial" w:cs="Arial"/>
          <w:sz w:val="22"/>
          <w:szCs w:val="22"/>
          <w:lang w:val="es-ES"/>
        </w:rPr>
        <w:t> </w:t>
      </w:r>
      <w:r w:rsidRPr="00F622F4">
        <w:rPr>
          <w:rFonts w:ascii="Arial" w:hAnsi="Arial" w:cs="Arial"/>
          <w:sz w:val="22"/>
          <w:szCs w:val="22"/>
          <w:lang w:val="es-ES"/>
        </w:rPr>
        <w:t xml:space="preserve">descenso de los ingresos operativos y; </w:t>
      </w:r>
      <w:r w:rsidR="001D639A">
        <w:rPr>
          <w:rFonts w:ascii="Arial" w:hAnsi="Arial" w:cs="Arial"/>
          <w:sz w:val="22"/>
          <w:szCs w:val="22"/>
          <w:lang w:val="es-ES"/>
        </w:rPr>
        <w:t>(</w:t>
      </w:r>
      <w:r w:rsidRPr="00F622F4">
        <w:rPr>
          <w:rFonts w:ascii="Arial" w:hAnsi="Arial" w:cs="Arial"/>
          <w:sz w:val="22"/>
          <w:szCs w:val="22"/>
          <w:lang w:val="es-ES"/>
        </w:rPr>
        <w:t xml:space="preserve">ii) aumento de retrasos en pagos por </w:t>
      </w:r>
      <w:r w:rsidRPr="00F622F4">
        <w:rPr>
          <w:rFonts w:ascii="Arial" w:hAnsi="Arial" w:cs="Arial"/>
          <w:sz w:val="22"/>
          <w:szCs w:val="22"/>
          <w:lang w:val="es-ES"/>
        </w:rPr>
        <w:lastRenderedPageBreak/>
        <w:t>bienes y servicios prestados</w:t>
      </w:r>
      <w:r>
        <w:rPr>
          <w:rStyle w:val="FootnoteReference"/>
          <w:rFonts w:ascii="Arial" w:hAnsi="Arial" w:cs="Arial"/>
          <w:sz w:val="22"/>
          <w:szCs w:val="22"/>
          <w:lang w:val="es-ES"/>
        </w:rPr>
        <w:footnoteReference w:id="7"/>
      </w:r>
      <w:r w:rsidRPr="00E15EA1">
        <w:rPr>
          <w:rFonts w:ascii="Arial" w:hAnsi="Arial" w:cs="Arial"/>
          <w:sz w:val="22"/>
          <w:szCs w:val="22"/>
          <w:lang w:val="es-ES"/>
        </w:rPr>
        <w:t xml:space="preserve">. Estos factores </w:t>
      </w:r>
      <w:r w:rsidRPr="00B40281">
        <w:rPr>
          <w:rFonts w:ascii="Arial" w:hAnsi="Arial" w:cs="Arial"/>
          <w:sz w:val="22"/>
          <w:szCs w:val="22"/>
          <w:lang w:val="es-ES"/>
        </w:rPr>
        <w:t>de</w:t>
      </w:r>
      <w:r w:rsidRPr="006249D6">
        <w:rPr>
          <w:rFonts w:ascii="Arial" w:hAnsi="Arial" w:cs="Arial"/>
          <w:sz w:val="22"/>
          <w:szCs w:val="22"/>
          <w:lang w:val="es-ES"/>
        </w:rPr>
        <w:t xml:space="preserve"> estrés</w:t>
      </w:r>
      <w:r w:rsidRPr="00502314">
        <w:rPr>
          <w:rFonts w:ascii="Arial" w:hAnsi="Arial" w:cs="Arial"/>
          <w:sz w:val="22"/>
          <w:szCs w:val="22"/>
          <w:lang w:val="es-ES"/>
        </w:rPr>
        <w:t xml:space="preserve"> crean </w:t>
      </w:r>
      <w:r w:rsidRPr="00031233">
        <w:rPr>
          <w:rFonts w:ascii="Arial" w:hAnsi="Arial" w:cs="Arial"/>
          <w:sz w:val="22"/>
          <w:szCs w:val="22"/>
          <w:lang w:val="es-ES"/>
        </w:rPr>
        <w:t>de</w:t>
      </w:r>
      <w:r w:rsidRPr="00AA1D42">
        <w:rPr>
          <w:rFonts w:ascii="Arial" w:hAnsi="Arial" w:cs="Arial"/>
          <w:sz w:val="22"/>
          <w:szCs w:val="22"/>
          <w:lang w:val="es-ES"/>
        </w:rPr>
        <w:t>sbalances re</w:t>
      </w:r>
      <w:r w:rsidRPr="00787236">
        <w:rPr>
          <w:rFonts w:ascii="Arial" w:hAnsi="Arial" w:cs="Arial"/>
          <w:sz w:val="22"/>
          <w:szCs w:val="22"/>
          <w:lang w:val="es-ES"/>
        </w:rPr>
        <w:t>pentinos</w:t>
      </w:r>
      <w:r w:rsidRPr="00C47A07">
        <w:rPr>
          <w:rFonts w:ascii="Arial" w:hAnsi="Arial" w:cs="Arial"/>
          <w:sz w:val="22"/>
          <w:szCs w:val="22"/>
          <w:lang w:val="es-ES"/>
        </w:rPr>
        <w:t xml:space="preserve"> y abruptos en</w:t>
      </w:r>
      <w:r w:rsidRPr="001970CE">
        <w:rPr>
          <w:rFonts w:ascii="Arial" w:hAnsi="Arial" w:cs="Arial"/>
          <w:sz w:val="22"/>
          <w:szCs w:val="22"/>
          <w:lang w:val="es-ES"/>
        </w:rPr>
        <w:t xml:space="preserve"> sus </w:t>
      </w:r>
      <w:r w:rsidRPr="00AB5519">
        <w:rPr>
          <w:rFonts w:ascii="Arial" w:hAnsi="Arial" w:cs="Arial"/>
          <w:sz w:val="22"/>
          <w:szCs w:val="22"/>
          <w:lang w:val="es-ES"/>
        </w:rPr>
        <w:t>f</w:t>
      </w:r>
      <w:r w:rsidRPr="00F622F4">
        <w:rPr>
          <w:rFonts w:ascii="Arial" w:hAnsi="Arial" w:cs="Arial"/>
          <w:sz w:val="22"/>
          <w:szCs w:val="22"/>
          <w:lang w:val="es-ES"/>
        </w:rPr>
        <w:t xml:space="preserve">lujos de caja, generando necesidades de liquidez de corto plazo para poder cubrir costos operativos fijos y mantener niveles de empleo durante periodos de menor actividad económica, como el que actualmente que se enfrenta para combatir el COVID-19. En segundo lugar, el empeoramiento de las condiciones financieras restringe la capacidad de las </w:t>
      </w:r>
      <w:r w:rsidR="00A5406D" w:rsidRPr="00A8655B">
        <w:rPr>
          <w:rFonts w:ascii="Arial" w:hAnsi="Arial" w:cs="Arial"/>
          <w:sz w:val="22"/>
          <w:szCs w:val="22"/>
          <w:lang w:val="es-ES_tradnl"/>
        </w:rPr>
        <w:t>M</w:t>
      </w:r>
      <w:r w:rsidR="00A5406D">
        <w:rPr>
          <w:rFonts w:ascii="Arial" w:hAnsi="Arial" w:cs="Arial"/>
          <w:sz w:val="22"/>
          <w:szCs w:val="22"/>
          <w:lang w:val="es-ES_tradnl"/>
        </w:rPr>
        <w:t>i</w:t>
      </w:r>
      <w:r w:rsidR="00A5406D" w:rsidRPr="00A8655B">
        <w:rPr>
          <w:rFonts w:ascii="Arial" w:hAnsi="Arial" w:cs="Arial"/>
          <w:sz w:val="22"/>
          <w:szCs w:val="22"/>
          <w:lang w:val="es-ES_tradnl"/>
        </w:rPr>
        <w:t>P</w:t>
      </w:r>
      <w:r w:rsidR="00A5406D">
        <w:rPr>
          <w:rFonts w:ascii="Arial" w:hAnsi="Arial" w:cs="Arial"/>
          <w:sz w:val="22"/>
          <w:szCs w:val="22"/>
          <w:lang w:val="es-ES_tradnl"/>
        </w:rPr>
        <w:t>y</w:t>
      </w:r>
      <w:r w:rsidR="00A5406D" w:rsidRPr="00A8655B">
        <w:rPr>
          <w:rFonts w:ascii="Arial" w:hAnsi="Arial" w:cs="Arial"/>
          <w:sz w:val="22"/>
          <w:szCs w:val="22"/>
          <w:lang w:val="es-ES_tradnl"/>
        </w:rPr>
        <w:t>ME</w:t>
      </w:r>
      <w:r w:rsidRPr="00F622F4">
        <w:rPr>
          <w:rFonts w:ascii="Arial" w:hAnsi="Arial" w:cs="Arial"/>
          <w:sz w:val="22"/>
          <w:szCs w:val="22"/>
          <w:lang w:val="es-ES"/>
        </w:rPr>
        <w:t xml:space="preserve"> de acceder a financiamiento para </w:t>
      </w:r>
      <w:r>
        <w:rPr>
          <w:rFonts w:ascii="Arial" w:hAnsi="Arial" w:cs="Arial"/>
          <w:sz w:val="22"/>
          <w:szCs w:val="22"/>
          <w:lang w:val="es-ES"/>
        </w:rPr>
        <w:t xml:space="preserve">cubrir estas </w:t>
      </w:r>
      <w:r w:rsidRPr="00F622F4">
        <w:rPr>
          <w:rFonts w:ascii="Arial" w:hAnsi="Arial" w:cs="Arial"/>
          <w:sz w:val="22"/>
          <w:szCs w:val="22"/>
          <w:lang w:val="es-ES"/>
        </w:rPr>
        <w:t>necesidades de liquidez derivadas de la caída de la actividad económica</w:t>
      </w:r>
      <w:r>
        <w:rPr>
          <w:rStyle w:val="FootnoteReference"/>
          <w:rFonts w:ascii="Arial" w:hAnsi="Arial" w:cs="Arial"/>
          <w:sz w:val="22"/>
          <w:szCs w:val="22"/>
          <w:lang w:val="es-ES"/>
        </w:rPr>
        <w:footnoteReference w:id="8"/>
      </w:r>
      <w:r>
        <w:rPr>
          <w:rFonts w:ascii="Arial" w:hAnsi="Arial" w:cs="Arial"/>
          <w:sz w:val="22"/>
          <w:szCs w:val="22"/>
          <w:lang w:val="es-ES"/>
        </w:rPr>
        <w:t xml:space="preserve">. </w:t>
      </w:r>
    </w:p>
    <w:p w14:paraId="241C901B" w14:textId="6A67383C" w:rsidR="00514234" w:rsidRPr="00514234" w:rsidRDefault="00514234" w:rsidP="00A8655B">
      <w:pPr>
        <w:pStyle w:val="Paragraph"/>
        <w:numPr>
          <w:ilvl w:val="1"/>
          <w:numId w:val="4"/>
        </w:numPr>
        <w:ind w:left="630" w:hanging="630"/>
        <w:rPr>
          <w:rFonts w:ascii="Arial" w:hAnsi="Arial" w:cs="Arial"/>
          <w:sz w:val="22"/>
          <w:szCs w:val="22"/>
          <w:lang w:val="es-ES_tradnl"/>
        </w:rPr>
      </w:pPr>
      <w:r w:rsidRPr="00514234">
        <w:rPr>
          <w:rFonts w:ascii="Arial" w:hAnsi="Arial" w:cs="Arial"/>
          <w:sz w:val="22"/>
          <w:szCs w:val="22"/>
          <w:lang w:val="es-ES"/>
        </w:rPr>
        <w:t xml:space="preserve">Este empeoramiento de las condiciones financieras para las </w:t>
      </w:r>
      <w:r w:rsidR="00A5406D" w:rsidRPr="00A8655B">
        <w:rPr>
          <w:rFonts w:ascii="Arial" w:hAnsi="Arial" w:cs="Arial"/>
          <w:sz w:val="22"/>
          <w:szCs w:val="22"/>
          <w:lang w:val="es-ES_tradnl"/>
        </w:rPr>
        <w:t>M</w:t>
      </w:r>
      <w:r w:rsidR="00A5406D">
        <w:rPr>
          <w:rFonts w:ascii="Arial" w:hAnsi="Arial" w:cs="Arial"/>
          <w:sz w:val="22"/>
          <w:szCs w:val="22"/>
          <w:lang w:val="es-ES_tradnl"/>
        </w:rPr>
        <w:t>i</w:t>
      </w:r>
      <w:r w:rsidR="00A5406D" w:rsidRPr="00A8655B">
        <w:rPr>
          <w:rFonts w:ascii="Arial" w:hAnsi="Arial" w:cs="Arial"/>
          <w:sz w:val="22"/>
          <w:szCs w:val="22"/>
          <w:lang w:val="es-ES_tradnl"/>
        </w:rPr>
        <w:t>P</w:t>
      </w:r>
      <w:r w:rsidR="00A5406D">
        <w:rPr>
          <w:rFonts w:ascii="Arial" w:hAnsi="Arial" w:cs="Arial"/>
          <w:sz w:val="22"/>
          <w:szCs w:val="22"/>
          <w:lang w:val="es-ES_tradnl"/>
        </w:rPr>
        <w:t>y</w:t>
      </w:r>
      <w:r w:rsidR="00A5406D" w:rsidRPr="00A8655B">
        <w:rPr>
          <w:rFonts w:ascii="Arial" w:hAnsi="Arial" w:cs="Arial"/>
          <w:sz w:val="22"/>
          <w:szCs w:val="22"/>
          <w:lang w:val="es-ES_tradnl"/>
        </w:rPr>
        <w:t>ME</w:t>
      </w:r>
      <w:r w:rsidRPr="00514234">
        <w:rPr>
          <w:rFonts w:ascii="Arial" w:hAnsi="Arial" w:cs="Arial"/>
          <w:sz w:val="22"/>
          <w:szCs w:val="22"/>
          <w:lang w:val="es-ES"/>
        </w:rPr>
        <w:t xml:space="preserve"> se debe principalmente a que</w:t>
      </w:r>
      <w:r w:rsidR="004258C5">
        <w:rPr>
          <w:rFonts w:ascii="Arial" w:hAnsi="Arial" w:cs="Arial"/>
          <w:sz w:val="22"/>
          <w:szCs w:val="22"/>
          <w:lang w:val="es-ES"/>
        </w:rPr>
        <w:t>,</w:t>
      </w:r>
      <w:r w:rsidRPr="00514234">
        <w:rPr>
          <w:rFonts w:ascii="Arial" w:hAnsi="Arial" w:cs="Arial"/>
          <w:sz w:val="22"/>
          <w:szCs w:val="22"/>
          <w:lang w:val="es-ES"/>
        </w:rPr>
        <w:t xml:space="preserve"> en contextos de contracción macroeconómica</w:t>
      </w:r>
      <w:r w:rsidR="004258C5">
        <w:rPr>
          <w:rFonts w:ascii="Arial" w:hAnsi="Arial" w:cs="Arial"/>
          <w:sz w:val="22"/>
          <w:szCs w:val="22"/>
          <w:lang w:val="es-ES"/>
        </w:rPr>
        <w:t>,</w:t>
      </w:r>
      <w:r w:rsidRPr="00514234">
        <w:rPr>
          <w:rFonts w:ascii="Arial" w:hAnsi="Arial" w:cs="Arial"/>
          <w:sz w:val="22"/>
          <w:szCs w:val="22"/>
          <w:lang w:val="es-ES"/>
        </w:rPr>
        <w:t xml:space="preserve"> el sector financiero:</w:t>
      </w:r>
      <w:r w:rsidR="0067293D">
        <w:rPr>
          <w:rFonts w:ascii="Arial" w:hAnsi="Arial" w:cs="Arial"/>
          <w:sz w:val="22"/>
          <w:szCs w:val="22"/>
          <w:lang w:val="es-ES"/>
        </w:rPr>
        <w:t> </w:t>
      </w:r>
      <w:r w:rsidR="001D639A">
        <w:rPr>
          <w:rFonts w:ascii="Arial" w:hAnsi="Arial" w:cs="Arial"/>
          <w:sz w:val="22"/>
          <w:szCs w:val="22"/>
          <w:lang w:val="es-ES"/>
        </w:rPr>
        <w:t>(</w:t>
      </w:r>
      <w:r w:rsidRPr="00514234">
        <w:rPr>
          <w:rFonts w:ascii="Arial" w:hAnsi="Arial" w:cs="Arial"/>
          <w:sz w:val="22"/>
          <w:szCs w:val="22"/>
          <w:lang w:val="es-ES"/>
        </w:rPr>
        <w:t>i)</w:t>
      </w:r>
      <w:r w:rsidR="001D639A">
        <w:rPr>
          <w:rFonts w:ascii="Arial" w:hAnsi="Arial" w:cs="Arial"/>
          <w:sz w:val="22"/>
          <w:szCs w:val="22"/>
          <w:lang w:val="es-ES"/>
        </w:rPr>
        <w:t> </w:t>
      </w:r>
      <w:r w:rsidRPr="00514234">
        <w:rPr>
          <w:rFonts w:ascii="Arial" w:hAnsi="Arial" w:cs="Arial"/>
          <w:sz w:val="22"/>
          <w:szCs w:val="22"/>
          <w:lang w:val="es-ES"/>
        </w:rPr>
        <w:t>reduce su oferta de crédito</w:t>
      </w:r>
      <w:r>
        <w:rPr>
          <w:rStyle w:val="FootnoteReference"/>
          <w:rFonts w:ascii="Arial" w:hAnsi="Arial" w:cs="Arial"/>
          <w:sz w:val="22"/>
          <w:szCs w:val="22"/>
        </w:rPr>
        <w:footnoteReference w:id="9"/>
      </w:r>
      <w:r w:rsidRPr="00514234">
        <w:rPr>
          <w:rFonts w:ascii="Arial" w:hAnsi="Arial" w:cs="Arial"/>
          <w:sz w:val="22"/>
          <w:szCs w:val="22"/>
          <w:lang w:val="es-ES"/>
        </w:rPr>
        <w:t xml:space="preserve">; </w:t>
      </w:r>
      <w:r w:rsidR="001D639A">
        <w:rPr>
          <w:rFonts w:ascii="Arial" w:hAnsi="Arial" w:cs="Arial"/>
          <w:sz w:val="22"/>
          <w:szCs w:val="22"/>
          <w:lang w:val="es-ES"/>
        </w:rPr>
        <w:t>(</w:t>
      </w:r>
      <w:r w:rsidRPr="00514234">
        <w:rPr>
          <w:rFonts w:ascii="Arial" w:hAnsi="Arial" w:cs="Arial"/>
          <w:sz w:val="22"/>
          <w:szCs w:val="22"/>
          <w:lang w:val="es-ES"/>
        </w:rPr>
        <w:t xml:space="preserve">ii) lo hace en una mayor proporción en el segmento de la </w:t>
      </w:r>
      <w:r w:rsidR="0067293D" w:rsidRPr="00A8655B">
        <w:rPr>
          <w:rFonts w:ascii="Arial" w:hAnsi="Arial" w:cs="Arial"/>
          <w:sz w:val="22"/>
          <w:szCs w:val="22"/>
          <w:lang w:val="es-ES_tradnl"/>
        </w:rPr>
        <w:t>M</w:t>
      </w:r>
      <w:r w:rsidR="0067293D">
        <w:rPr>
          <w:rFonts w:ascii="Arial" w:hAnsi="Arial" w:cs="Arial"/>
          <w:sz w:val="22"/>
          <w:szCs w:val="22"/>
          <w:lang w:val="es-ES_tradnl"/>
        </w:rPr>
        <w:t>i</w:t>
      </w:r>
      <w:r w:rsidR="0067293D" w:rsidRPr="00A8655B">
        <w:rPr>
          <w:rFonts w:ascii="Arial" w:hAnsi="Arial" w:cs="Arial"/>
          <w:sz w:val="22"/>
          <w:szCs w:val="22"/>
          <w:lang w:val="es-ES_tradnl"/>
        </w:rPr>
        <w:t>P</w:t>
      </w:r>
      <w:r w:rsidR="0067293D">
        <w:rPr>
          <w:rFonts w:ascii="Arial" w:hAnsi="Arial" w:cs="Arial"/>
          <w:sz w:val="22"/>
          <w:szCs w:val="22"/>
          <w:lang w:val="es-ES_tradnl"/>
        </w:rPr>
        <w:t>y</w:t>
      </w:r>
      <w:r w:rsidR="0067293D" w:rsidRPr="00A8655B">
        <w:rPr>
          <w:rFonts w:ascii="Arial" w:hAnsi="Arial" w:cs="Arial"/>
          <w:sz w:val="22"/>
          <w:szCs w:val="22"/>
          <w:lang w:val="es-ES_tradnl"/>
        </w:rPr>
        <w:t>ME</w:t>
      </w:r>
      <w:r w:rsidRPr="00514234">
        <w:rPr>
          <w:rFonts w:ascii="Arial" w:hAnsi="Arial" w:cs="Arial"/>
          <w:sz w:val="22"/>
          <w:szCs w:val="22"/>
          <w:lang w:val="es-ES"/>
        </w:rPr>
        <w:t xml:space="preserve"> en comparación con empresas de mayor tamaño</w:t>
      </w:r>
      <w:r>
        <w:rPr>
          <w:rStyle w:val="FootnoteReference"/>
          <w:rFonts w:ascii="Arial" w:hAnsi="Arial" w:cs="Arial"/>
          <w:sz w:val="22"/>
          <w:szCs w:val="22"/>
        </w:rPr>
        <w:footnoteReference w:id="10"/>
      </w:r>
      <w:r w:rsidRPr="00514234">
        <w:rPr>
          <w:rFonts w:ascii="Arial" w:hAnsi="Arial" w:cs="Arial"/>
          <w:sz w:val="22"/>
          <w:szCs w:val="22"/>
          <w:lang w:val="es-ES"/>
        </w:rPr>
        <w:t xml:space="preserve">, y </w:t>
      </w:r>
      <w:r w:rsidR="001D639A">
        <w:rPr>
          <w:rFonts w:ascii="Arial" w:hAnsi="Arial" w:cs="Arial"/>
          <w:sz w:val="22"/>
          <w:szCs w:val="22"/>
          <w:lang w:val="es-ES"/>
        </w:rPr>
        <w:t>(</w:t>
      </w:r>
      <w:r w:rsidRPr="00514234">
        <w:rPr>
          <w:rFonts w:ascii="Arial" w:hAnsi="Arial" w:cs="Arial"/>
          <w:sz w:val="22"/>
          <w:szCs w:val="22"/>
          <w:lang w:val="es-ES"/>
        </w:rPr>
        <w:t>iii) se demora un tiempo en recuperar el nivel previo a la crisis</w:t>
      </w:r>
      <w:r>
        <w:rPr>
          <w:rStyle w:val="FootnoteReference"/>
          <w:rFonts w:ascii="Arial" w:hAnsi="Arial" w:cs="Arial"/>
          <w:sz w:val="22"/>
          <w:szCs w:val="22"/>
        </w:rPr>
        <w:footnoteReference w:id="11"/>
      </w:r>
      <w:r w:rsidRPr="00514234">
        <w:rPr>
          <w:rFonts w:ascii="Arial" w:hAnsi="Arial" w:cs="Arial"/>
          <w:sz w:val="22"/>
          <w:szCs w:val="22"/>
          <w:lang w:val="es-ES"/>
        </w:rPr>
        <w:t xml:space="preserve">. Este empeoramiento de las condiciones de acceso a financiamiento en contexto de contracción económica se unen a los obstáculos de </w:t>
      </w:r>
      <w:r w:rsidRPr="00514234">
        <w:rPr>
          <w:rFonts w:ascii="Arial" w:eastAsia="Arial" w:hAnsi="Arial" w:cs="Arial"/>
          <w:sz w:val="22"/>
          <w:szCs w:val="22"/>
          <w:lang w:val="es-ES"/>
        </w:rPr>
        <w:t xml:space="preserve">acceso al financiamiento que ya de por si acumulan las </w:t>
      </w:r>
      <w:r w:rsidR="0067293D" w:rsidRPr="00A8655B">
        <w:rPr>
          <w:rFonts w:ascii="Arial" w:hAnsi="Arial" w:cs="Arial"/>
          <w:sz w:val="22"/>
          <w:szCs w:val="22"/>
          <w:lang w:val="es-ES_tradnl"/>
        </w:rPr>
        <w:t>M</w:t>
      </w:r>
      <w:r w:rsidR="0067293D">
        <w:rPr>
          <w:rFonts w:ascii="Arial" w:hAnsi="Arial" w:cs="Arial"/>
          <w:sz w:val="22"/>
          <w:szCs w:val="22"/>
          <w:lang w:val="es-ES_tradnl"/>
        </w:rPr>
        <w:t>i</w:t>
      </w:r>
      <w:r w:rsidR="0067293D" w:rsidRPr="00A8655B">
        <w:rPr>
          <w:rFonts w:ascii="Arial" w:hAnsi="Arial" w:cs="Arial"/>
          <w:sz w:val="22"/>
          <w:szCs w:val="22"/>
          <w:lang w:val="es-ES_tradnl"/>
        </w:rPr>
        <w:t>P</w:t>
      </w:r>
      <w:r w:rsidR="0067293D">
        <w:rPr>
          <w:rFonts w:ascii="Arial" w:hAnsi="Arial" w:cs="Arial"/>
          <w:sz w:val="22"/>
          <w:szCs w:val="22"/>
          <w:lang w:val="es-ES_tradnl"/>
        </w:rPr>
        <w:t>y</w:t>
      </w:r>
      <w:r w:rsidR="0067293D" w:rsidRPr="00A8655B">
        <w:rPr>
          <w:rFonts w:ascii="Arial" w:hAnsi="Arial" w:cs="Arial"/>
          <w:sz w:val="22"/>
          <w:szCs w:val="22"/>
          <w:lang w:val="es-ES_tradnl"/>
        </w:rPr>
        <w:t>ME</w:t>
      </w:r>
      <w:r w:rsidRPr="00514234">
        <w:rPr>
          <w:rFonts w:ascii="Arial" w:eastAsia="Arial" w:hAnsi="Arial" w:cs="Arial"/>
          <w:sz w:val="22"/>
          <w:szCs w:val="22"/>
          <w:lang w:val="es-ES"/>
        </w:rPr>
        <w:t xml:space="preserve"> respecto a empresas de mayor tamaño como: </w:t>
      </w:r>
      <w:r w:rsidRPr="00D14E04">
        <w:rPr>
          <w:rFonts w:ascii="Arial" w:eastAsia="Arial" w:hAnsi="Arial" w:cs="Arial"/>
          <w:sz w:val="22"/>
          <w:szCs w:val="22"/>
          <w:lang w:val="es"/>
        </w:rPr>
        <w:t>(i) ciclos comerciales más cortos con mayores necesidades de liquidez a corto plazo; (ii) carencia de instrumentos para la gestión del riesgo asociado a su ciclo de proyecto</w:t>
      </w:r>
      <w:r w:rsidRPr="00D62BD9">
        <w:rPr>
          <w:rFonts w:ascii="Arial" w:eastAsia="Arial" w:hAnsi="Arial" w:cs="Arial"/>
          <w:sz w:val="22"/>
          <w:szCs w:val="22"/>
          <w:lang w:val="es"/>
        </w:rPr>
        <w:t>s; (iii) mayores limitaciones de colateral disponible y su ejecución, debido a la falta de capital existente; (iv) altos costos de operación para prestar a e</w:t>
      </w:r>
      <w:r w:rsidRPr="00BA4070">
        <w:rPr>
          <w:rFonts w:ascii="Arial" w:eastAsia="Arial" w:hAnsi="Arial" w:cs="Arial"/>
          <w:sz w:val="22"/>
          <w:szCs w:val="22"/>
          <w:lang w:val="es"/>
        </w:rPr>
        <w:t xml:space="preserve">scalas pequeñas; y (v) </w:t>
      </w:r>
      <w:r w:rsidRPr="00F4339B">
        <w:rPr>
          <w:rFonts w:ascii="Arial" w:eastAsia="Arial" w:hAnsi="Arial" w:cs="Arial"/>
          <w:sz w:val="22"/>
          <w:szCs w:val="22"/>
          <w:lang w:val="es"/>
        </w:rPr>
        <w:t>me</w:t>
      </w:r>
      <w:r w:rsidRPr="004942A0">
        <w:rPr>
          <w:rFonts w:ascii="Arial" w:eastAsia="Arial" w:hAnsi="Arial" w:cs="Arial"/>
          <w:sz w:val="22"/>
          <w:szCs w:val="22"/>
          <w:lang w:val="es"/>
        </w:rPr>
        <w:t>n</w:t>
      </w:r>
      <w:r w:rsidRPr="00130218">
        <w:rPr>
          <w:rFonts w:ascii="Arial" w:eastAsia="Arial" w:hAnsi="Arial" w:cs="Arial"/>
          <w:sz w:val="22"/>
          <w:szCs w:val="22"/>
          <w:lang w:val="es"/>
        </w:rPr>
        <w:t xml:space="preserve">or </w:t>
      </w:r>
      <w:r w:rsidRPr="00000951">
        <w:rPr>
          <w:rFonts w:ascii="Arial" w:eastAsia="Arial" w:hAnsi="Arial" w:cs="Arial"/>
          <w:sz w:val="22"/>
          <w:szCs w:val="22"/>
          <w:lang w:val="es"/>
        </w:rPr>
        <w:t>rentabilidad que otros segmentos empresariales</w:t>
      </w:r>
      <w:r>
        <w:rPr>
          <w:rStyle w:val="FootnoteReference"/>
          <w:rFonts w:ascii="Arial" w:eastAsia="Arial" w:hAnsi="Arial" w:cs="Arial"/>
          <w:sz w:val="22"/>
          <w:szCs w:val="22"/>
          <w:lang w:val="es"/>
        </w:rPr>
        <w:footnoteReference w:id="12"/>
      </w:r>
      <w:r>
        <w:rPr>
          <w:rFonts w:ascii="Arial" w:eastAsia="Arial" w:hAnsi="Arial" w:cs="Arial"/>
          <w:sz w:val="22"/>
          <w:szCs w:val="22"/>
          <w:lang w:val="es"/>
        </w:rPr>
        <w:t>.</w:t>
      </w:r>
    </w:p>
    <w:p w14:paraId="74F838F4" w14:textId="6484FC29" w:rsidR="00514234" w:rsidRPr="00514234" w:rsidRDefault="00514234" w:rsidP="00A8655B">
      <w:pPr>
        <w:pStyle w:val="Paragraph"/>
        <w:numPr>
          <w:ilvl w:val="1"/>
          <w:numId w:val="4"/>
        </w:numPr>
        <w:ind w:left="630" w:hanging="630"/>
        <w:rPr>
          <w:rFonts w:ascii="Arial" w:hAnsi="Arial" w:cs="Arial"/>
          <w:sz w:val="22"/>
          <w:szCs w:val="22"/>
          <w:lang w:val="es-ES_tradnl"/>
        </w:rPr>
      </w:pPr>
      <w:r>
        <w:rPr>
          <w:rFonts w:ascii="Arial" w:eastAsia="Arial" w:hAnsi="Arial" w:cs="Arial"/>
          <w:sz w:val="22"/>
          <w:szCs w:val="22"/>
          <w:lang w:val="es-ES"/>
        </w:rPr>
        <w:t xml:space="preserve">Además </w:t>
      </w:r>
      <w:r>
        <w:rPr>
          <w:rFonts w:ascii="Arial" w:hAnsi="Arial" w:cs="Arial"/>
          <w:sz w:val="22"/>
          <w:szCs w:val="22"/>
          <w:lang w:val="es-ES_tradnl"/>
        </w:rPr>
        <w:t xml:space="preserve">de los obstáculos que presentaban las </w:t>
      </w:r>
      <w:r w:rsidR="0067293D" w:rsidRPr="00A8655B">
        <w:rPr>
          <w:rFonts w:ascii="Arial" w:hAnsi="Arial" w:cs="Arial"/>
          <w:sz w:val="22"/>
          <w:szCs w:val="22"/>
          <w:lang w:val="es-ES_tradnl"/>
        </w:rPr>
        <w:t>M</w:t>
      </w:r>
      <w:r w:rsidR="0067293D">
        <w:rPr>
          <w:rFonts w:ascii="Arial" w:hAnsi="Arial" w:cs="Arial"/>
          <w:sz w:val="22"/>
          <w:szCs w:val="22"/>
          <w:lang w:val="es-ES_tradnl"/>
        </w:rPr>
        <w:t>i</w:t>
      </w:r>
      <w:r w:rsidR="0067293D" w:rsidRPr="00A8655B">
        <w:rPr>
          <w:rFonts w:ascii="Arial" w:hAnsi="Arial" w:cs="Arial"/>
          <w:sz w:val="22"/>
          <w:szCs w:val="22"/>
          <w:lang w:val="es-ES_tradnl"/>
        </w:rPr>
        <w:t>P</w:t>
      </w:r>
      <w:r w:rsidR="0067293D">
        <w:rPr>
          <w:rFonts w:ascii="Arial" w:hAnsi="Arial" w:cs="Arial"/>
          <w:sz w:val="22"/>
          <w:szCs w:val="22"/>
          <w:lang w:val="es-ES_tradnl"/>
        </w:rPr>
        <w:t>y</w:t>
      </w:r>
      <w:r w:rsidR="0067293D" w:rsidRPr="00A8655B">
        <w:rPr>
          <w:rFonts w:ascii="Arial" w:hAnsi="Arial" w:cs="Arial"/>
          <w:sz w:val="22"/>
          <w:szCs w:val="22"/>
          <w:lang w:val="es-ES_tradnl"/>
        </w:rPr>
        <w:t>ME</w:t>
      </w:r>
      <w:r>
        <w:rPr>
          <w:rFonts w:ascii="Arial" w:hAnsi="Arial" w:cs="Arial"/>
          <w:sz w:val="22"/>
          <w:szCs w:val="22"/>
          <w:lang w:val="es-ES_tradnl"/>
        </w:rPr>
        <w:t xml:space="preserve"> para acceder al financiamiento antes de la actual crisis</w:t>
      </w:r>
      <w:r>
        <w:rPr>
          <w:rStyle w:val="FootnoteReference"/>
          <w:rFonts w:ascii="Arial" w:hAnsi="Arial" w:cs="Arial"/>
          <w:sz w:val="22"/>
          <w:szCs w:val="22"/>
          <w:lang w:val="es-ES_tradnl"/>
        </w:rPr>
        <w:footnoteReference w:id="13"/>
      </w:r>
      <w:r>
        <w:rPr>
          <w:rFonts w:ascii="Arial" w:hAnsi="Arial" w:cs="Arial"/>
          <w:sz w:val="22"/>
          <w:szCs w:val="22"/>
          <w:lang w:val="es-ES_tradnl"/>
        </w:rPr>
        <w:t>, e</w:t>
      </w:r>
      <w:r w:rsidRPr="00514234">
        <w:rPr>
          <w:rFonts w:ascii="Arial" w:eastAsia="Arial" w:hAnsi="Arial" w:cs="Arial"/>
          <w:sz w:val="22"/>
          <w:szCs w:val="22"/>
          <w:lang w:val="es-ES"/>
        </w:rPr>
        <w:t xml:space="preserve">l efecto dual de reducción de actividad económica y </w:t>
      </w:r>
      <w:r w:rsidR="004258C5">
        <w:rPr>
          <w:rFonts w:ascii="Arial" w:eastAsia="Arial" w:hAnsi="Arial" w:cs="Arial"/>
          <w:sz w:val="22"/>
          <w:szCs w:val="22"/>
          <w:lang w:val="es-ES"/>
        </w:rPr>
        <w:t xml:space="preserve">falta </w:t>
      </w:r>
      <w:r w:rsidRPr="00514234">
        <w:rPr>
          <w:rFonts w:ascii="Arial" w:eastAsia="Arial" w:hAnsi="Arial" w:cs="Arial"/>
          <w:sz w:val="22"/>
          <w:szCs w:val="22"/>
          <w:lang w:val="es-ES"/>
        </w:rPr>
        <w:t xml:space="preserve">acceso a crédito del sector productivo puede poner en riesgo de supervivencia a muchas </w:t>
      </w:r>
      <w:r w:rsidR="0067293D" w:rsidRPr="00A8655B">
        <w:rPr>
          <w:rFonts w:ascii="Arial" w:hAnsi="Arial" w:cs="Arial"/>
          <w:sz w:val="22"/>
          <w:szCs w:val="22"/>
          <w:lang w:val="es-ES_tradnl"/>
        </w:rPr>
        <w:t>M</w:t>
      </w:r>
      <w:r w:rsidR="0067293D">
        <w:rPr>
          <w:rFonts w:ascii="Arial" w:hAnsi="Arial" w:cs="Arial"/>
          <w:sz w:val="22"/>
          <w:szCs w:val="22"/>
          <w:lang w:val="es-ES_tradnl"/>
        </w:rPr>
        <w:t>i</w:t>
      </w:r>
      <w:r w:rsidR="0067293D" w:rsidRPr="00A8655B">
        <w:rPr>
          <w:rFonts w:ascii="Arial" w:hAnsi="Arial" w:cs="Arial"/>
          <w:sz w:val="22"/>
          <w:szCs w:val="22"/>
          <w:lang w:val="es-ES_tradnl"/>
        </w:rPr>
        <w:t>P</w:t>
      </w:r>
      <w:r w:rsidR="0067293D">
        <w:rPr>
          <w:rFonts w:ascii="Arial" w:hAnsi="Arial" w:cs="Arial"/>
          <w:sz w:val="22"/>
          <w:szCs w:val="22"/>
          <w:lang w:val="es-ES_tradnl"/>
        </w:rPr>
        <w:t>y</w:t>
      </w:r>
      <w:r w:rsidR="0067293D" w:rsidRPr="00A8655B">
        <w:rPr>
          <w:rFonts w:ascii="Arial" w:hAnsi="Arial" w:cs="Arial"/>
          <w:sz w:val="22"/>
          <w:szCs w:val="22"/>
          <w:lang w:val="es-ES_tradnl"/>
        </w:rPr>
        <w:t>ME</w:t>
      </w:r>
      <w:r w:rsidRPr="00514234">
        <w:rPr>
          <w:rFonts w:ascii="Arial" w:eastAsia="Arial" w:hAnsi="Arial" w:cs="Arial"/>
          <w:sz w:val="22"/>
          <w:szCs w:val="22"/>
          <w:lang w:val="es-ES"/>
        </w:rPr>
        <w:t xml:space="preserve"> de la región afectadas por la crisis del COVID-19</w:t>
      </w:r>
      <w:r>
        <w:rPr>
          <w:rFonts w:ascii="Arial" w:eastAsia="Arial" w:hAnsi="Arial" w:cs="Arial"/>
          <w:sz w:val="22"/>
          <w:szCs w:val="22"/>
          <w:lang w:val="es-ES"/>
        </w:rPr>
        <w:t xml:space="preserve">. </w:t>
      </w:r>
    </w:p>
    <w:p w14:paraId="7E1650E0" w14:textId="75D4523D" w:rsidR="00134246" w:rsidRPr="00134246" w:rsidRDefault="002E456A" w:rsidP="00134246">
      <w:pPr>
        <w:pStyle w:val="Paragraph"/>
        <w:numPr>
          <w:ilvl w:val="1"/>
          <w:numId w:val="4"/>
        </w:numPr>
        <w:ind w:left="630" w:hanging="630"/>
        <w:rPr>
          <w:rFonts w:ascii="Arial" w:hAnsi="Arial" w:cs="Arial"/>
          <w:sz w:val="22"/>
          <w:szCs w:val="22"/>
          <w:lang w:val="es-ES_tradnl"/>
        </w:rPr>
      </w:pPr>
      <w:r w:rsidRPr="002E456A">
        <w:rPr>
          <w:rFonts w:ascii="Arial" w:eastAsia="Arial" w:hAnsi="Arial" w:cs="Arial"/>
          <w:b/>
          <w:bCs/>
          <w:sz w:val="22"/>
          <w:szCs w:val="22"/>
          <w:lang w:val="es-CO"/>
        </w:rPr>
        <w:t>Diagnóstico de la MiPyME y su financiamiento</w:t>
      </w:r>
      <w:r w:rsidRPr="007D3C9B">
        <w:rPr>
          <w:rStyle w:val="FootnoteReference"/>
          <w:rFonts w:ascii="Arial" w:eastAsia="Arial" w:hAnsi="Arial" w:cs="Arial"/>
          <w:b/>
          <w:bCs/>
          <w:sz w:val="22"/>
          <w:szCs w:val="22"/>
        </w:rPr>
        <w:footnoteReference w:id="14"/>
      </w:r>
      <w:r w:rsidRPr="007D3C9B">
        <w:rPr>
          <w:rFonts w:ascii="Arial" w:eastAsia="Arial" w:hAnsi="Arial" w:cs="Arial"/>
          <w:b/>
          <w:bCs/>
          <w:sz w:val="22"/>
          <w:szCs w:val="22"/>
          <w:lang w:val="es-CO"/>
        </w:rPr>
        <w:t>.</w:t>
      </w:r>
      <w:r w:rsidRPr="002E456A">
        <w:rPr>
          <w:rFonts w:ascii="Arial" w:eastAsia="Arial" w:hAnsi="Arial" w:cs="Arial"/>
          <w:b/>
          <w:bCs/>
          <w:sz w:val="22"/>
          <w:szCs w:val="22"/>
          <w:lang w:val="es-CO"/>
        </w:rPr>
        <w:t xml:space="preserve"> </w:t>
      </w:r>
      <w:r w:rsidR="00D01FD3" w:rsidRPr="00D01FD3">
        <w:rPr>
          <w:rFonts w:ascii="Arial" w:hAnsi="Arial" w:cs="Arial"/>
          <w:sz w:val="22"/>
          <w:szCs w:val="22"/>
          <w:lang w:val="es-ES"/>
        </w:rPr>
        <w:t xml:space="preserve">En México existen 4,7 millones de </w:t>
      </w:r>
      <w:r w:rsidR="00D01FD3" w:rsidRPr="00D01FD3" w:rsidDel="00804740">
        <w:rPr>
          <w:rFonts w:ascii="Arial" w:hAnsi="Arial" w:cs="Arial"/>
          <w:sz w:val="22"/>
          <w:szCs w:val="22"/>
          <w:lang w:val="es-MX"/>
        </w:rPr>
        <w:t>MiPyME</w:t>
      </w:r>
      <w:r w:rsidR="00D01FD3" w:rsidRPr="00D01FD3">
        <w:rPr>
          <w:rFonts w:ascii="Arial" w:hAnsi="Arial" w:cs="Arial"/>
          <w:sz w:val="22"/>
          <w:szCs w:val="22"/>
          <w:vertAlign w:val="superscript"/>
          <w:lang w:val="es-ES"/>
        </w:rPr>
        <w:footnoteReference w:id="15"/>
      </w:r>
      <w:r w:rsidR="00D01FD3" w:rsidRPr="00D01FD3">
        <w:rPr>
          <w:rFonts w:ascii="Arial" w:hAnsi="Arial" w:cs="Arial"/>
          <w:sz w:val="22"/>
          <w:szCs w:val="22"/>
          <w:lang w:val="es-ES"/>
        </w:rPr>
        <w:t>, de las cuales más del 95% son microempresas. Gran parte de la actividad económica (52%) y el empleo (68,4%) está estrechamente ligado a ellas, mostrando su importancia dentro de</w:t>
      </w:r>
      <w:r w:rsidR="00D01FD3" w:rsidRPr="00D01FD3">
        <w:rPr>
          <w:rFonts w:ascii="Arial" w:hAnsi="Arial" w:cs="Arial"/>
          <w:sz w:val="22"/>
          <w:szCs w:val="22"/>
          <w:lang w:val="es-PE"/>
        </w:rPr>
        <w:t xml:space="preserve"> la dinámica de la economía del país</w:t>
      </w:r>
      <w:r w:rsidR="00D01FD3" w:rsidRPr="00D01FD3">
        <w:rPr>
          <w:rFonts w:ascii="Arial" w:hAnsi="Arial" w:cs="Arial"/>
          <w:sz w:val="22"/>
          <w:szCs w:val="22"/>
          <w:lang w:val="es-ES"/>
        </w:rPr>
        <w:t xml:space="preserve">. A nivel de grandes sectores, </w:t>
      </w:r>
      <w:r w:rsidR="00D01FD3" w:rsidRPr="00D01FD3">
        <w:rPr>
          <w:rFonts w:ascii="Arial" w:hAnsi="Arial" w:cs="Arial"/>
          <w:sz w:val="22"/>
          <w:szCs w:val="22"/>
          <w:lang w:val="es-ES"/>
        </w:rPr>
        <w:lastRenderedPageBreak/>
        <w:t xml:space="preserve">se observa que cerca de la mitad (46,7%) de las </w:t>
      </w:r>
      <w:r w:rsidR="00D01FD3" w:rsidRPr="00D01FD3" w:rsidDel="00804740">
        <w:rPr>
          <w:rFonts w:ascii="Arial" w:hAnsi="Arial" w:cs="Arial"/>
          <w:sz w:val="22"/>
          <w:szCs w:val="22"/>
          <w:lang w:val="es-MX"/>
        </w:rPr>
        <w:t>MiPyME</w:t>
      </w:r>
      <w:r w:rsidR="00D01FD3" w:rsidRPr="00D01FD3">
        <w:rPr>
          <w:rFonts w:ascii="Arial" w:hAnsi="Arial" w:cs="Arial"/>
          <w:sz w:val="22"/>
          <w:szCs w:val="22"/>
          <w:lang w:val="es-ES"/>
        </w:rPr>
        <w:t xml:space="preserve"> se agrupan en el sector comercio, empleando el 37,9% de población ocupada, mientras que el 39,2% de las unidades y el 39,3% del empleo las constituyen servicios privados no financieros</w:t>
      </w:r>
      <w:r w:rsidR="00134246">
        <w:rPr>
          <w:rFonts w:ascii="Arial" w:hAnsi="Arial" w:cs="Arial"/>
          <w:sz w:val="22"/>
          <w:szCs w:val="22"/>
          <w:lang w:val="es-ES"/>
        </w:rPr>
        <w:t>.</w:t>
      </w:r>
    </w:p>
    <w:p w14:paraId="6ABCD503" w14:textId="6F990947" w:rsidR="00134246" w:rsidRPr="00134246" w:rsidRDefault="00C51E2C" w:rsidP="00134246">
      <w:pPr>
        <w:pStyle w:val="Paragraph"/>
        <w:numPr>
          <w:ilvl w:val="1"/>
          <w:numId w:val="4"/>
        </w:numPr>
        <w:ind w:left="630" w:hanging="630"/>
        <w:rPr>
          <w:rFonts w:ascii="Arial" w:hAnsi="Arial" w:cs="Arial"/>
          <w:sz w:val="22"/>
          <w:szCs w:val="22"/>
          <w:lang w:val="es-ES_tradnl"/>
        </w:rPr>
      </w:pPr>
      <w:r w:rsidRPr="00C51E2C">
        <w:rPr>
          <w:rFonts w:ascii="Arial" w:hAnsi="Arial" w:cs="Arial"/>
          <w:sz w:val="22"/>
          <w:szCs w:val="22"/>
          <w:lang w:val="es-CO"/>
        </w:rPr>
        <w:t xml:space="preserve">El país ha venido apoyándose en los </w:t>
      </w:r>
      <w:r w:rsidRPr="00C51E2C">
        <w:rPr>
          <w:rFonts w:ascii="Arial" w:eastAsia="Arial" w:hAnsi="Arial" w:cs="Arial"/>
          <w:sz w:val="22"/>
          <w:szCs w:val="22"/>
          <w:lang w:val="es-CO"/>
        </w:rPr>
        <w:t>Bancos Públicos de Desarrollo (BPD) para dar</w:t>
      </w:r>
      <w:r w:rsidRPr="00C51E2C">
        <w:rPr>
          <w:rFonts w:ascii="Arial" w:hAnsi="Arial" w:cs="Arial"/>
          <w:sz w:val="22"/>
          <w:szCs w:val="22"/>
          <w:lang w:val="es-CO"/>
        </w:rPr>
        <w:t xml:space="preserve"> acceso a financiamiento a las </w:t>
      </w:r>
      <w:r w:rsidRPr="00C32624">
        <w:rPr>
          <w:rFonts w:ascii="Arial" w:hAnsi="Arial" w:cs="Arial"/>
          <w:sz w:val="22"/>
          <w:szCs w:val="22"/>
          <w:lang w:val="es-MX"/>
        </w:rPr>
        <w:t>MiPyME.</w:t>
      </w:r>
      <w:r w:rsidRPr="00C51E2C">
        <w:rPr>
          <w:rFonts w:ascii="Arial" w:hAnsi="Arial" w:cs="Arial"/>
          <w:sz w:val="22"/>
          <w:szCs w:val="22"/>
          <w:lang w:val="es-CO"/>
        </w:rPr>
        <w:t xml:space="preserve"> </w:t>
      </w:r>
      <w:r w:rsidRPr="00C51E2C">
        <w:rPr>
          <w:rFonts w:ascii="Arial" w:eastAsia="Arial" w:hAnsi="Arial" w:cs="Arial"/>
          <w:sz w:val="22"/>
          <w:szCs w:val="22"/>
          <w:lang w:val="es-CO"/>
        </w:rPr>
        <w:t>Las distintas entidades que conforman el sistema de BPD</w:t>
      </w:r>
      <w:r w:rsidRPr="00C51E2C">
        <w:rPr>
          <w:rFonts w:ascii="ZWAdobeF" w:eastAsia="Arial" w:hAnsi="ZWAdobeF" w:cs="ZWAdobeF"/>
          <w:sz w:val="2"/>
          <w:szCs w:val="2"/>
          <w:lang w:val="es-CO"/>
        </w:rPr>
        <w:t>17F17F</w:t>
      </w:r>
      <w:r w:rsidRPr="00C32624">
        <w:rPr>
          <w:rStyle w:val="FootnoteReference"/>
          <w:rFonts w:ascii="Arial" w:eastAsia="Arial" w:hAnsi="Arial" w:cs="Arial"/>
          <w:sz w:val="22"/>
          <w:szCs w:val="22"/>
        </w:rPr>
        <w:footnoteReference w:id="16"/>
      </w:r>
      <w:r w:rsidRPr="00C51E2C">
        <w:rPr>
          <w:rFonts w:ascii="Arial" w:eastAsia="Arial" w:hAnsi="Arial" w:cs="Arial"/>
          <w:sz w:val="22"/>
          <w:szCs w:val="22"/>
          <w:lang w:val="es-CO"/>
        </w:rPr>
        <w:t xml:space="preserve"> atienden a estas empresas en función del sector económico que pertenecen, ya sea industrial, exportador, rural, construcción, etc. </w:t>
      </w:r>
      <w:r w:rsidRPr="008B624A">
        <w:rPr>
          <w:rFonts w:ascii="Arial" w:eastAsia="Arial" w:hAnsi="Arial" w:cs="Arial"/>
          <w:sz w:val="22"/>
          <w:szCs w:val="22"/>
          <w:lang w:val="es-CO"/>
        </w:rPr>
        <w:t>Se estima que el 65% de los créditos otorgados a PyME en México están respaldados por los BPD</w:t>
      </w:r>
      <w:r w:rsidR="00134246" w:rsidRPr="00134246">
        <w:rPr>
          <w:rFonts w:ascii="Arial" w:hAnsi="Arial" w:cs="Arial"/>
          <w:sz w:val="22"/>
          <w:szCs w:val="22"/>
          <w:lang w:val="es-ES_tradnl"/>
        </w:rPr>
        <w:t>.</w:t>
      </w:r>
      <w:r w:rsidR="00134246" w:rsidRPr="00134246" w:rsidDel="003B4917">
        <w:rPr>
          <w:rFonts w:ascii="Arial" w:hAnsi="Arial" w:cs="Arial"/>
          <w:sz w:val="22"/>
          <w:szCs w:val="22"/>
          <w:lang w:val="es-ES_tradnl"/>
        </w:rPr>
        <w:t xml:space="preserve"> </w:t>
      </w:r>
    </w:p>
    <w:p w14:paraId="50830ACC" w14:textId="657FB469" w:rsidR="00134246" w:rsidRPr="00134246" w:rsidRDefault="008B624A" w:rsidP="00134246">
      <w:pPr>
        <w:pStyle w:val="Paragraph"/>
        <w:numPr>
          <w:ilvl w:val="1"/>
          <w:numId w:val="4"/>
        </w:numPr>
        <w:ind w:left="630" w:hanging="630"/>
        <w:rPr>
          <w:rFonts w:ascii="Arial" w:hAnsi="Arial" w:cs="Arial"/>
          <w:sz w:val="22"/>
          <w:szCs w:val="22"/>
          <w:lang w:val="es-ES_tradnl"/>
        </w:rPr>
      </w:pPr>
      <w:r w:rsidRPr="000751E1">
        <w:rPr>
          <w:rFonts w:ascii="Arial" w:eastAsia="Arial" w:hAnsi="Arial" w:cs="Arial"/>
          <w:sz w:val="22"/>
          <w:szCs w:val="22"/>
          <w:lang w:val="es-CO"/>
        </w:rPr>
        <w:t>Como resultado de la reformulación del programa, el gobierno busca fortalecer la respuesta de los BPD para atender la presente crisis, en adición a las otras medidas que se han anunciado dentro del sector financiero, como son: (i) e</w:t>
      </w:r>
      <w:r w:rsidRPr="00C32624">
        <w:rPr>
          <w:rFonts w:ascii="Arial" w:eastAsia="Arial" w:hAnsi="Arial" w:cs="Arial"/>
          <w:sz w:val="22"/>
          <w:szCs w:val="22"/>
          <w:lang w:val="es-ES"/>
        </w:rPr>
        <w:t xml:space="preserve">l gobierno ha indicado que pondrá en marcha un programa de </w:t>
      </w:r>
      <w:r>
        <w:rPr>
          <w:rFonts w:ascii="Arial" w:eastAsia="Arial" w:hAnsi="Arial" w:cs="Arial"/>
          <w:sz w:val="22"/>
          <w:szCs w:val="22"/>
          <w:lang w:val="es-ES"/>
        </w:rPr>
        <w:t>1</w:t>
      </w:r>
      <w:r w:rsidRPr="00C32624">
        <w:rPr>
          <w:rFonts w:ascii="Arial" w:eastAsia="Arial" w:hAnsi="Arial" w:cs="Arial"/>
          <w:sz w:val="22"/>
          <w:szCs w:val="22"/>
          <w:lang w:val="es-ES"/>
        </w:rPr>
        <w:t xml:space="preserve"> millón de microcréditos de aproximadamente US$1.000 para micronegocios registrados en el padrón del censo del Bienestar del Gobierno Federal</w:t>
      </w:r>
      <w:r>
        <w:rPr>
          <w:rFonts w:ascii="ZWAdobeF" w:eastAsia="Arial" w:hAnsi="ZWAdobeF" w:cs="ZWAdobeF"/>
          <w:sz w:val="2"/>
          <w:szCs w:val="2"/>
          <w:lang w:val="es-ES"/>
        </w:rPr>
        <w:t>18F18F</w:t>
      </w:r>
      <w:r>
        <w:rPr>
          <w:rStyle w:val="FootnoteReference"/>
          <w:rFonts w:ascii="Arial" w:eastAsia="Arial" w:hAnsi="Arial" w:cs="Arial"/>
          <w:sz w:val="22"/>
          <w:szCs w:val="22"/>
          <w:lang w:val="es-ES"/>
        </w:rPr>
        <w:footnoteReference w:id="17"/>
      </w:r>
      <w:r>
        <w:rPr>
          <w:rFonts w:ascii="Arial" w:eastAsia="Arial" w:hAnsi="Arial" w:cs="Arial"/>
          <w:sz w:val="22"/>
          <w:szCs w:val="22"/>
          <w:lang w:val="es-ES"/>
        </w:rPr>
        <w:t xml:space="preserve">; (ii) </w:t>
      </w:r>
      <w:r w:rsidRPr="00C32624">
        <w:rPr>
          <w:rFonts w:ascii="Arial" w:eastAsia="Arial" w:hAnsi="Arial" w:cs="Arial"/>
          <w:sz w:val="22"/>
          <w:szCs w:val="22"/>
          <w:lang w:val="es-ES"/>
        </w:rPr>
        <w:t>e</w:t>
      </w:r>
      <w:r w:rsidRPr="00C32624">
        <w:rPr>
          <w:rFonts w:ascii="Arial" w:eastAsia="Arial" w:hAnsi="Arial" w:cs="Arial"/>
          <w:sz w:val="22"/>
          <w:szCs w:val="22"/>
          <w:lang w:val="es-MX"/>
        </w:rPr>
        <w:t xml:space="preserve">l Banco de México dio a conocer medidas que buscan garantizar liquidez para los bancos y corporativos que puedan requerir dólares estadounidenses ante el deterioro de las condiciones financieras mundiales, así como medidas </w:t>
      </w:r>
      <w:r w:rsidRPr="000751E1">
        <w:rPr>
          <w:rFonts w:ascii="Arial" w:eastAsia="Arial" w:hAnsi="Arial" w:cs="Arial"/>
          <w:sz w:val="22"/>
          <w:szCs w:val="22"/>
          <w:lang w:val="es-CO"/>
        </w:rPr>
        <w:t xml:space="preserve">adicionales orientadas a proveer liquidez para mejorar el funcionamiento de los mercados internos y fortalecer los canales de otorgamiento de crédito en la economía, particularmente hacia las PyME y hogares que han visto una reducción transitoria de sus fuentes de ingreso; y (iii) </w:t>
      </w:r>
      <w:r w:rsidRPr="00C32624">
        <w:rPr>
          <w:rFonts w:ascii="Arial" w:eastAsia="Arial" w:hAnsi="Arial" w:cs="Arial"/>
          <w:sz w:val="22"/>
          <w:szCs w:val="22"/>
          <w:lang w:val="es-MX"/>
        </w:rPr>
        <w:t>l</w:t>
      </w:r>
      <w:r w:rsidRPr="000751E1">
        <w:rPr>
          <w:rFonts w:ascii="Arial" w:eastAsia="Arial" w:hAnsi="Arial" w:cs="Arial"/>
          <w:sz w:val="22"/>
          <w:szCs w:val="22"/>
          <w:lang w:val="es-CO"/>
        </w:rPr>
        <w:t>a Comisión Nacional Bancaria y de Valores (CNBV) emitió con carácter temporal, criterios contables especiales, aplicables a instituciones de crédito, respecto de los créditos al consumo, de vivienda y comerciales, para los clientes cuya fuente de pago se encuentre afectada por esta contingencia.</w:t>
      </w:r>
      <w:r w:rsidRPr="00C32624">
        <w:rPr>
          <w:rFonts w:ascii="Arial" w:eastAsia="Arial" w:hAnsi="Arial" w:cs="Arial"/>
          <w:sz w:val="22"/>
          <w:szCs w:val="22"/>
          <w:lang w:val="es-MX"/>
        </w:rPr>
        <w:t xml:space="preserve"> Así, los bancos podrán dar facilidades para pagar créditos, incluyendo la congelación de deudas</w:t>
      </w:r>
      <w:r>
        <w:rPr>
          <w:rFonts w:ascii="Arial" w:eastAsia="Arial" w:hAnsi="Arial" w:cs="Arial"/>
          <w:sz w:val="22"/>
          <w:szCs w:val="22"/>
          <w:lang w:val="es-MX"/>
        </w:rPr>
        <w:t>.</w:t>
      </w:r>
    </w:p>
    <w:p w14:paraId="6C10BB32" w14:textId="25E9690E" w:rsidR="00134246" w:rsidRPr="00134246" w:rsidRDefault="00134246" w:rsidP="00134246">
      <w:pPr>
        <w:pStyle w:val="Paragraph"/>
        <w:numPr>
          <w:ilvl w:val="1"/>
          <w:numId w:val="4"/>
        </w:numPr>
        <w:ind w:left="630" w:hanging="630"/>
        <w:rPr>
          <w:rFonts w:ascii="Arial" w:hAnsi="Arial" w:cs="Arial"/>
          <w:sz w:val="22"/>
          <w:szCs w:val="22"/>
          <w:lang w:val="es-ES"/>
        </w:rPr>
      </w:pPr>
      <w:r w:rsidRPr="00134246">
        <w:rPr>
          <w:rFonts w:ascii="Arial" w:hAnsi="Arial" w:cs="Arial"/>
          <w:sz w:val="22"/>
          <w:szCs w:val="22"/>
          <w:lang w:val="es-ES"/>
        </w:rPr>
        <w:t xml:space="preserve">El programa proveerá acceso a financiamiento a las </w:t>
      </w:r>
      <w:r w:rsidRPr="00134246">
        <w:rPr>
          <w:rFonts w:ascii="Arial" w:hAnsi="Arial" w:cs="Arial"/>
          <w:sz w:val="22"/>
          <w:szCs w:val="22"/>
          <w:lang w:val="es-MX"/>
        </w:rPr>
        <w:t>MiPyME,</w:t>
      </w:r>
      <w:r w:rsidRPr="00134246">
        <w:rPr>
          <w:rFonts w:ascii="Arial" w:hAnsi="Arial" w:cs="Arial"/>
          <w:sz w:val="22"/>
          <w:szCs w:val="22"/>
          <w:lang w:val="es-ES"/>
        </w:rPr>
        <w:t xml:space="preserve"> con un enfoque multisectorial y de acuerdo con la demanda que se presente. Con ello se </w:t>
      </w:r>
      <w:r w:rsidRPr="00134246">
        <w:rPr>
          <w:rFonts w:ascii="Arial" w:hAnsi="Arial" w:cs="Arial"/>
          <w:sz w:val="22"/>
          <w:szCs w:val="22"/>
          <w:lang w:val="es-ES_tradnl"/>
        </w:rPr>
        <w:t xml:space="preserve">buscará aminorar las restricciones de acceso a crédito que enfrentan las </w:t>
      </w:r>
      <w:r w:rsidR="007F7004" w:rsidRPr="007F7004">
        <w:rPr>
          <w:rFonts w:ascii="Arial" w:hAnsi="Arial" w:cs="Arial"/>
          <w:sz w:val="22"/>
          <w:szCs w:val="22"/>
          <w:lang w:val="es-ES"/>
        </w:rPr>
        <w:t>M</w:t>
      </w:r>
      <w:proofErr w:type="spellStart"/>
      <w:r w:rsidR="007F7004" w:rsidRPr="007F7004">
        <w:rPr>
          <w:rFonts w:ascii="Arial" w:hAnsi="Arial" w:cs="Arial"/>
          <w:sz w:val="22"/>
          <w:szCs w:val="22"/>
          <w:lang w:val="es-ES_tradnl"/>
        </w:rPr>
        <w:t>iPyME</w:t>
      </w:r>
      <w:proofErr w:type="spellEnd"/>
      <w:r w:rsidRPr="00134246">
        <w:rPr>
          <w:rFonts w:ascii="Arial" w:hAnsi="Arial" w:cs="Arial"/>
          <w:sz w:val="22"/>
          <w:szCs w:val="22"/>
          <w:lang w:val="es-ES_tradnl"/>
        </w:rPr>
        <w:t xml:space="preserve"> afectadas por la crisis del COVID-19 para apoyar su supervivencia y la preservación del empleo, lo que a su vez maximizará la velocidad de recuperación económica una vez superada la emergencia sanitaria.</w:t>
      </w:r>
    </w:p>
    <w:p w14:paraId="08A3584E" w14:textId="45BD28F8" w:rsidR="00134246" w:rsidRDefault="00134246" w:rsidP="00134246">
      <w:pPr>
        <w:pStyle w:val="Paragraph"/>
        <w:numPr>
          <w:ilvl w:val="1"/>
          <w:numId w:val="4"/>
        </w:numPr>
        <w:ind w:left="630" w:hanging="630"/>
        <w:rPr>
          <w:rFonts w:ascii="Arial" w:hAnsi="Arial" w:cs="Arial"/>
          <w:sz w:val="22"/>
          <w:szCs w:val="22"/>
          <w:lang w:val="es-ES_tradnl"/>
        </w:rPr>
      </w:pPr>
      <w:r w:rsidRPr="00134246">
        <w:rPr>
          <w:rFonts w:ascii="Arial" w:hAnsi="Arial" w:cs="Arial"/>
          <w:sz w:val="22"/>
          <w:szCs w:val="22"/>
          <w:lang w:val="es-ES"/>
        </w:rPr>
        <w:t>Se financiará exclusivamente el crédito de</w:t>
      </w:r>
      <w:r w:rsidRPr="00134246">
        <w:rPr>
          <w:rFonts w:ascii="Arial" w:hAnsi="Arial" w:cs="Arial"/>
          <w:sz w:val="22"/>
          <w:szCs w:val="22"/>
          <w:lang w:val="es-ES_tradnl"/>
        </w:rPr>
        <w:t xml:space="preserve"> capital de trabajo de corto plazo con el fin de asegurar la supervivencia inmediata de las </w:t>
      </w:r>
      <w:r w:rsidR="000C2F0D" w:rsidRPr="00A8655B">
        <w:rPr>
          <w:rFonts w:ascii="Arial" w:hAnsi="Arial" w:cs="Arial"/>
          <w:sz w:val="22"/>
          <w:szCs w:val="22"/>
          <w:lang w:val="es-ES_tradnl"/>
        </w:rPr>
        <w:t>M</w:t>
      </w:r>
      <w:r w:rsidR="000C2F0D">
        <w:rPr>
          <w:rFonts w:ascii="Arial" w:hAnsi="Arial" w:cs="Arial"/>
          <w:sz w:val="22"/>
          <w:szCs w:val="22"/>
          <w:lang w:val="es-ES_tradnl"/>
        </w:rPr>
        <w:t>i</w:t>
      </w:r>
      <w:r w:rsidR="000C2F0D" w:rsidRPr="00A8655B">
        <w:rPr>
          <w:rFonts w:ascii="Arial" w:hAnsi="Arial" w:cs="Arial"/>
          <w:sz w:val="22"/>
          <w:szCs w:val="22"/>
          <w:lang w:val="es-ES_tradnl"/>
        </w:rPr>
        <w:t>P</w:t>
      </w:r>
      <w:r w:rsidR="000C2F0D">
        <w:rPr>
          <w:rFonts w:ascii="Arial" w:hAnsi="Arial" w:cs="Arial"/>
          <w:sz w:val="22"/>
          <w:szCs w:val="22"/>
          <w:lang w:val="es-ES_tradnl"/>
        </w:rPr>
        <w:t>y</w:t>
      </w:r>
      <w:r w:rsidR="000C2F0D" w:rsidRPr="00A8655B">
        <w:rPr>
          <w:rFonts w:ascii="Arial" w:hAnsi="Arial" w:cs="Arial"/>
          <w:sz w:val="22"/>
          <w:szCs w:val="22"/>
          <w:lang w:val="es-ES_tradnl"/>
        </w:rPr>
        <w:t>ME</w:t>
      </w:r>
      <w:r w:rsidRPr="00134246">
        <w:rPr>
          <w:rFonts w:ascii="Arial" w:hAnsi="Arial" w:cs="Arial"/>
          <w:sz w:val="22"/>
          <w:szCs w:val="22"/>
          <w:lang w:val="es-ES_tradnl"/>
        </w:rPr>
        <w:t xml:space="preserve"> y el empleo.</w:t>
      </w:r>
      <w:r w:rsidRPr="00134246">
        <w:rPr>
          <w:rFonts w:ascii="Arial" w:hAnsi="Arial" w:cs="Arial"/>
          <w:sz w:val="22"/>
          <w:szCs w:val="22"/>
          <w:lang w:val="es-ES"/>
        </w:rPr>
        <w:t xml:space="preserve"> L</w:t>
      </w:r>
      <w:r w:rsidRPr="00134246">
        <w:rPr>
          <w:rFonts w:ascii="Arial" w:hAnsi="Arial" w:cs="Arial"/>
          <w:sz w:val="22"/>
          <w:szCs w:val="22"/>
          <w:lang w:val="es-ES_tradnl"/>
        </w:rPr>
        <w:t>a intervención propuesta fomentará la oferta de liquidez a las empresas, canalizando recursos a través de líneas de financiamiento específicas en segundo piso de NAFIN, el BPD principal en atención a la MiPyME en México</w:t>
      </w:r>
      <w:r>
        <w:rPr>
          <w:rFonts w:ascii="Arial" w:hAnsi="Arial" w:cs="Arial"/>
          <w:sz w:val="22"/>
          <w:szCs w:val="22"/>
          <w:lang w:val="es-ES_tradnl"/>
        </w:rPr>
        <w:t>.</w:t>
      </w:r>
    </w:p>
    <w:p w14:paraId="339520CA" w14:textId="00545ACC" w:rsidR="00BD7609" w:rsidRPr="00871F6C" w:rsidRDefault="00F8529B" w:rsidP="00871F6C">
      <w:pPr>
        <w:pStyle w:val="Paragraph"/>
        <w:numPr>
          <w:ilvl w:val="1"/>
          <w:numId w:val="4"/>
        </w:numPr>
        <w:ind w:left="630" w:hanging="630"/>
        <w:rPr>
          <w:rFonts w:ascii="Arial" w:hAnsi="Arial" w:cs="Arial"/>
          <w:sz w:val="22"/>
          <w:szCs w:val="22"/>
          <w:lang w:val="es-ES_tradnl"/>
        </w:rPr>
      </w:pPr>
      <w:r w:rsidRPr="00274844">
        <w:rPr>
          <w:rFonts w:ascii="Arial" w:hAnsi="Arial" w:cs="Arial"/>
          <w:b/>
          <w:bCs/>
          <w:sz w:val="22"/>
          <w:szCs w:val="22"/>
          <w:lang w:val="es-ES_tradnl"/>
        </w:rPr>
        <w:t>Objetivos del programa</w:t>
      </w:r>
      <w:r w:rsidRPr="00A366A7">
        <w:rPr>
          <w:rFonts w:ascii="Arial" w:hAnsi="Arial" w:cs="Arial"/>
          <w:b/>
          <w:bCs/>
          <w:sz w:val="22"/>
          <w:szCs w:val="22"/>
          <w:lang w:val="es-ES_tradnl"/>
        </w:rPr>
        <w:t>.</w:t>
      </w:r>
      <w:r w:rsidRPr="00274844">
        <w:rPr>
          <w:rFonts w:ascii="Arial" w:hAnsi="Arial" w:cs="Arial"/>
          <w:sz w:val="22"/>
          <w:szCs w:val="22"/>
          <w:lang w:val="es-ES_tradnl"/>
        </w:rPr>
        <w:t xml:space="preserve"> </w:t>
      </w:r>
      <w:r w:rsidR="00134246" w:rsidRPr="00134246">
        <w:rPr>
          <w:rFonts w:ascii="Arial" w:hAnsi="Arial" w:cs="Arial"/>
          <w:sz w:val="22"/>
          <w:szCs w:val="22"/>
          <w:lang w:val="es-PE"/>
        </w:rPr>
        <w:t>El objetivo general de este proyecto es apoyar la sostenibilidad frente a la crisis del COVID-19, de las MiPyME como principal fuente de empleo en México. El objetivo específico es apoyar la sostenibilidad financiera de corto plazo de las MiPyME</w:t>
      </w:r>
      <w:r w:rsidR="00FD6D39" w:rsidRPr="00274844">
        <w:rPr>
          <w:rFonts w:ascii="Arial" w:hAnsi="Arial" w:cs="Arial"/>
          <w:sz w:val="22"/>
          <w:szCs w:val="22"/>
          <w:lang w:val="es-ES"/>
        </w:rPr>
        <w:t>.</w:t>
      </w:r>
      <w:r w:rsidR="006E1245" w:rsidRPr="006E1245">
        <w:rPr>
          <w:rFonts w:ascii="Arial" w:hAnsi="Arial" w:cs="Arial"/>
          <w:sz w:val="22"/>
          <w:szCs w:val="22"/>
          <w:lang w:val="es-CO"/>
        </w:rPr>
        <w:t> </w:t>
      </w:r>
      <w:r w:rsidR="00CD1AF3" w:rsidRPr="00CD1AF3">
        <w:rPr>
          <w:rFonts w:ascii="Arial" w:hAnsi="Arial" w:cs="Arial"/>
          <w:sz w:val="22"/>
          <w:szCs w:val="22"/>
          <w:lang w:val="es-CO"/>
        </w:rPr>
        <w:t>Esta intervención se estructura en un préstamo organizado en un único componente</w:t>
      </w:r>
      <w:r w:rsidR="00FD6D39" w:rsidRPr="00871F6C">
        <w:rPr>
          <w:rFonts w:ascii="Arial" w:hAnsi="Arial" w:cs="Arial"/>
          <w:sz w:val="22"/>
          <w:szCs w:val="22"/>
          <w:lang w:val="es-ES_tradnl"/>
        </w:rPr>
        <w:t>:</w:t>
      </w:r>
    </w:p>
    <w:p w14:paraId="55699FB8" w14:textId="27682BB3" w:rsidR="00FD6D39" w:rsidRPr="00C3607E" w:rsidRDefault="00FD6D39" w:rsidP="00FD6D39">
      <w:pPr>
        <w:pStyle w:val="ListParagraph"/>
        <w:numPr>
          <w:ilvl w:val="1"/>
          <w:numId w:val="4"/>
        </w:numPr>
        <w:spacing w:before="120" w:after="120"/>
        <w:ind w:left="630" w:hanging="630"/>
        <w:contextualSpacing w:val="0"/>
        <w:jc w:val="both"/>
        <w:rPr>
          <w:rFonts w:ascii="Arial" w:hAnsi="Arial" w:cs="Arial"/>
          <w:sz w:val="22"/>
          <w:szCs w:val="22"/>
        </w:rPr>
      </w:pPr>
      <w:r w:rsidRPr="00134246">
        <w:rPr>
          <w:rFonts w:ascii="Arial" w:hAnsi="Arial" w:cs="Arial"/>
          <w:b/>
          <w:bCs/>
          <w:sz w:val="22"/>
          <w:szCs w:val="22"/>
          <w:lang w:val="es-ES"/>
        </w:rPr>
        <w:t xml:space="preserve">Componente </w:t>
      </w:r>
      <w:r w:rsidR="00562A53" w:rsidRPr="00134246">
        <w:rPr>
          <w:rFonts w:ascii="Arial" w:hAnsi="Arial" w:cs="Arial"/>
          <w:b/>
          <w:bCs/>
          <w:sz w:val="22"/>
          <w:szCs w:val="22"/>
          <w:lang w:val="es-ES"/>
        </w:rPr>
        <w:t>único</w:t>
      </w:r>
      <w:r w:rsidRPr="00134246">
        <w:rPr>
          <w:rFonts w:ascii="Arial" w:hAnsi="Arial" w:cs="Arial"/>
          <w:b/>
          <w:bCs/>
          <w:sz w:val="22"/>
          <w:szCs w:val="22"/>
          <w:lang w:val="es-ES"/>
        </w:rPr>
        <w:t xml:space="preserve">. </w:t>
      </w:r>
      <w:r w:rsidR="00394793" w:rsidRPr="00C32624">
        <w:rPr>
          <w:rFonts w:ascii="Arial" w:hAnsi="Arial" w:cs="Arial"/>
          <w:b/>
          <w:bCs/>
          <w:sz w:val="22"/>
          <w:szCs w:val="22"/>
          <w:lang w:val="es-ES"/>
        </w:rPr>
        <w:t xml:space="preserve">Apoyo a la </w:t>
      </w:r>
      <w:r w:rsidR="00394793" w:rsidRPr="00DB2F12">
        <w:rPr>
          <w:rFonts w:ascii="Arial" w:hAnsi="Arial" w:cs="Arial"/>
          <w:b/>
          <w:bCs/>
          <w:sz w:val="22"/>
          <w:szCs w:val="22"/>
        </w:rPr>
        <w:t>la sostenibilidad financiera de corto plazo de las MiPyME</w:t>
      </w:r>
      <w:r w:rsidR="00274844" w:rsidRPr="00134246">
        <w:rPr>
          <w:rFonts w:ascii="Arial" w:hAnsi="Arial" w:cs="Arial"/>
          <w:b/>
          <w:bCs/>
          <w:sz w:val="22"/>
          <w:szCs w:val="22"/>
          <w:lang w:val="es-ES"/>
        </w:rPr>
        <w:t xml:space="preserve"> </w:t>
      </w:r>
      <w:r w:rsidRPr="00134246">
        <w:rPr>
          <w:rFonts w:ascii="Arial" w:hAnsi="Arial" w:cs="Arial"/>
          <w:b/>
          <w:bCs/>
          <w:sz w:val="22"/>
          <w:szCs w:val="22"/>
          <w:lang w:val="es-ES"/>
        </w:rPr>
        <w:t>(US$</w:t>
      </w:r>
      <w:r w:rsidR="00095785" w:rsidRPr="00134246">
        <w:rPr>
          <w:rFonts w:ascii="Arial" w:hAnsi="Arial" w:cs="Arial"/>
          <w:b/>
          <w:sz w:val="22"/>
          <w:szCs w:val="22"/>
          <w:lang w:val="es-ES"/>
        </w:rPr>
        <w:t>54</w:t>
      </w:r>
      <w:r w:rsidR="000C2F0D">
        <w:rPr>
          <w:rFonts w:ascii="Arial" w:hAnsi="Arial" w:cs="Arial"/>
          <w:b/>
          <w:sz w:val="22"/>
          <w:szCs w:val="22"/>
          <w:lang w:val="es-ES"/>
        </w:rPr>
        <w:t>,</w:t>
      </w:r>
      <w:r w:rsidR="00095785" w:rsidRPr="00134246">
        <w:rPr>
          <w:rFonts w:ascii="Arial" w:hAnsi="Arial" w:cs="Arial"/>
          <w:b/>
          <w:sz w:val="22"/>
          <w:szCs w:val="22"/>
          <w:lang w:val="es-ES"/>
        </w:rPr>
        <w:t>3</w:t>
      </w:r>
      <w:r w:rsidR="00274844" w:rsidRPr="00134246">
        <w:rPr>
          <w:rFonts w:ascii="Arial" w:hAnsi="Arial" w:cs="Arial"/>
          <w:b/>
          <w:sz w:val="22"/>
          <w:szCs w:val="22"/>
          <w:lang w:val="es-ES"/>
        </w:rPr>
        <w:t xml:space="preserve"> </w:t>
      </w:r>
      <w:r w:rsidRPr="00134246">
        <w:rPr>
          <w:rFonts w:ascii="Arial" w:hAnsi="Arial" w:cs="Arial"/>
          <w:b/>
          <w:bCs/>
          <w:sz w:val="22"/>
          <w:szCs w:val="22"/>
          <w:lang w:val="es-ES"/>
        </w:rPr>
        <w:t>millones).</w:t>
      </w:r>
      <w:r w:rsidRPr="00C3607E">
        <w:rPr>
          <w:rFonts w:ascii="Arial" w:hAnsi="Arial" w:cs="Arial"/>
          <w:b/>
          <w:bCs/>
          <w:sz w:val="22"/>
          <w:szCs w:val="22"/>
          <w:lang w:val="es-ES"/>
        </w:rPr>
        <w:t xml:space="preserve"> </w:t>
      </w:r>
      <w:r w:rsidR="00D95EF2" w:rsidRPr="00C32624">
        <w:rPr>
          <w:rFonts w:ascii="Arial" w:hAnsi="Arial" w:cs="Arial"/>
          <w:sz w:val="22"/>
          <w:szCs w:val="22"/>
        </w:rPr>
        <w:t>Los recursos serán destinados a contribuir a que las MiPyME</w:t>
      </w:r>
      <w:r w:rsidR="00D95EF2">
        <w:rPr>
          <w:rFonts w:ascii="Arial" w:hAnsi="Arial" w:cs="Arial"/>
          <w:sz w:val="22"/>
          <w:szCs w:val="22"/>
        </w:rPr>
        <w:t> </w:t>
      </w:r>
      <w:r w:rsidR="00D95EF2" w:rsidRPr="00C32624">
        <w:rPr>
          <w:rFonts w:ascii="Arial" w:hAnsi="Arial" w:cs="Arial"/>
          <w:sz w:val="22"/>
          <w:szCs w:val="22"/>
        </w:rPr>
        <w:t xml:space="preserve">afectadas por la crisis </w:t>
      </w:r>
      <w:r w:rsidR="00D95EF2">
        <w:rPr>
          <w:rFonts w:ascii="Arial" w:hAnsi="Arial" w:cs="Arial"/>
          <w:sz w:val="22"/>
          <w:szCs w:val="22"/>
        </w:rPr>
        <w:t xml:space="preserve">sanitaria y económica actual </w:t>
      </w:r>
      <w:r w:rsidR="00D95EF2" w:rsidRPr="00C32624">
        <w:rPr>
          <w:rFonts w:ascii="Arial" w:hAnsi="Arial" w:cs="Arial"/>
          <w:sz w:val="22"/>
          <w:szCs w:val="22"/>
        </w:rPr>
        <w:t xml:space="preserve">superen problemas </w:t>
      </w:r>
      <w:r w:rsidR="00D95EF2" w:rsidRPr="005A2324">
        <w:rPr>
          <w:rFonts w:ascii="Arial" w:hAnsi="Arial" w:cs="Arial"/>
          <w:sz w:val="22"/>
          <w:szCs w:val="22"/>
        </w:rPr>
        <w:lastRenderedPageBreak/>
        <w:t xml:space="preserve">temporales de liquidez y puedan dar continuidad a su operación. Este componente contempla mecanismos para proveer liquidez a las MiPyME </w:t>
      </w:r>
      <w:r w:rsidR="00D95EF2" w:rsidRPr="005A2324">
        <w:rPr>
          <w:rFonts w:ascii="Arial" w:hAnsi="Arial" w:cs="Arial"/>
          <w:sz w:val="22"/>
          <w:szCs w:val="22"/>
          <w:lang w:val="es-ES"/>
        </w:rPr>
        <w:t>con un enfoque multisectorial y de acuerdo con la demanda</w:t>
      </w:r>
      <w:r w:rsidR="00D95EF2" w:rsidRPr="005A2324">
        <w:rPr>
          <w:rFonts w:ascii="Arial" w:hAnsi="Arial" w:cs="Arial"/>
          <w:sz w:val="22"/>
          <w:szCs w:val="22"/>
        </w:rPr>
        <w:t>, particularmente para obtener financiamiento de capital de trabajo</w:t>
      </w:r>
      <w:r w:rsidR="00134246">
        <w:rPr>
          <w:rFonts w:ascii="Arial" w:hAnsi="Arial" w:cs="Arial"/>
          <w:sz w:val="22"/>
          <w:szCs w:val="22"/>
        </w:rPr>
        <w:t>.</w:t>
      </w:r>
    </w:p>
    <w:p w14:paraId="0F41A3B2" w14:textId="1F41C5C8" w:rsidR="00274844" w:rsidRPr="00C3607E" w:rsidRDefault="00855419" w:rsidP="00FD6D39">
      <w:pPr>
        <w:pStyle w:val="ListParagraph"/>
        <w:numPr>
          <w:ilvl w:val="1"/>
          <w:numId w:val="4"/>
        </w:numPr>
        <w:spacing w:before="120" w:after="120"/>
        <w:ind w:left="630" w:hanging="630"/>
        <w:contextualSpacing w:val="0"/>
        <w:jc w:val="both"/>
        <w:rPr>
          <w:rFonts w:ascii="Arial" w:hAnsi="Arial" w:cs="Arial"/>
          <w:sz w:val="22"/>
          <w:szCs w:val="22"/>
        </w:rPr>
      </w:pPr>
      <w:r w:rsidRPr="005A2324">
        <w:rPr>
          <w:rFonts w:ascii="Arial" w:hAnsi="Arial" w:cs="Arial"/>
          <w:sz w:val="22"/>
        </w:rPr>
        <w:t>Los créditos se otorgarán vía segundo piso</w:t>
      </w:r>
      <w:r w:rsidRPr="00C32624">
        <w:rPr>
          <w:rFonts w:ascii="Arial" w:hAnsi="Arial" w:cs="Arial"/>
          <w:sz w:val="22"/>
        </w:rPr>
        <w:t xml:space="preserve"> de </w:t>
      </w:r>
      <w:r>
        <w:rPr>
          <w:rFonts w:ascii="Arial" w:hAnsi="Arial" w:cs="Arial"/>
          <w:sz w:val="22"/>
        </w:rPr>
        <w:t>NAFIN</w:t>
      </w:r>
      <w:r w:rsidRPr="00C32624">
        <w:rPr>
          <w:rFonts w:ascii="Arial" w:hAnsi="Arial" w:cs="Arial"/>
          <w:sz w:val="22"/>
        </w:rPr>
        <w:t xml:space="preserve">, a través de los </w:t>
      </w:r>
      <w:r>
        <w:rPr>
          <w:rFonts w:ascii="Arial" w:hAnsi="Arial" w:cs="Arial"/>
          <w:sz w:val="22"/>
        </w:rPr>
        <w:t>I</w:t>
      </w:r>
      <w:r w:rsidRPr="00C32624">
        <w:rPr>
          <w:rFonts w:ascii="Arial" w:hAnsi="Arial" w:cs="Arial"/>
          <w:sz w:val="22"/>
          <w:szCs w:val="22"/>
        </w:rPr>
        <w:t xml:space="preserve">ntermediarios </w:t>
      </w:r>
      <w:r>
        <w:rPr>
          <w:rFonts w:ascii="Arial" w:hAnsi="Arial" w:cs="Arial"/>
          <w:sz w:val="22"/>
          <w:szCs w:val="22"/>
        </w:rPr>
        <w:t>F</w:t>
      </w:r>
      <w:r w:rsidRPr="00C32624">
        <w:rPr>
          <w:rFonts w:ascii="Arial" w:hAnsi="Arial" w:cs="Arial"/>
          <w:sz w:val="22"/>
          <w:szCs w:val="22"/>
        </w:rPr>
        <w:t xml:space="preserve">inancieros </w:t>
      </w:r>
      <w:r>
        <w:rPr>
          <w:rFonts w:ascii="Arial" w:hAnsi="Arial" w:cs="Arial"/>
          <w:sz w:val="22"/>
          <w:szCs w:val="22"/>
        </w:rPr>
        <w:t xml:space="preserve">(IF) elegibles, de conformidad con los términos del </w:t>
      </w:r>
      <w:hyperlink r:id="rId18" w:history="1">
        <w:r w:rsidRPr="008D7B09">
          <w:rPr>
            <w:rStyle w:val="Hyperlink"/>
            <w:rFonts w:ascii="Arial" w:eastAsiaTheme="minorEastAsia" w:hAnsi="Arial" w:cs="Arial"/>
            <w:sz w:val="22"/>
          </w:rPr>
          <w:t>Reglamento Operativo del Programa</w:t>
        </w:r>
      </w:hyperlink>
      <w:r>
        <w:rPr>
          <w:rFonts w:ascii="Arial" w:hAnsi="Arial" w:cs="Arial"/>
          <w:sz w:val="22"/>
          <w:szCs w:val="22"/>
        </w:rPr>
        <w:t xml:space="preserve"> (ROP)</w:t>
      </w:r>
      <w:r w:rsidRPr="00C32624">
        <w:rPr>
          <w:rFonts w:ascii="Arial" w:hAnsi="Arial" w:cs="Arial"/>
          <w:sz w:val="22"/>
        </w:rPr>
        <w:t xml:space="preserve">. </w:t>
      </w:r>
      <w:r>
        <w:rPr>
          <w:rFonts w:ascii="Arial" w:hAnsi="Arial" w:cs="Arial"/>
          <w:sz w:val="22"/>
        </w:rPr>
        <w:t>El saldo total de su cartera de segundo piso a través de distintos instrumentos es de US$6.750 millones, del cual aproximadamente US$3.370 millones (MXN$</w:t>
      </w:r>
      <w:r w:rsidRPr="00D262E0">
        <w:rPr>
          <w:rFonts w:ascii="Arial" w:hAnsi="Arial" w:cs="Arial"/>
          <w:sz w:val="22"/>
          <w:lang w:val="es-ES"/>
        </w:rPr>
        <w:t>74</w:t>
      </w:r>
      <w:r>
        <w:rPr>
          <w:rFonts w:ascii="Arial" w:hAnsi="Arial" w:cs="Arial"/>
          <w:sz w:val="22"/>
          <w:lang w:val="es-ES"/>
        </w:rPr>
        <w:t>.</w:t>
      </w:r>
      <w:r w:rsidRPr="00D262E0">
        <w:rPr>
          <w:rFonts w:ascii="Arial" w:hAnsi="Arial" w:cs="Arial"/>
          <w:sz w:val="22"/>
          <w:lang w:val="es-ES"/>
        </w:rPr>
        <w:t>823</w:t>
      </w:r>
      <w:r>
        <w:rPr>
          <w:rFonts w:ascii="Arial" w:hAnsi="Arial" w:cs="Arial"/>
          <w:sz w:val="22"/>
          <w:lang w:val="es-ES"/>
        </w:rPr>
        <w:t>,</w:t>
      </w:r>
      <w:r w:rsidRPr="00D262E0">
        <w:rPr>
          <w:rFonts w:ascii="Arial" w:hAnsi="Arial" w:cs="Arial"/>
          <w:sz w:val="22"/>
          <w:lang w:val="es-ES"/>
        </w:rPr>
        <w:t>5</w:t>
      </w:r>
      <w:r>
        <w:rPr>
          <w:rFonts w:ascii="Arial" w:hAnsi="Arial" w:cs="Arial"/>
          <w:sz w:val="22"/>
          <w:lang w:val="es-ES"/>
        </w:rPr>
        <w:t xml:space="preserve"> millones) </w:t>
      </w:r>
      <w:r>
        <w:rPr>
          <w:rFonts w:ascii="Arial" w:hAnsi="Arial" w:cs="Arial"/>
          <w:sz w:val="22"/>
        </w:rPr>
        <w:t xml:space="preserve">corresponde a capital de trabajo. </w:t>
      </w:r>
      <w:r w:rsidRPr="00C32624">
        <w:rPr>
          <w:rFonts w:ascii="Arial" w:hAnsi="Arial" w:cs="Arial"/>
          <w:sz w:val="22"/>
          <w:szCs w:val="22"/>
        </w:rPr>
        <w:t>L</w:t>
      </w:r>
      <w:r>
        <w:rPr>
          <w:rFonts w:ascii="Arial" w:hAnsi="Arial" w:cs="Arial"/>
          <w:sz w:val="22"/>
          <w:szCs w:val="22"/>
        </w:rPr>
        <w:t>o</w:t>
      </w:r>
      <w:r w:rsidRPr="00C32624">
        <w:rPr>
          <w:rFonts w:ascii="Arial" w:hAnsi="Arial" w:cs="Arial"/>
          <w:sz w:val="22"/>
          <w:szCs w:val="22"/>
        </w:rPr>
        <w:t xml:space="preserve">s </w:t>
      </w:r>
      <w:r>
        <w:rPr>
          <w:rFonts w:ascii="Arial" w:hAnsi="Arial" w:cs="Arial"/>
          <w:sz w:val="22"/>
          <w:szCs w:val="22"/>
        </w:rPr>
        <w:t xml:space="preserve">sectores a los cuales se enfoca principalmente son los de comercio, servicios y manufacturas.  Analizando la cartera de NAFIN a partir de marzo de 2020 para fondeo de capital de trabajo, la demanda se ha concentrado en </w:t>
      </w:r>
      <w:r w:rsidRPr="008D01D5">
        <w:rPr>
          <w:rFonts w:ascii="Arial" w:hAnsi="Arial" w:cs="Arial"/>
          <w:sz w:val="22"/>
          <w:szCs w:val="22"/>
        </w:rPr>
        <w:t>servicios</w:t>
      </w:r>
      <w:r>
        <w:rPr>
          <w:rFonts w:ascii="ZWAdobeF" w:hAnsi="ZWAdobeF" w:cs="ZWAdobeF"/>
          <w:sz w:val="2"/>
          <w:szCs w:val="2"/>
        </w:rPr>
        <w:t>24F</w:t>
      </w:r>
      <w:r>
        <w:rPr>
          <w:rStyle w:val="FootnoteReference"/>
          <w:rFonts w:ascii="Arial" w:hAnsi="Arial" w:cs="Arial"/>
          <w:sz w:val="22"/>
          <w:szCs w:val="22"/>
        </w:rPr>
        <w:footnoteReference w:id="18"/>
      </w:r>
      <w:r>
        <w:rPr>
          <w:rFonts w:ascii="Arial" w:hAnsi="Arial" w:cs="Arial"/>
          <w:sz w:val="22"/>
          <w:szCs w:val="22"/>
        </w:rPr>
        <w:t>,</w:t>
      </w:r>
      <w:r w:rsidRPr="008D01D5">
        <w:rPr>
          <w:rFonts w:ascii="Arial" w:hAnsi="Arial" w:cs="Arial"/>
          <w:sz w:val="22"/>
          <w:szCs w:val="22"/>
        </w:rPr>
        <w:t xml:space="preserve"> comercio</w:t>
      </w:r>
      <w:r>
        <w:rPr>
          <w:rFonts w:ascii="ZWAdobeF" w:hAnsi="ZWAdobeF" w:cs="ZWAdobeF"/>
          <w:sz w:val="2"/>
          <w:szCs w:val="2"/>
        </w:rPr>
        <w:t>25F</w:t>
      </w:r>
      <w:r>
        <w:rPr>
          <w:rStyle w:val="FootnoteReference"/>
          <w:rFonts w:ascii="Arial" w:hAnsi="Arial" w:cs="Arial"/>
          <w:sz w:val="22"/>
          <w:szCs w:val="22"/>
        </w:rPr>
        <w:footnoteReference w:id="19"/>
      </w:r>
      <w:r>
        <w:rPr>
          <w:rFonts w:ascii="Arial" w:hAnsi="Arial" w:cs="Arial"/>
          <w:sz w:val="22"/>
          <w:szCs w:val="22"/>
        </w:rPr>
        <w:t>, y en MiPyME en los sectores de servicios y comercio</w:t>
      </w:r>
      <w:r w:rsidR="00134246">
        <w:rPr>
          <w:rFonts w:ascii="Arial" w:hAnsi="Arial" w:cs="Arial"/>
          <w:sz w:val="22"/>
        </w:rPr>
        <w:t>.</w:t>
      </w:r>
    </w:p>
    <w:p w14:paraId="017720F7" w14:textId="2E1601F4" w:rsidR="007116B2" w:rsidRPr="00C3607E" w:rsidRDefault="00F8529B" w:rsidP="007116B2">
      <w:pPr>
        <w:pStyle w:val="Paragraph"/>
        <w:numPr>
          <w:ilvl w:val="1"/>
          <w:numId w:val="4"/>
        </w:numPr>
        <w:ind w:left="630" w:hanging="630"/>
        <w:rPr>
          <w:rFonts w:ascii="Arial" w:hAnsi="Arial" w:cs="Arial"/>
          <w:sz w:val="22"/>
          <w:szCs w:val="22"/>
          <w:lang w:val="es-ES_tradnl"/>
        </w:rPr>
      </w:pPr>
      <w:r w:rsidRPr="00C3607E">
        <w:rPr>
          <w:rFonts w:ascii="Arial" w:hAnsi="Arial" w:cs="Arial"/>
          <w:sz w:val="22"/>
          <w:szCs w:val="22"/>
          <w:lang w:val="es-ES"/>
        </w:rPr>
        <w:t xml:space="preserve">El programa </w:t>
      </w:r>
      <w:r w:rsidR="00562A53">
        <w:rPr>
          <w:rFonts w:ascii="Arial" w:hAnsi="Arial" w:cs="Arial"/>
          <w:sz w:val="22"/>
          <w:szCs w:val="22"/>
          <w:lang w:val="es-ES"/>
        </w:rPr>
        <w:t>estima</w:t>
      </w:r>
      <w:r w:rsidR="00562A53" w:rsidRPr="00C3607E">
        <w:rPr>
          <w:rFonts w:ascii="Arial" w:hAnsi="Arial" w:cs="Arial"/>
          <w:sz w:val="22"/>
          <w:szCs w:val="22"/>
          <w:lang w:val="es-ES"/>
        </w:rPr>
        <w:t xml:space="preserve"> </w:t>
      </w:r>
      <w:r w:rsidRPr="00C3607E">
        <w:rPr>
          <w:rFonts w:ascii="Arial" w:hAnsi="Arial" w:cs="Arial"/>
          <w:sz w:val="22"/>
          <w:szCs w:val="22"/>
          <w:lang w:val="es-ES"/>
        </w:rPr>
        <w:t xml:space="preserve">beneficiar a una población de </w:t>
      </w:r>
      <w:r w:rsidR="00095785">
        <w:rPr>
          <w:rFonts w:ascii="Arial" w:hAnsi="Arial" w:cs="Arial"/>
          <w:sz w:val="22"/>
          <w:szCs w:val="22"/>
          <w:lang w:val="es-ES"/>
        </w:rPr>
        <w:t>6</w:t>
      </w:r>
      <w:r w:rsidR="000C2F0D">
        <w:rPr>
          <w:rFonts w:ascii="Arial" w:hAnsi="Arial" w:cs="Arial"/>
          <w:sz w:val="22"/>
          <w:szCs w:val="22"/>
          <w:lang w:val="es-ES"/>
        </w:rPr>
        <w:t>.</w:t>
      </w:r>
      <w:r w:rsidR="00095785">
        <w:rPr>
          <w:rFonts w:ascii="Arial" w:hAnsi="Arial" w:cs="Arial"/>
          <w:sz w:val="22"/>
          <w:szCs w:val="22"/>
          <w:lang w:val="es-ES"/>
        </w:rPr>
        <w:t>472</w:t>
      </w:r>
      <w:r w:rsidRPr="00C3607E">
        <w:rPr>
          <w:rFonts w:ascii="Arial" w:hAnsi="Arial" w:cs="Arial"/>
          <w:sz w:val="22"/>
          <w:szCs w:val="22"/>
          <w:lang w:val="es-ES"/>
        </w:rPr>
        <w:t xml:space="preserve"> </w:t>
      </w:r>
      <w:r w:rsidR="000C2F0D" w:rsidRPr="00A8655B">
        <w:rPr>
          <w:rFonts w:ascii="Arial" w:hAnsi="Arial" w:cs="Arial"/>
          <w:sz w:val="22"/>
          <w:szCs w:val="22"/>
          <w:lang w:val="es-ES_tradnl"/>
        </w:rPr>
        <w:t>M</w:t>
      </w:r>
      <w:r w:rsidR="000C2F0D">
        <w:rPr>
          <w:rFonts w:ascii="Arial" w:hAnsi="Arial" w:cs="Arial"/>
          <w:sz w:val="22"/>
          <w:szCs w:val="22"/>
          <w:lang w:val="es-ES_tradnl"/>
        </w:rPr>
        <w:t>i</w:t>
      </w:r>
      <w:r w:rsidR="000C2F0D" w:rsidRPr="00A8655B">
        <w:rPr>
          <w:rFonts w:ascii="Arial" w:hAnsi="Arial" w:cs="Arial"/>
          <w:sz w:val="22"/>
          <w:szCs w:val="22"/>
          <w:lang w:val="es-ES_tradnl"/>
        </w:rPr>
        <w:t>P</w:t>
      </w:r>
      <w:r w:rsidR="000C2F0D">
        <w:rPr>
          <w:rFonts w:ascii="Arial" w:hAnsi="Arial" w:cs="Arial"/>
          <w:sz w:val="22"/>
          <w:szCs w:val="22"/>
          <w:lang w:val="es-ES_tradnl"/>
        </w:rPr>
        <w:t>y</w:t>
      </w:r>
      <w:r w:rsidR="000C2F0D" w:rsidRPr="00A8655B">
        <w:rPr>
          <w:rFonts w:ascii="Arial" w:hAnsi="Arial" w:cs="Arial"/>
          <w:sz w:val="22"/>
          <w:szCs w:val="22"/>
          <w:lang w:val="es-ES_tradnl"/>
        </w:rPr>
        <w:t>ME</w:t>
      </w:r>
      <w:r w:rsidR="009A4DE6">
        <w:rPr>
          <w:rFonts w:ascii="Arial" w:hAnsi="Arial" w:cs="Arial"/>
          <w:sz w:val="22"/>
          <w:szCs w:val="22"/>
          <w:lang w:val="es-ES"/>
        </w:rPr>
        <w:t>,</w:t>
      </w:r>
      <w:r w:rsidR="009A4DE6" w:rsidRPr="00095785">
        <w:rPr>
          <w:rFonts w:ascii="Arial" w:eastAsia="Arial" w:hAnsi="Arial" w:cs="Arial"/>
          <w:sz w:val="22"/>
          <w:szCs w:val="22"/>
          <w:lang w:val="es-ES_tradnl"/>
        </w:rPr>
        <w:t xml:space="preserve"> sujeto a la demanda que se presente</w:t>
      </w:r>
      <w:r w:rsidRPr="00C3607E">
        <w:rPr>
          <w:rFonts w:ascii="Arial" w:hAnsi="Arial" w:cs="Arial"/>
          <w:sz w:val="22"/>
          <w:szCs w:val="22"/>
          <w:lang w:val="es-ES"/>
        </w:rPr>
        <w:t>.</w:t>
      </w:r>
    </w:p>
    <w:bookmarkEnd w:id="1"/>
    <w:p w14:paraId="523853E9" w14:textId="317307FA" w:rsidR="007116B2" w:rsidRPr="00C3607E" w:rsidRDefault="00F8529B" w:rsidP="007116B2">
      <w:pPr>
        <w:pStyle w:val="Paragraph"/>
        <w:numPr>
          <w:ilvl w:val="1"/>
          <w:numId w:val="4"/>
        </w:numPr>
        <w:ind w:left="630" w:hanging="630"/>
        <w:rPr>
          <w:rFonts w:ascii="Arial" w:hAnsi="Arial" w:cs="Arial"/>
          <w:sz w:val="22"/>
          <w:szCs w:val="22"/>
          <w:lang w:val="es-ES_tradnl"/>
        </w:rPr>
      </w:pPr>
      <w:r w:rsidRPr="00C3607E">
        <w:rPr>
          <w:rFonts w:ascii="Arial" w:hAnsi="Arial" w:cs="Arial"/>
          <w:b/>
          <w:bCs/>
          <w:sz w:val="22"/>
          <w:szCs w:val="22"/>
          <w:lang w:val="es-ES_tradnl"/>
        </w:rPr>
        <w:t xml:space="preserve">Organismo </w:t>
      </w:r>
      <w:r w:rsidR="000C2F0D">
        <w:rPr>
          <w:rFonts w:ascii="Arial" w:hAnsi="Arial" w:cs="Arial"/>
          <w:b/>
          <w:bCs/>
          <w:sz w:val="22"/>
          <w:szCs w:val="22"/>
          <w:lang w:val="es-ES_tradnl"/>
        </w:rPr>
        <w:t>E</w:t>
      </w:r>
      <w:r w:rsidRPr="00C3607E">
        <w:rPr>
          <w:rFonts w:ascii="Arial" w:hAnsi="Arial" w:cs="Arial"/>
          <w:b/>
          <w:bCs/>
          <w:sz w:val="22"/>
          <w:szCs w:val="22"/>
          <w:lang w:val="es-ES_tradnl"/>
        </w:rPr>
        <w:t>jecutor</w:t>
      </w:r>
      <w:r w:rsidRPr="000C2F0D">
        <w:rPr>
          <w:rFonts w:ascii="Arial" w:hAnsi="Arial" w:cs="Arial"/>
          <w:b/>
          <w:bCs/>
          <w:sz w:val="22"/>
          <w:szCs w:val="22"/>
          <w:lang w:val="es-ES_tradnl"/>
        </w:rPr>
        <w:t>.</w:t>
      </w:r>
      <w:r w:rsidRPr="00C3607E">
        <w:rPr>
          <w:rFonts w:ascii="Arial" w:hAnsi="Arial" w:cs="Arial"/>
          <w:sz w:val="22"/>
          <w:szCs w:val="22"/>
          <w:lang w:val="es-ES_tradnl"/>
        </w:rPr>
        <w:t xml:space="preserve"> El </w:t>
      </w:r>
      <w:r w:rsidR="000C2F0D">
        <w:rPr>
          <w:rFonts w:ascii="Arial" w:hAnsi="Arial" w:cs="Arial"/>
          <w:sz w:val="22"/>
          <w:szCs w:val="22"/>
          <w:lang w:val="es-ES_tradnl"/>
        </w:rPr>
        <w:t>O</w:t>
      </w:r>
      <w:r w:rsidRPr="00C3607E">
        <w:rPr>
          <w:rFonts w:ascii="Arial" w:hAnsi="Arial" w:cs="Arial"/>
          <w:sz w:val="22"/>
          <w:szCs w:val="22"/>
          <w:lang w:val="es-ES_tradnl"/>
        </w:rPr>
        <w:t xml:space="preserve">rganismo </w:t>
      </w:r>
      <w:r w:rsidR="000C2F0D">
        <w:rPr>
          <w:rFonts w:ascii="Arial" w:hAnsi="Arial" w:cs="Arial"/>
          <w:sz w:val="22"/>
          <w:szCs w:val="22"/>
          <w:lang w:val="es-ES_tradnl"/>
        </w:rPr>
        <w:t>E</w:t>
      </w:r>
      <w:r w:rsidRPr="00C3607E">
        <w:rPr>
          <w:rFonts w:ascii="Arial" w:hAnsi="Arial" w:cs="Arial"/>
          <w:sz w:val="22"/>
          <w:szCs w:val="22"/>
          <w:lang w:val="es-ES_tradnl"/>
        </w:rPr>
        <w:t xml:space="preserve">jecutor </w:t>
      </w:r>
      <w:r w:rsidR="00C3607E" w:rsidRPr="00C3607E">
        <w:rPr>
          <w:rFonts w:ascii="Arial" w:hAnsi="Arial" w:cs="Arial"/>
          <w:sz w:val="22"/>
          <w:szCs w:val="22"/>
          <w:lang w:val="es-ES_tradnl"/>
        </w:rPr>
        <w:t>(</w:t>
      </w:r>
      <w:r w:rsidR="00F27BCF" w:rsidRPr="00C3607E">
        <w:rPr>
          <w:rFonts w:ascii="Arial" w:hAnsi="Arial" w:cs="Arial"/>
          <w:sz w:val="22"/>
          <w:szCs w:val="22"/>
          <w:lang w:val="es-ES_tradnl"/>
        </w:rPr>
        <w:t>OE</w:t>
      </w:r>
      <w:r w:rsidR="00C3607E" w:rsidRPr="00C3607E">
        <w:rPr>
          <w:rFonts w:ascii="Arial" w:hAnsi="Arial" w:cs="Arial"/>
          <w:sz w:val="22"/>
          <w:szCs w:val="22"/>
          <w:lang w:val="es-ES_tradnl"/>
        </w:rPr>
        <w:t>)</w:t>
      </w:r>
      <w:r w:rsidR="00F27BCF" w:rsidRPr="00C3607E">
        <w:rPr>
          <w:rFonts w:ascii="Arial" w:hAnsi="Arial" w:cs="Arial"/>
          <w:sz w:val="22"/>
          <w:szCs w:val="22"/>
          <w:lang w:val="es-ES_tradnl"/>
        </w:rPr>
        <w:t xml:space="preserve"> </w:t>
      </w:r>
      <w:r w:rsidRPr="00C3607E">
        <w:rPr>
          <w:rFonts w:ascii="Arial" w:hAnsi="Arial" w:cs="Arial"/>
          <w:sz w:val="22"/>
          <w:szCs w:val="22"/>
          <w:lang w:val="es-ES_tradnl"/>
        </w:rPr>
        <w:t>de este programa</w:t>
      </w:r>
      <w:r w:rsidR="00C3607E" w:rsidRPr="00C3607E">
        <w:rPr>
          <w:rFonts w:ascii="Arial" w:hAnsi="Arial" w:cs="Arial"/>
          <w:sz w:val="22"/>
          <w:szCs w:val="22"/>
          <w:lang w:val="es-ES_tradnl"/>
        </w:rPr>
        <w:t xml:space="preserve"> será </w:t>
      </w:r>
      <w:r w:rsidR="00853DF8" w:rsidRPr="000D6DA7">
        <w:rPr>
          <w:rFonts w:ascii="Arial" w:hAnsi="Arial" w:cs="Arial"/>
          <w:sz w:val="22"/>
          <w:szCs w:val="22"/>
          <w:lang w:val="es-ES"/>
        </w:rPr>
        <w:t>Nacional Financiera S.N.C. Institución de Banca de Desarrollo</w:t>
      </w:r>
      <w:r w:rsidR="00853DF8">
        <w:rPr>
          <w:rFonts w:ascii="Arial" w:hAnsi="Arial" w:cs="Arial"/>
          <w:sz w:val="22"/>
          <w:szCs w:val="22"/>
          <w:lang w:val="es-ES"/>
        </w:rPr>
        <w:t xml:space="preserve"> (</w:t>
      </w:r>
      <w:r w:rsidR="00853DF8" w:rsidRPr="000D6DA7">
        <w:rPr>
          <w:rFonts w:ascii="Arial" w:hAnsi="Arial" w:cs="Arial"/>
          <w:sz w:val="22"/>
          <w:szCs w:val="22"/>
          <w:lang w:val="es-ES"/>
        </w:rPr>
        <w:t>NAFIN</w:t>
      </w:r>
      <w:r w:rsidR="00853DF8">
        <w:rPr>
          <w:rFonts w:ascii="Arial" w:hAnsi="Arial" w:cs="Arial"/>
          <w:sz w:val="22"/>
          <w:szCs w:val="22"/>
          <w:lang w:val="es-ES"/>
        </w:rPr>
        <w:t>)</w:t>
      </w:r>
      <w:r w:rsidR="00C3607E" w:rsidRPr="00C3607E">
        <w:rPr>
          <w:rFonts w:ascii="Arial" w:hAnsi="Arial" w:cs="Arial"/>
          <w:sz w:val="22"/>
          <w:szCs w:val="22"/>
          <w:lang w:val="es-ES_tradnl"/>
        </w:rPr>
        <w:t>. El OE llevará a cabo la administración, ejecución, control y monitoreo de los recursos de la operación.</w:t>
      </w:r>
      <w:r w:rsidR="00F40584" w:rsidRPr="00C3607E">
        <w:rPr>
          <w:rFonts w:ascii="Arial" w:hAnsi="Arial" w:cs="Arial"/>
          <w:sz w:val="22"/>
          <w:szCs w:val="22"/>
          <w:lang w:val="es-ES_tradnl"/>
        </w:rPr>
        <w:t xml:space="preserve"> </w:t>
      </w:r>
      <w:r w:rsidR="00F40584" w:rsidRPr="00C3607E">
        <w:rPr>
          <w:rFonts w:ascii="Arial" w:eastAsia="Arial" w:hAnsi="Arial" w:cs="Arial"/>
          <w:sz w:val="22"/>
          <w:szCs w:val="22"/>
          <w:lang w:val="es-ES"/>
        </w:rPr>
        <w:t>El OE será el responsable del mantenimiento de los sistemas de recopilación de datos y seguimiento y evaluación de todos los componentes, sobre la base del cual preparará los informes y datos que remitirán al Banco. Para efectos de la evaluación, el OE recopilará, almacenará y mantendrá consigo toda la información, indicadores y parámetros, incluyendo los planes anuales, y la evaluación final, necesarios para la elaboración del Informe de Terminación de Proyecto (PCR</w:t>
      </w:r>
      <w:r w:rsidR="00F27BCF" w:rsidRPr="00C3607E">
        <w:rPr>
          <w:rFonts w:ascii="Arial" w:eastAsia="Arial" w:hAnsi="Arial" w:cs="Arial"/>
          <w:sz w:val="22"/>
          <w:szCs w:val="22"/>
          <w:lang w:val="es-ES"/>
        </w:rPr>
        <w:t>, por sus siglas en inglés</w:t>
      </w:r>
      <w:r w:rsidR="00F40584" w:rsidRPr="00C3607E">
        <w:rPr>
          <w:rFonts w:ascii="Arial" w:eastAsia="Arial" w:hAnsi="Arial" w:cs="Arial"/>
          <w:sz w:val="22"/>
          <w:szCs w:val="22"/>
          <w:lang w:val="es-ES"/>
        </w:rPr>
        <w:t>)</w:t>
      </w:r>
      <w:r w:rsidR="00B1754F">
        <w:rPr>
          <w:rFonts w:ascii="Arial" w:eastAsia="Arial" w:hAnsi="Arial" w:cs="Arial"/>
          <w:sz w:val="22"/>
          <w:szCs w:val="22"/>
          <w:lang w:val="es-ES"/>
        </w:rPr>
        <w:t>, a ser realizado por el BID</w:t>
      </w:r>
      <w:r w:rsidR="00F40584" w:rsidRPr="00C3607E">
        <w:rPr>
          <w:rFonts w:ascii="Arial" w:eastAsia="Arial" w:hAnsi="Arial" w:cs="Arial"/>
          <w:sz w:val="22"/>
          <w:szCs w:val="22"/>
          <w:lang w:val="es-ES"/>
        </w:rPr>
        <w:t>.</w:t>
      </w:r>
    </w:p>
    <w:p w14:paraId="03FE8F1D" w14:textId="50CAEC1E" w:rsidR="00F40584" w:rsidRPr="00F40584" w:rsidRDefault="00F40584" w:rsidP="007116B2">
      <w:pPr>
        <w:pStyle w:val="Paragraph"/>
        <w:numPr>
          <w:ilvl w:val="1"/>
          <w:numId w:val="4"/>
        </w:numPr>
        <w:ind w:left="630" w:hanging="630"/>
        <w:rPr>
          <w:rFonts w:ascii="Arial" w:hAnsi="Arial" w:cs="Arial"/>
          <w:sz w:val="22"/>
          <w:szCs w:val="22"/>
          <w:lang w:val="es-ES_tradnl"/>
        </w:rPr>
      </w:pPr>
      <w:r w:rsidRPr="00F40584">
        <w:rPr>
          <w:rFonts w:ascii="Arial" w:hAnsi="Arial" w:cs="Arial"/>
          <w:color w:val="000000"/>
          <w:sz w:val="22"/>
          <w:szCs w:val="22"/>
          <w:lang w:val="es-ES"/>
        </w:rPr>
        <w:t>El presente document</w:t>
      </w:r>
      <w:r w:rsidR="00F73DDD">
        <w:rPr>
          <w:rFonts w:ascii="Arial" w:hAnsi="Arial" w:cs="Arial"/>
          <w:color w:val="000000"/>
          <w:sz w:val="22"/>
          <w:szCs w:val="22"/>
          <w:lang w:val="es-ES"/>
        </w:rPr>
        <w:t>o</w:t>
      </w:r>
      <w:r w:rsidRPr="00F40584">
        <w:rPr>
          <w:rFonts w:ascii="Arial" w:hAnsi="Arial" w:cs="Arial"/>
          <w:color w:val="000000"/>
          <w:sz w:val="22"/>
          <w:szCs w:val="22"/>
          <w:lang w:val="es-ES"/>
        </w:rPr>
        <w:t xml:space="preserve"> presenta el plan de monitoreo y evaluación del </w:t>
      </w:r>
      <w:r w:rsidR="00853DF8">
        <w:rPr>
          <w:rFonts w:ascii="Arial" w:hAnsi="Arial" w:cs="Arial"/>
          <w:color w:val="000000"/>
          <w:sz w:val="22"/>
          <w:szCs w:val="22"/>
          <w:lang w:val="es-ES"/>
        </w:rPr>
        <w:t>p</w:t>
      </w:r>
      <w:r w:rsidRPr="00F40584">
        <w:rPr>
          <w:rFonts w:ascii="Arial" w:hAnsi="Arial" w:cs="Arial"/>
          <w:color w:val="000000"/>
          <w:sz w:val="22"/>
          <w:szCs w:val="22"/>
          <w:lang w:val="es-ES"/>
        </w:rPr>
        <w:t xml:space="preserve">rograma y cuenta con dos secciones, además de esta sección introductoria. La </w:t>
      </w:r>
      <w:r w:rsidR="00853DF8">
        <w:rPr>
          <w:rFonts w:ascii="Arial" w:hAnsi="Arial" w:cs="Arial"/>
          <w:color w:val="000000"/>
          <w:sz w:val="22"/>
          <w:szCs w:val="22"/>
          <w:lang w:val="es-ES"/>
        </w:rPr>
        <w:t>S</w:t>
      </w:r>
      <w:r w:rsidRPr="00F40584">
        <w:rPr>
          <w:rFonts w:ascii="Arial" w:hAnsi="Arial" w:cs="Arial"/>
          <w:color w:val="000000"/>
          <w:sz w:val="22"/>
          <w:szCs w:val="22"/>
          <w:lang w:val="es-ES"/>
        </w:rPr>
        <w:t>ección</w:t>
      </w:r>
      <w:r>
        <w:rPr>
          <w:rFonts w:ascii="Arial" w:hAnsi="Arial" w:cs="Arial"/>
          <w:color w:val="000000"/>
          <w:sz w:val="22"/>
          <w:szCs w:val="22"/>
          <w:lang w:val="es-ES"/>
        </w:rPr>
        <w:t xml:space="preserve"> II</w:t>
      </w:r>
      <w:r w:rsidRPr="00F40584">
        <w:rPr>
          <w:rFonts w:ascii="Arial" w:hAnsi="Arial" w:cs="Arial"/>
          <w:color w:val="000000"/>
          <w:sz w:val="22"/>
          <w:szCs w:val="22"/>
          <w:lang w:val="es-ES"/>
        </w:rPr>
        <w:t xml:space="preserve"> se refiere al monitoreo del programa, </w:t>
      </w:r>
      <w:r>
        <w:rPr>
          <w:rFonts w:ascii="Arial" w:hAnsi="Arial" w:cs="Arial"/>
          <w:color w:val="000000"/>
          <w:sz w:val="22"/>
          <w:szCs w:val="22"/>
          <w:lang w:val="es-ES"/>
        </w:rPr>
        <w:t xml:space="preserve">indicando los compromisos de información y reporte necesarios para el seguimiento </w:t>
      </w:r>
      <w:r w:rsidR="00855419">
        <w:rPr>
          <w:rFonts w:ascii="Arial" w:hAnsi="Arial" w:cs="Arial"/>
          <w:color w:val="000000"/>
          <w:sz w:val="22"/>
          <w:szCs w:val="22"/>
          <w:lang w:val="es-ES"/>
        </w:rPr>
        <w:t>de este</w:t>
      </w:r>
      <w:r w:rsidR="008521B3">
        <w:rPr>
          <w:rFonts w:ascii="Arial" w:hAnsi="Arial" w:cs="Arial"/>
          <w:color w:val="000000"/>
          <w:sz w:val="22"/>
          <w:szCs w:val="22"/>
          <w:lang w:val="es-ES"/>
        </w:rPr>
        <w:t xml:space="preserve"> y los recursos estimados a tales efectos</w:t>
      </w:r>
      <w:r>
        <w:rPr>
          <w:rFonts w:ascii="Arial" w:hAnsi="Arial" w:cs="Arial"/>
          <w:color w:val="000000"/>
          <w:sz w:val="22"/>
          <w:szCs w:val="22"/>
          <w:lang w:val="es-ES"/>
        </w:rPr>
        <w:t xml:space="preserve">. </w:t>
      </w:r>
      <w:r w:rsidRPr="00F40584">
        <w:rPr>
          <w:rFonts w:ascii="Arial" w:hAnsi="Arial" w:cs="Arial"/>
          <w:color w:val="000000"/>
          <w:sz w:val="22"/>
          <w:szCs w:val="22"/>
          <w:lang w:val="es-ES"/>
        </w:rPr>
        <w:t xml:space="preserve">La </w:t>
      </w:r>
      <w:r w:rsidR="00853DF8">
        <w:rPr>
          <w:rFonts w:ascii="Arial" w:hAnsi="Arial" w:cs="Arial"/>
          <w:color w:val="000000"/>
          <w:sz w:val="22"/>
          <w:szCs w:val="22"/>
          <w:lang w:val="es-ES"/>
        </w:rPr>
        <w:t>S</w:t>
      </w:r>
      <w:r w:rsidRPr="00F40584">
        <w:rPr>
          <w:rFonts w:ascii="Arial" w:hAnsi="Arial" w:cs="Arial"/>
          <w:color w:val="000000"/>
          <w:sz w:val="22"/>
          <w:szCs w:val="22"/>
          <w:lang w:val="es-ES"/>
        </w:rPr>
        <w:t>ección</w:t>
      </w:r>
      <w:r>
        <w:rPr>
          <w:rFonts w:ascii="Arial" w:hAnsi="Arial" w:cs="Arial"/>
          <w:color w:val="000000"/>
          <w:sz w:val="22"/>
          <w:szCs w:val="22"/>
          <w:lang w:val="es-ES"/>
        </w:rPr>
        <w:t xml:space="preserve"> III</w:t>
      </w:r>
      <w:r w:rsidR="00855419">
        <w:rPr>
          <w:rFonts w:ascii="Arial" w:hAnsi="Arial" w:cs="Arial"/>
          <w:color w:val="000000"/>
          <w:sz w:val="22"/>
          <w:szCs w:val="22"/>
          <w:lang w:val="es-ES"/>
        </w:rPr>
        <w:t> </w:t>
      </w:r>
      <w:r w:rsidRPr="00F40584">
        <w:rPr>
          <w:rFonts w:ascii="Arial" w:hAnsi="Arial" w:cs="Arial"/>
          <w:color w:val="000000"/>
          <w:sz w:val="22"/>
          <w:szCs w:val="22"/>
          <w:lang w:val="es-ES"/>
        </w:rPr>
        <w:t>presenta la estrategia de evaluación del Programa</w:t>
      </w:r>
      <w:r w:rsidR="008521B3">
        <w:rPr>
          <w:rFonts w:ascii="Arial" w:hAnsi="Arial" w:cs="Arial"/>
          <w:color w:val="000000"/>
          <w:sz w:val="22"/>
          <w:szCs w:val="22"/>
          <w:lang w:val="es-ES"/>
        </w:rPr>
        <w:t xml:space="preserve"> y el cronograma y presupuesto de la misma</w:t>
      </w:r>
      <w:r w:rsidRPr="00F40584">
        <w:rPr>
          <w:rFonts w:ascii="Arial" w:hAnsi="Arial" w:cs="Arial"/>
          <w:color w:val="000000"/>
          <w:sz w:val="22"/>
          <w:szCs w:val="22"/>
          <w:lang w:val="es-ES"/>
        </w:rPr>
        <w:t xml:space="preserve">. </w:t>
      </w:r>
    </w:p>
    <w:p w14:paraId="0DB06960" w14:textId="77777777" w:rsidR="007116B2" w:rsidRPr="001F731F" w:rsidRDefault="007116B2" w:rsidP="007116B2">
      <w:pPr>
        <w:pStyle w:val="Chapter"/>
        <w:rPr>
          <w:rFonts w:ascii="Arial" w:hAnsi="Arial" w:cs="Arial"/>
          <w:sz w:val="22"/>
          <w:szCs w:val="22"/>
          <w:lang w:val="es-ES_tradnl"/>
        </w:rPr>
      </w:pPr>
      <w:bookmarkStart w:id="8" w:name="_Toc43286368"/>
      <w:bookmarkStart w:id="9" w:name="_Toc352756752"/>
      <w:r w:rsidRPr="001F731F">
        <w:rPr>
          <w:rFonts w:ascii="Arial" w:hAnsi="Arial" w:cs="Arial"/>
          <w:sz w:val="22"/>
          <w:szCs w:val="22"/>
          <w:lang w:val="es-ES_tradnl"/>
        </w:rPr>
        <w:t>Monitoreo</w:t>
      </w:r>
      <w:bookmarkEnd w:id="8"/>
    </w:p>
    <w:p w14:paraId="43C747F0" w14:textId="42CF7F39" w:rsidR="007116B2" w:rsidRPr="001F731F" w:rsidRDefault="007116B2" w:rsidP="007116B2">
      <w:pPr>
        <w:pStyle w:val="Paragraph"/>
        <w:numPr>
          <w:ilvl w:val="1"/>
          <w:numId w:val="5"/>
        </w:numPr>
        <w:ind w:left="630" w:hanging="630"/>
        <w:rPr>
          <w:rFonts w:ascii="Arial" w:hAnsi="Arial" w:cs="Arial"/>
          <w:sz w:val="22"/>
          <w:szCs w:val="22"/>
          <w:lang w:val="es-ES_tradnl"/>
        </w:rPr>
      </w:pPr>
      <w:r w:rsidRPr="001F731F">
        <w:rPr>
          <w:rFonts w:ascii="Arial" w:hAnsi="Arial" w:cs="Arial"/>
          <w:sz w:val="22"/>
          <w:szCs w:val="22"/>
          <w:lang w:val="es-ES_tradnl"/>
        </w:rPr>
        <w:t xml:space="preserve">El objetivo de esta sección es describir el proceso de seguimiento que se aplicará a lo largo de la ejecución del programa para garantizar su correcto desarrollo y adecuada utilización de los recursos. </w:t>
      </w:r>
      <w:r w:rsidR="00095785">
        <w:rPr>
          <w:rFonts w:ascii="Arial" w:hAnsi="Arial" w:cs="Arial"/>
          <w:sz w:val="22"/>
          <w:szCs w:val="22"/>
          <w:lang w:val="es-ES_tradnl"/>
        </w:rPr>
        <w:t>NAFIN</w:t>
      </w:r>
      <w:r w:rsidR="00AC3A5A">
        <w:rPr>
          <w:rFonts w:ascii="Arial" w:hAnsi="Arial" w:cs="Arial"/>
          <w:sz w:val="22"/>
          <w:szCs w:val="22"/>
          <w:lang w:val="es-ES_tradnl"/>
        </w:rPr>
        <w:t xml:space="preserve"> </w:t>
      </w:r>
      <w:r w:rsidRPr="001F731F">
        <w:rPr>
          <w:rFonts w:ascii="Arial" w:hAnsi="Arial" w:cs="Arial"/>
          <w:sz w:val="22"/>
          <w:szCs w:val="22"/>
          <w:lang w:val="es-ES_tradnl"/>
        </w:rPr>
        <w:t xml:space="preserve">el responsable de realizar el monitoreo del programa. </w:t>
      </w:r>
    </w:p>
    <w:p w14:paraId="4F1FA7A4" w14:textId="77777777" w:rsidR="007116B2" w:rsidRPr="001F731F" w:rsidRDefault="007116B2" w:rsidP="007116B2">
      <w:pPr>
        <w:pStyle w:val="SecHeading"/>
        <w:tabs>
          <w:tab w:val="clear" w:pos="5400"/>
          <w:tab w:val="num" w:pos="1260"/>
        </w:tabs>
        <w:ind w:hanging="4680"/>
        <w:rPr>
          <w:rFonts w:ascii="Arial" w:hAnsi="Arial" w:cs="Arial"/>
          <w:color w:val="auto"/>
          <w:sz w:val="22"/>
          <w:szCs w:val="22"/>
        </w:rPr>
      </w:pPr>
      <w:bookmarkStart w:id="10" w:name="_Toc352756753"/>
      <w:bookmarkStart w:id="11" w:name="_Toc43286369"/>
      <w:r w:rsidRPr="001F731F">
        <w:rPr>
          <w:rFonts w:ascii="Arial" w:hAnsi="Arial" w:cs="Arial"/>
          <w:color w:val="auto"/>
          <w:sz w:val="22"/>
          <w:szCs w:val="22"/>
        </w:rPr>
        <w:t>Indicadores</w:t>
      </w:r>
      <w:bookmarkEnd w:id="10"/>
      <w:bookmarkEnd w:id="11"/>
      <w:r w:rsidRPr="001F731F">
        <w:rPr>
          <w:rFonts w:ascii="Arial" w:hAnsi="Arial" w:cs="Arial"/>
          <w:color w:val="auto"/>
          <w:sz w:val="22"/>
          <w:szCs w:val="22"/>
        </w:rPr>
        <w:t xml:space="preserve"> </w:t>
      </w:r>
    </w:p>
    <w:p w14:paraId="0C6F162C" w14:textId="13BB3375" w:rsidR="007116B2" w:rsidRPr="001F731F" w:rsidRDefault="007116B2" w:rsidP="007116B2">
      <w:pPr>
        <w:pStyle w:val="Paragraph"/>
        <w:numPr>
          <w:ilvl w:val="1"/>
          <w:numId w:val="5"/>
        </w:numPr>
        <w:ind w:left="630" w:hanging="630"/>
        <w:rPr>
          <w:rFonts w:ascii="Arial" w:hAnsi="Arial" w:cs="Arial"/>
          <w:sz w:val="22"/>
          <w:szCs w:val="22"/>
          <w:lang w:val="es-ES_tradnl"/>
        </w:rPr>
      </w:pPr>
      <w:r w:rsidRPr="001F731F">
        <w:rPr>
          <w:rFonts w:ascii="Arial" w:hAnsi="Arial" w:cs="Arial"/>
          <w:sz w:val="22"/>
          <w:szCs w:val="22"/>
          <w:lang w:val="es-ES_tradnl"/>
        </w:rPr>
        <w:t>Los indicadores que serán monitoreados y registrados en el Informe de Seguimiento del Proyecto (PMR</w:t>
      </w:r>
      <w:r w:rsidRPr="001F731F">
        <w:rPr>
          <w:rFonts w:ascii="Arial" w:hAnsi="Arial" w:cs="Arial"/>
          <w:sz w:val="22"/>
          <w:szCs w:val="22"/>
          <w:vertAlign w:val="superscript"/>
          <w:lang w:val="es-ES_tradnl"/>
        </w:rPr>
        <w:footnoteReference w:id="20"/>
      </w:r>
      <w:r w:rsidRPr="001F731F">
        <w:rPr>
          <w:rFonts w:ascii="Arial" w:hAnsi="Arial" w:cs="Arial"/>
          <w:sz w:val="22"/>
          <w:szCs w:val="22"/>
          <w:lang w:val="es-ES_tradnl"/>
        </w:rPr>
        <w:t xml:space="preserve">) se encuentran descritos en la Matriz de Resultados </w:t>
      </w:r>
      <w:r w:rsidR="00FD6D8A">
        <w:rPr>
          <w:rFonts w:ascii="Arial" w:hAnsi="Arial" w:cs="Arial"/>
          <w:sz w:val="22"/>
          <w:szCs w:val="22"/>
          <w:lang w:val="es-ES_tradnl"/>
        </w:rPr>
        <w:t xml:space="preserve">(Anexo II) </w:t>
      </w:r>
      <w:r w:rsidRPr="001F731F">
        <w:rPr>
          <w:rFonts w:ascii="Arial" w:hAnsi="Arial" w:cs="Arial"/>
          <w:sz w:val="22"/>
          <w:szCs w:val="22"/>
          <w:lang w:val="es-ES_tradnl"/>
        </w:rPr>
        <w:t xml:space="preserve">del </w:t>
      </w:r>
      <w:r w:rsidR="00FD6D8A">
        <w:rPr>
          <w:rFonts w:ascii="Arial" w:hAnsi="Arial" w:cs="Arial"/>
          <w:sz w:val="22"/>
          <w:szCs w:val="22"/>
          <w:lang w:val="es-ES_tradnl"/>
        </w:rPr>
        <w:t>p</w:t>
      </w:r>
      <w:r w:rsidRPr="001F731F">
        <w:rPr>
          <w:rFonts w:ascii="Arial" w:hAnsi="Arial" w:cs="Arial"/>
          <w:sz w:val="22"/>
          <w:szCs w:val="22"/>
          <w:lang w:val="es-ES_tradnl"/>
        </w:rPr>
        <w:t>rograma</w:t>
      </w:r>
      <w:r w:rsidRPr="001F731F">
        <w:rPr>
          <w:rFonts w:ascii="Arial" w:hAnsi="Arial" w:cs="Arial"/>
          <w:sz w:val="22"/>
          <w:szCs w:val="22"/>
          <w:vertAlign w:val="superscript"/>
          <w:lang w:val="es-ES_tradnl"/>
        </w:rPr>
        <w:footnoteReference w:id="21"/>
      </w:r>
      <w:r w:rsidRPr="001F731F">
        <w:rPr>
          <w:rFonts w:ascii="Arial" w:hAnsi="Arial" w:cs="Arial"/>
          <w:sz w:val="22"/>
          <w:szCs w:val="22"/>
          <w:lang w:val="es-ES_tradnl"/>
        </w:rPr>
        <w:t xml:space="preserve"> acordada con </w:t>
      </w:r>
      <w:r w:rsidR="00095785">
        <w:rPr>
          <w:rFonts w:ascii="Arial" w:hAnsi="Arial" w:cs="Arial"/>
          <w:sz w:val="22"/>
          <w:szCs w:val="22"/>
          <w:lang w:val="es-ES_tradnl"/>
        </w:rPr>
        <w:t>NAFIN</w:t>
      </w:r>
      <w:r w:rsidRPr="001F731F">
        <w:rPr>
          <w:rFonts w:ascii="Arial" w:hAnsi="Arial" w:cs="Arial"/>
          <w:sz w:val="22"/>
          <w:szCs w:val="22"/>
          <w:lang w:val="es-ES_tradnl"/>
        </w:rPr>
        <w:t>.</w:t>
      </w:r>
    </w:p>
    <w:p w14:paraId="1CB2566D" w14:textId="3557BD67" w:rsidR="007116B2" w:rsidRPr="001F731F" w:rsidRDefault="007116B2" w:rsidP="007116B2">
      <w:pPr>
        <w:pStyle w:val="Paragraph"/>
        <w:numPr>
          <w:ilvl w:val="1"/>
          <w:numId w:val="5"/>
        </w:numPr>
        <w:ind w:left="630" w:hanging="630"/>
        <w:rPr>
          <w:rFonts w:ascii="Arial" w:hAnsi="Arial" w:cs="Arial"/>
          <w:sz w:val="22"/>
          <w:szCs w:val="22"/>
          <w:lang w:val="es-ES_tradnl"/>
        </w:rPr>
      </w:pPr>
      <w:r w:rsidRPr="001F731F">
        <w:rPr>
          <w:rFonts w:ascii="Arial" w:hAnsi="Arial" w:cs="Arial"/>
          <w:sz w:val="22"/>
          <w:szCs w:val="22"/>
          <w:lang w:val="es-ES_tradnl"/>
        </w:rPr>
        <w:lastRenderedPageBreak/>
        <w:t xml:space="preserve">El monitoreo tendrá una frecuencia semestral y será actualizado en el Informe de Monitoreo y en el PMR del </w:t>
      </w:r>
      <w:r w:rsidR="00FD6D8A">
        <w:rPr>
          <w:rFonts w:ascii="Arial" w:hAnsi="Arial" w:cs="Arial"/>
          <w:sz w:val="22"/>
          <w:szCs w:val="22"/>
          <w:lang w:val="es-ES_tradnl"/>
        </w:rPr>
        <w:t>p</w:t>
      </w:r>
      <w:r w:rsidRPr="001F731F">
        <w:rPr>
          <w:rFonts w:ascii="Arial" w:hAnsi="Arial" w:cs="Arial"/>
          <w:sz w:val="22"/>
          <w:szCs w:val="22"/>
          <w:lang w:val="es-ES_tradnl"/>
        </w:rPr>
        <w:t>rograma. El Cuadro 1 muestra los indicadores que recibirán seguimiento y la frecuencia de medición.</w:t>
      </w:r>
    </w:p>
    <w:p w14:paraId="00AA4F2B" w14:textId="65301D8B" w:rsidR="007116B2" w:rsidRPr="00FD6D8A" w:rsidRDefault="00614B51" w:rsidP="00825050">
      <w:pPr>
        <w:spacing w:after="160" w:line="259" w:lineRule="auto"/>
        <w:jc w:val="center"/>
        <w:rPr>
          <w:rFonts w:ascii="Arial" w:hAnsi="Arial" w:cs="Arial"/>
          <w:b/>
          <w:sz w:val="18"/>
          <w:szCs w:val="18"/>
          <w:lang w:val="es-ES_tradnl"/>
        </w:rPr>
      </w:pPr>
      <w:r w:rsidRPr="00FD6D8A">
        <w:rPr>
          <w:rFonts w:ascii="Arial" w:hAnsi="Arial" w:cs="Arial"/>
          <w:b/>
          <w:sz w:val="18"/>
          <w:szCs w:val="18"/>
          <w:lang w:val="es-ES_tradnl"/>
        </w:rPr>
        <w:t>Cuadro</w:t>
      </w:r>
      <w:r w:rsidR="007116B2" w:rsidRPr="00FD6D8A">
        <w:rPr>
          <w:rFonts w:ascii="Arial" w:hAnsi="Arial" w:cs="Arial"/>
          <w:b/>
          <w:sz w:val="18"/>
          <w:szCs w:val="18"/>
          <w:lang w:val="es-ES_tradnl"/>
        </w:rPr>
        <w:t xml:space="preserve"> 1. Indicadores de Monitoreo</w:t>
      </w:r>
    </w:p>
    <w:tbl>
      <w:tblPr>
        <w:tblW w:w="9299" w:type="dxa"/>
        <w:jc w:val="center"/>
        <w:tblCellMar>
          <w:left w:w="70" w:type="dxa"/>
          <w:right w:w="70" w:type="dxa"/>
        </w:tblCellMar>
        <w:tblLook w:val="04A0" w:firstRow="1" w:lastRow="0" w:firstColumn="1" w:lastColumn="0" w:noHBand="0" w:noVBand="1"/>
      </w:tblPr>
      <w:tblGrid>
        <w:gridCol w:w="1975"/>
        <w:gridCol w:w="1170"/>
        <w:gridCol w:w="1800"/>
        <w:gridCol w:w="4354"/>
      </w:tblGrid>
      <w:tr w:rsidR="007116B2" w:rsidRPr="001F731F" w14:paraId="5379DDA4" w14:textId="77777777" w:rsidTr="000571BD">
        <w:trPr>
          <w:trHeight w:val="734"/>
          <w:tblHeader/>
          <w:jc w:val="center"/>
        </w:trPr>
        <w:tc>
          <w:tcPr>
            <w:tcW w:w="1975"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20ABE79C" w14:textId="77777777" w:rsidR="007116B2" w:rsidRPr="001F731F" w:rsidRDefault="007116B2" w:rsidP="00454CB5">
            <w:pPr>
              <w:spacing w:after="0" w:line="240" w:lineRule="auto"/>
              <w:jc w:val="center"/>
              <w:rPr>
                <w:rFonts w:ascii="Arial" w:eastAsia="Times New Roman" w:hAnsi="Arial" w:cs="Arial"/>
                <w:b/>
                <w:bCs/>
                <w:color w:val="000000"/>
                <w:sz w:val="20"/>
                <w:szCs w:val="18"/>
                <w:lang w:val="es-ES_tradnl" w:eastAsia="es-ES"/>
              </w:rPr>
            </w:pPr>
            <w:r w:rsidRPr="001F731F">
              <w:rPr>
                <w:rFonts w:ascii="Arial" w:eastAsia="Times New Roman" w:hAnsi="Arial" w:cs="Arial"/>
                <w:b/>
                <w:bCs/>
                <w:color w:val="000000"/>
                <w:sz w:val="20"/>
                <w:szCs w:val="18"/>
                <w:lang w:val="es-ES_tradnl" w:eastAsia="es-ES"/>
              </w:rPr>
              <w:t>Indicador</w:t>
            </w:r>
          </w:p>
        </w:tc>
        <w:tc>
          <w:tcPr>
            <w:tcW w:w="1170"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7DE10DFB" w14:textId="77777777" w:rsidR="007116B2" w:rsidRPr="001F731F" w:rsidRDefault="007116B2" w:rsidP="00454CB5">
            <w:pPr>
              <w:spacing w:after="0" w:line="240" w:lineRule="auto"/>
              <w:jc w:val="center"/>
              <w:rPr>
                <w:rFonts w:ascii="Arial" w:eastAsia="Times New Roman" w:hAnsi="Arial" w:cs="Arial"/>
                <w:b/>
                <w:color w:val="000000"/>
                <w:sz w:val="20"/>
                <w:szCs w:val="18"/>
                <w:lang w:val="es-ES_tradnl" w:eastAsia="es-ES"/>
              </w:rPr>
            </w:pPr>
            <w:r w:rsidRPr="001F731F">
              <w:rPr>
                <w:rFonts w:ascii="Arial" w:eastAsia="Times New Roman" w:hAnsi="Arial" w:cs="Arial"/>
                <w:b/>
                <w:color w:val="000000"/>
                <w:sz w:val="20"/>
                <w:szCs w:val="18"/>
                <w:lang w:val="es-ES_tradnl" w:eastAsia="es-ES"/>
              </w:rPr>
              <w:t>Unidad de Medida</w:t>
            </w:r>
          </w:p>
        </w:tc>
        <w:tc>
          <w:tcPr>
            <w:tcW w:w="1800"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3DE2585F" w14:textId="77777777" w:rsidR="007116B2" w:rsidRPr="001F731F" w:rsidRDefault="007116B2" w:rsidP="00454CB5">
            <w:pPr>
              <w:spacing w:after="0" w:line="240" w:lineRule="auto"/>
              <w:jc w:val="center"/>
              <w:rPr>
                <w:rFonts w:ascii="Arial" w:eastAsia="Times New Roman" w:hAnsi="Arial" w:cs="Arial"/>
                <w:b/>
                <w:color w:val="000000"/>
                <w:sz w:val="20"/>
                <w:szCs w:val="18"/>
                <w:lang w:val="es-ES_tradnl" w:eastAsia="es-ES"/>
              </w:rPr>
            </w:pPr>
            <w:r w:rsidRPr="001F731F">
              <w:rPr>
                <w:rFonts w:ascii="Arial" w:eastAsia="Times New Roman" w:hAnsi="Arial" w:cs="Arial"/>
                <w:b/>
                <w:color w:val="000000"/>
                <w:sz w:val="20"/>
                <w:szCs w:val="18"/>
                <w:lang w:val="es-ES_tradnl" w:eastAsia="es-ES"/>
              </w:rPr>
              <w:t>Medio de Verificación</w:t>
            </w:r>
          </w:p>
        </w:tc>
        <w:tc>
          <w:tcPr>
            <w:tcW w:w="4354"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2F651240" w14:textId="77777777" w:rsidR="007116B2" w:rsidRPr="001F731F" w:rsidRDefault="007116B2" w:rsidP="00454CB5">
            <w:pPr>
              <w:spacing w:after="0" w:line="240" w:lineRule="auto"/>
              <w:jc w:val="center"/>
              <w:rPr>
                <w:rFonts w:ascii="Arial" w:eastAsia="Times New Roman" w:hAnsi="Arial" w:cs="Arial"/>
                <w:b/>
                <w:color w:val="000000"/>
                <w:sz w:val="20"/>
                <w:szCs w:val="18"/>
                <w:lang w:val="es-ES_tradnl" w:eastAsia="es-ES"/>
              </w:rPr>
            </w:pPr>
            <w:r w:rsidRPr="001F731F">
              <w:rPr>
                <w:rFonts w:ascii="Arial" w:eastAsia="Times New Roman" w:hAnsi="Arial" w:cs="Arial"/>
                <w:b/>
                <w:color w:val="000000"/>
                <w:sz w:val="20"/>
                <w:szCs w:val="18"/>
                <w:lang w:val="es-ES_tradnl" w:eastAsia="es-ES"/>
              </w:rPr>
              <w:t>Comentarios</w:t>
            </w:r>
          </w:p>
        </w:tc>
      </w:tr>
      <w:tr w:rsidR="00F27BCF" w:rsidRPr="001F731F" w14:paraId="51E8AB41" w14:textId="77777777" w:rsidTr="00D95B9E">
        <w:trPr>
          <w:trHeight w:val="320"/>
          <w:jc w:val="center"/>
        </w:trPr>
        <w:tc>
          <w:tcPr>
            <w:tcW w:w="9299" w:type="dxa"/>
            <w:gridSpan w:val="4"/>
            <w:tcBorders>
              <w:top w:val="single" w:sz="4" w:space="0" w:color="auto"/>
              <w:left w:val="single" w:sz="8" w:space="0" w:color="000000"/>
              <w:bottom w:val="single" w:sz="8" w:space="0" w:color="000000"/>
              <w:right w:val="single" w:sz="8" w:space="0" w:color="000000"/>
            </w:tcBorders>
            <w:shd w:val="clear" w:color="000000" w:fill="D9D9D9"/>
            <w:vAlign w:val="center"/>
            <w:hideMark/>
          </w:tcPr>
          <w:p w14:paraId="74D60773" w14:textId="063C247C" w:rsidR="00F27BCF" w:rsidRPr="001F731F" w:rsidRDefault="00F27BCF" w:rsidP="00583FF5">
            <w:pPr>
              <w:spacing w:after="0" w:line="240" w:lineRule="auto"/>
              <w:jc w:val="center"/>
              <w:rPr>
                <w:rFonts w:ascii="Arial" w:eastAsia="Times New Roman" w:hAnsi="Arial" w:cs="Arial"/>
                <w:b/>
                <w:bCs/>
                <w:color w:val="000000"/>
                <w:sz w:val="18"/>
                <w:szCs w:val="18"/>
                <w:lang w:val="es-ES_tradnl" w:eastAsia="es-ES"/>
              </w:rPr>
            </w:pPr>
            <w:r w:rsidRPr="001F731F">
              <w:rPr>
                <w:rFonts w:ascii="Arial" w:eastAsia="Times New Roman" w:hAnsi="Arial" w:cs="Arial"/>
                <w:b/>
                <w:bCs/>
                <w:color w:val="000000"/>
                <w:sz w:val="18"/>
                <w:szCs w:val="18"/>
                <w:lang w:val="es-ES_tradnl" w:eastAsia="es-ES"/>
              </w:rPr>
              <w:t xml:space="preserve">Indicadores de </w:t>
            </w:r>
            <w:r>
              <w:rPr>
                <w:rFonts w:ascii="Arial" w:eastAsia="Times New Roman" w:hAnsi="Arial" w:cs="Arial"/>
                <w:b/>
                <w:bCs/>
                <w:color w:val="000000"/>
                <w:sz w:val="18"/>
                <w:szCs w:val="18"/>
                <w:lang w:val="es-ES_tradnl" w:eastAsia="es-ES"/>
              </w:rPr>
              <w:t>Impacto</w:t>
            </w:r>
          </w:p>
        </w:tc>
      </w:tr>
      <w:tr w:rsidR="00F27BCF" w:rsidRPr="00266BBA" w14:paraId="7B02EB45" w14:textId="77777777" w:rsidTr="00D95B9E">
        <w:trPr>
          <w:trHeight w:val="320"/>
          <w:jc w:val="center"/>
        </w:trPr>
        <w:tc>
          <w:tcPr>
            <w:tcW w:w="9299" w:type="dxa"/>
            <w:gridSpan w:val="4"/>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65FECCC7" w14:textId="2BBCB103" w:rsidR="00F27BCF" w:rsidRPr="00A64B93" w:rsidRDefault="00A64B93" w:rsidP="00583FF5">
            <w:pPr>
              <w:spacing w:after="0" w:line="240" w:lineRule="auto"/>
              <w:jc w:val="both"/>
              <w:rPr>
                <w:rFonts w:ascii="Arial" w:eastAsia="Times New Roman" w:hAnsi="Arial" w:cs="Arial"/>
                <w:b/>
                <w:bCs/>
                <w:color w:val="000000"/>
                <w:sz w:val="18"/>
                <w:szCs w:val="18"/>
                <w:u w:val="single"/>
                <w:lang w:val="es-CO" w:eastAsia="es-ES"/>
              </w:rPr>
            </w:pPr>
            <w:r>
              <w:rPr>
                <w:rStyle w:val="normaltextrun"/>
                <w:rFonts w:ascii="Arial" w:hAnsi="Arial" w:cs="Arial"/>
                <w:b/>
                <w:bCs/>
                <w:caps/>
                <w:color w:val="000000"/>
                <w:sz w:val="18"/>
                <w:szCs w:val="18"/>
                <w:shd w:val="clear" w:color="auto" w:fill="FFFFFF"/>
                <w:lang w:val="es-ES"/>
              </w:rPr>
              <w:t>OBJETIVO GENERAL: A</w:t>
            </w:r>
            <w:r>
              <w:rPr>
                <w:rStyle w:val="normaltextrun"/>
                <w:rFonts w:ascii="Arial Bold" w:hAnsi="Arial Bold"/>
                <w:b/>
                <w:bCs/>
                <w:color w:val="000000"/>
                <w:sz w:val="18"/>
                <w:szCs w:val="18"/>
                <w:shd w:val="clear" w:color="auto" w:fill="FFFFFF"/>
                <w:lang w:val="es-ES"/>
              </w:rPr>
              <w:t>poyar la sostenibilidad frente a la crisis del COVID-19 de las MiPyME</w:t>
            </w:r>
            <w:r w:rsidRPr="00A64B93">
              <w:rPr>
                <w:rStyle w:val="eop"/>
                <w:rFonts w:ascii="Arial Bold" w:hAnsi="Arial Bold"/>
                <w:color w:val="000000"/>
                <w:sz w:val="18"/>
                <w:szCs w:val="18"/>
                <w:shd w:val="clear" w:color="auto" w:fill="FFFFFF"/>
                <w:lang w:val="es-CO"/>
              </w:rPr>
              <w:t> </w:t>
            </w:r>
          </w:p>
        </w:tc>
      </w:tr>
      <w:tr w:rsidR="0072599C" w:rsidRPr="00266BBA" w14:paraId="07258B26" w14:textId="77777777" w:rsidTr="00703D77">
        <w:trPr>
          <w:trHeight w:val="1320"/>
          <w:jc w:val="center"/>
        </w:trPr>
        <w:tc>
          <w:tcPr>
            <w:tcW w:w="1975" w:type="dxa"/>
            <w:tcBorders>
              <w:top w:val="single" w:sz="8" w:space="0" w:color="000000"/>
              <w:left w:val="single" w:sz="8" w:space="0" w:color="000000"/>
              <w:bottom w:val="nil"/>
              <w:right w:val="single" w:sz="8" w:space="0" w:color="000000"/>
            </w:tcBorders>
            <w:shd w:val="clear" w:color="auto" w:fill="auto"/>
            <w:hideMark/>
          </w:tcPr>
          <w:p w14:paraId="3356591B" w14:textId="10AE146D" w:rsidR="0072599C" w:rsidRPr="001F731F" w:rsidRDefault="0072599C" w:rsidP="00703D77">
            <w:pPr>
              <w:spacing w:after="0" w:line="240" w:lineRule="auto"/>
              <w:rPr>
                <w:rFonts w:ascii="Arial" w:eastAsia="Times New Roman" w:hAnsi="Arial" w:cs="Arial"/>
                <w:b/>
                <w:bCs/>
                <w:color w:val="000000"/>
                <w:sz w:val="18"/>
                <w:szCs w:val="18"/>
                <w:lang w:val="es-ES_tradnl" w:eastAsia="es-ES"/>
              </w:rPr>
            </w:pPr>
            <w:r w:rsidRPr="001F731F">
              <w:rPr>
                <w:rFonts w:ascii="Arial" w:eastAsia="Times New Roman" w:hAnsi="Arial" w:cs="Arial"/>
                <w:b/>
                <w:bCs/>
                <w:color w:val="000000"/>
                <w:sz w:val="18"/>
                <w:szCs w:val="18"/>
                <w:lang w:val="es-ES_tradnl" w:eastAsia="es-ES"/>
              </w:rPr>
              <w:t xml:space="preserve">Indicador </w:t>
            </w:r>
            <w:r w:rsidR="000057A8">
              <w:rPr>
                <w:rFonts w:ascii="Arial" w:eastAsia="Times New Roman" w:hAnsi="Arial" w:cs="Arial"/>
                <w:b/>
                <w:bCs/>
                <w:color w:val="000000"/>
                <w:sz w:val="18"/>
                <w:szCs w:val="18"/>
                <w:lang w:val="es-ES_tradnl" w:eastAsia="es-ES"/>
              </w:rPr>
              <w:t>1</w:t>
            </w:r>
            <w:r w:rsidRPr="001F731F">
              <w:rPr>
                <w:rFonts w:ascii="Arial" w:eastAsia="Times New Roman" w:hAnsi="Arial" w:cs="Arial"/>
                <w:b/>
                <w:bCs/>
                <w:color w:val="000000"/>
                <w:sz w:val="18"/>
                <w:szCs w:val="18"/>
                <w:lang w:val="es-ES_tradnl" w:eastAsia="es-ES"/>
              </w:rPr>
              <w:t>:</w:t>
            </w:r>
            <w:r w:rsidRPr="001F731F">
              <w:rPr>
                <w:rFonts w:ascii="Arial" w:eastAsia="Times New Roman" w:hAnsi="Arial" w:cs="Arial"/>
                <w:color w:val="000000"/>
                <w:sz w:val="18"/>
                <w:szCs w:val="18"/>
                <w:lang w:val="es-ES_tradnl" w:eastAsia="es-ES"/>
              </w:rPr>
              <w:t xml:space="preserve"> </w:t>
            </w:r>
            <w:r>
              <w:rPr>
                <w:rFonts w:ascii="Arial" w:hAnsi="Arial" w:cs="Arial"/>
                <w:sz w:val="18"/>
                <w:szCs w:val="18"/>
                <w:lang w:val="es-ES"/>
              </w:rPr>
              <w:t xml:space="preserve">Porcentaje del empleo </w:t>
            </w:r>
            <w:r w:rsidR="00095785">
              <w:rPr>
                <w:rFonts w:ascii="Arial" w:hAnsi="Arial" w:cs="Arial"/>
                <w:sz w:val="18"/>
                <w:szCs w:val="18"/>
                <w:lang w:val="es-ES"/>
              </w:rPr>
              <w:t xml:space="preserve">de </w:t>
            </w:r>
            <w:r w:rsidR="00703D77">
              <w:rPr>
                <w:rStyle w:val="normaltextrun"/>
                <w:rFonts w:ascii="Arial" w:hAnsi="Arial" w:cs="Arial"/>
                <w:color w:val="000000"/>
                <w:sz w:val="18"/>
                <w:szCs w:val="18"/>
                <w:bdr w:val="none" w:sz="0" w:space="0" w:color="auto" w:frame="1"/>
                <w:lang w:val="es-ES"/>
              </w:rPr>
              <w:t>MiPyME</w:t>
            </w:r>
            <w:r w:rsidR="0091179C" w:rsidRPr="0091179C">
              <w:rPr>
                <w:rFonts w:ascii="Arial" w:hAnsi="Arial" w:cs="Arial"/>
                <w:sz w:val="18"/>
                <w:szCs w:val="18"/>
                <w:lang w:val="es-ES"/>
              </w:rPr>
              <w:t xml:space="preserve"> sobre el empleo total en el país</w:t>
            </w:r>
            <w:r>
              <w:rPr>
                <w:rFonts w:ascii="Arial" w:hAnsi="Arial" w:cs="Arial"/>
                <w:bCs/>
                <w:sz w:val="18"/>
                <w:szCs w:val="18"/>
                <w:lang w:val="es-ES"/>
              </w:rPr>
              <w:t>.</w:t>
            </w:r>
          </w:p>
        </w:tc>
        <w:tc>
          <w:tcPr>
            <w:tcW w:w="1170" w:type="dxa"/>
            <w:tcBorders>
              <w:top w:val="single" w:sz="8" w:space="0" w:color="000000"/>
              <w:left w:val="nil"/>
              <w:bottom w:val="nil"/>
              <w:right w:val="single" w:sz="8" w:space="0" w:color="000000"/>
            </w:tcBorders>
            <w:shd w:val="clear" w:color="auto" w:fill="auto"/>
            <w:hideMark/>
          </w:tcPr>
          <w:p w14:paraId="12A532A2" w14:textId="0050FE21" w:rsidR="0072599C" w:rsidRPr="001F731F" w:rsidRDefault="0072599C" w:rsidP="00703D77">
            <w:pPr>
              <w:spacing w:after="0" w:line="240" w:lineRule="auto"/>
              <w:jc w:val="center"/>
              <w:rPr>
                <w:rFonts w:ascii="Arial" w:eastAsia="Times New Roman" w:hAnsi="Arial" w:cs="Arial"/>
                <w:color w:val="000000"/>
                <w:sz w:val="18"/>
                <w:szCs w:val="18"/>
                <w:lang w:val="es-ES_tradnl" w:eastAsia="es-ES"/>
              </w:rPr>
            </w:pPr>
            <w:r>
              <w:rPr>
                <w:rFonts w:ascii="Arial" w:eastAsia="Times New Roman" w:hAnsi="Arial" w:cs="Arial"/>
                <w:color w:val="000000"/>
                <w:sz w:val="18"/>
                <w:szCs w:val="18"/>
                <w:lang w:val="es-ES_tradnl" w:eastAsia="es-ES"/>
              </w:rPr>
              <w:t>%</w:t>
            </w:r>
          </w:p>
        </w:tc>
        <w:tc>
          <w:tcPr>
            <w:tcW w:w="1800" w:type="dxa"/>
            <w:tcBorders>
              <w:top w:val="single" w:sz="8" w:space="0" w:color="000000"/>
              <w:left w:val="nil"/>
              <w:bottom w:val="nil"/>
              <w:right w:val="single" w:sz="8" w:space="0" w:color="000000"/>
            </w:tcBorders>
            <w:shd w:val="clear" w:color="auto" w:fill="auto"/>
            <w:hideMark/>
          </w:tcPr>
          <w:p w14:paraId="669431D0" w14:textId="15323317" w:rsidR="0072599C" w:rsidRPr="001F731F" w:rsidRDefault="0091179C" w:rsidP="00703D77">
            <w:pPr>
              <w:spacing w:after="0" w:line="240" w:lineRule="auto"/>
              <w:jc w:val="center"/>
              <w:rPr>
                <w:rFonts w:ascii="Arial" w:eastAsia="Times New Roman" w:hAnsi="Arial" w:cs="Arial"/>
                <w:color w:val="000000"/>
                <w:sz w:val="18"/>
                <w:szCs w:val="18"/>
                <w:lang w:val="es-ES_tradnl" w:eastAsia="es-ES"/>
              </w:rPr>
            </w:pPr>
            <w:r w:rsidRPr="0091179C">
              <w:rPr>
                <w:rFonts w:ascii="Arial" w:eastAsia="Times New Roman" w:hAnsi="Arial" w:cs="Arial"/>
                <w:color w:val="000000"/>
                <w:sz w:val="18"/>
                <w:szCs w:val="18"/>
                <w:lang w:val="es-ES_tradnl" w:eastAsia="es-ES"/>
              </w:rPr>
              <w:t>Información del Instituto Nacional de Estadística, Geografía e Informática (INEGI)</w:t>
            </w:r>
          </w:p>
        </w:tc>
        <w:tc>
          <w:tcPr>
            <w:tcW w:w="4354" w:type="dxa"/>
            <w:tcBorders>
              <w:top w:val="single" w:sz="8" w:space="0" w:color="000000"/>
              <w:left w:val="nil"/>
              <w:bottom w:val="nil"/>
              <w:right w:val="single" w:sz="8" w:space="0" w:color="000000"/>
            </w:tcBorders>
            <w:shd w:val="clear" w:color="auto" w:fill="auto"/>
            <w:hideMark/>
          </w:tcPr>
          <w:p w14:paraId="7418A7CF" w14:textId="77777777" w:rsidR="00B67583" w:rsidRDefault="0091179C" w:rsidP="00703D77">
            <w:pPr>
              <w:spacing w:after="0" w:line="240" w:lineRule="auto"/>
              <w:jc w:val="both"/>
              <w:rPr>
                <w:rFonts w:ascii="Arial" w:hAnsi="Arial" w:cs="Arial"/>
                <w:sz w:val="18"/>
                <w:szCs w:val="18"/>
                <w:lang w:val="es-ES"/>
              </w:rPr>
            </w:pPr>
            <w:r w:rsidRPr="0091179C">
              <w:rPr>
                <w:rFonts w:ascii="Arial" w:hAnsi="Arial" w:cs="Arial"/>
                <w:sz w:val="18"/>
                <w:szCs w:val="18"/>
                <w:lang w:val="es-ES"/>
              </w:rPr>
              <w:t>Se busca establecer como meta un valor similar a la situación precrisis.</w:t>
            </w:r>
          </w:p>
          <w:p w14:paraId="5E47E4E8" w14:textId="1752BF78" w:rsidR="00554A88" w:rsidRPr="001F731F" w:rsidRDefault="00554A88" w:rsidP="00703D77">
            <w:pPr>
              <w:spacing w:after="0" w:line="240" w:lineRule="auto"/>
              <w:jc w:val="both"/>
              <w:rPr>
                <w:rFonts w:ascii="Arial" w:eastAsia="Times New Roman" w:hAnsi="Arial" w:cs="Arial"/>
                <w:color w:val="000000"/>
                <w:sz w:val="18"/>
                <w:szCs w:val="18"/>
                <w:lang w:val="es-ES_tradnl" w:eastAsia="es-ES"/>
              </w:rPr>
            </w:pPr>
          </w:p>
        </w:tc>
      </w:tr>
      <w:tr w:rsidR="007116B2" w:rsidRPr="001F731F" w14:paraId="6E0B1DE6" w14:textId="77777777" w:rsidTr="00D95B9E">
        <w:trPr>
          <w:trHeight w:val="320"/>
          <w:jc w:val="center"/>
        </w:trPr>
        <w:tc>
          <w:tcPr>
            <w:tcW w:w="9299" w:type="dxa"/>
            <w:gridSpan w:val="4"/>
            <w:tcBorders>
              <w:top w:val="single" w:sz="4" w:space="0" w:color="auto"/>
              <w:left w:val="single" w:sz="8" w:space="0" w:color="000000"/>
              <w:bottom w:val="single" w:sz="8" w:space="0" w:color="000000"/>
              <w:right w:val="single" w:sz="8" w:space="0" w:color="000000"/>
            </w:tcBorders>
            <w:shd w:val="clear" w:color="000000" w:fill="D9D9D9"/>
            <w:vAlign w:val="center"/>
            <w:hideMark/>
          </w:tcPr>
          <w:p w14:paraId="0538C5DB" w14:textId="77777777" w:rsidR="007116B2" w:rsidRPr="001F731F" w:rsidRDefault="007116B2" w:rsidP="00454CB5">
            <w:pPr>
              <w:spacing w:after="0" w:line="240" w:lineRule="auto"/>
              <w:jc w:val="center"/>
              <w:rPr>
                <w:rFonts w:ascii="Arial" w:eastAsia="Times New Roman" w:hAnsi="Arial" w:cs="Arial"/>
                <w:b/>
                <w:bCs/>
                <w:color w:val="000000"/>
                <w:sz w:val="18"/>
                <w:szCs w:val="18"/>
                <w:lang w:val="es-ES_tradnl" w:eastAsia="es-ES"/>
              </w:rPr>
            </w:pPr>
            <w:r w:rsidRPr="001F731F">
              <w:rPr>
                <w:rFonts w:ascii="Arial" w:eastAsia="Times New Roman" w:hAnsi="Arial" w:cs="Arial"/>
                <w:b/>
                <w:bCs/>
                <w:color w:val="000000"/>
                <w:sz w:val="18"/>
                <w:szCs w:val="18"/>
                <w:lang w:val="es-ES_tradnl" w:eastAsia="es-ES"/>
              </w:rPr>
              <w:t>Indicadores de Resultado</w:t>
            </w:r>
          </w:p>
        </w:tc>
      </w:tr>
      <w:tr w:rsidR="007116B2" w:rsidRPr="00266BBA" w14:paraId="4465ED89" w14:textId="77777777" w:rsidTr="00D95B9E">
        <w:trPr>
          <w:trHeight w:val="320"/>
          <w:jc w:val="center"/>
        </w:trPr>
        <w:tc>
          <w:tcPr>
            <w:tcW w:w="9299" w:type="dxa"/>
            <w:gridSpan w:val="4"/>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3B86FB5D" w14:textId="074F51B5" w:rsidR="007116B2" w:rsidRPr="00A64B93" w:rsidRDefault="00A64B93" w:rsidP="00454CB5">
            <w:pPr>
              <w:spacing w:after="0" w:line="240" w:lineRule="auto"/>
              <w:jc w:val="both"/>
              <w:rPr>
                <w:rFonts w:ascii="Arial" w:eastAsia="Times New Roman" w:hAnsi="Arial" w:cs="Arial"/>
                <w:b/>
                <w:bCs/>
                <w:color w:val="000000"/>
                <w:sz w:val="18"/>
                <w:szCs w:val="18"/>
                <w:lang w:val="es-CO" w:eastAsia="es-ES"/>
              </w:rPr>
            </w:pPr>
            <w:r w:rsidRPr="00A64B93">
              <w:rPr>
                <w:rFonts w:ascii="Arial" w:eastAsia="Times New Roman" w:hAnsi="Arial" w:cs="Arial"/>
                <w:b/>
                <w:bCs/>
                <w:color w:val="000000"/>
                <w:sz w:val="18"/>
                <w:szCs w:val="18"/>
                <w:lang w:val="es-ES" w:eastAsia="es-ES"/>
              </w:rPr>
              <w:t>Objetivo específico 1: Apoyar la sostenibilidad financiera de corto plazo de las MiPyME </w:t>
            </w:r>
            <w:r w:rsidRPr="00A64B93">
              <w:rPr>
                <w:rFonts w:ascii="Arial" w:eastAsia="Times New Roman" w:hAnsi="Arial" w:cs="Arial"/>
                <w:b/>
                <w:bCs/>
                <w:color w:val="000000"/>
                <w:sz w:val="18"/>
                <w:szCs w:val="18"/>
                <w:lang w:val="es-CO" w:eastAsia="es-ES"/>
              </w:rPr>
              <w:t> </w:t>
            </w:r>
          </w:p>
        </w:tc>
      </w:tr>
      <w:tr w:rsidR="00010D77" w:rsidRPr="00266BBA" w14:paraId="53F9F2FA" w14:textId="77777777" w:rsidTr="008A4851">
        <w:trPr>
          <w:trHeight w:val="1760"/>
          <w:jc w:val="center"/>
        </w:trPr>
        <w:tc>
          <w:tcPr>
            <w:tcW w:w="1975" w:type="dxa"/>
            <w:tcBorders>
              <w:top w:val="nil"/>
              <w:left w:val="single" w:sz="8" w:space="0" w:color="000000"/>
              <w:bottom w:val="single" w:sz="8" w:space="0" w:color="000000"/>
              <w:right w:val="single" w:sz="8" w:space="0" w:color="000000"/>
            </w:tcBorders>
            <w:shd w:val="clear" w:color="auto" w:fill="auto"/>
          </w:tcPr>
          <w:p w14:paraId="155676F1" w14:textId="57EE2B03" w:rsidR="00010D77" w:rsidRPr="001F731F" w:rsidRDefault="00010D77" w:rsidP="008A4851">
            <w:pPr>
              <w:spacing w:after="0" w:line="240" w:lineRule="auto"/>
              <w:rPr>
                <w:rFonts w:ascii="Arial" w:eastAsia="Times New Roman" w:hAnsi="Arial" w:cs="Arial"/>
                <w:b/>
                <w:bCs/>
                <w:color w:val="000000"/>
                <w:sz w:val="18"/>
                <w:szCs w:val="18"/>
                <w:lang w:val="es-ES_tradnl" w:eastAsia="es-ES"/>
              </w:rPr>
            </w:pPr>
            <w:r w:rsidRPr="42CD9B99">
              <w:rPr>
                <w:rFonts w:ascii="Arial" w:hAnsi="Arial" w:cs="Arial"/>
                <w:b/>
                <w:bCs/>
                <w:sz w:val="18"/>
                <w:szCs w:val="18"/>
                <w:lang w:val="es-ES"/>
              </w:rPr>
              <w:t xml:space="preserve">Indicador 1. </w:t>
            </w:r>
            <w:r w:rsidRPr="00095785">
              <w:rPr>
                <w:rFonts w:ascii="Arial" w:hAnsi="Arial" w:cs="Arial"/>
                <w:sz w:val="18"/>
                <w:szCs w:val="18"/>
                <w:lang w:val="es-ES"/>
              </w:rPr>
              <w:t xml:space="preserve">Razón entre </w:t>
            </w:r>
            <w:r>
              <w:rPr>
                <w:rFonts w:ascii="Arial" w:hAnsi="Arial" w:cs="Arial"/>
                <w:sz w:val="18"/>
                <w:szCs w:val="18"/>
                <w:lang w:val="es-ES"/>
              </w:rPr>
              <w:t xml:space="preserve">la tasa </w:t>
            </w:r>
            <w:r w:rsidRPr="00095785">
              <w:rPr>
                <w:rFonts w:ascii="Arial" w:hAnsi="Arial" w:cs="Arial"/>
                <w:sz w:val="18"/>
                <w:szCs w:val="18"/>
                <w:lang w:val="es-ES"/>
              </w:rPr>
              <w:t xml:space="preserve">de </w:t>
            </w:r>
            <w:r>
              <w:rPr>
                <w:rFonts w:ascii="Arial" w:hAnsi="Arial" w:cs="Arial"/>
                <w:sz w:val="18"/>
                <w:szCs w:val="18"/>
                <w:lang w:val="es-ES"/>
              </w:rPr>
              <w:t>mora</w:t>
            </w:r>
            <w:r w:rsidRPr="0091179C">
              <w:rPr>
                <w:rFonts w:ascii="Arial" w:hAnsi="Arial" w:cs="Arial"/>
                <w:sz w:val="18"/>
                <w:szCs w:val="18"/>
                <w:lang w:val="es-ES"/>
              </w:rPr>
              <w:t xml:space="preserve"> de la cartera </w:t>
            </w:r>
            <w:r>
              <w:rPr>
                <w:rFonts w:ascii="Arial" w:hAnsi="Arial" w:cs="Arial"/>
                <w:sz w:val="18"/>
                <w:szCs w:val="18"/>
                <w:lang w:val="es-ES"/>
              </w:rPr>
              <w:t>de</w:t>
            </w:r>
            <w:r w:rsidRPr="0091179C">
              <w:rPr>
                <w:rFonts w:ascii="Arial" w:hAnsi="Arial" w:cs="Arial"/>
                <w:sz w:val="18"/>
                <w:szCs w:val="18"/>
                <w:lang w:val="es-ES"/>
              </w:rPr>
              <w:t xml:space="preserve"> M</w:t>
            </w:r>
            <w:r w:rsidR="008A4851">
              <w:rPr>
                <w:rFonts w:ascii="Arial" w:hAnsi="Arial" w:cs="Arial"/>
                <w:sz w:val="18"/>
                <w:szCs w:val="18"/>
                <w:lang w:val="es-ES"/>
              </w:rPr>
              <w:t>i</w:t>
            </w:r>
            <w:r w:rsidRPr="0091179C">
              <w:rPr>
                <w:rFonts w:ascii="Arial" w:hAnsi="Arial" w:cs="Arial"/>
                <w:sz w:val="18"/>
                <w:szCs w:val="18"/>
                <w:lang w:val="es-ES"/>
              </w:rPr>
              <w:t>P</w:t>
            </w:r>
            <w:r w:rsidR="008A4851">
              <w:rPr>
                <w:rFonts w:ascii="Arial" w:hAnsi="Arial" w:cs="Arial"/>
                <w:sz w:val="18"/>
                <w:szCs w:val="18"/>
                <w:lang w:val="es-ES"/>
              </w:rPr>
              <w:t>y</w:t>
            </w:r>
            <w:r w:rsidRPr="0091179C">
              <w:rPr>
                <w:rFonts w:ascii="Arial" w:hAnsi="Arial" w:cs="Arial"/>
                <w:sz w:val="18"/>
                <w:szCs w:val="18"/>
                <w:lang w:val="es-ES"/>
              </w:rPr>
              <w:t>ME</w:t>
            </w:r>
            <w:r>
              <w:rPr>
                <w:rFonts w:ascii="Arial" w:hAnsi="Arial" w:cs="Arial"/>
                <w:sz w:val="18"/>
                <w:szCs w:val="18"/>
                <w:lang w:val="es-ES"/>
              </w:rPr>
              <w:t xml:space="preserve"> de NAFIN,</w:t>
            </w:r>
            <w:r w:rsidRPr="0091179C">
              <w:rPr>
                <w:rFonts w:ascii="Arial" w:hAnsi="Arial" w:cs="Arial"/>
                <w:sz w:val="18"/>
                <w:szCs w:val="18"/>
                <w:lang w:val="es-ES"/>
              </w:rPr>
              <w:t xml:space="preserve"> </w:t>
            </w:r>
            <w:r>
              <w:rPr>
                <w:rFonts w:ascii="Arial" w:hAnsi="Arial" w:cs="Arial"/>
                <w:sz w:val="18"/>
                <w:szCs w:val="18"/>
                <w:lang w:val="es-ES"/>
              </w:rPr>
              <w:t xml:space="preserve">y la tasa de mora </w:t>
            </w:r>
            <w:r w:rsidRPr="0091179C">
              <w:rPr>
                <w:rFonts w:ascii="Arial" w:hAnsi="Arial" w:cs="Arial"/>
                <w:sz w:val="18"/>
                <w:szCs w:val="18"/>
                <w:lang w:val="es-ES"/>
              </w:rPr>
              <w:t xml:space="preserve">de la cartera </w:t>
            </w:r>
            <w:r>
              <w:rPr>
                <w:rFonts w:ascii="Arial" w:hAnsi="Arial" w:cs="Arial"/>
                <w:sz w:val="18"/>
                <w:szCs w:val="18"/>
                <w:lang w:val="es-ES"/>
              </w:rPr>
              <w:t xml:space="preserve">de </w:t>
            </w:r>
            <w:r w:rsidR="007F7004" w:rsidRPr="007F7004">
              <w:rPr>
                <w:rFonts w:ascii="Arial" w:hAnsi="Arial" w:cs="Arial"/>
                <w:sz w:val="18"/>
                <w:szCs w:val="18"/>
                <w:lang w:val="es-ES"/>
              </w:rPr>
              <w:t>M</w:t>
            </w:r>
            <w:proofErr w:type="spellStart"/>
            <w:r w:rsidR="007F7004" w:rsidRPr="007F7004">
              <w:rPr>
                <w:rFonts w:ascii="Arial" w:hAnsi="Arial" w:cs="Arial"/>
                <w:sz w:val="18"/>
                <w:szCs w:val="18"/>
                <w:lang w:val="es-ES_tradnl"/>
              </w:rPr>
              <w:t>iPyME</w:t>
            </w:r>
            <w:proofErr w:type="spellEnd"/>
            <w:r>
              <w:rPr>
                <w:rFonts w:ascii="Arial" w:hAnsi="Arial" w:cs="Arial"/>
                <w:sz w:val="18"/>
                <w:szCs w:val="18"/>
                <w:lang w:val="es-ES"/>
              </w:rPr>
              <w:t xml:space="preserve"> del sistema financiero nacional</w:t>
            </w:r>
            <w:r w:rsidRPr="0091179C">
              <w:rPr>
                <w:rFonts w:ascii="Arial" w:hAnsi="Arial" w:cs="Arial"/>
                <w:sz w:val="18"/>
                <w:szCs w:val="18"/>
                <w:lang w:val="es-ES"/>
              </w:rPr>
              <w:t>, a los 6 meses de comenzar el programa</w:t>
            </w:r>
            <w:r w:rsidRPr="42CD9B99">
              <w:rPr>
                <w:rFonts w:ascii="Arial" w:hAnsi="Arial" w:cs="Arial"/>
                <w:sz w:val="18"/>
                <w:szCs w:val="18"/>
                <w:lang w:val="es-ES"/>
              </w:rPr>
              <w:t>.</w:t>
            </w:r>
          </w:p>
        </w:tc>
        <w:tc>
          <w:tcPr>
            <w:tcW w:w="1170" w:type="dxa"/>
            <w:tcBorders>
              <w:top w:val="nil"/>
              <w:left w:val="nil"/>
              <w:bottom w:val="single" w:sz="8" w:space="0" w:color="000000"/>
              <w:right w:val="single" w:sz="8" w:space="0" w:color="000000"/>
            </w:tcBorders>
            <w:shd w:val="clear" w:color="auto" w:fill="auto"/>
          </w:tcPr>
          <w:p w14:paraId="311DAAAF" w14:textId="67C8F768" w:rsidR="00010D77" w:rsidRPr="001F731F" w:rsidRDefault="00010D77" w:rsidP="008A4851">
            <w:pPr>
              <w:spacing w:after="0" w:line="240" w:lineRule="auto"/>
              <w:jc w:val="center"/>
              <w:rPr>
                <w:rFonts w:ascii="Arial" w:eastAsia="Times New Roman" w:hAnsi="Arial" w:cs="Arial"/>
                <w:color w:val="000000"/>
                <w:sz w:val="18"/>
                <w:szCs w:val="18"/>
                <w:lang w:val="es-ES_tradnl" w:eastAsia="es-ES"/>
              </w:rPr>
            </w:pPr>
            <w:r>
              <w:rPr>
                <w:rFonts w:ascii="Arial" w:hAnsi="Arial" w:cs="Arial"/>
                <w:sz w:val="18"/>
                <w:szCs w:val="18"/>
                <w:lang w:val="es-ES"/>
              </w:rPr>
              <w:t>Número</w:t>
            </w:r>
          </w:p>
        </w:tc>
        <w:tc>
          <w:tcPr>
            <w:tcW w:w="1800" w:type="dxa"/>
            <w:tcBorders>
              <w:top w:val="nil"/>
              <w:left w:val="nil"/>
              <w:bottom w:val="single" w:sz="8" w:space="0" w:color="000000"/>
              <w:right w:val="single" w:sz="8" w:space="0" w:color="000000"/>
            </w:tcBorders>
            <w:shd w:val="clear" w:color="auto" w:fill="auto"/>
          </w:tcPr>
          <w:p w14:paraId="5A29B8B7" w14:textId="29E61721" w:rsidR="00010D77" w:rsidRPr="001F731F" w:rsidRDefault="00010D77" w:rsidP="008A4851">
            <w:pPr>
              <w:spacing w:after="0" w:line="240" w:lineRule="auto"/>
              <w:jc w:val="center"/>
              <w:rPr>
                <w:rFonts w:ascii="Arial" w:eastAsia="Times New Roman" w:hAnsi="Arial" w:cs="Arial"/>
                <w:color w:val="000000"/>
                <w:sz w:val="18"/>
                <w:szCs w:val="18"/>
                <w:lang w:val="es-ES_tradnl" w:eastAsia="es-ES"/>
              </w:rPr>
            </w:pPr>
            <w:r w:rsidRPr="001F731F">
              <w:rPr>
                <w:rFonts w:ascii="Arial" w:eastAsia="Times New Roman" w:hAnsi="Arial" w:cs="Arial"/>
                <w:color w:val="000000"/>
                <w:sz w:val="18"/>
                <w:szCs w:val="18"/>
                <w:lang w:val="es-ES_tradnl" w:eastAsia="es-ES"/>
              </w:rPr>
              <w:t xml:space="preserve">Información de seguimiento y monitoreo </w:t>
            </w:r>
            <w:r>
              <w:rPr>
                <w:rFonts w:ascii="Arial" w:eastAsia="Times New Roman" w:hAnsi="Arial" w:cs="Arial"/>
                <w:color w:val="000000"/>
                <w:sz w:val="18"/>
                <w:szCs w:val="18"/>
                <w:lang w:val="es-ES_tradnl" w:eastAsia="es-ES"/>
              </w:rPr>
              <w:t>del programa recolectada po</w:t>
            </w:r>
            <w:r w:rsidRPr="001F731F">
              <w:rPr>
                <w:rFonts w:ascii="Arial" w:eastAsia="Times New Roman" w:hAnsi="Arial" w:cs="Arial"/>
                <w:color w:val="000000"/>
                <w:sz w:val="18"/>
                <w:szCs w:val="18"/>
                <w:lang w:val="es-ES_tradnl" w:eastAsia="es-ES"/>
              </w:rPr>
              <w:t xml:space="preserve">r </w:t>
            </w:r>
            <w:r>
              <w:rPr>
                <w:rFonts w:ascii="Arial" w:eastAsia="Times New Roman" w:hAnsi="Arial" w:cs="Arial"/>
                <w:color w:val="000000"/>
                <w:sz w:val="18"/>
                <w:szCs w:val="18"/>
                <w:lang w:val="es-ES_tradnl" w:eastAsia="es-ES"/>
              </w:rPr>
              <w:t>el OE e informes periódicos de la Comisión Nacional Bancaria y de Valores (CNBV)</w:t>
            </w:r>
          </w:p>
        </w:tc>
        <w:tc>
          <w:tcPr>
            <w:tcW w:w="4354" w:type="dxa"/>
            <w:tcBorders>
              <w:top w:val="nil"/>
              <w:left w:val="nil"/>
              <w:bottom w:val="single" w:sz="8" w:space="0" w:color="000000"/>
              <w:right w:val="single" w:sz="8" w:space="0" w:color="000000"/>
            </w:tcBorders>
            <w:shd w:val="clear" w:color="auto" w:fill="auto"/>
            <w:vAlign w:val="center"/>
          </w:tcPr>
          <w:p w14:paraId="7ABFAAB6" w14:textId="77777777" w:rsidR="00D12CC7" w:rsidRDefault="00D12CC7" w:rsidP="00D12CC7">
            <w:pPr>
              <w:spacing w:before="20" w:after="120" w:line="240" w:lineRule="auto"/>
              <w:jc w:val="both"/>
              <w:rPr>
                <w:rFonts w:ascii="Arial" w:hAnsi="Arial" w:cs="Arial"/>
                <w:sz w:val="18"/>
                <w:szCs w:val="18"/>
                <w:lang w:val="es-ES"/>
              </w:rPr>
            </w:pPr>
            <w:r>
              <w:rPr>
                <w:rFonts w:ascii="Arial" w:hAnsi="Arial" w:cs="Arial"/>
                <w:sz w:val="18"/>
                <w:szCs w:val="18"/>
                <w:lang w:val="es-ES"/>
              </w:rPr>
              <w:t>El indicador se define como:</w:t>
            </w:r>
          </w:p>
          <w:p w14:paraId="260509E5" w14:textId="77777777" w:rsidR="00D12CC7" w:rsidRDefault="00D12CC7" w:rsidP="00D12CC7">
            <w:pPr>
              <w:spacing w:before="20" w:after="120" w:line="240" w:lineRule="auto"/>
              <w:jc w:val="both"/>
              <w:rPr>
                <w:rFonts w:ascii="Arial" w:hAnsi="Arial" w:cs="Arial"/>
                <w:sz w:val="18"/>
                <w:szCs w:val="18"/>
                <w:lang w:val="es-ES"/>
              </w:rPr>
            </w:pPr>
            <m:oMathPara>
              <m:oMath>
                <m:r>
                  <w:rPr>
                    <w:rFonts w:ascii="Cambria Math" w:hAnsi="Cambria Math" w:cs="Arial"/>
                    <w:sz w:val="16"/>
                    <w:szCs w:val="16"/>
                    <w:lang w:val="es-ES"/>
                  </w:rPr>
                  <m:t>Indicador 1 =</m:t>
                </m:r>
                <m:f>
                  <m:fPr>
                    <m:ctrlPr>
                      <w:rPr>
                        <w:rFonts w:ascii="Cambria Math" w:hAnsi="Cambria Math" w:cs="Arial"/>
                        <w:i/>
                        <w:sz w:val="16"/>
                        <w:szCs w:val="16"/>
                        <w:lang w:val="es-ES"/>
                      </w:rPr>
                    </m:ctrlPr>
                  </m:fPr>
                  <m:num>
                    <m:r>
                      <w:rPr>
                        <w:rFonts w:ascii="Cambria Math" w:hAnsi="Cambria Math" w:cs="Arial"/>
                        <w:sz w:val="16"/>
                        <w:szCs w:val="16"/>
                        <w:lang w:val="es-ES"/>
                      </w:rPr>
                      <m:t>tasa de mora de MIPYME de NAFIN</m:t>
                    </m:r>
                  </m:num>
                  <m:den>
                    <m:r>
                      <w:rPr>
                        <w:rFonts w:ascii="Cambria Math" w:hAnsi="Cambria Math" w:cs="Arial"/>
                        <w:sz w:val="16"/>
                        <w:szCs w:val="16"/>
                        <w:lang w:val="es-ES"/>
                      </w:rPr>
                      <m:t>tasa de mora de MIPYME del sistema financiero</m:t>
                    </m:r>
                  </m:den>
                </m:f>
              </m:oMath>
            </m:oMathPara>
          </w:p>
          <w:p w14:paraId="2A5960BF" w14:textId="77777777" w:rsidR="00D12CC7" w:rsidRDefault="00D12CC7" w:rsidP="00D12CC7">
            <w:pPr>
              <w:spacing w:before="20" w:after="120" w:line="240" w:lineRule="auto"/>
              <w:jc w:val="both"/>
              <w:rPr>
                <w:rFonts w:ascii="Arial" w:hAnsi="Arial" w:cs="Arial"/>
                <w:sz w:val="18"/>
                <w:szCs w:val="18"/>
                <w:lang w:val="es-ES"/>
              </w:rPr>
            </w:pPr>
            <w:r>
              <w:rPr>
                <w:rFonts w:ascii="Arial" w:hAnsi="Arial" w:cs="Arial"/>
                <w:sz w:val="18"/>
                <w:szCs w:val="18"/>
                <w:lang w:val="es-ES"/>
              </w:rPr>
              <w:t xml:space="preserve">La tasa de mora de </w:t>
            </w:r>
            <w:r w:rsidRPr="00832C4A">
              <w:rPr>
                <w:rFonts w:ascii="Arial" w:hAnsi="Arial" w:cs="Arial"/>
                <w:sz w:val="18"/>
                <w:szCs w:val="18"/>
                <w:lang w:val="es-ES"/>
              </w:rPr>
              <w:t>MiPyME</w:t>
            </w:r>
            <w:r>
              <w:rPr>
                <w:rFonts w:ascii="Arial" w:hAnsi="Arial" w:cs="Arial"/>
                <w:sz w:val="18"/>
                <w:szCs w:val="18"/>
                <w:lang w:val="es-ES"/>
              </w:rPr>
              <w:t xml:space="preserve"> de NAFIN se calcula con un </w:t>
            </w:r>
            <w:r w:rsidRPr="004E0C84">
              <w:rPr>
                <w:rFonts w:ascii="Arial" w:hAnsi="Arial" w:cs="Arial"/>
                <w:i/>
                <w:iCs/>
                <w:sz w:val="18"/>
                <w:szCs w:val="18"/>
                <w:lang w:val="es-ES"/>
              </w:rPr>
              <w:t>proxy</w:t>
            </w:r>
            <w:r>
              <w:rPr>
                <w:rFonts w:ascii="Arial" w:hAnsi="Arial" w:cs="Arial"/>
                <w:sz w:val="18"/>
                <w:szCs w:val="18"/>
                <w:lang w:val="es-ES"/>
              </w:rPr>
              <w:t xml:space="preserve"> que es el índice de siniestralidad de la cartera garantizada por NAFIN para </w:t>
            </w:r>
            <w:r w:rsidRPr="00832C4A">
              <w:rPr>
                <w:rFonts w:ascii="Arial" w:hAnsi="Arial" w:cs="Arial"/>
                <w:sz w:val="18"/>
                <w:szCs w:val="18"/>
                <w:lang w:val="es-ES"/>
              </w:rPr>
              <w:t>MiPyME</w:t>
            </w:r>
            <w:r>
              <w:rPr>
                <w:rFonts w:ascii="Arial" w:hAnsi="Arial" w:cs="Arial"/>
                <w:sz w:val="18"/>
                <w:szCs w:val="18"/>
                <w:lang w:val="es-ES"/>
              </w:rPr>
              <w:t>, la cual 95% es para capital de trabajo. Durante el programa se buscará realizar una actualización con la tasa de mora de los IF principales.</w:t>
            </w:r>
          </w:p>
          <w:p w14:paraId="41E14EF6" w14:textId="77777777" w:rsidR="00D12CC7" w:rsidRDefault="00D12CC7" w:rsidP="00D12CC7">
            <w:pPr>
              <w:spacing w:before="20" w:after="120" w:line="240" w:lineRule="auto"/>
              <w:jc w:val="both"/>
              <w:rPr>
                <w:rFonts w:ascii="Arial" w:hAnsi="Arial" w:cs="Arial"/>
                <w:sz w:val="18"/>
                <w:szCs w:val="18"/>
                <w:lang w:val="es-ES"/>
              </w:rPr>
            </w:pPr>
            <w:r>
              <w:rPr>
                <w:rFonts w:ascii="Arial" w:hAnsi="Arial" w:cs="Arial"/>
                <w:sz w:val="18"/>
                <w:szCs w:val="18"/>
                <w:lang w:val="es-ES"/>
              </w:rPr>
              <w:t xml:space="preserve">La tasa de mora de </w:t>
            </w:r>
            <w:r w:rsidRPr="00832C4A">
              <w:rPr>
                <w:rFonts w:ascii="Arial" w:hAnsi="Arial" w:cs="Arial"/>
                <w:sz w:val="18"/>
                <w:szCs w:val="18"/>
                <w:lang w:val="es-ES"/>
              </w:rPr>
              <w:t>MiPyME</w:t>
            </w:r>
            <w:r>
              <w:rPr>
                <w:rFonts w:ascii="Arial" w:hAnsi="Arial" w:cs="Arial"/>
                <w:sz w:val="18"/>
                <w:szCs w:val="18"/>
                <w:lang w:val="es-ES"/>
              </w:rPr>
              <w:t xml:space="preserve"> del sistema financiero se obtiene a partir del dato del Índice de Morosidad (IMOR) de PyME para la total banca múltiple, según reporte mensual de la CNBV.</w:t>
            </w:r>
          </w:p>
          <w:p w14:paraId="7B9F0975" w14:textId="77777777" w:rsidR="00D12CC7" w:rsidRDefault="00D12CC7" w:rsidP="00D12CC7">
            <w:pPr>
              <w:spacing w:before="20" w:after="120" w:line="240" w:lineRule="auto"/>
              <w:jc w:val="both"/>
              <w:rPr>
                <w:rFonts w:ascii="Arial" w:hAnsi="Arial" w:cs="Arial"/>
                <w:sz w:val="18"/>
                <w:szCs w:val="18"/>
                <w:highlight w:val="yellow"/>
                <w:lang w:val="es-ES"/>
              </w:rPr>
            </w:pPr>
            <w:r w:rsidRPr="007915B2">
              <w:rPr>
                <w:rFonts w:ascii="Arial" w:hAnsi="Arial" w:cs="Arial"/>
                <w:sz w:val="18"/>
                <w:szCs w:val="18"/>
                <w:lang w:val="es-ES"/>
              </w:rPr>
              <w:t xml:space="preserve">La línea de base corresponde a la medición a </w:t>
            </w:r>
            <w:r w:rsidRPr="004B1B23">
              <w:rPr>
                <w:rFonts w:ascii="Arial" w:hAnsi="Arial" w:cs="Arial"/>
                <w:sz w:val="18"/>
                <w:szCs w:val="18"/>
                <w:lang w:val="es-ES"/>
              </w:rPr>
              <w:t xml:space="preserve">febrero de 2020 (tasa de mora de </w:t>
            </w:r>
            <w:r w:rsidRPr="00832C4A">
              <w:rPr>
                <w:rFonts w:ascii="Arial" w:hAnsi="Arial" w:cs="Arial"/>
                <w:sz w:val="18"/>
                <w:szCs w:val="18"/>
                <w:lang w:val="es-ES"/>
              </w:rPr>
              <w:t>MiPyME</w:t>
            </w:r>
            <w:r w:rsidRPr="004B1B23">
              <w:rPr>
                <w:rFonts w:ascii="Arial" w:hAnsi="Arial" w:cs="Arial"/>
                <w:sz w:val="18"/>
                <w:szCs w:val="18"/>
                <w:lang w:val="es-ES"/>
              </w:rPr>
              <w:t xml:space="preserve"> de NAFIN=</w:t>
            </w:r>
            <w:r>
              <w:rPr>
                <w:rFonts w:ascii="Arial" w:hAnsi="Arial" w:cs="Arial"/>
                <w:sz w:val="18"/>
                <w:szCs w:val="18"/>
                <w:lang w:val="es-ES"/>
              </w:rPr>
              <w:t>8%</w:t>
            </w:r>
            <w:r w:rsidRPr="004B1B23">
              <w:rPr>
                <w:rFonts w:ascii="Arial" w:hAnsi="Arial" w:cs="Arial"/>
                <w:sz w:val="18"/>
                <w:szCs w:val="18"/>
                <w:lang w:val="es-ES"/>
              </w:rPr>
              <w:t xml:space="preserve">; tasa de mora de </w:t>
            </w:r>
            <w:r w:rsidRPr="00832C4A">
              <w:rPr>
                <w:rFonts w:ascii="Arial" w:hAnsi="Arial" w:cs="Arial"/>
                <w:sz w:val="18"/>
                <w:szCs w:val="18"/>
                <w:lang w:val="es-ES"/>
              </w:rPr>
              <w:t>MiPyME</w:t>
            </w:r>
            <w:r w:rsidRPr="004B1B23">
              <w:rPr>
                <w:rFonts w:ascii="Arial" w:hAnsi="Arial" w:cs="Arial"/>
                <w:sz w:val="18"/>
                <w:szCs w:val="18"/>
                <w:lang w:val="es-ES"/>
              </w:rPr>
              <w:t xml:space="preserve"> del sistema financiero=5</w:t>
            </w:r>
            <w:r>
              <w:rPr>
                <w:rFonts w:ascii="Arial" w:hAnsi="Arial" w:cs="Arial"/>
                <w:sz w:val="18"/>
                <w:szCs w:val="18"/>
                <w:lang w:val="es-ES"/>
              </w:rPr>
              <w:t>,</w:t>
            </w:r>
            <w:r w:rsidRPr="004B1B23">
              <w:rPr>
                <w:rFonts w:ascii="Arial" w:hAnsi="Arial" w:cs="Arial"/>
                <w:sz w:val="18"/>
                <w:szCs w:val="18"/>
                <w:lang w:val="es-ES"/>
              </w:rPr>
              <w:t>93%</w:t>
            </w:r>
            <w:r>
              <w:rPr>
                <w:rFonts w:ascii="Arial" w:hAnsi="Arial" w:cs="Arial"/>
                <w:sz w:val="18"/>
                <w:szCs w:val="18"/>
                <w:lang w:val="es-ES"/>
              </w:rPr>
              <w:t>.</w:t>
            </w:r>
          </w:p>
          <w:p w14:paraId="0DA026B7" w14:textId="1F3AC265" w:rsidR="00010D77" w:rsidRPr="00134246" w:rsidRDefault="00D12CC7" w:rsidP="00D12CC7">
            <w:pPr>
              <w:spacing w:before="20" w:after="120" w:line="240" w:lineRule="auto"/>
              <w:jc w:val="both"/>
              <w:rPr>
                <w:rFonts w:ascii="Arial" w:hAnsi="Arial" w:cs="Arial"/>
                <w:sz w:val="18"/>
                <w:szCs w:val="18"/>
                <w:lang w:val="es-ES"/>
              </w:rPr>
            </w:pPr>
            <w:r>
              <w:rPr>
                <w:rFonts w:ascii="Arial" w:hAnsi="Arial" w:cs="Arial"/>
                <w:sz w:val="18"/>
                <w:szCs w:val="18"/>
                <w:lang w:val="es-ES"/>
              </w:rPr>
              <w:t>La meta corresponde a la primera medición, a ser obtenida 6 meses luego del inicio del programa. Se espera mantener un valor similar a la situación precrisis.</w:t>
            </w:r>
          </w:p>
        </w:tc>
      </w:tr>
      <w:tr w:rsidR="00010D77" w:rsidRPr="00266BBA" w14:paraId="35027F0B" w14:textId="77777777" w:rsidTr="008A4851">
        <w:trPr>
          <w:trHeight w:val="1540"/>
          <w:jc w:val="center"/>
        </w:trPr>
        <w:tc>
          <w:tcPr>
            <w:tcW w:w="1975" w:type="dxa"/>
            <w:tcBorders>
              <w:top w:val="single" w:sz="12" w:space="0" w:color="000000"/>
              <w:left w:val="single" w:sz="8" w:space="0" w:color="000000"/>
              <w:bottom w:val="nil"/>
              <w:right w:val="single" w:sz="8" w:space="0" w:color="000000"/>
            </w:tcBorders>
            <w:shd w:val="clear" w:color="auto" w:fill="auto"/>
          </w:tcPr>
          <w:p w14:paraId="71900968" w14:textId="76E9FFE1" w:rsidR="00010D77" w:rsidRPr="001F731F" w:rsidRDefault="00010D77" w:rsidP="008A4851">
            <w:pPr>
              <w:spacing w:after="0" w:line="240" w:lineRule="auto"/>
              <w:rPr>
                <w:rFonts w:ascii="Arial" w:eastAsia="Times New Roman" w:hAnsi="Arial" w:cs="Arial"/>
                <w:b/>
                <w:bCs/>
                <w:color w:val="000000"/>
                <w:sz w:val="18"/>
                <w:szCs w:val="18"/>
                <w:lang w:val="es-ES_tradnl" w:eastAsia="es-ES"/>
              </w:rPr>
            </w:pPr>
            <w:r w:rsidRPr="42CD9B99">
              <w:rPr>
                <w:rFonts w:ascii="Arial" w:hAnsi="Arial" w:cs="Arial"/>
                <w:b/>
                <w:bCs/>
                <w:sz w:val="18"/>
                <w:szCs w:val="18"/>
                <w:lang w:val="es-ES"/>
              </w:rPr>
              <w:t xml:space="preserve">Indicador </w:t>
            </w:r>
            <w:r>
              <w:rPr>
                <w:rFonts w:ascii="Arial" w:hAnsi="Arial" w:cs="Arial"/>
                <w:b/>
                <w:bCs/>
                <w:sz w:val="18"/>
                <w:szCs w:val="18"/>
                <w:lang w:val="es-ES"/>
              </w:rPr>
              <w:t>2</w:t>
            </w:r>
            <w:r w:rsidRPr="42CD9B99">
              <w:rPr>
                <w:rFonts w:ascii="Arial" w:hAnsi="Arial" w:cs="Arial"/>
                <w:b/>
                <w:bCs/>
                <w:sz w:val="18"/>
                <w:szCs w:val="18"/>
                <w:lang w:val="es-ES"/>
              </w:rPr>
              <w:t xml:space="preserve">. </w:t>
            </w:r>
            <w:r w:rsidRPr="00095785">
              <w:rPr>
                <w:rFonts w:ascii="Arial" w:hAnsi="Arial" w:cs="Arial"/>
                <w:sz w:val="18"/>
                <w:szCs w:val="18"/>
                <w:lang w:val="es-ES"/>
              </w:rPr>
              <w:t xml:space="preserve">Razón entre </w:t>
            </w:r>
            <w:r>
              <w:rPr>
                <w:rFonts w:ascii="Arial" w:hAnsi="Arial" w:cs="Arial"/>
                <w:sz w:val="18"/>
                <w:szCs w:val="18"/>
                <w:lang w:val="es-ES"/>
              </w:rPr>
              <w:t xml:space="preserve">la tasa </w:t>
            </w:r>
            <w:r w:rsidRPr="00095785">
              <w:rPr>
                <w:rFonts w:ascii="Arial" w:hAnsi="Arial" w:cs="Arial"/>
                <w:sz w:val="18"/>
                <w:szCs w:val="18"/>
                <w:lang w:val="es-ES"/>
              </w:rPr>
              <w:t xml:space="preserve">de </w:t>
            </w:r>
            <w:r>
              <w:rPr>
                <w:rFonts w:ascii="Arial" w:hAnsi="Arial" w:cs="Arial"/>
                <w:sz w:val="18"/>
                <w:szCs w:val="18"/>
                <w:lang w:val="es-ES"/>
              </w:rPr>
              <w:t>mora</w:t>
            </w:r>
            <w:r w:rsidRPr="0091179C">
              <w:rPr>
                <w:rFonts w:ascii="Arial" w:hAnsi="Arial" w:cs="Arial"/>
                <w:sz w:val="18"/>
                <w:szCs w:val="18"/>
                <w:lang w:val="es-ES"/>
              </w:rPr>
              <w:t xml:space="preserve"> de la cartera </w:t>
            </w:r>
            <w:r>
              <w:rPr>
                <w:rFonts w:ascii="Arial" w:hAnsi="Arial" w:cs="Arial"/>
                <w:sz w:val="18"/>
                <w:szCs w:val="18"/>
                <w:lang w:val="es-ES"/>
              </w:rPr>
              <w:t>de</w:t>
            </w:r>
            <w:r w:rsidRPr="0091179C">
              <w:rPr>
                <w:rFonts w:ascii="Arial" w:hAnsi="Arial" w:cs="Arial"/>
                <w:sz w:val="18"/>
                <w:szCs w:val="18"/>
                <w:lang w:val="es-ES"/>
              </w:rPr>
              <w:t xml:space="preserve"> </w:t>
            </w:r>
            <w:r w:rsidR="007F7004" w:rsidRPr="007F7004">
              <w:rPr>
                <w:rFonts w:ascii="Arial" w:hAnsi="Arial" w:cs="Arial"/>
                <w:sz w:val="18"/>
                <w:szCs w:val="18"/>
                <w:lang w:val="es-ES"/>
              </w:rPr>
              <w:t>M</w:t>
            </w:r>
            <w:proofErr w:type="spellStart"/>
            <w:r w:rsidR="007F7004" w:rsidRPr="007F7004">
              <w:rPr>
                <w:rFonts w:ascii="Arial" w:hAnsi="Arial" w:cs="Arial"/>
                <w:sz w:val="18"/>
                <w:szCs w:val="18"/>
                <w:lang w:val="es-ES_tradnl"/>
              </w:rPr>
              <w:t>iPyME</w:t>
            </w:r>
            <w:proofErr w:type="spellEnd"/>
            <w:r>
              <w:rPr>
                <w:rFonts w:ascii="Arial" w:hAnsi="Arial" w:cs="Arial"/>
                <w:sz w:val="18"/>
                <w:szCs w:val="18"/>
                <w:lang w:val="es-ES"/>
              </w:rPr>
              <w:t xml:space="preserve"> de NAFIN,</w:t>
            </w:r>
            <w:r w:rsidRPr="0091179C">
              <w:rPr>
                <w:rFonts w:ascii="Arial" w:hAnsi="Arial" w:cs="Arial"/>
                <w:sz w:val="18"/>
                <w:szCs w:val="18"/>
                <w:lang w:val="es-ES"/>
              </w:rPr>
              <w:t xml:space="preserve"> </w:t>
            </w:r>
            <w:r>
              <w:rPr>
                <w:rFonts w:ascii="Arial" w:hAnsi="Arial" w:cs="Arial"/>
                <w:sz w:val="18"/>
                <w:szCs w:val="18"/>
                <w:lang w:val="es-ES"/>
              </w:rPr>
              <w:t xml:space="preserve">y la tasa de mora </w:t>
            </w:r>
            <w:r w:rsidRPr="0091179C">
              <w:rPr>
                <w:rFonts w:ascii="Arial" w:hAnsi="Arial" w:cs="Arial"/>
                <w:sz w:val="18"/>
                <w:szCs w:val="18"/>
                <w:lang w:val="es-ES"/>
              </w:rPr>
              <w:t xml:space="preserve">de la cartera </w:t>
            </w:r>
            <w:r>
              <w:rPr>
                <w:rFonts w:ascii="Arial" w:hAnsi="Arial" w:cs="Arial"/>
                <w:sz w:val="18"/>
                <w:szCs w:val="18"/>
                <w:lang w:val="es-ES"/>
              </w:rPr>
              <w:t xml:space="preserve">de </w:t>
            </w:r>
            <w:r w:rsidR="007F7004" w:rsidRPr="007F7004">
              <w:rPr>
                <w:rFonts w:ascii="Arial" w:hAnsi="Arial" w:cs="Arial"/>
                <w:sz w:val="18"/>
                <w:szCs w:val="18"/>
                <w:lang w:val="es-ES"/>
              </w:rPr>
              <w:t>M</w:t>
            </w:r>
            <w:proofErr w:type="spellStart"/>
            <w:r w:rsidR="007F7004" w:rsidRPr="007F7004">
              <w:rPr>
                <w:rFonts w:ascii="Arial" w:hAnsi="Arial" w:cs="Arial"/>
                <w:sz w:val="18"/>
                <w:szCs w:val="18"/>
                <w:lang w:val="es-ES_tradnl"/>
              </w:rPr>
              <w:t>iPyME</w:t>
            </w:r>
            <w:proofErr w:type="spellEnd"/>
            <w:r>
              <w:rPr>
                <w:rFonts w:ascii="Arial" w:hAnsi="Arial" w:cs="Arial"/>
                <w:sz w:val="18"/>
                <w:szCs w:val="18"/>
                <w:lang w:val="es-ES"/>
              </w:rPr>
              <w:t xml:space="preserve"> del sistema financiero nacional</w:t>
            </w:r>
            <w:r w:rsidRPr="0091179C">
              <w:rPr>
                <w:rFonts w:ascii="Arial" w:hAnsi="Arial" w:cs="Arial"/>
                <w:sz w:val="18"/>
                <w:szCs w:val="18"/>
                <w:lang w:val="es-ES"/>
              </w:rPr>
              <w:t xml:space="preserve">, a los </w:t>
            </w:r>
            <w:r>
              <w:rPr>
                <w:rFonts w:ascii="Arial" w:hAnsi="Arial" w:cs="Arial"/>
                <w:sz w:val="18"/>
                <w:szCs w:val="18"/>
                <w:lang w:val="es-ES"/>
              </w:rPr>
              <w:t>12</w:t>
            </w:r>
            <w:r w:rsidRPr="0091179C">
              <w:rPr>
                <w:rFonts w:ascii="Arial" w:hAnsi="Arial" w:cs="Arial"/>
                <w:sz w:val="18"/>
                <w:szCs w:val="18"/>
                <w:lang w:val="es-ES"/>
              </w:rPr>
              <w:t xml:space="preserve"> meses de comenzar el programa</w:t>
            </w:r>
            <w:r w:rsidRPr="42CD9B99">
              <w:rPr>
                <w:rFonts w:ascii="Arial" w:hAnsi="Arial" w:cs="Arial"/>
                <w:sz w:val="18"/>
                <w:szCs w:val="18"/>
                <w:lang w:val="es-ES"/>
              </w:rPr>
              <w:t xml:space="preserve">. </w:t>
            </w:r>
          </w:p>
        </w:tc>
        <w:tc>
          <w:tcPr>
            <w:tcW w:w="1170" w:type="dxa"/>
            <w:tcBorders>
              <w:top w:val="single" w:sz="12" w:space="0" w:color="000000"/>
              <w:left w:val="nil"/>
              <w:bottom w:val="nil"/>
              <w:right w:val="single" w:sz="8" w:space="0" w:color="000000"/>
            </w:tcBorders>
            <w:shd w:val="clear" w:color="auto" w:fill="auto"/>
          </w:tcPr>
          <w:p w14:paraId="3DC5DF8E" w14:textId="75C46435" w:rsidR="00010D77" w:rsidRPr="001F731F" w:rsidRDefault="00010D77" w:rsidP="008A4851">
            <w:pPr>
              <w:spacing w:after="0" w:line="240" w:lineRule="auto"/>
              <w:jc w:val="center"/>
              <w:rPr>
                <w:rFonts w:ascii="Arial" w:eastAsia="Times New Roman" w:hAnsi="Arial" w:cs="Arial"/>
                <w:color w:val="000000"/>
                <w:sz w:val="18"/>
                <w:szCs w:val="18"/>
                <w:lang w:val="es-ES_tradnl" w:eastAsia="es-ES"/>
              </w:rPr>
            </w:pPr>
            <w:r>
              <w:rPr>
                <w:rFonts w:ascii="Arial" w:hAnsi="Arial" w:cs="Arial"/>
                <w:sz w:val="18"/>
                <w:szCs w:val="18"/>
                <w:lang w:val="es-ES"/>
              </w:rPr>
              <w:t>Número</w:t>
            </w:r>
          </w:p>
        </w:tc>
        <w:tc>
          <w:tcPr>
            <w:tcW w:w="1800" w:type="dxa"/>
            <w:tcBorders>
              <w:top w:val="single" w:sz="12" w:space="0" w:color="000000"/>
              <w:left w:val="nil"/>
              <w:bottom w:val="nil"/>
              <w:right w:val="single" w:sz="8" w:space="0" w:color="000000"/>
            </w:tcBorders>
            <w:shd w:val="clear" w:color="auto" w:fill="auto"/>
          </w:tcPr>
          <w:p w14:paraId="6B1E1F54" w14:textId="4999AC0F" w:rsidR="00010D77" w:rsidRPr="001F731F" w:rsidRDefault="00010D77" w:rsidP="008A4851">
            <w:pPr>
              <w:spacing w:after="0" w:line="240" w:lineRule="auto"/>
              <w:jc w:val="center"/>
              <w:rPr>
                <w:rFonts w:ascii="Arial" w:eastAsia="Times New Roman" w:hAnsi="Arial" w:cs="Arial"/>
                <w:color w:val="000000"/>
                <w:sz w:val="18"/>
                <w:szCs w:val="18"/>
                <w:lang w:val="es-ES_tradnl" w:eastAsia="es-ES"/>
              </w:rPr>
            </w:pPr>
            <w:r w:rsidRPr="001F731F">
              <w:rPr>
                <w:rFonts w:ascii="Arial" w:eastAsia="Times New Roman" w:hAnsi="Arial" w:cs="Arial"/>
                <w:color w:val="000000"/>
                <w:sz w:val="18"/>
                <w:szCs w:val="18"/>
                <w:lang w:val="es-ES_tradnl" w:eastAsia="es-ES"/>
              </w:rPr>
              <w:t xml:space="preserve">Información de seguimiento y monitoreo </w:t>
            </w:r>
            <w:r>
              <w:rPr>
                <w:rFonts w:ascii="Arial" w:eastAsia="Times New Roman" w:hAnsi="Arial" w:cs="Arial"/>
                <w:color w:val="000000"/>
                <w:sz w:val="18"/>
                <w:szCs w:val="18"/>
                <w:lang w:val="es-ES_tradnl" w:eastAsia="es-ES"/>
              </w:rPr>
              <w:t>del programa recolectada po</w:t>
            </w:r>
            <w:r w:rsidRPr="001F731F">
              <w:rPr>
                <w:rFonts w:ascii="Arial" w:eastAsia="Times New Roman" w:hAnsi="Arial" w:cs="Arial"/>
                <w:color w:val="000000"/>
                <w:sz w:val="18"/>
                <w:szCs w:val="18"/>
                <w:lang w:val="es-ES_tradnl" w:eastAsia="es-ES"/>
              </w:rPr>
              <w:t xml:space="preserve">r </w:t>
            </w:r>
            <w:r>
              <w:rPr>
                <w:rFonts w:ascii="Arial" w:eastAsia="Times New Roman" w:hAnsi="Arial" w:cs="Arial"/>
                <w:color w:val="000000"/>
                <w:sz w:val="18"/>
                <w:szCs w:val="18"/>
                <w:lang w:val="es-ES_tradnl" w:eastAsia="es-ES"/>
              </w:rPr>
              <w:t>el OE e informes periódicos de la CNBV</w:t>
            </w:r>
          </w:p>
        </w:tc>
        <w:tc>
          <w:tcPr>
            <w:tcW w:w="4354" w:type="dxa"/>
            <w:tcBorders>
              <w:top w:val="single" w:sz="12" w:space="0" w:color="000000"/>
              <w:left w:val="nil"/>
              <w:bottom w:val="nil"/>
              <w:right w:val="single" w:sz="8" w:space="0" w:color="000000"/>
            </w:tcBorders>
            <w:shd w:val="clear" w:color="auto" w:fill="auto"/>
            <w:vAlign w:val="center"/>
          </w:tcPr>
          <w:p w14:paraId="100D16CB" w14:textId="77777777" w:rsidR="00DF59CB" w:rsidRDefault="00DF59CB" w:rsidP="00DF59CB">
            <w:pPr>
              <w:spacing w:before="20" w:after="120" w:line="240" w:lineRule="auto"/>
              <w:jc w:val="both"/>
              <w:rPr>
                <w:rFonts w:ascii="Arial" w:hAnsi="Arial" w:cs="Arial"/>
                <w:sz w:val="18"/>
                <w:szCs w:val="18"/>
                <w:lang w:val="es-ES"/>
              </w:rPr>
            </w:pPr>
            <w:r>
              <w:rPr>
                <w:rFonts w:ascii="Arial" w:hAnsi="Arial" w:cs="Arial"/>
                <w:sz w:val="18"/>
                <w:szCs w:val="18"/>
                <w:lang w:val="es-ES"/>
              </w:rPr>
              <w:t>El indicador se define como:</w:t>
            </w:r>
          </w:p>
          <w:p w14:paraId="6130189D" w14:textId="77777777" w:rsidR="00DF59CB" w:rsidRDefault="00DF59CB" w:rsidP="00DF59CB">
            <w:pPr>
              <w:spacing w:before="20" w:after="120" w:line="240" w:lineRule="auto"/>
              <w:jc w:val="both"/>
              <w:rPr>
                <w:rFonts w:ascii="Arial" w:hAnsi="Arial" w:cs="Arial"/>
                <w:sz w:val="18"/>
                <w:szCs w:val="18"/>
                <w:lang w:val="es-ES"/>
              </w:rPr>
            </w:pPr>
            <m:oMathPara>
              <m:oMath>
                <m:r>
                  <w:rPr>
                    <w:rFonts w:ascii="Cambria Math" w:hAnsi="Cambria Math" w:cs="Arial"/>
                    <w:sz w:val="16"/>
                    <w:szCs w:val="16"/>
                    <w:lang w:val="es-ES"/>
                  </w:rPr>
                  <m:t>Indicador 2 =</m:t>
                </m:r>
                <m:f>
                  <m:fPr>
                    <m:ctrlPr>
                      <w:rPr>
                        <w:rFonts w:ascii="Cambria Math" w:hAnsi="Cambria Math" w:cs="Arial"/>
                        <w:i/>
                        <w:sz w:val="16"/>
                        <w:szCs w:val="16"/>
                        <w:lang w:val="es-ES"/>
                      </w:rPr>
                    </m:ctrlPr>
                  </m:fPr>
                  <m:num>
                    <m:r>
                      <w:rPr>
                        <w:rFonts w:ascii="Cambria Math" w:hAnsi="Cambria Math" w:cs="Arial"/>
                        <w:sz w:val="16"/>
                        <w:szCs w:val="16"/>
                        <w:lang w:val="es-ES"/>
                      </w:rPr>
                      <m:t>tasa de mora de MIPYME de NAFIN</m:t>
                    </m:r>
                  </m:num>
                  <m:den>
                    <m:r>
                      <w:rPr>
                        <w:rFonts w:ascii="Cambria Math" w:hAnsi="Cambria Math" w:cs="Arial"/>
                        <w:sz w:val="16"/>
                        <w:szCs w:val="16"/>
                        <w:lang w:val="es-ES"/>
                      </w:rPr>
                      <m:t>tasa de mora de MIPYME del sistema financiero</m:t>
                    </m:r>
                  </m:den>
                </m:f>
              </m:oMath>
            </m:oMathPara>
          </w:p>
          <w:p w14:paraId="0D2D1D56" w14:textId="77777777" w:rsidR="00DF59CB" w:rsidRDefault="00DF59CB" w:rsidP="00DF59CB">
            <w:pPr>
              <w:spacing w:before="20" w:after="120" w:line="240" w:lineRule="auto"/>
              <w:jc w:val="both"/>
              <w:rPr>
                <w:rFonts w:ascii="Arial" w:hAnsi="Arial" w:cs="Arial"/>
                <w:sz w:val="18"/>
                <w:szCs w:val="18"/>
                <w:lang w:val="es-ES"/>
              </w:rPr>
            </w:pPr>
            <w:r>
              <w:rPr>
                <w:rFonts w:ascii="Arial" w:hAnsi="Arial" w:cs="Arial"/>
                <w:sz w:val="18"/>
                <w:szCs w:val="18"/>
                <w:lang w:val="es-ES"/>
              </w:rPr>
              <w:t xml:space="preserve">La tasa de mora de </w:t>
            </w:r>
            <w:r w:rsidRPr="00832C4A">
              <w:rPr>
                <w:rFonts w:ascii="Arial" w:hAnsi="Arial" w:cs="Arial"/>
                <w:sz w:val="18"/>
                <w:szCs w:val="18"/>
                <w:lang w:val="es-ES"/>
              </w:rPr>
              <w:t>MiPyME</w:t>
            </w:r>
            <w:r>
              <w:rPr>
                <w:rFonts w:ascii="Arial" w:hAnsi="Arial" w:cs="Arial"/>
                <w:sz w:val="18"/>
                <w:szCs w:val="18"/>
                <w:lang w:val="es-ES"/>
              </w:rPr>
              <w:t xml:space="preserve"> de NAFIN se calcula con un </w:t>
            </w:r>
            <w:r w:rsidRPr="000C520B">
              <w:rPr>
                <w:rFonts w:ascii="Arial" w:hAnsi="Arial" w:cs="Arial"/>
                <w:i/>
                <w:iCs/>
                <w:sz w:val="18"/>
                <w:szCs w:val="18"/>
                <w:lang w:val="es-ES"/>
              </w:rPr>
              <w:t>proxy</w:t>
            </w:r>
            <w:r>
              <w:rPr>
                <w:rFonts w:ascii="Arial" w:hAnsi="Arial" w:cs="Arial"/>
                <w:sz w:val="18"/>
                <w:szCs w:val="18"/>
                <w:lang w:val="es-ES"/>
              </w:rPr>
              <w:t xml:space="preserve"> que es el índice de siniestralidad de la cartera garantizada por NAFIN para </w:t>
            </w:r>
            <w:r w:rsidRPr="00832C4A">
              <w:rPr>
                <w:rFonts w:ascii="Arial" w:hAnsi="Arial" w:cs="Arial"/>
                <w:sz w:val="18"/>
                <w:szCs w:val="18"/>
                <w:lang w:val="es-ES"/>
              </w:rPr>
              <w:t>MiPyME</w:t>
            </w:r>
            <w:r>
              <w:rPr>
                <w:rFonts w:ascii="Arial" w:hAnsi="Arial" w:cs="Arial"/>
                <w:sz w:val="18"/>
                <w:szCs w:val="18"/>
                <w:lang w:val="es-ES"/>
              </w:rPr>
              <w:t>, la cual 95% es para capital de trabajo. Durante el programa se buscará realizar una actualización con la tasa de mora de los IF principales.</w:t>
            </w:r>
          </w:p>
          <w:p w14:paraId="16CB2364" w14:textId="77777777" w:rsidR="00DF59CB" w:rsidRDefault="00DF59CB" w:rsidP="00DF59CB">
            <w:pPr>
              <w:spacing w:before="20" w:after="120" w:line="240" w:lineRule="auto"/>
              <w:jc w:val="both"/>
              <w:rPr>
                <w:rFonts w:ascii="Arial" w:hAnsi="Arial" w:cs="Arial"/>
                <w:sz w:val="18"/>
                <w:szCs w:val="18"/>
                <w:lang w:val="es-ES"/>
              </w:rPr>
            </w:pPr>
            <w:r>
              <w:rPr>
                <w:rFonts w:ascii="Arial" w:hAnsi="Arial" w:cs="Arial"/>
                <w:sz w:val="18"/>
                <w:szCs w:val="18"/>
                <w:lang w:val="es-ES"/>
              </w:rPr>
              <w:t xml:space="preserve">La tasa de mora de </w:t>
            </w:r>
            <w:r w:rsidRPr="00832C4A">
              <w:rPr>
                <w:rFonts w:ascii="Arial" w:hAnsi="Arial" w:cs="Arial"/>
                <w:sz w:val="18"/>
                <w:szCs w:val="18"/>
                <w:lang w:val="es-ES"/>
              </w:rPr>
              <w:t>MiPyME</w:t>
            </w:r>
            <w:r>
              <w:rPr>
                <w:rFonts w:ascii="Arial" w:hAnsi="Arial" w:cs="Arial"/>
                <w:sz w:val="18"/>
                <w:szCs w:val="18"/>
                <w:lang w:val="es-ES"/>
              </w:rPr>
              <w:t xml:space="preserve"> del sistema financiero se obtiene a partir del dato del IMOR de PyME para </w:t>
            </w:r>
            <w:r>
              <w:rPr>
                <w:rFonts w:ascii="Arial" w:hAnsi="Arial" w:cs="Arial"/>
                <w:sz w:val="18"/>
                <w:szCs w:val="18"/>
                <w:lang w:val="es-ES"/>
              </w:rPr>
              <w:lastRenderedPageBreak/>
              <w:t>la total banca múltiple, según reporte mensual de la CNBV.</w:t>
            </w:r>
          </w:p>
          <w:p w14:paraId="0A19812F" w14:textId="77777777" w:rsidR="00DF59CB" w:rsidRDefault="00DF59CB" w:rsidP="00DF59CB">
            <w:pPr>
              <w:spacing w:before="20" w:after="120" w:line="240" w:lineRule="auto"/>
              <w:jc w:val="both"/>
              <w:rPr>
                <w:rFonts w:ascii="Arial" w:hAnsi="Arial" w:cs="Arial"/>
                <w:sz w:val="18"/>
                <w:szCs w:val="18"/>
                <w:highlight w:val="yellow"/>
                <w:lang w:val="es-ES"/>
              </w:rPr>
            </w:pPr>
            <w:r w:rsidRPr="007915B2">
              <w:rPr>
                <w:rFonts w:ascii="Arial" w:hAnsi="Arial" w:cs="Arial"/>
                <w:sz w:val="18"/>
                <w:szCs w:val="18"/>
                <w:lang w:val="es-ES"/>
              </w:rPr>
              <w:t xml:space="preserve">La línea de base corresponde a la medición a </w:t>
            </w:r>
            <w:r w:rsidRPr="004B1B23">
              <w:rPr>
                <w:rFonts w:ascii="Arial" w:hAnsi="Arial" w:cs="Arial"/>
                <w:sz w:val="18"/>
                <w:szCs w:val="18"/>
                <w:lang w:val="es-ES"/>
              </w:rPr>
              <w:t xml:space="preserve">febrero de 2020 (tasa de mora de </w:t>
            </w:r>
            <w:r w:rsidRPr="00832C4A">
              <w:rPr>
                <w:rFonts w:ascii="Arial" w:hAnsi="Arial" w:cs="Arial"/>
                <w:sz w:val="18"/>
                <w:szCs w:val="18"/>
                <w:lang w:val="es-ES"/>
              </w:rPr>
              <w:t>MiPyME</w:t>
            </w:r>
            <w:r w:rsidRPr="004B1B23">
              <w:rPr>
                <w:rFonts w:ascii="Arial" w:hAnsi="Arial" w:cs="Arial"/>
                <w:sz w:val="18"/>
                <w:szCs w:val="18"/>
                <w:lang w:val="es-ES"/>
              </w:rPr>
              <w:t xml:space="preserve"> de NAFIN=</w:t>
            </w:r>
            <w:r>
              <w:rPr>
                <w:rFonts w:ascii="Arial" w:hAnsi="Arial" w:cs="Arial"/>
                <w:sz w:val="18"/>
                <w:szCs w:val="18"/>
                <w:lang w:val="es-ES"/>
              </w:rPr>
              <w:t>8%</w:t>
            </w:r>
            <w:r w:rsidRPr="004B1B23">
              <w:rPr>
                <w:rFonts w:ascii="Arial" w:hAnsi="Arial" w:cs="Arial"/>
                <w:sz w:val="18"/>
                <w:szCs w:val="18"/>
                <w:lang w:val="es-ES"/>
              </w:rPr>
              <w:t xml:space="preserve">; tasa de mora de </w:t>
            </w:r>
            <w:r w:rsidRPr="00832C4A">
              <w:rPr>
                <w:rFonts w:ascii="Arial" w:hAnsi="Arial" w:cs="Arial"/>
                <w:sz w:val="18"/>
                <w:szCs w:val="18"/>
                <w:lang w:val="es-ES"/>
              </w:rPr>
              <w:t>MiPyME</w:t>
            </w:r>
            <w:r w:rsidRPr="004B1B23">
              <w:rPr>
                <w:rFonts w:ascii="Arial" w:hAnsi="Arial" w:cs="Arial"/>
                <w:sz w:val="18"/>
                <w:szCs w:val="18"/>
                <w:lang w:val="es-ES"/>
              </w:rPr>
              <w:t xml:space="preserve"> del sistema financiero=5</w:t>
            </w:r>
            <w:r>
              <w:rPr>
                <w:rFonts w:ascii="Arial" w:hAnsi="Arial" w:cs="Arial"/>
                <w:sz w:val="18"/>
                <w:szCs w:val="18"/>
                <w:lang w:val="es-ES"/>
              </w:rPr>
              <w:t>,</w:t>
            </w:r>
            <w:r w:rsidRPr="004B1B23">
              <w:rPr>
                <w:rFonts w:ascii="Arial" w:hAnsi="Arial" w:cs="Arial"/>
                <w:sz w:val="18"/>
                <w:szCs w:val="18"/>
                <w:lang w:val="es-ES"/>
              </w:rPr>
              <w:t>93%</w:t>
            </w:r>
            <w:r>
              <w:rPr>
                <w:rFonts w:ascii="Arial" w:hAnsi="Arial" w:cs="Arial"/>
                <w:sz w:val="18"/>
                <w:szCs w:val="18"/>
                <w:lang w:val="es-ES"/>
              </w:rPr>
              <w:t>.</w:t>
            </w:r>
          </w:p>
          <w:p w14:paraId="7DA4C40F" w14:textId="455640C4" w:rsidR="00010D77" w:rsidRPr="00095785" w:rsidRDefault="00DF59CB" w:rsidP="00DF59CB">
            <w:pPr>
              <w:spacing w:before="20" w:after="120" w:line="240" w:lineRule="auto"/>
              <w:jc w:val="both"/>
              <w:rPr>
                <w:rFonts w:ascii="Arial" w:hAnsi="Arial" w:cs="Arial"/>
                <w:sz w:val="18"/>
                <w:szCs w:val="18"/>
                <w:lang w:val="es-ES"/>
              </w:rPr>
            </w:pPr>
            <w:r>
              <w:rPr>
                <w:rFonts w:ascii="Arial" w:hAnsi="Arial" w:cs="Arial"/>
                <w:sz w:val="18"/>
                <w:szCs w:val="18"/>
                <w:lang w:val="es-ES"/>
              </w:rPr>
              <w:t>La meta corresponde a la segunda medición, a ser obtenida 12 meses luego del inicio del programa. Se espera mantener un valor similar a la situación precrisis.</w:t>
            </w:r>
          </w:p>
        </w:tc>
      </w:tr>
      <w:tr w:rsidR="00010D77" w:rsidRPr="00266BBA" w14:paraId="1CB9FF20" w14:textId="77777777" w:rsidTr="008A4851">
        <w:trPr>
          <w:trHeight w:val="133"/>
          <w:jc w:val="center"/>
        </w:trPr>
        <w:tc>
          <w:tcPr>
            <w:tcW w:w="1975" w:type="dxa"/>
            <w:tcBorders>
              <w:top w:val="single" w:sz="8" w:space="0" w:color="000000"/>
              <w:left w:val="single" w:sz="8" w:space="0" w:color="000000"/>
              <w:bottom w:val="nil"/>
              <w:right w:val="single" w:sz="8" w:space="0" w:color="000000"/>
            </w:tcBorders>
            <w:shd w:val="clear" w:color="auto" w:fill="auto"/>
          </w:tcPr>
          <w:p w14:paraId="1DB96E6C" w14:textId="6C047BED" w:rsidR="00010D77" w:rsidRDefault="00010D77" w:rsidP="008A4851">
            <w:pPr>
              <w:spacing w:after="0" w:line="240" w:lineRule="auto"/>
              <w:rPr>
                <w:rFonts w:ascii="Arial" w:hAnsi="Arial" w:cs="Arial"/>
                <w:sz w:val="18"/>
                <w:szCs w:val="18"/>
                <w:lang w:val="es-ES"/>
              </w:rPr>
            </w:pPr>
            <w:r w:rsidRPr="1C7AA23B">
              <w:rPr>
                <w:rFonts w:ascii="Arial" w:hAnsi="Arial" w:cs="Arial"/>
                <w:b/>
                <w:bCs/>
                <w:sz w:val="18"/>
                <w:szCs w:val="18"/>
                <w:lang w:val="es-ES"/>
              </w:rPr>
              <w:lastRenderedPageBreak/>
              <w:t xml:space="preserve">Indicador </w:t>
            </w:r>
            <w:r w:rsidR="006819A9">
              <w:rPr>
                <w:rFonts w:ascii="Arial" w:hAnsi="Arial" w:cs="Arial"/>
                <w:b/>
                <w:bCs/>
                <w:sz w:val="18"/>
                <w:szCs w:val="18"/>
                <w:lang w:val="es-ES"/>
              </w:rPr>
              <w:t>3</w:t>
            </w:r>
            <w:r>
              <w:rPr>
                <w:rFonts w:ascii="Arial" w:hAnsi="Arial" w:cs="Arial"/>
                <w:b/>
                <w:bCs/>
                <w:sz w:val="18"/>
                <w:szCs w:val="18"/>
                <w:lang w:val="es-ES"/>
              </w:rPr>
              <w:t>.</w:t>
            </w:r>
            <w:r w:rsidRPr="1C7AA23B">
              <w:rPr>
                <w:rFonts w:ascii="Arial" w:hAnsi="Arial" w:cs="Arial"/>
                <w:sz w:val="18"/>
                <w:szCs w:val="18"/>
                <w:lang w:val="es-ES"/>
              </w:rPr>
              <w:t xml:space="preserve"> </w:t>
            </w:r>
            <w:r w:rsidRPr="004A5CE4">
              <w:rPr>
                <w:rFonts w:ascii="Arial" w:hAnsi="Arial" w:cs="Arial"/>
                <w:sz w:val="18"/>
                <w:szCs w:val="18"/>
                <w:lang w:val="es-ES"/>
              </w:rPr>
              <w:t xml:space="preserve">Saldo de </w:t>
            </w:r>
            <w:r>
              <w:rPr>
                <w:rFonts w:ascii="Arial" w:hAnsi="Arial" w:cs="Arial"/>
                <w:sz w:val="18"/>
                <w:szCs w:val="18"/>
                <w:lang w:val="es-ES"/>
              </w:rPr>
              <w:t xml:space="preserve">la </w:t>
            </w:r>
            <w:r w:rsidRPr="004A5CE4">
              <w:rPr>
                <w:rFonts w:ascii="Arial" w:hAnsi="Arial" w:cs="Arial"/>
                <w:sz w:val="18"/>
                <w:szCs w:val="18"/>
                <w:lang w:val="es-ES"/>
              </w:rPr>
              <w:t xml:space="preserve">cartera </w:t>
            </w:r>
            <w:r>
              <w:rPr>
                <w:rFonts w:ascii="Arial" w:hAnsi="Arial" w:cs="Arial"/>
                <w:sz w:val="18"/>
                <w:szCs w:val="18"/>
                <w:lang w:val="es-ES"/>
              </w:rPr>
              <w:t xml:space="preserve">de capital de trabajo para </w:t>
            </w:r>
            <w:r w:rsidR="007F7004" w:rsidRPr="007F7004">
              <w:rPr>
                <w:rFonts w:ascii="Arial" w:hAnsi="Arial" w:cs="Arial"/>
                <w:sz w:val="18"/>
                <w:szCs w:val="18"/>
                <w:lang w:val="es-ES"/>
              </w:rPr>
              <w:t>M</w:t>
            </w:r>
            <w:proofErr w:type="spellStart"/>
            <w:r w:rsidR="007F7004" w:rsidRPr="007F7004">
              <w:rPr>
                <w:rFonts w:ascii="Arial" w:hAnsi="Arial" w:cs="Arial"/>
                <w:sz w:val="18"/>
                <w:szCs w:val="18"/>
                <w:lang w:val="es-ES_tradnl"/>
              </w:rPr>
              <w:t>iPyME</w:t>
            </w:r>
            <w:proofErr w:type="spellEnd"/>
            <w:r>
              <w:rPr>
                <w:rFonts w:ascii="Arial" w:hAnsi="Arial" w:cs="Arial"/>
                <w:sz w:val="18"/>
                <w:szCs w:val="18"/>
                <w:lang w:val="es-ES"/>
              </w:rPr>
              <w:t xml:space="preserve"> de NAFIN</w:t>
            </w:r>
            <w:r w:rsidRPr="1C7AA23B">
              <w:rPr>
                <w:rFonts w:ascii="Arial" w:hAnsi="Arial" w:cs="Arial"/>
                <w:sz w:val="18"/>
                <w:szCs w:val="18"/>
                <w:lang w:val="es-ES"/>
              </w:rPr>
              <w:t>.</w:t>
            </w:r>
          </w:p>
          <w:p w14:paraId="1FBDD723" w14:textId="3CA1A1FE" w:rsidR="00010D77" w:rsidRPr="001F731F" w:rsidRDefault="00010D77" w:rsidP="008A4851">
            <w:pPr>
              <w:spacing w:after="0" w:line="240" w:lineRule="auto"/>
              <w:rPr>
                <w:rFonts w:ascii="Arial" w:eastAsia="Times New Roman" w:hAnsi="Arial" w:cs="Arial"/>
                <w:b/>
                <w:bCs/>
                <w:color w:val="000000"/>
                <w:sz w:val="18"/>
                <w:szCs w:val="18"/>
                <w:lang w:val="es-ES_tradnl" w:eastAsia="es-ES"/>
              </w:rPr>
            </w:pPr>
          </w:p>
        </w:tc>
        <w:tc>
          <w:tcPr>
            <w:tcW w:w="1170" w:type="dxa"/>
            <w:tcBorders>
              <w:top w:val="single" w:sz="8" w:space="0" w:color="000000"/>
              <w:left w:val="nil"/>
              <w:bottom w:val="nil"/>
              <w:right w:val="single" w:sz="8" w:space="0" w:color="000000"/>
            </w:tcBorders>
            <w:shd w:val="clear" w:color="auto" w:fill="auto"/>
          </w:tcPr>
          <w:p w14:paraId="50F31C8D" w14:textId="6EDAEADC" w:rsidR="00010D77" w:rsidRPr="001F731F" w:rsidRDefault="00010D77" w:rsidP="008A4851">
            <w:pPr>
              <w:spacing w:after="0" w:line="240" w:lineRule="auto"/>
              <w:jc w:val="center"/>
              <w:rPr>
                <w:rFonts w:ascii="Arial" w:eastAsia="Times New Roman" w:hAnsi="Arial" w:cs="Arial"/>
                <w:color w:val="000000"/>
                <w:sz w:val="18"/>
                <w:szCs w:val="18"/>
                <w:lang w:val="es-ES_tradnl" w:eastAsia="es-ES"/>
              </w:rPr>
            </w:pPr>
            <w:r>
              <w:rPr>
                <w:rFonts w:ascii="Arial" w:hAnsi="Arial" w:cs="Arial"/>
                <w:sz w:val="18"/>
                <w:szCs w:val="18"/>
                <w:lang w:val="es-ES"/>
              </w:rPr>
              <w:t>Millones de MXN</w:t>
            </w:r>
          </w:p>
        </w:tc>
        <w:tc>
          <w:tcPr>
            <w:tcW w:w="1800" w:type="dxa"/>
            <w:tcBorders>
              <w:top w:val="single" w:sz="8" w:space="0" w:color="000000"/>
              <w:left w:val="nil"/>
              <w:bottom w:val="nil"/>
              <w:right w:val="single" w:sz="8" w:space="0" w:color="000000"/>
            </w:tcBorders>
            <w:shd w:val="clear" w:color="auto" w:fill="auto"/>
          </w:tcPr>
          <w:p w14:paraId="199B27F7" w14:textId="77777777" w:rsidR="00010D77" w:rsidRPr="001F731F" w:rsidRDefault="00010D77" w:rsidP="008A4851">
            <w:pPr>
              <w:spacing w:after="0" w:line="240" w:lineRule="auto"/>
              <w:jc w:val="center"/>
              <w:rPr>
                <w:rFonts w:ascii="Arial" w:eastAsia="Times New Roman" w:hAnsi="Arial" w:cs="Arial"/>
                <w:color w:val="000000"/>
                <w:sz w:val="18"/>
                <w:szCs w:val="18"/>
                <w:lang w:val="es-ES_tradnl" w:eastAsia="es-ES"/>
              </w:rPr>
            </w:pPr>
            <w:r w:rsidRPr="001F731F">
              <w:rPr>
                <w:rFonts w:ascii="Arial" w:eastAsia="Times New Roman" w:hAnsi="Arial" w:cs="Arial"/>
                <w:color w:val="000000"/>
                <w:sz w:val="18"/>
                <w:szCs w:val="18"/>
                <w:lang w:val="es-ES_tradnl" w:eastAsia="es-ES"/>
              </w:rPr>
              <w:t xml:space="preserve">Información de seguimiento y monitoreo </w:t>
            </w:r>
            <w:r>
              <w:rPr>
                <w:rFonts w:ascii="Arial" w:eastAsia="Times New Roman" w:hAnsi="Arial" w:cs="Arial"/>
                <w:color w:val="000000"/>
                <w:sz w:val="18"/>
                <w:szCs w:val="18"/>
                <w:lang w:val="es-ES_tradnl" w:eastAsia="es-ES"/>
              </w:rPr>
              <w:t>del programa recolectada po</w:t>
            </w:r>
            <w:r w:rsidRPr="001F731F">
              <w:rPr>
                <w:rFonts w:ascii="Arial" w:eastAsia="Times New Roman" w:hAnsi="Arial" w:cs="Arial"/>
                <w:color w:val="000000"/>
                <w:sz w:val="18"/>
                <w:szCs w:val="18"/>
                <w:lang w:val="es-ES_tradnl" w:eastAsia="es-ES"/>
              </w:rPr>
              <w:t xml:space="preserve">r </w:t>
            </w:r>
            <w:r>
              <w:rPr>
                <w:rFonts w:ascii="Arial" w:eastAsia="Times New Roman" w:hAnsi="Arial" w:cs="Arial"/>
                <w:color w:val="000000"/>
                <w:sz w:val="18"/>
                <w:szCs w:val="18"/>
                <w:lang w:val="es-ES_tradnl" w:eastAsia="es-ES"/>
              </w:rPr>
              <w:t>el OE</w:t>
            </w:r>
          </w:p>
        </w:tc>
        <w:tc>
          <w:tcPr>
            <w:tcW w:w="4354" w:type="dxa"/>
            <w:tcBorders>
              <w:top w:val="single" w:sz="8" w:space="0" w:color="000000"/>
              <w:left w:val="nil"/>
              <w:bottom w:val="nil"/>
              <w:right w:val="single" w:sz="8" w:space="0" w:color="000000"/>
            </w:tcBorders>
            <w:shd w:val="clear" w:color="auto" w:fill="auto"/>
            <w:vAlign w:val="center"/>
          </w:tcPr>
          <w:p w14:paraId="59238292" w14:textId="77777777" w:rsidR="007B6BB1" w:rsidRDefault="007B6BB1" w:rsidP="007B6BB1">
            <w:pPr>
              <w:spacing w:line="240" w:lineRule="auto"/>
              <w:jc w:val="both"/>
              <w:rPr>
                <w:rFonts w:ascii="Arial" w:hAnsi="Arial" w:cs="Arial"/>
                <w:sz w:val="18"/>
                <w:szCs w:val="18"/>
                <w:lang w:val="es-ES"/>
              </w:rPr>
            </w:pPr>
            <w:r>
              <w:rPr>
                <w:rFonts w:ascii="Arial" w:hAnsi="Arial" w:cs="Arial"/>
                <w:sz w:val="18"/>
                <w:szCs w:val="18"/>
                <w:lang w:val="es-ES"/>
              </w:rPr>
              <w:t>El indicador se mide como el</w:t>
            </w:r>
            <w:r w:rsidRPr="00A6497C">
              <w:rPr>
                <w:rFonts w:ascii="Arial" w:hAnsi="Arial" w:cs="Arial"/>
                <w:sz w:val="18"/>
                <w:szCs w:val="18"/>
                <w:lang w:val="es-ES"/>
              </w:rPr>
              <w:t xml:space="preserve"> saldo de cartera de crédito</w:t>
            </w:r>
            <w:r>
              <w:rPr>
                <w:rFonts w:ascii="Arial" w:hAnsi="Arial" w:cs="Arial"/>
                <w:sz w:val="18"/>
                <w:szCs w:val="18"/>
                <w:lang w:val="es-ES"/>
              </w:rPr>
              <w:t xml:space="preserve"> a</w:t>
            </w:r>
            <w:r w:rsidRPr="00A6497C">
              <w:rPr>
                <w:rFonts w:ascii="Arial" w:hAnsi="Arial" w:cs="Arial"/>
                <w:sz w:val="18"/>
                <w:szCs w:val="18"/>
                <w:lang w:val="es-ES"/>
              </w:rPr>
              <w:t xml:space="preserve"> </w:t>
            </w:r>
            <w:r w:rsidRPr="00832C4A">
              <w:rPr>
                <w:rFonts w:ascii="Arial" w:hAnsi="Arial" w:cs="Arial"/>
                <w:sz w:val="18"/>
                <w:szCs w:val="18"/>
                <w:lang w:val="es-ES"/>
              </w:rPr>
              <w:t>MiPyME</w:t>
            </w:r>
            <w:r>
              <w:rPr>
                <w:rFonts w:ascii="Arial" w:hAnsi="Arial" w:cs="Arial"/>
                <w:sz w:val="18"/>
                <w:szCs w:val="18"/>
                <w:lang w:val="es-ES"/>
              </w:rPr>
              <w:t xml:space="preserve"> para capital de trabajo.</w:t>
            </w:r>
          </w:p>
          <w:p w14:paraId="4254F88D" w14:textId="77777777" w:rsidR="007B6BB1" w:rsidRPr="004E7DD7" w:rsidRDefault="007B6BB1" w:rsidP="007B6BB1">
            <w:pPr>
              <w:spacing w:line="240" w:lineRule="auto"/>
              <w:jc w:val="both"/>
              <w:rPr>
                <w:rFonts w:ascii="Arial" w:hAnsi="Arial" w:cs="Arial"/>
                <w:b/>
                <w:bCs/>
                <w:sz w:val="18"/>
                <w:szCs w:val="18"/>
                <w:lang w:val="es-ES_tradnl"/>
              </w:rPr>
            </w:pPr>
            <w:r>
              <w:rPr>
                <w:rFonts w:ascii="Arial" w:hAnsi="Arial" w:cs="Arial"/>
                <w:sz w:val="18"/>
                <w:szCs w:val="18"/>
                <w:lang w:val="es-ES"/>
              </w:rPr>
              <w:t xml:space="preserve">La </w:t>
            </w:r>
            <w:r w:rsidRPr="004E7DD7">
              <w:rPr>
                <w:rFonts w:ascii="Arial" w:hAnsi="Arial" w:cs="Arial"/>
                <w:sz w:val="18"/>
                <w:szCs w:val="18"/>
                <w:lang w:val="es-ES"/>
              </w:rPr>
              <w:t xml:space="preserve">línea base considera el saldo a febrero 2020. </w:t>
            </w:r>
            <w:r>
              <w:rPr>
                <w:rFonts w:ascii="Arial" w:hAnsi="Arial" w:cs="Arial"/>
                <w:sz w:val="18"/>
                <w:szCs w:val="18"/>
                <w:lang w:val="es-ES"/>
              </w:rPr>
              <w:t>D</w:t>
            </w:r>
            <w:r w:rsidRPr="00C637F9">
              <w:rPr>
                <w:rFonts w:ascii="Arial" w:hAnsi="Arial" w:cs="Arial"/>
                <w:sz w:val="18"/>
                <w:szCs w:val="18"/>
                <w:lang w:val="es-ES"/>
              </w:rPr>
              <w:t>ebido a la in</w:t>
            </w:r>
            <w:r>
              <w:rPr>
                <w:rFonts w:ascii="Arial" w:hAnsi="Arial" w:cs="Arial"/>
                <w:sz w:val="18"/>
                <w:szCs w:val="18"/>
                <w:lang w:val="es-ES"/>
              </w:rPr>
              <w:t>c</w:t>
            </w:r>
            <w:r w:rsidRPr="00C637F9">
              <w:rPr>
                <w:rFonts w:ascii="Arial" w:hAnsi="Arial" w:cs="Arial"/>
                <w:sz w:val="18"/>
                <w:szCs w:val="18"/>
                <w:lang w:val="es-ES"/>
              </w:rPr>
              <w:t>ertidumb</w:t>
            </w:r>
            <w:r>
              <w:rPr>
                <w:rFonts w:ascii="Arial" w:hAnsi="Arial" w:cs="Arial"/>
                <w:sz w:val="18"/>
                <w:szCs w:val="18"/>
                <w:lang w:val="es-ES"/>
              </w:rPr>
              <w:t>r</w:t>
            </w:r>
            <w:r w:rsidRPr="00C637F9">
              <w:rPr>
                <w:rFonts w:ascii="Arial" w:hAnsi="Arial" w:cs="Arial"/>
                <w:sz w:val="18"/>
                <w:szCs w:val="18"/>
                <w:lang w:val="es-ES"/>
              </w:rPr>
              <w:t>e sobre la evolución de cartera</w:t>
            </w:r>
            <w:r>
              <w:rPr>
                <w:rFonts w:ascii="Arial" w:hAnsi="Arial" w:cs="Arial"/>
                <w:sz w:val="18"/>
                <w:szCs w:val="18"/>
                <w:lang w:val="es-ES"/>
              </w:rPr>
              <w:t>, en donde hubo una caída de la cartera en segundo piso del 11% en 2019 pero ha ido en aumento en meses recientes por el aumento en la demanda de crédito derivado de la crisis</w:t>
            </w:r>
            <w:r w:rsidRPr="00C637F9">
              <w:rPr>
                <w:rFonts w:ascii="Arial" w:hAnsi="Arial" w:cs="Arial"/>
                <w:sz w:val="18"/>
                <w:szCs w:val="18"/>
                <w:lang w:val="es-ES"/>
              </w:rPr>
              <w:t xml:space="preserve">, </w:t>
            </w:r>
            <w:r>
              <w:rPr>
                <w:rFonts w:ascii="Arial" w:hAnsi="Arial" w:cs="Arial"/>
                <w:sz w:val="18"/>
                <w:szCs w:val="18"/>
                <w:lang w:val="es-ES"/>
              </w:rPr>
              <w:t>s</w:t>
            </w:r>
            <w:r w:rsidRPr="00C637F9">
              <w:rPr>
                <w:rFonts w:ascii="Arial" w:hAnsi="Arial" w:cs="Arial"/>
                <w:sz w:val="18"/>
                <w:szCs w:val="18"/>
                <w:lang w:val="es-ES"/>
              </w:rPr>
              <w:t>e asume con</w:t>
            </w:r>
            <w:r>
              <w:rPr>
                <w:rFonts w:ascii="Arial" w:hAnsi="Arial" w:cs="Arial"/>
                <w:sz w:val="18"/>
                <w:szCs w:val="18"/>
                <w:lang w:val="es-ES"/>
              </w:rPr>
              <w:t>se</w:t>
            </w:r>
            <w:r w:rsidRPr="00C637F9">
              <w:rPr>
                <w:rFonts w:ascii="Arial" w:hAnsi="Arial" w:cs="Arial"/>
                <w:sz w:val="18"/>
                <w:szCs w:val="18"/>
                <w:lang w:val="es-ES"/>
              </w:rPr>
              <w:t xml:space="preserve">rvadoramente que el saldo va a aumentar en por lo menos la proporción de los recursos del programa. </w:t>
            </w:r>
            <w:r>
              <w:rPr>
                <w:rFonts w:ascii="Arial" w:hAnsi="Arial" w:cs="Arial"/>
                <w:sz w:val="18"/>
                <w:szCs w:val="18"/>
                <w:lang w:val="es-ES"/>
              </w:rPr>
              <w:t xml:space="preserve"> S</w:t>
            </w:r>
            <w:r w:rsidRPr="00C637F9">
              <w:rPr>
                <w:rFonts w:ascii="Arial" w:hAnsi="Arial" w:cs="Arial"/>
                <w:sz w:val="18"/>
                <w:szCs w:val="18"/>
                <w:lang w:val="es-ES"/>
              </w:rPr>
              <w:t xml:space="preserve">in la disposición de estos recursos, habría menor financiamiento a </w:t>
            </w:r>
            <w:r w:rsidRPr="00832C4A">
              <w:rPr>
                <w:rFonts w:ascii="Arial" w:hAnsi="Arial" w:cs="Arial"/>
                <w:sz w:val="18"/>
                <w:szCs w:val="18"/>
                <w:lang w:val="es-ES"/>
              </w:rPr>
              <w:t>MiPyME</w:t>
            </w:r>
            <w:r w:rsidRPr="00C637F9">
              <w:rPr>
                <w:rFonts w:ascii="Arial" w:hAnsi="Arial" w:cs="Arial"/>
                <w:sz w:val="18"/>
                <w:szCs w:val="18"/>
                <w:lang w:val="es-ES"/>
              </w:rPr>
              <w:t xml:space="preserve"> en un monto igual al programa</w:t>
            </w:r>
            <w:r>
              <w:rPr>
                <w:rFonts w:ascii="Arial" w:hAnsi="Arial" w:cs="Arial"/>
                <w:sz w:val="18"/>
                <w:szCs w:val="18"/>
                <w:lang w:val="es-ES"/>
              </w:rPr>
              <w:t>.</w:t>
            </w:r>
          </w:p>
          <w:p w14:paraId="7058E0EE" w14:textId="50D00713" w:rsidR="00010D77" w:rsidRPr="00010D77" w:rsidRDefault="007B6BB1" w:rsidP="007B6BB1">
            <w:pPr>
              <w:spacing w:line="240" w:lineRule="auto"/>
              <w:jc w:val="both"/>
              <w:rPr>
                <w:rFonts w:ascii="Arial" w:hAnsi="Arial" w:cs="Arial"/>
                <w:sz w:val="18"/>
                <w:szCs w:val="18"/>
                <w:lang w:val="es-ES"/>
              </w:rPr>
            </w:pPr>
            <w:r>
              <w:rPr>
                <w:rFonts w:ascii="Arial" w:hAnsi="Arial" w:cs="Arial"/>
                <w:sz w:val="18"/>
                <w:szCs w:val="18"/>
                <w:lang w:val="es-ES"/>
              </w:rPr>
              <w:t>Al momento de realización de este documento, la tasa de cambio corresponde a unos MXN$22 por US$1.</w:t>
            </w:r>
          </w:p>
        </w:tc>
      </w:tr>
      <w:tr w:rsidR="00494070" w:rsidRPr="001F731F" w14:paraId="50537562" w14:textId="77777777" w:rsidTr="00D95B9E">
        <w:trPr>
          <w:trHeight w:val="320"/>
          <w:jc w:val="center"/>
        </w:trPr>
        <w:tc>
          <w:tcPr>
            <w:tcW w:w="9299" w:type="dxa"/>
            <w:gridSpan w:val="4"/>
            <w:tcBorders>
              <w:top w:val="single" w:sz="8" w:space="0" w:color="000000"/>
              <w:left w:val="single" w:sz="8" w:space="0" w:color="000000"/>
              <w:bottom w:val="single" w:sz="8" w:space="0" w:color="000000"/>
              <w:right w:val="single" w:sz="8" w:space="0" w:color="000000"/>
            </w:tcBorders>
            <w:shd w:val="clear" w:color="000000" w:fill="D9D9D9"/>
            <w:vAlign w:val="center"/>
            <w:hideMark/>
          </w:tcPr>
          <w:p w14:paraId="5CFC263A" w14:textId="77777777" w:rsidR="00494070" w:rsidRPr="001F731F" w:rsidRDefault="00494070" w:rsidP="00494070">
            <w:pPr>
              <w:spacing w:after="0" w:line="240" w:lineRule="auto"/>
              <w:jc w:val="center"/>
              <w:rPr>
                <w:rFonts w:ascii="Arial" w:eastAsia="Times New Roman" w:hAnsi="Arial" w:cs="Arial"/>
                <w:b/>
                <w:bCs/>
                <w:color w:val="000000"/>
                <w:sz w:val="18"/>
                <w:szCs w:val="18"/>
                <w:lang w:val="es-ES_tradnl" w:eastAsia="es-ES"/>
              </w:rPr>
            </w:pPr>
            <w:r w:rsidRPr="001F731F">
              <w:rPr>
                <w:rFonts w:ascii="Arial" w:eastAsia="Times New Roman" w:hAnsi="Arial" w:cs="Arial"/>
                <w:b/>
                <w:bCs/>
                <w:color w:val="000000"/>
                <w:sz w:val="18"/>
                <w:szCs w:val="18"/>
                <w:lang w:val="es-ES_tradnl" w:eastAsia="es-ES"/>
              </w:rPr>
              <w:t>Indicadores de Producto</w:t>
            </w:r>
          </w:p>
        </w:tc>
      </w:tr>
      <w:tr w:rsidR="00494070" w:rsidRPr="00266BBA" w14:paraId="03458F45" w14:textId="77777777" w:rsidTr="00D95B9E">
        <w:trPr>
          <w:trHeight w:val="320"/>
          <w:jc w:val="center"/>
        </w:trPr>
        <w:tc>
          <w:tcPr>
            <w:tcW w:w="9299" w:type="dxa"/>
            <w:gridSpan w:val="4"/>
            <w:tcBorders>
              <w:top w:val="single" w:sz="8" w:space="0" w:color="000000"/>
              <w:left w:val="single" w:sz="8" w:space="0" w:color="000000"/>
              <w:bottom w:val="single" w:sz="8" w:space="0" w:color="000000"/>
              <w:right w:val="single" w:sz="8" w:space="0" w:color="000000"/>
            </w:tcBorders>
            <w:shd w:val="clear" w:color="000000" w:fill="C2D69B"/>
            <w:vAlign w:val="center"/>
            <w:hideMark/>
          </w:tcPr>
          <w:p w14:paraId="2CCB032D" w14:textId="0C5B79FC" w:rsidR="00494070" w:rsidRPr="001F731F" w:rsidRDefault="00494070" w:rsidP="00494070">
            <w:pPr>
              <w:spacing w:after="0" w:line="240" w:lineRule="auto"/>
              <w:jc w:val="both"/>
              <w:rPr>
                <w:rFonts w:ascii="Arial" w:eastAsia="Times New Roman" w:hAnsi="Arial" w:cs="Arial"/>
                <w:b/>
                <w:bCs/>
                <w:color w:val="000000"/>
                <w:sz w:val="18"/>
                <w:szCs w:val="18"/>
                <w:u w:val="single"/>
                <w:lang w:val="es-ES_tradnl" w:eastAsia="es-ES"/>
              </w:rPr>
            </w:pPr>
            <w:r w:rsidRPr="001F731F">
              <w:rPr>
                <w:rFonts w:ascii="Arial" w:eastAsia="Times New Roman" w:hAnsi="Arial" w:cs="Arial"/>
                <w:b/>
                <w:bCs/>
                <w:color w:val="000000"/>
                <w:sz w:val="18"/>
                <w:szCs w:val="18"/>
                <w:u w:val="single"/>
                <w:lang w:val="es-ES_tradnl" w:eastAsia="es-ES"/>
              </w:rPr>
              <w:t xml:space="preserve">Componente </w:t>
            </w:r>
            <w:r w:rsidR="00124701">
              <w:rPr>
                <w:rFonts w:ascii="Arial" w:eastAsia="Times New Roman" w:hAnsi="Arial" w:cs="Arial"/>
                <w:b/>
                <w:bCs/>
                <w:color w:val="000000"/>
                <w:sz w:val="18"/>
                <w:szCs w:val="18"/>
                <w:u w:val="single"/>
                <w:lang w:val="es-ES_tradnl" w:eastAsia="es-ES"/>
              </w:rPr>
              <w:t>Único</w:t>
            </w:r>
            <w:r w:rsidRPr="001F731F">
              <w:rPr>
                <w:rFonts w:ascii="Arial" w:eastAsia="Times New Roman" w:hAnsi="Arial" w:cs="Arial"/>
                <w:b/>
                <w:bCs/>
                <w:color w:val="000000"/>
                <w:sz w:val="18"/>
                <w:szCs w:val="18"/>
                <w:u w:val="single"/>
                <w:lang w:val="es-ES_tradnl" w:eastAsia="es-ES"/>
              </w:rPr>
              <w:t xml:space="preserve">: </w:t>
            </w:r>
            <w:r w:rsidR="00124701" w:rsidRPr="00124701">
              <w:rPr>
                <w:rFonts w:ascii="Arial" w:hAnsi="Arial" w:cs="Arial"/>
                <w:b/>
                <w:bCs/>
                <w:sz w:val="18"/>
                <w:szCs w:val="18"/>
                <w:u w:val="single"/>
                <w:lang w:val="es-ES" w:eastAsia="zh-CN"/>
              </w:rPr>
              <w:t xml:space="preserve">Apoyo a la </w:t>
            </w:r>
            <w:r w:rsidR="00124701" w:rsidRPr="00124701">
              <w:rPr>
                <w:rFonts w:ascii="Arial" w:hAnsi="Arial" w:cs="Arial"/>
                <w:b/>
                <w:bCs/>
                <w:sz w:val="18"/>
                <w:szCs w:val="18"/>
                <w:u w:val="single"/>
                <w:lang w:val="es-ES_tradnl" w:eastAsia="zh-CN"/>
              </w:rPr>
              <w:t>la sostenibilidad financiera de corto plazo de las MiPyME</w:t>
            </w:r>
            <w:r w:rsidR="00124701" w:rsidRPr="00124701">
              <w:rPr>
                <w:rFonts w:ascii="Arial" w:hAnsi="Arial" w:cs="Arial"/>
                <w:b/>
                <w:sz w:val="18"/>
                <w:szCs w:val="18"/>
                <w:u w:val="single"/>
                <w:lang w:val="es-ES" w:eastAsia="zh-CN"/>
              </w:rPr>
              <w:t xml:space="preserve"> </w:t>
            </w:r>
            <w:r w:rsidRPr="00865DAC">
              <w:rPr>
                <w:rFonts w:ascii="Arial" w:hAnsi="Arial" w:cs="Arial"/>
                <w:b/>
                <w:smallCaps/>
                <w:sz w:val="18"/>
                <w:szCs w:val="18"/>
                <w:u w:val="single"/>
                <w:lang w:val="es-ES"/>
              </w:rPr>
              <w:t>(</w:t>
            </w:r>
            <w:r w:rsidRPr="00ED6B33">
              <w:rPr>
                <w:rFonts w:ascii="Arial Bold" w:hAnsi="Arial Bold" w:cs="Arial"/>
                <w:b/>
                <w:sz w:val="18"/>
                <w:szCs w:val="18"/>
                <w:u w:val="single"/>
                <w:lang w:val="es-ES"/>
              </w:rPr>
              <w:t>US$</w:t>
            </w:r>
            <w:r w:rsidR="00010D77" w:rsidRPr="00ED6B33">
              <w:rPr>
                <w:rFonts w:ascii="Arial Bold" w:hAnsi="Arial Bold" w:cs="Arial"/>
                <w:b/>
                <w:sz w:val="18"/>
                <w:szCs w:val="18"/>
                <w:u w:val="single"/>
                <w:lang w:val="es-ES"/>
              </w:rPr>
              <w:t>54</w:t>
            </w:r>
            <w:r w:rsidR="00CB4644" w:rsidRPr="00ED6B33">
              <w:rPr>
                <w:rFonts w:ascii="Arial Bold" w:hAnsi="Arial Bold" w:cs="Arial"/>
                <w:b/>
                <w:sz w:val="18"/>
                <w:szCs w:val="18"/>
                <w:u w:val="single"/>
                <w:lang w:val="es-ES"/>
              </w:rPr>
              <w:t>,</w:t>
            </w:r>
            <w:r w:rsidR="00010D77" w:rsidRPr="00ED6B33">
              <w:rPr>
                <w:rFonts w:ascii="Arial Bold" w:hAnsi="Arial Bold" w:cs="Arial"/>
                <w:b/>
                <w:sz w:val="18"/>
                <w:szCs w:val="18"/>
                <w:u w:val="single"/>
                <w:lang w:val="es-ES"/>
              </w:rPr>
              <w:t>3</w:t>
            </w:r>
            <w:r w:rsidR="0091179C" w:rsidRPr="00ED6B33">
              <w:rPr>
                <w:rFonts w:ascii="Arial Bold" w:hAnsi="Arial Bold" w:cs="Arial"/>
                <w:b/>
                <w:sz w:val="18"/>
                <w:szCs w:val="18"/>
                <w:u w:val="single"/>
                <w:lang w:val="es-ES"/>
              </w:rPr>
              <w:t xml:space="preserve"> millones</w:t>
            </w:r>
            <w:r w:rsidRPr="00865DAC">
              <w:rPr>
                <w:rFonts w:ascii="Arial" w:hAnsi="Arial" w:cs="Arial"/>
                <w:b/>
                <w:smallCaps/>
                <w:sz w:val="18"/>
                <w:szCs w:val="18"/>
                <w:u w:val="single"/>
                <w:lang w:val="es-ES"/>
              </w:rPr>
              <w:t>)</w:t>
            </w:r>
          </w:p>
        </w:tc>
      </w:tr>
      <w:tr w:rsidR="001B6C9E" w:rsidRPr="00266BBA" w14:paraId="6AB21307" w14:textId="77777777" w:rsidTr="002855DC">
        <w:trPr>
          <w:trHeight w:val="1510"/>
          <w:jc w:val="center"/>
        </w:trPr>
        <w:tc>
          <w:tcPr>
            <w:tcW w:w="1975" w:type="dxa"/>
            <w:tcBorders>
              <w:top w:val="nil"/>
              <w:left w:val="single" w:sz="8" w:space="0" w:color="000000"/>
              <w:bottom w:val="single" w:sz="8" w:space="0" w:color="000000"/>
              <w:right w:val="single" w:sz="8" w:space="0" w:color="000000"/>
            </w:tcBorders>
            <w:shd w:val="clear" w:color="auto" w:fill="auto"/>
            <w:hideMark/>
          </w:tcPr>
          <w:p w14:paraId="52B675A9" w14:textId="1125FE9D" w:rsidR="001B6C9E" w:rsidRPr="001F731F" w:rsidRDefault="001B6C9E" w:rsidP="002855DC">
            <w:pPr>
              <w:spacing w:after="0" w:line="240" w:lineRule="auto"/>
              <w:rPr>
                <w:rFonts w:ascii="Arial" w:eastAsia="Times New Roman" w:hAnsi="Arial" w:cs="Arial"/>
                <w:b/>
                <w:bCs/>
                <w:color w:val="000000"/>
                <w:sz w:val="18"/>
                <w:szCs w:val="18"/>
                <w:lang w:val="es-ES_tradnl" w:eastAsia="es-ES"/>
              </w:rPr>
            </w:pPr>
            <w:r w:rsidRPr="00865DAC">
              <w:rPr>
                <w:rFonts w:ascii="Arial" w:hAnsi="Arial" w:cs="Arial"/>
                <w:b/>
                <w:sz w:val="18"/>
                <w:szCs w:val="18"/>
                <w:lang w:val="es-ES"/>
              </w:rPr>
              <w:t>Producto 1:</w:t>
            </w:r>
            <w:r w:rsidRPr="00865DAC">
              <w:rPr>
                <w:rFonts w:ascii="Arial" w:hAnsi="Arial" w:cs="Arial"/>
                <w:sz w:val="18"/>
                <w:szCs w:val="18"/>
                <w:lang w:val="es-ES"/>
              </w:rPr>
              <w:t xml:space="preserve"> </w:t>
            </w:r>
            <w:r>
              <w:rPr>
                <w:rFonts w:ascii="Arial" w:hAnsi="Arial" w:cs="Arial"/>
                <w:sz w:val="18"/>
                <w:szCs w:val="18"/>
                <w:lang w:val="es-ES"/>
              </w:rPr>
              <w:t xml:space="preserve">Monto otorgado para el financiamiento de capital de trabajo para </w:t>
            </w:r>
            <w:r w:rsidR="007F7004" w:rsidRPr="007F7004">
              <w:rPr>
                <w:rFonts w:ascii="Arial" w:hAnsi="Arial" w:cs="Arial"/>
                <w:sz w:val="18"/>
                <w:szCs w:val="18"/>
                <w:lang w:val="es-ES"/>
              </w:rPr>
              <w:t>M</w:t>
            </w:r>
            <w:proofErr w:type="spellStart"/>
            <w:r w:rsidR="007F7004" w:rsidRPr="007F7004">
              <w:rPr>
                <w:rFonts w:ascii="Arial" w:hAnsi="Arial" w:cs="Arial"/>
                <w:sz w:val="18"/>
                <w:szCs w:val="18"/>
                <w:lang w:val="es-ES_tradnl"/>
              </w:rPr>
              <w:t>iPyME</w:t>
            </w:r>
            <w:proofErr w:type="spellEnd"/>
            <w:r>
              <w:rPr>
                <w:rFonts w:ascii="Arial" w:hAnsi="Arial" w:cs="Arial"/>
                <w:sz w:val="18"/>
                <w:szCs w:val="18"/>
                <w:lang w:val="es-ES"/>
              </w:rPr>
              <w:t>.</w:t>
            </w:r>
          </w:p>
        </w:tc>
        <w:tc>
          <w:tcPr>
            <w:tcW w:w="1170" w:type="dxa"/>
            <w:tcBorders>
              <w:top w:val="nil"/>
              <w:left w:val="nil"/>
              <w:bottom w:val="single" w:sz="8" w:space="0" w:color="000000"/>
              <w:right w:val="single" w:sz="8" w:space="0" w:color="000000"/>
            </w:tcBorders>
            <w:shd w:val="clear" w:color="auto" w:fill="auto"/>
            <w:hideMark/>
          </w:tcPr>
          <w:p w14:paraId="3CCCC011" w14:textId="7973E58C" w:rsidR="001B6C9E" w:rsidRPr="001F731F" w:rsidRDefault="0091179C" w:rsidP="002855DC">
            <w:pPr>
              <w:spacing w:after="0" w:line="240" w:lineRule="auto"/>
              <w:jc w:val="center"/>
              <w:rPr>
                <w:rFonts w:ascii="Arial" w:eastAsia="Times New Roman" w:hAnsi="Arial" w:cs="Arial"/>
                <w:color w:val="000000"/>
                <w:sz w:val="18"/>
                <w:szCs w:val="18"/>
                <w:lang w:val="es-ES_tradnl" w:eastAsia="es-ES"/>
              </w:rPr>
            </w:pPr>
            <w:r>
              <w:rPr>
                <w:rFonts w:ascii="Arial" w:hAnsi="Arial" w:cs="Arial"/>
                <w:sz w:val="18"/>
                <w:szCs w:val="18"/>
                <w:lang w:val="es-ES_tradnl"/>
              </w:rPr>
              <w:t xml:space="preserve">Millones de </w:t>
            </w:r>
            <w:r w:rsidR="001B6C9E" w:rsidRPr="1E090056">
              <w:rPr>
                <w:rFonts w:ascii="Arial" w:hAnsi="Arial" w:cs="Arial"/>
                <w:sz w:val="18"/>
                <w:szCs w:val="18"/>
                <w:lang w:val="es-ES"/>
              </w:rPr>
              <w:t>US$</w:t>
            </w:r>
          </w:p>
        </w:tc>
        <w:tc>
          <w:tcPr>
            <w:tcW w:w="1800" w:type="dxa"/>
            <w:tcBorders>
              <w:top w:val="nil"/>
              <w:left w:val="nil"/>
              <w:bottom w:val="single" w:sz="8" w:space="0" w:color="000000"/>
              <w:right w:val="single" w:sz="8" w:space="0" w:color="000000"/>
            </w:tcBorders>
            <w:shd w:val="clear" w:color="auto" w:fill="auto"/>
          </w:tcPr>
          <w:p w14:paraId="15F126B1" w14:textId="0352E5CB" w:rsidR="001B6C9E" w:rsidRPr="001F731F" w:rsidRDefault="001B6C9E" w:rsidP="002855DC">
            <w:pPr>
              <w:spacing w:after="0" w:line="240" w:lineRule="auto"/>
              <w:jc w:val="center"/>
              <w:rPr>
                <w:rFonts w:ascii="Arial" w:eastAsia="Times New Roman" w:hAnsi="Arial" w:cs="Arial"/>
                <w:color w:val="000000"/>
                <w:sz w:val="18"/>
                <w:szCs w:val="18"/>
                <w:lang w:val="es-ES_tradnl" w:eastAsia="es-ES"/>
              </w:rPr>
            </w:pPr>
            <w:r w:rsidRPr="001B6C9E">
              <w:rPr>
                <w:rFonts w:ascii="Arial" w:eastAsia="Times New Roman" w:hAnsi="Arial" w:cs="Arial"/>
                <w:color w:val="000000"/>
                <w:sz w:val="18"/>
                <w:szCs w:val="18"/>
                <w:lang w:val="es-ES_tradnl" w:eastAsia="es-ES"/>
              </w:rPr>
              <w:t xml:space="preserve">Información de seguimiento y monitoreo procesada por </w:t>
            </w:r>
            <w:r>
              <w:rPr>
                <w:rFonts w:ascii="Arial" w:eastAsia="Times New Roman" w:hAnsi="Arial" w:cs="Arial"/>
                <w:color w:val="000000"/>
                <w:sz w:val="18"/>
                <w:szCs w:val="18"/>
                <w:lang w:val="es-ES_tradnl" w:eastAsia="es-ES"/>
              </w:rPr>
              <w:t>el OE</w:t>
            </w:r>
            <w:r w:rsidRPr="001B6C9E">
              <w:rPr>
                <w:rFonts w:ascii="Arial" w:eastAsia="Times New Roman" w:hAnsi="Arial" w:cs="Arial"/>
                <w:color w:val="000000"/>
                <w:sz w:val="18"/>
                <w:szCs w:val="18"/>
                <w:lang w:val="es-ES_tradnl" w:eastAsia="es-ES"/>
              </w:rPr>
              <w:t>.</w:t>
            </w:r>
          </w:p>
        </w:tc>
        <w:tc>
          <w:tcPr>
            <w:tcW w:w="4354" w:type="dxa"/>
            <w:tcBorders>
              <w:top w:val="nil"/>
              <w:left w:val="nil"/>
              <w:bottom w:val="single" w:sz="8" w:space="0" w:color="000000"/>
              <w:right w:val="single" w:sz="8" w:space="0" w:color="000000"/>
            </w:tcBorders>
            <w:shd w:val="clear" w:color="auto" w:fill="auto"/>
            <w:vAlign w:val="center"/>
          </w:tcPr>
          <w:p w14:paraId="5F6617F6" w14:textId="59E075E7" w:rsidR="00A8461D" w:rsidRPr="00A8461D" w:rsidRDefault="00A8461D" w:rsidP="00A8461D">
            <w:pPr>
              <w:spacing w:after="0" w:line="240" w:lineRule="auto"/>
              <w:rPr>
                <w:rFonts w:ascii="Arial" w:eastAsia="Times New Roman" w:hAnsi="Arial" w:cs="Arial"/>
                <w:sz w:val="18"/>
                <w:szCs w:val="18"/>
                <w:lang w:val="es-ES_tradnl" w:eastAsia="es-ES"/>
              </w:rPr>
            </w:pPr>
          </w:p>
        </w:tc>
      </w:tr>
    </w:tbl>
    <w:p w14:paraId="450670BC" w14:textId="4F197020" w:rsidR="00F56C02" w:rsidRPr="00F56C02" w:rsidRDefault="00F56C02" w:rsidP="00F56C02">
      <w:pPr>
        <w:pStyle w:val="Paragraph"/>
        <w:numPr>
          <w:ilvl w:val="1"/>
          <w:numId w:val="5"/>
        </w:numPr>
        <w:ind w:left="630" w:hanging="630"/>
        <w:rPr>
          <w:rFonts w:ascii="Arial" w:hAnsi="Arial" w:cs="Arial"/>
          <w:sz w:val="22"/>
          <w:szCs w:val="22"/>
          <w:lang w:val="es-ES_tradnl"/>
        </w:rPr>
      </w:pPr>
      <w:bookmarkStart w:id="12" w:name="_Ref43837280"/>
      <w:bookmarkStart w:id="13" w:name="_Toc352756754"/>
      <w:bookmarkEnd w:id="9"/>
      <w:r w:rsidRPr="00F56C02">
        <w:rPr>
          <w:rFonts w:ascii="Arial" w:hAnsi="Arial" w:cs="Arial"/>
          <w:sz w:val="22"/>
          <w:szCs w:val="22"/>
          <w:lang w:val="es-ES_tradnl"/>
        </w:rPr>
        <w:t xml:space="preserve">Adicionalmente a los indicadores que deberán ser registrados en el PMR, según contenido del Cuadro 1 y la Matriz de Resultados, el OE deberá comprometerse a medir y reportar el número de MiPyME beneficiarias al final de la ejecución del programa. Este valor deberá corresponder al total de MiPyME que recibieron créditos con recursos del programa. Dicha información deberá incluirse en el informe de cartera, a ser presentado por </w:t>
      </w:r>
      <w:r>
        <w:rPr>
          <w:rFonts w:ascii="Arial" w:hAnsi="Arial" w:cs="Arial"/>
          <w:sz w:val="22"/>
          <w:szCs w:val="22"/>
          <w:lang w:val="es-ES_tradnl"/>
        </w:rPr>
        <w:t>NAFIN</w:t>
      </w:r>
      <w:r w:rsidRPr="00F56C02">
        <w:rPr>
          <w:rFonts w:ascii="Arial" w:hAnsi="Arial" w:cs="Arial"/>
          <w:sz w:val="22"/>
          <w:szCs w:val="22"/>
          <w:lang w:val="es-ES_tradnl"/>
        </w:rPr>
        <w:t xml:space="preserve"> como parte del informe final del programa (ver ¶</w:t>
      </w:r>
      <w:r w:rsidR="002855DC">
        <w:rPr>
          <w:rFonts w:ascii="Arial" w:hAnsi="Arial" w:cs="Arial"/>
          <w:sz w:val="22"/>
          <w:szCs w:val="22"/>
          <w:lang w:val="es-ES_tradnl"/>
        </w:rPr>
        <w:fldChar w:fldCharType="begin"/>
      </w:r>
      <w:r w:rsidR="002855DC">
        <w:rPr>
          <w:rFonts w:ascii="Arial" w:hAnsi="Arial" w:cs="Arial"/>
          <w:sz w:val="22"/>
          <w:szCs w:val="22"/>
          <w:lang w:val="es-ES_tradnl"/>
        </w:rPr>
        <w:instrText xml:space="preserve"> REF _Ref43837218 \r \h </w:instrText>
      </w:r>
      <w:r w:rsidR="002855DC">
        <w:rPr>
          <w:rFonts w:ascii="Arial" w:hAnsi="Arial" w:cs="Arial"/>
          <w:sz w:val="22"/>
          <w:szCs w:val="22"/>
          <w:lang w:val="es-ES_tradnl"/>
        </w:rPr>
      </w:r>
      <w:r w:rsidR="002855DC">
        <w:rPr>
          <w:rFonts w:ascii="Arial" w:hAnsi="Arial" w:cs="Arial"/>
          <w:sz w:val="22"/>
          <w:szCs w:val="22"/>
          <w:lang w:val="es-ES_tradnl"/>
        </w:rPr>
        <w:fldChar w:fldCharType="separate"/>
      </w:r>
      <w:r w:rsidR="00A366A7">
        <w:rPr>
          <w:rFonts w:ascii="Arial" w:hAnsi="Arial" w:cs="Arial"/>
          <w:sz w:val="22"/>
          <w:szCs w:val="22"/>
          <w:lang w:val="es-ES_tradnl"/>
        </w:rPr>
        <w:t>2.8</w:t>
      </w:r>
      <w:r w:rsidR="002855DC">
        <w:rPr>
          <w:rFonts w:ascii="Arial" w:hAnsi="Arial" w:cs="Arial"/>
          <w:sz w:val="22"/>
          <w:szCs w:val="22"/>
          <w:lang w:val="es-ES_tradnl"/>
        </w:rPr>
        <w:fldChar w:fldCharType="end"/>
      </w:r>
      <w:r w:rsidRPr="00F56C02">
        <w:rPr>
          <w:rFonts w:ascii="Arial" w:hAnsi="Arial" w:cs="Arial"/>
          <w:sz w:val="22"/>
          <w:szCs w:val="22"/>
          <w:lang w:val="es-ES_tradnl"/>
        </w:rPr>
        <w:t xml:space="preserve"> y ¶</w:t>
      </w:r>
      <w:r w:rsidR="002855DC">
        <w:rPr>
          <w:rFonts w:ascii="Arial" w:hAnsi="Arial" w:cs="Arial"/>
          <w:sz w:val="22"/>
          <w:szCs w:val="22"/>
          <w:lang w:val="es-ES_tradnl"/>
        </w:rPr>
        <w:fldChar w:fldCharType="begin"/>
      </w:r>
      <w:r w:rsidR="002855DC">
        <w:rPr>
          <w:rFonts w:ascii="Arial" w:hAnsi="Arial" w:cs="Arial"/>
          <w:sz w:val="22"/>
          <w:szCs w:val="22"/>
          <w:lang w:val="es-ES_tradnl"/>
        </w:rPr>
        <w:instrText xml:space="preserve"> REF _Ref43837233 \r \h </w:instrText>
      </w:r>
      <w:r w:rsidR="002855DC">
        <w:rPr>
          <w:rFonts w:ascii="Arial" w:hAnsi="Arial" w:cs="Arial"/>
          <w:sz w:val="22"/>
          <w:szCs w:val="22"/>
          <w:lang w:val="es-ES_tradnl"/>
        </w:rPr>
      </w:r>
      <w:r w:rsidR="002855DC">
        <w:rPr>
          <w:rFonts w:ascii="Arial" w:hAnsi="Arial" w:cs="Arial"/>
          <w:sz w:val="22"/>
          <w:szCs w:val="22"/>
          <w:lang w:val="es-ES_tradnl"/>
        </w:rPr>
        <w:fldChar w:fldCharType="separate"/>
      </w:r>
      <w:r w:rsidR="00A366A7">
        <w:rPr>
          <w:rFonts w:ascii="Arial" w:hAnsi="Arial" w:cs="Arial"/>
          <w:sz w:val="22"/>
          <w:szCs w:val="22"/>
          <w:lang w:val="es-ES_tradnl"/>
        </w:rPr>
        <w:t>2.10</w:t>
      </w:r>
      <w:r w:rsidR="002855DC">
        <w:rPr>
          <w:rFonts w:ascii="Arial" w:hAnsi="Arial" w:cs="Arial"/>
          <w:sz w:val="22"/>
          <w:szCs w:val="22"/>
          <w:lang w:val="es-ES_tradnl"/>
        </w:rPr>
        <w:fldChar w:fldCharType="end"/>
      </w:r>
      <w:r w:rsidRPr="00F56C02">
        <w:rPr>
          <w:rFonts w:ascii="Arial" w:hAnsi="Arial" w:cs="Arial"/>
          <w:sz w:val="22"/>
          <w:szCs w:val="22"/>
          <w:lang w:val="es-ES_tradnl"/>
        </w:rPr>
        <w:t>).</w:t>
      </w:r>
      <w:bookmarkEnd w:id="12"/>
    </w:p>
    <w:p w14:paraId="22EF9CE8" w14:textId="4BC10F7B" w:rsidR="007116B2" w:rsidRPr="001F731F" w:rsidRDefault="007116B2" w:rsidP="00614B51">
      <w:pPr>
        <w:pStyle w:val="SecHeading"/>
        <w:tabs>
          <w:tab w:val="clear" w:pos="5400"/>
          <w:tab w:val="num" w:pos="1260"/>
        </w:tabs>
        <w:spacing w:before="240"/>
        <w:ind w:hanging="4680"/>
        <w:rPr>
          <w:rFonts w:ascii="Arial" w:hAnsi="Arial" w:cs="Arial"/>
          <w:color w:val="auto"/>
          <w:sz w:val="22"/>
          <w:szCs w:val="22"/>
        </w:rPr>
      </w:pPr>
      <w:bookmarkStart w:id="14" w:name="_Toc43286370"/>
      <w:r w:rsidRPr="001F731F">
        <w:rPr>
          <w:rFonts w:ascii="Arial" w:hAnsi="Arial" w:cs="Arial"/>
          <w:color w:val="auto"/>
          <w:sz w:val="22"/>
          <w:szCs w:val="22"/>
        </w:rPr>
        <w:t>Recolección de Información e Instrumentos</w:t>
      </w:r>
      <w:bookmarkEnd w:id="13"/>
      <w:bookmarkEnd w:id="14"/>
    </w:p>
    <w:p w14:paraId="5D63483F" w14:textId="09D623E9" w:rsidR="007116B2" w:rsidRDefault="00095785" w:rsidP="34214E0A">
      <w:pPr>
        <w:pStyle w:val="Paragraph"/>
        <w:numPr>
          <w:ilvl w:val="1"/>
          <w:numId w:val="5"/>
        </w:numPr>
        <w:ind w:left="630" w:hanging="630"/>
        <w:rPr>
          <w:rFonts w:ascii="Arial" w:hAnsi="Arial" w:cs="Arial"/>
          <w:sz w:val="22"/>
          <w:szCs w:val="22"/>
          <w:lang w:val="es-ES"/>
        </w:rPr>
      </w:pPr>
      <w:r w:rsidRPr="34214E0A">
        <w:rPr>
          <w:rFonts w:ascii="Arial" w:hAnsi="Arial" w:cs="Arial"/>
          <w:sz w:val="22"/>
          <w:szCs w:val="22"/>
          <w:lang w:val="es-ES"/>
        </w:rPr>
        <w:t>NAFIN</w:t>
      </w:r>
      <w:r w:rsidR="006B6990" w:rsidRPr="34214E0A">
        <w:rPr>
          <w:rFonts w:ascii="Arial" w:hAnsi="Arial" w:cs="Arial"/>
          <w:sz w:val="22"/>
          <w:szCs w:val="22"/>
          <w:lang w:val="es-ES"/>
        </w:rPr>
        <w:t xml:space="preserve"> y el Banco </w:t>
      </w:r>
      <w:r w:rsidR="007116B2" w:rsidRPr="34214E0A">
        <w:rPr>
          <w:rFonts w:ascii="Arial" w:hAnsi="Arial" w:cs="Arial"/>
          <w:sz w:val="22"/>
          <w:szCs w:val="22"/>
          <w:lang w:val="es-ES"/>
        </w:rPr>
        <w:t xml:space="preserve">han acordado usar la Matriz de Resultados del programa recogida en este Plan de Monitoreo y Evaluación a los efectos de monitorear el progreso en su ejecución. Dicho monitoreo descansará en la información administrativa recolectada y mantenida durante la vida del </w:t>
      </w:r>
      <w:r w:rsidR="006B6990" w:rsidRPr="34214E0A">
        <w:rPr>
          <w:rFonts w:ascii="Arial" w:hAnsi="Arial" w:cs="Arial"/>
          <w:sz w:val="22"/>
          <w:szCs w:val="22"/>
          <w:lang w:val="es-ES"/>
        </w:rPr>
        <w:t>programa</w:t>
      </w:r>
      <w:r w:rsidR="007116B2" w:rsidRPr="34214E0A">
        <w:rPr>
          <w:rFonts w:ascii="Arial" w:hAnsi="Arial" w:cs="Arial"/>
          <w:sz w:val="22"/>
          <w:szCs w:val="22"/>
          <w:lang w:val="es-ES"/>
        </w:rPr>
        <w:t xml:space="preserve"> por </w:t>
      </w:r>
      <w:r w:rsidRPr="34214E0A">
        <w:rPr>
          <w:rFonts w:ascii="Arial" w:hAnsi="Arial" w:cs="Arial"/>
          <w:sz w:val="22"/>
          <w:szCs w:val="22"/>
          <w:lang w:val="es-ES"/>
        </w:rPr>
        <w:t>NAFIN</w:t>
      </w:r>
      <w:r w:rsidR="006B6990" w:rsidRPr="34214E0A">
        <w:rPr>
          <w:rFonts w:ascii="Arial" w:hAnsi="Arial" w:cs="Arial"/>
          <w:sz w:val="22"/>
          <w:szCs w:val="22"/>
          <w:lang w:val="es-ES"/>
        </w:rPr>
        <w:t>.</w:t>
      </w:r>
      <w:r w:rsidR="007116B2" w:rsidRPr="34214E0A">
        <w:rPr>
          <w:rFonts w:ascii="Arial" w:hAnsi="Arial" w:cs="Arial"/>
          <w:sz w:val="22"/>
          <w:szCs w:val="22"/>
          <w:lang w:val="es-ES"/>
        </w:rPr>
        <w:t xml:space="preserve"> </w:t>
      </w:r>
      <w:r w:rsidRPr="34214E0A">
        <w:rPr>
          <w:rFonts w:ascii="Arial" w:hAnsi="Arial" w:cs="Arial"/>
          <w:sz w:val="22"/>
          <w:szCs w:val="22"/>
          <w:lang w:val="es-ES"/>
        </w:rPr>
        <w:t>NAFIN</w:t>
      </w:r>
      <w:r w:rsidR="006B6990" w:rsidRPr="34214E0A">
        <w:rPr>
          <w:rFonts w:ascii="Arial" w:hAnsi="Arial" w:cs="Arial"/>
          <w:sz w:val="22"/>
          <w:szCs w:val="22"/>
          <w:lang w:val="es-ES"/>
        </w:rPr>
        <w:t xml:space="preserve"> m</w:t>
      </w:r>
      <w:r w:rsidR="007116B2" w:rsidRPr="34214E0A">
        <w:rPr>
          <w:rFonts w:ascii="Arial" w:hAnsi="Arial" w:cs="Arial"/>
          <w:sz w:val="22"/>
          <w:szCs w:val="22"/>
          <w:lang w:val="es-ES"/>
        </w:rPr>
        <w:t xml:space="preserve">antendrá un sistema de registros que podrá incluir información sobre las características del </w:t>
      </w:r>
      <w:r w:rsidR="006B6990" w:rsidRPr="34214E0A">
        <w:rPr>
          <w:rFonts w:ascii="Arial" w:hAnsi="Arial" w:cs="Arial"/>
          <w:sz w:val="22"/>
          <w:szCs w:val="22"/>
          <w:lang w:val="es-ES"/>
        </w:rPr>
        <w:t xml:space="preserve">financiamiento </w:t>
      </w:r>
      <w:r w:rsidR="006B6990" w:rsidRPr="34735F4B">
        <w:rPr>
          <w:rFonts w:ascii="Arial" w:hAnsi="Arial" w:cs="Arial"/>
          <w:sz w:val="22"/>
          <w:szCs w:val="22"/>
          <w:lang w:val="es-ES"/>
        </w:rPr>
        <w:t>y</w:t>
      </w:r>
      <w:r w:rsidR="006B6990" w:rsidRPr="34214E0A">
        <w:rPr>
          <w:rFonts w:ascii="Arial" w:hAnsi="Arial" w:cs="Arial"/>
          <w:sz w:val="22"/>
          <w:szCs w:val="22"/>
          <w:lang w:val="es-ES"/>
        </w:rPr>
        <w:t xml:space="preserve">/o </w:t>
      </w:r>
      <w:r w:rsidR="006B6990" w:rsidRPr="34214E0A">
        <w:rPr>
          <w:rFonts w:ascii="Arial" w:hAnsi="Arial" w:cs="Arial"/>
          <w:sz w:val="22"/>
          <w:szCs w:val="22"/>
          <w:lang w:val="es-ES"/>
        </w:rPr>
        <w:lastRenderedPageBreak/>
        <w:t>garantía</w:t>
      </w:r>
      <w:r w:rsidR="007116B2" w:rsidRPr="34214E0A">
        <w:rPr>
          <w:rFonts w:ascii="Arial" w:hAnsi="Arial" w:cs="Arial"/>
          <w:sz w:val="22"/>
          <w:szCs w:val="22"/>
          <w:lang w:val="es-ES"/>
        </w:rPr>
        <w:t xml:space="preserve"> otorgado a los prestatarios y/o destinatarios </w:t>
      </w:r>
      <w:r w:rsidR="006B6990" w:rsidRPr="34214E0A">
        <w:rPr>
          <w:rFonts w:ascii="Arial" w:hAnsi="Arial" w:cs="Arial"/>
          <w:sz w:val="22"/>
          <w:szCs w:val="22"/>
          <w:lang w:val="es-ES"/>
        </w:rPr>
        <w:t>finales,</w:t>
      </w:r>
      <w:r w:rsidR="007116B2" w:rsidRPr="34214E0A">
        <w:rPr>
          <w:rFonts w:ascii="Arial" w:hAnsi="Arial" w:cs="Arial"/>
          <w:sz w:val="22"/>
          <w:szCs w:val="22"/>
          <w:lang w:val="es-ES"/>
        </w:rPr>
        <w:t xml:space="preserve"> como monto, tasa de interés, sector de actividad, destino de la inversión, plazos y cartera vencida.</w:t>
      </w:r>
    </w:p>
    <w:p w14:paraId="772C4B4D" w14:textId="1E4D299D" w:rsidR="006819A9" w:rsidRPr="006819A9" w:rsidRDefault="006819A9" w:rsidP="006819A9">
      <w:pPr>
        <w:pStyle w:val="Paragraph"/>
        <w:numPr>
          <w:ilvl w:val="1"/>
          <w:numId w:val="5"/>
        </w:numPr>
        <w:ind w:left="630" w:hanging="630"/>
        <w:rPr>
          <w:rFonts w:ascii="Arial" w:hAnsi="Arial" w:cs="Arial"/>
          <w:sz w:val="22"/>
          <w:szCs w:val="22"/>
          <w:lang w:val="es-ES_tradnl"/>
        </w:rPr>
      </w:pPr>
      <w:r w:rsidRPr="006819A9">
        <w:rPr>
          <w:rFonts w:ascii="Arial" w:hAnsi="Arial" w:cs="Arial"/>
          <w:sz w:val="22"/>
          <w:szCs w:val="22"/>
          <w:lang w:val="es-ES_tradnl"/>
        </w:rPr>
        <w:t>En el caso del indicador 2 de Resultados, l</w:t>
      </w:r>
      <w:r w:rsidRPr="006819A9">
        <w:rPr>
          <w:rFonts w:ascii="Arial" w:hAnsi="Arial" w:cs="Arial"/>
          <w:sz w:val="22"/>
          <w:szCs w:val="22"/>
          <w:lang w:val="es-ES"/>
        </w:rPr>
        <w:t xml:space="preserve">a tasa de mora de </w:t>
      </w:r>
      <w:r w:rsidR="00B3760F" w:rsidRPr="000E4BA5">
        <w:rPr>
          <w:rFonts w:ascii="Arial" w:eastAsia="Arial" w:hAnsi="Arial" w:cs="Arial"/>
          <w:sz w:val="22"/>
          <w:szCs w:val="22"/>
          <w:lang w:val="es-ES"/>
        </w:rPr>
        <w:t>M</w:t>
      </w:r>
      <w:r w:rsidR="00B3760F">
        <w:rPr>
          <w:rFonts w:ascii="Arial" w:eastAsia="Arial" w:hAnsi="Arial" w:cs="Arial"/>
          <w:sz w:val="22"/>
          <w:szCs w:val="22"/>
          <w:lang w:val="es-ES"/>
        </w:rPr>
        <w:t>i</w:t>
      </w:r>
      <w:r w:rsidR="00B3760F" w:rsidRPr="000E4BA5">
        <w:rPr>
          <w:rFonts w:ascii="Arial" w:eastAsia="Arial" w:hAnsi="Arial" w:cs="Arial"/>
          <w:sz w:val="22"/>
          <w:szCs w:val="22"/>
          <w:lang w:val="es-ES"/>
        </w:rPr>
        <w:t>P</w:t>
      </w:r>
      <w:r w:rsidR="00B3760F">
        <w:rPr>
          <w:rFonts w:ascii="Arial" w:eastAsia="Arial" w:hAnsi="Arial" w:cs="Arial"/>
          <w:sz w:val="22"/>
          <w:szCs w:val="22"/>
          <w:lang w:val="es-ES"/>
        </w:rPr>
        <w:t>y</w:t>
      </w:r>
      <w:r w:rsidR="00B3760F" w:rsidRPr="000E4BA5">
        <w:rPr>
          <w:rFonts w:ascii="Arial" w:eastAsia="Arial" w:hAnsi="Arial" w:cs="Arial"/>
          <w:sz w:val="22"/>
          <w:szCs w:val="22"/>
          <w:lang w:val="es-ES"/>
        </w:rPr>
        <w:t>ME</w:t>
      </w:r>
      <w:r w:rsidRPr="006819A9">
        <w:rPr>
          <w:rFonts w:ascii="Arial" w:hAnsi="Arial" w:cs="Arial"/>
          <w:sz w:val="22"/>
          <w:szCs w:val="22"/>
          <w:lang w:val="es-ES"/>
        </w:rPr>
        <w:t xml:space="preserve"> de NAFIN se calcula con un proxy que es el índice de siniestralidad de la cartera garantizada por NAFIN para </w:t>
      </w:r>
      <w:r w:rsidR="00B3760F" w:rsidRPr="000E4BA5">
        <w:rPr>
          <w:rFonts w:ascii="Arial" w:eastAsia="Arial" w:hAnsi="Arial" w:cs="Arial"/>
          <w:sz w:val="22"/>
          <w:szCs w:val="22"/>
          <w:lang w:val="es-ES"/>
        </w:rPr>
        <w:t>M</w:t>
      </w:r>
      <w:r w:rsidR="00B3760F">
        <w:rPr>
          <w:rFonts w:ascii="Arial" w:eastAsia="Arial" w:hAnsi="Arial" w:cs="Arial"/>
          <w:sz w:val="22"/>
          <w:szCs w:val="22"/>
          <w:lang w:val="es-ES"/>
        </w:rPr>
        <w:t>i</w:t>
      </w:r>
      <w:r w:rsidR="00B3760F" w:rsidRPr="000E4BA5">
        <w:rPr>
          <w:rFonts w:ascii="Arial" w:eastAsia="Arial" w:hAnsi="Arial" w:cs="Arial"/>
          <w:sz w:val="22"/>
          <w:szCs w:val="22"/>
          <w:lang w:val="es-ES"/>
        </w:rPr>
        <w:t>P</w:t>
      </w:r>
      <w:r w:rsidR="00B3760F">
        <w:rPr>
          <w:rFonts w:ascii="Arial" w:eastAsia="Arial" w:hAnsi="Arial" w:cs="Arial"/>
          <w:sz w:val="22"/>
          <w:szCs w:val="22"/>
          <w:lang w:val="es-ES"/>
        </w:rPr>
        <w:t>y</w:t>
      </w:r>
      <w:r w:rsidR="00B3760F" w:rsidRPr="000E4BA5">
        <w:rPr>
          <w:rFonts w:ascii="Arial" w:eastAsia="Arial" w:hAnsi="Arial" w:cs="Arial"/>
          <w:sz w:val="22"/>
          <w:szCs w:val="22"/>
          <w:lang w:val="es-ES"/>
        </w:rPr>
        <w:t>ME</w:t>
      </w:r>
      <w:r w:rsidRPr="006819A9">
        <w:rPr>
          <w:rFonts w:ascii="Arial" w:hAnsi="Arial" w:cs="Arial"/>
          <w:sz w:val="22"/>
          <w:szCs w:val="22"/>
          <w:lang w:val="es-ES"/>
        </w:rPr>
        <w:t xml:space="preserve">, la cual 95% es para capital de trabajo. Este se mantendrá en caso de que durante la ejecución del programa se verifique que es una </w:t>
      </w:r>
      <w:r w:rsidRPr="002855DC">
        <w:rPr>
          <w:rFonts w:ascii="Arial" w:hAnsi="Arial" w:cs="Arial"/>
          <w:i/>
          <w:iCs/>
          <w:sz w:val="22"/>
          <w:szCs w:val="22"/>
          <w:lang w:val="es-ES"/>
        </w:rPr>
        <w:t>proxy</w:t>
      </w:r>
      <w:r w:rsidR="005719D4">
        <w:rPr>
          <w:rFonts w:ascii="Arial" w:hAnsi="Arial" w:cs="Arial"/>
          <w:sz w:val="22"/>
          <w:szCs w:val="22"/>
          <w:lang w:val="es-ES"/>
        </w:rPr>
        <w:t xml:space="preserve"> adecuada</w:t>
      </w:r>
      <w:r w:rsidRPr="006819A9">
        <w:rPr>
          <w:rFonts w:ascii="Arial" w:hAnsi="Arial" w:cs="Arial"/>
          <w:sz w:val="22"/>
          <w:szCs w:val="22"/>
          <w:lang w:val="es-ES"/>
        </w:rPr>
        <w:t>; en caso contrario, se buscará realizar una actualización de la línea base considerando la tasa de mora de l</w:t>
      </w:r>
      <w:r w:rsidR="007F7004">
        <w:rPr>
          <w:rFonts w:ascii="Arial" w:hAnsi="Arial" w:cs="Arial"/>
          <w:sz w:val="22"/>
          <w:szCs w:val="22"/>
          <w:lang w:val="es-ES"/>
        </w:rPr>
        <w:t>o</w:t>
      </w:r>
      <w:r w:rsidRPr="006819A9">
        <w:rPr>
          <w:rFonts w:ascii="Arial" w:hAnsi="Arial" w:cs="Arial"/>
          <w:sz w:val="22"/>
          <w:szCs w:val="22"/>
          <w:lang w:val="es-ES"/>
        </w:rPr>
        <w:t xml:space="preserve">s IF principales. </w:t>
      </w:r>
    </w:p>
    <w:p w14:paraId="79C1CC02" w14:textId="709C7714" w:rsidR="00F56C02" w:rsidRPr="00F56C02" w:rsidRDefault="00F56C02" w:rsidP="007116B2">
      <w:pPr>
        <w:pStyle w:val="Paragraph"/>
        <w:numPr>
          <w:ilvl w:val="1"/>
          <w:numId w:val="5"/>
        </w:numPr>
        <w:ind w:left="630" w:hanging="630"/>
        <w:rPr>
          <w:rFonts w:ascii="Arial" w:hAnsi="Arial" w:cs="Arial"/>
          <w:sz w:val="22"/>
          <w:szCs w:val="22"/>
          <w:lang w:val="es-ES_tradnl"/>
        </w:rPr>
      </w:pPr>
      <w:r>
        <w:rPr>
          <w:rFonts w:ascii="Arial" w:hAnsi="Arial" w:cs="Arial"/>
          <w:sz w:val="22"/>
          <w:szCs w:val="22"/>
          <w:lang w:val="es-ES_tradnl"/>
        </w:rPr>
        <w:t>La Subdirección de</w:t>
      </w:r>
      <w:r w:rsidRPr="00F56C02">
        <w:rPr>
          <w:rFonts w:ascii="Arial" w:hAnsi="Arial" w:cs="Arial"/>
          <w:sz w:val="22"/>
          <w:szCs w:val="22"/>
          <w:lang w:val="es-ES_tradnl"/>
        </w:rPr>
        <w:t xml:space="preserve"> Proyectos Financiados </w:t>
      </w:r>
      <w:r>
        <w:rPr>
          <w:rFonts w:ascii="Arial" w:hAnsi="Arial" w:cs="Arial"/>
          <w:sz w:val="22"/>
          <w:szCs w:val="22"/>
          <w:lang w:val="es-ES_tradnl"/>
        </w:rPr>
        <w:t>p</w:t>
      </w:r>
      <w:r w:rsidRPr="00F56C02">
        <w:rPr>
          <w:rFonts w:ascii="Arial" w:hAnsi="Arial" w:cs="Arial"/>
          <w:sz w:val="22"/>
          <w:szCs w:val="22"/>
          <w:lang w:val="es-ES_tradnl"/>
        </w:rPr>
        <w:t xml:space="preserve">or </w:t>
      </w:r>
      <w:r>
        <w:rPr>
          <w:rFonts w:ascii="Arial" w:hAnsi="Arial" w:cs="Arial"/>
          <w:sz w:val="22"/>
          <w:szCs w:val="22"/>
          <w:lang w:val="es-ES_tradnl"/>
        </w:rPr>
        <w:t>Organismos Financieros Internacionales (</w:t>
      </w:r>
      <w:r w:rsidRPr="00F56C02">
        <w:rPr>
          <w:rFonts w:ascii="Arial" w:hAnsi="Arial" w:cs="Arial"/>
          <w:sz w:val="22"/>
          <w:szCs w:val="22"/>
          <w:lang w:val="es-ES_tradnl"/>
        </w:rPr>
        <w:t>OFIS</w:t>
      </w:r>
      <w:r w:rsidRPr="00FF0799">
        <w:rPr>
          <w:rFonts w:ascii="Arial" w:hAnsi="Arial" w:cs="Arial"/>
          <w:sz w:val="22"/>
          <w:szCs w:val="22"/>
          <w:lang w:val="es-PE"/>
        </w:rPr>
        <w:t xml:space="preserve">) </w:t>
      </w:r>
      <w:r>
        <w:rPr>
          <w:rFonts w:ascii="Arial" w:hAnsi="Arial" w:cs="Arial"/>
          <w:sz w:val="22"/>
          <w:szCs w:val="22"/>
          <w:lang w:val="es-PE"/>
        </w:rPr>
        <w:t xml:space="preserve">de NAFIN </w:t>
      </w:r>
      <w:r>
        <w:rPr>
          <w:rFonts w:ascii="Arial" w:hAnsi="Arial" w:cs="Arial"/>
          <w:sz w:val="22"/>
          <w:szCs w:val="22"/>
          <w:lang w:val="es-ES_tradnl"/>
        </w:rPr>
        <w:t>será responsable de la coordinación del programa y punto focal para el intercambio de informaciones con el BID.</w:t>
      </w:r>
    </w:p>
    <w:p w14:paraId="741F1122" w14:textId="128E578F" w:rsidR="007116B2" w:rsidRPr="001F731F" w:rsidRDefault="007116B2" w:rsidP="007116B2">
      <w:pPr>
        <w:pStyle w:val="Paragraph"/>
        <w:numPr>
          <w:ilvl w:val="1"/>
          <w:numId w:val="5"/>
        </w:numPr>
        <w:ind w:left="630" w:hanging="630"/>
        <w:rPr>
          <w:rFonts w:ascii="Arial" w:hAnsi="Arial" w:cs="Arial"/>
          <w:sz w:val="22"/>
          <w:szCs w:val="22"/>
          <w:lang w:val="es-ES_tradnl"/>
        </w:rPr>
      </w:pPr>
      <w:bookmarkStart w:id="15" w:name="_Ref43837218"/>
      <w:r w:rsidRPr="001F731F">
        <w:rPr>
          <w:rFonts w:ascii="Arial" w:hAnsi="Arial" w:cs="Arial"/>
          <w:sz w:val="22"/>
          <w:szCs w:val="22"/>
          <w:lang w:val="es-ES_tradnl"/>
        </w:rPr>
        <w:t>Los usuarios de los informes semestrales de seguimiento serán el organismo financiador del Programa (BID), más concretamente la División de Conectividad, Mercados y Finanzas (IFD/CMF), las instituciones colaboradoras en cada proyecto, y las auditorías que trabajen en la supervisión del Programa.</w:t>
      </w:r>
      <w:bookmarkEnd w:id="15"/>
      <w:r w:rsidRPr="001F731F">
        <w:rPr>
          <w:rFonts w:ascii="Arial" w:hAnsi="Arial" w:cs="Arial"/>
          <w:sz w:val="22"/>
          <w:szCs w:val="22"/>
          <w:lang w:val="es-ES_tradnl"/>
        </w:rPr>
        <w:t xml:space="preserve"> </w:t>
      </w:r>
    </w:p>
    <w:p w14:paraId="66E142C8" w14:textId="77777777" w:rsidR="007116B2" w:rsidRPr="001F731F" w:rsidRDefault="007116B2" w:rsidP="007116B2">
      <w:pPr>
        <w:pStyle w:val="SecHeading"/>
        <w:tabs>
          <w:tab w:val="clear" w:pos="5400"/>
          <w:tab w:val="num" w:pos="1260"/>
        </w:tabs>
        <w:ind w:left="5398" w:hanging="4678"/>
        <w:rPr>
          <w:rFonts w:ascii="Arial" w:hAnsi="Arial" w:cs="Arial"/>
          <w:color w:val="auto"/>
          <w:sz w:val="22"/>
          <w:szCs w:val="22"/>
        </w:rPr>
      </w:pPr>
      <w:bookmarkStart w:id="16" w:name="_Toc352756755"/>
      <w:bookmarkStart w:id="17" w:name="_Toc43286371"/>
      <w:r w:rsidRPr="001F731F">
        <w:rPr>
          <w:rFonts w:ascii="Arial" w:hAnsi="Arial" w:cs="Arial"/>
          <w:color w:val="auto"/>
          <w:sz w:val="22"/>
          <w:szCs w:val="22"/>
        </w:rPr>
        <w:t xml:space="preserve">Presentación de </w:t>
      </w:r>
      <w:bookmarkEnd w:id="16"/>
      <w:r w:rsidRPr="001F731F">
        <w:rPr>
          <w:rFonts w:ascii="Arial" w:hAnsi="Arial" w:cs="Arial"/>
          <w:color w:val="auto"/>
          <w:sz w:val="22"/>
          <w:szCs w:val="22"/>
        </w:rPr>
        <w:t>Informes</w:t>
      </w:r>
      <w:bookmarkEnd w:id="17"/>
      <w:r w:rsidRPr="001F731F">
        <w:rPr>
          <w:rFonts w:ascii="Arial" w:hAnsi="Arial" w:cs="Arial"/>
          <w:color w:val="auto"/>
          <w:sz w:val="22"/>
          <w:szCs w:val="22"/>
        </w:rPr>
        <w:t xml:space="preserve"> </w:t>
      </w:r>
    </w:p>
    <w:p w14:paraId="795E0C64" w14:textId="726138D7" w:rsidR="00F56C02" w:rsidRPr="001F731F" w:rsidRDefault="00F56C02" w:rsidP="00F56C02">
      <w:pPr>
        <w:pStyle w:val="Paragraph"/>
        <w:numPr>
          <w:ilvl w:val="1"/>
          <w:numId w:val="5"/>
        </w:numPr>
        <w:ind w:left="630" w:hanging="630"/>
        <w:rPr>
          <w:rFonts w:ascii="Arial" w:hAnsi="Arial" w:cs="Arial"/>
          <w:sz w:val="22"/>
          <w:szCs w:val="22"/>
          <w:lang w:val="es-ES_tradnl"/>
        </w:rPr>
      </w:pPr>
      <w:bookmarkStart w:id="18" w:name="_Ref40790463"/>
      <w:r w:rsidRPr="001F731F">
        <w:rPr>
          <w:rFonts w:ascii="Arial" w:hAnsi="Arial" w:cs="Arial"/>
          <w:sz w:val="22"/>
          <w:szCs w:val="22"/>
          <w:lang w:val="es-ES_tradnl"/>
        </w:rPr>
        <w:t xml:space="preserve">La ejecución del programa será monitoreada a través de los PMR. </w:t>
      </w:r>
      <w:r>
        <w:rPr>
          <w:rFonts w:ascii="Arial" w:hAnsi="Arial" w:cs="Arial"/>
          <w:sz w:val="22"/>
          <w:szCs w:val="22"/>
          <w:lang w:val="es-ES_tradnl"/>
        </w:rPr>
        <w:t xml:space="preserve">El OE en coordinación con el Banco </w:t>
      </w:r>
      <w:r w:rsidRPr="001F731F">
        <w:rPr>
          <w:rFonts w:ascii="Arial" w:hAnsi="Arial" w:cs="Arial"/>
          <w:sz w:val="22"/>
          <w:szCs w:val="22"/>
          <w:lang w:val="es-ES_tradnl"/>
        </w:rPr>
        <w:t>será responsable de entregar dichos informes al BID dentro de los plazos especificados en las condiciones contractuales (a más tardar 60 días después del fin de cada semestre). Estos informes incluyen: (i) Informes de Monitoreo semestrales; (ii)</w:t>
      </w:r>
      <w:r w:rsidR="002855DC">
        <w:rPr>
          <w:rFonts w:ascii="Arial" w:hAnsi="Arial" w:cs="Arial"/>
          <w:sz w:val="22"/>
          <w:szCs w:val="22"/>
          <w:lang w:val="es-ES_tradnl"/>
        </w:rPr>
        <w:t> </w:t>
      </w:r>
      <w:r w:rsidRPr="001F731F">
        <w:rPr>
          <w:rFonts w:ascii="Arial" w:hAnsi="Arial" w:cs="Arial"/>
          <w:sz w:val="22"/>
          <w:szCs w:val="22"/>
          <w:lang w:val="es-ES_tradnl"/>
        </w:rPr>
        <w:t>Auditorías; y (i</w:t>
      </w:r>
      <w:r w:rsidR="00E31910">
        <w:rPr>
          <w:rFonts w:ascii="Arial" w:hAnsi="Arial" w:cs="Arial"/>
          <w:sz w:val="22"/>
          <w:szCs w:val="22"/>
          <w:lang w:val="es-ES_tradnl"/>
        </w:rPr>
        <w:t>ii</w:t>
      </w:r>
      <w:r w:rsidRPr="001F731F">
        <w:rPr>
          <w:rFonts w:ascii="Arial" w:hAnsi="Arial" w:cs="Arial"/>
          <w:sz w:val="22"/>
          <w:szCs w:val="22"/>
          <w:lang w:val="es-ES_tradnl"/>
        </w:rPr>
        <w:t>) Evaluaciones de Cumplimiento ESG.</w:t>
      </w:r>
    </w:p>
    <w:p w14:paraId="280E5071" w14:textId="2E6EFB77" w:rsidR="00F56C02" w:rsidRPr="001F731F" w:rsidRDefault="00F56C02" w:rsidP="00F56C02">
      <w:pPr>
        <w:pStyle w:val="Paragraph"/>
        <w:numPr>
          <w:ilvl w:val="1"/>
          <w:numId w:val="5"/>
        </w:numPr>
        <w:ind w:left="630" w:hanging="630"/>
        <w:rPr>
          <w:rFonts w:ascii="Arial" w:hAnsi="Arial" w:cs="Arial"/>
          <w:sz w:val="22"/>
          <w:szCs w:val="22"/>
          <w:lang w:val="es-ES_tradnl"/>
        </w:rPr>
      </w:pPr>
      <w:bookmarkStart w:id="19" w:name="_Ref43837233"/>
      <w:r w:rsidRPr="001F731F">
        <w:rPr>
          <w:rFonts w:ascii="Arial" w:hAnsi="Arial" w:cs="Arial"/>
          <w:sz w:val="22"/>
          <w:szCs w:val="22"/>
          <w:lang w:val="es-ES_tradnl"/>
        </w:rPr>
        <w:t xml:space="preserve">Los informes de monitoreo semestral deberán incluir el estado de la ejecución de las actividades del programa, </w:t>
      </w:r>
      <w:r w:rsidR="00982447">
        <w:rPr>
          <w:rFonts w:ascii="Arial" w:hAnsi="Arial" w:cs="Arial"/>
          <w:sz w:val="22"/>
          <w:szCs w:val="22"/>
          <w:lang w:val="es-ES_tradnl"/>
        </w:rPr>
        <w:t>incluyendo lo que</w:t>
      </w:r>
      <w:r w:rsidRPr="001F731F">
        <w:rPr>
          <w:rFonts w:ascii="Arial" w:hAnsi="Arial" w:cs="Arial"/>
          <w:sz w:val="22"/>
          <w:szCs w:val="22"/>
          <w:lang w:val="es-ES_tradnl"/>
        </w:rPr>
        <w:t xml:space="preserve"> se establece en la Matriz de Resultados.</w:t>
      </w:r>
      <w:bookmarkEnd w:id="19"/>
      <w:r w:rsidRPr="001F731F">
        <w:rPr>
          <w:rFonts w:ascii="Arial" w:hAnsi="Arial" w:cs="Arial"/>
          <w:sz w:val="22"/>
          <w:szCs w:val="22"/>
          <w:lang w:val="es-ES_tradnl"/>
        </w:rPr>
        <w:t xml:space="preserve"> </w:t>
      </w:r>
    </w:p>
    <w:p w14:paraId="3579C3CE" w14:textId="228163C8" w:rsidR="007116B2" w:rsidRPr="001F731F" w:rsidRDefault="007116B2" w:rsidP="007116B2">
      <w:pPr>
        <w:pStyle w:val="Paragraph"/>
        <w:numPr>
          <w:ilvl w:val="1"/>
          <w:numId w:val="5"/>
        </w:numPr>
        <w:ind w:left="630" w:hanging="630"/>
        <w:rPr>
          <w:rFonts w:ascii="Arial" w:hAnsi="Arial" w:cs="Arial"/>
          <w:sz w:val="22"/>
          <w:szCs w:val="22"/>
          <w:lang w:val="es-ES_tradnl"/>
        </w:rPr>
      </w:pPr>
      <w:r w:rsidRPr="001F731F">
        <w:rPr>
          <w:rFonts w:ascii="Arial" w:hAnsi="Arial" w:cs="Arial"/>
          <w:sz w:val="22"/>
          <w:szCs w:val="22"/>
          <w:lang w:val="es-ES_tradnl"/>
        </w:rPr>
        <w:t xml:space="preserve">Por su parte, el informe final deberá incluir el agregado de la información contenida en los informes de monitoreo semestrales, </w:t>
      </w:r>
      <w:r w:rsidR="00F56C02" w:rsidRPr="00F56C02">
        <w:rPr>
          <w:rFonts w:ascii="Arial" w:hAnsi="Arial" w:cs="Arial"/>
          <w:sz w:val="22"/>
          <w:szCs w:val="22"/>
          <w:lang w:val="es-ES_tradnl"/>
        </w:rPr>
        <w:t>el número de MiPyME beneficiarias según descrito en ¶</w:t>
      </w:r>
      <w:r w:rsidR="002855DC">
        <w:rPr>
          <w:rFonts w:ascii="Arial" w:hAnsi="Arial" w:cs="Arial"/>
          <w:sz w:val="22"/>
          <w:szCs w:val="22"/>
          <w:lang w:val="es-ES_tradnl"/>
        </w:rPr>
        <w:fldChar w:fldCharType="begin"/>
      </w:r>
      <w:r w:rsidR="002855DC">
        <w:rPr>
          <w:rFonts w:ascii="Arial" w:hAnsi="Arial" w:cs="Arial"/>
          <w:sz w:val="22"/>
          <w:szCs w:val="22"/>
          <w:lang w:val="es-ES_tradnl"/>
        </w:rPr>
        <w:instrText xml:space="preserve"> REF _Ref43837280 \r \h </w:instrText>
      </w:r>
      <w:r w:rsidR="002855DC">
        <w:rPr>
          <w:rFonts w:ascii="Arial" w:hAnsi="Arial" w:cs="Arial"/>
          <w:sz w:val="22"/>
          <w:szCs w:val="22"/>
          <w:lang w:val="es-ES_tradnl"/>
        </w:rPr>
      </w:r>
      <w:r w:rsidR="002855DC">
        <w:rPr>
          <w:rFonts w:ascii="Arial" w:hAnsi="Arial" w:cs="Arial"/>
          <w:sz w:val="22"/>
          <w:szCs w:val="22"/>
          <w:lang w:val="es-ES_tradnl"/>
        </w:rPr>
        <w:fldChar w:fldCharType="separate"/>
      </w:r>
      <w:r w:rsidR="003F0834">
        <w:rPr>
          <w:rFonts w:ascii="Arial" w:hAnsi="Arial" w:cs="Arial"/>
          <w:sz w:val="22"/>
          <w:szCs w:val="22"/>
          <w:lang w:val="es-ES_tradnl"/>
        </w:rPr>
        <w:t>2.4</w:t>
      </w:r>
      <w:r w:rsidR="002855DC">
        <w:rPr>
          <w:rFonts w:ascii="Arial" w:hAnsi="Arial" w:cs="Arial"/>
          <w:sz w:val="22"/>
          <w:szCs w:val="22"/>
          <w:lang w:val="es-ES_tradnl"/>
        </w:rPr>
        <w:fldChar w:fldCharType="end"/>
      </w:r>
      <w:r w:rsidR="00F56C02" w:rsidRPr="00F56C02">
        <w:rPr>
          <w:rFonts w:ascii="Arial" w:hAnsi="Arial" w:cs="Arial"/>
          <w:sz w:val="22"/>
          <w:szCs w:val="22"/>
          <w:lang w:val="es-ES_tradnl"/>
        </w:rPr>
        <w:t xml:space="preserve">, </w:t>
      </w:r>
      <w:r w:rsidRPr="001F731F">
        <w:rPr>
          <w:rFonts w:ascii="Arial" w:hAnsi="Arial" w:cs="Arial"/>
          <w:sz w:val="22"/>
          <w:szCs w:val="22"/>
          <w:lang w:val="es-ES_tradnl"/>
        </w:rPr>
        <w:t>así como un análisis final de logros sobre los indicadores de producto y resultados y de los problemas de ejecución detectados durante la ejecución del programa y el efecto final de las acciones de mitigación que se implementaron. Se deberá incluir y documentar en el máximo de las posibilidades otros efectos imprevistos del programa. Además, deberá contener la información cualitativa que se considere relevante para entender el progreso de la ejecución del programa en términos de coordinación, efectos exógenos e implementación.</w:t>
      </w:r>
      <w:bookmarkEnd w:id="18"/>
    </w:p>
    <w:p w14:paraId="1B597920" w14:textId="21081649" w:rsidR="007116B2" w:rsidRPr="001F731F" w:rsidRDefault="00A13EB5" w:rsidP="007116B2">
      <w:pPr>
        <w:pStyle w:val="Paragraph"/>
        <w:numPr>
          <w:ilvl w:val="1"/>
          <w:numId w:val="5"/>
        </w:numPr>
        <w:ind w:left="630" w:hanging="630"/>
        <w:rPr>
          <w:rFonts w:ascii="Arial" w:hAnsi="Arial" w:cs="Arial"/>
          <w:sz w:val="22"/>
          <w:szCs w:val="22"/>
          <w:lang w:val="es-ES_tradnl"/>
        </w:rPr>
      </w:pPr>
      <w:r w:rsidRPr="00095785">
        <w:rPr>
          <w:rFonts w:ascii="Arial" w:hAnsi="Arial" w:cs="Arial"/>
          <w:sz w:val="22"/>
          <w:szCs w:val="22"/>
          <w:lang w:val="es-ES_tradnl"/>
        </w:rPr>
        <w:t xml:space="preserve">El OE presentará los estados financieros anuales del proyecto, de acuerdo con los términos de referencia acordados con el Banco y con la Secretaría de la Función Pública, y como parte de los Estados Financieros anuales de la entidad. Los Estados Financieros se presentarán dentro de los 180 días posteriores al cierre del ejercicio fiscal. Los Estados Financieros finales del proyecto se presentará dentro del plazo de 180 días posteriores a la fecha de último desembolso. Además, se realizará la </w:t>
      </w:r>
      <w:r w:rsidRPr="2EB4F83A">
        <w:rPr>
          <w:rFonts w:ascii="Arial" w:hAnsi="Arial" w:cs="Arial"/>
          <w:sz w:val="22"/>
          <w:szCs w:val="22"/>
          <w:lang w:val="es-ES"/>
        </w:rPr>
        <w:t>auditoría del proyecto por el organismo de Control Superior o una firma auditora independiente elegible para el Banco, bajo los procedimientos establecidos en las guías de auditoría vigentes</w:t>
      </w:r>
      <w:r w:rsidR="007116B2" w:rsidRPr="001F731F">
        <w:rPr>
          <w:rFonts w:ascii="Arial" w:hAnsi="Arial" w:cs="Arial"/>
          <w:sz w:val="22"/>
          <w:szCs w:val="22"/>
          <w:lang w:val="es-ES_tradnl"/>
        </w:rPr>
        <w:t>.</w:t>
      </w:r>
    </w:p>
    <w:p w14:paraId="52887872" w14:textId="55DCE8E0" w:rsidR="007116B2" w:rsidRPr="001F731F" w:rsidRDefault="007116B2" w:rsidP="00095785">
      <w:pPr>
        <w:pStyle w:val="Paragraph"/>
        <w:numPr>
          <w:ilvl w:val="1"/>
          <w:numId w:val="5"/>
        </w:numPr>
        <w:ind w:left="630" w:hanging="630"/>
        <w:rPr>
          <w:rFonts w:ascii="Arial" w:hAnsi="Arial" w:cs="Arial"/>
          <w:sz w:val="22"/>
          <w:szCs w:val="22"/>
          <w:lang w:val="es-ES_tradnl"/>
        </w:rPr>
      </w:pPr>
      <w:bookmarkStart w:id="20" w:name="_Ref42167652"/>
      <w:r w:rsidRPr="001F731F">
        <w:rPr>
          <w:rFonts w:ascii="Arial" w:hAnsi="Arial" w:cs="Arial"/>
          <w:sz w:val="22"/>
          <w:szCs w:val="22"/>
          <w:lang w:val="es-ES_tradnl"/>
        </w:rPr>
        <w:t>Por último, los informes de evaluación de cumplimiento con las políticas de ESG del BID</w:t>
      </w:r>
      <w:r w:rsidR="00AC3A5A">
        <w:rPr>
          <w:rFonts w:ascii="Arial" w:hAnsi="Arial" w:cs="Arial"/>
          <w:sz w:val="22"/>
          <w:szCs w:val="22"/>
          <w:lang w:val="es-ES_tradnl"/>
        </w:rPr>
        <w:t xml:space="preserve">, </w:t>
      </w:r>
      <w:r w:rsidRPr="001F731F">
        <w:rPr>
          <w:rFonts w:ascii="Arial" w:hAnsi="Arial" w:cs="Arial"/>
          <w:sz w:val="22"/>
          <w:szCs w:val="22"/>
          <w:lang w:val="es-ES_tradnl"/>
        </w:rPr>
        <w:t>deberán reflejar el grado de cumplimiento de los requisitos sociales y medioambientales con el sustento necesario y suficiente para su comprobación</w:t>
      </w:r>
      <w:r w:rsidR="00562A53">
        <w:rPr>
          <w:rFonts w:ascii="Arial" w:hAnsi="Arial" w:cs="Arial"/>
          <w:sz w:val="22"/>
          <w:szCs w:val="22"/>
          <w:lang w:val="es-ES_tradnl"/>
        </w:rPr>
        <w:t xml:space="preserve"> de acuerdo con lo establecido en el </w:t>
      </w:r>
      <w:hyperlink r:id="rId19" w:history="1">
        <w:r w:rsidR="00192F89" w:rsidRPr="008673AE">
          <w:rPr>
            <w:rStyle w:val="Hyperlink"/>
            <w:rFonts w:ascii="Arial" w:hAnsi="Arial" w:cs="Arial"/>
            <w:sz w:val="22"/>
            <w:szCs w:val="22"/>
            <w:lang w:val="es-ES_tradnl"/>
          </w:rPr>
          <w:t>Informe de Gestión Ambiental y Social</w:t>
        </w:r>
        <w:r w:rsidR="00562A53" w:rsidRPr="008673AE">
          <w:rPr>
            <w:rStyle w:val="Hyperlink"/>
            <w:rFonts w:ascii="Arial" w:hAnsi="Arial" w:cs="Arial"/>
            <w:sz w:val="22"/>
            <w:szCs w:val="22"/>
            <w:lang w:val="es-ES_tradnl"/>
          </w:rPr>
          <w:t xml:space="preserve"> (IGAS)</w:t>
        </w:r>
      </w:hyperlink>
      <w:r w:rsidRPr="001F731F">
        <w:rPr>
          <w:rFonts w:ascii="Arial" w:hAnsi="Arial" w:cs="Arial"/>
          <w:sz w:val="22"/>
          <w:szCs w:val="22"/>
          <w:lang w:val="es-ES_tradnl"/>
        </w:rPr>
        <w:t>.</w:t>
      </w:r>
      <w:bookmarkEnd w:id="20"/>
      <w:r w:rsidRPr="001F731F">
        <w:rPr>
          <w:rFonts w:ascii="Arial" w:hAnsi="Arial" w:cs="Arial"/>
          <w:sz w:val="22"/>
          <w:szCs w:val="22"/>
          <w:lang w:val="es-ES_tradnl"/>
        </w:rPr>
        <w:t xml:space="preserve">  </w:t>
      </w:r>
    </w:p>
    <w:p w14:paraId="5881939D" w14:textId="77777777" w:rsidR="007116B2" w:rsidRPr="001F731F" w:rsidRDefault="007116B2" w:rsidP="007116B2">
      <w:pPr>
        <w:pStyle w:val="SecHeading"/>
        <w:tabs>
          <w:tab w:val="clear" w:pos="5400"/>
          <w:tab w:val="num" w:pos="1260"/>
        </w:tabs>
        <w:ind w:hanging="4680"/>
      </w:pPr>
      <w:bookmarkStart w:id="21" w:name="_Toc43286372"/>
      <w:r w:rsidRPr="001F731F">
        <w:rPr>
          <w:rFonts w:ascii="Arial" w:hAnsi="Arial" w:cs="Arial"/>
          <w:sz w:val="22"/>
          <w:szCs w:val="22"/>
        </w:rPr>
        <w:lastRenderedPageBreak/>
        <w:t>Coordinación del Monitoreo, Plan de Trabajo y Presupuesto</w:t>
      </w:r>
      <w:bookmarkEnd w:id="21"/>
      <w:r w:rsidRPr="001F731F">
        <w:rPr>
          <w:rFonts w:ascii="Arial" w:hAnsi="Arial" w:cs="Arial"/>
          <w:sz w:val="22"/>
          <w:szCs w:val="22"/>
        </w:rPr>
        <w:t xml:space="preserve"> </w:t>
      </w:r>
    </w:p>
    <w:p w14:paraId="7E08E4F1" w14:textId="76C2895E" w:rsidR="007116B2" w:rsidRPr="001F731F" w:rsidRDefault="00095785" w:rsidP="007116B2">
      <w:pPr>
        <w:pStyle w:val="Paragraph"/>
        <w:numPr>
          <w:ilvl w:val="1"/>
          <w:numId w:val="5"/>
        </w:numPr>
        <w:ind w:left="630" w:hanging="630"/>
        <w:rPr>
          <w:rFonts w:ascii="Arial" w:hAnsi="Arial" w:cs="Arial"/>
          <w:sz w:val="22"/>
          <w:szCs w:val="22"/>
          <w:lang w:val="es-ES_tradnl"/>
        </w:rPr>
      </w:pPr>
      <w:bookmarkStart w:id="22" w:name="_Toc352755939"/>
      <w:bookmarkStart w:id="23" w:name="_Toc387738398"/>
      <w:bookmarkStart w:id="24" w:name="_Ref43837314"/>
      <w:r>
        <w:rPr>
          <w:rFonts w:ascii="Arial" w:hAnsi="Arial" w:cs="Arial"/>
          <w:sz w:val="22"/>
          <w:szCs w:val="22"/>
          <w:lang w:val="es-ES_tradnl"/>
        </w:rPr>
        <w:t>NAFIN</w:t>
      </w:r>
      <w:r w:rsidR="00AC3A5A">
        <w:rPr>
          <w:rFonts w:ascii="Arial" w:hAnsi="Arial" w:cs="Arial"/>
          <w:sz w:val="22"/>
          <w:szCs w:val="22"/>
          <w:lang w:val="es-ES_tradnl"/>
        </w:rPr>
        <w:t xml:space="preserve"> </w:t>
      </w:r>
      <w:r w:rsidR="007116B2" w:rsidRPr="001F731F">
        <w:rPr>
          <w:rFonts w:ascii="Arial" w:hAnsi="Arial" w:cs="Arial"/>
          <w:sz w:val="22"/>
          <w:szCs w:val="22"/>
          <w:lang w:val="es-ES_tradnl"/>
        </w:rPr>
        <w:t>será responsable de la supervisión y coordinación operacional y administrativa del programa. Sus funciones administrativas incluirán, entre otras: (i) la planificación de la ejecución del programa; (ii) sus desembolsos; (iii) sus controles internos; (iv) su auditoria; (v) el mantenimiento y continua actualización de todas las informaciones necesarias para generar los indicadores de producto y resultados; y (vi) la generación de reportes periódicos sobre su desempeño.</w:t>
      </w:r>
      <w:bookmarkEnd w:id="22"/>
      <w:bookmarkEnd w:id="23"/>
      <w:bookmarkEnd w:id="24"/>
    </w:p>
    <w:p w14:paraId="3643FBDF" w14:textId="4881F440" w:rsidR="007116B2" w:rsidRPr="00EB70D1" w:rsidRDefault="007116B2" w:rsidP="00F40DB6">
      <w:pPr>
        <w:pStyle w:val="Paragraph"/>
        <w:numPr>
          <w:ilvl w:val="1"/>
          <w:numId w:val="5"/>
        </w:numPr>
        <w:ind w:left="630" w:hanging="630"/>
        <w:rPr>
          <w:b/>
          <w:sz w:val="18"/>
          <w:lang w:val="es-ES_tradnl"/>
        </w:rPr>
      </w:pPr>
      <w:r w:rsidRPr="00F40DB6">
        <w:rPr>
          <w:rFonts w:ascii="Arial" w:hAnsi="Arial" w:cs="Arial"/>
          <w:sz w:val="22"/>
          <w:szCs w:val="16"/>
          <w:lang w:val="es-ES_tradnl"/>
        </w:rPr>
        <w:t xml:space="preserve">Los costos de </w:t>
      </w:r>
      <w:r w:rsidR="00EC65D3" w:rsidRPr="00F40DB6">
        <w:rPr>
          <w:rFonts w:ascii="Arial" w:hAnsi="Arial" w:cs="Arial"/>
          <w:sz w:val="22"/>
          <w:szCs w:val="16"/>
          <w:lang w:val="es-ES_tradnl"/>
        </w:rPr>
        <w:t>m</w:t>
      </w:r>
      <w:r w:rsidRPr="00F40DB6">
        <w:rPr>
          <w:rFonts w:ascii="Arial" w:hAnsi="Arial" w:cs="Arial"/>
          <w:sz w:val="22"/>
          <w:szCs w:val="16"/>
          <w:lang w:val="es-ES_tradnl"/>
        </w:rPr>
        <w:t xml:space="preserve">onitoreo serán cubiertos por </w:t>
      </w:r>
      <w:r w:rsidR="00095785" w:rsidRPr="00F40DB6">
        <w:rPr>
          <w:rFonts w:ascii="Arial" w:hAnsi="Arial" w:cs="Arial"/>
          <w:sz w:val="22"/>
          <w:szCs w:val="16"/>
          <w:lang w:val="es-ES_tradnl"/>
        </w:rPr>
        <w:t>NAFIN</w:t>
      </w:r>
      <w:r w:rsidRPr="00F40DB6">
        <w:rPr>
          <w:rFonts w:ascii="Arial" w:hAnsi="Arial" w:cs="Arial"/>
          <w:sz w:val="22"/>
          <w:szCs w:val="16"/>
          <w:lang w:val="es-ES_tradnl"/>
        </w:rPr>
        <w:t xml:space="preserve">, </w:t>
      </w:r>
      <w:r w:rsidR="00EC65D3" w:rsidRPr="00F40DB6">
        <w:rPr>
          <w:rFonts w:ascii="Arial" w:hAnsi="Arial" w:cs="Arial"/>
          <w:sz w:val="22"/>
          <w:szCs w:val="16"/>
          <w:lang w:val="es-ES_tradnl"/>
        </w:rPr>
        <w:t xml:space="preserve">como parte de </w:t>
      </w:r>
      <w:r w:rsidR="00192F89" w:rsidRPr="00F40DB6">
        <w:rPr>
          <w:rFonts w:ascii="Arial" w:hAnsi="Arial" w:cs="Arial"/>
          <w:sz w:val="22"/>
          <w:szCs w:val="16"/>
          <w:lang w:val="es-ES_tradnl"/>
        </w:rPr>
        <w:t>la</w:t>
      </w:r>
      <w:r w:rsidR="00EC65D3" w:rsidRPr="00F40DB6">
        <w:rPr>
          <w:rFonts w:ascii="Arial" w:hAnsi="Arial" w:cs="Arial"/>
          <w:sz w:val="22"/>
          <w:szCs w:val="16"/>
          <w:lang w:val="es-ES_tradnl"/>
        </w:rPr>
        <w:t xml:space="preserve"> asignación operativa y administrativa normal de actividades, puesto que utilizará los sistemas y procesos ya existentes en la institución</w:t>
      </w:r>
      <w:r w:rsidRPr="00F40DB6">
        <w:rPr>
          <w:rFonts w:ascii="Arial" w:hAnsi="Arial" w:cs="Arial"/>
          <w:sz w:val="22"/>
          <w:szCs w:val="16"/>
          <w:lang w:val="es-ES_tradnl"/>
        </w:rPr>
        <w:t>.</w:t>
      </w:r>
      <w:r w:rsidR="00EC65D3" w:rsidRPr="00F40DB6">
        <w:rPr>
          <w:rFonts w:ascii="Arial" w:hAnsi="Arial" w:cs="Arial"/>
          <w:sz w:val="22"/>
          <w:szCs w:val="16"/>
          <w:lang w:val="es-ES_tradnl"/>
        </w:rPr>
        <w:t xml:space="preserve"> No se considera la utilización de recursos del préstamo para actividades de monitoreo</w:t>
      </w:r>
      <w:r w:rsidR="00EC65D3">
        <w:rPr>
          <w:rFonts w:ascii="Arial" w:hAnsi="Arial" w:cs="Arial"/>
          <w:szCs w:val="18"/>
          <w:lang w:val="es-ES_tradnl"/>
        </w:rPr>
        <w:t>.</w:t>
      </w:r>
    </w:p>
    <w:p w14:paraId="69225979" w14:textId="7CA65170" w:rsidR="007116B2" w:rsidRPr="002855DC" w:rsidRDefault="00614B51" w:rsidP="007116B2">
      <w:pPr>
        <w:spacing w:before="120" w:after="120" w:line="240" w:lineRule="auto"/>
        <w:jc w:val="center"/>
        <w:rPr>
          <w:rFonts w:ascii="Arial" w:hAnsi="Arial" w:cs="Arial"/>
          <w:b/>
          <w:sz w:val="18"/>
          <w:szCs w:val="20"/>
          <w:lang w:val="es-ES_tradnl"/>
        </w:rPr>
      </w:pPr>
      <w:r w:rsidRPr="002855DC">
        <w:rPr>
          <w:rFonts w:ascii="Arial" w:hAnsi="Arial" w:cs="Arial"/>
          <w:b/>
          <w:sz w:val="18"/>
          <w:szCs w:val="20"/>
          <w:lang w:val="es-ES_tradnl"/>
        </w:rPr>
        <w:t>Cuadro</w:t>
      </w:r>
      <w:r w:rsidR="007116B2" w:rsidRPr="002855DC">
        <w:rPr>
          <w:rFonts w:ascii="Arial" w:hAnsi="Arial" w:cs="Arial"/>
          <w:b/>
          <w:sz w:val="18"/>
          <w:szCs w:val="20"/>
          <w:lang w:val="es-ES_tradnl"/>
        </w:rPr>
        <w:t xml:space="preserve"> 2.  Plan de Trabajo y Presupuesto de Monitoreo</w:t>
      </w:r>
    </w:p>
    <w:tbl>
      <w:tblPr>
        <w:tblW w:w="436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23"/>
        <w:gridCol w:w="287"/>
        <w:gridCol w:w="312"/>
        <w:gridCol w:w="318"/>
        <w:gridCol w:w="331"/>
        <w:gridCol w:w="2171"/>
        <w:gridCol w:w="1386"/>
        <w:gridCol w:w="1833"/>
      </w:tblGrid>
      <w:tr w:rsidR="00E31910" w:rsidRPr="001F731F" w14:paraId="30F89DFF" w14:textId="77777777" w:rsidTr="002C47A9">
        <w:trPr>
          <w:trHeight w:val="450"/>
          <w:jc w:val="center"/>
        </w:trPr>
        <w:tc>
          <w:tcPr>
            <w:tcW w:w="933" w:type="pct"/>
            <w:vMerge w:val="restart"/>
            <w:shd w:val="clear" w:color="auto" w:fill="auto"/>
            <w:vAlign w:val="center"/>
            <w:hideMark/>
          </w:tcPr>
          <w:p w14:paraId="65CF7163" w14:textId="3AD71BEE" w:rsidR="00E31910" w:rsidRPr="001F731F" w:rsidRDefault="00E31910" w:rsidP="00454CB5">
            <w:pPr>
              <w:spacing w:after="0" w:line="240" w:lineRule="auto"/>
              <w:rPr>
                <w:rFonts w:ascii="Arial" w:eastAsia="Times New Roman" w:hAnsi="Arial" w:cs="Arial"/>
                <w:b/>
                <w:bCs/>
                <w:color w:val="000000"/>
                <w:sz w:val="20"/>
                <w:szCs w:val="20"/>
                <w:lang w:val="es-ES_tradnl" w:eastAsia="es-ES"/>
              </w:rPr>
            </w:pPr>
            <w:r w:rsidRPr="001F731F">
              <w:rPr>
                <w:rFonts w:ascii="Arial" w:eastAsia="Times New Roman" w:hAnsi="Arial" w:cs="Arial"/>
                <w:b/>
                <w:bCs/>
                <w:color w:val="000000"/>
                <w:sz w:val="20"/>
                <w:szCs w:val="20"/>
                <w:lang w:val="es-ES_tradnl" w:eastAsia="es-ES"/>
              </w:rPr>
              <w:t xml:space="preserve">Actividades Clave de Monitoreo </w:t>
            </w:r>
          </w:p>
        </w:tc>
        <w:tc>
          <w:tcPr>
            <w:tcW w:w="367" w:type="pct"/>
            <w:gridSpan w:val="2"/>
            <w:shd w:val="clear" w:color="auto" w:fill="auto"/>
            <w:vAlign w:val="center"/>
            <w:hideMark/>
          </w:tcPr>
          <w:p w14:paraId="623DDB86" w14:textId="77777777" w:rsidR="00E31910" w:rsidRPr="001F731F" w:rsidRDefault="00E31910" w:rsidP="00454CB5">
            <w:pPr>
              <w:spacing w:after="0" w:line="240" w:lineRule="auto"/>
              <w:jc w:val="right"/>
              <w:rPr>
                <w:rFonts w:ascii="Arial" w:eastAsia="Times New Roman" w:hAnsi="Arial" w:cs="Arial"/>
                <w:b/>
                <w:bCs/>
                <w:color w:val="000000"/>
                <w:sz w:val="20"/>
                <w:szCs w:val="20"/>
                <w:lang w:val="es-ES_tradnl" w:eastAsia="es-ES"/>
              </w:rPr>
            </w:pPr>
            <w:r w:rsidRPr="001F731F">
              <w:rPr>
                <w:rFonts w:ascii="Arial" w:eastAsia="Times New Roman" w:hAnsi="Arial" w:cs="Arial"/>
                <w:b/>
                <w:bCs/>
                <w:color w:val="000000"/>
                <w:sz w:val="20"/>
                <w:szCs w:val="20"/>
                <w:lang w:val="es-ES_tradnl" w:eastAsia="es-ES"/>
              </w:rPr>
              <w:t>2020</w:t>
            </w:r>
          </w:p>
        </w:tc>
        <w:tc>
          <w:tcPr>
            <w:tcW w:w="398" w:type="pct"/>
            <w:gridSpan w:val="2"/>
            <w:shd w:val="clear" w:color="auto" w:fill="auto"/>
            <w:vAlign w:val="center"/>
            <w:hideMark/>
          </w:tcPr>
          <w:p w14:paraId="7A1B877B" w14:textId="77777777" w:rsidR="00E31910" w:rsidRPr="001F731F" w:rsidRDefault="00E31910" w:rsidP="00454CB5">
            <w:pPr>
              <w:spacing w:after="0" w:line="240" w:lineRule="auto"/>
              <w:jc w:val="center"/>
              <w:rPr>
                <w:rFonts w:ascii="Arial" w:eastAsia="Times New Roman" w:hAnsi="Arial" w:cs="Arial"/>
                <w:b/>
                <w:bCs/>
                <w:color w:val="000000"/>
                <w:sz w:val="20"/>
                <w:szCs w:val="20"/>
                <w:lang w:val="es-ES_tradnl" w:eastAsia="es-ES"/>
              </w:rPr>
            </w:pPr>
            <w:r w:rsidRPr="001F731F">
              <w:rPr>
                <w:rFonts w:ascii="Arial" w:eastAsia="Times New Roman" w:hAnsi="Arial" w:cs="Arial"/>
                <w:b/>
                <w:bCs/>
                <w:color w:val="000000"/>
                <w:sz w:val="20"/>
                <w:szCs w:val="20"/>
                <w:lang w:val="es-ES_tradnl" w:eastAsia="es-ES"/>
              </w:rPr>
              <w:t>2021</w:t>
            </w:r>
          </w:p>
        </w:tc>
        <w:tc>
          <w:tcPr>
            <w:tcW w:w="1330" w:type="pct"/>
            <w:vMerge w:val="restart"/>
            <w:shd w:val="clear" w:color="auto" w:fill="auto"/>
            <w:vAlign w:val="center"/>
            <w:hideMark/>
          </w:tcPr>
          <w:p w14:paraId="2B3C9940" w14:textId="76244BCE" w:rsidR="00E31910" w:rsidRPr="001F731F" w:rsidRDefault="00E31910" w:rsidP="00454CB5">
            <w:pPr>
              <w:spacing w:after="0" w:line="240" w:lineRule="auto"/>
              <w:jc w:val="center"/>
              <w:rPr>
                <w:rFonts w:ascii="Arial" w:eastAsia="Times New Roman" w:hAnsi="Arial" w:cs="Arial"/>
                <w:b/>
                <w:bCs/>
                <w:color w:val="000000"/>
                <w:sz w:val="20"/>
                <w:szCs w:val="20"/>
                <w:lang w:val="es-ES_tradnl" w:eastAsia="es-ES"/>
              </w:rPr>
            </w:pPr>
            <w:r w:rsidRPr="001F731F">
              <w:rPr>
                <w:rFonts w:ascii="Arial" w:eastAsia="Times New Roman" w:hAnsi="Arial" w:cs="Arial"/>
                <w:b/>
                <w:bCs/>
                <w:color w:val="000000"/>
                <w:sz w:val="20"/>
                <w:szCs w:val="20"/>
                <w:lang w:val="es-ES_tradnl" w:eastAsia="es-ES"/>
              </w:rPr>
              <w:t>Costo</w:t>
            </w:r>
            <w:r w:rsidRPr="00EB454E">
              <w:rPr>
                <w:rFonts w:ascii="Arial" w:hAnsi="Arial" w:cs="Arial"/>
                <w:sz w:val="18"/>
                <w:szCs w:val="18"/>
                <w:vertAlign w:val="superscript"/>
                <w:lang w:val="es-PE"/>
              </w:rPr>
              <w:t>[A]</w:t>
            </w:r>
          </w:p>
        </w:tc>
        <w:tc>
          <w:tcPr>
            <w:tcW w:w="849" w:type="pct"/>
            <w:vMerge w:val="restart"/>
            <w:shd w:val="clear" w:color="auto" w:fill="auto"/>
            <w:vAlign w:val="center"/>
            <w:hideMark/>
          </w:tcPr>
          <w:p w14:paraId="4ECFE7E4" w14:textId="77777777" w:rsidR="00E31910" w:rsidRPr="001F731F" w:rsidRDefault="00E31910" w:rsidP="00454CB5">
            <w:pPr>
              <w:spacing w:after="0" w:line="240" w:lineRule="auto"/>
              <w:jc w:val="center"/>
              <w:rPr>
                <w:rFonts w:ascii="Arial" w:eastAsia="Times New Roman" w:hAnsi="Arial" w:cs="Arial"/>
                <w:b/>
                <w:bCs/>
                <w:color w:val="000000"/>
                <w:sz w:val="20"/>
                <w:szCs w:val="20"/>
                <w:lang w:val="es-ES_tradnl" w:eastAsia="es-ES"/>
              </w:rPr>
            </w:pPr>
            <w:r w:rsidRPr="001F731F">
              <w:rPr>
                <w:rFonts w:ascii="Arial" w:eastAsia="Times New Roman" w:hAnsi="Arial" w:cs="Arial"/>
                <w:b/>
                <w:bCs/>
                <w:color w:val="000000"/>
                <w:sz w:val="20"/>
                <w:szCs w:val="20"/>
                <w:lang w:val="es-ES_tradnl" w:eastAsia="es-ES"/>
              </w:rPr>
              <w:t>Responsable</w:t>
            </w:r>
          </w:p>
        </w:tc>
        <w:tc>
          <w:tcPr>
            <w:tcW w:w="1123" w:type="pct"/>
            <w:vMerge w:val="restart"/>
            <w:shd w:val="clear" w:color="auto" w:fill="auto"/>
            <w:vAlign w:val="center"/>
            <w:hideMark/>
          </w:tcPr>
          <w:p w14:paraId="19000626" w14:textId="77777777" w:rsidR="00E31910" w:rsidRPr="001F731F" w:rsidRDefault="00E31910" w:rsidP="00454CB5">
            <w:pPr>
              <w:spacing w:after="0" w:line="240" w:lineRule="auto"/>
              <w:jc w:val="center"/>
              <w:rPr>
                <w:rFonts w:ascii="Arial" w:eastAsia="Times New Roman" w:hAnsi="Arial" w:cs="Arial"/>
                <w:b/>
                <w:bCs/>
                <w:color w:val="000000"/>
                <w:sz w:val="20"/>
                <w:szCs w:val="20"/>
                <w:lang w:val="es-ES_tradnl" w:eastAsia="es-ES"/>
              </w:rPr>
            </w:pPr>
            <w:r w:rsidRPr="001F731F">
              <w:rPr>
                <w:rFonts w:ascii="Arial" w:eastAsia="Times New Roman" w:hAnsi="Arial" w:cs="Arial"/>
                <w:b/>
                <w:bCs/>
                <w:color w:val="000000"/>
                <w:sz w:val="20"/>
                <w:szCs w:val="20"/>
                <w:lang w:val="es-ES_tradnl" w:eastAsia="es-ES"/>
              </w:rPr>
              <w:t>Fuente de fondeo</w:t>
            </w:r>
          </w:p>
        </w:tc>
      </w:tr>
      <w:tr w:rsidR="00E31910" w:rsidRPr="001F731F" w14:paraId="2ABD9F65" w14:textId="77777777" w:rsidTr="002C47A9">
        <w:trPr>
          <w:trHeight w:val="315"/>
          <w:jc w:val="center"/>
        </w:trPr>
        <w:tc>
          <w:tcPr>
            <w:tcW w:w="933" w:type="pct"/>
            <w:vMerge/>
            <w:vAlign w:val="center"/>
            <w:hideMark/>
          </w:tcPr>
          <w:p w14:paraId="4CD21056" w14:textId="77777777" w:rsidR="00E31910" w:rsidRPr="001F731F" w:rsidRDefault="00E31910" w:rsidP="00454CB5">
            <w:pPr>
              <w:spacing w:after="0" w:line="240" w:lineRule="auto"/>
              <w:rPr>
                <w:rFonts w:ascii="Arial" w:eastAsia="Times New Roman" w:hAnsi="Arial" w:cs="Arial"/>
                <w:b/>
                <w:bCs/>
                <w:color w:val="000000"/>
                <w:sz w:val="20"/>
                <w:szCs w:val="20"/>
                <w:lang w:val="es-ES_tradnl" w:eastAsia="es-ES"/>
              </w:rPr>
            </w:pPr>
          </w:p>
        </w:tc>
        <w:tc>
          <w:tcPr>
            <w:tcW w:w="176" w:type="pct"/>
            <w:shd w:val="clear" w:color="auto" w:fill="auto"/>
            <w:vAlign w:val="center"/>
            <w:hideMark/>
          </w:tcPr>
          <w:p w14:paraId="31C97EC5" w14:textId="77777777" w:rsidR="00E31910" w:rsidRPr="001F731F" w:rsidRDefault="00E31910" w:rsidP="00454CB5">
            <w:pPr>
              <w:spacing w:after="0" w:line="240" w:lineRule="auto"/>
              <w:jc w:val="center"/>
              <w:rPr>
                <w:rFonts w:ascii="Arial" w:eastAsia="Times New Roman" w:hAnsi="Arial" w:cs="Arial"/>
                <w:color w:val="000000"/>
                <w:sz w:val="20"/>
                <w:szCs w:val="20"/>
                <w:lang w:val="es-ES_tradnl" w:eastAsia="es-ES"/>
              </w:rPr>
            </w:pPr>
            <w:r w:rsidRPr="001F731F">
              <w:rPr>
                <w:rFonts w:ascii="Arial" w:eastAsia="Times New Roman" w:hAnsi="Arial" w:cs="Arial"/>
                <w:color w:val="000000"/>
                <w:sz w:val="20"/>
                <w:szCs w:val="20"/>
                <w:lang w:val="es-ES_tradnl" w:eastAsia="es-ES"/>
              </w:rPr>
              <w:t>1</w:t>
            </w:r>
          </w:p>
        </w:tc>
        <w:tc>
          <w:tcPr>
            <w:tcW w:w="191" w:type="pct"/>
            <w:shd w:val="clear" w:color="auto" w:fill="auto"/>
            <w:vAlign w:val="center"/>
            <w:hideMark/>
          </w:tcPr>
          <w:p w14:paraId="1A112901" w14:textId="77777777" w:rsidR="00E31910" w:rsidRPr="001F731F" w:rsidRDefault="00E31910" w:rsidP="00454CB5">
            <w:pPr>
              <w:spacing w:after="0" w:line="240" w:lineRule="auto"/>
              <w:jc w:val="center"/>
              <w:rPr>
                <w:rFonts w:ascii="Arial" w:eastAsia="Times New Roman" w:hAnsi="Arial" w:cs="Arial"/>
                <w:color w:val="000000"/>
                <w:sz w:val="20"/>
                <w:szCs w:val="20"/>
                <w:lang w:val="es-ES_tradnl" w:eastAsia="es-ES"/>
              </w:rPr>
            </w:pPr>
            <w:r w:rsidRPr="001F731F">
              <w:rPr>
                <w:rFonts w:ascii="Arial" w:eastAsia="Times New Roman" w:hAnsi="Arial" w:cs="Arial"/>
                <w:color w:val="000000"/>
                <w:sz w:val="20"/>
                <w:szCs w:val="20"/>
                <w:lang w:val="es-ES_tradnl" w:eastAsia="es-ES"/>
              </w:rPr>
              <w:t>2</w:t>
            </w:r>
          </w:p>
        </w:tc>
        <w:tc>
          <w:tcPr>
            <w:tcW w:w="195" w:type="pct"/>
            <w:shd w:val="clear" w:color="auto" w:fill="auto"/>
            <w:vAlign w:val="center"/>
            <w:hideMark/>
          </w:tcPr>
          <w:p w14:paraId="1F5ED23F" w14:textId="77777777" w:rsidR="00E31910" w:rsidRPr="001F731F" w:rsidRDefault="00E31910" w:rsidP="00454CB5">
            <w:pPr>
              <w:spacing w:after="0" w:line="240" w:lineRule="auto"/>
              <w:jc w:val="center"/>
              <w:rPr>
                <w:rFonts w:ascii="Arial" w:eastAsia="Times New Roman" w:hAnsi="Arial" w:cs="Arial"/>
                <w:color w:val="000000"/>
                <w:sz w:val="20"/>
                <w:szCs w:val="20"/>
                <w:lang w:val="es-ES_tradnl" w:eastAsia="es-ES"/>
              </w:rPr>
            </w:pPr>
            <w:r w:rsidRPr="001F731F">
              <w:rPr>
                <w:rFonts w:ascii="Arial" w:eastAsia="Times New Roman" w:hAnsi="Arial" w:cs="Arial"/>
                <w:color w:val="000000"/>
                <w:sz w:val="20"/>
                <w:szCs w:val="20"/>
                <w:lang w:val="es-ES_tradnl" w:eastAsia="es-ES"/>
              </w:rPr>
              <w:t>1</w:t>
            </w:r>
          </w:p>
        </w:tc>
        <w:tc>
          <w:tcPr>
            <w:tcW w:w="203" w:type="pct"/>
            <w:shd w:val="clear" w:color="auto" w:fill="auto"/>
            <w:vAlign w:val="center"/>
            <w:hideMark/>
          </w:tcPr>
          <w:p w14:paraId="13B48E49" w14:textId="77777777" w:rsidR="00E31910" w:rsidRPr="001F731F" w:rsidRDefault="00E31910" w:rsidP="00454CB5">
            <w:pPr>
              <w:spacing w:after="0" w:line="240" w:lineRule="auto"/>
              <w:jc w:val="center"/>
              <w:rPr>
                <w:rFonts w:ascii="Arial" w:eastAsia="Times New Roman" w:hAnsi="Arial" w:cs="Arial"/>
                <w:color w:val="000000"/>
                <w:sz w:val="20"/>
                <w:szCs w:val="20"/>
                <w:lang w:val="es-ES_tradnl" w:eastAsia="es-ES"/>
              </w:rPr>
            </w:pPr>
            <w:r w:rsidRPr="001F731F">
              <w:rPr>
                <w:rFonts w:ascii="Arial" w:eastAsia="Times New Roman" w:hAnsi="Arial" w:cs="Arial"/>
                <w:color w:val="000000"/>
                <w:sz w:val="20"/>
                <w:szCs w:val="20"/>
                <w:lang w:val="es-ES_tradnl" w:eastAsia="es-ES"/>
              </w:rPr>
              <w:t>2</w:t>
            </w:r>
          </w:p>
        </w:tc>
        <w:tc>
          <w:tcPr>
            <w:tcW w:w="1330" w:type="pct"/>
            <w:vMerge/>
            <w:vAlign w:val="center"/>
            <w:hideMark/>
          </w:tcPr>
          <w:p w14:paraId="0FA8192C" w14:textId="77777777" w:rsidR="00E31910" w:rsidRPr="001F731F" w:rsidRDefault="00E31910" w:rsidP="00454CB5">
            <w:pPr>
              <w:spacing w:after="0" w:line="240" w:lineRule="auto"/>
              <w:rPr>
                <w:rFonts w:ascii="Arial" w:eastAsia="Times New Roman" w:hAnsi="Arial" w:cs="Arial"/>
                <w:b/>
                <w:bCs/>
                <w:color w:val="000000"/>
                <w:sz w:val="20"/>
                <w:szCs w:val="20"/>
                <w:lang w:val="es-ES_tradnl" w:eastAsia="es-ES"/>
              </w:rPr>
            </w:pPr>
          </w:p>
        </w:tc>
        <w:tc>
          <w:tcPr>
            <w:tcW w:w="849" w:type="pct"/>
            <w:vMerge/>
            <w:vAlign w:val="center"/>
            <w:hideMark/>
          </w:tcPr>
          <w:p w14:paraId="3EDA5B11" w14:textId="77777777" w:rsidR="00E31910" w:rsidRPr="001F731F" w:rsidRDefault="00E31910" w:rsidP="00454CB5">
            <w:pPr>
              <w:spacing w:after="0" w:line="240" w:lineRule="auto"/>
              <w:rPr>
                <w:rFonts w:ascii="Arial" w:eastAsia="Times New Roman" w:hAnsi="Arial" w:cs="Arial"/>
                <w:b/>
                <w:bCs/>
                <w:color w:val="000000"/>
                <w:sz w:val="20"/>
                <w:szCs w:val="20"/>
                <w:lang w:val="es-ES_tradnl" w:eastAsia="es-ES"/>
              </w:rPr>
            </w:pPr>
          </w:p>
        </w:tc>
        <w:tc>
          <w:tcPr>
            <w:tcW w:w="1123" w:type="pct"/>
            <w:vMerge/>
            <w:vAlign w:val="center"/>
            <w:hideMark/>
          </w:tcPr>
          <w:p w14:paraId="59E469D9" w14:textId="77777777" w:rsidR="00E31910" w:rsidRPr="001F731F" w:rsidRDefault="00E31910" w:rsidP="00454CB5">
            <w:pPr>
              <w:spacing w:after="0" w:line="240" w:lineRule="auto"/>
              <w:rPr>
                <w:rFonts w:ascii="Arial" w:eastAsia="Times New Roman" w:hAnsi="Arial" w:cs="Arial"/>
                <w:b/>
                <w:bCs/>
                <w:color w:val="000000"/>
                <w:sz w:val="20"/>
                <w:szCs w:val="20"/>
                <w:lang w:val="es-ES_tradnl" w:eastAsia="es-ES"/>
              </w:rPr>
            </w:pPr>
          </w:p>
        </w:tc>
      </w:tr>
      <w:tr w:rsidR="00E31910" w:rsidRPr="00B95CA1" w14:paraId="18F0D3BA" w14:textId="77777777" w:rsidTr="002C47A9">
        <w:trPr>
          <w:trHeight w:hRule="exact" w:val="780"/>
          <w:jc w:val="center"/>
        </w:trPr>
        <w:tc>
          <w:tcPr>
            <w:tcW w:w="933" w:type="pct"/>
            <w:shd w:val="clear" w:color="auto" w:fill="auto"/>
            <w:vAlign w:val="center"/>
            <w:hideMark/>
          </w:tcPr>
          <w:p w14:paraId="4798BF4E" w14:textId="77777777" w:rsidR="00E31910" w:rsidRPr="001F731F" w:rsidRDefault="00E31910" w:rsidP="00B93FB1">
            <w:pPr>
              <w:spacing w:after="0" w:line="240" w:lineRule="auto"/>
              <w:rPr>
                <w:rFonts w:ascii="Arial" w:eastAsia="Times New Roman" w:hAnsi="Arial" w:cs="Arial"/>
                <w:color w:val="000000"/>
                <w:sz w:val="20"/>
                <w:szCs w:val="20"/>
                <w:lang w:val="es-ES_tradnl" w:eastAsia="es-ES"/>
              </w:rPr>
            </w:pPr>
            <w:r w:rsidRPr="001F731F">
              <w:rPr>
                <w:rFonts w:ascii="Arial" w:eastAsia="Times New Roman" w:hAnsi="Arial" w:cs="Arial"/>
                <w:color w:val="000000"/>
                <w:sz w:val="20"/>
                <w:szCs w:val="20"/>
                <w:lang w:val="es-ES_tradnl" w:eastAsia="es-ES"/>
              </w:rPr>
              <w:t>Reportes de Monitoreo Semestrales</w:t>
            </w:r>
          </w:p>
        </w:tc>
        <w:tc>
          <w:tcPr>
            <w:tcW w:w="176" w:type="pct"/>
            <w:shd w:val="clear" w:color="auto" w:fill="auto"/>
            <w:vAlign w:val="center"/>
            <w:hideMark/>
          </w:tcPr>
          <w:p w14:paraId="49EFF677" w14:textId="77777777" w:rsidR="00E31910" w:rsidRPr="001F731F" w:rsidRDefault="00E31910" w:rsidP="00B93FB1">
            <w:pPr>
              <w:spacing w:after="0" w:line="240" w:lineRule="auto"/>
              <w:rPr>
                <w:rFonts w:ascii="Arial" w:eastAsia="Times New Roman" w:hAnsi="Arial" w:cs="Arial"/>
                <w:color w:val="000000"/>
                <w:sz w:val="20"/>
                <w:szCs w:val="20"/>
                <w:lang w:val="es-ES_tradnl" w:eastAsia="es-ES"/>
              </w:rPr>
            </w:pPr>
            <w:r w:rsidRPr="001F731F">
              <w:rPr>
                <w:rFonts w:ascii="Arial" w:eastAsia="Times New Roman" w:hAnsi="Arial" w:cs="Arial"/>
                <w:color w:val="000000"/>
                <w:sz w:val="20"/>
                <w:szCs w:val="20"/>
                <w:lang w:val="es-ES_tradnl" w:eastAsia="es-ES"/>
              </w:rPr>
              <w:t> </w:t>
            </w:r>
          </w:p>
        </w:tc>
        <w:tc>
          <w:tcPr>
            <w:tcW w:w="191" w:type="pct"/>
            <w:shd w:val="clear" w:color="auto" w:fill="auto"/>
            <w:vAlign w:val="center"/>
            <w:hideMark/>
          </w:tcPr>
          <w:p w14:paraId="15CF18FC" w14:textId="77777777" w:rsidR="00E31910" w:rsidRPr="001F731F" w:rsidRDefault="00E31910" w:rsidP="00B93FB1">
            <w:pPr>
              <w:spacing w:after="0" w:line="240" w:lineRule="auto"/>
              <w:rPr>
                <w:rFonts w:ascii="Arial" w:eastAsia="Times New Roman" w:hAnsi="Arial" w:cs="Arial"/>
                <w:color w:val="000000"/>
                <w:sz w:val="20"/>
                <w:szCs w:val="20"/>
                <w:lang w:val="es-ES_tradnl" w:eastAsia="es-ES"/>
              </w:rPr>
            </w:pPr>
            <w:r w:rsidRPr="001F731F">
              <w:rPr>
                <w:rFonts w:ascii="Arial" w:eastAsia="Times New Roman" w:hAnsi="Arial" w:cs="Arial"/>
                <w:color w:val="000000"/>
                <w:sz w:val="20"/>
                <w:szCs w:val="20"/>
                <w:lang w:val="es-ES_tradnl" w:eastAsia="es-ES"/>
              </w:rPr>
              <w:t>X</w:t>
            </w:r>
          </w:p>
        </w:tc>
        <w:tc>
          <w:tcPr>
            <w:tcW w:w="195" w:type="pct"/>
            <w:shd w:val="clear" w:color="auto" w:fill="auto"/>
            <w:vAlign w:val="center"/>
            <w:hideMark/>
          </w:tcPr>
          <w:p w14:paraId="44FE48A6" w14:textId="77777777" w:rsidR="00E31910" w:rsidRPr="001F731F" w:rsidRDefault="00E31910" w:rsidP="00B93FB1">
            <w:pPr>
              <w:spacing w:after="0" w:line="240" w:lineRule="auto"/>
              <w:rPr>
                <w:rFonts w:ascii="Arial" w:eastAsia="Times New Roman" w:hAnsi="Arial" w:cs="Arial"/>
                <w:color w:val="000000"/>
                <w:sz w:val="20"/>
                <w:szCs w:val="20"/>
                <w:lang w:val="es-ES_tradnl" w:eastAsia="es-ES"/>
              </w:rPr>
            </w:pPr>
            <w:r w:rsidRPr="001F731F">
              <w:rPr>
                <w:rFonts w:ascii="Arial" w:eastAsia="Times New Roman" w:hAnsi="Arial" w:cs="Arial"/>
                <w:color w:val="000000"/>
                <w:sz w:val="20"/>
                <w:szCs w:val="20"/>
                <w:lang w:val="es-ES_tradnl" w:eastAsia="es-ES"/>
              </w:rPr>
              <w:t>X</w:t>
            </w:r>
          </w:p>
        </w:tc>
        <w:tc>
          <w:tcPr>
            <w:tcW w:w="203" w:type="pct"/>
            <w:shd w:val="clear" w:color="auto" w:fill="auto"/>
            <w:vAlign w:val="center"/>
            <w:hideMark/>
          </w:tcPr>
          <w:p w14:paraId="6A35DE9F" w14:textId="77777777" w:rsidR="00E31910" w:rsidRPr="001F731F" w:rsidRDefault="00E31910" w:rsidP="00B93FB1">
            <w:pPr>
              <w:spacing w:after="0" w:line="240" w:lineRule="auto"/>
              <w:rPr>
                <w:rFonts w:ascii="Arial" w:eastAsia="Times New Roman" w:hAnsi="Arial" w:cs="Arial"/>
                <w:color w:val="000000"/>
                <w:sz w:val="20"/>
                <w:szCs w:val="20"/>
                <w:lang w:val="es-ES_tradnl" w:eastAsia="es-ES"/>
              </w:rPr>
            </w:pPr>
            <w:r w:rsidRPr="001F731F">
              <w:rPr>
                <w:rFonts w:ascii="Arial" w:eastAsia="Times New Roman" w:hAnsi="Arial" w:cs="Arial"/>
                <w:color w:val="000000"/>
                <w:sz w:val="20"/>
                <w:szCs w:val="20"/>
                <w:lang w:val="es-ES_tradnl" w:eastAsia="es-ES"/>
              </w:rPr>
              <w:t>X</w:t>
            </w:r>
          </w:p>
        </w:tc>
        <w:tc>
          <w:tcPr>
            <w:tcW w:w="1330" w:type="pct"/>
            <w:shd w:val="clear" w:color="auto" w:fill="auto"/>
            <w:vAlign w:val="center"/>
            <w:hideMark/>
          </w:tcPr>
          <w:p w14:paraId="68C4660E" w14:textId="5FCDEDF4" w:rsidR="00E31910" w:rsidRPr="001F731F" w:rsidRDefault="00E31910" w:rsidP="00B93FB1">
            <w:pPr>
              <w:spacing w:after="0" w:line="240" w:lineRule="auto"/>
              <w:rPr>
                <w:rFonts w:ascii="Arial" w:eastAsia="Times New Roman" w:hAnsi="Arial" w:cs="Arial"/>
                <w:color w:val="000000"/>
                <w:sz w:val="20"/>
                <w:szCs w:val="20"/>
                <w:lang w:val="es-ES_tradnl" w:eastAsia="es-ES"/>
              </w:rPr>
            </w:pPr>
            <w:r>
              <w:rPr>
                <w:rFonts w:ascii="Arial" w:eastAsia="Times New Roman" w:hAnsi="Arial" w:cs="Arial"/>
                <w:color w:val="000000"/>
                <w:sz w:val="20"/>
                <w:szCs w:val="20"/>
                <w:lang w:val="es-ES_tradnl" w:eastAsia="es-ES"/>
              </w:rPr>
              <w:t>US$1,800/informe</w:t>
            </w:r>
          </w:p>
        </w:tc>
        <w:tc>
          <w:tcPr>
            <w:tcW w:w="849" w:type="pct"/>
            <w:shd w:val="clear" w:color="auto" w:fill="auto"/>
            <w:vAlign w:val="center"/>
            <w:hideMark/>
          </w:tcPr>
          <w:p w14:paraId="518C0532" w14:textId="7C4FAEF4" w:rsidR="00E31910" w:rsidRPr="001F731F" w:rsidRDefault="00E31910" w:rsidP="00B93FB1">
            <w:pPr>
              <w:spacing w:after="0" w:line="240" w:lineRule="auto"/>
              <w:jc w:val="center"/>
              <w:rPr>
                <w:rFonts w:ascii="Arial" w:eastAsia="Times New Roman" w:hAnsi="Arial" w:cs="Arial"/>
                <w:color w:val="000000"/>
                <w:sz w:val="20"/>
                <w:szCs w:val="20"/>
                <w:lang w:val="es-ES_tradnl" w:eastAsia="es-ES"/>
              </w:rPr>
            </w:pPr>
            <w:r>
              <w:rPr>
                <w:rFonts w:ascii="Arial" w:eastAsia="Times New Roman" w:hAnsi="Arial" w:cs="Arial"/>
                <w:color w:val="000000"/>
                <w:sz w:val="20"/>
                <w:szCs w:val="20"/>
                <w:lang w:val="es-ES_tradnl" w:eastAsia="es-ES"/>
              </w:rPr>
              <w:t>NAFIN</w:t>
            </w:r>
          </w:p>
        </w:tc>
        <w:tc>
          <w:tcPr>
            <w:tcW w:w="1123" w:type="pct"/>
            <w:shd w:val="clear" w:color="auto" w:fill="auto"/>
            <w:vAlign w:val="center"/>
          </w:tcPr>
          <w:p w14:paraId="03B02E67" w14:textId="14AD0FB0" w:rsidR="00E31910" w:rsidRPr="001F731F" w:rsidRDefault="00E31910" w:rsidP="00B93FB1">
            <w:pPr>
              <w:spacing w:after="0" w:line="240" w:lineRule="auto"/>
              <w:rPr>
                <w:rFonts w:ascii="Arial" w:eastAsia="Times New Roman" w:hAnsi="Arial" w:cs="Arial"/>
                <w:color w:val="000000"/>
                <w:sz w:val="20"/>
                <w:szCs w:val="20"/>
                <w:lang w:val="es-ES_tradnl" w:eastAsia="es-ES"/>
              </w:rPr>
            </w:pPr>
            <w:r>
              <w:rPr>
                <w:rFonts w:ascii="Arial" w:eastAsia="Times New Roman" w:hAnsi="Arial" w:cs="Arial"/>
                <w:color w:val="000000"/>
                <w:sz w:val="20"/>
                <w:szCs w:val="20"/>
                <w:lang w:val="es-ES_tradnl" w:eastAsia="es-ES"/>
              </w:rPr>
              <w:t>Presupuesto operativo NAFIN</w:t>
            </w:r>
          </w:p>
        </w:tc>
      </w:tr>
      <w:tr w:rsidR="00E31910" w:rsidRPr="001F731F" w14:paraId="664B37CF" w14:textId="77777777" w:rsidTr="002C47A9">
        <w:trPr>
          <w:trHeight w:hRule="exact" w:val="1073"/>
          <w:jc w:val="center"/>
        </w:trPr>
        <w:tc>
          <w:tcPr>
            <w:tcW w:w="933" w:type="pct"/>
            <w:shd w:val="clear" w:color="auto" w:fill="auto"/>
            <w:vAlign w:val="center"/>
          </w:tcPr>
          <w:p w14:paraId="2E33B8FC" w14:textId="50B4BB52" w:rsidR="00E31910" w:rsidRPr="001F731F" w:rsidRDefault="00E31910" w:rsidP="00EB454E">
            <w:pPr>
              <w:spacing w:after="0" w:line="240" w:lineRule="auto"/>
              <w:rPr>
                <w:rFonts w:ascii="Arial" w:eastAsia="Times New Roman" w:hAnsi="Arial" w:cs="Arial"/>
                <w:color w:val="000000"/>
                <w:sz w:val="20"/>
                <w:szCs w:val="20"/>
                <w:lang w:val="es-ES_tradnl" w:eastAsia="es-ES"/>
              </w:rPr>
            </w:pPr>
            <w:r w:rsidRPr="001F731F">
              <w:rPr>
                <w:rFonts w:ascii="Arial" w:eastAsia="Times New Roman" w:hAnsi="Arial" w:cs="Arial"/>
                <w:color w:val="000000"/>
                <w:sz w:val="20"/>
                <w:szCs w:val="20"/>
                <w:lang w:val="es-ES_tradnl" w:eastAsia="es-ES"/>
              </w:rPr>
              <w:t>Informes de cumplimiento ESG</w:t>
            </w:r>
            <w:r>
              <w:rPr>
                <w:rFonts w:ascii="Arial" w:eastAsia="Times New Roman" w:hAnsi="Arial" w:cs="Arial"/>
                <w:color w:val="000000"/>
                <w:sz w:val="20"/>
                <w:szCs w:val="20"/>
                <w:lang w:val="es-ES_tradnl" w:eastAsia="es-ES"/>
              </w:rPr>
              <w:t xml:space="preserve"> (ver ¶</w:t>
            </w:r>
            <w:r>
              <w:rPr>
                <w:rFonts w:ascii="Arial" w:eastAsia="Times New Roman" w:hAnsi="Arial" w:cs="Arial"/>
                <w:color w:val="000000"/>
                <w:sz w:val="20"/>
                <w:szCs w:val="20"/>
                <w:lang w:val="es-ES_tradnl" w:eastAsia="es-ES"/>
              </w:rPr>
              <w:fldChar w:fldCharType="begin"/>
            </w:r>
            <w:r>
              <w:rPr>
                <w:rFonts w:ascii="Arial" w:eastAsia="Times New Roman" w:hAnsi="Arial" w:cs="Arial"/>
                <w:color w:val="000000"/>
                <w:sz w:val="20"/>
                <w:szCs w:val="20"/>
                <w:lang w:val="es-ES_tradnl" w:eastAsia="es-ES"/>
              </w:rPr>
              <w:instrText xml:space="preserve"> REF _Ref42167652 \r \h </w:instrText>
            </w:r>
            <w:r>
              <w:rPr>
                <w:rFonts w:ascii="Arial" w:eastAsia="Times New Roman" w:hAnsi="Arial" w:cs="Arial"/>
                <w:color w:val="000000"/>
                <w:sz w:val="20"/>
                <w:szCs w:val="20"/>
                <w:lang w:val="es-ES_tradnl" w:eastAsia="es-ES"/>
              </w:rPr>
            </w:r>
            <w:r>
              <w:rPr>
                <w:rFonts w:ascii="Arial" w:eastAsia="Times New Roman" w:hAnsi="Arial" w:cs="Arial"/>
                <w:color w:val="000000"/>
                <w:sz w:val="20"/>
                <w:szCs w:val="20"/>
                <w:lang w:val="es-ES_tradnl" w:eastAsia="es-ES"/>
              </w:rPr>
              <w:fldChar w:fldCharType="separate"/>
            </w:r>
            <w:r>
              <w:rPr>
                <w:rFonts w:ascii="Arial" w:eastAsia="Times New Roman" w:hAnsi="Arial" w:cs="Arial"/>
                <w:color w:val="000000"/>
                <w:sz w:val="20"/>
                <w:szCs w:val="20"/>
                <w:lang w:val="es-ES_tradnl" w:eastAsia="es-ES"/>
              </w:rPr>
              <w:t>2.9</w:t>
            </w:r>
            <w:r>
              <w:rPr>
                <w:rFonts w:ascii="Arial" w:eastAsia="Times New Roman" w:hAnsi="Arial" w:cs="Arial"/>
                <w:color w:val="000000"/>
                <w:sz w:val="20"/>
                <w:szCs w:val="20"/>
                <w:lang w:val="es-ES_tradnl" w:eastAsia="es-ES"/>
              </w:rPr>
              <w:fldChar w:fldCharType="end"/>
            </w:r>
            <w:r>
              <w:rPr>
                <w:rFonts w:ascii="Arial" w:eastAsia="Times New Roman" w:hAnsi="Arial" w:cs="Arial"/>
                <w:color w:val="000000"/>
                <w:sz w:val="20"/>
                <w:szCs w:val="20"/>
                <w:lang w:val="es-ES_tradnl" w:eastAsia="es-ES"/>
              </w:rPr>
              <w:t>)</w:t>
            </w:r>
          </w:p>
        </w:tc>
        <w:tc>
          <w:tcPr>
            <w:tcW w:w="176" w:type="pct"/>
            <w:shd w:val="clear" w:color="auto" w:fill="auto"/>
            <w:vAlign w:val="center"/>
          </w:tcPr>
          <w:p w14:paraId="114C6B0D" w14:textId="77777777" w:rsidR="00E31910" w:rsidRPr="001F731F" w:rsidRDefault="00E31910" w:rsidP="00EB454E">
            <w:pPr>
              <w:spacing w:after="0" w:line="240" w:lineRule="auto"/>
              <w:rPr>
                <w:rFonts w:ascii="Arial" w:eastAsia="Times New Roman" w:hAnsi="Arial" w:cs="Arial"/>
                <w:color w:val="000000"/>
                <w:sz w:val="20"/>
                <w:szCs w:val="20"/>
                <w:lang w:val="es-ES_tradnl" w:eastAsia="es-ES"/>
              </w:rPr>
            </w:pPr>
          </w:p>
        </w:tc>
        <w:tc>
          <w:tcPr>
            <w:tcW w:w="191" w:type="pct"/>
            <w:shd w:val="clear" w:color="auto" w:fill="auto"/>
            <w:vAlign w:val="center"/>
          </w:tcPr>
          <w:p w14:paraId="3BB37A7C" w14:textId="0C1E073D" w:rsidR="00E31910" w:rsidRPr="001F731F" w:rsidRDefault="00E31910" w:rsidP="00EB454E">
            <w:pPr>
              <w:spacing w:after="0" w:line="240" w:lineRule="auto"/>
              <w:rPr>
                <w:rFonts w:ascii="Arial" w:eastAsia="Times New Roman" w:hAnsi="Arial" w:cs="Arial"/>
                <w:color w:val="000000"/>
                <w:sz w:val="20"/>
                <w:szCs w:val="20"/>
                <w:lang w:val="es-ES_tradnl" w:eastAsia="es-ES"/>
              </w:rPr>
            </w:pPr>
            <w:r>
              <w:rPr>
                <w:rFonts w:ascii="Arial" w:eastAsia="Times New Roman" w:hAnsi="Arial" w:cs="Arial"/>
                <w:color w:val="000000"/>
                <w:sz w:val="20"/>
                <w:szCs w:val="20"/>
                <w:lang w:val="es-ES_tradnl" w:eastAsia="es-ES"/>
              </w:rPr>
              <w:t>X</w:t>
            </w:r>
          </w:p>
        </w:tc>
        <w:tc>
          <w:tcPr>
            <w:tcW w:w="195" w:type="pct"/>
            <w:shd w:val="clear" w:color="auto" w:fill="auto"/>
            <w:vAlign w:val="center"/>
          </w:tcPr>
          <w:p w14:paraId="6F6EB9B1" w14:textId="66AFDFA5" w:rsidR="00E31910" w:rsidRPr="001F731F" w:rsidRDefault="00E31910" w:rsidP="00EB454E">
            <w:pPr>
              <w:spacing w:after="0" w:line="240" w:lineRule="auto"/>
              <w:rPr>
                <w:rFonts w:ascii="Arial" w:eastAsia="Times New Roman" w:hAnsi="Arial" w:cs="Arial"/>
                <w:color w:val="000000"/>
                <w:sz w:val="20"/>
                <w:szCs w:val="20"/>
                <w:lang w:val="es-ES_tradnl" w:eastAsia="es-ES"/>
              </w:rPr>
            </w:pPr>
            <w:r>
              <w:rPr>
                <w:rFonts w:ascii="Arial" w:eastAsia="Times New Roman" w:hAnsi="Arial" w:cs="Arial"/>
                <w:color w:val="000000"/>
                <w:sz w:val="20"/>
                <w:szCs w:val="20"/>
                <w:lang w:val="es-ES_tradnl" w:eastAsia="es-ES"/>
              </w:rPr>
              <w:t>X</w:t>
            </w:r>
          </w:p>
        </w:tc>
        <w:tc>
          <w:tcPr>
            <w:tcW w:w="203" w:type="pct"/>
            <w:shd w:val="clear" w:color="auto" w:fill="auto"/>
            <w:vAlign w:val="center"/>
          </w:tcPr>
          <w:p w14:paraId="05D6A28E" w14:textId="62788791" w:rsidR="00E31910" w:rsidRPr="001F731F" w:rsidRDefault="00E31910" w:rsidP="00EB454E">
            <w:pPr>
              <w:spacing w:after="0" w:line="240" w:lineRule="auto"/>
              <w:rPr>
                <w:rFonts w:ascii="Arial" w:eastAsia="Times New Roman" w:hAnsi="Arial" w:cs="Arial"/>
                <w:color w:val="000000"/>
                <w:sz w:val="20"/>
                <w:szCs w:val="20"/>
                <w:lang w:val="es-ES_tradnl" w:eastAsia="es-ES"/>
              </w:rPr>
            </w:pPr>
            <w:r>
              <w:rPr>
                <w:rFonts w:ascii="Arial" w:eastAsia="Times New Roman" w:hAnsi="Arial" w:cs="Arial"/>
                <w:color w:val="000000"/>
                <w:sz w:val="20"/>
                <w:szCs w:val="20"/>
                <w:lang w:val="es-ES_tradnl" w:eastAsia="es-ES"/>
              </w:rPr>
              <w:t>X</w:t>
            </w:r>
          </w:p>
        </w:tc>
        <w:tc>
          <w:tcPr>
            <w:tcW w:w="1330" w:type="pct"/>
            <w:shd w:val="clear" w:color="auto" w:fill="auto"/>
            <w:vAlign w:val="center"/>
          </w:tcPr>
          <w:p w14:paraId="57FC3F1B" w14:textId="006A64CB" w:rsidR="00E31910" w:rsidRPr="001F731F" w:rsidRDefault="00E31910" w:rsidP="00EB454E">
            <w:pPr>
              <w:spacing w:after="0" w:line="240" w:lineRule="auto"/>
              <w:rPr>
                <w:rFonts w:ascii="Arial" w:eastAsia="Times New Roman" w:hAnsi="Arial" w:cs="Arial"/>
                <w:color w:val="000000"/>
                <w:sz w:val="20"/>
                <w:szCs w:val="20"/>
                <w:lang w:val="es-ES_tradnl" w:eastAsia="es-ES"/>
              </w:rPr>
            </w:pPr>
            <w:r>
              <w:rPr>
                <w:rFonts w:ascii="Arial" w:eastAsia="Times New Roman" w:hAnsi="Arial" w:cs="Arial"/>
                <w:color w:val="000000"/>
                <w:sz w:val="20"/>
                <w:szCs w:val="20"/>
                <w:lang w:val="es-ES_tradnl" w:eastAsia="es-ES"/>
              </w:rPr>
              <w:t>Forman parte de los reportes semestrales, cuando aplique</w:t>
            </w:r>
          </w:p>
        </w:tc>
        <w:tc>
          <w:tcPr>
            <w:tcW w:w="849" w:type="pct"/>
            <w:shd w:val="clear" w:color="auto" w:fill="auto"/>
            <w:vAlign w:val="center"/>
          </w:tcPr>
          <w:p w14:paraId="030DCF18" w14:textId="78EE08AD" w:rsidR="00E31910" w:rsidRPr="001F731F" w:rsidRDefault="00E31910" w:rsidP="00EB454E">
            <w:pPr>
              <w:spacing w:after="0" w:line="240" w:lineRule="auto"/>
              <w:jc w:val="center"/>
              <w:rPr>
                <w:rFonts w:ascii="Arial" w:eastAsia="Times New Roman" w:hAnsi="Arial" w:cs="Arial"/>
                <w:color w:val="000000"/>
                <w:sz w:val="20"/>
                <w:szCs w:val="20"/>
                <w:lang w:val="es-ES_tradnl" w:eastAsia="es-ES"/>
              </w:rPr>
            </w:pPr>
            <w:r>
              <w:rPr>
                <w:rFonts w:ascii="Arial" w:eastAsia="Times New Roman" w:hAnsi="Arial" w:cs="Arial"/>
                <w:color w:val="000000"/>
                <w:sz w:val="20"/>
                <w:szCs w:val="20"/>
                <w:lang w:val="es-ES_tradnl" w:eastAsia="es-ES"/>
              </w:rPr>
              <w:t>NAFIN</w:t>
            </w:r>
          </w:p>
        </w:tc>
        <w:tc>
          <w:tcPr>
            <w:tcW w:w="1123" w:type="pct"/>
            <w:shd w:val="clear" w:color="auto" w:fill="auto"/>
            <w:vAlign w:val="center"/>
          </w:tcPr>
          <w:p w14:paraId="43CE8EDB" w14:textId="661EC630" w:rsidR="00E31910" w:rsidRPr="001F731F" w:rsidRDefault="00E31910" w:rsidP="00EB454E">
            <w:pPr>
              <w:spacing w:after="0" w:line="240" w:lineRule="auto"/>
              <w:rPr>
                <w:rFonts w:ascii="Arial" w:eastAsia="Times New Roman" w:hAnsi="Arial" w:cs="Arial"/>
                <w:color w:val="000000"/>
                <w:sz w:val="20"/>
                <w:szCs w:val="20"/>
                <w:lang w:val="es-ES_tradnl" w:eastAsia="es-ES"/>
              </w:rPr>
            </w:pPr>
            <w:r>
              <w:rPr>
                <w:rFonts w:ascii="Arial" w:eastAsia="Times New Roman" w:hAnsi="Arial" w:cs="Arial"/>
                <w:color w:val="000000"/>
                <w:sz w:val="20"/>
                <w:szCs w:val="20"/>
                <w:lang w:val="es-ES_tradnl" w:eastAsia="es-ES"/>
              </w:rPr>
              <w:t>Presupuesto operativo NAFIN</w:t>
            </w:r>
          </w:p>
        </w:tc>
      </w:tr>
      <w:tr w:rsidR="00E31910" w:rsidRPr="001F731F" w14:paraId="4F0738B7" w14:textId="77777777" w:rsidTr="002C47A9">
        <w:trPr>
          <w:trHeight w:val="901"/>
          <w:jc w:val="center"/>
        </w:trPr>
        <w:tc>
          <w:tcPr>
            <w:tcW w:w="933" w:type="pct"/>
            <w:shd w:val="clear" w:color="auto" w:fill="auto"/>
            <w:vAlign w:val="center"/>
            <w:hideMark/>
          </w:tcPr>
          <w:p w14:paraId="6EA8DF48" w14:textId="0BE71EDE" w:rsidR="00E31910" w:rsidRPr="001F731F" w:rsidRDefault="00E31910" w:rsidP="00EB454E">
            <w:pPr>
              <w:spacing w:after="0" w:line="240" w:lineRule="auto"/>
              <w:rPr>
                <w:rFonts w:ascii="Arial" w:eastAsia="Times New Roman" w:hAnsi="Arial" w:cs="Arial"/>
                <w:color w:val="000000"/>
                <w:sz w:val="20"/>
                <w:szCs w:val="20"/>
                <w:lang w:val="es-ES_tradnl" w:eastAsia="es-ES"/>
              </w:rPr>
            </w:pPr>
            <w:r w:rsidRPr="001F731F">
              <w:rPr>
                <w:rFonts w:ascii="Arial" w:eastAsia="Times New Roman" w:hAnsi="Arial" w:cs="Arial"/>
                <w:color w:val="000000"/>
                <w:sz w:val="20"/>
                <w:szCs w:val="20"/>
                <w:lang w:val="es-ES_tradnl" w:eastAsia="es-ES"/>
              </w:rPr>
              <w:t>Audito</w:t>
            </w:r>
            <w:r>
              <w:rPr>
                <w:rFonts w:ascii="Arial" w:eastAsia="Times New Roman" w:hAnsi="Arial" w:cs="Arial"/>
                <w:color w:val="000000"/>
                <w:sz w:val="20"/>
                <w:szCs w:val="20"/>
                <w:lang w:val="es-ES_tradnl" w:eastAsia="es-ES"/>
              </w:rPr>
              <w:t>rí</w:t>
            </w:r>
            <w:r w:rsidRPr="001F731F">
              <w:rPr>
                <w:rFonts w:ascii="Arial" w:eastAsia="Times New Roman" w:hAnsi="Arial" w:cs="Arial"/>
                <w:color w:val="000000"/>
                <w:sz w:val="20"/>
                <w:szCs w:val="20"/>
                <w:lang w:val="es-ES_tradnl" w:eastAsia="es-ES"/>
              </w:rPr>
              <w:t>as</w:t>
            </w:r>
          </w:p>
        </w:tc>
        <w:tc>
          <w:tcPr>
            <w:tcW w:w="176" w:type="pct"/>
            <w:shd w:val="clear" w:color="auto" w:fill="auto"/>
            <w:vAlign w:val="center"/>
            <w:hideMark/>
          </w:tcPr>
          <w:p w14:paraId="5F8ABA40" w14:textId="77777777" w:rsidR="00E31910" w:rsidRPr="001F731F" w:rsidRDefault="00E31910" w:rsidP="00EB454E">
            <w:pPr>
              <w:spacing w:after="0" w:line="240" w:lineRule="auto"/>
              <w:rPr>
                <w:rFonts w:ascii="Arial" w:eastAsia="Times New Roman" w:hAnsi="Arial" w:cs="Arial"/>
                <w:color w:val="000000"/>
                <w:sz w:val="20"/>
                <w:szCs w:val="20"/>
                <w:lang w:val="es-ES_tradnl" w:eastAsia="es-ES"/>
              </w:rPr>
            </w:pPr>
            <w:r w:rsidRPr="001F731F">
              <w:rPr>
                <w:rFonts w:ascii="Arial" w:eastAsia="Times New Roman" w:hAnsi="Arial" w:cs="Arial"/>
                <w:color w:val="000000"/>
                <w:sz w:val="20"/>
                <w:szCs w:val="20"/>
                <w:lang w:val="es-ES_tradnl" w:eastAsia="es-ES"/>
              </w:rPr>
              <w:t> </w:t>
            </w:r>
          </w:p>
        </w:tc>
        <w:tc>
          <w:tcPr>
            <w:tcW w:w="191" w:type="pct"/>
            <w:shd w:val="clear" w:color="auto" w:fill="auto"/>
            <w:vAlign w:val="center"/>
            <w:hideMark/>
          </w:tcPr>
          <w:p w14:paraId="68181512" w14:textId="77777777" w:rsidR="00E31910" w:rsidRPr="001F731F" w:rsidRDefault="00E31910" w:rsidP="00EB454E">
            <w:pPr>
              <w:spacing w:after="0" w:line="240" w:lineRule="auto"/>
              <w:rPr>
                <w:rFonts w:ascii="Arial" w:eastAsia="Times New Roman" w:hAnsi="Arial" w:cs="Arial"/>
                <w:color w:val="000000"/>
                <w:sz w:val="20"/>
                <w:szCs w:val="20"/>
                <w:lang w:val="es-ES_tradnl" w:eastAsia="es-ES"/>
              </w:rPr>
            </w:pPr>
            <w:r w:rsidRPr="001F731F">
              <w:rPr>
                <w:rFonts w:ascii="Arial" w:eastAsia="Times New Roman" w:hAnsi="Arial" w:cs="Arial"/>
                <w:color w:val="000000"/>
                <w:sz w:val="20"/>
                <w:szCs w:val="20"/>
                <w:lang w:val="es-ES_tradnl" w:eastAsia="es-ES"/>
              </w:rPr>
              <w:t> </w:t>
            </w:r>
          </w:p>
        </w:tc>
        <w:tc>
          <w:tcPr>
            <w:tcW w:w="195" w:type="pct"/>
            <w:shd w:val="clear" w:color="auto" w:fill="auto"/>
            <w:vAlign w:val="center"/>
            <w:hideMark/>
          </w:tcPr>
          <w:p w14:paraId="7EED3BFC" w14:textId="3C97F50E" w:rsidR="00E31910" w:rsidRPr="001F731F" w:rsidRDefault="00E31910" w:rsidP="00EB454E">
            <w:pPr>
              <w:spacing w:after="0" w:line="240" w:lineRule="auto"/>
              <w:rPr>
                <w:rFonts w:ascii="Arial" w:eastAsia="Times New Roman" w:hAnsi="Arial" w:cs="Arial"/>
                <w:color w:val="000000"/>
                <w:sz w:val="20"/>
                <w:szCs w:val="20"/>
                <w:lang w:val="es-ES_tradnl" w:eastAsia="es-ES"/>
              </w:rPr>
            </w:pPr>
            <w:r w:rsidRPr="001F731F">
              <w:rPr>
                <w:rFonts w:ascii="Arial" w:eastAsia="Times New Roman" w:hAnsi="Arial" w:cs="Arial"/>
                <w:color w:val="000000"/>
                <w:sz w:val="20"/>
                <w:szCs w:val="20"/>
                <w:lang w:val="es-ES_tradnl" w:eastAsia="es-ES"/>
              </w:rPr>
              <w:t> </w:t>
            </w:r>
          </w:p>
        </w:tc>
        <w:tc>
          <w:tcPr>
            <w:tcW w:w="203" w:type="pct"/>
            <w:shd w:val="clear" w:color="auto" w:fill="auto"/>
            <w:vAlign w:val="center"/>
            <w:hideMark/>
          </w:tcPr>
          <w:p w14:paraId="6E233AB0" w14:textId="4AD6F6E8" w:rsidR="00E31910" w:rsidRPr="001F731F" w:rsidRDefault="00E31910" w:rsidP="00EB454E">
            <w:pPr>
              <w:spacing w:after="0" w:line="240" w:lineRule="auto"/>
              <w:rPr>
                <w:rFonts w:ascii="Arial" w:eastAsia="Times New Roman" w:hAnsi="Arial" w:cs="Arial"/>
                <w:color w:val="000000"/>
                <w:sz w:val="20"/>
                <w:szCs w:val="20"/>
                <w:lang w:val="es-ES_tradnl" w:eastAsia="es-ES"/>
              </w:rPr>
            </w:pPr>
            <w:r w:rsidRPr="001F731F">
              <w:rPr>
                <w:rFonts w:ascii="Arial" w:eastAsia="Times New Roman" w:hAnsi="Arial" w:cs="Arial"/>
                <w:color w:val="000000"/>
                <w:sz w:val="20"/>
                <w:szCs w:val="20"/>
                <w:lang w:val="es-ES_tradnl" w:eastAsia="es-ES"/>
              </w:rPr>
              <w:t> </w:t>
            </w:r>
            <w:r>
              <w:rPr>
                <w:rFonts w:ascii="Arial" w:eastAsia="Times New Roman" w:hAnsi="Arial" w:cs="Arial"/>
                <w:color w:val="000000"/>
                <w:sz w:val="20"/>
                <w:szCs w:val="20"/>
                <w:lang w:val="es-ES_tradnl" w:eastAsia="es-ES"/>
              </w:rPr>
              <w:t>X</w:t>
            </w:r>
          </w:p>
        </w:tc>
        <w:tc>
          <w:tcPr>
            <w:tcW w:w="1330" w:type="pct"/>
            <w:shd w:val="clear" w:color="auto" w:fill="auto"/>
            <w:vAlign w:val="center"/>
            <w:hideMark/>
          </w:tcPr>
          <w:p w14:paraId="37753424" w14:textId="4E8826F0" w:rsidR="00E31910" w:rsidRPr="001F731F" w:rsidRDefault="00E31910" w:rsidP="00EB454E">
            <w:pPr>
              <w:spacing w:after="0" w:line="240" w:lineRule="auto"/>
              <w:rPr>
                <w:rFonts w:ascii="Arial" w:eastAsia="Times New Roman" w:hAnsi="Arial" w:cs="Arial"/>
                <w:color w:val="000000"/>
                <w:sz w:val="20"/>
                <w:szCs w:val="20"/>
                <w:lang w:val="es-ES_tradnl" w:eastAsia="es-ES"/>
              </w:rPr>
            </w:pPr>
            <w:r w:rsidRPr="001F731F">
              <w:rPr>
                <w:rFonts w:ascii="Arial" w:eastAsia="Times New Roman" w:hAnsi="Arial" w:cs="Arial"/>
                <w:color w:val="000000"/>
                <w:sz w:val="20"/>
                <w:szCs w:val="20"/>
                <w:lang w:val="es-ES_tradnl" w:eastAsia="es-ES"/>
              </w:rPr>
              <w:t>US$20.000/</w:t>
            </w:r>
            <w:r>
              <w:rPr>
                <w:rFonts w:ascii="Arial" w:eastAsia="Times New Roman" w:hAnsi="Arial" w:cs="Arial"/>
                <w:color w:val="000000"/>
                <w:sz w:val="20"/>
                <w:szCs w:val="20"/>
                <w:lang w:val="es-ES_tradnl" w:eastAsia="es-ES"/>
              </w:rPr>
              <w:t>auditoría</w:t>
            </w:r>
          </w:p>
        </w:tc>
        <w:tc>
          <w:tcPr>
            <w:tcW w:w="849" w:type="pct"/>
            <w:shd w:val="clear" w:color="auto" w:fill="auto"/>
            <w:vAlign w:val="center"/>
            <w:hideMark/>
          </w:tcPr>
          <w:p w14:paraId="265E22B2" w14:textId="1074CFA0" w:rsidR="00E31910" w:rsidRPr="001F731F" w:rsidRDefault="00E31910" w:rsidP="00EB454E">
            <w:pPr>
              <w:spacing w:after="0" w:line="240" w:lineRule="auto"/>
              <w:jc w:val="center"/>
              <w:rPr>
                <w:rFonts w:ascii="Arial" w:eastAsia="Times New Roman" w:hAnsi="Arial" w:cs="Arial"/>
                <w:color w:val="000000"/>
                <w:sz w:val="20"/>
                <w:szCs w:val="20"/>
                <w:lang w:val="es-ES_tradnl" w:eastAsia="es-ES"/>
              </w:rPr>
            </w:pPr>
            <w:r>
              <w:rPr>
                <w:rFonts w:ascii="Arial" w:eastAsia="Times New Roman" w:hAnsi="Arial" w:cs="Arial"/>
                <w:color w:val="000000"/>
                <w:sz w:val="20"/>
                <w:szCs w:val="20"/>
                <w:lang w:val="es-ES_tradnl" w:eastAsia="es-ES"/>
              </w:rPr>
              <w:t>NAFIN</w:t>
            </w:r>
          </w:p>
        </w:tc>
        <w:tc>
          <w:tcPr>
            <w:tcW w:w="1123" w:type="pct"/>
            <w:shd w:val="clear" w:color="auto" w:fill="auto"/>
            <w:vAlign w:val="center"/>
          </w:tcPr>
          <w:p w14:paraId="0465C36F" w14:textId="03521E40" w:rsidR="00E31910" w:rsidRPr="001F731F" w:rsidRDefault="00E31910" w:rsidP="00EB454E">
            <w:pPr>
              <w:spacing w:after="0" w:line="240" w:lineRule="auto"/>
              <w:rPr>
                <w:rFonts w:ascii="Arial" w:eastAsia="Times New Roman" w:hAnsi="Arial" w:cs="Arial"/>
                <w:color w:val="000000"/>
                <w:sz w:val="20"/>
                <w:szCs w:val="20"/>
                <w:lang w:val="es-ES_tradnl" w:eastAsia="es-ES"/>
              </w:rPr>
            </w:pPr>
            <w:r>
              <w:rPr>
                <w:rFonts w:ascii="Arial" w:eastAsia="Times New Roman" w:hAnsi="Arial" w:cs="Arial"/>
                <w:color w:val="000000"/>
                <w:sz w:val="20"/>
                <w:szCs w:val="20"/>
                <w:lang w:val="es-ES_tradnl" w:eastAsia="es-ES"/>
              </w:rPr>
              <w:t>Presupuesto operativo NAFIN</w:t>
            </w:r>
          </w:p>
        </w:tc>
      </w:tr>
    </w:tbl>
    <w:p w14:paraId="77F1DF94" w14:textId="77777777" w:rsidR="006A5189" w:rsidRDefault="00EB454E" w:rsidP="00192F89">
      <w:pPr>
        <w:spacing w:after="100" w:afterAutospacing="1" w:line="240" w:lineRule="auto"/>
        <w:ind w:left="270" w:right="270"/>
        <w:jc w:val="both"/>
        <w:rPr>
          <w:rFonts w:ascii="Arial" w:hAnsi="Arial" w:cs="Arial"/>
          <w:sz w:val="18"/>
          <w:szCs w:val="18"/>
          <w:lang w:val="es-PE"/>
        </w:rPr>
      </w:pPr>
      <w:bookmarkStart w:id="25" w:name="_Toc346643520"/>
      <w:bookmarkStart w:id="26" w:name="_Toc352755941"/>
      <w:bookmarkStart w:id="27" w:name="_Toc352756757"/>
      <w:r w:rsidRPr="00EB454E">
        <w:rPr>
          <w:rFonts w:ascii="Arial" w:hAnsi="Arial" w:cs="Arial"/>
          <w:sz w:val="18"/>
          <w:szCs w:val="18"/>
          <w:vertAlign w:val="superscript"/>
          <w:lang w:val="es-PE"/>
        </w:rPr>
        <w:t>[A]</w:t>
      </w:r>
      <w:r w:rsidRPr="00EB454E">
        <w:rPr>
          <w:rFonts w:ascii="Arial" w:hAnsi="Arial" w:cs="Arial"/>
          <w:sz w:val="18"/>
          <w:szCs w:val="18"/>
          <w:lang w:val="es-PE"/>
        </w:rPr>
        <w:t xml:space="preserve"> El </w:t>
      </w:r>
      <w:r w:rsidR="00EE6423">
        <w:rPr>
          <w:rFonts w:ascii="Arial" w:hAnsi="Arial" w:cs="Arial"/>
          <w:sz w:val="18"/>
          <w:szCs w:val="18"/>
          <w:lang w:val="es-PE"/>
        </w:rPr>
        <w:t>número de reportes semestrales y de</w:t>
      </w:r>
      <w:r w:rsidRPr="00EB454E">
        <w:rPr>
          <w:rFonts w:ascii="Arial" w:hAnsi="Arial" w:cs="Arial"/>
          <w:sz w:val="18"/>
          <w:szCs w:val="18"/>
          <w:lang w:val="es-PE"/>
        </w:rPr>
        <w:t xml:space="preserve"> </w:t>
      </w:r>
      <w:r w:rsidR="00192F89" w:rsidRPr="00EB454E">
        <w:rPr>
          <w:rFonts w:ascii="Arial" w:hAnsi="Arial" w:cs="Arial"/>
          <w:sz w:val="18"/>
          <w:szCs w:val="18"/>
          <w:lang w:val="es-PE"/>
        </w:rPr>
        <w:t>auditorías</w:t>
      </w:r>
      <w:r w:rsidRPr="00EB454E">
        <w:rPr>
          <w:rFonts w:ascii="Arial" w:hAnsi="Arial" w:cs="Arial"/>
          <w:sz w:val="18"/>
          <w:szCs w:val="18"/>
          <w:lang w:val="es-PE"/>
        </w:rPr>
        <w:t xml:space="preserve"> dependerá de los años efectivos que dure la ejecución. En algunos casos, el programa se ejecuta en menor o mayor tiempo al previsto inicialmente</w:t>
      </w:r>
      <w:r w:rsidR="00B95CA1">
        <w:rPr>
          <w:rFonts w:ascii="Arial" w:hAnsi="Arial" w:cs="Arial"/>
          <w:sz w:val="18"/>
          <w:szCs w:val="18"/>
          <w:lang w:val="es-PE"/>
        </w:rPr>
        <w:t xml:space="preserve">. Todos los informes semestrales y final serán un aporte en especie a través de la administración de </w:t>
      </w:r>
      <w:r w:rsidR="00095785">
        <w:rPr>
          <w:rFonts w:ascii="Arial" w:hAnsi="Arial" w:cs="Arial"/>
          <w:sz w:val="18"/>
          <w:szCs w:val="18"/>
          <w:lang w:val="es-PE"/>
        </w:rPr>
        <w:t>NAFIN</w:t>
      </w:r>
      <w:r w:rsidR="00B95CA1">
        <w:rPr>
          <w:rFonts w:ascii="Arial" w:hAnsi="Arial" w:cs="Arial"/>
          <w:sz w:val="18"/>
          <w:szCs w:val="18"/>
          <w:lang w:val="es-PE"/>
        </w:rPr>
        <w:t xml:space="preserve"> (ver </w:t>
      </w:r>
      <w:r w:rsidR="00192F89">
        <w:rPr>
          <w:rFonts w:ascii="Arial" w:hAnsi="Arial" w:cs="Arial"/>
          <w:sz w:val="18"/>
          <w:szCs w:val="18"/>
          <w:lang w:val="es-PE"/>
        </w:rPr>
        <w:t>¶</w:t>
      </w:r>
      <w:r w:rsidR="002855DC">
        <w:rPr>
          <w:rFonts w:ascii="Arial" w:hAnsi="Arial" w:cs="Arial"/>
          <w:sz w:val="18"/>
          <w:szCs w:val="18"/>
          <w:lang w:val="es-PE"/>
        </w:rPr>
        <w:fldChar w:fldCharType="begin"/>
      </w:r>
      <w:r w:rsidR="002855DC">
        <w:rPr>
          <w:rFonts w:ascii="Arial" w:hAnsi="Arial" w:cs="Arial"/>
          <w:sz w:val="18"/>
          <w:szCs w:val="18"/>
          <w:lang w:val="es-PE"/>
        </w:rPr>
        <w:instrText xml:space="preserve"> REF _Ref43837314 \r \h </w:instrText>
      </w:r>
      <w:r w:rsidR="002855DC">
        <w:rPr>
          <w:rFonts w:ascii="Arial" w:hAnsi="Arial" w:cs="Arial"/>
          <w:sz w:val="18"/>
          <w:szCs w:val="18"/>
          <w:lang w:val="es-PE"/>
        </w:rPr>
      </w:r>
      <w:r w:rsidR="002855DC">
        <w:rPr>
          <w:rFonts w:ascii="Arial" w:hAnsi="Arial" w:cs="Arial"/>
          <w:sz w:val="18"/>
          <w:szCs w:val="18"/>
          <w:lang w:val="es-PE"/>
        </w:rPr>
        <w:fldChar w:fldCharType="separate"/>
      </w:r>
      <w:r w:rsidR="002855DC">
        <w:rPr>
          <w:rFonts w:ascii="Arial" w:hAnsi="Arial" w:cs="Arial"/>
          <w:sz w:val="18"/>
          <w:szCs w:val="18"/>
          <w:lang w:val="es-PE"/>
        </w:rPr>
        <w:t>2.14</w:t>
      </w:r>
      <w:r w:rsidR="002855DC">
        <w:rPr>
          <w:rFonts w:ascii="Arial" w:hAnsi="Arial" w:cs="Arial"/>
          <w:sz w:val="18"/>
          <w:szCs w:val="18"/>
          <w:lang w:val="es-PE"/>
        </w:rPr>
        <w:fldChar w:fldCharType="end"/>
      </w:r>
      <w:r w:rsidR="00B95CA1">
        <w:rPr>
          <w:rFonts w:ascii="Arial" w:hAnsi="Arial" w:cs="Arial"/>
          <w:sz w:val="18"/>
          <w:szCs w:val="18"/>
          <w:lang w:val="es-PE"/>
        </w:rPr>
        <w:t>).</w:t>
      </w:r>
    </w:p>
    <w:p w14:paraId="7DF1FD1C" w14:textId="77777777" w:rsidR="007116B2" w:rsidRPr="001F731F" w:rsidRDefault="007116B2" w:rsidP="007116B2">
      <w:pPr>
        <w:pStyle w:val="Chapter"/>
        <w:ind w:firstLine="289"/>
        <w:rPr>
          <w:rFonts w:ascii="Arial" w:hAnsi="Arial" w:cs="Arial"/>
          <w:sz w:val="22"/>
          <w:szCs w:val="22"/>
          <w:lang w:val="es-ES_tradnl"/>
        </w:rPr>
      </w:pPr>
      <w:bookmarkStart w:id="28" w:name="_Toc43286373"/>
      <w:r w:rsidRPr="001F731F">
        <w:rPr>
          <w:rFonts w:ascii="Arial" w:hAnsi="Arial" w:cs="Arial"/>
          <w:sz w:val="22"/>
          <w:szCs w:val="22"/>
          <w:lang w:val="es-ES_tradnl"/>
        </w:rPr>
        <w:t>Evaluación</w:t>
      </w:r>
      <w:bookmarkEnd w:id="25"/>
      <w:bookmarkEnd w:id="26"/>
      <w:bookmarkEnd w:id="27"/>
      <w:bookmarkEnd w:id="28"/>
    </w:p>
    <w:p w14:paraId="7751F253" w14:textId="4BB2AF39" w:rsidR="00501E93" w:rsidRPr="00522B95" w:rsidRDefault="007116B2" w:rsidP="009A5E71">
      <w:pPr>
        <w:pStyle w:val="Paragraph"/>
        <w:numPr>
          <w:ilvl w:val="1"/>
          <w:numId w:val="6"/>
        </w:numPr>
        <w:ind w:hanging="540"/>
        <w:rPr>
          <w:rFonts w:ascii="Arial" w:hAnsi="Arial" w:cs="Arial"/>
          <w:b/>
          <w:bCs/>
          <w:sz w:val="22"/>
          <w:szCs w:val="22"/>
          <w:lang w:val="es-ES_tradnl"/>
        </w:rPr>
      </w:pPr>
      <w:r w:rsidRPr="001F731F">
        <w:rPr>
          <w:rFonts w:ascii="Arial" w:hAnsi="Arial" w:cs="Arial"/>
          <w:b/>
          <w:bCs/>
          <w:sz w:val="22"/>
          <w:szCs w:val="22"/>
          <w:lang w:val="es-ES_tradnl"/>
        </w:rPr>
        <w:t>Justificación de la metodología</w:t>
      </w:r>
      <w:r w:rsidR="00501E93">
        <w:rPr>
          <w:rFonts w:ascii="Arial" w:hAnsi="Arial" w:cs="Arial"/>
          <w:b/>
          <w:bCs/>
          <w:sz w:val="22"/>
          <w:szCs w:val="22"/>
          <w:lang w:val="es-ES_tradnl"/>
        </w:rPr>
        <w:t xml:space="preserve">. </w:t>
      </w:r>
      <w:r w:rsidR="00501E93" w:rsidRPr="00522B95">
        <w:rPr>
          <w:rFonts w:ascii="Arial" w:hAnsi="Arial" w:cs="Arial"/>
          <w:sz w:val="22"/>
          <w:szCs w:val="22"/>
          <w:lang w:val="es-ES_tradnl"/>
        </w:rPr>
        <w:t xml:space="preserve">La estrategia de evaluación de los resultados del programa seguirá </w:t>
      </w:r>
      <w:r w:rsidR="002855DC">
        <w:rPr>
          <w:rFonts w:ascii="Arial" w:hAnsi="Arial" w:cs="Arial"/>
          <w:sz w:val="22"/>
          <w:szCs w:val="22"/>
          <w:lang w:val="es-ES_tradnl"/>
        </w:rPr>
        <w:t xml:space="preserve">un </w:t>
      </w:r>
      <w:r w:rsidR="002855DC" w:rsidRPr="00522B95">
        <w:rPr>
          <w:rFonts w:ascii="Arial" w:hAnsi="Arial" w:cs="Arial"/>
          <w:sz w:val="22"/>
          <w:szCs w:val="22"/>
          <w:lang w:val="es-ES_tradnl"/>
        </w:rPr>
        <w:t>enfoque</w:t>
      </w:r>
      <w:r w:rsidR="004234A7">
        <w:rPr>
          <w:rFonts w:ascii="Arial" w:hAnsi="Arial" w:cs="Arial"/>
          <w:sz w:val="22"/>
          <w:szCs w:val="22"/>
          <w:lang w:val="es-ES_tradnl"/>
        </w:rPr>
        <w:t xml:space="preserve"> de </w:t>
      </w:r>
      <w:r w:rsidR="00501E93" w:rsidRPr="00522B95">
        <w:rPr>
          <w:rFonts w:ascii="Arial" w:hAnsi="Arial" w:cs="Arial"/>
          <w:sz w:val="22"/>
          <w:szCs w:val="22"/>
          <w:lang w:val="es-ES_tradnl"/>
        </w:rPr>
        <w:t xml:space="preserve">una evaluación reflexiva, antes y después del programa, que muestre el alcance de los </w:t>
      </w:r>
      <w:r w:rsidR="00D95B9E">
        <w:rPr>
          <w:rFonts w:ascii="Arial" w:hAnsi="Arial" w:cs="Arial"/>
          <w:sz w:val="22"/>
          <w:szCs w:val="22"/>
          <w:lang w:val="es-ES_tradnl"/>
        </w:rPr>
        <w:t>indicadores de la matriz de resultados (ver Cuadro 1)</w:t>
      </w:r>
      <w:r w:rsidR="00AC3A5A">
        <w:rPr>
          <w:rFonts w:ascii="Arial" w:hAnsi="Arial" w:cs="Arial"/>
          <w:sz w:val="22"/>
          <w:szCs w:val="22"/>
          <w:lang w:val="es-ES_tradnl"/>
        </w:rPr>
        <w:t>.</w:t>
      </w:r>
      <w:r w:rsidR="00501E93" w:rsidRPr="00522B95">
        <w:rPr>
          <w:rFonts w:ascii="Arial" w:hAnsi="Arial" w:cs="Arial"/>
          <w:sz w:val="22"/>
          <w:szCs w:val="22"/>
          <w:lang w:val="es-ES_tradnl"/>
        </w:rPr>
        <w:t xml:space="preserve"> Est</w:t>
      </w:r>
      <w:r w:rsidR="004234A7">
        <w:rPr>
          <w:rFonts w:ascii="Arial" w:hAnsi="Arial" w:cs="Arial"/>
          <w:sz w:val="22"/>
          <w:szCs w:val="22"/>
          <w:lang w:val="es-ES_tradnl"/>
        </w:rPr>
        <w:t>e</w:t>
      </w:r>
      <w:r w:rsidR="00501E93" w:rsidRPr="00522B95">
        <w:rPr>
          <w:rFonts w:ascii="Arial" w:hAnsi="Arial" w:cs="Arial"/>
          <w:sz w:val="22"/>
          <w:szCs w:val="22"/>
          <w:lang w:val="es-ES_tradnl"/>
        </w:rPr>
        <w:t xml:space="preserve"> estudio evaluará los impactos sobre </w:t>
      </w:r>
      <w:r w:rsidR="00EE6423">
        <w:rPr>
          <w:rFonts w:ascii="Arial" w:hAnsi="Arial" w:cs="Arial"/>
          <w:sz w:val="22"/>
          <w:szCs w:val="22"/>
          <w:lang w:val="es-ES_tradnl"/>
        </w:rPr>
        <w:t>los indicadores de la Matriz de Resultados</w:t>
      </w:r>
      <w:r w:rsidR="00501E93" w:rsidRPr="00522B95">
        <w:rPr>
          <w:rFonts w:ascii="Arial" w:hAnsi="Arial" w:cs="Arial"/>
          <w:sz w:val="22"/>
          <w:szCs w:val="22"/>
          <w:lang w:val="es-ES_tradnl"/>
        </w:rPr>
        <w:t>.</w:t>
      </w:r>
    </w:p>
    <w:p w14:paraId="434FE5E2" w14:textId="1ACFFFFD" w:rsidR="00C64C11" w:rsidRPr="00043C4A" w:rsidRDefault="00C64C11" w:rsidP="007116B2">
      <w:pPr>
        <w:pStyle w:val="Paragraph"/>
        <w:numPr>
          <w:ilvl w:val="1"/>
          <w:numId w:val="6"/>
        </w:numPr>
        <w:ind w:hanging="540"/>
        <w:rPr>
          <w:rFonts w:ascii="Arial" w:hAnsi="Arial" w:cs="Arial"/>
          <w:b/>
          <w:bCs/>
          <w:sz w:val="22"/>
          <w:szCs w:val="22"/>
          <w:lang w:val="es-ES_tradnl"/>
        </w:rPr>
      </w:pPr>
      <w:r>
        <w:rPr>
          <w:rFonts w:ascii="Arial" w:hAnsi="Arial" w:cs="Arial"/>
          <w:sz w:val="22"/>
          <w:szCs w:val="22"/>
          <w:lang w:val="es-ES_tradnl"/>
        </w:rPr>
        <w:t xml:space="preserve">Además, para la realización del Informe de Terminación de Proyecto (PCR, por sus siglas en inglés), </w:t>
      </w:r>
      <w:r w:rsidR="00EE6423">
        <w:rPr>
          <w:rFonts w:ascii="Arial" w:hAnsi="Arial" w:cs="Arial"/>
          <w:sz w:val="22"/>
          <w:szCs w:val="22"/>
          <w:lang w:val="es-ES_tradnl"/>
        </w:rPr>
        <w:t xml:space="preserve">a cargo del BID, </w:t>
      </w:r>
      <w:r>
        <w:rPr>
          <w:rFonts w:ascii="Arial" w:hAnsi="Arial" w:cs="Arial"/>
          <w:sz w:val="22"/>
          <w:szCs w:val="22"/>
          <w:lang w:val="es-ES_tradnl"/>
        </w:rPr>
        <w:t xml:space="preserve">se llevará a cabo un </w:t>
      </w:r>
      <w:r w:rsidR="00AC3A5A">
        <w:rPr>
          <w:rFonts w:ascii="Arial" w:hAnsi="Arial" w:cs="Arial"/>
          <w:sz w:val="22"/>
          <w:szCs w:val="22"/>
          <w:lang w:val="es-ES_tradnl"/>
        </w:rPr>
        <w:t xml:space="preserve">análisis de cartera de </w:t>
      </w:r>
      <w:r w:rsidR="00095785">
        <w:rPr>
          <w:rFonts w:ascii="Arial" w:hAnsi="Arial" w:cs="Arial"/>
          <w:sz w:val="22"/>
          <w:szCs w:val="22"/>
          <w:lang w:val="es-ES_tradnl"/>
        </w:rPr>
        <w:t>NAFIN</w:t>
      </w:r>
      <w:r w:rsidR="00AC3A5A">
        <w:rPr>
          <w:rFonts w:ascii="Arial" w:hAnsi="Arial" w:cs="Arial"/>
          <w:sz w:val="22"/>
          <w:szCs w:val="22"/>
          <w:lang w:val="es-ES_tradnl"/>
        </w:rPr>
        <w:t xml:space="preserve"> para complementar las conclusiones sobre el impacto del programa en términos de adicionalidad y atribución en base a la evidencia, así como un </w:t>
      </w:r>
      <w:r>
        <w:rPr>
          <w:rFonts w:ascii="Arial" w:hAnsi="Arial" w:cs="Arial"/>
          <w:sz w:val="22"/>
          <w:szCs w:val="22"/>
          <w:lang w:val="es-ES_tradnl"/>
        </w:rPr>
        <w:t>análisis cualitativo de los principales retos de ejecución y las soluciones planteadas, incluyendo lecciones aprendidas y propuestas innovadoras para el diseño de futuras intervenciones.</w:t>
      </w:r>
    </w:p>
    <w:p w14:paraId="4B1F00E2" w14:textId="23989454" w:rsidR="006158AA" w:rsidRPr="005B49F7" w:rsidRDefault="006158AA" w:rsidP="007116B2">
      <w:pPr>
        <w:pStyle w:val="Paragraph"/>
        <w:numPr>
          <w:ilvl w:val="1"/>
          <w:numId w:val="6"/>
        </w:numPr>
        <w:ind w:hanging="540"/>
        <w:rPr>
          <w:rFonts w:ascii="Arial" w:hAnsi="Arial" w:cs="Arial"/>
          <w:b/>
          <w:bCs/>
          <w:sz w:val="22"/>
          <w:szCs w:val="22"/>
          <w:lang w:val="es-ES_tradnl"/>
        </w:rPr>
      </w:pPr>
      <w:r w:rsidRPr="006158AA">
        <w:rPr>
          <w:rFonts w:ascii="Arial" w:hAnsi="Arial" w:cs="Arial"/>
          <w:b/>
          <w:bCs/>
          <w:sz w:val="22"/>
          <w:szCs w:val="22"/>
          <w:lang w:val="es-ES_tradnl"/>
        </w:rPr>
        <w:t>Conocimiento previo</w:t>
      </w:r>
      <w:r w:rsidRPr="00D74C69">
        <w:rPr>
          <w:rFonts w:ascii="Arial" w:hAnsi="Arial" w:cs="Arial"/>
          <w:b/>
          <w:bCs/>
          <w:sz w:val="22"/>
          <w:szCs w:val="22"/>
          <w:lang w:val="es-ES_tradnl"/>
        </w:rPr>
        <w:t>.</w:t>
      </w:r>
      <w:r>
        <w:rPr>
          <w:rFonts w:ascii="Arial" w:hAnsi="Arial" w:cs="Arial"/>
          <w:sz w:val="22"/>
          <w:szCs w:val="22"/>
          <w:lang w:val="es-ES_tradnl"/>
        </w:rPr>
        <w:t xml:space="preserve"> </w:t>
      </w:r>
      <w:r w:rsidR="000E4BA5" w:rsidRPr="000E4BA5">
        <w:rPr>
          <w:rFonts w:ascii="Arial" w:eastAsia="Arial" w:hAnsi="Arial" w:cs="Arial"/>
          <w:sz w:val="22"/>
          <w:szCs w:val="22"/>
          <w:lang w:val="es-ES"/>
        </w:rPr>
        <w:t>El Banco cuenta con amplia experiencia en diseño de programas de préstamo con garantía soberana dirigidos a mejorar el acceso a financiamiento de las M</w:t>
      </w:r>
      <w:r w:rsidR="00B3760F">
        <w:rPr>
          <w:rFonts w:ascii="Arial" w:eastAsia="Arial" w:hAnsi="Arial" w:cs="Arial"/>
          <w:sz w:val="22"/>
          <w:szCs w:val="22"/>
          <w:lang w:val="es-ES"/>
        </w:rPr>
        <w:t>i</w:t>
      </w:r>
      <w:r w:rsidR="000E4BA5" w:rsidRPr="000E4BA5">
        <w:rPr>
          <w:rFonts w:ascii="Arial" w:eastAsia="Arial" w:hAnsi="Arial" w:cs="Arial"/>
          <w:sz w:val="22"/>
          <w:szCs w:val="22"/>
          <w:lang w:val="es-ES"/>
        </w:rPr>
        <w:t>P</w:t>
      </w:r>
      <w:r w:rsidR="00B3760F">
        <w:rPr>
          <w:rFonts w:ascii="Arial" w:eastAsia="Arial" w:hAnsi="Arial" w:cs="Arial"/>
          <w:sz w:val="22"/>
          <w:szCs w:val="22"/>
          <w:lang w:val="es-ES"/>
        </w:rPr>
        <w:t>y</w:t>
      </w:r>
      <w:r w:rsidR="000E4BA5" w:rsidRPr="000E4BA5">
        <w:rPr>
          <w:rFonts w:ascii="Arial" w:eastAsia="Arial" w:hAnsi="Arial" w:cs="Arial"/>
          <w:sz w:val="22"/>
          <w:szCs w:val="22"/>
          <w:lang w:val="es-ES"/>
        </w:rPr>
        <w:t xml:space="preserve">ME a través de intermediarios financieros. </w:t>
      </w:r>
      <w:r w:rsidR="00793A77" w:rsidRPr="00793A77">
        <w:rPr>
          <w:rFonts w:ascii="Arial" w:eastAsia="Arial" w:hAnsi="Arial" w:cs="Arial"/>
          <w:sz w:val="22"/>
          <w:szCs w:val="22"/>
          <w:lang w:val="es-CO"/>
        </w:rPr>
        <w:t xml:space="preserve">Estos programas se han implementado tanto en ciclos económicos expansivos, donde el apoyo se centra en el acceso a financiamiento de largo plazo para inversiones productivas, como en ciclos económicos recesivos, donde el apoyo se focaliza en que las </w:t>
      </w:r>
      <w:r w:rsidR="00793A77" w:rsidRPr="00C32624">
        <w:rPr>
          <w:rFonts w:ascii="Arial" w:hAnsi="Arial" w:cs="Arial"/>
          <w:sz w:val="22"/>
          <w:szCs w:val="22"/>
          <w:lang w:val="es-MX"/>
        </w:rPr>
        <w:t>MiPyME</w:t>
      </w:r>
      <w:r w:rsidR="00793A77" w:rsidRPr="00793A77">
        <w:rPr>
          <w:rFonts w:ascii="Arial" w:eastAsia="Arial" w:hAnsi="Arial" w:cs="Arial"/>
          <w:sz w:val="22"/>
          <w:szCs w:val="22"/>
          <w:lang w:val="es-CO"/>
        </w:rPr>
        <w:t xml:space="preserve"> no pierdan acceso a liquidez para </w:t>
      </w:r>
      <w:r w:rsidR="00793A77" w:rsidRPr="00793A77">
        <w:rPr>
          <w:rFonts w:ascii="Arial" w:eastAsia="Arial" w:hAnsi="Arial" w:cs="Arial"/>
          <w:sz w:val="22"/>
          <w:szCs w:val="22"/>
          <w:lang w:val="es-CO"/>
        </w:rPr>
        <w:lastRenderedPageBreak/>
        <w:t xml:space="preserve">continuar con su actividad económica. </w:t>
      </w:r>
      <w:r w:rsidR="00793A77" w:rsidRPr="006A5189">
        <w:rPr>
          <w:rFonts w:ascii="Arial" w:eastAsia="Arial" w:hAnsi="Arial" w:cs="Arial"/>
          <w:sz w:val="22"/>
          <w:szCs w:val="22"/>
          <w:lang w:val="es-CO"/>
        </w:rPr>
        <w:t xml:space="preserve">En la última crisis financiera que afrontó la región, el Banco jugó un rol contra cíclico aumentando el monto y los mecanismos para atender la falta de acceso a crédito que sufrían las </w:t>
      </w:r>
      <w:r w:rsidR="00793A77" w:rsidRPr="00C32624">
        <w:rPr>
          <w:rFonts w:ascii="Arial" w:hAnsi="Arial" w:cs="Arial"/>
          <w:sz w:val="22"/>
          <w:szCs w:val="22"/>
          <w:lang w:val="es-MX"/>
        </w:rPr>
        <w:t>MiPyME</w:t>
      </w:r>
      <w:r w:rsidR="00793A77" w:rsidRPr="006A5189">
        <w:rPr>
          <w:rFonts w:ascii="Arial" w:eastAsia="Arial" w:hAnsi="Arial" w:cs="Arial"/>
          <w:sz w:val="22"/>
          <w:szCs w:val="22"/>
          <w:lang w:val="es-CO"/>
        </w:rPr>
        <w:t> de la región. Por ejemplo, en 2008 y 2009 se aprobaron programas de liquidez para la sostenibilidad del crecimiento económico</w:t>
      </w:r>
      <w:r w:rsidR="00793A77" w:rsidRPr="006A5189">
        <w:rPr>
          <w:rFonts w:ascii="ZWAdobeF" w:eastAsia="Arial" w:hAnsi="ZWAdobeF" w:cs="ZWAdobeF"/>
          <w:sz w:val="2"/>
          <w:szCs w:val="2"/>
          <w:lang w:val="es-CO"/>
        </w:rPr>
        <w:t>21F21F</w:t>
      </w:r>
      <w:r w:rsidR="00793A77" w:rsidRPr="00C32624">
        <w:rPr>
          <w:rStyle w:val="FootnoteReference"/>
          <w:rFonts w:ascii="Arial" w:eastAsia="Arial" w:hAnsi="Arial" w:cs="Arial"/>
          <w:sz w:val="22"/>
          <w:szCs w:val="22"/>
        </w:rPr>
        <w:footnoteReference w:id="22"/>
      </w:r>
      <w:r w:rsidR="00793A77" w:rsidRPr="006A5189">
        <w:rPr>
          <w:rFonts w:ascii="Arial" w:eastAsia="Arial" w:hAnsi="Arial" w:cs="Arial"/>
          <w:sz w:val="22"/>
          <w:szCs w:val="22"/>
          <w:lang w:val="es-CO"/>
        </w:rPr>
        <w:t xml:space="preserve"> con el fin de restablecer el acceso de sectores productivos a financiamiento de capital trabajo y comercio exterior, permitiendo compensar parcial y temporalmente las insuficiencias en los flujos de financiamiento a las </w:t>
      </w:r>
      <w:r w:rsidR="00793A77" w:rsidRPr="00C32624">
        <w:rPr>
          <w:rFonts w:ascii="Arial" w:hAnsi="Arial" w:cs="Arial"/>
          <w:sz w:val="22"/>
          <w:szCs w:val="22"/>
          <w:lang w:val="es-MX"/>
        </w:rPr>
        <w:t>MiPyME</w:t>
      </w:r>
      <w:r w:rsidR="00793A77" w:rsidRPr="006A5189">
        <w:rPr>
          <w:rFonts w:ascii="Arial" w:eastAsia="Arial" w:hAnsi="Arial" w:cs="Arial"/>
          <w:sz w:val="22"/>
          <w:szCs w:val="22"/>
          <w:lang w:val="es-CO"/>
        </w:rPr>
        <w:t xml:space="preserve"> que trajo consigo la crisis financiera internacional. Con el mismo objetivo de estimular la oferta de crédito dirigida a financiar sectores productivos, en el periodo posterior a la crisis (2009-2013) se aprobaron líneas de crédito contingente</w:t>
      </w:r>
      <w:r w:rsidR="00793A77" w:rsidRPr="006A5189">
        <w:rPr>
          <w:rFonts w:ascii="ZWAdobeF" w:eastAsia="Arial" w:hAnsi="ZWAdobeF" w:cs="ZWAdobeF"/>
          <w:sz w:val="2"/>
          <w:szCs w:val="2"/>
          <w:lang w:val="es-CO"/>
        </w:rPr>
        <w:t>22F22F</w:t>
      </w:r>
      <w:r w:rsidR="00793A77" w:rsidRPr="00C32624">
        <w:rPr>
          <w:rStyle w:val="FootnoteReference"/>
          <w:rFonts w:ascii="Arial" w:eastAsia="Arial" w:hAnsi="Arial" w:cs="Arial"/>
          <w:sz w:val="22"/>
          <w:szCs w:val="22"/>
        </w:rPr>
        <w:footnoteReference w:id="23"/>
      </w:r>
      <w:r w:rsidR="00793A77" w:rsidRPr="006A5189">
        <w:rPr>
          <w:rFonts w:ascii="Arial" w:eastAsia="Arial" w:hAnsi="Arial" w:cs="Arial"/>
          <w:sz w:val="22"/>
          <w:szCs w:val="22"/>
          <w:lang w:val="es-CO"/>
        </w:rPr>
        <w:t xml:space="preserve"> para suministro de liquidez al sistema financiero, programas globales de crédito multisectorial y, mayoritariamente, programas específicos de financiamiento productivo a </w:t>
      </w:r>
      <w:r w:rsidR="00793A77" w:rsidRPr="00C32624">
        <w:rPr>
          <w:rFonts w:ascii="Arial" w:hAnsi="Arial" w:cs="Arial"/>
          <w:sz w:val="22"/>
          <w:szCs w:val="22"/>
          <w:lang w:val="es-MX"/>
        </w:rPr>
        <w:t>MiPyME</w:t>
      </w:r>
      <w:r w:rsidR="00793A77" w:rsidRPr="006A5189">
        <w:rPr>
          <w:rFonts w:ascii="Arial" w:eastAsia="Arial" w:hAnsi="Arial" w:cs="Arial"/>
          <w:sz w:val="22"/>
          <w:szCs w:val="22"/>
          <w:lang w:val="es-CO"/>
        </w:rPr>
        <w:t xml:space="preserve"> (ver </w:t>
      </w:r>
      <w:hyperlink r:id="rId20" w:history="1">
        <w:r w:rsidR="00793A77" w:rsidRPr="006A5189">
          <w:rPr>
            <w:rStyle w:val="Hyperlink"/>
            <w:rFonts w:ascii="Arial" w:eastAsia="Arial" w:hAnsi="Arial" w:cs="Arial"/>
            <w:sz w:val="22"/>
            <w:szCs w:val="22"/>
            <w:lang w:val="es-CO"/>
          </w:rPr>
          <w:t>EEO#2</w:t>
        </w:r>
      </w:hyperlink>
      <w:r w:rsidR="00793A77" w:rsidRPr="006A5189">
        <w:rPr>
          <w:rFonts w:ascii="Arial" w:eastAsia="Arial" w:hAnsi="Arial" w:cs="Arial"/>
          <w:sz w:val="22"/>
          <w:szCs w:val="22"/>
          <w:lang w:val="es-CO"/>
        </w:rPr>
        <w:t>)</w:t>
      </w:r>
      <w:r w:rsidR="008D577A">
        <w:rPr>
          <w:rFonts w:ascii="Arial" w:eastAsia="Arial" w:hAnsi="Arial" w:cs="Arial"/>
          <w:sz w:val="22"/>
          <w:szCs w:val="22"/>
          <w:lang w:val="es-ES"/>
        </w:rPr>
        <w:t>. Como ejemplo</w:t>
      </w:r>
      <w:r w:rsidR="006C0781">
        <w:rPr>
          <w:rFonts w:ascii="Arial" w:eastAsia="Arial" w:hAnsi="Arial" w:cs="Arial"/>
          <w:sz w:val="22"/>
          <w:szCs w:val="22"/>
          <w:lang w:val="es-ES"/>
        </w:rPr>
        <w:t xml:space="preserve"> de los resultados obtenidos por esos programas</w:t>
      </w:r>
      <w:r w:rsidR="008D577A">
        <w:rPr>
          <w:rFonts w:ascii="Arial" w:eastAsia="Arial" w:hAnsi="Arial" w:cs="Arial"/>
          <w:sz w:val="22"/>
          <w:szCs w:val="22"/>
          <w:lang w:val="es-ES"/>
        </w:rPr>
        <w:t xml:space="preserve">, </w:t>
      </w:r>
      <w:r w:rsidR="008D577A" w:rsidRPr="008D577A">
        <w:rPr>
          <w:rFonts w:ascii="Arial" w:eastAsia="Arial" w:hAnsi="Arial" w:cs="Arial"/>
          <w:sz w:val="22"/>
          <w:szCs w:val="22"/>
          <w:lang w:val="es-ES"/>
        </w:rPr>
        <w:t>un estudio del Banco en Colombia sobre un programa de financiamiento a la P</w:t>
      </w:r>
      <w:r w:rsidR="00B3760F">
        <w:rPr>
          <w:rFonts w:ascii="Arial" w:eastAsia="Arial" w:hAnsi="Arial" w:cs="Arial"/>
          <w:sz w:val="22"/>
          <w:szCs w:val="22"/>
          <w:lang w:val="es-ES"/>
        </w:rPr>
        <w:t>y</w:t>
      </w:r>
      <w:r w:rsidR="008D577A" w:rsidRPr="008D577A">
        <w:rPr>
          <w:rFonts w:ascii="Arial" w:eastAsia="Arial" w:hAnsi="Arial" w:cs="Arial"/>
          <w:sz w:val="22"/>
          <w:szCs w:val="22"/>
          <w:lang w:val="es-ES"/>
        </w:rPr>
        <w:t>ME estructurado a través de Bancóldex</w:t>
      </w:r>
      <w:r w:rsidR="00BB5302">
        <w:rPr>
          <w:rFonts w:ascii="Arial" w:eastAsia="Arial" w:hAnsi="Arial" w:cs="Arial"/>
          <w:sz w:val="22"/>
          <w:szCs w:val="22"/>
          <w:lang w:val="es-ES"/>
        </w:rPr>
        <w:t xml:space="preserve"> (</w:t>
      </w:r>
      <w:r w:rsidR="008D577A" w:rsidRPr="008D577A">
        <w:rPr>
          <w:rFonts w:ascii="Arial" w:eastAsia="Arial" w:hAnsi="Arial" w:cs="Arial"/>
          <w:sz w:val="22"/>
          <w:szCs w:val="22"/>
          <w:lang w:val="es-ES"/>
        </w:rPr>
        <w:t>Banco público de segundo piso</w:t>
      </w:r>
      <w:r w:rsidR="00BB5302">
        <w:rPr>
          <w:rFonts w:ascii="Arial" w:eastAsia="Arial" w:hAnsi="Arial" w:cs="Arial"/>
          <w:sz w:val="22"/>
          <w:szCs w:val="22"/>
          <w:lang w:val="es-ES"/>
        </w:rPr>
        <w:t>)</w:t>
      </w:r>
      <w:r w:rsidR="008D577A" w:rsidRPr="008D577A">
        <w:rPr>
          <w:rFonts w:ascii="Arial" w:eastAsia="Arial" w:hAnsi="Arial" w:cs="Arial"/>
          <w:sz w:val="22"/>
          <w:szCs w:val="22"/>
          <w:lang w:val="es-ES"/>
        </w:rPr>
        <w:t>, encontró efectos positivos significativos del crédito en incrementos de producción (24%), empleo (11%) e inversiones (70%) durante los cuatro años al primer préstamo del BID</w:t>
      </w:r>
      <w:r w:rsidR="000E4BA5">
        <w:rPr>
          <w:rStyle w:val="FootnoteReference"/>
          <w:rFonts w:ascii="Arial" w:eastAsia="Arial" w:hAnsi="Arial" w:cs="Arial"/>
          <w:sz w:val="22"/>
          <w:szCs w:val="22"/>
        </w:rPr>
        <w:footnoteReference w:id="24"/>
      </w:r>
      <w:r w:rsidR="005B49F7">
        <w:rPr>
          <w:rFonts w:ascii="Arial" w:hAnsi="Arial" w:cs="Arial"/>
          <w:sz w:val="22"/>
          <w:szCs w:val="22"/>
          <w:lang w:val="es-ES_tradnl"/>
        </w:rPr>
        <w:t>.</w:t>
      </w:r>
      <w:r w:rsidR="00A11FC0">
        <w:rPr>
          <w:rFonts w:ascii="Arial" w:hAnsi="Arial" w:cs="Arial"/>
          <w:sz w:val="22"/>
          <w:szCs w:val="22"/>
          <w:lang w:val="es-ES_tradnl"/>
        </w:rPr>
        <w:t xml:space="preserve"> </w:t>
      </w:r>
      <w:r w:rsidR="00532BD9">
        <w:rPr>
          <w:rFonts w:ascii="Arial" w:hAnsi="Arial" w:cs="Arial"/>
          <w:sz w:val="22"/>
          <w:szCs w:val="22"/>
          <w:lang w:val="es-ES_tradnl"/>
        </w:rPr>
        <w:t>Además, e</w:t>
      </w:r>
      <w:r w:rsidR="00A11FC0" w:rsidRPr="00A11FC0">
        <w:rPr>
          <w:rFonts w:ascii="Arial" w:eastAsia="Arial" w:hAnsi="Arial" w:cs="Arial"/>
          <w:sz w:val="22"/>
          <w:szCs w:val="22"/>
          <w:lang w:val="es-ES"/>
        </w:rPr>
        <w:t xml:space="preserve">l Banco cuenta con una extensa experiencia en diseño e implementación de políticas de financiamiento a la </w:t>
      </w:r>
      <w:r w:rsidR="00B3760F" w:rsidRPr="000E4BA5">
        <w:rPr>
          <w:rFonts w:ascii="Arial" w:eastAsia="Arial" w:hAnsi="Arial" w:cs="Arial"/>
          <w:sz w:val="22"/>
          <w:szCs w:val="22"/>
          <w:lang w:val="es-ES"/>
        </w:rPr>
        <w:t>M</w:t>
      </w:r>
      <w:r w:rsidR="00B3760F">
        <w:rPr>
          <w:rFonts w:ascii="Arial" w:eastAsia="Arial" w:hAnsi="Arial" w:cs="Arial"/>
          <w:sz w:val="22"/>
          <w:szCs w:val="22"/>
          <w:lang w:val="es-ES"/>
        </w:rPr>
        <w:t>i</w:t>
      </w:r>
      <w:r w:rsidR="00B3760F" w:rsidRPr="000E4BA5">
        <w:rPr>
          <w:rFonts w:ascii="Arial" w:eastAsia="Arial" w:hAnsi="Arial" w:cs="Arial"/>
          <w:sz w:val="22"/>
          <w:szCs w:val="22"/>
          <w:lang w:val="es-ES"/>
        </w:rPr>
        <w:t>P</w:t>
      </w:r>
      <w:r w:rsidR="00B3760F">
        <w:rPr>
          <w:rFonts w:ascii="Arial" w:eastAsia="Arial" w:hAnsi="Arial" w:cs="Arial"/>
          <w:sz w:val="22"/>
          <w:szCs w:val="22"/>
          <w:lang w:val="es-ES"/>
        </w:rPr>
        <w:t>y</w:t>
      </w:r>
      <w:r w:rsidR="00B3760F" w:rsidRPr="000E4BA5">
        <w:rPr>
          <w:rFonts w:ascii="Arial" w:eastAsia="Arial" w:hAnsi="Arial" w:cs="Arial"/>
          <w:sz w:val="22"/>
          <w:szCs w:val="22"/>
          <w:lang w:val="es-ES"/>
        </w:rPr>
        <w:t>ME</w:t>
      </w:r>
      <w:r w:rsidR="00A11FC0" w:rsidRPr="00A11FC0">
        <w:rPr>
          <w:rFonts w:ascii="Arial" w:eastAsia="Arial" w:hAnsi="Arial" w:cs="Arial"/>
          <w:sz w:val="22"/>
          <w:szCs w:val="22"/>
          <w:lang w:val="es-ES"/>
        </w:rPr>
        <w:t xml:space="preserve"> con un enfoque especial en determinados sectores o cadenas de valor</w:t>
      </w:r>
      <w:r w:rsidR="001A37FB">
        <w:rPr>
          <w:rFonts w:ascii="Arial" w:eastAsia="Arial" w:hAnsi="Arial" w:cs="Arial"/>
          <w:sz w:val="22"/>
          <w:szCs w:val="22"/>
          <w:lang w:val="es-ES"/>
        </w:rPr>
        <w:t xml:space="preserve">, </w:t>
      </w:r>
      <w:r w:rsidR="00C20FF1">
        <w:rPr>
          <w:rFonts w:ascii="Arial" w:eastAsia="Arial" w:hAnsi="Arial" w:cs="Arial"/>
          <w:sz w:val="22"/>
          <w:szCs w:val="22"/>
          <w:lang w:val="es-ES"/>
        </w:rPr>
        <w:t xml:space="preserve">generando </w:t>
      </w:r>
      <w:r w:rsidR="000A2A3F">
        <w:rPr>
          <w:rFonts w:ascii="Arial" w:eastAsia="Arial" w:hAnsi="Arial" w:cs="Arial"/>
          <w:sz w:val="22"/>
          <w:szCs w:val="22"/>
          <w:lang w:val="es-ES"/>
        </w:rPr>
        <w:t xml:space="preserve">una </w:t>
      </w:r>
      <w:r w:rsidR="00DE4CFC">
        <w:rPr>
          <w:rFonts w:ascii="Arial" w:eastAsia="Arial" w:hAnsi="Arial" w:cs="Arial"/>
          <w:sz w:val="22"/>
          <w:szCs w:val="22"/>
          <w:lang w:val="es-ES"/>
        </w:rPr>
        <w:t xml:space="preserve">gran </w:t>
      </w:r>
      <w:r w:rsidR="000A2A3F">
        <w:rPr>
          <w:rFonts w:ascii="Arial" w:eastAsia="Arial" w:hAnsi="Arial" w:cs="Arial"/>
          <w:sz w:val="22"/>
          <w:szCs w:val="22"/>
          <w:lang w:val="es-ES"/>
        </w:rPr>
        <w:t xml:space="preserve">diversidad </w:t>
      </w:r>
      <w:r w:rsidR="00DE4CFC">
        <w:rPr>
          <w:rFonts w:ascii="Arial" w:eastAsia="Arial" w:hAnsi="Arial" w:cs="Arial"/>
          <w:sz w:val="22"/>
          <w:szCs w:val="22"/>
          <w:lang w:val="es-ES"/>
        </w:rPr>
        <w:t>d</w:t>
      </w:r>
      <w:r w:rsidR="000A2A3F">
        <w:rPr>
          <w:rFonts w:ascii="Arial" w:eastAsia="Arial" w:hAnsi="Arial" w:cs="Arial"/>
          <w:sz w:val="22"/>
          <w:szCs w:val="22"/>
          <w:lang w:val="es-ES"/>
        </w:rPr>
        <w:t>e productos de conocimiento.</w:t>
      </w:r>
      <w:r w:rsidR="00A11FC0">
        <w:rPr>
          <w:rStyle w:val="FootnoteReference"/>
          <w:rFonts w:ascii="Arial" w:eastAsia="Arial" w:hAnsi="Arial" w:cs="Arial"/>
          <w:sz w:val="22"/>
          <w:szCs w:val="22"/>
        </w:rPr>
        <w:footnoteReference w:id="25"/>
      </w:r>
    </w:p>
    <w:p w14:paraId="3A0C5B15" w14:textId="06C696C6" w:rsidR="005B49F7" w:rsidRPr="007863DC" w:rsidRDefault="00E74A19" w:rsidP="007116B2">
      <w:pPr>
        <w:pStyle w:val="Paragraph"/>
        <w:numPr>
          <w:ilvl w:val="1"/>
          <w:numId w:val="6"/>
        </w:numPr>
        <w:ind w:hanging="540"/>
        <w:rPr>
          <w:rFonts w:ascii="Arial" w:hAnsi="Arial" w:cs="Arial"/>
          <w:b/>
          <w:bCs/>
          <w:sz w:val="22"/>
          <w:szCs w:val="22"/>
          <w:lang w:val="es-ES_tradnl"/>
        </w:rPr>
      </w:pPr>
      <w:bookmarkStart w:id="29" w:name="_Ref38229521"/>
      <w:r w:rsidRPr="00E74A19">
        <w:rPr>
          <w:rFonts w:ascii="Arial" w:hAnsi="Arial" w:cs="Arial"/>
          <w:sz w:val="22"/>
          <w:lang w:val="es-CO"/>
        </w:rPr>
        <w:t>Se tiene amplia experiencia de trabajo con la Banca de Desarrollo Mexicana, incluyendo en el financiamiento de MiPyME, particularmente aquellas en sector agropecuario y rural. Destacan las siguientes: (i) bajo la CCLIP </w:t>
      </w:r>
      <w:hyperlink r:id="rId21" w:history="1">
        <w:r w:rsidRPr="00E74A19">
          <w:rPr>
            <w:rStyle w:val="Hyperlink"/>
            <w:rFonts w:ascii="Arial" w:eastAsiaTheme="minorEastAsia" w:hAnsi="Arial" w:cs="Arial"/>
            <w:sz w:val="22"/>
            <w:lang w:val="es-CO"/>
          </w:rPr>
          <w:t>ME</w:t>
        </w:r>
        <w:r w:rsidRPr="00E74A19">
          <w:rPr>
            <w:rStyle w:val="Hyperlink"/>
            <w:rFonts w:ascii="Arial" w:eastAsiaTheme="minorEastAsia" w:hAnsi="Arial" w:cs="Arial"/>
            <w:sz w:val="22"/>
            <w:lang w:val="es-CO"/>
          </w:rPr>
          <w:noBreakHyphen/>
          <w:t>X1024</w:t>
        </w:r>
      </w:hyperlink>
      <w:r w:rsidRPr="00E74A19">
        <w:rPr>
          <w:rFonts w:ascii="Arial" w:hAnsi="Arial" w:cs="Arial"/>
          <w:sz w:val="22"/>
          <w:lang w:val="es-CO"/>
        </w:rPr>
        <w:t> (US$1.000 millones), con FND, tres operaciones (</w:t>
      </w:r>
      <w:bookmarkStart w:id="30" w:name="_Hlk46332056"/>
      <w:r>
        <w:fldChar w:fldCharType="begin"/>
      </w:r>
      <w:r w:rsidRPr="00E74A19">
        <w:rPr>
          <w:lang w:val="es-CO"/>
        </w:rPr>
        <w:instrText>HYPERLINK "https://www.iadb.org/es/project/ME-L1161"</w:instrText>
      </w:r>
      <w:r>
        <w:fldChar w:fldCharType="separate"/>
      </w:r>
      <w:r w:rsidRPr="00E74A19">
        <w:rPr>
          <w:rStyle w:val="Hyperlink"/>
          <w:rFonts w:ascii="Arial" w:eastAsiaTheme="minorEastAsia" w:hAnsi="Arial" w:cs="Arial"/>
          <w:sz w:val="22"/>
          <w:lang w:val="es-CO"/>
        </w:rPr>
        <w:t>3302/OC</w:t>
      </w:r>
      <w:r w:rsidRPr="00E74A19">
        <w:rPr>
          <w:rStyle w:val="Hyperlink"/>
          <w:rFonts w:ascii="Arial" w:eastAsiaTheme="minorEastAsia" w:hAnsi="Arial" w:cs="Arial"/>
          <w:sz w:val="22"/>
          <w:lang w:val="es-CO"/>
        </w:rPr>
        <w:noBreakHyphen/>
      </w:r>
      <w:r w:rsidRPr="00E74A19">
        <w:rPr>
          <w:rStyle w:val="Hyperlink"/>
          <w:rFonts w:ascii="Arial" w:eastAsiaTheme="minorEastAsia" w:hAnsi="Arial" w:cs="Arial"/>
          <w:sz w:val="22"/>
          <w:lang w:val="es-CO"/>
        </w:rPr>
        <w:t>ME</w:t>
      </w:r>
      <w:r>
        <w:rPr>
          <w:rStyle w:val="Hyperlink"/>
          <w:rFonts w:ascii="Arial" w:eastAsiaTheme="minorEastAsia" w:hAnsi="Arial" w:cs="Arial"/>
          <w:sz w:val="22"/>
        </w:rPr>
        <w:fldChar w:fldCharType="end"/>
      </w:r>
      <w:bookmarkEnd w:id="30"/>
      <w:r w:rsidRPr="00E74A19">
        <w:rPr>
          <w:rFonts w:ascii="Arial" w:hAnsi="Arial" w:cs="Arial"/>
          <w:sz w:val="22"/>
          <w:lang w:val="es-CO"/>
        </w:rPr>
        <w:t xml:space="preserve">, </w:t>
      </w:r>
      <w:bookmarkStart w:id="31" w:name="_Hlk46332159"/>
      <w:r>
        <w:fldChar w:fldCharType="begin"/>
      </w:r>
      <w:r w:rsidRPr="00E74A19">
        <w:rPr>
          <w:lang w:val="es-CO"/>
        </w:rPr>
        <w:instrText>HYPERLINK "https://www.iadb.org/es/project/ME-L1170"</w:instrText>
      </w:r>
      <w:r>
        <w:fldChar w:fldCharType="separate"/>
      </w:r>
      <w:r w:rsidRPr="00E74A19">
        <w:rPr>
          <w:rStyle w:val="Hyperlink"/>
          <w:rFonts w:ascii="Arial" w:eastAsiaTheme="minorEastAsia" w:hAnsi="Arial" w:cs="Arial"/>
          <w:sz w:val="22"/>
          <w:lang w:val="es-CO"/>
        </w:rPr>
        <w:t>3531/OC-ME</w:t>
      </w:r>
      <w:r>
        <w:rPr>
          <w:rStyle w:val="Hyperlink"/>
          <w:rFonts w:ascii="Arial" w:eastAsiaTheme="minorEastAsia" w:hAnsi="Arial" w:cs="Arial"/>
          <w:sz w:val="22"/>
        </w:rPr>
        <w:fldChar w:fldCharType="end"/>
      </w:r>
      <w:bookmarkEnd w:id="31"/>
      <w:r w:rsidRPr="00E74A19">
        <w:rPr>
          <w:rFonts w:ascii="Arial" w:hAnsi="Arial" w:cs="Arial"/>
          <w:sz w:val="22"/>
          <w:lang w:val="es-CO"/>
        </w:rPr>
        <w:t xml:space="preserve"> y </w:t>
      </w:r>
      <w:hyperlink r:id="rId22" w:history="1">
        <w:r w:rsidRPr="00E74A19">
          <w:rPr>
            <w:rStyle w:val="Hyperlink"/>
            <w:rFonts w:ascii="Arial" w:eastAsiaTheme="minorEastAsia" w:hAnsi="Arial" w:cs="Arial"/>
            <w:sz w:val="22"/>
            <w:lang w:val="es-CO"/>
          </w:rPr>
          <w:t>4276/O</w:t>
        </w:r>
        <w:r w:rsidRPr="00E74A19">
          <w:rPr>
            <w:rStyle w:val="Hyperlink"/>
            <w:rFonts w:ascii="Arial" w:eastAsiaTheme="minorEastAsia" w:hAnsi="Arial" w:cs="Arial"/>
            <w:sz w:val="22"/>
            <w:lang w:val="es-CO"/>
          </w:rPr>
          <w:t>C</w:t>
        </w:r>
        <w:r w:rsidRPr="00E74A19">
          <w:rPr>
            <w:rStyle w:val="Hyperlink"/>
            <w:rFonts w:ascii="Arial" w:eastAsiaTheme="minorEastAsia" w:hAnsi="Arial" w:cs="Arial"/>
            <w:sz w:val="22"/>
            <w:lang w:val="es-CO"/>
          </w:rPr>
          <w:t>-ME</w:t>
        </w:r>
      </w:hyperlink>
      <w:r w:rsidRPr="00E74A19">
        <w:rPr>
          <w:rStyle w:val="Hyperlink"/>
          <w:rFonts w:ascii="Arial" w:eastAsiaTheme="minorEastAsia" w:hAnsi="Arial" w:cs="Arial"/>
          <w:color w:val="auto"/>
          <w:sz w:val="22"/>
          <w:u w:val="none"/>
          <w:lang w:val="es-CO"/>
        </w:rPr>
        <w:t>)</w:t>
      </w:r>
      <w:r>
        <w:rPr>
          <w:rStyle w:val="FootnoteReference"/>
          <w:rFonts w:ascii="Arial" w:hAnsi="Arial" w:cs="Arial"/>
          <w:sz w:val="22"/>
        </w:rPr>
        <w:footnoteReference w:id="26"/>
      </w:r>
      <w:r w:rsidRPr="00E74A19">
        <w:rPr>
          <w:rFonts w:ascii="Arial" w:hAnsi="Arial" w:cs="Arial"/>
          <w:sz w:val="2"/>
          <w:szCs w:val="2"/>
          <w:lang w:val="es-CO"/>
        </w:rPr>
        <w:t>F</w:t>
      </w:r>
      <w:r w:rsidRPr="00E74A19">
        <w:rPr>
          <w:rFonts w:ascii="Arial" w:hAnsi="Arial" w:cs="Arial"/>
          <w:sz w:val="22"/>
          <w:lang w:val="es-CO"/>
        </w:rPr>
        <w:t xml:space="preserve"> que tuvieron como objetivos contribuir a elevar la productividad del sector primario, mediante un mayor acceso a financiamiento por parte de las Unidades Económicas Rurales para realizar inversiones productivas, y promover la inclusión financiera en beneficio del sector rural, mediante el acceso a crédito productivo de las UER; y (ii</w:t>
      </w:r>
      <w:r w:rsidRPr="00E74A19">
        <w:rPr>
          <w:rFonts w:ascii="Arial" w:hAnsi="Arial" w:cs="Arial"/>
          <w:sz w:val="22"/>
          <w:szCs w:val="22"/>
          <w:lang w:val="es-CO"/>
        </w:rPr>
        <w:t>) </w:t>
      </w:r>
      <w:r w:rsidRPr="00E74A19" w:rsidDel="005635B9">
        <w:rPr>
          <w:rFonts w:ascii="Arial" w:hAnsi="Arial" w:cs="Arial"/>
          <w:sz w:val="22"/>
          <w:szCs w:val="22"/>
          <w:lang w:val="es-CO"/>
        </w:rPr>
        <w:t xml:space="preserve"> </w:t>
      </w:r>
      <w:r w:rsidRPr="00E74A19">
        <w:rPr>
          <w:rFonts w:ascii="Arial" w:hAnsi="Arial" w:cs="Arial"/>
          <w:sz w:val="22"/>
          <w:szCs w:val="22"/>
          <w:lang w:val="es-CO"/>
        </w:rPr>
        <w:t>bajo la CCLIP </w:t>
      </w:r>
      <w:hyperlink r:id="rId23" w:history="1">
        <w:r w:rsidRPr="00E74A19">
          <w:rPr>
            <w:rStyle w:val="Hyperlink"/>
            <w:rFonts w:ascii="Arial" w:eastAsiaTheme="minorEastAsia" w:hAnsi="Arial" w:cs="Arial"/>
            <w:sz w:val="22"/>
            <w:szCs w:val="22"/>
            <w:lang w:val="es-CO"/>
          </w:rPr>
          <w:t>ME</w:t>
        </w:r>
        <w:r w:rsidRPr="00E74A19">
          <w:rPr>
            <w:rStyle w:val="Hyperlink"/>
            <w:rFonts w:ascii="Arial" w:eastAsiaTheme="minorEastAsia" w:hAnsi="Arial" w:cs="Arial"/>
            <w:sz w:val="22"/>
            <w:szCs w:val="22"/>
            <w:lang w:val="es-CO"/>
          </w:rPr>
          <w:noBreakHyphen/>
          <w:t>X1021</w:t>
        </w:r>
      </w:hyperlink>
      <w:r w:rsidRPr="00E74A19">
        <w:rPr>
          <w:rFonts w:ascii="Arial" w:hAnsi="Arial" w:cs="Arial"/>
          <w:sz w:val="22"/>
          <w:szCs w:val="22"/>
          <w:lang w:val="es-CO"/>
        </w:rPr>
        <w:t xml:space="preserve"> (US$300 millones), dos operaciones con FIRA como ejecutor</w:t>
      </w:r>
      <w:r w:rsidRPr="00E74A19">
        <w:rPr>
          <w:lang w:val="es-CO"/>
        </w:rPr>
        <w:t xml:space="preserve"> </w:t>
      </w:r>
      <w:r w:rsidRPr="00E74A19">
        <w:rPr>
          <w:rFonts w:ascii="Arial" w:eastAsia="Arial" w:hAnsi="Arial" w:cs="Arial"/>
          <w:sz w:val="22"/>
          <w:szCs w:val="22"/>
          <w:lang w:val="es-CO"/>
        </w:rPr>
        <w:t>(</w:t>
      </w:r>
      <w:hyperlink r:id="rId24" w:history="1">
        <w:r w:rsidRPr="00E74A19">
          <w:rPr>
            <w:rStyle w:val="Hyperlink"/>
            <w:rFonts w:ascii="Arial" w:eastAsiaTheme="minorEastAsia" w:hAnsi="Arial" w:cs="Arial"/>
            <w:sz w:val="22"/>
            <w:lang w:val="es-CO"/>
          </w:rPr>
          <w:t>3335/OC-ME</w:t>
        </w:r>
      </w:hyperlink>
      <w:r w:rsidRPr="00E74A19">
        <w:rPr>
          <w:rFonts w:ascii="Arial" w:eastAsia="Arial" w:hAnsi="Arial" w:cs="Arial"/>
          <w:sz w:val="22"/>
          <w:szCs w:val="22"/>
          <w:lang w:val="es-CO"/>
        </w:rPr>
        <w:t xml:space="preserve"> y </w:t>
      </w:r>
      <w:hyperlink r:id="rId25" w:history="1">
        <w:r w:rsidRPr="00E74A19">
          <w:rPr>
            <w:rStyle w:val="Hyperlink"/>
            <w:rFonts w:ascii="Arial" w:eastAsiaTheme="minorEastAsia" w:hAnsi="Arial" w:cs="Arial"/>
            <w:sz w:val="22"/>
            <w:lang w:val="es-CO"/>
          </w:rPr>
          <w:t>3</w:t>
        </w:r>
        <w:r w:rsidRPr="00E74A19">
          <w:rPr>
            <w:rStyle w:val="Hyperlink"/>
            <w:rFonts w:ascii="Arial" w:eastAsiaTheme="minorEastAsia" w:hAnsi="Arial" w:cs="Arial"/>
            <w:sz w:val="22"/>
            <w:lang w:val="es-CO"/>
          </w:rPr>
          <w:t>7</w:t>
        </w:r>
        <w:r w:rsidRPr="00E74A19">
          <w:rPr>
            <w:rStyle w:val="Hyperlink"/>
            <w:rFonts w:ascii="Arial" w:eastAsiaTheme="minorEastAsia" w:hAnsi="Arial" w:cs="Arial"/>
            <w:sz w:val="22"/>
            <w:lang w:val="es-CO"/>
          </w:rPr>
          <w:t>01/OC-ME</w:t>
        </w:r>
      </w:hyperlink>
      <w:r w:rsidRPr="00E74A19">
        <w:rPr>
          <w:rStyle w:val="Hyperlink"/>
          <w:rFonts w:ascii="Arial" w:eastAsiaTheme="minorEastAsia" w:hAnsi="Arial" w:cs="Arial"/>
          <w:color w:val="auto"/>
          <w:sz w:val="22"/>
          <w:u w:val="none"/>
          <w:lang w:val="es-CO"/>
        </w:rPr>
        <w:t>)</w:t>
      </w:r>
      <w:r>
        <w:rPr>
          <w:rStyle w:val="FootnoteReference"/>
          <w:rFonts w:ascii="Arial" w:hAnsi="Arial" w:cs="Arial"/>
          <w:sz w:val="22"/>
        </w:rPr>
        <w:footnoteReference w:id="27"/>
      </w:r>
      <w:r w:rsidRPr="00E74A19">
        <w:rPr>
          <w:rStyle w:val="Hyperlink"/>
          <w:rFonts w:ascii="Arial" w:eastAsiaTheme="minorEastAsia" w:hAnsi="Arial" w:cs="Arial"/>
          <w:sz w:val="22"/>
          <w:lang w:val="es-CO"/>
        </w:rPr>
        <w:t>,</w:t>
      </w:r>
      <w:r w:rsidRPr="00E74A19">
        <w:rPr>
          <w:rFonts w:ascii="Arial" w:hAnsi="Arial" w:cs="Arial"/>
          <w:sz w:val="22"/>
          <w:lang w:val="es-CO"/>
        </w:rPr>
        <w:t xml:space="preserve"> con el objetivo de promover las inversiones privadas para la reconversión productiva, desarrollo empresarial y exportador, incrementar su productividad haciendo un uso más eficiente de los recursos naturales en el sector rural del país y de igual manera, ampliar la oferta de recursos financieros y el financiamiento de largo plazo. Las operaciones mencionadas han sido ejecutadas de manera altamente satisfactoria. La </w:t>
      </w:r>
      <w:r w:rsidRPr="00B14CAC">
        <w:rPr>
          <w:rFonts w:ascii="Arial" w:hAnsi="Arial" w:cs="Arial"/>
          <w:bCs/>
          <w:sz w:val="22"/>
          <w:szCs w:val="22"/>
          <w:lang w:val="es-419"/>
        </w:rPr>
        <w:t xml:space="preserve">presente intervención es consistente con esfuerzos previos de apoyo a MiPyME agroindustriales, con la diferencia de </w:t>
      </w:r>
      <w:r>
        <w:rPr>
          <w:rFonts w:ascii="Arial" w:hAnsi="Arial" w:cs="Arial"/>
          <w:bCs/>
          <w:sz w:val="22"/>
          <w:szCs w:val="22"/>
          <w:lang w:val="es-419"/>
        </w:rPr>
        <w:t xml:space="preserve">enfatizar </w:t>
      </w:r>
      <w:r w:rsidRPr="00E74A19">
        <w:rPr>
          <w:rFonts w:ascii="Arial" w:hAnsi="Arial" w:cs="Arial"/>
          <w:sz w:val="22"/>
          <w:lang w:val="es-CO"/>
        </w:rPr>
        <w:lastRenderedPageBreak/>
        <w:t>financiamiento de capital de trabajo para evitar quiebras de empresas viables del sector en el actual contexto de emergencia causada por el COVID-19</w:t>
      </w:r>
      <w:r>
        <w:rPr>
          <w:rFonts w:ascii="Arial" w:hAnsi="Arial" w:cs="Arial"/>
          <w:bCs/>
          <w:sz w:val="22"/>
          <w:szCs w:val="22"/>
          <w:lang w:val="es-419"/>
        </w:rPr>
        <w:t>, así como ampliar los sectores de las MiPyME atendidas para ser multisectorial e incluir comercio, servicios e industria.</w:t>
      </w:r>
      <w:bookmarkEnd w:id="29"/>
      <w:r w:rsidRPr="00A228F3">
        <w:rPr>
          <w:rFonts w:ascii="Arial" w:hAnsi="Arial" w:cs="Arial"/>
          <w:bCs/>
          <w:sz w:val="22"/>
          <w:szCs w:val="22"/>
          <w:lang w:val="es-419"/>
        </w:rPr>
        <w:t xml:space="preserve"> </w:t>
      </w:r>
      <w:r w:rsidRPr="009F334A">
        <w:rPr>
          <w:rFonts w:ascii="Arial" w:hAnsi="Arial" w:cs="Arial"/>
          <w:bCs/>
          <w:sz w:val="22"/>
          <w:szCs w:val="22"/>
          <w:lang w:val="es-419"/>
        </w:rPr>
        <w:t xml:space="preserve">Con NAFIN, se llevaron a cabo </w:t>
      </w:r>
      <w:r>
        <w:rPr>
          <w:rFonts w:ascii="Arial" w:hAnsi="Arial" w:cs="Arial"/>
          <w:bCs/>
          <w:sz w:val="22"/>
          <w:szCs w:val="22"/>
          <w:lang w:val="es-419"/>
        </w:rPr>
        <w:t>dos</w:t>
      </w:r>
      <w:r w:rsidRPr="009F334A">
        <w:rPr>
          <w:rFonts w:ascii="Arial" w:hAnsi="Arial" w:cs="Arial"/>
          <w:bCs/>
          <w:sz w:val="22"/>
          <w:szCs w:val="22"/>
          <w:lang w:val="es-419"/>
        </w:rPr>
        <w:t xml:space="preserve"> programas bajo la CCLIP</w:t>
      </w:r>
      <w:r>
        <w:rPr>
          <w:rFonts w:ascii="Arial" w:hAnsi="Arial" w:cs="Arial"/>
          <w:bCs/>
          <w:sz w:val="22"/>
          <w:szCs w:val="22"/>
          <w:lang w:val="es-419"/>
        </w:rPr>
        <w:t> </w:t>
      </w:r>
      <w:hyperlink r:id="rId26" w:history="1">
        <w:r w:rsidRPr="00290F95">
          <w:rPr>
            <w:rStyle w:val="Hyperlink"/>
            <w:rFonts w:ascii="Arial" w:eastAsiaTheme="minorEastAsia" w:hAnsi="Arial" w:cs="Arial"/>
            <w:bCs/>
            <w:sz w:val="22"/>
            <w:szCs w:val="22"/>
            <w:lang w:val="es-419"/>
          </w:rPr>
          <w:t>ME</w:t>
        </w:r>
        <w:r w:rsidRPr="00290F95">
          <w:rPr>
            <w:rStyle w:val="Hyperlink"/>
            <w:rFonts w:ascii="Arial" w:eastAsiaTheme="minorEastAsia" w:hAnsi="Arial" w:cs="Arial"/>
            <w:bCs/>
            <w:sz w:val="22"/>
            <w:szCs w:val="22"/>
            <w:lang w:val="es-419"/>
          </w:rPr>
          <w:noBreakHyphen/>
          <w:t>X1</w:t>
        </w:r>
        <w:r w:rsidRPr="00290F95">
          <w:rPr>
            <w:rStyle w:val="Hyperlink"/>
            <w:rFonts w:ascii="Arial" w:eastAsiaTheme="minorEastAsia" w:hAnsi="Arial" w:cs="Arial"/>
            <w:bCs/>
            <w:sz w:val="22"/>
            <w:szCs w:val="22"/>
            <w:lang w:val="es-419"/>
          </w:rPr>
          <w:t>0</w:t>
        </w:r>
        <w:r w:rsidRPr="00290F95">
          <w:rPr>
            <w:rStyle w:val="Hyperlink"/>
            <w:rFonts w:ascii="Arial" w:eastAsiaTheme="minorEastAsia" w:hAnsi="Arial" w:cs="Arial"/>
            <w:bCs/>
            <w:sz w:val="22"/>
            <w:szCs w:val="22"/>
            <w:lang w:val="es-419"/>
          </w:rPr>
          <w:t>10</w:t>
        </w:r>
        <w:r w:rsidRPr="000546CB">
          <w:rPr>
            <w:rStyle w:val="Hyperlink"/>
            <w:rFonts w:ascii="Arial" w:eastAsiaTheme="minorEastAsia" w:hAnsi="Arial" w:cs="Arial"/>
            <w:bCs/>
            <w:sz w:val="22"/>
            <w:szCs w:val="22"/>
            <w:u w:val="none"/>
            <w:lang w:val="es-419"/>
          </w:rPr>
          <w:t> </w:t>
        </w:r>
      </w:hyperlink>
      <w:r w:rsidRPr="000673B3">
        <w:rPr>
          <w:rStyle w:val="Hyperlink"/>
          <w:rFonts w:ascii="Arial" w:eastAsiaTheme="minorEastAsia" w:hAnsi="Arial" w:cs="Arial"/>
          <w:bCs/>
          <w:color w:val="auto"/>
          <w:sz w:val="22"/>
          <w:szCs w:val="22"/>
          <w:u w:val="none"/>
          <w:lang w:val="es-419"/>
        </w:rPr>
        <w:t>(US$1.200</w:t>
      </w:r>
      <w:r>
        <w:rPr>
          <w:rStyle w:val="Hyperlink"/>
          <w:rFonts w:ascii="Arial" w:eastAsiaTheme="minorEastAsia" w:hAnsi="Arial" w:cs="Arial"/>
          <w:bCs/>
          <w:color w:val="auto"/>
          <w:sz w:val="22"/>
          <w:szCs w:val="22"/>
          <w:u w:val="none"/>
          <w:lang w:val="es-419"/>
        </w:rPr>
        <w:t> </w:t>
      </w:r>
      <w:r w:rsidRPr="000673B3">
        <w:rPr>
          <w:rStyle w:val="Hyperlink"/>
          <w:rFonts w:ascii="Arial" w:eastAsiaTheme="minorEastAsia" w:hAnsi="Arial" w:cs="Arial"/>
          <w:bCs/>
          <w:color w:val="auto"/>
          <w:sz w:val="22"/>
          <w:szCs w:val="22"/>
          <w:u w:val="none"/>
          <w:lang w:val="es-419"/>
        </w:rPr>
        <w:t xml:space="preserve">millones) </w:t>
      </w:r>
      <w:r w:rsidRPr="009F334A">
        <w:rPr>
          <w:rFonts w:ascii="Arial" w:hAnsi="Arial" w:cs="Arial"/>
          <w:bCs/>
          <w:sz w:val="22"/>
          <w:szCs w:val="22"/>
          <w:lang w:val="es-419"/>
        </w:rPr>
        <w:t>(</w:t>
      </w:r>
      <w:hyperlink r:id="rId27" w:history="1">
        <w:r w:rsidRPr="00067978">
          <w:rPr>
            <w:rStyle w:val="Hyperlink"/>
            <w:rFonts w:ascii="Arial" w:eastAsiaTheme="minorEastAsia" w:hAnsi="Arial" w:cs="Arial"/>
            <w:bCs/>
            <w:sz w:val="22"/>
            <w:szCs w:val="22"/>
            <w:lang w:val="es-419"/>
          </w:rPr>
          <w:t>22</w:t>
        </w:r>
        <w:r w:rsidRPr="00067978">
          <w:rPr>
            <w:rStyle w:val="Hyperlink"/>
            <w:rFonts w:ascii="Arial" w:eastAsiaTheme="minorEastAsia" w:hAnsi="Arial" w:cs="Arial"/>
            <w:bCs/>
            <w:sz w:val="22"/>
            <w:szCs w:val="22"/>
            <w:lang w:val="es-419"/>
          </w:rPr>
          <w:t>2</w:t>
        </w:r>
        <w:r w:rsidRPr="00067978">
          <w:rPr>
            <w:rStyle w:val="Hyperlink"/>
            <w:rFonts w:ascii="Arial" w:eastAsiaTheme="minorEastAsia" w:hAnsi="Arial" w:cs="Arial"/>
            <w:bCs/>
            <w:sz w:val="22"/>
            <w:szCs w:val="22"/>
            <w:lang w:val="es-419"/>
          </w:rPr>
          <w:t>6/OC-ME</w:t>
        </w:r>
      </w:hyperlink>
      <w:r w:rsidRPr="009F334A">
        <w:rPr>
          <w:rFonts w:ascii="Arial" w:hAnsi="Arial" w:cs="Arial"/>
          <w:bCs/>
          <w:sz w:val="22"/>
          <w:szCs w:val="22"/>
          <w:lang w:val="es-419"/>
        </w:rPr>
        <w:t xml:space="preserve"> y </w:t>
      </w:r>
      <w:hyperlink r:id="rId28" w:history="1">
        <w:r w:rsidRPr="00D300D1">
          <w:rPr>
            <w:rStyle w:val="Hyperlink"/>
            <w:rFonts w:ascii="Arial" w:eastAsiaTheme="minorEastAsia" w:hAnsi="Arial" w:cs="Arial"/>
            <w:bCs/>
            <w:sz w:val="22"/>
            <w:szCs w:val="22"/>
            <w:lang w:val="es-419"/>
          </w:rPr>
          <w:t>2</w:t>
        </w:r>
        <w:r w:rsidRPr="00D300D1">
          <w:rPr>
            <w:rStyle w:val="Hyperlink"/>
            <w:rFonts w:ascii="Arial" w:eastAsiaTheme="minorEastAsia" w:hAnsi="Arial" w:cs="Arial"/>
            <w:bCs/>
            <w:sz w:val="22"/>
            <w:szCs w:val="22"/>
            <w:lang w:val="es-419"/>
          </w:rPr>
          <w:t>6</w:t>
        </w:r>
        <w:r w:rsidRPr="00D300D1">
          <w:rPr>
            <w:rStyle w:val="Hyperlink"/>
            <w:rFonts w:ascii="Arial" w:eastAsiaTheme="minorEastAsia" w:hAnsi="Arial" w:cs="Arial"/>
            <w:bCs/>
            <w:sz w:val="22"/>
            <w:szCs w:val="22"/>
            <w:lang w:val="es-419"/>
          </w:rPr>
          <w:t>71/OC-ME</w:t>
        </w:r>
      </w:hyperlink>
      <w:r w:rsidRPr="009F334A">
        <w:rPr>
          <w:rFonts w:ascii="Arial" w:hAnsi="Arial" w:cs="Arial"/>
          <w:bCs/>
          <w:sz w:val="22"/>
          <w:szCs w:val="22"/>
          <w:lang w:val="es-419"/>
        </w:rPr>
        <w:t>)</w:t>
      </w:r>
      <w:r>
        <w:rPr>
          <w:rStyle w:val="FootnoteReference"/>
          <w:rFonts w:ascii="Arial" w:hAnsi="Arial" w:cs="Arial"/>
          <w:bCs/>
          <w:sz w:val="22"/>
          <w:szCs w:val="22"/>
          <w:lang w:val="es-419"/>
        </w:rPr>
        <w:footnoteReference w:id="28"/>
      </w:r>
      <w:r w:rsidRPr="009F334A">
        <w:rPr>
          <w:rFonts w:ascii="Arial" w:hAnsi="Arial" w:cs="Arial"/>
          <w:bCs/>
          <w:sz w:val="22"/>
          <w:szCs w:val="22"/>
          <w:lang w:val="es-419"/>
        </w:rPr>
        <w:t xml:space="preserve">, para promover el desarrollo de proveedores y contratistas de PyME para la industria petrolera nacional y para proporcionar financiación a medio y largo plazo para proyectos de energía renovable. </w:t>
      </w:r>
      <w:r w:rsidRPr="004C4145">
        <w:rPr>
          <w:rFonts w:ascii="Arial" w:hAnsi="Arial" w:cs="Arial"/>
          <w:bCs/>
          <w:sz w:val="22"/>
          <w:szCs w:val="22"/>
          <w:lang w:val="es-419"/>
        </w:rPr>
        <w:t xml:space="preserve">Derivado del fuerte impulso del </w:t>
      </w:r>
      <w:r>
        <w:rPr>
          <w:rFonts w:ascii="Arial" w:hAnsi="Arial" w:cs="Arial"/>
          <w:bCs/>
          <w:sz w:val="22"/>
          <w:szCs w:val="22"/>
          <w:lang w:val="es-419"/>
        </w:rPr>
        <w:t>g</w:t>
      </w:r>
      <w:r w:rsidRPr="004C4145">
        <w:rPr>
          <w:rFonts w:ascii="Arial" w:hAnsi="Arial" w:cs="Arial"/>
          <w:bCs/>
          <w:sz w:val="22"/>
          <w:szCs w:val="22"/>
          <w:lang w:val="es-419"/>
        </w:rPr>
        <w:t xml:space="preserve">obierno </w:t>
      </w:r>
      <w:r w:rsidRPr="009F334A">
        <w:rPr>
          <w:rFonts w:ascii="Arial" w:hAnsi="Arial" w:cs="Arial"/>
          <w:bCs/>
          <w:sz w:val="22"/>
          <w:szCs w:val="22"/>
          <w:lang w:val="es-419"/>
        </w:rPr>
        <w:t>a</w:t>
      </w:r>
      <w:r w:rsidRPr="004C4145">
        <w:rPr>
          <w:rFonts w:ascii="Arial" w:hAnsi="Arial" w:cs="Arial"/>
          <w:bCs/>
          <w:sz w:val="22"/>
          <w:szCs w:val="22"/>
          <w:lang w:val="es-419"/>
        </w:rPr>
        <w:t xml:space="preserve"> la reducción de GEI, con recursos asignados del CTF con la operación </w:t>
      </w:r>
      <w:hyperlink r:id="rId29" w:history="1">
        <w:r w:rsidRPr="007E28C7">
          <w:rPr>
            <w:rStyle w:val="Hyperlink"/>
            <w:rFonts w:ascii="Arial" w:eastAsiaTheme="minorEastAsia" w:hAnsi="Arial" w:cs="Arial"/>
            <w:bCs/>
            <w:sz w:val="22"/>
            <w:szCs w:val="22"/>
            <w:lang w:val="es-419"/>
          </w:rPr>
          <w:t>2843/OC-ME</w:t>
        </w:r>
      </w:hyperlink>
      <w:r w:rsidRPr="007D6FBC">
        <w:rPr>
          <w:rStyle w:val="FootnoteReference"/>
          <w:rFonts w:ascii="Arial" w:hAnsi="Arial" w:cs="Arial"/>
          <w:bCs/>
          <w:sz w:val="22"/>
          <w:szCs w:val="22"/>
          <w:lang w:val="es-419"/>
        </w:rPr>
        <w:footnoteReference w:id="29"/>
      </w:r>
      <w:r w:rsidRPr="004C4145">
        <w:rPr>
          <w:rFonts w:ascii="Arial" w:hAnsi="Arial" w:cs="Arial"/>
          <w:bCs/>
          <w:sz w:val="22"/>
          <w:szCs w:val="22"/>
          <w:lang w:val="es-419"/>
        </w:rPr>
        <w:t xml:space="preserve"> los programas se enfocaron a proyectos para energía renovable con resultados excepcionales</w:t>
      </w:r>
      <w:r w:rsidR="00733904" w:rsidRPr="007863DC">
        <w:rPr>
          <w:rFonts w:ascii="Arial" w:eastAsia="Arial" w:hAnsi="Arial" w:cs="Arial"/>
          <w:sz w:val="22"/>
          <w:szCs w:val="22"/>
          <w:lang w:val="es-ES"/>
        </w:rPr>
        <w:t>.</w:t>
      </w:r>
    </w:p>
    <w:p w14:paraId="5F1D49AC" w14:textId="4070F76E" w:rsidR="00BB48CD" w:rsidRPr="007863DC" w:rsidRDefault="00BB48CD" w:rsidP="004714E0">
      <w:pPr>
        <w:pStyle w:val="Paragraph"/>
        <w:numPr>
          <w:ilvl w:val="0"/>
          <w:numId w:val="0"/>
        </w:numPr>
        <w:spacing w:before="240"/>
        <w:ind w:left="720"/>
        <w:rPr>
          <w:rFonts w:ascii="Arial" w:hAnsi="Arial" w:cs="Arial"/>
          <w:b/>
          <w:bCs/>
          <w:sz w:val="22"/>
          <w:szCs w:val="22"/>
          <w:u w:val="single"/>
          <w:lang w:val="es-ES_tradnl"/>
        </w:rPr>
      </w:pPr>
      <w:r w:rsidRPr="007863DC">
        <w:rPr>
          <w:rFonts w:ascii="Arial" w:hAnsi="Arial" w:cs="Arial"/>
          <w:b/>
          <w:bCs/>
          <w:sz w:val="22"/>
          <w:szCs w:val="22"/>
          <w:u w:val="single"/>
          <w:lang w:val="es-ES_tradnl"/>
        </w:rPr>
        <w:t>Evaluación reflexiva</w:t>
      </w:r>
    </w:p>
    <w:p w14:paraId="20EA89E4" w14:textId="382E4FF5" w:rsidR="001F6C37" w:rsidRPr="007863DC" w:rsidRDefault="00007B89" w:rsidP="00E33F78">
      <w:pPr>
        <w:pStyle w:val="Paragraph"/>
        <w:numPr>
          <w:ilvl w:val="1"/>
          <w:numId w:val="6"/>
        </w:numPr>
        <w:ind w:hanging="540"/>
        <w:rPr>
          <w:rFonts w:ascii="Arial" w:hAnsi="Arial" w:cs="Arial"/>
          <w:sz w:val="22"/>
          <w:szCs w:val="22"/>
          <w:lang w:val="es-ES_tradnl"/>
        </w:rPr>
      </w:pPr>
      <w:r w:rsidRPr="007863DC">
        <w:rPr>
          <w:rFonts w:ascii="Arial" w:hAnsi="Arial" w:cs="Arial"/>
          <w:b/>
          <w:sz w:val="22"/>
          <w:szCs w:val="22"/>
          <w:lang w:val="es-ES_tradnl"/>
        </w:rPr>
        <w:t xml:space="preserve">Justificación de la metodología. </w:t>
      </w:r>
      <w:r w:rsidR="009D3FA6" w:rsidRPr="007863DC">
        <w:rPr>
          <w:rFonts w:ascii="Arial" w:hAnsi="Arial" w:cs="Arial"/>
          <w:bCs/>
          <w:sz w:val="22"/>
          <w:szCs w:val="22"/>
          <w:lang w:val="es-ES_tradnl"/>
        </w:rPr>
        <w:t xml:space="preserve">Le metodología reflexiva busca </w:t>
      </w:r>
      <w:r w:rsidR="00DB4C9B" w:rsidRPr="007863DC">
        <w:rPr>
          <w:rFonts w:ascii="Arial" w:hAnsi="Arial" w:cs="Arial"/>
          <w:bCs/>
          <w:sz w:val="22"/>
          <w:szCs w:val="22"/>
          <w:lang w:val="es-ES_tradnl"/>
        </w:rPr>
        <w:t xml:space="preserve">conocer los efectos de una intervención </w:t>
      </w:r>
      <w:r w:rsidR="009D2631" w:rsidRPr="007863DC">
        <w:rPr>
          <w:rFonts w:ascii="Arial" w:hAnsi="Arial" w:cs="Arial"/>
          <w:bCs/>
          <w:sz w:val="22"/>
          <w:szCs w:val="22"/>
          <w:lang w:val="es-ES_tradnl"/>
        </w:rPr>
        <w:t xml:space="preserve">sobre </w:t>
      </w:r>
      <w:r w:rsidR="00642378" w:rsidRPr="007863DC">
        <w:rPr>
          <w:rFonts w:ascii="Arial" w:hAnsi="Arial" w:cs="Arial"/>
          <w:bCs/>
          <w:sz w:val="22"/>
          <w:szCs w:val="22"/>
          <w:lang w:val="es-ES_tradnl"/>
        </w:rPr>
        <w:t xml:space="preserve">variables </w:t>
      </w:r>
      <w:r w:rsidR="00890A5A" w:rsidRPr="007863DC">
        <w:rPr>
          <w:rFonts w:ascii="Arial" w:hAnsi="Arial" w:cs="Arial"/>
          <w:bCs/>
          <w:sz w:val="22"/>
          <w:szCs w:val="22"/>
          <w:lang w:val="es-ES_tradnl"/>
        </w:rPr>
        <w:t>determinad</w:t>
      </w:r>
      <w:r w:rsidR="00642378" w:rsidRPr="007863DC">
        <w:rPr>
          <w:rFonts w:ascii="Arial" w:hAnsi="Arial" w:cs="Arial"/>
          <w:bCs/>
          <w:sz w:val="22"/>
          <w:szCs w:val="22"/>
          <w:lang w:val="es-ES_tradnl"/>
        </w:rPr>
        <w:t>a</w:t>
      </w:r>
      <w:r w:rsidR="00890A5A" w:rsidRPr="007863DC">
        <w:rPr>
          <w:rFonts w:ascii="Arial" w:hAnsi="Arial" w:cs="Arial"/>
          <w:bCs/>
          <w:sz w:val="22"/>
          <w:szCs w:val="22"/>
          <w:lang w:val="es-ES_tradnl"/>
        </w:rPr>
        <w:t>s de interés</w:t>
      </w:r>
      <w:r w:rsidR="00D221D6" w:rsidRPr="007863DC">
        <w:rPr>
          <w:rFonts w:ascii="Arial" w:hAnsi="Arial" w:cs="Arial"/>
          <w:bCs/>
          <w:sz w:val="22"/>
          <w:szCs w:val="22"/>
          <w:lang w:val="es-ES_tradnl"/>
        </w:rPr>
        <w:t xml:space="preserve">. En el caso que nos ocupa, se trataría de medir </w:t>
      </w:r>
      <w:r w:rsidR="00DB18CA">
        <w:rPr>
          <w:rFonts w:ascii="Arial" w:hAnsi="Arial" w:cs="Arial"/>
          <w:bCs/>
          <w:sz w:val="22"/>
          <w:szCs w:val="22"/>
          <w:lang w:val="es-ES_tradnl"/>
        </w:rPr>
        <w:t xml:space="preserve">la evolución de los indicadores (ver Cuadro 1) </w:t>
      </w:r>
      <w:r w:rsidR="009A1E7A" w:rsidRPr="007863DC">
        <w:rPr>
          <w:rFonts w:ascii="Arial" w:hAnsi="Arial" w:cs="Arial"/>
          <w:bCs/>
          <w:sz w:val="22"/>
          <w:szCs w:val="22"/>
          <w:lang w:val="es-ES_tradnl"/>
        </w:rPr>
        <w:t xml:space="preserve">antes y </w:t>
      </w:r>
      <w:r w:rsidR="00B6701C" w:rsidRPr="007863DC">
        <w:rPr>
          <w:rFonts w:ascii="Arial" w:hAnsi="Arial" w:cs="Arial"/>
          <w:bCs/>
          <w:sz w:val="22"/>
          <w:szCs w:val="22"/>
          <w:lang w:val="es-ES_tradnl"/>
        </w:rPr>
        <w:t xml:space="preserve">después </w:t>
      </w:r>
      <w:r w:rsidR="00EC36C4" w:rsidRPr="007863DC">
        <w:rPr>
          <w:rFonts w:ascii="Arial" w:hAnsi="Arial" w:cs="Arial"/>
          <w:bCs/>
          <w:sz w:val="22"/>
          <w:szCs w:val="22"/>
          <w:lang w:val="es-ES_tradnl"/>
        </w:rPr>
        <w:t>de</w:t>
      </w:r>
      <w:r w:rsidR="009B0AD4" w:rsidRPr="007863DC">
        <w:rPr>
          <w:rFonts w:ascii="Arial" w:hAnsi="Arial" w:cs="Arial"/>
          <w:bCs/>
          <w:sz w:val="22"/>
          <w:szCs w:val="22"/>
          <w:lang w:val="es-ES_tradnl"/>
        </w:rPr>
        <w:t>l programa</w:t>
      </w:r>
      <w:r w:rsidR="00AC1B8D" w:rsidRPr="007863DC">
        <w:rPr>
          <w:rFonts w:ascii="Arial" w:hAnsi="Arial" w:cs="Arial"/>
          <w:bCs/>
          <w:sz w:val="22"/>
          <w:szCs w:val="22"/>
          <w:lang w:val="es-ES_tradnl"/>
        </w:rPr>
        <w:t xml:space="preserve">, </w:t>
      </w:r>
      <w:r w:rsidR="00AE260A" w:rsidRPr="007863DC">
        <w:rPr>
          <w:rFonts w:ascii="Arial" w:hAnsi="Arial" w:cs="Arial"/>
          <w:bCs/>
          <w:sz w:val="22"/>
          <w:szCs w:val="22"/>
          <w:lang w:val="es-ES_tradnl"/>
        </w:rPr>
        <w:t xml:space="preserve">adjudicando las variaciones observadas </w:t>
      </w:r>
      <w:r w:rsidR="00694253" w:rsidRPr="007863DC">
        <w:rPr>
          <w:rFonts w:ascii="Arial" w:hAnsi="Arial" w:cs="Arial"/>
          <w:bCs/>
          <w:sz w:val="22"/>
          <w:szCs w:val="22"/>
          <w:lang w:val="es-ES_tradnl"/>
        </w:rPr>
        <w:t xml:space="preserve">a dicha intervención. </w:t>
      </w:r>
      <w:r w:rsidR="00DB18CA">
        <w:rPr>
          <w:rFonts w:ascii="Arial" w:hAnsi="Arial" w:cs="Arial"/>
          <w:bCs/>
          <w:sz w:val="22"/>
          <w:szCs w:val="22"/>
          <w:lang w:val="es-ES_tradnl"/>
        </w:rPr>
        <w:t xml:space="preserve">Dicho análisis </w:t>
      </w:r>
      <w:r w:rsidR="007863DC" w:rsidRPr="007863DC">
        <w:rPr>
          <w:rFonts w:ascii="Arial" w:hAnsi="Arial" w:cs="Arial"/>
          <w:bCs/>
          <w:sz w:val="22"/>
          <w:szCs w:val="22"/>
          <w:lang w:val="es-ES_tradnl"/>
        </w:rPr>
        <w:t xml:space="preserve">resulta clave para </w:t>
      </w:r>
      <w:r w:rsidR="00DB18CA">
        <w:rPr>
          <w:rFonts w:ascii="Arial" w:hAnsi="Arial" w:cs="Arial"/>
          <w:bCs/>
          <w:sz w:val="22"/>
          <w:szCs w:val="22"/>
          <w:lang w:val="es-ES_tradnl"/>
        </w:rPr>
        <w:t>determinar</w:t>
      </w:r>
      <w:r w:rsidR="00DB18CA" w:rsidRPr="007863DC">
        <w:rPr>
          <w:rFonts w:ascii="Arial" w:hAnsi="Arial" w:cs="Arial"/>
          <w:bCs/>
          <w:sz w:val="22"/>
          <w:szCs w:val="22"/>
          <w:lang w:val="es-ES_tradnl"/>
        </w:rPr>
        <w:t xml:space="preserve"> </w:t>
      </w:r>
      <w:r w:rsidR="007863DC" w:rsidRPr="007863DC">
        <w:rPr>
          <w:rFonts w:ascii="Arial" w:hAnsi="Arial" w:cs="Arial"/>
          <w:bCs/>
          <w:sz w:val="22"/>
          <w:szCs w:val="22"/>
          <w:lang w:val="es-ES_tradnl"/>
        </w:rPr>
        <w:t xml:space="preserve">el impacto del programa en términos de adicionalidad y calidad de la cartera de financiamiento relevante. </w:t>
      </w:r>
      <w:r w:rsidR="00DB18CA">
        <w:rPr>
          <w:rFonts w:ascii="Arial" w:hAnsi="Arial" w:cs="Arial"/>
          <w:bCs/>
          <w:sz w:val="22"/>
          <w:szCs w:val="22"/>
          <w:lang w:val="es-ES_tradnl"/>
        </w:rPr>
        <w:t xml:space="preserve">Asimismo, de relacionará el efecto observado en estos indicadores con la contribución sobre </w:t>
      </w:r>
      <w:r w:rsidR="00DB18CA" w:rsidRPr="007863DC">
        <w:rPr>
          <w:rFonts w:ascii="Arial" w:hAnsi="Arial" w:cs="Arial"/>
          <w:bCs/>
          <w:sz w:val="22"/>
          <w:szCs w:val="22"/>
          <w:lang w:val="es-ES_tradnl"/>
        </w:rPr>
        <w:t xml:space="preserve">el empleo en las </w:t>
      </w:r>
      <w:r w:rsidR="00B3760F" w:rsidRPr="000E4BA5">
        <w:rPr>
          <w:rFonts w:ascii="Arial" w:eastAsia="Arial" w:hAnsi="Arial" w:cs="Arial"/>
          <w:sz w:val="22"/>
          <w:szCs w:val="22"/>
          <w:lang w:val="es-ES"/>
        </w:rPr>
        <w:t>M</w:t>
      </w:r>
      <w:r w:rsidR="00B3760F">
        <w:rPr>
          <w:rFonts w:ascii="Arial" w:eastAsia="Arial" w:hAnsi="Arial" w:cs="Arial"/>
          <w:sz w:val="22"/>
          <w:szCs w:val="22"/>
          <w:lang w:val="es-ES"/>
        </w:rPr>
        <w:t>i</w:t>
      </w:r>
      <w:r w:rsidR="00B3760F" w:rsidRPr="000E4BA5">
        <w:rPr>
          <w:rFonts w:ascii="Arial" w:eastAsia="Arial" w:hAnsi="Arial" w:cs="Arial"/>
          <w:sz w:val="22"/>
          <w:szCs w:val="22"/>
          <w:lang w:val="es-ES"/>
        </w:rPr>
        <w:t>P</w:t>
      </w:r>
      <w:r w:rsidR="00B3760F">
        <w:rPr>
          <w:rFonts w:ascii="Arial" w:eastAsia="Arial" w:hAnsi="Arial" w:cs="Arial"/>
          <w:sz w:val="22"/>
          <w:szCs w:val="22"/>
          <w:lang w:val="es-ES"/>
        </w:rPr>
        <w:t>y</w:t>
      </w:r>
      <w:r w:rsidR="00B3760F" w:rsidRPr="000E4BA5">
        <w:rPr>
          <w:rFonts w:ascii="Arial" w:eastAsia="Arial" w:hAnsi="Arial" w:cs="Arial"/>
          <w:sz w:val="22"/>
          <w:szCs w:val="22"/>
          <w:lang w:val="es-ES"/>
        </w:rPr>
        <w:t>ME</w:t>
      </w:r>
      <w:r w:rsidR="00DB18CA" w:rsidRPr="007863DC">
        <w:rPr>
          <w:rFonts w:ascii="Arial" w:hAnsi="Arial" w:cs="Arial"/>
          <w:bCs/>
          <w:sz w:val="22"/>
          <w:szCs w:val="22"/>
          <w:lang w:val="es-ES_tradnl"/>
        </w:rPr>
        <w:t xml:space="preserve"> beneficiarias</w:t>
      </w:r>
      <w:r w:rsidR="00DB18CA">
        <w:rPr>
          <w:rFonts w:ascii="Arial" w:hAnsi="Arial" w:cs="Arial"/>
          <w:bCs/>
          <w:sz w:val="22"/>
          <w:szCs w:val="22"/>
          <w:lang w:val="es-ES_tradnl"/>
        </w:rPr>
        <w:t>.</w:t>
      </w:r>
      <w:r w:rsidR="00DB18CA" w:rsidRPr="007863DC">
        <w:rPr>
          <w:rFonts w:ascii="Arial" w:hAnsi="Arial" w:cs="Arial"/>
          <w:bCs/>
          <w:sz w:val="22"/>
          <w:szCs w:val="22"/>
          <w:lang w:val="es-ES_tradnl"/>
        </w:rPr>
        <w:t xml:space="preserve"> </w:t>
      </w:r>
      <w:r w:rsidR="00243684" w:rsidRPr="007863DC">
        <w:rPr>
          <w:rFonts w:ascii="Arial" w:hAnsi="Arial" w:cs="Arial"/>
          <w:bCs/>
          <w:sz w:val="22"/>
          <w:szCs w:val="22"/>
          <w:lang w:val="es-ES_tradnl"/>
        </w:rPr>
        <w:t>Est</w:t>
      </w:r>
      <w:r w:rsidR="00121A96" w:rsidRPr="007863DC">
        <w:rPr>
          <w:rFonts w:ascii="Arial" w:hAnsi="Arial" w:cs="Arial"/>
          <w:bCs/>
          <w:sz w:val="22"/>
          <w:szCs w:val="22"/>
          <w:lang w:val="es-ES_tradnl"/>
        </w:rPr>
        <w:t xml:space="preserve">a metodología, sin embargo, no </w:t>
      </w:r>
      <w:r w:rsidR="007131C5" w:rsidRPr="007863DC">
        <w:rPr>
          <w:rFonts w:ascii="Arial" w:hAnsi="Arial" w:cs="Arial"/>
          <w:bCs/>
          <w:sz w:val="22"/>
          <w:szCs w:val="22"/>
          <w:lang w:val="es-ES_tradnl"/>
        </w:rPr>
        <w:t xml:space="preserve">puede aislar </w:t>
      </w:r>
      <w:r w:rsidR="00061426" w:rsidRPr="007863DC">
        <w:rPr>
          <w:rFonts w:ascii="Arial" w:hAnsi="Arial" w:cs="Arial"/>
          <w:bCs/>
          <w:sz w:val="22"/>
          <w:szCs w:val="22"/>
          <w:lang w:val="es-ES_tradnl"/>
        </w:rPr>
        <w:t xml:space="preserve">completamente </w:t>
      </w:r>
      <w:r w:rsidR="007131C5" w:rsidRPr="007863DC">
        <w:rPr>
          <w:rFonts w:ascii="Arial" w:hAnsi="Arial" w:cs="Arial"/>
          <w:bCs/>
          <w:sz w:val="22"/>
          <w:szCs w:val="22"/>
          <w:lang w:val="es-ES_tradnl"/>
        </w:rPr>
        <w:t xml:space="preserve">efectos </w:t>
      </w:r>
      <w:r w:rsidR="00E13D0B" w:rsidRPr="007863DC">
        <w:rPr>
          <w:rFonts w:ascii="Arial" w:hAnsi="Arial" w:cs="Arial"/>
          <w:bCs/>
          <w:sz w:val="22"/>
          <w:szCs w:val="22"/>
          <w:lang w:val="es-ES_tradnl"/>
        </w:rPr>
        <w:t>externos a la intervención</w:t>
      </w:r>
      <w:r w:rsidR="0098747B" w:rsidRPr="007863DC">
        <w:rPr>
          <w:rFonts w:ascii="Arial" w:hAnsi="Arial" w:cs="Arial"/>
          <w:bCs/>
          <w:sz w:val="22"/>
          <w:szCs w:val="22"/>
          <w:lang w:val="es-ES_tradnl"/>
        </w:rPr>
        <w:t xml:space="preserve"> que</w:t>
      </w:r>
      <w:r w:rsidR="00CB4E5B" w:rsidRPr="007863DC">
        <w:rPr>
          <w:rFonts w:ascii="Arial" w:hAnsi="Arial" w:cs="Arial"/>
          <w:bCs/>
          <w:sz w:val="22"/>
          <w:szCs w:val="22"/>
          <w:lang w:val="es-ES_tradnl"/>
        </w:rPr>
        <w:t xml:space="preserve"> pueden influir</w:t>
      </w:r>
      <w:r w:rsidR="0098747B" w:rsidRPr="007863DC">
        <w:rPr>
          <w:rFonts w:ascii="Arial" w:hAnsi="Arial" w:cs="Arial"/>
          <w:bCs/>
          <w:sz w:val="22"/>
          <w:szCs w:val="22"/>
          <w:lang w:val="es-ES_tradnl"/>
        </w:rPr>
        <w:t xml:space="preserve"> sobre </w:t>
      </w:r>
      <w:r w:rsidR="00061426" w:rsidRPr="007863DC">
        <w:rPr>
          <w:rFonts w:ascii="Arial" w:hAnsi="Arial" w:cs="Arial"/>
          <w:bCs/>
          <w:sz w:val="22"/>
          <w:szCs w:val="22"/>
          <w:lang w:val="es-ES_tradnl"/>
        </w:rPr>
        <w:t>las variables de interés</w:t>
      </w:r>
      <w:r w:rsidR="00FE0AC2" w:rsidRPr="007863DC">
        <w:rPr>
          <w:rFonts w:ascii="Arial" w:hAnsi="Arial" w:cs="Arial"/>
          <w:bCs/>
          <w:sz w:val="22"/>
          <w:szCs w:val="22"/>
          <w:lang w:val="es-ES_tradnl"/>
        </w:rPr>
        <w:t>, dificultando la atribución de l</w:t>
      </w:r>
      <w:r w:rsidR="00513C4B" w:rsidRPr="007863DC">
        <w:rPr>
          <w:rFonts w:ascii="Arial" w:hAnsi="Arial" w:cs="Arial"/>
          <w:bCs/>
          <w:sz w:val="22"/>
          <w:szCs w:val="22"/>
          <w:lang w:val="es-ES_tradnl"/>
        </w:rPr>
        <w:t>os cambios observados</w:t>
      </w:r>
      <w:r w:rsidR="004E025C" w:rsidRPr="007863DC">
        <w:rPr>
          <w:rFonts w:ascii="Arial" w:hAnsi="Arial" w:cs="Arial"/>
          <w:bCs/>
          <w:sz w:val="22"/>
          <w:szCs w:val="22"/>
          <w:lang w:val="es-ES_tradnl"/>
        </w:rPr>
        <w:t xml:space="preserve"> a intervención concreta.</w:t>
      </w:r>
      <w:r w:rsidR="00513C4B" w:rsidRPr="007863DC">
        <w:rPr>
          <w:rFonts w:ascii="Arial" w:hAnsi="Arial" w:cs="Arial"/>
          <w:bCs/>
          <w:sz w:val="22"/>
          <w:szCs w:val="22"/>
          <w:lang w:val="es-ES_tradnl"/>
        </w:rPr>
        <w:t xml:space="preserve"> </w:t>
      </w:r>
    </w:p>
    <w:p w14:paraId="58DB2046" w14:textId="1600FE59" w:rsidR="00787EA9" w:rsidRPr="007863DC" w:rsidRDefault="00E33F78" w:rsidP="00E33F78">
      <w:pPr>
        <w:pStyle w:val="Paragraph"/>
        <w:numPr>
          <w:ilvl w:val="1"/>
          <w:numId w:val="6"/>
        </w:numPr>
        <w:ind w:hanging="540"/>
        <w:rPr>
          <w:rFonts w:ascii="Arial" w:hAnsi="Arial" w:cs="Arial"/>
          <w:bCs/>
          <w:sz w:val="22"/>
          <w:szCs w:val="22"/>
          <w:lang w:val="es-ES_tradnl"/>
        </w:rPr>
      </w:pPr>
      <w:r w:rsidRPr="007863DC">
        <w:rPr>
          <w:rFonts w:ascii="Arial" w:hAnsi="Arial" w:cs="Arial"/>
          <w:b/>
          <w:bCs/>
          <w:sz w:val="22"/>
          <w:szCs w:val="22"/>
          <w:lang w:val="es-ES_tradnl"/>
        </w:rPr>
        <w:t>Interpretación de los resultados</w:t>
      </w:r>
      <w:r w:rsidRPr="006A5189">
        <w:rPr>
          <w:rFonts w:ascii="Arial" w:hAnsi="Arial" w:cs="Arial"/>
          <w:b/>
          <w:sz w:val="22"/>
          <w:szCs w:val="22"/>
          <w:lang w:val="es-ES_tradnl"/>
        </w:rPr>
        <w:t>.</w:t>
      </w:r>
      <w:r w:rsidRPr="007863DC">
        <w:rPr>
          <w:rFonts w:ascii="Arial" w:hAnsi="Arial" w:cs="Arial"/>
          <w:bCs/>
          <w:sz w:val="22"/>
          <w:szCs w:val="22"/>
          <w:lang w:val="es-ES_tradnl"/>
        </w:rPr>
        <w:t xml:space="preserve"> </w:t>
      </w:r>
      <w:r w:rsidR="004E1459" w:rsidRPr="007863DC">
        <w:rPr>
          <w:rFonts w:ascii="Arial" w:hAnsi="Arial" w:cs="Arial"/>
          <w:bCs/>
          <w:sz w:val="22"/>
          <w:szCs w:val="22"/>
          <w:lang w:val="es-ES_tradnl"/>
        </w:rPr>
        <w:t>La evalu</w:t>
      </w:r>
      <w:r w:rsidR="006B12AE" w:rsidRPr="007863DC">
        <w:rPr>
          <w:rFonts w:ascii="Arial" w:hAnsi="Arial" w:cs="Arial"/>
          <w:bCs/>
          <w:sz w:val="22"/>
          <w:szCs w:val="22"/>
          <w:lang w:val="es-ES_tradnl"/>
        </w:rPr>
        <w:t>a</w:t>
      </w:r>
      <w:r w:rsidR="004E1459" w:rsidRPr="007863DC">
        <w:rPr>
          <w:rFonts w:ascii="Arial" w:hAnsi="Arial" w:cs="Arial"/>
          <w:bCs/>
          <w:sz w:val="22"/>
          <w:szCs w:val="22"/>
          <w:lang w:val="es-ES_tradnl"/>
        </w:rPr>
        <w:t xml:space="preserve">ción propuesta </w:t>
      </w:r>
      <w:r w:rsidR="001000B7" w:rsidRPr="007863DC">
        <w:rPr>
          <w:rFonts w:ascii="Arial" w:hAnsi="Arial" w:cs="Arial"/>
          <w:bCs/>
          <w:sz w:val="22"/>
          <w:szCs w:val="22"/>
          <w:lang w:val="es-ES_tradnl"/>
        </w:rPr>
        <w:t>busca mostrar el alcance de los resultados e impactos</w:t>
      </w:r>
      <w:r w:rsidR="00887589" w:rsidRPr="007863DC">
        <w:rPr>
          <w:rFonts w:ascii="Arial" w:hAnsi="Arial" w:cs="Arial"/>
          <w:bCs/>
          <w:sz w:val="22"/>
          <w:szCs w:val="22"/>
          <w:lang w:val="es-ES_tradnl"/>
        </w:rPr>
        <w:t xml:space="preserve"> del </w:t>
      </w:r>
      <w:r w:rsidR="00EA7F81" w:rsidRPr="007863DC">
        <w:rPr>
          <w:rFonts w:ascii="Arial" w:hAnsi="Arial" w:cs="Arial"/>
          <w:bCs/>
          <w:sz w:val="22"/>
          <w:szCs w:val="22"/>
          <w:lang w:val="es-ES_tradnl"/>
        </w:rPr>
        <w:t xml:space="preserve">programa. </w:t>
      </w:r>
      <w:r w:rsidR="00824587" w:rsidRPr="007863DC">
        <w:rPr>
          <w:rFonts w:ascii="Arial" w:hAnsi="Arial" w:cs="Arial"/>
          <w:bCs/>
          <w:sz w:val="22"/>
          <w:szCs w:val="22"/>
          <w:lang w:val="es-ES_tradnl"/>
        </w:rPr>
        <w:t xml:space="preserve">La pregunta de </w:t>
      </w:r>
      <w:r w:rsidR="005A567D" w:rsidRPr="007863DC">
        <w:rPr>
          <w:rFonts w:ascii="Arial" w:hAnsi="Arial" w:cs="Arial"/>
          <w:bCs/>
          <w:sz w:val="22"/>
          <w:szCs w:val="22"/>
          <w:lang w:val="es-ES_tradnl"/>
        </w:rPr>
        <w:t xml:space="preserve">evaluación </w:t>
      </w:r>
      <w:r w:rsidR="00D95B9E">
        <w:rPr>
          <w:rFonts w:ascii="Arial" w:hAnsi="Arial" w:cs="Arial"/>
          <w:bCs/>
          <w:sz w:val="22"/>
          <w:szCs w:val="22"/>
          <w:lang w:val="es-ES_tradnl"/>
        </w:rPr>
        <w:t>es,</w:t>
      </w:r>
      <w:r w:rsidR="005A567D" w:rsidRPr="007863DC">
        <w:rPr>
          <w:rFonts w:ascii="Arial" w:hAnsi="Arial" w:cs="Arial"/>
          <w:bCs/>
          <w:sz w:val="22"/>
          <w:szCs w:val="22"/>
          <w:lang w:val="es-ES_tradnl"/>
        </w:rPr>
        <w:t xml:space="preserve"> por tanto</w:t>
      </w:r>
      <w:r w:rsidR="00B7406B">
        <w:rPr>
          <w:rFonts w:ascii="Arial" w:hAnsi="Arial" w:cs="Arial"/>
          <w:bCs/>
          <w:sz w:val="22"/>
          <w:szCs w:val="22"/>
          <w:lang w:val="es-ES_tradnl"/>
        </w:rPr>
        <w:t>,</w:t>
      </w:r>
      <w:r w:rsidR="005A567D" w:rsidRPr="007863DC">
        <w:rPr>
          <w:rFonts w:ascii="Arial" w:hAnsi="Arial" w:cs="Arial"/>
          <w:bCs/>
          <w:sz w:val="22"/>
          <w:szCs w:val="22"/>
          <w:lang w:val="es-ES_tradnl"/>
        </w:rPr>
        <w:t xml:space="preserve"> </w:t>
      </w:r>
      <w:r w:rsidR="006807F1" w:rsidRPr="007863DC">
        <w:rPr>
          <w:rFonts w:ascii="Arial" w:hAnsi="Arial" w:cs="Arial"/>
          <w:bCs/>
          <w:sz w:val="22"/>
          <w:szCs w:val="22"/>
          <w:lang w:val="es-ES_tradnl"/>
        </w:rPr>
        <w:t xml:space="preserve">cuál ha sido el impacto del programa sobre </w:t>
      </w:r>
      <w:r w:rsidR="00DB18CA">
        <w:rPr>
          <w:rFonts w:ascii="Arial" w:hAnsi="Arial" w:cs="Arial"/>
          <w:bCs/>
          <w:sz w:val="22"/>
          <w:szCs w:val="22"/>
          <w:lang w:val="es-ES_tradnl"/>
        </w:rPr>
        <w:t xml:space="preserve">la evolución de la cartera de financiamiento al sector objetivo, en términos de volumen y de calidad. Se analizará asimismo la relación de los efectos observables sobre </w:t>
      </w:r>
      <w:r w:rsidR="00FF1F5A" w:rsidRPr="007863DC">
        <w:rPr>
          <w:rFonts w:ascii="Arial" w:hAnsi="Arial" w:cs="Arial"/>
          <w:bCs/>
          <w:sz w:val="22"/>
          <w:szCs w:val="22"/>
          <w:lang w:val="es-ES_tradnl"/>
        </w:rPr>
        <w:t>el</w:t>
      </w:r>
      <w:r w:rsidR="00787EA9" w:rsidRPr="007863DC">
        <w:rPr>
          <w:rFonts w:ascii="Arial" w:hAnsi="Arial" w:cs="Arial"/>
          <w:bCs/>
          <w:sz w:val="22"/>
          <w:szCs w:val="22"/>
          <w:lang w:val="es-ES_tradnl"/>
        </w:rPr>
        <w:t xml:space="preserve"> porcentaje de</w:t>
      </w:r>
      <w:r w:rsidR="00FF1F5A" w:rsidRPr="007863DC">
        <w:rPr>
          <w:rFonts w:ascii="Arial" w:hAnsi="Arial" w:cs="Arial"/>
          <w:bCs/>
          <w:sz w:val="22"/>
          <w:szCs w:val="22"/>
          <w:lang w:val="es-ES_tradnl"/>
        </w:rPr>
        <w:t xml:space="preserve"> empleo</w:t>
      </w:r>
      <w:r w:rsidR="00787EA9" w:rsidRPr="007863DC">
        <w:rPr>
          <w:lang w:val="es-ES"/>
        </w:rPr>
        <w:t xml:space="preserve"> </w:t>
      </w:r>
      <w:r w:rsidR="00787EA9" w:rsidRPr="007863DC">
        <w:rPr>
          <w:rFonts w:ascii="Arial" w:hAnsi="Arial" w:cs="Arial"/>
          <w:bCs/>
          <w:sz w:val="22"/>
          <w:szCs w:val="22"/>
          <w:lang w:val="es-ES_tradnl"/>
        </w:rPr>
        <w:t xml:space="preserve">en los sectores apoyados por el programa </w:t>
      </w:r>
      <w:r w:rsidR="001250A3" w:rsidRPr="007863DC">
        <w:rPr>
          <w:rFonts w:ascii="Arial" w:hAnsi="Arial" w:cs="Arial"/>
          <w:bCs/>
          <w:sz w:val="22"/>
          <w:szCs w:val="22"/>
          <w:lang w:val="es-ES_tradnl"/>
        </w:rPr>
        <w:t>frente</w:t>
      </w:r>
      <w:r w:rsidR="00787EA9" w:rsidRPr="007863DC">
        <w:rPr>
          <w:rFonts w:ascii="Arial" w:hAnsi="Arial" w:cs="Arial"/>
          <w:bCs/>
          <w:sz w:val="22"/>
          <w:szCs w:val="22"/>
          <w:lang w:val="es-ES_tradnl"/>
        </w:rPr>
        <w:t xml:space="preserve"> el empleo total de </w:t>
      </w:r>
      <w:r w:rsidR="00B3760F" w:rsidRPr="000E4BA5">
        <w:rPr>
          <w:rFonts w:ascii="Arial" w:eastAsia="Arial" w:hAnsi="Arial" w:cs="Arial"/>
          <w:sz w:val="22"/>
          <w:szCs w:val="22"/>
          <w:lang w:val="es-ES"/>
        </w:rPr>
        <w:t>M</w:t>
      </w:r>
      <w:r w:rsidR="00B3760F">
        <w:rPr>
          <w:rFonts w:ascii="Arial" w:eastAsia="Arial" w:hAnsi="Arial" w:cs="Arial"/>
          <w:sz w:val="22"/>
          <w:szCs w:val="22"/>
          <w:lang w:val="es-ES"/>
        </w:rPr>
        <w:t>i</w:t>
      </w:r>
      <w:r w:rsidR="00B3760F" w:rsidRPr="000E4BA5">
        <w:rPr>
          <w:rFonts w:ascii="Arial" w:eastAsia="Arial" w:hAnsi="Arial" w:cs="Arial"/>
          <w:sz w:val="22"/>
          <w:szCs w:val="22"/>
          <w:lang w:val="es-ES"/>
        </w:rPr>
        <w:t>P</w:t>
      </w:r>
      <w:r w:rsidR="00B3760F">
        <w:rPr>
          <w:rFonts w:ascii="Arial" w:eastAsia="Arial" w:hAnsi="Arial" w:cs="Arial"/>
          <w:sz w:val="22"/>
          <w:szCs w:val="22"/>
          <w:lang w:val="es-ES"/>
        </w:rPr>
        <w:t>y</w:t>
      </w:r>
      <w:r w:rsidR="00B3760F" w:rsidRPr="000E4BA5">
        <w:rPr>
          <w:rFonts w:ascii="Arial" w:eastAsia="Arial" w:hAnsi="Arial" w:cs="Arial"/>
          <w:sz w:val="22"/>
          <w:szCs w:val="22"/>
          <w:lang w:val="es-ES"/>
        </w:rPr>
        <w:t>ME</w:t>
      </w:r>
      <w:r w:rsidR="00787EA9" w:rsidRPr="007863DC">
        <w:rPr>
          <w:rFonts w:ascii="Arial" w:hAnsi="Arial" w:cs="Arial"/>
          <w:bCs/>
          <w:sz w:val="22"/>
          <w:szCs w:val="22"/>
          <w:lang w:val="es-ES_tradnl"/>
        </w:rPr>
        <w:t xml:space="preserve"> en el país</w:t>
      </w:r>
      <w:r w:rsidR="00887C19" w:rsidRPr="007863DC">
        <w:rPr>
          <w:rFonts w:ascii="Arial" w:hAnsi="Arial" w:cs="Arial"/>
          <w:bCs/>
          <w:sz w:val="22"/>
          <w:szCs w:val="22"/>
          <w:lang w:val="es-ES_tradnl"/>
        </w:rPr>
        <w:t>.</w:t>
      </w:r>
      <w:r w:rsidR="00787EA9" w:rsidRPr="007863DC">
        <w:rPr>
          <w:rFonts w:ascii="Arial" w:hAnsi="Arial" w:cs="Arial"/>
          <w:bCs/>
          <w:sz w:val="22"/>
          <w:szCs w:val="22"/>
          <w:lang w:val="es-ES_tradnl"/>
        </w:rPr>
        <w:t xml:space="preserve"> </w:t>
      </w:r>
    </w:p>
    <w:p w14:paraId="2DFB9087" w14:textId="6F9A6D76" w:rsidR="00BB48CD" w:rsidRPr="007863DC" w:rsidRDefault="00E33F78" w:rsidP="0054717B">
      <w:pPr>
        <w:pStyle w:val="Paragraph"/>
        <w:numPr>
          <w:ilvl w:val="1"/>
          <w:numId w:val="6"/>
        </w:numPr>
        <w:ind w:hanging="540"/>
        <w:rPr>
          <w:rFonts w:ascii="Arial" w:hAnsi="Arial" w:cs="Arial"/>
          <w:sz w:val="22"/>
          <w:szCs w:val="22"/>
          <w:lang w:val="es-ES_tradnl"/>
        </w:rPr>
      </w:pPr>
      <w:r w:rsidRPr="007863DC">
        <w:rPr>
          <w:rFonts w:ascii="Arial" w:hAnsi="Arial" w:cs="Arial"/>
          <w:b/>
          <w:bCs/>
          <w:sz w:val="22"/>
          <w:szCs w:val="22"/>
          <w:lang w:val="es-ES_tradnl"/>
        </w:rPr>
        <w:t>Fuentes de datos.</w:t>
      </w:r>
      <w:r w:rsidRPr="007863DC">
        <w:rPr>
          <w:rFonts w:ascii="Arial" w:hAnsi="Arial" w:cs="Arial"/>
          <w:sz w:val="22"/>
          <w:szCs w:val="22"/>
          <w:lang w:val="es-ES_tradnl"/>
        </w:rPr>
        <w:t xml:space="preserve"> </w:t>
      </w:r>
      <w:r w:rsidR="005707CE" w:rsidRPr="007863DC">
        <w:rPr>
          <w:rFonts w:ascii="Arial" w:hAnsi="Arial" w:cs="Arial"/>
          <w:sz w:val="22"/>
          <w:szCs w:val="22"/>
          <w:lang w:val="es-ES_tradnl"/>
        </w:rPr>
        <w:t xml:space="preserve">Para la realización del ejercicio propuesto son </w:t>
      </w:r>
      <w:r w:rsidR="002F508D" w:rsidRPr="007863DC">
        <w:rPr>
          <w:rFonts w:ascii="Arial" w:hAnsi="Arial" w:cs="Arial"/>
          <w:sz w:val="22"/>
          <w:szCs w:val="22"/>
          <w:lang w:val="es-ES_tradnl"/>
        </w:rPr>
        <w:t>centrales los</w:t>
      </w:r>
      <w:r w:rsidR="00905D85" w:rsidRPr="007863DC">
        <w:rPr>
          <w:rFonts w:ascii="Arial" w:hAnsi="Arial" w:cs="Arial"/>
          <w:sz w:val="22"/>
          <w:szCs w:val="22"/>
          <w:lang w:val="es-ES_tradnl"/>
        </w:rPr>
        <w:t xml:space="preserve"> </w:t>
      </w:r>
      <w:r w:rsidR="002F508D" w:rsidRPr="007863DC">
        <w:rPr>
          <w:rFonts w:ascii="Arial" w:hAnsi="Arial" w:cs="Arial"/>
          <w:sz w:val="22"/>
          <w:szCs w:val="22"/>
          <w:lang w:val="es-ES_tradnl"/>
        </w:rPr>
        <w:t xml:space="preserve">indicadores de </w:t>
      </w:r>
      <w:r w:rsidR="00DB18CA">
        <w:rPr>
          <w:rFonts w:ascii="Arial" w:hAnsi="Arial" w:cs="Arial"/>
          <w:sz w:val="22"/>
          <w:szCs w:val="22"/>
          <w:lang w:val="es-ES_tradnl"/>
        </w:rPr>
        <w:t xml:space="preserve">resultado y de </w:t>
      </w:r>
      <w:r w:rsidR="00905D85" w:rsidRPr="007863DC">
        <w:rPr>
          <w:rFonts w:ascii="Arial" w:hAnsi="Arial" w:cs="Arial"/>
          <w:sz w:val="22"/>
          <w:szCs w:val="22"/>
          <w:lang w:val="es-ES_tradnl"/>
        </w:rPr>
        <w:t>impacto del programa, recogidos en el Cuadro 1 de este documento</w:t>
      </w:r>
      <w:r w:rsidR="00E1696D" w:rsidRPr="007863DC">
        <w:rPr>
          <w:rFonts w:ascii="Arial" w:hAnsi="Arial" w:cs="Arial"/>
          <w:sz w:val="22"/>
          <w:szCs w:val="22"/>
          <w:lang w:val="es-ES_tradnl"/>
        </w:rPr>
        <w:t xml:space="preserve">, y que serán objeto del monitoreo </w:t>
      </w:r>
      <w:r w:rsidR="009B54A4" w:rsidRPr="007863DC">
        <w:rPr>
          <w:rFonts w:ascii="Arial" w:hAnsi="Arial" w:cs="Arial"/>
          <w:sz w:val="22"/>
          <w:szCs w:val="22"/>
          <w:lang w:val="es-ES_tradnl"/>
        </w:rPr>
        <w:t>propio del programa.</w:t>
      </w:r>
      <w:r w:rsidRPr="007863DC">
        <w:rPr>
          <w:rFonts w:ascii="Arial" w:hAnsi="Arial" w:cs="Arial"/>
          <w:sz w:val="22"/>
          <w:szCs w:val="22"/>
          <w:lang w:val="es-ES_tradnl"/>
        </w:rPr>
        <w:t xml:space="preserve"> </w:t>
      </w:r>
      <w:r w:rsidR="00DB18CA">
        <w:rPr>
          <w:rFonts w:ascii="Arial" w:hAnsi="Arial" w:cs="Arial"/>
          <w:sz w:val="22"/>
          <w:szCs w:val="22"/>
          <w:lang w:val="es-ES_tradnl"/>
        </w:rPr>
        <w:t xml:space="preserve">Los datos serán provistos por </w:t>
      </w:r>
      <w:r w:rsidR="00095785">
        <w:rPr>
          <w:rFonts w:ascii="Arial" w:hAnsi="Arial" w:cs="Arial"/>
          <w:sz w:val="22"/>
          <w:szCs w:val="22"/>
          <w:lang w:val="es-ES_tradnl"/>
        </w:rPr>
        <w:t>NAFIN</w:t>
      </w:r>
      <w:r w:rsidR="00DB18CA">
        <w:rPr>
          <w:rFonts w:ascii="Arial" w:hAnsi="Arial" w:cs="Arial"/>
          <w:sz w:val="22"/>
          <w:szCs w:val="22"/>
          <w:lang w:val="es-ES_tradnl"/>
        </w:rPr>
        <w:t xml:space="preserve"> a través de los informes semestrales y final, para su posterior análisis y evaluación por parte del BID </w:t>
      </w:r>
      <w:r w:rsidR="00EF6922">
        <w:rPr>
          <w:rFonts w:ascii="Arial" w:hAnsi="Arial" w:cs="Arial"/>
          <w:sz w:val="22"/>
          <w:szCs w:val="22"/>
          <w:lang w:val="es-ES_tradnl"/>
        </w:rPr>
        <w:t>durante la elaboración del PCR</w:t>
      </w:r>
      <w:r w:rsidR="00DB18CA">
        <w:rPr>
          <w:rFonts w:ascii="Arial" w:hAnsi="Arial" w:cs="Arial"/>
          <w:sz w:val="22"/>
          <w:szCs w:val="22"/>
          <w:lang w:val="es-ES_tradnl"/>
        </w:rPr>
        <w:t xml:space="preserve">. </w:t>
      </w:r>
      <w:r w:rsidRPr="007863DC">
        <w:rPr>
          <w:rFonts w:ascii="Arial" w:hAnsi="Arial" w:cs="Arial"/>
          <w:sz w:val="22"/>
          <w:szCs w:val="22"/>
          <w:lang w:val="es-ES_tradnl"/>
        </w:rPr>
        <w:t xml:space="preserve">Además, se buscará complementar la información anterior con </w:t>
      </w:r>
      <w:r w:rsidR="00675A3D" w:rsidRPr="007863DC">
        <w:rPr>
          <w:rFonts w:ascii="Arial" w:hAnsi="Arial" w:cs="Arial"/>
          <w:sz w:val="22"/>
          <w:szCs w:val="22"/>
          <w:lang w:val="es-ES_tradnl"/>
        </w:rPr>
        <w:t xml:space="preserve">series de </w:t>
      </w:r>
      <w:r w:rsidRPr="007863DC">
        <w:rPr>
          <w:rFonts w:ascii="Arial" w:hAnsi="Arial" w:cs="Arial"/>
          <w:sz w:val="22"/>
          <w:szCs w:val="22"/>
          <w:lang w:val="es-ES_tradnl"/>
        </w:rPr>
        <w:t xml:space="preserve">datos de fuentes secundarias, tales como </w:t>
      </w:r>
      <w:r w:rsidR="007863DC" w:rsidRPr="007863DC">
        <w:rPr>
          <w:rFonts w:ascii="Arial" w:hAnsi="Arial" w:cs="Arial"/>
          <w:sz w:val="22"/>
          <w:szCs w:val="22"/>
          <w:lang w:val="es-ES_tradnl"/>
        </w:rPr>
        <w:t xml:space="preserve">el </w:t>
      </w:r>
      <w:hyperlink r:id="rId30" w:history="1">
        <w:r w:rsidR="007863DC" w:rsidRPr="007863DC">
          <w:rPr>
            <w:rStyle w:val="Hyperlink"/>
            <w:rFonts w:ascii="Arial" w:hAnsi="Arial" w:cs="Arial"/>
            <w:sz w:val="22"/>
            <w:szCs w:val="22"/>
            <w:lang w:val="es-PE"/>
          </w:rPr>
          <w:t>Instituto Nacional de Estadística y Geografía (INEGI)</w:t>
        </w:r>
      </w:hyperlink>
      <w:r w:rsidR="00873605" w:rsidRPr="007863DC">
        <w:rPr>
          <w:rFonts w:ascii="Arial" w:hAnsi="Arial" w:cs="Arial"/>
          <w:sz w:val="22"/>
          <w:szCs w:val="22"/>
          <w:lang w:val="es-ES_tradnl"/>
        </w:rPr>
        <w:t xml:space="preserve"> y se podrá contar con </w:t>
      </w:r>
      <w:r w:rsidR="00DC4A8F" w:rsidRPr="007863DC">
        <w:rPr>
          <w:rFonts w:ascii="Arial" w:hAnsi="Arial" w:cs="Arial"/>
          <w:sz w:val="22"/>
          <w:szCs w:val="22"/>
          <w:lang w:val="es-ES_tradnl"/>
        </w:rPr>
        <w:t xml:space="preserve">información adicional derivada de encuestas realizadas a grupos </w:t>
      </w:r>
      <w:r w:rsidR="00C01758" w:rsidRPr="007863DC">
        <w:rPr>
          <w:rFonts w:ascii="Arial" w:hAnsi="Arial" w:cs="Arial"/>
          <w:sz w:val="22"/>
          <w:szCs w:val="22"/>
          <w:lang w:val="es-ES_tradnl"/>
        </w:rPr>
        <w:t>focales</w:t>
      </w:r>
      <w:r w:rsidR="00DC4A8F" w:rsidRPr="007863DC">
        <w:rPr>
          <w:rFonts w:ascii="Arial" w:hAnsi="Arial" w:cs="Arial"/>
          <w:sz w:val="22"/>
          <w:szCs w:val="22"/>
          <w:lang w:val="es-ES_tradnl"/>
        </w:rPr>
        <w:t>.</w:t>
      </w:r>
    </w:p>
    <w:p w14:paraId="7B40ACA5" w14:textId="60F782C6" w:rsidR="003E3F92" w:rsidRPr="001F731F" w:rsidRDefault="003E3F92" w:rsidP="004714E0">
      <w:pPr>
        <w:pStyle w:val="Paragraph"/>
        <w:numPr>
          <w:ilvl w:val="0"/>
          <w:numId w:val="0"/>
        </w:numPr>
        <w:spacing w:before="240"/>
        <w:ind w:left="720"/>
        <w:rPr>
          <w:rFonts w:ascii="Arial" w:hAnsi="Arial" w:cs="Arial"/>
          <w:b/>
          <w:bCs/>
          <w:sz w:val="22"/>
          <w:szCs w:val="22"/>
          <w:u w:val="single"/>
          <w:lang w:val="es-ES_tradnl"/>
        </w:rPr>
      </w:pPr>
      <w:r w:rsidRPr="001F731F">
        <w:rPr>
          <w:rFonts w:ascii="Arial" w:hAnsi="Arial" w:cs="Arial"/>
          <w:b/>
          <w:bCs/>
          <w:sz w:val="22"/>
          <w:szCs w:val="22"/>
          <w:u w:val="single"/>
          <w:lang w:val="es-ES_tradnl"/>
        </w:rPr>
        <w:t xml:space="preserve">Análisis </w:t>
      </w:r>
      <w:r w:rsidR="004972BB">
        <w:rPr>
          <w:rFonts w:ascii="Arial" w:hAnsi="Arial" w:cs="Arial"/>
          <w:b/>
          <w:bCs/>
          <w:sz w:val="22"/>
          <w:szCs w:val="22"/>
          <w:u w:val="single"/>
          <w:lang w:val="es-ES_tradnl"/>
        </w:rPr>
        <w:t>cualitativo</w:t>
      </w:r>
      <w:r w:rsidR="006B2147">
        <w:rPr>
          <w:rFonts w:ascii="Arial" w:hAnsi="Arial" w:cs="Arial"/>
          <w:b/>
          <w:bCs/>
          <w:sz w:val="22"/>
          <w:szCs w:val="22"/>
          <w:u w:val="single"/>
          <w:lang w:val="es-ES_tradnl"/>
        </w:rPr>
        <w:t xml:space="preserve"> y de cartera</w:t>
      </w:r>
      <w:r w:rsidR="006D1EFD">
        <w:rPr>
          <w:rFonts w:ascii="Arial" w:hAnsi="Arial" w:cs="Arial"/>
          <w:b/>
          <w:bCs/>
          <w:sz w:val="22"/>
          <w:szCs w:val="22"/>
          <w:u w:val="single"/>
          <w:lang w:val="es-ES_tradnl"/>
        </w:rPr>
        <w:t xml:space="preserve"> de </w:t>
      </w:r>
      <w:r w:rsidR="00095785">
        <w:rPr>
          <w:rFonts w:ascii="Arial" w:hAnsi="Arial" w:cs="Arial"/>
          <w:b/>
          <w:bCs/>
          <w:sz w:val="22"/>
          <w:szCs w:val="22"/>
          <w:u w:val="single"/>
          <w:lang w:val="es-ES_tradnl"/>
        </w:rPr>
        <w:t>NAFIN</w:t>
      </w:r>
    </w:p>
    <w:p w14:paraId="3D5A0E77" w14:textId="5CA0227C" w:rsidR="003B1A9A" w:rsidRDefault="003B1A9A" w:rsidP="003B1A9A">
      <w:pPr>
        <w:pStyle w:val="Paragraph"/>
        <w:numPr>
          <w:ilvl w:val="1"/>
          <w:numId w:val="6"/>
        </w:numPr>
        <w:ind w:hanging="540"/>
        <w:rPr>
          <w:rFonts w:ascii="Arial" w:hAnsi="Arial" w:cs="Arial"/>
          <w:sz w:val="22"/>
          <w:szCs w:val="22"/>
          <w:lang w:val="es-ES_tradnl"/>
        </w:rPr>
      </w:pPr>
      <w:r>
        <w:rPr>
          <w:rFonts w:ascii="Arial" w:hAnsi="Arial" w:cs="Arial"/>
          <w:sz w:val="22"/>
          <w:szCs w:val="22"/>
          <w:lang w:val="es-ES_tradnl"/>
        </w:rPr>
        <w:t>Dentro de la propuesta de análisis cualitativo que se incluirá en el PCR, se busca contestar a las siguientes preguntas: (i) cuáles fueron las principales debilidades y los retos encontrados para la ejecución del proyecto; (ii) cuáles fueron las medidas implementadas para subsanar las debilidades y retos de ejecución; y (iii) qué lecciones aprendidas y propuestas se generaron de la ejecución del proyecto.</w:t>
      </w:r>
    </w:p>
    <w:p w14:paraId="47E94F9D" w14:textId="3ADDEE71" w:rsidR="006B2147" w:rsidRDefault="006B2147" w:rsidP="003B1A9A">
      <w:pPr>
        <w:pStyle w:val="Paragraph"/>
        <w:numPr>
          <w:ilvl w:val="1"/>
          <w:numId w:val="6"/>
        </w:numPr>
        <w:ind w:hanging="540"/>
        <w:rPr>
          <w:rFonts w:ascii="Arial" w:hAnsi="Arial" w:cs="Arial"/>
          <w:sz w:val="22"/>
          <w:szCs w:val="22"/>
          <w:lang w:val="es-ES_tradnl"/>
        </w:rPr>
      </w:pPr>
      <w:r>
        <w:rPr>
          <w:rFonts w:ascii="Arial" w:hAnsi="Arial" w:cs="Arial"/>
          <w:sz w:val="22"/>
          <w:szCs w:val="22"/>
          <w:lang w:val="es-ES_tradnl"/>
        </w:rPr>
        <w:lastRenderedPageBreak/>
        <w:t>Adicionalmente, se realizar</w:t>
      </w:r>
      <w:r w:rsidRPr="006B2147">
        <w:rPr>
          <w:rFonts w:ascii="Arial" w:hAnsi="Arial" w:cs="Arial"/>
          <w:sz w:val="22"/>
          <w:szCs w:val="22"/>
          <w:lang w:val="es-PE"/>
        </w:rPr>
        <w:t xml:space="preserve">á un </w:t>
      </w:r>
      <w:r>
        <w:rPr>
          <w:rFonts w:ascii="Arial" w:hAnsi="Arial" w:cs="Arial"/>
          <w:sz w:val="22"/>
          <w:szCs w:val="22"/>
          <w:lang w:val="es-PE"/>
        </w:rPr>
        <w:t xml:space="preserve">análisis de la cartera de financiamiento de </w:t>
      </w:r>
      <w:r w:rsidR="00095785">
        <w:rPr>
          <w:rFonts w:ascii="Arial" w:hAnsi="Arial" w:cs="Arial"/>
          <w:sz w:val="22"/>
          <w:szCs w:val="22"/>
          <w:lang w:val="es-PE"/>
        </w:rPr>
        <w:t>NAFIN</w:t>
      </w:r>
      <w:r>
        <w:rPr>
          <w:rFonts w:ascii="Arial" w:hAnsi="Arial" w:cs="Arial"/>
          <w:sz w:val="22"/>
          <w:szCs w:val="22"/>
          <w:lang w:val="es-PE"/>
        </w:rPr>
        <w:t xml:space="preserve"> relevante al programa, a fin de determinar la adicionalidad del programa sobre la gestión normal de los recursos de la institución. Con ello, se busca complementar la evaluación, usando evidencia para determinar posibles impactos de los recursos del programa sobre la evolución de los créditos otorgados y sobre la eficiencia general del uso de los recursos.</w:t>
      </w:r>
    </w:p>
    <w:p w14:paraId="4612AE93" w14:textId="3A480B69" w:rsidR="006D1EFD" w:rsidRDefault="002C7253" w:rsidP="00057ED3">
      <w:pPr>
        <w:pStyle w:val="Paragraph"/>
        <w:numPr>
          <w:ilvl w:val="1"/>
          <w:numId w:val="6"/>
        </w:numPr>
        <w:ind w:hanging="540"/>
        <w:rPr>
          <w:rFonts w:ascii="Arial" w:hAnsi="Arial" w:cs="Arial"/>
          <w:sz w:val="22"/>
          <w:szCs w:val="22"/>
          <w:lang w:val="es-ES_tradnl"/>
        </w:rPr>
      </w:pPr>
      <w:r w:rsidRPr="002C7253">
        <w:rPr>
          <w:rFonts w:ascii="Arial" w:hAnsi="Arial" w:cs="Arial"/>
          <w:b/>
          <w:bCs/>
          <w:sz w:val="22"/>
          <w:szCs w:val="22"/>
          <w:lang w:val="es-ES_tradnl"/>
        </w:rPr>
        <w:t>Presupuesto</w:t>
      </w:r>
      <w:r w:rsidRPr="006A5189">
        <w:rPr>
          <w:rFonts w:ascii="Arial" w:hAnsi="Arial" w:cs="Arial"/>
          <w:b/>
          <w:bCs/>
          <w:sz w:val="22"/>
          <w:szCs w:val="22"/>
          <w:lang w:val="es-ES_tradnl"/>
        </w:rPr>
        <w:t>.</w:t>
      </w:r>
      <w:r w:rsidR="00751B12">
        <w:rPr>
          <w:rFonts w:ascii="Arial" w:hAnsi="Arial" w:cs="Arial"/>
          <w:sz w:val="22"/>
          <w:szCs w:val="22"/>
          <w:lang w:val="es-ES_tradnl"/>
        </w:rPr>
        <w:t xml:space="preserve"> Lo</w:t>
      </w:r>
      <w:r w:rsidR="00A66C41" w:rsidRPr="000F3CBA">
        <w:rPr>
          <w:rFonts w:ascii="Arial" w:hAnsi="Arial" w:cs="Arial"/>
          <w:sz w:val="22"/>
          <w:szCs w:val="22"/>
          <w:lang w:val="es-ES_tradnl"/>
        </w:rPr>
        <w:t>s datos relevantes para desarrollar esta metodología se derivan del curso normal de la operación</w:t>
      </w:r>
      <w:r w:rsidR="00751B12">
        <w:rPr>
          <w:rFonts w:ascii="Arial" w:hAnsi="Arial" w:cs="Arial"/>
          <w:sz w:val="22"/>
          <w:szCs w:val="22"/>
          <w:lang w:val="es-ES_tradnl"/>
        </w:rPr>
        <w:t xml:space="preserve"> y deberán </w:t>
      </w:r>
      <w:r w:rsidR="00751B12" w:rsidRPr="001F731F">
        <w:rPr>
          <w:rFonts w:ascii="Arial" w:hAnsi="Arial" w:cs="Arial"/>
          <w:bCs/>
          <w:sz w:val="22"/>
          <w:szCs w:val="22"/>
          <w:lang w:val="es-ES_tradnl"/>
        </w:rPr>
        <w:t>ser recogid</w:t>
      </w:r>
      <w:r w:rsidR="00751B12">
        <w:rPr>
          <w:rFonts w:ascii="Arial" w:hAnsi="Arial" w:cs="Arial"/>
          <w:bCs/>
          <w:sz w:val="22"/>
          <w:szCs w:val="22"/>
          <w:lang w:val="es-ES_tradnl"/>
        </w:rPr>
        <w:t>os</w:t>
      </w:r>
      <w:r w:rsidR="00751B12" w:rsidRPr="001F731F">
        <w:rPr>
          <w:rFonts w:ascii="Arial" w:hAnsi="Arial" w:cs="Arial"/>
          <w:bCs/>
          <w:sz w:val="22"/>
          <w:szCs w:val="22"/>
          <w:lang w:val="es-ES_tradnl"/>
        </w:rPr>
        <w:t xml:space="preserve"> por </w:t>
      </w:r>
      <w:r w:rsidR="00095785">
        <w:rPr>
          <w:rFonts w:ascii="Arial" w:hAnsi="Arial" w:cs="Arial"/>
          <w:bCs/>
          <w:sz w:val="22"/>
          <w:szCs w:val="22"/>
          <w:lang w:val="es-ES_tradnl"/>
        </w:rPr>
        <w:t>NAFIN</w:t>
      </w:r>
      <w:r w:rsidR="00751B12">
        <w:rPr>
          <w:rFonts w:ascii="Arial" w:hAnsi="Arial" w:cs="Arial"/>
          <w:bCs/>
          <w:sz w:val="22"/>
          <w:szCs w:val="22"/>
          <w:lang w:val="es-ES_tradnl"/>
        </w:rPr>
        <w:t xml:space="preserve"> como parte </w:t>
      </w:r>
      <w:r w:rsidR="00751B12" w:rsidRPr="001F731F">
        <w:rPr>
          <w:rFonts w:ascii="Arial" w:hAnsi="Arial" w:cs="Arial"/>
          <w:bCs/>
          <w:sz w:val="22"/>
          <w:szCs w:val="22"/>
          <w:lang w:val="es-ES_tradnl"/>
        </w:rPr>
        <w:t>del procedimiento</w:t>
      </w:r>
      <w:r w:rsidR="006D1EFD">
        <w:rPr>
          <w:rFonts w:ascii="Arial" w:hAnsi="Arial" w:cs="Arial"/>
          <w:bCs/>
          <w:sz w:val="22"/>
          <w:szCs w:val="22"/>
          <w:lang w:val="es-ES_tradnl"/>
        </w:rPr>
        <w:t xml:space="preserve"> de monitoreo</w:t>
      </w:r>
      <w:r w:rsidR="00751B12" w:rsidRPr="001F731F">
        <w:rPr>
          <w:rFonts w:ascii="Arial" w:hAnsi="Arial" w:cs="Arial"/>
          <w:bCs/>
          <w:sz w:val="22"/>
          <w:szCs w:val="22"/>
          <w:lang w:val="es-ES_tradnl"/>
        </w:rPr>
        <w:t xml:space="preserve"> </w:t>
      </w:r>
      <w:r w:rsidR="00751B12">
        <w:rPr>
          <w:rFonts w:ascii="Arial" w:hAnsi="Arial" w:cs="Arial"/>
          <w:bCs/>
          <w:sz w:val="22"/>
          <w:szCs w:val="22"/>
          <w:lang w:val="es-ES_tradnl"/>
        </w:rPr>
        <w:t>establecido</w:t>
      </w:r>
      <w:r w:rsidR="00751B12" w:rsidRPr="001F731F">
        <w:rPr>
          <w:rFonts w:ascii="Arial" w:hAnsi="Arial" w:cs="Arial"/>
          <w:bCs/>
          <w:sz w:val="22"/>
          <w:szCs w:val="22"/>
          <w:lang w:val="es-ES_tradnl"/>
        </w:rPr>
        <w:t xml:space="preserve"> en </w:t>
      </w:r>
      <w:r w:rsidR="006D1EFD">
        <w:rPr>
          <w:rFonts w:ascii="Arial" w:hAnsi="Arial" w:cs="Arial"/>
          <w:bCs/>
          <w:sz w:val="22"/>
          <w:szCs w:val="22"/>
          <w:lang w:val="es-ES_tradnl"/>
        </w:rPr>
        <w:t>la sección II de este plan y en el</w:t>
      </w:r>
      <w:r w:rsidR="00751B12" w:rsidRPr="001F731F">
        <w:rPr>
          <w:rFonts w:ascii="Arial" w:hAnsi="Arial" w:cs="Arial"/>
          <w:bCs/>
          <w:sz w:val="22"/>
          <w:szCs w:val="22"/>
          <w:lang w:val="es-ES_tradnl"/>
        </w:rPr>
        <w:t xml:space="preserve"> </w:t>
      </w:r>
      <w:hyperlink r:id="rId31" w:history="1">
        <w:r w:rsidR="005572D2" w:rsidRPr="005572D2">
          <w:rPr>
            <w:rStyle w:val="Hyperlink"/>
            <w:rFonts w:ascii="Arial" w:eastAsiaTheme="minorEastAsia" w:hAnsi="Arial" w:cs="Arial"/>
            <w:sz w:val="22"/>
            <w:lang w:val="es-CO"/>
          </w:rPr>
          <w:t>ROP</w:t>
        </w:r>
      </w:hyperlink>
      <w:r w:rsidR="006D1EFD">
        <w:rPr>
          <w:rStyle w:val="FootnoteReference"/>
          <w:rFonts w:ascii="Arial" w:hAnsi="Arial" w:cs="Arial"/>
          <w:sz w:val="22"/>
          <w:szCs w:val="22"/>
          <w:lang w:val="es-ES_tradnl"/>
        </w:rPr>
        <w:footnoteReference w:id="30"/>
      </w:r>
      <w:r w:rsidR="00FD0C4A">
        <w:rPr>
          <w:rFonts w:ascii="Arial" w:hAnsi="Arial" w:cs="Arial"/>
          <w:sz w:val="22"/>
          <w:szCs w:val="22"/>
          <w:lang w:val="es-ES_tradnl"/>
        </w:rPr>
        <w:t>.</w:t>
      </w:r>
      <w:r w:rsidR="00A66C41" w:rsidRPr="000F3CBA">
        <w:rPr>
          <w:rFonts w:ascii="Arial" w:hAnsi="Arial" w:cs="Arial"/>
          <w:sz w:val="22"/>
          <w:szCs w:val="22"/>
          <w:lang w:val="es-ES_tradnl"/>
        </w:rPr>
        <w:t xml:space="preserve"> </w:t>
      </w:r>
      <w:r w:rsidR="006D1EFD" w:rsidRPr="001F731F">
        <w:rPr>
          <w:rFonts w:ascii="Arial" w:hAnsi="Arial" w:cs="Arial"/>
          <w:sz w:val="22"/>
          <w:szCs w:val="22"/>
          <w:lang w:val="es-ES_tradnl"/>
        </w:rPr>
        <w:t>Entrarían pues estas responsabilidades dentro de lo previsto en el seguimiento técnico del programa y cumplimiento de los principales hitos, así como la existencia de eventuales desvíos entre las actividades programadas y ejecutadas.</w:t>
      </w:r>
    </w:p>
    <w:p w14:paraId="4B4F7B0C" w14:textId="3860AB74" w:rsidR="006D1EFD" w:rsidRDefault="00751B12" w:rsidP="00751B12">
      <w:pPr>
        <w:pStyle w:val="Paragraph"/>
        <w:numPr>
          <w:ilvl w:val="1"/>
          <w:numId w:val="6"/>
        </w:numPr>
        <w:ind w:hanging="540"/>
        <w:rPr>
          <w:rFonts w:ascii="Arial" w:hAnsi="Arial" w:cs="Arial"/>
          <w:sz w:val="22"/>
          <w:szCs w:val="22"/>
          <w:lang w:val="es-ES_tradnl"/>
        </w:rPr>
      </w:pPr>
      <w:r w:rsidRPr="001F731F">
        <w:rPr>
          <w:rFonts w:ascii="Arial" w:hAnsi="Arial" w:cs="Arial"/>
          <w:sz w:val="22"/>
          <w:szCs w:val="22"/>
          <w:lang w:val="es-ES_tradnl"/>
        </w:rPr>
        <w:t xml:space="preserve">Dadas las características de la evaluación propuesta, que se basa en información a recopilar durante la ejecución normal de este programa, </w:t>
      </w:r>
      <w:r w:rsidR="006D1EFD">
        <w:rPr>
          <w:rFonts w:ascii="Arial" w:hAnsi="Arial" w:cs="Arial"/>
          <w:sz w:val="22"/>
          <w:szCs w:val="22"/>
          <w:lang w:val="es-ES_tradnl"/>
        </w:rPr>
        <w:t>l</w:t>
      </w:r>
      <w:r w:rsidR="006D1EFD" w:rsidRPr="001F731F">
        <w:rPr>
          <w:rFonts w:ascii="Arial" w:hAnsi="Arial" w:cs="Arial"/>
          <w:sz w:val="22"/>
          <w:szCs w:val="22"/>
          <w:lang w:val="es-ES_tradnl"/>
        </w:rPr>
        <w:t xml:space="preserve">os costos del personal del </w:t>
      </w:r>
      <w:r w:rsidR="006D1EFD">
        <w:rPr>
          <w:rFonts w:ascii="Arial" w:hAnsi="Arial" w:cs="Arial"/>
          <w:sz w:val="22"/>
          <w:szCs w:val="22"/>
          <w:lang w:val="es-ES_tradnl"/>
        </w:rPr>
        <w:t>Banco</w:t>
      </w:r>
      <w:r w:rsidR="006D1EFD" w:rsidRPr="001F731F">
        <w:rPr>
          <w:rFonts w:ascii="Arial" w:hAnsi="Arial" w:cs="Arial"/>
          <w:sz w:val="22"/>
          <w:szCs w:val="22"/>
          <w:lang w:val="es-ES_tradnl"/>
        </w:rPr>
        <w:t xml:space="preserve"> y de</w:t>
      </w:r>
      <w:r w:rsidR="006D1EFD">
        <w:rPr>
          <w:rFonts w:ascii="Arial" w:hAnsi="Arial" w:cs="Arial"/>
          <w:sz w:val="22"/>
          <w:szCs w:val="22"/>
          <w:lang w:val="es-ES_tradnl"/>
        </w:rPr>
        <w:t xml:space="preserve"> </w:t>
      </w:r>
      <w:r w:rsidR="00095785">
        <w:rPr>
          <w:rFonts w:ascii="Arial" w:hAnsi="Arial" w:cs="Arial"/>
          <w:sz w:val="22"/>
          <w:szCs w:val="22"/>
          <w:lang w:val="es-ES_tradnl"/>
        </w:rPr>
        <w:t>NAFIN</w:t>
      </w:r>
      <w:r w:rsidR="006D1EFD">
        <w:rPr>
          <w:rFonts w:ascii="Arial" w:hAnsi="Arial" w:cs="Arial"/>
          <w:sz w:val="22"/>
          <w:szCs w:val="22"/>
          <w:lang w:val="es-ES_tradnl"/>
        </w:rPr>
        <w:t xml:space="preserve"> </w:t>
      </w:r>
      <w:r w:rsidR="006D1EFD" w:rsidRPr="001F731F">
        <w:rPr>
          <w:rFonts w:ascii="Arial" w:hAnsi="Arial" w:cs="Arial"/>
          <w:sz w:val="22"/>
          <w:szCs w:val="22"/>
          <w:lang w:val="es-ES_tradnl"/>
        </w:rPr>
        <w:t>involucrado</w:t>
      </w:r>
      <w:r w:rsidR="006D1EFD">
        <w:rPr>
          <w:rFonts w:ascii="Arial" w:hAnsi="Arial" w:cs="Arial"/>
          <w:sz w:val="22"/>
          <w:szCs w:val="22"/>
          <w:lang w:val="es-ES_tradnl"/>
        </w:rPr>
        <w:t>s</w:t>
      </w:r>
      <w:r w:rsidR="006D1EFD" w:rsidRPr="001F731F">
        <w:rPr>
          <w:rFonts w:ascii="Arial" w:hAnsi="Arial" w:cs="Arial"/>
          <w:sz w:val="22"/>
          <w:szCs w:val="22"/>
          <w:lang w:val="es-ES_tradnl"/>
        </w:rPr>
        <w:t xml:space="preserve"> en el equipo de trabajo serán cubiertos por los costos regulares de operación y administración de ambas instituciones, sin requerir un presupuesto adicional para este fin.</w:t>
      </w:r>
      <w:r w:rsidR="006D1EFD" w:rsidRPr="006D1EFD">
        <w:rPr>
          <w:rFonts w:ascii="Arial" w:hAnsi="Arial" w:cs="Arial"/>
          <w:sz w:val="22"/>
          <w:szCs w:val="22"/>
          <w:lang w:val="es-ES_tradnl"/>
        </w:rPr>
        <w:t xml:space="preserve"> </w:t>
      </w:r>
      <w:r w:rsidR="00095785">
        <w:rPr>
          <w:rFonts w:ascii="Arial" w:hAnsi="Arial" w:cs="Arial"/>
          <w:sz w:val="22"/>
          <w:szCs w:val="22"/>
          <w:lang w:val="es-ES_tradnl"/>
        </w:rPr>
        <w:t>NAFIN</w:t>
      </w:r>
      <w:r w:rsidR="006D1EFD">
        <w:rPr>
          <w:rFonts w:ascii="Arial" w:hAnsi="Arial" w:cs="Arial"/>
          <w:sz w:val="22"/>
          <w:szCs w:val="22"/>
          <w:lang w:val="es-ES_tradnl"/>
        </w:rPr>
        <w:t xml:space="preserve"> ha demostrado su capacidad para realizar las actividades descritas en este plan a través de la ejecución de operaciones anteriores con el Banco, además de su participación activa en iniciativas para la mejora de sus sistemas internos de medición de resultados y evaluaciones de impacto.</w:t>
      </w:r>
    </w:p>
    <w:p w14:paraId="5739E6DF" w14:textId="7CBBCA5E" w:rsidR="00A66C41" w:rsidRDefault="006D1EFD" w:rsidP="00751B12">
      <w:pPr>
        <w:pStyle w:val="Paragraph"/>
        <w:numPr>
          <w:ilvl w:val="1"/>
          <w:numId w:val="6"/>
        </w:numPr>
        <w:ind w:hanging="540"/>
        <w:rPr>
          <w:rFonts w:ascii="Arial" w:hAnsi="Arial" w:cs="Arial"/>
          <w:sz w:val="22"/>
          <w:szCs w:val="22"/>
          <w:lang w:val="es-ES_tradnl"/>
        </w:rPr>
      </w:pPr>
      <w:r>
        <w:rPr>
          <w:rFonts w:ascii="Arial" w:hAnsi="Arial" w:cs="Arial"/>
          <w:sz w:val="22"/>
          <w:szCs w:val="22"/>
          <w:lang w:val="es-ES_tradnl"/>
        </w:rPr>
        <w:t xml:space="preserve">Se considera que </w:t>
      </w:r>
      <w:r w:rsidR="00751B12" w:rsidRPr="001F731F">
        <w:rPr>
          <w:rFonts w:ascii="Arial" w:hAnsi="Arial" w:cs="Arial"/>
          <w:sz w:val="22"/>
          <w:szCs w:val="22"/>
          <w:lang w:val="es-ES_tradnl"/>
        </w:rPr>
        <w:t>el único recurso relevante a considerar para la realización de</w:t>
      </w:r>
      <w:r>
        <w:rPr>
          <w:rFonts w:ascii="Arial" w:hAnsi="Arial" w:cs="Arial"/>
          <w:sz w:val="22"/>
          <w:szCs w:val="22"/>
          <w:lang w:val="es-ES_tradnl"/>
        </w:rPr>
        <w:t xml:space="preserve">l plan propuesto </w:t>
      </w:r>
      <w:r w:rsidR="00751B12" w:rsidRPr="001F731F">
        <w:rPr>
          <w:rFonts w:ascii="Arial" w:hAnsi="Arial" w:cs="Arial"/>
          <w:sz w:val="22"/>
          <w:szCs w:val="22"/>
          <w:lang w:val="es-ES_tradnl"/>
        </w:rPr>
        <w:t>será el de un consultor dedicado al análisis y procesamiento de la información y la elaboración de los reportes.</w:t>
      </w:r>
      <w:r>
        <w:rPr>
          <w:rFonts w:ascii="Arial" w:hAnsi="Arial" w:cs="Arial"/>
          <w:sz w:val="22"/>
          <w:szCs w:val="22"/>
          <w:lang w:val="es-ES_tradnl"/>
        </w:rPr>
        <w:t xml:space="preserve"> </w:t>
      </w:r>
      <w:r w:rsidR="00A66C41" w:rsidRPr="000F3CBA">
        <w:rPr>
          <w:rFonts w:ascii="Arial" w:hAnsi="Arial" w:cs="Arial"/>
          <w:sz w:val="22"/>
          <w:szCs w:val="22"/>
          <w:lang w:val="es-ES_tradnl"/>
        </w:rPr>
        <w:t>En este sentido</w:t>
      </w:r>
      <w:r>
        <w:rPr>
          <w:rFonts w:ascii="Arial" w:hAnsi="Arial" w:cs="Arial"/>
          <w:sz w:val="22"/>
          <w:szCs w:val="22"/>
          <w:lang w:val="es-ES_tradnl"/>
        </w:rPr>
        <w:t>,</w:t>
      </w:r>
      <w:r w:rsidR="00A66C41" w:rsidRPr="000F3CBA">
        <w:rPr>
          <w:rFonts w:ascii="Arial" w:hAnsi="Arial" w:cs="Arial"/>
          <w:sz w:val="22"/>
          <w:szCs w:val="22"/>
          <w:lang w:val="es-ES_tradnl"/>
        </w:rPr>
        <w:t xml:space="preserve"> el presupuesto ser</w:t>
      </w:r>
      <w:r w:rsidR="00A66C41">
        <w:rPr>
          <w:rFonts w:ascii="Arial" w:hAnsi="Arial" w:cs="Arial"/>
          <w:sz w:val="22"/>
          <w:szCs w:val="22"/>
          <w:lang w:val="es-ES_tradnl"/>
        </w:rPr>
        <w:t>í</w:t>
      </w:r>
      <w:r w:rsidR="00A66C41" w:rsidRPr="000F3CBA">
        <w:rPr>
          <w:rFonts w:ascii="Arial" w:hAnsi="Arial" w:cs="Arial"/>
          <w:sz w:val="22"/>
          <w:szCs w:val="22"/>
          <w:lang w:val="es-ES_tradnl"/>
        </w:rPr>
        <w:t>a organizado en torno al trabajo de un consultor por duración aproximada de un mes, incluyendo provisiones de desplazamiento para la realización de entrevistas en los casos necesarios. Así, se estima un presupuesto de unos US$</w:t>
      </w:r>
      <w:r w:rsidR="00042F2D">
        <w:rPr>
          <w:rFonts w:ascii="Arial" w:hAnsi="Arial" w:cs="Arial"/>
          <w:sz w:val="22"/>
          <w:szCs w:val="22"/>
          <w:lang w:val="es-ES_tradnl"/>
        </w:rPr>
        <w:t>24,000</w:t>
      </w:r>
      <w:r w:rsidR="00A66C41" w:rsidRPr="000F3CBA">
        <w:rPr>
          <w:rFonts w:ascii="Arial" w:hAnsi="Arial" w:cs="Arial"/>
          <w:sz w:val="22"/>
          <w:szCs w:val="22"/>
          <w:lang w:val="es-ES_tradnl"/>
        </w:rPr>
        <w:t xml:space="preserve"> de trabajo para el consultor, alcanzando un total máximo de US$</w:t>
      </w:r>
      <w:r w:rsidR="00042F2D">
        <w:rPr>
          <w:rFonts w:ascii="Arial" w:hAnsi="Arial" w:cs="Arial"/>
          <w:sz w:val="22"/>
          <w:szCs w:val="22"/>
          <w:lang w:val="es-ES_tradnl"/>
        </w:rPr>
        <w:t>26,000</w:t>
      </w:r>
      <w:r w:rsidR="00A66C41" w:rsidRPr="000F3CBA">
        <w:rPr>
          <w:rFonts w:ascii="Arial" w:hAnsi="Arial" w:cs="Arial"/>
          <w:sz w:val="22"/>
          <w:szCs w:val="22"/>
          <w:lang w:val="es-ES_tradnl"/>
        </w:rPr>
        <w:t xml:space="preserve"> al incluir las provisiones por desplazamiento</w:t>
      </w:r>
      <w:r w:rsidR="002C7253">
        <w:rPr>
          <w:rFonts w:ascii="Arial" w:hAnsi="Arial" w:cs="Arial"/>
          <w:sz w:val="22"/>
          <w:szCs w:val="22"/>
          <w:lang w:val="es-ES_tradnl"/>
        </w:rPr>
        <w:t>.</w:t>
      </w:r>
    </w:p>
    <w:p w14:paraId="264D821D" w14:textId="53AB326A" w:rsidR="002C7253" w:rsidRPr="00B93FB1" w:rsidRDefault="002C7253" w:rsidP="00A66C41">
      <w:pPr>
        <w:pStyle w:val="Paragraph"/>
        <w:numPr>
          <w:ilvl w:val="1"/>
          <w:numId w:val="6"/>
        </w:numPr>
        <w:ind w:hanging="540"/>
        <w:rPr>
          <w:rFonts w:ascii="Arial" w:hAnsi="Arial" w:cs="Arial"/>
          <w:sz w:val="22"/>
          <w:szCs w:val="22"/>
          <w:lang w:val="es-ES_tradnl"/>
        </w:rPr>
      </w:pPr>
      <w:r>
        <w:rPr>
          <w:rFonts w:ascii="Arial" w:hAnsi="Arial" w:cs="Arial"/>
          <w:b/>
          <w:bCs/>
          <w:sz w:val="22"/>
          <w:szCs w:val="22"/>
          <w:lang w:val="es-ES_tradnl"/>
        </w:rPr>
        <w:t>Plazo</w:t>
      </w:r>
      <w:r w:rsidRPr="006A5189">
        <w:rPr>
          <w:rFonts w:ascii="Arial" w:hAnsi="Arial" w:cs="Arial"/>
          <w:b/>
          <w:bCs/>
          <w:sz w:val="22"/>
          <w:szCs w:val="22"/>
          <w:lang w:val="es-ES_tradnl"/>
        </w:rPr>
        <w:t>.</w:t>
      </w:r>
      <w:r>
        <w:rPr>
          <w:rFonts w:ascii="Arial" w:hAnsi="Arial" w:cs="Arial"/>
          <w:sz w:val="22"/>
          <w:szCs w:val="22"/>
          <w:lang w:val="es-ES_tradnl"/>
        </w:rPr>
        <w:t xml:space="preserve"> Se espera incluir </w:t>
      </w:r>
      <w:r w:rsidR="00042F2D">
        <w:rPr>
          <w:rFonts w:ascii="Arial" w:hAnsi="Arial" w:cs="Arial"/>
          <w:sz w:val="22"/>
          <w:szCs w:val="22"/>
          <w:lang w:val="es-ES_tradnl"/>
        </w:rPr>
        <w:t xml:space="preserve">los </w:t>
      </w:r>
      <w:r w:rsidR="006B2147">
        <w:rPr>
          <w:rFonts w:ascii="Arial" w:hAnsi="Arial" w:cs="Arial"/>
          <w:sz w:val="22"/>
          <w:szCs w:val="22"/>
          <w:lang w:val="es-ES_tradnl"/>
        </w:rPr>
        <w:t>análisis descritos en esta sección</w:t>
      </w:r>
      <w:r>
        <w:rPr>
          <w:rFonts w:ascii="Arial" w:hAnsi="Arial" w:cs="Arial"/>
          <w:sz w:val="22"/>
          <w:szCs w:val="22"/>
          <w:lang w:val="es-ES_tradnl"/>
        </w:rPr>
        <w:t xml:space="preserve"> en la realización del PCR,</w:t>
      </w:r>
      <w:r w:rsidR="006B2147" w:rsidRPr="006B2147">
        <w:rPr>
          <w:rFonts w:ascii="Arial" w:hAnsi="Arial" w:cs="Arial"/>
          <w:bCs/>
          <w:sz w:val="22"/>
          <w:szCs w:val="22"/>
          <w:lang w:val="es-ES_tradnl"/>
        </w:rPr>
        <w:t xml:space="preserve"> </w:t>
      </w:r>
      <w:r w:rsidR="006B2147" w:rsidRPr="001F731F">
        <w:rPr>
          <w:rFonts w:ascii="Arial" w:hAnsi="Arial" w:cs="Arial"/>
          <w:bCs/>
          <w:sz w:val="22"/>
          <w:szCs w:val="22"/>
          <w:lang w:val="es-ES_tradnl"/>
        </w:rPr>
        <w:t xml:space="preserve">a ser completado en un plazo no mayor a 6 meses luego de alcanzar 100% de los desembolsos totales. </w:t>
      </w:r>
      <w:r w:rsidR="006B2147">
        <w:rPr>
          <w:rFonts w:ascii="Arial" w:hAnsi="Arial" w:cs="Arial"/>
          <w:bCs/>
          <w:sz w:val="22"/>
          <w:szCs w:val="22"/>
          <w:lang w:val="es-ES_tradnl"/>
        </w:rPr>
        <w:t>Como parte de la ejecución del programa, siguiendo la práctica habitual del BID, s</w:t>
      </w:r>
      <w:r w:rsidR="006B2147" w:rsidRPr="004054F9">
        <w:rPr>
          <w:rFonts w:ascii="Arial" w:hAnsi="Arial" w:cs="Arial"/>
          <w:bCs/>
          <w:sz w:val="22"/>
          <w:szCs w:val="22"/>
          <w:lang w:val="es-ES_tradnl"/>
        </w:rPr>
        <w:t xml:space="preserve">e organizarán reuniones periódicas de seguimiento en las que podrá presentarse y discutirse la evolución de </w:t>
      </w:r>
      <w:r w:rsidR="006B2147">
        <w:rPr>
          <w:rFonts w:ascii="Arial" w:hAnsi="Arial" w:cs="Arial"/>
          <w:bCs/>
          <w:sz w:val="22"/>
          <w:szCs w:val="22"/>
          <w:lang w:val="es-ES_tradnl"/>
        </w:rPr>
        <w:t>la</w:t>
      </w:r>
      <w:r w:rsidR="006B2147" w:rsidRPr="004054F9">
        <w:rPr>
          <w:rFonts w:ascii="Arial" w:hAnsi="Arial" w:cs="Arial"/>
          <w:bCs/>
          <w:sz w:val="22"/>
          <w:szCs w:val="22"/>
          <w:lang w:val="es-ES_tradnl"/>
        </w:rPr>
        <w:t xml:space="preserve"> información</w:t>
      </w:r>
      <w:r w:rsidR="006B2147">
        <w:rPr>
          <w:rFonts w:ascii="Arial" w:hAnsi="Arial" w:cs="Arial"/>
          <w:bCs/>
          <w:sz w:val="22"/>
          <w:szCs w:val="22"/>
          <w:lang w:val="es-ES_tradnl"/>
        </w:rPr>
        <w:t xml:space="preserve"> de monitoreo del programa, que servirá para la elaboración de los análisis de evaluación ex post, a ser incluidos en e</w:t>
      </w:r>
      <w:r w:rsidR="006B2147" w:rsidRPr="004054F9">
        <w:rPr>
          <w:rFonts w:ascii="Arial" w:hAnsi="Arial" w:cs="Arial"/>
          <w:bCs/>
          <w:sz w:val="22"/>
          <w:szCs w:val="22"/>
          <w:lang w:val="es-ES_tradnl"/>
        </w:rPr>
        <w:t>l PCR</w:t>
      </w:r>
      <w:r w:rsidR="006B2147">
        <w:rPr>
          <w:rFonts w:ascii="Arial" w:hAnsi="Arial" w:cs="Arial"/>
          <w:bCs/>
          <w:sz w:val="22"/>
          <w:szCs w:val="22"/>
          <w:lang w:val="es-ES_tradnl"/>
        </w:rPr>
        <w:t>.</w:t>
      </w:r>
    </w:p>
    <w:p w14:paraId="3092B736" w14:textId="519564F9" w:rsidR="00B93FB1" w:rsidRPr="00982447" w:rsidRDefault="00B93FB1" w:rsidP="006A5189">
      <w:pPr>
        <w:spacing w:after="160" w:line="259" w:lineRule="auto"/>
        <w:jc w:val="center"/>
        <w:rPr>
          <w:rFonts w:ascii="Arial" w:hAnsi="Arial" w:cs="Arial"/>
          <w:b/>
          <w:sz w:val="18"/>
          <w:szCs w:val="18"/>
          <w:lang w:val="es-ES_tradnl"/>
        </w:rPr>
      </w:pPr>
      <w:r w:rsidRPr="00982447">
        <w:rPr>
          <w:rFonts w:ascii="Arial" w:hAnsi="Arial" w:cs="Arial"/>
          <w:b/>
          <w:sz w:val="18"/>
          <w:szCs w:val="18"/>
          <w:lang w:val="es-ES_tradnl"/>
        </w:rPr>
        <w:t>Cuadro 4. Plan de trabajo para las actividades de evaluación</w:t>
      </w:r>
    </w:p>
    <w:tbl>
      <w:tblPr>
        <w:tblW w:w="9360" w:type="dxa"/>
        <w:tblInd w:w="170" w:type="dxa"/>
        <w:tblLayout w:type="fixed"/>
        <w:tblLook w:val="04A0" w:firstRow="1" w:lastRow="0" w:firstColumn="1" w:lastColumn="0" w:noHBand="0" w:noVBand="1"/>
      </w:tblPr>
      <w:tblGrid>
        <w:gridCol w:w="1980"/>
        <w:gridCol w:w="540"/>
        <w:gridCol w:w="540"/>
        <w:gridCol w:w="3240"/>
        <w:gridCol w:w="900"/>
        <w:gridCol w:w="2160"/>
      </w:tblGrid>
      <w:tr w:rsidR="00855CB6" w:rsidRPr="00855CB6" w14:paraId="2F024B0F" w14:textId="77777777" w:rsidTr="00855CB6">
        <w:trPr>
          <w:trHeight w:hRule="exact" w:val="576"/>
          <w:tblHeader/>
        </w:trPr>
        <w:tc>
          <w:tcPr>
            <w:tcW w:w="1980" w:type="dxa"/>
            <w:tcBorders>
              <w:top w:val="single" w:sz="8" w:space="0" w:color="000000"/>
              <w:left w:val="single" w:sz="8" w:space="0" w:color="000000"/>
              <w:bottom w:val="single" w:sz="8" w:space="0" w:color="000000"/>
              <w:right w:val="single" w:sz="8" w:space="0" w:color="000000"/>
            </w:tcBorders>
            <w:shd w:val="clear" w:color="auto" w:fill="AEAAAA" w:themeFill="background2" w:themeFillShade="BF"/>
            <w:vAlign w:val="center"/>
            <w:hideMark/>
          </w:tcPr>
          <w:p w14:paraId="45C2FCA8" w14:textId="6B546340" w:rsidR="005B0889" w:rsidRPr="00855CB6" w:rsidRDefault="005B0889" w:rsidP="003F1317">
            <w:pPr>
              <w:rPr>
                <w:rFonts w:ascii="Arial" w:hAnsi="Arial" w:cs="Arial"/>
                <w:b/>
                <w:bCs/>
                <w:sz w:val="20"/>
                <w:lang w:val="es-ES"/>
              </w:rPr>
            </w:pPr>
            <w:r w:rsidRPr="00855CB6">
              <w:rPr>
                <w:rFonts w:ascii="Arial" w:hAnsi="Arial" w:cs="Arial"/>
                <w:b/>
                <w:bCs/>
                <w:sz w:val="20"/>
                <w:lang w:val="es-ES"/>
              </w:rPr>
              <w:t>Actividades y Productos</w:t>
            </w:r>
            <w:r w:rsidRPr="00855CB6">
              <w:rPr>
                <w:rStyle w:val="FootnoteReference"/>
                <w:rFonts w:ascii="Arial" w:hAnsi="Arial" w:cs="Arial"/>
                <w:b/>
                <w:bCs/>
                <w:sz w:val="20"/>
                <w:lang w:val="es-ES"/>
              </w:rPr>
              <w:footnoteReference w:id="31"/>
            </w:r>
          </w:p>
        </w:tc>
        <w:tc>
          <w:tcPr>
            <w:tcW w:w="540" w:type="dxa"/>
            <w:tcBorders>
              <w:top w:val="single" w:sz="8" w:space="0" w:color="000000"/>
              <w:left w:val="single" w:sz="8" w:space="0" w:color="000000"/>
              <w:bottom w:val="single" w:sz="8" w:space="0" w:color="000000"/>
              <w:right w:val="single" w:sz="8" w:space="0" w:color="000000"/>
            </w:tcBorders>
            <w:shd w:val="clear" w:color="auto" w:fill="AEAAAA" w:themeFill="background2" w:themeFillShade="BF"/>
            <w:vAlign w:val="center"/>
          </w:tcPr>
          <w:p w14:paraId="64639B2F" w14:textId="77777777" w:rsidR="005B0889" w:rsidRPr="00855CB6" w:rsidRDefault="005B0889" w:rsidP="004E271A">
            <w:pPr>
              <w:ind w:left="-19" w:right="-108"/>
              <w:jc w:val="center"/>
              <w:rPr>
                <w:rFonts w:ascii="Arial" w:hAnsi="Arial" w:cs="Arial"/>
                <w:b/>
                <w:bCs/>
                <w:sz w:val="20"/>
                <w:lang w:val="es-ES"/>
              </w:rPr>
            </w:pPr>
            <w:r w:rsidRPr="00855CB6">
              <w:rPr>
                <w:rFonts w:ascii="Arial" w:hAnsi="Arial" w:cs="Arial"/>
                <w:b/>
                <w:bCs/>
                <w:sz w:val="20"/>
                <w:lang w:val="es-ES"/>
              </w:rPr>
              <w:t>Año 1</w:t>
            </w:r>
          </w:p>
        </w:tc>
        <w:tc>
          <w:tcPr>
            <w:tcW w:w="540" w:type="dxa"/>
            <w:tcBorders>
              <w:top w:val="single" w:sz="8" w:space="0" w:color="000000"/>
              <w:left w:val="single" w:sz="8" w:space="0" w:color="000000"/>
              <w:bottom w:val="single" w:sz="8" w:space="0" w:color="000000"/>
              <w:right w:val="single" w:sz="8" w:space="0" w:color="000000"/>
            </w:tcBorders>
            <w:shd w:val="clear" w:color="auto" w:fill="AEAAAA" w:themeFill="background2" w:themeFillShade="BF"/>
          </w:tcPr>
          <w:p w14:paraId="2D4E2C7A" w14:textId="3711641D" w:rsidR="005B0889" w:rsidRPr="00855CB6" w:rsidRDefault="005B0889" w:rsidP="004E271A">
            <w:pPr>
              <w:ind w:left="-19" w:right="-108"/>
              <w:jc w:val="center"/>
              <w:rPr>
                <w:rFonts w:ascii="Arial" w:hAnsi="Arial" w:cs="Arial"/>
                <w:b/>
                <w:bCs/>
                <w:sz w:val="20"/>
                <w:lang w:val="es-ES"/>
              </w:rPr>
            </w:pPr>
            <w:r w:rsidRPr="00855CB6">
              <w:rPr>
                <w:rFonts w:ascii="Arial" w:hAnsi="Arial" w:cs="Arial"/>
                <w:b/>
                <w:bCs/>
                <w:sz w:val="20"/>
                <w:lang w:val="es-ES"/>
              </w:rPr>
              <w:t>Año 2</w:t>
            </w:r>
          </w:p>
        </w:tc>
        <w:tc>
          <w:tcPr>
            <w:tcW w:w="3240" w:type="dxa"/>
            <w:tcBorders>
              <w:top w:val="single" w:sz="8" w:space="0" w:color="000000"/>
              <w:left w:val="single" w:sz="8" w:space="0" w:color="000000"/>
              <w:bottom w:val="single" w:sz="8" w:space="0" w:color="000000"/>
              <w:right w:val="single" w:sz="8" w:space="0" w:color="000000"/>
            </w:tcBorders>
            <w:shd w:val="clear" w:color="auto" w:fill="AEAAAA" w:themeFill="background2" w:themeFillShade="BF"/>
            <w:vAlign w:val="center"/>
            <w:hideMark/>
          </w:tcPr>
          <w:p w14:paraId="6B5A6AD3" w14:textId="4EB5BE31" w:rsidR="005B0889" w:rsidRPr="00855CB6" w:rsidRDefault="005B0889" w:rsidP="004E271A">
            <w:pPr>
              <w:ind w:left="-104" w:right="-108"/>
              <w:jc w:val="center"/>
              <w:rPr>
                <w:rFonts w:ascii="Arial" w:hAnsi="Arial" w:cs="Arial"/>
                <w:b/>
                <w:bCs/>
                <w:sz w:val="20"/>
                <w:lang w:val="es-ES"/>
              </w:rPr>
            </w:pPr>
            <w:r w:rsidRPr="00855CB6">
              <w:rPr>
                <w:rFonts w:ascii="Arial" w:hAnsi="Arial" w:cs="Arial"/>
                <w:b/>
                <w:bCs/>
                <w:sz w:val="20"/>
                <w:lang w:val="es-ES"/>
              </w:rPr>
              <w:t>Responsable</w:t>
            </w:r>
          </w:p>
        </w:tc>
        <w:tc>
          <w:tcPr>
            <w:tcW w:w="900" w:type="dxa"/>
            <w:tcBorders>
              <w:top w:val="single" w:sz="8" w:space="0" w:color="000000"/>
              <w:left w:val="nil"/>
              <w:bottom w:val="single" w:sz="8" w:space="0" w:color="000000"/>
              <w:right w:val="single" w:sz="8" w:space="0" w:color="000000"/>
            </w:tcBorders>
            <w:shd w:val="clear" w:color="auto" w:fill="AEAAAA" w:themeFill="background2" w:themeFillShade="BF"/>
            <w:vAlign w:val="center"/>
            <w:hideMark/>
          </w:tcPr>
          <w:p w14:paraId="38D451CA" w14:textId="3FB05852" w:rsidR="005B0889" w:rsidRPr="00855CB6" w:rsidRDefault="005B0889" w:rsidP="004E271A">
            <w:pPr>
              <w:ind w:left="-106" w:right="-107"/>
              <w:jc w:val="center"/>
              <w:rPr>
                <w:rFonts w:ascii="Arial" w:hAnsi="Arial" w:cs="Arial"/>
                <w:b/>
                <w:bCs/>
                <w:sz w:val="20"/>
                <w:lang w:val="es-ES"/>
              </w:rPr>
            </w:pPr>
            <w:r w:rsidRPr="00855CB6">
              <w:rPr>
                <w:rFonts w:ascii="Arial" w:hAnsi="Arial" w:cs="Arial"/>
                <w:b/>
                <w:bCs/>
                <w:sz w:val="20"/>
                <w:lang w:val="es-ES"/>
              </w:rPr>
              <w:t xml:space="preserve">Costo US$ </w:t>
            </w:r>
            <w:r w:rsidRPr="00855CB6">
              <w:rPr>
                <w:rFonts w:ascii="Arial" w:hAnsi="Arial" w:cs="Arial"/>
                <w:b/>
                <w:bCs/>
                <w:sz w:val="18"/>
                <w:szCs w:val="18"/>
                <w:vertAlign w:val="superscript"/>
                <w:lang w:val="es-PE"/>
              </w:rPr>
              <w:t>[A]</w:t>
            </w:r>
          </w:p>
        </w:tc>
        <w:tc>
          <w:tcPr>
            <w:tcW w:w="2160" w:type="dxa"/>
            <w:tcBorders>
              <w:top w:val="single" w:sz="8" w:space="0" w:color="000000"/>
              <w:left w:val="single" w:sz="8" w:space="0" w:color="000000"/>
              <w:bottom w:val="single" w:sz="8" w:space="0" w:color="000000"/>
              <w:right w:val="single" w:sz="8" w:space="0" w:color="000000"/>
            </w:tcBorders>
            <w:shd w:val="clear" w:color="auto" w:fill="AEAAAA" w:themeFill="background2" w:themeFillShade="BF"/>
            <w:vAlign w:val="center"/>
            <w:hideMark/>
          </w:tcPr>
          <w:p w14:paraId="445293F1" w14:textId="77777777" w:rsidR="005B0889" w:rsidRPr="00855CB6" w:rsidRDefault="005B0889" w:rsidP="004E271A">
            <w:pPr>
              <w:ind w:left="-110" w:right="-106"/>
              <w:jc w:val="center"/>
              <w:rPr>
                <w:rFonts w:ascii="Arial" w:hAnsi="Arial" w:cs="Arial"/>
                <w:b/>
                <w:bCs/>
                <w:sz w:val="20"/>
                <w:lang w:val="es-ES"/>
              </w:rPr>
            </w:pPr>
            <w:r w:rsidRPr="00855CB6">
              <w:rPr>
                <w:rFonts w:ascii="Arial" w:hAnsi="Arial" w:cs="Arial"/>
                <w:b/>
                <w:bCs/>
                <w:sz w:val="20"/>
                <w:lang w:val="es-ES"/>
              </w:rPr>
              <w:t>Financiamiento</w:t>
            </w:r>
          </w:p>
        </w:tc>
      </w:tr>
      <w:tr w:rsidR="005B0889" w:rsidRPr="005B0889" w14:paraId="00768174" w14:textId="77777777" w:rsidTr="00855CB6">
        <w:trPr>
          <w:trHeight w:hRule="exact" w:val="713"/>
        </w:trPr>
        <w:tc>
          <w:tcPr>
            <w:tcW w:w="198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0606555F" w14:textId="0AD339DA" w:rsidR="005B0889" w:rsidRPr="00274383" w:rsidRDefault="005B0889" w:rsidP="003F1317">
            <w:pPr>
              <w:rPr>
                <w:rFonts w:ascii="Arial" w:hAnsi="Arial" w:cs="Arial"/>
                <w:color w:val="000000"/>
                <w:sz w:val="20"/>
                <w:lang w:val="es-ES"/>
              </w:rPr>
            </w:pPr>
            <w:r w:rsidRPr="00274383">
              <w:rPr>
                <w:rFonts w:ascii="Arial" w:hAnsi="Arial" w:cs="Arial"/>
                <w:color w:val="000000"/>
                <w:sz w:val="20"/>
                <w:lang w:val="es-ES"/>
              </w:rPr>
              <w:t>Evaluación reflexiva</w:t>
            </w:r>
          </w:p>
        </w:tc>
        <w:tc>
          <w:tcPr>
            <w:tcW w:w="540" w:type="dxa"/>
            <w:tcBorders>
              <w:top w:val="single" w:sz="8" w:space="0" w:color="000000"/>
              <w:left w:val="single" w:sz="8" w:space="0" w:color="000000"/>
              <w:bottom w:val="single" w:sz="8" w:space="0" w:color="000000"/>
              <w:right w:val="single" w:sz="8" w:space="0" w:color="000000"/>
            </w:tcBorders>
            <w:vAlign w:val="center"/>
          </w:tcPr>
          <w:p w14:paraId="3C05C599" w14:textId="77777777" w:rsidR="005B0889" w:rsidRPr="00274383" w:rsidRDefault="005B0889" w:rsidP="003F1317">
            <w:pPr>
              <w:rPr>
                <w:rFonts w:ascii="Arial" w:hAnsi="Arial" w:cs="Arial"/>
                <w:color w:val="000000"/>
                <w:sz w:val="20"/>
                <w:lang w:val="es-ES"/>
              </w:rPr>
            </w:pPr>
          </w:p>
        </w:tc>
        <w:tc>
          <w:tcPr>
            <w:tcW w:w="540" w:type="dxa"/>
            <w:tcBorders>
              <w:top w:val="single" w:sz="8" w:space="0" w:color="000000"/>
              <w:left w:val="single" w:sz="8" w:space="0" w:color="000000"/>
              <w:bottom w:val="single" w:sz="8" w:space="0" w:color="000000"/>
              <w:right w:val="single" w:sz="8" w:space="0" w:color="000000"/>
            </w:tcBorders>
          </w:tcPr>
          <w:p w14:paraId="2FB2AEEF" w14:textId="67334D7D" w:rsidR="005B0889" w:rsidRPr="00274383" w:rsidRDefault="005B0889" w:rsidP="003F1317">
            <w:pPr>
              <w:jc w:val="center"/>
              <w:rPr>
                <w:rFonts w:ascii="Arial" w:hAnsi="Arial" w:cs="Arial"/>
                <w:color w:val="000000"/>
                <w:sz w:val="20"/>
                <w:lang w:val="es-ES"/>
              </w:rPr>
            </w:pPr>
            <w:r w:rsidRPr="00274383">
              <w:rPr>
                <w:rFonts w:ascii="Arial" w:hAnsi="Arial" w:cs="Arial"/>
                <w:color w:val="000000"/>
                <w:sz w:val="20"/>
                <w:lang w:val="es-ES"/>
              </w:rPr>
              <w:t>X</w:t>
            </w:r>
          </w:p>
        </w:tc>
        <w:tc>
          <w:tcPr>
            <w:tcW w:w="324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25A48D24" w14:textId="2A5FB1FC" w:rsidR="005B0889" w:rsidRPr="00274383" w:rsidRDefault="00095785" w:rsidP="00855CB6">
            <w:pPr>
              <w:rPr>
                <w:rFonts w:ascii="Arial" w:hAnsi="Arial" w:cs="Arial"/>
                <w:color w:val="000000"/>
                <w:sz w:val="20"/>
                <w:lang w:val="es-ES"/>
              </w:rPr>
            </w:pPr>
            <w:r>
              <w:rPr>
                <w:rFonts w:ascii="Arial" w:hAnsi="Arial" w:cs="Arial"/>
                <w:color w:val="000000"/>
                <w:sz w:val="20"/>
                <w:lang w:val="es-ES"/>
              </w:rPr>
              <w:t>NAFIN</w:t>
            </w:r>
            <w:r w:rsidR="005B0889">
              <w:rPr>
                <w:rFonts w:ascii="Arial" w:hAnsi="Arial" w:cs="Arial"/>
                <w:color w:val="000000"/>
                <w:sz w:val="20"/>
                <w:lang w:val="es-ES"/>
              </w:rPr>
              <w:t xml:space="preserve"> provisión de información, </w:t>
            </w:r>
            <w:r w:rsidR="005B0889" w:rsidRPr="00274383">
              <w:rPr>
                <w:rFonts w:ascii="Arial" w:hAnsi="Arial" w:cs="Arial"/>
                <w:color w:val="000000"/>
                <w:sz w:val="20"/>
                <w:lang w:val="es-ES"/>
              </w:rPr>
              <w:t>BID</w:t>
            </w:r>
            <w:r w:rsidR="005B0889">
              <w:rPr>
                <w:rFonts w:ascii="Arial" w:hAnsi="Arial" w:cs="Arial"/>
                <w:color w:val="000000"/>
                <w:sz w:val="20"/>
                <w:lang w:val="es-ES"/>
              </w:rPr>
              <w:t xml:space="preserve"> análisis (consultor)</w:t>
            </w:r>
          </w:p>
        </w:tc>
        <w:tc>
          <w:tcPr>
            <w:tcW w:w="900" w:type="dxa"/>
            <w:tcBorders>
              <w:top w:val="single" w:sz="8" w:space="0" w:color="000000"/>
              <w:left w:val="nil"/>
              <w:bottom w:val="single" w:sz="8" w:space="0" w:color="000000"/>
              <w:right w:val="single" w:sz="8" w:space="0" w:color="000000"/>
            </w:tcBorders>
            <w:shd w:val="clear" w:color="auto" w:fill="auto"/>
            <w:vAlign w:val="center"/>
            <w:hideMark/>
          </w:tcPr>
          <w:p w14:paraId="34C759B9" w14:textId="3971754A" w:rsidR="005B0889" w:rsidRPr="00274383" w:rsidRDefault="005B0889" w:rsidP="005822E1">
            <w:pPr>
              <w:ind w:left="-17"/>
              <w:jc w:val="right"/>
              <w:rPr>
                <w:rFonts w:ascii="Arial" w:hAnsi="Arial" w:cs="Arial"/>
                <w:color w:val="000000"/>
                <w:sz w:val="20"/>
                <w:lang w:val="es-ES"/>
              </w:rPr>
            </w:pPr>
            <w:r w:rsidRPr="00274383">
              <w:rPr>
                <w:rFonts w:ascii="Arial" w:hAnsi="Arial" w:cs="Arial"/>
                <w:color w:val="000000"/>
                <w:sz w:val="20"/>
                <w:lang w:val="es-ES"/>
              </w:rPr>
              <w:t>8.000</w:t>
            </w:r>
          </w:p>
        </w:tc>
        <w:tc>
          <w:tcPr>
            <w:tcW w:w="2160" w:type="dxa"/>
            <w:tcBorders>
              <w:top w:val="single" w:sz="8" w:space="0" w:color="000000"/>
              <w:left w:val="nil"/>
              <w:bottom w:val="single" w:sz="8" w:space="0" w:color="000000"/>
              <w:right w:val="single" w:sz="8" w:space="0" w:color="000000"/>
            </w:tcBorders>
            <w:shd w:val="clear" w:color="auto" w:fill="auto"/>
            <w:vAlign w:val="center"/>
            <w:hideMark/>
          </w:tcPr>
          <w:p w14:paraId="5EC9D829" w14:textId="778501B0" w:rsidR="005B0889" w:rsidRPr="00274383" w:rsidRDefault="005B0889" w:rsidP="003F1317">
            <w:pPr>
              <w:rPr>
                <w:rFonts w:ascii="Arial" w:hAnsi="Arial" w:cs="Arial"/>
                <w:color w:val="000000"/>
                <w:sz w:val="20"/>
                <w:lang w:val="es-ES"/>
              </w:rPr>
            </w:pPr>
            <w:r w:rsidRPr="00274383">
              <w:rPr>
                <w:rFonts w:ascii="Arial" w:hAnsi="Arial" w:cs="Arial"/>
                <w:color w:val="000000"/>
                <w:sz w:val="20"/>
                <w:lang w:val="es-ES"/>
              </w:rPr>
              <w:t>Presupuesto operativo BID/</w:t>
            </w:r>
            <w:r w:rsidR="00095785">
              <w:rPr>
                <w:rFonts w:ascii="Arial" w:hAnsi="Arial" w:cs="Arial"/>
                <w:color w:val="000000"/>
                <w:sz w:val="20"/>
                <w:lang w:val="es-ES"/>
              </w:rPr>
              <w:t>NAFIN</w:t>
            </w:r>
          </w:p>
        </w:tc>
      </w:tr>
      <w:tr w:rsidR="005B0889" w:rsidRPr="00274383" w14:paraId="407ED6FB" w14:textId="77777777" w:rsidTr="00855CB6">
        <w:trPr>
          <w:trHeight w:hRule="exact" w:val="623"/>
        </w:trPr>
        <w:tc>
          <w:tcPr>
            <w:tcW w:w="19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9186A70" w14:textId="772541BD" w:rsidR="005B0889" w:rsidRPr="00274383" w:rsidRDefault="005B0889" w:rsidP="005B0889">
            <w:pPr>
              <w:rPr>
                <w:rFonts w:ascii="Arial" w:hAnsi="Arial" w:cs="Arial"/>
                <w:color w:val="000000"/>
                <w:sz w:val="20"/>
                <w:lang w:val="es-ES"/>
              </w:rPr>
            </w:pPr>
            <w:r w:rsidRPr="00274383">
              <w:rPr>
                <w:rFonts w:ascii="Arial" w:hAnsi="Arial" w:cs="Arial"/>
                <w:color w:val="000000"/>
                <w:sz w:val="20"/>
                <w:lang w:val="es-ES"/>
              </w:rPr>
              <w:t>Análisis cualitativo y de cartera</w:t>
            </w:r>
          </w:p>
        </w:tc>
        <w:tc>
          <w:tcPr>
            <w:tcW w:w="540" w:type="dxa"/>
            <w:tcBorders>
              <w:top w:val="single" w:sz="8" w:space="0" w:color="000000"/>
              <w:left w:val="single" w:sz="8" w:space="0" w:color="000000"/>
              <w:bottom w:val="single" w:sz="8" w:space="0" w:color="000000"/>
              <w:right w:val="single" w:sz="8" w:space="0" w:color="000000"/>
            </w:tcBorders>
            <w:vAlign w:val="center"/>
          </w:tcPr>
          <w:p w14:paraId="58B7FE16" w14:textId="77777777" w:rsidR="005B0889" w:rsidRPr="00274383" w:rsidRDefault="005B0889" w:rsidP="005B0889">
            <w:pPr>
              <w:rPr>
                <w:rFonts w:ascii="Arial" w:hAnsi="Arial" w:cs="Arial"/>
                <w:color w:val="000000"/>
                <w:sz w:val="20"/>
                <w:lang w:val="es-ES"/>
              </w:rPr>
            </w:pPr>
          </w:p>
        </w:tc>
        <w:tc>
          <w:tcPr>
            <w:tcW w:w="540" w:type="dxa"/>
            <w:tcBorders>
              <w:top w:val="single" w:sz="8" w:space="0" w:color="000000"/>
              <w:left w:val="single" w:sz="8" w:space="0" w:color="000000"/>
              <w:bottom w:val="single" w:sz="8" w:space="0" w:color="000000"/>
              <w:right w:val="single" w:sz="8" w:space="0" w:color="000000"/>
            </w:tcBorders>
          </w:tcPr>
          <w:p w14:paraId="1AD19FFE" w14:textId="49513C7E" w:rsidR="005B0889" w:rsidRPr="00274383" w:rsidRDefault="005B0889" w:rsidP="005B0889">
            <w:pPr>
              <w:jc w:val="center"/>
              <w:rPr>
                <w:rFonts w:ascii="Arial" w:hAnsi="Arial" w:cs="Arial"/>
                <w:color w:val="000000"/>
                <w:sz w:val="20"/>
                <w:lang w:val="es-ES"/>
              </w:rPr>
            </w:pPr>
            <w:r w:rsidRPr="00274383">
              <w:rPr>
                <w:rFonts w:ascii="Arial" w:hAnsi="Arial" w:cs="Arial"/>
                <w:color w:val="000000"/>
                <w:sz w:val="20"/>
                <w:lang w:val="es-ES"/>
              </w:rPr>
              <w:t>X</w:t>
            </w:r>
          </w:p>
        </w:tc>
        <w:tc>
          <w:tcPr>
            <w:tcW w:w="324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9FFB3F5" w14:textId="29EC2833" w:rsidR="005B0889" w:rsidRPr="00274383" w:rsidRDefault="00095785" w:rsidP="00855CB6">
            <w:pPr>
              <w:rPr>
                <w:rFonts w:ascii="Arial" w:hAnsi="Arial" w:cs="Arial"/>
                <w:color w:val="000000"/>
                <w:sz w:val="20"/>
                <w:lang w:val="es-ES"/>
              </w:rPr>
            </w:pPr>
            <w:r>
              <w:rPr>
                <w:rFonts w:ascii="Arial" w:hAnsi="Arial" w:cs="Arial"/>
                <w:color w:val="000000"/>
                <w:sz w:val="20"/>
                <w:lang w:val="es-ES"/>
              </w:rPr>
              <w:t>NAFIN</w:t>
            </w:r>
            <w:r w:rsidR="005B0889">
              <w:rPr>
                <w:rFonts w:ascii="Arial" w:hAnsi="Arial" w:cs="Arial"/>
                <w:color w:val="000000"/>
                <w:sz w:val="20"/>
                <w:lang w:val="es-ES"/>
              </w:rPr>
              <w:t xml:space="preserve"> provisión de información, </w:t>
            </w:r>
            <w:r w:rsidR="005B0889" w:rsidRPr="00274383">
              <w:rPr>
                <w:rFonts w:ascii="Arial" w:hAnsi="Arial" w:cs="Arial"/>
                <w:color w:val="000000"/>
                <w:sz w:val="20"/>
                <w:lang w:val="es-ES"/>
              </w:rPr>
              <w:t>BID</w:t>
            </w:r>
            <w:r w:rsidR="005B0889">
              <w:rPr>
                <w:rFonts w:ascii="Arial" w:hAnsi="Arial" w:cs="Arial"/>
                <w:color w:val="000000"/>
                <w:sz w:val="20"/>
                <w:lang w:val="es-ES"/>
              </w:rPr>
              <w:t xml:space="preserve"> análisis (consultor)</w:t>
            </w:r>
          </w:p>
        </w:tc>
        <w:tc>
          <w:tcPr>
            <w:tcW w:w="900" w:type="dxa"/>
            <w:tcBorders>
              <w:top w:val="single" w:sz="8" w:space="0" w:color="000000"/>
              <w:left w:val="nil"/>
              <w:bottom w:val="single" w:sz="8" w:space="0" w:color="000000"/>
              <w:right w:val="single" w:sz="8" w:space="0" w:color="000000"/>
            </w:tcBorders>
            <w:shd w:val="clear" w:color="auto" w:fill="auto"/>
            <w:vAlign w:val="center"/>
          </w:tcPr>
          <w:p w14:paraId="41A7B238" w14:textId="5BCF6A42" w:rsidR="005B0889" w:rsidRPr="00274383" w:rsidRDefault="005B0889" w:rsidP="005B0889">
            <w:pPr>
              <w:ind w:left="-17"/>
              <w:jc w:val="right"/>
              <w:rPr>
                <w:rFonts w:ascii="Arial" w:hAnsi="Arial" w:cs="Arial"/>
                <w:color w:val="000000"/>
                <w:sz w:val="20"/>
                <w:lang w:val="es-ES"/>
              </w:rPr>
            </w:pPr>
            <w:r w:rsidRPr="00274383">
              <w:rPr>
                <w:rFonts w:ascii="Arial" w:hAnsi="Arial" w:cs="Arial"/>
                <w:color w:val="000000"/>
                <w:sz w:val="20"/>
                <w:lang w:val="es-ES"/>
              </w:rPr>
              <w:t>8.000</w:t>
            </w:r>
          </w:p>
        </w:tc>
        <w:tc>
          <w:tcPr>
            <w:tcW w:w="2160" w:type="dxa"/>
            <w:tcBorders>
              <w:top w:val="single" w:sz="8" w:space="0" w:color="000000"/>
              <w:left w:val="nil"/>
              <w:bottom w:val="single" w:sz="8" w:space="0" w:color="000000"/>
              <w:right w:val="single" w:sz="8" w:space="0" w:color="000000"/>
            </w:tcBorders>
            <w:shd w:val="clear" w:color="auto" w:fill="auto"/>
            <w:vAlign w:val="center"/>
          </w:tcPr>
          <w:p w14:paraId="596CDD9E" w14:textId="176DBEBF" w:rsidR="005B0889" w:rsidRPr="00274383" w:rsidRDefault="005B0889" w:rsidP="005B0889">
            <w:pPr>
              <w:rPr>
                <w:rFonts w:ascii="Arial" w:hAnsi="Arial" w:cs="Arial"/>
                <w:color w:val="000000"/>
                <w:sz w:val="20"/>
                <w:lang w:val="es-ES"/>
              </w:rPr>
            </w:pPr>
            <w:r w:rsidRPr="00274383">
              <w:rPr>
                <w:rFonts w:ascii="Arial" w:hAnsi="Arial" w:cs="Arial"/>
                <w:color w:val="000000"/>
                <w:sz w:val="20"/>
                <w:lang w:val="es-ES"/>
              </w:rPr>
              <w:t>Presupuesto operativo BID/</w:t>
            </w:r>
            <w:r w:rsidR="00095785">
              <w:rPr>
                <w:rFonts w:ascii="Arial" w:hAnsi="Arial" w:cs="Arial"/>
                <w:color w:val="000000"/>
                <w:sz w:val="20"/>
                <w:lang w:val="es-ES"/>
              </w:rPr>
              <w:t>NAFIN</w:t>
            </w:r>
          </w:p>
        </w:tc>
      </w:tr>
      <w:tr w:rsidR="005B0889" w:rsidRPr="00274383" w14:paraId="4484EDE1" w14:textId="77777777" w:rsidTr="00855CB6">
        <w:trPr>
          <w:trHeight w:hRule="exact" w:val="288"/>
        </w:trPr>
        <w:tc>
          <w:tcPr>
            <w:tcW w:w="19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5C6927F" w14:textId="77777777" w:rsidR="005B0889" w:rsidRPr="00274383" w:rsidRDefault="005B0889" w:rsidP="003F1317">
            <w:pPr>
              <w:rPr>
                <w:rFonts w:ascii="Arial" w:hAnsi="Arial" w:cs="Arial"/>
                <w:b/>
                <w:color w:val="000000"/>
                <w:sz w:val="20"/>
                <w:lang w:val="es-ES"/>
              </w:rPr>
            </w:pPr>
            <w:r w:rsidRPr="00274383">
              <w:rPr>
                <w:rFonts w:ascii="Arial" w:hAnsi="Arial" w:cs="Arial"/>
                <w:b/>
                <w:color w:val="000000"/>
                <w:sz w:val="20"/>
                <w:lang w:val="es-ES"/>
              </w:rPr>
              <w:t>Total</w:t>
            </w:r>
          </w:p>
        </w:tc>
        <w:tc>
          <w:tcPr>
            <w:tcW w:w="540" w:type="dxa"/>
            <w:tcBorders>
              <w:top w:val="single" w:sz="8" w:space="0" w:color="000000"/>
              <w:left w:val="single" w:sz="8" w:space="0" w:color="000000"/>
              <w:bottom w:val="single" w:sz="8" w:space="0" w:color="000000"/>
              <w:right w:val="single" w:sz="8" w:space="0" w:color="000000"/>
            </w:tcBorders>
            <w:vAlign w:val="center"/>
          </w:tcPr>
          <w:p w14:paraId="0DEF0E12" w14:textId="77777777" w:rsidR="005B0889" w:rsidRPr="00274383" w:rsidRDefault="005B0889" w:rsidP="003F1317">
            <w:pPr>
              <w:rPr>
                <w:rFonts w:ascii="Arial" w:hAnsi="Arial" w:cs="Arial"/>
                <w:b/>
                <w:color w:val="000000"/>
                <w:sz w:val="20"/>
                <w:lang w:val="es-ES"/>
              </w:rPr>
            </w:pPr>
          </w:p>
        </w:tc>
        <w:tc>
          <w:tcPr>
            <w:tcW w:w="540" w:type="dxa"/>
            <w:tcBorders>
              <w:top w:val="single" w:sz="8" w:space="0" w:color="000000"/>
              <w:left w:val="single" w:sz="8" w:space="0" w:color="000000"/>
              <w:bottom w:val="single" w:sz="8" w:space="0" w:color="000000"/>
              <w:right w:val="single" w:sz="8" w:space="0" w:color="000000"/>
            </w:tcBorders>
          </w:tcPr>
          <w:p w14:paraId="2FBBD2F6" w14:textId="2DB638D8" w:rsidR="005B0889" w:rsidRPr="00274383" w:rsidRDefault="005B0889" w:rsidP="003F1317">
            <w:pPr>
              <w:jc w:val="center"/>
              <w:rPr>
                <w:rFonts w:ascii="Arial" w:hAnsi="Arial" w:cs="Arial"/>
                <w:b/>
                <w:color w:val="000000"/>
                <w:sz w:val="20"/>
                <w:lang w:val="es-ES"/>
              </w:rPr>
            </w:pPr>
          </w:p>
        </w:tc>
        <w:tc>
          <w:tcPr>
            <w:tcW w:w="324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B4F9A6B" w14:textId="67AE95F5" w:rsidR="005B0889" w:rsidRPr="00274383" w:rsidRDefault="005B0889" w:rsidP="003F1317">
            <w:pPr>
              <w:jc w:val="center"/>
              <w:rPr>
                <w:rFonts w:ascii="Arial" w:hAnsi="Arial" w:cs="Arial"/>
                <w:b/>
                <w:color w:val="000000"/>
                <w:sz w:val="20"/>
                <w:lang w:val="es-ES"/>
              </w:rPr>
            </w:pPr>
          </w:p>
        </w:tc>
        <w:tc>
          <w:tcPr>
            <w:tcW w:w="9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7E3B3BE" w14:textId="1065AF97" w:rsidR="005B0889" w:rsidRPr="00274383" w:rsidRDefault="004234A7" w:rsidP="005822E1">
            <w:pPr>
              <w:ind w:left="-17"/>
              <w:jc w:val="right"/>
              <w:rPr>
                <w:rFonts w:ascii="Arial" w:hAnsi="Arial" w:cs="Arial"/>
                <w:b/>
                <w:color w:val="000000"/>
                <w:sz w:val="20"/>
                <w:lang w:val="es-ES"/>
              </w:rPr>
            </w:pPr>
            <w:r>
              <w:rPr>
                <w:rFonts w:ascii="Arial" w:hAnsi="Arial" w:cs="Arial"/>
                <w:b/>
                <w:color w:val="000000"/>
                <w:sz w:val="20"/>
                <w:lang w:val="es-ES"/>
              </w:rPr>
              <w:t>16</w:t>
            </w:r>
            <w:r w:rsidR="005B0889" w:rsidRPr="00274383">
              <w:rPr>
                <w:rFonts w:ascii="Arial" w:hAnsi="Arial" w:cs="Arial"/>
                <w:b/>
                <w:color w:val="000000"/>
                <w:sz w:val="20"/>
                <w:lang w:val="es-ES"/>
              </w:rPr>
              <w:t>.000</w:t>
            </w:r>
          </w:p>
        </w:tc>
        <w:tc>
          <w:tcPr>
            <w:tcW w:w="216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57354B1" w14:textId="2519C89A" w:rsidR="005B0889" w:rsidRPr="00274383" w:rsidRDefault="005B0889" w:rsidP="003F1317">
            <w:pPr>
              <w:rPr>
                <w:rFonts w:ascii="Arial" w:hAnsi="Arial" w:cs="Arial"/>
                <w:color w:val="000000"/>
                <w:sz w:val="20"/>
                <w:lang w:val="es-ES"/>
              </w:rPr>
            </w:pPr>
          </w:p>
        </w:tc>
      </w:tr>
    </w:tbl>
    <w:p w14:paraId="718F4856" w14:textId="62BB0077" w:rsidR="00454CB5" w:rsidRPr="007116B2" w:rsidRDefault="005B0889" w:rsidP="00855CB6">
      <w:pPr>
        <w:ind w:left="180" w:right="-180"/>
        <w:jc w:val="both"/>
        <w:rPr>
          <w:lang w:val="es-ES"/>
        </w:rPr>
      </w:pPr>
      <w:r w:rsidRPr="00EB454E">
        <w:rPr>
          <w:rFonts w:ascii="Arial" w:hAnsi="Arial" w:cs="Arial"/>
          <w:sz w:val="18"/>
          <w:szCs w:val="18"/>
          <w:vertAlign w:val="superscript"/>
          <w:lang w:val="es-PE"/>
        </w:rPr>
        <w:lastRenderedPageBreak/>
        <w:t>[A]</w:t>
      </w:r>
      <w:r>
        <w:rPr>
          <w:rFonts w:ascii="Arial" w:hAnsi="Arial" w:cs="Arial"/>
          <w:sz w:val="18"/>
          <w:szCs w:val="18"/>
          <w:lang w:val="es-PE"/>
        </w:rPr>
        <w:t xml:space="preserve"> </w:t>
      </w:r>
      <w:r w:rsidR="00D11CF4">
        <w:rPr>
          <w:rFonts w:ascii="Arial" w:hAnsi="Arial" w:cs="Arial"/>
          <w:sz w:val="18"/>
          <w:szCs w:val="18"/>
          <w:lang w:val="es-PE"/>
        </w:rPr>
        <w:t xml:space="preserve">Los recursos indicados corresponden a los gastos del consultor del BID. La contribución de </w:t>
      </w:r>
      <w:r w:rsidR="00095785">
        <w:rPr>
          <w:rFonts w:ascii="Arial" w:hAnsi="Arial" w:cs="Arial"/>
          <w:sz w:val="18"/>
          <w:szCs w:val="18"/>
          <w:lang w:val="es-PE"/>
        </w:rPr>
        <w:t>NAFIN</w:t>
      </w:r>
      <w:r w:rsidR="00D11CF4">
        <w:rPr>
          <w:rFonts w:ascii="Arial" w:hAnsi="Arial" w:cs="Arial"/>
          <w:sz w:val="18"/>
          <w:szCs w:val="18"/>
          <w:lang w:val="es-PE"/>
        </w:rPr>
        <w:t xml:space="preserve"> a través de l</w:t>
      </w:r>
      <w:r>
        <w:rPr>
          <w:rFonts w:ascii="Arial" w:hAnsi="Arial" w:cs="Arial"/>
          <w:sz w:val="18"/>
          <w:szCs w:val="18"/>
          <w:lang w:val="es-PE"/>
        </w:rPr>
        <w:t xml:space="preserve">os informes y los reportes semestrales y final </w:t>
      </w:r>
      <w:r w:rsidR="00855CB6">
        <w:rPr>
          <w:rFonts w:ascii="Arial" w:hAnsi="Arial" w:cs="Arial"/>
          <w:sz w:val="18"/>
          <w:szCs w:val="18"/>
          <w:lang w:val="es-PE"/>
        </w:rPr>
        <w:t>es</w:t>
      </w:r>
      <w:r w:rsidR="00D11CF4">
        <w:rPr>
          <w:rFonts w:ascii="Arial" w:hAnsi="Arial" w:cs="Arial"/>
          <w:sz w:val="18"/>
          <w:szCs w:val="18"/>
          <w:lang w:val="es-PE"/>
        </w:rPr>
        <w:t xml:space="preserve"> l</w:t>
      </w:r>
      <w:r w:rsidR="00855CB6">
        <w:rPr>
          <w:rFonts w:ascii="Arial" w:hAnsi="Arial" w:cs="Arial"/>
          <w:sz w:val="18"/>
          <w:szCs w:val="18"/>
          <w:lang w:val="es-PE"/>
        </w:rPr>
        <w:t>a</w:t>
      </w:r>
      <w:r w:rsidR="00D11CF4">
        <w:rPr>
          <w:rFonts w:ascii="Arial" w:hAnsi="Arial" w:cs="Arial"/>
          <w:sz w:val="18"/>
          <w:szCs w:val="18"/>
          <w:lang w:val="es-PE"/>
        </w:rPr>
        <w:t xml:space="preserve"> que se indica en el Cuadro 2 y </w:t>
      </w:r>
      <w:r w:rsidR="00855CB6">
        <w:rPr>
          <w:rFonts w:ascii="Arial" w:hAnsi="Arial" w:cs="Arial"/>
          <w:sz w:val="18"/>
          <w:szCs w:val="18"/>
          <w:lang w:val="es-PE"/>
        </w:rPr>
        <w:t>corresponde a</w:t>
      </w:r>
      <w:r>
        <w:rPr>
          <w:rFonts w:ascii="Arial" w:hAnsi="Arial" w:cs="Arial"/>
          <w:sz w:val="18"/>
          <w:szCs w:val="18"/>
          <w:lang w:val="es-PE"/>
        </w:rPr>
        <w:t xml:space="preserve"> un aporte en especie a través de la administración de </w:t>
      </w:r>
      <w:r w:rsidR="00095785">
        <w:rPr>
          <w:rFonts w:ascii="Arial" w:hAnsi="Arial" w:cs="Arial"/>
          <w:sz w:val="18"/>
          <w:szCs w:val="18"/>
          <w:lang w:val="es-PE"/>
        </w:rPr>
        <w:t>NAFIN</w:t>
      </w:r>
      <w:r>
        <w:rPr>
          <w:rFonts w:ascii="Arial" w:hAnsi="Arial" w:cs="Arial"/>
          <w:sz w:val="18"/>
          <w:szCs w:val="18"/>
          <w:lang w:val="es-PE"/>
        </w:rPr>
        <w:t>.</w:t>
      </w:r>
    </w:p>
    <w:sectPr w:rsidR="00454CB5" w:rsidRPr="007116B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8F2DE9" w14:textId="77777777" w:rsidR="00FB6A0D" w:rsidRDefault="00FB6A0D" w:rsidP="007116B2">
      <w:pPr>
        <w:spacing w:after="0" w:line="240" w:lineRule="auto"/>
      </w:pPr>
      <w:r>
        <w:separator/>
      </w:r>
    </w:p>
  </w:endnote>
  <w:endnote w:type="continuationSeparator" w:id="0">
    <w:p w14:paraId="773A016B" w14:textId="77777777" w:rsidR="00FB6A0D" w:rsidRDefault="00FB6A0D" w:rsidP="007116B2">
      <w:pPr>
        <w:spacing w:after="0" w:line="240" w:lineRule="auto"/>
      </w:pPr>
      <w:r>
        <w:continuationSeparator/>
      </w:r>
    </w:p>
  </w:endnote>
  <w:endnote w:type="continuationNotice" w:id="1">
    <w:p w14:paraId="6F87D7AF" w14:textId="77777777" w:rsidR="00FB6A0D" w:rsidRDefault="00FB6A0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Gotham Book">
    <w:panose1 w:val="00000000000000000000"/>
    <w:charset w:val="00"/>
    <w:family w:val="modern"/>
    <w:notTrueType/>
    <w:pitch w:val="variable"/>
    <w:sig w:usb0="A10000FF" w:usb1="4000005B" w:usb2="00000000" w:usb3="00000000" w:csb0="0000009B" w:csb1="00000000"/>
  </w:font>
  <w:font w:name="ZWAdobeF">
    <w:panose1 w:val="00000000000000000000"/>
    <w:charset w:val="00"/>
    <w:family w:val="auto"/>
    <w:pitch w:val="variable"/>
    <w:sig w:usb0="20002A87" w:usb1="00000000" w:usb2="00000000" w:usb3="00000000" w:csb0="000001FF" w:csb1="00000000"/>
  </w:font>
  <w:font w:name="Arial Bold">
    <w:panose1 w:val="020B0704020202020204"/>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57059657"/>
      <w:docPartObj>
        <w:docPartGallery w:val="Page Numbers (Bottom of Page)"/>
        <w:docPartUnique/>
      </w:docPartObj>
    </w:sdtPr>
    <w:sdtEndPr>
      <w:rPr>
        <w:rFonts w:ascii="Gotham Book" w:hAnsi="Gotham Book" w:cs="Times New Roman"/>
        <w:noProof/>
        <w:sz w:val="18"/>
      </w:rPr>
    </w:sdtEndPr>
    <w:sdtContent>
      <w:p w14:paraId="4413F7E8" w14:textId="389F3ACA" w:rsidR="00DB18CA" w:rsidRPr="00832D40" w:rsidRDefault="00DB18CA">
        <w:pPr>
          <w:pStyle w:val="Footer"/>
          <w:jc w:val="center"/>
          <w:rPr>
            <w:rFonts w:ascii="Gotham Book" w:hAnsi="Gotham Book" w:cs="Times New Roman"/>
            <w:sz w:val="18"/>
          </w:rPr>
        </w:pPr>
        <w:r w:rsidRPr="00832D40">
          <w:rPr>
            <w:rFonts w:ascii="Gotham Book" w:hAnsi="Gotham Book" w:cs="Times New Roman"/>
            <w:sz w:val="18"/>
          </w:rPr>
          <w:t>-</w:t>
        </w:r>
        <w:r w:rsidRPr="00832D40">
          <w:rPr>
            <w:rFonts w:ascii="Gotham Book" w:hAnsi="Gotham Book" w:cs="Times New Roman"/>
            <w:sz w:val="18"/>
          </w:rPr>
          <w:fldChar w:fldCharType="begin"/>
        </w:r>
        <w:r w:rsidRPr="00832D40">
          <w:rPr>
            <w:rFonts w:ascii="Gotham Book" w:hAnsi="Gotham Book" w:cs="Times New Roman"/>
            <w:sz w:val="18"/>
          </w:rPr>
          <w:instrText xml:space="preserve"> PAGE   \* MERGEFORMAT </w:instrText>
        </w:r>
        <w:r w:rsidRPr="00832D40">
          <w:rPr>
            <w:rFonts w:ascii="Gotham Book" w:hAnsi="Gotham Book" w:cs="Times New Roman"/>
            <w:sz w:val="18"/>
          </w:rPr>
          <w:fldChar w:fldCharType="separate"/>
        </w:r>
        <w:r>
          <w:rPr>
            <w:rFonts w:ascii="Gotham Book" w:hAnsi="Gotham Book" w:cs="Times New Roman"/>
            <w:noProof/>
            <w:sz w:val="18"/>
          </w:rPr>
          <w:t>12</w:t>
        </w:r>
        <w:r w:rsidRPr="00832D40">
          <w:rPr>
            <w:rFonts w:ascii="Gotham Book" w:hAnsi="Gotham Book" w:cs="Times New Roman"/>
            <w:noProof/>
            <w:sz w:val="18"/>
          </w:rPr>
          <w:fldChar w:fldCharType="end"/>
        </w:r>
        <w:r w:rsidRPr="00832D40">
          <w:rPr>
            <w:rFonts w:ascii="Gotham Book" w:hAnsi="Gotham Book" w:cs="Times New Roman"/>
            <w:noProof/>
            <w:sz w:val="18"/>
          </w:rPr>
          <w:t>-</w:t>
        </w:r>
      </w:p>
    </w:sdtContent>
  </w:sdt>
  <w:p w14:paraId="4D1A5FA3" w14:textId="77777777" w:rsidR="00DB18CA" w:rsidRDefault="00DB18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6D3234" w14:textId="77777777" w:rsidR="00FB6A0D" w:rsidRDefault="00FB6A0D" w:rsidP="007116B2">
      <w:pPr>
        <w:spacing w:after="0" w:line="240" w:lineRule="auto"/>
      </w:pPr>
      <w:r>
        <w:separator/>
      </w:r>
    </w:p>
  </w:footnote>
  <w:footnote w:type="continuationSeparator" w:id="0">
    <w:p w14:paraId="1519D3F2" w14:textId="77777777" w:rsidR="00FB6A0D" w:rsidRDefault="00FB6A0D" w:rsidP="007116B2">
      <w:pPr>
        <w:spacing w:after="0" w:line="240" w:lineRule="auto"/>
      </w:pPr>
      <w:r>
        <w:continuationSeparator/>
      </w:r>
    </w:p>
  </w:footnote>
  <w:footnote w:type="continuationNotice" w:id="1">
    <w:p w14:paraId="5112E330" w14:textId="77777777" w:rsidR="00FB6A0D" w:rsidRDefault="00FB6A0D">
      <w:pPr>
        <w:spacing w:after="0" w:line="240" w:lineRule="auto"/>
      </w:pPr>
    </w:p>
  </w:footnote>
  <w:footnote w:id="2">
    <w:p w14:paraId="1196AC5B" w14:textId="77777777" w:rsidR="00266BBA" w:rsidRPr="00C5767E" w:rsidRDefault="00266BBA" w:rsidP="00266BBA">
      <w:pPr>
        <w:pStyle w:val="FootnoteText"/>
        <w:spacing w:after="0"/>
        <w:rPr>
          <w:rFonts w:ascii="Arial" w:hAnsi="Arial" w:cs="Arial"/>
          <w:sz w:val="18"/>
          <w:szCs w:val="18"/>
        </w:rPr>
      </w:pPr>
      <w:r w:rsidRPr="00E00595">
        <w:rPr>
          <w:rStyle w:val="FootnoteReference"/>
          <w:rFonts w:ascii="Arial" w:hAnsi="Arial" w:cs="Arial"/>
          <w:sz w:val="18"/>
          <w:szCs w:val="18"/>
          <w:lang w:val="es-ES"/>
        </w:rPr>
        <w:footnoteRef/>
      </w:r>
      <w:r w:rsidRPr="00C5767E">
        <w:rPr>
          <w:rFonts w:ascii="Arial" w:hAnsi="Arial" w:cs="Arial"/>
          <w:sz w:val="18"/>
          <w:szCs w:val="18"/>
        </w:rPr>
        <w:t xml:space="preserve"> </w:t>
      </w:r>
      <w:r w:rsidRPr="00C5767E">
        <w:rPr>
          <w:rFonts w:ascii="Arial" w:hAnsi="Arial" w:cs="Arial"/>
          <w:sz w:val="18"/>
          <w:szCs w:val="18"/>
        </w:rPr>
        <w:tab/>
      </w:r>
      <w:hyperlink r:id="rId1" w:history="1">
        <w:r w:rsidRPr="006F28DB">
          <w:rPr>
            <w:rStyle w:val="Hyperlink"/>
            <w:rFonts w:ascii="Arial" w:hAnsi="Arial" w:cs="Arial"/>
            <w:sz w:val="18"/>
            <w:szCs w:val="18"/>
          </w:rPr>
          <w:t>WHO</w:t>
        </w:r>
        <w:r>
          <w:rPr>
            <w:rStyle w:val="Hyperlink"/>
            <w:rFonts w:ascii="Arial" w:hAnsi="Arial" w:cs="Arial"/>
            <w:i/>
            <w:iCs/>
            <w:sz w:val="18"/>
            <w:szCs w:val="18"/>
          </w:rPr>
          <w:t xml:space="preserve"> Coronavirus Disease (COVID-19) Dashboard</w:t>
        </w:r>
      </w:hyperlink>
      <w:r>
        <w:rPr>
          <w:rFonts w:ascii="Arial" w:hAnsi="Arial" w:cs="Arial"/>
          <w:sz w:val="18"/>
          <w:szCs w:val="18"/>
        </w:rPr>
        <w:t>.</w:t>
      </w:r>
      <w:r w:rsidRPr="00C5767E">
        <w:rPr>
          <w:rFonts w:ascii="Arial" w:hAnsi="Arial" w:cs="Arial"/>
          <w:sz w:val="18"/>
          <w:szCs w:val="18"/>
        </w:rPr>
        <w:t xml:space="preserve"> </w:t>
      </w:r>
    </w:p>
  </w:footnote>
  <w:footnote w:id="3">
    <w:p w14:paraId="5C5ECB57" w14:textId="77777777" w:rsidR="00266BBA" w:rsidRPr="000D0FA6" w:rsidRDefault="00266BBA" w:rsidP="00266BBA">
      <w:pPr>
        <w:pStyle w:val="FootnoteText"/>
        <w:spacing w:after="0"/>
        <w:rPr>
          <w:rFonts w:ascii="Arial" w:hAnsi="Arial" w:cs="Arial"/>
          <w:sz w:val="18"/>
          <w:szCs w:val="18"/>
        </w:rPr>
      </w:pPr>
      <w:r w:rsidRPr="00B634AE">
        <w:rPr>
          <w:rStyle w:val="FootnoteReference"/>
          <w:rFonts w:ascii="Arial" w:hAnsi="Arial" w:cs="Arial"/>
          <w:sz w:val="18"/>
          <w:szCs w:val="18"/>
          <w:lang w:val="es-ES"/>
        </w:rPr>
        <w:footnoteRef/>
      </w:r>
      <w:r w:rsidRPr="006B35A2">
        <w:tab/>
      </w:r>
      <w:hyperlink r:id="rId2" w:history="1">
        <w:r>
          <w:rPr>
            <w:rStyle w:val="Hyperlink"/>
            <w:rFonts w:ascii="Arial" w:hAnsi="Arial" w:cs="Arial"/>
            <w:sz w:val="18"/>
            <w:szCs w:val="18"/>
          </w:rPr>
          <w:t xml:space="preserve">COVID-19 </w:t>
        </w:r>
        <w:r w:rsidRPr="00883C9F">
          <w:rPr>
            <w:rStyle w:val="Hyperlink"/>
            <w:rFonts w:ascii="Arial" w:hAnsi="Arial" w:cs="Arial"/>
            <w:i/>
            <w:iCs/>
            <w:sz w:val="18"/>
            <w:szCs w:val="18"/>
          </w:rPr>
          <w:t>Situation in the Region of the Americas</w:t>
        </w:r>
        <w:r w:rsidRPr="00883C9F">
          <w:rPr>
            <w:rStyle w:val="Hyperlink"/>
            <w:rFonts w:ascii="Arial" w:hAnsi="Arial" w:cs="Arial"/>
            <w:sz w:val="18"/>
            <w:szCs w:val="18"/>
          </w:rPr>
          <w:t xml:space="preserve">. </w:t>
        </w:r>
      </w:hyperlink>
      <w:proofErr w:type="spellStart"/>
      <w:r w:rsidRPr="00883C9F">
        <w:rPr>
          <w:rStyle w:val="Hyperlink"/>
          <w:rFonts w:ascii="Arial" w:hAnsi="Arial" w:cs="Arial"/>
          <w:sz w:val="18"/>
          <w:szCs w:val="18"/>
        </w:rPr>
        <w:t>Reporte</w:t>
      </w:r>
      <w:proofErr w:type="spellEnd"/>
      <w:r w:rsidRPr="00883C9F">
        <w:rPr>
          <w:rStyle w:val="Hyperlink"/>
          <w:rFonts w:ascii="Arial" w:hAnsi="Arial" w:cs="Arial"/>
          <w:sz w:val="18"/>
          <w:szCs w:val="18"/>
        </w:rPr>
        <w:t xml:space="preserve"> de </w:t>
      </w:r>
      <w:r w:rsidRPr="001D35DE">
        <w:rPr>
          <w:rStyle w:val="Hyperlink"/>
          <w:rFonts w:ascii="Arial" w:hAnsi="Arial" w:cs="Arial"/>
          <w:i/>
          <w:iCs/>
          <w:sz w:val="18"/>
          <w:szCs w:val="18"/>
        </w:rPr>
        <w:t>Pan American Health Organization</w:t>
      </w:r>
      <w:r w:rsidRPr="00883C9F">
        <w:rPr>
          <w:rStyle w:val="Hyperlink"/>
          <w:rFonts w:ascii="Arial" w:hAnsi="Arial" w:cs="Arial"/>
          <w:sz w:val="18"/>
          <w:szCs w:val="18"/>
        </w:rPr>
        <w:t xml:space="preserve"> (PAHO).</w:t>
      </w:r>
      <w:r w:rsidRPr="00883C9F">
        <w:rPr>
          <w:rFonts w:ascii="Arial" w:hAnsi="Arial" w:cs="Arial"/>
          <w:sz w:val="18"/>
          <w:szCs w:val="18"/>
        </w:rPr>
        <w:t xml:space="preserve"> </w:t>
      </w:r>
    </w:p>
  </w:footnote>
  <w:footnote w:id="4">
    <w:p w14:paraId="3A003CB7" w14:textId="77777777" w:rsidR="00BC1B30" w:rsidRPr="00BC1B30" w:rsidRDefault="00BC1B30" w:rsidP="00BC1B30">
      <w:pPr>
        <w:pStyle w:val="FootnoteText"/>
        <w:spacing w:after="0"/>
        <w:rPr>
          <w:lang w:val="es-CO"/>
        </w:rPr>
      </w:pPr>
      <w:r w:rsidRPr="008E5CF3">
        <w:rPr>
          <w:rStyle w:val="FootnoteReference"/>
          <w:rFonts w:ascii="Arial" w:hAnsi="Arial" w:cs="Arial"/>
          <w:sz w:val="18"/>
          <w:szCs w:val="18"/>
        </w:rPr>
        <w:footnoteRef/>
      </w:r>
      <w:r w:rsidRPr="008E5CF3">
        <w:rPr>
          <w:rFonts w:ascii="Arial" w:hAnsi="Arial" w:cs="Arial"/>
          <w:sz w:val="18"/>
          <w:szCs w:val="18"/>
        </w:rPr>
        <w:t xml:space="preserve"> </w:t>
      </w:r>
      <w:r>
        <w:t xml:space="preserve"> </w:t>
      </w:r>
      <w:r>
        <w:tab/>
      </w:r>
      <w:hyperlink r:id="rId3" w:history="1">
        <w:r w:rsidRPr="00B078D2">
          <w:rPr>
            <w:rStyle w:val="Hyperlink"/>
            <w:rFonts w:ascii="Arial" w:eastAsiaTheme="minorHAnsi" w:hAnsi="Arial" w:cs="Arial"/>
            <w:sz w:val="18"/>
            <w:szCs w:val="18"/>
          </w:rPr>
          <w:t xml:space="preserve">WHO COVID-19 </w:t>
        </w:r>
        <w:r w:rsidRPr="00B078D2">
          <w:rPr>
            <w:rStyle w:val="Hyperlink"/>
            <w:rFonts w:ascii="Arial" w:eastAsiaTheme="minorHAnsi" w:hAnsi="Arial" w:cs="Arial"/>
            <w:i/>
            <w:iCs/>
            <w:sz w:val="18"/>
            <w:szCs w:val="18"/>
          </w:rPr>
          <w:t>Country Preparedness and Response Status for</w:t>
        </w:r>
        <w:r w:rsidRPr="00B078D2">
          <w:rPr>
            <w:rStyle w:val="Hyperlink"/>
            <w:rFonts w:ascii="Arial" w:eastAsiaTheme="minorHAnsi" w:hAnsi="Arial" w:cs="Arial"/>
            <w:sz w:val="18"/>
            <w:szCs w:val="18"/>
          </w:rPr>
          <w:t xml:space="preserve"> COVID-19.</w:t>
        </w:r>
      </w:hyperlink>
      <w:r>
        <w:rPr>
          <w:rFonts w:ascii="Arial" w:eastAsiaTheme="minorHAnsi" w:hAnsi="Arial" w:cs="Arial"/>
          <w:sz w:val="18"/>
          <w:szCs w:val="18"/>
        </w:rPr>
        <w:t xml:space="preserve"> </w:t>
      </w:r>
      <w:r w:rsidRPr="00BC1B30">
        <w:rPr>
          <w:rFonts w:ascii="Arial" w:eastAsiaTheme="minorHAnsi" w:hAnsi="Arial" w:cs="Arial"/>
          <w:sz w:val="18"/>
          <w:szCs w:val="18"/>
          <w:lang w:val="es-CO"/>
        </w:rPr>
        <w:t>Basado en 5 niveles de evaluación de capacidad operacional, frente a una categoría de respuesta, siendo 5 el de mayor capacidad.</w:t>
      </w:r>
    </w:p>
  </w:footnote>
  <w:footnote w:id="5">
    <w:p w14:paraId="36261564" w14:textId="77777777" w:rsidR="00BC1B30" w:rsidRPr="00BF52B4" w:rsidRDefault="00BC1B30" w:rsidP="00BC1B30">
      <w:pPr>
        <w:pStyle w:val="FootnoteText"/>
        <w:spacing w:after="0"/>
        <w:rPr>
          <w:rFonts w:ascii="Arial" w:hAnsi="Arial" w:cs="Arial"/>
          <w:sz w:val="18"/>
          <w:szCs w:val="18"/>
          <w:lang w:val="es-CO"/>
        </w:rPr>
      </w:pPr>
      <w:r w:rsidRPr="00AF05AF">
        <w:rPr>
          <w:rStyle w:val="FootnoteReference"/>
          <w:rFonts w:ascii="Arial" w:hAnsi="Arial" w:cs="Arial"/>
          <w:sz w:val="18"/>
          <w:szCs w:val="18"/>
        </w:rPr>
        <w:footnoteRef/>
      </w:r>
      <w:r w:rsidRPr="00BF52B4">
        <w:rPr>
          <w:rFonts w:ascii="Arial" w:hAnsi="Arial" w:cs="Arial"/>
          <w:sz w:val="18"/>
          <w:szCs w:val="18"/>
          <w:lang w:val="es-CO"/>
        </w:rPr>
        <w:t xml:space="preserve"> </w:t>
      </w:r>
      <w:r w:rsidRPr="00BF52B4">
        <w:rPr>
          <w:rFonts w:ascii="Arial" w:hAnsi="Arial" w:cs="Arial"/>
          <w:sz w:val="18"/>
          <w:szCs w:val="18"/>
          <w:lang w:val="es-CO"/>
        </w:rPr>
        <w:tab/>
        <w:t xml:space="preserve">Ver </w:t>
      </w:r>
      <w:hyperlink r:id="rId4" w:anchor=":~:text=El%20Sem%C3%A1foro%20de%20riesgo%20epidemiol%C3%B3gico,de%20contagio%20de%20COVID%2D19." w:history="1">
        <w:r w:rsidRPr="00BF52B4">
          <w:rPr>
            <w:rStyle w:val="Hyperlink"/>
            <w:rFonts w:ascii="Arial" w:hAnsi="Arial" w:cs="Arial"/>
            <w:sz w:val="18"/>
            <w:szCs w:val="18"/>
            <w:lang w:val="es-CO"/>
          </w:rPr>
          <w:t>Semáforo de riesgo epidemiológico</w:t>
        </w:r>
      </w:hyperlink>
      <w:r w:rsidRPr="00BF52B4">
        <w:rPr>
          <w:rFonts w:ascii="Arial" w:hAnsi="Arial" w:cs="Arial"/>
          <w:sz w:val="18"/>
          <w:szCs w:val="18"/>
          <w:lang w:val="es-CO"/>
        </w:rPr>
        <w:t>.</w:t>
      </w:r>
    </w:p>
  </w:footnote>
  <w:footnote w:id="6">
    <w:p w14:paraId="0AD57045" w14:textId="77777777" w:rsidR="00BF52B4" w:rsidRPr="00BF52B4" w:rsidRDefault="00BF52B4" w:rsidP="00BF52B4">
      <w:pPr>
        <w:pStyle w:val="FootnoteText"/>
        <w:spacing w:after="0"/>
        <w:rPr>
          <w:rFonts w:ascii="Arial" w:hAnsi="Arial" w:cs="Arial"/>
          <w:sz w:val="18"/>
          <w:szCs w:val="18"/>
          <w:lang w:val="es-CO"/>
        </w:rPr>
      </w:pPr>
      <w:r w:rsidRPr="000875E3">
        <w:rPr>
          <w:rStyle w:val="FootnoteReference"/>
          <w:rFonts w:ascii="Arial" w:hAnsi="Arial" w:cs="Arial"/>
          <w:sz w:val="18"/>
          <w:szCs w:val="18"/>
          <w:lang w:val="es-ES"/>
        </w:rPr>
        <w:footnoteRef/>
      </w:r>
      <w:r w:rsidRPr="000875E3">
        <w:rPr>
          <w:rFonts w:ascii="Arial" w:hAnsi="Arial" w:cs="Arial"/>
          <w:sz w:val="18"/>
          <w:szCs w:val="18"/>
          <w:lang w:val="es-ES"/>
        </w:rPr>
        <w:t xml:space="preserve"> </w:t>
      </w:r>
      <w:r w:rsidRPr="000875E3">
        <w:rPr>
          <w:rFonts w:ascii="Arial" w:hAnsi="Arial" w:cs="Arial"/>
          <w:sz w:val="18"/>
          <w:szCs w:val="18"/>
          <w:lang w:val="es-ES"/>
        </w:rPr>
        <w:tab/>
      </w:r>
      <w:hyperlink r:id="rId5" w:history="1">
        <w:r w:rsidRPr="000875E3">
          <w:rPr>
            <w:rStyle w:val="Hyperlink"/>
            <w:rFonts w:ascii="Arial" w:hAnsi="Arial" w:cs="Arial"/>
            <w:sz w:val="18"/>
            <w:szCs w:val="18"/>
            <w:lang w:val="es-ES"/>
          </w:rPr>
          <w:t>Comunicado de CEPAL</w:t>
        </w:r>
      </w:hyperlink>
      <w:r w:rsidRPr="000875E3">
        <w:rPr>
          <w:rFonts w:ascii="Arial" w:hAnsi="Arial" w:cs="Arial"/>
          <w:sz w:val="18"/>
          <w:szCs w:val="18"/>
          <w:lang w:val="es-ES"/>
        </w:rPr>
        <w:t xml:space="preserve"> (19 de marzo, 2020).</w:t>
      </w:r>
    </w:p>
  </w:footnote>
  <w:footnote w:id="7">
    <w:p w14:paraId="571B0E46" w14:textId="77777777" w:rsidR="00DB18CA" w:rsidRPr="003D1AD6" w:rsidRDefault="00DB18CA" w:rsidP="00514234">
      <w:pPr>
        <w:pStyle w:val="FootnoteText"/>
        <w:spacing w:after="40"/>
        <w:rPr>
          <w:rFonts w:ascii="Arial" w:hAnsi="Arial" w:cs="Arial"/>
          <w:sz w:val="18"/>
          <w:szCs w:val="18"/>
          <w:lang w:val="es-ES"/>
        </w:rPr>
      </w:pPr>
      <w:r w:rsidRPr="00AF2E22">
        <w:rPr>
          <w:rStyle w:val="FootnoteReference"/>
          <w:rFonts w:ascii="Arial" w:hAnsi="Arial" w:cs="Arial"/>
          <w:sz w:val="18"/>
          <w:szCs w:val="18"/>
        </w:rPr>
        <w:footnoteRef/>
      </w:r>
      <w:r w:rsidRPr="00514234">
        <w:rPr>
          <w:rFonts w:ascii="Arial" w:hAnsi="Arial" w:cs="Arial"/>
          <w:sz w:val="18"/>
          <w:szCs w:val="18"/>
          <w:lang w:val="es-ES"/>
        </w:rPr>
        <w:t xml:space="preserve"> </w:t>
      </w:r>
      <w:r w:rsidRPr="003D1AD6">
        <w:rPr>
          <w:rFonts w:ascii="Arial" w:hAnsi="Arial" w:cs="Arial"/>
          <w:sz w:val="18"/>
          <w:szCs w:val="18"/>
          <w:lang w:val="es-ES"/>
        </w:rPr>
        <w:t xml:space="preserve"> </w:t>
      </w:r>
      <w:r w:rsidRPr="003D1AD6">
        <w:rPr>
          <w:rFonts w:ascii="Arial" w:hAnsi="Arial" w:cs="Arial"/>
          <w:sz w:val="18"/>
          <w:szCs w:val="18"/>
          <w:lang w:val="es-ES"/>
        </w:rPr>
        <w:tab/>
      </w:r>
      <w:r w:rsidRPr="00AF2E22">
        <w:rPr>
          <w:rFonts w:ascii="Arial" w:hAnsi="Arial" w:cs="Arial"/>
          <w:sz w:val="18"/>
          <w:szCs w:val="18"/>
          <w:lang w:val="es-PA"/>
        </w:rPr>
        <w:t>Existe evidencia cuantitativa y cualitativa de estos efectos durante la cr</w:t>
      </w:r>
      <w:r w:rsidRPr="00C40BD4">
        <w:rPr>
          <w:rFonts w:ascii="Arial" w:hAnsi="Arial" w:cs="Arial"/>
          <w:sz w:val="18"/>
          <w:szCs w:val="18"/>
          <w:lang w:val="es-PA"/>
        </w:rPr>
        <w:t>isis global de 2008. Por ejemplo, para países miembros de la Organización para la Cooperación y el Desarrollo Económico (OCDE)</w:t>
      </w:r>
      <w:r w:rsidRPr="00C40BD4">
        <w:rPr>
          <w:rFonts w:ascii="Arial" w:hAnsi="Arial" w:cs="Arial"/>
          <w:sz w:val="18"/>
          <w:szCs w:val="18"/>
          <w:lang w:val="es-ES"/>
        </w:rPr>
        <w:t>, ver</w:t>
      </w:r>
      <w:r w:rsidRPr="003D1AD6">
        <w:rPr>
          <w:rFonts w:ascii="Arial" w:hAnsi="Arial" w:cs="Arial"/>
          <w:sz w:val="18"/>
          <w:szCs w:val="18"/>
          <w:lang w:val="es-ES"/>
        </w:rPr>
        <w:t>: “</w:t>
      </w:r>
      <w:r w:rsidRPr="00514234">
        <w:rPr>
          <w:rFonts w:ascii="Arial" w:hAnsi="Arial" w:cs="Arial"/>
          <w:i/>
          <w:iCs/>
          <w:sz w:val="18"/>
          <w:szCs w:val="18"/>
          <w:lang w:val="es-ES"/>
        </w:rPr>
        <w:t xml:space="preserve">The </w:t>
      </w:r>
      <w:proofErr w:type="spellStart"/>
      <w:r w:rsidRPr="00514234">
        <w:rPr>
          <w:rFonts w:ascii="Arial" w:hAnsi="Arial" w:cs="Arial"/>
          <w:i/>
          <w:iCs/>
          <w:sz w:val="18"/>
          <w:szCs w:val="18"/>
          <w:lang w:val="es-ES"/>
        </w:rPr>
        <w:t>Impact</w:t>
      </w:r>
      <w:proofErr w:type="spellEnd"/>
      <w:r w:rsidRPr="00514234">
        <w:rPr>
          <w:rFonts w:ascii="Arial" w:hAnsi="Arial" w:cs="Arial"/>
          <w:i/>
          <w:iCs/>
          <w:sz w:val="18"/>
          <w:szCs w:val="18"/>
          <w:lang w:val="es-ES"/>
        </w:rPr>
        <w:t xml:space="preserve"> of the Global Crisis on SME and </w:t>
      </w:r>
      <w:proofErr w:type="spellStart"/>
      <w:r w:rsidRPr="00514234">
        <w:rPr>
          <w:rFonts w:ascii="Arial" w:hAnsi="Arial" w:cs="Arial"/>
          <w:i/>
          <w:iCs/>
          <w:sz w:val="18"/>
          <w:szCs w:val="18"/>
          <w:lang w:val="es-ES"/>
        </w:rPr>
        <w:t>Entrepreneurship</w:t>
      </w:r>
      <w:proofErr w:type="spellEnd"/>
      <w:r w:rsidRPr="00514234">
        <w:rPr>
          <w:rFonts w:ascii="Arial" w:hAnsi="Arial" w:cs="Arial"/>
          <w:i/>
          <w:iCs/>
          <w:sz w:val="18"/>
          <w:szCs w:val="18"/>
          <w:lang w:val="es-ES"/>
        </w:rPr>
        <w:t xml:space="preserve"> </w:t>
      </w:r>
      <w:proofErr w:type="spellStart"/>
      <w:r w:rsidRPr="00514234">
        <w:rPr>
          <w:rFonts w:ascii="Arial" w:hAnsi="Arial" w:cs="Arial"/>
          <w:i/>
          <w:iCs/>
          <w:sz w:val="18"/>
          <w:szCs w:val="18"/>
          <w:lang w:val="es-ES"/>
        </w:rPr>
        <w:t>Financing</w:t>
      </w:r>
      <w:proofErr w:type="spellEnd"/>
      <w:r w:rsidRPr="00514234">
        <w:rPr>
          <w:rFonts w:ascii="Arial" w:hAnsi="Arial" w:cs="Arial"/>
          <w:i/>
          <w:iCs/>
          <w:sz w:val="18"/>
          <w:szCs w:val="18"/>
          <w:lang w:val="es-ES"/>
        </w:rPr>
        <w:t xml:space="preserve"> and </w:t>
      </w:r>
      <w:proofErr w:type="spellStart"/>
      <w:r w:rsidRPr="00514234">
        <w:rPr>
          <w:rFonts w:ascii="Arial" w:hAnsi="Arial" w:cs="Arial"/>
          <w:i/>
          <w:iCs/>
          <w:sz w:val="18"/>
          <w:szCs w:val="18"/>
          <w:lang w:val="es-ES"/>
        </w:rPr>
        <w:t>Policy</w:t>
      </w:r>
      <w:proofErr w:type="spellEnd"/>
      <w:r w:rsidRPr="00514234">
        <w:rPr>
          <w:rFonts w:ascii="Arial" w:hAnsi="Arial" w:cs="Arial"/>
          <w:i/>
          <w:iCs/>
          <w:sz w:val="18"/>
          <w:szCs w:val="18"/>
          <w:lang w:val="es-ES"/>
        </w:rPr>
        <w:t xml:space="preserve"> Responses</w:t>
      </w:r>
      <w:r w:rsidRPr="00514234">
        <w:rPr>
          <w:rFonts w:ascii="Arial" w:hAnsi="Arial" w:cs="Arial"/>
          <w:sz w:val="18"/>
          <w:szCs w:val="18"/>
          <w:lang w:val="es-ES"/>
        </w:rPr>
        <w:t>”, OCDE, 2009.</w:t>
      </w:r>
    </w:p>
  </w:footnote>
  <w:footnote w:id="8">
    <w:p w14:paraId="43FF6CBF" w14:textId="58FB3673" w:rsidR="00DB18CA" w:rsidRPr="00C40BD4" w:rsidRDefault="00DB18CA" w:rsidP="0067293D">
      <w:pPr>
        <w:pStyle w:val="FootnoteText"/>
        <w:spacing w:after="0"/>
        <w:rPr>
          <w:rFonts w:ascii="Arial" w:hAnsi="Arial" w:cs="Arial"/>
          <w:sz w:val="18"/>
          <w:szCs w:val="18"/>
        </w:rPr>
      </w:pPr>
      <w:r w:rsidRPr="00AF2E22">
        <w:rPr>
          <w:rStyle w:val="FootnoteReference"/>
          <w:rFonts w:ascii="Arial" w:hAnsi="Arial" w:cs="Arial"/>
          <w:sz w:val="18"/>
          <w:szCs w:val="18"/>
        </w:rPr>
        <w:footnoteRef/>
      </w:r>
      <w:r w:rsidRPr="00514234">
        <w:rPr>
          <w:rFonts w:ascii="Arial" w:hAnsi="Arial" w:cs="Arial"/>
          <w:sz w:val="18"/>
          <w:szCs w:val="18"/>
          <w:lang w:val="es-ES"/>
        </w:rPr>
        <w:t xml:space="preserve"> </w:t>
      </w:r>
      <w:r w:rsidRPr="00514234">
        <w:rPr>
          <w:rFonts w:ascii="Arial" w:hAnsi="Arial" w:cs="Arial"/>
          <w:sz w:val="18"/>
          <w:szCs w:val="18"/>
          <w:lang w:val="es-ES"/>
        </w:rPr>
        <w:tab/>
        <w:t>El principal factor de la reducción de la oferta es el aumento de la percepción de riesgo de crédito. Por ejemplo, existe evidencia de c</w:t>
      </w:r>
      <w:r>
        <w:rPr>
          <w:rFonts w:ascii="Arial" w:hAnsi="Arial" w:cs="Arial"/>
          <w:sz w:val="18"/>
          <w:szCs w:val="18"/>
          <w:lang w:val="es-ES"/>
        </w:rPr>
        <w:t>ó</w:t>
      </w:r>
      <w:r w:rsidRPr="00514234">
        <w:rPr>
          <w:rFonts w:ascii="Arial" w:hAnsi="Arial" w:cs="Arial"/>
          <w:sz w:val="18"/>
          <w:szCs w:val="18"/>
          <w:lang w:val="es-ES"/>
        </w:rPr>
        <w:t xml:space="preserve">mo durante épocas de crisis económica el número de solicitudes de préstamo rechazos a </w:t>
      </w:r>
      <w:r w:rsidR="007F7004" w:rsidRPr="007F7004">
        <w:rPr>
          <w:rFonts w:ascii="Arial" w:hAnsi="Arial" w:cs="Arial"/>
          <w:sz w:val="18"/>
          <w:szCs w:val="18"/>
          <w:lang w:val="es-ES"/>
        </w:rPr>
        <w:t>M</w:t>
      </w:r>
      <w:proofErr w:type="spellStart"/>
      <w:r w:rsidR="007F7004" w:rsidRPr="007F7004">
        <w:rPr>
          <w:rFonts w:ascii="Arial" w:hAnsi="Arial" w:cs="Arial"/>
          <w:sz w:val="18"/>
          <w:szCs w:val="18"/>
          <w:lang w:val="es-ES_tradnl"/>
        </w:rPr>
        <w:t>iPyME</w:t>
      </w:r>
      <w:proofErr w:type="spellEnd"/>
      <w:r w:rsidRPr="00514234">
        <w:rPr>
          <w:rFonts w:ascii="Arial" w:hAnsi="Arial" w:cs="Arial"/>
          <w:sz w:val="18"/>
          <w:szCs w:val="18"/>
          <w:lang w:val="es-ES"/>
        </w:rPr>
        <w:t xml:space="preserve"> aumenta. </w:t>
      </w:r>
      <w:r>
        <w:rPr>
          <w:rFonts w:ascii="Arial" w:hAnsi="Arial" w:cs="Arial"/>
          <w:sz w:val="18"/>
          <w:szCs w:val="18"/>
        </w:rPr>
        <w:t>V</w:t>
      </w:r>
      <w:r w:rsidRPr="003D1AD6">
        <w:rPr>
          <w:rFonts w:ascii="Arial" w:hAnsi="Arial" w:cs="Arial"/>
          <w:sz w:val="18"/>
          <w:szCs w:val="18"/>
        </w:rPr>
        <w:t>er “</w:t>
      </w:r>
      <w:r w:rsidRPr="003D1AD6">
        <w:rPr>
          <w:rFonts w:ascii="Arial" w:hAnsi="Arial" w:cs="Arial"/>
          <w:i/>
          <w:iCs/>
          <w:sz w:val="18"/>
          <w:szCs w:val="18"/>
        </w:rPr>
        <w:t>The impact of the Financial Crisis on Bank Lending to SMEs in UK</w:t>
      </w:r>
      <w:r w:rsidRPr="003D1AD6">
        <w:rPr>
          <w:rFonts w:ascii="Arial" w:hAnsi="Arial" w:cs="Arial"/>
          <w:sz w:val="18"/>
          <w:szCs w:val="18"/>
        </w:rPr>
        <w:t>”, Department of Business, Innovation and Skills, 2012.</w:t>
      </w:r>
    </w:p>
  </w:footnote>
  <w:footnote w:id="9">
    <w:p w14:paraId="048D8BE9" w14:textId="77777777" w:rsidR="00DB18CA" w:rsidRPr="00C40BD4" w:rsidRDefault="00DB18CA" w:rsidP="00514234">
      <w:pPr>
        <w:pStyle w:val="FootnoteText"/>
        <w:spacing w:after="40"/>
        <w:rPr>
          <w:rFonts w:ascii="Arial" w:hAnsi="Arial" w:cs="Arial"/>
          <w:sz w:val="18"/>
          <w:szCs w:val="18"/>
        </w:rPr>
      </w:pPr>
      <w:r w:rsidRPr="00AF2E22">
        <w:rPr>
          <w:rStyle w:val="FootnoteReference"/>
          <w:rFonts w:ascii="Arial" w:hAnsi="Arial" w:cs="Arial"/>
          <w:sz w:val="18"/>
          <w:szCs w:val="18"/>
        </w:rPr>
        <w:footnoteRef/>
      </w:r>
      <w:r w:rsidRPr="003D1AD6">
        <w:rPr>
          <w:rFonts w:ascii="Arial" w:hAnsi="Arial" w:cs="Arial"/>
          <w:sz w:val="18"/>
          <w:szCs w:val="18"/>
        </w:rPr>
        <w:t xml:space="preserve"> </w:t>
      </w:r>
      <w:r w:rsidRPr="003D1AD6">
        <w:rPr>
          <w:rFonts w:ascii="Arial" w:hAnsi="Arial" w:cs="Arial"/>
          <w:sz w:val="18"/>
          <w:szCs w:val="18"/>
        </w:rPr>
        <w:tab/>
        <w:t>“</w:t>
      </w:r>
      <w:r w:rsidRPr="00AB6A15">
        <w:rPr>
          <w:rFonts w:ascii="Arial" w:hAnsi="Arial" w:cs="Arial"/>
          <w:i/>
          <w:iCs/>
          <w:sz w:val="18"/>
          <w:szCs w:val="18"/>
        </w:rPr>
        <w:t>Small and Medium Size Enterprises, Credit Supply Shocks, and Economic Recovery in Europe</w:t>
      </w:r>
      <w:r w:rsidRPr="003D1AD6">
        <w:rPr>
          <w:rFonts w:ascii="Arial" w:hAnsi="Arial" w:cs="Arial"/>
          <w:sz w:val="18"/>
          <w:szCs w:val="18"/>
        </w:rPr>
        <w:t>”</w:t>
      </w:r>
      <w:r w:rsidRPr="00AF2E22">
        <w:rPr>
          <w:rFonts w:ascii="Arial" w:hAnsi="Arial" w:cs="Arial"/>
          <w:sz w:val="18"/>
          <w:szCs w:val="18"/>
        </w:rPr>
        <w:t>, FMI, 2014</w:t>
      </w:r>
      <w:r w:rsidRPr="00C40BD4">
        <w:rPr>
          <w:rFonts w:ascii="Arial" w:hAnsi="Arial" w:cs="Arial"/>
          <w:sz w:val="18"/>
          <w:szCs w:val="18"/>
        </w:rPr>
        <w:t>.</w:t>
      </w:r>
    </w:p>
  </w:footnote>
  <w:footnote w:id="10">
    <w:p w14:paraId="453D1DF2" w14:textId="1A606D5D" w:rsidR="00DB18CA" w:rsidRPr="00C40BD4" w:rsidRDefault="00DB18CA" w:rsidP="00514234">
      <w:pPr>
        <w:pStyle w:val="FootnoteText"/>
        <w:spacing w:after="40"/>
        <w:rPr>
          <w:rFonts w:ascii="Arial" w:hAnsi="Arial" w:cs="Arial"/>
          <w:sz w:val="18"/>
          <w:szCs w:val="18"/>
        </w:rPr>
      </w:pPr>
      <w:r w:rsidRPr="00AF2E22">
        <w:rPr>
          <w:rStyle w:val="FootnoteReference"/>
          <w:rFonts w:ascii="Arial" w:hAnsi="Arial" w:cs="Arial"/>
          <w:sz w:val="18"/>
          <w:szCs w:val="18"/>
        </w:rPr>
        <w:footnoteRef/>
      </w:r>
      <w:r w:rsidRPr="00514234">
        <w:rPr>
          <w:rFonts w:ascii="Arial" w:hAnsi="Arial" w:cs="Arial"/>
          <w:sz w:val="18"/>
          <w:szCs w:val="18"/>
          <w:lang w:val="es-ES"/>
        </w:rPr>
        <w:t xml:space="preserve"> </w:t>
      </w:r>
      <w:r w:rsidRPr="00514234">
        <w:rPr>
          <w:rFonts w:ascii="Arial" w:hAnsi="Arial" w:cs="Arial"/>
          <w:sz w:val="18"/>
          <w:szCs w:val="18"/>
          <w:lang w:val="es-ES"/>
        </w:rPr>
        <w:tab/>
        <w:t xml:space="preserve">Estudio realizado por el Fondo Monetario Internacional (FMI) en la zona euro encuentra que la oferta de crédito esta correlacionada con el tamaño de empresa, y que el crédito se redujo en mayor proporción en las </w:t>
      </w:r>
      <w:r w:rsidR="00AB6A15" w:rsidRPr="00AB6A15">
        <w:rPr>
          <w:rFonts w:ascii="Arial" w:hAnsi="Arial" w:cs="Arial"/>
          <w:sz w:val="18"/>
          <w:szCs w:val="18"/>
          <w:lang w:val="es-ES_tradnl"/>
        </w:rPr>
        <w:t>MiPyME</w:t>
      </w:r>
      <w:r w:rsidRPr="00514234">
        <w:rPr>
          <w:rFonts w:ascii="Arial" w:hAnsi="Arial" w:cs="Arial"/>
          <w:sz w:val="18"/>
          <w:szCs w:val="18"/>
          <w:lang w:val="es-ES"/>
        </w:rPr>
        <w:t xml:space="preserve">. </w:t>
      </w:r>
      <w:r w:rsidRPr="003D1AD6">
        <w:rPr>
          <w:rFonts w:ascii="Arial" w:hAnsi="Arial" w:cs="Arial"/>
          <w:sz w:val="18"/>
          <w:szCs w:val="18"/>
        </w:rPr>
        <w:t>“</w:t>
      </w:r>
      <w:r w:rsidRPr="00C40BD4">
        <w:rPr>
          <w:rFonts w:ascii="Arial" w:hAnsi="Arial" w:cs="Arial"/>
          <w:i/>
          <w:iCs/>
          <w:sz w:val="18"/>
          <w:szCs w:val="18"/>
        </w:rPr>
        <w:t>Access to Finance by SMEs in the Euro Area—What Helps or Hampers?</w:t>
      </w:r>
      <w:r w:rsidRPr="00C40BD4">
        <w:rPr>
          <w:rFonts w:ascii="Arial" w:hAnsi="Arial" w:cs="Arial"/>
          <w:sz w:val="18"/>
          <w:szCs w:val="18"/>
        </w:rPr>
        <w:t>, FMI, 2013.</w:t>
      </w:r>
    </w:p>
  </w:footnote>
  <w:footnote w:id="11">
    <w:p w14:paraId="54B29E83" w14:textId="77777777" w:rsidR="00DB18CA" w:rsidRPr="00AF2E22" w:rsidRDefault="00DB18CA" w:rsidP="0067293D">
      <w:pPr>
        <w:pStyle w:val="FootnoteText"/>
        <w:spacing w:after="0"/>
      </w:pPr>
      <w:r w:rsidRPr="00AF2E22">
        <w:rPr>
          <w:rStyle w:val="FootnoteReference"/>
          <w:rFonts w:ascii="Arial" w:hAnsi="Arial" w:cs="Arial"/>
          <w:sz w:val="18"/>
          <w:szCs w:val="18"/>
        </w:rPr>
        <w:footnoteRef/>
      </w:r>
      <w:r w:rsidRPr="003D1AD6">
        <w:rPr>
          <w:rFonts w:ascii="Arial" w:hAnsi="Arial" w:cs="Arial"/>
          <w:sz w:val="18"/>
          <w:szCs w:val="18"/>
        </w:rPr>
        <w:t xml:space="preserve"> </w:t>
      </w:r>
      <w:r w:rsidRPr="003D1AD6">
        <w:rPr>
          <w:rFonts w:ascii="Arial" w:hAnsi="Arial" w:cs="Arial"/>
          <w:sz w:val="18"/>
          <w:szCs w:val="18"/>
        </w:rPr>
        <w:tab/>
        <w:t xml:space="preserve">Por </w:t>
      </w:r>
      <w:proofErr w:type="spellStart"/>
      <w:r w:rsidRPr="003D1AD6">
        <w:rPr>
          <w:rFonts w:ascii="Arial" w:hAnsi="Arial" w:cs="Arial"/>
          <w:sz w:val="18"/>
          <w:szCs w:val="18"/>
        </w:rPr>
        <w:t>ejemplo</w:t>
      </w:r>
      <w:proofErr w:type="spellEnd"/>
      <w:r w:rsidRPr="003D1AD6">
        <w:rPr>
          <w:rFonts w:ascii="Arial" w:hAnsi="Arial" w:cs="Arial"/>
          <w:sz w:val="18"/>
          <w:szCs w:val="18"/>
        </w:rPr>
        <w:t xml:space="preserve">, </w:t>
      </w:r>
      <w:proofErr w:type="spellStart"/>
      <w:r w:rsidRPr="003D1AD6">
        <w:rPr>
          <w:rFonts w:ascii="Arial" w:hAnsi="Arial" w:cs="Arial"/>
          <w:sz w:val="18"/>
          <w:szCs w:val="18"/>
        </w:rPr>
        <w:t>ver</w:t>
      </w:r>
      <w:proofErr w:type="spellEnd"/>
      <w:r w:rsidRPr="003D1AD6">
        <w:rPr>
          <w:rFonts w:ascii="Arial" w:hAnsi="Arial" w:cs="Arial"/>
          <w:sz w:val="18"/>
          <w:szCs w:val="18"/>
        </w:rPr>
        <w:t xml:space="preserve"> </w:t>
      </w:r>
      <w:proofErr w:type="spellStart"/>
      <w:r w:rsidRPr="003D1AD6">
        <w:rPr>
          <w:rFonts w:ascii="Arial" w:hAnsi="Arial" w:cs="Arial"/>
          <w:sz w:val="18"/>
          <w:szCs w:val="18"/>
        </w:rPr>
        <w:t>evidencia</w:t>
      </w:r>
      <w:proofErr w:type="spellEnd"/>
      <w:r w:rsidRPr="003D1AD6">
        <w:rPr>
          <w:rFonts w:ascii="Arial" w:hAnsi="Arial" w:cs="Arial"/>
          <w:sz w:val="18"/>
          <w:szCs w:val="18"/>
        </w:rPr>
        <w:t xml:space="preserve"> para </w:t>
      </w:r>
      <w:proofErr w:type="spellStart"/>
      <w:r w:rsidRPr="003D1AD6">
        <w:rPr>
          <w:rFonts w:ascii="Arial" w:hAnsi="Arial" w:cs="Arial"/>
          <w:sz w:val="18"/>
          <w:szCs w:val="18"/>
        </w:rPr>
        <w:t>Estados</w:t>
      </w:r>
      <w:proofErr w:type="spellEnd"/>
      <w:r w:rsidRPr="003D1AD6">
        <w:rPr>
          <w:rFonts w:ascii="Arial" w:hAnsi="Arial" w:cs="Arial"/>
          <w:sz w:val="18"/>
          <w:szCs w:val="18"/>
        </w:rPr>
        <w:t xml:space="preserve"> Unidos </w:t>
      </w:r>
      <w:proofErr w:type="spellStart"/>
      <w:r w:rsidRPr="003D1AD6">
        <w:rPr>
          <w:rFonts w:ascii="Arial" w:hAnsi="Arial" w:cs="Arial"/>
          <w:sz w:val="18"/>
          <w:szCs w:val="18"/>
        </w:rPr>
        <w:t>en</w:t>
      </w:r>
      <w:proofErr w:type="spellEnd"/>
      <w:r w:rsidRPr="003D1AD6">
        <w:rPr>
          <w:rFonts w:ascii="Arial" w:hAnsi="Arial" w:cs="Arial"/>
          <w:sz w:val="18"/>
          <w:szCs w:val="18"/>
        </w:rPr>
        <w:t xml:space="preserve"> “</w:t>
      </w:r>
      <w:r w:rsidRPr="003D1AD6">
        <w:rPr>
          <w:rFonts w:ascii="Arial" w:hAnsi="Arial" w:cs="Arial"/>
          <w:i/>
          <w:iCs/>
          <w:sz w:val="18"/>
          <w:szCs w:val="18"/>
        </w:rPr>
        <w:t>Small Businesses and Small Business Finance during the Financial Crisis and the Great Recession - New Evidence from the Survey of  Consumer Finances</w:t>
      </w:r>
      <w:r w:rsidRPr="003D1AD6">
        <w:rPr>
          <w:rFonts w:ascii="Arial" w:hAnsi="Arial" w:cs="Arial"/>
          <w:sz w:val="18"/>
          <w:szCs w:val="18"/>
        </w:rPr>
        <w:t xml:space="preserve">”, </w:t>
      </w:r>
      <w:r w:rsidRPr="00AB6A15">
        <w:rPr>
          <w:rFonts w:ascii="Arial" w:hAnsi="Arial" w:cs="Arial"/>
          <w:i/>
          <w:iCs/>
          <w:sz w:val="18"/>
          <w:szCs w:val="18"/>
        </w:rPr>
        <w:t>National Bureau of Economic Research</w:t>
      </w:r>
      <w:r w:rsidRPr="003D1AD6">
        <w:rPr>
          <w:rFonts w:ascii="Arial" w:hAnsi="Arial" w:cs="Arial"/>
          <w:sz w:val="18"/>
          <w:szCs w:val="18"/>
        </w:rPr>
        <w:t>, 2017.</w:t>
      </w:r>
    </w:p>
  </w:footnote>
  <w:footnote w:id="12">
    <w:p w14:paraId="6377DA02" w14:textId="0C39412D" w:rsidR="00DB18CA" w:rsidRPr="003D1AD6" w:rsidRDefault="00DB18CA" w:rsidP="0067293D">
      <w:pPr>
        <w:pStyle w:val="FootnoteText"/>
        <w:spacing w:after="0"/>
        <w:rPr>
          <w:rFonts w:ascii="Arial" w:hAnsi="Arial" w:cs="Arial"/>
          <w:sz w:val="18"/>
          <w:szCs w:val="18"/>
          <w:lang w:val="es-ES"/>
        </w:rPr>
      </w:pPr>
      <w:r w:rsidRPr="00000951">
        <w:rPr>
          <w:rStyle w:val="FootnoteReference"/>
          <w:rFonts w:ascii="Arial" w:hAnsi="Arial" w:cs="Arial"/>
          <w:sz w:val="18"/>
          <w:szCs w:val="18"/>
        </w:rPr>
        <w:footnoteRef/>
      </w:r>
      <w:r w:rsidRPr="00514234">
        <w:rPr>
          <w:rFonts w:ascii="Arial" w:hAnsi="Arial" w:cs="Arial"/>
          <w:sz w:val="18"/>
          <w:szCs w:val="18"/>
          <w:lang w:val="es-ES"/>
        </w:rPr>
        <w:t xml:space="preserve"> </w:t>
      </w:r>
      <w:r w:rsidRPr="003D1AD6">
        <w:rPr>
          <w:rFonts w:ascii="Arial" w:hAnsi="Arial" w:cs="Arial"/>
          <w:sz w:val="18"/>
          <w:szCs w:val="18"/>
          <w:lang w:val="es-ES"/>
        </w:rPr>
        <w:tab/>
      </w:r>
      <w:r>
        <w:rPr>
          <w:rFonts w:ascii="Arial" w:hAnsi="Arial" w:cs="Arial"/>
          <w:sz w:val="18"/>
          <w:szCs w:val="18"/>
          <w:lang w:val="es-ES"/>
        </w:rPr>
        <w:t>El</w:t>
      </w:r>
      <w:r w:rsidRPr="00514234">
        <w:rPr>
          <w:rFonts w:ascii="Arial" w:hAnsi="Arial" w:cs="Arial"/>
          <w:sz w:val="18"/>
          <w:szCs w:val="18"/>
          <w:lang w:val="es-ES"/>
        </w:rPr>
        <w:t xml:space="preserve"> Documento de </w:t>
      </w:r>
      <w:r w:rsidRPr="00AB6A15">
        <w:rPr>
          <w:rFonts w:ascii="Arial" w:hAnsi="Arial" w:cs="Arial"/>
          <w:sz w:val="18"/>
          <w:szCs w:val="18"/>
          <w:lang w:val="es-CO"/>
        </w:rPr>
        <w:t>Marco</w:t>
      </w:r>
      <w:r w:rsidRPr="00514234">
        <w:rPr>
          <w:rFonts w:ascii="Arial" w:hAnsi="Arial" w:cs="Arial"/>
          <w:sz w:val="18"/>
          <w:szCs w:val="18"/>
          <w:lang w:val="es-ES"/>
        </w:rPr>
        <w:t xml:space="preserve"> Sectorial de Respaldo para P</w:t>
      </w:r>
      <w:r w:rsidR="00AB6A15">
        <w:rPr>
          <w:rFonts w:ascii="Arial" w:hAnsi="Arial" w:cs="Arial"/>
          <w:sz w:val="18"/>
          <w:szCs w:val="18"/>
          <w:lang w:val="es-ES"/>
        </w:rPr>
        <w:t>y</w:t>
      </w:r>
      <w:r w:rsidRPr="00514234">
        <w:rPr>
          <w:rFonts w:ascii="Arial" w:hAnsi="Arial" w:cs="Arial"/>
          <w:sz w:val="18"/>
          <w:szCs w:val="18"/>
          <w:lang w:val="es-ES"/>
        </w:rPr>
        <w:t>ME y Acceso y Supervisión Financieros (GN-2768-7)</w:t>
      </w:r>
      <w:r>
        <w:rPr>
          <w:rFonts w:ascii="Arial" w:hAnsi="Arial" w:cs="Arial"/>
          <w:sz w:val="18"/>
          <w:szCs w:val="18"/>
          <w:lang w:val="es-ES"/>
        </w:rPr>
        <w:t xml:space="preserve"> ofrece u</w:t>
      </w:r>
      <w:r w:rsidRPr="003D1AD6">
        <w:rPr>
          <w:rFonts w:ascii="Arial" w:hAnsi="Arial" w:cs="Arial"/>
          <w:sz w:val="18"/>
          <w:szCs w:val="18"/>
          <w:lang w:val="es-ES"/>
        </w:rPr>
        <w:t>n di</w:t>
      </w:r>
      <w:r w:rsidRPr="00514234">
        <w:rPr>
          <w:rFonts w:ascii="Arial" w:hAnsi="Arial" w:cs="Arial"/>
          <w:sz w:val="18"/>
          <w:szCs w:val="18"/>
          <w:lang w:val="es-ES"/>
        </w:rPr>
        <w:t xml:space="preserve">agnóstico detallado sobre los problemas de acceso a financiamiento de las </w:t>
      </w:r>
      <w:r w:rsidR="00AB6A15" w:rsidRPr="00AB6A15">
        <w:rPr>
          <w:rFonts w:ascii="Arial" w:hAnsi="Arial" w:cs="Arial"/>
          <w:sz w:val="18"/>
          <w:szCs w:val="18"/>
          <w:lang w:val="es-ES_tradnl"/>
        </w:rPr>
        <w:t>MiPyME</w:t>
      </w:r>
      <w:r w:rsidRPr="00514234">
        <w:rPr>
          <w:rFonts w:ascii="Arial" w:hAnsi="Arial" w:cs="Arial"/>
          <w:sz w:val="18"/>
          <w:szCs w:val="18"/>
          <w:lang w:val="es-ES"/>
        </w:rPr>
        <w:t xml:space="preserve"> de la región.</w:t>
      </w:r>
    </w:p>
  </w:footnote>
  <w:footnote w:id="13">
    <w:p w14:paraId="72E93E54" w14:textId="2F9144DB" w:rsidR="00DB18CA" w:rsidRPr="00B24A49" w:rsidRDefault="00DB18CA" w:rsidP="0067293D">
      <w:pPr>
        <w:pStyle w:val="FootnoteText"/>
        <w:spacing w:after="0"/>
        <w:rPr>
          <w:rFonts w:ascii="Arial" w:hAnsi="Arial" w:cs="Arial"/>
          <w:sz w:val="18"/>
          <w:szCs w:val="18"/>
          <w:lang w:val="es-ES"/>
        </w:rPr>
      </w:pPr>
      <w:r w:rsidRPr="00B24A49">
        <w:rPr>
          <w:rStyle w:val="FootnoteReference"/>
          <w:rFonts w:ascii="Arial" w:hAnsi="Arial" w:cs="Arial"/>
          <w:sz w:val="18"/>
          <w:szCs w:val="18"/>
        </w:rPr>
        <w:footnoteRef/>
      </w:r>
      <w:r w:rsidRPr="00B24A49">
        <w:rPr>
          <w:rFonts w:ascii="Arial" w:hAnsi="Arial" w:cs="Arial"/>
          <w:sz w:val="18"/>
          <w:szCs w:val="18"/>
          <w:lang w:val="es-ES"/>
        </w:rPr>
        <w:t xml:space="preserve"> </w:t>
      </w:r>
      <w:r>
        <w:rPr>
          <w:rFonts w:ascii="Arial" w:hAnsi="Arial" w:cs="Arial"/>
          <w:sz w:val="18"/>
          <w:szCs w:val="18"/>
          <w:lang w:val="es-ES"/>
        </w:rPr>
        <w:tab/>
        <w:t xml:space="preserve">El segmento </w:t>
      </w:r>
      <w:r w:rsidR="00AB6A15" w:rsidRPr="00AB6A15">
        <w:rPr>
          <w:rFonts w:ascii="Arial" w:hAnsi="Arial" w:cs="Arial"/>
          <w:sz w:val="18"/>
          <w:szCs w:val="18"/>
          <w:lang w:val="es-ES_tradnl"/>
        </w:rPr>
        <w:t>MiPyME</w:t>
      </w:r>
      <w:r>
        <w:rPr>
          <w:rFonts w:ascii="Arial" w:hAnsi="Arial" w:cs="Arial"/>
          <w:sz w:val="18"/>
          <w:szCs w:val="18"/>
          <w:lang w:val="es-ES"/>
        </w:rPr>
        <w:t xml:space="preserve"> presenta </w:t>
      </w:r>
      <w:r w:rsidRPr="00B24A49">
        <w:rPr>
          <w:rFonts w:ascii="Arial" w:hAnsi="Arial" w:cs="Arial"/>
          <w:sz w:val="18"/>
          <w:szCs w:val="18"/>
          <w:lang w:val="es-ES_tradnl"/>
        </w:rPr>
        <w:t>obstáculos específicos para el acceso al financiamiento respecto a empresas de mayor tamaño como son: (i) ciclos comerciales más cortos con mayores necesidades de liquidez a corto plazo; (ii) carencia de instrumentos para la gestión del riesgo asociado a su ciclo de proyectos; (iii) mayores limitaciones de colateral disponible y su ejecución, debido a la falta de capital existente; (iv) altos costos de operación para prestar a escalas pequeñas; y (v) menor rentabilidad que otros segmentos empresariales.</w:t>
      </w:r>
    </w:p>
  </w:footnote>
  <w:footnote w:id="14">
    <w:p w14:paraId="1A09BC45" w14:textId="5671041A" w:rsidR="002E456A" w:rsidRPr="002E456A" w:rsidRDefault="002E456A" w:rsidP="002E456A">
      <w:pPr>
        <w:pStyle w:val="FootnoteText"/>
        <w:spacing w:after="0"/>
        <w:rPr>
          <w:rFonts w:ascii="Arial" w:hAnsi="Arial" w:cs="Arial"/>
          <w:sz w:val="18"/>
          <w:szCs w:val="18"/>
          <w:lang w:val="es-CO"/>
        </w:rPr>
      </w:pPr>
      <w:r w:rsidRPr="00A14174">
        <w:rPr>
          <w:rStyle w:val="FootnoteReference"/>
          <w:rFonts w:ascii="Arial" w:hAnsi="Arial" w:cs="Arial"/>
          <w:sz w:val="18"/>
          <w:szCs w:val="18"/>
        </w:rPr>
        <w:footnoteRef/>
      </w:r>
      <w:r w:rsidRPr="002E456A">
        <w:rPr>
          <w:rFonts w:ascii="Arial" w:hAnsi="Arial" w:cs="Arial"/>
          <w:sz w:val="18"/>
          <w:szCs w:val="18"/>
          <w:lang w:val="es-CO"/>
        </w:rPr>
        <w:t xml:space="preserve">    Para más información ver </w:t>
      </w:r>
      <w:hyperlink r:id="rId6" w:history="1">
        <w:r w:rsidRPr="002E456A">
          <w:rPr>
            <w:rStyle w:val="Hyperlink"/>
            <w:rFonts w:ascii="Arial" w:hAnsi="Arial" w:cs="Arial"/>
            <w:sz w:val="18"/>
            <w:szCs w:val="18"/>
            <w:lang w:val="es-CO"/>
          </w:rPr>
          <w:t>EEO#5</w:t>
        </w:r>
      </w:hyperlink>
      <w:r w:rsidRPr="002E456A">
        <w:rPr>
          <w:rFonts w:ascii="Arial" w:hAnsi="Arial" w:cs="Arial"/>
          <w:sz w:val="18"/>
          <w:szCs w:val="18"/>
          <w:lang w:val="es-CO"/>
        </w:rPr>
        <w:t>.</w:t>
      </w:r>
    </w:p>
  </w:footnote>
  <w:footnote w:id="15">
    <w:p w14:paraId="6D63D389" w14:textId="77777777" w:rsidR="00D01FD3" w:rsidRPr="008B624A" w:rsidRDefault="00D01FD3" w:rsidP="00D01FD3">
      <w:pPr>
        <w:pStyle w:val="FootnoteText"/>
        <w:spacing w:after="0"/>
        <w:rPr>
          <w:rFonts w:ascii="Arial" w:hAnsi="Arial" w:cs="Arial"/>
          <w:lang w:val="es-CO"/>
        </w:rPr>
      </w:pPr>
      <w:r w:rsidRPr="000875E3">
        <w:rPr>
          <w:rStyle w:val="FootnoteReference"/>
          <w:rFonts w:ascii="Arial" w:hAnsi="Arial" w:cs="Arial"/>
          <w:sz w:val="18"/>
          <w:szCs w:val="18"/>
        </w:rPr>
        <w:footnoteRef/>
      </w:r>
      <w:r w:rsidRPr="00D01FD3">
        <w:rPr>
          <w:rFonts w:ascii="Arial" w:hAnsi="Arial" w:cs="Arial"/>
          <w:sz w:val="18"/>
          <w:szCs w:val="18"/>
          <w:lang w:val="es-CO"/>
        </w:rPr>
        <w:t xml:space="preserve">  </w:t>
      </w:r>
      <w:r w:rsidRPr="00D01FD3">
        <w:rPr>
          <w:rFonts w:ascii="Arial" w:hAnsi="Arial" w:cs="Arial"/>
          <w:sz w:val="18"/>
          <w:szCs w:val="18"/>
          <w:lang w:val="es-CO"/>
        </w:rPr>
        <w:tab/>
        <w:t xml:space="preserve">Según la estratificación oficial de la Secretaría de Economía, las MiPyME puede tener hasta 250 empleados y MXN$250 millones en ventas. </w:t>
      </w:r>
      <w:r w:rsidRPr="008B624A">
        <w:rPr>
          <w:rFonts w:ascii="Arial" w:hAnsi="Arial" w:cs="Arial"/>
          <w:sz w:val="18"/>
          <w:szCs w:val="18"/>
          <w:lang w:val="es-CO"/>
        </w:rPr>
        <w:t xml:space="preserve">Constituyen el 99% de las empresas totales. </w:t>
      </w:r>
    </w:p>
  </w:footnote>
  <w:footnote w:id="16">
    <w:p w14:paraId="5D05E2C6" w14:textId="77777777" w:rsidR="00C51E2C" w:rsidRPr="008B624A" w:rsidRDefault="00C51E2C" w:rsidP="00C51E2C">
      <w:pPr>
        <w:pStyle w:val="FootnoteText"/>
        <w:spacing w:after="0"/>
        <w:ind w:left="274" w:hanging="274"/>
        <w:rPr>
          <w:rFonts w:ascii="Arial" w:hAnsi="Arial" w:cs="Arial"/>
          <w:sz w:val="18"/>
          <w:szCs w:val="18"/>
          <w:lang w:val="es-CO"/>
        </w:rPr>
      </w:pPr>
      <w:r w:rsidRPr="00CA095E">
        <w:rPr>
          <w:rStyle w:val="FootnoteReference"/>
          <w:rFonts w:ascii="Arial" w:hAnsi="Arial" w:cs="Arial"/>
          <w:sz w:val="18"/>
          <w:szCs w:val="18"/>
        </w:rPr>
        <w:footnoteRef/>
      </w:r>
      <w:r w:rsidRPr="008B624A">
        <w:rPr>
          <w:rFonts w:ascii="Arial" w:hAnsi="Arial" w:cs="Arial"/>
          <w:sz w:val="18"/>
          <w:szCs w:val="18"/>
          <w:lang w:val="es-CO"/>
        </w:rPr>
        <w:tab/>
        <w:t xml:space="preserve">NAFIN, Banco Nacional de Comercio Exterior (BANCOMEXT), Sociedad Hipotecaria Federal, S.N.C (SHF), Financiera Nacional de Desarrollo Agropecuario, Rural, Forestal y Pesquero (FND), </w:t>
      </w:r>
      <w:r w:rsidRPr="00BE6876">
        <w:rPr>
          <w:rFonts w:ascii="Arial" w:hAnsi="Arial" w:cs="Arial"/>
          <w:sz w:val="18"/>
          <w:szCs w:val="18"/>
          <w:lang w:val="es-ES"/>
        </w:rPr>
        <w:t xml:space="preserve">Fideicomisos Instituidos en Relación con la Agricultura </w:t>
      </w:r>
      <w:r>
        <w:rPr>
          <w:rFonts w:ascii="Arial" w:hAnsi="Arial" w:cs="Arial"/>
          <w:sz w:val="18"/>
          <w:szCs w:val="18"/>
          <w:lang w:val="es-ES"/>
        </w:rPr>
        <w:t>(</w:t>
      </w:r>
      <w:r w:rsidRPr="008B624A">
        <w:rPr>
          <w:rFonts w:ascii="Arial" w:hAnsi="Arial" w:cs="Arial"/>
          <w:sz w:val="18"/>
          <w:szCs w:val="18"/>
          <w:lang w:val="es-CO"/>
        </w:rPr>
        <w:t>FIRA) y Banco Nacional de Obras y Servicios Públicos, S.N.C (BANOBRAS).</w:t>
      </w:r>
    </w:p>
  </w:footnote>
  <w:footnote w:id="17">
    <w:p w14:paraId="5591B171" w14:textId="77777777" w:rsidR="008B624A" w:rsidRPr="00AB31DB" w:rsidRDefault="008B624A" w:rsidP="008B624A">
      <w:pPr>
        <w:pStyle w:val="FootnoteText"/>
        <w:spacing w:after="0"/>
        <w:ind w:left="274" w:hanging="274"/>
        <w:rPr>
          <w:rFonts w:ascii="Arial" w:hAnsi="Arial" w:cs="Arial"/>
          <w:lang w:val="es-CO"/>
        </w:rPr>
      </w:pPr>
      <w:r w:rsidRPr="00AB31DB">
        <w:rPr>
          <w:rStyle w:val="FootnoteReference"/>
          <w:rFonts w:ascii="Arial" w:hAnsi="Arial" w:cs="Arial"/>
          <w:sz w:val="18"/>
          <w:szCs w:val="18"/>
        </w:rPr>
        <w:footnoteRef/>
      </w:r>
      <w:r w:rsidRPr="000751E1">
        <w:rPr>
          <w:rFonts w:ascii="Arial" w:hAnsi="Arial" w:cs="Arial"/>
          <w:sz w:val="18"/>
          <w:szCs w:val="18"/>
          <w:lang w:val="es-CO"/>
        </w:rPr>
        <w:t xml:space="preserve"> </w:t>
      </w:r>
      <w:r w:rsidRPr="000751E1">
        <w:rPr>
          <w:rFonts w:ascii="Arial" w:hAnsi="Arial" w:cs="Arial"/>
          <w:sz w:val="18"/>
          <w:szCs w:val="18"/>
          <w:lang w:val="es-CO"/>
        </w:rPr>
        <w:tab/>
        <w:t xml:space="preserve">El programa impulsado por el gobierno se dirige a un mercado diferente al de la presente intervención, </w:t>
      </w:r>
      <w:bookmarkStart w:id="7" w:name="_Hlk42086545"/>
      <w:r w:rsidRPr="000751E1">
        <w:rPr>
          <w:rFonts w:ascii="Arial" w:hAnsi="Arial" w:cs="Arial"/>
          <w:sz w:val="18"/>
          <w:szCs w:val="18"/>
          <w:lang w:val="es-CO"/>
        </w:rPr>
        <w:t>principalmente al focalizarse en empresas y créditos de menor tamaño (microcréditos)</w:t>
      </w:r>
      <w:bookmarkEnd w:id="7"/>
      <w:r w:rsidRPr="000751E1">
        <w:rPr>
          <w:rFonts w:ascii="Arial" w:hAnsi="Arial" w:cs="Arial"/>
          <w:sz w:val="18"/>
          <w:szCs w:val="18"/>
          <w:lang w:val="es-CO"/>
        </w:rPr>
        <w:t>.</w:t>
      </w:r>
    </w:p>
  </w:footnote>
  <w:footnote w:id="18">
    <w:p w14:paraId="394D3F28" w14:textId="085E62D6" w:rsidR="00855419" w:rsidRPr="00855419" w:rsidRDefault="00855419" w:rsidP="00855419">
      <w:pPr>
        <w:pStyle w:val="FootnoteText"/>
        <w:spacing w:after="0"/>
        <w:rPr>
          <w:rFonts w:ascii="Arial" w:hAnsi="Arial" w:cs="Arial"/>
          <w:sz w:val="18"/>
          <w:szCs w:val="18"/>
          <w:lang w:val="es-CO"/>
        </w:rPr>
      </w:pPr>
      <w:r w:rsidRPr="00542A1A">
        <w:rPr>
          <w:rStyle w:val="FootnoteReference"/>
          <w:rFonts w:ascii="Arial" w:hAnsi="Arial" w:cs="Arial"/>
          <w:sz w:val="18"/>
          <w:szCs w:val="18"/>
        </w:rPr>
        <w:footnoteRef/>
      </w:r>
      <w:r w:rsidRPr="00855419">
        <w:rPr>
          <w:rFonts w:ascii="Arial" w:hAnsi="Arial" w:cs="Arial"/>
          <w:sz w:val="18"/>
          <w:szCs w:val="18"/>
          <w:lang w:val="es-CO"/>
        </w:rPr>
        <w:t xml:space="preserve"> </w:t>
      </w:r>
      <w:r w:rsidRPr="00855419">
        <w:rPr>
          <w:rFonts w:ascii="Arial" w:hAnsi="Arial" w:cs="Arial"/>
          <w:sz w:val="18"/>
          <w:szCs w:val="18"/>
          <w:lang w:val="es-CO"/>
        </w:rPr>
        <w:tab/>
        <w:t xml:space="preserve">Incluyendo, entre otros, los </w:t>
      </w:r>
      <w:r w:rsidRPr="00542A1A">
        <w:rPr>
          <w:rFonts w:ascii="Arial" w:hAnsi="Arial" w:cs="Arial"/>
          <w:sz w:val="18"/>
          <w:szCs w:val="18"/>
          <w:lang w:val="es-ES"/>
        </w:rPr>
        <w:t xml:space="preserve">subsectores de: </w:t>
      </w:r>
      <w:r>
        <w:rPr>
          <w:rFonts w:ascii="Arial" w:hAnsi="Arial" w:cs="Arial"/>
          <w:sz w:val="18"/>
          <w:szCs w:val="18"/>
          <w:lang w:val="es-ES"/>
        </w:rPr>
        <w:t xml:space="preserve">(i) </w:t>
      </w:r>
      <w:r w:rsidRPr="00542A1A">
        <w:rPr>
          <w:rFonts w:ascii="Arial" w:hAnsi="Arial" w:cs="Arial"/>
          <w:sz w:val="18"/>
          <w:szCs w:val="18"/>
          <w:lang w:val="es-ES"/>
        </w:rPr>
        <w:t xml:space="preserve">restaurantes; </w:t>
      </w:r>
      <w:r>
        <w:rPr>
          <w:rFonts w:ascii="Arial" w:hAnsi="Arial" w:cs="Arial"/>
          <w:sz w:val="18"/>
          <w:szCs w:val="18"/>
          <w:lang w:val="es-ES"/>
        </w:rPr>
        <w:t xml:space="preserve">(ii) </w:t>
      </w:r>
      <w:r w:rsidRPr="00542A1A">
        <w:rPr>
          <w:rFonts w:ascii="Arial" w:hAnsi="Arial" w:cs="Arial"/>
          <w:sz w:val="18"/>
          <w:szCs w:val="18"/>
          <w:lang w:val="es-ES"/>
        </w:rPr>
        <w:t xml:space="preserve">hoteles y otros servicios de alojamiento temporal; </w:t>
      </w:r>
      <w:r>
        <w:rPr>
          <w:rFonts w:ascii="Arial" w:hAnsi="Arial" w:cs="Arial"/>
          <w:sz w:val="18"/>
          <w:szCs w:val="18"/>
          <w:lang w:val="es-ES"/>
        </w:rPr>
        <w:t>(iii) </w:t>
      </w:r>
      <w:r w:rsidRPr="00542A1A">
        <w:rPr>
          <w:rFonts w:ascii="Arial" w:hAnsi="Arial" w:cs="Arial"/>
          <w:sz w:val="18"/>
          <w:szCs w:val="18"/>
          <w:lang w:val="es-ES"/>
        </w:rPr>
        <w:t xml:space="preserve">servicio de reparación y mantenimiento automotriz; y </w:t>
      </w:r>
      <w:r>
        <w:rPr>
          <w:rFonts w:ascii="Arial" w:hAnsi="Arial" w:cs="Arial"/>
          <w:sz w:val="18"/>
          <w:szCs w:val="18"/>
          <w:lang w:val="es-ES"/>
        </w:rPr>
        <w:t xml:space="preserve">(iv) </w:t>
      </w:r>
      <w:r w:rsidRPr="00542A1A">
        <w:rPr>
          <w:rFonts w:ascii="Arial" w:hAnsi="Arial" w:cs="Arial"/>
          <w:sz w:val="18"/>
          <w:szCs w:val="18"/>
          <w:lang w:val="es-ES"/>
        </w:rPr>
        <w:t>servicios inmobiliarios</w:t>
      </w:r>
      <w:r>
        <w:rPr>
          <w:rFonts w:ascii="Arial" w:hAnsi="Arial" w:cs="Arial"/>
          <w:sz w:val="18"/>
          <w:szCs w:val="18"/>
          <w:lang w:val="es-ES"/>
        </w:rPr>
        <w:t>.</w:t>
      </w:r>
    </w:p>
  </w:footnote>
  <w:footnote w:id="19">
    <w:p w14:paraId="637CAF88" w14:textId="77777777" w:rsidR="00855419" w:rsidRPr="00266BBA" w:rsidRDefault="00855419" w:rsidP="00855419">
      <w:pPr>
        <w:pStyle w:val="FootnoteText"/>
        <w:spacing w:after="0"/>
        <w:rPr>
          <w:lang w:val="es-CO"/>
        </w:rPr>
      </w:pPr>
      <w:r w:rsidRPr="004F04B2">
        <w:rPr>
          <w:rStyle w:val="FootnoteReference"/>
          <w:rFonts w:ascii="Arial" w:hAnsi="Arial" w:cs="Arial"/>
          <w:sz w:val="18"/>
          <w:szCs w:val="18"/>
        </w:rPr>
        <w:footnoteRef/>
      </w:r>
      <w:r w:rsidRPr="00266BBA">
        <w:rPr>
          <w:rStyle w:val="FootnoteReference"/>
          <w:rFonts w:ascii="Arial" w:hAnsi="Arial" w:cs="Arial"/>
          <w:sz w:val="18"/>
          <w:szCs w:val="18"/>
          <w:lang w:val="es-CO"/>
        </w:rPr>
        <w:t xml:space="preserve"> </w:t>
      </w:r>
      <w:r w:rsidRPr="00266BBA">
        <w:rPr>
          <w:rFonts w:ascii="Arial" w:hAnsi="Arial" w:cs="Arial"/>
          <w:sz w:val="18"/>
          <w:szCs w:val="18"/>
          <w:lang w:val="es-CO"/>
        </w:rPr>
        <w:t xml:space="preserve"> </w:t>
      </w:r>
      <w:r w:rsidRPr="00266BBA">
        <w:rPr>
          <w:rFonts w:ascii="Arial" w:hAnsi="Arial" w:cs="Arial"/>
          <w:sz w:val="18"/>
          <w:szCs w:val="18"/>
          <w:lang w:val="es-CO"/>
        </w:rPr>
        <w:tab/>
      </w:r>
      <w:r w:rsidRPr="00855419">
        <w:rPr>
          <w:rFonts w:ascii="Arial" w:hAnsi="Arial" w:cs="Arial"/>
          <w:sz w:val="18"/>
          <w:szCs w:val="18"/>
          <w:lang w:val="es-CO"/>
        </w:rPr>
        <w:t>Incluyendo, entre otros, los subsectores de: (i) adquisición de bienes de consumo; (ii) comercio al por menor de automóviles; y (iii) comercio de productos alimenticios al por menor y al por mayor.</w:t>
      </w:r>
    </w:p>
  </w:footnote>
  <w:footnote w:id="20">
    <w:p w14:paraId="60856BCE" w14:textId="660EF69A" w:rsidR="00DB18CA" w:rsidRPr="00AF2969" w:rsidRDefault="00DB18CA" w:rsidP="00FD6D8A">
      <w:pPr>
        <w:pStyle w:val="FootnoteText"/>
        <w:spacing w:after="0"/>
        <w:rPr>
          <w:rFonts w:ascii="Arial" w:hAnsi="Arial" w:cs="Arial"/>
          <w:sz w:val="18"/>
          <w:szCs w:val="18"/>
          <w:lang w:val="es-ES"/>
        </w:rPr>
      </w:pPr>
      <w:r w:rsidRPr="00AF2969">
        <w:rPr>
          <w:rFonts w:ascii="Arial" w:hAnsi="Arial" w:cs="Arial"/>
          <w:sz w:val="18"/>
          <w:szCs w:val="18"/>
          <w:vertAlign w:val="superscript"/>
          <w:lang w:val="pt-BR"/>
        </w:rPr>
        <w:footnoteRef/>
      </w:r>
      <w:r w:rsidRPr="00AF2969">
        <w:rPr>
          <w:rFonts w:ascii="Arial" w:hAnsi="Arial" w:cs="Arial"/>
          <w:sz w:val="18"/>
          <w:szCs w:val="18"/>
          <w:lang w:val="es-ES"/>
        </w:rPr>
        <w:t xml:space="preserve"> </w:t>
      </w:r>
      <w:r w:rsidR="00FD6D8A">
        <w:rPr>
          <w:rFonts w:ascii="Arial" w:hAnsi="Arial" w:cs="Arial"/>
          <w:sz w:val="18"/>
          <w:szCs w:val="18"/>
          <w:lang w:val="es-ES"/>
        </w:rPr>
        <w:tab/>
      </w:r>
      <w:proofErr w:type="spellStart"/>
      <w:r w:rsidRPr="00FD6D8A">
        <w:rPr>
          <w:rFonts w:ascii="Arial" w:hAnsi="Arial" w:cs="Arial"/>
          <w:i/>
          <w:iCs/>
          <w:sz w:val="18"/>
          <w:szCs w:val="18"/>
          <w:lang w:val="es-ES"/>
        </w:rPr>
        <w:t>Program</w:t>
      </w:r>
      <w:proofErr w:type="spellEnd"/>
      <w:r w:rsidRPr="00FD6D8A">
        <w:rPr>
          <w:rFonts w:ascii="Arial" w:hAnsi="Arial" w:cs="Arial"/>
          <w:i/>
          <w:iCs/>
          <w:sz w:val="18"/>
          <w:szCs w:val="18"/>
          <w:lang w:val="es-ES"/>
        </w:rPr>
        <w:t xml:space="preserve"> </w:t>
      </w:r>
      <w:proofErr w:type="spellStart"/>
      <w:r w:rsidRPr="00FD6D8A">
        <w:rPr>
          <w:rFonts w:ascii="Arial" w:hAnsi="Arial" w:cs="Arial"/>
          <w:i/>
          <w:iCs/>
          <w:sz w:val="18"/>
          <w:szCs w:val="18"/>
          <w:lang w:val="es-ES"/>
        </w:rPr>
        <w:t>Monitoring</w:t>
      </w:r>
      <w:proofErr w:type="spellEnd"/>
      <w:r w:rsidRPr="00FD6D8A">
        <w:rPr>
          <w:rFonts w:ascii="Arial" w:hAnsi="Arial" w:cs="Arial"/>
          <w:i/>
          <w:iCs/>
          <w:sz w:val="18"/>
          <w:szCs w:val="18"/>
          <w:lang w:val="es-ES"/>
        </w:rPr>
        <w:t xml:space="preserve"> </w:t>
      </w:r>
      <w:proofErr w:type="spellStart"/>
      <w:r w:rsidRPr="00FD6D8A">
        <w:rPr>
          <w:rFonts w:ascii="Arial" w:hAnsi="Arial" w:cs="Arial"/>
          <w:i/>
          <w:iCs/>
          <w:sz w:val="18"/>
          <w:szCs w:val="18"/>
          <w:lang w:val="es-ES"/>
        </w:rPr>
        <w:t>Report</w:t>
      </w:r>
      <w:proofErr w:type="spellEnd"/>
      <w:r w:rsidRPr="00AF2969">
        <w:rPr>
          <w:rFonts w:ascii="Arial" w:hAnsi="Arial" w:cs="Arial"/>
          <w:sz w:val="18"/>
          <w:szCs w:val="18"/>
          <w:lang w:val="es-ES"/>
        </w:rPr>
        <w:t xml:space="preserve"> por sus siglas en inglés.</w:t>
      </w:r>
    </w:p>
  </w:footnote>
  <w:footnote w:id="21">
    <w:p w14:paraId="7985A981" w14:textId="34E3A032" w:rsidR="00DB18CA" w:rsidRPr="00CD0585" w:rsidRDefault="00DB18CA" w:rsidP="007116B2">
      <w:pPr>
        <w:pStyle w:val="FootnoteText"/>
        <w:spacing w:after="0"/>
        <w:rPr>
          <w:rFonts w:ascii="Arial" w:hAnsi="Arial" w:cs="Arial"/>
          <w:sz w:val="18"/>
          <w:szCs w:val="18"/>
          <w:lang w:val="es-CO"/>
        </w:rPr>
      </w:pPr>
      <w:r w:rsidRPr="00AF2969">
        <w:rPr>
          <w:rFonts w:ascii="Arial" w:hAnsi="Arial" w:cs="Arial"/>
          <w:sz w:val="18"/>
          <w:szCs w:val="18"/>
          <w:vertAlign w:val="superscript"/>
          <w:lang w:val="pt-BR"/>
        </w:rPr>
        <w:footnoteRef/>
      </w:r>
      <w:r w:rsidRPr="00CD0585">
        <w:rPr>
          <w:rFonts w:ascii="Arial" w:hAnsi="Arial" w:cs="Arial"/>
          <w:sz w:val="18"/>
          <w:szCs w:val="18"/>
          <w:lang w:val="es-CO"/>
        </w:rPr>
        <w:t xml:space="preserve"> </w:t>
      </w:r>
      <w:r w:rsidR="00FD6D8A" w:rsidRPr="00CD0585">
        <w:rPr>
          <w:rFonts w:ascii="Arial" w:hAnsi="Arial" w:cs="Arial"/>
          <w:sz w:val="18"/>
          <w:szCs w:val="18"/>
          <w:lang w:val="es-CO"/>
        </w:rPr>
        <w:tab/>
      </w:r>
      <w:r w:rsidRPr="00CD0585">
        <w:rPr>
          <w:rFonts w:ascii="Arial" w:hAnsi="Arial" w:cs="Arial"/>
          <w:sz w:val="18"/>
          <w:szCs w:val="18"/>
          <w:lang w:val="es-CO"/>
        </w:rPr>
        <w:t>Ver Matriz de Resultados</w:t>
      </w:r>
      <w:r w:rsidR="009451C0" w:rsidRPr="00CD0585">
        <w:rPr>
          <w:rFonts w:ascii="Arial" w:hAnsi="Arial" w:cs="Arial"/>
          <w:sz w:val="18"/>
          <w:szCs w:val="18"/>
          <w:lang w:val="es-CO"/>
        </w:rPr>
        <w:t xml:space="preserve"> (</w:t>
      </w:r>
      <w:r w:rsidRPr="00CD0585">
        <w:rPr>
          <w:rFonts w:ascii="Arial" w:hAnsi="Arial" w:cs="Arial"/>
          <w:sz w:val="18"/>
          <w:szCs w:val="18"/>
          <w:lang w:val="es-CO"/>
        </w:rPr>
        <w:t>Anexo II</w:t>
      </w:r>
      <w:r w:rsidR="009451C0" w:rsidRPr="00CD0585">
        <w:rPr>
          <w:rFonts w:ascii="Arial" w:hAnsi="Arial" w:cs="Arial"/>
          <w:sz w:val="18"/>
          <w:szCs w:val="18"/>
          <w:lang w:val="es-CO"/>
        </w:rPr>
        <w:t>)</w:t>
      </w:r>
      <w:r w:rsidRPr="00CD0585">
        <w:rPr>
          <w:rFonts w:ascii="Arial" w:hAnsi="Arial" w:cs="Arial"/>
          <w:sz w:val="18"/>
          <w:szCs w:val="18"/>
          <w:lang w:val="es-CO"/>
        </w:rPr>
        <w:t>.</w:t>
      </w:r>
    </w:p>
  </w:footnote>
  <w:footnote w:id="22">
    <w:p w14:paraId="2F7F32B5" w14:textId="77777777" w:rsidR="00793A77" w:rsidRPr="006A5189" w:rsidRDefault="00793A77" w:rsidP="00793A77">
      <w:pPr>
        <w:pStyle w:val="FootnoteText"/>
        <w:spacing w:after="0"/>
        <w:rPr>
          <w:rFonts w:ascii="Arial" w:hAnsi="Arial" w:cs="Arial"/>
          <w:sz w:val="18"/>
          <w:szCs w:val="18"/>
          <w:lang w:val="es-CO"/>
        </w:rPr>
      </w:pPr>
      <w:r w:rsidRPr="00AD2CA3">
        <w:rPr>
          <w:rStyle w:val="FootnoteReference"/>
          <w:rFonts w:ascii="Arial" w:hAnsi="Arial" w:cs="Arial"/>
          <w:sz w:val="18"/>
          <w:szCs w:val="18"/>
        </w:rPr>
        <w:footnoteRef/>
      </w:r>
      <w:r w:rsidRPr="006A5189">
        <w:rPr>
          <w:rFonts w:ascii="Arial" w:hAnsi="Arial" w:cs="Arial"/>
          <w:sz w:val="18"/>
          <w:szCs w:val="18"/>
          <w:lang w:val="es-CO"/>
        </w:rPr>
        <w:t xml:space="preserve"> </w:t>
      </w:r>
      <w:r w:rsidRPr="006A5189">
        <w:rPr>
          <w:rFonts w:ascii="Arial" w:hAnsi="Arial" w:cs="Arial"/>
          <w:sz w:val="18"/>
          <w:szCs w:val="18"/>
          <w:lang w:val="es-CO"/>
        </w:rPr>
        <w:tab/>
        <w:t>En 2008, el BID creó el Programa de Liquidez para la Sostenibilidad del Crecimiento dentro de la categoría de préstamos de emergencia (GN-2492-3).</w:t>
      </w:r>
    </w:p>
  </w:footnote>
  <w:footnote w:id="23">
    <w:p w14:paraId="3DC91B93" w14:textId="77777777" w:rsidR="00793A77" w:rsidRPr="006A5189" w:rsidRDefault="00793A77" w:rsidP="00793A77">
      <w:pPr>
        <w:pStyle w:val="FootnoteText"/>
        <w:spacing w:after="0"/>
        <w:rPr>
          <w:lang w:val="es-CO"/>
        </w:rPr>
      </w:pPr>
      <w:r w:rsidRPr="00156715">
        <w:rPr>
          <w:rStyle w:val="FootnoteReference"/>
          <w:rFonts w:ascii="Arial" w:hAnsi="Arial" w:cs="Arial"/>
          <w:sz w:val="18"/>
          <w:szCs w:val="18"/>
        </w:rPr>
        <w:footnoteRef/>
      </w:r>
      <w:r w:rsidRPr="006A5189">
        <w:rPr>
          <w:rFonts w:ascii="Arial" w:hAnsi="Arial" w:cs="Arial"/>
          <w:sz w:val="18"/>
          <w:szCs w:val="18"/>
          <w:lang w:val="es-CO"/>
        </w:rPr>
        <w:t xml:space="preserve"> </w:t>
      </w:r>
      <w:r w:rsidRPr="006A5189">
        <w:rPr>
          <w:rFonts w:ascii="Arial" w:hAnsi="Arial" w:cs="Arial"/>
          <w:sz w:val="18"/>
          <w:szCs w:val="18"/>
          <w:lang w:val="es-CO"/>
        </w:rPr>
        <w:tab/>
        <w:t>“Línea de Crédito Contingente para Sostenibilidad del Desarrollo” bajo la “Propuesta para Establecer Instrumentos de Financiamiento Contingente del Banco Interamericano de Desarrollo” mediante documento GN-2667-2.</w:t>
      </w:r>
    </w:p>
  </w:footnote>
  <w:footnote w:id="24">
    <w:p w14:paraId="42B46647" w14:textId="5DBC66EB" w:rsidR="00DB18CA" w:rsidRPr="003D1AD6" w:rsidRDefault="00DB18CA" w:rsidP="00D74C69">
      <w:pPr>
        <w:pStyle w:val="FootnoteText"/>
        <w:spacing w:after="0"/>
        <w:rPr>
          <w:rFonts w:ascii="Arial" w:hAnsi="Arial" w:cs="Arial"/>
          <w:sz w:val="18"/>
          <w:szCs w:val="18"/>
          <w:lang w:val="es-ES"/>
        </w:rPr>
      </w:pPr>
      <w:r w:rsidRPr="00674258">
        <w:rPr>
          <w:rStyle w:val="FootnoteReference"/>
          <w:rFonts w:ascii="Arial" w:hAnsi="Arial" w:cs="Arial"/>
          <w:sz w:val="18"/>
          <w:szCs w:val="18"/>
        </w:rPr>
        <w:footnoteRef/>
      </w:r>
      <w:r w:rsidRPr="00982447">
        <w:rPr>
          <w:rStyle w:val="FootnoteReference"/>
          <w:rFonts w:ascii="Arial" w:hAnsi="Arial" w:cs="Arial"/>
          <w:sz w:val="18"/>
          <w:szCs w:val="18"/>
        </w:rPr>
        <w:t xml:space="preserve"> </w:t>
      </w:r>
      <w:r w:rsidRPr="00982447">
        <w:rPr>
          <w:rFonts w:ascii="Arial" w:hAnsi="Arial" w:cs="Arial"/>
          <w:sz w:val="18"/>
          <w:szCs w:val="18"/>
        </w:rPr>
        <w:tab/>
        <w:t>Ver “</w:t>
      </w:r>
      <w:r w:rsidRPr="00982447">
        <w:rPr>
          <w:rFonts w:ascii="Arial" w:hAnsi="Arial" w:cs="Arial"/>
          <w:i/>
          <w:iCs/>
          <w:sz w:val="18"/>
          <w:szCs w:val="18"/>
        </w:rPr>
        <w:t>Second - tier Government Banks and Firm Performance</w:t>
      </w:r>
      <w:r w:rsidRPr="00982447">
        <w:rPr>
          <w:rFonts w:ascii="Arial" w:hAnsi="Arial" w:cs="Arial"/>
          <w:sz w:val="18"/>
          <w:szCs w:val="18"/>
        </w:rPr>
        <w:t xml:space="preserve">.” </w:t>
      </w:r>
      <w:r w:rsidRPr="003D1AD6">
        <w:rPr>
          <w:rFonts w:ascii="Arial" w:hAnsi="Arial" w:cs="Arial"/>
          <w:sz w:val="18"/>
          <w:szCs w:val="18"/>
        </w:rPr>
        <w:t xml:space="preserve">IDB Working Paper Series No. </w:t>
      </w:r>
      <w:r w:rsidRPr="00447395">
        <w:rPr>
          <w:rFonts w:ascii="Arial" w:hAnsi="Arial" w:cs="Arial"/>
          <w:sz w:val="18"/>
          <w:szCs w:val="18"/>
          <w:lang w:val="es-ES"/>
        </w:rPr>
        <w:t>IDB - WP - 294.</w:t>
      </w:r>
    </w:p>
  </w:footnote>
  <w:footnote w:id="25">
    <w:p w14:paraId="4619116F" w14:textId="159AB6A6" w:rsidR="00DB18CA" w:rsidRPr="003D1AD6" w:rsidRDefault="00DB18CA" w:rsidP="002C1AB4">
      <w:pPr>
        <w:pStyle w:val="FootnoteText"/>
        <w:spacing w:after="0"/>
        <w:rPr>
          <w:rFonts w:ascii="Arial" w:hAnsi="Arial" w:cs="Arial"/>
          <w:sz w:val="18"/>
          <w:szCs w:val="18"/>
          <w:lang w:val="es-ES"/>
        </w:rPr>
      </w:pPr>
      <w:r w:rsidRPr="00D14E04">
        <w:rPr>
          <w:rStyle w:val="FootnoteReference"/>
          <w:rFonts w:ascii="Arial" w:hAnsi="Arial" w:cs="Arial"/>
          <w:sz w:val="18"/>
          <w:szCs w:val="18"/>
        </w:rPr>
        <w:footnoteRef/>
      </w:r>
      <w:r w:rsidRPr="00A11FC0">
        <w:rPr>
          <w:rFonts w:ascii="Arial" w:hAnsi="Arial" w:cs="Arial"/>
          <w:sz w:val="18"/>
          <w:szCs w:val="18"/>
          <w:lang w:val="es-ES"/>
        </w:rPr>
        <w:t xml:space="preserve"> </w:t>
      </w:r>
      <w:r w:rsidRPr="00A11FC0">
        <w:rPr>
          <w:rFonts w:ascii="Arial" w:hAnsi="Arial" w:cs="Arial"/>
          <w:sz w:val="18"/>
          <w:szCs w:val="18"/>
          <w:lang w:val="es-ES"/>
        </w:rPr>
        <w:tab/>
        <w:t>El Banco también ha generado conocimiento en el tema. Entre las publicaciones más relevantes, cabe mencionar:</w:t>
      </w:r>
      <w:r w:rsidR="00D74C69">
        <w:rPr>
          <w:rFonts w:ascii="Arial" w:hAnsi="Arial" w:cs="Arial"/>
          <w:sz w:val="18"/>
          <w:szCs w:val="18"/>
          <w:lang w:val="es-ES"/>
        </w:rPr>
        <w:t> </w:t>
      </w:r>
      <w:r w:rsidRPr="00A11FC0">
        <w:rPr>
          <w:rFonts w:ascii="Arial" w:hAnsi="Arial" w:cs="Arial"/>
          <w:sz w:val="18"/>
          <w:szCs w:val="18"/>
          <w:lang w:val="es-ES"/>
        </w:rPr>
        <w:t xml:space="preserve">Desencadenar el Crédito (BID, 2005); La era de la productividad (BID, 2010) y Políticas e Instituciones para el Desarrollo Productivo (BID, 2014a) de la serie Desarrollo en las Américas; Bancos Públicos de Desarrollo: ¿hacia un nuevo paradigma? </w:t>
      </w:r>
      <w:r w:rsidRPr="00532BD9">
        <w:rPr>
          <w:rFonts w:ascii="Arial" w:hAnsi="Arial" w:cs="Arial"/>
          <w:sz w:val="18"/>
          <w:szCs w:val="18"/>
          <w:lang w:val="es-ES"/>
        </w:rPr>
        <w:t>(BID-CMF, 2013); El rol de los Bancos Nacionales de Desarrollo en catalizar el financiamiento climático internacional (</w:t>
      </w:r>
      <w:proofErr w:type="spellStart"/>
      <w:r w:rsidRPr="00532BD9">
        <w:rPr>
          <w:rFonts w:ascii="Arial" w:hAnsi="Arial" w:cs="Arial"/>
          <w:sz w:val="18"/>
          <w:szCs w:val="18"/>
          <w:lang w:val="es-ES"/>
        </w:rPr>
        <w:t>Smallridge</w:t>
      </w:r>
      <w:proofErr w:type="spellEnd"/>
      <w:r w:rsidRPr="00532BD9">
        <w:rPr>
          <w:rFonts w:ascii="Arial" w:hAnsi="Arial" w:cs="Arial"/>
          <w:sz w:val="18"/>
          <w:szCs w:val="18"/>
          <w:lang w:val="es-ES"/>
        </w:rPr>
        <w:t xml:space="preserve"> y otros, 2013); Gestión Integral de Riesgos para Cadenas de Valor (Calatayud y Ketterer, 2016); y evaluaciones de impacto de programas del Sector en Argentina (Bueso-Merriam y otros, 2016), Chile (Bonilla y </w:t>
      </w:r>
      <w:proofErr w:type="spellStart"/>
      <w:r w:rsidRPr="00532BD9">
        <w:rPr>
          <w:rFonts w:ascii="Arial" w:hAnsi="Arial" w:cs="Arial"/>
          <w:sz w:val="18"/>
          <w:szCs w:val="18"/>
          <w:lang w:val="es-ES"/>
        </w:rPr>
        <w:t>Cancino</w:t>
      </w:r>
      <w:proofErr w:type="spellEnd"/>
      <w:r w:rsidRPr="00532BD9">
        <w:rPr>
          <w:rFonts w:ascii="Arial" w:hAnsi="Arial" w:cs="Arial"/>
          <w:sz w:val="18"/>
          <w:szCs w:val="18"/>
          <w:lang w:val="es-ES"/>
        </w:rPr>
        <w:t>, 2001), Colombia (Eslava y otros, 2012), Costa Rica (Torres y otros, 2003) y México (Calderón y otros, 2013).</w:t>
      </w:r>
    </w:p>
  </w:footnote>
  <w:footnote w:id="26">
    <w:p w14:paraId="74B3744E" w14:textId="77777777" w:rsidR="00E74A19" w:rsidRPr="009454BE" w:rsidRDefault="00E74A19" w:rsidP="00E74A19">
      <w:pPr>
        <w:pStyle w:val="FootnoteText"/>
        <w:spacing w:after="0"/>
        <w:rPr>
          <w:rFonts w:ascii="Arial" w:hAnsi="Arial" w:cs="Arial"/>
          <w:sz w:val="14"/>
          <w:szCs w:val="14"/>
          <w:lang w:val="es-ES_tradnl"/>
        </w:rPr>
      </w:pPr>
      <w:r w:rsidRPr="00CA4CCC">
        <w:rPr>
          <w:rStyle w:val="FootnoteReference"/>
          <w:rFonts w:ascii="Arial" w:hAnsi="Arial" w:cs="Arial"/>
          <w:sz w:val="18"/>
          <w:szCs w:val="18"/>
        </w:rPr>
        <w:footnoteRef/>
      </w:r>
      <w:r w:rsidRPr="00E74A19">
        <w:rPr>
          <w:rFonts w:ascii="Arial" w:hAnsi="Arial" w:cs="Arial"/>
          <w:sz w:val="18"/>
          <w:szCs w:val="18"/>
          <w:lang w:val="es-CO"/>
        </w:rPr>
        <w:t xml:space="preserve"> </w:t>
      </w:r>
      <w:r w:rsidRPr="00E74A19">
        <w:rPr>
          <w:rFonts w:ascii="Arial" w:hAnsi="Arial" w:cs="Arial"/>
          <w:sz w:val="18"/>
          <w:szCs w:val="18"/>
          <w:lang w:val="es-CO"/>
        </w:rPr>
        <w:tab/>
      </w:r>
      <w:hyperlink r:id="rId7" w:history="1">
        <w:r w:rsidRPr="00E74A19">
          <w:rPr>
            <w:rStyle w:val="Hyperlink"/>
            <w:rFonts w:ascii="Arial" w:hAnsi="Arial" w:cs="Arial"/>
            <w:sz w:val="18"/>
            <w:szCs w:val="18"/>
            <w:lang w:val="es-CO"/>
          </w:rPr>
          <w:t>3302/OC</w:t>
        </w:r>
        <w:r w:rsidRPr="00E74A19">
          <w:rPr>
            <w:rStyle w:val="Hyperlink"/>
            <w:rFonts w:ascii="Arial" w:hAnsi="Arial" w:cs="Arial"/>
            <w:sz w:val="18"/>
            <w:szCs w:val="18"/>
            <w:lang w:val="es-CO"/>
          </w:rPr>
          <w:noBreakHyphen/>
          <w:t>ME</w:t>
        </w:r>
      </w:hyperlink>
      <w:r w:rsidRPr="00E74A19">
        <w:rPr>
          <w:rFonts w:ascii="Arial" w:hAnsi="Arial" w:cs="Arial"/>
          <w:sz w:val="18"/>
          <w:szCs w:val="18"/>
          <w:lang w:val="es-CO"/>
        </w:rPr>
        <w:t xml:space="preserve"> </w:t>
      </w:r>
      <w:bookmarkStart w:id="32" w:name="_Hlk46332013"/>
      <w:r w:rsidRPr="00E74A19">
        <w:rPr>
          <w:rFonts w:ascii="Arial" w:hAnsi="Arial" w:cs="Arial"/>
          <w:sz w:val="18"/>
          <w:szCs w:val="18"/>
          <w:lang w:val="es-CO"/>
        </w:rPr>
        <w:t>Primer Programa de Financiamiento al Desarrollo Productivo</w:t>
      </w:r>
      <w:bookmarkEnd w:id="32"/>
      <w:r w:rsidRPr="00E74A19">
        <w:rPr>
          <w:rFonts w:ascii="Arial" w:hAnsi="Arial" w:cs="Arial"/>
          <w:sz w:val="18"/>
          <w:szCs w:val="18"/>
          <w:lang w:val="es-CO"/>
        </w:rPr>
        <w:t xml:space="preserve"> (US$400 millones); </w:t>
      </w:r>
      <w:hyperlink r:id="rId8" w:history="1">
        <w:r w:rsidRPr="00E74A19">
          <w:rPr>
            <w:rStyle w:val="Hyperlink"/>
            <w:rFonts w:ascii="Arial" w:hAnsi="Arial" w:cs="Arial"/>
            <w:sz w:val="18"/>
            <w:szCs w:val="18"/>
            <w:lang w:val="es-CO"/>
          </w:rPr>
          <w:t>3531/O</w:t>
        </w:r>
        <w:r w:rsidRPr="00E74A19">
          <w:rPr>
            <w:rStyle w:val="Hyperlink"/>
            <w:rFonts w:ascii="Arial" w:hAnsi="Arial" w:cs="Arial"/>
            <w:sz w:val="18"/>
            <w:szCs w:val="18"/>
            <w:lang w:val="es-CO"/>
          </w:rPr>
          <w:t>C</w:t>
        </w:r>
        <w:r w:rsidRPr="00E74A19">
          <w:rPr>
            <w:rStyle w:val="Hyperlink"/>
            <w:rFonts w:ascii="Arial" w:hAnsi="Arial" w:cs="Arial"/>
            <w:sz w:val="18"/>
            <w:szCs w:val="18"/>
            <w:lang w:val="es-CO"/>
          </w:rPr>
          <w:noBreakHyphen/>
          <w:t>ME</w:t>
        </w:r>
      </w:hyperlink>
      <w:r w:rsidRPr="00E74A19">
        <w:rPr>
          <w:rFonts w:ascii="Arial" w:hAnsi="Arial" w:cs="Arial"/>
          <w:sz w:val="18"/>
          <w:szCs w:val="18"/>
          <w:lang w:val="es-CO"/>
        </w:rPr>
        <w:t xml:space="preserve"> Segundo Programa de Financiamiento al Desarrollo Productivo (US$400 millones); y </w:t>
      </w:r>
      <w:hyperlink r:id="rId9" w:history="1">
        <w:r w:rsidRPr="00E74A19">
          <w:rPr>
            <w:rStyle w:val="Hyperlink"/>
            <w:rFonts w:ascii="Arial" w:hAnsi="Arial" w:cs="Arial"/>
            <w:sz w:val="18"/>
            <w:szCs w:val="18"/>
            <w:lang w:val="es-CO"/>
          </w:rPr>
          <w:t>4276/</w:t>
        </w:r>
        <w:r w:rsidRPr="00E74A19">
          <w:rPr>
            <w:rStyle w:val="Hyperlink"/>
            <w:rFonts w:ascii="Arial" w:hAnsi="Arial" w:cs="Arial"/>
            <w:sz w:val="18"/>
            <w:szCs w:val="18"/>
            <w:lang w:val="es-CO"/>
          </w:rPr>
          <w:t>O</w:t>
        </w:r>
        <w:r w:rsidRPr="00E74A19">
          <w:rPr>
            <w:rStyle w:val="Hyperlink"/>
            <w:rFonts w:ascii="Arial" w:hAnsi="Arial" w:cs="Arial"/>
            <w:sz w:val="18"/>
            <w:szCs w:val="18"/>
            <w:lang w:val="es-CO"/>
          </w:rPr>
          <w:t>C</w:t>
        </w:r>
        <w:r w:rsidRPr="00E74A19">
          <w:rPr>
            <w:rStyle w:val="Hyperlink"/>
            <w:rFonts w:ascii="Arial" w:hAnsi="Arial" w:cs="Arial"/>
            <w:sz w:val="18"/>
            <w:szCs w:val="18"/>
            <w:lang w:val="es-CO"/>
          </w:rPr>
          <w:noBreakHyphen/>
          <w:t>ME</w:t>
        </w:r>
      </w:hyperlink>
      <w:r w:rsidRPr="00E74A19">
        <w:rPr>
          <w:rFonts w:ascii="Arial" w:hAnsi="Arial" w:cs="Arial"/>
          <w:sz w:val="18"/>
          <w:szCs w:val="18"/>
          <w:lang w:val="es-CO"/>
        </w:rPr>
        <w:t xml:space="preserve"> </w:t>
      </w:r>
      <w:r w:rsidRPr="00E74A19">
        <w:rPr>
          <w:rFonts w:ascii="Arial" w:hAnsi="Arial" w:cs="Arial"/>
          <w:sz w:val="18"/>
          <w:szCs w:val="16"/>
          <w:lang w:val="es-CO"/>
        </w:rPr>
        <w:t>Tercer Programa para el Financiamiento Rural Productivo e Inclusivo (US$500 millones).</w:t>
      </w:r>
    </w:p>
  </w:footnote>
  <w:footnote w:id="27">
    <w:p w14:paraId="2381C9E7" w14:textId="77777777" w:rsidR="00E74A19" w:rsidRPr="00FE6CF3" w:rsidRDefault="00E74A19" w:rsidP="00E74A19">
      <w:pPr>
        <w:pStyle w:val="FootnoteText"/>
        <w:spacing w:after="0"/>
        <w:rPr>
          <w:rFonts w:ascii="Arial" w:hAnsi="Arial" w:cs="Arial"/>
          <w:sz w:val="18"/>
          <w:szCs w:val="18"/>
          <w:lang w:val="es-ES_tradnl"/>
        </w:rPr>
      </w:pPr>
      <w:r w:rsidRPr="00FE6CF3">
        <w:rPr>
          <w:rStyle w:val="FootnoteReference"/>
          <w:rFonts w:ascii="Arial" w:hAnsi="Arial" w:cs="Arial"/>
          <w:sz w:val="18"/>
          <w:szCs w:val="18"/>
        </w:rPr>
        <w:footnoteRef/>
      </w:r>
      <w:r w:rsidRPr="00E74A19">
        <w:rPr>
          <w:rFonts w:ascii="Arial" w:hAnsi="Arial" w:cs="Arial"/>
          <w:sz w:val="18"/>
          <w:szCs w:val="18"/>
          <w:lang w:val="es-CO"/>
        </w:rPr>
        <w:t xml:space="preserve"> </w:t>
      </w:r>
      <w:r w:rsidRPr="00E74A19">
        <w:rPr>
          <w:rFonts w:ascii="Arial" w:hAnsi="Arial" w:cs="Arial"/>
          <w:sz w:val="18"/>
          <w:szCs w:val="18"/>
          <w:lang w:val="es-CO"/>
        </w:rPr>
        <w:tab/>
      </w:r>
      <w:hyperlink r:id="rId10" w:history="1">
        <w:r w:rsidRPr="00E74A19">
          <w:rPr>
            <w:rStyle w:val="Hyperlink"/>
            <w:rFonts w:ascii="Arial" w:hAnsi="Arial" w:cs="Arial"/>
            <w:sz w:val="18"/>
            <w:szCs w:val="18"/>
            <w:lang w:val="es-CO"/>
          </w:rPr>
          <w:t>3335/OC-ME</w:t>
        </w:r>
      </w:hyperlink>
      <w:r w:rsidRPr="00E74A19">
        <w:rPr>
          <w:rStyle w:val="Hyperlink"/>
          <w:rFonts w:ascii="Arial" w:hAnsi="Arial" w:cs="Arial"/>
          <w:color w:val="auto"/>
          <w:sz w:val="18"/>
          <w:szCs w:val="18"/>
          <w:u w:val="none"/>
          <w:lang w:val="es-CO"/>
        </w:rPr>
        <w:t xml:space="preserve"> </w:t>
      </w:r>
      <w:r w:rsidRPr="00E74A19">
        <w:rPr>
          <w:rFonts w:ascii="Arial" w:hAnsi="Arial" w:cs="Arial"/>
          <w:sz w:val="18"/>
          <w:szCs w:val="18"/>
          <w:lang w:val="es-CO"/>
        </w:rPr>
        <w:t xml:space="preserve">Primer Programa para el Financiamiento de Proyectos de Inversión y Reconversión (US$50 millones); </w:t>
      </w:r>
      <w:hyperlink r:id="rId11" w:history="1">
        <w:r w:rsidRPr="00E74A19">
          <w:rPr>
            <w:rStyle w:val="Hyperlink"/>
            <w:rFonts w:ascii="Arial" w:hAnsi="Arial" w:cs="Arial"/>
            <w:sz w:val="18"/>
            <w:szCs w:val="18"/>
            <w:lang w:val="es-CO"/>
          </w:rPr>
          <w:t>3701/OC-ME</w:t>
        </w:r>
      </w:hyperlink>
      <w:r w:rsidRPr="00E74A19">
        <w:rPr>
          <w:rFonts w:ascii="Arial" w:hAnsi="Arial" w:cs="Arial"/>
          <w:sz w:val="18"/>
          <w:szCs w:val="18"/>
          <w:lang w:val="es-CO"/>
        </w:rPr>
        <w:t xml:space="preserve"> Segundo Programa para el Financiamiento de Proyectos de Inversión y Reconversión Productiva en el Sector Rural (US$50 millones).</w:t>
      </w:r>
    </w:p>
  </w:footnote>
  <w:footnote w:id="28">
    <w:p w14:paraId="452B563E" w14:textId="77777777" w:rsidR="00E74A19" w:rsidRPr="005F625A" w:rsidRDefault="00E74A19" w:rsidP="00E74A19">
      <w:pPr>
        <w:pStyle w:val="FootnoteText"/>
        <w:spacing w:after="0"/>
        <w:rPr>
          <w:rFonts w:ascii="Arial" w:hAnsi="Arial" w:cs="Arial"/>
          <w:lang w:val="es-CO"/>
        </w:rPr>
      </w:pPr>
      <w:r w:rsidRPr="00F1121D">
        <w:rPr>
          <w:rStyle w:val="FootnoteReference"/>
          <w:rFonts w:ascii="Arial" w:hAnsi="Arial" w:cs="Arial"/>
          <w:sz w:val="18"/>
          <w:szCs w:val="18"/>
        </w:rPr>
        <w:footnoteRef/>
      </w:r>
      <w:r w:rsidRPr="005F625A">
        <w:rPr>
          <w:rFonts w:ascii="Arial" w:hAnsi="Arial" w:cs="Arial"/>
          <w:lang w:val="es-CO"/>
        </w:rPr>
        <w:t xml:space="preserve"> </w:t>
      </w:r>
      <w:r w:rsidRPr="005F625A">
        <w:rPr>
          <w:rFonts w:ascii="Arial" w:hAnsi="Arial" w:cs="Arial"/>
          <w:lang w:val="es-CO"/>
        </w:rPr>
        <w:tab/>
      </w:r>
      <w:hyperlink r:id="rId12" w:history="1">
        <w:r w:rsidRPr="005F625A">
          <w:rPr>
            <w:rStyle w:val="Hyperlink"/>
            <w:rFonts w:ascii="Arial" w:hAnsi="Arial" w:cs="Arial"/>
            <w:bCs/>
            <w:sz w:val="18"/>
            <w:szCs w:val="18"/>
            <w:lang w:val="es-CO"/>
          </w:rPr>
          <w:t>2226/OC-ME</w:t>
        </w:r>
      </w:hyperlink>
      <w:r w:rsidRPr="005F625A">
        <w:rPr>
          <w:rFonts w:ascii="Arial" w:hAnsi="Arial" w:cs="Arial"/>
          <w:sz w:val="18"/>
          <w:szCs w:val="18"/>
          <w:lang w:val="es-CO"/>
        </w:rPr>
        <w:t xml:space="preserve"> Programa para Promover el Desarrol</w:t>
      </w:r>
      <w:r>
        <w:rPr>
          <w:rFonts w:ascii="Arial" w:hAnsi="Arial" w:cs="Arial"/>
          <w:sz w:val="18"/>
          <w:szCs w:val="18"/>
          <w:lang w:val="es-CO"/>
        </w:rPr>
        <w:t xml:space="preserve">lo de PyME Proveedoras y Contratistas de la Industria Petrolera (US$301 millones); </w:t>
      </w:r>
      <w:hyperlink r:id="rId13" w:history="1">
        <w:r w:rsidRPr="00405583">
          <w:rPr>
            <w:rStyle w:val="Hyperlink"/>
            <w:rFonts w:ascii="Arial" w:hAnsi="Arial" w:cs="Arial"/>
            <w:bCs/>
            <w:sz w:val="18"/>
            <w:szCs w:val="18"/>
            <w:lang w:val="es-419"/>
          </w:rPr>
          <w:t>2671/OC-ME</w:t>
        </w:r>
      </w:hyperlink>
      <w:r>
        <w:rPr>
          <w:rFonts w:ascii="Arial" w:hAnsi="Arial" w:cs="Arial"/>
          <w:sz w:val="18"/>
          <w:szCs w:val="18"/>
          <w:lang w:val="es-CO"/>
        </w:rPr>
        <w:t xml:space="preserve"> Segunda Operación Individual para el Apoyo al Desarrollo Empresarial de México (US$50 millones).</w:t>
      </w:r>
    </w:p>
  </w:footnote>
  <w:footnote w:id="29">
    <w:p w14:paraId="2A9872A0" w14:textId="77777777" w:rsidR="00E74A19" w:rsidRPr="007D6FBC" w:rsidRDefault="00E74A19" w:rsidP="00E74A19">
      <w:pPr>
        <w:pStyle w:val="FootnoteText"/>
        <w:spacing w:after="0"/>
        <w:rPr>
          <w:rFonts w:ascii="Arial" w:hAnsi="Arial" w:cs="Arial"/>
          <w:lang w:val="es-ES_tradnl"/>
        </w:rPr>
      </w:pPr>
      <w:r w:rsidRPr="007D6FBC">
        <w:rPr>
          <w:rStyle w:val="FootnoteReference"/>
          <w:rFonts w:ascii="Arial" w:hAnsi="Arial" w:cs="Arial"/>
          <w:sz w:val="18"/>
          <w:szCs w:val="18"/>
        </w:rPr>
        <w:footnoteRef/>
      </w:r>
      <w:r w:rsidRPr="00E74A19">
        <w:rPr>
          <w:rFonts w:ascii="Arial" w:hAnsi="Arial" w:cs="Arial"/>
          <w:sz w:val="18"/>
          <w:szCs w:val="18"/>
          <w:lang w:val="es-CO"/>
        </w:rPr>
        <w:t xml:space="preserve"> </w:t>
      </w:r>
      <w:r w:rsidRPr="00E74A19">
        <w:rPr>
          <w:rFonts w:ascii="Arial" w:hAnsi="Arial" w:cs="Arial"/>
          <w:sz w:val="18"/>
          <w:szCs w:val="18"/>
          <w:lang w:val="es-CO"/>
        </w:rPr>
        <w:tab/>
      </w:r>
      <w:hyperlink r:id="rId14" w:history="1">
        <w:r w:rsidRPr="007D6FBC">
          <w:rPr>
            <w:rStyle w:val="Hyperlink"/>
            <w:rFonts w:ascii="Arial" w:hAnsi="Arial" w:cs="Arial"/>
            <w:bCs/>
            <w:sz w:val="18"/>
            <w:szCs w:val="18"/>
            <w:lang w:val="es-419"/>
          </w:rPr>
          <w:t>2843/OC-ME</w:t>
        </w:r>
      </w:hyperlink>
      <w:r w:rsidRPr="00E74A19">
        <w:rPr>
          <w:rFonts w:ascii="Arial" w:hAnsi="Arial" w:cs="Arial"/>
          <w:sz w:val="18"/>
          <w:szCs w:val="18"/>
          <w:lang w:val="es-CO"/>
        </w:rPr>
        <w:t xml:space="preserve"> Tercera Operación Individual para el Apoyo al Desarrollo Empresarial de México (US$100 millones).</w:t>
      </w:r>
    </w:p>
  </w:footnote>
  <w:footnote w:id="30">
    <w:p w14:paraId="58E23DFB" w14:textId="07E1E6F9" w:rsidR="00DB18CA" w:rsidRPr="006D1EFD" w:rsidRDefault="00DB18CA" w:rsidP="006A5189">
      <w:pPr>
        <w:pStyle w:val="FootnoteText"/>
        <w:spacing w:after="0"/>
        <w:rPr>
          <w:rFonts w:ascii="Arial" w:hAnsi="Arial" w:cs="Arial"/>
          <w:sz w:val="18"/>
          <w:szCs w:val="18"/>
          <w:lang w:val="es-PE"/>
        </w:rPr>
      </w:pPr>
      <w:r w:rsidRPr="006D1EFD">
        <w:rPr>
          <w:rStyle w:val="FootnoteReference"/>
          <w:rFonts w:ascii="Arial" w:hAnsi="Arial" w:cs="Arial"/>
          <w:sz w:val="18"/>
          <w:szCs w:val="18"/>
        </w:rPr>
        <w:footnoteRef/>
      </w:r>
      <w:r w:rsidRPr="006D1EFD">
        <w:rPr>
          <w:rFonts w:ascii="Arial" w:hAnsi="Arial" w:cs="Arial"/>
          <w:sz w:val="18"/>
          <w:szCs w:val="18"/>
          <w:lang w:val="es-PE"/>
        </w:rPr>
        <w:t xml:space="preserve"> </w:t>
      </w:r>
      <w:r w:rsidR="00BF216A">
        <w:rPr>
          <w:rFonts w:ascii="Arial" w:hAnsi="Arial" w:cs="Arial"/>
          <w:sz w:val="18"/>
          <w:szCs w:val="18"/>
          <w:lang w:val="es-PE"/>
        </w:rPr>
        <w:tab/>
      </w:r>
      <w:r w:rsidRPr="006D1EFD">
        <w:rPr>
          <w:rFonts w:ascii="Arial" w:hAnsi="Arial" w:cs="Arial"/>
          <w:bCs/>
          <w:sz w:val="18"/>
          <w:szCs w:val="18"/>
          <w:lang w:val="es-ES_tradnl"/>
        </w:rPr>
        <w:t>La información adicional provendrá de agencias o instituciones intermedias nacionales o provinciales, o bien de otras instituciones de provisión estadística.</w:t>
      </w:r>
    </w:p>
  </w:footnote>
  <w:footnote w:id="31">
    <w:p w14:paraId="1F707C79" w14:textId="6648CE6D" w:rsidR="005B0889" w:rsidRPr="00D11CF4" w:rsidRDefault="005B0889" w:rsidP="006A5189">
      <w:pPr>
        <w:pStyle w:val="FootnoteText"/>
        <w:spacing w:after="0"/>
        <w:rPr>
          <w:rFonts w:ascii="Arial" w:hAnsi="Arial" w:cs="Arial"/>
          <w:sz w:val="18"/>
          <w:szCs w:val="18"/>
          <w:lang w:val="es-PE"/>
        </w:rPr>
      </w:pPr>
      <w:r w:rsidRPr="00D11CF4">
        <w:rPr>
          <w:rStyle w:val="FootnoteReference"/>
          <w:rFonts w:ascii="Arial" w:hAnsi="Arial" w:cs="Arial"/>
          <w:sz w:val="18"/>
          <w:szCs w:val="18"/>
        </w:rPr>
        <w:footnoteRef/>
      </w:r>
      <w:r w:rsidRPr="00D11CF4">
        <w:rPr>
          <w:rFonts w:ascii="Arial" w:hAnsi="Arial" w:cs="Arial"/>
          <w:sz w:val="18"/>
          <w:szCs w:val="18"/>
          <w:lang w:val="es-PE"/>
        </w:rPr>
        <w:t xml:space="preserve"> </w:t>
      </w:r>
      <w:r w:rsidR="006A5189">
        <w:rPr>
          <w:rFonts w:ascii="Arial" w:hAnsi="Arial" w:cs="Arial"/>
          <w:sz w:val="18"/>
          <w:szCs w:val="18"/>
          <w:lang w:val="es-PE"/>
        </w:rPr>
        <w:tab/>
      </w:r>
      <w:r w:rsidRPr="006A5189">
        <w:rPr>
          <w:rFonts w:ascii="Arial" w:hAnsi="Arial" w:cs="Arial"/>
          <w:bCs/>
          <w:sz w:val="18"/>
          <w:szCs w:val="18"/>
          <w:lang w:val="es-ES_tradnl"/>
        </w:rPr>
        <w:t>Los</w:t>
      </w:r>
      <w:r w:rsidRPr="00D11CF4">
        <w:rPr>
          <w:rFonts w:ascii="Arial" w:hAnsi="Arial" w:cs="Arial"/>
          <w:sz w:val="18"/>
          <w:szCs w:val="18"/>
          <w:lang w:val="es-PE"/>
        </w:rPr>
        <w:t xml:space="preserve"> productos listados en este plan formaran parte del PCR del programa.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AB572B"/>
    <w:multiLevelType w:val="multilevel"/>
    <w:tmpl w:val="FF3C5A40"/>
    <w:lvl w:ilvl="0">
      <w:start w:val="1"/>
      <w:numFmt w:val="none"/>
      <w:lvlRestart w:val="0"/>
      <w:pStyle w:val="FirstHeading"/>
      <w:suff w:val="nothing"/>
      <w:lvlText w:val=""/>
      <w:lvlJc w:val="left"/>
      <w:pPr>
        <w:ind w:left="4824" w:hanging="720"/>
      </w:pPr>
      <w:rPr>
        <w:rFonts w:hint="default"/>
      </w:rPr>
    </w:lvl>
    <w:lvl w:ilvl="1">
      <w:start w:val="1"/>
      <w:numFmt w:val="decimal"/>
      <w:pStyle w:val="SecHeading"/>
      <w:lvlText w:val="%2."/>
      <w:lvlJc w:val="left"/>
      <w:pPr>
        <w:tabs>
          <w:tab w:val="num" w:pos="5400"/>
        </w:tabs>
        <w:ind w:left="5400" w:hanging="576"/>
      </w:pPr>
      <w:rPr>
        <w:rFonts w:ascii="Arial" w:hAnsi="Arial" w:cs="Arial" w:hint="default"/>
        <w:b/>
      </w:rPr>
    </w:lvl>
    <w:lvl w:ilvl="2">
      <w:start w:val="1"/>
      <w:numFmt w:val="lowerLetter"/>
      <w:pStyle w:val="SubHeading1"/>
      <w:lvlText w:val="%3)"/>
      <w:lvlJc w:val="left"/>
      <w:pPr>
        <w:tabs>
          <w:tab w:val="num" w:pos="5976"/>
        </w:tabs>
        <w:ind w:left="5976" w:hanging="576"/>
      </w:pPr>
      <w:rPr>
        <w:rFonts w:hint="default"/>
        <w:b/>
      </w:rPr>
    </w:lvl>
    <w:lvl w:ilvl="3">
      <w:start w:val="1"/>
      <w:numFmt w:val="lowerRoman"/>
      <w:pStyle w:val="Subheading2"/>
      <w:lvlText w:val="(%4)"/>
      <w:lvlJc w:val="right"/>
      <w:pPr>
        <w:tabs>
          <w:tab w:val="num" w:pos="6480"/>
        </w:tabs>
        <w:ind w:left="6480" w:hanging="288"/>
      </w:pPr>
      <w:rPr>
        <w:rFonts w:hint="default"/>
        <w:b/>
      </w:rPr>
    </w:lvl>
    <w:lvl w:ilvl="4">
      <w:start w:val="1"/>
      <w:numFmt w:val="decimal"/>
      <w:pStyle w:val="Heading5"/>
      <w:lvlText w:val="%5)"/>
      <w:lvlJc w:val="left"/>
      <w:pPr>
        <w:ind w:left="5112" w:hanging="432"/>
      </w:pPr>
      <w:rPr>
        <w:rFonts w:hint="default"/>
      </w:rPr>
    </w:lvl>
    <w:lvl w:ilvl="5">
      <w:start w:val="1"/>
      <w:numFmt w:val="lowerLetter"/>
      <w:pStyle w:val="Heading6"/>
      <w:lvlText w:val="%6)"/>
      <w:lvlJc w:val="left"/>
      <w:pPr>
        <w:ind w:left="5256" w:hanging="432"/>
      </w:pPr>
      <w:rPr>
        <w:rFonts w:hint="default"/>
      </w:rPr>
    </w:lvl>
    <w:lvl w:ilvl="6">
      <w:start w:val="1"/>
      <w:numFmt w:val="lowerRoman"/>
      <w:pStyle w:val="Heading7"/>
      <w:lvlText w:val="%7)"/>
      <w:lvlJc w:val="right"/>
      <w:pPr>
        <w:ind w:left="5400" w:hanging="288"/>
      </w:pPr>
      <w:rPr>
        <w:rFonts w:hint="default"/>
      </w:rPr>
    </w:lvl>
    <w:lvl w:ilvl="7">
      <w:start w:val="1"/>
      <w:numFmt w:val="lowerLetter"/>
      <w:pStyle w:val="Heading8"/>
      <w:lvlText w:val="%8."/>
      <w:lvlJc w:val="left"/>
      <w:pPr>
        <w:ind w:left="5544" w:hanging="432"/>
      </w:pPr>
      <w:rPr>
        <w:rFonts w:hint="default"/>
      </w:rPr>
    </w:lvl>
    <w:lvl w:ilvl="8">
      <w:start w:val="1"/>
      <w:numFmt w:val="lowerRoman"/>
      <w:pStyle w:val="Heading9"/>
      <w:lvlText w:val="%9."/>
      <w:lvlJc w:val="right"/>
      <w:pPr>
        <w:ind w:left="5688" w:hanging="144"/>
      </w:pPr>
      <w:rPr>
        <w:rFonts w:hint="default"/>
      </w:rPr>
    </w:lvl>
  </w:abstractNum>
  <w:abstractNum w:abstractNumId="1" w15:restartNumberingAfterBreak="0">
    <w:nsid w:val="08B67040"/>
    <w:multiLevelType w:val="multilevel"/>
    <w:tmpl w:val="16C83F4C"/>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b w:val="0"/>
        <w:bCs w:val="0"/>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 w15:restartNumberingAfterBreak="0">
    <w:nsid w:val="0D094181"/>
    <w:multiLevelType w:val="multilevel"/>
    <w:tmpl w:val="7B70D396"/>
    <w:lvl w:ilvl="0">
      <w:start w:val="2"/>
      <w:numFmt w:val="decimal"/>
      <w:lvlText w:val="%1"/>
      <w:lvlJc w:val="left"/>
      <w:pPr>
        <w:ind w:left="360" w:hanging="360"/>
      </w:pPr>
      <w:rPr>
        <w:rFonts w:hint="default"/>
      </w:rPr>
    </w:lvl>
    <w:lvl w:ilvl="1">
      <w:start w:val="1"/>
      <w:numFmt w:val="decimal"/>
      <w:lvlText w:val="%1.%2"/>
      <w:lvlJc w:val="left"/>
      <w:pPr>
        <w:ind w:left="1800" w:hanging="360"/>
      </w:pPr>
      <w:rPr>
        <w:rFonts w:ascii="Arial" w:hAnsi="Arial" w:cs="Arial" w:hint="default"/>
        <w:b w:val="0"/>
        <w:bCs/>
        <w:sz w:val="20"/>
        <w:szCs w:val="22"/>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 w15:restartNumberingAfterBreak="0">
    <w:nsid w:val="1DD65AEA"/>
    <w:multiLevelType w:val="hybridMultilevel"/>
    <w:tmpl w:val="2ED62A6A"/>
    <w:lvl w:ilvl="0" w:tplc="C21883B8">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4B317F"/>
    <w:multiLevelType w:val="hybridMultilevel"/>
    <w:tmpl w:val="435C7E62"/>
    <w:lvl w:ilvl="0" w:tplc="1848065C">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5" w15:restartNumberingAfterBreak="0">
    <w:nsid w:val="21AB5FF9"/>
    <w:multiLevelType w:val="hybridMultilevel"/>
    <w:tmpl w:val="54A23156"/>
    <w:lvl w:ilvl="0" w:tplc="04090019">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29DB7F98"/>
    <w:multiLevelType w:val="multilevel"/>
    <w:tmpl w:val="368E5DEC"/>
    <w:lvl w:ilvl="0">
      <w:start w:val="1"/>
      <w:numFmt w:val="upperRoman"/>
      <w:lvlRestart w:val="0"/>
      <w:pStyle w:val="Chapter"/>
      <w:lvlText w:val="%1."/>
      <w:lvlJc w:val="center"/>
      <w:pPr>
        <w:tabs>
          <w:tab w:val="num" w:pos="2088"/>
        </w:tabs>
        <w:ind w:left="1440" w:firstLine="288"/>
      </w:pPr>
      <w:rPr>
        <w:b/>
        <w:i w:val="0"/>
      </w:rPr>
    </w:lvl>
    <w:lvl w:ilvl="1">
      <w:start w:val="1"/>
      <w:numFmt w:val="decimal"/>
      <w:pStyle w:val="Paragraph"/>
      <w:lvlText w:val="%1.%2"/>
      <w:lvlJc w:val="left"/>
      <w:pPr>
        <w:tabs>
          <w:tab w:val="num" w:pos="1476"/>
        </w:tabs>
        <w:ind w:left="1476" w:hanging="1296"/>
      </w:pPr>
      <w:rPr>
        <w:rFonts w:ascii="Arial" w:hAnsi="Arial" w:cs="Arial" w:hint="default"/>
        <w:b w:val="0"/>
      </w:rPr>
    </w:lvl>
    <w:lvl w:ilvl="2">
      <w:start w:val="1"/>
      <w:numFmt w:val="lowerLetter"/>
      <w:pStyle w:val="subpar"/>
      <w:lvlText w:val="%3."/>
      <w:lvlJc w:val="left"/>
      <w:pPr>
        <w:tabs>
          <w:tab w:val="num" w:pos="2682"/>
        </w:tabs>
        <w:ind w:left="268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7" w15:restartNumberingAfterBreak="0">
    <w:nsid w:val="359B4991"/>
    <w:multiLevelType w:val="multilevel"/>
    <w:tmpl w:val="3FFE7FA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rFonts w:ascii="Arial" w:hAnsi="Arial" w:cs="Arial" w:hint="default"/>
        <w:b w:val="0"/>
        <w:sz w:val="22"/>
        <w:szCs w:val="22"/>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8" w15:restartNumberingAfterBreak="0">
    <w:nsid w:val="38AA1141"/>
    <w:multiLevelType w:val="multilevel"/>
    <w:tmpl w:val="9252F9E4"/>
    <w:lvl w:ilvl="0">
      <w:start w:val="3"/>
      <w:numFmt w:val="decimal"/>
      <w:lvlText w:val="%1"/>
      <w:lvlJc w:val="left"/>
      <w:pPr>
        <w:ind w:left="360" w:hanging="360"/>
      </w:pPr>
      <w:rPr>
        <w:rFonts w:hint="default"/>
      </w:rPr>
    </w:lvl>
    <w:lvl w:ilvl="1">
      <w:start w:val="1"/>
      <w:numFmt w:val="decimal"/>
      <w:lvlText w:val="%1.%2"/>
      <w:lvlJc w:val="left"/>
      <w:pPr>
        <w:ind w:left="540" w:hanging="360"/>
      </w:pPr>
      <w:rPr>
        <w:rFonts w:hint="default"/>
        <w:b w:val="0"/>
        <w:bCs w:val="0"/>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9" w15:restartNumberingAfterBreak="0">
    <w:nsid w:val="437E0BCA"/>
    <w:multiLevelType w:val="hybridMultilevel"/>
    <w:tmpl w:val="C4B4D7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4594911"/>
    <w:multiLevelType w:val="multilevel"/>
    <w:tmpl w:val="44189A14"/>
    <w:lvl w:ilvl="0">
      <w:start w:val="1"/>
      <w:numFmt w:val="decimal"/>
      <w:lvlText w:val="%1"/>
      <w:lvlJc w:val="left"/>
      <w:pPr>
        <w:ind w:left="360" w:hanging="360"/>
      </w:pPr>
      <w:rPr>
        <w:rFonts w:hint="default"/>
      </w:rPr>
    </w:lvl>
    <w:lvl w:ilvl="1">
      <w:start w:val="1"/>
      <w:numFmt w:val="decimal"/>
      <w:lvlText w:val="%1.%2"/>
      <w:lvlJc w:val="left"/>
      <w:pPr>
        <w:ind w:left="1260" w:hanging="360"/>
      </w:pPr>
      <w:rPr>
        <w:rFonts w:ascii="Arial" w:hAnsi="Arial" w:cs="Aria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1355BCC"/>
    <w:multiLevelType w:val="hybridMultilevel"/>
    <w:tmpl w:val="66DEC24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0"/>
  </w:num>
  <w:num w:numId="3">
    <w:abstractNumId w:val="5"/>
  </w:num>
  <w:num w:numId="4">
    <w:abstractNumId w:val="1"/>
  </w:num>
  <w:num w:numId="5">
    <w:abstractNumId w:val="2"/>
  </w:num>
  <w:num w:numId="6">
    <w:abstractNumId w:val="8"/>
  </w:num>
  <w:num w:numId="7">
    <w:abstractNumId w:val="9"/>
  </w:num>
  <w:num w:numId="8">
    <w:abstractNumId w:val="10"/>
  </w:num>
  <w:num w:numId="9">
    <w:abstractNumId w:val="6"/>
  </w:num>
  <w:num w:numId="10">
    <w:abstractNumId w:val="6"/>
  </w:num>
  <w:num w:numId="11">
    <w:abstractNumId w:val="6"/>
  </w:num>
  <w:num w:numId="12">
    <w:abstractNumId w:val="6"/>
  </w:num>
  <w:num w:numId="13">
    <w:abstractNumId w:val="3"/>
  </w:num>
  <w:num w:numId="14">
    <w:abstractNumId w:val="6"/>
  </w:num>
  <w:num w:numId="15">
    <w:abstractNumId w:val="7"/>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16B2"/>
    <w:rsid w:val="000057A8"/>
    <w:rsid w:val="00005A2D"/>
    <w:rsid w:val="00007B89"/>
    <w:rsid w:val="00010D77"/>
    <w:rsid w:val="00011621"/>
    <w:rsid w:val="00015591"/>
    <w:rsid w:val="00016A0A"/>
    <w:rsid w:val="0002158D"/>
    <w:rsid w:val="00025C17"/>
    <w:rsid w:val="00032F3B"/>
    <w:rsid w:val="00035D27"/>
    <w:rsid w:val="000370DE"/>
    <w:rsid w:val="00037243"/>
    <w:rsid w:val="00042F2D"/>
    <w:rsid w:val="00043C4A"/>
    <w:rsid w:val="00043C7F"/>
    <w:rsid w:val="00044485"/>
    <w:rsid w:val="00052E69"/>
    <w:rsid w:val="00053C5F"/>
    <w:rsid w:val="000571BD"/>
    <w:rsid w:val="00057A91"/>
    <w:rsid w:val="00057ED3"/>
    <w:rsid w:val="00061426"/>
    <w:rsid w:val="00062A35"/>
    <w:rsid w:val="000666DD"/>
    <w:rsid w:val="00066E35"/>
    <w:rsid w:val="000751E1"/>
    <w:rsid w:val="00090ADE"/>
    <w:rsid w:val="00095785"/>
    <w:rsid w:val="000977A9"/>
    <w:rsid w:val="000A2A3F"/>
    <w:rsid w:val="000A5BA0"/>
    <w:rsid w:val="000B06BB"/>
    <w:rsid w:val="000B47F6"/>
    <w:rsid w:val="000C2F0D"/>
    <w:rsid w:val="000D314D"/>
    <w:rsid w:val="000D38ED"/>
    <w:rsid w:val="000D5E58"/>
    <w:rsid w:val="000E4BA5"/>
    <w:rsid w:val="000E56F7"/>
    <w:rsid w:val="001000B7"/>
    <w:rsid w:val="00121A96"/>
    <w:rsid w:val="00124701"/>
    <w:rsid w:val="001250A3"/>
    <w:rsid w:val="00133489"/>
    <w:rsid w:val="00134246"/>
    <w:rsid w:val="00136736"/>
    <w:rsid w:val="00136EBC"/>
    <w:rsid w:val="00144626"/>
    <w:rsid w:val="001516A6"/>
    <w:rsid w:val="0016237B"/>
    <w:rsid w:val="0017098D"/>
    <w:rsid w:val="001813DF"/>
    <w:rsid w:val="00183BDB"/>
    <w:rsid w:val="00190E2F"/>
    <w:rsid w:val="00192F89"/>
    <w:rsid w:val="00194738"/>
    <w:rsid w:val="001A207D"/>
    <w:rsid w:val="001A37FB"/>
    <w:rsid w:val="001B6C9E"/>
    <w:rsid w:val="001D13C3"/>
    <w:rsid w:val="001D3935"/>
    <w:rsid w:val="001D639A"/>
    <w:rsid w:val="001D6E94"/>
    <w:rsid w:val="001E797B"/>
    <w:rsid w:val="001F6027"/>
    <w:rsid w:val="001F6C37"/>
    <w:rsid w:val="0021012F"/>
    <w:rsid w:val="00226BF9"/>
    <w:rsid w:val="00243684"/>
    <w:rsid w:val="00252E49"/>
    <w:rsid w:val="002644F4"/>
    <w:rsid w:val="00266BBA"/>
    <w:rsid w:val="00271126"/>
    <w:rsid w:val="00274383"/>
    <w:rsid w:val="00274844"/>
    <w:rsid w:val="00284F70"/>
    <w:rsid w:val="002855DC"/>
    <w:rsid w:val="00291B2F"/>
    <w:rsid w:val="0029641A"/>
    <w:rsid w:val="0029790C"/>
    <w:rsid w:val="002A286A"/>
    <w:rsid w:val="002B723F"/>
    <w:rsid w:val="002B7615"/>
    <w:rsid w:val="002C1AB4"/>
    <w:rsid w:val="002C24EF"/>
    <w:rsid w:val="002C3CA6"/>
    <w:rsid w:val="002C47A9"/>
    <w:rsid w:val="002C7253"/>
    <w:rsid w:val="002D31D6"/>
    <w:rsid w:val="002E25A6"/>
    <w:rsid w:val="002E456A"/>
    <w:rsid w:val="002E765F"/>
    <w:rsid w:val="002F2857"/>
    <w:rsid w:val="002F32A5"/>
    <w:rsid w:val="002F508D"/>
    <w:rsid w:val="002F69D8"/>
    <w:rsid w:val="00305557"/>
    <w:rsid w:val="00311BDB"/>
    <w:rsid w:val="00317B05"/>
    <w:rsid w:val="00317EF3"/>
    <w:rsid w:val="00325521"/>
    <w:rsid w:val="00326F48"/>
    <w:rsid w:val="003337A2"/>
    <w:rsid w:val="00333C0D"/>
    <w:rsid w:val="00346380"/>
    <w:rsid w:val="00350866"/>
    <w:rsid w:val="00357BA7"/>
    <w:rsid w:val="00360AC8"/>
    <w:rsid w:val="0038187C"/>
    <w:rsid w:val="00387108"/>
    <w:rsid w:val="00394793"/>
    <w:rsid w:val="0039488A"/>
    <w:rsid w:val="00395385"/>
    <w:rsid w:val="003B1A9A"/>
    <w:rsid w:val="003B576F"/>
    <w:rsid w:val="003C6BCC"/>
    <w:rsid w:val="003D1223"/>
    <w:rsid w:val="003D1377"/>
    <w:rsid w:val="003D2FE7"/>
    <w:rsid w:val="003D7399"/>
    <w:rsid w:val="003E02FD"/>
    <w:rsid w:val="003E3F92"/>
    <w:rsid w:val="003F0834"/>
    <w:rsid w:val="003F1317"/>
    <w:rsid w:val="004054F9"/>
    <w:rsid w:val="00406DE0"/>
    <w:rsid w:val="004175DB"/>
    <w:rsid w:val="00417DCC"/>
    <w:rsid w:val="0042067C"/>
    <w:rsid w:val="004234A7"/>
    <w:rsid w:val="004258C5"/>
    <w:rsid w:val="0043207B"/>
    <w:rsid w:val="00433F74"/>
    <w:rsid w:val="004346DC"/>
    <w:rsid w:val="00447395"/>
    <w:rsid w:val="00454CB5"/>
    <w:rsid w:val="004714E0"/>
    <w:rsid w:val="00494070"/>
    <w:rsid w:val="004972BB"/>
    <w:rsid w:val="004A5622"/>
    <w:rsid w:val="004A70B5"/>
    <w:rsid w:val="004B71EF"/>
    <w:rsid w:val="004C2C96"/>
    <w:rsid w:val="004C3DD6"/>
    <w:rsid w:val="004C5656"/>
    <w:rsid w:val="004C5A3C"/>
    <w:rsid w:val="004E025C"/>
    <w:rsid w:val="004E1459"/>
    <w:rsid w:val="004E271A"/>
    <w:rsid w:val="004F03EC"/>
    <w:rsid w:val="004F0F82"/>
    <w:rsid w:val="004F17E9"/>
    <w:rsid w:val="00500555"/>
    <w:rsid w:val="00501E93"/>
    <w:rsid w:val="00513C4B"/>
    <w:rsid w:val="00514234"/>
    <w:rsid w:val="00522B95"/>
    <w:rsid w:val="00527ED1"/>
    <w:rsid w:val="00532BD9"/>
    <w:rsid w:val="005434BD"/>
    <w:rsid w:val="005438A5"/>
    <w:rsid w:val="00546340"/>
    <w:rsid w:val="0054717B"/>
    <w:rsid w:val="00554A88"/>
    <w:rsid w:val="005572D2"/>
    <w:rsid w:val="00562A53"/>
    <w:rsid w:val="005707CE"/>
    <w:rsid w:val="005719D4"/>
    <w:rsid w:val="00580D4F"/>
    <w:rsid w:val="005822E1"/>
    <w:rsid w:val="00583FF5"/>
    <w:rsid w:val="005923F4"/>
    <w:rsid w:val="005A567D"/>
    <w:rsid w:val="005B0889"/>
    <w:rsid w:val="005B49F7"/>
    <w:rsid w:val="005B5183"/>
    <w:rsid w:val="005C1947"/>
    <w:rsid w:val="005D5475"/>
    <w:rsid w:val="005E2807"/>
    <w:rsid w:val="005E4B35"/>
    <w:rsid w:val="005E7AF2"/>
    <w:rsid w:val="005F1584"/>
    <w:rsid w:val="005F5767"/>
    <w:rsid w:val="00614B51"/>
    <w:rsid w:val="006158AA"/>
    <w:rsid w:val="00630100"/>
    <w:rsid w:val="00630F64"/>
    <w:rsid w:val="006327F0"/>
    <w:rsid w:val="0064005C"/>
    <w:rsid w:val="00642378"/>
    <w:rsid w:val="006443B2"/>
    <w:rsid w:val="00646501"/>
    <w:rsid w:val="00653072"/>
    <w:rsid w:val="0066341E"/>
    <w:rsid w:val="006713A0"/>
    <w:rsid w:val="0067293D"/>
    <w:rsid w:val="00675A3D"/>
    <w:rsid w:val="00677A4B"/>
    <w:rsid w:val="006807F1"/>
    <w:rsid w:val="006819A9"/>
    <w:rsid w:val="006926B7"/>
    <w:rsid w:val="00694253"/>
    <w:rsid w:val="006A4348"/>
    <w:rsid w:val="006A5189"/>
    <w:rsid w:val="006A5D17"/>
    <w:rsid w:val="006B12AE"/>
    <w:rsid w:val="006B2147"/>
    <w:rsid w:val="006B540A"/>
    <w:rsid w:val="006B6990"/>
    <w:rsid w:val="006C0781"/>
    <w:rsid w:val="006C7192"/>
    <w:rsid w:val="006D0441"/>
    <w:rsid w:val="006D1EFD"/>
    <w:rsid w:val="006E1245"/>
    <w:rsid w:val="006F722D"/>
    <w:rsid w:val="00700B63"/>
    <w:rsid w:val="00702363"/>
    <w:rsid w:val="00703D77"/>
    <w:rsid w:val="00710C9A"/>
    <w:rsid w:val="007116B2"/>
    <w:rsid w:val="007131C5"/>
    <w:rsid w:val="00722740"/>
    <w:rsid w:val="00724428"/>
    <w:rsid w:val="0072599C"/>
    <w:rsid w:val="00733904"/>
    <w:rsid w:val="00751B12"/>
    <w:rsid w:val="007863DC"/>
    <w:rsid w:val="00787A9D"/>
    <w:rsid w:val="00787EA9"/>
    <w:rsid w:val="00793720"/>
    <w:rsid w:val="00793A77"/>
    <w:rsid w:val="007961B5"/>
    <w:rsid w:val="00796236"/>
    <w:rsid w:val="007B0890"/>
    <w:rsid w:val="007B107A"/>
    <w:rsid w:val="007B559F"/>
    <w:rsid w:val="007B698C"/>
    <w:rsid w:val="007B6BB1"/>
    <w:rsid w:val="007D0A81"/>
    <w:rsid w:val="007D3C9B"/>
    <w:rsid w:val="007D6406"/>
    <w:rsid w:val="007D7778"/>
    <w:rsid w:val="007F05D7"/>
    <w:rsid w:val="007F067A"/>
    <w:rsid w:val="007F7004"/>
    <w:rsid w:val="008006D9"/>
    <w:rsid w:val="00812CB0"/>
    <w:rsid w:val="00824587"/>
    <w:rsid w:val="00825050"/>
    <w:rsid w:val="008428AE"/>
    <w:rsid w:val="008513B4"/>
    <w:rsid w:val="008521B3"/>
    <w:rsid w:val="00853DF8"/>
    <w:rsid w:val="008542B6"/>
    <w:rsid w:val="00855419"/>
    <w:rsid w:val="00855CB6"/>
    <w:rsid w:val="00856CAF"/>
    <w:rsid w:val="008624F5"/>
    <w:rsid w:val="00866739"/>
    <w:rsid w:val="008673AE"/>
    <w:rsid w:val="008702D3"/>
    <w:rsid w:val="00871F6C"/>
    <w:rsid w:val="00873605"/>
    <w:rsid w:val="00883C85"/>
    <w:rsid w:val="00887589"/>
    <w:rsid w:val="00887C19"/>
    <w:rsid w:val="00890012"/>
    <w:rsid w:val="00890A5A"/>
    <w:rsid w:val="00895AC0"/>
    <w:rsid w:val="008960B4"/>
    <w:rsid w:val="00896A9D"/>
    <w:rsid w:val="008A4851"/>
    <w:rsid w:val="008B3B6C"/>
    <w:rsid w:val="008B3EE1"/>
    <w:rsid w:val="008B624A"/>
    <w:rsid w:val="008B75D8"/>
    <w:rsid w:val="008B76DE"/>
    <w:rsid w:val="008C18DB"/>
    <w:rsid w:val="008C1CE8"/>
    <w:rsid w:val="008D577A"/>
    <w:rsid w:val="008D7088"/>
    <w:rsid w:val="008F367E"/>
    <w:rsid w:val="00902665"/>
    <w:rsid w:val="009033EA"/>
    <w:rsid w:val="00905D85"/>
    <w:rsid w:val="0091179C"/>
    <w:rsid w:val="00923AF4"/>
    <w:rsid w:val="00925402"/>
    <w:rsid w:val="0093212E"/>
    <w:rsid w:val="009336E6"/>
    <w:rsid w:val="00935843"/>
    <w:rsid w:val="009448B7"/>
    <w:rsid w:val="009451C0"/>
    <w:rsid w:val="0095324D"/>
    <w:rsid w:val="009534A7"/>
    <w:rsid w:val="00966533"/>
    <w:rsid w:val="009708BF"/>
    <w:rsid w:val="00976EDD"/>
    <w:rsid w:val="00982447"/>
    <w:rsid w:val="0098747B"/>
    <w:rsid w:val="00992034"/>
    <w:rsid w:val="00992D97"/>
    <w:rsid w:val="009A138A"/>
    <w:rsid w:val="009A1E7A"/>
    <w:rsid w:val="009A4DE6"/>
    <w:rsid w:val="009A5E71"/>
    <w:rsid w:val="009A7209"/>
    <w:rsid w:val="009B0AD4"/>
    <w:rsid w:val="009B35C8"/>
    <w:rsid w:val="009B5253"/>
    <w:rsid w:val="009B54A4"/>
    <w:rsid w:val="009D2631"/>
    <w:rsid w:val="009D3FA6"/>
    <w:rsid w:val="009D6B4F"/>
    <w:rsid w:val="009F33B2"/>
    <w:rsid w:val="00A00CF2"/>
    <w:rsid w:val="00A02349"/>
    <w:rsid w:val="00A04B10"/>
    <w:rsid w:val="00A11FC0"/>
    <w:rsid w:val="00A13B1F"/>
    <w:rsid w:val="00A13EB5"/>
    <w:rsid w:val="00A16D8F"/>
    <w:rsid w:val="00A2083C"/>
    <w:rsid w:val="00A22DF1"/>
    <w:rsid w:val="00A30325"/>
    <w:rsid w:val="00A366A7"/>
    <w:rsid w:val="00A37D60"/>
    <w:rsid w:val="00A42085"/>
    <w:rsid w:val="00A4652E"/>
    <w:rsid w:val="00A46DF2"/>
    <w:rsid w:val="00A47495"/>
    <w:rsid w:val="00A505BA"/>
    <w:rsid w:val="00A531F9"/>
    <w:rsid w:val="00A5406D"/>
    <w:rsid w:val="00A556F4"/>
    <w:rsid w:val="00A571F9"/>
    <w:rsid w:val="00A5739E"/>
    <w:rsid w:val="00A60930"/>
    <w:rsid w:val="00A62B41"/>
    <w:rsid w:val="00A64B93"/>
    <w:rsid w:val="00A66C41"/>
    <w:rsid w:val="00A66CA4"/>
    <w:rsid w:val="00A73884"/>
    <w:rsid w:val="00A80495"/>
    <w:rsid w:val="00A8461D"/>
    <w:rsid w:val="00A8655B"/>
    <w:rsid w:val="00A91446"/>
    <w:rsid w:val="00AA1EF2"/>
    <w:rsid w:val="00AB03F4"/>
    <w:rsid w:val="00AB1B5A"/>
    <w:rsid w:val="00AB6A15"/>
    <w:rsid w:val="00AB7EF7"/>
    <w:rsid w:val="00AC1B8D"/>
    <w:rsid w:val="00AC3A5A"/>
    <w:rsid w:val="00AC73CC"/>
    <w:rsid w:val="00AC7E74"/>
    <w:rsid w:val="00AD2858"/>
    <w:rsid w:val="00AD36A6"/>
    <w:rsid w:val="00AD54DD"/>
    <w:rsid w:val="00AE260A"/>
    <w:rsid w:val="00AE2632"/>
    <w:rsid w:val="00B05EEE"/>
    <w:rsid w:val="00B103DB"/>
    <w:rsid w:val="00B16C63"/>
    <w:rsid w:val="00B1754F"/>
    <w:rsid w:val="00B2245B"/>
    <w:rsid w:val="00B24A49"/>
    <w:rsid w:val="00B362B5"/>
    <w:rsid w:val="00B3760F"/>
    <w:rsid w:val="00B5023C"/>
    <w:rsid w:val="00B642F0"/>
    <w:rsid w:val="00B6701C"/>
    <w:rsid w:val="00B67583"/>
    <w:rsid w:val="00B7406B"/>
    <w:rsid w:val="00B93FB1"/>
    <w:rsid w:val="00B95CA1"/>
    <w:rsid w:val="00BA27BD"/>
    <w:rsid w:val="00BA582C"/>
    <w:rsid w:val="00BB1DD0"/>
    <w:rsid w:val="00BB48CD"/>
    <w:rsid w:val="00BB5302"/>
    <w:rsid w:val="00BC1B30"/>
    <w:rsid w:val="00BD33DA"/>
    <w:rsid w:val="00BD37F6"/>
    <w:rsid w:val="00BD6375"/>
    <w:rsid w:val="00BD7609"/>
    <w:rsid w:val="00BE6BA7"/>
    <w:rsid w:val="00BF216A"/>
    <w:rsid w:val="00BF264C"/>
    <w:rsid w:val="00BF52B4"/>
    <w:rsid w:val="00C00EC9"/>
    <w:rsid w:val="00C01758"/>
    <w:rsid w:val="00C14483"/>
    <w:rsid w:val="00C20FF1"/>
    <w:rsid w:val="00C3607E"/>
    <w:rsid w:val="00C37682"/>
    <w:rsid w:val="00C51797"/>
    <w:rsid w:val="00C51E2C"/>
    <w:rsid w:val="00C52729"/>
    <w:rsid w:val="00C64C11"/>
    <w:rsid w:val="00C711F4"/>
    <w:rsid w:val="00C737B7"/>
    <w:rsid w:val="00C76DFE"/>
    <w:rsid w:val="00C83C17"/>
    <w:rsid w:val="00C91F5C"/>
    <w:rsid w:val="00C9369C"/>
    <w:rsid w:val="00CA57D4"/>
    <w:rsid w:val="00CB259D"/>
    <w:rsid w:val="00CB2B72"/>
    <w:rsid w:val="00CB4644"/>
    <w:rsid w:val="00CB4E5B"/>
    <w:rsid w:val="00CC42AB"/>
    <w:rsid w:val="00CC7D65"/>
    <w:rsid w:val="00CD0585"/>
    <w:rsid w:val="00CD1AF3"/>
    <w:rsid w:val="00CD47D4"/>
    <w:rsid w:val="00CD77C0"/>
    <w:rsid w:val="00CF6CF2"/>
    <w:rsid w:val="00D01FD3"/>
    <w:rsid w:val="00D02477"/>
    <w:rsid w:val="00D02961"/>
    <w:rsid w:val="00D02CBF"/>
    <w:rsid w:val="00D07A7C"/>
    <w:rsid w:val="00D07B74"/>
    <w:rsid w:val="00D11CF4"/>
    <w:rsid w:val="00D12CC7"/>
    <w:rsid w:val="00D221D6"/>
    <w:rsid w:val="00D23559"/>
    <w:rsid w:val="00D31FFA"/>
    <w:rsid w:val="00D32B9E"/>
    <w:rsid w:val="00D3462F"/>
    <w:rsid w:val="00D35EEB"/>
    <w:rsid w:val="00D50319"/>
    <w:rsid w:val="00D5350C"/>
    <w:rsid w:val="00D54F9E"/>
    <w:rsid w:val="00D61A32"/>
    <w:rsid w:val="00D649AD"/>
    <w:rsid w:val="00D67C27"/>
    <w:rsid w:val="00D72BD5"/>
    <w:rsid w:val="00D74C69"/>
    <w:rsid w:val="00D74DCD"/>
    <w:rsid w:val="00D80E1D"/>
    <w:rsid w:val="00D82C1F"/>
    <w:rsid w:val="00D871E1"/>
    <w:rsid w:val="00D95B9E"/>
    <w:rsid w:val="00D95EF2"/>
    <w:rsid w:val="00DA19F9"/>
    <w:rsid w:val="00DA5B61"/>
    <w:rsid w:val="00DB18CA"/>
    <w:rsid w:val="00DB32A4"/>
    <w:rsid w:val="00DB4C9B"/>
    <w:rsid w:val="00DC10B9"/>
    <w:rsid w:val="00DC4A8F"/>
    <w:rsid w:val="00DD7048"/>
    <w:rsid w:val="00DE4CFC"/>
    <w:rsid w:val="00DF59CB"/>
    <w:rsid w:val="00E034A6"/>
    <w:rsid w:val="00E04A40"/>
    <w:rsid w:val="00E13D0B"/>
    <w:rsid w:val="00E1696D"/>
    <w:rsid w:val="00E24D9A"/>
    <w:rsid w:val="00E30716"/>
    <w:rsid w:val="00E31910"/>
    <w:rsid w:val="00E32571"/>
    <w:rsid w:val="00E33F78"/>
    <w:rsid w:val="00E403CD"/>
    <w:rsid w:val="00E45C65"/>
    <w:rsid w:val="00E47743"/>
    <w:rsid w:val="00E51908"/>
    <w:rsid w:val="00E57344"/>
    <w:rsid w:val="00E61E38"/>
    <w:rsid w:val="00E67331"/>
    <w:rsid w:val="00E74A19"/>
    <w:rsid w:val="00E75415"/>
    <w:rsid w:val="00E7748C"/>
    <w:rsid w:val="00E96D8F"/>
    <w:rsid w:val="00EA7F81"/>
    <w:rsid w:val="00EB35A6"/>
    <w:rsid w:val="00EB454E"/>
    <w:rsid w:val="00EB55C5"/>
    <w:rsid w:val="00EB70D1"/>
    <w:rsid w:val="00EC142F"/>
    <w:rsid w:val="00EC36C4"/>
    <w:rsid w:val="00EC5FE4"/>
    <w:rsid w:val="00EC65D3"/>
    <w:rsid w:val="00ED0ED8"/>
    <w:rsid w:val="00ED6B33"/>
    <w:rsid w:val="00EE58E1"/>
    <w:rsid w:val="00EE6423"/>
    <w:rsid w:val="00EE7CB5"/>
    <w:rsid w:val="00EF1598"/>
    <w:rsid w:val="00EF6922"/>
    <w:rsid w:val="00F07268"/>
    <w:rsid w:val="00F07999"/>
    <w:rsid w:val="00F13E9C"/>
    <w:rsid w:val="00F145EC"/>
    <w:rsid w:val="00F27BCF"/>
    <w:rsid w:val="00F27FB9"/>
    <w:rsid w:val="00F40584"/>
    <w:rsid w:val="00F40DB6"/>
    <w:rsid w:val="00F54B8E"/>
    <w:rsid w:val="00F56C02"/>
    <w:rsid w:val="00F73054"/>
    <w:rsid w:val="00F73DDD"/>
    <w:rsid w:val="00F80A52"/>
    <w:rsid w:val="00F844CB"/>
    <w:rsid w:val="00F84895"/>
    <w:rsid w:val="00F8529B"/>
    <w:rsid w:val="00F910CB"/>
    <w:rsid w:val="00FA15DC"/>
    <w:rsid w:val="00FB6A0D"/>
    <w:rsid w:val="00FC19D3"/>
    <w:rsid w:val="00FC1E40"/>
    <w:rsid w:val="00FC2A7D"/>
    <w:rsid w:val="00FD0C4A"/>
    <w:rsid w:val="00FD6D39"/>
    <w:rsid w:val="00FD6D8A"/>
    <w:rsid w:val="00FE0AC2"/>
    <w:rsid w:val="00FE2518"/>
    <w:rsid w:val="00FF1F5A"/>
    <w:rsid w:val="00FF2EDB"/>
    <w:rsid w:val="34214E0A"/>
    <w:rsid w:val="34735F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C995F"/>
  <w15:chartTrackingRefBased/>
  <w15:docId w15:val="{607D7CB3-10F7-4953-85A7-2B7DC717F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16B2"/>
    <w:pPr>
      <w:spacing w:after="200" w:line="276" w:lineRule="auto"/>
    </w:pPr>
    <w:rPr>
      <w:rFonts w:eastAsiaTheme="minorEastAsia"/>
      <w:lang w:val="en-GB" w:eastAsia="en-GB"/>
    </w:rPr>
  </w:style>
  <w:style w:type="paragraph" w:styleId="Heading5">
    <w:name w:val="heading 5"/>
    <w:basedOn w:val="Normal"/>
    <w:next w:val="Normal"/>
    <w:link w:val="Heading5Char"/>
    <w:uiPriority w:val="9"/>
    <w:unhideWhenUsed/>
    <w:qFormat/>
    <w:rsid w:val="007116B2"/>
    <w:pPr>
      <w:keepNext/>
      <w:keepLines/>
      <w:numPr>
        <w:ilvl w:val="4"/>
        <w:numId w:val="2"/>
      </w:numPr>
      <w:spacing w:before="200" w:after="0"/>
      <w:outlineLvl w:val="4"/>
    </w:pPr>
    <w:rPr>
      <w:rFonts w:asciiTheme="majorHAnsi" w:eastAsiaTheme="majorEastAsia" w:hAnsiTheme="majorHAnsi" w:cstheme="majorBidi"/>
      <w:color w:val="1F3763" w:themeColor="accent1" w:themeShade="7F"/>
      <w:lang w:val="en-US"/>
    </w:rPr>
  </w:style>
  <w:style w:type="paragraph" w:styleId="Heading6">
    <w:name w:val="heading 6"/>
    <w:basedOn w:val="Normal"/>
    <w:next w:val="Normal"/>
    <w:link w:val="Heading6Char"/>
    <w:uiPriority w:val="9"/>
    <w:semiHidden/>
    <w:unhideWhenUsed/>
    <w:qFormat/>
    <w:rsid w:val="007116B2"/>
    <w:pPr>
      <w:keepNext/>
      <w:keepLines/>
      <w:numPr>
        <w:ilvl w:val="5"/>
        <w:numId w:val="2"/>
      </w:numPr>
      <w:spacing w:before="200" w:after="0"/>
      <w:outlineLvl w:val="5"/>
    </w:pPr>
    <w:rPr>
      <w:rFonts w:asciiTheme="majorHAnsi" w:eastAsiaTheme="majorEastAsia" w:hAnsiTheme="majorHAnsi" w:cstheme="majorBidi"/>
      <w:i/>
      <w:iCs/>
      <w:color w:val="1F3763" w:themeColor="accent1" w:themeShade="7F"/>
      <w:lang w:val="en-US"/>
    </w:rPr>
  </w:style>
  <w:style w:type="paragraph" w:styleId="Heading7">
    <w:name w:val="heading 7"/>
    <w:basedOn w:val="Normal"/>
    <w:next w:val="Normal"/>
    <w:link w:val="Heading7Char"/>
    <w:uiPriority w:val="9"/>
    <w:unhideWhenUsed/>
    <w:qFormat/>
    <w:rsid w:val="007116B2"/>
    <w:pPr>
      <w:keepNext/>
      <w:keepLines/>
      <w:numPr>
        <w:ilvl w:val="6"/>
        <w:numId w:val="2"/>
      </w:numPr>
      <w:spacing w:before="200" w:after="0"/>
      <w:outlineLvl w:val="6"/>
    </w:pPr>
    <w:rPr>
      <w:rFonts w:asciiTheme="majorHAnsi" w:eastAsiaTheme="majorEastAsia" w:hAnsiTheme="majorHAnsi" w:cstheme="majorBidi"/>
      <w:i/>
      <w:iCs/>
      <w:color w:val="404040" w:themeColor="text1" w:themeTint="BF"/>
      <w:lang w:val="en-US"/>
    </w:rPr>
  </w:style>
  <w:style w:type="paragraph" w:styleId="Heading8">
    <w:name w:val="heading 8"/>
    <w:basedOn w:val="Normal"/>
    <w:next w:val="Normal"/>
    <w:link w:val="Heading8Char"/>
    <w:uiPriority w:val="9"/>
    <w:semiHidden/>
    <w:unhideWhenUsed/>
    <w:qFormat/>
    <w:rsid w:val="007116B2"/>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lang w:val="en-US"/>
    </w:rPr>
  </w:style>
  <w:style w:type="paragraph" w:styleId="Heading9">
    <w:name w:val="heading 9"/>
    <w:basedOn w:val="Normal"/>
    <w:next w:val="Normal"/>
    <w:link w:val="Heading9Char"/>
    <w:uiPriority w:val="9"/>
    <w:semiHidden/>
    <w:unhideWhenUsed/>
    <w:qFormat/>
    <w:rsid w:val="007116B2"/>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116B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116B2"/>
    <w:rPr>
      <w:rFonts w:ascii="Segoe UI" w:hAnsi="Segoe UI" w:cs="Segoe UI"/>
      <w:sz w:val="18"/>
      <w:szCs w:val="18"/>
    </w:rPr>
  </w:style>
  <w:style w:type="character" w:customStyle="1" w:styleId="Heading5Char">
    <w:name w:val="Heading 5 Char"/>
    <w:basedOn w:val="DefaultParagraphFont"/>
    <w:link w:val="Heading5"/>
    <w:uiPriority w:val="9"/>
    <w:rsid w:val="007116B2"/>
    <w:rPr>
      <w:rFonts w:asciiTheme="majorHAnsi" w:eastAsiaTheme="majorEastAsia" w:hAnsiTheme="majorHAnsi" w:cstheme="majorBidi"/>
      <w:color w:val="1F3763" w:themeColor="accent1" w:themeShade="7F"/>
      <w:lang w:eastAsia="en-GB"/>
    </w:rPr>
  </w:style>
  <w:style w:type="character" w:customStyle="1" w:styleId="Heading6Char">
    <w:name w:val="Heading 6 Char"/>
    <w:basedOn w:val="DefaultParagraphFont"/>
    <w:link w:val="Heading6"/>
    <w:uiPriority w:val="9"/>
    <w:semiHidden/>
    <w:rsid w:val="007116B2"/>
    <w:rPr>
      <w:rFonts w:asciiTheme="majorHAnsi" w:eastAsiaTheme="majorEastAsia" w:hAnsiTheme="majorHAnsi" w:cstheme="majorBidi"/>
      <w:i/>
      <w:iCs/>
      <w:color w:val="1F3763" w:themeColor="accent1" w:themeShade="7F"/>
      <w:lang w:eastAsia="en-GB"/>
    </w:rPr>
  </w:style>
  <w:style w:type="character" w:customStyle="1" w:styleId="Heading7Char">
    <w:name w:val="Heading 7 Char"/>
    <w:basedOn w:val="DefaultParagraphFont"/>
    <w:link w:val="Heading7"/>
    <w:uiPriority w:val="9"/>
    <w:rsid w:val="007116B2"/>
    <w:rPr>
      <w:rFonts w:asciiTheme="majorHAnsi" w:eastAsiaTheme="majorEastAsia" w:hAnsiTheme="majorHAnsi" w:cstheme="majorBidi"/>
      <w:i/>
      <w:iCs/>
      <w:color w:val="404040" w:themeColor="text1" w:themeTint="BF"/>
      <w:lang w:eastAsia="en-GB"/>
    </w:rPr>
  </w:style>
  <w:style w:type="character" w:customStyle="1" w:styleId="Heading8Char">
    <w:name w:val="Heading 8 Char"/>
    <w:basedOn w:val="DefaultParagraphFont"/>
    <w:link w:val="Heading8"/>
    <w:uiPriority w:val="9"/>
    <w:semiHidden/>
    <w:rsid w:val="007116B2"/>
    <w:rPr>
      <w:rFonts w:asciiTheme="majorHAnsi" w:eastAsiaTheme="majorEastAsia" w:hAnsiTheme="majorHAnsi" w:cstheme="majorBidi"/>
      <w:color w:val="404040" w:themeColor="text1" w:themeTint="BF"/>
      <w:sz w:val="20"/>
      <w:szCs w:val="20"/>
      <w:lang w:eastAsia="en-GB"/>
    </w:rPr>
  </w:style>
  <w:style w:type="character" w:customStyle="1" w:styleId="Heading9Char">
    <w:name w:val="Heading 9 Char"/>
    <w:basedOn w:val="DefaultParagraphFont"/>
    <w:link w:val="Heading9"/>
    <w:uiPriority w:val="9"/>
    <w:semiHidden/>
    <w:rsid w:val="007116B2"/>
    <w:rPr>
      <w:rFonts w:asciiTheme="majorHAnsi" w:eastAsiaTheme="majorEastAsia" w:hAnsiTheme="majorHAnsi" w:cstheme="majorBidi"/>
      <w:i/>
      <w:iCs/>
      <w:color w:val="404040" w:themeColor="text1" w:themeTint="BF"/>
      <w:sz w:val="20"/>
      <w:szCs w:val="20"/>
      <w:lang w:eastAsia="en-GB"/>
    </w:rPr>
  </w:style>
  <w:style w:type="table" w:styleId="TableGrid">
    <w:name w:val="Table Grid"/>
    <w:basedOn w:val="TableNormal"/>
    <w:uiPriority w:val="59"/>
    <w:rsid w:val="007116B2"/>
    <w:pPr>
      <w:spacing w:after="0" w:line="240" w:lineRule="auto"/>
    </w:pPr>
    <w:rPr>
      <w:rFonts w:eastAsiaTheme="minorEastAsia"/>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qFormat/>
    <w:rsid w:val="007116B2"/>
    <w:pPr>
      <w:tabs>
        <w:tab w:val="right" w:leader="dot" w:pos="8741"/>
      </w:tabs>
      <w:spacing w:before="240" w:after="120" w:line="240" w:lineRule="auto"/>
      <w:ind w:left="547" w:hanging="547"/>
    </w:pPr>
    <w:rPr>
      <w:rFonts w:ascii="Times New Roman" w:hAnsi="Times New Roman" w:cs="Times New Roman"/>
      <w:b/>
      <w:smallCaps/>
      <w:noProof/>
      <w:sz w:val="24"/>
      <w:lang w:val="en-US" w:eastAsia="ja-JP"/>
    </w:rPr>
  </w:style>
  <w:style w:type="paragraph" w:styleId="TOC3">
    <w:name w:val="toc 3"/>
    <w:basedOn w:val="Normal"/>
    <w:next w:val="Normal"/>
    <w:autoRedefine/>
    <w:uiPriority w:val="39"/>
    <w:unhideWhenUsed/>
    <w:qFormat/>
    <w:rsid w:val="007116B2"/>
    <w:pPr>
      <w:tabs>
        <w:tab w:val="left" w:pos="1728"/>
        <w:tab w:val="right" w:leader="dot" w:pos="8741"/>
      </w:tabs>
      <w:spacing w:after="0" w:line="240" w:lineRule="auto"/>
      <w:ind w:left="1714" w:hanging="562"/>
    </w:pPr>
    <w:rPr>
      <w:rFonts w:ascii="Times New Roman" w:hAnsi="Times New Roman" w:cs="Times New Roman"/>
      <w:sz w:val="24"/>
      <w:lang w:val="en-US" w:eastAsia="ja-JP"/>
    </w:rPr>
  </w:style>
  <w:style w:type="paragraph" w:customStyle="1" w:styleId="Paragraph">
    <w:name w:val="Paragraph"/>
    <w:aliases w:val="paragraph,p,PARAGRAPH,PG,pa,at"/>
    <w:basedOn w:val="BodyTextIndent"/>
    <w:link w:val="ParagraphChar"/>
    <w:qFormat/>
    <w:rsid w:val="007116B2"/>
    <w:pPr>
      <w:numPr>
        <w:ilvl w:val="1"/>
        <w:numId w:val="1"/>
      </w:numPr>
      <w:spacing w:before="120" w:line="240" w:lineRule="auto"/>
      <w:jc w:val="both"/>
      <w:outlineLvl w:val="1"/>
    </w:pPr>
    <w:rPr>
      <w:rFonts w:ascii="Times New Roman" w:eastAsia="Times New Roman" w:hAnsi="Times New Roman" w:cs="Times New Roman"/>
      <w:sz w:val="24"/>
      <w:szCs w:val="20"/>
      <w:lang w:val="en-US"/>
    </w:rPr>
  </w:style>
  <w:style w:type="character" w:customStyle="1" w:styleId="ParagraphChar">
    <w:name w:val="Paragraph Char"/>
    <w:aliases w:val="p Char,PARAGRAPH Char,PG Char,pa Char,at Char,paragraph Char"/>
    <w:link w:val="Paragraph"/>
    <w:rsid w:val="007116B2"/>
    <w:rPr>
      <w:rFonts w:ascii="Times New Roman" w:eastAsia="Times New Roman" w:hAnsi="Times New Roman" w:cs="Times New Roman"/>
      <w:sz w:val="24"/>
      <w:szCs w:val="20"/>
      <w:lang w:eastAsia="en-GB"/>
    </w:rPr>
  </w:style>
  <w:style w:type="paragraph" w:styleId="FootnoteText">
    <w:name w:val="footnote text"/>
    <w:aliases w:val="fn,Texto nota pie IIRSA,single space,texto de nota al pie,Texto nota pie Car Car Car Car Car Car Car Car,Texto nota pie Car Car Car,Footnote Text Char Char Char Char Char Char,Texto nota pie Car Car Car Car Car,Texto nota pie Car1,Texto,F,f"/>
    <w:basedOn w:val="Normal"/>
    <w:link w:val="FootnoteTextChar"/>
    <w:uiPriority w:val="99"/>
    <w:unhideWhenUsed/>
    <w:qFormat/>
    <w:rsid w:val="007116B2"/>
    <w:pPr>
      <w:keepNext/>
      <w:keepLines/>
      <w:spacing w:after="120" w:line="240" w:lineRule="auto"/>
      <w:ind w:left="288" w:hanging="288"/>
      <w:jc w:val="both"/>
    </w:pPr>
    <w:rPr>
      <w:rFonts w:ascii="Times New Roman" w:hAnsi="Times New Roman" w:cs="Times New Roman"/>
      <w:spacing w:val="-3"/>
      <w:sz w:val="20"/>
      <w:szCs w:val="20"/>
      <w:lang w:val="en-US"/>
    </w:rPr>
  </w:style>
  <w:style w:type="character" w:customStyle="1" w:styleId="FootnoteTextChar">
    <w:name w:val="Footnote Text Char"/>
    <w:aliases w:val="fn Char,Texto nota pie IIRSA Char,single space Char,texto de nota al pie Char,Texto nota pie Car Car Car Car Car Car Car Car Char,Texto nota pie Car Car Car Char,Footnote Text Char Char Char Char Char Char Char,Texto Char,F Char"/>
    <w:basedOn w:val="DefaultParagraphFont"/>
    <w:link w:val="FootnoteText"/>
    <w:uiPriority w:val="99"/>
    <w:rsid w:val="007116B2"/>
    <w:rPr>
      <w:rFonts w:ascii="Times New Roman" w:eastAsiaTheme="minorEastAsia" w:hAnsi="Times New Roman" w:cs="Times New Roman"/>
      <w:spacing w:val="-3"/>
      <w:sz w:val="20"/>
      <w:szCs w:val="20"/>
      <w:lang w:eastAsia="en-GB"/>
    </w:rPr>
  </w:style>
  <w:style w:type="paragraph" w:customStyle="1" w:styleId="Chapter">
    <w:name w:val="Chapter"/>
    <w:basedOn w:val="Normal"/>
    <w:next w:val="Normal"/>
    <w:qFormat/>
    <w:rsid w:val="007116B2"/>
    <w:pPr>
      <w:keepNext/>
      <w:numPr>
        <w:numId w:val="1"/>
      </w:numPr>
      <w:tabs>
        <w:tab w:val="clear" w:pos="2088"/>
        <w:tab w:val="num" w:pos="648"/>
        <w:tab w:val="left" w:pos="1440"/>
      </w:tabs>
      <w:spacing w:before="240" w:after="240" w:line="240" w:lineRule="auto"/>
      <w:ind w:left="0"/>
      <w:jc w:val="center"/>
    </w:pPr>
    <w:rPr>
      <w:rFonts w:ascii="Times New Roman" w:eastAsia="Times New Roman" w:hAnsi="Times New Roman" w:cs="Times New Roman"/>
      <w:b/>
      <w:smallCaps/>
      <w:sz w:val="24"/>
      <w:szCs w:val="20"/>
      <w:lang w:val="en-US"/>
    </w:rPr>
  </w:style>
  <w:style w:type="paragraph" w:customStyle="1" w:styleId="Default">
    <w:name w:val="Default"/>
    <w:link w:val="DefaultChar"/>
    <w:rsid w:val="007116B2"/>
    <w:pPr>
      <w:autoSpaceDE w:val="0"/>
      <w:autoSpaceDN w:val="0"/>
      <w:adjustRightInd w:val="0"/>
      <w:spacing w:after="0" w:line="240" w:lineRule="auto"/>
    </w:pPr>
    <w:rPr>
      <w:rFonts w:ascii="Times New Roman" w:eastAsiaTheme="minorEastAsia" w:hAnsi="Times New Roman" w:cs="Times New Roman"/>
      <w:color w:val="000000"/>
      <w:sz w:val="24"/>
      <w:szCs w:val="24"/>
      <w:lang w:eastAsia="en-GB"/>
    </w:rPr>
  </w:style>
  <w:style w:type="paragraph" w:customStyle="1" w:styleId="FirstHeading">
    <w:name w:val="FirstHeading"/>
    <w:basedOn w:val="Normal"/>
    <w:next w:val="Normal"/>
    <w:rsid w:val="007116B2"/>
    <w:pPr>
      <w:keepNext/>
      <w:numPr>
        <w:numId w:val="2"/>
      </w:numPr>
      <w:tabs>
        <w:tab w:val="left" w:pos="0"/>
        <w:tab w:val="left" w:pos="86"/>
      </w:tabs>
      <w:spacing w:before="120" w:after="120" w:line="240" w:lineRule="auto"/>
    </w:pPr>
    <w:rPr>
      <w:rFonts w:ascii="Times New Roman" w:hAnsi="Times New Roman" w:cs="Times New Roman"/>
      <w:b/>
      <w:bCs/>
      <w:sz w:val="24"/>
      <w:szCs w:val="24"/>
      <w:lang w:val="es-ES_tradnl"/>
    </w:rPr>
  </w:style>
  <w:style w:type="character" w:customStyle="1" w:styleId="DefaultChar">
    <w:name w:val="Default Char"/>
    <w:basedOn w:val="DefaultParagraphFont"/>
    <w:link w:val="Default"/>
    <w:rsid w:val="007116B2"/>
    <w:rPr>
      <w:rFonts w:ascii="Times New Roman" w:eastAsiaTheme="minorEastAsia" w:hAnsi="Times New Roman" w:cs="Times New Roman"/>
      <w:color w:val="000000"/>
      <w:sz w:val="24"/>
      <w:szCs w:val="24"/>
      <w:lang w:eastAsia="en-GB"/>
    </w:rPr>
  </w:style>
  <w:style w:type="paragraph" w:customStyle="1" w:styleId="SecHeading">
    <w:name w:val="SecHeading"/>
    <w:basedOn w:val="Normal"/>
    <w:next w:val="Paragraph"/>
    <w:link w:val="SecHeadingChar"/>
    <w:rsid w:val="007116B2"/>
    <w:pPr>
      <w:keepNext/>
      <w:numPr>
        <w:ilvl w:val="1"/>
        <w:numId w:val="2"/>
      </w:numPr>
      <w:spacing w:before="120" w:after="120" w:line="240" w:lineRule="auto"/>
    </w:pPr>
    <w:rPr>
      <w:rFonts w:ascii="Times New Roman" w:hAnsi="Times New Roman" w:cs="Times New Roman"/>
      <w:b/>
      <w:bCs/>
      <w:color w:val="000000"/>
      <w:sz w:val="24"/>
      <w:szCs w:val="24"/>
      <w:lang w:val="es-ES_tradnl"/>
    </w:rPr>
  </w:style>
  <w:style w:type="character" w:customStyle="1" w:styleId="SecHeadingChar">
    <w:name w:val="SecHeading Char"/>
    <w:basedOn w:val="DefaultChar"/>
    <w:link w:val="SecHeading"/>
    <w:rsid w:val="007116B2"/>
    <w:rPr>
      <w:rFonts w:ascii="Times New Roman" w:eastAsiaTheme="minorEastAsia" w:hAnsi="Times New Roman" w:cs="Times New Roman"/>
      <w:b/>
      <w:bCs/>
      <w:color w:val="000000"/>
      <w:sz w:val="24"/>
      <w:szCs w:val="24"/>
      <w:lang w:val="es-ES_tradnl" w:eastAsia="en-GB"/>
    </w:rPr>
  </w:style>
  <w:style w:type="paragraph" w:customStyle="1" w:styleId="SubHeading1">
    <w:name w:val="SubHeading1"/>
    <w:basedOn w:val="SecHeading"/>
    <w:rsid w:val="007116B2"/>
    <w:pPr>
      <w:numPr>
        <w:ilvl w:val="2"/>
      </w:numPr>
    </w:pPr>
    <w:rPr>
      <w:bCs w:val="0"/>
      <w:color w:val="auto"/>
    </w:rPr>
  </w:style>
  <w:style w:type="paragraph" w:customStyle="1" w:styleId="Subheading2">
    <w:name w:val="Subheading2"/>
    <w:basedOn w:val="SecHeading"/>
    <w:rsid w:val="007116B2"/>
    <w:pPr>
      <w:numPr>
        <w:ilvl w:val="3"/>
      </w:numPr>
      <w:tabs>
        <w:tab w:val="clear" w:pos="6480"/>
        <w:tab w:val="num" w:pos="2376"/>
      </w:tabs>
      <w:ind w:left="2376"/>
    </w:pPr>
    <w:rPr>
      <w:bCs w:val="0"/>
      <w:color w:val="auto"/>
    </w:rPr>
  </w:style>
  <w:style w:type="paragraph" w:customStyle="1" w:styleId="subpar">
    <w:name w:val="subpar"/>
    <w:basedOn w:val="BodyTextIndent3"/>
    <w:link w:val="subparChar"/>
    <w:rsid w:val="007116B2"/>
    <w:pPr>
      <w:numPr>
        <w:ilvl w:val="2"/>
        <w:numId w:val="1"/>
      </w:numPr>
      <w:spacing w:before="120" w:line="240" w:lineRule="auto"/>
      <w:jc w:val="both"/>
      <w:outlineLvl w:val="2"/>
    </w:pPr>
    <w:rPr>
      <w:rFonts w:ascii="Times New Roman" w:hAnsi="Times New Roman" w:cs="Times New Roman"/>
      <w:sz w:val="24"/>
    </w:rPr>
  </w:style>
  <w:style w:type="character" w:customStyle="1" w:styleId="subparChar">
    <w:name w:val="subpar Char"/>
    <w:basedOn w:val="DefaultParagraphFont"/>
    <w:link w:val="subpar"/>
    <w:uiPriority w:val="99"/>
    <w:rsid w:val="007116B2"/>
    <w:rPr>
      <w:rFonts w:ascii="Times New Roman" w:eastAsiaTheme="minorEastAsia" w:hAnsi="Times New Roman" w:cs="Times New Roman"/>
      <w:sz w:val="24"/>
      <w:szCs w:val="16"/>
      <w:lang w:val="en-GB" w:eastAsia="en-GB"/>
    </w:rPr>
  </w:style>
  <w:style w:type="paragraph" w:customStyle="1" w:styleId="SubSubPar">
    <w:name w:val="SubSubPar"/>
    <w:basedOn w:val="subpar"/>
    <w:link w:val="SubSubParChar"/>
    <w:uiPriority w:val="99"/>
    <w:rsid w:val="007116B2"/>
    <w:pPr>
      <w:numPr>
        <w:ilvl w:val="3"/>
      </w:numPr>
      <w:tabs>
        <w:tab w:val="clear" w:pos="3024"/>
        <w:tab w:val="left" w:pos="0"/>
        <w:tab w:val="num" w:pos="1296"/>
      </w:tabs>
      <w:ind w:left="1296"/>
    </w:pPr>
  </w:style>
  <w:style w:type="character" w:customStyle="1" w:styleId="SubSubParChar">
    <w:name w:val="SubSubPar Char"/>
    <w:basedOn w:val="DefaultParagraphFont"/>
    <w:link w:val="SubSubPar"/>
    <w:uiPriority w:val="99"/>
    <w:rsid w:val="007116B2"/>
    <w:rPr>
      <w:rFonts w:ascii="Times New Roman" w:eastAsiaTheme="minorEastAsia" w:hAnsi="Times New Roman" w:cs="Times New Roman"/>
      <w:sz w:val="24"/>
      <w:szCs w:val="16"/>
      <w:lang w:val="en-GB" w:eastAsia="en-GB"/>
    </w:rPr>
  </w:style>
  <w:style w:type="character" w:styleId="BookTitle">
    <w:name w:val="Book Title"/>
    <w:basedOn w:val="DefaultParagraphFont"/>
    <w:uiPriority w:val="33"/>
    <w:qFormat/>
    <w:rsid w:val="007116B2"/>
    <w:rPr>
      <w:b/>
      <w:bCs/>
      <w:smallCaps/>
      <w:spacing w:val="5"/>
    </w:rPr>
  </w:style>
  <w:style w:type="paragraph" w:styleId="Footer">
    <w:name w:val="footer"/>
    <w:basedOn w:val="Normal"/>
    <w:link w:val="FooterChar"/>
    <w:uiPriority w:val="99"/>
    <w:unhideWhenUsed/>
    <w:rsid w:val="007116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16B2"/>
    <w:rPr>
      <w:rFonts w:eastAsiaTheme="minorEastAsia"/>
      <w:lang w:val="en-GB" w:eastAsia="en-GB"/>
    </w:rPr>
  </w:style>
  <w:style w:type="paragraph" w:customStyle="1" w:styleId="Newpage">
    <w:name w:val="Newpage"/>
    <w:basedOn w:val="Chapter"/>
    <w:rsid w:val="007116B2"/>
    <w:pPr>
      <w:numPr>
        <w:numId w:val="0"/>
      </w:numPr>
      <w:tabs>
        <w:tab w:val="clear" w:pos="1440"/>
        <w:tab w:val="left" w:pos="3060"/>
      </w:tabs>
      <w:spacing w:after="0"/>
    </w:pPr>
    <w:rPr>
      <w:lang w:val="es-ES" w:eastAsia="en-US"/>
    </w:rPr>
  </w:style>
  <w:style w:type="paragraph" w:styleId="BodyTextIndent">
    <w:name w:val="Body Text Indent"/>
    <w:basedOn w:val="Normal"/>
    <w:link w:val="BodyTextIndentChar"/>
    <w:uiPriority w:val="99"/>
    <w:semiHidden/>
    <w:unhideWhenUsed/>
    <w:rsid w:val="007116B2"/>
    <w:pPr>
      <w:spacing w:after="120"/>
      <w:ind w:left="360"/>
    </w:pPr>
  </w:style>
  <w:style w:type="character" w:customStyle="1" w:styleId="BodyTextIndentChar">
    <w:name w:val="Body Text Indent Char"/>
    <w:basedOn w:val="DefaultParagraphFont"/>
    <w:link w:val="BodyTextIndent"/>
    <w:uiPriority w:val="99"/>
    <w:semiHidden/>
    <w:rsid w:val="007116B2"/>
    <w:rPr>
      <w:rFonts w:eastAsiaTheme="minorEastAsia"/>
      <w:lang w:val="en-GB" w:eastAsia="en-GB"/>
    </w:rPr>
  </w:style>
  <w:style w:type="paragraph" w:styleId="BodyTextIndent3">
    <w:name w:val="Body Text Indent 3"/>
    <w:basedOn w:val="Normal"/>
    <w:link w:val="BodyTextIndent3Char"/>
    <w:uiPriority w:val="99"/>
    <w:semiHidden/>
    <w:unhideWhenUsed/>
    <w:rsid w:val="007116B2"/>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7116B2"/>
    <w:rPr>
      <w:rFonts w:eastAsiaTheme="minorEastAsia"/>
      <w:sz w:val="16"/>
      <w:szCs w:val="16"/>
      <w:lang w:val="en-GB" w:eastAsia="en-GB"/>
    </w:rPr>
  </w:style>
  <w:style w:type="paragraph" w:styleId="ListParagraph">
    <w:name w:val="List Paragraph"/>
    <w:basedOn w:val="Normal"/>
    <w:link w:val="ListParagraphChar"/>
    <w:uiPriority w:val="34"/>
    <w:qFormat/>
    <w:rsid w:val="00FD6D39"/>
    <w:pPr>
      <w:spacing w:after="0" w:line="240" w:lineRule="auto"/>
      <w:ind w:left="720"/>
      <w:contextualSpacing/>
    </w:pPr>
    <w:rPr>
      <w:rFonts w:ascii="Times New Roman" w:eastAsia="Times New Roman" w:hAnsi="Times New Roman" w:cs="Times New Roman"/>
      <w:sz w:val="24"/>
      <w:szCs w:val="20"/>
      <w:lang w:val="es-ES_tradnl" w:eastAsia="en-US"/>
    </w:rPr>
  </w:style>
  <w:style w:type="character" w:styleId="Hyperlink">
    <w:name w:val="Hyperlink"/>
    <w:basedOn w:val="DefaultParagraphFont"/>
    <w:rsid w:val="00454CB5"/>
    <w:rPr>
      <w:color w:val="0000FF"/>
      <w:u w:val="single"/>
    </w:rPr>
  </w:style>
  <w:style w:type="character" w:styleId="FootnoteReference">
    <w:name w:val="footnote reference"/>
    <w:aliases w:val="Style 24,titulo 2,pie pddes,Ref. de nota al pie.,FC,ftref,Знак сноски-FN,Ref,de nota al pie,16 Point,Superscript 6 Point,Fußnotenzeichen DISS,BVI fnr,Знак сноски 1,referencia nota al pie,Footnote Referencefra, BVI fnr,BVI fnr Car Car"/>
    <w:basedOn w:val="DefaultParagraphFont"/>
    <w:link w:val="Char2"/>
    <w:uiPriority w:val="99"/>
    <w:qFormat/>
    <w:rsid w:val="00454CB5"/>
    <w:rPr>
      <w:vertAlign w:val="superscript"/>
    </w:rPr>
  </w:style>
  <w:style w:type="paragraph" w:customStyle="1" w:styleId="Char2">
    <w:name w:val="Char2"/>
    <w:basedOn w:val="Normal"/>
    <w:link w:val="FootnoteReference"/>
    <w:uiPriority w:val="99"/>
    <w:rsid w:val="00454CB5"/>
    <w:pPr>
      <w:spacing w:after="160" w:line="240" w:lineRule="exact"/>
    </w:pPr>
    <w:rPr>
      <w:rFonts w:eastAsiaTheme="minorHAnsi"/>
      <w:vertAlign w:val="superscript"/>
      <w:lang w:val="en-US" w:eastAsia="en-US"/>
    </w:rPr>
  </w:style>
  <w:style w:type="character" w:customStyle="1" w:styleId="ListParagraphChar">
    <w:name w:val="List Paragraph Char"/>
    <w:link w:val="ListParagraph"/>
    <w:uiPriority w:val="34"/>
    <w:locked/>
    <w:rsid w:val="00F27BCF"/>
    <w:rPr>
      <w:rFonts w:ascii="Times New Roman" w:eastAsia="Times New Roman" w:hAnsi="Times New Roman" w:cs="Times New Roman"/>
      <w:sz w:val="24"/>
      <w:szCs w:val="20"/>
      <w:lang w:val="es-ES_tradnl"/>
    </w:rPr>
  </w:style>
  <w:style w:type="character" w:styleId="EndnoteReference">
    <w:name w:val="endnote reference"/>
    <w:basedOn w:val="DefaultParagraphFont"/>
    <w:uiPriority w:val="99"/>
    <w:semiHidden/>
    <w:unhideWhenUsed/>
    <w:rsid w:val="0072599C"/>
    <w:rPr>
      <w:vertAlign w:val="superscript"/>
    </w:rPr>
  </w:style>
  <w:style w:type="character" w:styleId="CommentReference">
    <w:name w:val="annotation reference"/>
    <w:basedOn w:val="DefaultParagraphFont"/>
    <w:unhideWhenUsed/>
    <w:rsid w:val="00D80E1D"/>
    <w:rPr>
      <w:sz w:val="16"/>
      <w:szCs w:val="16"/>
    </w:rPr>
  </w:style>
  <w:style w:type="paragraph" w:styleId="CommentText">
    <w:name w:val="annotation text"/>
    <w:basedOn w:val="Normal"/>
    <w:link w:val="CommentTextChar"/>
    <w:uiPriority w:val="99"/>
    <w:semiHidden/>
    <w:unhideWhenUsed/>
    <w:rsid w:val="00D80E1D"/>
    <w:pPr>
      <w:spacing w:line="240" w:lineRule="auto"/>
    </w:pPr>
    <w:rPr>
      <w:sz w:val="20"/>
      <w:szCs w:val="20"/>
    </w:rPr>
  </w:style>
  <w:style w:type="character" w:customStyle="1" w:styleId="CommentTextChar">
    <w:name w:val="Comment Text Char"/>
    <w:basedOn w:val="DefaultParagraphFont"/>
    <w:link w:val="CommentText"/>
    <w:uiPriority w:val="99"/>
    <w:semiHidden/>
    <w:rsid w:val="00D80E1D"/>
    <w:rPr>
      <w:rFonts w:eastAsiaTheme="minorEastAsia"/>
      <w:sz w:val="20"/>
      <w:szCs w:val="20"/>
      <w:lang w:val="en-GB" w:eastAsia="en-GB"/>
    </w:rPr>
  </w:style>
  <w:style w:type="paragraph" w:styleId="CommentSubject">
    <w:name w:val="annotation subject"/>
    <w:basedOn w:val="CommentText"/>
    <w:next w:val="CommentText"/>
    <w:link w:val="CommentSubjectChar"/>
    <w:uiPriority w:val="99"/>
    <w:semiHidden/>
    <w:unhideWhenUsed/>
    <w:rsid w:val="00D80E1D"/>
    <w:rPr>
      <w:b/>
      <w:bCs/>
    </w:rPr>
  </w:style>
  <w:style w:type="character" w:customStyle="1" w:styleId="CommentSubjectChar">
    <w:name w:val="Comment Subject Char"/>
    <w:basedOn w:val="CommentTextChar"/>
    <w:link w:val="CommentSubject"/>
    <w:uiPriority w:val="99"/>
    <w:semiHidden/>
    <w:rsid w:val="00D80E1D"/>
    <w:rPr>
      <w:rFonts w:eastAsiaTheme="minorEastAsia"/>
      <w:b/>
      <w:bCs/>
      <w:sz w:val="20"/>
      <w:szCs w:val="20"/>
      <w:lang w:val="en-GB" w:eastAsia="en-GB"/>
    </w:rPr>
  </w:style>
  <w:style w:type="character" w:customStyle="1" w:styleId="UnresolvedMention1">
    <w:name w:val="Unresolved Mention1"/>
    <w:basedOn w:val="DefaultParagraphFont"/>
    <w:uiPriority w:val="99"/>
    <w:unhideWhenUsed/>
    <w:rsid w:val="00D80E1D"/>
    <w:rPr>
      <w:color w:val="605E5C"/>
      <w:shd w:val="clear" w:color="auto" w:fill="E1DFDD"/>
    </w:rPr>
  </w:style>
  <w:style w:type="character" w:customStyle="1" w:styleId="Mention1">
    <w:name w:val="Mention1"/>
    <w:basedOn w:val="DefaultParagraphFont"/>
    <w:uiPriority w:val="99"/>
    <w:unhideWhenUsed/>
    <w:rsid w:val="00D80E1D"/>
    <w:rPr>
      <w:color w:val="2B579A"/>
      <w:shd w:val="clear" w:color="auto" w:fill="E1DFDD"/>
    </w:rPr>
  </w:style>
  <w:style w:type="paragraph" w:styleId="Header">
    <w:name w:val="header"/>
    <w:basedOn w:val="Normal"/>
    <w:link w:val="HeaderChar"/>
    <w:uiPriority w:val="99"/>
    <w:semiHidden/>
    <w:unhideWhenUsed/>
    <w:rsid w:val="00E5734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57344"/>
    <w:rPr>
      <w:rFonts w:eastAsiaTheme="minorEastAsia"/>
      <w:lang w:val="en-GB" w:eastAsia="en-GB"/>
    </w:rPr>
  </w:style>
  <w:style w:type="character" w:styleId="FollowedHyperlink">
    <w:name w:val="FollowedHyperlink"/>
    <w:basedOn w:val="DefaultParagraphFont"/>
    <w:uiPriority w:val="99"/>
    <w:semiHidden/>
    <w:unhideWhenUsed/>
    <w:rsid w:val="00FA15DC"/>
    <w:rPr>
      <w:color w:val="954F72" w:themeColor="followedHyperlink"/>
      <w:u w:val="single"/>
    </w:rPr>
  </w:style>
  <w:style w:type="character" w:styleId="UnresolvedMention">
    <w:name w:val="Unresolved Mention"/>
    <w:basedOn w:val="DefaultParagraphFont"/>
    <w:uiPriority w:val="99"/>
    <w:semiHidden/>
    <w:unhideWhenUsed/>
    <w:rsid w:val="00554A88"/>
    <w:rPr>
      <w:color w:val="605E5C"/>
      <w:shd w:val="clear" w:color="auto" w:fill="E1DFDD"/>
    </w:rPr>
  </w:style>
  <w:style w:type="character" w:customStyle="1" w:styleId="normaltextrun">
    <w:name w:val="normaltextrun"/>
    <w:basedOn w:val="DefaultParagraphFont"/>
    <w:rsid w:val="00703D77"/>
  </w:style>
  <w:style w:type="character" w:customStyle="1" w:styleId="eop">
    <w:name w:val="eop"/>
    <w:basedOn w:val="DefaultParagraphFont"/>
    <w:rsid w:val="00A64B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7330267">
      <w:bodyDiv w:val="1"/>
      <w:marLeft w:val="0"/>
      <w:marRight w:val="0"/>
      <w:marTop w:val="0"/>
      <w:marBottom w:val="0"/>
      <w:divBdr>
        <w:top w:val="none" w:sz="0" w:space="0" w:color="auto"/>
        <w:left w:val="none" w:sz="0" w:space="0" w:color="auto"/>
        <w:bottom w:val="none" w:sz="0" w:space="0" w:color="auto"/>
        <w:right w:val="none" w:sz="0" w:space="0" w:color="auto"/>
      </w:divBdr>
    </w:div>
    <w:div w:id="929313085">
      <w:bodyDiv w:val="1"/>
      <w:marLeft w:val="0"/>
      <w:marRight w:val="0"/>
      <w:marTop w:val="0"/>
      <w:marBottom w:val="0"/>
      <w:divBdr>
        <w:top w:val="none" w:sz="0" w:space="0" w:color="auto"/>
        <w:left w:val="none" w:sz="0" w:space="0" w:color="auto"/>
        <w:bottom w:val="none" w:sz="0" w:space="0" w:color="auto"/>
        <w:right w:val="none" w:sz="0" w:space="0" w:color="auto"/>
      </w:divBdr>
      <w:divsChild>
        <w:div w:id="1098256937">
          <w:marLeft w:val="0"/>
          <w:marRight w:val="0"/>
          <w:marTop w:val="0"/>
          <w:marBottom w:val="0"/>
          <w:divBdr>
            <w:top w:val="none" w:sz="0" w:space="0" w:color="auto"/>
            <w:left w:val="none" w:sz="0" w:space="0" w:color="auto"/>
            <w:bottom w:val="none" w:sz="0" w:space="0" w:color="auto"/>
            <w:right w:val="none" w:sz="0" w:space="0" w:color="auto"/>
          </w:divBdr>
          <w:divsChild>
            <w:div w:id="1882668698">
              <w:marLeft w:val="0"/>
              <w:marRight w:val="0"/>
              <w:marTop w:val="0"/>
              <w:marBottom w:val="0"/>
              <w:divBdr>
                <w:top w:val="none" w:sz="0" w:space="0" w:color="auto"/>
                <w:left w:val="none" w:sz="0" w:space="0" w:color="auto"/>
                <w:bottom w:val="none" w:sz="0" w:space="0" w:color="auto"/>
                <w:right w:val="none" w:sz="0" w:space="0" w:color="auto"/>
              </w:divBdr>
              <w:divsChild>
                <w:div w:id="1331717460">
                  <w:marLeft w:val="0"/>
                  <w:marRight w:val="0"/>
                  <w:marTop w:val="0"/>
                  <w:marBottom w:val="0"/>
                  <w:divBdr>
                    <w:top w:val="none" w:sz="0" w:space="0" w:color="auto"/>
                    <w:left w:val="none" w:sz="0" w:space="0" w:color="auto"/>
                    <w:bottom w:val="none" w:sz="0" w:space="0" w:color="auto"/>
                    <w:right w:val="none" w:sz="0" w:space="0" w:color="auto"/>
                  </w:divBdr>
                  <w:divsChild>
                    <w:div w:id="2040279666">
                      <w:marLeft w:val="0"/>
                      <w:marRight w:val="0"/>
                      <w:marTop w:val="0"/>
                      <w:marBottom w:val="0"/>
                      <w:divBdr>
                        <w:top w:val="none" w:sz="0" w:space="0" w:color="auto"/>
                        <w:left w:val="none" w:sz="0" w:space="0" w:color="auto"/>
                        <w:bottom w:val="none" w:sz="0" w:space="0" w:color="auto"/>
                        <w:right w:val="none" w:sz="0" w:space="0" w:color="auto"/>
                      </w:divBdr>
                      <w:divsChild>
                        <w:div w:id="1846168121">
                          <w:marLeft w:val="0"/>
                          <w:marRight w:val="0"/>
                          <w:marTop w:val="0"/>
                          <w:marBottom w:val="0"/>
                          <w:divBdr>
                            <w:top w:val="none" w:sz="0" w:space="0" w:color="auto"/>
                            <w:left w:val="none" w:sz="0" w:space="0" w:color="auto"/>
                            <w:bottom w:val="none" w:sz="0" w:space="0" w:color="auto"/>
                            <w:right w:val="none" w:sz="0" w:space="0" w:color="auto"/>
                          </w:divBdr>
                          <w:divsChild>
                            <w:div w:id="989402503">
                              <w:marLeft w:val="0"/>
                              <w:marRight w:val="0"/>
                              <w:marTop w:val="0"/>
                              <w:marBottom w:val="0"/>
                              <w:divBdr>
                                <w:top w:val="none" w:sz="0" w:space="0" w:color="auto"/>
                                <w:left w:val="none" w:sz="0" w:space="0" w:color="auto"/>
                                <w:bottom w:val="none" w:sz="0" w:space="0" w:color="auto"/>
                                <w:right w:val="none" w:sz="0" w:space="0" w:color="auto"/>
                              </w:divBdr>
                              <w:divsChild>
                                <w:div w:id="391006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1960471">
      <w:bodyDiv w:val="1"/>
      <w:marLeft w:val="0"/>
      <w:marRight w:val="0"/>
      <w:marTop w:val="0"/>
      <w:marBottom w:val="0"/>
      <w:divBdr>
        <w:top w:val="none" w:sz="0" w:space="0" w:color="auto"/>
        <w:left w:val="none" w:sz="0" w:space="0" w:color="auto"/>
        <w:bottom w:val="none" w:sz="0" w:space="0" w:color="auto"/>
        <w:right w:val="none" w:sz="0" w:space="0" w:color="auto"/>
      </w:divBdr>
      <w:divsChild>
        <w:div w:id="1740404628">
          <w:marLeft w:val="0"/>
          <w:marRight w:val="0"/>
          <w:marTop w:val="0"/>
          <w:marBottom w:val="0"/>
          <w:divBdr>
            <w:top w:val="none" w:sz="0" w:space="0" w:color="auto"/>
            <w:left w:val="none" w:sz="0" w:space="0" w:color="auto"/>
            <w:bottom w:val="none" w:sz="0" w:space="0" w:color="auto"/>
            <w:right w:val="none" w:sz="0" w:space="0" w:color="auto"/>
          </w:divBdr>
        </w:div>
        <w:div w:id="573320191">
          <w:marLeft w:val="0"/>
          <w:marRight w:val="0"/>
          <w:marTop w:val="0"/>
          <w:marBottom w:val="0"/>
          <w:divBdr>
            <w:top w:val="none" w:sz="0" w:space="0" w:color="auto"/>
            <w:left w:val="none" w:sz="0" w:space="0" w:color="auto"/>
            <w:bottom w:val="none" w:sz="0" w:space="0" w:color="auto"/>
            <w:right w:val="none" w:sz="0" w:space="0" w:color="auto"/>
          </w:divBdr>
        </w:div>
        <w:div w:id="1897352810">
          <w:marLeft w:val="0"/>
          <w:marRight w:val="0"/>
          <w:marTop w:val="0"/>
          <w:marBottom w:val="0"/>
          <w:divBdr>
            <w:top w:val="none" w:sz="0" w:space="0" w:color="auto"/>
            <w:left w:val="none" w:sz="0" w:space="0" w:color="auto"/>
            <w:bottom w:val="none" w:sz="0" w:space="0" w:color="auto"/>
            <w:right w:val="none" w:sz="0" w:space="0" w:color="auto"/>
          </w:divBdr>
        </w:div>
        <w:div w:id="1479344510">
          <w:marLeft w:val="0"/>
          <w:marRight w:val="0"/>
          <w:marTop w:val="0"/>
          <w:marBottom w:val="0"/>
          <w:divBdr>
            <w:top w:val="none" w:sz="0" w:space="0" w:color="auto"/>
            <w:left w:val="none" w:sz="0" w:space="0" w:color="auto"/>
            <w:bottom w:val="none" w:sz="0" w:space="0" w:color="auto"/>
            <w:right w:val="none" w:sz="0" w:space="0" w:color="auto"/>
          </w:divBdr>
        </w:div>
      </w:divsChild>
    </w:div>
    <w:div w:id="1513299802">
      <w:bodyDiv w:val="1"/>
      <w:marLeft w:val="0"/>
      <w:marRight w:val="0"/>
      <w:marTop w:val="0"/>
      <w:marBottom w:val="0"/>
      <w:divBdr>
        <w:top w:val="none" w:sz="0" w:space="0" w:color="auto"/>
        <w:left w:val="none" w:sz="0" w:space="0" w:color="auto"/>
        <w:bottom w:val="none" w:sz="0" w:space="0" w:color="auto"/>
        <w:right w:val="none" w:sz="0" w:space="0" w:color="auto"/>
      </w:divBdr>
      <w:divsChild>
        <w:div w:id="2090811821">
          <w:marLeft w:val="0"/>
          <w:marRight w:val="0"/>
          <w:marTop w:val="0"/>
          <w:marBottom w:val="0"/>
          <w:divBdr>
            <w:top w:val="none" w:sz="0" w:space="0" w:color="auto"/>
            <w:left w:val="none" w:sz="0" w:space="0" w:color="auto"/>
            <w:bottom w:val="none" w:sz="0" w:space="0" w:color="auto"/>
            <w:right w:val="none" w:sz="0" w:space="0" w:color="auto"/>
          </w:divBdr>
        </w:div>
        <w:div w:id="489369537">
          <w:marLeft w:val="0"/>
          <w:marRight w:val="0"/>
          <w:marTop w:val="0"/>
          <w:marBottom w:val="0"/>
          <w:divBdr>
            <w:top w:val="none" w:sz="0" w:space="0" w:color="auto"/>
            <w:left w:val="none" w:sz="0" w:space="0" w:color="auto"/>
            <w:bottom w:val="none" w:sz="0" w:space="0" w:color="auto"/>
            <w:right w:val="none" w:sz="0" w:space="0" w:color="auto"/>
          </w:divBdr>
        </w:div>
        <w:div w:id="235674770">
          <w:marLeft w:val="0"/>
          <w:marRight w:val="0"/>
          <w:marTop w:val="0"/>
          <w:marBottom w:val="0"/>
          <w:divBdr>
            <w:top w:val="none" w:sz="0" w:space="0" w:color="auto"/>
            <w:left w:val="none" w:sz="0" w:space="0" w:color="auto"/>
            <w:bottom w:val="none" w:sz="0" w:space="0" w:color="auto"/>
            <w:right w:val="none" w:sz="0" w:space="0" w:color="auto"/>
          </w:divBdr>
        </w:div>
        <w:div w:id="349769127">
          <w:marLeft w:val="0"/>
          <w:marRight w:val="0"/>
          <w:marTop w:val="0"/>
          <w:marBottom w:val="0"/>
          <w:divBdr>
            <w:top w:val="none" w:sz="0" w:space="0" w:color="auto"/>
            <w:left w:val="none" w:sz="0" w:space="0" w:color="auto"/>
            <w:bottom w:val="none" w:sz="0" w:space="0" w:color="auto"/>
            <w:right w:val="none" w:sz="0" w:space="0" w:color="auto"/>
          </w:divBdr>
        </w:div>
      </w:divsChild>
    </w:div>
    <w:div w:id="1730109242">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allowPNG/>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hyperlink" Target="http://idbdocs.iadb.org/wsdocs/getDocument.aspx?DOCNUM=EZSHARE-567788752-60" TargetMode="External"/><Relationship Id="rId26" Type="http://schemas.openxmlformats.org/officeDocument/2006/relationships/hyperlink" Target="https://www.iadb.org/es/project/ME-X1010" TargetMode="External"/><Relationship Id="rId8" Type="http://schemas.openxmlformats.org/officeDocument/2006/relationships/numbering" Target="numbering.xml"/><Relationship Id="rId3" Type="http://schemas.openxmlformats.org/officeDocument/2006/relationships/customXml" Target="../customXml/item3.xml"/><Relationship Id="rId21" Type="http://schemas.openxmlformats.org/officeDocument/2006/relationships/hyperlink" Target="https://www.iadb.org/es/project/ME-X1024"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idbdocs.iadb.org/wsdocs/getDocument.aspx?DOCNUM=EZSHARE-567788752-70" TargetMode="External"/><Relationship Id="rId25" Type="http://schemas.openxmlformats.org/officeDocument/2006/relationships/hyperlink" Target="https://www.iadb.org/es/project/ME-L1190"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idbg-my.sharepoint.com/:w:/r/personal/alozanom_iadb_org/Documents/Documentos%20DLP%20est%C3%A1ndar%20CMF/POD%20-%20COVID%20Template%20EEO%202%20Diagn%C3%B3stico%20de%20la%20Problem%C3%A1tica%20de%20la%20MIPYME.docx?d=w2c27e3945aa24822b60e8ff4cbe4d4b7&amp;csf=1&amp;e=Aamtwe" TargetMode="External"/><Relationship Id="rId20" Type="http://schemas.openxmlformats.org/officeDocument/2006/relationships/hyperlink" Target="http://idbdocs.iadb.org/wsdocs/getDocument.aspx?DOCNUM=EZSHARE-567788752-70" TargetMode="External"/><Relationship Id="rId29" Type="http://schemas.openxmlformats.org/officeDocument/2006/relationships/hyperlink" Target="https://www.iadb.org/es/project/ME-L1119"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s://www.iadb.org/es/project/ME-L1145" TargetMode="External"/><Relationship Id="rId32" Type="http://schemas.openxmlformats.org/officeDocument/2006/relationships/fontTable" Target="fontTable.xml"/><Relationship Id="rId28" Type="http://schemas.openxmlformats.org/officeDocument/2006/relationships/hyperlink" Target="https://www.iadb.org/es/project/ME-L1081" TargetMode="External"/><Relationship Id="rId15" Type="http://schemas.openxmlformats.org/officeDocument/2006/relationships/hyperlink" Target="https://www.iadb.org/es/project/ME-L1148" TargetMode="External"/><Relationship Id="rId23" Type="http://schemas.openxmlformats.org/officeDocument/2006/relationships/hyperlink" Target="https://www.iadb.org/es/project/ME-X1021" TargetMode="External"/><Relationship Id="rId10" Type="http://schemas.openxmlformats.org/officeDocument/2006/relationships/settings" Target="settings.xml"/><Relationship Id="rId19" Type="http://schemas.openxmlformats.org/officeDocument/2006/relationships/hyperlink" Target="http://idbdocs.iadb.org/wsdocs/getDocument.aspx?DOCNUM=EZSHARE-567788752-58" TargetMode="External"/><Relationship Id="rId31" Type="http://schemas.openxmlformats.org/officeDocument/2006/relationships/hyperlink" Target="http://idbdocs.iadb.org/wsdocs/getDocument.aspx?DOCNUM=EZSHARE-567788752-60"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footer" Target="footer1.xml"/><Relationship Id="rId22" Type="http://schemas.openxmlformats.org/officeDocument/2006/relationships/hyperlink" Target="https://www.iadb.org/es/project/ME-L1259" TargetMode="External"/><Relationship Id="rId27" Type="http://schemas.openxmlformats.org/officeDocument/2006/relationships/hyperlink" Target="https://www.iadb.org/es/project/ME-L1051" TargetMode="External"/><Relationship Id="rId30" Type="http://schemas.openxmlformats.org/officeDocument/2006/relationships/hyperlink" Target="https://www.inegi.org.mx/"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iadb.org/es/project/ME-L1170" TargetMode="External"/><Relationship Id="rId13" Type="http://schemas.openxmlformats.org/officeDocument/2006/relationships/hyperlink" Target="https://www.iadb.org/es/project/ME-L1081" TargetMode="External"/><Relationship Id="rId3" Type="http://schemas.openxmlformats.org/officeDocument/2006/relationships/hyperlink" Target="https://www.who.int/who-documents-detail/updated-country-preparedness-and-response-status-for-covid-19-as-of-16-march-2020" TargetMode="External"/><Relationship Id="rId7" Type="http://schemas.openxmlformats.org/officeDocument/2006/relationships/hyperlink" Target="https://www.iadb.org/es/project/ME-L1161" TargetMode="External"/><Relationship Id="rId12" Type="http://schemas.openxmlformats.org/officeDocument/2006/relationships/hyperlink" Target="https://www.iadb.org/es/project/ME-L1051" TargetMode="External"/><Relationship Id="rId2" Type="http://schemas.openxmlformats.org/officeDocument/2006/relationships/hyperlink" Target="https://www.paho.org/en/topics/coronavirus-infections/coronavirus-disease-covid-19" TargetMode="External"/><Relationship Id="rId1" Type="http://schemas.openxmlformats.org/officeDocument/2006/relationships/hyperlink" Target="https://covid19.who.int/" TargetMode="External"/><Relationship Id="rId6" Type="http://schemas.openxmlformats.org/officeDocument/2006/relationships/hyperlink" Target="http://idbdocs.iadb.org/wsdocs/getDocument.aspx?DOCNUM=EZSHARE-567788752-65" TargetMode="External"/><Relationship Id="rId11" Type="http://schemas.openxmlformats.org/officeDocument/2006/relationships/hyperlink" Target="https://www.iadb.org/es/project/ME-L1190" TargetMode="External"/><Relationship Id="rId5" Type="http://schemas.openxmlformats.org/officeDocument/2006/relationships/hyperlink" Target="https://www.cepal.org/es/comunicados/covid-19-tendra-graves-efectos-la-economia-mundial-impactara-paises-america-latina" TargetMode="External"/><Relationship Id="rId10" Type="http://schemas.openxmlformats.org/officeDocument/2006/relationships/hyperlink" Target="https://www.iadb.org/es/project/ME-L1145" TargetMode="External"/><Relationship Id="rId4" Type="http://schemas.openxmlformats.org/officeDocument/2006/relationships/hyperlink" Target="https://coronavirus.gob.mx/semaforo/" TargetMode="External"/><Relationship Id="rId9" Type="http://schemas.openxmlformats.org/officeDocument/2006/relationships/hyperlink" Target="https://www.iadb.org/es/project/ME-L1259" TargetMode="External"/><Relationship Id="rId14" Type="http://schemas.openxmlformats.org/officeDocument/2006/relationships/hyperlink" Target="https://www.iadb.org/es/project/ME-L11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72D1FEB6A15E734391F4430B1F48A51E" ma:contentTypeVersion="2701" ma:contentTypeDescription="A content type to manage public (operations) IDB documents" ma:contentTypeScope="" ma:versionID="d04e90e49d6917e11cf9388d6323c912">
  <xsd:schema xmlns:xsd="http://www.w3.org/2001/XMLSchema" xmlns:xs="http://www.w3.org/2001/XMLSchema" xmlns:p="http://schemas.microsoft.com/office/2006/metadata/properties" xmlns:ns2="cdc7663a-08f0-4737-9e8c-148ce897a09c" targetNamespace="http://schemas.microsoft.com/office/2006/metadata/properties" ma:root="true" ma:fieldsID="c2d317d3dcbfcddf862c85790bca7556"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ME-L1148"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Mexico</TermName>
          <TermId xmlns="http://schemas.microsoft.com/office/infopath/2007/PartnerControls">0eba6470-e7ea-46fd-a959-d4c243acaf26</TermId>
        </TermInfo>
      </Terms>
    </ic46d7e087fd4a108fb86518ca413cc6>
    <IDBDocs_x0020_Number xmlns="cdc7663a-08f0-4737-9e8c-148ce897a09c" xsi:nil="true"/>
    <Division_x0020_or_x0020_Unit xmlns="cdc7663a-08f0-4737-9e8c-148ce897a09c">IFD/CMF</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3178/OC-ME;3179/TC-ME;</Approval_x0020_Number>
    <Phase xmlns="cdc7663a-08f0-4737-9e8c-148ce897a09c" xsi:nil="true"/>
    <Document_x0020_Author xmlns="cdc7663a-08f0-4737-9e8c-148ce897a09c">Porras HerreraFanny Eliana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CLIMATE CHANGE FINANCING</TermName>
          <TermId xmlns="http://schemas.microsoft.com/office/infopath/2007/PartnerControls">0721090b-7598-4438-912e-9210b5215a71</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CTF</TermName>
          <TermId xmlns="http://schemas.microsoft.com/office/infopath/2007/PartnerControls">09590cec-0e26-4757-bcca-8a4fab00b407</TermId>
        </TermInfo>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54</Value>
      <Value>24</Value>
      <Value>37</Value>
      <Value>36</Value>
      <Value>1</Value>
      <Value>19</Value>
    </TaxCatchAll>
    <Operation_x0020_Type xmlns="cdc7663a-08f0-4737-9e8c-148ce897a09c">LON</Operation_x0020_Type>
    <Package_x0020_Code xmlns="cdc7663a-08f0-4737-9e8c-148ce897a09c" xsi:nil="true"/>
    <Identifier xmlns="cdc7663a-08f0-4737-9e8c-148ce897a09c" xsi:nil="true"/>
    <Project_x0020_Number xmlns="cdc7663a-08f0-4737-9e8c-148ce897a09c">ME-L1148</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ENVIRONMENT AND NATURAL DISASTERS</TermName>
          <TermId xmlns="http://schemas.microsoft.com/office/infopath/2007/PartnerControls">261e2b33-090b-4ab0-8e06-3aa3e7f32d57</TermId>
        </TermInfo>
      </Terms>
    </nddeef1749674d76abdbe4b239a70bc6>
    <Record_x0020_Number xmlns="cdc7663a-08f0-4737-9e8c-148ce897a09c" xsi:nil="true"/>
    <_dlc_DocId xmlns="cdc7663a-08f0-4737-9e8c-148ce897a09c">EZSHARE-567788752-57</_dlc_DocId>
    <_dlc_DocIdUrl xmlns="cdc7663a-08f0-4737-9e8c-148ce897a09c">
      <Url>https://idbg.sharepoint.com/teams/EZ-ME-LON/ME-L1148/_layouts/15/DocIdRedir.aspx?ID=EZSHARE-567788752-57</Url>
      <Description>EZSHARE-567788752-57</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SharedContentType xmlns="Microsoft.SharePoint.Taxonomy.ContentTypeSync" SourceId="ae61f9b1-e23d-4f49-b3d7-56b991556c4b" ContentTypeId="0x010100ACF722E9F6B0B149B0CD8BE2560A6672" PreviousValue="false"/>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26B020-B4F6-4B38-9DE2-294A27741334}"/>
</file>

<file path=customXml/itemProps2.xml><?xml version="1.0" encoding="utf-8"?>
<ds:datastoreItem xmlns:ds="http://schemas.openxmlformats.org/officeDocument/2006/customXml" ds:itemID="{0B6C1C12-A8AA-4FF8-B0DC-AC4A76038FEB}"/>
</file>

<file path=customXml/itemProps3.xml><?xml version="1.0" encoding="utf-8"?>
<ds:datastoreItem xmlns:ds="http://schemas.openxmlformats.org/officeDocument/2006/customXml" ds:itemID="{1DA3F41E-E54A-4CEF-B8B7-0B267451C599}">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cdc7663a-08f0-4737-9e8c-148ce897a09c"/>
    <ds:schemaRef ds:uri="http://www.w3.org/XML/1998/namespace"/>
    <ds:schemaRef ds:uri="http://purl.org/dc/dcmitype/"/>
  </ds:schemaRefs>
</ds:datastoreItem>
</file>

<file path=customXml/itemProps4.xml><?xml version="1.0" encoding="utf-8"?>
<ds:datastoreItem xmlns:ds="http://schemas.openxmlformats.org/officeDocument/2006/customXml" ds:itemID="{E0A61C51-AEB1-429A-8ADF-487F8B0969E3}">
  <ds:schemaRefs>
    <ds:schemaRef ds:uri="http://schemas.microsoft.com/sharepoint/events"/>
  </ds:schemaRefs>
</ds:datastoreItem>
</file>

<file path=customXml/itemProps5.xml><?xml version="1.0" encoding="utf-8"?>
<ds:datastoreItem xmlns:ds="http://schemas.openxmlformats.org/officeDocument/2006/customXml" ds:itemID="{590F1AC4-A50C-459D-8C5C-22AB47D0AB9C}">
  <ds:schemaRefs>
    <ds:schemaRef ds:uri="Microsoft.SharePoint.Taxonomy.ContentTypeSync"/>
  </ds:schemaRefs>
</ds:datastoreItem>
</file>

<file path=customXml/itemProps6.xml><?xml version="1.0" encoding="utf-8"?>
<ds:datastoreItem xmlns:ds="http://schemas.openxmlformats.org/officeDocument/2006/customXml" ds:itemID="{EE067F60-C4BA-4B57-955B-22125B0ACB4D}">
  <ds:schemaRefs>
    <ds:schemaRef ds:uri="http://schemas.microsoft.com/sharepoint/v3/contenttype/forms"/>
  </ds:schemaRefs>
</ds:datastoreItem>
</file>

<file path=customXml/itemProps7.xml><?xml version="1.0" encoding="utf-8"?>
<ds:datastoreItem xmlns:ds="http://schemas.openxmlformats.org/officeDocument/2006/customXml" ds:itemID="{3E103012-811C-49BA-BAE5-B2F88D7833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14</Pages>
  <Words>5337</Words>
  <Characters>30425</Characters>
  <Application>Microsoft Office Word</Application>
  <DocSecurity>0</DocSecurity>
  <Lines>253</Lines>
  <Paragraphs>71</Paragraphs>
  <ScaleCrop>false</ScaleCrop>
  <Company/>
  <LinksUpToDate>false</LinksUpToDate>
  <CharactersWithSpaces>35691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Cabrera Escalante, Maria</dc:creator>
  <cp:keywords/>
  <dc:description/>
  <cp:lastModifiedBy>Porras Herrera, Fanny Eliana</cp:lastModifiedBy>
  <cp:revision>101</cp:revision>
  <dcterms:created xsi:type="dcterms:W3CDTF">2020-06-17T20:39:00Z</dcterms:created>
  <dcterms:modified xsi:type="dcterms:W3CDTF">2020-07-22T22:11:00Z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37;#CLIMATE CHANGE FINANCING|0721090b-7598-4438-912e-9210b5215a71</vt:lpwstr>
  </property>
  <property fmtid="{D5CDD505-2E9C-101B-9397-08002B2CF9AE}" pid="7" name="Fund IDB">
    <vt:lpwstr>54;#CTF|09590cec-0e26-4757-bcca-8a4fab00b407;#24;#ORC|c028a4b2-ad8b-4cf4-9cac-a2ae6a778e23</vt:lpwstr>
  </property>
  <property fmtid="{D5CDD505-2E9C-101B-9397-08002B2CF9AE}" pid="8" name="Country">
    <vt:lpwstr>19;#Mexico|0eba6470-e7ea-46fd-a959-d4c243acaf26</vt:lpwstr>
  </property>
  <property fmtid="{D5CDD505-2E9C-101B-9397-08002B2CF9AE}" pid="9" name="Sector IDB">
    <vt:lpwstr>36;#ENVIRONMENT AND NATURAL DISASTERS|261e2b33-090b-4ab0-8e06-3aa3e7f32d57</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3e05971d-8e39-49a1-bbe9-764f909d123a</vt:lpwstr>
  </property>
  <property fmtid="{D5CDD505-2E9C-101B-9397-08002B2CF9AE}" pid="12" name="ContentTypeId">
    <vt:lpwstr>0x0101001A458A224826124E8B45B1D613300CFC0072D1FEB6A15E734391F4430B1F48A51E</vt:lpwstr>
  </property>
</Properties>
</file>