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c="http://schemas.openxmlformats.org/drawingml/2006/chart" xmlns:pic="http://schemas.openxmlformats.org/drawingml/2006/picture" xmlns:a14="http://schemas.microsoft.com/office/drawing/2010/main" mc:Ignorable="w14 w15 w16se w16cid w16 w16cex wp14">
  <w:body>
    <w:p w:rsidRPr="00343018" w:rsidR="00F60C45" w:rsidP="00F60C45" w:rsidRDefault="00F60C45" w14:paraId="3B42AABB" w14:textId="77777777">
      <w:pPr>
        <w:jc w:val="center"/>
        <w:rPr>
          <w:rFonts w:ascii="Verdana" w:hAnsi="Verdana"/>
          <w:b/>
          <w:bCs/>
          <w:smallCaps/>
          <w:sz w:val="24"/>
          <w:szCs w:val="24"/>
          <w:lang w:val="es-ES"/>
        </w:rPr>
      </w:pPr>
      <w:r w:rsidRPr="00343018">
        <w:rPr>
          <w:rFonts w:ascii="Verdana" w:hAnsi="Verdana"/>
          <w:b/>
          <w:bCs/>
          <w:smallCaps/>
          <w:sz w:val="24"/>
          <w:szCs w:val="24"/>
          <w:lang w:val="es-ES"/>
        </w:rPr>
        <w:t>México</w:t>
      </w:r>
    </w:p>
    <w:p w:rsidRPr="00065C19" w:rsidR="00065C19" w:rsidP="00065C19" w:rsidRDefault="00065C19" w14:paraId="27A764DA" w14:textId="77777777">
      <w:pPr>
        <w:jc w:val="center"/>
        <w:rPr>
          <w:rFonts w:ascii="Verdana" w:hAnsi="Verdana"/>
          <w:b/>
          <w:bCs/>
          <w:smallCaps/>
          <w:sz w:val="24"/>
          <w:szCs w:val="24"/>
          <w:lang w:val="es-ES"/>
        </w:rPr>
      </w:pPr>
      <w:r w:rsidRPr="00065C19">
        <w:rPr>
          <w:rFonts w:ascii="Verdana" w:hAnsi="Verdana"/>
          <w:b/>
          <w:bCs/>
          <w:smallCaps/>
          <w:sz w:val="24"/>
          <w:szCs w:val="24"/>
          <w:lang w:val="es-ES"/>
        </w:rPr>
        <w:t>Reformulación del Programa de Financiamiento y Transferencia de Riesgos para Geotermia para financiar el Programa Global de Crédito para la Defensa del Tejido Productivo y el Empleo</w:t>
      </w:r>
    </w:p>
    <w:p w:rsidRPr="00065C19" w:rsidR="00065C19" w:rsidP="605124B4" w:rsidRDefault="00065C19" w14:paraId="0DA89630" w14:textId="77777777">
      <w:pPr>
        <w:jc w:val="center"/>
        <w:rPr>
          <w:rFonts w:ascii="Verdana" w:hAnsi="Verdana"/>
          <w:b w:val="1"/>
          <w:bCs w:val="1"/>
          <w:smallCaps w:val="1"/>
          <w:sz w:val="22"/>
          <w:szCs w:val="22"/>
          <w:lang w:val="es-ES"/>
        </w:rPr>
      </w:pPr>
      <w:r w:rsidRPr="605124B4" w:rsidR="00065C19">
        <w:rPr>
          <w:rFonts w:ascii="Verdana" w:hAnsi="Verdana"/>
          <w:b w:val="1"/>
          <w:bCs w:val="1"/>
          <w:smallCaps w:val="1"/>
          <w:sz w:val="22"/>
          <w:szCs w:val="22"/>
          <w:lang w:val="es-ES"/>
        </w:rPr>
        <w:t>(Modificación del Contrato de Préstamo No. 3178/OC-ME y de las Resoluciones DE-38/14 y DE-41/18)</w:t>
      </w:r>
    </w:p>
    <w:p w:rsidRPr="00F60C45" w:rsidR="00F60C45" w:rsidP="007410F4" w:rsidRDefault="00F60C45" w14:paraId="7104DD54" w14:textId="77777777">
      <w:pPr>
        <w:jc w:val="center"/>
        <w:rPr>
          <w:rFonts w:ascii="Verdana" w:hAnsi="Verdana"/>
          <w:b/>
          <w:bCs/>
          <w:sz w:val="24"/>
          <w:szCs w:val="24"/>
          <w:u w:val="single"/>
          <w:lang w:val="es-ES"/>
        </w:rPr>
      </w:pPr>
    </w:p>
    <w:p w:rsidRPr="00CC790D" w:rsidR="00BE1BE6" w:rsidP="007410F4" w:rsidRDefault="0030531A" w14:paraId="6FB5E59B" w14:textId="749E1E7F">
      <w:pPr>
        <w:jc w:val="center"/>
        <w:rPr>
          <w:rFonts w:ascii="Verdana" w:hAnsi="Verdana"/>
          <w:b/>
          <w:bCs/>
          <w:sz w:val="24"/>
          <w:szCs w:val="24"/>
          <w:lang w:val="es-ES"/>
        </w:rPr>
      </w:pPr>
      <w:r w:rsidRPr="0030531A">
        <w:rPr>
          <w:rFonts w:ascii="Verdana" w:hAnsi="Verdana"/>
          <w:b/>
          <w:bCs/>
          <w:sz w:val="24"/>
          <w:szCs w:val="24"/>
          <w:u w:val="single"/>
          <w:lang w:val="es-ES_tradnl"/>
        </w:rPr>
        <w:t>Diagnóstico de</w:t>
      </w:r>
      <w:r w:rsidR="00475136">
        <w:rPr>
          <w:rFonts w:ascii="Verdana" w:hAnsi="Verdana"/>
          <w:b/>
          <w:bCs/>
          <w:sz w:val="24"/>
          <w:szCs w:val="24"/>
          <w:u w:val="single"/>
          <w:lang w:val="es-ES_tradnl"/>
        </w:rPr>
        <w:t xml:space="preserve"> </w:t>
      </w:r>
      <w:r w:rsidRPr="0030531A">
        <w:rPr>
          <w:rFonts w:ascii="Verdana" w:hAnsi="Verdana"/>
          <w:b/>
          <w:bCs/>
          <w:sz w:val="24"/>
          <w:szCs w:val="24"/>
          <w:u w:val="single"/>
          <w:lang w:val="es-ES_tradnl"/>
        </w:rPr>
        <w:t>l</w:t>
      </w:r>
      <w:r w:rsidR="00475136">
        <w:rPr>
          <w:rFonts w:ascii="Verdana" w:hAnsi="Verdana"/>
          <w:b/>
          <w:bCs/>
          <w:sz w:val="24"/>
          <w:szCs w:val="24"/>
          <w:u w:val="single"/>
          <w:lang w:val="es-ES_tradnl"/>
        </w:rPr>
        <w:t>a</w:t>
      </w:r>
      <w:r w:rsidRPr="0030531A">
        <w:rPr>
          <w:rFonts w:ascii="Verdana" w:hAnsi="Verdana"/>
          <w:b/>
          <w:bCs/>
          <w:sz w:val="24"/>
          <w:szCs w:val="24"/>
          <w:u w:val="single"/>
          <w:lang w:val="es-ES_tradnl"/>
        </w:rPr>
        <w:t xml:space="preserve"> MiPyME y su financiamiento en México</w:t>
      </w:r>
      <w:r w:rsidRPr="0030531A" w:rsidDel="0030531A">
        <w:rPr>
          <w:rFonts w:ascii="Verdana" w:hAnsi="Verdana"/>
          <w:b/>
          <w:bCs/>
          <w:sz w:val="24"/>
          <w:szCs w:val="24"/>
          <w:lang w:val="es-ES"/>
        </w:rPr>
        <w:t xml:space="preserve"> </w:t>
      </w:r>
    </w:p>
    <w:p w:rsidRPr="00394D0B" w:rsidR="001F77BE" w:rsidP="00394D0B" w:rsidRDefault="001F77BE" w14:paraId="2C27DDC4" w14:textId="43AAA26E">
      <w:pPr>
        <w:pStyle w:val="ListParagraph"/>
        <w:numPr>
          <w:ilvl w:val="0"/>
          <w:numId w:val="19"/>
        </w:numPr>
        <w:rPr>
          <w:rFonts w:ascii="Verdana" w:hAnsi="Verdana"/>
          <w:b/>
          <w:bCs/>
          <w:lang w:val="es-ES"/>
        </w:rPr>
      </w:pPr>
      <w:r w:rsidRPr="00394D0B">
        <w:rPr>
          <w:rFonts w:ascii="Verdana" w:hAnsi="Verdana"/>
          <w:b/>
          <w:bCs/>
          <w:lang w:val="es-ES"/>
        </w:rPr>
        <w:t>Introducción</w:t>
      </w:r>
      <w:r w:rsidRPr="00394D0B" w:rsidR="00BE1BE6">
        <w:rPr>
          <w:rFonts w:ascii="Verdana" w:hAnsi="Verdana"/>
          <w:b/>
          <w:bCs/>
          <w:lang w:val="es-ES"/>
        </w:rPr>
        <w:t>.</w:t>
      </w:r>
      <w:r w:rsidRPr="00394D0B">
        <w:rPr>
          <w:rFonts w:ascii="Verdana" w:hAnsi="Verdana"/>
          <w:b/>
          <w:bCs/>
          <w:lang w:val="es-ES"/>
        </w:rPr>
        <w:t xml:space="preserve"> </w:t>
      </w:r>
    </w:p>
    <w:p w:rsidRPr="00CC790D" w:rsidR="00CC790D" w:rsidP="00CC790D" w:rsidRDefault="00CC790D" w14:paraId="64A55EEA" w14:textId="0372D444">
      <w:pPr>
        <w:jc w:val="both"/>
        <w:rPr>
          <w:rFonts w:ascii="Verdana" w:hAnsi="Verdana"/>
          <w:sz w:val="20"/>
          <w:szCs w:val="20"/>
          <w:lang w:val="es-ES"/>
        </w:rPr>
      </w:pPr>
      <w:r w:rsidRPr="00CC790D">
        <w:rPr>
          <w:rFonts w:ascii="Verdana" w:hAnsi="Verdana"/>
          <w:sz w:val="20"/>
          <w:szCs w:val="20"/>
          <w:lang w:val="es-ES"/>
        </w:rPr>
        <w:t>La pandemia ha afectado de manera radical la vida de las personas. No solo amenaza la salud y la vida de la población, si no también conlleva importantes afectaciones en la economía de los países y los ingresos de sus familias.</w:t>
      </w:r>
    </w:p>
    <w:p w:rsidRPr="00CC790D" w:rsidR="00CC790D" w:rsidP="00CC790D" w:rsidRDefault="00CC790D" w14:paraId="3737326A" w14:textId="299A4996">
      <w:pPr>
        <w:jc w:val="both"/>
        <w:rPr>
          <w:rFonts w:ascii="Verdana" w:hAnsi="Verdana"/>
          <w:sz w:val="20"/>
          <w:szCs w:val="20"/>
          <w:lang w:val="es-ES"/>
        </w:rPr>
      </w:pPr>
      <w:r w:rsidRPr="00CC790D">
        <w:rPr>
          <w:rFonts w:ascii="Verdana" w:hAnsi="Verdana"/>
          <w:sz w:val="20"/>
          <w:szCs w:val="20"/>
          <w:lang w:val="es-ES"/>
        </w:rPr>
        <w:t>El cierre organizado de las actividades y las medidas de aislamiento para detener el avance de la enfermedad han provocado un descenso precipitado en la economía. El consenso de los especialistas prevé que el mundo entrará en una crisis económica de alcances sin precedentes, y con ello el quiebre de numerosas empresas y la pérdida de millones de empleos.</w:t>
      </w:r>
    </w:p>
    <w:p w:rsidRPr="00CC790D" w:rsidR="00CC790D" w:rsidP="00CC790D" w:rsidRDefault="00CC790D" w14:paraId="5EF142A2" w14:textId="77777777">
      <w:pPr>
        <w:jc w:val="both"/>
        <w:rPr>
          <w:rFonts w:ascii="Verdana" w:hAnsi="Verdana"/>
          <w:sz w:val="20"/>
          <w:szCs w:val="20"/>
          <w:lang w:val="es-ES"/>
        </w:rPr>
      </w:pPr>
      <w:r w:rsidRPr="00CC790D">
        <w:rPr>
          <w:rFonts w:ascii="Verdana" w:hAnsi="Verdana"/>
          <w:sz w:val="20"/>
          <w:szCs w:val="20"/>
          <w:lang w:val="es-ES"/>
        </w:rPr>
        <w:t>El Fondo Monetario Internacional (FMI) estima una caída del Producto Interno Bruto (PIB) mundial de 3% en 2020, con una caída de 7.5% en la Eurozona, de 5.9% en los EUA y de 5.2% en América Latina.</w:t>
      </w:r>
    </w:p>
    <w:p w:rsidRPr="00CC790D" w:rsidR="00CC790D" w:rsidP="00CC790D" w:rsidRDefault="00CC790D" w14:paraId="689623C1" w14:textId="77777777">
      <w:pPr>
        <w:jc w:val="both"/>
        <w:rPr>
          <w:rFonts w:ascii="Verdana" w:hAnsi="Verdana"/>
          <w:sz w:val="20"/>
          <w:szCs w:val="20"/>
          <w:lang w:val="es-ES"/>
        </w:rPr>
      </w:pPr>
      <w:r w:rsidRPr="00CC790D">
        <w:rPr>
          <w:rFonts w:ascii="Verdana" w:hAnsi="Verdana"/>
          <w:sz w:val="20"/>
          <w:szCs w:val="20"/>
          <w:lang w:val="es-ES"/>
        </w:rPr>
        <w:t>Para México, se espera que la crisis económica global provocada por el COVID19, en conjunto con la caída abrupta de los precios internaciones del petróleo, tengan un impacto muy negativo en la economía mexicana.</w:t>
      </w:r>
    </w:p>
    <w:p w:rsidRPr="00CC790D" w:rsidR="00CC790D" w:rsidP="00CC790D" w:rsidRDefault="00CC790D" w14:paraId="62E69A53" w14:textId="31B9EB82">
      <w:pPr>
        <w:jc w:val="both"/>
        <w:rPr>
          <w:rFonts w:ascii="Verdana" w:hAnsi="Verdana"/>
          <w:sz w:val="20"/>
          <w:szCs w:val="20"/>
          <w:lang w:val="es-ES"/>
        </w:rPr>
      </w:pPr>
      <w:r w:rsidRPr="00CC790D">
        <w:rPr>
          <w:rFonts w:ascii="Verdana" w:hAnsi="Verdana"/>
          <w:sz w:val="20"/>
          <w:szCs w:val="20"/>
          <w:lang w:val="es-ES"/>
        </w:rPr>
        <w:t xml:space="preserve">La debilidad de la actividad económica observada en 2019, que registró la primera caída (-0.1%) en una década, y que continuó durante los primeros dos meses de 2020 resaltan la vulnerabilidad en la que se encuentra para afrontar los choques externos. Diversas instituciones financieras y organismos sitúan las expectativas de crecimiento del PIB entre </w:t>
      </w:r>
      <w:r w:rsidR="00E83D0E">
        <w:rPr>
          <w:rFonts w:ascii="Verdana" w:hAnsi="Verdana"/>
          <w:sz w:val="20"/>
          <w:szCs w:val="20"/>
          <w:lang w:val="es-ES"/>
        </w:rPr>
        <w:t>-</w:t>
      </w:r>
      <w:r w:rsidRPr="00CC790D">
        <w:rPr>
          <w:rFonts w:ascii="Verdana" w:hAnsi="Verdana"/>
          <w:sz w:val="20"/>
          <w:szCs w:val="20"/>
          <w:lang w:val="es-ES"/>
        </w:rPr>
        <w:t>4% y -10%.</w:t>
      </w:r>
    </w:p>
    <w:p w:rsidR="00F60C45" w:rsidRDefault="00F60C45" w14:paraId="168161F2" w14:textId="0B3ECE9F">
      <w:pPr>
        <w:rPr>
          <w:rFonts w:ascii="Verdana" w:hAnsi="Verdana"/>
          <w:sz w:val="20"/>
          <w:szCs w:val="20"/>
          <w:lang w:val="es-ES"/>
        </w:rPr>
      </w:pPr>
      <w:r>
        <w:rPr>
          <w:rFonts w:ascii="Verdana" w:hAnsi="Verdana"/>
          <w:sz w:val="20"/>
          <w:szCs w:val="20"/>
          <w:lang w:val="es-ES"/>
        </w:rPr>
        <w:br w:type="page"/>
      </w:r>
    </w:p>
    <w:p w:rsidRPr="00CC790D" w:rsidR="00CC790D" w:rsidP="00CC790D" w:rsidRDefault="00CC790D" w14:paraId="03897046" w14:textId="77777777">
      <w:pPr>
        <w:jc w:val="both"/>
        <w:rPr>
          <w:rFonts w:ascii="Verdana" w:hAnsi="Verdana"/>
          <w:sz w:val="20"/>
          <w:szCs w:val="20"/>
          <w:lang w:val="es-ES"/>
        </w:rPr>
      </w:pPr>
    </w:p>
    <w:p w:rsidRPr="00CC790D" w:rsidR="00CC790D" w:rsidP="00CC790D" w:rsidRDefault="00CC790D" w14:paraId="7C974253" w14:textId="77777777">
      <w:pPr>
        <w:jc w:val="center"/>
        <w:rPr>
          <w:rFonts w:ascii="Verdana" w:hAnsi="Verdana"/>
          <w:sz w:val="20"/>
          <w:szCs w:val="20"/>
          <w:lang w:val="es-ES"/>
        </w:rPr>
      </w:pPr>
      <w:r w:rsidRPr="00CC790D">
        <w:rPr>
          <w:rFonts w:ascii="Verdana" w:hAnsi="Verdana"/>
          <w:b/>
          <w:bCs/>
          <w:sz w:val="20"/>
          <w:szCs w:val="20"/>
          <w:lang w:val="es-ES"/>
        </w:rPr>
        <w:t>Gráfica A. PRODUCTO INTERNO BRUTO TRIMESTRAL Y SUS COMPONENTES. 2018-2020</w:t>
      </w:r>
      <w:r w:rsidRPr="00CC790D">
        <w:rPr>
          <w:rFonts w:ascii="Verdana" w:hAnsi="Verdana"/>
          <w:sz w:val="20"/>
          <w:szCs w:val="20"/>
          <w:lang w:val="es-ES"/>
        </w:rPr>
        <w:t>*</w:t>
      </w:r>
      <w:r w:rsidRPr="00CC790D">
        <w:rPr>
          <w:rFonts w:ascii="Verdana" w:hAnsi="Verdana"/>
          <w:sz w:val="20"/>
          <w:szCs w:val="20"/>
          <w:lang w:val="es-ES"/>
        </w:rPr>
        <w:br/>
      </w:r>
      <w:r w:rsidRPr="00CC790D">
        <w:rPr>
          <w:rFonts w:ascii="Verdana" w:hAnsi="Verdana"/>
          <w:sz w:val="20"/>
          <w:szCs w:val="20"/>
          <w:lang w:val="es-ES"/>
        </w:rPr>
        <w:t>(Var. % anual real)</w:t>
      </w:r>
    </w:p>
    <w:p w:rsidRPr="00CC790D" w:rsidR="00CC790D" w:rsidP="00CC790D" w:rsidRDefault="00CC790D" w14:paraId="51D859F2" w14:textId="27D171C8">
      <w:pPr>
        <w:jc w:val="center"/>
        <w:rPr>
          <w:rFonts w:ascii="Verdana" w:hAnsi="Verdana"/>
          <w:sz w:val="20"/>
          <w:szCs w:val="20"/>
          <w:lang w:val="es-ES"/>
        </w:rPr>
      </w:pPr>
      <w:r w:rsidRPr="00CC790D">
        <w:rPr>
          <w:noProof/>
          <w:lang w:val="es-ES"/>
        </w:rPr>
        <w:drawing>
          <wp:inline distT="0" distB="0" distL="0" distR="0" wp14:anchorId="52335644" wp14:editId="1D502CC0">
            <wp:extent cx="4843145" cy="2362200"/>
            <wp:effectExtent l="0" t="0" r="8255" b="12700"/>
            <wp:docPr id="2" name="Gráfico 2">
              <a:extLst xmlns:a="http://schemas.openxmlformats.org/drawingml/2006/main">
                <a:ext uri="{FF2B5EF4-FFF2-40B4-BE49-F238E27FC236}">
                  <a16:creationId xmlns:a16="http://schemas.microsoft.com/office/drawing/2014/main" id="{17C18EBF-7D15-4922-836E-6E6D3CDCAC0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Pr="00CC790D" w:rsidR="00CC790D" w:rsidP="00CC790D" w:rsidRDefault="00CC790D" w14:paraId="73FF730D" w14:textId="77777777">
      <w:pPr>
        <w:rPr>
          <w:rFonts w:ascii="Verdana" w:hAnsi="Verdana"/>
          <w:sz w:val="16"/>
          <w:szCs w:val="16"/>
          <w:lang w:val="es-ES"/>
        </w:rPr>
      </w:pPr>
      <w:r w:rsidRPr="00CC790D">
        <w:rPr>
          <w:rFonts w:ascii="Verdana" w:hAnsi="Verdana"/>
          <w:sz w:val="16"/>
          <w:szCs w:val="16"/>
          <w:lang w:val="es-ES"/>
        </w:rPr>
        <w:t>*Estimado.</w:t>
      </w:r>
      <w:r w:rsidRPr="00CC790D">
        <w:rPr>
          <w:rFonts w:ascii="Verdana" w:hAnsi="Verdana"/>
          <w:sz w:val="16"/>
          <w:szCs w:val="16"/>
          <w:lang w:val="es-ES"/>
        </w:rPr>
        <w:br/>
      </w:r>
      <w:r w:rsidRPr="00CC790D">
        <w:rPr>
          <w:rFonts w:ascii="Verdana" w:hAnsi="Verdana"/>
          <w:sz w:val="16"/>
          <w:szCs w:val="16"/>
          <w:lang w:val="es-ES"/>
        </w:rPr>
        <w:t>Fuente: INEGI. Las proyecciones fueron elaboradas por GEA Grupo de Economistas y Asociados.</w:t>
      </w:r>
    </w:p>
    <w:p w:rsidRPr="00CC790D" w:rsidR="00CC790D" w:rsidP="00CC790D" w:rsidRDefault="00CC790D" w14:paraId="1D36CB20" w14:textId="77777777">
      <w:pPr>
        <w:jc w:val="both"/>
        <w:rPr>
          <w:rFonts w:ascii="Verdana" w:hAnsi="Verdana"/>
          <w:sz w:val="20"/>
          <w:szCs w:val="20"/>
          <w:lang w:val="es-ES"/>
        </w:rPr>
      </w:pPr>
      <w:r w:rsidRPr="00CC790D">
        <w:rPr>
          <w:rFonts w:ascii="Verdana" w:hAnsi="Verdana"/>
          <w:sz w:val="20"/>
          <w:szCs w:val="20"/>
          <w:lang w:val="es-ES"/>
        </w:rPr>
        <w:t>A nivel agregado, el mayor impacto se daría en el sector servicios, que representa casi dos terceras partes del PIB, principalmente en la actividad turística como los hoteles, restaurantes y el transporte aéreo de pasajeros. Además, la disminución esperada en el ingreso de los hogares tendrá un impacto significativo en las actividades comerciales.</w:t>
      </w:r>
    </w:p>
    <w:p w:rsidRPr="00CC790D" w:rsidR="00CC790D" w:rsidP="00CC790D" w:rsidRDefault="004D1887" w14:paraId="5B5BD9D2" w14:textId="6339C6E6">
      <w:pPr>
        <w:jc w:val="both"/>
        <w:rPr>
          <w:rFonts w:ascii="Verdana" w:hAnsi="Verdana"/>
          <w:sz w:val="20"/>
          <w:szCs w:val="20"/>
          <w:lang w:val="es-ES"/>
        </w:rPr>
      </w:pPr>
      <w:r>
        <w:rPr>
          <w:rFonts w:ascii="Verdana" w:hAnsi="Verdana"/>
          <w:sz w:val="20"/>
          <w:szCs w:val="20"/>
          <w:lang w:val="es-ES"/>
        </w:rPr>
        <w:t>L</w:t>
      </w:r>
      <w:r w:rsidRPr="00CC790D" w:rsidR="00CC790D">
        <w:rPr>
          <w:rFonts w:ascii="Verdana" w:hAnsi="Verdana"/>
          <w:sz w:val="20"/>
          <w:szCs w:val="20"/>
          <w:lang w:val="es-ES"/>
        </w:rPr>
        <w:t>os principales riesgos para este sector provienen de un menor consumo ante la pérdida generalizada de ingresos, los de tipo sanitario, y las posibles afectaciones en la cadena logística y comercial</w:t>
      </w:r>
      <w:r>
        <w:rPr>
          <w:rFonts w:ascii="Verdana" w:hAnsi="Verdana"/>
          <w:sz w:val="20"/>
          <w:szCs w:val="20"/>
          <w:lang w:val="es-ES"/>
        </w:rPr>
        <w:t>, afectando en un mayor grado a las medianas y pequeñas empresas (MIPYMES)</w:t>
      </w:r>
      <w:r w:rsidRPr="00CC790D" w:rsidR="00CC790D">
        <w:rPr>
          <w:rFonts w:ascii="Verdana" w:hAnsi="Verdana"/>
          <w:sz w:val="20"/>
          <w:szCs w:val="20"/>
          <w:lang w:val="es-ES"/>
        </w:rPr>
        <w:t>.</w:t>
      </w:r>
    </w:p>
    <w:p w:rsidRPr="00CC790D" w:rsidR="00CC790D" w:rsidP="00CC790D" w:rsidRDefault="004D1887" w14:paraId="054240CC" w14:textId="16E3514F">
      <w:pPr>
        <w:jc w:val="both"/>
        <w:rPr>
          <w:rFonts w:ascii="Verdana" w:hAnsi="Verdana"/>
          <w:sz w:val="20"/>
          <w:szCs w:val="20"/>
          <w:lang w:val="es-ES"/>
        </w:rPr>
      </w:pPr>
      <w:r>
        <w:rPr>
          <w:rFonts w:ascii="Verdana" w:hAnsi="Verdana"/>
          <w:sz w:val="20"/>
          <w:szCs w:val="20"/>
          <w:lang w:val="es-ES"/>
        </w:rPr>
        <w:t>M</w:t>
      </w:r>
      <w:r w:rsidRPr="00CC790D" w:rsidR="00CC790D">
        <w:rPr>
          <w:rFonts w:ascii="Verdana" w:hAnsi="Verdana"/>
          <w:sz w:val="20"/>
          <w:szCs w:val="20"/>
          <w:lang w:val="es-ES"/>
        </w:rPr>
        <w:t xml:space="preserve">uchos sectores que dependen de la interacción constante de los trabajadores están al borde de la quiebra, dejando a millones de personas sin empleos. Esto trae riesgos no solo económicos sino sociales. </w:t>
      </w:r>
      <w:r>
        <w:rPr>
          <w:rFonts w:ascii="Verdana" w:hAnsi="Verdana"/>
          <w:sz w:val="20"/>
          <w:szCs w:val="20"/>
          <w:lang w:val="es-ES"/>
        </w:rPr>
        <w:t>Por ello, es indispensable el apoyo de financiamiento directo a las MIPYMES para darles un respiro de recursos y flujo como capital de trabajo para su subsistencia.</w:t>
      </w:r>
      <w:r w:rsidRPr="00CC790D" w:rsidR="00CC790D">
        <w:rPr>
          <w:rFonts w:ascii="Verdana" w:hAnsi="Verdana"/>
          <w:sz w:val="20"/>
          <w:szCs w:val="20"/>
          <w:lang w:val="es-ES"/>
        </w:rPr>
        <w:t xml:space="preserve"> </w:t>
      </w:r>
    </w:p>
    <w:p w:rsidRPr="00394D0B" w:rsidR="00747993" w:rsidP="00394D0B" w:rsidRDefault="00747993" w14:paraId="226C306B" w14:textId="71FC3124">
      <w:pPr>
        <w:pStyle w:val="ListParagraph"/>
        <w:numPr>
          <w:ilvl w:val="0"/>
          <w:numId w:val="19"/>
        </w:numPr>
        <w:jc w:val="both"/>
        <w:rPr>
          <w:rFonts w:ascii="Verdana" w:hAnsi="Verdana"/>
          <w:b/>
          <w:bCs/>
          <w:lang w:val="es-ES"/>
        </w:rPr>
      </w:pPr>
      <w:r w:rsidRPr="00394D0B">
        <w:rPr>
          <w:rFonts w:ascii="Verdana" w:hAnsi="Verdana"/>
          <w:b/>
          <w:bCs/>
          <w:lang w:val="es-ES"/>
        </w:rPr>
        <w:t>Definición del sector de MIPYME en México</w:t>
      </w:r>
      <w:r w:rsidRPr="00394D0B" w:rsidR="00BE1BE6">
        <w:rPr>
          <w:rFonts w:ascii="Verdana" w:hAnsi="Verdana"/>
          <w:b/>
          <w:bCs/>
          <w:lang w:val="es-ES"/>
        </w:rPr>
        <w:t>.</w:t>
      </w:r>
    </w:p>
    <w:p w:rsidRPr="00CC790D" w:rsidR="00812851" w:rsidP="00BE1BE6" w:rsidRDefault="00E738C1" w14:paraId="1831A446" w14:textId="29AAC9CB">
      <w:pPr>
        <w:jc w:val="both"/>
        <w:rPr>
          <w:rFonts w:ascii="Verdana" w:hAnsi="Verdana"/>
          <w:sz w:val="20"/>
          <w:szCs w:val="20"/>
          <w:lang w:val="es-ES"/>
        </w:rPr>
      </w:pPr>
      <w:r w:rsidRPr="00CC790D">
        <w:rPr>
          <w:rFonts w:ascii="Verdana" w:hAnsi="Verdana"/>
          <w:sz w:val="20"/>
          <w:szCs w:val="20"/>
          <w:lang w:val="es-ES"/>
        </w:rPr>
        <w:t>El criterio para clasificar a las micro, pequeñas y medianas</w:t>
      </w:r>
      <w:r w:rsidRPr="00CC790D" w:rsidR="00041CF3">
        <w:rPr>
          <w:rFonts w:ascii="Verdana" w:hAnsi="Verdana"/>
          <w:sz w:val="20"/>
          <w:szCs w:val="20"/>
          <w:lang w:val="es-ES"/>
        </w:rPr>
        <w:t xml:space="preserve"> (MIPYME)</w:t>
      </w:r>
      <w:r w:rsidRPr="00CC790D">
        <w:rPr>
          <w:rFonts w:ascii="Verdana" w:hAnsi="Verdana"/>
          <w:sz w:val="20"/>
          <w:szCs w:val="20"/>
          <w:lang w:val="es-ES"/>
        </w:rPr>
        <w:t xml:space="preserve"> empresas varía para cada país. El más utilizado para </w:t>
      </w:r>
      <w:r w:rsidRPr="00CC790D" w:rsidR="000E10F2">
        <w:rPr>
          <w:rFonts w:ascii="Verdana" w:hAnsi="Verdana"/>
          <w:sz w:val="20"/>
          <w:szCs w:val="20"/>
          <w:lang w:val="es-ES"/>
        </w:rPr>
        <w:t>estratificar</w:t>
      </w:r>
      <w:r w:rsidRPr="00CC790D">
        <w:rPr>
          <w:rFonts w:ascii="Verdana" w:hAnsi="Verdana"/>
          <w:sz w:val="20"/>
          <w:szCs w:val="20"/>
          <w:lang w:val="es-ES"/>
        </w:rPr>
        <w:t xml:space="preserve"> a las empresas según su tamaño es el del número de trabajadores, no obstante, es común utilizar criterios complementarios como el valor de las ventas, los ingresos o activos fijos.</w:t>
      </w:r>
    </w:p>
    <w:p w:rsidRPr="00CC790D" w:rsidR="00E738C1" w:rsidP="00BE1BE6" w:rsidRDefault="00E738C1" w14:paraId="7B44B790" w14:textId="2C494E84">
      <w:pPr>
        <w:jc w:val="both"/>
        <w:rPr>
          <w:rFonts w:ascii="Verdana" w:hAnsi="Verdana"/>
          <w:sz w:val="20"/>
          <w:szCs w:val="20"/>
          <w:lang w:val="es-ES"/>
        </w:rPr>
      </w:pPr>
      <w:r w:rsidRPr="00CC790D">
        <w:rPr>
          <w:rFonts w:ascii="Verdana" w:hAnsi="Verdana"/>
          <w:sz w:val="20"/>
          <w:szCs w:val="20"/>
          <w:lang w:val="es-ES"/>
        </w:rPr>
        <w:t>La Organización para la Cooperación y Desarrollo Económico (OCDE) identifica dos tipos de determinantes para la clasificación de empresas, según su fin</w:t>
      </w:r>
      <w:r w:rsidRPr="00CC790D" w:rsidR="000E10F2">
        <w:rPr>
          <w:rFonts w:ascii="Verdana" w:hAnsi="Verdana"/>
          <w:sz w:val="20"/>
          <w:szCs w:val="20"/>
          <w:lang w:val="es-ES"/>
        </w:rPr>
        <w:t>alidad</w:t>
      </w:r>
      <w:r w:rsidRPr="00CC790D">
        <w:rPr>
          <w:rFonts w:ascii="Verdana" w:hAnsi="Verdana"/>
          <w:sz w:val="20"/>
          <w:szCs w:val="20"/>
          <w:lang w:val="es-ES"/>
        </w:rPr>
        <w:t>:</w:t>
      </w:r>
    </w:p>
    <w:p w:rsidRPr="00CC790D" w:rsidR="00E738C1" w:rsidP="00BE1BE6" w:rsidRDefault="00E738C1" w14:paraId="0156E962" w14:textId="339E247C">
      <w:pPr>
        <w:pStyle w:val="ListParagraph"/>
        <w:numPr>
          <w:ilvl w:val="0"/>
          <w:numId w:val="5"/>
        </w:numPr>
        <w:jc w:val="both"/>
        <w:rPr>
          <w:rFonts w:ascii="Verdana" w:hAnsi="Verdana"/>
          <w:sz w:val="20"/>
          <w:szCs w:val="20"/>
          <w:lang w:val="es-ES"/>
        </w:rPr>
      </w:pPr>
      <w:r w:rsidRPr="00CC790D">
        <w:rPr>
          <w:rFonts w:ascii="Verdana" w:hAnsi="Verdana"/>
          <w:sz w:val="20"/>
          <w:szCs w:val="20"/>
          <w:lang w:val="es-ES"/>
        </w:rPr>
        <w:t>Legales y administrativos. Utiliza las variables de personal ocupado, ventas y resultados de balance de la empresa.</w:t>
      </w:r>
    </w:p>
    <w:p w:rsidRPr="00CC790D" w:rsidR="00E738C1" w:rsidP="00BE1BE6" w:rsidRDefault="00E738C1" w14:paraId="0C917C1E" w14:textId="3C90C5F6">
      <w:pPr>
        <w:pStyle w:val="ListParagraph"/>
        <w:numPr>
          <w:ilvl w:val="0"/>
          <w:numId w:val="5"/>
        </w:numPr>
        <w:jc w:val="both"/>
        <w:rPr>
          <w:rFonts w:ascii="Verdana" w:hAnsi="Verdana"/>
          <w:sz w:val="20"/>
          <w:szCs w:val="20"/>
          <w:lang w:val="es-ES"/>
        </w:rPr>
      </w:pPr>
      <w:r w:rsidRPr="00CC790D">
        <w:rPr>
          <w:rFonts w:ascii="Verdana" w:hAnsi="Verdana"/>
          <w:sz w:val="20"/>
          <w:szCs w:val="20"/>
          <w:lang w:val="es-ES"/>
        </w:rPr>
        <w:t xml:space="preserve">Estadísticos. </w:t>
      </w:r>
      <w:r w:rsidRPr="00CC790D" w:rsidR="000E10F2">
        <w:rPr>
          <w:rFonts w:ascii="Verdana" w:hAnsi="Verdana"/>
          <w:sz w:val="20"/>
          <w:szCs w:val="20"/>
          <w:lang w:val="es-ES"/>
        </w:rPr>
        <w:t>Utiliza exclusivamente personal ocupado.</w:t>
      </w:r>
    </w:p>
    <w:p w:rsidRPr="00CC790D" w:rsidR="000E10F2" w:rsidP="00BE1BE6" w:rsidRDefault="000E10F2" w14:paraId="3A435DB7" w14:textId="795D7D2A">
      <w:pPr>
        <w:jc w:val="both"/>
        <w:rPr>
          <w:rFonts w:ascii="Verdana" w:hAnsi="Verdana"/>
          <w:sz w:val="20"/>
          <w:szCs w:val="20"/>
          <w:lang w:val="es-ES"/>
        </w:rPr>
      </w:pPr>
      <w:r w:rsidRPr="00CC790D">
        <w:rPr>
          <w:rFonts w:ascii="Verdana" w:hAnsi="Verdana"/>
          <w:sz w:val="20"/>
          <w:szCs w:val="20"/>
          <w:lang w:val="es-ES"/>
        </w:rPr>
        <w:lastRenderedPageBreak/>
        <w:t>En el caso de México, se identifican dos clasificaciones distintas para las MIPYMES. La Secretaría de Economía</w:t>
      </w:r>
      <w:r w:rsidRPr="00CC790D" w:rsidR="009C1CFC">
        <w:rPr>
          <w:rFonts w:ascii="Verdana" w:hAnsi="Verdana"/>
          <w:sz w:val="20"/>
          <w:szCs w:val="20"/>
          <w:lang w:val="es-ES"/>
        </w:rPr>
        <w:t xml:space="preserve"> (SE)</w:t>
      </w:r>
      <w:r w:rsidRPr="00CC790D">
        <w:rPr>
          <w:rFonts w:ascii="Verdana" w:hAnsi="Verdana"/>
          <w:sz w:val="20"/>
          <w:szCs w:val="20"/>
          <w:lang w:val="es-ES"/>
        </w:rPr>
        <w:t xml:space="preserve"> </w:t>
      </w:r>
      <w:r w:rsidRPr="00CC790D" w:rsidR="00F7113D">
        <w:rPr>
          <w:rFonts w:ascii="Verdana" w:hAnsi="Verdana"/>
          <w:sz w:val="20"/>
          <w:szCs w:val="20"/>
          <w:lang w:val="es-ES"/>
        </w:rPr>
        <w:t>modificó</w:t>
      </w:r>
      <w:r w:rsidRPr="00CC790D">
        <w:rPr>
          <w:rFonts w:ascii="Verdana" w:hAnsi="Verdana"/>
          <w:sz w:val="20"/>
          <w:szCs w:val="20"/>
          <w:lang w:val="es-ES"/>
        </w:rPr>
        <w:t xml:space="preserve"> en 2009 el criterio utilizado </w:t>
      </w:r>
      <w:r w:rsidRPr="00CC790D" w:rsidR="00F7113D">
        <w:rPr>
          <w:rFonts w:ascii="Verdana" w:hAnsi="Verdana"/>
          <w:sz w:val="20"/>
          <w:szCs w:val="20"/>
          <w:lang w:val="es-ES"/>
        </w:rPr>
        <w:t>para estratificar empresas, complementando el criterio de personal ocupado con el de ventas anuales. Esto, con el objetivo de “evitar la discriminación en contra de empresas intensivas en mano de obra y de que empresas que tienen ventas significativamente altas participen en programas diseñados para micro, pequeñas y medianas empresas”.</w:t>
      </w:r>
      <w:r w:rsidRPr="00CC790D" w:rsidR="00F7113D">
        <w:rPr>
          <w:rStyle w:val="FootnoteReference"/>
          <w:rFonts w:ascii="Verdana" w:hAnsi="Verdana"/>
          <w:sz w:val="20"/>
          <w:szCs w:val="20"/>
          <w:lang w:val="es-ES"/>
        </w:rPr>
        <w:footnoteReference w:id="1"/>
      </w:r>
    </w:p>
    <w:p w:rsidR="00F7113D" w:rsidP="00BE1BE6" w:rsidRDefault="00F7113D" w14:paraId="561E191D" w14:textId="34BF87BB">
      <w:pPr>
        <w:jc w:val="both"/>
        <w:rPr>
          <w:rFonts w:ascii="Verdana" w:hAnsi="Verdana"/>
          <w:sz w:val="20"/>
          <w:szCs w:val="20"/>
          <w:lang w:val="es-ES"/>
        </w:rPr>
      </w:pPr>
      <w:r w:rsidRPr="00CC790D">
        <w:rPr>
          <w:rFonts w:ascii="Verdana" w:hAnsi="Verdana"/>
          <w:sz w:val="20"/>
          <w:szCs w:val="20"/>
          <w:lang w:val="es-ES"/>
        </w:rPr>
        <w:t xml:space="preserve">La clasificación utilizada por la </w:t>
      </w:r>
      <w:r w:rsidRPr="00CC790D" w:rsidR="009C1CFC">
        <w:rPr>
          <w:rFonts w:ascii="Verdana" w:hAnsi="Verdana"/>
          <w:sz w:val="20"/>
          <w:szCs w:val="20"/>
          <w:lang w:val="es-ES"/>
        </w:rPr>
        <w:t>SE</w:t>
      </w:r>
      <w:r w:rsidRPr="00CC790D">
        <w:rPr>
          <w:rFonts w:ascii="Verdana" w:hAnsi="Verdana"/>
          <w:sz w:val="20"/>
          <w:szCs w:val="20"/>
          <w:lang w:val="es-ES"/>
        </w:rPr>
        <w:t xml:space="preserve"> puede observarse en el siguiente cuadro</w:t>
      </w:r>
      <w:r w:rsidRPr="00CC790D" w:rsidR="009C1CFC">
        <w:rPr>
          <w:rFonts w:ascii="Verdana" w:hAnsi="Verdana"/>
          <w:sz w:val="20"/>
          <w:szCs w:val="20"/>
          <w:lang w:val="es-ES"/>
        </w:rPr>
        <w:t>:</w:t>
      </w:r>
    </w:p>
    <w:p w:rsidRPr="00CC790D" w:rsidR="00BE1BE6" w:rsidP="00BE1BE6" w:rsidRDefault="00BE1BE6" w14:paraId="3A858321" w14:textId="464C5D40">
      <w:pPr>
        <w:jc w:val="center"/>
        <w:rPr>
          <w:rFonts w:ascii="Verdana" w:hAnsi="Verdana"/>
          <w:b/>
          <w:bCs/>
          <w:sz w:val="20"/>
          <w:szCs w:val="20"/>
          <w:lang w:val="es-ES"/>
        </w:rPr>
      </w:pPr>
      <w:r w:rsidRPr="00CC790D">
        <w:rPr>
          <w:rFonts w:ascii="Verdana" w:hAnsi="Verdana"/>
          <w:b/>
          <w:bCs/>
          <w:sz w:val="20"/>
          <w:szCs w:val="20"/>
          <w:lang w:val="es-ES"/>
        </w:rPr>
        <w:t>Cuadro 1. Estratificación de empresas por tamaño. Secretaría de Economía</w:t>
      </w:r>
    </w:p>
    <w:p w:rsidRPr="00CC790D" w:rsidR="009C1CFC" w:rsidP="009C1CFC" w:rsidRDefault="009C1CFC" w14:paraId="4B83411C" w14:textId="3E3DE89A">
      <w:pPr>
        <w:jc w:val="center"/>
        <w:rPr>
          <w:rFonts w:ascii="Verdana" w:hAnsi="Verdana"/>
          <w:sz w:val="20"/>
          <w:szCs w:val="20"/>
          <w:lang w:val="es-ES"/>
        </w:rPr>
      </w:pPr>
      <w:r w:rsidR="009C1CFC">
        <w:drawing>
          <wp:inline wp14:editId="182A0CC5" wp14:anchorId="096A64B4">
            <wp:extent cx="4086225" cy="2514600"/>
            <wp:effectExtent l="0" t="0" r="9525" b="0"/>
            <wp:docPr id="1967302439" name="Imagen 1" title=""/>
            <wp:cNvGraphicFramePr>
              <a:graphicFrameLocks noChangeAspect="1"/>
            </wp:cNvGraphicFramePr>
            <a:graphic>
              <a:graphicData uri="http://schemas.openxmlformats.org/drawingml/2006/picture">
                <pic:pic>
                  <pic:nvPicPr>
                    <pic:cNvPr id="0" name="Imagen 1"/>
                    <pic:cNvPicPr/>
                  </pic:nvPicPr>
                  <pic:blipFill>
                    <a:blip r:embed="R57b913c00ccb47d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086225" cy="2514600"/>
                    </a:xfrm>
                    <a:prstGeom prst="rect">
                      <a:avLst/>
                    </a:prstGeom>
                  </pic:spPr>
                </pic:pic>
              </a:graphicData>
            </a:graphic>
          </wp:inline>
        </w:drawing>
      </w:r>
    </w:p>
    <w:p w:rsidRPr="00CC790D" w:rsidR="009C1CFC" w:rsidP="00BE1BE6" w:rsidRDefault="009C1CFC" w14:paraId="6811205A" w14:textId="17BA731A">
      <w:pPr>
        <w:ind w:left="72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Diario Oficial de la Federación.</w:t>
      </w:r>
    </w:p>
    <w:p w:rsidRPr="00CC790D" w:rsidR="009C1CFC" w:rsidP="00BE1BE6" w:rsidRDefault="009C1CFC" w14:paraId="38F53639" w14:textId="2E0110EA">
      <w:pPr>
        <w:jc w:val="both"/>
        <w:rPr>
          <w:rFonts w:ascii="Verdana" w:hAnsi="Verdana"/>
          <w:sz w:val="20"/>
          <w:szCs w:val="20"/>
          <w:lang w:val="es-ES"/>
        </w:rPr>
      </w:pPr>
      <w:r w:rsidRPr="00CC790D">
        <w:rPr>
          <w:rFonts w:ascii="Verdana" w:hAnsi="Verdana"/>
          <w:sz w:val="20"/>
          <w:szCs w:val="20"/>
          <w:lang w:val="es-ES"/>
        </w:rPr>
        <w:t>Por su parte, el Instituto Nacional de Estadística y Geografía (INEGI) clasifica a las MIPYME bajo un criterio único de personal ocupado. Esta clasificación considera tanto el personal dependiente de la razón social como el que depende de otra razón social, pero que labora en la unidad económica.</w:t>
      </w:r>
    </w:p>
    <w:p w:rsidRPr="00CC790D" w:rsidR="00A17C31" w:rsidP="00BE1BE6" w:rsidRDefault="009C1CFC" w14:paraId="0A85BD41" w14:textId="113E4786">
      <w:pPr>
        <w:jc w:val="both"/>
        <w:rPr>
          <w:rFonts w:ascii="Verdana" w:hAnsi="Verdana"/>
          <w:sz w:val="20"/>
          <w:szCs w:val="20"/>
          <w:lang w:val="es-ES"/>
        </w:rPr>
      </w:pPr>
      <w:r w:rsidRPr="00CC790D">
        <w:rPr>
          <w:rFonts w:ascii="Verdana" w:hAnsi="Verdana"/>
          <w:sz w:val="20"/>
          <w:szCs w:val="20"/>
          <w:lang w:val="es-ES"/>
        </w:rPr>
        <w:t>La clasificación de INEGI obedece al criterio de clasificación previo estipulado por la SE (2002)</w:t>
      </w:r>
      <w:r w:rsidRPr="00CC790D" w:rsidR="00A17C31">
        <w:rPr>
          <w:rFonts w:ascii="Verdana" w:hAnsi="Verdana"/>
          <w:sz w:val="20"/>
          <w:szCs w:val="20"/>
          <w:lang w:val="es-ES"/>
        </w:rPr>
        <w:t>. El Instituto decidió mantener dicha clasificación</w:t>
      </w:r>
      <w:r w:rsidRPr="00CC790D">
        <w:rPr>
          <w:rFonts w:ascii="Verdana" w:hAnsi="Verdana"/>
          <w:sz w:val="20"/>
          <w:szCs w:val="20"/>
          <w:lang w:val="es-ES"/>
        </w:rPr>
        <w:t xml:space="preserve"> con el objetivo de lograr continuidad y comparabilidad con mediciones anteriores</w:t>
      </w:r>
      <w:r w:rsidRPr="00CC790D" w:rsidR="00A17C31">
        <w:rPr>
          <w:rFonts w:ascii="Verdana" w:hAnsi="Verdana"/>
          <w:sz w:val="20"/>
          <w:szCs w:val="20"/>
          <w:lang w:val="es-ES"/>
        </w:rPr>
        <w:t>.</w:t>
      </w:r>
    </w:p>
    <w:p w:rsidRPr="00CC790D" w:rsidR="002E403C" w:rsidP="002E403C" w:rsidRDefault="002E403C" w14:paraId="3DDAF20E" w14:textId="3F268C79">
      <w:pPr>
        <w:jc w:val="center"/>
        <w:rPr>
          <w:rFonts w:ascii="Verdana" w:hAnsi="Verdana"/>
          <w:b/>
          <w:bCs/>
          <w:sz w:val="20"/>
          <w:szCs w:val="20"/>
          <w:lang w:val="es-ES"/>
        </w:rPr>
      </w:pPr>
      <w:r w:rsidRPr="00CC790D">
        <w:rPr>
          <w:rFonts w:ascii="Verdana" w:hAnsi="Verdana"/>
          <w:b/>
          <w:bCs/>
          <w:sz w:val="20"/>
          <w:szCs w:val="20"/>
          <w:lang w:val="es-ES"/>
        </w:rPr>
        <w:t>Cuadro 2. Estratificación de empresas por tamaño. INEGI.</w:t>
      </w:r>
    </w:p>
    <w:p w:rsidRPr="00CC790D" w:rsidR="009C1CFC" w:rsidP="000E10F2" w:rsidRDefault="00E964E6" w14:paraId="79F2B9CB" w14:textId="75CCB739">
      <w:pPr>
        <w:rPr>
          <w:rFonts w:ascii="Verdana" w:hAnsi="Verdana"/>
          <w:sz w:val="20"/>
          <w:szCs w:val="20"/>
          <w:lang w:val="es-ES"/>
        </w:rPr>
      </w:pPr>
      <w:r w:rsidR="00E964E6">
        <w:drawing>
          <wp:inline wp14:editId="61C7F157" wp14:anchorId="499E089B">
            <wp:extent cx="5943600" cy="1400175"/>
            <wp:effectExtent l="0" t="0" r="0" b="9525"/>
            <wp:docPr id="390305533" name="Imagen 3" title=""/>
            <wp:cNvGraphicFramePr>
              <a:graphicFrameLocks noChangeAspect="1"/>
            </wp:cNvGraphicFramePr>
            <a:graphic>
              <a:graphicData uri="http://schemas.openxmlformats.org/drawingml/2006/picture">
                <pic:pic>
                  <pic:nvPicPr>
                    <pic:cNvPr id="0" name="Imagen 3"/>
                    <pic:cNvPicPr/>
                  </pic:nvPicPr>
                  <pic:blipFill>
                    <a:blip r:embed="R9480ca43c8144de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943600" cy="1400175"/>
                    </a:xfrm>
                    <a:prstGeom prst="rect">
                      <a:avLst/>
                    </a:prstGeom>
                  </pic:spPr>
                </pic:pic>
              </a:graphicData>
            </a:graphic>
          </wp:inline>
        </w:drawing>
      </w:r>
      <w:r w:rsidRPr="605124B4" w:rsidR="009C1CFC">
        <w:rPr>
          <w:rFonts w:ascii="Verdana" w:hAnsi="Verdana"/>
          <w:sz w:val="20"/>
          <w:szCs w:val="20"/>
          <w:lang w:val="es-ES"/>
        </w:rPr>
        <w:t xml:space="preserve"> </w:t>
      </w:r>
    </w:p>
    <w:p w:rsidRPr="00CC790D" w:rsidR="00A17C31" w:rsidP="002E403C" w:rsidRDefault="00A17C31" w14:paraId="4AD322BC" w14:textId="2A0CB97C">
      <w:pPr>
        <w:rPr>
          <w:rFonts w:ascii="Verdana" w:hAnsi="Verdana"/>
          <w:b/>
          <w:bCs/>
          <w:sz w:val="16"/>
          <w:szCs w:val="16"/>
          <w:lang w:val="es-ES"/>
        </w:rPr>
      </w:pPr>
      <w:r w:rsidRPr="00CC790D">
        <w:rPr>
          <w:rFonts w:ascii="Verdana" w:hAnsi="Verdana"/>
          <w:b/>
          <w:bCs/>
          <w:sz w:val="16"/>
          <w:szCs w:val="16"/>
          <w:lang w:val="es-ES"/>
        </w:rPr>
        <w:lastRenderedPageBreak/>
        <w:t xml:space="preserve">Fuente: </w:t>
      </w:r>
      <w:r w:rsidRPr="00CC790D">
        <w:rPr>
          <w:rFonts w:ascii="Verdana" w:hAnsi="Verdana"/>
          <w:sz w:val="16"/>
          <w:szCs w:val="16"/>
          <w:lang w:val="es-ES"/>
        </w:rPr>
        <w:t>INEGI.</w:t>
      </w:r>
    </w:p>
    <w:p w:rsidR="001257B9" w:rsidP="002E403C" w:rsidRDefault="001257B9" w14:paraId="4534A203" w14:textId="10C20C6B">
      <w:pPr>
        <w:jc w:val="both"/>
        <w:rPr>
          <w:rFonts w:ascii="Verdana" w:hAnsi="Verdana"/>
          <w:sz w:val="20"/>
          <w:szCs w:val="20"/>
          <w:lang w:val="es-ES"/>
        </w:rPr>
      </w:pPr>
      <w:r w:rsidRPr="00CC790D">
        <w:rPr>
          <w:rFonts w:ascii="Verdana" w:hAnsi="Verdana"/>
          <w:sz w:val="20"/>
          <w:szCs w:val="20"/>
          <w:lang w:val="es-ES"/>
        </w:rPr>
        <w:t>Por último, se identifica una tercera clasificación de MIPYMES utilizada por la Comisión Nacional Bancaria y de Valores (CNBV), la cual utiliza la estratificación establecida por la SE en 2009 y la condiciona a que la empresa no haya recibido un crédito por un monto superior a 50 millones de pesos.</w:t>
      </w:r>
    </w:p>
    <w:p w:rsidRPr="00CC790D" w:rsidR="00747993" w:rsidP="002E403C" w:rsidRDefault="00747993" w14:paraId="5E69E655" w14:textId="24547099">
      <w:pPr>
        <w:ind w:firstLine="720"/>
        <w:rPr>
          <w:rFonts w:ascii="Verdana" w:hAnsi="Verdana"/>
          <w:i/>
          <w:iCs/>
          <w:sz w:val="20"/>
          <w:szCs w:val="20"/>
          <w:lang w:val="es-ES"/>
        </w:rPr>
      </w:pPr>
      <w:r w:rsidRPr="00CC790D">
        <w:rPr>
          <w:rFonts w:ascii="Verdana" w:hAnsi="Verdana"/>
          <w:i/>
          <w:iCs/>
          <w:sz w:val="20"/>
          <w:szCs w:val="20"/>
          <w:lang w:val="es-ES"/>
        </w:rPr>
        <w:t>Contribución de la</w:t>
      </w:r>
      <w:r w:rsidRPr="00CC790D" w:rsidR="002E403C">
        <w:rPr>
          <w:rFonts w:ascii="Verdana" w:hAnsi="Verdana"/>
          <w:i/>
          <w:iCs/>
          <w:sz w:val="20"/>
          <w:szCs w:val="20"/>
          <w:lang w:val="es-ES"/>
        </w:rPr>
        <w:t>s</w:t>
      </w:r>
      <w:r w:rsidRPr="00CC790D">
        <w:rPr>
          <w:rFonts w:ascii="Verdana" w:hAnsi="Verdana"/>
          <w:i/>
          <w:iCs/>
          <w:sz w:val="20"/>
          <w:szCs w:val="20"/>
          <w:lang w:val="es-ES"/>
        </w:rPr>
        <w:t xml:space="preserve"> MIPYME a la dinámica económica mexicana</w:t>
      </w:r>
    </w:p>
    <w:p w:rsidRPr="00CC790D" w:rsidR="00007782" w:rsidP="00007782" w:rsidRDefault="00007782" w14:paraId="79DEEBAE" w14:textId="0A2A8845">
      <w:pPr>
        <w:rPr>
          <w:rFonts w:ascii="Verdana" w:hAnsi="Verdana"/>
          <w:sz w:val="20"/>
          <w:szCs w:val="20"/>
          <w:lang w:val="es-ES"/>
        </w:rPr>
      </w:pPr>
      <w:r w:rsidRPr="00CC790D">
        <w:rPr>
          <w:rFonts w:ascii="Verdana" w:hAnsi="Verdana"/>
          <w:sz w:val="20"/>
          <w:szCs w:val="20"/>
          <w:lang w:val="es-ES"/>
        </w:rPr>
        <w:t xml:space="preserve">De acuerdo con el INEGI, </w:t>
      </w:r>
      <w:r w:rsidR="00E83D0E">
        <w:rPr>
          <w:rFonts w:ascii="Verdana" w:hAnsi="Verdana"/>
          <w:sz w:val="20"/>
          <w:szCs w:val="20"/>
          <w:lang w:val="es-ES"/>
        </w:rPr>
        <w:t xml:space="preserve">en </w:t>
      </w:r>
      <w:r w:rsidRPr="00C3502A" w:rsidR="00E83D0E">
        <w:rPr>
          <w:rFonts w:ascii="Verdana" w:hAnsi="Verdana"/>
          <w:sz w:val="20"/>
          <w:szCs w:val="20"/>
          <w:lang w:val="es-ES"/>
        </w:rPr>
        <w:t>20</w:t>
      </w:r>
      <w:r w:rsidRPr="00C3502A" w:rsidR="00C3502A">
        <w:rPr>
          <w:rFonts w:ascii="Verdana" w:hAnsi="Verdana"/>
          <w:sz w:val="20"/>
          <w:szCs w:val="20"/>
          <w:lang w:val="es-ES"/>
        </w:rPr>
        <w:t>18</w:t>
      </w:r>
      <w:r w:rsidR="00E83D0E">
        <w:rPr>
          <w:rFonts w:ascii="Verdana" w:hAnsi="Verdana"/>
          <w:sz w:val="20"/>
          <w:szCs w:val="20"/>
          <w:lang w:val="es-ES"/>
        </w:rPr>
        <w:t xml:space="preserve"> </w:t>
      </w:r>
      <w:r w:rsidRPr="00CC790D">
        <w:rPr>
          <w:rFonts w:ascii="Verdana" w:hAnsi="Verdana"/>
          <w:sz w:val="20"/>
          <w:szCs w:val="20"/>
          <w:lang w:val="es-ES"/>
        </w:rPr>
        <w:t>en México exist</w:t>
      </w:r>
      <w:r w:rsidR="00C3502A">
        <w:rPr>
          <w:rFonts w:ascii="Verdana" w:hAnsi="Verdana"/>
          <w:sz w:val="20"/>
          <w:szCs w:val="20"/>
          <w:lang w:val="es-ES"/>
        </w:rPr>
        <w:t>ían</w:t>
      </w:r>
      <w:r w:rsidRPr="00CC790D">
        <w:rPr>
          <w:rFonts w:ascii="Verdana" w:hAnsi="Verdana"/>
          <w:sz w:val="20"/>
          <w:szCs w:val="20"/>
          <w:lang w:val="es-ES"/>
        </w:rPr>
        <w:t xml:space="preserve"> 4.7</w:t>
      </w:r>
      <w:r w:rsidRPr="00CC790D" w:rsidR="00A03EEF">
        <w:rPr>
          <w:rFonts w:ascii="Verdana" w:hAnsi="Verdana"/>
          <w:sz w:val="20"/>
          <w:szCs w:val="20"/>
          <w:lang w:val="es-ES"/>
        </w:rPr>
        <w:t>7</w:t>
      </w:r>
      <w:r w:rsidRPr="00CC790D">
        <w:rPr>
          <w:rFonts w:ascii="Verdana" w:hAnsi="Verdana"/>
          <w:sz w:val="20"/>
          <w:szCs w:val="20"/>
          <w:lang w:val="es-ES"/>
        </w:rPr>
        <w:t xml:space="preserve"> millones de empresas, de las cuales 4.5</w:t>
      </w:r>
      <w:r w:rsidRPr="00CC790D" w:rsidR="00A03EEF">
        <w:rPr>
          <w:rFonts w:ascii="Verdana" w:hAnsi="Verdana"/>
          <w:sz w:val="20"/>
          <w:szCs w:val="20"/>
          <w:lang w:val="es-ES"/>
        </w:rPr>
        <w:t>3</w:t>
      </w:r>
      <w:r w:rsidRPr="00CC790D">
        <w:rPr>
          <w:rFonts w:ascii="Verdana" w:hAnsi="Verdana"/>
          <w:sz w:val="20"/>
          <w:szCs w:val="20"/>
          <w:lang w:val="es-ES"/>
        </w:rPr>
        <w:t xml:space="preserve"> millones </w:t>
      </w:r>
      <w:r w:rsidR="00C3502A">
        <w:rPr>
          <w:rFonts w:ascii="Verdana" w:hAnsi="Verdana"/>
          <w:sz w:val="20"/>
          <w:szCs w:val="20"/>
          <w:lang w:val="es-ES"/>
        </w:rPr>
        <w:t>eran</w:t>
      </w:r>
      <w:r w:rsidRPr="00CC790D">
        <w:rPr>
          <w:rFonts w:ascii="Verdana" w:hAnsi="Verdana"/>
          <w:sz w:val="20"/>
          <w:szCs w:val="20"/>
          <w:lang w:val="es-ES"/>
        </w:rPr>
        <w:t xml:space="preserve"> microempresas, 188 mil pequeñas, 39 mil medianas y las restantes 10 mil empresas grandes. </w:t>
      </w:r>
    </w:p>
    <w:p w:rsidRPr="00CC790D" w:rsidR="00EA1D4E" w:rsidP="00135701" w:rsidRDefault="00041CF3" w14:paraId="5E54161B" w14:textId="06E7D06F">
      <w:pPr>
        <w:rPr>
          <w:rFonts w:ascii="Verdana" w:hAnsi="Verdana"/>
          <w:sz w:val="20"/>
          <w:szCs w:val="20"/>
          <w:lang w:val="es-ES"/>
        </w:rPr>
      </w:pPr>
      <w:r w:rsidRPr="00CC790D">
        <w:rPr>
          <w:rFonts w:ascii="Verdana" w:hAnsi="Verdana"/>
          <w:sz w:val="20"/>
          <w:szCs w:val="20"/>
          <w:lang w:val="es-ES"/>
        </w:rPr>
        <w:t xml:space="preserve">El universo de MIPYME del país asciende a </w:t>
      </w:r>
      <w:r w:rsidR="00E83D0E">
        <w:rPr>
          <w:rFonts w:ascii="Verdana" w:hAnsi="Verdana"/>
          <w:sz w:val="20"/>
          <w:szCs w:val="20"/>
          <w:lang w:val="es-ES"/>
        </w:rPr>
        <w:t xml:space="preserve">aproximadamente </w:t>
      </w:r>
      <w:r w:rsidRPr="00CC790D" w:rsidR="00007782">
        <w:rPr>
          <w:rFonts w:ascii="Verdana" w:hAnsi="Verdana"/>
          <w:sz w:val="20"/>
          <w:szCs w:val="20"/>
          <w:lang w:val="es-ES"/>
        </w:rPr>
        <w:t>4</w:t>
      </w:r>
      <w:r w:rsidR="00E83D0E">
        <w:rPr>
          <w:rFonts w:ascii="Verdana" w:hAnsi="Verdana"/>
          <w:sz w:val="20"/>
          <w:szCs w:val="20"/>
          <w:lang w:val="es-ES"/>
        </w:rPr>
        <w:t>.8 millones</w:t>
      </w:r>
      <w:r w:rsidRPr="00CC790D" w:rsidR="00007782">
        <w:rPr>
          <w:rFonts w:ascii="Verdana" w:hAnsi="Verdana"/>
          <w:sz w:val="20"/>
          <w:szCs w:val="20"/>
          <w:lang w:val="es-ES"/>
        </w:rPr>
        <w:t xml:space="preserve"> </w:t>
      </w:r>
      <w:r w:rsidRPr="00CC790D">
        <w:rPr>
          <w:rFonts w:ascii="Verdana" w:hAnsi="Verdana"/>
          <w:sz w:val="20"/>
          <w:szCs w:val="20"/>
          <w:lang w:val="es-ES"/>
        </w:rPr>
        <w:t>y</w:t>
      </w:r>
      <w:r w:rsidRPr="00CC790D" w:rsidR="00007782">
        <w:rPr>
          <w:rFonts w:ascii="Verdana" w:hAnsi="Verdana"/>
          <w:sz w:val="20"/>
          <w:szCs w:val="20"/>
          <w:lang w:val="es-ES"/>
        </w:rPr>
        <w:t xml:space="preserve"> </w:t>
      </w:r>
      <w:r w:rsidRPr="00CC790D" w:rsidR="00D8492E">
        <w:rPr>
          <w:rFonts w:ascii="Verdana" w:hAnsi="Verdana"/>
          <w:sz w:val="20"/>
          <w:szCs w:val="20"/>
          <w:lang w:val="es-ES"/>
        </w:rPr>
        <w:t>representan el 99.8% de las unidades económicas del país</w:t>
      </w:r>
      <w:r w:rsidRPr="00CC790D" w:rsidR="00C2431A">
        <w:rPr>
          <w:rFonts w:ascii="Verdana" w:hAnsi="Verdana"/>
          <w:sz w:val="20"/>
          <w:szCs w:val="20"/>
          <w:lang w:val="es-ES"/>
        </w:rPr>
        <w:t xml:space="preserve">. </w:t>
      </w:r>
      <w:r w:rsidRPr="00CC790D" w:rsidR="00660A3C">
        <w:rPr>
          <w:rFonts w:ascii="Verdana" w:hAnsi="Verdana"/>
          <w:sz w:val="20"/>
          <w:szCs w:val="20"/>
          <w:lang w:val="es-ES"/>
        </w:rPr>
        <w:t>Además</w:t>
      </w:r>
      <w:r w:rsidRPr="00CC790D" w:rsidR="000F12F6">
        <w:rPr>
          <w:rFonts w:ascii="Verdana" w:hAnsi="Verdana"/>
          <w:sz w:val="20"/>
          <w:szCs w:val="20"/>
          <w:lang w:val="es-ES"/>
        </w:rPr>
        <w:t>,</w:t>
      </w:r>
      <w:r w:rsidRPr="00CC790D" w:rsidR="00660A3C">
        <w:rPr>
          <w:rFonts w:ascii="Verdana" w:hAnsi="Verdana"/>
          <w:sz w:val="20"/>
          <w:szCs w:val="20"/>
          <w:lang w:val="es-ES"/>
        </w:rPr>
        <w:t xml:space="preserve"> </w:t>
      </w:r>
      <w:r w:rsidRPr="00CC790D">
        <w:rPr>
          <w:rFonts w:ascii="Verdana" w:hAnsi="Verdana"/>
          <w:sz w:val="20"/>
          <w:szCs w:val="20"/>
          <w:lang w:val="es-ES"/>
        </w:rPr>
        <w:t xml:space="preserve">éstas </w:t>
      </w:r>
      <w:r w:rsidRPr="00CC790D" w:rsidR="00EA1D4E">
        <w:rPr>
          <w:rFonts w:ascii="Verdana" w:hAnsi="Verdana"/>
          <w:sz w:val="20"/>
          <w:szCs w:val="20"/>
          <w:lang w:val="es-ES"/>
        </w:rPr>
        <w:t>son una fuente importante de trabajo, ya que emplean a</w:t>
      </w:r>
      <w:r w:rsidRPr="00CC790D" w:rsidR="00660A3C">
        <w:rPr>
          <w:rFonts w:ascii="Verdana" w:hAnsi="Verdana"/>
          <w:sz w:val="20"/>
          <w:szCs w:val="20"/>
          <w:lang w:val="es-ES"/>
        </w:rPr>
        <w:t xml:space="preserve"> 18.1 millones de personas, que representan el 68.4% del personal ocupado</w:t>
      </w:r>
      <w:r w:rsidRPr="00CC790D" w:rsidR="00D8492E">
        <w:rPr>
          <w:rFonts w:ascii="Verdana" w:hAnsi="Verdana"/>
          <w:sz w:val="20"/>
          <w:szCs w:val="20"/>
          <w:lang w:val="es-ES"/>
        </w:rPr>
        <w:t xml:space="preserve"> total</w:t>
      </w:r>
      <w:r w:rsidRPr="00CC790D" w:rsidR="001D56E5">
        <w:rPr>
          <w:rFonts w:ascii="Verdana" w:hAnsi="Verdana"/>
          <w:sz w:val="20"/>
          <w:szCs w:val="20"/>
          <w:lang w:val="es-ES"/>
        </w:rPr>
        <w:t>.</w:t>
      </w:r>
    </w:p>
    <w:p w:rsidRPr="00CC790D" w:rsidR="00660A3C" w:rsidP="00135701" w:rsidRDefault="00AB7540" w14:paraId="6591DDB4" w14:textId="610BD035">
      <w:pPr>
        <w:rPr>
          <w:rFonts w:ascii="Verdana" w:hAnsi="Verdana"/>
          <w:sz w:val="20"/>
          <w:szCs w:val="20"/>
          <w:lang w:val="es-ES"/>
        </w:rPr>
      </w:pPr>
      <w:r w:rsidRPr="00CC790D">
        <w:rPr>
          <w:rFonts w:ascii="Verdana" w:hAnsi="Verdana"/>
          <w:sz w:val="20"/>
          <w:szCs w:val="20"/>
          <w:lang w:val="es-ES"/>
        </w:rPr>
        <w:t>Por fuente de empleo</w:t>
      </w:r>
      <w:r w:rsidRPr="00CC790D" w:rsidR="00EA1D4E">
        <w:rPr>
          <w:rFonts w:ascii="Verdana" w:hAnsi="Verdana"/>
          <w:sz w:val="20"/>
          <w:szCs w:val="20"/>
          <w:lang w:val="es-ES"/>
        </w:rPr>
        <w:t>, las micro son las que más contribuyen al ocupar a 10 millones de trabajadores, seguido de las empresas grandes con 8.3 millones, las medianas con 4.2 millones y las pequeñas con 3.9 millones.</w:t>
      </w:r>
    </w:p>
    <w:p w:rsidRPr="00CC790D" w:rsidR="00041CF3" w:rsidP="00135701" w:rsidRDefault="00041CF3" w14:paraId="172D09D4" w14:textId="5287A586">
      <w:pPr>
        <w:rPr>
          <w:rFonts w:ascii="Verdana" w:hAnsi="Verdana"/>
          <w:sz w:val="20"/>
          <w:szCs w:val="20"/>
          <w:lang w:val="es-ES"/>
        </w:rPr>
      </w:pPr>
      <w:r w:rsidRPr="00CC790D">
        <w:rPr>
          <w:rFonts w:ascii="Verdana" w:hAnsi="Verdana"/>
          <w:sz w:val="20"/>
          <w:szCs w:val="20"/>
          <w:lang w:val="es-ES"/>
        </w:rPr>
        <w:t>Como puede observarse las MIPYME son un elemento fundamental para el desarrollo económico de México</w:t>
      </w:r>
    </w:p>
    <w:p w:rsidRPr="00CC790D" w:rsidR="002E403C" w:rsidP="002E403C" w:rsidRDefault="002E403C" w14:paraId="0CE15AB4" w14:textId="18DE29FA">
      <w:pPr>
        <w:jc w:val="center"/>
        <w:rPr>
          <w:rFonts w:ascii="Verdana" w:hAnsi="Verdana"/>
          <w:b/>
          <w:bCs/>
          <w:sz w:val="20"/>
          <w:szCs w:val="20"/>
          <w:lang w:val="es-ES"/>
        </w:rPr>
      </w:pPr>
      <w:r w:rsidRPr="00CC790D">
        <w:rPr>
          <w:rFonts w:ascii="Verdana" w:hAnsi="Verdana"/>
          <w:b/>
          <w:bCs/>
          <w:sz w:val="20"/>
          <w:szCs w:val="20"/>
          <w:lang w:val="es-ES"/>
        </w:rPr>
        <w:t>Cuadro 3. Caracterización de las unidades económicas por tamaño de empresa</w:t>
      </w:r>
      <w:r w:rsidR="00C3502A">
        <w:rPr>
          <w:rFonts w:ascii="Verdana" w:hAnsi="Verdana"/>
          <w:b/>
          <w:bCs/>
          <w:sz w:val="20"/>
          <w:szCs w:val="20"/>
          <w:lang w:val="es-ES"/>
        </w:rPr>
        <w:t xml:space="preserve"> (2018)</w:t>
      </w:r>
    </w:p>
    <w:tbl>
      <w:tblPr>
        <w:tblW w:w="5700" w:type="dxa"/>
        <w:jc w:val="center"/>
        <w:tblCellMar>
          <w:left w:w="70" w:type="dxa"/>
          <w:right w:w="70" w:type="dxa"/>
        </w:tblCellMar>
        <w:tblLook w:val="04A0" w:firstRow="1" w:lastRow="0" w:firstColumn="1" w:lastColumn="0" w:noHBand="0" w:noVBand="1"/>
      </w:tblPr>
      <w:tblGrid>
        <w:gridCol w:w="1386"/>
        <w:gridCol w:w="1200"/>
        <w:gridCol w:w="964"/>
        <w:gridCol w:w="1303"/>
        <w:gridCol w:w="847"/>
      </w:tblGrid>
      <w:tr w:rsidRPr="00CC790D" w:rsidR="00C2431A" w:rsidTr="002E403C" w14:paraId="03EFFB20" w14:textId="77777777">
        <w:trPr>
          <w:trHeight w:val="300"/>
          <w:jc w:val="center"/>
        </w:trPr>
        <w:tc>
          <w:tcPr>
            <w:tcW w:w="1386" w:type="dxa"/>
            <w:vMerge w:val="restart"/>
            <w:tcBorders>
              <w:top w:val="single" w:color="auto" w:sz="4" w:space="0"/>
              <w:left w:val="single" w:color="auto" w:sz="4" w:space="0"/>
              <w:bottom w:val="single" w:color="auto" w:sz="4" w:space="0"/>
              <w:right w:val="single" w:color="auto" w:sz="4" w:space="0"/>
            </w:tcBorders>
            <w:shd w:val="clear" w:color="000000" w:fill="333F4F"/>
            <w:vAlign w:val="center"/>
            <w:hideMark/>
          </w:tcPr>
          <w:p w:rsidRPr="00CC790D" w:rsidR="00C2431A" w:rsidP="00C2431A" w:rsidRDefault="00C2431A" w14:paraId="2692456E"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Tamaño de empresa</w:t>
            </w:r>
          </w:p>
        </w:tc>
        <w:tc>
          <w:tcPr>
            <w:tcW w:w="2164" w:type="dxa"/>
            <w:gridSpan w:val="2"/>
            <w:tcBorders>
              <w:top w:val="single" w:color="auto" w:sz="4" w:space="0"/>
              <w:left w:val="nil"/>
              <w:bottom w:val="single" w:color="auto" w:sz="4" w:space="0"/>
              <w:right w:val="single" w:color="auto" w:sz="4" w:space="0"/>
            </w:tcBorders>
            <w:shd w:val="clear" w:color="000000" w:fill="333F4F"/>
            <w:vAlign w:val="center"/>
            <w:hideMark/>
          </w:tcPr>
          <w:p w:rsidRPr="00CC790D" w:rsidR="00C2431A" w:rsidP="00C2431A" w:rsidRDefault="00C2431A" w14:paraId="547E5BA2"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Unidades económicas</w:t>
            </w:r>
          </w:p>
        </w:tc>
        <w:tc>
          <w:tcPr>
            <w:tcW w:w="2150" w:type="dxa"/>
            <w:gridSpan w:val="2"/>
            <w:tcBorders>
              <w:top w:val="single" w:color="auto" w:sz="4" w:space="0"/>
              <w:left w:val="nil"/>
              <w:bottom w:val="single" w:color="auto" w:sz="4" w:space="0"/>
              <w:right w:val="single" w:color="auto" w:sz="4" w:space="0"/>
            </w:tcBorders>
            <w:shd w:val="clear" w:color="000000" w:fill="333F4F"/>
            <w:vAlign w:val="center"/>
            <w:hideMark/>
          </w:tcPr>
          <w:p w:rsidRPr="00CC790D" w:rsidR="00C2431A" w:rsidP="00C2431A" w:rsidRDefault="00C2431A" w14:paraId="0E8E4B6B"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Personal ocupado</w:t>
            </w:r>
          </w:p>
        </w:tc>
      </w:tr>
      <w:tr w:rsidRPr="00CC790D" w:rsidR="00C2431A" w:rsidTr="002E403C" w14:paraId="1A79A37A" w14:textId="77777777">
        <w:trPr>
          <w:trHeight w:val="300"/>
          <w:jc w:val="center"/>
        </w:trPr>
        <w:tc>
          <w:tcPr>
            <w:tcW w:w="1386" w:type="dxa"/>
            <w:vMerge/>
            <w:tcBorders>
              <w:top w:val="single" w:color="auto" w:sz="4" w:space="0"/>
              <w:left w:val="single" w:color="auto" w:sz="4" w:space="0"/>
              <w:bottom w:val="single" w:color="auto" w:sz="4" w:space="0"/>
              <w:right w:val="single" w:color="auto" w:sz="4" w:space="0"/>
            </w:tcBorders>
            <w:vAlign w:val="center"/>
            <w:hideMark/>
          </w:tcPr>
          <w:p w:rsidRPr="00CC790D" w:rsidR="00C2431A" w:rsidP="00C2431A" w:rsidRDefault="00C2431A" w14:paraId="2881B765" w14:textId="77777777">
            <w:pPr>
              <w:spacing w:after="0" w:line="240" w:lineRule="auto"/>
              <w:rPr>
                <w:rFonts w:ascii="Verdana" w:hAnsi="Verdana" w:eastAsia="Times New Roman" w:cs="Calibri"/>
                <w:b/>
                <w:bCs/>
                <w:color w:val="FFFFFF"/>
                <w:sz w:val="20"/>
                <w:szCs w:val="20"/>
                <w:lang w:val="es-ES" w:eastAsia="es-MX"/>
              </w:rPr>
            </w:pPr>
          </w:p>
        </w:tc>
        <w:tc>
          <w:tcPr>
            <w:tcW w:w="1200" w:type="dxa"/>
            <w:tcBorders>
              <w:top w:val="nil"/>
              <w:left w:val="nil"/>
              <w:bottom w:val="single" w:color="auto" w:sz="4" w:space="0"/>
              <w:right w:val="single" w:color="auto" w:sz="4" w:space="0"/>
            </w:tcBorders>
            <w:shd w:val="clear" w:color="000000" w:fill="333F4F"/>
            <w:vAlign w:val="center"/>
            <w:hideMark/>
          </w:tcPr>
          <w:p w:rsidRPr="00CC790D" w:rsidR="00C2431A" w:rsidP="00C2431A" w:rsidRDefault="00C2431A" w14:paraId="13655D15"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Total</w:t>
            </w:r>
          </w:p>
        </w:tc>
        <w:tc>
          <w:tcPr>
            <w:tcW w:w="964" w:type="dxa"/>
            <w:tcBorders>
              <w:top w:val="nil"/>
              <w:left w:val="nil"/>
              <w:bottom w:val="single" w:color="auto" w:sz="4" w:space="0"/>
              <w:right w:val="single" w:color="auto" w:sz="4" w:space="0"/>
            </w:tcBorders>
            <w:shd w:val="clear" w:color="000000" w:fill="333F4F"/>
            <w:vAlign w:val="center"/>
            <w:hideMark/>
          </w:tcPr>
          <w:p w:rsidRPr="00CC790D" w:rsidR="00C2431A" w:rsidP="00C2431A" w:rsidRDefault="00C2431A" w14:paraId="32B0BBBB"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w:t>
            </w:r>
          </w:p>
        </w:tc>
        <w:tc>
          <w:tcPr>
            <w:tcW w:w="1303" w:type="dxa"/>
            <w:tcBorders>
              <w:top w:val="nil"/>
              <w:left w:val="nil"/>
              <w:bottom w:val="single" w:color="auto" w:sz="4" w:space="0"/>
              <w:right w:val="single" w:color="auto" w:sz="4" w:space="0"/>
            </w:tcBorders>
            <w:shd w:val="clear" w:color="000000" w:fill="333F4F"/>
            <w:vAlign w:val="center"/>
            <w:hideMark/>
          </w:tcPr>
          <w:p w:rsidRPr="00CC790D" w:rsidR="00C2431A" w:rsidP="00C2431A" w:rsidRDefault="00C2431A" w14:paraId="411ECB40"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Total</w:t>
            </w:r>
          </w:p>
        </w:tc>
        <w:tc>
          <w:tcPr>
            <w:tcW w:w="847" w:type="dxa"/>
            <w:tcBorders>
              <w:top w:val="nil"/>
              <w:left w:val="nil"/>
              <w:bottom w:val="single" w:color="auto" w:sz="4" w:space="0"/>
              <w:right w:val="single" w:color="auto" w:sz="4" w:space="0"/>
            </w:tcBorders>
            <w:shd w:val="clear" w:color="000000" w:fill="333F4F"/>
            <w:vAlign w:val="center"/>
            <w:hideMark/>
          </w:tcPr>
          <w:p w:rsidRPr="00CC790D" w:rsidR="00C2431A" w:rsidP="00C2431A" w:rsidRDefault="00C2431A" w14:paraId="556839AE"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w:t>
            </w:r>
          </w:p>
        </w:tc>
      </w:tr>
      <w:tr w:rsidRPr="00CC790D" w:rsidR="00C2431A" w:rsidTr="002E403C" w14:paraId="44A9AE73" w14:textId="77777777">
        <w:trPr>
          <w:trHeight w:val="300"/>
          <w:jc w:val="center"/>
        </w:trPr>
        <w:tc>
          <w:tcPr>
            <w:tcW w:w="1386" w:type="dxa"/>
            <w:tcBorders>
              <w:top w:val="nil"/>
              <w:left w:val="single" w:color="auto" w:sz="4" w:space="0"/>
              <w:bottom w:val="nil"/>
              <w:right w:val="single" w:color="auto" w:sz="4" w:space="0"/>
            </w:tcBorders>
            <w:shd w:val="clear" w:color="auto" w:fill="auto"/>
            <w:vAlign w:val="center"/>
            <w:hideMark/>
          </w:tcPr>
          <w:p w:rsidRPr="00CC790D" w:rsidR="00C2431A" w:rsidP="00C2431A" w:rsidRDefault="00C2431A" w14:paraId="47813BF0" w14:textId="77777777">
            <w:pPr>
              <w:spacing w:after="0" w:line="240" w:lineRule="auto"/>
              <w:rPr>
                <w:rFonts w:ascii="Verdana" w:hAnsi="Verdana" w:eastAsia="Times New Roman" w:cs="Calibri"/>
                <w:b/>
                <w:bCs/>
                <w:color w:val="000000"/>
                <w:sz w:val="20"/>
                <w:szCs w:val="20"/>
                <w:lang w:val="es-ES" w:eastAsia="es-MX"/>
              </w:rPr>
            </w:pPr>
            <w:r w:rsidRPr="00CC790D">
              <w:rPr>
                <w:rFonts w:ascii="Verdana" w:hAnsi="Verdana" w:eastAsia="Times New Roman" w:cs="Calibri"/>
                <w:b/>
                <w:bCs/>
                <w:color w:val="000000"/>
                <w:sz w:val="20"/>
                <w:szCs w:val="20"/>
                <w:lang w:val="es-ES" w:eastAsia="es-MX"/>
              </w:rPr>
              <w:t>Total</w:t>
            </w:r>
          </w:p>
        </w:tc>
        <w:tc>
          <w:tcPr>
            <w:tcW w:w="1200" w:type="dxa"/>
            <w:tcBorders>
              <w:top w:val="nil"/>
              <w:left w:val="nil"/>
              <w:bottom w:val="nil"/>
              <w:right w:val="single" w:color="auto" w:sz="4" w:space="0"/>
            </w:tcBorders>
            <w:shd w:val="clear" w:color="auto" w:fill="auto"/>
            <w:noWrap/>
            <w:vAlign w:val="center"/>
            <w:hideMark/>
          </w:tcPr>
          <w:p w:rsidRPr="00CC790D" w:rsidR="00C2431A" w:rsidP="00C2431A" w:rsidRDefault="00C2431A" w14:paraId="43E53E01"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4,773,995</w:t>
            </w:r>
          </w:p>
        </w:tc>
        <w:tc>
          <w:tcPr>
            <w:tcW w:w="964" w:type="dxa"/>
            <w:tcBorders>
              <w:top w:val="nil"/>
              <w:left w:val="nil"/>
              <w:bottom w:val="nil"/>
              <w:right w:val="single" w:color="auto" w:sz="4" w:space="0"/>
            </w:tcBorders>
            <w:shd w:val="clear" w:color="auto" w:fill="auto"/>
            <w:vAlign w:val="center"/>
            <w:hideMark/>
          </w:tcPr>
          <w:p w:rsidRPr="00CC790D" w:rsidR="00C2431A" w:rsidP="00C2431A" w:rsidRDefault="00C2431A" w14:paraId="4C8881B5" w14:textId="77777777">
            <w:pPr>
              <w:spacing w:after="0" w:line="240" w:lineRule="auto"/>
              <w:jc w:val="center"/>
              <w:rPr>
                <w:rFonts w:ascii="Verdana" w:hAnsi="Verdana" w:eastAsia="Times New Roman" w:cs="Calibri"/>
                <w:b/>
                <w:bCs/>
                <w:color w:val="000000"/>
                <w:sz w:val="20"/>
                <w:szCs w:val="20"/>
                <w:lang w:val="es-ES" w:eastAsia="es-MX"/>
              </w:rPr>
            </w:pPr>
            <w:r w:rsidRPr="00CC790D">
              <w:rPr>
                <w:rFonts w:ascii="Verdana" w:hAnsi="Verdana" w:eastAsia="Times New Roman" w:cs="Calibri"/>
                <w:b/>
                <w:bCs/>
                <w:color w:val="000000"/>
                <w:sz w:val="20"/>
                <w:szCs w:val="20"/>
                <w:lang w:val="es-ES" w:eastAsia="es-MX"/>
              </w:rPr>
              <w:t>100.0</w:t>
            </w:r>
          </w:p>
        </w:tc>
        <w:tc>
          <w:tcPr>
            <w:tcW w:w="1303" w:type="dxa"/>
            <w:tcBorders>
              <w:top w:val="nil"/>
              <w:left w:val="nil"/>
              <w:bottom w:val="nil"/>
              <w:right w:val="single" w:color="auto" w:sz="4" w:space="0"/>
            </w:tcBorders>
            <w:shd w:val="clear" w:color="auto" w:fill="auto"/>
            <w:noWrap/>
            <w:vAlign w:val="center"/>
            <w:hideMark/>
          </w:tcPr>
          <w:p w:rsidRPr="00CC790D" w:rsidR="00C2431A" w:rsidP="00C2431A" w:rsidRDefault="00C2431A" w14:paraId="2BE4D253"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26,561,457</w:t>
            </w:r>
          </w:p>
        </w:tc>
        <w:tc>
          <w:tcPr>
            <w:tcW w:w="847" w:type="dxa"/>
            <w:tcBorders>
              <w:top w:val="nil"/>
              <w:left w:val="nil"/>
              <w:bottom w:val="nil"/>
              <w:right w:val="single" w:color="auto" w:sz="4" w:space="0"/>
            </w:tcBorders>
            <w:shd w:val="clear" w:color="auto" w:fill="auto"/>
            <w:vAlign w:val="center"/>
            <w:hideMark/>
          </w:tcPr>
          <w:p w:rsidRPr="00CC790D" w:rsidR="00C2431A" w:rsidP="00C2431A" w:rsidRDefault="00C2431A" w14:paraId="04657E44" w14:textId="77777777">
            <w:pPr>
              <w:spacing w:after="0" w:line="240" w:lineRule="auto"/>
              <w:jc w:val="center"/>
              <w:rPr>
                <w:rFonts w:ascii="Verdana" w:hAnsi="Verdana" w:eastAsia="Times New Roman" w:cs="Calibri"/>
                <w:b/>
                <w:bCs/>
                <w:color w:val="000000"/>
                <w:sz w:val="20"/>
                <w:szCs w:val="20"/>
                <w:lang w:val="es-ES" w:eastAsia="es-MX"/>
              </w:rPr>
            </w:pPr>
            <w:r w:rsidRPr="00CC790D">
              <w:rPr>
                <w:rFonts w:ascii="Verdana" w:hAnsi="Verdana" w:eastAsia="Times New Roman" w:cs="Calibri"/>
                <w:b/>
                <w:bCs/>
                <w:color w:val="000000"/>
                <w:sz w:val="20"/>
                <w:szCs w:val="20"/>
                <w:lang w:val="es-ES" w:eastAsia="es-MX"/>
              </w:rPr>
              <w:t>100.0</w:t>
            </w:r>
          </w:p>
        </w:tc>
      </w:tr>
      <w:tr w:rsidRPr="00CC790D" w:rsidR="00C2431A" w:rsidTr="002E403C" w14:paraId="2275396F" w14:textId="77777777">
        <w:trPr>
          <w:trHeight w:val="300"/>
          <w:jc w:val="center"/>
        </w:trPr>
        <w:tc>
          <w:tcPr>
            <w:tcW w:w="1386" w:type="dxa"/>
            <w:tcBorders>
              <w:top w:val="nil"/>
              <w:left w:val="single" w:color="auto" w:sz="4" w:space="0"/>
              <w:bottom w:val="nil"/>
              <w:right w:val="single" w:color="auto" w:sz="4" w:space="0"/>
            </w:tcBorders>
            <w:shd w:val="clear" w:color="000000" w:fill="E2EFDA"/>
            <w:vAlign w:val="center"/>
            <w:hideMark/>
          </w:tcPr>
          <w:p w:rsidRPr="00CC790D" w:rsidR="00C2431A" w:rsidP="00C2431A" w:rsidRDefault="00C2431A" w14:paraId="3C965103" w14:textId="77777777">
            <w:pPr>
              <w:spacing w:after="0" w:line="240" w:lineRule="auto"/>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Micro</w:t>
            </w:r>
          </w:p>
        </w:tc>
        <w:tc>
          <w:tcPr>
            <w:tcW w:w="1200" w:type="dxa"/>
            <w:tcBorders>
              <w:top w:val="nil"/>
              <w:left w:val="nil"/>
              <w:bottom w:val="nil"/>
              <w:right w:val="single" w:color="auto" w:sz="4" w:space="0"/>
            </w:tcBorders>
            <w:shd w:val="clear" w:color="000000" w:fill="E2EFDA"/>
            <w:noWrap/>
            <w:vAlign w:val="center"/>
            <w:hideMark/>
          </w:tcPr>
          <w:p w:rsidRPr="00CC790D" w:rsidR="00C2431A" w:rsidP="00C2431A" w:rsidRDefault="00C2431A" w14:paraId="6DAEB4C2"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4,535,210</w:t>
            </w:r>
          </w:p>
        </w:tc>
        <w:tc>
          <w:tcPr>
            <w:tcW w:w="964" w:type="dxa"/>
            <w:tcBorders>
              <w:top w:val="nil"/>
              <w:left w:val="nil"/>
              <w:bottom w:val="nil"/>
              <w:right w:val="single" w:color="auto" w:sz="4" w:space="0"/>
            </w:tcBorders>
            <w:shd w:val="clear" w:color="000000" w:fill="E2EFDA"/>
            <w:vAlign w:val="center"/>
            <w:hideMark/>
          </w:tcPr>
          <w:p w:rsidRPr="00CC790D" w:rsidR="00C2431A" w:rsidP="00C2431A" w:rsidRDefault="00C2431A" w14:paraId="62595A0E"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95.0</w:t>
            </w:r>
          </w:p>
        </w:tc>
        <w:tc>
          <w:tcPr>
            <w:tcW w:w="1303" w:type="dxa"/>
            <w:tcBorders>
              <w:top w:val="nil"/>
              <w:left w:val="nil"/>
              <w:bottom w:val="nil"/>
              <w:right w:val="single" w:color="auto" w:sz="4" w:space="0"/>
            </w:tcBorders>
            <w:shd w:val="clear" w:color="000000" w:fill="E2EFDA"/>
            <w:noWrap/>
            <w:vAlign w:val="center"/>
            <w:hideMark/>
          </w:tcPr>
          <w:p w:rsidRPr="00CC790D" w:rsidR="00C2431A" w:rsidP="00C2431A" w:rsidRDefault="00C2431A" w14:paraId="18E0B45D"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10,034,398</w:t>
            </w:r>
          </w:p>
        </w:tc>
        <w:tc>
          <w:tcPr>
            <w:tcW w:w="847" w:type="dxa"/>
            <w:tcBorders>
              <w:top w:val="nil"/>
              <w:left w:val="nil"/>
              <w:bottom w:val="nil"/>
              <w:right w:val="single" w:color="auto" w:sz="4" w:space="0"/>
            </w:tcBorders>
            <w:shd w:val="clear" w:color="000000" w:fill="E2EFDA"/>
            <w:vAlign w:val="center"/>
            <w:hideMark/>
          </w:tcPr>
          <w:p w:rsidRPr="00CC790D" w:rsidR="00C2431A" w:rsidP="00C2431A" w:rsidRDefault="00C2431A" w14:paraId="7F740F20"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37.8</w:t>
            </w:r>
          </w:p>
        </w:tc>
      </w:tr>
      <w:tr w:rsidRPr="00CC790D" w:rsidR="00C2431A" w:rsidTr="002E403C" w14:paraId="794D0C9F" w14:textId="77777777">
        <w:trPr>
          <w:trHeight w:val="300"/>
          <w:jc w:val="center"/>
        </w:trPr>
        <w:tc>
          <w:tcPr>
            <w:tcW w:w="1386" w:type="dxa"/>
            <w:tcBorders>
              <w:top w:val="nil"/>
              <w:left w:val="single" w:color="auto" w:sz="4" w:space="0"/>
              <w:bottom w:val="nil"/>
              <w:right w:val="single" w:color="auto" w:sz="4" w:space="0"/>
            </w:tcBorders>
            <w:shd w:val="clear" w:color="auto" w:fill="auto"/>
            <w:vAlign w:val="center"/>
            <w:hideMark/>
          </w:tcPr>
          <w:p w:rsidRPr="00CC790D" w:rsidR="00C2431A" w:rsidP="00C2431A" w:rsidRDefault="00C2431A" w14:paraId="06292614" w14:textId="77777777">
            <w:pPr>
              <w:spacing w:after="0" w:line="240" w:lineRule="auto"/>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Pequeña</w:t>
            </w:r>
          </w:p>
        </w:tc>
        <w:tc>
          <w:tcPr>
            <w:tcW w:w="1200" w:type="dxa"/>
            <w:tcBorders>
              <w:top w:val="nil"/>
              <w:left w:val="nil"/>
              <w:bottom w:val="nil"/>
              <w:right w:val="single" w:color="auto" w:sz="4" w:space="0"/>
            </w:tcBorders>
            <w:shd w:val="clear" w:color="auto" w:fill="auto"/>
            <w:noWrap/>
            <w:vAlign w:val="center"/>
            <w:hideMark/>
          </w:tcPr>
          <w:p w:rsidRPr="00CC790D" w:rsidR="00C2431A" w:rsidP="00C2431A" w:rsidRDefault="00C2431A" w14:paraId="73A67D11"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188,371</w:t>
            </w:r>
          </w:p>
        </w:tc>
        <w:tc>
          <w:tcPr>
            <w:tcW w:w="964" w:type="dxa"/>
            <w:tcBorders>
              <w:top w:val="nil"/>
              <w:left w:val="nil"/>
              <w:bottom w:val="nil"/>
              <w:right w:val="single" w:color="auto" w:sz="4" w:space="0"/>
            </w:tcBorders>
            <w:shd w:val="clear" w:color="auto" w:fill="auto"/>
            <w:vAlign w:val="center"/>
            <w:hideMark/>
          </w:tcPr>
          <w:p w:rsidRPr="00CC790D" w:rsidR="00C2431A" w:rsidP="00C2431A" w:rsidRDefault="00C2431A" w14:paraId="5518F108"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3.9</w:t>
            </w:r>
          </w:p>
        </w:tc>
        <w:tc>
          <w:tcPr>
            <w:tcW w:w="1303" w:type="dxa"/>
            <w:tcBorders>
              <w:top w:val="nil"/>
              <w:left w:val="nil"/>
              <w:bottom w:val="nil"/>
              <w:right w:val="single" w:color="auto" w:sz="4" w:space="0"/>
            </w:tcBorders>
            <w:shd w:val="clear" w:color="auto" w:fill="auto"/>
            <w:noWrap/>
            <w:vAlign w:val="center"/>
            <w:hideMark/>
          </w:tcPr>
          <w:p w:rsidRPr="00CC790D" w:rsidR="00C2431A" w:rsidP="00C2431A" w:rsidRDefault="00C2431A" w14:paraId="38E3A37D"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3,912,930</w:t>
            </w:r>
          </w:p>
        </w:tc>
        <w:tc>
          <w:tcPr>
            <w:tcW w:w="847" w:type="dxa"/>
            <w:tcBorders>
              <w:top w:val="nil"/>
              <w:left w:val="nil"/>
              <w:bottom w:val="nil"/>
              <w:right w:val="single" w:color="auto" w:sz="4" w:space="0"/>
            </w:tcBorders>
            <w:shd w:val="clear" w:color="auto" w:fill="auto"/>
            <w:vAlign w:val="center"/>
            <w:hideMark/>
          </w:tcPr>
          <w:p w:rsidRPr="00CC790D" w:rsidR="00C2431A" w:rsidP="00C2431A" w:rsidRDefault="00C2431A" w14:paraId="1003B540"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14.7</w:t>
            </w:r>
          </w:p>
        </w:tc>
      </w:tr>
      <w:tr w:rsidRPr="00CC790D" w:rsidR="00C2431A" w:rsidTr="002E403C" w14:paraId="432F764C" w14:textId="77777777">
        <w:trPr>
          <w:trHeight w:val="300"/>
          <w:jc w:val="center"/>
        </w:trPr>
        <w:tc>
          <w:tcPr>
            <w:tcW w:w="1386" w:type="dxa"/>
            <w:tcBorders>
              <w:top w:val="nil"/>
              <w:left w:val="single" w:color="auto" w:sz="4" w:space="0"/>
              <w:bottom w:val="nil"/>
              <w:right w:val="single" w:color="auto" w:sz="4" w:space="0"/>
            </w:tcBorders>
            <w:shd w:val="clear" w:color="000000" w:fill="E2EFDA"/>
            <w:vAlign w:val="center"/>
            <w:hideMark/>
          </w:tcPr>
          <w:p w:rsidRPr="00CC790D" w:rsidR="00C2431A" w:rsidP="00C2431A" w:rsidRDefault="00C2431A" w14:paraId="1BEA2EB1" w14:textId="77777777">
            <w:pPr>
              <w:spacing w:after="0" w:line="240" w:lineRule="auto"/>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Mediana</w:t>
            </w:r>
          </w:p>
        </w:tc>
        <w:tc>
          <w:tcPr>
            <w:tcW w:w="1200" w:type="dxa"/>
            <w:tcBorders>
              <w:top w:val="nil"/>
              <w:left w:val="nil"/>
              <w:bottom w:val="nil"/>
              <w:right w:val="single" w:color="auto" w:sz="4" w:space="0"/>
            </w:tcBorders>
            <w:shd w:val="clear" w:color="000000" w:fill="E2EFDA"/>
            <w:noWrap/>
            <w:vAlign w:val="center"/>
            <w:hideMark/>
          </w:tcPr>
          <w:p w:rsidRPr="00CC790D" w:rsidR="00C2431A" w:rsidP="00C2431A" w:rsidRDefault="00C2431A" w14:paraId="020E0AC1"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39,614</w:t>
            </w:r>
          </w:p>
        </w:tc>
        <w:tc>
          <w:tcPr>
            <w:tcW w:w="964" w:type="dxa"/>
            <w:tcBorders>
              <w:top w:val="nil"/>
              <w:left w:val="nil"/>
              <w:bottom w:val="nil"/>
              <w:right w:val="single" w:color="auto" w:sz="4" w:space="0"/>
            </w:tcBorders>
            <w:shd w:val="clear" w:color="000000" w:fill="E2EFDA"/>
            <w:vAlign w:val="center"/>
            <w:hideMark/>
          </w:tcPr>
          <w:p w:rsidRPr="00CC790D" w:rsidR="00C2431A" w:rsidP="00C2431A" w:rsidRDefault="00C2431A" w14:paraId="6FBF4868"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0.8</w:t>
            </w:r>
          </w:p>
        </w:tc>
        <w:tc>
          <w:tcPr>
            <w:tcW w:w="1303" w:type="dxa"/>
            <w:tcBorders>
              <w:top w:val="nil"/>
              <w:left w:val="nil"/>
              <w:bottom w:val="nil"/>
              <w:right w:val="single" w:color="auto" w:sz="4" w:space="0"/>
            </w:tcBorders>
            <w:shd w:val="clear" w:color="000000" w:fill="E2EFDA"/>
            <w:noWrap/>
            <w:vAlign w:val="center"/>
            <w:hideMark/>
          </w:tcPr>
          <w:p w:rsidRPr="00CC790D" w:rsidR="00C2431A" w:rsidP="00C2431A" w:rsidRDefault="00C2431A" w14:paraId="1849A3C4"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4,216,428</w:t>
            </w:r>
          </w:p>
        </w:tc>
        <w:tc>
          <w:tcPr>
            <w:tcW w:w="847" w:type="dxa"/>
            <w:tcBorders>
              <w:top w:val="nil"/>
              <w:left w:val="nil"/>
              <w:bottom w:val="nil"/>
              <w:right w:val="single" w:color="auto" w:sz="4" w:space="0"/>
            </w:tcBorders>
            <w:shd w:val="clear" w:color="000000" w:fill="E2EFDA"/>
            <w:vAlign w:val="center"/>
            <w:hideMark/>
          </w:tcPr>
          <w:p w:rsidRPr="00CC790D" w:rsidR="00C2431A" w:rsidP="00C2431A" w:rsidRDefault="00C2431A" w14:paraId="5C1C427C"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15.9</w:t>
            </w:r>
          </w:p>
        </w:tc>
      </w:tr>
      <w:tr w:rsidRPr="00CC790D" w:rsidR="00C2431A" w:rsidTr="002E403C" w14:paraId="321E1210" w14:textId="77777777">
        <w:trPr>
          <w:trHeight w:val="300"/>
          <w:jc w:val="center"/>
        </w:trPr>
        <w:tc>
          <w:tcPr>
            <w:tcW w:w="1386" w:type="dxa"/>
            <w:tcBorders>
              <w:top w:val="nil"/>
              <w:left w:val="single" w:color="auto" w:sz="4" w:space="0"/>
              <w:bottom w:val="single" w:color="auto" w:sz="4" w:space="0"/>
              <w:right w:val="single" w:color="auto" w:sz="4" w:space="0"/>
            </w:tcBorders>
            <w:shd w:val="clear" w:color="auto" w:fill="auto"/>
            <w:vAlign w:val="center"/>
            <w:hideMark/>
          </w:tcPr>
          <w:p w:rsidRPr="00CC790D" w:rsidR="00C2431A" w:rsidP="00C2431A" w:rsidRDefault="00C2431A" w14:paraId="0EDA26FE" w14:textId="77777777">
            <w:pPr>
              <w:spacing w:after="0" w:line="240" w:lineRule="auto"/>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Grande</w:t>
            </w:r>
          </w:p>
        </w:tc>
        <w:tc>
          <w:tcPr>
            <w:tcW w:w="1200" w:type="dxa"/>
            <w:tcBorders>
              <w:top w:val="nil"/>
              <w:left w:val="nil"/>
              <w:bottom w:val="single" w:color="auto" w:sz="4" w:space="0"/>
              <w:right w:val="single" w:color="auto" w:sz="4" w:space="0"/>
            </w:tcBorders>
            <w:shd w:val="clear" w:color="auto" w:fill="auto"/>
            <w:noWrap/>
            <w:vAlign w:val="center"/>
            <w:hideMark/>
          </w:tcPr>
          <w:p w:rsidRPr="00CC790D" w:rsidR="00C2431A" w:rsidP="00C2431A" w:rsidRDefault="00C2431A" w14:paraId="62168888"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10,800</w:t>
            </w:r>
          </w:p>
        </w:tc>
        <w:tc>
          <w:tcPr>
            <w:tcW w:w="964" w:type="dxa"/>
            <w:tcBorders>
              <w:top w:val="nil"/>
              <w:left w:val="nil"/>
              <w:bottom w:val="single" w:color="auto" w:sz="4" w:space="0"/>
              <w:right w:val="single" w:color="auto" w:sz="4" w:space="0"/>
            </w:tcBorders>
            <w:shd w:val="clear" w:color="auto" w:fill="auto"/>
            <w:vAlign w:val="center"/>
            <w:hideMark/>
          </w:tcPr>
          <w:p w:rsidRPr="00CC790D" w:rsidR="00C2431A" w:rsidP="00C2431A" w:rsidRDefault="00C2431A" w14:paraId="1580B455"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0.2</w:t>
            </w:r>
          </w:p>
        </w:tc>
        <w:tc>
          <w:tcPr>
            <w:tcW w:w="1303" w:type="dxa"/>
            <w:tcBorders>
              <w:top w:val="nil"/>
              <w:left w:val="nil"/>
              <w:bottom w:val="single" w:color="auto" w:sz="4" w:space="0"/>
              <w:right w:val="single" w:color="auto" w:sz="4" w:space="0"/>
            </w:tcBorders>
            <w:shd w:val="clear" w:color="auto" w:fill="auto"/>
            <w:noWrap/>
            <w:vAlign w:val="center"/>
            <w:hideMark/>
          </w:tcPr>
          <w:p w:rsidRPr="00CC790D" w:rsidR="00C2431A" w:rsidP="00C2431A" w:rsidRDefault="00C2431A" w14:paraId="0592DC13"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8,397,701</w:t>
            </w:r>
          </w:p>
        </w:tc>
        <w:tc>
          <w:tcPr>
            <w:tcW w:w="847" w:type="dxa"/>
            <w:tcBorders>
              <w:top w:val="nil"/>
              <w:left w:val="nil"/>
              <w:bottom w:val="single" w:color="auto" w:sz="4" w:space="0"/>
              <w:right w:val="single" w:color="auto" w:sz="4" w:space="0"/>
            </w:tcBorders>
            <w:shd w:val="clear" w:color="auto" w:fill="auto"/>
            <w:vAlign w:val="center"/>
            <w:hideMark/>
          </w:tcPr>
          <w:p w:rsidRPr="00CC790D" w:rsidR="00C2431A" w:rsidP="00C2431A" w:rsidRDefault="00C2431A" w14:paraId="6E118B68"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31.6</w:t>
            </w:r>
          </w:p>
        </w:tc>
      </w:tr>
    </w:tbl>
    <w:p w:rsidRPr="00CC790D" w:rsidR="00760752" w:rsidP="002E403C" w:rsidRDefault="00760752" w14:paraId="756A44BB" w14:textId="77777777">
      <w:pPr>
        <w:ind w:left="144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INEGI.</w:t>
      </w:r>
    </w:p>
    <w:p w:rsidRPr="00CC790D" w:rsidR="00C2431A" w:rsidP="00135701" w:rsidRDefault="00C2431A" w14:paraId="73CCE61F" w14:textId="08DBC348">
      <w:pPr>
        <w:rPr>
          <w:rFonts w:ascii="Verdana" w:hAnsi="Verdana"/>
          <w:sz w:val="20"/>
          <w:szCs w:val="20"/>
          <w:lang w:val="es-ES"/>
        </w:rPr>
      </w:pPr>
    </w:p>
    <w:p w:rsidRPr="00CC790D" w:rsidR="00A03EEF" w:rsidP="002E403C" w:rsidRDefault="00A03EEF" w14:paraId="6BF58ACF" w14:textId="70DDED32">
      <w:pPr>
        <w:jc w:val="both"/>
        <w:rPr>
          <w:rFonts w:ascii="Verdana" w:hAnsi="Verdana"/>
          <w:sz w:val="20"/>
          <w:szCs w:val="20"/>
          <w:lang w:val="es-ES"/>
        </w:rPr>
      </w:pPr>
      <w:r w:rsidRPr="00CC790D">
        <w:rPr>
          <w:rFonts w:ascii="Verdana" w:hAnsi="Verdana"/>
          <w:sz w:val="20"/>
          <w:szCs w:val="20"/>
          <w:lang w:val="es-ES"/>
        </w:rPr>
        <w:t>A nivel</w:t>
      </w:r>
      <w:r w:rsidRPr="00CC790D" w:rsidR="00765872">
        <w:rPr>
          <w:rFonts w:ascii="Verdana" w:hAnsi="Verdana"/>
          <w:sz w:val="20"/>
          <w:szCs w:val="20"/>
          <w:lang w:val="es-ES"/>
        </w:rPr>
        <w:t xml:space="preserve"> de grandes sectores</w:t>
      </w:r>
      <w:r w:rsidRPr="00CC790D">
        <w:rPr>
          <w:rFonts w:ascii="Verdana" w:hAnsi="Verdana"/>
          <w:sz w:val="20"/>
          <w:szCs w:val="20"/>
          <w:lang w:val="es-ES"/>
        </w:rPr>
        <w:t xml:space="preserve">, se observa </w:t>
      </w:r>
      <w:r w:rsidRPr="00CC790D" w:rsidR="005A45AB">
        <w:rPr>
          <w:rFonts w:ascii="Verdana" w:hAnsi="Verdana"/>
          <w:sz w:val="20"/>
          <w:szCs w:val="20"/>
          <w:lang w:val="es-ES"/>
        </w:rPr>
        <w:t xml:space="preserve">que </w:t>
      </w:r>
      <w:r w:rsidRPr="00CC790D">
        <w:rPr>
          <w:rFonts w:ascii="Verdana" w:hAnsi="Verdana"/>
          <w:sz w:val="20"/>
          <w:szCs w:val="20"/>
          <w:lang w:val="es-ES"/>
        </w:rPr>
        <w:t xml:space="preserve">cerca de la mitad (46.7%) de las MIPYME se </w:t>
      </w:r>
      <w:r w:rsidRPr="00CC790D" w:rsidR="009164ED">
        <w:rPr>
          <w:rFonts w:ascii="Verdana" w:hAnsi="Verdana"/>
          <w:sz w:val="20"/>
          <w:szCs w:val="20"/>
          <w:lang w:val="es-ES"/>
        </w:rPr>
        <w:t xml:space="preserve">agrupan en el sector </w:t>
      </w:r>
      <w:r w:rsidR="00E83D0E">
        <w:rPr>
          <w:rFonts w:ascii="Verdana" w:hAnsi="Verdana"/>
          <w:sz w:val="20"/>
          <w:szCs w:val="20"/>
          <w:lang w:val="es-ES"/>
        </w:rPr>
        <w:t>c</w:t>
      </w:r>
      <w:r w:rsidRPr="00CC790D" w:rsidR="009164ED">
        <w:rPr>
          <w:rFonts w:ascii="Verdana" w:hAnsi="Verdana"/>
          <w:sz w:val="20"/>
          <w:szCs w:val="20"/>
          <w:lang w:val="es-ES"/>
        </w:rPr>
        <w:t xml:space="preserve">omercio, con </w:t>
      </w:r>
      <w:r w:rsidR="00C3502A">
        <w:rPr>
          <w:rFonts w:ascii="Verdana" w:hAnsi="Verdana"/>
          <w:sz w:val="20"/>
          <w:szCs w:val="20"/>
          <w:lang w:val="es-ES"/>
        </w:rPr>
        <w:t>poco más</w:t>
      </w:r>
      <w:r w:rsidRPr="00CC790D" w:rsidR="009164ED">
        <w:rPr>
          <w:rFonts w:ascii="Verdana" w:hAnsi="Verdana"/>
          <w:sz w:val="20"/>
          <w:szCs w:val="20"/>
          <w:lang w:val="es-ES"/>
        </w:rPr>
        <w:t xml:space="preserve"> de 2</w:t>
      </w:r>
      <w:r w:rsidR="00C3502A">
        <w:rPr>
          <w:rFonts w:ascii="Verdana" w:hAnsi="Verdana"/>
          <w:sz w:val="20"/>
          <w:szCs w:val="20"/>
          <w:lang w:val="es-ES"/>
        </w:rPr>
        <w:t>.2 millones de</w:t>
      </w:r>
      <w:r w:rsidRPr="00CC790D" w:rsidR="009164ED">
        <w:rPr>
          <w:rFonts w:ascii="Verdana" w:hAnsi="Verdana"/>
          <w:sz w:val="20"/>
          <w:szCs w:val="20"/>
          <w:lang w:val="es-ES"/>
        </w:rPr>
        <w:t xml:space="preserve"> unidades económicas</w:t>
      </w:r>
      <w:r w:rsidRPr="00CC790D" w:rsidR="00784666">
        <w:rPr>
          <w:rFonts w:ascii="Verdana" w:hAnsi="Verdana"/>
          <w:sz w:val="20"/>
          <w:szCs w:val="20"/>
          <w:lang w:val="es-ES"/>
        </w:rPr>
        <w:t>; l</w:t>
      </w:r>
      <w:r w:rsidRPr="00CC790D" w:rsidR="005A45AB">
        <w:rPr>
          <w:rFonts w:ascii="Verdana" w:hAnsi="Verdana"/>
          <w:sz w:val="20"/>
          <w:szCs w:val="20"/>
          <w:lang w:val="es-ES"/>
        </w:rPr>
        <w:t>os</w:t>
      </w:r>
      <w:r w:rsidRPr="00CC790D" w:rsidR="009164ED">
        <w:rPr>
          <w:rFonts w:ascii="Verdana" w:hAnsi="Verdana"/>
          <w:sz w:val="20"/>
          <w:szCs w:val="20"/>
          <w:lang w:val="es-ES"/>
        </w:rPr>
        <w:t xml:space="preserve"> servicios privados no financieros</w:t>
      </w:r>
      <w:r w:rsidRPr="00CC790D" w:rsidR="00784666">
        <w:rPr>
          <w:rFonts w:ascii="Verdana" w:hAnsi="Verdana"/>
          <w:sz w:val="20"/>
          <w:szCs w:val="20"/>
          <w:lang w:val="es-ES"/>
        </w:rPr>
        <w:t xml:space="preserve"> contienen el 39.2% con </w:t>
      </w:r>
      <w:r w:rsidR="00E83D0E">
        <w:rPr>
          <w:rFonts w:ascii="Verdana" w:hAnsi="Verdana"/>
          <w:sz w:val="20"/>
          <w:szCs w:val="20"/>
          <w:lang w:val="es-ES"/>
        </w:rPr>
        <w:t>alrededor de 1.87 millones de</w:t>
      </w:r>
      <w:r w:rsidRPr="00CC790D" w:rsidR="005A45AB">
        <w:rPr>
          <w:rFonts w:ascii="Verdana" w:hAnsi="Verdana"/>
          <w:sz w:val="20"/>
          <w:szCs w:val="20"/>
          <w:lang w:val="es-ES"/>
        </w:rPr>
        <w:t xml:space="preserve"> unidades económicas</w:t>
      </w:r>
      <w:r w:rsidRPr="00CC790D" w:rsidR="00784666">
        <w:rPr>
          <w:rFonts w:ascii="Verdana" w:hAnsi="Verdana"/>
          <w:sz w:val="20"/>
          <w:szCs w:val="20"/>
          <w:lang w:val="es-ES"/>
        </w:rPr>
        <w:t>; las manufacturas el 12.1% con 577</w:t>
      </w:r>
      <w:r w:rsidR="00C3502A">
        <w:rPr>
          <w:rFonts w:ascii="Verdana" w:hAnsi="Verdana"/>
          <w:sz w:val="20"/>
          <w:szCs w:val="20"/>
          <w:lang w:val="es-ES"/>
        </w:rPr>
        <w:t>.</w:t>
      </w:r>
      <w:r w:rsidRPr="00CC790D" w:rsidR="00784666">
        <w:rPr>
          <w:rFonts w:ascii="Verdana" w:hAnsi="Verdana"/>
          <w:sz w:val="20"/>
          <w:szCs w:val="20"/>
          <w:lang w:val="es-ES"/>
        </w:rPr>
        <w:t>2</w:t>
      </w:r>
      <w:r w:rsidR="00C3502A">
        <w:rPr>
          <w:rFonts w:ascii="Verdana" w:hAnsi="Verdana"/>
          <w:sz w:val="20"/>
          <w:szCs w:val="20"/>
          <w:lang w:val="es-ES"/>
        </w:rPr>
        <w:t xml:space="preserve"> miles de</w:t>
      </w:r>
      <w:r w:rsidRPr="00CC790D" w:rsidR="00784666">
        <w:rPr>
          <w:rFonts w:ascii="Verdana" w:hAnsi="Verdana"/>
          <w:sz w:val="20"/>
          <w:szCs w:val="20"/>
          <w:lang w:val="es-ES"/>
        </w:rPr>
        <w:t xml:space="preserve"> unidades económicas; mientas que el resto de las actividades económicas agrupan apenas al 2.0% de las MIPYMES con 94</w:t>
      </w:r>
      <w:r w:rsidR="00C3502A">
        <w:rPr>
          <w:rFonts w:ascii="Verdana" w:hAnsi="Verdana"/>
          <w:sz w:val="20"/>
          <w:szCs w:val="20"/>
          <w:lang w:val="es-ES"/>
        </w:rPr>
        <w:t xml:space="preserve"> mil</w:t>
      </w:r>
      <w:r w:rsidRPr="00CC790D" w:rsidR="00784666">
        <w:rPr>
          <w:rFonts w:ascii="Verdana" w:hAnsi="Verdana"/>
          <w:sz w:val="20"/>
          <w:szCs w:val="20"/>
          <w:lang w:val="es-ES"/>
        </w:rPr>
        <w:t xml:space="preserve"> unidades económicas.</w:t>
      </w:r>
    </w:p>
    <w:p w:rsidR="00C3502A" w:rsidP="002E403C" w:rsidRDefault="00A03EEF" w14:paraId="7E872595" w14:textId="50602FF5">
      <w:pPr>
        <w:jc w:val="both"/>
        <w:rPr>
          <w:rFonts w:ascii="Verdana" w:hAnsi="Verdana"/>
          <w:sz w:val="20"/>
          <w:szCs w:val="20"/>
          <w:lang w:val="es-ES"/>
        </w:rPr>
      </w:pPr>
      <w:r w:rsidRPr="00CC790D">
        <w:rPr>
          <w:rFonts w:ascii="Verdana" w:hAnsi="Verdana"/>
          <w:sz w:val="20"/>
          <w:szCs w:val="20"/>
          <w:lang w:val="es-ES"/>
        </w:rPr>
        <w:t xml:space="preserve">Sin embargo, en términos de personal ocupado, </w:t>
      </w:r>
      <w:r w:rsidRPr="00CC790D" w:rsidR="00784666">
        <w:rPr>
          <w:rFonts w:ascii="Verdana" w:hAnsi="Verdana"/>
          <w:sz w:val="20"/>
          <w:szCs w:val="20"/>
          <w:lang w:val="es-ES"/>
        </w:rPr>
        <w:t xml:space="preserve">las MIPYME dedicadas a </w:t>
      </w:r>
      <w:r w:rsidRPr="00CC790D">
        <w:rPr>
          <w:rFonts w:ascii="Verdana" w:hAnsi="Verdana"/>
          <w:sz w:val="20"/>
          <w:szCs w:val="20"/>
          <w:lang w:val="es-ES"/>
        </w:rPr>
        <w:t>los servicios privados no financieros son l</w:t>
      </w:r>
      <w:r w:rsidRPr="00CC790D" w:rsidR="00784666">
        <w:rPr>
          <w:rFonts w:ascii="Verdana" w:hAnsi="Verdana"/>
          <w:sz w:val="20"/>
          <w:szCs w:val="20"/>
          <w:lang w:val="es-ES"/>
        </w:rPr>
        <w:t>a</w:t>
      </w:r>
      <w:r w:rsidRPr="00CC790D">
        <w:rPr>
          <w:rFonts w:ascii="Verdana" w:hAnsi="Verdana"/>
          <w:sz w:val="20"/>
          <w:szCs w:val="20"/>
          <w:lang w:val="es-ES"/>
        </w:rPr>
        <w:t>s que emplean a un mayor número de personas</w:t>
      </w:r>
      <w:r w:rsidRPr="00CC790D" w:rsidR="00784666">
        <w:rPr>
          <w:rFonts w:ascii="Verdana" w:hAnsi="Verdana"/>
          <w:sz w:val="20"/>
          <w:szCs w:val="20"/>
          <w:lang w:val="es-ES"/>
        </w:rPr>
        <w:t xml:space="preserve"> al ofrecer 7.1 millones de puestos de trabajo (39.3%)</w:t>
      </w:r>
      <w:r w:rsidRPr="00CC790D">
        <w:rPr>
          <w:rFonts w:ascii="Verdana" w:hAnsi="Verdana"/>
          <w:sz w:val="20"/>
          <w:szCs w:val="20"/>
          <w:lang w:val="es-ES"/>
        </w:rPr>
        <w:t xml:space="preserve">, </w:t>
      </w:r>
      <w:r w:rsidRPr="00CC790D" w:rsidR="00784666">
        <w:rPr>
          <w:rFonts w:ascii="Verdana" w:hAnsi="Verdana"/>
          <w:sz w:val="20"/>
          <w:szCs w:val="20"/>
          <w:lang w:val="es-ES"/>
        </w:rPr>
        <w:t>le siguen las d</w:t>
      </w:r>
      <w:r w:rsidRPr="00CC790D">
        <w:rPr>
          <w:rFonts w:ascii="Verdana" w:hAnsi="Verdana"/>
          <w:sz w:val="20"/>
          <w:szCs w:val="20"/>
          <w:lang w:val="es-ES"/>
        </w:rPr>
        <w:t>el Comercio</w:t>
      </w:r>
      <w:r w:rsidRPr="00CC790D" w:rsidR="00784666">
        <w:rPr>
          <w:rFonts w:ascii="Verdana" w:hAnsi="Verdana"/>
          <w:sz w:val="20"/>
          <w:szCs w:val="20"/>
          <w:lang w:val="es-ES"/>
        </w:rPr>
        <w:t xml:space="preserve"> con 6.8 millones de empleos (37.9%), </w:t>
      </w:r>
      <w:r w:rsidRPr="00CC790D">
        <w:rPr>
          <w:rFonts w:ascii="Verdana" w:hAnsi="Verdana"/>
          <w:sz w:val="20"/>
          <w:szCs w:val="20"/>
          <w:lang w:val="es-ES"/>
        </w:rPr>
        <w:t xml:space="preserve">las </w:t>
      </w:r>
      <w:r w:rsidRPr="00CC790D" w:rsidR="00784666">
        <w:rPr>
          <w:rFonts w:ascii="Verdana" w:hAnsi="Verdana"/>
          <w:sz w:val="20"/>
          <w:szCs w:val="20"/>
          <w:lang w:val="es-ES"/>
        </w:rPr>
        <w:t>manufactureras con 2.7 millones (15.2</w:t>
      </w:r>
      <w:r w:rsidRPr="00CC790D">
        <w:rPr>
          <w:rFonts w:ascii="Verdana" w:hAnsi="Verdana"/>
          <w:sz w:val="20"/>
          <w:szCs w:val="20"/>
          <w:lang w:val="es-ES"/>
        </w:rPr>
        <w:t>%</w:t>
      </w:r>
      <w:r w:rsidRPr="00CC790D" w:rsidR="00784666">
        <w:rPr>
          <w:rFonts w:ascii="Verdana" w:hAnsi="Verdana"/>
          <w:sz w:val="20"/>
          <w:szCs w:val="20"/>
          <w:lang w:val="es-ES"/>
        </w:rPr>
        <w:t>)</w:t>
      </w:r>
      <w:r w:rsidRPr="00CC790D">
        <w:rPr>
          <w:rFonts w:ascii="Verdana" w:hAnsi="Verdana"/>
          <w:sz w:val="20"/>
          <w:szCs w:val="20"/>
          <w:lang w:val="es-ES"/>
        </w:rPr>
        <w:t>, mientras que</w:t>
      </w:r>
      <w:r w:rsidRPr="00CC790D" w:rsidR="00784666">
        <w:rPr>
          <w:rFonts w:ascii="Verdana" w:hAnsi="Verdana"/>
          <w:sz w:val="20"/>
          <w:szCs w:val="20"/>
          <w:lang w:val="es-ES"/>
        </w:rPr>
        <w:t xml:space="preserve"> el personal ocupado en</w:t>
      </w:r>
      <w:r w:rsidRPr="00CC790D">
        <w:rPr>
          <w:rFonts w:ascii="Verdana" w:hAnsi="Verdana"/>
          <w:sz w:val="20"/>
          <w:szCs w:val="20"/>
          <w:lang w:val="es-ES"/>
        </w:rPr>
        <w:t xml:space="preserve"> el resto de las actividades económicas</w:t>
      </w:r>
      <w:r w:rsidRPr="00CC790D" w:rsidR="00784666">
        <w:rPr>
          <w:rFonts w:ascii="Verdana" w:hAnsi="Verdana"/>
          <w:sz w:val="20"/>
          <w:szCs w:val="20"/>
          <w:lang w:val="es-ES"/>
        </w:rPr>
        <w:t xml:space="preserve"> asciende a 1.3 millones de personas</w:t>
      </w:r>
      <w:r w:rsidRPr="00CC790D">
        <w:rPr>
          <w:rFonts w:ascii="Verdana" w:hAnsi="Verdana"/>
          <w:sz w:val="20"/>
          <w:szCs w:val="20"/>
          <w:lang w:val="es-ES"/>
        </w:rPr>
        <w:t xml:space="preserve"> </w:t>
      </w:r>
      <w:r w:rsidRPr="00CC790D" w:rsidR="00784666">
        <w:rPr>
          <w:rFonts w:ascii="Verdana" w:hAnsi="Verdana"/>
          <w:sz w:val="20"/>
          <w:szCs w:val="20"/>
          <w:lang w:val="es-ES"/>
        </w:rPr>
        <w:t>(7.6</w:t>
      </w:r>
      <w:r w:rsidRPr="00CC790D">
        <w:rPr>
          <w:rFonts w:ascii="Verdana" w:hAnsi="Verdana"/>
          <w:sz w:val="20"/>
          <w:szCs w:val="20"/>
          <w:lang w:val="es-ES"/>
        </w:rPr>
        <w:t>%</w:t>
      </w:r>
      <w:r w:rsidRPr="00CC790D" w:rsidR="00784666">
        <w:rPr>
          <w:rFonts w:ascii="Verdana" w:hAnsi="Verdana"/>
          <w:sz w:val="20"/>
          <w:szCs w:val="20"/>
          <w:lang w:val="es-ES"/>
        </w:rPr>
        <w:t>)</w:t>
      </w:r>
      <w:r w:rsidRPr="00CC790D">
        <w:rPr>
          <w:rFonts w:ascii="Verdana" w:hAnsi="Verdana"/>
          <w:sz w:val="20"/>
          <w:szCs w:val="20"/>
          <w:lang w:val="es-ES"/>
        </w:rPr>
        <w:t>.</w:t>
      </w:r>
    </w:p>
    <w:p w:rsidRPr="00CC790D" w:rsidR="002E403C" w:rsidP="002E403C" w:rsidRDefault="002E403C" w14:paraId="7846839D" w14:textId="32BBEB18">
      <w:pPr>
        <w:jc w:val="center"/>
        <w:rPr>
          <w:rFonts w:ascii="Verdana" w:hAnsi="Verdana"/>
          <w:b/>
          <w:bCs/>
          <w:sz w:val="20"/>
          <w:szCs w:val="20"/>
          <w:lang w:val="es-ES"/>
        </w:rPr>
      </w:pPr>
      <w:r w:rsidRPr="00CC790D">
        <w:rPr>
          <w:rFonts w:ascii="Verdana" w:hAnsi="Verdana"/>
          <w:b/>
          <w:bCs/>
          <w:sz w:val="20"/>
          <w:szCs w:val="20"/>
          <w:lang w:val="es-ES"/>
        </w:rPr>
        <w:lastRenderedPageBreak/>
        <w:t xml:space="preserve">Cuadro </w:t>
      </w:r>
      <w:r w:rsidR="00394D0B">
        <w:rPr>
          <w:rFonts w:ascii="Verdana" w:hAnsi="Verdana"/>
          <w:b/>
          <w:bCs/>
          <w:sz w:val="20"/>
          <w:szCs w:val="20"/>
          <w:lang w:val="es-ES"/>
        </w:rPr>
        <w:t>4</w:t>
      </w:r>
      <w:r w:rsidRPr="00CC790D">
        <w:rPr>
          <w:rFonts w:ascii="Verdana" w:hAnsi="Verdana"/>
          <w:b/>
          <w:bCs/>
          <w:sz w:val="20"/>
          <w:szCs w:val="20"/>
          <w:lang w:val="es-ES"/>
        </w:rPr>
        <w:t>. Caracterización de las MIPYME por grandes sectores</w:t>
      </w:r>
      <w:r w:rsidR="00E83D0E">
        <w:rPr>
          <w:rFonts w:ascii="Verdana" w:hAnsi="Verdana"/>
          <w:b/>
          <w:bCs/>
          <w:sz w:val="20"/>
          <w:szCs w:val="20"/>
          <w:lang w:val="es-ES"/>
        </w:rPr>
        <w:t xml:space="preserve"> </w:t>
      </w:r>
      <w:r w:rsidRPr="00C3502A" w:rsidR="00E83D0E">
        <w:rPr>
          <w:rFonts w:ascii="Verdana" w:hAnsi="Verdana"/>
          <w:b/>
          <w:bCs/>
          <w:sz w:val="20"/>
          <w:szCs w:val="20"/>
          <w:lang w:val="es-ES"/>
        </w:rPr>
        <w:t>(20</w:t>
      </w:r>
      <w:r w:rsidRPr="00C3502A" w:rsidR="00C3502A">
        <w:rPr>
          <w:rFonts w:ascii="Verdana" w:hAnsi="Verdana"/>
          <w:b/>
          <w:bCs/>
          <w:sz w:val="20"/>
          <w:szCs w:val="20"/>
          <w:lang w:val="es-ES"/>
        </w:rPr>
        <w:t>18</w:t>
      </w:r>
      <w:r w:rsidRPr="00C3502A" w:rsidR="00E83D0E">
        <w:rPr>
          <w:rFonts w:ascii="Verdana" w:hAnsi="Verdana"/>
          <w:b/>
          <w:bCs/>
          <w:sz w:val="20"/>
          <w:szCs w:val="20"/>
          <w:lang w:val="es-ES"/>
        </w:rPr>
        <w:t>)</w:t>
      </w:r>
    </w:p>
    <w:tbl>
      <w:tblPr>
        <w:tblW w:w="6831" w:type="dxa"/>
        <w:jc w:val="center"/>
        <w:tblCellMar>
          <w:left w:w="70" w:type="dxa"/>
          <w:right w:w="70" w:type="dxa"/>
        </w:tblCellMar>
        <w:tblLook w:val="04A0" w:firstRow="1" w:lastRow="0" w:firstColumn="1" w:lastColumn="0" w:noHBand="0" w:noVBand="1"/>
      </w:tblPr>
      <w:tblGrid>
        <w:gridCol w:w="2359"/>
        <w:gridCol w:w="1200"/>
        <w:gridCol w:w="920"/>
        <w:gridCol w:w="1303"/>
        <w:gridCol w:w="1049"/>
      </w:tblGrid>
      <w:tr w:rsidRPr="00CC790D" w:rsidR="00E3232B" w:rsidTr="000A6306" w14:paraId="433BBEB2" w14:textId="77777777">
        <w:trPr>
          <w:trHeight w:val="300"/>
          <w:jc w:val="center"/>
        </w:trPr>
        <w:tc>
          <w:tcPr>
            <w:tcW w:w="2359" w:type="dxa"/>
            <w:vMerge w:val="restart"/>
            <w:tcBorders>
              <w:top w:val="single" w:color="auto" w:sz="4" w:space="0"/>
              <w:left w:val="single" w:color="auto" w:sz="4" w:space="0"/>
              <w:bottom w:val="single" w:color="auto" w:sz="4" w:space="0"/>
              <w:right w:val="single" w:color="auto" w:sz="4" w:space="0"/>
            </w:tcBorders>
            <w:shd w:val="clear" w:color="000000" w:fill="333F4F"/>
            <w:vAlign w:val="center"/>
            <w:hideMark/>
          </w:tcPr>
          <w:p w:rsidRPr="00CC790D" w:rsidR="00E3232B" w:rsidP="00E3232B" w:rsidRDefault="00E3232B" w14:paraId="3C1F0B18"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MIPYME</w:t>
            </w:r>
          </w:p>
        </w:tc>
        <w:tc>
          <w:tcPr>
            <w:tcW w:w="2120" w:type="dxa"/>
            <w:gridSpan w:val="2"/>
            <w:tcBorders>
              <w:top w:val="single" w:color="auto" w:sz="4" w:space="0"/>
              <w:left w:val="nil"/>
              <w:bottom w:val="single" w:color="auto" w:sz="4" w:space="0"/>
              <w:right w:val="single" w:color="auto" w:sz="4" w:space="0"/>
            </w:tcBorders>
            <w:shd w:val="clear" w:color="000000" w:fill="333F4F"/>
            <w:vAlign w:val="center"/>
            <w:hideMark/>
          </w:tcPr>
          <w:p w:rsidRPr="00CC790D" w:rsidR="00E3232B" w:rsidP="00E3232B" w:rsidRDefault="00E3232B" w14:paraId="0DF96C64"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Unidades económicas</w:t>
            </w:r>
          </w:p>
        </w:tc>
        <w:tc>
          <w:tcPr>
            <w:tcW w:w="2352" w:type="dxa"/>
            <w:gridSpan w:val="2"/>
            <w:tcBorders>
              <w:top w:val="single" w:color="auto" w:sz="4" w:space="0"/>
              <w:left w:val="nil"/>
              <w:bottom w:val="single" w:color="auto" w:sz="4" w:space="0"/>
              <w:right w:val="single" w:color="auto" w:sz="4" w:space="0"/>
            </w:tcBorders>
            <w:shd w:val="clear" w:color="000000" w:fill="333F4F"/>
            <w:vAlign w:val="center"/>
            <w:hideMark/>
          </w:tcPr>
          <w:p w:rsidRPr="00CC790D" w:rsidR="00E3232B" w:rsidP="00E3232B" w:rsidRDefault="00E3232B" w14:paraId="34BFF58C"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Personal ocupado</w:t>
            </w:r>
          </w:p>
        </w:tc>
      </w:tr>
      <w:tr w:rsidRPr="00CC790D" w:rsidR="00E3232B" w:rsidTr="000A6306" w14:paraId="58B23125" w14:textId="77777777">
        <w:trPr>
          <w:trHeight w:val="300"/>
          <w:jc w:val="center"/>
        </w:trPr>
        <w:tc>
          <w:tcPr>
            <w:tcW w:w="2359" w:type="dxa"/>
            <w:vMerge/>
            <w:tcBorders>
              <w:top w:val="single" w:color="auto" w:sz="4" w:space="0"/>
              <w:left w:val="single" w:color="auto" w:sz="4" w:space="0"/>
              <w:bottom w:val="single" w:color="auto" w:sz="4" w:space="0"/>
              <w:right w:val="single" w:color="auto" w:sz="4" w:space="0"/>
            </w:tcBorders>
            <w:vAlign w:val="center"/>
            <w:hideMark/>
          </w:tcPr>
          <w:p w:rsidRPr="00CC790D" w:rsidR="00E3232B" w:rsidP="00E3232B" w:rsidRDefault="00E3232B" w14:paraId="660F8D66" w14:textId="77777777">
            <w:pPr>
              <w:spacing w:after="0" w:line="240" w:lineRule="auto"/>
              <w:rPr>
                <w:rFonts w:ascii="Verdana" w:hAnsi="Verdana" w:eastAsia="Times New Roman" w:cs="Calibri"/>
                <w:b/>
                <w:bCs/>
                <w:color w:val="FFFFFF"/>
                <w:sz w:val="20"/>
                <w:szCs w:val="20"/>
                <w:lang w:val="es-ES" w:eastAsia="es-MX"/>
              </w:rPr>
            </w:pPr>
          </w:p>
        </w:tc>
        <w:tc>
          <w:tcPr>
            <w:tcW w:w="1200" w:type="dxa"/>
            <w:tcBorders>
              <w:top w:val="nil"/>
              <w:left w:val="nil"/>
              <w:bottom w:val="single" w:color="auto" w:sz="4" w:space="0"/>
              <w:right w:val="single" w:color="auto" w:sz="4" w:space="0"/>
            </w:tcBorders>
            <w:shd w:val="clear" w:color="000000" w:fill="333F4F"/>
            <w:vAlign w:val="center"/>
            <w:hideMark/>
          </w:tcPr>
          <w:p w:rsidRPr="00CC790D" w:rsidR="00E3232B" w:rsidP="00E3232B" w:rsidRDefault="00E3232B" w14:paraId="7DB080FB"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Total</w:t>
            </w:r>
          </w:p>
        </w:tc>
        <w:tc>
          <w:tcPr>
            <w:tcW w:w="920" w:type="dxa"/>
            <w:tcBorders>
              <w:top w:val="nil"/>
              <w:left w:val="nil"/>
              <w:bottom w:val="single" w:color="auto" w:sz="4" w:space="0"/>
              <w:right w:val="single" w:color="auto" w:sz="4" w:space="0"/>
            </w:tcBorders>
            <w:shd w:val="clear" w:color="000000" w:fill="333F4F"/>
            <w:vAlign w:val="center"/>
            <w:hideMark/>
          </w:tcPr>
          <w:p w:rsidRPr="00CC790D" w:rsidR="00E3232B" w:rsidP="00E3232B" w:rsidRDefault="00E3232B" w14:paraId="775111D8"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w:t>
            </w:r>
          </w:p>
        </w:tc>
        <w:tc>
          <w:tcPr>
            <w:tcW w:w="1303" w:type="dxa"/>
            <w:tcBorders>
              <w:top w:val="nil"/>
              <w:left w:val="nil"/>
              <w:bottom w:val="single" w:color="auto" w:sz="4" w:space="0"/>
              <w:right w:val="single" w:color="auto" w:sz="4" w:space="0"/>
            </w:tcBorders>
            <w:shd w:val="clear" w:color="000000" w:fill="333F4F"/>
            <w:vAlign w:val="center"/>
            <w:hideMark/>
          </w:tcPr>
          <w:p w:rsidRPr="00CC790D" w:rsidR="00E3232B" w:rsidP="00E3232B" w:rsidRDefault="00E3232B" w14:paraId="7C2684A0"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Total</w:t>
            </w:r>
          </w:p>
        </w:tc>
        <w:tc>
          <w:tcPr>
            <w:tcW w:w="1049" w:type="dxa"/>
            <w:tcBorders>
              <w:top w:val="nil"/>
              <w:left w:val="nil"/>
              <w:bottom w:val="single" w:color="auto" w:sz="4" w:space="0"/>
              <w:right w:val="single" w:color="auto" w:sz="4" w:space="0"/>
            </w:tcBorders>
            <w:shd w:val="clear" w:color="000000" w:fill="333F4F"/>
            <w:vAlign w:val="center"/>
            <w:hideMark/>
          </w:tcPr>
          <w:p w:rsidRPr="00CC790D" w:rsidR="00E3232B" w:rsidP="00E3232B" w:rsidRDefault="00E3232B" w14:paraId="6CBAE363" w14:textId="77777777">
            <w:pPr>
              <w:spacing w:after="0" w:line="240" w:lineRule="auto"/>
              <w:jc w:val="center"/>
              <w:rPr>
                <w:rFonts w:ascii="Verdana" w:hAnsi="Verdana" w:eastAsia="Times New Roman" w:cs="Calibri"/>
                <w:b/>
                <w:bCs/>
                <w:color w:val="FFFFFF"/>
                <w:sz w:val="20"/>
                <w:szCs w:val="20"/>
                <w:lang w:val="es-ES" w:eastAsia="es-MX"/>
              </w:rPr>
            </w:pPr>
            <w:r w:rsidRPr="00CC790D">
              <w:rPr>
                <w:rFonts w:ascii="Verdana" w:hAnsi="Verdana" w:eastAsia="Times New Roman" w:cs="Calibri"/>
                <w:b/>
                <w:bCs/>
                <w:color w:val="FFFFFF"/>
                <w:sz w:val="20"/>
                <w:szCs w:val="20"/>
                <w:lang w:val="es-ES" w:eastAsia="es-MX"/>
              </w:rPr>
              <w:t>%</w:t>
            </w:r>
          </w:p>
        </w:tc>
      </w:tr>
      <w:tr w:rsidRPr="00CC790D" w:rsidR="00E3232B" w:rsidTr="000A6306" w14:paraId="75A27479" w14:textId="77777777">
        <w:trPr>
          <w:trHeight w:val="300"/>
          <w:jc w:val="center"/>
        </w:trPr>
        <w:tc>
          <w:tcPr>
            <w:tcW w:w="2359" w:type="dxa"/>
            <w:tcBorders>
              <w:top w:val="nil"/>
              <w:left w:val="single" w:color="auto" w:sz="4" w:space="0"/>
              <w:bottom w:val="nil"/>
              <w:right w:val="single" w:color="auto" w:sz="4" w:space="0"/>
            </w:tcBorders>
            <w:shd w:val="clear" w:color="auto" w:fill="auto"/>
            <w:vAlign w:val="center"/>
            <w:hideMark/>
          </w:tcPr>
          <w:p w:rsidRPr="00CC790D" w:rsidR="00E3232B" w:rsidP="00E3232B" w:rsidRDefault="00E3232B" w14:paraId="47142CBC" w14:textId="77777777">
            <w:pPr>
              <w:spacing w:after="0" w:line="240" w:lineRule="auto"/>
              <w:rPr>
                <w:rFonts w:ascii="Verdana" w:hAnsi="Verdana" w:eastAsia="Times New Roman" w:cs="Calibri"/>
                <w:b/>
                <w:bCs/>
                <w:color w:val="000000"/>
                <w:sz w:val="20"/>
                <w:szCs w:val="20"/>
                <w:lang w:val="es-ES" w:eastAsia="es-MX"/>
              </w:rPr>
            </w:pPr>
            <w:r w:rsidRPr="00CC790D">
              <w:rPr>
                <w:rFonts w:ascii="Verdana" w:hAnsi="Verdana" w:eastAsia="Times New Roman" w:cs="Calibri"/>
                <w:b/>
                <w:bCs/>
                <w:color w:val="000000"/>
                <w:sz w:val="20"/>
                <w:szCs w:val="20"/>
                <w:lang w:val="es-ES" w:eastAsia="es-MX"/>
              </w:rPr>
              <w:t>Total</w:t>
            </w:r>
          </w:p>
        </w:tc>
        <w:tc>
          <w:tcPr>
            <w:tcW w:w="1200" w:type="dxa"/>
            <w:tcBorders>
              <w:top w:val="nil"/>
              <w:left w:val="nil"/>
              <w:bottom w:val="nil"/>
              <w:right w:val="single" w:color="auto" w:sz="4" w:space="0"/>
            </w:tcBorders>
            <w:shd w:val="clear" w:color="auto" w:fill="auto"/>
            <w:noWrap/>
            <w:vAlign w:val="center"/>
            <w:hideMark/>
          </w:tcPr>
          <w:p w:rsidRPr="00CC790D" w:rsidR="00E3232B" w:rsidP="00E3232B" w:rsidRDefault="00E3232B" w14:paraId="6C050F65"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4,763,195</w:t>
            </w:r>
          </w:p>
        </w:tc>
        <w:tc>
          <w:tcPr>
            <w:tcW w:w="920" w:type="dxa"/>
            <w:tcBorders>
              <w:top w:val="nil"/>
              <w:left w:val="nil"/>
              <w:bottom w:val="nil"/>
              <w:right w:val="single" w:color="auto" w:sz="4" w:space="0"/>
            </w:tcBorders>
            <w:shd w:val="clear" w:color="auto" w:fill="auto"/>
            <w:vAlign w:val="center"/>
            <w:hideMark/>
          </w:tcPr>
          <w:p w:rsidRPr="00CC790D" w:rsidR="00E3232B" w:rsidP="00E3232B" w:rsidRDefault="00E3232B" w14:paraId="192C9380" w14:textId="77777777">
            <w:pPr>
              <w:spacing w:after="0" w:line="240" w:lineRule="auto"/>
              <w:jc w:val="center"/>
              <w:rPr>
                <w:rFonts w:ascii="Verdana" w:hAnsi="Verdana" w:eastAsia="Times New Roman" w:cs="Calibri"/>
                <w:b/>
                <w:bCs/>
                <w:color w:val="000000"/>
                <w:sz w:val="20"/>
                <w:szCs w:val="20"/>
                <w:lang w:val="es-ES" w:eastAsia="es-MX"/>
              </w:rPr>
            </w:pPr>
            <w:r w:rsidRPr="00CC790D">
              <w:rPr>
                <w:rFonts w:ascii="Verdana" w:hAnsi="Verdana" w:eastAsia="Times New Roman" w:cs="Calibri"/>
                <w:b/>
                <w:bCs/>
                <w:color w:val="000000"/>
                <w:sz w:val="20"/>
                <w:szCs w:val="20"/>
                <w:lang w:val="es-ES" w:eastAsia="es-MX"/>
              </w:rPr>
              <w:t>100.0</w:t>
            </w:r>
          </w:p>
        </w:tc>
        <w:tc>
          <w:tcPr>
            <w:tcW w:w="1303" w:type="dxa"/>
            <w:tcBorders>
              <w:top w:val="nil"/>
              <w:left w:val="nil"/>
              <w:bottom w:val="nil"/>
              <w:right w:val="single" w:color="auto" w:sz="4" w:space="0"/>
            </w:tcBorders>
            <w:shd w:val="clear" w:color="auto" w:fill="auto"/>
            <w:noWrap/>
            <w:vAlign w:val="center"/>
            <w:hideMark/>
          </w:tcPr>
          <w:p w:rsidRPr="00CC790D" w:rsidR="00E3232B" w:rsidP="00E3232B" w:rsidRDefault="00E3232B" w14:paraId="5E234813"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18,163,756</w:t>
            </w:r>
          </w:p>
        </w:tc>
        <w:tc>
          <w:tcPr>
            <w:tcW w:w="1049" w:type="dxa"/>
            <w:tcBorders>
              <w:top w:val="nil"/>
              <w:left w:val="nil"/>
              <w:bottom w:val="nil"/>
              <w:right w:val="single" w:color="auto" w:sz="4" w:space="0"/>
            </w:tcBorders>
            <w:shd w:val="clear" w:color="auto" w:fill="auto"/>
            <w:vAlign w:val="center"/>
            <w:hideMark/>
          </w:tcPr>
          <w:p w:rsidRPr="00CC790D" w:rsidR="00E3232B" w:rsidP="00E3232B" w:rsidRDefault="00E3232B" w14:paraId="0A90F20C" w14:textId="77777777">
            <w:pPr>
              <w:spacing w:after="0" w:line="240" w:lineRule="auto"/>
              <w:jc w:val="center"/>
              <w:rPr>
                <w:rFonts w:ascii="Verdana" w:hAnsi="Verdana" w:eastAsia="Times New Roman" w:cs="Calibri"/>
                <w:b/>
                <w:bCs/>
                <w:color w:val="000000"/>
                <w:sz w:val="20"/>
                <w:szCs w:val="20"/>
                <w:lang w:val="es-ES" w:eastAsia="es-MX"/>
              </w:rPr>
            </w:pPr>
            <w:r w:rsidRPr="00CC790D">
              <w:rPr>
                <w:rFonts w:ascii="Verdana" w:hAnsi="Verdana" w:eastAsia="Times New Roman" w:cs="Calibri"/>
                <w:b/>
                <w:bCs/>
                <w:color w:val="000000"/>
                <w:sz w:val="20"/>
                <w:szCs w:val="20"/>
                <w:lang w:val="es-ES" w:eastAsia="es-MX"/>
              </w:rPr>
              <w:t>100.0</w:t>
            </w:r>
          </w:p>
        </w:tc>
      </w:tr>
      <w:tr w:rsidRPr="00CC790D" w:rsidR="00E3232B" w:rsidTr="000A6306" w14:paraId="6BAA2447" w14:textId="77777777">
        <w:trPr>
          <w:trHeight w:val="300"/>
          <w:jc w:val="center"/>
        </w:trPr>
        <w:tc>
          <w:tcPr>
            <w:tcW w:w="2359" w:type="dxa"/>
            <w:tcBorders>
              <w:top w:val="nil"/>
              <w:left w:val="single" w:color="auto" w:sz="4" w:space="0"/>
              <w:bottom w:val="nil"/>
              <w:right w:val="single" w:color="auto" w:sz="4" w:space="0"/>
            </w:tcBorders>
            <w:shd w:val="clear" w:color="000000" w:fill="E2EFDA"/>
            <w:vAlign w:val="center"/>
            <w:hideMark/>
          </w:tcPr>
          <w:p w:rsidRPr="00CC790D" w:rsidR="00E3232B" w:rsidP="00E3232B" w:rsidRDefault="00E3232B" w14:paraId="745B360C" w14:textId="77777777">
            <w:pPr>
              <w:spacing w:after="0" w:line="240" w:lineRule="auto"/>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Manufacturas</w:t>
            </w:r>
          </w:p>
        </w:tc>
        <w:tc>
          <w:tcPr>
            <w:tcW w:w="1200" w:type="dxa"/>
            <w:tcBorders>
              <w:top w:val="nil"/>
              <w:left w:val="nil"/>
              <w:bottom w:val="nil"/>
              <w:right w:val="single" w:color="auto" w:sz="4" w:space="0"/>
            </w:tcBorders>
            <w:shd w:val="clear" w:color="000000" w:fill="E2EFDA"/>
            <w:noWrap/>
            <w:vAlign w:val="center"/>
            <w:hideMark/>
          </w:tcPr>
          <w:p w:rsidRPr="00CC790D" w:rsidR="00E3232B" w:rsidP="00E3232B" w:rsidRDefault="00E3232B" w14:paraId="6A35605F"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577,212</w:t>
            </w:r>
          </w:p>
        </w:tc>
        <w:tc>
          <w:tcPr>
            <w:tcW w:w="920" w:type="dxa"/>
            <w:tcBorders>
              <w:top w:val="nil"/>
              <w:left w:val="nil"/>
              <w:bottom w:val="nil"/>
              <w:right w:val="single" w:color="auto" w:sz="4" w:space="0"/>
            </w:tcBorders>
            <w:shd w:val="clear" w:color="000000" w:fill="E2EFDA"/>
            <w:vAlign w:val="center"/>
            <w:hideMark/>
          </w:tcPr>
          <w:p w:rsidRPr="00CC790D" w:rsidR="00E3232B" w:rsidP="00E3232B" w:rsidRDefault="00E3232B" w14:paraId="1CBEF9A6"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12.1</w:t>
            </w:r>
          </w:p>
        </w:tc>
        <w:tc>
          <w:tcPr>
            <w:tcW w:w="1303" w:type="dxa"/>
            <w:tcBorders>
              <w:top w:val="nil"/>
              <w:left w:val="nil"/>
              <w:bottom w:val="nil"/>
              <w:right w:val="single" w:color="auto" w:sz="4" w:space="0"/>
            </w:tcBorders>
            <w:shd w:val="clear" w:color="000000" w:fill="E2EFDA"/>
            <w:noWrap/>
            <w:vAlign w:val="center"/>
            <w:hideMark/>
          </w:tcPr>
          <w:p w:rsidRPr="00CC790D" w:rsidR="00E3232B" w:rsidP="00E3232B" w:rsidRDefault="00E3232B" w14:paraId="657C26AD"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2,757,965</w:t>
            </w:r>
          </w:p>
        </w:tc>
        <w:tc>
          <w:tcPr>
            <w:tcW w:w="1049" w:type="dxa"/>
            <w:tcBorders>
              <w:top w:val="nil"/>
              <w:left w:val="nil"/>
              <w:bottom w:val="nil"/>
              <w:right w:val="single" w:color="auto" w:sz="4" w:space="0"/>
            </w:tcBorders>
            <w:shd w:val="clear" w:color="000000" w:fill="E2EFDA"/>
            <w:vAlign w:val="center"/>
            <w:hideMark/>
          </w:tcPr>
          <w:p w:rsidRPr="00CC790D" w:rsidR="00E3232B" w:rsidP="00E3232B" w:rsidRDefault="00E3232B" w14:paraId="66E49EBA"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15.2</w:t>
            </w:r>
          </w:p>
        </w:tc>
      </w:tr>
      <w:tr w:rsidRPr="00CC790D" w:rsidR="00E3232B" w:rsidTr="000A6306" w14:paraId="1EFDA4E0" w14:textId="77777777">
        <w:trPr>
          <w:trHeight w:val="300"/>
          <w:jc w:val="center"/>
        </w:trPr>
        <w:tc>
          <w:tcPr>
            <w:tcW w:w="2359" w:type="dxa"/>
            <w:tcBorders>
              <w:top w:val="nil"/>
              <w:left w:val="single" w:color="auto" w:sz="4" w:space="0"/>
              <w:bottom w:val="nil"/>
              <w:right w:val="single" w:color="auto" w:sz="4" w:space="0"/>
            </w:tcBorders>
            <w:shd w:val="clear" w:color="auto" w:fill="auto"/>
            <w:vAlign w:val="center"/>
            <w:hideMark/>
          </w:tcPr>
          <w:p w:rsidRPr="00CC790D" w:rsidR="00E3232B" w:rsidP="00E3232B" w:rsidRDefault="00E3232B" w14:paraId="793EA868" w14:textId="77777777">
            <w:pPr>
              <w:spacing w:after="0" w:line="240" w:lineRule="auto"/>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Comercio</w:t>
            </w:r>
          </w:p>
        </w:tc>
        <w:tc>
          <w:tcPr>
            <w:tcW w:w="1200" w:type="dxa"/>
            <w:tcBorders>
              <w:top w:val="nil"/>
              <w:left w:val="nil"/>
              <w:bottom w:val="nil"/>
              <w:right w:val="single" w:color="auto" w:sz="4" w:space="0"/>
            </w:tcBorders>
            <w:shd w:val="clear" w:color="auto" w:fill="auto"/>
            <w:noWrap/>
            <w:vAlign w:val="center"/>
            <w:hideMark/>
          </w:tcPr>
          <w:p w:rsidRPr="00CC790D" w:rsidR="00E3232B" w:rsidP="00E3232B" w:rsidRDefault="00E3232B" w14:paraId="73CF9E48"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2,225,919</w:t>
            </w:r>
          </w:p>
        </w:tc>
        <w:tc>
          <w:tcPr>
            <w:tcW w:w="920" w:type="dxa"/>
            <w:tcBorders>
              <w:top w:val="nil"/>
              <w:left w:val="nil"/>
              <w:bottom w:val="nil"/>
              <w:right w:val="single" w:color="auto" w:sz="4" w:space="0"/>
            </w:tcBorders>
            <w:shd w:val="clear" w:color="auto" w:fill="auto"/>
            <w:vAlign w:val="center"/>
            <w:hideMark/>
          </w:tcPr>
          <w:p w:rsidRPr="00CC790D" w:rsidR="00E3232B" w:rsidP="00E3232B" w:rsidRDefault="00E3232B" w14:paraId="7EF81DC6"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46.7</w:t>
            </w:r>
          </w:p>
        </w:tc>
        <w:tc>
          <w:tcPr>
            <w:tcW w:w="1303" w:type="dxa"/>
            <w:tcBorders>
              <w:top w:val="nil"/>
              <w:left w:val="nil"/>
              <w:bottom w:val="nil"/>
              <w:right w:val="single" w:color="auto" w:sz="4" w:space="0"/>
            </w:tcBorders>
            <w:shd w:val="clear" w:color="auto" w:fill="auto"/>
            <w:noWrap/>
            <w:vAlign w:val="center"/>
            <w:hideMark/>
          </w:tcPr>
          <w:p w:rsidRPr="00CC790D" w:rsidR="00E3232B" w:rsidP="00E3232B" w:rsidRDefault="00E3232B" w14:paraId="0F9B2B3F"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6,890,779</w:t>
            </w:r>
          </w:p>
        </w:tc>
        <w:tc>
          <w:tcPr>
            <w:tcW w:w="1049" w:type="dxa"/>
            <w:tcBorders>
              <w:top w:val="nil"/>
              <w:left w:val="nil"/>
              <w:bottom w:val="nil"/>
              <w:right w:val="single" w:color="auto" w:sz="4" w:space="0"/>
            </w:tcBorders>
            <w:shd w:val="clear" w:color="auto" w:fill="auto"/>
            <w:vAlign w:val="center"/>
            <w:hideMark/>
          </w:tcPr>
          <w:p w:rsidRPr="00CC790D" w:rsidR="00E3232B" w:rsidP="00E3232B" w:rsidRDefault="00E3232B" w14:paraId="4ED6BC2B"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37.9</w:t>
            </w:r>
          </w:p>
        </w:tc>
      </w:tr>
      <w:tr w:rsidRPr="00CC790D" w:rsidR="00E3232B" w:rsidTr="000A6306" w14:paraId="05770E6C" w14:textId="77777777">
        <w:trPr>
          <w:trHeight w:val="600"/>
          <w:jc w:val="center"/>
        </w:trPr>
        <w:tc>
          <w:tcPr>
            <w:tcW w:w="2359" w:type="dxa"/>
            <w:tcBorders>
              <w:top w:val="nil"/>
              <w:left w:val="single" w:color="auto" w:sz="4" w:space="0"/>
              <w:bottom w:val="nil"/>
              <w:right w:val="single" w:color="auto" w:sz="4" w:space="0"/>
            </w:tcBorders>
            <w:shd w:val="clear" w:color="000000" w:fill="E2EFDA"/>
            <w:vAlign w:val="center"/>
            <w:hideMark/>
          </w:tcPr>
          <w:p w:rsidRPr="00CC790D" w:rsidR="00E3232B" w:rsidP="00E3232B" w:rsidRDefault="00E3232B" w14:paraId="03AAE465" w14:textId="7B2237DC">
            <w:pPr>
              <w:spacing w:after="0" w:line="240" w:lineRule="auto"/>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Servicios privados no financieros</w:t>
            </w:r>
            <w:r w:rsidRPr="00CC790D" w:rsidR="0074089E">
              <w:rPr>
                <w:rStyle w:val="FootnoteReference"/>
                <w:rFonts w:ascii="Verdana" w:hAnsi="Verdana" w:eastAsia="Times New Roman" w:cs="Calibri"/>
                <w:color w:val="000000"/>
                <w:sz w:val="20"/>
                <w:szCs w:val="20"/>
                <w:lang w:val="es-ES" w:eastAsia="es-MX"/>
              </w:rPr>
              <w:footnoteReference w:id="2"/>
            </w:r>
          </w:p>
        </w:tc>
        <w:tc>
          <w:tcPr>
            <w:tcW w:w="1200" w:type="dxa"/>
            <w:tcBorders>
              <w:top w:val="nil"/>
              <w:left w:val="nil"/>
              <w:bottom w:val="nil"/>
              <w:right w:val="single" w:color="auto" w:sz="4" w:space="0"/>
            </w:tcBorders>
            <w:shd w:val="clear" w:color="000000" w:fill="E2EFDA"/>
            <w:noWrap/>
            <w:vAlign w:val="center"/>
            <w:hideMark/>
          </w:tcPr>
          <w:p w:rsidRPr="00CC790D" w:rsidR="00E3232B" w:rsidP="00E3232B" w:rsidRDefault="00E3232B" w14:paraId="4E08A0F3"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1,865,543</w:t>
            </w:r>
          </w:p>
        </w:tc>
        <w:tc>
          <w:tcPr>
            <w:tcW w:w="920" w:type="dxa"/>
            <w:tcBorders>
              <w:top w:val="nil"/>
              <w:left w:val="nil"/>
              <w:bottom w:val="nil"/>
              <w:right w:val="single" w:color="auto" w:sz="4" w:space="0"/>
            </w:tcBorders>
            <w:shd w:val="clear" w:color="000000" w:fill="E2EFDA"/>
            <w:vAlign w:val="center"/>
            <w:hideMark/>
          </w:tcPr>
          <w:p w:rsidRPr="00CC790D" w:rsidR="00E3232B" w:rsidP="00E3232B" w:rsidRDefault="00E3232B" w14:paraId="3C137533"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39.2</w:t>
            </w:r>
          </w:p>
        </w:tc>
        <w:tc>
          <w:tcPr>
            <w:tcW w:w="1303" w:type="dxa"/>
            <w:tcBorders>
              <w:top w:val="nil"/>
              <w:left w:val="nil"/>
              <w:bottom w:val="nil"/>
              <w:right w:val="single" w:color="auto" w:sz="4" w:space="0"/>
            </w:tcBorders>
            <w:shd w:val="clear" w:color="000000" w:fill="E2EFDA"/>
            <w:noWrap/>
            <w:vAlign w:val="center"/>
            <w:hideMark/>
          </w:tcPr>
          <w:p w:rsidRPr="00CC790D" w:rsidR="00E3232B" w:rsidP="00E3232B" w:rsidRDefault="00E3232B" w14:paraId="51840715"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7,139,699</w:t>
            </w:r>
          </w:p>
        </w:tc>
        <w:tc>
          <w:tcPr>
            <w:tcW w:w="1049" w:type="dxa"/>
            <w:tcBorders>
              <w:top w:val="nil"/>
              <w:left w:val="nil"/>
              <w:bottom w:val="nil"/>
              <w:right w:val="single" w:color="auto" w:sz="4" w:space="0"/>
            </w:tcBorders>
            <w:shd w:val="clear" w:color="000000" w:fill="E2EFDA"/>
            <w:vAlign w:val="center"/>
            <w:hideMark/>
          </w:tcPr>
          <w:p w:rsidRPr="00CC790D" w:rsidR="00E3232B" w:rsidP="00E3232B" w:rsidRDefault="00E3232B" w14:paraId="51109D80"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39.3</w:t>
            </w:r>
          </w:p>
        </w:tc>
      </w:tr>
      <w:tr w:rsidRPr="00CC790D" w:rsidR="00E3232B" w:rsidTr="000A6306" w14:paraId="089423CC" w14:textId="77777777">
        <w:trPr>
          <w:trHeight w:val="600"/>
          <w:jc w:val="center"/>
        </w:trPr>
        <w:tc>
          <w:tcPr>
            <w:tcW w:w="2359" w:type="dxa"/>
            <w:tcBorders>
              <w:top w:val="nil"/>
              <w:left w:val="single" w:color="auto" w:sz="4" w:space="0"/>
              <w:bottom w:val="single" w:color="auto" w:sz="4" w:space="0"/>
              <w:right w:val="single" w:color="auto" w:sz="4" w:space="0"/>
            </w:tcBorders>
            <w:shd w:val="clear" w:color="auto" w:fill="auto"/>
            <w:vAlign w:val="center"/>
            <w:hideMark/>
          </w:tcPr>
          <w:p w:rsidRPr="00CC790D" w:rsidR="00E3232B" w:rsidP="00E3232B" w:rsidRDefault="00E3232B" w14:paraId="4370ED52" w14:textId="5F1B03E3">
            <w:pPr>
              <w:spacing w:after="0" w:line="240" w:lineRule="auto"/>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Resto de actividades económicas</w:t>
            </w:r>
            <w:r w:rsidRPr="00CC790D" w:rsidR="0074089E">
              <w:rPr>
                <w:rStyle w:val="FootnoteReference"/>
                <w:rFonts w:ascii="Verdana" w:hAnsi="Verdana" w:eastAsia="Times New Roman" w:cs="Calibri"/>
                <w:color w:val="000000"/>
                <w:sz w:val="20"/>
                <w:szCs w:val="20"/>
                <w:lang w:val="es-ES" w:eastAsia="es-MX"/>
              </w:rPr>
              <w:footnoteReference w:id="3"/>
            </w:r>
          </w:p>
        </w:tc>
        <w:tc>
          <w:tcPr>
            <w:tcW w:w="1200" w:type="dxa"/>
            <w:tcBorders>
              <w:top w:val="nil"/>
              <w:left w:val="nil"/>
              <w:bottom w:val="single" w:color="auto" w:sz="4" w:space="0"/>
              <w:right w:val="single" w:color="auto" w:sz="4" w:space="0"/>
            </w:tcBorders>
            <w:shd w:val="clear" w:color="auto" w:fill="auto"/>
            <w:noWrap/>
            <w:vAlign w:val="center"/>
            <w:hideMark/>
          </w:tcPr>
          <w:p w:rsidRPr="00CC790D" w:rsidR="00E3232B" w:rsidP="00E3232B" w:rsidRDefault="00E3232B" w14:paraId="5E4D4372"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94,521</w:t>
            </w:r>
          </w:p>
        </w:tc>
        <w:tc>
          <w:tcPr>
            <w:tcW w:w="920" w:type="dxa"/>
            <w:tcBorders>
              <w:top w:val="nil"/>
              <w:left w:val="nil"/>
              <w:bottom w:val="single" w:color="auto" w:sz="4" w:space="0"/>
              <w:right w:val="single" w:color="auto" w:sz="4" w:space="0"/>
            </w:tcBorders>
            <w:shd w:val="clear" w:color="auto" w:fill="auto"/>
            <w:vAlign w:val="center"/>
            <w:hideMark/>
          </w:tcPr>
          <w:p w:rsidRPr="00CC790D" w:rsidR="00E3232B" w:rsidP="00E3232B" w:rsidRDefault="00E3232B" w14:paraId="55215264"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2.0</w:t>
            </w:r>
          </w:p>
        </w:tc>
        <w:tc>
          <w:tcPr>
            <w:tcW w:w="1303" w:type="dxa"/>
            <w:tcBorders>
              <w:top w:val="nil"/>
              <w:left w:val="nil"/>
              <w:bottom w:val="single" w:color="auto" w:sz="4" w:space="0"/>
              <w:right w:val="single" w:color="auto" w:sz="4" w:space="0"/>
            </w:tcBorders>
            <w:shd w:val="clear" w:color="auto" w:fill="auto"/>
            <w:noWrap/>
            <w:vAlign w:val="center"/>
            <w:hideMark/>
          </w:tcPr>
          <w:p w:rsidRPr="00CC790D" w:rsidR="00E3232B" w:rsidP="00E3232B" w:rsidRDefault="00E3232B" w14:paraId="7A62A855" w14:textId="77777777">
            <w:pPr>
              <w:spacing w:after="0" w:line="240" w:lineRule="auto"/>
              <w:jc w:val="right"/>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1,375,313</w:t>
            </w:r>
          </w:p>
        </w:tc>
        <w:tc>
          <w:tcPr>
            <w:tcW w:w="1049" w:type="dxa"/>
            <w:tcBorders>
              <w:top w:val="nil"/>
              <w:left w:val="nil"/>
              <w:bottom w:val="single" w:color="auto" w:sz="4" w:space="0"/>
              <w:right w:val="single" w:color="auto" w:sz="4" w:space="0"/>
            </w:tcBorders>
            <w:shd w:val="clear" w:color="auto" w:fill="auto"/>
            <w:vAlign w:val="center"/>
            <w:hideMark/>
          </w:tcPr>
          <w:p w:rsidRPr="00CC790D" w:rsidR="00E3232B" w:rsidP="00E3232B" w:rsidRDefault="00E3232B" w14:paraId="35E0B533" w14:textId="77777777">
            <w:pPr>
              <w:spacing w:after="0" w:line="240" w:lineRule="auto"/>
              <w:jc w:val="center"/>
              <w:rPr>
                <w:rFonts w:ascii="Verdana" w:hAnsi="Verdana" w:eastAsia="Times New Roman" w:cs="Calibri"/>
                <w:color w:val="000000"/>
                <w:sz w:val="20"/>
                <w:szCs w:val="20"/>
                <w:lang w:val="es-ES" w:eastAsia="es-MX"/>
              </w:rPr>
            </w:pPr>
            <w:r w:rsidRPr="00CC790D">
              <w:rPr>
                <w:rFonts w:ascii="Verdana" w:hAnsi="Verdana" w:eastAsia="Times New Roman" w:cs="Calibri"/>
                <w:color w:val="000000"/>
                <w:sz w:val="20"/>
                <w:szCs w:val="20"/>
                <w:lang w:val="es-ES" w:eastAsia="es-MX"/>
              </w:rPr>
              <w:t>7.6</w:t>
            </w:r>
          </w:p>
        </w:tc>
      </w:tr>
    </w:tbl>
    <w:p w:rsidRPr="0064384B" w:rsidR="0074089E" w:rsidP="0074089E" w:rsidRDefault="0074089E" w14:paraId="0EE199DA" w14:textId="77777777">
      <w:pPr>
        <w:ind w:left="720" w:firstLine="720"/>
        <w:rPr>
          <w:rFonts w:ascii="Verdana" w:hAnsi="Verdana"/>
          <w:sz w:val="16"/>
          <w:szCs w:val="16"/>
          <w:lang w:val="es-ES"/>
        </w:rPr>
      </w:pPr>
      <w:r w:rsidRPr="0064384B">
        <w:rPr>
          <w:rFonts w:ascii="Verdana" w:hAnsi="Verdana"/>
          <w:b/>
          <w:bCs/>
          <w:sz w:val="16"/>
          <w:szCs w:val="16"/>
          <w:lang w:val="es-ES"/>
        </w:rPr>
        <w:t>Fuente:</w:t>
      </w:r>
      <w:r w:rsidRPr="0064384B">
        <w:rPr>
          <w:rFonts w:ascii="Verdana" w:hAnsi="Verdana"/>
          <w:sz w:val="16"/>
          <w:szCs w:val="16"/>
          <w:lang w:val="es-ES"/>
        </w:rPr>
        <w:t xml:space="preserve"> INEGI.</w:t>
      </w:r>
    </w:p>
    <w:p w:rsidRPr="00CC790D" w:rsidR="0081008E" w:rsidP="002E403C" w:rsidRDefault="007E4E27" w14:paraId="3EE371FC" w14:textId="77B3827D">
      <w:pPr>
        <w:ind w:firstLine="720"/>
        <w:rPr>
          <w:rFonts w:ascii="Verdana" w:hAnsi="Verdana"/>
          <w:i/>
          <w:iCs/>
          <w:sz w:val="20"/>
          <w:szCs w:val="20"/>
          <w:lang w:val="es-ES"/>
        </w:rPr>
      </w:pPr>
      <w:r w:rsidRPr="00CC790D">
        <w:rPr>
          <w:rFonts w:ascii="Verdana" w:hAnsi="Verdana"/>
          <w:i/>
          <w:iCs/>
          <w:sz w:val="20"/>
          <w:szCs w:val="20"/>
          <w:lang w:val="es-ES"/>
        </w:rPr>
        <w:t>Manufacturas</w:t>
      </w:r>
    </w:p>
    <w:p w:rsidRPr="00CC790D" w:rsidR="0046635E" w:rsidP="002E403C" w:rsidRDefault="0046635E" w14:paraId="3C061E4F" w14:textId="0BEEFBDF">
      <w:pPr>
        <w:jc w:val="both"/>
        <w:rPr>
          <w:rFonts w:ascii="Verdana" w:hAnsi="Verdana"/>
          <w:sz w:val="20"/>
          <w:szCs w:val="20"/>
          <w:lang w:val="es-ES"/>
        </w:rPr>
      </w:pPr>
      <w:r w:rsidRPr="00CC790D">
        <w:rPr>
          <w:rFonts w:ascii="Verdana" w:hAnsi="Verdana"/>
          <w:sz w:val="20"/>
          <w:szCs w:val="20"/>
          <w:lang w:val="es-ES"/>
        </w:rPr>
        <w:t>En el sector manufacturero de México</w:t>
      </w:r>
      <w:r w:rsidRPr="00CC790D" w:rsidR="00176473">
        <w:rPr>
          <w:rFonts w:ascii="Verdana" w:hAnsi="Verdana"/>
          <w:sz w:val="20"/>
          <w:szCs w:val="20"/>
          <w:lang w:val="es-ES"/>
        </w:rPr>
        <w:t>, las</w:t>
      </w:r>
      <w:r w:rsidRPr="00CC790D">
        <w:rPr>
          <w:rFonts w:ascii="Verdana" w:hAnsi="Verdana"/>
          <w:sz w:val="20"/>
          <w:szCs w:val="20"/>
          <w:lang w:val="es-ES"/>
        </w:rPr>
        <w:t xml:space="preserve"> 544</w:t>
      </w:r>
      <w:r w:rsidR="00C3502A">
        <w:rPr>
          <w:rFonts w:ascii="Verdana" w:hAnsi="Verdana"/>
          <w:sz w:val="20"/>
          <w:szCs w:val="20"/>
          <w:lang w:val="es-ES"/>
        </w:rPr>
        <w:t>.</w:t>
      </w:r>
      <w:r w:rsidRPr="00CC790D">
        <w:rPr>
          <w:rFonts w:ascii="Verdana" w:hAnsi="Verdana"/>
          <w:sz w:val="20"/>
          <w:szCs w:val="20"/>
          <w:lang w:val="es-ES"/>
        </w:rPr>
        <w:t>9</w:t>
      </w:r>
      <w:r w:rsidR="00C3502A">
        <w:rPr>
          <w:rFonts w:ascii="Verdana" w:hAnsi="Verdana"/>
          <w:sz w:val="20"/>
          <w:szCs w:val="20"/>
          <w:lang w:val="es-ES"/>
        </w:rPr>
        <w:t xml:space="preserve"> miles de</w:t>
      </w:r>
      <w:r w:rsidRPr="00CC790D">
        <w:rPr>
          <w:rFonts w:ascii="Verdana" w:hAnsi="Verdana"/>
          <w:sz w:val="20"/>
          <w:szCs w:val="20"/>
          <w:lang w:val="es-ES"/>
        </w:rPr>
        <w:t xml:space="preserve"> MIPYME representan 99.2% del total de las unidades económicas y emplean al </w:t>
      </w:r>
      <w:r w:rsidRPr="00CC790D" w:rsidR="000567A1">
        <w:rPr>
          <w:rFonts w:ascii="Verdana" w:hAnsi="Verdana"/>
          <w:sz w:val="20"/>
          <w:szCs w:val="20"/>
          <w:lang w:val="es-ES"/>
        </w:rPr>
        <w:t>4</w:t>
      </w:r>
      <w:r w:rsidRPr="00CC790D">
        <w:rPr>
          <w:rFonts w:ascii="Verdana" w:hAnsi="Verdana"/>
          <w:sz w:val="20"/>
          <w:szCs w:val="20"/>
          <w:lang w:val="es-ES"/>
        </w:rPr>
        <w:t>2.</w:t>
      </w:r>
      <w:r w:rsidRPr="00CC790D" w:rsidR="000567A1">
        <w:rPr>
          <w:rFonts w:ascii="Verdana" w:hAnsi="Verdana"/>
          <w:sz w:val="20"/>
          <w:szCs w:val="20"/>
          <w:lang w:val="es-ES"/>
        </w:rPr>
        <w:t>1</w:t>
      </w:r>
      <w:r w:rsidRPr="00CC790D">
        <w:rPr>
          <w:rFonts w:ascii="Verdana" w:hAnsi="Verdana"/>
          <w:sz w:val="20"/>
          <w:szCs w:val="20"/>
          <w:lang w:val="es-ES"/>
        </w:rPr>
        <w:t>% de los trabajadores del sector.</w:t>
      </w:r>
    </w:p>
    <w:p w:rsidRPr="00CC790D" w:rsidR="0081008E" w:rsidP="002E403C" w:rsidRDefault="0046635E" w14:paraId="3CA1F41D" w14:textId="5D05B572">
      <w:pPr>
        <w:jc w:val="both"/>
        <w:rPr>
          <w:rFonts w:ascii="Verdana" w:hAnsi="Verdana"/>
          <w:sz w:val="20"/>
          <w:szCs w:val="20"/>
          <w:lang w:val="es-ES"/>
        </w:rPr>
      </w:pPr>
      <w:r w:rsidRPr="00CC790D">
        <w:rPr>
          <w:rFonts w:ascii="Verdana" w:hAnsi="Verdana"/>
          <w:sz w:val="20"/>
          <w:szCs w:val="20"/>
          <w:lang w:val="es-ES"/>
        </w:rPr>
        <w:t xml:space="preserve">De manera desagregada, se observa que el 94% de las empresas del sector </w:t>
      </w:r>
      <w:r w:rsidRPr="00CC790D" w:rsidR="0081008E">
        <w:rPr>
          <w:rFonts w:ascii="Verdana" w:hAnsi="Verdana"/>
          <w:sz w:val="20"/>
          <w:szCs w:val="20"/>
          <w:lang w:val="es-ES"/>
        </w:rPr>
        <w:t xml:space="preserve">son de tamaño micro, el 4.2% son pequeñas, el 1.3% medianas y el 0.8% </w:t>
      </w:r>
      <w:r w:rsidRPr="00CC790D">
        <w:rPr>
          <w:rFonts w:ascii="Verdana" w:hAnsi="Verdana"/>
          <w:sz w:val="20"/>
          <w:szCs w:val="20"/>
          <w:lang w:val="es-ES"/>
        </w:rPr>
        <w:t xml:space="preserve">grandes. </w:t>
      </w:r>
    </w:p>
    <w:p w:rsidRPr="00CC790D" w:rsidR="007E4E27" w:rsidP="0065774C" w:rsidRDefault="002E403C" w14:paraId="1079C58F" w14:textId="4BBD2832">
      <w:pPr>
        <w:jc w:val="center"/>
        <w:rPr>
          <w:rFonts w:ascii="Verdana" w:hAnsi="Verdana"/>
          <w:b/>
          <w:bCs/>
          <w:sz w:val="20"/>
          <w:szCs w:val="20"/>
          <w:lang w:val="es-ES"/>
        </w:rPr>
      </w:pPr>
      <w:r w:rsidRPr="00CC790D">
        <w:rPr>
          <w:rFonts w:ascii="Verdana" w:hAnsi="Verdana"/>
          <w:b/>
          <w:bCs/>
          <w:sz w:val="20"/>
          <w:szCs w:val="20"/>
          <w:lang w:val="es-ES"/>
        </w:rPr>
        <w:t xml:space="preserve">Gráfica 1. </w:t>
      </w:r>
      <w:r w:rsidRPr="00CC790D" w:rsidR="0065774C">
        <w:rPr>
          <w:rFonts w:ascii="Verdana" w:hAnsi="Verdana"/>
          <w:b/>
          <w:bCs/>
          <w:sz w:val="20"/>
          <w:szCs w:val="20"/>
          <w:lang w:val="es-ES"/>
        </w:rPr>
        <w:t>Distribución de las Unidades Económicas de las Manufacturas por tamaño</w:t>
      </w:r>
      <w:r w:rsidR="00C3502A">
        <w:rPr>
          <w:rFonts w:ascii="Verdana" w:hAnsi="Verdana"/>
          <w:b/>
          <w:bCs/>
          <w:sz w:val="20"/>
          <w:szCs w:val="20"/>
          <w:lang w:val="es-ES"/>
        </w:rPr>
        <w:t xml:space="preserve"> (2018)</w:t>
      </w:r>
    </w:p>
    <w:p w:rsidRPr="00CC790D" w:rsidR="00C448E1" w:rsidP="00C448E1" w:rsidRDefault="00861473" w14:paraId="67F5738B" w14:textId="77236E00">
      <w:pPr>
        <w:jc w:val="center"/>
        <w:rPr>
          <w:rFonts w:ascii="Verdana" w:hAnsi="Verdana"/>
          <w:sz w:val="20"/>
          <w:szCs w:val="20"/>
          <w:lang w:val="es-ES"/>
        </w:rPr>
      </w:pPr>
      <w:r w:rsidRPr="00CC790D">
        <w:rPr>
          <w:rFonts w:ascii="Verdana" w:hAnsi="Verdana"/>
          <w:noProof/>
          <w:sz w:val="20"/>
          <w:szCs w:val="20"/>
          <w:lang w:val="es-ES"/>
        </w:rPr>
        <w:drawing>
          <wp:inline distT="0" distB="0" distL="0" distR="0" wp14:anchorId="79804FBB" wp14:editId="4AB36495">
            <wp:extent cx="3209925" cy="2514600"/>
            <wp:effectExtent l="0" t="0" r="9525" b="0"/>
            <wp:docPr id="4" name="Gráfico 4">
              <a:extLst xmlns:a="http://schemas.openxmlformats.org/drawingml/2006/main">
                <a:ext uri="{FF2B5EF4-FFF2-40B4-BE49-F238E27FC236}">
                  <a16:creationId xmlns:a16="http://schemas.microsoft.com/office/drawing/2014/main" id="{90FE3C50-C9C8-45F0-AB81-99BFDFAFF4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Pr="00CC790D" w:rsidR="00787ED7" w:rsidP="00787ED7" w:rsidRDefault="00787ED7" w14:paraId="22B8107F" w14:textId="77777777">
      <w:pPr>
        <w:ind w:left="144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INEGI.</w:t>
      </w:r>
    </w:p>
    <w:p w:rsidRPr="00CC790D" w:rsidR="0046635E" w:rsidP="002E403C" w:rsidRDefault="0046635E" w14:paraId="016E7F1C" w14:textId="12408ACE">
      <w:pPr>
        <w:jc w:val="both"/>
        <w:rPr>
          <w:rFonts w:ascii="Verdana" w:hAnsi="Verdana"/>
          <w:sz w:val="20"/>
          <w:szCs w:val="20"/>
          <w:lang w:val="es-ES"/>
        </w:rPr>
      </w:pPr>
      <w:r w:rsidRPr="00CC790D">
        <w:rPr>
          <w:rFonts w:ascii="Verdana" w:hAnsi="Verdana"/>
          <w:sz w:val="20"/>
          <w:szCs w:val="20"/>
          <w:lang w:val="es-ES"/>
        </w:rPr>
        <w:lastRenderedPageBreak/>
        <w:t>En cuanto al personal ocupado, el 59% de los empleos se ubican en microempresas, 7% en la gran empresa, mientras que las pequeñas y medianas emplean al 17% cada una.</w:t>
      </w:r>
    </w:p>
    <w:p w:rsidRPr="00CC790D" w:rsidR="002E403C" w:rsidP="002E403C" w:rsidRDefault="002E403C" w14:paraId="5119C339" w14:textId="77777777">
      <w:pPr>
        <w:jc w:val="both"/>
        <w:rPr>
          <w:rFonts w:ascii="Verdana" w:hAnsi="Verdana"/>
          <w:sz w:val="20"/>
          <w:szCs w:val="20"/>
          <w:lang w:val="es-ES"/>
        </w:rPr>
      </w:pPr>
    </w:p>
    <w:p w:rsidRPr="00CC790D" w:rsidR="0065774C" w:rsidP="0065774C" w:rsidRDefault="002E403C" w14:paraId="3D2D7BD7" w14:textId="4ED3946A">
      <w:pPr>
        <w:jc w:val="center"/>
        <w:rPr>
          <w:rFonts w:ascii="Verdana" w:hAnsi="Verdana"/>
          <w:b/>
          <w:bCs/>
          <w:sz w:val="20"/>
          <w:szCs w:val="20"/>
          <w:lang w:val="es-ES"/>
        </w:rPr>
      </w:pPr>
      <w:r w:rsidRPr="00CC790D">
        <w:rPr>
          <w:rFonts w:ascii="Verdana" w:hAnsi="Verdana"/>
          <w:b/>
          <w:bCs/>
          <w:sz w:val="20"/>
          <w:szCs w:val="20"/>
          <w:lang w:val="es-ES"/>
        </w:rPr>
        <w:t xml:space="preserve">Gráfica 2. </w:t>
      </w:r>
      <w:r w:rsidRPr="00CC790D" w:rsidR="0065774C">
        <w:rPr>
          <w:rFonts w:ascii="Verdana" w:hAnsi="Verdana"/>
          <w:b/>
          <w:bCs/>
          <w:sz w:val="20"/>
          <w:szCs w:val="20"/>
          <w:lang w:val="es-ES"/>
        </w:rPr>
        <w:t>Distribución del Personal Ocupado en las Manufacturas por tamaño de empresa</w:t>
      </w:r>
      <w:r w:rsidR="00C3502A">
        <w:rPr>
          <w:rFonts w:ascii="Verdana" w:hAnsi="Verdana"/>
          <w:b/>
          <w:bCs/>
          <w:sz w:val="20"/>
          <w:szCs w:val="20"/>
          <w:lang w:val="es-ES"/>
        </w:rPr>
        <w:t xml:space="preserve"> (2018)</w:t>
      </w:r>
    </w:p>
    <w:p w:rsidRPr="00CC790D" w:rsidR="00861473" w:rsidP="00C448E1" w:rsidRDefault="00861473" w14:paraId="21A77B84" w14:textId="4E5E903C">
      <w:pPr>
        <w:jc w:val="center"/>
        <w:rPr>
          <w:rFonts w:ascii="Verdana" w:hAnsi="Verdana"/>
          <w:sz w:val="20"/>
          <w:szCs w:val="20"/>
          <w:lang w:val="es-ES"/>
        </w:rPr>
      </w:pPr>
      <w:r w:rsidRPr="00CC790D">
        <w:rPr>
          <w:rFonts w:ascii="Verdana" w:hAnsi="Verdana"/>
          <w:noProof/>
          <w:sz w:val="20"/>
          <w:szCs w:val="20"/>
          <w:lang w:val="es-ES"/>
        </w:rPr>
        <w:drawing>
          <wp:inline distT="0" distB="0" distL="0" distR="0" wp14:anchorId="5C1C88CB" wp14:editId="4F923D7C">
            <wp:extent cx="2971800" cy="2066925"/>
            <wp:effectExtent l="0" t="0" r="0" b="9525"/>
            <wp:docPr id="5" name="Gráfico 5">
              <a:extLst xmlns:a="http://schemas.openxmlformats.org/drawingml/2006/main">
                <a:ext uri="{FF2B5EF4-FFF2-40B4-BE49-F238E27FC236}">
                  <a16:creationId xmlns:a16="http://schemas.microsoft.com/office/drawing/2014/main" id="{67573791-10B0-4DA7-BF6B-22C746E856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Pr="00CC790D" w:rsidR="00787ED7" w:rsidP="00787ED7" w:rsidRDefault="00787ED7" w14:paraId="185651B6" w14:textId="77777777">
      <w:pPr>
        <w:ind w:left="144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INEGI.</w:t>
      </w:r>
    </w:p>
    <w:p w:rsidRPr="00CC790D" w:rsidR="002E403C" w:rsidP="00760752" w:rsidRDefault="002E403C" w14:paraId="48F26090" w14:textId="77777777">
      <w:pPr>
        <w:rPr>
          <w:rFonts w:ascii="Verdana" w:hAnsi="Verdana"/>
          <w:i/>
          <w:iCs/>
          <w:sz w:val="20"/>
          <w:szCs w:val="20"/>
          <w:lang w:val="es-ES"/>
        </w:rPr>
      </w:pPr>
    </w:p>
    <w:p w:rsidRPr="00CC790D" w:rsidR="00861473" w:rsidP="002E403C" w:rsidRDefault="00861473" w14:paraId="48BD3334" w14:textId="7F0DA14F">
      <w:pPr>
        <w:ind w:firstLine="720"/>
        <w:rPr>
          <w:rFonts w:ascii="Verdana" w:hAnsi="Verdana"/>
          <w:i/>
          <w:iCs/>
          <w:sz w:val="20"/>
          <w:szCs w:val="20"/>
          <w:lang w:val="es-ES"/>
        </w:rPr>
      </w:pPr>
      <w:r w:rsidRPr="00CC790D">
        <w:rPr>
          <w:rFonts w:ascii="Verdana" w:hAnsi="Verdana"/>
          <w:i/>
          <w:iCs/>
          <w:sz w:val="20"/>
          <w:szCs w:val="20"/>
          <w:lang w:val="es-ES"/>
        </w:rPr>
        <w:t>Comercio</w:t>
      </w:r>
    </w:p>
    <w:p w:rsidRPr="00CC790D" w:rsidR="0046635E" w:rsidP="00FE6574" w:rsidRDefault="000567A1" w14:paraId="09E53358" w14:textId="452ACAE4">
      <w:pPr>
        <w:jc w:val="both"/>
        <w:rPr>
          <w:rFonts w:ascii="Verdana" w:hAnsi="Verdana"/>
          <w:sz w:val="20"/>
          <w:szCs w:val="20"/>
          <w:lang w:val="es-ES"/>
        </w:rPr>
      </w:pPr>
      <w:r w:rsidRPr="00CC790D">
        <w:rPr>
          <w:rFonts w:ascii="Verdana" w:hAnsi="Verdana"/>
          <w:sz w:val="20"/>
          <w:szCs w:val="20"/>
          <w:lang w:val="es-ES"/>
        </w:rPr>
        <w:t>El sector comercial prácticamente está compuesto en su totalidad por MIPYMES, ya que éstas representan en conjunto el 99.9% de las unidades económicas del sector y emplean al 92.7% de sus trabajadores</w:t>
      </w:r>
    </w:p>
    <w:p w:rsidR="000567A1" w:rsidP="002E403C" w:rsidRDefault="000567A1" w14:paraId="5602F5FB" w14:textId="33111357">
      <w:pPr>
        <w:jc w:val="both"/>
        <w:rPr>
          <w:rFonts w:ascii="Verdana" w:hAnsi="Verdana"/>
          <w:sz w:val="20"/>
          <w:szCs w:val="20"/>
          <w:lang w:val="es-ES"/>
        </w:rPr>
      </w:pPr>
      <w:r w:rsidRPr="00CC790D">
        <w:rPr>
          <w:rFonts w:ascii="Verdana" w:hAnsi="Verdana"/>
          <w:sz w:val="20"/>
          <w:szCs w:val="20"/>
          <w:lang w:val="es-ES"/>
        </w:rPr>
        <w:t>Al interior</w:t>
      </w:r>
      <w:r w:rsidRPr="00CC790D" w:rsidR="00DC2983">
        <w:rPr>
          <w:rFonts w:ascii="Verdana" w:hAnsi="Verdana"/>
          <w:sz w:val="20"/>
          <w:szCs w:val="20"/>
          <w:lang w:val="es-ES"/>
        </w:rPr>
        <w:t xml:space="preserve"> d</w:t>
      </w:r>
      <w:r w:rsidRPr="00CC790D">
        <w:rPr>
          <w:rFonts w:ascii="Verdana" w:hAnsi="Verdana"/>
          <w:sz w:val="20"/>
          <w:szCs w:val="20"/>
          <w:lang w:val="es-ES"/>
        </w:rPr>
        <w:t>el sect</w:t>
      </w:r>
      <w:r w:rsidRPr="00CC790D" w:rsidR="008108D2">
        <w:rPr>
          <w:rFonts w:ascii="Verdana" w:hAnsi="Verdana"/>
          <w:sz w:val="20"/>
          <w:szCs w:val="20"/>
          <w:lang w:val="es-ES"/>
        </w:rPr>
        <w:t>or,</w:t>
      </w:r>
      <w:r w:rsidRPr="00CC790D" w:rsidR="0058142C">
        <w:rPr>
          <w:rFonts w:ascii="Verdana" w:hAnsi="Verdana"/>
          <w:sz w:val="20"/>
          <w:szCs w:val="20"/>
          <w:lang w:val="es-ES"/>
        </w:rPr>
        <w:t xml:space="preserve"> el 9</w:t>
      </w:r>
      <w:r w:rsidRPr="00CC790D" w:rsidR="00FE6574">
        <w:rPr>
          <w:rFonts w:ascii="Verdana" w:hAnsi="Verdana"/>
          <w:sz w:val="20"/>
          <w:szCs w:val="20"/>
          <w:lang w:val="es-ES"/>
        </w:rPr>
        <w:t>6.</w:t>
      </w:r>
      <w:r w:rsidRPr="00CC790D" w:rsidR="0058142C">
        <w:rPr>
          <w:rFonts w:ascii="Verdana" w:hAnsi="Verdana"/>
          <w:sz w:val="20"/>
          <w:szCs w:val="20"/>
          <w:lang w:val="es-ES"/>
        </w:rPr>
        <w:t>7% son microempresas, el</w:t>
      </w:r>
      <w:r w:rsidRPr="00CC790D" w:rsidR="00FE6574">
        <w:rPr>
          <w:rFonts w:ascii="Verdana" w:hAnsi="Verdana"/>
          <w:sz w:val="20"/>
          <w:szCs w:val="20"/>
          <w:lang w:val="es-ES"/>
        </w:rPr>
        <w:t xml:space="preserve"> 2.8% son pequeñas, el 0.5% medianas y apenas el 0.1% grandes empresas</w:t>
      </w:r>
      <w:r w:rsidRPr="00CC790D">
        <w:rPr>
          <w:rFonts w:ascii="Verdana" w:hAnsi="Verdana"/>
          <w:sz w:val="20"/>
          <w:szCs w:val="20"/>
          <w:lang w:val="es-ES"/>
        </w:rPr>
        <w:t xml:space="preserve">. </w:t>
      </w:r>
    </w:p>
    <w:p w:rsidRPr="00CC790D" w:rsidR="007B3ECB" w:rsidP="002E403C" w:rsidRDefault="007B3ECB" w14:paraId="311FC80C" w14:textId="77777777">
      <w:pPr>
        <w:jc w:val="both"/>
        <w:rPr>
          <w:rFonts w:ascii="Verdana" w:hAnsi="Verdana"/>
          <w:sz w:val="20"/>
          <w:szCs w:val="20"/>
          <w:lang w:val="es-ES"/>
        </w:rPr>
      </w:pPr>
    </w:p>
    <w:p w:rsidRPr="00CC790D" w:rsidR="0065774C" w:rsidP="0065774C" w:rsidRDefault="002E403C" w14:paraId="3D1EC015" w14:textId="09D0C368">
      <w:pPr>
        <w:jc w:val="center"/>
        <w:rPr>
          <w:rFonts w:ascii="Verdana" w:hAnsi="Verdana"/>
          <w:b/>
          <w:bCs/>
          <w:sz w:val="20"/>
          <w:szCs w:val="20"/>
          <w:lang w:val="es-ES"/>
        </w:rPr>
      </w:pPr>
      <w:r w:rsidRPr="00CC790D">
        <w:rPr>
          <w:rFonts w:ascii="Verdana" w:hAnsi="Verdana"/>
          <w:b/>
          <w:bCs/>
          <w:sz w:val="20"/>
          <w:szCs w:val="20"/>
          <w:lang w:val="es-ES"/>
        </w:rPr>
        <w:t xml:space="preserve">Gráfica 3. </w:t>
      </w:r>
      <w:r w:rsidRPr="00CC790D" w:rsidR="0065774C">
        <w:rPr>
          <w:rFonts w:ascii="Verdana" w:hAnsi="Verdana"/>
          <w:b/>
          <w:bCs/>
          <w:sz w:val="20"/>
          <w:szCs w:val="20"/>
          <w:lang w:val="es-ES"/>
        </w:rPr>
        <w:t>Distribución de las Unidades Económicas del Comercio por tamaño</w:t>
      </w:r>
      <w:r w:rsidR="00C3502A">
        <w:rPr>
          <w:rFonts w:ascii="Verdana" w:hAnsi="Verdana"/>
          <w:b/>
          <w:bCs/>
          <w:sz w:val="20"/>
          <w:szCs w:val="20"/>
          <w:lang w:val="es-ES"/>
        </w:rPr>
        <w:t xml:space="preserve"> (2018)</w:t>
      </w:r>
    </w:p>
    <w:p w:rsidRPr="00CC790D" w:rsidR="00C448E1" w:rsidP="00C448E1" w:rsidRDefault="00861473" w14:paraId="42FE18D3" w14:textId="4289677E">
      <w:pPr>
        <w:jc w:val="center"/>
        <w:rPr>
          <w:rFonts w:ascii="Verdana" w:hAnsi="Verdana"/>
          <w:sz w:val="20"/>
          <w:szCs w:val="20"/>
          <w:lang w:val="es-ES"/>
        </w:rPr>
      </w:pPr>
      <w:r w:rsidRPr="00CC790D">
        <w:rPr>
          <w:rFonts w:ascii="Verdana" w:hAnsi="Verdana"/>
          <w:noProof/>
          <w:sz w:val="20"/>
          <w:szCs w:val="20"/>
          <w:lang w:val="es-ES"/>
        </w:rPr>
        <w:drawing>
          <wp:inline distT="0" distB="0" distL="0" distR="0" wp14:anchorId="0B648031" wp14:editId="137404D7">
            <wp:extent cx="3114675" cy="2047875"/>
            <wp:effectExtent l="0" t="0" r="9525" b="9525"/>
            <wp:docPr id="6" name="Gráfico 6">
              <a:extLst xmlns:a="http://schemas.openxmlformats.org/drawingml/2006/main">
                <a:ext uri="{FF2B5EF4-FFF2-40B4-BE49-F238E27FC236}">
                  <a16:creationId xmlns:a16="http://schemas.microsoft.com/office/drawing/2014/main" id="{032C184C-C97E-46FF-9AF0-C7E2A3A556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Pr="00CC790D" w:rsidR="00787ED7" w:rsidP="00787ED7" w:rsidRDefault="00787ED7" w14:paraId="332948E8" w14:textId="77777777">
      <w:pPr>
        <w:ind w:left="144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INEGI.</w:t>
      </w:r>
    </w:p>
    <w:p w:rsidRPr="00CC790D" w:rsidR="0065774C" w:rsidP="002E403C" w:rsidRDefault="008108D2" w14:paraId="3FB911FA" w14:textId="6C0B5BFB">
      <w:pPr>
        <w:jc w:val="both"/>
        <w:rPr>
          <w:rFonts w:ascii="Verdana" w:hAnsi="Verdana"/>
          <w:sz w:val="20"/>
          <w:szCs w:val="20"/>
          <w:lang w:val="es-ES"/>
        </w:rPr>
      </w:pPr>
      <w:r w:rsidRPr="00CC790D">
        <w:rPr>
          <w:rFonts w:ascii="Verdana" w:hAnsi="Verdana"/>
          <w:sz w:val="20"/>
          <w:szCs w:val="20"/>
          <w:lang w:val="es-ES"/>
        </w:rPr>
        <w:t xml:space="preserve">Respecto al personal ocupado en las empresas comerciales, el 59% trabaja en las micro, </w:t>
      </w:r>
      <w:r w:rsidRPr="00CC790D" w:rsidR="00BE4E6E">
        <w:rPr>
          <w:rFonts w:ascii="Verdana" w:hAnsi="Verdana"/>
          <w:sz w:val="20"/>
          <w:szCs w:val="20"/>
          <w:lang w:val="es-ES"/>
        </w:rPr>
        <w:t>en las pequeñas y medianas se emplea el 17% en cada una y el 7.3% restante en las grandes.</w:t>
      </w:r>
    </w:p>
    <w:p w:rsidRPr="00CC790D" w:rsidR="00665534" w:rsidP="00DC2983" w:rsidRDefault="00665534" w14:paraId="63654F8F" w14:textId="77777777">
      <w:pPr>
        <w:rPr>
          <w:rFonts w:ascii="Verdana" w:hAnsi="Verdana"/>
          <w:sz w:val="20"/>
          <w:szCs w:val="20"/>
          <w:lang w:val="es-ES"/>
        </w:rPr>
      </w:pPr>
    </w:p>
    <w:p w:rsidRPr="00CC790D" w:rsidR="0065774C" w:rsidP="0065774C" w:rsidRDefault="002E403C" w14:paraId="5B43F6EF" w14:textId="4E47A735">
      <w:pPr>
        <w:jc w:val="center"/>
        <w:rPr>
          <w:rFonts w:ascii="Verdana" w:hAnsi="Verdana"/>
          <w:b/>
          <w:bCs/>
          <w:sz w:val="20"/>
          <w:szCs w:val="20"/>
          <w:lang w:val="es-ES"/>
        </w:rPr>
      </w:pPr>
      <w:r w:rsidRPr="00CC790D">
        <w:rPr>
          <w:rFonts w:ascii="Verdana" w:hAnsi="Verdana"/>
          <w:b/>
          <w:bCs/>
          <w:sz w:val="20"/>
          <w:szCs w:val="20"/>
          <w:lang w:val="es-ES"/>
        </w:rPr>
        <w:t xml:space="preserve">Gráfica 4. </w:t>
      </w:r>
      <w:r w:rsidRPr="00CC790D" w:rsidR="0065774C">
        <w:rPr>
          <w:rFonts w:ascii="Verdana" w:hAnsi="Verdana"/>
          <w:b/>
          <w:bCs/>
          <w:sz w:val="20"/>
          <w:szCs w:val="20"/>
          <w:lang w:val="es-ES"/>
        </w:rPr>
        <w:t>Distribución del Personal Ocupado en el Comercio por tamaño de empresa</w:t>
      </w:r>
      <w:r w:rsidR="00C3502A">
        <w:rPr>
          <w:rFonts w:ascii="Verdana" w:hAnsi="Verdana"/>
          <w:b/>
          <w:bCs/>
          <w:sz w:val="20"/>
          <w:szCs w:val="20"/>
          <w:lang w:val="es-ES"/>
        </w:rPr>
        <w:t xml:space="preserve"> (2018)</w:t>
      </w:r>
    </w:p>
    <w:p w:rsidRPr="00CC790D" w:rsidR="00861473" w:rsidP="00C448E1" w:rsidRDefault="00861473" w14:paraId="0454E891" w14:textId="70889662">
      <w:pPr>
        <w:jc w:val="center"/>
        <w:rPr>
          <w:rFonts w:ascii="Verdana" w:hAnsi="Verdana"/>
          <w:sz w:val="20"/>
          <w:szCs w:val="20"/>
          <w:lang w:val="es-ES"/>
        </w:rPr>
      </w:pPr>
      <w:r w:rsidRPr="00CC790D">
        <w:rPr>
          <w:rFonts w:ascii="Verdana" w:hAnsi="Verdana"/>
          <w:noProof/>
          <w:sz w:val="20"/>
          <w:szCs w:val="20"/>
          <w:lang w:val="es-ES"/>
        </w:rPr>
        <w:drawing>
          <wp:inline distT="0" distB="0" distL="0" distR="0" wp14:anchorId="3CDCAD7E" wp14:editId="50B4F65F">
            <wp:extent cx="3190875" cy="2047875"/>
            <wp:effectExtent l="0" t="0" r="9525" b="9525"/>
            <wp:docPr id="7" name="Gráfico 7">
              <a:extLst xmlns:a="http://schemas.openxmlformats.org/drawingml/2006/main">
                <a:ext uri="{FF2B5EF4-FFF2-40B4-BE49-F238E27FC236}">
                  <a16:creationId xmlns:a16="http://schemas.microsoft.com/office/drawing/2014/main" id="{E7D0FC05-BEFF-47ED-B366-6CCFA9C909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Pr="00CC790D" w:rsidR="00665534" w:rsidP="00665534" w:rsidRDefault="00665534" w14:paraId="40AA1277" w14:textId="77777777">
      <w:pPr>
        <w:ind w:left="144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INEGI.</w:t>
      </w:r>
    </w:p>
    <w:p w:rsidRPr="00CC790D" w:rsidR="00665534" w:rsidP="00760752" w:rsidRDefault="00665534" w14:paraId="47124CED" w14:textId="77777777">
      <w:pPr>
        <w:rPr>
          <w:rFonts w:ascii="Verdana" w:hAnsi="Verdana"/>
          <w:sz w:val="20"/>
          <w:szCs w:val="20"/>
          <w:lang w:val="es-ES"/>
        </w:rPr>
      </w:pPr>
    </w:p>
    <w:p w:rsidRPr="00CC790D" w:rsidR="00861473" w:rsidP="002E403C" w:rsidRDefault="00861473" w14:paraId="59C35AA9" w14:textId="57934030">
      <w:pPr>
        <w:ind w:firstLine="720"/>
        <w:rPr>
          <w:rFonts w:ascii="Verdana" w:hAnsi="Verdana"/>
          <w:i/>
          <w:iCs/>
          <w:sz w:val="20"/>
          <w:szCs w:val="20"/>
          <w:lang w:val="es-ES"/>
        </w:rPr>
      </w:pPr>
      <w:r w:rsidRPr="00CC790D">
        <w:rPr>
          <w:rFonts w:ascii="Verdana" w:hAnsi="Verdana"/>
          <w:i/>
          <w:iCs/>
          <w:sz w:val="20"/>
          <w:szCs w:val="20"/>
          <w:lang w:val="es-ES"/>
        </w:rPr>
        <w:t>Servicios privados no financieros</w:t>
      </w:r>
      <w:r w:rsidRPr="00CC790D" w:rsidR="00BE4E6E">
        <w:rPr>
          <w:rFonts w:ascii="Verdana" w:hAnsi="Verdana"/>
          <w:i/>
          <w:iCs/>
          <w:sz w:val="20"/>
          <w:szCs w:val="20"/>
          <w:lang w:val="es-ES"/>
        </w:rPr>
        <w:t>.</w:t>
      </w:r>
    </w:p>
    <w:p w:rsidRPr="00CC790D" w:rsidR="00BE4E6E" w:rsidP="002E403C" w:rsidRDefault="00BE4E6E" w14:paraId="78F72AB9" w14:textId="3FD31124">
      <w:pPr>
        <w:jc w:val="both"/>
        <w:rPr>
          <w:rFonts w:ascii="Verdana" w:hAnsi="Verdana"/>
          <w:sz w:val="20"/>
          <w:szCs w:val="20"/>
          <w:lang w:val="es-ES"/>
        </w:rPr>
      </w:pPr>
      <w:r w:rsidRPr="00CC790D">
        <w:rPr>
          <w:rFonts w:ascii="Verdana" w:hAnsi="Verdana"/>
          <w:sz w:val="20"/>
          <w:szCs w:val="20"/>
          <w:lang w:val="es-ES"/>
        </w:rPr>
        <w:t xml:space="preserve">La distribución de las unidades económicas por tamaño de empresa </w:t>
      </w:r>
      <w:r w:rsidRPr="00CC790D" w:rsidR="00451049">
        <w:rPr>
          <w:rFonts w:ascii="Verdana" w:hAnsi="Verdana"/>
          <w:sz w:val="20"/>
          <w:szCs w:val="20"/>
          <w:lang w:val="es-ES"/>
        </w:rPr>
        <w:t xml:space="preserve">de los servicios privados no financieros </w:t>
      </w:r>
      <w:r w:rsidRPr="00CC790D">
        <w:rPr>
          <w:rFonts w:ascii="Verdana" w:hAnsi="Verdana"/>
          <w:sz w:val="20"/>
          <w:szCs w:val="20"/>
          <w:lang w:val="es-ES"/>
        </w:rPr>
        <w:t xml:space="preserve">es similar </w:t>
      </w:r>
      <w:r w:rsidRPr="00CC790D" w:rsidR="00451049">
        <w:rPr>
          <w:rFonts w:ascii="Verdana" w:hAnsi="Verdana"/>
          <w:sz w:val="20"/>
          <w:szCs w:val="20"/>
          <w:lang w:val="es-ES"/>
        </w:rPr>
        <w:t>a lo observado a nivel nacional: las 1.8 millones de MIPYME representan 99.8% del total, mientras que el personal ocupado representa tres cuartas partes del total (74.8%).</w:t>
      </w:r>
    </w:p>
    <w:p w:rsidR="00451049" w:rsidP="002E403C" w:rsidRDefault="00451049" w14:paraId="1F456D0B" w14:textId="2B4A4D3A">
      <w:pPr>
        <w:jc w:val="both"/>
        <w:rPr>
          <w:rFonts w:ascii="Verdana" w:hAnsi="Verdana"/>
          <w:sz w:val="20"/>
          <w:szCs w:val="20"/>
          <w:lang w:val="es-ES"/>
        </w:rPr>
      </w:pPr>
      <w:r w:rsidRPr="00CC790D">
        <w:rPr>
          <w:rFonts w:ascii="Verdana" w:hAnsi="Verdana"/>
          <w:sz w:val="20"/>
          <w:szCs w:val="20"/>
          <w:lang w:val="es-ES"/>
        </w:rPr>
        <w:t>Desagregado por tamaño de empresa, las micro abarcan el 95%, las pequeñas el 4%, las medianas el 0.7% y las grandes el 0.2%.</w:t>
      </w:r>
    </w:p>
    <w:p w:rsidRPr="00CC790D" w:rsidR="007B3ECB" w:rsidP="002E403C" w:rsidRDefault="007B3ECB" w14:paraId="5C816DE1" w14:textId="77777777">
      <w:pPr>
        <w:jc w:val="both"/>
        <w:rPr>
          <w:rFonts w:ascii="Verdana" w:hAnsi="Verdana"/>
          <w:sz w:val="20"/>
          <w:szCs w:val="20"/>
          <w:lang w:val="es-ES"/>
        </w:rPr>
      </w:pPr>
    </w:p>
    <w:p w:rsidRPr="00CC790D" w:rsidR="0065774C" w:rsidP="0065774C" w:rsidRDefault="002E403C" w14:paraId="5FBBA863" w14:textId="51CD7179">
      <w:pPr>
        <w:jc w:val="center"/>
        <w:rPr>
          <w:rFonts w:ascii="Verdana" w:hAnsi="Verdana"/>
          <w:b/>
          <w:bCs/>
          <w:sz w:val="20"/>
          <w:szCs w:val="20"/>
          <w:lang w:val="es-ES"/>
        </w:rPr>
      </w:pPr>
      <w:r w:rsidRPr="00CC790D">
        <w:rPr>
          <w:rFonts w:ascii="Verdana" w:hAnsi="Verdana"/>
          <w:b/>
          <w:bCs/>
          <w:sz w:val="20"/>
          <w:szCs w:val="20"/>
          <w:lang w:val="es-ES"/>
        </w:rPr>
        <w:t xml:space="preserve">Gráfica 5. </w:t>
      </w:r>
      <w:r w:rsidRPr="00CC790D" w:rsidR="0065774C">
        <w:rPr>
          <w:rFonts w:ascii="Verdana" w:hAnsi="Verdana"/>
          <w:b/>
          <w:bCs/>
          <w:sz w:val="20"/>
          <w:szCs w:val="20"/>
          <w:lang w:val="es-ES"/>
        </w:rPr>
        <w:t>Distribución de las Unidades Económicas de Servicios privados no financieros por tamaño</w:t>
      </w:r>
      <w:r w:rsidR="00C3502A">
        <w:rPr>
          <w:rFonts w:ascii="Verdana" w:hAnsi="Verdana"/>
          <w:b/>
          <w:bCs/>
          <w:sz w:val="20"/>
          <w:szCs w:val="20"/>
          <w:lang w:val="es-ES"/>
        </w:rPr>
        <w:t xml:space="preserve"> (2018)</w:t>
      </w:r>
    </w:p>
    <w:p w:rsidRPr="00CC790D" w:rsidR="00861473" w:rsidP="00C448E1" w:rsidRDefault="00861473" w14:paraId="6CEFD093" w14:textId="241DF19F">
      <w:pPr>
        <w:jc w:val="center"/>
        <w:rPr>
          <w:rFonts w:ascii="Verdana" w:hAnsi="Verdana"/>
          <w:sz w:val="20"/>
          <w:szCs w:val="20"/>
          <w:lang w:val="es-ES"/>
        </w:rPr>
      </w:pPr>
      <w:r w:rsidRPr="00CC790D">
        <w:rPr>
          <w:rFonts w:ascii="Verdana" w:hAnsi="Verdana"/>
          <w:noProof/>
          <w:sz w:val="20"/>
          <w:szCs w:val="20"/>
          <w:lang w:val="es-ES"/>
        </w:rPr>
        <w:drawing>
          <wp:inline distT="0" distB="0" distL="0" distR="0" wp14:anchorId="37BBB116" wp14:editId="5D314A37">
            <wp:extent cx="3305175" cy="1971675"/>
            <wp:effectExtent l="0" t="0" r="9525" b="9525"/>
            <wp:docPr id="8" name="Gráfico 8">
              <a:extLst xmlns:a="http://schemas.openxmlformats.org/drawingml/2006/main">
                <a:ext uri="{FF2B5EF4-FFF2-40B4-BE49-F238E27FC236}">
                  <a16:creationId xmlns:a16="http://schemas.microsoft.com/office/drawing/2014/main" id="{036B902D-A162-400C-9846-0C33A6DEAE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Pr="00CC790D" w:rsidR="00665534" w:rsidP="00665534" w:rsidRDefault="00665534" w14:paraId="2C6C1073" w14:textId="77777777">
      <w:pPr>
        <w:ind w:left="144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INEGI.</w:t>
      </w:r>
    </w:p>
    <w:p w:rsidRPr="00CC790D" w:rsidR="00861473" w:rsidP="002E403C" w:rsidRDefault="00451049" w14:paraId="19AA3B57" w14:textId="1512F9C3">
      <w:pPr>
        <w:jc w:val="both"/>
        <w:rPr>
          <w:rFonts w:ascii="Verdana" w:hAnsi="Verdana"/>
          <w:sz w:val="20"/>
          <w:szCs w:val="20"/>
          <w:lang w:val="es-ES"/>
        </w:rPr>
      </w:pPr>
      <w:r w:rsidRPr="00CC790D">
        <w:rPr>
          <w:rFonts w:ascii="Verdana" w:hAnsi="Verdana"/>
          <w:sz w:val="20"/>
          <w:szCs w:val="20"/>
          <w:lang w:val="es-ES"/>
        </w:rPr>
        <w:t>En cuanto a la generación de empleo, las microempresas contribuyen con el 43.2%, las pequeñas con el 17.4% y las medianas con el 14.2%. El restante 25% del empleo se ubica en las grandes empresas.</w:t>
      </w:r>
    </w:p>
    <w:p w:rsidRPr="00CC790D" w:rsidR="0065774C" w:rsidP="0065774C" w:rsidRDefault="002E403C" w14:paraId="596522D0" w14:textId="745BB325">
      <w:pPr>
        <w:jc w:val="center"/>
        <w:rPr>
          <w:rFonts w:ascii="Verdana" w:hAnsi="Verdana"/>
          <w:b/>
          <w:bCs/>
          <w:sz w:val="20"/>
          <w:szCs w:val="20"/>
          <w:lang w:val="es-ES"/>
        </w:rPr>
      </w:pPr>
      <w:r w:rsidRPr="00CC790D">
        <w:rPr>
          <w:rFonts w:ascii="Verdana" w:hAnsi="Verdana"/>
          <w:b/>
          <w:bCs/>
          <w:sz w:val="20"/>
          <w:szCs w:val="20"/>
          <w:lang w:val="es-ES"/>
        </w:rPr>
        <w:t xml:space="preserve">Gráfica 6. </w:t>
      </w:r>
      <w:r w:rsidRPr="00CC790D" w:rsidR="0065774C">
        <w:rPr>
          <w:rFonts w:ascii="Verdana" w:hAnsi="Verdana"/>
          <w:b/>
          <w:bCs/>
          <w:sz w:val="20"/>
          <w:szCs w:val="20"/>
          <w:lang w:val="es-ES"/>
        </w:rPr>
        <w:t>Distribución del Personal Ocupado en los Servicios privados no financieros por tamaño de empresa</w:t>
      </w:r>
      <w:r w:rsidR="00C3502A">
        <w:rPr>
          <w:rFonts w:ascii="Verdana" w:hAnsi="Verdana"/>
          <w:b/>
          <w:bCs/>
          <w:sz w:val="20"/>
          <w:szCs w:val="20"/>
          <w:lang w:val="es-ES"/>
        </w:rPr>
        <w:t xml:space="preserve"> (2018)</w:t>
      </w:r>
    </w:p>
    <w:p w:rsidRPr="00CC790D" w:rsidR="00861473" w:rsidP="00C448E1" w:rsidRDefault="00861473" w14:paraId="3479C781" w14:textId="0DE1BB33">
      <w:pPr>
        <w:jc w:val="center"/>
        <w:rPr>
          <w:rFonts w:ascii="Verdana" w:hAnsi="Verdana"/>
          <w:sz w:val="20"/>
          <w:szCs w:val="20"/>
          <w:lang w:val="es-ES"/>
        </w:rPr>
      </w:pPr>
      <w:r w:rsidRPr="00CC790D">
        <w:rPr>
          <w:rFonts w:ascii="Verdana" w:hAnsi="Verdana"/>
          <w:noProof/>
          <w:sz w:val="20"/>
          <w:szCs w:val="20"/>
          <w:lang w:val="es-ES"/>
        </w:rPr>
        <w:drawing>
          <wp:inline distT="0" distB="0" distL="0" distR="0" wp14:anchorId="05D197D0" wp14:editId="7E478166">
            <wp:extent cx="3057525" cy="2190750"/>
            <wp:effectExtent l="0" t="0" r="9525" b="0"/>
            <wp:docPr id="9" name="Gráfico 9">
              <a:extLst xmlns:a="http://schemas.openxmlformats.org/drawingml/2006/main">
                <a:ext uri="{FF2B5EF4-FFF2-40B4-BE49-F238E27FC236}">
                  <a16:creationId xmlns:a16="http://schemas.microsoft.com/office/drawing/2014/main" id="{AA277874-3C64-43B9-AEDC-ED749C417B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Pr="00CC790D" w:rsidR="00665534" w:rsidP="00665534" w:rsidRDefault="00665534" w14:paraId="17FA9049" w14:textId="77777777">
      <w:pPr>
        <w:ind w:left="144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INEGI.</w:t>
      </w:r>
    </w:p>
    <w:p w:rsidR="00C3502A" w:rsidP="0065774C" w:rsidRDefault="00C3502A" w14:paraId="5AE20473" w14:textId="77777777">
      <w:pPr>
        <w:tabs>
          <w:tab w:val="left" w:pos="3969"/>
        </w:tabs>
        <w:rPr>
          <w:rFonts w:ascii="Verdana" w:hAnsi="Verdana"/>
          <w:i/>
          <w:iCs/>
          <w:sz w:val="20"/>
          <w:szCs w:val="20"/>
          <w:lang w:val="es-ES"/>
        </w:rPr>
      </w:pPr>
    </w:p>
    <w:p w:rsidRPr="00CC790D" w:rsidR="00861473" w:rsidP="0065774C" w:rsidRDefault="00861473" w14:paraId="46F280A2" w14:textId="46F9092E">
      <w:pPr>
        <w:tabs>
          <w:tab w:val="left" w:pos="3969"/>
        </w:tabs>
        <w:rPr>
          <w:rFonts w:ascii="Verdana" w:hAnsi="Verdana"/>
          <w:i/>
          <w:iCs/>
          <w:sz w:val="20"/>
          <w:szCs w:val="20"/>
          <w:lang w:val="es-ES"/>
        </w:rPr>
      </w:pPr>
      <w:r w:rsidRPr="00CC790D">
        <w:rPr>
          <w:rFonts w:ascii="Verdana" w:hAnsi="Verdana"/>
          <w:i/>
          <w:iCs/>
          <w:sz w:val="20"/>
          <w:szCs w:val="20"/>
          <w:lang w:val="es-ES"/>
        </w:rPr>
        <w:t>Resto de actividades económicas</w:t>
      </w:r>
    </w:p>
    <w:p w:rsidRPr="00CC790D" w:rsidR="0065774C" w:rsidP="0065774C" w:rsidRDefault="00765872" w14:paraId="226A13C5" w14:textId="266A63E9">
      <w:pPr>
        <w:tabs>
          <w:tab w:val="left" w:pos="3969"/>
        </w:tabs>
        <w:rPr>
          <w:rFonts w:ascii="Verdana" w:hAnsi="Verdana"/>
          <w:sz w:val="20"/>
          <w:szCs w:val="20"/>
          <w:lang w:val="es-ES"/>
        </w:rPr>
      </w:pPr>
      <w:r w:rsidRPr="00CC790D">
        <w:rPr>
          <w:rFonts w:ascii="Verdana" w:hAnsi="Verdana"/>
          <w:sz w:val="20"/>
          <w:szCs w:val="20"/>
          <w:lang w:val="es-ES"/>
        </w:rPr>
        <w:t>En el resto de las actividades económicas las MIPYME representan 98.5% del total de unidades económicas, el menor porcentaje de los distintos sectores. Asimismo, estas empresas generan el 45.3% del empleo del sector, cifra considerablemente menor que otros sectores.</w:t>
      </w:r>
    </w:p>
    <w:p w:rsidRPr="00CC790D" w:rsidR="00765872" w:rsidP="0065774C" w:rsidRDefault="00C619C5" w14:paraId="5A87A7B4" w14:textId="6C078DEA">
      <w:pPr>
        <w:tabs>
          <w:tab w:val="left" w:pos="3969"/>
        </w:tabs>
        <w:rPr>
          <w:rFonts w:ascii="Verdana" w:hAnsi="Verdana"/>
          <w:sz w:val="20"/>
          <w:szCs w:val="20"/>
          <w:lang w:val="es-ES"/>
        </w:rPr>
      </w:pPr>
      <w:r w:rsidRPr="00CC790D">
        <w:rPr>
          <w:rFonts w:ascii="Verdana" w:hAnsi="Verdana"/>
          <w:sz w:val="20"/>
          <w:szCs w:val="20"/>
          <w:lang w:val="es-ES"/>
        </w:rPr>
        <w:t>Dentro de estas actividades, se observa una mayor heterogeneidad en la distribución por tamaño de empresas: las micro agrupan al 69.2% de las unidades económicas, las pequeñas al 22.8%, las medianas al 6.5%, y las grandes 1.5%.</w:t>
      </w:r>
    </w:p>
    <w:p w:rsidRPr="00CC790D" w:rsidR="0065774C" w:rsidP="0065774C" w:rsidRDefault="002E403C" w14:paraId="5F4FD7EA" w14:textId="6EE5BB18">
      <w:pPr>
        <w:jc w:val="center"/>
        <w:rPr>
          <w:rFonts w:ascii="Verdana" w:hAnsi="Verdana"/>
          <w:b/>
          <w:bCs/>
          <w:sz w:val="20"/>
          <w:szCs w:val="20"/>
          <w:lang w:val="es-ES"/>
        </w:rPr>
      </w:pPr>
      <w:r w:rsidRPr="00CC790D">
        <w:rPr>
          <w:rFonts w:ascii="Verdana" w:hAnsi="Verdana"/>
          <w:b/>
          <w:bCs/>
          <w:sz w:val="20"/>
          <w:szCs w:val="20"/>
          <w:lang w:val="es-ES"/>
        </w:rPr>
        <w:t xml:space="preserve">Gráfico 7. </w:t>
      </w:r>
      <w:r w:rsidRPr="00CC790D" w:rsidR="0065774C">
        <w:rPr>
          <w:rFonts w:ascii="Verdana" w:hAnsi="Verdana"/>
          <w:b/>
          <w:bCs/>
          <w:sz w:val="20"/>
          <w:szCs w:val="20"/>
          <w:lang w:val="es-ES"/>
        </w:rPr>
        <w:t>Distribución de las Unidades Económicas del Resto de actividades económicas por tamaño</w:t>
      </w:r>
      <w:r w:rsidR="00C3502A">
        <w:rPr>
          <w:rFonts w:ascii="Verdana" w:hAnsi="Verdana"/>
          <w:b/>
          <w:bCs/>
          <w:sz w:val="20"/>
          <w:szCs w:val="20"/>
          <w:lang w:val="es-ES"/>
        </w:rPr>
        <w:t xml:space="preserve"> (2018)</w:t>
      </w:r>
    </w:p>
    <w:p w:rsidRPr="00CC790D" w:rsidR="00861473" w:rsidP="00C448E1" w:rsidRDefault="00861473" w14:paraId="69538ED9" w14:textId="6EE9E16E">
      <w:pPr>
        <w:jc w:val="center"/>
        <w:rPr>
          <w:rFonts w:ascii="Verdana" w:hAnsi="Verdana"/>
          <w:sz w:val="20"/>
          <w:szCs w:val="20"/>
          <w:lang w:val="es-ES"/>
        </w:rPr>
      </w:pPr>
      <w:r w:rsidRPr="00C3502A">
        <w:rPr>
          <w:rFonts w:ascii="Verdana" w:hAnsi="Verdana"/>
          <w:b/>
          <w:bCs/>
          <w:noProof/>
          <w:sz w:val="20"/>
          <w:szCs w:val="20"/>
          <w:lang w:val="es-ES"/>
        </w:rPr>
        <w:drawing>
          <wp:inline distT="0" distB="0" distL="0" distR="0" wp14:anchorId="3FA46828" wp14:editId="7E47149A">
            <wp:extent cx="3124200" cy="2000250"/>
            <wp:effectExtent l="0" t="0" r="0" b="0"/>
            <wp:docPr id="10" name="Gráfico 10">
              <a:extLst xmlns:a="http://schemas.openxmlformats.org/drawingml/2006/main">
                <a:ext uri="{FF2B5EF4-FFF2-40B4-BE49-F238E27FC236}">
                  <a16:creationId xmlns:a16="http://schemas.microsoft.com/office/drawing/2014/main" id="{A19880EF-7FB5-4BAE-AE81-C8779117095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Pr="00CC790D" w:rsidR="002E403C" w:rsidP="002E403C" w:rsidRDefault="002E403C" w14:paraId="700A8A63" w14:textId="77777777">
      <w:pPr>
        <w:ind w:left="144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INEGI.</w:t>
      </w:r>
    </w:p>
    <w:p w:rsidRPr="00CC790D" w:rsidR="002E403C" w:rsidP="00C448E1" w:rsidRDefault="002E403C" w14:paraId="1D7A187F" w14:textId="77777777">
      <w:pPr>
        <w:jc w:val="center"/>
        <w:rPr>
          <w:rFonts w:ascii="Verdana" w:hAnsi="Verdana"/>
          <w:sz w:val="20"/>
          <w:szCs w:val="20"/>
          <w:lang w:val="es-ES"/>
        </w:rPr>
      </w:pPr>
    </w:p>
    <w:p w:rsidRPr="00CC790D" w:rsidR="002E403C" w:rsidP="002E403C" w:rsidRDefault="00D654ED" w14:paraId="60F61E6D" w14:textId="41C0230D">
      <w:pPr>
        <w:jc w:val="both"/>
        <w:rPr>
          <w:rFonts w:ascii="Verdana" w:hAnsi="Verdana"/>
          <w:sz w:val="20"/>
          <w:szCs w:val="20"/>
          <w:lang w:val="es-ES"/>
        </w:rPr>
      </w:pPr>
      <w:r w:rsidRPr="00CC790D">
        <w:rPr>
          <w:rFonts w:ascii="Verdana" w:hAnsi="Verdana"/>
          <w:sz w:val="20"/>
          <w:szCs w:val="20"/>
          <w:lang w:val="es-ES"/>
        </w:rPr>
        <w:t xml:space="preserve">Respecto al personal ocupado, </w:t>
      </w:r>
      <w:r w:rsidRPr="00CC790D" w:rsidR="00D52B0F">
        <w:rPr>
          <w:rFonts w:ascii="Verdana" w:hAnsi="Verdana"/>
          <w:sz w:val="20"/>
          <w:szCs w:val="20"/>
          <w:lang w:val="es-ES"/>
        </w:rPr>
        <w:t xml:space="preserve">las microempresas aportan el 8% del empleo, las pequeñas el 16%, y las medianas el 21%. En estas actividades las grandes empresas representan más de la mitad del empleo total (54.7%). </w:t>
      </w:r>
    </w:p>
    <w:p w:rsidRPr="00CC790D" w:rsidR="0065774C" w:rsidP="0065774C" w:rsidRDefault="002E403C" w14:paraId="17F5664C" w14:textId="5F831C83">
      <w:pPr>
        <w:jc w:val="center"/>
        <w:rPr>
          <w:rFonts w:ascii="Verdana" w:hAnsi="Verdana"/>
          <w:b/>
          <w:bCs/>
          <w:sz w:val="20"/>
          <w:szCs w:val="20"/>
          <w:lang w:val="es-ES"/>
        </w:rPr>
      </w:pPr>
      <w:r w:rsidRPr="00CC790D">
        <w:rPr>
          <w:rFonts w:ascii="Verdana" w:hAnsi="Verdana"/>
          <w:b/>
          <w:bCs/>
          <w:sz w:val="20"/>
          <w:szCs w:val="20"/>
          <w:lang w:val="es-ES"/>
        </w:rPr>
        <w:t xml:space="preserve">Gráfica 8. </w:t>
      </w:r>
      <w:r w:rsidRPr="00CC790D" w:rsidR="0065774C">
        <w:rPr>
          <w:rFonts w:ascii="Verdana" w:hAnsi="Verdana"/>
          <w:b/>
          <w:bCs/>
          <w:sz w:val="20"/>
          <w:szCs w:val="20"/>
          <w:lang w:val="es-ES"/>
        </w:rPr>
        <w:t>Distribución del Personal Ocupado en el Resto de las actividades económicas por tamaño de empresa</w:t>
      </w:r>
      <w:r w:rsidR="00C3502A">
        <w:rPr>
          <w:rFonts w:ascii="Verdana" w:hAnsi="Verdana"/>
          <w:b/>
          <w:bCs/>
          <w:sz w:val="20"/>
          <w:szCs w:val="20"/>
          <w:lang w:val="es-ES"/>
        </w:rPr>
        <w:t xml:space="preserve"> (2018)</w:t>
      </w:r>
    </w:p>
    <w:p w:rsidRPr="00CC790D" w:rsidR="00861473" w:rsidP="00C448E1" w:rsidRDefault="00861473" w14:paraId="631C55BE" w14:textId="6F111014">
      <w:pPr>
        <w:jc w:val="center"/>
        <w:rPr>
          <w:rFonts w:ascii="Verdana" w:hAnsi="Verdana"/>
          <w:sz w:val="20"/>
          <w:szCs w:val="20"/>
          <w:lang w:val="es-ES"/>
        </w:rPr>
      </w:pPr>
      <w:r w:rsidRPr="00CC790D">
        <w:rPr>
          <w:rFonts w:ascii="Verdana" w:hAnsi="Verdana"/>
          <w:noProof/>
          <w:sz w:val="20"/>
          <w:szCs w:val="20"/>
          <w:lang w:val="es-ES"/>
        </w:rPr>
        <w:drawing>
          <wp:inline distT="0" distB="0" distL="0" distR="0" wp14:anchorId="08D11751" wp14:editId="5CB88737">
            <wp:extent cx="3581400" cy="2457450"/>
            <wp:effectExtent l="0" t="0" r="0" b="0"/>
            <wp:docPr id="11" name="Gráfico 11">
              <a:extLst xmlns:a="http://schemas.openxmlformats.org/drawingml/2006/main">
                <a:ext uri="{FF2B5EF4-FFF2-40B4-BE49-F238E27FC236}">
                  <a16:creationId xmlns:a16="http://schemas.microsoft.com/office/drawing/2014/main" id="{0186A895-2B19-4D8C-B56F-8FE1B8F962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Pr="00CC790D" w:rsidR="002E403C" w:rsidP="002E403C" w:rsidRDefault="002E403C" w14:paraId="5940C123" w14:textId="77777777">
      <w:pPr>
        <w:ind w:left="1440" w:firstLine="720"/>
        <w:rPr>
          <w:rFonts w:ascii="Verdana" w:hAnsi="Verdana"/>
          <w:sz w:val="16"/>
          <w:szCs w:val="16"/>
          <w:lang w:val="es-ES"/>
        </w:rPr>
      </w:pPr>
      <w:r w:rsidRPr="00CC790D">
        <w:rPr>
          <w:rFonts w:ascii="Verdana" w:hAnsi="Verdana"/>
          <w:b/>
          <w:bCs/>
          <w:sz w:val="16"/>
          <w:szCs w:val="16"/>
          <w:lang w:val="es-ES"/>
        </w:rPr>
        <w:t>Fuente:</w:t>
      </w:r>
      <w:r w:rsidRPr="00CC790D">
        <w:rPr>
          <w:rFonts w:ascii="Verdana" w:hAnsi="Verdana"/>
          <w:sz w:val="16"/>
          <w:szCs w:val="16"/>
          <w:lang w:val="es-ES"/>
        </w:rPr>
        <w:t xml:space="preserve"> INEGI.</w:t>
      </w:r>
    </w:p>
    <w:p w:rsidRPr="00CC790D" w:rsidR="002E403C" w:rsidP="001F77BE" w:rsidRDefault="002E403C" w14:paraId="0AFB6CA8" w14:textId="77777777">
      <w:pPr>
        <w:rPr>
          <w:rFonts w:ascii="Verdana" w:hAnsi="Verdana"/>
          <w:sz w:val="20"/>
          <w:szCs w:val="20"/>
          <w:lang w:val="es-ES"/>
        </w:rPr>
      </w:pPr>
    </w:p>
    <w:p w:rsidRPr="00CC790D" w:rsidR="001F77BE" w:rsidP="00394D0B" w:rsidRDefault="001F77BE" w14:paraId="359967FC" w14:textId="5A155448">
      <w:pPr>
        <w:pStyle w:val="ListParagraph"/>
        <w:numPr>
          <w:ilvl w:val="0"/>
          <w:numId w:val="19"/>
        </w:numPr>
        <w:rPr>
          <w:rFonts w:ascii="Verdana" w:hAnsi="Verdana"/>
          <w:b/>
          <w:bCs/>
          <w:lang w:val="es-ES"/>
        </w:rPr>
      </w:pPr>
      <w:r w:rsidRPr="00CC790D">
        <w:rPr>
          <w:rFonts w:ascii="Verdana" w:hAnsi="Verdana"/>
          <w:b/>
          <w:bCs/>
          <w:lang w:val="es-ES"/>
        </w:rPr>
        <w:t>Panorama del financiamiento a MIPYME en México pre-crisis</w:t>
      </w:r>
    </w:p>
    <w:p w:rsidRPr="00CC790D" w:rsidR="00E60A77" w:rsidP="002E403C" w:rsidRDefault="000C1843" w14:paraId="73C59F95" w14:textId="04646433">
      <w:pPr>
        <w:jc w:val="both"/>
        <w:rPr>
          <w:rFonts w:ascii="Verdana" w:hAnsi="Verdana"/>
          <w:sz w:val="20"/>
          <w:szCs w:val="20"/>
          <w:lang w:val="es-ES"/>
        </w:rPr>
      </w:pPr>
      <w:r w:rsidRPr="00CC790D">
        <w:rPr>
          <w:rFonts w:ascii="Verdana" w:hAnsi="Verdana"/>
          <w:sz w:val="20"/>
          <w:szCs w:val="20"/>
          <w:lang w:val="es-ES"/>
        </w:rPr>
        <w:t>El acceso a crédito resulta fundamental para impulsar el desarrollo de las MIPYME. La</w:t>
      </w:r>
      <w:r w:rsidRPr="00CC790D" w:rsidR="00E60A77">
        <w:rPr>
          <w:rFonts w:ascii="Verdana" w:hAnsi="Verdana"/>
          <w:sz w:val="20"/>
          <w:szCs w:val="20"/>
          <w:lang w:val="es-ES"/>
        </w:rPr>
        <w:t xml:space="preserve"> </w:t>
      </w:r>
      <w:r w:rsidR="00E83D0E">
        <w:rPr>
          <w:rFonts w:ascii="Verdana" w:hAnsi="Verdana"/>
          <w:sz w:val="20"/>
          <w:szCs w:val="20"/>
          <w:lang w:val="es-ES"/>
        </w:rPr>
        <w:t>CNBV</w:t>
      </w:r>
      <w:r w:rsidRPr="00CC790D" w:rsidR="00E60A77">
        <w:rPr>
          <w:rFonts w:ascii="Verdana" w:hAnsi="Verdana"/>
          <w:sz w:val="20"/>
          <w:szCs w:val="20"/>
          <w:lang w:val="es-ES"/>
        </w:rPr>
        <w:t>, ente regulador del sector financiero en México, es la encargada de divulgar información sobre acceso y condiciones de financiamiento de las empresas y los diversos agentes productivos.</w:t>
      </w:r>
    </w:p>
    <w:p w:rsidRPr="00C3502A" w:rsidR="00D234DB" w:rsidP="002E403C" w:rsidRDefault="0093227D" w14:paraId="08D9CF1E" w14:textId="2E4D6CF2">
      <w:pPr>
        <w:jc w:val="both"/>
        <w:rPr>
          <w:rFonts w:ascii="Verdana" w:hAnsi="Verdana"/>
          <w:i/>
          <w:iCs/>
          <w:sz w:val="20"/>
          <w:szCs w:val="20"/>
          <w:lang w:val="es-ES"/>
        </w:rPr>
      </w:pPr>
      <w:r w:rsidRPr="00C3502A">
        <w:rPr>
          <w:rFonts w:ascii="Verdana" w:hAnsi="Verdana"/>
          <w:i/>
          <w:iCs/>
          <w:sz w:val="20"/>
          <w:szCs w:val="20"/>
          <w:lang w:val="es-ES"/>
        </w:rPr>
        <w:t>La</w:t>
      </w:r>
      <w:r w:rsidRPr="00C3502A" w:rsidR="00262173">
        <w:rPr>
          <w:rFonts w:ascii="Verdana" w:hAnsi="Verdana"/>
          <w:i/>
          <w:iCs/>
          <w:sz w:val="20"/>
          <w:szCs w:val="20"/>
          <w:lang w:val="es-ES"/>
        </w:rPr>
        <w:t xml:space="preserve"> última</w:t>
      </w:r>
      <w:r w:rsidRPr="00C3502A">
        <w:rPr>
          <w:rFonts w:ascii="Verdana" w:hAnsi="Verdana"/>
          <w:i/>
          <w:iCs/>
          <w:sz w:val="20"/>
          <w:szCs w:val="20"/>
          <w:lang w:val="es-ES"/>
        </w:rPr>
        <w:t xml:space="preserve"> información </w:t>
      </w:r>
      <w:r w:rsidRPr="00C3502A" w:rsidR="00262173">
        <w:rPr>
          <w:rFonts w:ascii="Verdana" w:hAnsi="Verdana"/>
          <w:i/>
          <w:iCs/>
          <w:sz w:val="20"/>
          <w:szCs w:val="20"/>
          <w:lang w:val="es-ES"/>
        </w:rPr>
        <w:t>disponible sobre a</w:t>
      </w:r>
      <w:r w:rsidRPr="00C3502A">
        <w:rPr>
          <w:rFonts w:ascii="Verdana" w:hAnsi="Verdana"/>
          <w:i/>
          <w:iCs/>
          <w:sz w:val="20"/>
          <w:szCs w:val="20"/>
          <w:lang w:val="es-ES"/>
        </w:rPr>
        <w:t xml:space="preserve">cceso y condiciones de crédito a empresas según tamaño </w:t>
      </w:r>
      <w:r w:rsidRPr="00C3502A" w:rsidR="00262173">
        <w:rPr>
          <w:rFonts w:ascii="Verdana" w:hAnsi="Verdana"/>
          <w:i/>
          <w:iCs/>
          <w:sz w:val="20"/>
          <w:szCs w:val="20"/>
          <w:lang w:val="es-ES"/>
        </w:rPr>
        <w:t>corresponde</w:t>
      </w:r>
      <w:r w:rsidR="00827895">
        <w:rPr>
          <w:rFonts w:ascii="Verdana" w:hAnsi="Verdana"/>
          <w:i/>
          <w:iCs/>
          <w:sz w:val="20"/>
          <w:szCs w:val="20"/>
          <w:lang w:val="es-ES"/>
        </w:rPr>
        <w:t xml:space="preserve"> a julio de</w:t>
      </w:r>
      <w:r w:rsidRPr="00C3502A" w:rsidR="00262173">
        <w:rPr>
          <w:rFonts w:ascii="Verdana" w:hAnsi="Verdana"/>
          <w:i/>
          <w:iCs/>
          <w:sz w:val="20"/>
          <w:szCs w:val="20"/>
          <w:lang w:val="es-ES"/>
        </w:rPr>
        <w:t xml:space="preserve"> 2017, por lo que el análisis sobre el perfil crediticio de las MIPYME estará acotado a dicho periodo.</w:t>
      </w:r>
      <w:r w:rsidRPr="00C3502A" w:rsidR="00D234DB">
        <w:rPr>
          <w:rFonts w:ascii="Verdana" w:hAnsi="Verdana"/>
          <w:i/>
          <w:iCs/>
          <w:sz w:val="20"/>
          <w:szCs w:val="20"/>
          <w:lang w:val="es-ES"/>
        </w:rPr>
        <w:t xml:space="preserve"> </w:t>
      </w:r>
    </w:p>
    <w:p w:rsidRPr="00CC790D" w:rsidR="00016B74" w:rsidP="002E403C" w:rsidRDefault="00396BF6" w14:paraId="29B2C550" w14:textId="6D34C1D5">
      <w:pPr>
        <w:jc w:val="both"/>
        <w:rPr>
          <w:rFonts w:ascii="Verdana" w:hAnsi="Verdana"/>
          <w:sz w:val="20"/>
          <w:szCs w:val="20"/>
          <w:lang w:val="es-ES"/>
        </w:rPr>
      </w:pPr>
      <w:r w:rsidRPr="00CC790D">
        <w:rPr>
          <w:rFonts w:ascii="Verdana" w:hAnsi="Verdana"/>
          <w:sz w:val="20"/>
          <w:szCs w:val="20"/>
          <w:lang w:val="es-ES"/>
        </w:rPr>
        <w:t>El saldo total de la cartera de crédito destinado a</w:t>
      </w:r>
      <w:r w:rsidRPr="00CC790D" w:rsidR="00016B74">
        <w:rPr>
          <w:rFonts w:ascii="Verdana" w:hAnsi="Verdana"/>
          <w:sz w:val="20"/>
          <w:szCs w:val="20"/>
          <w:lang w:val="es-ES"/>
        </w:rPr>
        <w:t xml:space="preserve"> empresas </w:t>
      </w:r>
      <w:r w:rsidRPr="00CC790D">
        <w:rPr>
          <w:rFonts w:ascii="Verdana" w:hAnsi="Verdana"/>
          <w:sz w:val="20"/>
          <w:szCs w:val="20"/>
          <w:lang w:val="es-ES"/>
        </w:rPr>
        <w:t>fue de 1,94</w:t>
      </w:r>
      <w:r w:rsidRPr="00CC790D" w:rsidR="00994A22">
        <w:rPr>
          <w:rFonts w:ascii="Verdana" w:hAnsi="Verdana"/>
          <w:sz w:val="20"/>
          <w:szCs w:val="20"/>
          <w:lang w:val="es-ES"/>
        </w:rPr>
        <w:t>9</w:t>
      </w:r>
      <w:r w:rsidRPr="00CC790D">
        <w:rPr>
          <w:rFonts w:ascii="Verdana" w:hAnsi="Verdana"/>
          <w:sz w:val="20"/>
          <w:szCs w:val="20"/>
          <w:lang w:val="es-ES"/>
        </w:rPr>
        <w:t>.8 mil millones de pesos (mdp)</w:t>
      </w:r>
      <w:r w:rsidRPr="00CC790D" w:rsidR="00016B74">
        <w:rPr>
          <w:rFonts w:ascii="Verdana" w:hAnsi="Verdana"/>
          <w:sz w:val="20"/>
          <w:szCs w:val="20"/>
          <w:lang w:val="es-ES"/>
        </w:rPr>
        <w:t xml:space="preserve"> en 2017</w:t>
      </w:r>
      <w:r w:rsidRPr="00CC790D">
        <w:rPr>
          <w:rFonts w:ascii="Verdana" w:hAnsi="Verdana"/>
          <w:sz w:val="20"/>
          <w:szCs w:val="20"/>
          <w:lang w:val="es-ES"/>
        </w:rPr>
        <w:t xml:space="preserve">, de los cuales </w:t>
      </w:r>
      <w:r w:rsidRPr="00CC790D" w:rsidR="00016B74">
        <w:rPr>
          <w:rFonts w:ascii="Verdana" w:hAnsi="Verdana"/>
          <w:sz w:val="20"/>
          <w:szCs w:val="20"/>
          <w:lang w:val="es-ES"/>
        </w:rPr>
        <w:t>el</w:t>
      </w:r>
      <w:r w:rsidRPr="00CC790D">
        <w:rPr>
          <w:rFonts w:ascii="Verdana" w:hAnsi="Verdana"/>
          <w:sz w:val="20"/>
          <w:szCs w:val="20"/>
          <w:lang w:val="es-ES"/>
        </w:rPr>
        <w:t xml:space="preserve"> </w:t>
      </w:r>
      <w:r w:rsidRPr="00CC790D" w:rsidR="00016B74">
        <w:rPr>
          <w:rFonts w:ascii="Verdana" w:hAnsi="Verdana"/>
          <w:sz w:val="20"/>
          <w:szCs w:val="20"/>
          <w:lang w:val="es-ES"/>
        </w:rPr>
        <w:t>22</w:t>
      </w:r>
      <w:r w:rsidRPr="00CC790D">
        <w:rPr>
          <w:rFonts w:ascii="Verdana" w:hAnsi="Verdana"/>
          <w:sz w:val="20"/>
          <w:szCs w:val="20"/>
          <w:lang w:val="es-ES"/>
        </w:rPr>
        <w:t>.</w:t>
      </w:r>
      <w:r w:rsidRPr="00CC790D" w:rsidR="00016B74">
        <w:rPr>
          <w:rFonts w:ascii="Verdana" w:hAnsi="Verdana"/>
          <w:sz w:val="20"/>
          <w:szCs w:val="20"/>
          <w:lang w:val="es-ES"/>
        </w:rPr>
        <w:t>2</w:t>
      </w:r>
      <w:r w:rsidRPr="00CC790D">
        <w:rPr>
          <w:rFonts w:ascii="Verdana" w:hAnsi="Verdana"/>
          <w:sz w:val="20"/>
          <w:szCs w:val="20"/>
          <w:lang w:val="es-ES"/>
        </w:rPr>
        <w:t>% se destinó a las MIPYME</w:t>
      </w:r>
      <w:r w:rsidRPr="00CC790D" w:rsidR="00016B74">
        <w:rPr>
          <w:rFonts w:ascii="Verdana" w:hAnsi="Verdana"/>
          <w:sz w:val="20"/>
          <w:szCs w:val="20"/>
          <w:lang w:val="es-ES"/>
        </w:rPr>
        <w:t>, mientras que las empresas grandes recibieron el restante 77.8%</w:t>
      </w:r>
      <w:r w:rsidRPr="00CC790D" w:rsidR="000D60F8">
        <w:rPr>
          <w:rFonts w:ascii="Verdana" w:hAnsi="Verdana"/>
          <w:sz w:val="20"/>
          <w:szCs w:val="20"/>
          <w:lang w:val="es-ES"/>
        </w:rPr>
        <w:t xml:space="preserve">. </w:t>
      </w:r>
      <w:r w:rsidRPr="00CC790D" w:rsidR="00876DDA">
        <w:rPr>
          <w:rFonts w:ascii="Verdana" w:hAnsi="Verdana"/>
          <w:sz w:val="20"/>
          <w:szCs w:val="20"/>
          <w:lang w:val="es-ES"/>
        </w:rPr>
        <w:t xml:space="preserve">Esta </w:t>
      </w:r>
      <w:bookmarkStart w:name="_Hlk42252583" w:id="0"/>
      <w:r w:rsidRPr="00CC790D" w:rsidR="00876DDA">
        <w:rPr>
          <w:rFonts w:ascii="Verdana" w:hAnsi="Verdana"/>
          <w:sz w:val="20"/>
          <w:szCs w:val="20"/>
          <w:lang w:val="es-ES"/>
        </w:rPr>
        <w:t>cifra es significativamente baja a la luz de la importancia de estas empresas en la economía del país</w:t>
      </w:r>
      <w:bookmarkEnd w:id="0"/>
      <w:r w:rsidRPr="00CC790D" w:rsidR="00876DDA">
        <w:rPr>
          <w:rFonts w:ascii="Verdana" w:hAnsi="Verdana"/>
          <w:sz w:val="20"/>
          <w:szCs w:val="20"/>
          <w:lang w:val="es-ES"/>
        </w:rPr>
        <w:t xml:space="preserve">. </w:t>
      </w:r>
    </w:p>
    <w:p w:rsidRPr="00CC790D" w:rsidR="00B93329" w:rsidP="002E403C" w:rsidRDefault="00B93329" w14:paraId="1BFCE871" w14:textId="66F551FB">
      <w:pPr>
        <w:jc w:val="both"/>
        <w:rPr>
          <w:rFonts w:ascii="Verdana" w:hAnsi="Verdana"/>
          <w:sz w:val="20"/>
          <w:szCs w:val="20"/>
          <w:lang w:val="es-ES"/>
        </w:rPr>
      </w:pPr>
      <w:r w:rsidRPr="00CC790D">
        <w:rPr>
          <w:rFonts w:ascii="Verdana" w:hAnsi="Verdana"/>
          <w:sz w:val="20"/>
          <w:szCs w:val="20"/>
          <w:lang w:val="es-ES"/>
        </w:rPr>
        <w:t>El saldo de la cartera crediticia a MIPYME ascendió a 494.3 mdp distribuidos en 400 mil empresas a través de 738.7 mil créditos. La tasa de interés promedio de los créditos a MIPYME fue de 12.7%, casi 5 puntos más que la tasa ofrecida a empresas grandes (7.9%).</w:t>
      </w:r>
    </w:p>
    <w:p w:rsidRPr="00CC790D" w:rsidR="003247A5" w:rsidP="002E403C" w:rsidRDefault="00B93329" w14:paraId="5F289AA1" w14:textId="77777777">
      <w:pPr>
        <w:jc w:val="both"/>
        <w:rPr>
          <w:rFonts w:ascii="Verdana" w:hAnsi="Verdana"/>
          <w:sz w:val="20"/>
          <w:szCs w:val="20"/>
          <w:lang w:val="es-ES"/>
        </w:rPr>
      </w:pPr>
      <w:r w:rsidRPr="00CC790D">
        <w:rPr>
          <w:rFonts w:ascii="Verdana" w:hAnsi="Verdana"/>
          <w:sz w:val="20"/>
          <w:szCs w:val="20"/>
          <w:lang w:val="es-ES"/>
        </w:rPr>
        <w:t>En cuanto a la evolución del crédito a MIPYME, l</w:t>
      </w:r>
      <w:r w:rsidRPr="00CC790D" w:rsidR="00876DDA">
        <w:rPr>
          <w:rFonts w:ascii="Verdana" w:hAnsi="Verdana"/>
          <w:sz w:val="20"/>
          <w:szCs w:val="20"/>
          <w:lang w:val="es-ES"/>
        </w:rPr>
        <w:t xml:space="preserve">a participación </w:t>
      </w:r>
      <w:r w:rsidRPr="00CC790D">
        <w:rPr>
          <w:rFonts w:ascii="Verdana" w:hAnsi="Verdana"/>
          <w:sz w:val="20"/>
          <w:szCs w:val="20"/>
          <w:lang w:val="es-ES"/>
        </w:rPr>
        <w:t xml:space="preserve">en </w:t>
      </w:r>
      <w:r w:rsidRPr="00CC790D" w:rsidR="00876DDA">
        <w:rPr>
          <w:rFonts w:ascii="Verdana" w:hAnsi="Verdana"/>
          <w:sz w:val="20"/>
          <w:szCs w:val="20"/>
          <w:lang w:val="es-ES"/>
        </w:rPr>
        <w:t xml:space="preserve">el total se </w:t>
      </w:r>
      <w:r w:rsidRPr="00CC790D" w:rsidR="000D1DA1">
        <w:rPr>
          <w:rFonts w:ascii="Verdana" w:hAnsi="Verdana"/>
          <w:sz w:val="20"/>
          <w:szCs w:val="20"/>
          <w:lang w:val="es-ES"/>
        </w:rPr>
        <w:t>incrementó</w:t>
      </w:r>
      <w:r w:rsidRPr="00CC790D" w:rsidR="00876DDA">
        <w:rPr>
          <w:rFonts w:ascii="Verdana" w:hAnsi="Verdana"/>
          <w:sz w:val="20"/>
          <w:szCs w:val="20"/>
          <w:lang w:val="es-ES"/>
        </w:rPr>
        <w:t xml:space="preserve"> de manera sistemática </w:t>
      </w:r>
      <w:r w:rsidRPr="00CC790D">
        <w:rPr>
          <w:rFonts w:ascii="Verdana" w:hAnsi="Verdana"/>
          <w:sz w:val="20"/>
          <w:szCs w:val="20"/>
          <w:lang w:val="es-ES"/>
        </w:rPr>
        <w:t>desde 2010</w:t>
      </w:r>
      <w:r w:rsidRPr="00CC790D" w:rsidR="00876DDA">
        <w:rPr>
          <w:rFonts w:ascii="Verdana" w:hAnsi="Verdana"/>
          <w:sz w:val="20"/>
          <w:szCs w:val="20"/>
          <w:lang w:val="es-ES"/>
        </w:rPr>
        <w:t xml:space="preserve"> hasta alcanzar un máximo de </w:t>
      </w:r>
      <w:r w:rsidRPr="00CC790D" w:rsidR="003247A5">
        <w:rPr>
          <w:rFonts w:ascii="Verdana" w:hAnsi="Verdana"/>
          <w:sz w:val="20"/>
          <w:szCs w:val="20"/>
          <w:lang w:val="es-ES"/>
        </w:rPr>
        <w:t>2</w:t>
      </w:r>
      <w:r w:rsidRPr="00CC790D" w:rsidR="00876DDA">
        <w:rPr>
          <w:rFonts w:ascii="Verdana" w:hAnsi="Verdana"/>
          <w:sz w:val="20"/>
          <w:szCs w:val="20"/>
          <w:lang w:val="es-ES"/>
        </w:rPr>
        <w:t>6</w:t>
      </w:r>
      <w:r w:rsidRPr="00CC790D" w:rsidR="003247A5">
        <w:rPr>
          <w:rFonts w:ascii="Verdana" w:hAnsi="Verdana"/>
          <w:sz w:val="20"/>
          <w:szCs w:val="20"/>
          <w:lang w:val="es-ES"/>
        </w:rPr>
        <w:t>.3</w:t>
      </w:r>
      <w:r w:rsidRPr="00CC790D" w:rsidR="00876DDA">
        <w:rPr>
          <w:rFonts w:ascii="Verdana" w:hAnsi="Verdana"/>
          <w:sz w:val="20"/>
          <w:szCs w:val="20"/>
          <w:lang w:val="es-ES"/>
        </w:rPr>
        <w:t>% en 201</w:t>
      </w:r>
      <w:r w:rsidRPr="00CC790D" w:rsidR="003247A5">
        <w:rPr>
          <w:rFonts w:ascii="Verdana" w:hAnsi="Verdana"/>
          <w:sz w:val="20"/>
          <w:szCs w:val="20"/>
          <w:lang w:val="es-ES"/>
        </w:rPr>
        <w:t>4</w:t>
      </w:r>
      <w:r w:rsidRPr="00CC790D" w:rsidR="00876DDA">
        <w:rPr>
          <w:rFonts w:ascii="Verdana" w:hAnsi="Verdana"/>
          <w:sz w:val="20"/>
          <w:szCs w:val="20"/>
          <w:lang w:val="es-ES"/>
        </w:rPr>
        <w:t xml:space="preserve">. A partir de ese año, </w:t>
      </w:r>
      <w:r w:rsidRPr="00CC790D" w:rsidR="003247A5">
        <w:rPr>
          <w:rFonts w:ascii="Verdana" w:hAnsi="Verdana"/>
          <w:sz w:val="20"/>
          <w:szCs w:val="20"/>
          <w:lang w:val="es-ES"/>
        </w:rPr>
        <w:t>este porcentaje se redujo año con año.</w:t>
      </w:r>
    </w:p>
    <w:p w:rsidRPr="00CC790D" w:rsidR="000D60F8" w:rsidP="002E403C" w:rsidRDefault="003247A5" w14:paraId="32887ABC" w14:textId="2FC30D5D">
      <w:pPr>
        <w:jc w:val="both"/>
        <w:rPr>
          <w:rFonts w:ascii="Verdana" w:hAnsi="Verdana"/>
          <w:sz w:val="20"/>
          <w:szCs w:val="20"/>
          <w:lang w:val="es-ES"/>
        </w:rPr>
      </w:pPr>
      <w:r w:rsidRPr="00CC790D">
        <w:rPr>
          <w:rFonts w:ascii="Verdana" w:hAnsi="Verdana"/>
          <w:sz w:val="20"/>
          <w:szCs w:val="20"/>
          <w:lang w:val="es-ES"/>
        </w:rPr>
        <w:t>Esto ilustra el limitado acceso a financiamiento por parte de este tipo de empresas y las condiciones adversas en que lo reciben, en comparación con el tratamiento recibido por las grandes empresas.</w:t>
      </w:r>
    </w:p>
    <w:p w:rsidRPr="00CC790D" w:rsidR="003247A5" w:rsidP="000D1DA1" w:rsidRDefault="003247A5" w14:paraId="68E486BE" w14:textId="0CADAB1A">
      <w:pPr>
        <w:jc w:val="both"/>
        <w:rPr>
          <w:rFonts w:ascii="Verdana" w:hAnsi="Verdana"/>
          <w:sz w:val="20"/>
          <w:szCs w:val="20"/>
          <w:lang w:val="es-ES"/>
        </w:rPr>
      </w:pPr>
    </w:p>
    <w:p w:rsidRPr="00CC790D" w:rsidR="002E403C" w:rsidP="002E403C" w:rsidRDefault="002E403C" w14:paraId="7D89BE96" w14:textId="341EDD13">
      <w:pPr>
        <w:jc w:val="center"/>
        <w:rPr>
          <w:rFonts w:ascii="Verdana" w:hAnsi="Verdana"/>
          <w:b/>
          <w:bCs/>
          <w:sz w:val="20"/>
          <w:szCs w:val="20"/>
          <w:lang w:val="es-ES"/>
        </w:rPr>
      </w:pPr>
      <w:r w:rsidRPr="00CC790D">
        <w:rPr>
          <w:rFonts w:ascii="Verdana" w:hAnsi="Verdana"/>
          <w:b/>
          <w:bCs/>
          <w:sz w:val="20"/>
          <w:szCs w:val="20"/>
          <w:lang w:val="es-ES"/>
        </w:rPr>
        <w:t>Gráfica 9. Participación del crédito a MIPYME en el total</w:t>
      </w:r>
    </w:p>
    <w:p w:rsidRPr="00CC790D" w:rsidR="00876DDA" w:rsidP="000C7894" w:rsidRDefault="00876DDA" w14:paraId="1F897382" w14:textId="20CD447D">
      <w:pPr>
        <w:jc w:val="center"/>
        <w:rPr>
          <w:rFonts w:ascii="Verdana" w:hAnsi="Verdana"/>
          <w:sz w:val="20"/>
          <w:szCs w:val="20"/>
          <w:lang w:val="es-ES"/>
        </w:rPr>
      </w:pPr>
      <w:r w:rsidRPr="00CC790D">
        <w:rPr>
          <w:rFonts w:ascii="Verdana" w:hAnsi="Verdana"/>
          <w:noProof/>
          <w:sz w:val="20"/>
          <w:szCs w:val="20"/>
          <w:lang w:val="es-ES"/>
        </w:rPr>
        <w:drawing>
          <wp:inline distT="0" distB="0" distL="0" distR="0" wp14:anchorId="00F76431" wp14:editId="674E5939">
            <wp:extent cx="3895725" cy="2590800"/>
            <wp:effectExtent l="0" t="0" r="9525" b="0"/>
            <wp:docPr id="12" name="Gráfico 12">
              <a:extLst xmlns:a="http://schemas.openxmlformats.org/drawingml/2006/main">
                <a:ext uri="{FF2B5EF4-FFF2-40B4-BE49-F238E27FC236}">
                  <a16:creationId xmlns:a16="http://schemas.microsoft.com/office/drawing/2014/main" id="{E1397EE3-7F2B-4937-8E24-0BB1B9194C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Pr="00CC790D" w:rsidR="000C7894" w:rsidP="000C7894" w:rsidRDefault="000C7894" w14:paraId="7DC93910" w14:textId="3901C519">
      <w:pPr>
        <w:rPr>
          <w:rFonts w:ascii="Verdana" w:hAnsi="Verdana"/>
          <w:b/>
          <w:bCs/>
          <w:sz w:val="16"/>
          <w:szCs w:val="16"/>
          <w:lang w:val="es-ES"/>
        </w:rPr>
      </w:pPr>
      <w:r w:rsidRPr="00CC790D">
        <w:rPr>
          <w:rFonts w:ascii="Verdana" w:hAnsi="Verdana"/>
          <w:b/>
          <w:bCs/>
          <w:sz w:val="16"/>
          <w:szCs w:val="16"/>
          <w:lang w:val="es-ES"/>
        </w:rPr>
        <w:tab/>
      </w:r>
      <w:r w:rsidRPr="00CC790D">
        <w:rPr>
          <w:rFonts w:ascii="Verdana" w:hAnsi="Verdana"/>
          <w:b/>
          <w:bCs/>
          <w:sz w:val="16"/>
          <w:szCs w:val="16"/>
          <w:lang w:val="es-ES"/>
        </w:rPr>
        <w:tab/>
      </w:r>
      <w:r w:rsidRPr="00CC790D">
        <w:rPr>
          <w:rFonts w:ascii="Verdana" w:hAnsi="Verdana"/>
          <w:b/>
          <w:bCs/>
          <w:sz w:val="16"/>
          <w:szCs w:val="16"/>
          <w:lang w:val="es-ES"/>
        </w:rPr>
        <w:t xml:space="preserve">Fuente: </w:t>
      </w:r>
      <w:r w:rsidRPr="00CC790D">
        <w:rPr>
          <w:rFonts w:ascii="Verdana" w:hAnsi="Verdana"/>
          <w:sz w:val="16"/>
          <w:szCs w:val="16"/>
          <w:lang w:val="es-ES"/>
        </w:rPr>
        <w:t>CNBV</w:t>
      </w:r>
    </w:p>
    <w:p w:rsidR="00885CB0" w:rsidP="000C7894" w:rsidRDefault="00885CB0" w14:paraId="6BA45666" w14:textId="4FA28EDC">
      <w:pPr>
        <w:rPr>
          <w:rFonts w:ascii="Verdana" w:hAnsi="Verdana"/>
          <w:sz w:val="20"/>
          <w:szCs w:val="20"/>
          <w:lang w:val="es-ES"/>
        </w:rPr>
      </w:pPr>
    </w:p>
    <w:p w:rsidR="0072200E" w:rsidP="007410F4" w:rsidRDefault="007E141D" w14:paraId="3E6CBC95" w14:textId="3200EA4D">
      <w:pPr>
        <w:jc w:val="both"/>
        <w:rPr>
          <w:rFonts w:ascii="Verdana" w:hAnsi="Verdana"/>
          <w:sz w:val="20"/>
          <w:szCs w:val="20"/>
          <w:lang w:val="es-ES"/>
        </w:rPr>
      </w:pPr>
      <w:r>
        <w:rPr>
          <w:rFonts w:ascii="Verdana" w:hAnsi="Verdana"/>
          <w:sz w:val="20"/>
          <w:szCs w:val="20"/>
          <w:lang w:val="es-ES"/>
        </w:rPr>
        <w:t>De acuerdo con Banxico y la última información disponible</w:t>
      </w:r>
      <w:r>
        <w:rPr>
          <w:rStyle w:val="FootnoteReference"/>
          <w:rFonts w:ascii="Verdana" w:hAnsi="Verdana"/>
          <w:sz w:val="20"/>
          <w:szCs w:val="20"/>
          <w:lang w:val="es-ES"/>
        </w:rPr>
        <w:footnoteReference w:id="4"/>
      </w:r>
      <w:r>
        <w:rPr>
          <w:rFonts w:ascii="Verdana" w:hAnsi="Verdana"/>
          <w:sz w:val="20"/>
          <w:szCs w:val="20"/>
          <w:lang w:val="es-ES"/>
        </w:rPr>
        <w:t>, p</w:t>
      </w:r>
      <w:r w:rsidR="0072200E">
        <w:rPr>
          <w:rFonts w:ascii="Verdana" w:hAnsi="Verdana"/>
          <w:sz w:val="20"/>
          <w:szCs w:val="20"/>
          <w:lang w:val="es-ES"/>
        </w:rPr>
        <w:t>or destino de crédito, durante el periodo agosto 2016 a julio 2017 se otorgaron alrededor de 142 mil créditos de capital de trabajo a MIPYME</w:t>
      </w:r>
      <w:r w:rsidR="00BA7E2A">
        <w:rPr>
          <w:rFonts w:ascii="Verdana" w:hAnsi="Verdana"/>
          <w:sz w:val="20"/>
          <w:szCs w:val="20"/>
          <w:lang w:val="es-ES"/>
        </w:rPr>
        <w:t>,</w:t>
      </w:r>
      <w:r w:rsidR="0072200E">
        <w:rPr>
          <w:rFonts w:ascii="Verdana" w:hAnsi="Verdana"/>
          <w:sz w:val="20"/>
          <w:szCs w:val="20"/>
          <w:lang w:val="es-ES"/>
        </w:rPr>
        <w:t xml:space="preserve"> con un saldo cercano a los 185 mil mdp a una tasa promedio de 12.9%.</w:t>
      </w:r>
    </w:p>
    <w:p w:rsidR="00BA7E2A" w:rsidP="007410F4" w:rsidRDefault="00BA7E2A" w14:paraId="2B3B81AE" w14:textId="08E43654">
      <w:pPr>
        <w:jc w:val="both"/>
        <w:rPr>
          <w:rFonts w:ascii="Verdana" w:hAnsi="Verdana"/>
          <w:sz w:val="20"/>
          <w:szCs w:val="20"/>
          <w:lang w:val="es-ES"/>
        </w:rPr>
      </w:pPr>
      <w:r>
        <w:rPr>
          <w:rFonts w:ascii="Verdana" w:hAnsi="Verdana"/>
          <w:sz w:val="20"/>
          <w:szCs w:val="20"/>
          <w:lang w:val="es-ES"/>
        </w:rPr>
        <w:t xml:space="preserve">Los </w:t>
      </w:r>
      <w:r w:rsidR="0072200E">
        <w:rPr>
          <w:rFonts w:ascii="Verdana" w:hAnsi="Verdana"/>
          <w:sz w:val="20"/>
          <w:szCs w:val="20"/>
          <w:lang w:val="es-ES"/>
        </w:rPr>
        <w:t xml:space="preserve">créditos de inversión emitidos durante dicho periodo </w:t>
      </w:r>
      <w:r>
        <w:rPr>
          <w:rFonts w:ascii="Verdana" w:hAnsi="Verdana"/>
          <w:sz w:val="20"/>
          <w:szCs w:val="20"/>
          <w:lang w:val="es-ES"/>
        </w:rPr>
        <w:t>fueron cerca de 100 mil, con un saldo superior a los 33 mil mdp a una tasa promedio de 11.4%. Por su parte, los créditos a tarjeta de crédito empresarial para MIPYME alcanzaron un saldo de poco más de 4 mil mdp a una tasa promedio de 16.8% por medio de poco más de 16 mil créditos.</w:t>
      </w:r>
    </w:p>
    <w:p w:rsidR="00BA7E2A" w:rsidP="007410F4" w:rsidRDefault="00BA7E2A" w14:paraId="3604E765" w14:textId="3FC7B9EA">
      <w:pPr>
        <w:jc w:val="both"/>
        <w:rPr>
          <w:rFonts w:ascii="Verdana" w:hAnsi="Verdana"/>
          <w:sz w:val="20"/>
          <w:szCs w:val="20"/>
          <w:lang w:val="es-ES"/>
        </w:rPr>
      </w:pPr>
      <w:r>
        <w:rPr>
          <w:rFonts w:ascii="Verdana" w:hAnsi="Verdana"/>
          <w:sz w:val="20"/>
          <w:szCs w:val="20"/>
          <w:lang w:val="es-ES"/>
        </w:rPr>
        <w:t>De acuerdo con el saldo, el crédito al capital de trabajo representó 83% del total, a la inversión el 15.1% y a tarjeta de crédito el 1.9%.</w:t>
      </w:r>
    </w:p>
    <w:p w:rsidRPr="00CC790D" w:rsidR="00885CB0" w:rsidP="002E403C" w:rsidRDefault="00885CB0" w14:paraId="649BAC8D" w14:textId="75F51751">
      <w:pPr>
        <w:jc w:val="both"/>
        <w:rPr>
          <w:rFonts w:ascii="Verdana" w:hAnsi="Verdana"/>
          <w:sz w:val="20"/>
          <w:szCs w:val="20"/>
          <w:lang w:val="es-ES"/>
        </w:rPr>
      </w:pPr>
      <w:r w:rsidRPr="00CC790D">
        <w:rPr>
          <w:rFonts w:ascii="Verdana" w:hAnsi="Verdana"/>
          <w:sz w:val="20"/>
          <w:szCs w:val="20"/>
          <w:lang w:val="es-ES"/>
        </w:rPr>
        <w:t>Respecto al índice de morosidad</w:t>
      </w:r>
      <w:r w:rsidRPr="00CC790D" w:rsidR="000802A0">
        <w:rPr>
          <w:rFonts w:ascii="Verdana" w:hAnsi="Verdana"/>
          <w:sz w:val="20"/>
          <w:szCs w:val="20"/>
          <w:lang w:val="es-ES"/>
        </w:rPr>
        <w:t xml:space="preserve"> de los créditos a MIPYME</w:t>
      </w:r>
      <w:r w:rsidRPr="00CC790D">
        <w:rPr>
          <w:rFonts w:ascii="Verdana" w:hAnsi="Verdana"/>
          <w:sz w:val="20"/>
          <w:szCs w:val="20"/>
          <w:lang w:val="es-ES"/>
        </w:rPr>
        <w:t xml:space="preserve">, definido como el cociente entre el saldo de la cartera vencida y el saldo a la cartera total, éste se ubicó en 4.6%. Este nivel es similar al índice de morosidad observado en el crédito al </w:t>
      </w:r>
      <w:r w:rsidRPr="00CC790D" w:rsidR="00503B39">
        <w:rPr>
          <w:rFonts w:ascii="Verdana" w:hAnsi="Verdana"/>
          <w:sz w:val="20"/>
          <w:szCs w:val="20"/>
          <w:lang w:val="es-ES"/>
        </w:rPr>
        <w:t>C</w:t>
      </w:r>
      <w:r w:rsidRPr="00CC790D">
        <w:rPr>
          <w:rFonts w:ascii="Verdana" w:hAnsi="Verdana"/>
          <w:sz w:val="20"/>
          <w:szCs w:val="20"/>
          <w:lang w:val="es-ES"/>
        </w:rPr>
        <w:t>onsumo (4.4%) y mayor al del crédito de la Vivienda (</w:t>
      </w:r>
      <w:r w:rsidRPr="00CC790D" w:rsidR="000802A0">
        <w:rPr>
          <w:rFonts w:ascii="Verdana" w:hAnsi="Verdana"/>
          <w:sz w:val="20"/>
          <w:szCs w:val="20"/>
          <w:lang w:val="es-ES"/>
        </w:rPr>
        <w:t>2.5%) y al de las grandes empresas (0.9%).</w:t>
      </w:r>
    </w:p>
    <w:p w:rsidRPr="00CC790D" w:rsidR="00B151B7" w:rsidP="002E403C" w:rsidRDefault="00E83D0E" w14:paraId="06230A34" w14:textId="2E283CBF">
      <w:pPr>
        <w:jc w:val="both"/>
        <w:rPr>
          <w:rFonts w:ascii="Verdana" w:hAnsi="Verdana"/>
          <w:sz w:val="20"/>
          <w:szCs w:val="20"/>
          <w:lang w:val="es-ES"/>
        </w:rPr>
      </w:pPr>
      <w:r>
        <w:rPr>
          <w:rFonts w:ascii="Verdana" w:hAnsi="Verdana"/>
          <w:sz w:val="20"/>
          <w:szCs w:val="20"/>
          <w:lang w:val="es-ES"/>
        </w:rPr>
        <w:t>L</w:t>
      </w:r>
      <w:r w:rsidRPr="00CC790D" w:rsidR="00C26303">
        <w:rPr>
          <w:rFonts w:ascii="Verdana" w:hAnsi="Verdana"/>
          <w:sz w:val="20"/>
          <w:szCs w:val="20"/>
          <w:lang w:val="es-ES"/>
        </w:rPr>
        <w:t xml:space="preserve">a discriminación negativa hacia las MIPYME </w:t>
      </w:r>
      <w:r w:rsidRPr="00CC790D" w:rsidR="005922BE">
        <w:rPr>
          <w:rFonts w:ascii="Verdana" w:hAnsi="Verdana"/>
          <w:sz w:val="20"/>
          <w:szCs w:val="20"/>
          <w:lang w:val="es-ES"/>
        </w:rPr>
        <w:t xml:space="preserve">del país </w:t>
      </w:r>
      <w:r w:rsidRPr="00CC790D" w:rsidR="00C26303">
        <w:rPr>
          <w:rFonts w:ascii="Verdana" w:hAnsi="Verdana"/>
          <w:sz w:val="20"/>
          <w:szCs w:val="20"/>
          <w:lang w:val="es-ES"/>
        </w:rPr>
        <w:t>en materia crediticia</w:t>
      </w:r>
      <w:r w:rsidRPr="00CC790D" w:rsidR="00C05741">
        <w:rPr>
          <w:rFonts w:ascii="Verdana" w:hAnsi="Verdana"/>
          <w:sz w:val="20"/>
          <w:szCs w:val="20"/>
          <w:lang w:val="es-ES"/>
        </w:rPr>
        <w:t xml:space="preserve"> </w:t>
      </w:r>
      <w:r w:rsidR="00C80B78">
        <w:rPr>
          <w:rFonts w:ascii="Verdana" w:hAnsi="Verdana"/>
          <w:sz w:val="20"/>
          <w:szCs w:val="20"/>
          <w:lang w:val="es-ES"/>
        </w:rPr>
        <w:t>se debe</w:t>
      </w:r>
      <w:r w:rsidRPr="00CC790D" w:rsidR="00C05741">
        <w:rPr>
          <w:rFonts w:ascii="Verdana" w:hAnsi="Verdana"/>
          <w:sz w:val="20"/>
          <w:szCs w:val="20"/>
          <w:lang w:val="es-ES"/>
        </w:rPr>
        <w:t xml:space="preserve"> a problemas de carácter estructural, que se manifiestan tanto del lado de la demanda como de la oferta de crédito.</w:t>
      </w:r>
      <w:r w:rsidRPr="00CC790D" w:rsidR="00B151B7">
        <w:rPr>
          <w:rFonts w:ascii="Verdana" w:hAnsi="Verdana"/>
          <w:sz w:val="20"/>
          <w:szCs w:val="20"/>
          <w:lang w:val="es-ES"/>
        </w:rPr>
        <w:t xml:space="preserve"> De acuerdo con diversos organismos internacionales, como el Banco Mundial, la OCDE y la CEPAL, este problema no es ajeno a </w:t>
      </w:r>
      <w:r w:rsidRPr="00CC790D" w:rsidR="00C26303">
        <w:rPr>
          <w:rFonts w:ascii="Verdana" w:hAnsi="Verdana"/>
          <w:sz w:val="20"/>
          <w:szCs w:val="20"/>
          <w:lang w:val="es-ES"/>
        </w:rPr>
        <w:t>numerosas</w:t>
      </w:r>
      <w:r w:rsidRPr="00CC790D" w:rsidR="00B151B7">
        <w:rPr>
          <w:rFonts w:ascii="Verdana" w:hAnsi="Verdana"/>
          <w:sz w:val="20"/>
          <w:szCs w:val="20"/>
          <w:lang w:val="es-ES"/>
        </w:rPr>
        <w:t xml:space="preserve"> economías a lo largo del mundo.</w:t>
      </w:r>
    </w:p>
    <w:p w:rsidRPr="00CC790D" w:rsidR="00C26303" w:rsidP="002E403C" w:rsidRDefault="00C80B78" w14:paraId="2B8818FE" w14:textId="73EA5460">
      <w:pPr>
        <w:jc w:val="both"/>
        <w:rPr>
          <w:rFonts w:ascii="Verdana" w:hAnsi="Verdana"/>
          <w:sz w:val="20"/>
          <w:szCs w:val="20"/>
          <w:lang w:val="es-ES"/>
        </w:rPr>
      </w:pPr>
      <w:r>
        <w:rPr>
          <w:rFonts w:ascii="Verdana" w:hAnsi="Verdana"/>
          <w:sz w:val="20"/>
          <w:szCs w:val="20"/>
          <w:lang w:val="es-ES"/>
        </w:rPr>
        <w:t>Dichas</w:t>
      </w:r>
      <w:r w:rsidRPr="00CC790D" w:rsidR="00B151B7">
        <w:rPr>
          <w:rFonts w:ascii="Verdana" w:hAnsi="Verdana"/>
          <w:sz w:val="20"/>
          <w:szCs w:val="20"/>
          <w:lang w:val="es-ES"/>
        </w:rPr>
        <w:t xml:space="preserve"> razones </w:t>
      </w:r>
      <w:r>
        <w:rPr>
          <w:rFonts w:ascii="Verdana" w:hAnsi="Verdana"/>
          <w:sz w:val="20"/>
          <w:szCs w:val="20"/>
          <w:lang w:val="es-ES"/>
        </w:rPr>
        <w:t xml:space="preserve">se relacionan a </w:t>
      </w:r>
      <w:r w:rsidRPr="00CC790D" w:rsidR="00B151B7">
        <w:rPr>
          <w:rFonts w:ascii="Verdana" w:hAnsi="Verdana"/>
          <w:sz w:val="20"/>
          <w:szCs w:val="20"/>
          <w:lang w:val="es-ES"/>
        </w:rPr>
        <w:t xml:space="preserve">fallas en el funcionamiento de los mercados de crédito, específicamente por </w:t>
      </w:r>
      <w:r w:rsidRPr="00CC790D" w:rsidR="00001F43">
        <w:rPr>
          <w:rFonts w:ascii="Verdana" w:hAnsi="Verdana"/>
          <w:sz w:val="20"/>
          <w:szCs w:val="20"/>
          <w:lang w:val="es-ES"/>
        </w:rPr>
        <w:t xml:space="preserve">insuficiencia y </w:t>
      </w:r>
      <w:r w:rsidRPr="00CC790D" w:rsidR="00B151B7">
        <w:rPr>
          <w:rFonts w:ascii="Verdana" w:hAnsi="Verdana"/>
          <w:sz w:val="20"/>
          <w:szCs w:val="20"/>
          <w:lang w:val="es-ES"/>
        </w:rPr>
        <w:t xml:space="preserve">asimetrías en la información de los mercados de crédito que generan </w:t>
      </w:r>
      <w:r w:rsidRPr="00CC790D" w:rsidR="004B779D">
        <w:rPr>
          <w:rFonts w:ascii="Verdana" w:hAnsi="Verdana"/>
          <w:sz w:val="20"/>
          <w:szCs w:val="20"/>
          <w:lang w:val="es-ES"/>
        </w:rPr>
        <w:t>problemas de “selección adversa” y de “riesgo moral”</w:t>
      </w:r>
      <w:r w:rsidRPr="00CC790D" w:rsidR="00C26303">
        <w:rPr>
          <w:rFonts w:ascii="Verdana" w:hAnsi="Verdana"/>
          <w:sz w:val="20"/>
          <w:szCs w:val="20"/>
          <w:lang w:val="es-ES"/>
        </w:rPr>
        <w:t xml:space="preserve"> que dificultan una adecuada evaluación de riesgo de las empresas.</w:t>
      </w:r>
    </w:p>
    <w:p w:rsidR="00D70375" w:rsidP="002E403C" w:rsidRDefault="00160C42" w14:paraId="485DBE42" w14:textId="58AF3737">
      <w:pPr>
        <w:jc w:val="both"/>
        <w:rPr>
          <w:rFonts w:ascii="Verdana" w:hAnsi="Verdana"/>
          <w:sz w:val="20"/>
          <w:szCs w:val="20"/>
          <w:lang w:val="es-ES"/>
        </w:rPr>
      </w:pPr>
      <w:r w:rsidRPr="00CC790D">
        <w:rPr>
          <w:rFonts w:ascii="Verdana" w:hAnsi="Verdana"/>
          <w:sz w:val="20"/>
          <w:szCs w:val="20"/>
          <w:lang w:val="es-ES"/>
        </w:rPr>
        <w:t>De acuerdo con</w:t>
      </w:r>
      <w:r w:rsidRPr="00CC790D" w:rsidR="005922BE">
        <w:rPr>
          <w:rFonts w:ascii="Verdana" w:hAnsi="Verdana"/>
          <w:sz w:val="20"/>
          <w:szCs w:val="20"/>
          <w:lang w:val="es-ES"/>
        </w:rPr>
        <w:t xml:space="preserve"> la ENAPROCE 2018</w:t>
      </w:r>
      <w:r w:rsidRPr="00CC790D" w:rsidR="005922BE">
        <w:rPr>
          <w:rStyle w:val="FootnoteReference"/>
          <w:rFonts w:ascii="Verdana" w:hAnsi="Verdana"/>
          <w:sz w:val="20"/>
          <w:szCs w:val="20"/>
          <w:lang w:val="es-ES"/>
        </w:rPr>
        <w:footnoteReference w:id="5"/>
      </w:r>
      <w:r w:rsidRPr="00CC790D" w:rsidR="005922BE">
        <w:rPr>
          <w:rFonts w:ascii="Verdana" w:hAnsi="Verdana"/>
          <w:sz w:val="20"/>
          <w:szCs w:val="20"/>
          <w:lang w:val="es-ES"/>
        </w:rPr>
        <w:t>, l</w:t>
      </w:r>
      <w:r w:rsidRPr="00CC790D">
        <w:rPr>
          <w:rFonts w:ascii="Verdana" w:hAnsi="Verdana"/>
          <w:sz w:val="20"/>
          <w:szCs w:val="20"/>
          <w:lang w:val="es-ES"/>
        </w:rPr>
        <w:t>as principales barreras identificad</w:t>
      </w:r>
      <w:r w:rsidRPr="00CC790D" w:rsidR="005922BE">
        <w:rPr>
          <w:rFonts w:ascii="Verdana" w:hAnsi="Verdana"/>
          <w:sz w:val="20"/>
          <w:szCs w:val="20"/>
          <w:lang w:val="es-ES"/>
        </w:rPr>
        <w:t>a</w:t>
      </w:r>
      <w:r w:rsidRPr="00CC790D">
        <w:rPr>
          <w:rFonts w:ascii="Verdana" w:hAnsi="Verdana"/>
          <w:sz w:val="20"/>
          <w:szCs w:val="20"/>
          <w:lang w:val="es-ES"/>
        </w:rPr>
        <w:t>s</w:t>
      </w:r>
      <w:r w:rsidRPr="00CC790D" w:rsidR="005922BE">
        <w:rPr>
          <w:rFonts w:ascii="Verdana" w:hAnsi="Verdana"/>
          <w:sz w:val="20"/>
          <w:szCs w:val="20"/>
          <w:lang w:val="es-ES"/>
        </w:rPr>
        <w:t xml:space="preserve"> por las </w:t>
      </w:r>
      <w:r w:rsidRPr="00CC790D" w:rsidR="00D70375">
        <w:rPr>
          <w:rFonts w:ascii="Verdana" w:hAnsi="Verdana"/>
          <w:sz w:val="20"/>
          <w:szCs w:val="20"/>
          <w:lang w:val="es-ES"/>
        </w:rPr>
        <w:t>MIPYME</w:t>
      </w:r>
      <w:r w:rsidRPr="00CC790D" w:rsidR="005922BE">
        <w:rPr>
          <w:rFonts w:ascii="Verdana" w:hAnsi="Verdana"/>
          <w:sz w:val="20"/>
          <w:szCs w:val="20"/>
          <w:lang w:val="es-ES"/>
        </w:rPr>
        <w:t xml:space="preserve"> para no solicitar un crédito es el costo elevado del crédito y l</w:t>
      </w:r>
      <w:r w:rsidRPr="00CC790D" w:rsidR="00215D80">
        <w:rPr>
          <w:rFonts w:ascii="Verdana" w:hAnsi="Verdana"/>
          <w:sz w:val="20"/>
          <w:szCs w:val="20"/>
          <w:lang w:val="es-ES"/>
        </w:rPr>
        <w:t>os numerosos requisitos solicitados para su obtención</w:t>
      </w:r>
      <w:r w:rsidRPr="00CC790D" w:rsidR="00D70375">
        <w:rPr>
          <w:rFonts w:ascii="Verdana" w:hAnsi="Verdana"/>
          <w:sz w:val="20"/>
          <w:szCs w:val="20"/>
          <w:lang w:val="es-ES"/>
        </w:rPr>
        <w:t>:</w:t>
      </w:r>
    </w:p>
    <w:p w:rsidRPr="00CC790D" w:rsidR="00C3502A" w:rsidP="002E403C" w:rsidRDefault="00C3502A" w14:paraId="54E60BED" w14:textId="77777777">
      <w:pPr>
        <w:jc w:val="both"/>
        <w:rPr>
          <w:rFonts w:ascii="Verdana" w:hAnsi="Verdana"/>
          <w:sz w:val="20"/>
          <w:szCs w:val="20"/>
          <w:lang w:val="es-ES"/>
        </w:rPr>
      </w:pPr>
    </w:p>
    <w:p w:rsidRPr="00CC790D" w:rsidR="00C05741" w:rsidP="002E403C" w:rsidRDefault="00D70375" w14:paraId="09A991BF" w14:textId="39480ADC">
      <w:pPr>
        <w:pStyle w:val="ListParagraph"/>
        <w:numPr>
          <w:ilvl w:val="0"/>
          <w:numId w:val="6"/>
        </w:numPr>
        <w:jc w:val="both"/>
        <w:rPr>
          <w:rFonts w:ascii="Verdana" w:hAnsi="Verdana"/>
          <w:sz w:val="20"/>
          <w:szCs w:val="20"/>
          <w:lang w:val="es-ES"/>
        </w:rPr>
      </w:pPr>
      <w:r w:rsidRPr="00CC790D">
        <w:rPr>
          <w:rFonts w:ascii="Verdana" w:hAnsi="Verdana"/>
          <w:sz w:val="20"/>
          <w:szCs w:val="20"/>
          <w:lang w:val="es-ES"/>
        </w:rPr>
        <w:t>Si se les ofreciera un crédito, el 73.6% de las empresas lo rechazarían.</w:t>
      </w:r>
    </w:p>
    <w:p w:rsidRPr="00CC790D" w:rsidR="00D70375" w:rsidP="002E403C" w:rsidRDefault="00D70375" w14:paraId="7D195CEF" w14:textId="6594322D">
      <w:pPr>
        <w:pStyle w:val="ListParagraph"/>
        <w:numPr>
          <w:ilvl w:val="0"/>
          <w:numId w:val="6"/>
        </w:numPr>
        <w:jc w:val="both"/>
        <w:rPr>
          <w:rFonts w:ascii="Verdana" w:hAnsi="Verdana"/>
          <w:sz w:val="20"/>
          <w:szCs w:val="20"/>
          <w:lang w:val="es-ES"/>
        </w:rPr>
      </w:pPr>
      <w:r w:rsidRPr="00CC790D">
        <w:rPr>
          <w:rFonts w:ascii="Verdana" w:hAnsi="Verdana"/>
          <w:sz w:val="20"/>
          <w:szCs w:val="20"/>
          <w:lang w:val="es-ES"/>
        </w:rPr>
        <w:t>De estas, el 57.9% no lo aceptaría por considerarlo caro, el 20.4% por no necesitarlo, el 14.9% por no tener confianza en los bancos y el restante 6.6% por motivos relacionados con el plazo, el monto y la expectativa de ser rechazados.</w:t>
      </w:r>
    </w:p>
    <w:p w:rsidRPr="00CC790D" w:rsidR="00D70375" w:rsidP="002E403C" w:rsidRDefault="00D70375" w14:paraId="0155CE41" w14:textId="4AF92BB1">
      <w:pPr>
        <w:pStyle w:val="ListParagraph"/>
        <w:numPr>
          <w:ilvl w:val="0"/>
          <w:numId w:val="6"/>
        </w:numPr>
        <w:jc w:val="both"/>
        <w:rPr>
          <w:rFonts w:ascii="Verdana" w:hAnsi="Verdana"/>
          <w:sz w:val="20"/>
          <w:szCs w:val="20"/>
          <w:lang w:val="es-ES"/>
        </w:rPr>
      </w:pPr>
      <w:r w:rsidRPr="00CC790D">
        <w:rPr>
          <w:rFonts w:ascii="Verdana" w:hAnsi="Verdana"/>
          <w:sz w:val="20"/>
          <w:szCs w:val="20"/>
          <w:lang w:val="es-ES"/>
        </w:rPr>
        <w:t>De las empresas que solicita</w:t>
      </w:r>
      <w:r w:rsidRPr="00CC790D" w:rsidR="00001F43">
        <w:rPr>
          <w:rFonts w:ascii="Verdana" w:hAnsi="Verdana"/>
          <w:sz w:val="20"/>
          <w:szCs w:val="20"/>
          <w:lang w:val="es-ES"/>
        </w:rPr>
        <w:t>r</w:t>
      </w:r>
      <w:r w:rsidRPr="00CC790D">
        <w:rPr>
          <w:rFonts w:ascii="Verdana" w:hAnsi="Verdana"/>
          <w:sz w:val="20"/>
          <w:szCs w:val="20"/>
          <w:lang w:val="es-ES"/>
        </w:rPr>
        <w:t>o</w:t>
      </w:r>
      <w:r w:rsidRPr="00CC790D" w:rsidR="00001F43">
        <w:rPr>
          <w:rFonts w:ascii="Verdana" w:hAnsi="Verdana"/>
          <w:sz w:val="20"/>
          <w:szCs w:val="20"/>
          <w:lang w:val="es-ES"/>
        </w:rPr>
        <w:t>n</w:t>
      </w:r>
      <w:r w:rsidRPr="00CC790D">
        <w:rPr>
          <w:rFonts w:ascii="Verdana" w:hAnsi="Verdana"/>
          <w:sz w:val="20"/>
          <w:szCs w:val="20"/>
          <w:lang w:val="es-ES"/>
        </w:rPr>
        <w:t xml:space="preserve"> algún crédito</w:t>
      </w:r>
      <w:r w:rsidRPr="00CC790D" w:rsidR="00001F43">
        <w:rPr>
          <w:rFonts w:ascii="Verdana" w:hAnsi="Verdana"/>
          <w:sz w:val="20"/>
          <w:szCs w:val="20"/>
          <w:lang w:val="es-ES"/>
        </w:rPr>
        <w:t xml:space="preserve"> en los dos años previos,</w:t>
      </w:r>
      <w:r w:rsidRPr="00CC790D">
        <w:rPr>
          <w:rFonts w:ascii="Verdana" w:hAnsi="Verdana"/>
          <w:sz w:val="20"/>
          <w:szCs w:val="20"/>
          <w:lang w:val="es-ES"/>
        </w:rPr>
        <w:t xml:space="preserve"> el 6.9% fue rechazado</w:t>
      </w:r>
      <w:r w:rsidRPr="00CC790D" w:rsidR="00001F43">
        <w:rPr>
          <w:rFonts w:ascii="Verdana" w:hAnsi="Verdana"/>
          <w:sz w:val="20"/>
          <w:szCs w:val="20"/>
          <w:lang w:val="es-ES"/>
        </w:rPr>
        <w:t>.</w:t>
      </w:r>
      <w:r w:rsidRPr="00CC790D" w:rsidR="0053532C">
        <w:rPr>
          <w:rFonts w:ascii="Verdana" w:hAnsi="Verdana"/>
          <w:sz w:val="20"/>
          <w:szCs w:val="20"/>
          <w:lang w:val="es-ES"/>
        </w:rPr>
        <w:t xml:space="preserve"> De éstos,</w:t>
      </w:r>
    </w:p>
    <w:p w:rsidRPr="00CC790D" w:rsidR="0053532C" w:rsidP="002E403C" w:rsidRDefault="0053532C" w14:paraId="3D7711CD" w14:textId="5F3B8374">
      <w:pPr>
        <w:pStyle w:val="ListParagraph"/>
        <w:numPr>
          <w:ilvl w:val="1"/>
          <w:numId w:val="6"/>
        </w:numPr>
        <w:jc w:val="both"/>
        <w:rPr>
          <w:rFonts w:ascii="Verdana" w:hAnsi="Verdana"/>
          <w:sz w:val="20"/>
          <w:szCs w:val="20"/>
          <w:lang w:val="es-ES"/>
        </w:rPr>
      </w:pPr>
      <w:r w:rsidRPr="00CC790D">
        <w:rPr>
          <w:rFonts w:ascii="Verdana" w:hAnsi="Verdana"/>
          <w:sz w:val="20"/>
          <w:szCs w:val="20"/>
          <w:lang w:val="es-ES"/>
        </w:rPr>
        <w:t>28% por no tener garantía o aval,</w:t>
      </w:r>
    </w:p>
    <w:p w:rsidRPr="00CC790D" w:rsidR="0053532C" w:rsidP="002E403C" w:rsidRDefault="0053532C" w14:paraId="4BEF4854" w14:textId="092ED502">
      <w:pPr>
        <w:pStyle w:val="ListParagraph"/>
        <w:numPr>
          <w:ilvl w:val="1"/>
          <w:numId w:val="6"/>
        </w:numPr>
        <w:jc w:val="both"/>
        <w:rPr>
          <w:rFonts w:ascii="Verdana" w:hAnsi="Verdana"/>
          <w:sz w:val="20"/>
          <w:szCs w:val="20"/>
          <w:lang w:val="es-ES"/>
        </w:rPr>
      </w:pPr>
      <w:r w:rsidRPr="00CC790D">
        <w:rPr>
          <w:rFonts w:ascii="Verdana" w:hAnsi="Verdana"/>
          <w:sz w:val="20"/>
          <w:szCs w:val="20"/>
          <w:lang w:val="es-ES"/>
        </w:rPr>
        <w:t>21.4% por no ser rentable el proyecto o tener mal historial crediticio,</w:t>
      </w:r>
    </w:p>
    <w:p w:rsidRPr="00CC790D" w:rsidR="00001F43" w:rsidP="002E403C" w:rsidRDefault="00001F43" w14:paraId="059CC2FF" w14:textId="0CA53045">
      <w:pPr>
        <w:pStyle w:val="ListParagraph"/>
        <w:numPr>
          <w:ilvl w:val="1"/>
          <w:numId w:val="6"/>
        </w:numPr>
        <w:jc w:val="both"/>
        <w:rPr>
          <w:rFonts w:ascii="Verdana" w:hAnsi="Verdana"/>
          <w:sz w:val="20"/>
          <w:szCs w:val="20"/>
          <w:lang w:val="es-ES"/>
        </w:rPr>
      </w:pPr>
      <w:r w:rsidRPr="00CC790D">
        <w:rPr>
          <w:rFonts w:ascii="Verdana" w:hAnsi="Verdana"/>
          <w:sz w:val="20"/>
          <w:szCs w:val="20"/>
          <w:lang w:val="es-ES"/>
        </w:rPr>
        <w:t>13.6% por no comprobar ingresos</w:t>
      </w:r>
      <w:r w:rsidRPr="00CC790D" w:rsidR="0053532C">
        <w:rPr>
          <w:rFonts w:ascii="Verdana" w:hAnsi="Verdana"/>
          <w:sz w:val="20"/>
          <w:szCs w:val="20"/>
          <w:lang w:val="es-ES"/>
        </w:rPr>
        <w:t>,</w:t>
      </w:r>
    </w:p>
    <w:p w:rsidRPr="00CC790D" w:rsidR="00001F43" w:rsidP="002E403C" w:rsidRDefault="00001F43" w14:paraId="61C32EDA" w14:textId="13271541">
      <w:pPr>
        <w:pStyle w:val="ListParagraph"/>
        <w:numPr>
          <w:ilvl w:val="1"/>
          <w:numId w:val="6"/>
        </w:numPr>
        <w:jc w:val="both"/>
        <w:rPr>
          <w:rFonts w:ascii="Verdana" w:hAnsi="Verdana"/>
          <w:sz w:val="20"/>
          <w:szCs w:val="20"/>
          <w:lang w:val="es-ES"/>
        </w:rPr>
      </w:pPr>
      <w:r w:rsidRPr="00CC790D">
        <w:rPr>
          <w:rFonts w:ascii="Verdana" w:hAnsi="Verdana"/>
          <w:sz w:val="20"/>
          <w:szCs w:val="20"/>
          <w:lang w:val="es-ES"/>
        </w:rPr>
        <w:t>12% por no contar con historial crediticio</w:t>
      </w:r>
      <w:r w:rsidRPr="00CC790D" w:rsidR="0053532C">
        <w:rPr>
          <w:rFonts w:ascii="Verdana" w:hAnsi="Verdana"/>
          <w:sz w:val="20"/>
          <w:szCs w:val="20"/>
          <w:lang w:val="es-ES"/>
        </w:rPr>
        <w:t>,</w:t>
      </w:r>
    </w:p>
    <w:p w:rsidRPr="00CC790D" w:rsidR="00001F43" w:rsidP="002E403C" w:rsidRDefault="00001F43" w14:paraId="286CFC08" w14:textId="5616CF10">
      <w:pPr>
        <w:pStyle w:val="ListParagraph"/>
        <w:numPr>
          <w:ilvl w:val="1"/>
          <w:numId w:val="6"/>
        </w:numPr>
        <w:jc w:val="both"/>
        <w:rPr>
          <w:rFonts w:ascii="Verdana" w:hAnsi="Verdana"/>
          <w:sz w:val="20"/>
          <w:szCs w:val="20"/>
          <w:lang w:val="es-ES"/>
        </w:rPr>
      </w:pPr>
      <w:r w:rsidRPr="00CC790D">
        <w:rPr>
          <w:rFonts w:ascii="Verdana" w:hAnsi="Verdana"/>
          <w:sz w:val="20"/>
          <w:szCs w:val="20"/>
          <w:lang w:val="es-ES"/>
        </w:rPr>
        <w:t>10.5% no recibió la razón</w:t>
      </w:r>
      <w:r w:rsidRPr="00CC790D" w:rsidR="0053532C">
        <w:rPr>
          <w:rFonts w:ascii="Verdana" w:hAnsi="Verdana"/>
          <w:sz w:val="20"/>
          <w:szCs w:val="20"/>
          <w:lang w:val="es-ES"/>
        </w:rPr>
        <w:t>,</w:t>
      </w:r>
    </w:p>
    <w:p w:rsidRPr="00CC790D" w:rsidR="00001F43" w:rsidP="002E403C" w:rsidRDefault="00001F43" w14:paraId="4CBD47E6" w14:textId="6AE37B41">
      <w:pPr>
        <w:pStyle w:val="ListParagraph"/>
        <w:numPr>
          <w:ilvl w:val="1"/>
          <w:numId w:val="6"/>
        </w:numPr>
        <w:jc w:val="both"/>
        <w:rPr>
          <w:rFonts w:ascii="Verdana" w:hAnsi="Verdana"/>
          <w:sz w:val="20"/>
          <w:szCs w:val="20"/>
          <w:lang w:val="es-ES"/>
        </w:rPr>
      </w:pPr>
      <w:r w:rsidRPr="00CC790D">
        <w:rPr>
          <w:rFonts w:ascii="Verdana" w:hAnsi="Verdana"/>
          <w:sz w:val="20"/>
          <w:szCs w:val="20"/>
          <w:lang w:val="es-ES"/>
        </w:rPr>
        <w:t xml:space="preserve">5.5% por </w:t>
      </w:r>
      <w:r w:rsidRPr="00CC790D" w:rsidR="0053532C">
        <w:rPr>
          <w:rFonts w:ascii="Verdana" w:hAnsi="Verdana"/>
          <w:sz w:val="20"/>
          <w:szCs w:val="20"/>
          <w:lang w:val="es-ES"/>
        </w:rPr>
        <w:t>alto endeudamiento previo,</w:t>
      </w:r>
    </w:p>
    <w:p w:rsidRPr="00CC790D" w:rsidR="00001F43" w:rsidP="002E403C" w:rsidRDefault="0053532C" w14:paraId="1AD7AEC4" w14:textId="73385E81">
      <w:pPr>
        <w:pStyle w:val="ListParagraph"/>
        <w:numPr>
          <w:ilvl w:val="1"/>
          <w:numId w:val="6"/>
        </w:numPr>
        <w:jc w:val="both"/>
        <w:rPr>
          <w:rFonts w:ascii="Verdana" w:hAnsi="Verdana"/>
          <w:sz w:val="20"/>
          <w:szCs w:val="20"/>
          <w:lang w:val="es-ES"/>
        </w:rPr>
      </w:pPr>
      <w:r w:rsidRPr="00CC790D">
        <w:rPr>
          <w:rFonts w:ascii="Verdana" w:hAnsi="Verdana"/>
          <w:sz w:val="20"/>
          <w:szCs w:val="20"/>
          <w:lang w:val="es-ES"/>
        </w:rPr>
        <w:t>y</w:t>
      </w:r>
      <w:r w:rsidRPr="00CC790D" w:rsidR="00001F43">
        <w:rPr>
          <w:rFonts w:ascii="Verdana" w:hAnsi="Verdana"/>
          <w:sz w:val="20"/>
          <w:szCs w:val="20"/>
          <w:lang w:val="es-ES"/>
        </w:rPr>
        <w:t xml:space="preserve"> 9% por no tener cuenta bancaria o poca antigüedad</w:t>
      </w:r>
    </w:p>
    <w:p w:rsidRPr="00CC790D" w:rsidR="00001F43" w:rsidP="002E403C" w:rsidRDefault="00001F43" w14:paraId="11CF43BC" w14:textId="4247E6B3">
      <w:pPr>
        <w:jc w:val="both"/>
        <w:rPr>
          <w:rFonts w:ascii="Verdana" w:hAnsi="Verdana"/>
          <w:sz w:val="20"/>
          <w:szCs w:val="20"/>
          <w:lang w:val="es-ES"/>
        </w:rPr>
      </w:pPr>
      <w:r w:rsidRPr="00CC790D">
        <w:rPr>
          <w:rFonts w:ascii="Verdana" w:hAnsi="Verdana"/>
          <w:sz w:val="20"/>
          <w:szCs w:val="20"/>
          <w:lang w:val="es-ES"/>
        </w:rPr>
        <w:t>Asimismo, el elevado nivel de informalidad de la economía mexicana (56.7%) y dado que ésta es más intensiva en las MIPYME, dificulta que las empresas de menor tamaño puedan acceder a créditos en el mercado financiero.</w:t>
      </w:r>
    </w:p>
    <w:p w:rsidRPr="00CC790D" w:rsidR="009B7918" w:rsidP="002E403C" w:rsidRDefault="00001F43" w14:paraId="1C8AE035" w14:textId="37B953A1">
      <w:pPr>
        <w:jc w:val="both"/>
        <w:rPr>
          <w:rFonts w:ascii="Verdana" w:hAnsi="Verdana"/>
          <w:sz w:val="20"/>
          <w:szCs w:val="20"/>
          <w:lang w:val="es-ES"/>
        </w:rPr>
      </w:pPr>
      <w:r w:rsidRPr="00CC790D">
        <w:rPr>
          <w:rFonts w:ascii="Verdana" w:hAnsi="Verdana"/>
          <w:sz w:val="20"/>
          <w:szCs w:val="20"/>
          <w:lang w:val="es-ES"/>
        </w:rPr>
        <w:t>Por su parte</w:t>
      </w:r>
      <w:r w:rsidRPr="00CC790D" w:rsidR="0053532C">
        <w:rPr>
          <w:rFonts w:ascii="Verdana" w:hAnsi="Verdana"/>
          <w:sz w:val="20"/>
          <w:szCs w:val="20"/>
          <w:lang w:val="es-ES"/>
        </w:rPr>
        <w:t xml:space="preserve">, las instituciones financieras </w:t>
      </w:r>
      <w:r w:rsidR="00C80B78">
        <w:rPr>
          <w:rFonts w:ascii="Verdana" w:hAnsi="Verdana"/>
          <w:sz w:val="20"/>
          <w:szCs w:val="20"/>
          <w:lang w:val="es-ES"/>
        </w:rPr>
        <w:t>exigen</w:t>
      </w:r>
      <w:r w:rsidRPr="00CC790D" w:rsidR="0053532C">
        <w:rPr>
          <w:rFonts w:ascii="Verdana" w:hAnsi="Verdana"/>
          <w:sz w:val="20"/>
          <w:szCs w:val="20"/>
          <w:lang w:val="es-ES"/>
        </w:rPr>
        <w:t xml:space="preserve"> mayores tasas de interés y la solicitud de garantías ante la falta de información </w:t>
      </w:r>
      <w:r w:rsidRPr="00CC790D" w:rsidR="009B7918">
        <w:rPr>
          <w:rFonts w:ascii="Verdana" w:hAnsi="Verdana"/>
          <w:sz w:val="20"/>
          <w:szCs w:val="20"/>
          <w:lang w:val="es-ES"/>
        </w:rPr>
        <w:t>para evaluar apropiadamente a las empresas. La falta de información contable y financiera de un número importante de MIPYME dificultan la medición de riesgo.</w:t>
      </w:r>
    </w:p>
    <w:p w:rsidRPr="00CC790D" w:rsidR="00001F43" w:rsidP="002E403C" w:rsidRDefault="009B7918" w14:paraId="1BDB2C87" w14:textId="6EF8FD04">
      <w:pPr>
        <w:jc w:val="both"/>
        <w:rPr>
          <w:rFonts w:ascii="Verdana" w:hAnsi="Verdana"/>
          <w:sz w:val="20"/>
          <w:szCs w:val="20"/>
          <w:lang w:val="es-ES"/>
        </w:rPr>
      </w:pPr>
      <w:r w:rsidRPr="00CC790D">
        <w:rPr>
          <w:rFonts w:ascii="Verdana" w:hAnsi="Verdana"/>
          <w:sz w:val="20"/>
          <w:szCs w:val="20"/>
          <w:lang w:val="es-ES"/>
        </w:rPr>
        <w:t>Otro de los motivos señalados por los bancos son los elevados costos que incurren en la gestión y originación crediticia ante la ausencia de economías de escala (numerosos créditos de bajo monto), y ante las regulaciones existentes.</w:t>
      </w:r>
    </w:p>
    <w:p w:rsidRPr="00CC790D" w:rsidR="00282BF6" w:rsidP="002E403C" w:rsidRDefault="006659BC" w14:paraId="33D7EC39" w14:textId="70AD874F">
      <w:pPr>
        <w:jc w:val="both"/>
        <w:rPr>
          <w:rFonts w:ascii="Verdana" w:hAnsi="Verdana"/>
          <w:sz w:val="20"/>
          <w:szCs w:val="20"/>
          <w:lang w:val="es-ES"/>
        </w:rPr>
      </w:pPr>
      <w:r w:rsidRPr="00CC790D">
        <w:rPr>
          <w:rFonts w:ascii="Verdana" w:hAnsi="Verdana"/>
          <w:sz w:val="20"/>
          <w:szCs w:val="20"/>
          <w:lang w:val="es-ES"/>
        </w:rPr>
        <w:t xml:space="preserve">Estas barreras, ya sea de oferta o de demanda, se traducen en obstáculos para el desarrollo </w:t>
      </w:r>
      <w:r w:rsidRPr="00CC790D" w:rsidR="000F2A5D">
        <w:rPr>
          <w:rFonts w:ascii="Verdana" w:hAnsi="Verdana"/>
          <w:sz w:val="20"/>
          <w:szCs w:val="20"/>
          <w:lang w:val="es-ES"/>
        </w:rPr>
        <w:t xml:space="preserve">y la productividad </w:t>
      </w:r>
      <w:r w:rsidRPr="00CC790D">
        <w:rPr>
          <w:rFonts w:ascii="Verdana" w:hAnsi="Verdana"/>
          <w:sz w:val="20"/>
          <w:szCs w:val="20"/>
          <w:lang w:val="es-ES"/>
        </w:rPr>
        <w:t>de las MIPYME, y</w:t>
      </w:r>
      <w:r w:rsidR="00C3502A">
        <w:rPr>
          <w:rFonts w:ascii="Verdana" w:hAnsi="Verdana"/>
          <w:sz w:val="20"/>
          <w:szCs w:val="20"/>
          <w:lang w:val="es-ES"/>
        </w:rPr>
        <w:t>,</w:t>
      </w:r>
      <w:r w:rsidRPr="00CC790D">
        <w:rPr>
          <w:rFonts w:ascii="Verdana" w:hAnsi="Verdana"/>
          <w:sz w:val="20"/>
          <w:szCs w:val="20"/>
          <w:lang w:val="es-ES"/>
        </w:rPr>
        <w:t xml:space="preserve"> por ende</w:t>
      </w:r>
      <w:r w:rsidRPr="00CC790D" w:rsidR="000F2A5D">
        <w:rPr>
          <w:rFonts w:ascii="Verdana" w:hAnsi="Verdana"/>
          <w:sz w:val="20"/>
          <w:szCs w:val="20"/>
          <w:lang w:val="es-ES"/>
        </w:rPr>
        <w:t xml:space="preserve">, </w:t>
      </w:r>
      <w:r w:rsidRPr="00CC790D">
        <w:rPr>
          <w:rFonts w:ascii="Verdana" w:hAnsi="Verdana"/>
          <w:sz w:val="20"/>
          <w:szCs w:val="20"/>
          <w:lang w:val="es-ES"/>
        </w:rPr>
        <w:t xml:space="preserve">del país. La insuficiencia de financiamiento limita </w:t>
      </w:r>
      <w:r w:rsidRPr="00CC790D" w:rsidR="003F618A">
        <w:rPr>
          <w:rFonts w:ascii="Verdana" w:hAnsi="Verdana"/>
          <w:sz w:val="20"/>
          <w:szCs w:val="20"/>
          <w:lang w:val="es-ES"/>
        </w:rPr>
        <w:t xml:space="preserve">no solo </w:t>
      </w:r>
      <w:r w:rsidRPr="00CC790D">
        <w:rPr>
          <w:rFonts w:ascii="Verdana" w:hAnsi="Verdana"/>
          <w:sz w:val="20"/>
          <w:szCs w:val="20"/>
          <w:lang w:val="es-ES"/>
        </w:rPr>
        <w:t xml:space="preserve">el desarrollo de las empresas existentes </w:t>
      </w:r>
      <w:r w:rsidRPr="00CC790D" w:rsidR="000F2A5D">
        <w:rPr>
          <w:rFonts w:ascii="Verdana" w:hAnsi="Verdana"/>
          <w:sz w:val="20"/>
          <w:szCs w:val="20"/>
          <w:lang w:val="es-ES"/>
        </w:rPr>
        <w:t>sino también</w:t>
      </w:r>
      <w:r w:rsidRPr="00CC790D">
        <w:rPr>
          <w:rFonts w:ascii="Verdana" w:hAnsi="Verdana"/>
          <w:sz w:val="20"/>
          <w:szCs w:val="20"/>
          <w:lang w:val="es-ES"/>
        </w:rPr>
        <w:t xml:space="preserve"> la creación de nuevas.</w:t>
      </w:r>
      <w:r w:rsidRPr="00CC790D" w:rsidR="003F618A">
        <w:rPr>
          <w:rFonts w:ascii="Verdana" w:hAnsi="Verdana"/>
          <w:sz w:val="20"/>
          <w:szCs w:val="20"/>
          <w:lang w:val="es-ES"/>
        </w:rPr>
        <w:t xml:space="preserve"> </w:t>
      </w:r>
    </w:p>
    <w:p w:rsidR="001F10A4" w:rsidP="00F14E4E" w:rsidRDefault="001F77BE" w14:paraId="3192A137" w14:textId="2B35233F">
      <w:pPr>
        <w:pStyle w:val="ListParagraph"/>
        <w:numPr>
          <w:ilvl w:val="0"/>
          <w:numId w:val="14"/>
        </w:numPr>
        <w:jc w:val="both"/>
        <w:rPr>
          <w:rFonts w:ascii="Verdana" w:hAnsi="Verdana"/>
          <w:b/>
          <w:bCs/>
          <w:lang w:val="es-ES"/>
        </w:rPr>
      </w:pPr>
      <w:bookmarkStart w:name="_Hlk41412125" w:id="1"/>
      <w:r w:rsidRPr="00F14E4E">
        <w:rPr>
          <w:rFonts w:ascii="Verdana" w:hAnsi="Verdana"/>
          <w:b/>
          <w:bCs/>
          <w:lang w:val="es-ES"/>
        </w:rPr>
        <w:t xml:space="preserve">Efectos esperados u observados de la crisis sobre </w:t>
      </w:r>
      <w:r w:rsidRPr="00F14E4E" w:rsidR="000D0828">
        <w:rPr>
          <w:rFonts w:ascii="Verdana" w:hAnsi="Verdana"/>
          <w:b/>
          <w:bCs/>
          <w:lang w:val="es-ES"/>
        </w:rPr>
        <w:t>el crédito a</w:t>
      </w:r>
      <w:r w:rsidRPr="00F14E4E">
        <w:rPr>
          <w:rFonts w:ascii="Verdana" w:hAnsi="Verdana"/>
          <w:b/>
          <w:bCs/>
          <w:lang w:val="es-ES"/>
        </w:rPr>
        <w:t xml:space="preserve"> MIPYME en México</w:t>
      </w:r>
      <w:r w:rsidRPr="00F14E4E" w:rsidR="000D0828">
        <w:rPr>
          <w:rFonts w:ascii="Verdana" w:hAnsi="Verdana"/>
          <w:b/>
          <w:bCs/>
          <w:lang w:val="es-ES"/>
        </w:rPr>
        <w:t xml:space="preserve"> (demanda y oferta)</w:t>
      </w:r>
      <w:bookmarkEnd w:id="1"/>
      <w:r w:rsidR="00173FFA">
        <w:rPr>
          <w:rFonts w:ascii="Verdana" w:hAnsi="Verdana"/>
          <w:b/>
          <w:bCs/>
          <w:lang w:val="es-ES"/>
        </w:rPr>
        <w:t>.</w:t>
      </w:r>
    </w:p>
    <w:p w:rsidRPr="00173FFA" w:rsidR="00173FFA" w:rsidP="00173FFA" w:rsidRDefault="00173FFA" w14:paraId="3095EDA5" w14:textId="1D464AFD">
      <w:pPr>
        <w:jc w:val="both"/>
        <w:rPr>
          <w:rFonts w:ascii="Verdana" w:hAnsi="Verdana"/>
          <w:i/>
          <w:iCs/>
          <w:sz w:val="20"/>
          <w:szCs w:val="20"/>
          <w:lang w:val="es-ES"/>
        </w:rPr>
      </w:pPr>
      <w:r w:rsidRPr="00173FFA">
        <w:rPr>
          <w:rFonts w:ascii="Verdana" w:hAnsi="Verdana"/>
          <w:i/>
          <w:iCs/>
          <w:sz w:val="20"/>
          <w:szCs w:val="20"/>
          <w:lang w:val="es-ES"/>
        </w:rPr>
        <w:t>Impactos generales sobre MIPYME y referencias internacionales.</w:t>
      </w:r>
    </w:p>
    <w:p w:rsidR="00B84251" w:rsidP="00F14E4E" w:rsidRDefault="00B95E9B" w14:paraId="657204EB" w14:textId="77777777">
      <w:pPr>
        <w:jc w:val="both"/>
        <w:rPr>
          <w:rFonts w:ascii="Verdana" w:hAnsi="Verdana"/>
          <w:sz w:val="20"/>
          <w:szCs w:val="20"/>
          <w:lang w:val="es-ES"/>
        </w:rPr>
      </w:pPr>
      <w:r>
        <w:rPr>
          <w:rFonts w:ascii="Verdana" w:hAnsi="Verdana"/>
          <w:sz w:val="20"/>
          <w:szCs w:val="20"/>
          <w:lang w:val="es-ES"/>
        </w:rPr>
        <w:t>La crisis económica provocada por la pandemia del COVID afectará de manera negativa a las Micro, Pequeñas y Medianas Empresas</w:t>
      </w:r>
      <w:r w:rsidR="000A785E">
        <w:rPr>
          <w:rFonts w:ascii="Verdana" w:hAnsi="Verdana"/>
          <w:sz w:val="20"/>
          <w:szCs w:val="20"/>
          <w:lang w:val="es-ES"/>
        </w:rPr>
        <w:t xml:space="preserve">, </w:t>
      </w:r>
      <w:r w:rsidR="00B84251">
        <w:rPr>
          <w:rFonts w:ascii="Verdana" w:hAnsi="Verdana"/>
          <w:sz w:val="20"/>
          <w:szCs w:val="20"/>
          <w:lang w:val="es-ES"/>
        </w:rPr>
        <w:t>y pone</w:t>
      </w:r>
      <w:r w:rsidR="000A785E">
        <w:rPr>
          <w:rFonts w:ascii="Verdana" w:hAnsi="Verdana"/>
          <w:sz w:val="20"/>
          <w:szCs w:val="20"/>
          <w:lang w:val="es-ES"/>
        </w:rPr>
        <w:t xml:space="preserve"> en duda la continuidad de un número importante de éstas.</w:t>
      </w:r>
    </w:p>
    <w:p w:rsidR="00F14E4E" w:rsidP="00F14E4E" w:rsidRDefault="000A785E" w14:paraId="511B5067" w14:textId="352B94C3">
      <w:pPr>
        <w:jc w:val="both"/>
        <w:rPr>
          <w:rFonts w:ascii="Verdana" w:hAnsi="Verdana"/>
          <w:sz w:val="20"/>
          <w:szCs w:val="20"/>
          <w:lang w:val="es-ES"/>
        </w:rPr>
      </w:pPr>
      <w:r>
        <w:rPr>
          <w:rFonts w:ascii="Verdana" w:hAnsi="Verdana"/>
          <w:sz w:val="20"/>
          <w:szCs w:val="20"/>
          <w:lang w:val="es-ES"/>
        </w:rPr>
        <w:t xml:space="preserve">Las medidas de aislamiento y el cierre generalizado de las actividades económicas para evitar la transmisión del virus </w:t>
      </w:r>
      <w:r w:rsidR="00B84251">
        <w:rPr>
          <w:rFonts w:ascii="Verdana" w:hAnsi="Verdana"/>
          <w:sz w:val="20"/>
          <w:szCs w:val="20"/>
          <w:lang w:val="es-ES"/>
        </w:rPr>
        <w:t>han</w:t>
      </w:r>
      <w:r>
        <w:rPr>
          <w:rFonts w:ascii="Verdana" w:hAnsi="Verdana"/>
          <w:sz w:val="20"/>
          <w:szCs w:val="20"/>
          <w:lang w:val="es-ES"/>
        </w:rPr>
        <w:t xml:space="preserve"> </w:t>
      </w:r>
      <w:r w:rsidR="00B84251">
        <w:rPr>
          <w:rFonts w:ascii="Verdana" w:hAnsi="Verdana"/>
          <w:sz w:val="20"/>
          <w:szCs w:val="20"/>
          <w:lang w:val="es-ES"/>
        </w:rPr>
        <w:t>evidenciado</w:t>
      </w:r>
      <w:r>
        <w:rPr>
          <w:rFonts w:ascii="Verdana" w:hAnsi="Verdana"/>
          <w:sz w:val="20"/>
          <w:szCs w:val="20"/>
          <w:lang w:val="es-ES"/>
        </w:rPr>
        <w:t xml:space="preserve"> la vulnerabilidad y </w:t>
      </w:r>
      <w:r w:rsidR="00B84251">
        <w:rPr>
          <w:rFonts w:ascii="Verdana" w:hAnsi="Verdana"/>
          <w:sz w:val="20"/>
          <w:szCs w:val="20"/>
          <w:lang w:val="es-ES"/>
        </w:rPr>
        <w:t xml:space="preserve">mayor </w:t>
      </w:r>
      <w:r>
        <w:rPr>
          <w:rFonts w:ascii="Verdana" w:hAnsi="Verdana"/>
          <w:sz w:val="20"/>
          <w:szCs w:val="20"/>
          <w:lang w:val="es-ES"/>
        </w:rPr>
        <w:t>exposi</w:t>
      </w:r>
      <w:r w:rsidR="00B84251">
        <w:rPr>
          <w:rFonts w:ascii="Verdana" w:hAnsi="Verdana"/>
          <w:sz w:val="20"/>
          <w:szCs w:val="20"/>
          <w:lang w:val="es-ES"/>
        </w:rPr>
        <w:t>ción en la que se encuentran las MIPYME (dad</w:t>
      </w:r>
      <w:r w:rsidR="009C321E">
        <w:rPr>
          <w:rFonts w:ascii="Verdana" w:hAnsi="Verdana"/>
          <w:sz w:val="20"/>
          <w:szCs w:val="20"/>
          <w:lang w:val="es-ES"/>
        </w:rPr>
        <w:t>a su</w:t>
      </w:r>
      <w:r w:rsidR="00B84251">
        <w:rPr>
          <w:rFonts w:ascii="Verdana" w:hAnsi="Verdana"/>
          <w:sz w:val="20"/>
          <w:szCs w:val="20"/>
          <w:lang w:val="es-ES"/>
        </w:rPr>
        <w:t xml:space="preserve"> naturaleza) y resaltan la urgente necesidad de tomar medidas de apoyo.</w:t>
      </w:r>
    </w:p>
    <w:p w:rsidR="009C321E" w:rsidP="00F14E4E" w:rsidRDefault="009C321E" w14:paraId="3FA9B303" w14:textId="38B8F0D8">
      <w:pPr>
        <w:jc w:val="both"/>
        <w:rPr>
          <w:rFonts w:ascii="Verdana" w:hAnsi="Verdana"/>
          <w:sz w:val="20"/>
          <w:szCs w:val="20"/>
          <w:lang w:val="es-ES"/>
        </w:rPr>
      </w:pPr>
      <w:r>
        <w:rPr>
          <w:rFonts w:ascii="Verdana" w:hAnsi="Verdana"/>
          <w:sz w:val="20"/>
          <w:szCs w:val="20"/>
          <w:lang w:val="es-ES"/>
        </w:rPr>
        <w:t xml:space="preserve">Los canales de transmisión de la crisis a este tipo de empresas se darán por ambos lados, vía oferta y demanda. Del lado de la oferta, </w:t>
      </w:r>
      <w:r w:rsidR="0004047B">
        <w:rPr>
          <w:rFonts w:ascii="Verdana" w:hAnsi="Verdana"/>
          <w:sz w:val="20"/>
          <w:szCs w:val="20"/>
          <w:lang w:val="es-ES"/>
        </w:rPr>
        <w:t>el cierre organizado de las actividades económicas</w:t>
      </w:r>
      <w:r>
        <w:rPr>
          <w:rFonts w:ascii="Verdana" w:hAnsi="Verdana"/>
          <w:sz w:val="20"/>
          <w:szCs w:val="20"/>
          <w:lang w:val="es-ES"/>
        </w:rPr>
        <w:t xml:space="preserve"> se traduce en</w:t>
      </w:r>
      <w:r w:rsidR="0004047B">
        <w:rPr>
          <w:rFonts w:ascii="Verdana" w:hAnsi="Verdana"/>
          <w:sz w:val="20"/>
          <w:szCs w:val="20"/>
          <w:lang w:val="es-ES"/>
        </w:rPr>
        <w:t>:</w:t>
      </w:r>
    </w:p>
    <w:p w:rsidR="0004047B" w:rsidP="0004047B" w:rsidRDefault="0004047B" w14:paraId="6850E326" w14:textId="2E8A7CC1">
      <w:pPr>
        <w:pStyle w:val="ListParagraph"/>
        <w:numPr>
          <w:ilvl w:val="0"/>
          <w:numId w:val="15"/>
        </w:numPr>
        <w:jc w:val="both"/>
        <w:rPr>
          <w:rFonts w:ascii="Verdana" w:hAnsi="Verdana"/>
          <w:sz w:val="20"/>
          <w:szCs w:val="20"/>
          <w:lang w:val="es-ES"/>
        </w:rPr>
      </w:pPr>
      <w:r>
        <w:rPr>
          <w:rFonts w:ascii="Verdana" w:hAnsi="Verdana"/>
          <w:sz w:val="20"/>
          <w:szCs w:val="20"/>
          <w:lang w:val="es-ES"/>
        </w:rPr>
        <w:t>Reducción de la mano de obra. Debido a enfermedad o retiro de la fuerza laboral para cuidar a dependientes (niños u otros) y por las restricciones en la movilidad.</w:t>
      </w:r>
    </w:p>
    <w:p w:rsidR="0004047B" w:rsidP="0004047B" w:rsidRDefault="0004047B" w14:paraId="363D3C12" w14:textId="50CE92C7">
      <w:pPr>
        <w:pStyle w:val="ListParagraph"/>
        <w:numPr>
          <w:ilvl w:val="0"/>
          <w:numId w:val="15"/>
        </w:numPr>
        <w:jc w:val="both"/>
        <w:rPr>
          <w:rFonts w:ascii="Verdana" w:hAnsi="Verdana"/>
          <w:sz w:val="20"/>
          <w:szCs w:val="20"/>
          <w:lang w:val="es-ES"/>
        </w:rPr>
      </w:pPr>
      <w:r>
        <w:rPr>
          <w:rFonts w:ascii="Verdana" w:hAnsi="Verdana"/>
          <w:sz w:val="20"/>
          <w:szCs w:val="20"/>
          <w:lang w:val="es-ES"/>
        </w:rPr>
        <w:t>Aumento de capacidad instalada por las medidas de confinamiento y cierre forzado de actividades.</w:t>
      </w:r>
    </w:p>
    <w:p w:rsidR="006B392B" w:rsidP="006B392B" w:rsidRDefault="0004047B" w14:paraId="384B73BB" w14:textId="77777777">
      <w:pPr>
        <w:pStyle w:val="ListParagraph"/>
        <w:numPr>
          <w:ilvl w:val="0"/>
          <w:numId w:val="15"/>
        </w:numPr>
        <w:jc w:val="both"/>
        <w:rPr>
          <w:rFonts w:ascii="Verdana" w:hAnsi="Verdana"/>
          <w:sz w:val="20"/>
          <w:szCs w:val="20"/>
          <w:lang w:val="es-ES"/>
        </w:rPr>
      </w:pPr>
      <w:r>
        <w:rPr>
          <w:rFonts w:ascii="Verdana" w:hAnsi="Verdana"/>
          <w:sz w:val="20"/>
          <w:szCs w:val="20"/>
          <w:lang w:val="es-ES"/>
        </w:rPr>
        <w:t>Disrupción de las cadenas de suministro.</w:t>
      </w:r>
    </w:p>
    <w:p w:rsidR="006B392B" w:rsidP="00173FFA" w:rsidRDefault="0004047B" w14:paraId="6F3796D3" w14:textId="663FB00E">
      <w:pPr>
        <w:pStyle w:val="ListParagraph"/>
        <w:numPr>
          <w:ilvl w:val="1"/>
          <w:numId w:val="15"/>
        </w:numPr>
        <w:jc w:val="both"/>
        <w:rPr>
          <w:rFonts w:ascii="Verdana" w:hAnsi="Verdana"/>
          <w:sz w:val="20"/>
          <w:szCs w:val="20"/>
          <w:lang w:val="es-ES"/>
        </w:rPr>
      </w:pPr>
      <w:r w:rsidRPr="006B392B">
        <w:rPr>
          <w:rFonts w:ascii="Verdana" w:hAnsi="Verdana"/>
          <w:sz w:val="20"/>
          <w:szCs w:val="20"/>
          <w:lang w:val="es-ES"/>
        </w:rPr>
        <w:t xml:space="preserve">En el caso de las MIPYME, </w:t>
      </w:r>
      <w:r w:rsidRPr="006B392B" w:rsidR="006B392B">
        <w:rPr>
          <w:rFonts w:ascii="Verdana" w:hAnsi="Verdana"/>
          <w:sz w:val="20"/>
          <w:szCs w:val="20"/>
          <w:lang w:val="es-ES"/>
        </w:rPr>
        <w:t xml:space="preserve">típicamente estas empresas tienen un menor número de proveedores, lo que podría favorecerlos en algunas ocasiones. No obstante, </w:t>
      </w:r>
      <w:r w:rsidRPr="006B392B">
        <w:rPr>
          <w:rFonts w:ascii="Verdana" w:hAnsi="Verdana"/>
          <w:sz w:val="20"/>
          <w:szCs w:val="20"/>
          <w:lang w:val="es-ES"/>
        </w:rPr>
        <w:t>el nivel de afectación por este factor dependerá en mayor medida del grado de vinculación al exterior</w:t>
      </w:r>
      <w:r w:rsidRPr="006B392B" w:rsidR="006B392B">
        <w:rPr>
          <w:rFonts w:ascii="Verdana" w:hAnsi="Verdana"/>
          <w:sz w:val="20"/>
          <w:szCs w:val="20"/>
          <w:lang w:val="es-ES"/>
        </w:rPr>
        <w:t>.</w:t>
      </w:r>
    </w:p>
    <w:p w:rsidR="006B392B" w:rsidP="00173FFA" w:rsidRDefault="006B392B" w14:paraId="345201F2" w14:textId="79E9F2C7">
      <w:pPr>
        <w:pStyle w:val="ListParagraph"/>
        <w:numPr>
          <w:ilvl w:val="1"/>
          <w:numId w:val="15"/>
        </w:numPr>
        <w:jc w:val="both"/>
        <w:rPr>
          <w:rFonts w:ascii="Verdana" w:hAnsi="Verdana"/>
          <w:sz w:val="20"/>
          <w:szCs w:val="20"/>
          <w:lang w:val="es-ES"/>
        </w:rPr>
      </w:pPr>
      <w:r>
        <w:rPr>
          <w:rFonts w:ascii="Verdana" w:hAnsi="Verdana"/>
          <w:sz w:val="20"/>
          <w:szCs w:val="20"/>
          <w:lang w:val="es-ES"/>
        </w:rPr>
        <w:t>En el mediano plazo, existe el riesgo de que se pierdan las conexiones entre proveedores y clientes lo que dificultaría la situación de las MIPYME.</w:t>
      </w:r>
    </w:p>
    <w:p w:rsidR="00C3502A" w:rsidP="00C3502A" w:rsidRDefault="00C3502A" w14:paraId="1F13C590" w14:textId="77777777">
      <w:pPr>
        <w:pStyle w:val="ListParagraph"/>
        <w:ind w:left="1440"/>
        <w:jc w:val="both"/>
        <w:rPr>
          <w:rFonts w:ascii="Verdana" w:hAnsi="Verdana"/>
          <w:sz w:val="20"/>
          <w:szCs w:val="20"/>
          <w:lang w:val="es-ES"/>
        </w:rPr>
      </w:pPr>
    </w:p>
    <w:p w:rsidR="006B392B" w:rsidP="006B392B" w:rsidRDefault="006B392B" w14:paraId="0AE73619" w14:textId="011FD398">
      <w:pPr>
        <w:jc w:val="both"/>
        <w:rPr>
          <w:rFonts w:ascii="Verdana" w:hAnsi="Verdana"/>
          <w:sz w:val="20"/>
          <w:szCs w:val="20"/>
          <w:lang w:val="es-ES"/>
        </w:rPr>
      </w:pPr>
      <w:r>
        <w:rPr>
          <w:rFonts w:ascii="Verdana" w:hAnsi="Verdana"/>
          <w:sz w:val="20"/>
          <w:szCs w:val="20"/>
          <w:lang w:val="es-ES"/>
        </w:rPr>
        <w:t>Por el lado de la demanda</w:t>
      </w:r>
      <w:r w:rsidR="002A6E88">
        <w:rPr>
          <w:rFonts w:ascii="Verdana" w:hAnsi="Verdana"/>
          <w:sz w:val="20"/>
          <w:szCs w:val="20"/>
          <w:lang w:val="es-ES"/>
        </w:rPr>
        <w:t>, el riesgo principal proviene de la pérdida de ingresos como consecuencia de las medidas de distanciamiento social. En particular, las MIPYME son más vulnerables ante la falta de liquidez</w:t>
      </w:r>
      <w:r w:rsidR="00BE6CE7">
        <w:rPr>
          <w:rFonts w:ascii="Verdana" w:hAnsi="Verdana"/>
          <w:sz w:val="20"/>
          <w:szCs w:val="20"/>
          <w:lang w:val="es-ES"/>
        </w:rPr>
        <w:t xml:space="preserve"> y la menor flexibilidad en costos</w:t>
      </w:r>
      <w:r w:rsidR="002A6E88">
        <w:rPr>
          <w:rFonts w:ascii="Verdana" w:hAnsi="Verdana"/>
          <w:sz w:val="20"/>
          <w:szCs w:val="20"/>
          <w:lang w:val="es-ES"/>
        </w:rPr>
        <w:t xml:space="preserve">. En el mediano plazo, </w:t>
      </w:r>
      <w:r w:rsidR="00343F4B">
        <w:rPr>
          <w:rFonts w:ascii="Verdana" w:hAnsi="Verdana"/>
          <w:sz w:val="20"/>
          <w:szCs w:val="20"/>
          <w:lang w:val="es-ES"/>
        </w:rPr>
        <w:t>las MIPYME también enfrentarán una menor demanda como consecuencia de la pérdida de ingresos en los hogares por mayor desempleo.</w:t>
      </w:r>
    </w:p>
    <w:p w:rsidR="00BE6CE7" w:rsidP="006B392B" w:rsidRDefault="00BE6CE7" w14:paraId="1748FDE5" w14:textId="632F768F">
      <w:pPr>
        <w:jc w:val="both"/>
        <w:rPr>
          <w:rFonts w:ascii="Verdana" w:hAnsi="Verdana"/>
          <w:sz w:val="20"/>
          <w:szCs w:val="20"/>
          <w:lang w:val="es-ES"/>
        </w:rPr>
      </w:pPr>
      <w:r>
        <w:rPr>
          <w:rFonts w:ascii="Verdana" w:hAnsi="Verdana"/>
          <w:sz w:val="20"/>
          <w:szCs w:val="20"/>
          <w:lang w:val="es-ES"/>
        </w:rPr>
        <w:t>El efecto severo en las MIPYME puede aproximarse a través de diferentes encuestas a empresas realizadas en diversos países. Éstas muestras que alrededor de la mitad enfrentan reducciones severas en sus ingresos, alrededor de un tercio temen irse a la quiebra en un mes si no reciben apoyos, y el 50% en un periodo de tres meses.</w:t>
      </w:r>
    </w:p>
    <w:p w:rsidR="00BE6CE7" w:rsidP="006B392B" w:rsidRDefault="00BE6CE7" w14:paraId="2EE43839" w14:textId="33632426">
      <w:pPr>
        <w:jc w:val="both"/>
        <w:rPr>
          <w:rFonts w:ascii="Verdana" w:hAnsi="Verdana"/>
          <w:sz w:val="20"/>
          <w:szCs w:val="20"/>
          <w:lang w:val="es-ES"/>
        </w:rPr>
      </w:pPr>
      <w:r>
        <w:rPr>
          <w:rFonts w:ascii="Verdana" w:hAnsi="Verdana"/>
          <w:sz w:val="20"/>
          <w:szCs w:val="20"/>
          <w:lang w:val="es-ES"/>
        </w:rPr>
        <w:t xml:space="preserve">En Estados Unidos, una encuesta aplicada a 5,800 micro y pequeños negocios mostró que el </w:t>
      </w:r>
      <w:r w:rsidR="00273320">
        <w:rPr>
          <w:rFonts w:ascii="Verdana" w:hAnsi="Verdana"/>
          <w:sz w:val="20"/>
          <w:szCs w:val="20"/>
          <w:lang w:val="es-ES"/>
        </w:rPr>
        <w:t>43% de las empresas están temporalmente cerradas, han reducido su plantilla laboral en un 40% en promedio, y el 75% señaló que tienen reservas de liquidez para sobrevivir hasta máximo dos meses (Bartik et al. 2020)</w:t>
      </w:r>
      <w:r w:rsidR="00F926EC">
        <w:rPr>
          <w:rStyle w:val="FootnoteReference"/>
          <w:rFonts w:ascii="Verdana" w:hAnsi="Verdana"/>
          <w:sz w:val="20"/>
          <w:szCs w:val="20"/>
          <w:lang w:val="es-ES"/>
        </w:rPr>
        <w:footnoteReference w:id="6"/>
      </w:r>
      <w:r w:rsidR="00273320">
        <w:rPr>
          <w:rFonts w:ascii="Verdana" w:hAnsi="Verdana"/>
          <w:sz w:val="20"/>
          <w:szCs w:val="20"/>
          <w:lang w:val="es-ES"/>
        </w:rPr>
        <w:t>.</w:t>
      </w:r>
    </w:p>
    <w:p w:rsidRPr="00173FFA" w:rsidR="00173FFA" w:rsidP="00173FFA" w:rsidRDefault="00173FFA" w14:paraId="26595E66" w14:textId="42A5CE7E">
      <w:pPr>
        <w:jc w:val="both"/>
        <w:rPr>
          <w:rFonts w:ascii="Verdana" w:hAnsi="Verdana"/>
          <w:i/>
          <w:iCs/>
          <w:sz w:val="20"/>
          <w:szCs w:val="20"/>
          <w:lang w:val="es-ES"/>
        </w:rPr>
      </w:pPr>
      <w:r>
        <w:rPr>
          <w:rFonts w:ascii="Verdana" w:hAnsi="Verdana"/>
          <w:i/>
          <w:iCs/>
          <w:sz w:val="20"/>
          <w:szCs w:val="20"/>
          <w:lang w:val="es-ES"/>
        </w:rPr>
        <w:t>Mapeo de los principales sectores de MIPYME afectados por la crisis del COVID</w:t>
      </w:r>
      <w:r w:rsidRPr="00173FFA">
        <w:rPr>
          <w:rFonts w:ascii="Verdana" w:hAnsi="Verdana"/>
          <w:i/>
          <w:iCs/>
          <w:sz w:val="20"/>
          <w:szCs w:val="20"/>
          <w:lang w:val="es-ES"/>
        </w:rPr>
        <w:t>.</w:t>
      </w:r>
    </w:p>
    <w:p w:rsidR="00AB6B08" w:rsidP="00AB6B08" w:rsidRDefault="00A478F4" w14:paraId="26D38AB9" w14:textId="1816C405">
      <w:pPr>
        <w:jc w:val="both"/>
        <w:rPr>
          <w:rFonts w:ascii="Verdana" w:hAnsi="Verdana"/>
          <w:sz w:val="20"/>
          <w:szCs w:val="20"/>
          <w:lang w:val="es-ES"/>
        </w:rPr>
      </w:pPr>
      <w:r>
        <w:rPr>
          <w:rFonts w:ascii="Verdana" w:hAnsi="Verdana"/>
          <w:sz w:val="20"/>
          <w:szCs w:val="20"/>
          <w:lang w:val="es-ES"/>
        </w:rPr>
        <w:t>Por su parte, el grado de afectación en las MIPYME dependerá también del sector de actividad económica en el que desarrollen sus actividades.</w:t>
      </w:r>
      <w:r w:rsidRPr="00AB6B08" w:rsidR="00AB6B08">
        <w:rPr>
          <w:rFonts w:ascii="Verdana" w:hAnsi="Verdana"/>
          <w:sz w:val="20"/>
          <w:szCs w:val="20"/>
          <w:lang w:val="es-ES"/>
        </w:rPr>
        <w:t xml:space="preserve"> </w:t>
      </w:r>
      <w:r w:rsidR="007E141D">
        <w:rPr>
          <w:rFonts w:ascii="Verdana" w:hAnsi="Verdana"/>
          <w:sz w:val="20"/>
          <w:szCs w:val="20"/>
          <w:lang w:val="es-ES"/>
        </w:rPr>
        <w:t xml:space="preserve">De acuerdo con la </w:t>
      </w:r>
      <w:r w:rsidR="00CA6AE9">
        <w:rPr>
          <w:rFonts w:ascii="Verdana" w:hAnsi="Verdana"/>
          <w:sz w:val="20"/>
          <w:szCs w:val="20"/>
          <w:lang w:val="es-ES"/>
        </w:rPr>
        <w:t>OCDE</w:t>
      </w:r>
      <w:r w:rsidR="007E141D">
        <w:rPr>
          <w:rFonts w:ascii="Verdana" w:hAnsi="Verdana"/>
          <w:sz w:val="20"/>
          <w:szCs w:val="20"/>
          <w:lang w:val="es-ES"/>
        </w:rPr>
        <w:t>, se</w:t>
      </w:r>
      <w:r w:rsidR="00AB6B08">
        <w:rPr>
          <w:rFonts w:ascii="Verdana" w:hAnsi="Verdana"/>
          <w:sz w:val="20"/>
          <w:szCs w:val="20"/>
          <w:lang w:val="es-ES"/>
        </w:rPr>
        <w:t xml:space="preserve"> prevé que los sectores más afectados por la crisis</w:t>
      </w:r>
      <w:r w:rsidR="007E141D">
        <w:rPr>
          <w:rFonts w:ascii="Verdana" w:hAnsi="Verdana"/>
          <w:sz w:val="20"/>
          <w:szCs w:val="20"/>
          <w:lang w:val="es-ES"/>
        </w:rPr>
        <w:t>, en los países miembro de este organismo</w:t>
      </w:r>
      <w:r w:rsidR="00AB6B08">
        <w:rPr>
          <w:rFonts w:ascii="Verdana" w:hAnsi="Verdana"/>
          <w:sz w:val="20"/>
          <w:szCs w:val="20"/>
          <w:lang w:val="es-ES"/>
        </w:rPr>
        <w:t xml:space="preserve"> sean:</w:t>
      </w:r>
    </w:p>
    <w:p w:rsidR="00AB6B08" w:rsidP="00AB6B08" w:rsidRDefault="00AB6B08" w14:paraId="1C7D9D72" w14:textId="35FE6BD3">
      <w:pPr>
        <w:pStyle w:val="ListParagraph"/>
        <w:numPr>
          <w:ilvl w:val="0"/>
          <w:numId w:val="16"/>
        </w:numPr>
        <w:jc w:val="both"/>
        <w:rPr>
          <w:rFonts w:ascii="Verdana" w:hAnsi="Verdana"/>
          <w:sz w:val="20"/>
          <w:szCs w:val="20"/>
          <w:lang w:val="es-ES"/>
        </w:rPr>
      </w:pPr>
      <w:r>
        <w:rPr>
          <w:rFonts w:ascii="Verdana" w:hAnsi="Verdana"/>
          <w:sz w:val="20"/>
          <w:szCs w:val="20"/>
          <w:lang w:val="es-ES"/>
        </w:rPr>
        <w:t>Restaurantes y hoteles</w:t>
      </w:r>
    </w:p>
    <w:p w:rsidR="00AB6B08" w:rsidP="00AB6B08" w:rsidRDefault="00AB6B08" w14:paraId="1A0DE7C6" w14:textId="77777777">
      <w:pPr>
        <w:pStyle w:val="ListParagraph"/>
        <w:numPr>
          <w:ilvl w:val="0"/>
          <w:numId w:val="16"/>
        </w:numPr>
        <w:jc w:val="both"/>
        <w:rPr>
          <w:rFonts w:ascii="Verdana" w:hAnsi="Verdana"/>
          <w:sz w:val="20"/>
          <w:szCs w:val="20"/>
          <w:lang w:val="es-ES"/>
        </w:rPr>
      </w:pPr>
      <w:r>
        <w:rPr>
          <w:rFonts w:ascii="Verdana" w:hAnsi="Verdana"/>
          <w:sz w:val="20"/>
          <w:szCs w:val="20"/>
          <w:lang w:val="es-ES"/>
        </w:rPr>
        <w:t>Comercio</w:t>
      </w:r>
    </w:p>
    <w:p w:rsidR="00AB6B08" w:rsidP="00AB6B08" w:rsidRDefault="00AB6B08" w14:paraId="228143BD" w14:textId="77777777">
      <w:pPr>
        <w:pStyle w:val="ListParagraph"/>
        <w:numPr>
          <w:ilvl w:val="0"/>
          <w:numId w:val="16"/>
        </w:numPr>
        <w:jc w:val="both"/>
        <w:rPr>
          <w:rFonts w:ascii="Verdana" w:hAnsi="Verdana"/>
          <w:sz w:val="20"/>
          <w:szCs w:val="20"/>
          <w:lang w:val="es-ES"/>
        </w:rPr>
      </w:pPr>
      <w:r>
        <w:rPr>
          <w:rFonts w:ascii="Verdana" w:hAnsi="Verdana"/>
          <w:sz w:val="20"/>
          <w:szCs w:val="20"/>
          <w:lang w:val="es-ES"/>
        </w:rPr>
        <w:t>Transporte aéreo</w:t>
      </w:r>
    </w:p>
    <w:p w:rsidR="00AB6B08" w:rsidP="00AB6B08" w:rsidRDefault="00AB6B08" w14:paraId="541074F6" w14:textId="77777777">
      <w:pPr>
        <w:pStyle w:val="ListParagraph"/>
        <w:numPr>
          <w:ilvl w:val="0"/>
          <w:numId w:val="16"/>
        </w:numPr>
        <w:jc w:val="both"/>
        <w:rPr>
          <w:rFonts w:ascii="Verdana" w:hAnsi="Verdana"/>
          <w:sz w:val="20"/>
          <w:szCs w:val="20"/>
          <w:lang w:val="es-ES"/>
        </w:rPr>
      </w:pPr>
      <w:r>
        <w:rPr>
          <w:rFonts w:ascii="Verdana" w:hAnsi="Verdana"/>
          <w:sz w:val="20"/>
          <w:szCs w:val="20"/>
          <w:lang w:val="es-ES"/>
        </w:rPr>
        <w:t>Fabricación de equipo de transporte</w:t>
      </w:r>
    </w:p>
    <w:p w:rsidR="00AB6B08" w:rsidP="00AB6B08" w:rsidRDefault="00AB6B08" w14:paraId="1663F044" w14:textId="77777777">
      <w:pPr>
        <w:pStyle w:val="ListParagraph"/>
        <w:numPr>
          <w:ilvl w:val="0"/>
          <w:numId w:val="16"/>
        </w:numPr>
        <w:jc w:val="both"/>
        <w:rPr>
          <w:rFonts w:ascii="Verdana" w:hAnsi="Verdana"/>
          <w:sz w:val="20"/>
          <w:szCs w:val="20"/>
          <w:lang w:val="es-ES"/>
        </w:rPr>
      </w:pPr>
      <w:r>
        <w:rPr>
          <w:rFonts w:ascii="Verdana" w:hAnsi="Verdana"/>
          <w:sz w:val="20"/>
          <w:szCs w:val="20"/>
          <w:lang w:val="es-ES"/>
        </w:rPr>
        <w:t>Construcción</w:t>
      </w:r>
    </w:p>
    <w:p w:rsidR="00AB6B08" w:rsidP="00AB6B08" w:rsidRDefault="00AB6B08" w14:paraId="13050D97" w14:textId="77777777">
      <w:pPr>
        <w:pStyle w:val="ListParagraph"/>
        <w:numPr>
          <w:ilvl w:val="0"/>
          <w:numId w:val="16"/>
        </w:numPr>
        <w:jc w:val="both"/>
        <w:rPr>
          <w:rFonts w:ascii="Verdana" w:hAnsi="Verdana"/>
          <w:sz w:val="20"/>
          <w:szCs w:val="20"/>
          <w:lang w:val="es-ES"/>
        </w:rPr>
      </w:pPr>
      <w:r>
        <w:rPr>
          <w:rFonts w:ascii="Verdana" w:hAnsi="Verdana"/>
          <w:sz w:val="20"/>
          <w:szCs w:val="20"/>
          <w:lang w:val="es-ES"/>
        </w:rPr>
        <w:t>Servicios profesionales e inmobiliarios</w:t>
      </w:r>
    </w:p>
    <w:p w:rsidR="00AB6B08" w:rsidP="00AB6B08" w:rsidRDefault="00AB6B08" w14:paraId="43E705C3" w14:textId="77777777">
      <w:pPr>
        <w:pStyle w:val="ListParagraph"/>
        <w:numPr>
          <w:ilvl w:val="0"/>
          <w:numId w:val="16"/>
        </w:numPr>
        <w:jc w:val="both"/>
        <w:rPr>
          <w:rFonts w:ascii="Verdana" w:hAnsi="Verdana"/>
          <w:sz w:val="20"/>
          <w:szCs w:val="20"/>
          <w:lang w:val="es-ES"/>
        </w:rPr>
      </w:pPr>
      <w:r>
        <w:rPr>
          <w:rFonts w:ascii="Verdana" w:hAnsi="Verdana"/>
          <w:sz w:val="20"/>
          <w:szCs w:val="20"/>
          <w:lang w:val="es-ES"/>
        </w:rPr>
        <w:t>Servicios personales</w:t>
      </w:r>
    </w:p>
    <w:p w:rsidR="00A478F4" w:rsidP="006B392B" w:rsidRDefault="00A478F4" w14:paraId="5600326E" w14:textId="3C6ABA8D">
      <w:pPr>
        <w:jc w:val="both"/>
        <w:rPr>
          <w:rFonts w:ascii="Verdana" w:hAnsi="Verdana"/>
          <w:sz w:val="20"/>
          <w:szCs w:val="20"/>
          <w:lang w:val="es-ES"/>
        </w:rPr>
      </w:pPr>
      <w:r>
        <w:rPr>
          <w:rFonts w:ascii="Verdana" w:hAnsi="Verdana"/>
          <w:sz w:val="20"/>
          <w:szCs w:val="20"/>
          <w:lang w:val="es-ES"/>
        </w:rPr>
        <w:t xml:space="preserve">De acuerdo con </w:t>
      </w:r>
      <w:r w:rsidR="00CA6AE9">
        <w:rPr>
          <w:rFonts w:ascii="Verdana" w:hAnsi="Verdana"/>
          <w:sz w:val="20"/>
          <w:szCs w:val="20"/>
          <w:lang w:val="es-ES"/>
        </w:rPr>
        <w:t>este organismo</w:t>
      </w:r>
      <w:r w:rsidR="004B7A68">
        <w:rPr>
          <w:rStyle w:val="FootnoteReference"/>
          <w:rFonts w:ascii="Verdana" w:hAnsi="Verdana"/>
          <w:sz w:val="20"/>
          <w:szCs w:val="20"/>
          <w:lang w:val="es-ES"/>
        </w:rPr>
        <w:footnoteReference w:id="7"/>
      </w:r>
      <w:r>
        <w:rPr>
          <w:rFonts w:ascii="Verdana" w:hAnsi="Verdana"/>
          <w:sz w:val="20"/>
          <w:szCs w:val="20"/>
          <w:lang w:val="es-ES"/>
        </w:rPr>
        <w:t>,</w:t>
      </w:r>
      <w:r w:rsidR="004B7A68">
        <w:rPr>
          <w:rFonts w:ascii="Verdana" w:hAnsi="Verdana"/>
          <w:sz w:val="20"/>
          <w:szCs w:val="20"/>
          <w:lang w:val="es-ES"/>
        </w:rPr>
        <w:t xml:space="preserve"> las MYPIME emplean en promedio al 75% de los trabajadores que laboran en los sectores más afectados por la pandemia.</w:t>
      </w:r>
      <w:r w:rsidR="00CE2721">
        <w:rPr>
          <w:rFonts w:ascii="Verdana" w:hAnsi="Verdana"/>
          <w:sz w:val="20"/>
          <w:szCs w:val="20"/>
          <w:lang w:val="es-ES"/>
        </w:rPr>
        <w:t xml:space="preserve"> En el caso de México, éstas indicador se eleva hasta 79% del total.</w:t>
      </w:r>
    </w:p>
    <w:p w:rsidR="0026697A" w:rsidP="00890F04" w:rsidRDefault="005709DC" w14:paraId="261999D3" w14:textId="7ABBCF8B">
      <w:pPr>
        <w:jc w:val="both"/>
        <w:rPr>
          <w:rFonts w:ascii="Verdana" w:hAnsi="Verdana"/>
          <w:sz w:val="20"/>
          <w:szCs w:val="20"/>
          <w:lang w:val="es-ES"/>
        </w:rPr>
      </w:pPr>
      <w:r>
        <w:rPr>
          <w:rFonts w:ascii="Verdana" w:hAnsi="Verdana"/>
          <w:sz w:val="20"/>
          <w:szCs w:val="20"/>
          <w:lang w:val="es-ES"/>
        </w:rPr>
        <w:t>O</w:t>
      </w:r>
      <w:r w:rsidR="00890F04">
        <w:rPr>
          <w:rFonts w:ascii="Verdana" w:hAnsi="Verdana"/>
          <w:sz w:val="20"/>
          <w:szCs w:val="20"/>
          <w:lang w:val="es-ES"/>
        </w:rPr>
        <w:t>tro factor de riesgo para las MIPYME s</w:t>
      </w:r>
      <w:r w:rsidR="0026697A">
        <w:rPr>
          <w:rFonts w:ascii="Verdana" w:hAnsi="Verdana"/>
          <w:sz w:val="20"/>
          <w:szCs w:val="20"/>
          <w:lang w:val="es-ES"/>
        </w:rPr>
        <w:t>e relaciona con</w:t>
      </w:r>
      <w:r w:rsidR="00890F04">
        <w:rPr>
          <w:rFonts w:ascii="Verdana" w:hAnsi="Verdana"/>
          <w:sz w:val="20"/>
          <w:szCs w:val="20"/>
          <w:lang w:val="es-ES"/>
        </w:rPr>
        <w:t xml:space="preserve"> la antigüedad de la empresa. </w:t>
      </w:r>
      <w:r w:rsidR="0026697A">
        <w:rPr>
          <w:rFonts w:ascii="Verdana" w:hAnsi="Verdana"/>
          <w:sz w:val="20"/>
          <w:szCs w:val="20"/>
          <w:lang w:val="es-ES"/>
        </w:rPr>
        <w:t>Se podría esperar que las empresas “jóvenes” o de reciente creación (</w:t>
      </w:r>
      <w:r w:rsidR="00173FFA">
        <w:rPr>
          <w:rFonts w:ascii="Verdana" w:hAnsi="Verdana"/>
          <w:sz w:val="20"/>
          <w:szCs w:val="20"/>
          <w:lang w:val="es-ES"/>
        </w:rPr>
        <w:t xml:space="preserve">hasta </w:t>
      </w:r>
      <w:r w:rsidR="004C6E7E">
        <w:rPr>
          <w:rFonts w:ascii="Verdana" w:hAnsi="Verdana"/>
          <w:sz w:val="20"/>
          <w:szCs w:val="20"/>
          <w:lang w:val="es-ES"/>
        </w:rPr>
        <w:t xml:space="preserve">5 </w:t>
      </w:r>
      <w:r w:rsidR="0026697A">
        <w:rPr>
          <w:rFonts w:ascii="Verdana" w:hAnsi="Verdana"/>
          <w:sz w:val="20"/>
          <w:szCs w:val="20"/>
          <w:lang w:val="es-ES"/>
        </w:rPr>
        <w:t>años</w:t>
      </w:r>
      <w:r w:rsidR="00173FFA">
        <w:rPr>
          <w:rFonts w:ascii="Verdana" w:hAnsi="Verdana"/>
          <w:sz w:val="20"/>
          <w:szCs w:val="20"/>
          <w:lang w:val="es-ES"/>
        </w:rPr>
        <w:t xml:space="preserve"> de antig</w:t>
      </w:r>
      <w:r w:rsidR="004C6E7E">
        <w:rPr>
          <w:rFonts w:ascii="Verdana" w:hAnsi="Verdana"/>
          <w:sz w:val="20"/>
          <w:szCs w:val="20"/>
          <w:lang w:val="es-ES"/>
        </w:rPr>
        <w:t>üedad</w:t>
      </w:r>
      <w:r w:rsidR="0026697A">
        <w:rPr>
          <w:rFonts w:ascii="Verdana" w:hAnsi="Verdana"/>
          <w:sz w:val="20"/>
          <w:szCs w:val="20"/>
          <w:lang w:val="es-ES"/>
        </w:rPr>
        <w:t>) se encuentren en una posición de vulnerabilidad mayor debido a que no han desarrollado redes sólidas de proveeduría o clientela, o en muchos casos tienen menos flexibilidad para reducir costos, especialmente en materia de deuda (con familiares o instituciones de crédito), lo cual puede ser desfavorable para resistir el impacto de la crisis.</w:t>
      </w:r>
    </w:p>
    <w:p w:rsidR="0026697A" w:rsidP="00890F04" w:rsidRDefault="0026697A" w14:paraId="7030583C" w14:textId="6F3B720C">
      <w:pPr>
        <w:jc w:val="both"/>
        <w:rPr>
          <w:rFonts w:ascii="Verdana" w:hAnsi="Verdana"/>
          <w:sz w:val="20"/>
          <w:szCs w:val="20"/>
          <w:lang w:val="es-ES"/>
        </w:rPr>
      </w:pPr>
      <w:r>
        <w:rPr>
          <w:rFonts w:ascii="Verdana" w:hAnsi="Verdana"/>
          <w:sz w:val="20"/>
          <w:szCs w:val="20"/>
          <w:lang w:val="es-ES"/>
        </w:rPr>
        <w:t>En México</w:t>
      </w:r>
      <w:r w:rsidR="005709DC">
        <w:rPr>
          <w:rFonts w:ascii="Verdana" w:hAnsi="Verdana"/>
          <w:sz w:val="20"/>
          <w:szCs w:val="20"/>
          <w:lang w:val="es-ES"/>
        </w:rPr>
        <w:t>,</w:t>
      </w:r>
      <w:r>
        <w:rPr>
          <w:rFonts w:ascii="Verdana" w:hAnsi="Verdana"/>
          <w:sz w:val="20"/>
          <w:szCs w:val="20"/>
          <w:lang w:val="es-ES"/>
        </w:rPr>
        <w:t xml:space="preserve"> existen </w:t>
      </w:r>
      <w:r w:rsidR="005709DC">
        <w:rPr>
          <w:rFonts w:ascii="Verdana" w:hAnsi="Verdana"/>
          <w:sz w:val="20"/>
          <w:szCs w:val="20"/>
          <w:lang w:val="es-ES"/>
        </w:rPr>
        <w:t>alrededor de 1.83 millones de</w:t>
      </w:r>
      <w:r>
        <w:rPr>
          <w:rFonts w:ascii="Verdana" w:hAnsi="Verdana"/>
          <w:sz w:val="20"/>
          <w:szCs w:val="20"/>
          <w:lang w:val="es-ES"/>
        </w:rPr>
        <w:t xml:space="preserve"> MIPYME</w:t>
      </w:r>
      <w:r w:rsidR="005709DC">
        <w:rPr>
          <w:rFonts w:ascii="Verdana" w:hAnsi="Verdana"/>
          <w:sz w:val="20"/>
          <w:szCs w:val="20"/>
          <w:lang w:val="es-ES"/>
        </w:rPr>
        <w:t>S</w:t>
      </w:r>
      <w:r>
        <w:rPr>
          <w:rFonts w:ascii="Verdana" w:hAnsi="Verdana"/>
          <w:sz w:val="20"/>
          <w:szCs w:val="20"/>
          <w:lang w:val="es-ES"/>
        </w:rPr>
        <w:t xml:space="preserve"> “jóvenes”, que representan </w:t>
      </w:r>
      <w:r w:rsidR="004C6E7E">
        <w:rPr>
          <w:rFonts w:ascii="Verdana" w:hAnsi="Verdana"/>
          <w:sz w:val="20"/>
          <w:szCs w:val="20"/>
          <w:lang w:val="es-ES"/>
        </w:rPr>
        <w:t>38.4</w:t>
      </w:r>
      <w:r>
        <w:rPr>
          <w:rFonts w:ascii="Verdana" w:hAnsi="Verdana"/>
          <w:sz w:val="20"/>
          <w:szCs w:val="20"/>
          <w:lang w:val="es-ES"/>
        </w:rPr>
        <w:t xml:space="preserve">% del total. </w:t>
      </w:r>
      <w:r w:rsidR="004C6E7E">
        <w:rPr>
          <w:rFonts w:ascii="Verdana" w:hAnsi="Verdana"/>
          <w:sz w:val="20"/>
          <w:szCs w:val="20"/>
          <w:lang w:val="es-ES"/>
        </w:rPr>
        <w:t>Cerca del 90% de estas empresas se encuentran en el sector servicios.</w:t>
      </w:r>
    </w:p>
    <w:p w:rsidR="004C6E7E" w:rsidP="00890F04" w:rsidRDefault="004C6E7E" w14:paraId="6B1B386B" w14:textId="06BF91A7">
      <w:pPr>
        <w:jc w:val="both"/>
        <w:rPr>
          <w:rFonts w:ascii="Verdana" w:hAnsi="Verdana"/>
          <w:sz w:val="20"/>
          <w:szCs w:val="20"/>
          <w:lang w:val="es-ES"/>
        </w:rPr>
      </w:pPr>
      <w:r>
        <w:rPr>
          <w:rFonts w:ascii="Verdana" w:hAnsi="Verdana"/>
          <w:sz w:val="20"/>
          <w:szCs w:val="20"/>
          <w:lang w:val="es-ES"/>
        </w:rPr>
        <w:t>Estas empresas emplean a 5.1 millones de personas, equivalente al 28.6% de los empleos generados por las micro, pequeñas y medianas empresas</w:t>
      </w:r>
    </w:p>
    <w:p w:rsidRPr="00394D0B" w:rsidR="004C6E7E" w:rsidP="004C6E7E" w:rsidRDefault="004C6E7E" w14:paraId="2870642A" w14:textId="6CBBD159">
      <w:pPr>
        <w:jc w:val="center"/>
        <w:rPr>
          <w:rFonts w:ascii="Verdana" w:hAnsi="Verdana"/>
          <w:b/>
          <w:bCs/>
          <w:sz w:val="20"/>
          <w:szCs w:val="20"/>
          <w:lang w:val="es-ES"/>
        </w:rPr>
      </w:pPr>
      <w:r w:rsidRPr="00394D0B">
        <w:rPr>
          <w:rFonts w:ascii="Verdana" w:hAnsi="Verdana"/>
          <w:b/>
          <w:bCs/>
          <w:sz w:val="20"/>
          <w:szCs w:val="20"/>
          <w:lang w:val="es-ES"/>
        </w:rPr>
        <w:t xml:space="preserve">Cuadro </w:t>
      </w:r>
      <w:r w:rsidRPr="00394D0B" w:rsidR="00394D0B">
        <w:rPr>
          <w:rFonts w:ascii="Verdana" w:hAnsi="Verdana"/>
          <w:b/>
          <w:bCs/>
          <w:sz w:val="20"/>
          <w:szCs w:val="20"/>
          <w:lang w:val="es-ES"/>
        </w:rPr>
        <w:t>5</w:t>
      </w:r>
      <w:r w:rsidRPr="00394D0B">
        <w:rPr>
          <w:rFonts w:ascii="Verdana" w:hAnsi="Verdana"/>
          <w:b/>
          <w:bCs/>
          <w:sz w:val="20"/>
          <w:szCs w:val="20"/>
          <w:lang w:val="es-ES"/>
        </w:rPr>
        <w:t>. Caracterización de MIPYME</w:t>
      </w:r>
      <w:r w:rsidR="005709DC">
        <w:rPr>
          <w:rFonts w:ascii="Verdana" w:hAnsi="Verdana"/>
          <w:b/>
          <w:bCs/>
          <w:sz w:val="20"/>
          <w:szCs w:val="20"/>
          <w:lang w:val="es-ES"/>
        </w:rPr>
        <w:t>S</w:t>
      </w:r>
      <w:r w:rsidRPr="00394D0B">
        <w:rPr>
          <w:rFonts w:ascii="Verdana" w:hAnsi="Verdana"/>
          <w:b/>
          <w:bCs/>
          <w:sz w:val="20"/>
          <w:szCs w:val="20"/>
          <w:lang w:val="es-ES"/>
        </w:rPr>
        <w:t xml:space="preserve"> “jóvenes” según sector</w:t>
      </w:r>
      <w:r w:rsidR="005709DC">
        <w:rPr>
          <w:rFonts w:ascii="Verdana" w:hAnsi="Verdana"/>
          <w:b/>
          <w:bCs/>
          <w:sz w:val="20"/>
          <w:szCs w:val="20"/>
          <w:lang w:val="es-ES"/>
        </w:rPr>
        <w:t xml:space="preserve"> </w:t>
      </w:r>
      <w:r w:rsidR="00C3502A">
        <w:rPr>
          <w:rFonts w:ascii="Verdana" w:hAnsi="Verdana"/>
          <w:b/>
          <w:bCs/>
          <w:sz w:val="20"/>
          <w:szCs w:val="20"/>
          <w:lang w:val="es-ES"/>
        </w:rPr>
        <w:t>(2018)</w:t>
      </w:r>
      <w:r w:rsidRPr="00394D0B">
        <w:rPr>
          <w:rFonts w:ascii="Verdana" w:hAnsi="Verdana"/>
          <w:b/>
          <w:bCs/>
          <w:sz w:val="20"/>
          <w:szCs w:val="20"/>
          <w:lang w:val="es-ES"/>
        </w:rPr>
        <w:t>.</w:t>
      </w:r>
    </w:p>
    <w:tbl>
      <w:tblPr>
        <w:tblW w:w="6400" w:type="dxa"/>
        <w:jc w:val="center"/>
        <w:tblCellMar>
          <w:left w:w="70" w:type="dxa"/>
          <w:right w:w="70" w:type="dxa"/>
        </w:tblCellMar>
        <w:tblLook w:val="04A0" w:firstRow="1" w:lastRow="0" w:firstColumn="1" w:lastColumn="0" w:noHBand="0" w:noVBand="1"/>
      </w:tblPr>
      <w:tblGrid>
        <w:gridCol w:w="2040"/>
        <w:gridCol w:w="1200"/>
        <w:gridCol w:w="960"/>
        <w:gridCol w:w="1080"/>
        <w:gridCol w:w="1120"/>
      </w:tblGrid>
      <w:tr w:rsidRPr="00173FFA" w:rsidR="00173FFA" w:rsidTr="00173FFA" w14:paraId="6846DEC5" w14:textId="77777777">
        <w:trPr>
          <w:trHeight w:val="300"/>
          <w:jc w:val="center"/>
        </w:trPr>
        <w:tc>
          <w:tcPr>
            <w:tcW w:w="2040" w:type="dxa"/>
            <w:vMerge w:val="restart"/>
            <w:tcBorders>
              <w:top w:val="single" w:color="auto" w:sz="4" w:space="0"/>
              <w:left w:val="single" w:color="auto" w:sz="4" w:space="0"/>
              <w:bottom w:val="single" w:color="auto" w:sz="4" w:space="0"/>
              <w:right w:val="single" w:color="auto" w:sz="4" w:space="0"/>
            </w:tcBorders>
            <w:shd w:val="clear" w:color="000000" w:fill="333F4F"/>
            <w:vAlign w:val="center"/>
            <w:hideMark/>
          </w:tcPr>
          <w:p w:rsidRPr="00173FFA" w:rsidR="00173FFA" w:rsidP="00173FFA" w:rsidRDefault="00173FFA" w14:paraId="53F010FE" w14:textId="77777777">
            <w:pPr>
              <w:spacing w:after="0" w:line="240" w:lineRule="auto"/>
              <w:jc w:val="center"/>
              <w:rPr>
                <w:rFonts w:ascii="Calibri" w:hAnsi="Calibri" w:eastAsia="Times New Roman" w:cs="Calibri"/>
                <w:b/>
                <w:bCs/>
                <w:color w:val="FFFFFF"/>
                <w:lang w:val="es-MX" w:eastAsia="es-MX"/>
              </w:rPr>
            </w:pPr>
            <w:r w:rsidRPr="00173FFA">
              <w:rPr>
                <w:rFonts w:ascii="Calibri" w:hAnsi="Calibri" w:eastAsia="Times New Roman" w:cs="Calibri"/>
                <w:b/>
                <w:bCs/>
                <w:color w:val="FFFFFF"/>
                <w:lang w:val="es-MX" w:eastAsia="es-MX"/>
              </w:rPr>
              <w:t>MIPYME "Jóvenes"</w:t>
            </w:r>
          </w:p>
        </w:tc>
        <w:tc>
          <w:tcPr>
            <w:tcW w:w="2160" w:type="dxa"/>
            <w:gridSpan w:val="2"/>
            <w:tcBorders>
              <w:top w:val="single" w:color="auto" w:sz="4" w:space="0"/>
              <w:left w:val="nil"/>
              <w:bottom w:val="single" w:color="auto" w:sz="4" w:space="0"/>
              <w:right w:val="single" w:color="auto" w:sz="4" w:space="0"/>
            </w:tcBorders>
            <w:shd w:val="clear" w:color="000000" w:fill="333F4F"/>
            <w:vAlign w:val="center"/>
            <w:hideMark/>
          </w:tcPr>
          <w:p w:rsidRPr="00173FFA" w:rsidR="00173FFA" w:rsidP="00173FFA" w:rsidRDefault="00173FFA" w14:paraId="3BC8BF82" w14:textId="77777777">
            <w:pPr>
              <w:spacing w:after="0" w:line="240" w:lineRule="auto"/>
              <w:jc w:val="center"/>
              <w:rPr>
                <w:rFonts w:ascii="Calibri" w:hAnsi="Calibri" w:eastAsia="Times New Roman" w:cs="Calibri"/>
                <w:b/>
                <w:bCs/>
                <w:color w:val="FFFFFF"/>
                <w:lang w:val="es-MX" w:eastAsia="es-MX"/>
              </w:rPr>
            </w:pPr>
            <w:r w:rsidRPr="00173FFA">
              <w:rPr>
                <w:rFonts w:ascii="Calibri" w:hAnsi="Calibri" w:eastAsia="Times New Roman" w:cs="Calibri"/>
                <w:b/>
                <w:bCs/>
                <w:color w:val="FFFFFF"/>
                <w:lang w:val="es-MX" w:eastAsia="es-MX"/>
              </w:rPr>
              <w:t>Unidades económicas</w:t>
            </w:r>
          </w:p>
        </w:tc>
        <w:tc>
          <w:tcPr>
            <w:tcW w:w="2200" w:type="dxa"/>
            <w:gridSpan w:val="2"/>
            <w:tcBorders>
              <w:top w:val="single" w:color="auto" w:sz="4" w:space="0"/>
              <w:left w:val="nil"/>
              <w:bottom w:val="single" w:color="auto" w:sz="4" w:space="0"/>
              <w:right w:val="single" w:color="auto" w:sz="4" w:space="0"/>
            </w:tcBorders>
            <w:shd w:val="clear" w:color="000000" w:fill="333F4F"/>
            <w:vAlign w:val="center"/>
            <w:hideMark/>
          </w:tcPr>
          <w:p w:rsidRPr="00173FFA" w:rsidR="00173FFA" w:rsidP="00173FFA" w:rsidRDefault="00173FFA" w14:paraId="1F67B2E6" w14:textId="77777777">
            <w:pPr>
              <w:spacing w:after="0" w:line="240" w:lineRule="auto"/>
              <w:jc w:val="center"/>
              <w:rPr>
                <w:rFonts w:ascii="Calibri" w:hAnsi="Calibri" w:eastAsia="Times New Roman" w:cs="Calibri"/>
                <w:b/>
                <w:bCs/>
                <w:color w:val="FFFFFF"/>
                <w:lang w:val="es-MX" w:eastAsia="es-MX"/>
              </w:rPr>
            </w:pPr>
            <w:r w:rsidRPr="00173FFA">
              <w:rPr>
                <w:rFonts w:ascii="Calibri" w:hAnsi="Calibri" w:eastAsia="Times New Roman" w:cs="Calibri"/>
                <w:b/>
                <w:bCs/>
                <w:color w:val="FFFFFF"/>
                <w:lang w:val="es-MX" w:eastAsia="es-MX"/>
              </w:rPr>
              <w:t>Personal ocupado</w:t>
            </w:r>
          </w:p>
        </w:tc>
      </w:tr>
      <w:tr w:rsidRPr="00173FFA" w:rsidR="00173FFA" w:rsidTr="00173FFA" w14:paraId="33F6E68A" w14:textId="77777777">
        <w:trPr>
          <w:trHeight w:val="300"/>
          <w:jc w:val="center"/>
        </w:trPr>
        <w:tc>
          <w:tcPr>
            <w:tcW w:w="2040" w:type="dxa"/>
            <w:vMerge/>
            <w:tcBorders>
              <w:top w:val="single" w:color="auto" w:sz="4" w:space="0"/>
              <w:left w:val="single" w:color="auto" w:sz="4" w:space="0"/>
              <w:bottom w:val="single" w:color="auto" w:sz="4" w:space="0"/>
              <w:right w:val="single" w:color="auto" w:sz="4" w:space="0"/>
            </w:tcBorders>
            <w:vAlign w:val="center"/>
            <w:hideMark/>
          </w:tcPr>
          <w:p w:rsidRPr="00173FFA" w:rsidR="00173FFA" w:rsidP="00173FFA" w:rsidRDefault="00173FFA" w14:paraId="01DD14C5" w14:textId="77777777">
            <w:pPr>
              <w:spacing w:after="0" w:line="240" w:lineRule="auto"/>
              <w:rPr>
                <w:rFonts w:ascii="Calibri" w:hAnsi="Calibri" w:eastAsia="Times New Roman" w:cs="Calibri"/>
                <w:b/>
                <w:bCs/>
                <w:color w:val="FFFFFF"/>
                <w:lang w:val="es-MX" w:eastAsia="es-MX"/>
              </w:rPr>
            </w:pPr>
          </w:p>
        </w:tc>
        <w:tc>
          <w:tcPr>
            <w:tcW w:w="1200" w:type="dxa"/>
            <w:tcBorders>
              <w:top w:val="nil"/>
              <w:left w:val="nil"/>
              <w:bottom w:val="single" w:color="auto" w:sz="4" w:space="0"/>
              <w:right w:val="single" w:color="auto" w:sz="4" w:space="0"/>
            </w:tcBorders>
            <w:shd w:val="clear" w:color="000000" w:fill="333F4F"/>
            <w:vAlign w:val="center"/>
            <w:hideMark/>
          </w:tcPr>
          <w:p w:rsidRPr="00173FFA" w:rsidR="00173FFA" w:rsidP="00173FFA" w:rsidRDefault="00173FFA" w14:paraId="19727DF2" w14:textId="77777777">
            <w:pPr>
              <w:spacing w:after="0" w:line="240" w:lineRule="auto"/>
              <w:jc w:val="center"/>
              <w:rPr>
                <w:rFonts w:ascii="Calibri" w:hAnsi="Calibri" w:eastAsia="Times New Roman" w:cs="Calibri"/>
                <w:b/>
                <w:bCs/>
                <w:color w:val="FFFFFF"/>
                <w:lang w:val="es-MX" w:eastAsia="es-MX"/>
              </w:rPr>
            </w:pPr>
            <w:r w:rsidRPr="00173FFA">
              <w:rPr>
                <w:rFonts w:ascii="Calibri" w:hAnsi="Calibri" w:eastAsia="Times New Roman" w:cs="Calibri"/>
                <w:b/>
                <w:bCs/>
                <w:color w:val="FFFFFF"/>
                <w:lang w:val="es-MX" w:eastAsia="es-MX"/>
              </w:rPr>
              <w:t>Total</w:t>
            </w:r>
          </w:p>
        </w:tc>
        <w:tc>
          <w:tcPr>
            <w:tcW w:w="960" w:type="dxa"/>
            <w:tcBorders>
              <w:top w:val="nil"/>
              <w:left w:val="nil"/>
              <w:bottom w:val="single" w:color="auto" w:sz="4" w:space="0"/>
              <w:right w:val="single" w:color="auto" w:sz="4" w:space="0"/>
            </w:tcBorders>
            <w:shd w:val="clear" w:color="000000" w:fill="333F4F"/>
            <w:vAlign w:val="center"/>
            <w:hideMark/>
          </w:tcPr>
          <w:p w:rsidRPr="00173FFA" w:rsidR="00173FFA" w:rsidP="00173FFA" w:rsidRDefault="00173FFA" w14:paraId="58565F1E" w14:textId="77777777">
            <w:pPr>
              <w:spacing w:after="0" w:line="240" w:lineRule="auto"/>
              <w:jc w:val="center"/>
              <w:rPr>
                <w:rFonts w:ascii="Calibri" w:hAnsi="Calibri" w:eastAsia="Times New Roman" w:cs="Calibri"/>
                <w:b/>
                <w:bCs/>
                <w:color w:val="FFFFFF"/>
                <w:lang w:val="es-MX" w:eastAsia="es-MX"/>
              </w:rPr>
            </w:pPr>
            <w:r w:rsidRPr="00173FFA">
              <w:rPr>
                <w:rFonts w:ascii="Calibri" w:hAnsi="Calibri" w:eastAsia="Times New Roman" w:cs="Calibri"/>
                <w:b/>
                <w:bCs/>
                <w:color w:val="FFFFFF"/>
                <w:lang w:val="es-MX" w:eastAsia="es-MX"/>
              </w:rPr>
              <w:t>%</w:t>
            </w:r>
          </w:p>
        </w:tc>
        <w:tc>
          <w:tcPr>
            <w:tcW w:w="1080" w:type="dxa"/>
            <w:tcBorders>
              <w:top w:val="nil"/>
              <w:left w:val="nil"/>
              <w:bottom w:val="single" w:color="auto" w:sz="4" w:space="0"/>
              <w:right w:val="single" w:color="auto" w:sz="4" w:space="0"/>
            </w:tcBorders>
            <w:shd w:val="clear" w:color="000000" w:fill="333F4F"/>
            <w:vAlign w:val="center"/>
            <w:hideMark/>
          </w:tcPr>
          <w:p w:rsidRPr="00173FFA" w:rsidR="00173FFA" w:rsidP="00173FFA" w:rsidRDefault="00173FFA" w14:paraId="048BE735" w14:textId="77777777">
            <w:pPr>
              <w:spacing w:after="0" w:line="240" w:lineRule="auto"/>
              <w:jc w:val="center"/>
              <w:rPr>
                <w:rFonts w:ascii="Calibri" w:hAnsi="Calibri" w:eastAsia="Times New Roman" w:cs="Calibri"/>
                <w:b/>
                <w:bCs/>
                <w:color w:val="FFFFFF"/>
                <w:lang w:val="es-MX" w:eastAsia="es-MX"/>
              </w:rPr>
            </w:pPr>
            <w:r w:rsidRPr="00173FFA">
              <w:rPr>
                <w:rFonts w:ascii="Calibri" w:hAnsi="Calibri" w:eastAsia="Times New Roman" w:cs="Calibri"/>
                <w:b/>
                <w:bCs/>
                <w:color w:val="FFFFFF"/>
                <w:lang w:val="es-MX" w:eastAsia="es-MX"/>
              </w:rPr>
              <w:t>Total</w:t>
            </w:r>
          </w:p>
        </w:tc>
        <w:tc>
          <w:tcPr>
            <w:tcW w:w="1120" w:type="dxa"/>
            <w:tcBorders>
              <w:top w:val="nil"/>
              <w:left w:val="nil"/>
              <w:bottom w:val="single" w:color="auto" w:sz="4" w:space="0"/>
              <w:right w:val="single" w:color="auto" w:sz="4" w:space="0"/>
            </w:tcBorders>
            <w:shd w:val="clear" w:color="000000" w:fill="333F4F"/>
            <w:vAlign w:val="center"/>
            <w:hideMark/>
          </w:tcPr>
          <w:p w:rsidRPr="00173FFA" w:rsidR="00173FFA" w:rsidP="00173FFA" w:rsidRDefault="00173FFA" w14:paraId="06317F8D" w14:textId="77777777">
            <w:pPr>
              <w:spacing w:after="0" w:line="240" w:lineRule="auto"/>
              <w:jc w:val="center"/>
              <w:rPr>
                <w:rFonts w:ascii="Calibri" w:hAnsi="Calibri" w:eastAsia="Times New Roman" w:cs="Calibri"/>
                <w:b/>
                <w:bCs/>
                <w:color w:val="FFFFFF"/>
                <w:lang w:val="es-MX" w:eastAsia="es-MX"/>
              </w:rPr>
            </w:pPr>
            <w:r w:rsidRPr="00173FFA">
              <w:rPr>
                <w:rFonts w:ascii="Calibri" w:hAnsi="Calibri" w:eastAsia="Times New Roman" w:cs="Calibri"/>
                <w:b/>
                <w:bCs/>
                <w:color w:val="FFFFFF"/>
                <w:lang w:val="es-MX" w:eastAsia="es-MX"/>
              </w:rPr>
              <w:t>%</w:t>
            </w:r>
          </w:p>
        </w:tc>
      </w:tr>
      <w:tr w:rsidRPr="00173FFA" w:rsidR="00173FFA" w:rsidTr="00173FFA" w14:paraId="22A1C55C" w14:textId="77777777">
        <w:trPr>
          <w:trHeight w:val="300"/>
          <w:jc w:val="center"/>
        </w:trPr>
        <w:tc>
          <w:tcPr>
            <w:tcW w:w="2040" w:type="dxa"/>
            <w:tcBorders>
              <w:top w:val="nil"/>
              <w:left w:val="single" w:color="auto" w:sz="4" w:space="0"/>
              <w:bottom w:val="nil"/>
              <w:right w:val="single" w:color="auto" w:sz="4" w:space="0"/>
            </w:tcBorders>
            <w:shd w:val="clear" w:color="auto" w:fill="auto"/>
            <w:vAlign w:val="center"/>
            <w:hideMark/>
          </w:tcPr>
          <w:p w:rsidRPr="00173FFA" w:rsidR="00173FFA" w:rsidP="00173FFA" w:rsidRDefault="00173FFA" w14:paraId="21F71D51" w14:textId="77777777">
            <w:pPr>
              <w:spacing w:after="0" w:line="240" w:lineRule="auto"/>
              <w:rPr>
                <w:rFonts w:ascii="Calibri" w:hAnsi="Calibri" w:eastAsia="Times New Roman" w:cs="Calibri"/>
                <w:b/>
                <w:bCs/>
                <w:color w:val="000000"/>
                <w:lang w:val="es-MX" w:eastAsia="es-MX"/>
              </w:rPr>
            </w:pPr>
            <w:r w:rsidRPr="00173FFA">
              <w:rPr>
                <w:rFonts w:ascii="Calibri" w:hAnsi="Calibri" w:eastAsia="Times New Roman" w:cs="Calibri"/>
                <w:b/>
                <w:bCs/>
                <w:color w:val="000000"/>
                <w:lang w:val="es-MX" w:eastAsia="es-MX"/>
              </w:rPr>
              <w:t>Total</w:t>
            </w:r>
          </w:p>
        </w:tc>
        <w:tc>
          <w:tcPr>
            <w:tcW w:w="1200" w:type="dxa"/>
            <w:tcBorders>
              <w:top w:val="nil"/>
              <w:left w:val="nil"/>
              <w:bottom w:val="nil"/>
              <w:right w:val="single" w:color="auto" w:sz="4" w:space="0"/>
            </w:tcBorders>
            <w:shd w:val="clear" w:color="auto" w:fill="auto"/>
            <w:noWrap/>
            <w:vAlign w:val="center"/>
            <w:hideMark/>
          </w:tcPr>
          <w:p w:rsidRPr="00173FFA" w:rsidR="00173FFA" w:rsidP="00173FFA" w:rsidRDefault="00173FFA" w14:paraId="202C7675" w14:textId="77777777">
            <w:pPr>
              <w:spacing w:after="0" w:line="240" w:lineRule="auto"/>
              <w:jc w:val="right"/>
              <w:rPr>
                <w:rFonts w:ascii="Calibri" w:hAnsi="Calibri" w:eastAsia="Times New Roman" w:cs="Calibri"/>
                <w:b/>
                <w:bCs/>
                <w:color w:val="000000"/>
                <w:lang w:val="es-MX" w:eastAsia="es-MX"/>
              </w:rPr>
            </w:pPr>
            <w:r w:rsidRPr="00173FFA">
              <w:rPr>
                <w:rFonts w:ascii="Calibri" w:hAnsi="Calibri" w:eastAsia="Times New Roman" w:cs="Calibri"/>
                <w:b/>
                <w:bCs/>
                <w:color w:val="000000"/>
                <w:lang w:val="es-MX" w:eastAsia="es-MX"/>
              </w:rPr>
              <w:t>1,829,224</w:t>
            </w:r>
          </w:p>
        </w:tc>
        <w:tc>
          <w:tcPr>
            <w:tcW w:w="960" w:type="dxa"/>
            <w:tcBorders>
              <w:top w:val="nil"/>
              <w:left w:val="nil"/>
              <w:bottom w:val="nil"/>
              <w:right w:val="single" w:color="auto" w:sz="4" w:space="0"/>
            </w:tcBorders>
            <w:shd w:val="clear" w:color="auto" w:fill="auto"/>
            <w:vAlign w:val="center"/>
            <w:hideMark/>
          </w:tcPr>
          <w:p w:rsidRPr="00173FFA" w:rsidR="00173FFA" w:rsidP="00173FFA" w:rsidRDefault="00173FFA" w14:paraId="64C92BA9" w14:textId="77777777">
            <w:pPr>
              <w:spacing w:after="0" w:line="240" w:lineRule="auto"/>
              <w:jc w:val="center"/>
              <w:rPr>
                <w:rFonts w:ascii="Calibri" w:hAnsi="Calibri" w:eastAsia="Times New Roman" w:cs="Calibri"/>
                <w:b/>
                <w:bCs/>
                <w:color w:val="000000"/>
                <w:lang w:val="es-MX" w:eastAsia="es-MX"/>
              </w:rPr>
            </w:pPr>
            <w:r w:rsidRPr="00173FFA">
              <w:rPr>
                <w:rFonts w:ascii="Calibri" w:hAnsi="Calibri" w:eastAsia="Times New Roman" w:cs="Calibri"/>
                <w:b/>
                <w:bCs/>
                <w:color w:val="000000"/>
                <w:lang w:val="es-MX" w:eastAsia="es-MX"/>
              </w:rPr>
              <w:t>100.0</w:t>
            </w:r>
          </w:p>
        </w:tc>
        <w:tc>
          <w:tcPr>
            <w:tcW w:w="1080" w:type="dxa"/>
            <w:tcBorders>
              <w:top w:val="nil"/>
              <w:left w:val="nil"/>
              <w:bottom w:val="nil"/>
              <w:right w:val="single" w:color="auto" w:sz="4" w:space="0"/>
            </w:tcBorders>
            <w:shd w:val="clear" w:color="auto" w:fill="auto"/>
            <w:noWrap/>
            <w:vAlign w:val="center"/>
            <w:hideMark/>
          </w:tcPr>
          <w:p w:rsidRPr="00173FFA" w:rsidR="00173FFA" w:rsidP="00173FFA" w:rsidRDefault="00173FFA" w14:paraId="149CE556" w14:textId="77777777">
            <w:pPr>
              <w:spacing w:after="0" w:line="240" w:lineRule="auto"/>
              <w:jc w:val="right"/>
              <w:rPr>
                <w:rFonts w:ascii="Calibri" w:hAnsi="Calibri" w:eastAsia="Times New Roman" w:cs="Calibri"/>
                <w:b/>
                <w:bCs/>
                <w:color w:val="000000"/>
                <w:lang w:val="es-MX" w:eastAsia="es-MX"/>
              </w:rPr>
            </w:pPr>
            <w:r w:rsidRPr="00173FFA">
              <w:rPr>
                <w:rFonts w:ascii="Calibri" w:hAnsi="Calibri" w:eastAsia="Times New Roman" w:cs="Calibri"/>
                <w:b/>
                <w:bCs/>
                <w:color w:val="000000"/>
                <w:lang w:val="es-MX" w:eastAsia="es-MX"/>
              </w:rPr>
              <w:t>5,194,798</w:t>
            </w:r>
          </w:p>
        </w:tc>
        <w:tc>
          <w:tcPr>
            <w:tcW w:w="1120" w:type="dxa"/>
            <w:tcBorders>
              <w:top w:val="nil"/>
              <w:left w:val="nil"/>
              <w:bottom w:val="nil"/>
              <w:right w:val="single" w:color="auto" w:sz="4" w:space="0"/>
            </w:tcBorders>
            <w:shd w:val="clear" w:color="auto" w:fill="auto"/>
            <w:vAlign w:val="center"/>
            <w:hideMark/>
          </w:tcPr>
          <w:p w:rsidRPr="00173FFA" w:rsidR="00173FFA" w:rsidP="00173FFA" w:rsidRDefault="00173FFA" w14:paraId="6216E025" w14:textId="77777777">
            <w:pPr>
              <w:spacing w:after="0" w:line="240" w:lineRule="auto"/>
              <w:jc w:val="center"/>
              <w:rPr>
                <w:rFonts w:ascii="Calibri" w:hAnsi="Calibri" w:eastAsia="Times New Roman" w:cs="Calibri"/>
                <w:b/>
                <w:bCs/>
                <w:color w:val="000000"/>
                <w:lang w:val="es-MX" w:eastAsia="es-MX"/>
              </w:rPr>
            </w:pPr>
            <w:r w:rsidRPr="00173FFA">
              <w:rPr>
                <w:rFonts w:ascii="Calibri" w:hAnsi="Calibri" w:eastAsia="Times New Roman" w:cs="Calibri"/>
                <w:b/>
                <w:bCs/>
                <w:color w:val="000000"/>
                <w:lang w:val="es-MX" w:eastAsia="es-MX"/>
              </w:rPr>
              <w:t>100.0</w:t>
            </w:r>
          </w:p>
        </w:tc>
      </w:tr>
      <w:tr w:rsidRPr="00173FFA" w:rsidR="00173FFA" w:rsidTr="00173FFA" w14:paraId="45ACF652" w14:textId="77777777">
        <w:trPr>
          <w:trHeight w:val="300"/>
          <w:jc w:val="center"/>
        </w:trPr>
        <w:tc>
          <w:tcPr>
            <w:tcW w:w="2040" w:type="dxa"/>
            <w:tcBorders>
              <w:top w:val="nil"/>
              <w:left w:val="single" w:color="auto" w:sz="4" w:space="0"/>
              <w:bottom w:val="nil"/>
              <w:right w:val="single" w:color="auto" w:sz="4" w:space="0"/>
            </w:tcBorders>
            <w:shd w:val="clear" w:color="000000" w:fill="E2EFDA"/>
            <w:vAlign w:val="center"/>
            <w:hideMark/>
          </w:tcPr>
          <w:p w:rsidRPr="00173FFA" w:rsidR="00173FFA" w:rsidP="00173FFA" w:rsidRDefault="00173FFA" w14:paraId="331D0CB3" w14:textId="77777777">
            <w:pPr>
              <w:spacing w:after="0" w:line="240" w:lineRule="auto"/>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Manufacturas</w:t>
            </w:r>
          </w:p>
        </w:tc>
        <w:tc>
          <w:tcPr>
            <w:tcW w:w="1200" w:type="dxa"/>
            <w:tcBorders>
              <w:top w:val="nil"/>
              <w:left w:val="nil"/>
              <w:bottom w:val="nil"/>
              <w:right w:val="single" w:color="auto" w:sz="4" w:space="0"/>
            </w:tcBorders>
            <w:shd w:val="clear" w:color="000000" w:fill="E2EFDA"/>
            <w:noWrap/>
            <w:vAlign w:val="center"/>
            <w:hideMark/>
          </w:tcPr>
          <w:p w:rsidRPr="00173FFA" w:rsidR="00173FFA" w:rsidP="00173FFA" w:rsidRDefault="00173FFA" w14:paraId="7C7D044B" w14:textId="77777777">
            <w:pPr>
              <w:spacing w:after="0" w:line="240" w:lineRule="auto"/>
              <w:jc w:val="right"/>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183,719</w:t>
            </w:r>
          </w:p>
        </w:tc>
        <w:tc>
          <w:tcPr>
            <w:tcW w:w="960" w:type="dxa"/>
            <w:tcBorders>
              <w:top w:val="nil"/>
              <w:left w:val="nil"/>
              <w:bottom w:val="nil"/>
              <w:right w:val="single" w:color="auto" w:sz="4" w:space="0"/>
            </w:tcBorders>
            <w:shd w:val="clear" w:color="000000" w:fill="E2EFDA"/>
            <w:vAlign w:val="center"/>
            <w:hideMark/>
          </w:tcPr>
          <w:p w:rsidRPr="00173FFA" w:rsidR="00173FFA" w:rsidP="00173FFA" w:rsidRDefault="00173FFA" w14:paraId="631AA635" w14:textId="77777777">
            <w:pPr>
              <w:spacing w:after="0" w:line="240" w:lineRule="auto"/>
              <w:jc w:val="center"/>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10.0</w:t>
            </w:r>
          </w:p>
        </w:tc>
        <w:tc>
          <w:tcPr>
            <w:tcW w:w="1080" w:type="dxa"/>
            <w:tcBorders>
              <w:top w:val="nil"/>
              <w:left w:val="nil"/>
              <w:bottom w:val="nil"/>
              <w:right w:val="single" w:color="auto" w:sz="4" w:space="0"/>
            </w:tcBorders>
            <w:shd w:val="clear" w:color="000000" w:fill="E2EFDA"/>
            <w:noWrap/>
            <w:vAlign w:val="center"/>
            <w:hideMark/>
          </w:tcPr>
          <w:p w:rsidRPr="00173FFA" w:rsidR="00173FFA" w:rsidP="00173FFA" w:rsidRDefault="00173FFA" w14:paraId="10672DED" w14:textId="77777777">
            <w:pPr>
              <w:spacing w:after="0" w:line="240" w:lineRule="auto"/>
              <w:jc w:val="right"/>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663,220</w:t>
            </w:r>
          </w:p>
        </w:tc>
        <w:tc>
          <w:tcPr>
            <w:tcW w:w="1120" w:type="dxa"/>
            <w:tcBorders>
              <w:top w:val="nil"/>
              <w:left w:val="nil"/>
              <w:bottom w:val="nil"/>
              <w:right w:val="single" w:color="auto" w:sz="4" w:space="0"/>
            </w:tcBorders>
            <w:shd w:val="clear" w:color="000000" w:fill="E2EFDA"/>
            <w:vAlign w:val="center"/>
            <w:hideMark/>
          </w:tcPr>
          <w:p w:rsidRPr="00173FFA" w:rsidR="00173FFA" w:rsidP="00173FFA" w:rsidRDefault="00173FFA" w14:paraId="61599B70" w14:textId="77777777">
            <w:pPr>
              <w:spacing w:after="0" w:line="240" w:lineRule="auto"/>
              <w:jc w:val="center"/>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12.8</w:t>
            </w:r>
          </w:p>
        </w:tc>
      </w:tr>
      <w:tr w:rsidRPr="00173FFA" w:rsidR="00173FFA" w:rsidTr="00173FFA" w14:paraId="52475850" w14:textId="77777777">
        <w:trPr>
          <w:trHeight w:val="300"/>
          <w:jc w:val="center"/>
        </w:trPr>
        <w:tc>
          <w:tcPr>
            <w:tcW w:w="2040" w:type="dxa"/>
            <w:tcBorders>
              <w:top w:val="nil"/>
              <w:left w:val="single" w:color="auto" w:sz="4" w:space="0"/>
              <w:bottom w:val="nil"/>
              <w:right w:val="single" w:color="auto" w:sz="4" w:space="0"/>
            </w:tcBorders>
            <w:shd w:val="clear" w:color="auto" w:fill="auto"/>
            <w:vAlign w:val="center"/>
            <w:hideMark/>
          </w:tcPr>
          <w:p w:rsidRPr="00173FFA" w:rsidR="00173FFA" w:rsidP="00173FFA" w:rsidRDefault="00173FFA" w14:paraId="17729171" w14:textId="77777777">
            <w:pPr>
              <w:spacing w:after="0" w:line="240" w:lineRule="auto"/>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Comercio</w:t>
            </w:r>
          </w:p>
        </w:tc>
        <w:tc>
          <w:tcPr>
            <w:tcW w:w="1200" w:type="dxa"/>
            <w:tcBorders>
              <w:top w:val="nil"/>
              <w:left w:val="nil"/>
              <w:bottom w:val="nil"/>
              <w:right w:val="single" w:color="auto" w:sz="4" w:space="0"/>
            </w:tcBorders>
            <w:shd w:val="clear" w:color="auto" w:fill="auto"/>
            <w:noWrap/>
            <w:vAlign w:val="center"/>
            <w:hideMark/>
          </w:tcPr>
          <w:p w:rsidRPr="00173FFA" w:rsidR="00173FFA" w:rsidP="00173FFA" w:rsidRDefault="00173FFA" w14:paraId="214253E0" w14:textId="77777777">
            <w:pPr>
              <w:spacing w:after="0" w:line="240" w:lineRule="auto"/>
              <w:jc w:val="right"/>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846,785</w:t>
            </w:r>
          </w:p>
        </w:tc>
        <w:tc>
          <w:tcPr>
            <w:tcW w:w="960" w:type="dxa"/>
            <w:tcBorders>
              <w:top w:val="nil"/>
              <w:left w:val="nil"/>
              <w:bottom w:val="nil"/>
              <w:right w:val="single" w:color="auto" w:sz="4" w:space="0"/>
            </w:tcBorders>
            <w:shd w:val="clear" w:color="auto" w:fill="auto"/>
            <w:vAlign w:val="center"/>
            <w:hideMark/>
          </w:tcPr>
          <w:p w:rsidRPr="00173FFA" w:rsidR="00173FFA" w:rsidP="00173FFA" w:rsidRDefault="00173FFA" w14:paraId="08987838" w14:textId="77777777">
            <w:pPr>
              <w:spacing w:after="0" w:line="240" w:lineRule="auto"/>
              <w:jc w:val="center"/>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46.3</w:t>
            </w:r>
          </w:p>
        </w:tc>
        <w:tc>
          <w:tcPr>
            <w:tcW w:w="1080" w:type="dxa"/>
            <w:tcBorders>
              <w:top w:val="nil"/>
              <w:left w:val="nil"/>
              <w:bottom w:val="nil"/>
              <w:right w:val="single" w:color="auto" w:sz="4" w:space="0"/>
            </w:tcBorders>
            <w:shd w:val="clear" w:color="auto" w:fill="auto"/>
            <w:noWrap/>
            <w:vAlign w:val="center"/>
            <w:hideMark/>
          </w:tcPr>
          <w:p w:rsidRPr="00173FFA" w:rsidR="00173FFA" w:rsidP="00173FFA" w:rsidRDefault="00173FFA" w14:paraId="5C48A687" w14:textId="77777777">
            <w:pPr>
              <w:spacing w:after="0" w:line="240" w:lineRule="auto"/>
              <w:jc w:val="right"/>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2,023,681</w:t>
            </w:r>
          </w:p>
        </w:tc>
        <w:tc>
          <w:tcPr>
            <w:tcW w:w="1120" w:type="dxa"/>
            <w:tcBorders>
              <w:top w:val="nil"/>
              <w:left w:val="nil"/>
              <w:bottom w:val="nil"/>
              <w:right w:val="single" w:color="auto" w:sz="4" w:space="0"/>
            </w:tcBorders>
            <w:shd w:val="clear" w:color="auto" w:fill="auto"/>
            <w:vAlign w:val="center"/>
            <w:hideMark/>
          </w:tcPr>
          <w:p w:rsidRPr="00173FFA" w:rsidR="00173FFA" w:rsidP="00173FFA" w:rsidRDefault="00173FFA" w14:paraId="6A296CFF" w14:textId="77777777">
            <w:pPr>
              <w:spacing w:after="0" w:line="240" w:lineRule="auto"/>
              <w:jc w:val="center"/>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39.0</w:t>
            </w:r>
          </w:p>
        </w:tc>
      </w:tr>
      <w:tr w:rsidRPr="00173FFA" w:rsidR="00173FFA" w:rsidTr="00173FFA" w14:paraId="0D201870" w14:textId="77777777">
        <w:trPr>
          <w:trHeight w:val="600"/>
          <w:jc w:val="center"/>
        </w:trPr>
        <w:tc>
          <w:tcPr>
            <w:tcW w:w="2040" w:type="dxa"/>
            <w:tcBorders>
              <w:top w:val="nil"/>
              <w:left w:val="single" w:color="auto" w:sz="4" w:space="0"/>
              <w:bottom w:val="nil"/>
              <w:right w:val="single" w:color="auto" w:sz="4" w:space="0"/>
            </w:tcBorders>
            <w:shd w:val="clear" w:color="000000" w:fill="E2EFDA"/>
            <w:vAlign w:val="center"/>
            <w:hideMark/>
          </w:tcPr>
          <w:p w:rsidRPr="00173FFA" w:rsidR="00173FFA" w:rsidP="00173FFA" w:rsidRDefault="00173FFA" w14:paraId="1613E190" w14:textId="77777777">
            <w:pPr>
              <w:spacing w:after="0" w:line="240" w:lineRule="auto"/>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Servicios privados no financieros</w:t>
            </w:r>
          </w:p>
        </w:tc>
        <w:tc>
          <w:tcPr>
            <w:tcW w:w="1200" w:type="dxa"/>
            <w:tcBorders>
              <w:top w:val="nil"/>
              <w:left w:val="nil"/>
              <w:bottom w:val="nil"/>
              <w:right w:val="single" w:color="auto" w:sz="4" w:space="0"/>
            </w:tcBorders>
            <w:shd w:val="clear" w:color="000000" w:fill="E2EFDA"/>
            <w:noWrap/>
            <w:vAlign w:val="center"/>
            <w:hideMark/>
          </w:tcPr>
          <w:p w:rsidRPr="00173FFA" w:rsidR="00173FFA" w:rsidP="00173FFA" w:rsidRDefault="00173FFA" w14:paraId="13C10564" w14:textId="77777777">
            <w:pPr>
              <w:spacing w:after="0" w:line="240" w:lineRule="auto"/>
              <w:jc w:val="right"/>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778,992</w:t>
            </w:r>
          </w:p>
        </w:tc>
        <w:tc>
          <w:tcPr>
            <w:tcW w:w="960" w:type="dxa"/>
            <w:tcBorders>
              <w:top w:val="nil"/>
              <w:left w:val="nil"/>
              <w:bottom w:val="nil"/>
              <w:right w:val="single" w:color="auto" w:sz="4" w:space="0"/>
            </w:tcBorders>
            <w:shd w:val="clear" w:color="000000" w:fill="E2EFDA"/>
            <w:vAlign w:val="center"/>
            <w:hideMark/>
          </w:tcPr>
          <w:p w:rsidRPr="00173FFA" w:rsidR="00173FFA" w:rsidP="00173FFA" w:rsidRDefault="00173FFA" w14:paraId="6EF88A04" w14:textId="77777777">
            <w:pPr>
              <w:spacing w:after="0" w:line="240" w:lineRule="auto"/>
              <w:jc w:val="center"/>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42.6</w:t>
            </w:r>
          </w:p>
        </w:tc>
        <w:tc>
          <w:tcPr>
            <w:tcW w:w="1080" w:type="dxa"/>
            <w:tcBorders>
              <w:top w:val="nil"/>
              <w:left w:val="nil"/>
              <w:bottom w:val="nil"/>
              <w:right w:val="single" w:color="auto" w:sz="4" w:space="0"/>
            </w:tcBorders>
            <w:shd w:val="clear" w:color="000000" w:fill="E2EFDA"/>
            <w:noWrap/>
            <w:vAlign w:val="center"/>
            <w:hideMark/>
          </w:tcPr>
          <w:p w:rsidRPr="00173FFA" w:rsidR="00173FFA" w:rsidP="00173FFA" w:rsidRDefault="00173FFA" w14:paraId="4FD3C09A" w14:textId="77777777">
            <w:pPr>
              <w:spacing w:after="0" w:line="240" w:lineRule="auto"/>
              <w:jc w:val="right"/>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2,316,937</w:t>
            </w:r>
          </w:p>
        </w:tc>
        <w:tc>
          <w:tcPr>
            <w:tcW w:w="1120" w:type="dxa"/>
            <w:tcBorders>
              <w:top w:val="nil"/>
              <w:left w:val="nil"/>
              <w:bottom w:val="nil"/>
              <w:right w:val="single" w:color="auto" w:sz="4" w:space="0"/>
            </w:tcBorders>
            <w:shd w:val="clear" w:color="000000" w:fill="E2EFDA"/>
            <w:vAlign w:val="center"/>
            <w:hideMark/>
          </w:tcPr>
          <w:p w:rsidRPr="00173FFA" w:rsidR="00173FFA" w:rsidP="00173FFA" w:rsidRDefault="00173FFA" w14:paraId="0990A53F" w14:textId="77777777">
            <w:pPr>
              <w:spacing w:after="0" w:line="240" w:lineRule="auto"/>
              <w:jc w:val="center"/>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44.6</w:t>
            </w:r>
          </w:p>
        </w:tc>
      </w:tr>
      <w:tr w:rsidRPr="00173FFA" w:rsidR="00173FFA" w:rsidTr="00173FFA" w14:paraId="70F474A8" w14:textId="77777777">
        <w:trPr>
          <w:trHeight w:val="600"/>
          <w:jc w:val="center"/>
        </w:trPr>
        <w:tc>
          <w:tcPr>
            <w:tcW w:w="2040" w:type="dxa"/>
            <w:tcBorders>
              <w:top w:val="nil"/>
              <w:left w:val="single" w:color="auto" w:sz="4" w:space="0"/>
              <w:bottom w:val="single" w:color="auto" w:sz="4" w:space="0"/>
              <w:right w:val="single" w:color="auto" w:sz="4" w:space="0"/>
            </w:tcBorders>
            <w:shd w:val="clear" w:color="auto" w:fill="auto"/>
            <w:vAlign w:val="center"/>
            <w:hideMark/>
          </w:tcPr>
          <w:p w:rsidRPr="00173FFA" w:rsidR="00173FFA" w:rsidP="00173FFA" w:rsidRDefault="00173FFA" w14:paraId="23563D28" w14:textId="77777777">
            <w:pPr>
              <w:spacing w:after="0" w:line="240" w:lineRule="auto"/>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Resto de actividades económicas</w:t>
            </w:r>
          </w:p>
        </w:tc>
        <w:tc>
          <w:tcPr>
            <w:tcW w:w="1200" w:type="dxa"/>
            <w:tcBorders>
              <w:top w:val="nil"/>
              <w:left w:val="nil"/>
              <w:bottom w:val="single" w:color="auto" w:sz="4" w:space="0"/>
              <w:right w:val="single" w:color="auto" w:sz="4" w:space="0"/>
            </w:tcBorders>
            <w:shd w:val="clear" w:color="auto" w:fill="auto"/>
            <w:noWrap/>
            <w:vAlign w:val="center"/>
            <w:hideMark/>
          </w:tcPr>
          <w:p w:rsidRPr="00173FFA" w:rsidR="00173FFA" w:rsidP="00173FFA" w:rsidRDefault="00173FFA" w14:paraId="3E74F169" w14:textId="77777777">
            <w:pPr>
              <w:spacing w:after="0" w:line="240" w:lineRule="auto"/>
              <w:jc w:val="right"/>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19,728</w:t>
            </w:r>
          </w:p>
        </w:tc>
        <w:tc>
          <w:tcPr>
            <w:tcW w:w="960" w:type="dxa"/>
            <w:tcBorders>
              <w:top w:val="nil"/>
              <w:left w:val="nil"/>
              <w:bottom w:val="single" w:color="auto" w:sz="4" w:space="0"/>
              <w:right w:val="single" w:color="auto" w:sz="4" w:space="0"/>
            </w:tcBorders>
            <w:shd w:val="clear" w:color="auto" w:fill="auto"/>
            <w:vAlign w:val="center"/>
            <w:hideMark/>
          </w:tcPr>
          <w:p w:rsidRPr="00173FFA" w:rsidR="00173FFA" w:rsidP="00173FFA" w:rsidRDefault="00173FFA" w14:paraId="275E26BB" w14:textId="77777777">
            <w:pPr>
              <w:spacing w:after="0" w:line="240" w:lineRule="auto"/>
              <w:jc w:val="center"/>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1.1</w:t>
            </w:r>
          </w:p>
        </w:tc>
        <w:tc>
          <w:tcPr>
            <w:tcW w:w="1080" w:type="dxa"/>
            <w:tcBorders>
              <w:top w:val="nil"/>
              <w:left w:val="nil"/>
              <w:bottom w:val="single" w:color="auto" w:sz="4" w:space="0"/>
              <w:right w:val="single" w:color="auto" w:sz="4" w:space="0"/>
            </w:tcBorders>
            <w:shd w:val="clear" w:color="auto" w:fill="auto"/>
            <w:noWrap/>
            <w:vAlign w:val="center"/>
            <w:hideMark/>
          </w:tcPr>
          <w:p w:rsidRPr="00173FFA" w:rsidR="00173FFA" w:rsidP="00173FFA" w:rsidRDefault="00173FFA" w14:paraId="6200A8C0" w14:textId="77777777">
            <w:pPr>
              <w:spacing w:after="0" w:line="240" w:lineRule="auto"/>
              <w:jc w:val="right"/>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190,960</w:t>
            </w:r>
          </w:p>
        </w:tc>
        <w:tc>
          <w:tcPr>
            <w:tcW w:w="1120" w:type="dxa"/>
            <w:tcBorders>
              <w:top w:val="nil"/>
              <w:left w:val="nil"/>
              <w:bottom w:val="single" w:color="auto" w:sz="4" w:space="0"/>
              <w:right w:val="single" w:color="auto" w:sz="4" w:space="0"/>
            </w:tcBorders>
            <w:shd w:val="clear" w:color="auto" w:fill="auto"/>
            <w:vAlign w:val="center"/>
            <w:hideMark/>
          </w:tcPr>
          <w:p w:rsidRPr="00173FFA" w:rsidR="00173FFA" w:rsidP="00173FFA" w:rsidRDefault="00173FFA" w14:paraId="4E56BF44" w14:textId="77777777">
            <w:pPr>
              <w:spacing w:after="0" w:line="240" w:lineRule="auto"/>
              <w:jc w:val="center"/>
              <w:rPr>
                <w:rFonts w:ascii="Calibri" w:hAnsi="Calibri" w:eastAsia="Times New Roman" w:cs="Calibri"/>
                <w:color w:val="000000"/>
                <w:lang w:val="es-MX" w:eastAsia="es-MX"/>
              </w:rPr>
            </w:pPr>
            <w:r w:rsidRPr="00173FFA">
              <w:rPr>
                <w:rFonts w:ascii="Calibri" w:hAnsi="Calibri" w:eastAsia="Times New Roman" w:cs="Calibri"/>
                <w:color w:val="000000"/>
                <w:lang w:val="es-MX" w:eastAsia="es-MX"/>
              </w:rPr>
              <w:t>3.7</w:t>
            </w:r>
          </w:p>
        </w:tc>
      </w:tr>
    </w:tbl>
    <w:p w:rsidR="004C6E7E" w:rsidP="004C6E7E" w:rsidRDefault="004C6E7E" w14:paraId="51BA2820" w14:textId="01E54318">
      <w:pPr>
        <w:ind w:left="720" w:firstLine="720"/>
        <w:jc w:val="both"/>
        <w:rPr>
          <w:rFonts w:ascii="Verdana" w:hAnsi="Verdana"/>
          <w:sz w:val="16"/>
          <w:szCs w:val="16"/>
          <w:lang w:val="es-ES"/>
        </w:rPr>
      </w:pPr>
      <w:r w:rsidRPr="00CC790D">
        <w:rPr>
          <w:rFonts w:ascii="Verdana" w:hAnsi="Verdana"/>
          <w:b/>
          <w:bCs/>
          <w:sz w:val="16"/>
          <w:szCs w:val="16"/>
          <w:lang w:val="es-ES"/>
        </w:rPr>
        <w:t xml:space="preserve">Fuente: </w:t>
      </w:r>
      <w:r>
        <w:rPr>
          <w:rFonts w:ascii="Verdana" w:hAnsi="Verdana"/>
          <w:sz w:val="16"/>
          <w:szCs w:val="16"/>
          <w:lang w:val="es-ES"/>
        </w:rPr>
        <w:t>INEGI</w:t>
      </w:r>
    </w:p>
    <w:p w:rsidR="005709DC" w:rsidP="00E07697" w:rsidRDefault="005709DC" w14:paraId="5C514B3A" w14:textId="77777777">
      <w:pPr>
        <w:jc w:val="both"/>
        <w:rPr>
          <w:rFonts w:ascii="Verdana" w:hAnsi="Verdana"/>
          <w:i/>
          <w:iCs/>
          <w:sz w:val="20"/>
          <w:szCs w:val="20"/>
          <w:lang w:val="es-ES"/>
        </w:rPr>
      </w:pPr>
    </w:p>
    <w:p w:rsidR="00E07697" w:rsidP="00E07697" w:rsidRDefault="005709DC" w14:paraId="6873D7FA" w14:textId="1C2D04BD">
      <w:pPr>
        <w:jc w:val="both"/>
        <w:rPr>
          <w:rFonts w:ascii="Verdana" w:hAnsi="Verdana"/>
          <w:i/>
          <w:iCs/>
          <w:sz w:val="20"/>
          <w:szCs w:val="20"/>
          <w:lang w:val="es-ES"/>
        </w:rPr>
      </w:pPr>
      <w:r>
        <w:rPr>
          <w:rFonts w:ascii="Verdana" w:hAnsi="Verdana"/>
          <w:i/>
          <w:iCs/>
          <w:sz w:val="20"/>
          <w:szCs w:val="20"/>
          <w:lang w:val="es-ES"/>
        </w:rPr>
        <w:t>E</w:t>
      </w:r>
      <w:r w:rsidR="00E07697">
        <w:rPr>
          <w:rFonts w:ascii="Verdana" w:hAnsi="Verdana"/>
          <w:i/>
          <w:iCs/>
          <w:sz w:val="20"/>
          <w:szCs w:val="20"/>
          <w:lang w:val="es-ES"/>
        </w:rPr>
        <w:t>xpectativa de corto plazo.</w:t>
      </w:r>
    </w:p>
    <w:p w:rsidR="00E07697" w:rsidP="00E07697" w:rsidRDefault="00E07697" w14:paraId="31CF6C48" w14:textId="6E9ED177">
      <w:pPr>
        <w:jc w:val="both"/>
        <w:rPr>
          <w:rFonts w:ascii="Verdana" w:hAnsi="Verdana"/>
          <w:sz w:val="20"/>
          <w:szCs w:val="20"/>
          <w:lang w:val="es-ES"/>
        </w:rPr>
      </w:pPr>
      <w:r>
        <w:rPr>
          <w:rFonts w:ascii="Verdana" w:hAnsi="Verdana"/>
          <w:sz w:val="20"/>
          <w:szCs w:val="20"/>
          <w:lang w:val="es-ES"/>
        </w:rPr>
        <w:t>En México todavía no es posible conocer la magnitud del impacto de las medidas de aislamiento en las empresas. Sin embargo</w:t>
      </w:r>
      <w:r w:rsidR="00FF1424">
        <w:rPr>
          <w:rFonts w:ascii="Verdana" w:hAnsi="Verdana"/>
          <w:sz w:val="20"/>
          <w:szCs w:val="20"/>
          <w:lang w:val="es-ES"/>
        </w:rPr>
        <w:t>, encuestas realizadas a empresas en el país nos permitan dimensionar la severidad en que se verán afectadas las MIPYME</w:t>
      </w:r>
      <w:r w:rsidR="005709DC">
        <w:rPr>
          <w:rFonts w:ascii="Verdana" w:hAnsi="Verdana"/>
          <w:sz w:val="20"/>
          <w:szCs w:val="20"/>
          <w:lang w:val="es-ES"/>
        </w:rPr>
        <w:t>S</w:t>
      </w:r>
      <w:r w:rsidR="00FF1424">
        <w:rPr>
          <w:rFonts w:ascii="Verdana" w:hAnsi="Verdana"/>
          <w:sz w:val="20"/>
          <w:szCs w:val="20"/>
          <w:lang w:val="es-ES"/>
        </w:rPr>
        <w:t>.</w:t>
      </w:r>
    </w:p>
    <w:p w:rsidR="00FF1424" w:rsidP="00E07697" w:rsidRDefault="00FF1424" w14:paraId="6B3CC240" w14:textId="6F32A79F">
      <w:pPr>
        <w:jc w:val="both"/>
        <w:rPr>
          <w:rFonts w:ascii="Verdana" w:hAnsi="Verdana"/>
          <w:sz w:val="20"/>
          <w:szCs w:val="20"/>
          <w:lang w:val="es-ES"/>
        </w:rPr>
      </w:pPr>
      <w:r>
        <w:rPr>
          <w:rFonts w:ascii="Verdana" w:hAnsi="Verdana"/>
          <w:sz w:val="20"/>
          <w:szCs w:val="20"/>
          <w:lang w:val="es-ES"/>
        </w:rPr>
        <w:t xml:space="preserve">La Asociación Mexicana de Emprendedores de México (ASEM), encuestó a 1,211 MIPYME del país con el objetivo de conocer la situación en la que se encuentran ante la crisis. Los resultados de la encuesta </w:t>
      </w:r>
      <w:r w:rsidR="005709DC">
        <w:rPr>
          <w:rFonts w:ascii="Verdana" w:hAnsi="Verdana"/>
          <w:sz w:val="20"/>
          <w:szCs w:val="20"/>
          <w:lang w:val="es-ES"/>
        </w:rPr>
        <w:t>muestran</w:t>
      </w:r>
      <w:r>
        <w:rPr>
          <w:rFonts w:ascii="Verdana" w:hAnsi="Verdana"/>
          <w:sz w:val="20"/>
          <w:szCs w:val="20"/>
          <w:lang w:val="es-ES"/>
        </w:rPr>
        <w:t xml:space="preserve"> que:</w:t>
      </w:r>
    </w:p>
    <w:p w:rsidR="00FF1424" w:rsidP="00FF1424" w:rsidRDefault="00FF1424" w14:paraId="5FAA6321" w14:textId="56D1AFF8">
      <w:pPr>
        <w:pStyle w:val="ListParagraph"/>
        <w:numPr>
          <w:ilvl w:val="0"/>
          <w:numId w:val="17"/>
        </w:numPr>
        <w:jc w:val="both"/>
        <w:rPr>
          <w:rFonts w:ascii="Verdana" w:hAnsi="Verdana"/>
          <w:sz w:val="20"/>
          <w:szCs w:val="20"/>
          <w:lang w:val="es-ES"/>
        </w:rPr>
      </w:pPr>
      <w:r>
        <w:rPr>
          <w:rFonts w:ascii="Verdana" w:hAnsi="Verdana"/>
          <w:sz w:val="20"/>
          <w:szCs w:val="20"/>
          <w:lang w:val="es-ES"/>
        </w:rPr>
        <w:t>El 87% estima una pérdida importante en ventas, clientes y aprobación de nuevos trabajos.</w:t>
      </w:r>
    </w:p>
    <w:p w:rsidR="00FF1424" w:rsidP="00FF1424" w:rsidRDefault="00FF1424" w14:paraId="51102BBC" w14:textId="34669D39">
      <w:pPr>
        <w:pStyle w:val="ListParagraph"/>
        <w:numPr>
          <w:ilvl w:val="0"/>
          <w:numId w:val="17"/>
        </w:numPr>
        <w:jc w:val="both"/>
        <w:rPr>
          <w:rFonts w:ascii="Verdana" w:hAnsi="Verdana"/>
          <w:sz w:val="20"/>
          <w:szCs w:val="20"/>
          <w:lang w:val="es-ES"/>
        </w:rPr>
      </w:pPr>
      <w:r>
        <w:rPr>
          <w:rFonts w:ascii="Verdana" w:hAnsi="Verdana"/>
          <w:sz w:val="20"/>
          <w:szCs w:val="20"/>
          <w:lang w:val="es-ES"/>
        </w:rPr>
        <w:t>El 77% de los encuestados podrían dejar de operar en los próximos dos meses.</w:t>
      </w:r>
    </w:p>
    <w:p w:rsidR="00FF1424" w:rsidP="00FF1424" w:rsidRDefault="00FF1424" w14:paraId="01AD46D2" w14:textId="6FD8C902">
      <w:pPr>
        <w:pStyle w:val="ListParagraph"/>
        <w:numPr>
          <w:ilvl w:val="0"/>
          <w:numId w:val="17"/>
        </w:numPr>
        <w:jc w:val="both"/>
        <w:rPr>
          <w:rFonts w:ascii="Verdana" w:hAnsi="Verdana"/>
          <w:sz w:val="20"/>
          <w:szCs w:val="20"/>
          <w:lang w:val="es-ES"/>
        </w:rPr>
      </w:pPr>
      <w:r>
        <w:rPr>
          <w:rFonts w:ascii="Verdana" w:hAnsi="Verdana"/>
          <w:sz w:val="20"/>
          <w:szCs w:val="20"/>
          <w:lang w:val="es-ES"/>
        </w:rPr>
        <w:t>El 57% tendrán dificultad para pagar la nómina.</w:t>
      </w:r>
    </w:p>
    <w:p w:rsidR="00FF1424" w:rsidP="00FF1424" w:rsidRDefault="00FF1424" w14:paraId="12DF0D9D" w14:textId="6AA433A8">
      <w:pPr>
        <w:pStyle w:val="ListParagraph"/>
        <w:numPr>
          <w:ilvl w:val="0"/>
          <w:numId w:val="17"/>
        </w:numPr>
        <w:jc w:val="both"/>
        <w:rPr>
          <w:rFonts w:ascii="Verdana" w:hAnsi="Verdana"/>
          <w:sz w:val="20"/>
          <w:szCs w:val="20"/>
          <w:lang w:val="es-ES"/>
        </w:rPr>
      </w:pPr>
      <w:r>
        <w:rPr>
          <w:rFonts w:ascii="Verdana" w:hAnsi="Verdana"/>
          <w:sz w:val="20"/>
          <w:szCs w:val="20"/>
          <w:lang w:val="es-ES"/>
        </w:rPr>
        <w:t>El 25% de las empresas se verán forzadas a reducir su plantilla laboral.</w:t>
      </w:r>
    </w:p>
    <w:p w:rsidR="00FF1424" w:rsidP="00FF1424" w:rsidRDefault="00FF1424" w14:paraId="1F5BF2E1" w14:textId="385E9D75">
      <w:pPr>
        <w:pStyle w:val="ListParagraph"/>
        <w:numPr>
          <w:ilvl w:val="0"/>
          <w:numId w:val="17"/>
        </w:numPr>
        <w:jc w:val="both"/>
        <w:rPr>
          <w:rFonts w:ascii="Verdana" w:hAnsi="Verdana"/>
          <w:sz w:val="20"/>
          <w:szCs w:val="20"/>
          <w:lang w:val="es-ES"/>
        </w:rPr>
      </w:pPr>
      <w:r>
        <w:rPr>
          <w:rFonts w:ascii="Verdana" w:hAnsi="Verdana"/>
          <w:sz w:val="20"/>
          <w:szCs w:val="20"/>
          <w:lang w:val="es-ES"/>
        </w:rPr>
        <w:t>El 40% tendrán problemas para pagar impuestos.</w:t>
      </w:r>
    </w:p>
    <w:p w:rsidR="00FF1424" w:rsidP="00FF1424" w:rsidRDefault="00FF1424" w14:paraId="7202ECC2" w14:textId="20CB5AC9">
      <w:pPr>
        <w:pStyle w:val="ListParagraph"/>
        <w:numPr>
          <w:ilvl w:val="0"/>
          <w:numId w:val="17"/>
        </w:numPr>
        <w:jc w:val="both"/>
        <w:rPr>
          <w:rFonts w:ascii="Verdana" w:hAnsi="Verdana"/>
          <w:sz w:val="20"/>
          <w:szCs w:val="20"/>
          <w:lang w:val="es-ES"/>
        </w:rPr>
      </w:pPr>
      <w:r>
        <w:rPr>
          <w:rFonts w:ascii="Verdana" w:hAnsi="Verdana"/>
          <w:sz w:val="20"/>
          <w:szCs w:val="20"/>
          <w:lang w:val="es-ES"/>
        </w:rPr>
        <w:t>El 31% tendrán dificultades para cumplir con sus compromisos financieros.</w:t>
      </w:r>
    </w:p>
    <w:p w:rsidR="00BA5748" w:rsidP="00FF1424" w:rsidRDefault="00FF1424" w14:paraId="4F278670" w14:textId="28E43CD9">
      <w:pPr>
        <w:jc w:val="both"/>
        <w:rPr>
          <w:rFonts w:ascii="Verdana" w:hAnsi="Verdana"/>
          <w:sz w:val="20"/>
          <w:szCs w:val="20"/>
          <w:lang w:val="es-ES"/>
        </w:rPr>
      </w:pPr>
      <w:r>
        <w:rPr>
          <w:rFonts w:ascii="Verdana" w:hAnsi="Verdana"/>
          <w:sz w:val="20"/>
          <w:szCs w:val="20"/>
          <w:lang w:val="es-ES"/>
        </w:rPr>
        <w:t xml:space="preserve">Asimismo, la </w:t>
      </w:r>
      <w:r w:rsidRPr="00FF1424">
        <w:rPr>
          <w:rFonts w:ascii="Verdana" w:hAnsi="Verdana"/>
          <w:sz w:val="20"/>
          <w:szCs w:val="20"/>
          <w:lang w:val="es-ES"/>
        </w:rPr>
        <w:t xml:space="preserve">Asociación </w:t>
      </w:r>
      <w:r w:rsidR="00BA5748">
        <w:rPr>
          <w:rFonts w:ascii="Verdana" w:hAnsi="Verdana"/>
          <w:sz w:val="20"/>
          <w:szCs w:val="20"/>
          <w:lang w:val="es-ES"/>
        </w:rPr>
        <w:t>L</w:t>
      </w:r>
      <w:r w:rsidRPr="00FF1424">
        <w:rPr>
          <w:rFonts w:ascii="Verdana" w:hAnsi="Verdana"/>
          <w:sz w:val="20"/>
          <w:szCs w:val="20"/>
          <w:lang w:val="es-ES"/>
        </w:rPr>
        <w:t xml:space="preserve">atinoamericana de </w:t>
      </w:r>
      <w:r w:rsidR="00BA5748">
        <w:rPr>
          <w:rFonts w:ascii="Verdana" w:hAnsi="Verdana"/>
          <w:sz w:val="20"/>
          <w:szCs w:val="20"/>
          <w:lang w:val="es-ES"/>
        </w:rPr>
        <w:t>M</w:t>
      </w:r>
      <w:r w:rsidRPr="00FF1424">
        <w:rPr>
          <w:rFonts w:ascii="Verdana" w:hAnsi="Verdana"/>
          <w:sz w:val="20"/>
          <w:szCs w:val="20"/>
          <w:lang w:val="es-ES"/>
        </w:rPr>
        <w:t xml:space="preserve">icros, </w:t>
      </w:r>
      <w:r w:rsidR="00BA5748">
        <w:rPr>
          <w:rFonts w:ascii="Verdana" w:hAnsi="Verdana"/>
          <w:sz w:val="20"/>
          <w:szCs w:val="20"/>
          <w:lang w:val="es-ES"/>
        </w:rPr>
        <w:t>P</w:t>
      </w:r>
      <w:r w:rsidRPr="00FF1424">
        <w:rPr>
          <w:rFonts w:ascii="Verdana" w:hAnsi="Verdana"/>
          <w:sz w:val="20"/>
          <w:szCs w:val="20"/>
          <w:lang w:val="es-ES"/>
        </w:rPr>
        <w:t xml:space="preserve">equeños y </w:t>
      </w:r>
      <w:r w:rsidR="00BA5748">
        <w:rPr>
          <w:rFonts w:ascii="Verdana" w:hAnsi="Verdana"/>
          <w:sz w:val="20"/>
          <w:szCs w:val="20"/>
          <w:lang w:val="es-ES"/>
        </w:rPr>
        <w:t>M</w:t>
      </w:r>
      <w:r w:rsidRPr="00FF1424">
        <w:rPr>
          <w:rFonts w:ascii="Verdana" w:hAnsi="Verdana"/>
          <w:sz w:val="20"/>
          <w:szCs w:val="20"/>
          <w:lang w:val="es-ES"/>
        </w:rPr>
        <w:t xml:space="preserve">edianos </w:t>
      </w:r>
      <w:r w:rsidR="00BA5748">
        <w:rPr>
          <w:rFonts w:ascii="Verdana" w:hAnsi="Verdana"/>
          <w:sz w:val="20"/>
          <w:szCs w:val="20"/>
          <w:lang w:val="es-ES"/>
        </w:rPr>
        <w:t>E</w:t>
      </w:r>
      <w:r w:rsidRPr="00FF1424">
        <w:rPr>
          <w:rFonts w:ascii="Verdana" w:hAnsi="Verdana"/>
          <w:sz w:val="20"/>
          <w:szCs w:val="20"/>
          <w:lang w:val="es-ES"/>
        </w:rPr>
        <w:t xml:space="preserve">mpresarios (Alampyme) estima que la pandemia ha causado una caída de hasta 90% en los ingresos de las empresas y una pérdida estimada de 30 mil mdp. </w:t>
      </w:r>
      <w:r w:rsidR="00BA5748">
        <w:rPr>
          <w:rFonts w:ascii="Verdana" w:hAnsi="Verdana"/>
          <w:sz w:val="20"/>
          <w:szCs w:val="20"/>
          <w:lang w:val="es-ES"/>
        </w:rPr>
        <w:t>En el corto plazo, se estima</w:t>
      </w:r>
      <w:r w:rsidRPr="00FF1424">
        <w:rPr>
          <w:rFonts w:ascii="Verdana" w:hAnsi="Verdana"/>
          <w:sz w:val="20"/>
          <w:szCs w:val="20"/>
          <w:lang w:val="es-ES"/>
        </w:rPr>
        <w:t xml:space="preserve"> que </w:t>
      </w:r>
      <w:r w:rsidR="00BA5748">
        <w:rPr>
          <w:rFonts w:ascii="Verdana" w:hAnsi="Verdana"/>
          <w:sz w:val="20"/>
          <w:szCs w:val="20"/>
          <w:lang w:val="es-ES"/>
        </w:rPr>
        <w:t xml:space="preserve">se </w:t>
      </w:r>
      <w:r w:rsidRPr="00FF1424">
        <w:rPr>
          <w:rFonts w:ascii="Verdana" w:hAnsi="Verdana"/>
          <w:sz w:val="20"/>
          <w:szCs w:val="20"/>
          <w:lang w:val="es-ES"/>
        </w:rPr>
        <w:t>podrían perder 1 millón de empleos y podrían cerrar 100 mil micronegocios</w:t>
      </w:r>
      <w:r w:rsidR="00BA5748">
        <w:rPr>
          <w:rFonts w:ascii="Verdana" w:hAnsi="Verdana"/>
          <w:sz w:val="20"/>
          <w:szCs w:val="20"/>
          <w:lang w:val="es-ES"/>
        </w:rPr>
        <w:t>.</w:t>
      </w:r>
    </w:p>
    <w:p w:rsidR="00E74D24" w:rsidP="00890F04" w:rsidRDefault="0056057A" w14:paraId="34A16A09" w14:textId="3ED8F500">
      <w:pPr>
        <w:jc w:val="both"/>
        <w:rPr>
          <w:rFonts w:ascii="Verdana" w:hAnsi="Verdana"/>
          <w:sz w:val="20"/>
          <w:szCs w:val="20"/>
          <w:lang w:val="es-ES"/>
        </w:rPr>
      </w:pPr>
      <w:r w:rsidRPr="00CC790D">
        <w:rPr>
          <w:rFonts w:ascii="Verdana" w:hAnsi="Verdana"/>
          <w:sz w:val="20"/>
          <w:szCs w:val="20"/>
          <w:lang w:val="es-ES"/>
        </w:rPr>
        <w:t xml:space="preserve">Ante la crisis económica derivada de la emergencia sanitaria, se </w:t>
      </w:r>
      <w:r w:rsidR="007E141D">
        <w:rPr>
          <w:rFonts w:ascii="Verdana" w:hAnsi="Verdana"/>
          <w:sz w:val="20"/>
          <w:szCs w:val="20"/>
          <w:lang w:val="es-ES"/>
        </w:rPr>
        <w:t>requiere</w:t>
      </w:r>
      <w:r w:rsidRPr="00CC790D">
        <w:rPr>
          <w:rFonts w:ascii="Verdana" w:hAnsi="Verdana"/>
          <w:sz w:val="20"/>
          <w:szCs w:val="20"/>
          <w:lang w:val="es-ES"/>
        </w:rPr>
        <w:t xml:space="preserve"> promover </w:t>
      </w:r>
      <w:r w:rsidR="007E141D">
        <w:rPr>
          <w:rFonts w:ascii="Verdana" w:hAnsi="Verdana"/>
          <w:sz w:val="20"/>
          <w:szCs w:val="20"/>
          <w:lang w:val="es-ES"/>
        </w:rPr>
        <w:t xml:space="preserve">programas o </w:t>
      </w:r>
      <w:r w:rsidRPr="00CC790D">
        <w:rPr>
          <w:rFonts w:ascii="Verdana" w:hAnsi="Verdana"/>
          <w:sz w:val="20"/>
          <w:szCs w:val="20"/>
          <w:lang w:val="es-ES"/>
        </w:rPr>
        <w:t>p</w:t>
      </w:r>
      <w:r w:rsidR="00BB5302">
        <w:rPr>
          <w:rFonts w:ascii="Verdana" w:hAnsi="Verdana"/>
          <w:sz w:val="20"/>
          <w:szCs w:val="20"/>
          <w:lang w:val="es-ES"/>
        </w:rPr>
        <w:t>aquetes de medidas de apoyo</w:t>
      </w:r>
      <w:r w:rsidRPr="00CC790D">
        <w:rPr>
          <w:rFonts w:ascii="Verdana" w:hAnsi="Verdana"/>
          <w:sz w:val="20"/>
          <w:szCs w:val="20"/>
          <w:lang w:val="es-ES"/>
        </w:rPr>
        <w:t xml:space="preserve"> enfocadas a</w:t>
      </w:r>
      <w:r w:rsidR="007E141D">
        <w:rPr>
          <w:rFonts w:ascii="Verdana" w:hAnsi="Verdana"/>
          <w:sz w:val="20"/>
          <w:szCs w:val="20"/>
          <w:lang w:val="es-ES"/>
        </w:rPr>
        <w:t xml:space="preserve"> apoyar a las </w:t>
      </w:r>
      <w:r w:rsidR="00BB5302">
        <w:rPr>
          <w:rFonts w:ascii="Verdana" w:hAnsi="Verdana"/>
          <w:sz w:val="20"/>
          <w:szCs w:val="20"/>
          <w:lang w:val="es-ES"/>
        </w:rPr>
        <w:t>MIPYME</w:t>
      </w:r>
      <w:r w:rsidR="005709DC">
        <w:rPr>
          <w:rFonts w:ascii="Verdana" w:hAnsi="Verdana"/>
          <w:sz w:val="20"/>
          <w:szCs w:val="20"/>
          <w:lang w:val="es-ES"/>
        </w:rPr>
        <w:t>S</w:t>
      </w:r>
      <w:r w:rsidR="00BB5302">
        <w:rPr>
          <w:rFonts w:ascii="Verdana" w:hAnsi="Verdana"/>
          <w:sz w:val="20"/>
          <w:szCs w:val="20"/>
          <w:lang w:val="es-ES"/>
        </w:rPr>
        <w:t xml:space="preserve"> </w:t>
      </w:r>
      <w:r w:rsidR="00BC4EED">
        <w:rPr>
          <w:rFonts w:ascii="Verdana" w:hAnsi="Verdana"/>
          <w:sz w:val="20"/>
          <w:szCs w:val="20"/>
          <w:lang w:val="es-ES"/>
        </w:rPr>
        <w:t>con el objetivo de</w:t>
      </w:r>
      <w:r w:rsidR="00BB5302">
        <w:rPr>
          <w:rFonts w:ascii="Verdana" w:hAnsi="Verdana"/>
          <w:sz w:val="20"/>
          <w:szCs w:val="20"/>
          <w:lang w:val="es-ES"/>
        </w:rPr>
        <w:t xml:space="preserve"> preservar los empleos</w:t>
      </w:r>
      <w:r w:rsidR="00BC4EED">
        <w:rPr>
          <w:rFonts w:ascii="Verdana" w:hAnsi="Verdana"/>
          <w:sz w:val="20"/>
          <w:szCs w:val="20"/>
          <w:lang w:val="es-ES"/>
        </w:rPr>
        <w:t xml:space="preserve"> y evitar en su caso el quiebre de empresas con problemas de liquidez</w:t>
      </w:r>
      <w:r w:rsidR="00BB5302">
        <w:rPr>
          <w:rFonts w:ascii="Verdana" w:hAnsi="Verdana"/>
          <w:sz w:val="20"/>
          <w:szCs w:val="20"/>
          <w:lang w:val="es-ES"/>
        </w:rPr>
        <w:t>.</w:t>
      </w:r>
    </w:p>
    <w:p w:rsidR="00E74D24" w:rsidP="00890F04" w:rsidRDefault="00BC4EED" w14:paraId="322AC262" w14:textId="31E8BE26">
      <w:pPr>
        <w:jc w:val="both"/>
        <w:rPr>
          <w:rFonts w:ascii="Verdana" w:hAnsi="Verdana"/>
          <w:sz w:val="20"/>
          <w:szCs w:val="20"/>
          <w:lang w:val="es-ES"/>
        </w:rPr>
      </w:pPr>
      <w:r>
        <w:rPr>
          <w:rFonts w:ascii="Verdana" w:hAnsi="Verdana"/>
          <w:sz w:val="20"/>
          <w:szCs w:val="20"/>
          <w:lang w:val="es-ES"/>
        </w:rPr>
        <w:t>Dichos paquetes pudieran estar</w:t>
      </w:r>
      <w:r w:rsidR="001451DC">
        <w:rPr>
          <w:rFonts w:ascii="Verdana" w:hAnsi="Verdana"/>
          <w:sz w:val="20"/>
          <w:szCs w:val="20"/>
          <w:lang w:val="es-ES"/>
        </w:rPr>
        <w:t xml:space="preserve"> enfoca</w:t>
      </w:r>
      <w:r>
        <w:rPr>
          <w:rFonts w:ascii="Verdana" w:hAnsi="Verdana"/>
          <w:sz w:val="20"/>
          <w:szCs w:val="20"/>
          <w:lang w:val="es-ES"/>
        </w:rPr>
        <w:t>dos</w:t>
      </w:r>
      <w:r w:rsidR="001451DC">
        <w:rPr>
          <w:rFonts w:ascii="Verdana" w:hAnsi="Verdana"/>
          <w:sz w:val="20"/>
          <w:szCs w:val="20"/>
          <w:lang w:val="es-ES"/>
        </w:rPr>
        <w:t xml:space="preserve"> a atender </w:t>
      </w:r>
      <w:r>
        <w:rPr>
          <w:rFonts w:ascii="Verdana" w:hAnsi="Verdana"/>
          <w:sz w:val="20"/>
          <w:szCs w:val="20"/>
          <w:lang w:val="es-ES"/>
        </w:rPr>
        <w:t xml:space="preserve">dos tipos de financiamiento: </w:t>
      </w:r>
      <w:r w:rsidR="007E38CE">
        <w:rPr>
          <w:rFonts w:ascii="Verdana" w:hAnsi="Verdana"/>
          <w:sz w:val="20"/>
          <w:szCs w:val="20"/>
          <w:lang w:val="es-ES"/>
        </w:rPr>
        <w:t xml:space="preserve">apoyos de carácter temporal </w:t>
      </w:r>
      <w:r>
        <w:rPr>
          <w:rFonts w:ascii="Verdana" w:hAnsi="Verdana"/>
          <w:sz w:val="20"/>
          <w:szCs w:val="20"/>
          <w:lang w:val="es-ES"/>
        </w:rPr>
        <w:t>brindando</w:t>
      </w:r>
      <w:r w:rsidR="007E38CE">
        <w:rPr>
          <w:rFonts w:ascii="Verdana" w:hAnsi="Verdana"/>
          <w:sz w:val="20"/>
          <w:szCs w:val="20"/>
          <w:lang w:val="es-ES"/>
        </w:rPr>
        <w:t xml:space="preserve"> liquidez </w:t>
      </w:r>
      <w:r>
        <w:rPr>
          <w:rFonts w:ascii="Verdana" w:hAnsi="Verdana"/>
          <w:sz w:val="20"/>
          <w:szCs w:val="20"/>
          <w:lang w:val="es-ES"/>
        </w:rPr>
        <w:t>a</w:t>
      </w:r>
      <w:r w:rsidR="007E38CE">
        <w:rPr>
          <w:rFonts w:ascii="Verdana" w:hAnsi="Verdana"/>
          <w:sz w:val="20"/>
          <w:szCs w:val="20"/>
          <w:lang w:val="es-ES"/>
        </w:rPr>
        <w:t xml:space="preserve"> las empresas </w:t>
      </w:r>
      <w:r>
        <w:rPr>
          <w:rFonts w:ascii="Verdana" w:hAnsi="Verdana"/>
          <w:sz w:val="20"/>
          <w:szCs w:val="20"/>
          <w:lang w:val="es-ES"/>
        </w:rPr>
        <w:t xml:space="preserve">con el objetivo de </w:t>
      </w:r>
      <w:r w:rsidR="007E38CE">
        <w:rPr>
          <w:rFonts w:ascii="Verdana" w:hAnsi="Verdana"/>
          <w:sz w:val="20"/>
          <w:szCs w:val="20"/>
          <w:lang w:val="es-ES"/>
        </w:rPr>
        <w:t>solventar sus obligaciones durante el periodo de distanciamiento social</w:t>
      </w:r>
      <w:r>
        <w:rPr>
          <w:rFonts w:ascii="Verdana" w:hAnsi="Verdana"/>
          <w:sz w:val="20"/>
          <w:szCs w:val="20"/>
          <w:lang w:val="es-ES"/>
        </w:rPr>
        <w:t xml:space="preserve">; y financiamiento </w:t>
      </w:r>
      <w:r w:rsidR="007E38CE">
        <w:rPr>
          <w:rFonts w:ascii="Verdana" w:hAnsi="Verdana"/>
          <w:sz w:val="20"/>
          <w:szCs w:val="20"/>
          <w:lang w:val="es-ES"/>
        </w:rPr>
        <w:t>durante la fase de recuperación enfocadas a garantizar su continuidad e impulsar su desarrollo.</w:t>
      </w:r>
    </w:p>
    <w:p w:rsidR="00941D67" w:rsidP="00890F04" w:rsidRDefault="00AD7B75" w14:paraId="0950A068" w14:textId="7357DB33">
      <w:pPr>
        <w:jc w:val="both"/>
        <w:rPr>
          <w:rFonts w:ascii="Verdana" w:hAnsi="Verdana"/>
          <w:sz w:val="20"/>
          <w:szCs w:val="20"/>
          <w:lang w:val="es-ES"/>
        </w:rPr>
      </w:pPr>
      <w:r>
        <w:rPr>
          <w:rFonts w:ascii="Verdana" w:hAnsi="Verdana"/>
          <w:sz w:val="20"/>
          <w:szCs w:val="20"/>
          <w:lang w:val="es-ES"/>
        </w:rPr>
        <w:t xml:space="preserve">Para resolver la falta de liquidez </w:t>
      </w:r>
      <w:r w:rsidR="00D976BF">
        <w:rPr>
          <w:rFonts w:ascii="Verdana" w:hAnsi="Verdana"/>
          <w:sz w:val="20"/>
          <w:szCs w:val="20"/>
          <w:lang w:val="es-ES"/>
        </w:rPr>
        <w:t>de las empresas, las a</w:t>
      </w:r>
      <w:r w:rsidR="00941D67">
        <w:rPr>
          <w:rFonts w:ascii="Verdana" w:hAnsi="Verdana"/>
          <w:sz w:val="20"/>
          <w:szCs w:val="20"/>
          <w:lang w:val="es-ES"/>
        </w:rPr>
        <w:t>utoridades (vía banca de desarrollo), en conjunto con instituciones financieras, podrían implementar un paquete de apoyos de recursos inmediatos que permitan cubrir los costos no recuperables de las medidas de cierre (como la nómina) y a la vez no compliquen su operación futura.</w:t>
      </w:r>
    </w:p>
    <w:p w:rsidR="00941D67" w:rsidP="00890F04" w:rsidRDefault="00941D67" w14:paraId="1DCDA54C" w14:textId="3BB538C0">
      <w:pPr>
        <w:jc w:val="both"/>
        <w:rPr>
          <w:rFonts w:ascii="Verdana" w:hAnsi="Verdana"/>
          <w:sz w:val="20"/>
          <w:szCs w:val="20"/>
          <w:lang w:val="es-ES"/>
        </w:rPr>
      </w:pPr>
      <w:r>
        <w:rPr>
          <w:rFonts w:ascii="Verdana" w:hAnsi="Verdana"/>
          <w:sz w:val="20"/>
          <w:szCs w:val="20"/>
          <w:lang w:val="es-ES"/>
        </w:rPr>
        <w:t>Los productos para canalizar estos recursos podrían tomar la forma de una especie de avío de largo plazo para las empresas, o de factoraje inverso que permita atender al inicio de la cadena comercial. La innovación en productos y herramientas resultará indispensable.</w:t>
      </w:r>
    </w:p>
    <w:p w:rsidRPr="007E38CE" w:rsidR="007E38CE" w:rsidP="00890F04" w:rsidRDefault="007E38CE" w14:paraId="7DDC6B26" w14:textId="409774E8">
      <w:pPr>
        <w:jc w:val="both"/>
        <w:rPr>
          <w:rFonts w:ascii="Verdana" w:hAnsi="Verdana"/>
          <w:i/>
          <w:iCs/>
          <w:sz w:val="20"/>
          <w:szCs w:val="20"/>
          <w:lang w:val="es-ES"/>
        </w:rPr>
      </w:pPr>
      <w:r w:rsidRPr="007E38CE">
        <w:rPr>
          <w:rFonts w:ascii="Verdana" w:hAnsi="Verdana"/>
          <w:i/>
          <w:iCs/>
          <w:sz w:val="20"/>
          <w:szCs w:val="20"/>
          <w:lang w:val="es-ES"/>
        </w:rPr>
        <w:t>Desafíos para la recuperación de actividades de las MIPYME</w:t>
      </w:r>
      <w:r w:rsidR="005709DC">
        <w:rPr>
          <w:rFonts w:ascii="Verdana" w:hAnsi="Verdana"/>
          <w:i/>
          <w:iCs/>
          <w:sz w:val="20"/>
          <w:szCs w:val="20"/>
          <w:lang w:val="es-ES"/>
        </w:rPr>
        <w:t>S</w:t>
      </w:r>
      <w:r w:rsidRPr="007E38CE">
        <w:rPr>
          <w:rFonts w:ascii="Verdana" w:hAnsi="Verdana"/>
          <w:i/>
          <w:iCs/>
          <w:sz w:val="20"/>
          <w:szCs w:val="20"/>
          <w:lang w:val="es-ES"/>
        </w:rPr>
        <w:t xml:space="preserve"> en México y la importancia del crédito para la inversión en el mediano plazo.</w:t>
      </w:r>
    </w:p>
    <w:p w:rsidR="00E74D24" w:rsidP="00890F04" w:rsidRDefault="003F08E2" w14:paraId="3CAE3E52" w14:textId="38E90F06">
      <w:pPr>
        <w:jc w:val="both"/>
        <w:rPr>
          <w:rFonts w:ascii="Verdana" w:hAnsi="Verdana"/>
          <w:sz w:val="20"/>
          <w:szCs w:val="20"/>
          <w:lang w:val="es-ES"/>
        </w:rPr>
      </w:pPr>
      <w:r>
        <w:rPr>
          <w:rFonts w:ascii="Verdana" w:hAnsi="Verdana"/>
          <w:sz w:val="20"/>
          <w:szCs w:val="20"/>
          <w:lang w:val="es-ES"/>
        </w:rPr>
        <w:t>Como se mencionó</w:t>
      </w:r>
      <w:r w:rsidR="005C17EB">
        <w:rPr>
          <w:rFonts w:ascii="Verdana" w:hAnsi="Verdana"/>
          <w:sz w:val="20"/>
          <w:szCs w:val="20"/>
          <w:lang w:val="es-ES"/>
        </w:rPr>
        <w:t>,</w:t>
      </w:r>
      <w:r>
        <w:rPr>
          <w:rFonts w:ascii="Verdana" w:hAnsi="Verdana"/>
          <w:sz w:val="20"/>
          <w:szCs w:val="20"/>
          <w:lang w:val="es-ES"/>
        </w:rPr>
        <w:t xml:space="preserve"> una vez concluida la etapa de distanciamiento social y se relajen las medidas de aislamiento, las MIPYME</w:t>
      </w:r>
      <w:r w:rsidR="005C17EB">
        <w:rPr>
          <w:rFonts w:ascii="Verdana" w:hAnsi="Verdana"/>
          <w:sz w:val="20"/>
          <w:szCs w:val="20"/>
          <w:lang w:val="es-ES"/>
        </w:rPr>
        <w:t>S</w:t>
      </w:r>
      <w:r>
        <w:rPr>
          <w:rFonts w:ascii="Verdana" w:hAnsi="Verdana"/>
          <w:sz w:val="20"/>
          <w:szCs w:val="20"/>
          <w:lang w:val="es-ES"/>
        </w:rPr>
        <w:t xml:space="preserve"> enfrentarán </w:t>
      </w:r>
      <w:r w:rsidR="00264093">
        <w:rPr>
          <w:rFonts w:ascii="Verdana" w:hAnsi="Verdana"/>
          <w:sz w:val="20"/>
          <w:szCs w:val="20"/>
          <w:lang w:val="es-ES"/>
        </w:rPr>
        <w:t>dificultades para recuperar el dinamismo previo u otras incluso para continuar en el mercado.</w:t>
      </w:r>
    </w:p>
    <w:p w:rsidR="00264093" w:rsidP="00890F04" w:rsidRDefault="00000BF0" w14:paraId="00C9AE80" w14:textId="5FF230EB">
      <w:pPr>
        <w:jc w:val="both"/>
        <w:rPr>
          <w:rFonts w:ascii="Verdana" w:hAnsi="Verdana"/>
          <w:sz w:val="20"/>
          <w:szCs w:val="20"/>
          <w:lang w:val="es-ES"/>
        </w:rPr>
      </w:pPr>
      <w:r>
        <w:rPr>
          <w:rFonts w:ascii="Verdana" w:hAnsi="Verdana"/>
          <w:sz w:val="20"/>
          <w:szCs w:val="20"/>
          <w:lang w:val="es-ES"/>
        </w:rPr>
        <w:t>En términos generales, la disrupción de las cadenas de suministro y la expectativa de menores ingresos en los hogares representan los principales desafíos para la recuperación de las actividades de las MIPYME</w:t>
      </w:r>
      <w:r w:rsidR="005C17EB">
        <w:rPr>
          <w:rFonts w:ascii="Verdana" w:hAnsi="Verdana"/>
          <w:sz w:val="20"/>
          <w:szCs w:val="20"/>
          <w:lang w:val="es-ES"/>
        </w:rPr>
        <w:t>S</w:t>
      </w:r>
      <w:r>
        <w:rPr>
          <w:rFonts w:ascii="Verdana" w:hAnsi="Verdana"/>
          <w:sz w:val="20"/>
          <w:szCs w:val="20"/>
          <w:lang w:val="es-ES"/>
        </w:rPr>
        <w:t>.</w:t>
      </w:r>
    </w:p>
    <w:p w:rsidR="00264093" w:rsidP="00890F04" w:rsidRDefault="00000BF0" w14:paraId="23939822" w14:textId="694B9C1B">
      <w:pPr>
        <w:jc w:val="both"/>
        <w:rPr>
          <w:rFonts w:ascii="Verdana" w:hAnsi="Verdana"/>
          <w:sz w:val="20"/>
          <w:szCs w:val="20"/>
          <w:lang w:val="es-ES"/>
        </w:rPr>
      </w:pPr>
      <w:r>
        <w:rPr>
          <w:rFonts w:ascii="Verdana" w:hAnsi="Verdana"/>
          <w:sz w:val="20"/>
          <w:szCs w:val="20"/>
          <w:lang w:val="es-ES"/>
        </w:rPr>
        <w:t>En ese sentido</w:t>
      </w:r>
      <w:r w:rsidR="00264093">
        <w:rPr>
          <w:rFonts w:ascii="Verdana" w:hAnsi="Verdana"/>
          <w:sz w:val="20"/>
          <w:szCs w:val="20"/>
          <w:lang w:val="es-ES"/>
        </w:rPr>
        <w:t>,</w:t>
      </w:r>
      <w:r>
        <w:rPr>
          <w:rFonts w:ascii="Verdana" w:hAnsi="Verdana"/>
          <w:sz w:val="20"/>
          <w:szCs w:val="20"/>
          <w:lang w:val="es-ES"/>
        </w:rPr>
        <w:t xml:space="preserve"> para garantizar la continuidad e impulsar la recuperación de las MIPYME</w:t>
      </w:r>
      <w:r w:rsidR="005C17EB">
        <w:rPr>
          <w:rFonts w:ascii="Verdana" w:hAnsi="Verdana"/>
          <w:sz w:val="20"/>
          <w:szCs w:val="20"/>
          <w:lang w:val="es-ES"/>
        </w:rPr>
        <w:t>S</w:t>
      </w:r>
      <w:r>
        <w:rPr>
          <w:rFonts w:ascii="Verdana" w:hAnsi="Verdana"/>
          <w:sz w:val="20"/>
          <w:szCs w:val="20"/>
          <w:lang w:val="es-ES"/>
        </w:rPr>
        <w:t>, resulta indispensable</w:t>
      </w:r>
      <w:r w:rsidR="00264093">
        <w:rPr>
          <w:rFonts w:ascii="Verdana" w:hAnsi="Verdana"/>
          <w:sz w:val="20"/>
          <w:szCs w:val="20"/>
          <w:lang w:val="es-ES"/>
        </w:rPr>
        <w:t xml:space="preserve"> garantizar los recursos financieros necesarios que las </w:t>
      </w:r>
      <w:r w:rsidR="003D64A4">
        <w:rPr>
          <w:rFonts w:ascii="Verdana" w:hAnsi="Verdana"/>
          <w:sz w:val="20"/>
          <w:szCs w:val="20"/>
          <w:lang w:val="es-ES"/>
        </w:rPr>
        <w:t>empresas</w:t>
      </w:r>
      <w:r w:rsidR="00264093">
        <w:rPr>
          <w:rFonts w:ascii="Verdana" w:hAnsi="Verdana"/>
          <w:sz w:val="20"/>
          <w:szCs w:val="20"/>
          <w:lang w:val="es-ES"/>
        </w:rPr>
        <w:t xml:space="preserve"> demanden, en condiciones favorables y que sean capaces de adaptarse a la nueva realidad económica y los nuevos modelos de negocio.</w:t>
      </w:r>
    </w:p>
    <w:p w:rsidR="00264093" w:rsidP="00890F04" w:rsidRDefault="00264093" w14:paraId="4D5A89E0" w14:textId="77777777">
      <w:pPr>
        <w:jc w:val="both"/>
        <w:rPr>
          <w:rFonts w:ascii="Verdana" w:hAnsi="Verdana"/>
          <w:sz w:val="20"/>
          <w:szCs w:val="20"/>
          <w:lang w:val="es-ES"/>
        </w:rPr>
      </w:pPr>
      <w:r>
        <w:rPr>
          <w:rFonts w:ascii="Verdana" w:hAnsi="Verdana"/>
          <w:sz w:val="20"/>
          <w:szCs w:val="20"/>
          <w:lang w:val="es-ES"/>
        </w:rPr>
        <w:t>Asimismo, es importante tomar en cuenta que, ante el choque en la demanda, numerosas empresas saldrán del mercado incluso recibiendo medidas de apoyo, lo cual indudablemente aumentará la cartera vencida de las instituciones financieras.</w:t>
      </w:r>
    </w:p>
    <w:p w:rsidRPr="007410F4" w:rsidR="00CF688D" w:rsidP="007410F4" w:rsidRDefault="00264093" w14:paraId="57B71009" w14:textId="47C2DF27">
      <w:pPr>
        <w:jc w:val="both"/>
        <w:rPr>
          <w:rFonts w:ascii="Verdana" w:hAnsi="Verdana"/>
          <w:sz w:val="20"/>
          <w:szCs w:val="20"/>
          <w:lang w:val="es-ES"/>
        </w:rPr>
      </w:pPr>
      <w:r>
        <w:rPr>
          <w:rFonts w:ascii="Verdana" w:hAnsi="Verdana"/>
          <w:sz w:val="20"/>
          <w:szCs w:val="20"/>
          <w:lang w:val="es-ES"/>
        </w:rPr>
        <w:t>Por lo tanto, resulta indispensable vigilar que la salida y entrada de nuevos participantes en el mercado se</w:t>
      </w:r>
      <w:r w:rsidR="00EA2130">
        <w:rPr>
          <w:rFonts w:ascii="Verdana" w:hAnsi="Verdana"/>
          <w:sz w:val="20"/>
          <w:szCs w:val="20"/>
          <w:lang w:val="es-ES"/>
        </w:rPr>
        <w:t>a</w:t>
      </w:r>
      <w:r>
        <w:rPr>
          <w:rFonts w:ascii="Verdana" w:hAnsi="Verdana"/>
          <w:sz w:val="20"/>
          <w:szCs w:val="20"/>
          <w:lang w:val="es-ES"/>
        </w:rPr>
        <w:t xml:space="preserve"> de manera ordenada, a fin de evitar que la crisis contagie al sistema financiero y ésta se vuelva un riesgo sistémico.</w:t>
      </w:r>
    </w:p>
    <w:p w:rsidRPr="00BB5302" w:rsidR="00F14E4E" w:rsidP="00FB5107" w:rsidRDefault="00FB5107" w14:paraId="1164D54C" w14:textId="5D54EC86">
      <w:pPr>
        <w:jc w:val="both"/>
        <w:rPr>
          <w:b/>
          <w:bCs/>
          <w:lang w:val="es-ES"/>
        </w:rPr>
      </w:pPr>
      <w:r>
        <w:rPr>
          <w:rFonts w:ascii="Verdana" w:hAnsi="Verdana"/>
          <w:sz w:val="20"/>
          <w:szCs w:val="20"/>
          <w:lang w:val="es-ES"/>
        </w:rPr>
        <w:t>La toma de decisiones oportuna y decidida son clave para garantizar la continuidad e impulsar la productividad de las MIPYME en la etapa post COVID. Esto a su vez, se verá reflejado en la dinámica económica del país.</w:t>
      </w:r>
      <w:bookmarkStart w:name="_Hlk41495142" w:id="2"/>
      <w:r w:rsidRPr="00BB5302" w:rsidR="00F14E4E">
        <w:rPr>
          <w:b/>
          <w:bCs/>
          <w:lang w:val="es-ES"/>
        </w:rPr>
        <w:t xml:space="preserve"> </w:t>
      </w:r>
    </w:p>
    <w:bookmarkEnd w:id="2"/>
    <w:p w:rsidRPr="00CC790D" w:rsidR="001F10A4" w:rsidP="001F10A4" w:rsidRDefault="001F10A4" w14:paraId="2CC9814A" w14:textId="77777777">
      <w:pPr>
        <w:jc w:val="both"/>
        <w:rPr>
          <w:rFonts w:ascii="Verdana" w:hAnsi="Verdana"/>
          <w:sz w:val="20"/>
          <w:szCs w:val="20"/>
          <w:lang w:val="es-ES"/>
        </w:rPr>
      </w:pPr>
    </w:p>
    <w:p w:rsidRPr="00F14E4E" w:rsidR="006518BB" w:rsidP="00F14E4E" w:rsidRDefault="006518BB" w14:paraId="76D85119" w14:textId="70E4FE5D">
      <w:pPr>
        <w:pStyle w:val="ListParagraph"/>
        <w:numPr>
          <w:ilvl w:val="0"/>
          <w:numId w:val="14"/>
        </w:numPr>
        <w:jc w:val="both"/>
        <w:rPr>
          <w:rFonts w:ascii="Verdana" w:hAnsi="Verdana"/>
          <w:b/>
          <w:bCs/>
          <w:lang w:val="es-ES"/>
        </w:rPr>
      </w:pPr>
      <w:r w:rsidRPr="00F14E4E">
        <w:rPr>
          <w:rFonts w:ascii="Verdana" w:hAnsi="Verdana"/>
          <w:b/>
          <w:bCs/>
          <w:lang w:val="es-ES"/>
        </w:rPr>
        <w:t>Medidas anunciadas para a</w:t>
      </w:r>
      <w:r w:rsidRPr="00F14E4E" w:rsidR="001F10A4">
        <w:rPr>
          <w:rFonts w:ascii="Verdana" w:hAnsi="Verdana"/>
          <w:b/>
          <w:bCs/>
          <w:lang w:val="es-ES"/>
        </w:rPr>
        <w:t>poyar a las MIPYME ante</w:t>
      </w:r>
      <w:r w:rsidRPr="00F14E4E">
        <w:rPr>
          <w:rFonts w:ascii="Verdana" w:hAnsi="Verdana"/>
          <w:b/>
          <w:bCs/>
          <w:lang w:val="es-ES"/>
        </w:rPr>
        <w:t xml:space="preserve"> la crisis del </w:t>
      </w:r>
      <w:r w:rsidRPr="00F14E4E" w:rsidR="001F10A4">
        <w:rPr>
          <w:rFonts w:ascii="Verdana" w:hAnsi="Verdana"/>
          <w:b/>
          <w:bCs/>
          <w:lang w:val="es-ES"/>
        </w:rPr>
        <w:t>COVID19</w:t>
      </w:r>
      <w:r w:rsidRPr="00F14E4E">
        <w:rPr>
          <w:rFonts w:ascii="Verdana" w:hAnsi="Verdana"/>
          <w:b/>
          <w:bCs/>
          <w:lang w:val="es-ES"/>
        </w:rPr>
        <w:t xml:space="preserve"> en México</w:t>
      </w:r>
    </w:p>
    <w:p w:rsidRPr="00CC790D" w:rsidR="004D6CD7" w:rsidP="002E403C" w:rsidRDefault="00B170AB" w14:paraId="67B386F5" w14:textId="53D9D166">
      <w:pPr>
        <w:jc w:val="both"/>
        <w:rPr>
          <w:rFonts w:ascii="Verdana" w:hAnsi="Verdana"/>
          <w:sz w:val="20"/>
          <w:szCs w:val="20"/>
          <w:lang w:val="es-ES"/>
        </w:rPr>
      </w:pPr>
      <w:r w:rsidRPr="00CC790D">
        <w:rPr>
          <w:rFonts w:ascii="Verdana" w:hAnsi="Verdana"/>
          <w:sz w:val="20"/>
          <w:szCs w:val="20"/>
          <w:lang w:val="es-ES"/>
        </w:rPr>
        <w:t xml:space="preserve">Como respuesta a la </w:t>
      </w:r>
      <w:r w:rsidRPr="00CC790D" w:rsidR="006366F8">
        <w:rPr>
          <w:rFonts w:ascii="Verdana" w:hAnsi="Verdana"/>
          <w:sz w:val="20"/>
          <w:szCs w:val="20"/>
          <w:lang w:val="es-ES"/>
        </w:rPr>
        <w:t>emergencia sanitaria el sector público y privado han anunciado medidas enfocadas en apoyar a las MIPYME y evitar la quiebra generalizada de empresas y la pérdida significativa de empleos.</w:t>
      </w:r>
    </w:p>
    <w:p w:rsidRPr="00CC790D" w:rsidR="0015120D" w:rsidP="002E403C" w:rsidRDefault="006366F8" w14:paraId="70F6FC31" w14:textId="59B417FB">
      <w:pPr>
        <w:jc w:val="both"/>
        <w:rPr>
          <w:rFonts w:ascii="Verdana" w:hAnsi="Verdana"/>
          <w:sz w:val="20"/>
          <w:szCs w:val="20"/>
          <w:lang w:val="es-ES"/>
        </w:rPr>
      </w:pPr>
      <w:r w:rsidRPr="00CC790D">
        <w:rPr>
          <w:rFonts w:ascii="Verdana" w:hAnsi="Verdana"/>
          <w:sz w:val="20"/>
          <w:szCs w:val="20"/>
          <w:lang w:val="es-ES"/>
        </w:rPr>
        <w:t xml:space="preserve">El </w:t>
      </w:r>
      <w:r w:rsidRPr="00CC790D">
        <w:rPr>
          <w:rFonts w:ascii="Verdana" w:hAnsi="Verdana"/>
          <w:b/>
          <w:bCs/>
          <w:sz w:val="20"/>
          <w:szCs w:val="20"/>
          <w:lang w:val="es-ES"/>
        </w:rPr>
        <w:t>gobierno federal</w:t>
      </w:r>
      <w:r w:rsidRPr="00CC790D">
        <w:rPr>
          <w:rFonts w:ascii="Verdana" w:hAnsi="Verdana"/>
          <w:sz w:val="20"/>
          <w:szCs w:val="20"/>
          <w:lang w:val="es-ES"/>
        </w:rPr>
        <w:t xml:space="preserve"> anunció la creación del Programa de Créditos a la Palabra destinado a apoyar a hasta 2 millones de MIPYME</w:t>
      </w:r>
      <w:r w:rsidR="00EA2130">
        <w:rPr>
          <w:rFonts w:ascii="Verdana" w:hAnsi="Verdana"/>
          <w:sz w:val="20"/>
          <w:szCs w:val="20"/>
          <w:lang w:val="es-ES"/>
        </w:rPr>
        <w:t>S</w:t>
      </w:r>
      <w:r w:rsidRPr="00CC790D">
        <w:rPr>
          <w:rFonts w:ascii="Verdana" w:hAnsi="Verdana"/>
          <w:sz w:val="20"/>
          <w:szCs w:val="20"/>
          <w:lang w:val="es-ES"/>
        </w:rPr>
        <w:t xml:space="preserve"> formales. El apoyo consiste en un crédito de 25 mil pesos </w:t>
      </w:r>
      <w:r w:rsidRPr="00CC790D" w:rsidR="0015120D">
        <w:rPr>
          <w:rFonts w:ascii="Verdana" w:hAnsi="Verdana"/>
          <w:sz w:val="20"/>
          <w:szCs w:val="20"/>
          <w:lang w:val="es-ES"/>
        </w:rPr>
        <w:t xml:space="preserve">a un plazo de 36 meses, con una tasa de interés preferencial del 8% durante todo el periodo, y con un periodo de gracia de 4 meses para realizar los pagos a partir de la recepción del crédito. </w:t>
      </w:r>
    </w:p>
    <w:p w:rsidRPr="00CC790D" w:rsidR="0015120D" w:rsidP="002E403C" w:rsidRDefault="0015120D" w14:paraId="11436418" w14:textId="77777777">
      <w:pPr>
        <w:jc w:val="both"/>
        <w:rPr>
          <w:rFonts w:ascii="Verdana" w:hAnsi="Verdana"/>
          <w:sz w:val="20"/>
          <w:szCs w:val="20"/>
          <w:lang w:val="es-ES"/>
        </w:rPr>
      </w:pPr>
      <w:r w:rsidRPr="00CC790D">
        <w:rPr>
          <w:rFonts w:ascii="Verdana" w:hAnsi="Verdana"/>
          <w:sz w:val="20"/>
          <w:szCs w:val="20"/>
          <w:lang w:val="es-ES"/>
        </w:rPr>
        <w:t>Los requisitos para acceder al crédito consisten en estar registrado en el IMSS y no haber despedido a ninguno de sus trabajadores durante la Jornada Nacional de Sana Distancia.</w:t>
      </w:r>
    </w:p>
    <w:p w:rsidRPr="00CC790D" w:rsidR="0015120D" w:rsidP="002E403C" w:rsidRDefault="0015120D" w14:paraId="04B17B46" w14:textId="7CB9F7CE">
      <w:pPr>
        <w:jc w:val="both"/>
        <w:rPr>
          <w:rFonts w:ascii="Verdana" w:hAnsi="Verdana"/>
          <w:sz w:val="20"/>
          <w:szCs w:val="20"/>
          <w:lang w:val="es-ES"/>
        </w:rPr>
      </w:pPr>
      <w:r w:rsidRPr="00CC790D">
        <w:rPr>
          <w:rFonts w:ascii="Verdana" w:hAnsi="Verdana"/>
          <w:sz w:val="20"/>
          <w:szCs w:val="20"/>
          <w:lang w:val="es-ES"/>
        </w:rPr>
        <w:t>Asimismo, se anunció un programa de crédito con las mismas características para hasta</w:t>
      </w:r>
      <w:r w:rsidR="00EA2130">
        <w:rPr>
          <w:rFonts w:ascii="Verdana" w:hAnsi="Verdana"/>
          <w:sz w:val="20"/>
          <w:szCs w:val="20"/>
          <w:lang w:val="es-ES"/>
        </w:rPr>
        <w:t xml:space="preserve"> un</w:t>
      </w:r>
      <w:r w:rsidRPr="00CC790D">
        <w:rPr>
          <w:rFonts w:ascii="Verdana" w:hAnsi="Verdana"/>
          <w:sz w:val="20"/>
          <w:szCs w:val="20"/>
          <w:lang w:val="es-ES"/>
        </w:rPr>
        <w:t xml:space="preserve"> millón de MIPYME del sector informal que se encuentren registradas en el padrón del Censo del Bienestar del Gobierno Federal.</w:t>
      </w:r>
    </w:p>
    <w:p w:rsidR="004527BD" w:rsidP="002E403C" w:rsidRDefault="002C4748" w14:paraId="52B47FA0" w14:textId="64AC4D61">
      <w:pPr>
        <w:jc w:val="both"/>
        <w:rPr>
          <w:rFonts w:ascii="Verdana" w:hAnsi="Verdana"/>
          <w:sz w:val="20"/>
          <w:szCs w:val="20"/>
          <w:lang w:val="es-ES"/>
        </w:rPr>
      </w:pPr>
      <w:r w:rsidRPr="00CC790D">
        <w:rPr>
          <w:rFonts w:ascii="Verdana" w:hAnsi="Verdana"/>
          <w:sz w:val="20"/>
          <w:szCs w:val="20"/>
          <w:lang w:val="es-ES"/>
        </w:rPr>
        <w:t>Además, el INFONAVIT anunció que las MIPYME</w:t>
      </w:r>
      <w:r w:rsidR="00EA2130">
        <w:rPr>
          <w:rFonts w:ascii="Verdana" w:hAnsi="Verdana"/>
          <w:sz w:val="20"/>
          <w:szCs w:val="20"/>
          <w:lang w:val="es-ES"/>
        </w:rPr>
        <w:t>S</w:t>
      </w:r>
      <w:r w:rsidRPr="00CC790D">
        <w:rPr>
          <w:rFonts w:ascii="Verdana" w:hAnsi="Verdana"/>
          <w:sz w:val="20"/>
          <w:szCs w:val="20"/>
          <w:lang w:val="es-ES"/>
        </w:rPr>
        <w:t xml:space="preserve"> podrán aplazar el pago del segundo y tercer bimestre hasta septiembre, con el objetivo de aligerar las obligaciones financieras de las empresas.</w:t>
      </w:r>
    </w:p>
    <w:p w:rsidR="004527BD" w:rsidP="002E403C" w:rsidRDefault="004527BD" w14:paraId="41216BAA" w14:textId="33B71D19">
      <w:pPr>
        <w:jc w:val="both"/>
        <w:rPr>
          <w:rFonts w:ascii="Verdana" w:hAnsi="Verdana"/>
          <w:sz w:val="20"/>
          <w:szCs w:val="20"/>
          <w:lang w:val="es-ES"/>
        </w:rPr>
      </w:pPr>
      <w:r>
        <w:rPr>
          <w:rFonts w:ascii="Verdana" w:hAnsi="Verdana"/>
          <w:sz w:val="20"/>
          <w:szCs w:val="20"/>
          <w:lang w:val="es-ES"/>
        </w:rPr>
        <w:t xml:space="preserve">Ante periodos de crisis la </w:t>
      </w:r>
      <w:r w:rsidRPr="007410F4">
        <w:rPr>
          <w:rFonts w:ascii="Verdana" w:hAnsi="Verdana"/>
          <w:b/>
          <w:bCs/>
          <w:sz w:val="20"/>
          <w:szCs w:val="20"/>
          <w:lang w:val="es-ES"/>
        </w:rPr>
        <w:t>banca de desarrollo</w:t>
      </w:r>
      <w:r>
        <w:rPr>
          <w:rFonts w:ascii="Verdana" w:hAnsi="Verdana"/>
          <w:sz w:val="20"/>
          <w:szCs w:val="20"/>
          <w:lang w:val="es-ES"/>
        </w:rPr>
        <w:t xml:space="preserve"> toma un papel relevante como mecanismo para la dispersión efectiva de recursos</w:t>
      </w:r>
      <w:r w:rsidR="00075C03">
        <w:rPr>
          <w:rFonts w:ascii="Verdana" w:hAnsi="Verdana"/>
          <w:sz w:val="20"/>
          <w:szCs w:val="20"/>
          <w:lang w:val="es-ES"/>
        </w:rPr>
        <w:t xml:space="preserve"> de carácter contracíclico</w:t>
      </w:r>
      <w:r>
        <w:rPr>
          <w:rFonts w:ascii="Verdana" w:hAnsi="Verdana"/>
          <w:sz w:val="20"/>
          <w:szCs w:val="20"/>
          <w:lang w:val="es-ES"/>
        </w:rPr>
        <w:t xml:space="preserve"> a las personas y empresas que lo necesitan y en condiciones favorables según la situación en la que se encuentren éstos.</w:t>
      </w:r>
    </w:p>
    <w:p w:rsidR="00075C03" w:rsidP="002E403C" w:rsidRDefault="004527BD" w14:paraId="62B2A4F1" w14:textId="5DF444F8">
      <w:pPr>
        <w:jc w:val="both"/>
        <w:rPr>
          <w:rFonts w:ascii="Verdana" w:hAnsi="Verdana"/>
          <w:sz w:val="20"/>
          <w:szCs w:val="20"/>
          <w:lang w:val="es-ES"/>
        </w:rPr>
      </w:pPr>
      <w:r>
        <w:rPr>
          <w:rFonts w:ascii="Verdana" w:hAnsi="Verdana"/>
          <w:sz w:val="20"/>
          <w:szCs w:val="20"/>
          <w:lang w:val="es-ES"/>
        </w:rPr>
        <w:t xml:space="preserve">En México, </w:t>
      </w:r>
      <w:r w:rsidR="00075C03">
        <w:rPr>
          <w:rFonts w:ascii="Verdana" w:hAnsi="Verdana"/>
          <w:sz w:val="20"/>
          <w:szCs w:val="20"/>
          <w:lang w:val="es-ES"/>
        </w:rPr>
        <w:t>la banca de desarrollo tiene previsto destinar 61,100 mdp a través de 15 programas enfocados a reactivar la actividad económica</w:t>
      </w:r>
      <w:r w:rsidR="00075C03">
        <w:rPr>
          <w:rStyle w:val="FootnoteReference"/>
          <w:rFonts w:ascii="Verdana" w:hAnsi="Verdana"/>
          <w:sz w:val="20"/>
          <w:szCs w:val="20"/>
          <w:lang w:val="es-ES"/>
        </w:rPr>
        <w:footnoteReference w:id="8"/>
      </w:r>
      <w:r w:rsidR="00075C03">
        <w:rPr>
          <w:rFonts w:ascii="Verdana" w:hAnsi="Verdana"/>
          <w:sz w:val="20"/>
          <w:szCs w:val="20"/>
          <w:lang w:val="es-ES"/>
        </w:rPr>
        <w:t>. Dentro de éstos, se tienen clasificados 20 mil mdp para el programa de apoyo a la liquidez de empresas de segundo piso, que serán manejados por Nafin y Bancomext.</w:t>
      </w:r>
    </w:p>
    <w:p w:rsidR="00075C03" w:rsidP="002E403C" w:rsidRDefault="00075C03" w14:paraId="7F06D24E" w14:textId="3EDF0FA6">
      <w:pPr>
        <w:jc w:val="both"/>
        <w:rPr>
          <w:rFonts w:ascii="Verdana" w:hAnsi="Verdana"/>
          <w:sz w:val="20"/>
          <w:szCs w:val="20"/>
          <w:lang w:val="es-ES"/>
        </w:rPr>
      </w:pPr>
      <w:r>
        <w:rPr>
          <w:rFonts w:ascii="Verdana" w:hAnsi="Verdana"/>
          <w:sz w:val="20"/>
          <w:szCs w:val="20"/>
          <w:lang w:val="es-ES"/>
        </w:rPr>
        <w:t>FIRA, por su parte, anunció una serie de medidas enfocadas a mitigar las afectaciones derivadas de la pandemia en el sector agroalimentario,</w:t>
      </w:r>
      <w:r>
        <w:rPr>
          <w:rStyle w:val="FootnoteReference"/>
          <w:rFonts w:ascii="Verdana" w:hAnsi="Verdana"/>
          <w:sz w:val="20"/>
          <w:szCs w:val="20"/>
          <w:lang w:val="es-ES"/>
        </w:rPr>
        <w:footnoteReference w:id="9"/>
      </w:r>
      <w:r>
        <w:rPr>
          <w:rFonts w:ascii="Verdana" w:hAnsi="Verdana"/>
          <w:sz w:val="20"/>
          <w:szCs w:val="20"/>
          <w:lang w:val="es-ES"/>
        </w:rPr>
        <w:t xml:space="preserve"> las cuales incluyen:</w:t>
      </w:r>
    </w:p>
    <w:p w:rsidR="00075C03" w:rsidP="00075C03" w:rsidRDefault="00075C03" w14:paraId="390523C9" w14:textId="294F35BA">
      <w:pPr>
        <w:pStyle w:val="ListParagraph"/>
        <w:numPr>
          <w:ilvl w:val="0"/>
          <w:numId w:val="20"/>
        </w:numPr>
        <w:jc w:val="both"/>
        <w:rPr>
          <w:rFonts w:ascii="Verdana" w:hAnsi="Verdana"/>
          <w:sz w:val="20"/>
          <w:szCs w:val="20"/>
          <w:lang w:val="es-ES"/>
        </w:rPr>
      </w:pPr>
      <w:r>
        <w:rPr>
          <w:rFonts w:ascii="Verdana" w:hAnsi="Verdana"/>
          <w:sz w:val="20"/>
          <w:szCs w:val="20"/>
          <w:lang w:val="es-ES"/>
        </w:rPr>
        <w:t>Apoyos para créditos vigentes.</w:t>
      </w:r>
    </w:p>
    <w:p w:rsidR="00075C03" w:rsidP="00075C03" w:rsidRDefault="00075C03" w14:paraId="5ECCE31B" w14:textId="08CFC13D">
      <w:pPr>
        <w:pStyle w:val="ListParagraph"/>
        <w:numPr>
          <w:ilvl w:val="0"/>
          <w:numId w:val="20"/>
        </w:numPr>
        <w:jc w:val="both"/>
        <w:rPr>
          <w:rFonts w:ascii="Verdana" w:hAnsi="Verdana"/>
          <w:sz w:val="20"/>
          <w:szCs w:val="20"/>
          <w:lang w:val="es-ES"/>
        </w:rPr>
      </w:pPr>
      <w:r>
        <w:rPr>
          <w:rFonts w:ascii="Verdana" w:hAnsi="Verdana"/>
          <w:sz w:val="20"/>
          <w:szCs w:val="20"/>
          <w:lang w:val="es-ES"/>
        </w:rPr>
        <w:t>Nuevos financiamientos para reactivar la operación de productores y empresas</w:t>
      </w:r>
      <w:r w:rsidR="00D22517">
        <w:rPr>
          <w:rFonts w:ascii="Verdana" w:hAnsi="Verdana"/>
          <w:sz w:val="20"/>
          <w:szCs w:val="20"/>
          <w:lang w:val="es-ES"/>
        </w:rPr>
        <w:t>, enfocados a capital de trabajo o inversiones fijas o de largo plazo</w:t>
      </w:r>
    </w:p>
    <w:p w:rsidR="00075C03" w:rsidP="00075C03" w:rsidRDefault="00D22517" w14:paraId="706D1046" w14:textId="0F80161E">
      <w:pPr>
        <w:pStyle w:val="ListParagraph"/>
        <w:numPr>
          <w:ilvl w:val="0"/>
          <w:numId w:val="20"/>
        </w:numPr>
        <w:jc w:val="both"/>
        <w:rPr>
          <w:rFonts w:ascii="Verdana" w:hAnsi="Verdana"/>
          <w:sz w:val="20"/>
          <w:szCs w:val="20"/>
          <w:lang w:val="es-ES"/>
        </w:rPr>
      </w:pPr>
      <w:r>
        <w:rPr>
          <w:rFonts w:ascii="Verdana" w:hAnsi="Verdana"/>
          <w:sz w:val="20"/>
          <w:szCs w:val="20"/>
          <w:lang w:val="es-ES"/>
        </w:rPr>
        <w:t>Bonificaciones de hasta 2 puntos porcentuales en la tasa de interés de nuevos créditos de empresas familiares y pequeñas.</w:t>
      </w:r>
    </w:p>
    <w:p w:rsidR="00D22517" w:rsidP="00075C03" w:rsidRDefault="00D22517" w14:paraId="3FDD2F53" w14:textId="10426E55">
      <w:pPr>
        <w:pStyle w:val="ListParagraph"/>
        <w:numPr>
          <w:ilvl w:val="0"/>
          <w:numId w:val="20"/>
        </w:numPr>
        <w:jc w:val="both"/>
        <w:rPr>
          <w:rFonts w:ascii="Verdana" w:hAnsi="Verdana"/>
          <w:sz w:val="20"/>
          <w:szCs w:val="20"/>
          <w:lang w:val="es-ES"/>
        </w:rPr>
      </w:pPr>
      <w:r>
        <w:rPr>
          <w:rFonts w:ascii="Verdana" w:hAnsi="Verdana"/>
          <w:sz w:val="20"/>
          <w:szCs w:val="20"/>
          <w:lang w:val="es-ES"/>
        </w:rPr>
        <w:t>Nuevo esquema de garantías para facilitar nuevos créditos y respaldar tratamientos de cartera elegibles.</w:t>
      </w:r>
    </w:p>
    <w:p w:rsidRPr="007410F4" w:rsidR="00D22517" w:rsidP="007410F4" w:rsidRDefault="00D22517" w14:paraId="5F8F7B68" w14:textId="5DC186E7">
      <w:pPr>
        <w:pStyle w:val="ListParagraph"/>
        <w:numPr>
          <w:ilvl w:val="0"/>
          <w:numId w:val="20"/>
        </w:numPr>
        <w:jc w:val="both"/>
        <w:rPr>
          <w:rFonts w:ascii="Verdana" w:hAnsi="Verdana"/>
          <w:sz w:val="20"/>
          <w:szCs w:val="20"/>
          <w:lang w:val="es-ES"/>
        </w:rPr>
      </w:pPr>
      <w:r>
        <w:rPr>
          <w:rFonts w:ascii="Verdana" w:hAnsi="Verdana"/>
          <w:sz w:val="20"/>
          <w:szCs w:val="20"/>
          <w:lang w:val="es-ES"/>
        </w:rPr>
        <w:t>Ampliación de la Garantía FIRA para incentivar que intermediarios puedan financiar a más MIPYME.</w:t>
      </w:r>
    </w:p>
    <w:p w:rsidRPr="00CC790D" w:rsidR="002C4748" w:rsidP="002E403C" w:rsidRDefault="00EA2130" w14:paraId="4909F76F" w14:textId="583D61E7">
      <w:pPr>
        <w:jc w:val="both"/>
        <w:rPr>
          <w:rFonts w:ascii="Verdana" w:hAnsi="Verdana"/>
          <w:sz w:val="20"/>
          <w:szCs w:val="20"/>
          <w:lang w:val="es-ES"/>
        </w:rPr>
      </w:pPr>
      <w:r>
        <w:rPr>
          <w:rFonts w:ascii="Verdana" w:hAnsi="Verdana"/>
          <w:sz w:val="20"/>
          <w:szCs w:val="20"/>
          <w:lang w:val="es-ES"/>
        </w:rPr>
        <w:t>L</w:t>
      </w:r>
      <w:r w:rsidRPr="00CC790D" w:rsidR="00D57E9C">
        <w:rPr>
          <w:rFonts w:ascii="Verdana" w:hAnsi="Verdana"/>
          <w:sz w:val="20"/>
          <w:szCs w:val="20"/>
          <w:lang w:val="es-ES"/>
        </w:rPr>
        <w:t xml:space="preserve">os </w:t>
      </w:r>
      <w:r w:rsidRPr="00CC790D" w:rsidR="00D57E9C">
        <w:rPr>
          <w:rFonts w:ascii="Verdana" w:hAnsi="Verdana"/>
          <w:b/>
          <w:bCs/>
          <w:sz w:val="20"/>
          <w:szCs w:val="20"/>
          <w:lang w:val="es-ES"/>
        </w:rPr>
        <w:t>gobiernos estatales</w:t>
      </w:r>
      <w:r w:rsidRPr="00CC790D" w:rsidR="00D57E9C">
        <w:rPr>
          <w:rFonts w:ascii="Verdana" w:hAnsi="Verdana"/>
          <w:sz w:val="20"/>
          <w:szCs w:val="20"/>
          <w:lang w:val="es-ES"/>
        </w:rPr>
        <w:t xml:space="preserve"> también han anunciado una serie de medidas enfocadas a apoyar a las MIPYME durante la crisis sanitaria. Se ha</w:t>
      </w:r>
      <w:r w:rsidRPr="00CC790D" w:rsidR="002C4748">
        <w:rPr>
          <w:rFonts w:ascii="Verdana" w:hAnsi="Verdana"/>
          <w:sz w:val="20"/>
          <w:szCs w:val="20"/>
          <w:lang w:val="es-ES"/>
        </w:rPr>
        <w:t>n</w:t>
      </w:r>
      <w:r w:rsidRPr="00CC790D" w:rsidR="00D57E9C">
        <w:rPr>
          <w:rFonts w:ascii="Verdana" w:hAnsi="Verdana"/>
          <w:sz w:val="20"/>
          <w:szCs w:val="20"/>
          <w:lang w:val="es-ES"/>
        </w:rPr>
        <w:t xml:space="preserve"> ide</w:t>
      </w:r>
      <w:r w:rsidRPr="00CC790D" w:rsidR="002C4748">
        <w:rPr>
          <w:rFonts w:ascii="Verdana" w:hAnsi="Verdana"/>
          <w:sz w:val="20"/>
          <w:szCs w:val="20"/>
          <w:lang w:val="es-ES"/>
        </w:rPr>
        <w:t>ntificado medidas de apoyo e incentivos financieros a empresas en 2</w:t>
      </w:r>
      <w:r w:rsidRPr="00CC790D" w:rsidR="00DE3970">
        <w:rPr>
          <w:rFonts w:ascii="Verdana" w:hAnsi="Verdana"/>
          <w:sz w:val="20"/>
          <w:szCs w:val="20"/>
          <w:lang w:val="es-ES"/>
        </w:rPr>
        <w:t>9</w:t>
      </w:r>
      <w:r w:rsidRPr="00CC790D" w:rsidR="002C4748">
        <w:rPr>
          <w:rFonts w:ascii="Verdana" w:hAnsi="Verdana"/>
          <w:sz w:val="20"/>
          <w:szCs w:val="20"/>
          <w:lang w:val="es-ES"/>
        </w:rPr>
        <w:t xml:space="preserve"> de las 32 entidades federativas.</w:t>
      </w:r>
    </w:p>
    <w:p w:rsidRPr="00CC790D" w:rsidR="006366F8" w:rsidP="002E403C" w:rsidRDefault="0015120D" w14:paraId="66430A1F" w14:textId="08B7534C">
      <w:pPr>
        <w:jc w:val="both"/>
        <w:rPr>
          <w:rFonts w:ascii="Verdana" w:hAnsi="Verdana"/>
          <w:sz w:val="20"/>
          <w:szCs w:val="20"/>
          <w:lang w:val="es-ES"/>
        </w:rPr>
      </w:pPr>
      <w:r w:rsidRPr="00CC790D">
        <w:rPr>
          <w:rFonts w:ascii="Verdana" w:hAnsi="Verdana"/>
          <w:sz w:val="20"/>
          <w:szCs w:val="20"/>
          <w:lang w:val="es-ES"/>
        </w:rPr>
        <w:t xml:space="preserve"> </w:t>
      </w:r>
      <w:r w:rsidRPr="00CC790D" w:rsidR="002C4748">
        <w:rPr>
          <w:rFonts w:ascii="Verdana" w:hAnsi="Verdana"/>
          <w:sz w:val="20"/>
          <w:szCs w:val="20"/>
          <w:lang w:val="es-ES"/>
        </w:rPr>
        <w:t>El tipo de medidas anunciadas, así como su amplitud y profundidad varían en cada entidad. Éstas abarcan principalmente:</w:t>
      </w:r>
    </w:p>
    <w:p w:rsidRPr="00CC790D" w:rsidR="00A66F66" w:rsidP="002E403C" w:rsidRDefault="002C4748" w14:paraId="31131519" w14:textId="692D73F3">
      <w:pPr>
        <w:pStyle w:val="ListParagraph"/>
        <w:numPr>
          <w:ilvl w:val="0"/>
          <w:numId w:val="7"/>
        </w:numPr>
        <w:jc w:val="both"/>
        <w:rPr>
          <w:rFonts w:ascii="Verdana" w:hAnsi="Verdana"/>
          <w:sz w:val="20"/>
          <w:szCs w:val="20"/>
          <w:lang w:val="es-ES"/>
        </w:rPr>
      </w:pPr>
      <w:r w:rsidRPr="00CC790D">
        <w:rPr>
          <w:rFonts w:ascii="Verdana" w:hAnsi="Verdana"/>
          <w:sz w:val="20"/>
          <w:szCs w:val="20"/>
          <w:lang w:val="es-ES"/>
        </w:rPr>
        <w:t xml:space="preserve">Créditos </w:t>
      </w:r>
      <w:r w:rsidRPr="00CC790D" w:rsidR="00A66F66">
        <w:rPr>
          <w:rFonts w:ascii="Verdana" w:hAnsi="Verdana"/>
          <w:sz w:val="20"/>
          <w:szCs w:val="20"/>
          <w:lang w:val="es-ES"/>
        </w:rPr>
        <w:t xml:space="preserve">a largo plazo y tasa preferencial </w:t>
      </w:r>
      <w:r w:rsidRPr="00CC790D">
        <w:rPr>
          <w:rFonts w:ascii="Verdana" w:hAnsi="Verdana"/>
          <w:sz w:val="20"/>
          <w:szCs w:val="20"/>
          <w:lang w:val="es-ES"/>
        </w:rPr>
        <w:t>para gastos de operación, capital de trabajo, adquisición de activos fijos o infraestructura</w:t>
      </w:r>
      <w:r w:rsidRPr="00CC790D" w:rsidR="00A66F66">
        <w:rPr>
          <w:rFonts w:ascii="Verdana" w:hAnsi="Verdana"/>
          <w:sz w:val="20"/>
          <w:szCs w:val="20"/>
          <w:lang w:val="es-ES"/>
        </w:rPr>
        <w:t xml:space="preserve">, por montos que van desde los 6 mil hasta los </w:t>
      </w:r>
      <w:r w:rsidRPr="00CC790D" w:rsidR="00DE3970">
        <w:rPr>
          <w:rFonts w:ascii="Verdana" w:hAnsi="Verdana"/>
          <w:sz w:val="20"/>
          <w:szCs w:val="20"/>
          <w:lang w:val="es-ES"/>
        </w:rPr>
        <w:t>5</w:t>
      </w:r>
      <w:r w:rsidRPr="00CC790D" w:rsidR="00A66F66">
        <w:rPr>
          <w:rFonts w:ascii="Verdana" w:hAnsi="Verdana"/>
          <w:sz w:val="20"/>
          <w:szCs w:val="20"/>
          <w:lang w:val="es-ES"/>
        </w:rPr>
        <w:t xml:space="preserve"> millones de pesos. Algunos de los estados han emitido los programas crediticios en colaboración con la banca de desarrollo.</w:t>
      </w:r>
    </w:p>
    <w:p w:rsidRPr="00CC790D" w:rsidR="00A66F66" w:rsidP="002E403C" w:rsidRDefault="00A66F66" w14:paraId="5ACF82A0" w14:textId="35EAC662">
      <w:pPr>
        <w:pStyle w:val="ListParagraph"/>
        <w:numPr>
          <w:ilvl w:val="0"/>
          <w:numId w:val="7"/>
        </w:numPr>
        <w:jc w:val="both"/>
        <w:rPr>
          <w:rFonts w:ascii="Verdana" w:hAnsi="Verdana"/>
          <w:sz w:val="20"/>
          <w:szCs w:val="20"/>
          <w:lang w:val="es-ES"/>
        </w:rPr>
      </w:pPr>
      <w:r w:rsidRPr="00CC790D">
        <w:rPr>
          <w:rFonts w:ascii="Verdana" w:hAnsi="Verdana"/>
          <w:sz w:val="20"/>
          <w:szCs w:val="20"/>
          <w:lang w:val="es-ES"/>
        </w:rPr>
        <w:t>Prórroga a créditos vigentes.</w:t>
      </w:r>
    </w:p>
    <w:p w:rsidRPr="00CC790D" w:rsidR="00A66F66" w:rsidP="002E403C" w:rsidRDefault="00A66F66" w14:paraId="7D3F89C3" w14:textId="5640B175">
      <w:pPr>
        <w:pStyle w:val="ListParagraph"/>
        <w:numPr>
          <w:ilvl w:val="0"/>
          <w:numId w:val="7"/>
        </w:numPr>
        <w:jc w:val="both"/>
        <w:rPr>
          <w:rFonts w:ascii="Verdana" w:hAnsi="Verdana"/>
          <w:sz w:val="20"/>
          <w:szCs w:val="20"/>
          <w:lang w:val="es-ES"/>
        </w:rPr>
      </w:pPr>
      <w:r w:rsidRPr="00CC790D">
        <w:rPr>
          <w:rFonts w:ascii="Verdana" w:hAnsi="Verdana"/>
          <w:sz w:val="20"/>
          <w:szCs w:val="20"/>
          <w:lang w:val="es-ES"/>
        </w:rPr>
        <w:t>Subsidios y apoyos directos para diversas actividades (maquinaria y equipo, sectores específicos, actividades culturales, entre otros) y focalizados a empresas de grupos específicos (adultos mayores, campesinos o mujeres).</w:t>
      </w:r>
    </w:p>
    <w:p w:rsidRPr="00CC790D" w:rsidR="00A66F66" w:rsidP="002E403C" w:rsidRDefault="00A66F66" w14:paraId="569F85A9" w14:textId="14817F28">
      <w:pPr>
        <w:pStyle w:val="ListParagraph"/>
        <w:numPr>
          <w:ilvl w:val="0"/>
          <w:numId w:val="7"/>
        </w:numPr>
        <w:jc w:val="both"/>
        <w:rPr>
          <w:rFonts w:ascii="Verdana" w:hAnsi="Verdana"/>
          <w:sz w:val="20"/>
          <w:szCs w:val="20"/>
          <w:lang w:val="es-ES"/>
        </w:rPr>
      </w:pPr>
      <w:r w:rsidRPr="00CC790D">
        <w:rPr>
          <w:rFonts w:ascii="Verdana" w:hAnsi="Verdana"/>
          <w:sz w:val="20"/>
          <w:szCs w:val="20"/>
          <w:lang w:val="es-ES"/>
        </w:rPr>
        <w:t xml:space="preserve">Apoyos </w:t>
      </w:r>
      <w:r w:rsidRPr="00CC790D" w:rsidR="00DE3970">
        <w:rPr>
          <w:rFonts w:ascii="Verdana" w:hAnsi="Verdana"/>
          <w:sz w:val="20"/>
          <w:szCs w:val="20"/>
          <w:lang w:val="es-ES"/>
        </w:rPr>
        <w:t xml:space="preserve">y estímulos </w:t>
      </w:r>
      <w:r w:rsidRPr="00CC790D">
        <w:rPr>
          <w:rFonts w:ascii="Verdana" w:hAnsi="Verdana"/>
          <w:sz w:val="20"/>
          <w:szCs w:val="20"/>
          <w:lang w:val="es-ES"/>
        </w:rPr>
        <w:t>fiscales a empresas vía descuento o diferimiento en el pago de impuestos locales (nómina, venta de bebidas alcohólicas, entre otras), y en algunos casos enfocadas a empresas de sectores específicos.</w:t>
      </w:r>
    </w:p>
    <w:p w:rsidRPr="00CC790D" w:rsidR="00AE197C" w:rsidP="002E403C" w:rsidRDefault="00AE197C" w14:paraId="2513C504" w14:textId="37385A9B">
      <w:pPr>
        <w:jc w:val="both"/>
        <w:rPr>
          <w:rFonts w:ascii="Verdana" w:hAnsi="Verdana"/>
          <w:sz w:val="20"/>
          <w:szCs w:val="20"/>
          <w:lang w:val="es-ES"/>
        </w:rPr>
      </w:pPr>
      <w:r w:rsidRPr="00CC790D">
        <w:rPr>
          <w:rFonts w:ascii="Verdana" w:hAnsi="Verdana"/>
          <w:sz w:val="20"/>
          <w:szCs w:val="20"/>
          <w:lang w:val="es-ES"/>
        </w:rPr>
        <w:t xml:space="preserve">Por su parte, el </w:t>
      </w:r>
      <w:r w:rsidRPr="00CC790D">
        <w:rPr>
          <w:rFonts w:ascii="Verdana" w:hAnsi="Verdana"/>
          <w:b/>
          <w:bCs/>
          <w:sz w:val="20"/>
          <w:szCs w:val="20"/>
          <w:lang w:val="es-ES"/>
        </w:rPr>
        <w:t>Banco de México</w:t>
      </w:r>
      <w:r w:rsidRPr="00CC790D">
        <w:rPr>
          <w:rFonts w:ascii="Verdana" w:hAnsi="Verdana"/>
          <w:sz w:val="20"/>
          <w:szCs w:val="20"/>
          <w:lang w:val="es-ES"/>
        </w:rPr>
        <w:t xml:space="preserve"> anunció un paquete de medidas </w:t>
      </w:r>
      <w:r w:rsidRPr="00CC790D" w:rsidR="00723CF2">
        <w:rPr>
          <w:rFonts w:ascii="Verdana" w:hAnsi="Verdana"/>
          <w:sz w:val="20"/>
          <w:szCs w:val="20"/>
          <w:lang w:val="es-ES"/>
        </w:rPr>
        <w:t>“</w:t>
      </w:r>
      <w:r w:rsidRPr="00CC790D">
        <w:rPr>
          <w:rFonts w:ascii="Verdana" w:hAnsi="Verdana"/>
          <w:sz w:val="20"/>
          <w:szCs w:val="20"/>
          <w:lang w:val="es-ES"/>
        </w:rPr>
        <w:t>orientadas a proveer liquidez para mejorar el funcionamiento de los mercados internos, fortalecer los canales otorgamiento de crédito en la economía, y promover el comportamiento ordenado de los mercados de deuda y de cambio del país</w:t>
      </w:r>
      <w:r w:rsidRPr="00CC790D" w:rsidR="00723CF2">
        <w:rPr>
          <w:rFonts w:ascii="Verdana" w:hAnsi="Verdana"/>
          <w:sz w:val="20"/>
          <w:szCs w:val="20"/>
          <w:lang w:val="es-ES"/>
        </w:rPr>
        <w:t>”</w:t>
      </w:r>
      <w:r w:rsidRPr="00CC790D">
        <w:rPr>
          <w:rFonts w:ascii="Verdana" w:hAnsi="Verdana"/>
          <w:sz w:val="20"/>
          <w:szCs w:val="20"/>
          <w:lang w:val="es-ES"/>
        </w:rPr>
        <w:t>.</w:t>
      </w:r>
      <w:r w:rsidRPr="00CC790D" w:rsidR="00723CF2">
        <w:rPr>
          <w:rFonts w:ascii="Verdana" w:hAnsi="Verdana"/>
          <w:sz w:val="20"/>
          <w:szCs w:val="20"/>
          <w:lang w:val="es-ES"/>
        </w:rPr>
        <w:t xml:space="preserve"> </w:t>
      </w:r>
      <w:r w:rsidRPr="00CC790D">
        <w:rPr>
          <w:rFonts w:ascii="Verdana" w:hAnsi="Verdana"/>
          <w:sz w:val="20"/>
          <w:szCs w:val="20"/>
          <w:lang w:val="es-ES"/>
        </w:rPr>
        <w:t>El monto previsto de este paquete asciende hasta los 750 mil mdp y equivalen a 3.3% del PIB.</w:t>
      </w:r>
    </w:p>
    <w:p w:rsidRPr="00CC790D" w:rsidR="00821784" w:rsidP="002E403C" w:rsidRDefault="00723CF2" w14:paraId="6235BDFF" w14:textId="77777777">
      <w:pPr>
        <w:jc w:val="both"/>
        <w:rPr>
          <w:rFonts w:ascii="Verdana" w:hAnsi="Verdana"/>
          <w:sz w:val="20"/>
          <w:szCs w:val="20"/>
          <w:lang w:val="es-ES"/>
        </w:rPr>
      </w:pPr>
      <w:r w:rsidRPr="00CC790D">
        <w:rPr>
          <w:rFonts w:ascii="Verdana" w:hAnsi="Verdana"/>
          <w:sz w:val="20"/>
          <w:szCs w:val="20"/>
          <w:lang w:val="es-ES"/>
        </w:rPr>
        <w:t xml:space="preserve">En particular, </w:t>
      </w:r>
      <w:r w:rsidRPr="00CC790D" w:rsidR="00CD3433">
        <w:rPr>
          <w:rFonts w:ascii="Verdana" w:hAnsi="Verdana"/>
          <w:sz w:val="20"/>
          <w:szCs w:val="20"/>
          <w:lang w:val="es-ES"/>
        </w:rPr>
        <w:t xml:space="preserve">dos </w:t>
      </w:r>
      <w:r w:rsidRPr="00CC790D">
        <w:rPr>
          <w:rFonts w:ascii="Verdana" w:hAnsi="Verdana"/>
          <w:sz w:val="20"/>
          <w:szCs w:val="20"/>
          <w:lang w:val="es-ES"/>
        </w:rPr>
        <w:t>de las diez medidas anunciadas por Banxico</w:t>
      </w:r>
      <w:r w:rsidRPr="00CC790D" w:rsidR="00CD3433">
        <w:rPr>
          <w:rFonts w:ascii="Verdana" w:hAnsi="Verdana"/>
          <w:sz w:val="20"/>
          <w:szCs w:val="20"/>
          <w:lang w:val="es-ES"/>
        </w:rPr>
        <w:t xml:space="preserve"> están directamente enfocadas a apoyar a las MIPYME afectadas por la pandemia vía mayor otorgamiento de crédito</w:t>
      </w:r>
      <w:r w:rsidRPr="00CC790D" w:rsidR="00821784">
        <w:rPr>
          <w:rFonts w:ascii="Verdana" w:hAnsi="Verdana"/>
          <w:sz w:val="20"/>
          <w:szCs w:val="20"/>
          <w:lang w:val="es-ES"/>
        </w:rPr>
        <w:t>:</w:t>
      </w:r>
    </w:p>
    <w:p w:rsidRPr="00CC790D" w:rsidR="00723CF2" w:rsidP="002E403C" w:rsidRDefault="00821784" w14:paraId="0C202A25" w14:textId="15DA6079">
      <w:pPr>
        <w:pStyle w:val="ListParagraph"/>
        <w:numPr>
          <w:ilvl w:val="0"/>
          <w:numId w:val="9"/>
        </w:numPr>
        <w:jc w:val="both"/>
        <w:rPr>
          <w:rFonts w:ascii="Verdana" w:hAnsi="Verdana"/>
          <w:sz w:val="20"/>
          <w:szCs w:val="20"/>
          <w:lang w:val="es-ES"/>
        </w:rPr>
      </w:pPr>
      <w:r w:rsidRPr="00CC790D">
        <w:rPr>
          <w:rFonts w:ascii="Verdana" w:hAnsi="Verdana"/>
          <w:sz w:val="20"/>
          <w:szCs w:val="20"/>
          <w:lang w:val="es-ES"/>
        </w:rPr>
        <w:t xml:space="preserve">Provisión de recursos por hasta 250 mil mdp a las instituciones de banca múltiple y de desarrollo para que éstas los canalicen a las empresas. </w:t>
      </w:r>
      <w:r w:rsidRPr="00CC790D" w:rsidR="00723CF2">
        <w:rPr>
          <w:rFonts w:ascii="Verdana" w:hAnsi="Verdana"/>
          <w:sz w:val="20"/>
          <w:szCs w:val="20"/>
          <w:lang w:val="es-ES"/>
        </w:rPr>
        <w:t>El monto del programa podrá ajustarse según las necesidades del mercado financiero.</w:t>
      </w:r>
    </w:p>
    <w:p w:rsidRPr="00CC790D" w:rsidR="00821784" w:rsidP="002E403C" w:rsidRDefault="00821784" w14:paraId="75B3C3D1" w14:textId="2E7A82C2">
      <w:pPr>
        <w:pStyle w:val="ListParagraph"/>
        <w:numPr>
          <w:ilvl w:val="0"/>
          <w:numId w:val="9"/>
        </w:numPr>
        <w:jc w:val="both"/>
        <w:rPr>
          <w:rFonts w:ascii="Verdana" w:hAnsi="Verdana"/>
          <w:sz w:val="20"/>
          <w:szCs w:val="20"/>
          <w:lang w:val="es-ES"/>
        </w:rPr>
      </w:pPr>
      <w:r w:rsidRPr="00CC790D">
        <w:rPr>
          <w:rFonts w:ascii="Verdana" w:hAnsi="Verdana"/>
          <w:sz w:val="20"/>
          <w:szCs w:val="20"/>
          <w:lang w:val="es-ES"/>
        </w:rPr>
        <w:t>Facilidad de financiamiento a instituciones de banca múltiple garantizada con créditos a corporativos, para el financiamiento de las MIPYME. El financiamiento se dará a plazos de entre 18y 24 meses con un costo igual al objetivo de la tasa de interés interbancaria a un día. El monto previsto será de hasta 100 mil mdp y podrá ajustarse.</w:t>
      </w:r>
    </w:p>
    <w:p w:rsidRPr="00CC790D" w:rsidR="00F41985" w:rsidP="002E403C" w:rsidRDefault="00F41985" w14:paraId="2CF723FF" w14:textId="48432A10">
      <w:pPr>
        <w:jc w:val="both"/>
        <w:rPr>
          <w:rFonts w:ascii="Verdana" w:hAnsi="Verdana"/>
          <w:sz w:val="20"/>
          <w:szCs w:val="20"/>
          <w:lang w:val="es-ES"/>
        </w:rPr>
      </w:pPr>
      <w:r w:rsidRPr="00CC790D">
        <w:rPr>
          <w:rFonts w:ascii="Verdana" w:hAnsi="Verdana"/>
          <w:sz w:val="20"/>
          <w:szCs w:val="20"/>
          <w:lang w:val="es-ES"/>
        </w:rPr>
        <w:t xml:space="preserve">Además, </w:t>
      </w:r>
      <w:r w:rsidR="00EA2130">
        <w:rPr>
          <w:rFonts w:ascii="Verdana" w:hAnsi="Verdana"/>
          <w:sz w:val="20"/>
          <w:szCs w:val="20"/>
          <w:lang w:val="es-ES"/>
        </w:rPr>
        <w:t>el</w:t>
      </w:r>
      <w:r w:rsidRPr="00CC790D">
        <w:rPr>
          <w:rFonts w:ascii="Verdana" w:hAnsi="Verdana"/>
          <w:sz w:val="20"/>
          <w:szCs w:val="20"/>
          <w:lang w:val="es-ES"/>
        </w:rPr>
        <w:t xml:space="preserve"> Ban</w:t>
      </w:r>
      <w:r w:rsidR="00EA2130">
        <w:rPr>
          <w:rFonts w:ascii="Verdana" w:hAnsi="Verdana"/>
          <w:sz w:val="20"/>
          <w:szCs w:val="20"/>
          <w:lang w:val="es-ES"/>
        </w:rPr>
        <w:t>co de Mé</w:t>
      </w:r>
      <w:r w:rsidRPr="00CC790D">
        <w:rPr>
          <w:rFonts w:ascii="Verdana" w:hAnsi="Verdana"/>
          <w:sz w:val="20"/>
          <w:szCs w:val="20"/>
          <w:lang w:val="es-ES"/>
        </w:rPr>
        <w:t>xico disminuyó en 150 puntos base su tasa de referencia desde el 13 de febrero, para ubicarla en 5.50%, el menor nivel desde 2016</w:t>
      </w:r>
      <w:r w:rsidRPr="00CC790D" w:rsidR="000D66B3">
        <w:rPr>
          <w:rFonts w:ascii="Verdana" w:hAnsi="Verdana"/>
          <w:sz w:val="20"/>
          <w:szCs w:val="20"/>
          <w:lang w:val="es-ES"/>
        </w:rPr>
        <w:t>.</w:t>
      </w:r>
    </w:p>
    <w:p w:rsidRPr="00CC790D" w:rsidR="00F41985" w:rsidP="002E403C" w:rsidRDefault="00243061" w14:paraId="409359BF" w14:textId="3BA6FA18">
      <w:pPr>
        <w:jc w:val="both"/>
        <w:rPr>
          <w:rFonts w:ascii="Verdana" w:hAnsi="Verdana"/>
          <w:sz w:val="20"/>
          <w:szCs w:val="20"/>
          <w:lang w:val="es-ES"/>
        </w:rPr>
      </w:pPr>
      <w:r w:rsidRPr="00CC790D">
        <w:rPr>
          <w:rFonts w:ascii="Verdana" w:hAnsi="Verdana"/>
          <w:sz w:val="20"/>
          <w:szCs w:val="20"/>
          <w:lang w:val="es-ES"/>
        </w:rPr>
        <w:t xml:space="preserve">La </w:t>
      </w:r>
      <w:r w:rsidRPr="00CC790D">
        <w:rPr>
          <w:rFonts w:ascii="Verdana" w:hAnsi="Verdana"/>
          <w:b/>
          <w:bCs/>
          <w:sz w:val="20"/>
          <w:szCs w:val="20"/>
          <w:lang w:val="es-ES"/>
        </w:rPr>
        <w:t>SHCP en coordinación con la CNBV</w:t>
      </w:r>
      <w:r w:rsidRPr="00CC790D">
        <w:rPr>
          <w:rFonts w:ascii="Verdana" w:hAnsi="Verdana"/>
          <w:sz w:val="20"/>
          <w:szCs w:val="20"/>
          <w:lang w:val="es-ES"/>
        </w:rPr>
        <w:t xml:space="preserve">, emitió un apoyo que permite a las empresas diferir parcial o totalmente los pagos de capital e intereses hasta por cuatro meses, con posibilidad de extenderlo </w:t>
      </w:r>
      <w:r w:rsidRPr="00CC790D" w:rsidR="00062E1A">
        <w:rPr>
          <w:rFonts w:ascii="Verdana" w:hAnsi="Verdana"/>
          <w:sz w:val="20"/>
          <w:szCs w:val="20"/>
          <w:lang w:val="es-ES"/>
        </w:rPr>
        <w:t>hasta</w:t>
      </w:r>
      <w:r w:rsidRPr="00CC790D">
        <w:rPr>
          <w:rFonts w:ascii="Verdana" w:hAnsi="Verdana"/>
          <w:sz w:val="20"/>
          <w:szCs w:val="20"/>
          <w:lang w:val="es-ES"/>
        </w:rPr>
        <w:t xml:space="preserve"> dos meses más, sin ningún tipo de penalización. Esto con el objetivo de disminuir la carga financiera de las empresas.</w:t>
      </w:r>
    </w:p>
    <w:p w:rsidRPr="00CC790D" w:rsidR="00821784" w:rsidP="002E403C" w:rsidRDefault="00243061" w14:paraId="5BEF7BBA" w14:textId="297BA12D">
      <w:pPr>
        <w:jc w:val="both"/>
        <w:rPr>
          <w:rFonts w:ascii="Verdana" w:hAnsi="Verdana"/>
          <w:sz w:val="20"/>
          <w:szCs w:val="20"/>
          <w:lang w:val="es-ES"/>
        </w:rPr>
      </w:pPr>
      <w:r w:rsidRPr="00CC790D">
        <w:rPr>
          <w:rFonts w:ascii="Verdana" w:hAnsi="Verdana"/>
          <w:sz w:val="20"/>
          <w:szCs w:val="20"/>
          <w:lang w:val="es-ES"/>
        </w:rPr>
        <w:t>E</w:t>
      </w:r>
      <w:r w:rsidRPr="00CC790D" w:rsidR="00821784">
        <w:rPr>
          <w:rFonts w:ascii="Verdana" w:hAnsi="Verdana"/>
          <w:sz w:val="20"/>
          <w:szCs w:val="20"/>
          <w:lang w:val="es-ES"/>
        </w:rPr>
        <w:t>l</w:t>
      </w:r>
      <w:r w:rsidRPr="00CC790D" w:rsidR="00821784">
        <w:rPr>
          <w:rFonts w:ascii="Verdana" w:hAnsi="Verdana"/>
          <w:b/>
          <w:bCs/>
          <w:sz w:val="20"/>
          <w:szCs w:val="20"/>
          <w:lang w:val="es-ES"/>
        </w:rPr>
        <w:t xml:space="preserve"> sector privado</w:t>
      </w:r>
      <w:r w:rsidRPr="00CC790D" w:rsidR="00821784">
        <w:rPr>
          <w:rFonts w:ascii="Verdana" w:hAnsi="Verdana"/>
          <w:sz w:val="20"/>
          <w:szCs w:val="20"/>
          <w:lang w:val="es-ES"/>
        </w:rPr>
        <w:t xml:space="preserve"> ha sido </w:t>
      </w:r>
      <w:r w:rsidRPr="00CC790D" w:rsidR="006518BB">
        <w:rPr>
          <w:rFonts w:ascii="Verdana" w:hAnsi="Verdana"/>
          <w:sz w:val="20"/>
          <w:szCs w:val="20"/>
          <w:lang w:val="es-ES"/>
        </w:rPr>
        <w:t>muy activo en promover apoyos y tomar medidas dirigidas a las MIPYME a través de las distintas agrupaciones y asociaciones empresariales</w:t>
      </w:r>
      <w:r w:rsidRPr="00CC790D" w:rsidR="00F41985">
        <w:rPr>
          <w:rFonts w:ascii="Verdana" w:hAnsi="Verdana"/>
          <w:sz w:val="20"/>
          <w:szCs w:val="20"/>
          <w:lang w:val="es-ES"/>
        </w:rPr>
        <w:t xml:space="preserve"> de las diversas áreas económicas del país.</w:t>
      </w:r>
    </w:p>
    <w:p w:rsidRPr="00CC790D" w:rsidR="00CD3433" w:rsidP="002E403C" w:rsidRDefault="000D66B3" w14:paraId="376149D6" w14:textId="320E0A3A">
      <w:pPr>
        <w:jc w:val="both"/>
        <w:rPr>
          <w:rFonts w:ascii="Verdana" w:hAnsi="Verdana"/>
          <w:sz w:val="20"/>
          <w:szCs w:val="20"/>
          <w:lang w:val="es-ES"/>
        </w:rPr>
      </w:pPr>
      <w:r w:rsidRPr="00CC790D">
        <w:rPr>
          <w:rFonts w:ascii="Verdana" w:hAnsi="Verdana"/>
          <w:sz w:val="20"/>
          <w:szCs w:val="20"/>
          <w:lang w:val="es-ES"/>
        </w:rPr>
        <w:t>En particular el Consejo Coordinador Empresarial (CCE), anunció un</w:t>
      </w:r>
      <w:r w:rsidRPr="00CC790D" w:rsidR="00BD0AA9">
        <w:rPr>
          <w:rFonts w:ascii="Verdana" w:hAnsi="Verdana"/>
          <w:sz w:val="20"/>
          <w:szCs w:val="20"/>
          <w:lang w:val="es-ES"/>
        </w:rPr>
        <w:t>a iniciativa</w:t>
      </w:r>
      <w:r w:rsidRPr="00CC790D">
        <w:rPr>
          <w:rFonts w:ascii="Verdana" w:hAnsi="Verdana"/>
          <w:sz w:val="20"/>
          <w:szCs w:val="20"/>
          <w:lang w:val="es-ES"/>
        </w:rPr>
        <w:t xml:space="preserve"> para </w:t>
      </w:r>
      <w:r w:rsidRPr="00CC790D" w:rsidR="00BD0AA9">
        <w:rPr>
          <w:rFonts w:ascii="Verdana" w:hAnsi="Verdana"/>
          <w:sz w:val="20"/>
          <w:szCs w:val="20"/>
          <w:lang w:val="es-ES"/>
        </w:rPr>
        <w:t>dotar liquidez</w:t>
      </w:r>
      <w:r w:rsidRPr="00CC790D">
        <w:rPr>
          <w:rFonts w:ascii="Verdana" w:hAnsi="Verdana"/>
          <w:sz w:val="20"/>
          <w:szCs w:val="20"/>
          <w:lang w:val="es-ES"/>
        </w:rPr>
        <w:t xml:space="preserve"> las MIPYME</w:t>
      </w:r>
      <w:r w:rsidRPr="00CC790D" w:rsidR="00BD0AA9">
        <w:rPr>
          <w:rFonts w:ascii="Verdana" w:hAnsi="Verdana"/>
          <w:sz w:val="20"/>
          <w:szCs w:val="20"/>
          <w:lang w:val="es-ES"/>
        </w:rPr>
        <w:t xml:space="preserve"> desde el sector privado, cuyas principales medidas abarcan:</w:t>
      </w:r>
    </w:p>
    <w:p w:rsidRPr="00CC790D" w:rsidR="00BD0AA9" w:rsidP="002E403C" w:rsidRDefault="00BD0AA9" w14:paraId="582BD371" w14:textId="1A879ECD">
      <w:pPr>
        <w:pStyle w:val="ListParagraph"/>
        <w:numPr>
          <w:ilvl w:val="0"/>
          <w:numId w:val="10"/>
        </w:numPr>
        <w:jc w:val="both"/>
        <w:rPr>
          <w:rFonts w:ascii="Verdana" w:hAnsi="Verdana"/>
          <w:sz w:val="20"/>
          <w:szCs w:val="20"/>
          <w:lang w:val="es-ES"/>
        </w:rPr>
      </w:pPr>
      <w:r w:rsidRPr="00CC790D">
        <w:rPr>
          <w:rFonts w:ascii="Verdana" w:hAnsi="Verdana"/>
          <w:sz w:val="20"/>
          <w:szCs w:val="20"/>
          <w:lang w:val="es-ES"/>
        </w:rPr>
        <w:t>Apoyos económicos entre privados. Apoyo a proveedores mediante pago a no más de 30 días, independientemente del contrato o acuerdo existente.</w:t>
      </w:r>
    </w:p>
    <w:p w:rsidRPr="00CC790D" w:rsidR="00BD0AA9" w:rsidP="002E403C" w:rsidRDefault="00BD0AA9" w14:paraId="5FE3E3DB" w14:textId="45B20787">
      <w:pPr>
        <w:pStyle w:val="ListParagraph"/>
        <w:numPr>
          <w:ilvl w:val="0"/>
          <w:numId w:val="10"/>
        </w:numPr>
        <w:jc w:val="both"/>
        <w:rPr>
          <w:rFonts w:ascii="Verdana" w:hAnsi="Verdana"/>
          <w:sz w:val="20"/>
          <w:szCs w:val="20"/>
          <w:lang w:val="es-ES"/>
        </w:rPr>
      </w:pPr>
      <w:r w:rsidRPr="00CC790D">
        <w:rPr>
          <w:rFonts w:ascii="Verdana" w:hAnsi="Verdana"/>
          <w:sz w:val="20"/>
          <w:szCs w:val="20"/>
          <w:lang w:val="es-ES"/>
        </w:rPr>
        <w:t>Adopta una MIPYME. Apoyos directos de tipo salarial o de recursos.</w:t>
      </w:r>
    </w:p>
    <w:p w:rsidRPr="00CC790D" w:rsidR="00BD0AA9" w:rsidP="002E403C" w:rsidRDefault="00BD0AA9" w14:paraId="59D7A4E7" w14:textId="726A5C52">
      <w:pPr>
        <w:pStyle w:val="ListParagraph"/>
        <w:numPr>
          <w:ilvl w:val="0"/>
          <w:numId w:val="10"/>
        </w:numPr>
        <w:jc w:val="both"/>
        <w:rPr>
          <w:rFonts w:ascii="Verdana" w:hAnsi="Verdana"/>
          <w:sz w:val="20"/>
          <w:szCs w:val="20"/>
          <w:lang w:val="es-ES"/>
        </w:rPr>
      </w:pPr>
      <w:r w:rsidRPr="00CC790D">
        <w:rPr>
          <w:rFonts w:ascii="Verdana" w:hAnsi="Verdana"/>
          <w:sz w:val="20"/>
          <w:szCs w:val="20"/>
          <w:lang w:val="es-ES"/>
        </w:rPr>
        <w:t>Compras adelantadas.</w:t>
      </w:r>
    </w:p>
    <w:p w:rsidRPr="00CC790D" w:rsidR="00BD0AA9" w:rsidP="002E403C" w:rsidRDefault="00BD0AA9" w14:paraId="7564ACFF" w14:textId="65094529">
      <w:pPr>
        <w:pStyle w:val="ListParagraph"/>
        <w:numPr>
          <w:ilvl w:val="0"/>
          <w:numId w:val="10"/>
        </w:numPr>
        <w:jc w:val="both"/>
        <w:rPr>
          <w:rFonts w:ascii="Verdana" w:hAnsi="Verdana"/>
          <w:sz w:val="20"/>
          <w:szCs w:val="20"/>
          <w:lang w:val="es-ES"/>
        </w:rPr>
      </w:pPr>
      <w:r w:rsidRPr="00CC790D">
        <w:rPr>
          <w:rFonts w:ascii="Verdana" w:hAnsi="Verdana"/>
          <w:sz w:val="20"/>
          <w:szCs w:val="20"/>
          <w:lang w:val="es-ES"/>
        </w:rPr>
        <w:t>Factoraje</w:t>
      </w:r>
    </w:p>
    <w:p w:rsidRPr="00CC790D" w:rsidR="00BD0AA9" w:rsidP="002E403C" w:rsidRDefault="00BD0AA9" w14:paraId="2FAF217E" w14:textId="6603A955">
      <w:pPr>
        <w:pStyle w:val="ListParagraph"/>
        <w:numPr>
          <w:ilvl w:val="0"/>
          <w:numId w:val="10"/>
        </w:numPr>
        <w:jc w:val="both"/>
        <w:rPr>
          <w:rFonts w:ascii="Verdana" w:hAnsi="Verdana"/>
          <w:sz w:val="20"/>
          <w:szCs w:val="20"/>
          <w:lang w:val="es-ES"/>
        </w:rPr>
      </w:pPr>
      <w:r w:rsidRPr="00CC790D">
        <w:rPr>
          <w:rFonts w:ascii="Verdana" w:hAnsi="Verdana"/>
          <w:sz w:val="20"/>
          <w:szCs w:val="20"/>
          <w:lang w:val="es-ES"/>
        </w:rPr>
        <w:t>No penalización contractual entre particulares.</w:t>
      </w:r>
    </w:p>
    <w:p w:rsidRPr="00CC790D" w:rsidR="00FB77F2" w:rsidP="002E403C" w:rsidRDefault="00FB77F2" w14:paraId="3CE7E0E5" w14:textId="53B17BBB">
      <w:pPr>
        <w:jc w:val="both"/>
        <w:rPr>
          <w:rFonts w:ascii="Verdana" w:hAnsi="Verdana"/>
          <w:sz w:val="20"/>
          <w:szCs w:val="20"/>
          <w:lang w:val="es-ES"/>
        </w:rPr>
      </w:pPr>
      <w:r w:rsidRPr="00CC790D">
        <w:rPr>
          <w:rFonts w:ascii="Verdana" w:hAnsi="Verdana"/>
          <w:sz w:val="20"/>
          <w:szCs w:val="20"/>
          <w:lang w:val="es-ES"/>
        </w:rPr>
        <w:t>Por último</w:t>
      </w:r>
      <w:r w:rsidRPr="00CC790D" w:rsidR="00BD0AA9">
        <w:rPr>
          <w:rFonts w:ascii="Verdana" w:hAnsi="Verdana"/>
          <w:sz w:val="20"/>
          <w:szCs w:val="20"/>
          <w:lang w:val="es-ES"/>
        </w:rPr>
        <w:t xml:space="preserve">, </w:t>
      </w:r>
      <w:r w:rsidRPr="00CC790D" w:rsidR="00243061">
        <w:rPr>
          <w:rFonts w:ascii="Verdana" w:hAnsi="Verdana"/>
          <w:sz w:val="20"/>
          <w:szCs w:val="20"/>
          <w:lang w:val="es-ES"/>
        </w:rPr>
        <w:t xml:space="preserve">destaca la </w:t>
      </w:r>
      <w:r w:rsidRPr="00CC790D">
        <w:rPr>
          <w:rFonts w:ascii="Verdana" w:hAnsi="Verdana"/>
          <w:sz w:val="20"/>
          <w:szCs w:val="20"/>
          <w:lang w:val="es-ES"/>
        </w:rPr>
        <w:t xml:space="preserve">iniciativa llevada a cabo por el </w:t>
      </w:r>
      <w:r w:rsidRPr="00CC790D">
        <w:rPr>
          <w:rFonts w:ascii="Verdana" w:hAnsi="Verdana"/>
          <w:b/>
          <w:bCs/>
          <w:sz w:val="20"/>
          <w:szCs w:val="20"/>
          <w:lang w:val="es-ES"/>
        </w:rPr>
        <w:t>CCE en conjunto con el BID Invest</w:t>
      </w:r>
      <w:r w:rsidRPr="00CC790D">
        <w:rPr>
          <w:rFonts w:ascii="Verdana" w:hAnsi="Verdana"/>
          <w:sz w:val="20"/>
          <w:szCs w:val="20"/>
          <w:lang w:val="es-ES"/>
        </w:rPr>
        <w:t xml:space="preserve"> para apoyar hasta 30 mil MIPYME mediante el otorgamiento de créditos por un monto total de hasta 12</w:t>
      </w:r>
      <w:r w:rsidRPr="00CC790D" w:rsidR="00243061">
        <w:rPr>
          <w:rFonts w:ascii="Verdana" w:hAnsi="Verdana"/>
          <w:sz w:val="20"/>
          <w:szCs w:val="20"/>
          <w:lang w:val="es-ES"/>
        </w:rPr>
        <w:t xml:space="preserve"> </w:t>
      </w:r>
      <w:r w:rsidRPr="00CC790D">
        <w:rPr>
          <w:rFonts w:ascii="Verdana" w:hAnsi="Verdana"/>
          <w:sz w:val="20"/>
          <w:szCs w:val="20"/>
          <w:lang w:val="es-ES"/>
        </w:rPr>
        <w:t>mil millones de dólares. Los apoyos se basan en el financiamiento a través de factoraje inverso.</w:t>
      </w:r>
    </w:p>
    <w:sectPr w:rsidRPr="00CC790D" w:rsidR="00FB77F2">
      <w:footerReference w:type="default" r:id="rId26"/>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D6EC8" w:rsidP="00F7113D" w:rsidRDefault="007D6EC8" w14:paraId="56CB1BB1" w14:textId="77777777">
      <w:pPr>
        <w:spacing w:after="0" w:line="240" w:lineRule="auto"/>
      </w:pPr>
      <w:r>
        <w:separator/>
      </w:r>
    </w:p>
  </w:endnote>
  <w:endnote w:type="continuationSeparator" w:id="0">
    <w:p w:rsidR="007D6EC8" w:rsidP="00F7113D" w:rsidRDefault="007D6EC8" w14:paraId="11EF9CB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8209152"/>
      <w:docPartObj>
        <w:docPartGallery w:val="Page Numbers (Bottom of Page)"/>
        <w:docPartUnique/>
      </w:docPartObj>
    </w:sdtPr>
    <w:sdtEndPr>
      <w:rPr>
        <w:noProof/>
      </w:rPr>
    </w:sdtEndPr>
    <w:sdtContent>
      <w:p w:rsidR="0004681F" w:rsidRDefault="0004681F" w14:paraId="2F9AE5B6" w14:textId="02448D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4681F" w:rsidRDefault="0004681F" w14:paraId="61DA50F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D6EC8" w:rsidP="00F7113D" w:rsidRDefault="007D6EC8" w14:paraId="50218EA3" w14:textId="77777777">
      <w:pPr>
        <w:spacing w:after="0" w:line="240" w:lineRule="auto"/>
      </w:pPr>
      <w:r>
        <w:separator/>
      </w:r>
    </w:p>
  </w:footnote>
  <w:footnote w:type="continuationSeparator" w:id="0">
    <w:p w:rsidR="007D6EC8" w:rsidP="00F7113D" w:rsidRDefault="007D6EC8" w14:paraId="2407201A" w14:textId="77777777">
      <w:pPr>
        <w:spacing w:after="0" w:line="240" w:lineRule="auto"/>
      </w:pPr>
      <w:r>
        <w:continuationSeparator/>
      </w:r>
    </w:p>
  </w:footnote>
  <w:footnote w:id="1">
    <w:p w:rsidRPr="00BE1BE6" w:rsidR="00173FFA" w:rsidRDefault="00173FFA" w14:paraId="55AC9393" w14:textId="08182170">
      <w:pPr>
        <w:pStyle w:val="FootnoteText"/>
        <w:rPr>
          <w:rFonts w:ascii="Verdana" w:hAnsi="Verdana"/>
          <w:sz w:val="16"/>
          <w:szCs w:val="16"/>
          <w:lang w:val="es-MX"/>
        </w:rPr>
      </w:pPr>
      <w:r w:rsidRPr="00BE1BE6">
        <w:rPr>
          <w:rStyle w:val="FootnoteReference"/>
          <w:rFonts w:ascii="Verdana" w:hAnsi="Verdana"/>
          <w:sz w:val="16"/>
          <w:szCs w:val="16"/>
        </w:rPr>
        <w:footnoteRef/>
      </w:r>
      <w:r w:rsidRPr="00062E1A">
        <w:rPr>
          <w:rFonts w:ascii="Verdana" w:hAnsi="Verdana"/>
          <w:sz w:val="16"/>
          <w:szCs w:val="16"/>
          <w:lang w:val="es-ES_tradnl"/>
        </w:rPr>
        <w:t xml:space="preserve"> Acuerdo por el que se establece la estratificación de las micro, pequeñas y medianas empresas. Publicado en el </w:t>
      </w:r>
      <w:r w:rsidRPr="00BE1BE6">
        <w:rPr>
          <w:rFonts w:ascii="Verdana" w:hAnsi="Verdana"/>
          <w:sz w:val="16"/>
          <w:szCs w:val="16"/>
          <w:lang w:val="es-MX"/>
        </w:rPr>
        <w:t xml:space="preserve">Diario Oficial de la Federación el 30 de junio de 2009. Secretaría de Economía. </w:t>
      </w:r>
    </w:p>
  </w:footnote>
  <w:footnote w:id="2">
    <w:p w:rsidRPr="00C3502A" w:rsidR="00173FFA" w:rsidP="007410F4" w:rsidRDefault="00173FFA" w14:paraId="6AC5E51C" w14:textId="4571F36E">
      <w:pPr>
        <w:pStyle w:val="FootnoteText"/>
        <w:jc w:val="both"/>
        <w:rPr>
          <w:rFonts w:ascii="Verdana" w:hAnsi="Verdana"/>
          <w:sz w:val="16"/>
          <w:szCs w:val="16"/>
          <w:lang w:val="es-MX"/>
        </w:rPr>
      </w:pPr>
      <w:r w:rsidRPr="00C3502A">
        <w:rPr>
          <w:rStyle w:val="FootnoteReference"/>
          <w:rFonts w:ascii="Verdana" w:hAnsi="Verdana"/>
          <w:sz w:val="16"/>
          <w:szCs w:val="16"/>
        </w:rPr>
        <w:footnoteRef/>
      </w:r>
      <w:r w:rsidRPr="00062E1A">
        <w:rPr>
          <w:rFonts w:ascii="Verdana" w:hAnsi="Verdana"/>
          <w:sz w:val="16"/>
          <w:szCs w:val="16"/>
          <w:lang w:val="es-ES_tradnl"/>
        </w:rPr>
        <w:t xml:space="preserve"> </w:t>
      </w:r>
      <w:r w:rsidRPr="00C3502A">
        <w:rPr>
          <w:rFonts w:ascii="Verdana" w:hAnsi="Verdana"/>
          <w:sz w:val="16"/>
          <w:szCs w:val="16"/>
          <w:lang w:val="es-PE"/>
        </w:rPr>
        <w:t xml:space="preserve">Incluye </w:t>
      </w:r>
      <w:r w:rsidRPr="000016BD" w:rsidR="000016BD">
        <w:rPr>
          <w:rFonts w:ascii="Verdana" w:hAnsi="Verdana"/>
          <w:sz w:val="16"/>
          <w:szCs w:val="16"/>
          <w:lang w:val="es-PE"/>
        </w:rPr>
        <w:t>todos los servicios del sector privado, clasificados en los siguientes sectores de servicios del SCIAN 2018: 51 Información en medios masivos; 53 Servicios inmobiliarios y de alquiler de bienes muebles e intangibles; 54 Servicios profesionales, científicos y técnicos; 55 Corporativos; 56 Servicios de apoyo a los negocios y manejo de residuos, y servicios de remediación; 61 Servicios educativos; 62 Servicios de salud y de asistencia social; 71 Servicios de esparcimiento culturales y deportivos, y otros servicios recreativos; 72 Servicios de alojamiento temporal y de preparación de alimentos y bebidas; 81 Otros servicios excepto actividades gubernamentales</w:t>
      </w:r>
      <w:r w:rsidRPr="00C3502A">
        <w:rPr>
          <w:rFonts w:ascii="Verdana" w:hAnsi="Verdana"/>
          <w:sz w:val="16"/>
          <w:szCs w:val="16"/>
          <w:lang w:val="es-PE"/>
        </w:rPr>
        <w:t>.</w:t>
      </w:r>
    </w:p>
  </w:footnote>
  <w:footnote w:id="3">
    <w:p w:rsidRPr="00C3502A" w:rsidR="00173FFA" w:rsidP="007410F4" w:rsidRDefault="00173FFA" w14:paraId="2A710E55" w14:textId="77777777">
      <w:pPr>
        <w:pStyle w:val="FootnoteText"/>
        <w:jc w:val="both"/>
        <w:rPr>
          <w:rFonts w:ascii="Verdana" w:hAnsi="Verdana"/>
          <w:sz w:val="16"/>
          <w:szCs w:val="16"/>
          <w:lang w:val="es-MX"/>
        </w:rPr>
      </w:pPr>
      <w:r w:rsidRPr="00C3502A">
        <w:rPr>
          <w:rStyle w:val="FootnoteReference"/>
          <w:rFonts w:ascii="Verdana" w:hAnsi="Verdana"/>
          <w:sz w:val="16"/>
          <w:szCs w:val="16"/>
        </w:rPr>
        <w:footnoteRef/>
      </w:r>
      <w:r w:rsidRPr="00062E1A">
        <w:rPr>
          <w:rFonts w:ascii="Verdana" w:hAnsi="Verdana"/>
          <w:sz w:val="16"/>
          <w:szCs w:val="16"/>
          <w:lang w:val="es-ES_tradnl"/>
        </w:rPr>
        <w:t xml:space="preserve"> </w:t>
      </w:r>
      <w:r w:rsidRPr="00C3502A">
        <w:rPr>
          <w:rFonts w:ascii="Verdana" w:hAnsi="Verdana"/>
          <w:sz w:val="16"/>
          <w:szCs w:val="16"/>
          <w:lang w:val="es-PE"/>
        </w:rPr>
        <w:t>Incluye las actividades de Pesca y acuicultura, y Servicios relacionados con las actividades agropecuarias y forestales (1125,1141 y 115); 21 Minería; 22 Generación, transmisión, distribución y comercialización de energía eléctrica, suministro de agua y de gas natural por ductos al consumidor final; 23 Construcción; 48-49 Transportes, correos y almacenamiento, y 52 Servicios financieros y de seguros.</w:t>
      </w:r>
    </w:p>
  </w:footnote>
  <w:footnote w:id="4">
    <w:p w:rsidRPr="00B755CB" w:rsidR="007E141D" w:rsidP="007E141D" w:rsidRDefault="007E141D" w14:paraId="5181D8A8" w14:textId="77777777">
      <w:pPr>
        <w:pStyle w:val="FootnoteText"/>
        <w:rPr>
          <w:lang w:val="es-MX"/>
        </w:rPr>
      </w:pPr>
      <w:r>
        <w:rPr>
          <w:rStyle w:val="FootnoteReference"/>
        </w:rPr>
        <w:footnoteRef/>
      </w:r>
      <w:r w:rsidRPr="007410F4">
        <w:rPr>
          <w:lang w:val="es-ES_tradnl"/>
        </w:rPr>
        <w:t xml:space="preserve"> </w:t>
      </w:r>
      <w:r>
        <w:rPr>
          <w:lang w:val="es-MX"/>
        </w:rPr>
        <w:t>Indicadores Básicos de Créditos a las Pequeñas y Medianas Empresas (PYMES). Banco de México. 2018.</w:t>
      </w:r>
    </w:p>
  </w:footnote>
  <w:footnote w:id="5">
    <w:p w:rsidRPr="005922BE" w:rsidR="00173FFA" w:rsidP="005922BE" w:rsidRDefault="00173FFA" w14:paraId="0A15511E" w14:textId="61B9D4C6">
      <w:pPr>
        <w:pStyle w:val="FootnoteText"/>
        <w:rPr>
          <w:lang w:val="es-MX"/>
        </w:rPr>
      </w:pPr>
      <w:r>
        <w:rPr>
          <w:rStyle w:val="FootnoteReference"/>
        </w:rPr>
        <w:footnoteRef/>
      </w:r>
      <w:r w:rsidRPr="00062E1A">
        <w:rPr>
          <w:lang w:val="es-ES_tradnl"/>
        </w:rPr>
        <w:t xml:space="preserve"> </w:t>
      </w:r>
      <w:r>
        <w:rPr>
          <w:lang w:val="es-PE"/>
        </w:rPr>
        <w:t>Encuesta Nacional sobre Productividad y Competitividad de las Micro, Pequeñas y Medianas Empresas 2018, elaborada por el INEGI.</w:t>
      </w:r>
    </w:p>
  </w:footnote>
  <w:footnote w:id="6">
    <w:p w:rsidRPr="00635F18" w:rsidR="00F926EC" w:rsidRDefault="00F926EC" w14:paraId="7D6EA110" w14:textId="3770FFA1">
      <w:pPr>
        <w:pStyle w:val="FootnoteText"/>
      </w:pPr>
      <w:r>
        <w:rPr>
          <w:rStyle w:val="FootnoteReference"/>
        </w:rPr>
        <w:footnoteRef/>
      </w:r>
      <w:r w:rsidRPr="00062E1A">
        <w:t xml:space="preserve"> “How are small businesses adjusting to covid-19? Early evidence from a survey”, nber working paper series, No. 26989, NBER. </w:t>
      </w:r>
      <w:r w:rsidRPr="00635F18">
        <w:t>Bartik, A. et al. (2020).</w:t>
      </w:r>
    </w:p>
  </w:footnote>
  <w:footnote w:id="7">
    <w:p w:rsidRPr="004B7A68" w:rsidR="00173FFA" w:rsidRDefault="00173FFA" w14:paraId="319F444F" w14:textId="1C7D6FE5">
      <w:pPr>
        <w:pStyle w:val="FootnoteText"/>
        <w:rPr>
          <w:lang w:val="es-MX"/>
        </w:rPr>
      </w:pPr>
      <w:r>
        <w:rPr>
          <w:rStyle w:val="FootnoteReference"/>
        </w:rPr>
        <w:footnoteRef/>
      </w:r>
      <w:r>
        <w:t xml:space="preserve"> </w:t>
      </w:r>
      <w:r w:rsidRPr="00062E1A" w:rsidR="00E558BC">
        <w:t xml:space="preserve">Statistical Insights: Small, Medium and Vulnerable. </w:t>
      </w:r>
      <w:r w:rsidR="00E558BC">
        <w:rPr>
          <w:lang w:val="es-MX"/>
        </w:rPr>
        <w:t>April, 2020. OECD.</w:t>
      </w:r>
    </w:p>
  </w:footnote>
  <w:footnote w:id="8">
    <w:p w:rsidRPr="007410F4" w:rsidR="00075C03" w:rsidRDefault="00075C03" w14:paraId="2CBA13CA" w14:textId="41AC20E4">
      <w:pPr>
        <w:pStyle w:val="FootnoteText"/>
        <w:rPr>
          <w:lang w:val="es-MX"/>
        </w:rPr>
      </w:pPr>
      <w:r>
        <w:rPr>
          <w:rStyle w:val="FootnoteReference"/>
        </w:rPr>
        <w:footnoteRef/>
      </w:r>
      <w:r w:rsidRPr="007410F4">
        <w:rPr>
          <w:lang w:val="es-ES_tradnl"/>
        </w:rPr>
        <w:t xml:space="preserve"> </w:t>
      </w:r>
      <w:r>
        <w:rPr>
          <w:lang w:val="es-MX"/>
        </w:rPr>
        <w:t>Precriterios Generales de Política Económica 2021. Secretaría de Hacienda y Crédito Público.</w:t>
      </w:r>
    </w:p>
  </w:footnote>
  <w:footnote w:id="9">
    <w:p w:rsidRPr="007410F4" w:rsidR="00075C03" w:rsidRDefault="00075C03" w14:paraId="0E68359D" w14:textId="0B3FCAAE">
      <w:pPr>
        <w:pStyle w:val="FootnoteText"/>
        <w:rPr>
          <w:lang w:val="es-MX"/>
        </w:rPr>
      </w:pPr>
      <w:r>
        <w:rPr>
          <w:rStyle w:val="FootnoteReference"/>
        </w:rPr>
        <w:footnoteRef/>
      </w:r>
      <w:r w:rsidRPr="007410F4">
        <w:rPr>
          <w:lang w:val="es-ES_tradnl"/>
        </w:rPr>
        <w:t xml:space="preserve"> </w:t>
      </w:r>
      <w:r>
        <w:rPr>
          <w:lang w:val="es-MX"/>
        </w:rPr>
        <w:t>Condiciones de operación temporales para el financiamiento FIRA durante la contingencia por COVID19. FIRA.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72F7C"/>
    <w:multiLevelType w:val="hybridMultilevel"/>
    <w:tmpl w:val="EAE4D78E"/>
    <w:lvl w:ilvl="0" w:tplc="080A0001">
      <w:start w:val="1"/>
      <w:numFmt w:val="bullet"/>
      <w:lvlText w:val=""/>
      <w:lvlJc w:val="left"/>
      <w:pPr>
        <w:ind w:left="720" w:hanging="360"/>
      </w:pPr>
      <w:rPr>
        <w:rFonts w:hint="default" w:ascii="Symbol" w:hAnsi="Symbol"/>
      </w:rPr>
    </w:lvl>
    <w:lvl w:ilvl="1" w:tplc="080A0003">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 w15:restartNumberingAfterBreak="0">
    <w:nsid w:val="04264A7F"/>
    <w:multiLevelType w:val="hybridMultilevel"/>
    <w:tmpl w:val="636C94D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164290"/>
    <w:multiLevelType w:val="hybridMultilevel"/>
    <w:tmpl w:val="99EA199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35B40FE"/>
    <w:multiLevelType w:val="hybridMultilevel"/>
    <w:tmpl w:val="413615C4"/>
    <w:lvl w:ilvl="0" w:tplc="080A0001">
      <w:start w:val="1"/>
      <w:numFmt w:val="bullet"/>
      <w:lvlText w:val=""/>
      <w:lvlJc w:val="left"/>
      <w:pPr>
        <w:ind w:left="720" w:hanging="360"/>
      </w:pPr>
      <w:rPr>
        <w:rFonts w:hint="default" w:ascii="Symbol" w:hAnsi="Symbol"/>
      </w:rPr>
    </w:lvl>
    <w:lvl w:ilvl="1" w:tplc="080A0003">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4" w15:restartNumberingAfterBreak="0">
    <w:nsid w:val="153A0506"/>
    <w:multiLevelType w:val="hybridMultilevel"/>
    <w:tmpl w:val="DF44EA4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5" w15:restartNumberingAfterBreak="0">
    <w:nsid w:val="1CC6023F"/>
    <w:multiLevelType w:val="hybridMultilevel"/>
    <w:tmpl w:val="603066C2"/>
    <w:lvl w:ilvl="0" w:tplc="080A0001">
      <w:start w:val="1"/>
      <w:numFmt w:val="bullet"/>
      <w:lvlText w:val=""/>
      <w:lvlJc w:val="left"/>
      <w:pPr>
        <w:ind w:left="720" w:hanging="360"/>
      </w:pPr>
      <w:rPr>
        <w:rFonts w:hint="default" w:ascii="Symbol" w:hAnsi="Symbo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3540AE0"/>
    <w:multiLevelType w:val="hybridMultilevel"/>
    <w:tmpl w:val="BBC890D6"/>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7" w15:restartNumberingAfterBreak="0">
    <w:nsid w:val="245B6668"/>
    <w:multiLevelType w:val="hybridMultilevel"/>
    <w:tmpl w:val="05F6E66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8" w15:restartNumberingAfterBreak="0">
    <w:nsid w:val="2B661C3F"/>
    <w:multiLevelType w:val="hybridMultilevel"/>
    <w:tmpl w:val="8C5C38D2"/>
    <w:lvl w:ilvl="0" w:tplc="080A0001">
      <w:start w:val="1"/>
      <w:numFmt w:val="bullet"/>
      <w:lvlText w:val=""/>
      <w:lvlJc w:val="left"/>
      <w:pPr>
        <w:ind w:left="720" w:hanging="360"/>
      </w:pPr>
      <w:rPr>
        <w:rFonts w:hint="default" w:ascii="Symbol" w:hAnsi="Symbol" w:cs="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cs="Wingdings"/>
      </w:rPr>
    </w:lvl>
    <w:lvl w:ilvl="3" w:tplc="080A0001" w:tentative="1">
      <w:start w:val="1"/>
      <w:numFmt w:val="bullet"/>
      <w:lvlText w:val=""/>
      <w:lvlJc w:val="left"/>
      <w:pPr>
        <w:ind w:left="2880" w:hanging="360"/>
      </w:pPr>
      <w:rPr>
        <w:rFonts w:hint="default" w:ascii="Symbol" w:hAnsi="Symbol" w:cs="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cs="Wingdings"/>
      </w:rPr>
    </w:lvl>
    <w:lvl w:ilvl="6" w:tplc="080A0001" w:tentative="1">
      <w:start w:val="1"/>
      <w:numFmt w:val="bullet"/>
      <w:lvlText w:val=""/>
      <w:lvlJc w:val="left"/>
      <w:pPr>
        <w:ind w:left="5040" w:hanging="360"/>
      </w:pPr>
      <w:rPr>
        <w:rFonts w:hint="default" w:ascii="Symbol" w:hAnsi="Symbol" w:cs="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cs="Wingdings"/>
      </w:rPr>
    </w:lvl>
  </w:abstractNum>
  <w:abstractNum w:abstractNumId="9" w15:restartNumberingAfterBreak="0">
    <w:nsid w:val="32E71135"/>
    <w:multiLevelType w:val="hybridMultilevel"/>
    <w:tmpl w:val="D696F7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2C6622F"/>
    <w:multiLevelType w:val="hybridMultilevel"/>
    <w:tmpl w:val="BEC6646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1" w15:restartNumberingAfterBreak="0">
    <w:nsid w:val="42EA4E8E"/>
    <w:multiLevelType w:val="hybridMultilevel"/>
    <w:tmpl w:val="8E6C5EA0"/>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2861B26"/>
    <w:multiLevelType w:val="hybridMultilevel"/>
    <w:tmpl w:val="7E24CB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7563BCA"/>
    <w:multiLevelType w:val="hybridMultilevel"/>
    <w:tmpl w:val="CE08803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66C6193B"/>
    <w:multiLevelType w:val="hybridMultilevel"/>
    <w:tmpl w:val="4ED6FABC"/>
    <w:lvl w:ilvl="0" w:tplc="080A0001">
      <w:start w:val="1"/>
      <w:numFmt w:val="bullet"/>
      <w:lvlText w:val=""/>
      <w:lvlJc w:val="left"/>
      <w:pPr>
        <w:ind w:left="720" w:hanging="360"/>
      </w:pPr>
      <w:rPr>
        <w:rFonts w:hint="default" w:ascii="Symbol" w:hAnsi="Symbol"/>
      </w:rPr>
    </w:lvl>
    <w:lvl w:ilvl="1" w:tplc="080A0003">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5" w15:restartNumberingAfterBreak="0">
    <w:nsid w:val="6A0632F3"/>
    <w:multiLevelType w:val="hybridMultilevel"/>
    <w:tmpl w:val="84B0CD0C"/>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6" w15:restartNumberingAfterBreak="0">
    <w:nsid w:val="70CE60B1"/>
    <w:multiLevelType w:val="hybridMultilevel"/>
    <w:tmpl w:val="81E46AA2"/>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7" w15:restartNumberingAfterBreak="0">
    <w:nsid w:val="74693C16"/>
    <w:multiLevelType w:val="hybridMultilevel"/>
    <w:tmpl w:val="B6A6730E"/>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8" w15:restartNumberingAfterBreak="0">
    <w:nsid w:val="7E43139A"/>
    <w:multiLevelType w:val="hybridMultilevel"/>
    <w:tmpl w:val="579C940E"/>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9" w15:restartNumberingAfterBreak="0">
    <w:nsid w:val="7E4D179E"/>
    <w:multiLevelType w:val="hybridMultilevel"/>
    <w:tmpl w:val="A11412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2"/>
  </w:num>
  <w:num w:numId="2">
    <w:abstractNumId w:val="2"/>
  </w:num>
  <w:num w:numId="3">
    <w:abstractNumId w:val="13"/>
  </w:num>
  <w:num w:numId="4">
    <w:abstractNumId w:val="19"/>
  </w:num>
  <w:num w:numId="5">
    <w:abstractNumId w:val="18"/>
  </w:num>
  <w:num w:numId="6">
    <w:abstractNumId w:val="3"/>
  </w:num>
  <w:num w:numId="7">
    <w:abstractNumId w:val="6"/>
  </w:num>
  <w:num w:numId="8">
    <w:abstractNumId w:val="15"/>
  </w:num>
  <w:num w:numId="9">
    <w:abstractNumId w:val="10"/>
  </w:num>
  <w:num w:numId="10">
    <w:abstractNumId w:val="7"/>
  </w:num>
  <w:num w:numId="11">
    <w:abstractNumId w:val="5"/>
  </w:num>
  <w:num w:numId="12">
    <w:abstractNumId w:val="9"/>
  </w:num>
  <w:num w:numId="13">
    <w:abstractNumId w:val="8"/>
  </w:num>
  <w:num w:numId="14">
    <w:abstractNumId w:val="11"/>
  </w:num>
  <w:num w:numId="15">
    <w:abstractNumId w:val="0"/>
  </w:num>
  <w:num w:numId="16">
    <w:abstractNumId w:val="16"/>
  </w:num>
  <w:num w:numId="17">
    <w:abstractNumId w:val="17"/>
  </w:num>
  <w:num w:numId="18">
    <w:abstractNumId w:val="14"/>
  </w:num>
  <w:num w:numId="19">
    <w:abstractNumId w:val="1"/>
  </w:num>
  <w:num w:numId="20">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7BE"/>
    <w:rsid w:val="00000BF0"/>
    <w:rsid w:val="000016BD"/>
    <w:rsid w:val="00001F43"/>
    <w:rsid w:val="00007782"/>
    <w:rsid w:val="00016B74"/>
    <w:rsid w:val="0004047B"/>
    <w:rsid w:val="00041CF3"/>
    <w:rsid w:val="0004681F"/>
    <w:rsid w:val="000567A1"/>
    <w:rsid w:val="00056F46"/>
    <w:rsid w:val="00062E1A"/>
    <w:rsid w:val="00065C19"/>
    <w:rsid w:val="00075C03"/>
    <w:rsid w:val="000802A0"/>
    <w:rsid w:val="000A4184"/>
    <w:rsid w:val="000A6306"/>
    <w:rsid w:val="000A785E"/>
    <w:rsid w:val="000C1843"/>
    <w:rsid w:val="000C7894"/>
    <w:rsid w:val="000D0828"/>
    <w:rsid w:val="000D1DA1"/>
    <w:rsid w:val="000D60F8"/>
    <w:rsid w:val="000D6430"/>
    <w:rsid w:val="000D66B3"/>
    <w:rsid w:val="000E10F2"/>
    <w:rsid w:val="000F12F6"/>
    <w:rsid w:val="000F2A5D"/>
    <w:rsid w:val="001257B9"/>
    <w:rsid w:val="00135701"/>
    <w:rsid w:val="001438B9"/>
    <w:rsid w:val="001451DC"/>
    <w:rsid w:val="0015120D"/>
    <w:rsid w:val="00155D74"/>
    <w:rsid w:val="00160C42"/>
    <w:rsid w:val="00161E1F"/>
    <w:rsid w:val="00173FFA"/>
    <w:rsid w:val="00176473"/>
    <w:rsid w:val="001D56E5"/>
    <w:rsid w:val="001F10A4"/>
    <w:rsid w:val="001F77BE"/>
    <w:rsid w:val="00213E8C"/>
    <w:rsid w:val="00215D80"/>
    <w:rsid w:val="0022054B"/>
    <w:rsid w:val="00243061"/>
    <w:rsid w:val="00262173"/>
    <w:rsid w:val="00264093"/>
    <w:rsid w:val="0026697A"/>
    <w:rsid w:val="002700BD"/>
    <w:rsid w:val="00273320"/>
    <w:rsid w:val="00282BF6"/>
    <w:rsid w:val="002A6E88"/>
    <w:rsid w:val="002C4748"/>
    <w:rsid w:val="002D649B"/>
    <w:rsid w:val="002E403C"/>
    <w:rsid w:val="00304BCC"/>
    <w:rsid w:val="0030531A"/>
    <w:rsid w:val="003247A5"/>
    <w:rsid w:val="0032788E"/>
    <w:rsid w:val="00343018"/>
    <w:rsid w:val="00343F4B"/>
    <w:rsid w:val="00387542"/>
    <w:rsid w:val="00394D0B"/>
    <w:rsid w:val="00396BF6"/>
    <w:rsid w:val="003D64A4"/>
    <w:rsid w:val="003E57B9"/>
    <w:rsid w:val="003F08E2"/>
    <w:rsid w:val="003F618A"/>
    <w:rsid w:val="003F648F"/>
    <w:rsid w:val="00436D5C"/>
    <w:rsid w:val="00451049"/>
    <w:rsid w:val="004527BD"/>
    <w:rsid w:val="0046635E"/>
    <w:rsid w:val="00475136"/>
    <w:rsid w:val="00482EB7"/>
    <w:rsid w:val="004910CB"/>
    <w:rsid w:val="004937CF"/>
    <w:rsid w:val="004A495A"/>
    <w:rsid w:val="004B779D"/>
    <w:rsid w:val="004B7A68"/>
    <w:rsid w:val="004C0190"/>
    <w:rsid w:val="004C3F56"/>
    <w:rsid w:val="004C6E7E"/>
    <w:rsid w:val="004C7320"/>
    <w:rsid w:val="004D1887"/>
    <w:rsid w:val="004D6CD7"/>
    <w:rsid w:val="00503B39"/>
    <w:rsid w:val="00503F2D"/>
    <w:rsid w:val="00527CCD"/>
    <w:rsid w:val="0053532C"/>
    <w:rsid w:val="0056057A"/>
    <w:rsid w:val="005709DC"/>
    <w:rsid w:val="0058142C"/>
    <w:rsid w:val="005922BE"/>
    <w:rsid w:val="005A45AB"/>
    <w:rsid w:val="005A5B03"/>
    <w:rsid w:val="005C17EB"/>
    <w:rsid w:val="005D0D3F"/>
    <w:rsid w:val="005E2AD5"/>
    <w:rsid w:val="00635F18"/>
    <w:rsid w:val="006366F8"/>
    <w:rsid w:val="0064384B"/>
    <w:rsid w:val="006518BB"/>
    <w:rsid w:val="0065774C"/>
    <w:rsid w:val="00660A3C"/>
    <w:rsid w:val="006640BD"/>
    <w:rsid w:val="00665534"/>
    <w:rsid w:val="006659BC"/>
    <w:rsid w:val="006665BE"/>
    <w:rsid w:val="00670B54"/>
    <w:rsid w:val="00687772"/>
    <w:rsid w:val="006B392B"/>
    <w:rsid w:val="006D58AA"/>
    <w:rsid w:val="0072200E"/>
    <w:rsid w:val="00723CF2"/>
    <w:rsid w:val="0074089E"/>
    <w:rsid w:val="007410F4"/>
    <w:rsid w:val="00747993"/>
    <w:rsid w:val="00750816"/>
    <w:rsid w:val="00760752"/>
    <w:rsid w:val="00765872"/>
    <w:rsid w:val="00771AB2"/>
    <w:rsid w:val="00774929"/>
    <w:rsid w:val="00784666"/>
    <w:rsid w:val="00787ED7"/>
    <w:rsid w:val="007B3ECB"/>
    <w:rsid w:val="007C56EC"/>
    <w:rsid w:val="007D6EC8"/>
    <w:rsid w:val="007E141D"/>
    <w:rsid w:val="007E38CE"/>
    <w:rsid w:val="007E4E27"/>
    <w:rsid w:val="007E776D"/>
    <w:rsid w:val="0081008E"/>
    <w:rsid w:val="008108D2"/>
    <w:rsid w:val="00812851"/>
    <w:rsid w:val="00820301"/>
    <w:rsid w:val="00821784"/>
    <w:rsid w:val="00824737"/>
    <w:rsid w:val="00827895"/>
    <w:rsid w:val="00861473"/>
    <w:rsid w:val="00876DDA"/>
    <w:rsid w:val="00885CB0"/>
    <w:rsid w:val="00890F04"/>
    <w:rsid w:val="00895FF5"/>
    <w:rsid w:val="008E2D61"/>
    <w:rsid w:val="008F4904"/>
    <w:rsid w:val="009164ED"/>
    <w:rsid w:val="00930762"/>
    <w:rsid w:val="0093211F"/>
    <w:rsid w:val="0093227D"/>
    <w:rsid w:val="00935E75"/>
    <w:rsid w:val="00941B33"/>
    <w:rsid w:val="00941D67"/>
    <w:rsid w:val="00994A22"/>
    <w:rsid w:val="00996F8B"/>
    <w:rsid w:val="009B5EAB"/>
    <w:rsid w:val="009B7918"/>
    <w:rsid w:val="009C1CFC"/>
    <w:rsid w:val="009C321E"/>
    <w:rsid w:val="009E5C76"/>
    <w:rsid w:val="009F7333"/>
    <w:rsid w:val="00A01C63"/>
    <w:rsid w:val="00A03EEF"/>
    <w:rsid w:val="00A17C31"/>
    <w:rsid w:val="00A37EEA"/>
    <w:rsid w:val="00A478F4"/>
    <w:rsid w:val="00A66F66"/>
    <w:rsid w:val="00AB1D1C"/>
    <w:rsid w:val="00AB6B08"/>
    <w:rsid w:val="00AB7540"/>
    <w:rsid w:val="00AB7E22"/>
    <w:rsid w:val="00AD5111"/>
    <w:rsid w:val="00AD7B75"/>
    <w:rsid w:val="00AE197C"/>
    <w:rsid w:val="00B151B7"/>
    <w:rsid w:val="00B170AB"/>
    <w:rsid w:val="00B549E8"/>
    <w:rsid w:val="00B84251"/>
    <w:rsid w:val="00B91771"/>
    <w:rsid w:val="00B93329"/>
    <w:rsid w:val="00B95E9B"/>
    <w:rsid w:val="00BA37FD"/>
    <w:rsid w:val="00BA5748"/>
    <w:rsid w:val="00BA7E2A"/>
    <w:rsid w:val="00BB4DE0"/>
    <w:rsid w:val="00BB5302"/>
    <w:rsid w:val="00BC4EED"/>
    <w:rsid w:val="00BD0AA9"/>
    <w:rsid w:val="00BE1BE6"/>
    <w:rsid w:val="00BE4E6E"/>
    <w:rsid w:val="00BE5549"/>
    <w:rsid w:val="00BE6CE7"/>
    <w:rsid w:val="00C05741"/>
    <w:rsid w:val="00C2431A"/>
    <w:rsid w:val="00C26303"/>
    <w:rsid w:val="00C3502A"/>
    <w:rsid w:val="00C448E1"/>
    <w:rsid w:val="00C46F8D"/>
    <w:rsid w:val="00C619C5"/>
    <w:rsid w:val="00C727CF"/>
    <w:rsid w:val="00C80B78"/>
    <w:rsid w:val="00CA6AE9"/>
    <w:rsid w:val="00CA6B88"/>
    <w:rsid w:val="00CB2181"/>
    <w:rsid w:val="00CC790D"/>
    <w:rsid w:val="00CD3433"/>
    <w:rsid w:val="00CE2721"/>
    <w:rsid w:val="00CE2CE7"/>
    <w:rsid w:val="00CF688D"/>
    <w:rsid w:val="00D22517"/>
    <w:rsid w:val="00D234DB"/>
    <w:rsid w:val="00D52B0F"/>
    <w:rsid w:val="00D57E9C"/>
    <w:rsid w:val="00D654ED"/>
    <w:rsid w:val="00D67CC5"/>
    <w:rsid w:val="00D70375"/>
    <w:rsid w:val="00D8492E"/>
    <w:rsid w:val="00D862C8"/>
    <w:rsid w:val="00D976BF"/>
    <w:rsid w:val="00DA05DC"/>
    <w:rsid w:val="00DC2983"/>
    <w:rsid w:val="00DD0E87"/>
    <w:rsid w:val="00DE3970"/>
    <w:rsid w:val="00E07697"/>
    <w:rsid w:val="00E3232B"/>
    <w:rsid w:val="00E558BC"/>
    <w:rsid w:val="00E60A77"/>
    <w:rsid w:val="00E7028A"/>
    <w:rsid w:val="00E738C1"/>
    <w:rsid w:val="00E74D24"/>
    <w:rsid w:val="00E83D0E"/>
    <w:rsid w:val="00E964E6"/>
    <w:rsid w:val="00EA1B62"/>
    <w:rsid w:val="00EA1D4E"/>
    <w:rsid w:val="00EA2130"/>
    <w:rsid w:val="00EA4C7B"/>
    <w:rsid w:val="00EA5E12"/>
    <w:rsid w:val="00F03CDD"/>
    <w:rsid w:val="00F14E4E"/>
    <w:rsid w:val="00F41985"/>
    <w:rsid w:val="00F60C45"/>
    <w:rsid w:val="00F6581A"/>
    <w:rsid w:val="00F7113D"/>
    <w:rsid w:val="00F85D67"/>
    <w:rsid w:val="00F926EC"/>
    <w:rsid w:val="00FB5107"/>
    <w:rsid w:val="00FB64D3"/>
    <w:rsid w:val="00FB77F2"/>
    <w:rsid w:val="00FE3554"/>
    <w:rsid w:val="00FE6574"/>
    <w:rsid w:val="00FF1424"/>
    <w:rsid w:val="094D1DB9"/>
    <w:rsid w:val="59831537"/>
    <w:rsid w:val="605124B4"/>
    <w:rsid w:val="7CE80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4CCB1"/>
  <w15:chartTrackingRefBased/>
  <w15:docId w15:val="{41CD4D48-69AC-43E8-932A-46572BA13E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F77BE"/>
    <w:pPr>
      <w:ind w:left="720"/>
      <w:contextualSpacing/>
    </w:pPr>
  </w:style>
  <w:style w:type="character" w:styleId="Hyperlink">
    <w:name w:val="Hyperlink"/>
    <w:basedOn w:val="DefaultParagraphFont"/>
    <w:uiPriority w:val="99"/>
    <w:semiHidden/>
    <w:unhideWhenUsed/>
    <w:rsid w:val="00771AB2"/>
    <w:rPr>
      <w:color w:val="0000FF"/>
      <w:u w:val="single"/>
    </w:rPr>
  </w:style>
  <w:style w:type="paragraph" w:styleId="FootnoteText">
    <w:name w:val="footnote text"/>
    <w:basedOn w:val="Normal"/>
    <w:link w:val="FootnoteTextChar"/>
    <w:uiPriority w:val="99"/>
    <w:semiHidden/>
    <w:unhideWhenUsed/>
    <w:rsid w:val="00F7113D"/>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F7113D"/>
    <w:rPr>
      <w:sz w:val="20"/>
      <w:szCs w:val="20"/>
    </w:rPr>
  </w:style>
  <w:style w:type="character" w:styleId="FootnoteReference">
    <w:name w:val="footnote reference"/>
    <w:basedOn w:val="DefaultParagraphFont"/>
    <w:uiPriority w:val="99"/>
    <w:semiHidden/>
    <w:unhideWhenUsed/>
    <w:rsid w:val="00F7113D"/>
    <w:rPr>
      <w:vertAlign w:val="superscript"/>
    </w:rPr>
  </w:style>
  <w:style w:type="paragraph" w:styleId="text-justify" w:customStyle="1">
    <w:name w:val="text-justify"/>
    <w:basedOn w:val="Normal"/>
    <w:rsid w:val="000D6430"/>
    <w:pPr>
      <w:spacing w:before="100" w:beforeAutospacing="1" w:after="100" w:afterAutospacing="1" w:line="240" w:lineRule="auto"/>
    </w:pPr>
    <w:rPr>
      <w:rFonts w:ascii="Times New Roman" w:hAnsi="Times New Roman" w:eastAsia="Times New Roman" w:cs="Times New Roman"/>
      <w:sz w:val="24"/>
      <w:szCs w:val="24"/>
      <w:lang w:val="es-MX" w:eastAsia="es-MX"/>
    </w:rPr>
  </w:style>
  <w:style w:type="character" w:styleId="Emphasis">
    <w:name w:val="Emphasis"/>
    <w:basedOn w:val="DefaultParagraphFont"/>
    <w:uiPriority w:val="20"/>
    <w:qFormat/>
    <w:rsid w:val="000D6430"/>
    <w:rPr>
      <w:i/>
      <w:iCs/>
    </w:rPr>
  </w:style>
  <w:style w:type="character" w:styleId="CommentReference">
    <w:name w:val="annotation reference"/>
    <w:basedOn w:val="DefaultParagraphFont"/>
    <w:uiPriority w:val="99"/>
    <w:semiHidden/>
    <w:unhideWhenUsed/>
    <w:rsid w:val="00635F18"/>
    <w:rPr>
      <w:sz w:val="16"/>
      <w:szCs w:val="16"/>
    </w:rPr>
  </w:style>
  <w:style w:type="paragraph" w:styleId="CommentText">
    <w:name w:val="annotation text"/>
    <w:basedOn w:val="Normal"/>
    <w:link w:val="CommentTextChar"/>
    <w:uiPriority w:val="99"/>
    <w:semiHidden/>
    <w:unhideWhenUsed/>
    <w:rsid w:val="00635F18"/>
    <w:pPr>
      <w:spacing w:line="240" w:lineRule="auto"/>
    </w:pPr>
    <w:rPr>
      <w:sz w:val="20"/>
      <w:szCs w:val="20"/>
    </w:rPr>
  </w:style>
  <w:style w:type="character" w:styleId="CommentTextChar" w:customStyle="1">
    <w:name w:val="Comment Text Char"/>
    <w:basedOn w:val="DefaultParagraphFont"/>
    <w:link w:val="CommentText"/>
    <w:uiPriority w:val="99"/>
    <w:semiHidden/>
    <w:rsid w:val="00635F18"/>
    <w:rPr>
      <w:sz w:val="20"/>
      <w:szCs w:val="20"/>
    </w:rPr>
  </w:style>
  <w:style w:type="paragraph" w:styleId="CommentSubject">
    <w:name w:val="annotation subject"/>
    <w:basedOn w:val="CommentText"/>
    <w:next w:val="CommentText"/>
    <w:link w:val="CommentSubjectChar"/>
    <w:uiPriority w:val="99"/>
    <w:semiHidden/>
    <w:unhideWhenUsed/>
    <w:rsid w:val="00635F18"/>
    <w:rPr>
      <w:b/>
      <w:bCs/>
    </w:rPr>
  </w:style>
  <w:style w:type="character" w:styleId="CommentSubjectChar" w:customStyle="1">
    <w:name w:val="Comment Subject Char"/>
    <w:basedOn w:val="CommentTextChar"/>
    <w:link w:val="CommentSubject"/>
    <w:uiPriority w:val="99"/>
    <w:semiHidden/>
    <w:rsid w:val="00635F18"/>
    <w:rPr>
      <w:b/>
      <w:bCs/>
      <w:sz w:val="20"/>
      <w:szCs w:val="20"/>
    </w:rPr>
  </w:style>
  <w:style w:type="paragraph" w:styleId="BalloonText">
    <w:name w:val="Balloon Text"/>
    <w:basedOn w:val="Normal"/>
    <w:link w:val="BalloonTextChar"/>
    <w:uiPriority w:val="99"/>
    <w:semiHidden/>
    <w:unhideWhenUsed/>
    <w:rsid w:val="00635F18"/>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35F18"/>
    <w:rPr>
      <w:rFonts w:ascii="Segoe UI" w:hAnsi="Segoe UI" w:cs="Segoe UI"/>
      <w:sz w:val="18"/>
      <w:szCs w:val="18"/>
    </w:rPr>
  </w:style>
  <w:style w:type="paragraph" w:styleId="Header">
    <w:name w:val="header"/>
    <w:basedOn w:val="Normal"/>
    <w:link w:val="HeaderChar"/>
    <w:uiPriority w:val="99"/>
    <w:unhideWhenUsed/>
    <w:rsid w:val="0004681F"/>
    <w:pPr>
      <w:tabs>
        <w:tab w:val="center" w:pos="4680"/>
        <w:tab w:val="right" w:pos="9360"/>
      </w:tabs>
      <w:spacing w:after="0" w:line="240" w:lineRule="auto"/>
    </w:pPr>
  </w:style>
  <w:style w:type="character" w:styleId="HeaderChar" w:customStyle="1">
    <w:name w:val="Header Char"/>
    <w:basedOn w:val="DefaultParagraphFont"/>
    <w:link w:val="Header"/>
    <w:uiPriority w:val="99"/>
    <w:rsid w:val="0004681F"/>
  </w:style>
  <w:style w:type="paragraph" w:styleId="Footer">
    <w:name w:val="footer"/>
    <w:basedOn w:val="Normal"/>
    <w:link w:val="FooterChar"/>
    <w:uiPriority w:val="99"/>
    <w:unhideWhenUsed/>
    <w:rsid w:val="0004681F"/>
    <w:pPr>
      <w:tabs>
        <w:tab w:val="center" w:pos="4680"/>
        <w:tab w:val="right" w:pos="9360"/>
      </w:tabs>
      <w:spacing w:after="0" w:line="240" w:lineRule="auto"/>
    </w:pPr>
  </w:style>
  <w:style w:type="character" w:styleId="FooterChar" w:customStyle="1">
    <w:name w:val="Footer Char"/>
    <w:basedOn w:val="DefaultParagraphFont"/>
    <w:link w:val="Footer"/>
    <w:uiPriority w:val="99"/>
    <w:rsid w:val="00046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161698">
      <w:bodyDiv w:val="1"/>
      <w:marLeft w:val="0"/>
      <w:marRight w:val="0"/>
      <w:marTop w:val="0"/>
      <w:marBottom w:val="0"/>
      <w:divBdr>
        <w:top w:val="none" w:sz="0" w:space="0" w:color="auto"/>
        <w:left w:val="none" w:sz="0" w:space="0" w:color="auto"/>
        <w:bottom w:val="none" w:sz="0" w:space="0" w:color="auto"/>
        <w:right w:val="none" w:sz="0" w:space="0" w:color="auto"/>
      </w:divBdr>
    </w:div>
    <w:div w:id="647131161">
      <w:bodyDiv w:val="1"/>
      <w:marLeft w:val="0"/>
      <w:marRight w:val="0"/>
      <w:marTop w:val="0"/>
      <w:marBottom w:val="0"/>
      <w:divBdr>
        <w:top w:val="none" w:sz="0" w:space="0" w:color="auto"/>
        <w:left w:val="none" w:sz="0" w:space="0" w:color="auto"/>
        <w:bottom w:val="none" w:sz="0" w:space="0" w:color="auto"/>
        <w:right w:val="none" w:sz="0" w:space="0" w:color="auto"/>
      </w:divBdr>
    </w:div>
    <w:div w:id="1248269258">
      <w:bodyDiv w:val="1"/>
      <w:marLeft w:val="0"/>
      <w:marRight w:val="0"/>
      <w:marTop w:val="0"/>
      <w:marBottom w:val="0"/>
      <w:divBdr>
        <w:top w:val="none" w:sz="0" w:space="0" w:color="auto"/>
        <w:left w:val="none" w:sz="0" w:space="0" w:color="auto"/>
        <w:bottom w:val="none" w:sz="0" w:space="0" w:color="auto"/>
        <w:right w:val="none" w:sz="0" w:space="0" w:color="auto"/>
      </w:divBdr>
    </w:div>
    <w:div w:id="1336567843">
      <w:bodyDiv w:val="1"/>
      <w:marLeft w:val="0"/>
      <w:marRight w:val="0"/>
      <w:marTop w:val="0"/>
      <w:marBottom w:val="0"/>
      <w:divBdr>
        <w:top w:val="none" w:sz="0" w:space="0" w:color="auto"/>
        <w:left w:val="none" w:sz="0" w:space="0" w:color="auto"/>
        <w:bottom w:val="none" w:sz="0" w:space="0" w:color="auto"/>
        <w:right w:val="none" w:sz="0" w:space="0" w:color="auto"/>
      </w:divBdr>
    </w:div>
    <w:div w:id="1389651716">
      <w:bodyDiv w:val="1"/>
      <w:marLeft w:val="0"/>
      <w:marRight w:val="0"/>
      <w:marTop w:val="0"/>
      <w:marBottom w:val="0"/>
      <w:divBdr>
        <w:top w:val="none" w:sz="0" w:space="0" w:color="auto"/>
        <w:left w:val="none" w:sz="0" w:space="0" w:color="auto"/>
        <w:bottom w:val="none" w:sz="0" w:space="0" w:color="auto"/>
        <w:right w:val="none" w:sz="0" w:space="0" w:color="auto"/>
      </w:divBdr>
    </w:div>
    <w:div w:id="211015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chart" Target="charts/chart3.xml" Id="rId1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chart" Target="charts/chart6.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chart" Target="charts/chart2.xml" Id="rId17" /><Relationship Type="http://schemas.openxmlformats.org/officeDocument/2006/relationships/chart" Target="charts/chart10.xml" Id="rId25" /><Relationship Type="http://schemas.openxmlformats.org/officeDocument/2006/relationships/customXml" Target="../customXml/item2.xml" Id="rId2" /><Relationship Type="http://schemas.openxmlformats.org/officeDocument/2006/relationships/chart" Target="charts/chart5.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hart" Target="charts/chart9.xml" Id="rId24" /><Relationship Type="http://schemas.openxmlformats.org/officeDocument/2006/relationships/customXml" Target="../customXml/item5.xml" Id="rId5" /><Relationship Type="http://schemas.openxmlformats.org/officeDocument/2006/relationships/chart" Target="charts/chart8.xml" Id="rId23" /><Relationship Type="http://schemas.openxmlformats.org/officeDocument/2006/relationships/theme" Target="theme/theme1.xml" Id="rId28" /><Relationship Type="http://schemas.openxmlformats.org/officeDocument/2006/relationships/settings" Target="settings.xml" Id="rId10" /><Relationship Type="http://schemas.openxmlformats.org/officeDocument/2006/relationships/chart" Target="charts/chart4.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chart" Target="charts/chart1.xml" Id="rId14" /><Relationship Type="http://schemas.openxmlformats.org/officeDocument/2006/relationships/chart" Target="charts/chart7.xml" Id="rId22" /><Relationship Type="http://schemas.openxmlformats.org/officeDocument/2006/relationships/fontTable" Target="fontTable.xml" Id="rId27" /><Relationship Type="http://schemas.openxmlformats.org/officeDocument/2006/relationships/image" Target="/media/image3.png" Id="R57b913c00ccb47de" /><Relationship Type="http://schemas.openxmlformats.org/officeDocument/2006/relationships/image" Target="/media/image4.png" Id="R9480ca43c8144de0" /><Relationship Type="http://schemas.openxmlformats.org/officeDocument/2006/relationships/glossaryDocument" Target="/word/glossary/document.xml" Id="R8b77aa30c0d948ae" /></Relationships>
</file>

<file path=word/charts/_rels/chart1.xml.rels><?xml version="1.0" encoding="UTF-8" standalone="yes"?>
<Relationships xmlns="http://schemas.openxmlformats.org/package/2006/relationships"><Relationship Id="rId3" Type="http://schemas.openxmlformats.org/officeDocument/2006/relationships/oleObject" Target="file:///C:\Users\Carlos\Dropbox\GEA%20Infraestructura\BID%20JMG\Perspectiva%20M&#233;xico%20sectorial\Graf_sectoriales.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Carlos\Dropbox\GEA%20Infraestructura\BID%20JMG\PyMEs\Censos%20Economicos%202019\RONACE19_07.xlsx"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Carlos\Dropbox\GEA%20Infraestructura\BID%20JMG\PyMEs\Censos%20Economicos%202019\RONACE19_07.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Carlos\Dropbox\GEA%20Infraestructura\BID%20JMG\PyMEs\Censos%20Economicos%202019\RONACE19_07.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Carlos\Dropbox\GEA%20Infraestructura\BID%20JMG\PyMEs\Censos%20Economicos%202019\RONACE19_07.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Carlos\Dropbox\GEA%20Infraestructura\BID%20JMG\PyMEs\Censos%20Economicos%202019\RONACE19_07.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Carlos\Dropbox\GEA%20Infraestructura\BID%20JMG\PyMEs\Censos%20Economicos%202019\RONACE19_07.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Carlos\Dropbox\GEA%20Infraestructura\BID%20JMG\PyMEs\Censos%20Economicos%202019\RONACE19_07.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Carlos\Dropbox\GEA%20Infraestructura\BID%20JMG\PyMEs\Censos%20Economicos%202019\RONACE19_07.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Carlos\Dropbox\GEA%20Infraestructura\BID%20JMG\PyMEs\Censos%20Economicos%202019\RONACE19_07.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4"/>
          <c:order val="0"/>
          <c:spPr>
            <a:ln w="28575" cap="rnd">
              <a:solidFill>
                <a:schemeClr val="tx1"/>
              </a:solidFill>
              <a:round/>
            </a:ln>
            <a:effectLst/>
          </c:spPr>
          <c:marker>
            <c:symbol val="none"/>
          </c:marker>
          <c:val>
            <c:numRef>
              <c:f>Hoja2!$C$20:$N$20</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mooth val="0"/>
          <c:extLst>
            <c:ext xmlns:c16="http://schemas.microsoft.com/office/drawing/2014/chart" uri="{C3380CC4-5D6E-409C-BE32-E72D297353CC}">
              <c16:uniqueId val="{00000000-A189-274F-8AD6-F0AECB0D9FB6}"/>
            </c:ext>
          </c:extLst>
        </c:ser>
        <c:ser>
          <c:idx val="0"/>
          <c:order val="1"/>
          <c:tx>
            <c:v>PIB nacional</c:v>
          </c:tx>
          <c:spPr>
            <a:ln w="34925" cap="rnd">
              <a:solidFill>
                <a:schemeClr val="accent1"/>
              </a:solidFill>
              <a:round/>
            </a:ln>
            <a:effectLst/>
          </c:spPr>
          <c:marker>
            <c:symbol val="none"/>
          </c:marker>
          <c:dPt>
            <c:idx val="8"/>
            <c:marker>
              <c:symbol val="none"/>
            </c:marker>
            <c:bubble3D val="0"/>
            <c:spPr>
              <a:ln w="34925" cap="rnd">
                <a:solidFill>
                  <a:schemeClr val="accent1"/>
                </a:solidFill>
                <a:prstDash val="dash"/>
                <a:round/>
              </a:ln>
              <a:effectLst/>
            </c:spPr>
            <c:extLst>
              <c:ext xmlns:c16="http://schemas.microsoft.com/office/drawing/2014/chart" uri="{C3380CC4-5D6E-409C-BE32-E72D297353CC}">
                <c16:uniqueId val="{00000002-A189-274F-8AD6-F0AECB0D9FB6}"/>
              </c:ext>
            </c:extLst>
          </c:dPt>
          <c:dPt>
            <c:idx val="9"/>
            <c:marker>
              <c:symbol val="none"/>
            </c:marker>
            <c:bubble3D val="0"/>
            <c:spPr>
              <a:ln w="34925" cap="rnd">
                <a:solidFill>
                  <a:schemeClr val="accent1"/>
                </a:solidFill>
                <a:prstDash val="dash"/>
                <a:round/>
              </a:ln>
              <a:effectLst/>
            </c:spPr>
            <c:extLst>
              <c:ext xmlns:c16="http://schemas.microsoft.com/office/drawing/2014/chart" uri="{C3380CC4-5D6E-409C-BE32-E72D297353CC}">
                <c16:uniqueId val="{00000004-A189-274F-8AD6-F0AECB0D9FB6}"/>
              </c:ext>
            </c:extLst>
          </c:dPt>
          <c:dPt>
            <c:idx val="10"/>
            <c:marker>
              <c:symbol val="none"/>
            </c:marker>
            <c:bubble3D val="0"/>
            <c:spPr>
              <a:ln w="34925" cap="rnd">
                <a:solidFill>
                  <a:schemeClr val="accent1"/>
                </a:solidFill>
                <a:prstDash val="dash"/>
                <a:round/>
              </a:ln>
              <a:effectLst/>
            </c:spPr>
            <c:extLst>
              <c:ext xmlns:c16="http://schemas.microsoft.com/office/drawing/2014/chart" uri="{C3380CC4-5D6E-409C-BE32-E72D297353CC}">
                <c16:uniqueId val="{00000006-A189-274F-8AD6-F0AECB0D9FB6}"/>
              </c:ext>
            </c:extLst>
          </c:dPt>
          <c:dPt>
            <c:idx val="11"/>
            <c:marker>
              <c:symbol val="none"/>
            </c:marker>
            <c:bubble3D val="0"/>
            <c:spPr>
              <a:ln w="34925" cap="rnd">
                <a:solidFill>
                  <a:schemeClr val="accent1"/>
                </a:solidFill>
                <a:prstDash val="dash"/>
                <a:round/>
              </a:ln>
              <a:effectLst/>
            </c:spPr>
            <c:extLst>
              <c:ext xmlns:c16="http://schemas.microsoft.com/office/drawing/2014/chart" uri="{C3380CC4-5D6E-409C-BE32-E72D297353CC}">
                <c16:uniqueId val="{00000008-A189-274F-8AD6-F0AECB0D9FB6}"/>
              </c:ext>
            </c:extLst>
          </c:dPt>
          <c:cat>
            <c:multiLvlStrRef>
              <c:f>Hoja2!$C$3:$N$4</c:f>
              <c:multiLvlStrCache>
                <c:ptCount val="12"/>
                <c:lvl>
                  <c:pt idx="0">
                    <c:v>I</c:v>
                  </c:pt>
                  <c:pt idx="1">
                    <c:v>II</c:v>
                  </c:pt>
                  <c:pt idx="2">
                    <c:v>III</c:v>
                  </c:pt>
                  <c:pt idx="3">
                    <c:v>IV</c:v>
                  </c:pt>
                  <c:pt idx="4">
                    <c:v>I</c:v>
                  </c:pt>
                  <c:pt idx="5">
                    <c:v>II</c:v>
                  </c:pt>
                  <c:pt idx="6">
                    <c:v>III</c:v>
                  </c:pt>
                  <c:pt idx="7">
                    <c:v>IV</c:v>
                  </c:pt>
                  <c:pt idx="8">
                    <c:v>I</c:v>
                  </c:pt>
                  <c:pt idx="9">
                    <c:v>II</c:v>
                  </c:pt>
                  <c:pt idx="10">
                    <c:v>III</c:v>
                  </c:pt>
                  <c:pt idx="11">
                    <c:v>IV</c:v>
                  </c:pt>
                </c:lvl>
                <c:lvl>
                  <c:pt idx="0">
                    <c:v>2018</c:v>
                  </c:pt>
                  <c:pt idx="4">
                    <c:v>2019</c:v>
                  </c:pt>
                  <c:pt idx="8">
                    <c:v>2020</c:v>
                  </c:pt>
                </c:lvl>
              </c:multiLvlStrCache>
            </c:multiLvlStrRef>
          </c:cat>
          <c:val>
            <c:numRef>
              <c:f>Hoja2!$C$5:$N$5</c:f>
              <c:numCache>
                <c:formatCode>0.0</c:formatCode>
                <c:ptCount val="12"/>
                <c:pt idx="0">
                  <c:v>1.5810920562146391</c:v>
                </c:pt>
                <c:pt idx="1">
                  <c:v>3.0412892435250694</c:v>
                </c:pt>
                <c:pt idx="2">
                  <c:v>2.517923159784341</c:v>
                </c:pt>
                <c:pt idx="3">
                  <c:v>1.4213654088604422</c:v>
                </c:pt>
                <c:pt idx="4">
                  <c:v>1.1604265288986726</c:v>
                </c:pt>
                <c:pt idx="5">
                  <c:v>-0.94851598916865232</c:v>
                </c:pt>
                <c:pt idx="6">
                  <c:v>-0.2540303418716916</c:v>
                </c:pt>
                <c:pt idx="7">
                  <c:v>-0.49192558809225684</c:v>
                </c:pt>
                <c:pt idx="8">
                  <c:v>-1.9999999999999907</c:v>
                </c:pt>
                <c:pt idx="9">
                  <c:v>-21.300000000000008</c:v>
                </c:pt>
                <c:pt idx="10">
                  <c:v>-11.400000000000009</c:v>
                </c:pt>
                <c:pt idx="11">
                  <c:v>-0.99999999999997868</c:v>
                </c:pt>
              </c:numCache>
            </c:numRef>
          </c:val>
          <c:smooth val="0"/>
          <c:extLst>
            <c:ext xmlns:c16="http://schemas.microsoft.com/office/drawing/2014/chart" uri="{C3380CC4-5D6E-409C-BE32-E72D297353CC}">
              <c16:uniqueId val="{00000009-A189-274F-8AD6-F0AECB0D9FB6}"/>
            </c:ext>
          </c:extLst>
        </c:ser>
        <c:ser>
          <c:idx val="1"/>
          <c:order val="2"/>
          <c:tx>
            <c:strRef>
              <c:f>Hoja2!$B$6</c:f>
              <c:strCache>
                <c:ptCount val="1"/>
                <c:pt idx="0">
                  <c:v>Agropecuario, Silvicultura y Pesca</c:v>
                </c:pt>
              </c:strCache>
            </c:strRef>
          </c:tx>
          <c:spPr>
            <a:ln w="28575" cap="rnd">
              <a:solidFill>
                <a:srgbClr val="92D050"/>
              </a:solidFill>
              <a:round/>
            </a:ln>
            <a:effectLst/>
          </c:spPr>
          <c:marker>
            <c:symbol val="none"/>
          </c:marker>
          <c:dPt>
            <c:idx val="8"/>
            <c:marker>
              <c:symbol val="none"/>
            </c:marker>
            <c:bubble3D val="0"/>
            <c:spPr>
              <a:ln w="28575" cap="rnd">
                <a:solidFill>
                  <a:srgbClr val="92D050"/>
                </a:solidFill>
                <a:prstDash val="dash"/>
                <a:round/>
              </a:ln>
              <a:effectLst/>
            </c:spPr>
            <c:extLst>
              <c:ext xmlns:c16="http://schemas.microsoft.com/office/drawing/2014/chart" uri="{C3380CC4-5D6E-409C-BE32-E72D297353CC}">
                <c16:uniqueId val="{0000000B-A189-274F-8AD6-F0AECB0D9FB6}"/>
              </c:ext>
            </c:extLst>
          </c:dPt>
          <c:dPt>
            <c:idx val="9"/>
            <c:marker>
              <c:symbol val="none"/>
            </c:marker>
            <c:bubble3D val="0"/>
            <c:spPr>
              <a:ln w="28575" cap="rnd">
                <a:solidFill>
                  <a:srgbClr val="92D050"/>
                </a:solidFill>
                <a:prstDash val="dash"/>
                <a:round/>
              </a:ln>
              <a:effectLst/>
            </c:spPr>
            <c:extLst>
              <c:ext xmlns:c16="http://schemas.microsoft.com/office/drawing/2014/chart" uri="{C3380CC4-5D6E-409C-BE32-E72D297353CC}">
                <c16:uniqueId val="{0000000D-A189-274F-8AD6-F0AECB0D9FB6}"/>
              </c:ext>
            </c:extLst>
          </c:dPt>
          <c:dPt>
            <c:idx val="10"/>
            <c:marker>
              <c:symbol val="none"/>
            </c:marker>
            <c:bubble3D val="0"/>
            <c:spPr>
              <a:ln w="28575" cap="rnd">
                <a:solidFill>
                  <a:srgbClr val="92D050"/>
                </a:solidFill>
                <a:prstDash val="dash"/>
                <a:round/>
              </a:ln>
              <a:effectLst/>
            </c:spPr>
            <c:extLst>
              <c:ext xmlns:c16="http://schemas.microsoft.com/office/drawing/2014/chart" uri="{C3380CC4-5D6E-409C-BE32-E72D297353CC}">
                <c16:uniqueId val="{0000000F-A189-274F-8AD6-F0AECB0D9FB6}"/>
              </c:ext>
            </c:extLst>
          </c:dPt>
          <c:dPt>
            <c:idx val="11"/>
            <c:marker>
              <c:symbol val="none"/>
            </c:marker>
            <c:bubble3D val="0"/>
            <c:spPr>
              <a:ln w="28575" cap="rnd">
                <a:solidFill>
                  <a:srgbClr val="92D050"/>
                </a:solidFill>
                <a:prstDash val="dash"/>
                <a:round/>
              </a:ln>
              <a:effectLst/>
            </c:spPr>
            <c:extLst>
              <c:ext xmlns:c16="http://schemas.microsoft.com/office/drawing/2014/chart" uri="{C3380CC4-5D6E-409C-BE32-E72D297353CC}">
                <c16:uniqueId val="{00000011-A189-274F-8AD6-F0AECB0D9FB6}"/>
              </c:ext>
            </c:extLst>
          </c:dPt>
          <c:cat>
            <c:multiLvlStrRef>
              <c:f>Hoja2!$C$3:$N$4</c:f>
              <c:multiLvlStrCache>
                <c:ptCount val="12"/>
                <c:lvl>
                  <c:pt idx="0">
                    <c:v>I</c:v>
                  </c:pt>
                  <c:pt idx="1">
                    <c:v>II</c:v>
                  </c:pt>
                  <c:pt idx="2">
                    <c:v>III</c:v>
                  </c:pt>
                  <c:pt idx="3">
                    <c:v>IV</c:v>
                  </c:pt>
                  <c:pt idx="4">
                    <c:v>I</c:v>
                  </c:pt>
                  <c:pt idx="5">
                    <c:v>II</c:v>
                  </c:pt>
                  <c:pt idx="6">
                    <c:v>III</c:v>
                  </c:pt>
                  <c:pt idx="7">
                    <c:v>IV</c:v>
                  </c:pt>
                  <c:pt idx="8">
                    <c:v>I</c:v>
                  </c:pt>
                  <c:pt idx="9">
                    <c:v>II</c:v>
                  </c:pt>
                  <c:pt idx="10">
                    <c:v>III</c:v>
                  </c:pt>
                  <c:pt idx="11">
                    <c:v>IV</c:v>
                  </c:pt>
                </c:lvl>
                <c:lvl>
                  <c:pt idx="0">
                    <c:v>2018</c:v>
                  </c:pt>
                  <c:pt idx="4">
                    <c:v>2019</c:v>
                  </c:pt>
                  <c:pt idx="8">
                    <c:v>2020</c:v>
                  </c:pt>
                </c:lvl>
              </c:multiLvlStrCache>
            </c:multiLvlStrRef>
          </c:cat>
          <c:val>
            <c:numRef>
              <c:f>Hoja2!$C$6:$N$6</c:f>
              <c:numCache>
                <c:formatCode>0.0</c:formatCode>
                <c:ptCount val="12"/>
                <c:pt idx="0">
                  <c:v>5.212892807514713</c:v>
                </c:pt>
                <c:pt idx="1">
                  <c:v>2.6675021466284754</c:v>
                </c:pt>
                <c:pt idx="2">
                  <c:v>0.99330374676223077</c:v>
                </c:pt>
                <c:pt idx="3">
                  <c:v>0.89158470248413835</c:v>
                </c:pt>
                <c:pt idx="4">
                  <c:v>1.466921640865082</c:v>
                </c:pt>
                <c:pt idx="5">
                  <c:v>-0.24002290631862655</c:v>
                </c:pt>
                <c:pt idx="6">
                  <c:v>5.3958367329929979</c:v>
                </c:pt>
                <c:pt idx="7">
                  <c:v>1.6168734371588611</c:v>
                </c:pt>
                <c:pt idx="8">
                  <c:v>1.5587003609271344</c:v>
                </c:pt>
                <c:pt idx="9">
                  <c:v>1.2633314698948572</c:v>
                </c:pt>
                <c:pt idx="10">
                  <c:v>2.5273918285442454</c:v>
                </c:pt>
                <c:pt idx="11">
                  <c:v>2.5814426958513215</c:v>
                </c:pt>
              </c:numCache>
            </c:numRef>
          </c:val>
          <c:smooth val="0"/>
          <c:extLst>
            <c:ext xmlns:c16="http://schemas.microsoft.com/office/drawing/2014/chart" uri="{C3380CC4-5D6E-409C-BE32-E72D297353CC}">
              <c16:uniqueId val="{00000012-A189-274F-8AD6-F0AECB0D9FB6}"/>
            </c:ext>
          </c:extLst>
        </c:ser>
        <c:ser>
          <c:idx val="2"/>
          <c:order val="3"/>
          <c:tx>
            <c:v>Industria</c:v>
          </c:tx>
          <c:spPr>
            <a:ln w="28575" cap="rnd">
              <a:solidFill>
                <a:srgbClr val="C00000"/>
              </a:solidFill>
              <a:round/>
            </a:ln>
            <a:effectLst/>
          </c:spPr>
          <c:marker>
            <c:symbol val="none"/>
          </c:marker>
          <c:dPt>
            <c:idx val="8"/>
            <c:marker>
              <c:symbol val="none"/>
            </c:marker>
            <c:bubble3D val="0"/>
            <c:spPr>
              <a:ln w="28575" cap="rnd">
                <a:solidFill>
                  <a:srgbClr val="C00000"/>
                </a:solidFill>
                <a:prstDash val="dash"/>
                <a:round/>
              </a:ln>
              <a:effectLst/>
            </c:spPr>
            <c:extLst>
              <c:ext xmlns:c16="http://schemas.microsoft.com/office/drawing/2014/chart" uri="{C3380CC4-5D6E-409C-BE32-E72D297353CC}">
                <c16:uniqueId val="{00000014-A189-274F-8AD6-F0AECB0D9FB6}"/>
              </c:ext>
            </c:extLst>
          </c:dPt>
          <c:dPt>
            <c:idx val="9"/>
            <c:marker>
              <c:symbol val="none"/>
            </c:marker>
            <c:bubble3D val="0"/>
            <c:spPr>
              <a:ln w="28575" cap="rnd">
                <a:solidFill>
                  <a:srgbClr val="C00000"/>
                </a:solidFill>
                <a:prstDash val="dash"/>
                <a:round/>
              </a:ln>
              <a:effectLst/>
            </c:spPr>
            <c:extLst>
              <c:ext xmlns:c16="http://schemas.microsoft.com/office/drawing/2014/chart" uri="{C3380CC4-5D6E-409C-BE32-E72D297353CC}">
                <c16:uniqueId val="{00000016-A189-274F-8AD6-F0AECB0D9FB6}"/>
              </c:ext>
            </c:extLst>
          </c:dPt>
          <c:dPt>
            <c:idx val="10"/>
            <c:marker>
              <c:symbol val="none"/>
            </c:marker>
            <c:bubble3D val="0"/>
            <c:spPr>
              <a:ln w="28575" cap="rnd">
                <a:solidFill>
                  <a:srgbClr val="C00000"/>
                </a:solidFill>
                <a:prstDash val="dash"/>
                <a:round/>
              </a:ln>
              <a:effectLst/>
            </c:spPr>
            <c:extLst>
              <c:ext xmlns:c16="http://schemas.microsoft.com/office/drawing/2014/chart" uri="{C3380CC4-5D6E-409C-BE32-E72D297353CC}">
                <c16:uniqueId val="{00000018-A189-274F-8AD6-F0AECB0D9FB6}"/>
              </c:ext>
            </c:extLst>
          </c:dPt>
          <c:dPt>
            <c:idx val="11"/>
            <c:marker>
              <c:symbol val="none"/>
            </c:marker>
            <c:bubble3D val="0"/>
            <c:spPr>
              <a:ln w="28575" cap="rnd">
                <a:solidFill>
                  <a:srgbClr val="C00000"/>
                </a:solidFill>
                <a:prstDash val="dash"/>
                <a:round/>
              </a:ln>
              <a:effectLst/>
            </c:spPr>
            <c:extLst>
              <c:ext xmlns:c16="http://schemas.microsoft.com/office/drawing/2014/chart" uri="{C3380CC4-5D6E-409C-BE32-E72D297353CC}">
                <c16:uniqueId val="{0000001A-A189-274F-8AD6-F0AECB0D9FB6}"/>
              </c:ext>
            </c:extLst>
          </c:dPt>
          <c:cat>
            <c:multiLvlStrRef>
              <c:f>Hoja2!$C$3:$N$4</c:f>
              <c:multiLvlStrCache>
                <c:ptCount val="12"/>
                <c:lvl>
                  <c:pt idx="0">
                    <c:v>I</c:v>
                  </c:pt>
                  <c:pt idx="1">
                    <c:v>II</c:v>
                  </c:pt>
                  <c:pt idx="2">
                    <c:v>III</c:v>
                  </c:pt>
                  <c:pt idx="3">
                    <c:v>IV</c:v>
                  </c:pt>
                  <c:pt idx="4">
                    <c:v>I</c:v>
                  </c:pt>
                  <c:pt idx="5">
                    <c:v>II</c:v>
                  </c:pt>
                  <c:pt idx="6">
                    <c:v>III</c:v>
                  </c:pt>
                  <c:pt idx="7">
                    <c:v>IV</c:v>
                  </c:pt>
                  <c:pt idx="8">
                    <c:v>I</c:v>
                  </c:pt>
                  <c:pt idx="9">
                    <c:v>II</c:v>
                  </c:pt>
                  <c:pt idx="10">
                    <c:v>III</c:v>
                  </c:pt>
                  <c:pt idx="11">
                    <c:v>IV</c:v>
                  </c:pt>
                </c:lvl>
                <c:lvl>
                  <c:pt idx="0">
                    <c:v>2018</c:v>
                  </c:pt>
                  <c:pt idx="4">
                    <c:v>2019</c:v>
                  </c:pt>
                  <c:pt idx="8">
                    <c:v>2020</c:v>
                  </c:pt>
                </c:lvl>
              </c:multiLvlStrCache>
            </c:multiLvlStrRef>
          </c:cat>
          <c:val>
            <c:numRef>
              <c:f>Hoja2!$C$7:$N$7</c:f>
              <c:numCache>
                <c:formatCode>0.0</c:formatCode>
                <c:ptCount val="12"/>
                <c:pt idx="0">
                  <c:v>-3.2916676721783666E-2</c:v>
                </c:pt>
                <c:pt idx="1">
                  <c:v>2.2648896850576028</c:v>
                </c:pt>
                <c:pt idx="2">
                  <c:v>1.0289201615747423</c:v>
                </c:pt>
                <c:pt idx="3">
                  <c:v>-1.3517715561025323</c:v>
                </c:pt>
                <c:pt idx="4">
                  <c:v>-0.48423721854677915</c:v>
                </c:pt>
                <c:pt idx="5">
                  <c:v>-3.0104175112160347</c:v>
                </c:pt>
                <c:pt idx="6">
                  <c:v>-1.4591873704653979</c:v>
                </c:pt>
                <c:pt idx="7">
                  <c:v>-2.1045889097811132</c:v>
                </c:pt>
                <c:pt idx="8">
                  <c:v>-2.9807039689006998</c:v>
                </c:pt>
                <c:pt idx="9">
                  <c:v>-17.848125768113622</c:v>
                </c:pt>
                <c:pt idx="10">
                  <c:v>-6.5820369818069153</c:v>
                </c:pt>
                <c:pt idx="11">
                  <c:v>-3.2871814393422127</c:v>
                </c:pt>
              </c:numCache>
            </c:numRef>
          </c:val>
          <c:smooth val="0"/>
          <c:extLst>
            <c:ext xmlns:c16="http://schemas.microsoft.com/office/drawing/2014/chart" uri="{C3380CC4-5D6E-409C-BE32-E72D297353CC}">
              <c16:uniqueId val="{0000001B-A189-274F-8AD6-F0AECB0D9FB6}"/>
            </c:ext>
          </c:extLst>
        </c:ser>
        <c:ser>
          <c:idx val="3"/>
          <c:order val="4"/>
          <c:tx>
            <c:v>Servicios</c:v>
          </c:tx>
          <c:spPr>
            <a:ln w="28575" cap="rnd">
              <a:solidFill>
                <a:schemeClr val="accent4"/>
              </a:solidFill>
              <a:round/>
            </a:ln>
            <a:effectLst/>
          </c:spPr>
          <c:marker>
            <c:symbol val="none"/>
          </c:marker>
          <c:dPt>
            <c:idx val="8"/>
            <c:marker>
              <c:symbol val="none"/>
            </c:marker>
            <c:bubble3D val="0"/>
            <c:spPr>
              <a:ln w="28575" cap="rnd">
                <a:solidFill>
                  <a:schemeClr val="accent4"/>
                </a:solidFill>
                <a:prstDash val="dash"/>
                <a:round/>
              </a:ln>
              <a:effectLst/>
            </c:spPr>
            <c:extLst>
              <c:ext xmlns:c16="http://schemas.microsoft.com/office/drawing/2014/chart" uri="{C3380CC4-5D6E-409C-BE32-E72D297353CC}">
                <c16:uniqueId val="{0000001D-A189-274F-8AD6-F0AECB0D9FB6}"/>
              </c:ext>
            </c:extLst>
          </c:dPt>
          <c:dPt>
            <c:idx val="9"/>
            <c:marker>
              <c:symbol val="none"/>
            </c:marker>
            <c:bubble3D val="0"/>
            <c:spPr>
              <a:ln w="28575" cap="rnd">
                <a:solidFill>
                  <a:schemeClr val="accent4"/>
                </a:solidFill>
                <a:prstDash val="dash"/>
                <a:round/>
              </a:ln>
              <a:effectLst/>
            </c:spPr>
            <c:extLst>
              <c:ext xmlns:c16="http://schemas.microsoft.com/office/drawing/2014/chart" uri="{C3380CC4-5D6E-409C-BE32-E72D297353CC}">
                <c16:uniqueId val="{0000001F-A189-274F-8AD6-F0AECB0D9FB6}"/>
              </c:ext>
            </c:extLst>
          </c:dPt>
          <c:dPt>
            <c:idx val="10"/>
            <c:marker>
              <c:symbol val="none"/>
            </c:marker>
            <c:bubble3D val="0"/>
            <c:spPr>
              <a:ln w="28575" cap="rnd">
                <a:solidFill>
                  <a:schemeClr val="accent4"/>
                </a:solidFill>
                <a:prstDash val="dash"/>
                <a:round/>
              </a:ln>
              <a:effectLst/>
            </c:spPr>
            <c:extLst>
              <c:ext xmlns:c16="http://schemas.microsoft.com/office/drawing/2014/chart" uri="{C3380CC4-5D6E-409C-BE32-E72D297353CC}">
                <c16:uniqueId val="{00000021-A189-274F-8AD6-F0AECB0D9FB6}"/>
              </c:ext>
            </c:extLst>
          </c:dPt>
          <c:dPt>
            <c:idx val="11"/>
            <c:marker>
              <c:symbol val="none"/>
            </c:marker>
            <c:bubble3D val="0"/>
            <c:spPr>
              <a:ln w="28575" cap="rnd">
                <a:solidFill>
                  <a:schemeClr val="accent4"/>
                </a:solidFill>
                <a:prstDash val="dash"/>
                <a:round/>
              </a:ln>
              <a:effectLst/>
            </c:spPr>
            <c:extLst>
              <c:ext xmlns:c16="http://schemas.microsoft.com/office/drawing/2014/chart" uri="{C3380CC4-5D6E-409C-BE32-E72D297353CC}">
                <c16:uniqueId val="{00000023-A189-274F-8AD6-F0AECB0D9FB6}"/>
              </c:ext>
            </c:extLst>
          </c:dPt>
          <c:cat>
            <c:multiLvlStrRef>
              <c:f>Hoja2!$C$3:$N$4</c:f>
              <c:multiLvlStrCache>
                <c:ptCount val="12"/>
                <c:lvl>
                  <c:pt idx="0">
                    <c:v>I</c:v>
                  </c:pt>
                  <c:pt idx="1">
                    <c:v>II</c:v>
                  </c:pt>
                  <c:pt idx="2">
                    <c:v>III</c:v>
                  </c:pt>
                  <c:pt idx="3">
                    <c:v>IV</c:v>
                  </c:pt>
                  <c:pt idx="4">
                    <c:v>I</c:v>
                  </c:pt>
                  <c:pt idx="5">
                    <c:v>II</c:v>
                  </c:pt>
                  <c:pt idx="6">
                    <c:v>III</c:v>
                  </c:pt>
                  <c:pt idx="7">
                    <c:v>IV</c:v>
                  </c:pt>
                  <c:pt idx="8">
                    <c:v>I</c:v>
                  </c:pt>
                  <c:pt idx="9">
                    <c:v>II</c:v>
                  </c:pt>
                  <c:pt idx="10">
                    <c:v>III</c:v>
                  </c:pt>
                  <c:pt idx="11">
                    <c:v>IV</c:v>
                  </c:pt>
                </c:lvl>
                <c:lvl>
                  <c:pt idx="0">
                    <c:v>2018</c:v>
                  </c:pt>
                  <c:pt idx="4">
                    <c:v>2019</c:v>
                  </c:pt>
                  <c:pt idx="8">
                    <c:v>2020</c:v>
                  </c:pt>
                </c:lvl>
              </c:multiLvlStrCache>
            </c:multiLvlStrRef>
          </c:cat>
          <c:val>
            <c:numRef>
              <c:f>Hoja2!$C$12:$N$12</c:f>
              <c:numCache>
                <c:formatCode>0.0</c:formatCode>
                <c:ptCount val="12"/>
                <c:pt idx="0">
                  <c:v>2.1564462032361176</c:v>
                </c:pt>
                <c:pt idx="1">
                  <c:v>3.5034307289853572</c:v>
                </c:pt>
                <c:pt idx="2">
                  <c:v>3.2824765765564701</c:v>
                </c:pt>
                <c:pt idx="3">
                  <c:v>2.6195967659631947</c:v>
                </c:pt>
                <c:pt idx="4">
                  <c:v>1.8596231134953678</c:v>
                </c:pt>
                <c:pt idx="5">
                  <c:v>-0.11671921466483992</c:v>
                </c:pt>
                <c:pt idx="6">
                  <c:v>7.6918217427257574E-2</c:v>
                </c:pt>
                <c:pt idx="7">
                  <c:v>2.8910007763327528E-2</c:v>
                </c:pt>
                <c:pt idx="8">
                  <c:v>-1.8129879488068434</c:v>
                </c:pt>
                <c:pt idx="9">
                  <c:v>-23.967441146891911</c:v>
                </c:pt>
                <c:pt idx="10">
                  <c:v>-14.174465838538907</c:v>
                </c:pt>
                <c:pt idx="11">
                  <c:v>-0.43929282058020602</c:v>
                </c:pt>
              </c:numCache>
            </c:numRef>
          </c:val>
          <c:smooth val="0"/>
          <c:extLst>
            <c:ext xmlns:c16="http://schemas.microsoft.com/office/drawing/2014/chart" uri="{C3380CC4-5D6E-409C-BE32-E72D297353CC}">
              <c16:uniqueId val="{00000024-A189-274F-8AD6-F0AECB0D9FB6}"/>
            </c:ext>
          </c:extLst>
        </c:ser>
        <c:dLbls>
          <c:showLegendKey val="0"/>
          <c:showVal val="0"/>
          <c:showCatName val="0"/>
          <c:showSerName val="0"/>
          <c:showPercent val="0"/>
          <c:showBubbleSize val="0"/>
        </c:dLbls>
        <c:smooth val="0"/>
        <c:axId val="1349073888"/>
        <c:axId val="1903365808"/>
      </c:lineChart>
      <c:catAx>
        <c:axId val="134907388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1"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en-US"/>
          </a:p>
        </c:txPr>
        <c:crossAx val="1903365808"/>
        <c:crosses val="autoZero"/>
        <c:auto val="1"/>
        <c:lblAlgn val="ctr"/>
        <c:lblOffset val="100"/>
        <c:noMultiLvlLbl val="0"/>
      </c:catAx>
      <c:valAx>
        <c:axId val="1903365808"/>
        <c:scaling>
          <c:orientation val="minMax"/>
          <c:max val="7"/>
          <c:min val="-2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1"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en-US"/>
          </a:p>
        </c:txPr>
        <c:crossAx val="1349073888"/>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700" b="1"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700" b="1">
          <a:latin typeface="Verdana" panose="020B0604030504040204" pitchFamily="34" charset="0"/>
          <a:ea typeface="Verdana" panose="020B0604030504040204" pitchFamily="34" charset="0"/>
        </a:defRPr>
      </a:pPr>
      <a:endParaRPr lang="en-US"/>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Hoja1!$B$6:$B$13</c:f>
              <c:numCache>
                <c:formatCode>General</c:formatCode>
                <c:ptCount val="8"/>
                <c:pt idx="0">
                  <c:v>2010</c:v>
                </c:pt>
                <c:pt idx="1">
                  <c:v>2011</c:v>
                </c:pt>
                <c:pt idx="2">
                  <c:v>2012</c:v>
                </c:pt>
                <c:pt idx="3">
                  <c:v>2013</c:v>
                </c:pt>
                <c:pt idx="4">
                  <c:v>2014</c:v>
                </c:pt>
                <c:pt idx="5">
                  <c:v>2015</c:v>
                </c:pt>
                <c:pt idx="6">
                  <c:v>2016</c:v>
                </c:pt>
                <c:pt idx="7">
                  <c:v>2017</c:v>
                </c:pt>
              </c:numCache>
            </c:numRef>
          </c:cat>
          <c:val>
            <c:numRef>
              <c:f>Hoja1!$C$6:$C$13</c:f>
              <c:numCache>
                <c:formatCode>0.0</c:formatCode>
                <c:ptCount val="8"/>
                <c:pt idx="0">
                  <c:v>21</c:v>
                </c:pt>
                <c:pt idx="1">
                  <c:v>21.1</c:v>
                </c:pt>
                <c:pt idx="2">
                  <c:v>23.9</c:v>
                </c:pt>
                <c:pt idx="3">
                  <c:v>25.8</c:v>
                </c:pt>
                <c:pt idx="4">
                  <c:v>26.3</c:v>
                </c:pt>
                <c:pt idx="5">
                  <c:v>25.1</c:v>
                </c:pt>
                <c:pt idx="6">
                  <c:v>23.5</c:v>
                </c:pt>
                <c:pt idx="7">
                  <c:v>22.2</c:v>
                </c:pt>
              </c:numCache>
            </c:numRef>
          </c:val>
          <c:extLst>
            <c:ext xmlns:c16="http://schemas.microsoft.com/office/drawing/2014/chart" uri="{C3380CC4-5D6E-409C-BE32-E72D297353CC}">
              <c16:uniqueId val="{00000000-AC46-4E64-AF40-C4919AF65A35}"/>
            </c:ext>
          </c:extLst>
        </c:ser>
        <c:dLbls>
          <c:showLegendKey val="0"/>
          <c:showVal val="0"/>
          <c:showCatName val="0"/>
          <c:showSerName val="0"/>
          <c:showPercent val="0"/>
          <c:showBubbleSize val="0"/>
        </c:dLbls>
        <c:gapWidth val="150"/>
        <c:overlap val="-27"/>
        <c:axId val="760930287"/>
        <c:axId val="822633583"/>
      </c:barChart>
      <c:catAx>
        <c:axId val="7609302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822633583"/>
        <c:crosses val="autoZero"/>
        <c:auto val="1"/>
        <c:lblAlgn val="ctr"/>
        <c:lblOffset val="100"/>
        <c:noMultiLvlLbl val="0"/>
      </c:catAx>
      <c:valAx>
        <c:axId val="822633583"/>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76093028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C02-4BE8-8E7C-EEAE3FF9CEB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C02-4BE8-8E7C-EEAE3FF9CEB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C02-4BE8-8E7C-EEAE3FF9CEB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C02-4BE8-8E7C-EEAE3FF9CEBF}"/>
              </c:ext>
            </c:extLst>
          </c:dPt>
          <c:dLbls>
            <c:dLbl>
              <c:idx val="0"/>
              <c:layout>
                <c:manualLayout>
                  <c:x val="-8.4593933795639842E-2"/>
                  <c:y val="-0.2679950064507716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C02-4BE8-8E7C-EEAE3FF9CEBF}"/>
                </c:ext>
              </c:extLst>
            </c:dLbl>
            <c:dLbl>
              <c:idx val="1"/>
              <c:layout>
                <c:manualLayout>
                  <c:x val="-0.16597680440454937"/>
                  <c:y val="7.598790542099155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C02-4BE8-8E7C-EEAE3FF9CEBF}"/>
                </c:ext>
              </c:extLst>
            </c:dLbl>
            <c:dLbl>
              <c:idx val="2"/>
              <c:layout>
                <c:manualLayout>
                  <c:x val="-8.8226298086361649E-2"/>
                  <c:y val="-8.2432459791678264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C02-4BE8-8E7C-EEAE3FF9CEBF}"/>
                </c:ext>
              </c:extLst>
            </c:dLbl>
            <c:dLbl>
              <c:idx val="3"/>
              <c:layout>
                <c:manualLayout>
                  <c:x val="0.18270936821820485"/>
                  <c:y val="5.627546970751773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C02-4BE8-8E7C-EEAE3FF9CEBF}"/>
                </c:ext>
              </c:extLst>
            </c:dLbl>
            <c:spPr>
              <a:noFill/>
              <a:ln>
                <a:noFill/>
              </a:ln>
              <a:effectLst/>
            </c:spPr>
            <c:txPr>
              <a:bodyPr rot="0" spcFirstLastPara="1" vertOverflow="ellipsis" vert="horz" wrap="square" anchor="ctr" anchorCtr="1"/>
              <a:lstStyle/>
              <a:p>
                <a:pPr>
                  <a:defRPr sz="10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Hoja2!$C$17:$C$20</c:f>
              <c:strCache>
                <c:ptCount val="4"/>
                <c:pt idx="0">
                  <c:v>Micro</c:v>
                </c:pt>
                <c:pt idx="1">
                  <c:v>Pequeña</c:v>
                </c:pt>
                <c:pt idx="2">
                  <c:v>Mediana</c:v>
                </c:pt>
                <c:pt idx="3">
                  <c:v>Grande</c:v>
                </c:pt>
              </c:strCache>
            </c:strRef>
          </c:cat>
          <c:val>
            <c:numRef>
              <c:f>Hoja2!$D$17:$D$20</c:f>
              <c:numCache>
                <c:formatCode>#,##0</c:formatCode>
                <c:ptCount val="4"/>
                <c:pt idx="0">
                  <c:v>544955</c:v>
                </c:pt>
                <c:pt idx="1">
                  <c:v>24217</c:v>
                </c:pt>
                <c:pt idx="2">
                  <c:v>8040</c:v>
                </c:pt>
                <c:pt idx="3">
                  <c:v>4801</c:v>
                </c:pt>
              </c:numCache>
            </c:numRef>
          </c:val>
          <c:extLst>
            <c:ext xmlns:c16="http://schemas.microsoft.com/office/drawing/2014/chart" uri="{C3380CC4-5D6E-409C-BE32-E72D297353CC}">
              <c16:uniqueId val="{00000008-6C02-4BE8-8E7C-EEAE3FF9CEB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10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b="1"/>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A6F-410E-B60F-5EA6F8C2BB7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A6F-410E-B60F-5EA6F8C2BB7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A6F-410E-B60F-5EA6F8C2BB7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A6F-410E-B60F-5EA6F8C2BB7D}"/>
              </c:ext>
            </c:extLst>
          </c:dPt>
          <c:dLbls>
            <c:spPr>
              <a:noFill/>
              <a:ln>
                <a:noFill/>
              </a:ln>
              <a:effectLst/>
            </c:spPr>
            <c:txPr>
              <a:bodyPr rot="0" spcFirstLastPara="1" vertOverflow="ellipsis" vert="horz" wrap="square" anchor="ctr" anchorCtr="1"/>
              <a:lstStyle/>
              <a:p>
                <a:pPr>
                  <a:defRPr sz="10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Hoja2!$C$17:$C$20</c:f>
              <c:strCache>
                <c:ptCount val="4"/>
                <c:pt idx="0">
                  <c:v>Micro</c:v>
                </c:pt>
                <c:pt idx="1">
                  <c:v>Pequeña</c:v>
                </c:pt>
                <c:pt idx="2">
                  <c:v>Mediana</c:v>
                </c:pt>
                <c:pt idx="3">
                  <c:v>Grande</c:v>
                </c:pt>
              </c:strCache>
            </c:strRef>
          </c:cat>
          <c:val>
            <c:numRef>
              <c:f>Hoja2!$F$17:$F$20</c:f>
              <c:numCache>
                <c:formatCode>#,##0</c:formatCode>
                <c:ptCount val="4"/>
                <c:pt idx="0">
                  <c:v>1264402</c:v>
                </c:pt>
                <c:pt idx="1">
                  <c:v>530964</c:v>
                </c:pt>
                <c:pt idx="2">
                  <c:v>962599</c:v>
                </c:pt>
                <c:pt idx="3">
                  <c:v>3797825</c:v>
                </c:pt>
              </c:numCache>
            </c:numRef>
          </c:val>
          <c:extLst>
            <c:ext xmlns:c16="http://schemas.microsoft.com/office/drawing/2014/chart" uri="{C3380CC4-5D6E-409C-BE32-E72D297353CC}">
              <c16:uniqueId val="{00000008-4A6F-410E-B60F-5EA6F8C2BB7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10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b="1"/>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174-42ED-8DCA-7BECA89DE38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174-42ED-8DCA-7BECA89DE38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174-42ED-8DCA-7BECA89DE38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174-42ED-8DCA-7BECA89DE388}"/>
              </c:ext>
            </c:extLst>
          </c:dPt>
          <c:dLbls>
            <c:dLbl>
              <c:idx val="2"/>
              <c:layout>
                <c:manualLayout>
                  <c:x val="6.8833871727572521E-2"/>
                  <c:y val="-2.1117311692170552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174-42ED-8DCA-7BECA89DE388}"/>
                </c:ext>
              </c:extLst>
            </c:dLbl>
            <c:dLbl>
              <c:idx val="3"/>
              <c:layout>
                <c:manualLayout>
                  <c:x val="-0.10281731610471768"/>
                  <c:y val="-3.004034504531273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7174-42ED-8DCA-7BECA89DE388}"/>
                </c:ext>
              </c:extLst>
            </c:dLbl>
            <c:spPr>
              <a:noFill/>
              <a:ln>
                <a:noFill/>
              </a:ln>
              <a:effectLst/>
            </c:spPr>
            <c:txPr>
              <a:bodyPr rot="0" spcFirstLastPara="1" vertOverflow="ellipsis" vert="horz" wrap="square" anchor="ctr" anchorCtr="1"/>
              <a:lstStyle/>
              <a:p>
                <a:pPr>
                  <a:defRPr sz="10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Hoja2!$C$17:$C$20</c:f>
              <c:strCache>
                <c:ptCount val="4"/>
                <c:pt idx="0">
                  <c:v>Micro</c:v>
                </c:pt>
                <c:pt idx="1">
                  <c:v>Pequeña</c:v>
                </c:pt>
                <c:pt idx="2">
                  <c:v>Mediana</c:v>
                </c:pt>
                <c:pt idx="3">
                  <c:v>Grande</c:v>
                </c:pt>
              </c:strCache>
            </c:strRef>
          </c:cat>
          <c:val>
            <c:numRef>
              <c:f>Hoja2!$D$27:$D$30</c:f>
              <c:numCache>
                <c:formatCode>#,##0</c:formatCode>
                <c:ptCount val="4"/>
                <c:pt idx="0">
                  <c:v>2152524</c:v>
                </c:pt>
                <c:pt idx="1">
                  <c:v>61418</c:v>
                </c:pt>
                <c:pt idx="2">
                  <c:v>11977</c:v>
                </c:pt>
                <c:pt idx="3">
                  <c:v>1139</c:v>
                </c:pt>
              </c:numCache>
            </c:numRef>
          </c:val>
          <c:extLst>
            <c:ext xmlns:c16="http://schemas.microsoft.com/office/drawing/2014/chart" uri="{C3380CC4-5D6E-409C-BE32-E72D297353CC}">
              <c16:uniqueId val="{00000008-7174-42ED-8DCA-7BECA89DE388}"/>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10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b="1"/>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8D6-4539-91EB-D1D901945DF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8D6-4539-91EB-D1D901945DF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8D6-4539-91EB-D1D901945DF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8D6-4539-91EB-D1D901945DFE}"/>
              </c:ext>
            </c:extLst>
          </c:dPt>
          <c:dLbls>
            <c:spPr>
              <a:noFill/>
              <a:ln>
                <a:noFill/>
              </a:ln>
              <a:effectLst/>
            </c:spPr>
            <c:txPr>
              <a:bodyPr rot="0" spcFirstLastPara="1" vertOverflow="ellipsis" vert="horz" wrap="square" anchor="ctr" anchorCtr="1"/>
              <a:lstStyle/>
              <a:p>
                <a:pPr>
                  <a:defRPr sz="10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Hoja2!$C$17:$C$20</c:f>
              <c:strCache>
                <c:ptCount val="4"/>
                <c:pt idx="0">
                  <c:v>Micro</c:v>
                </c:pt>
                <c:pt idx="1">
                  <c:v>Pequeña</c:v>
                </c:pt>
                <c:pt idx="2">
                  <c:v>Mediana</c:v>
                </c:pt>
                <c:pt idx="3">
                  <c:v>Grande</c:v>
                </c:pt>
              </c:strCache>
            </c:strRef>
          </c:cat>
          <c:val>
            <c:numRef>
              <c:f>Hoja2!$F$27:$F$30</c:f>
              <c:numCache>
                <c:formatCode>#,##0</c:formatCode>
                <c:ptCount val="4"/>
                <c:pt idx="0">
                  <c:v>4410958</c:v>
                </c:pt>
                <c:pt idx="1">
                  <c:v>1225208</c:v>
                </c:pt>
                <c:pt idx="2">
                  <c:v>1254613</c:v>
                </c:pt>
                <c:pt idx="3">
                  <c:v>538984</c:v>
                </c:pt>
              </c:numCache>
            </c:numRef>
          </c:val>
          <c:extLst>
            <c:ext xmlns:c16="http://schemas.microsoft.com/office/drawing/2014/chart" uri="{C3380CC4-5D6E-409C-BE32-E72D297353CC}">
              <c16:uniqueId val="{00000008-28D6-4539-91EB-D1D901945DF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10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b="1"/>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013-4C8E-B903-E34111531B5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013-4C8E-B903-E34111531B5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013-4C8E-B903-E34111531B5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013-4C8E-B903-E34111531B53}"/>
              </c:ext>
            </c:extLst>
          </c:dPt>
          <c:dLbls>
            <c:dLbl>
              <c:idx val="1"/>
              <c:layout>
                <c:manualLayout>
                  <c:x val="-0.16531681188754227"/>
                  <c:y val="5.7341508200802964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013-4C8E-B903-E34111531B53}"/>
                </c:ext>
              </c:extLst>
            </c:dLbl>
            <c:dLbl>
              <c:idx val="2"/>
              <c:layout>
                <c:manualLayout>
                  <c:x val="0.24986613350447182"/>
                  <c:y val="-1.3054059942111979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013-4C8E-B903-E34111531B53}"/>
                </c:ext>
              </c:extLst>
            </c:dLbl>
            <c:dLbl>
              <c:idx val="3"/>
              <c:layout>
                <c:manualLayout>
                  <c:x val="-0.12203091629061363"/>
                  <c:y val="-2.3399091934136291E-3"/>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013-4C8E-B903-E34111531B53}"/>
                </c:ext>
              </c:extLst>
            </c:dLbl>
            <c:spPr>
              <a:noFill/>
              <a:ln>
                <a:noFill/>
              </a:ln>
              <a:effectLst/>
            </c:spPr>
            <c:txPr>
              <a:bodyPr rot="0" spcFirstLastPara="1" vertOverflow="ellipsis" vert="horz" wrap="square" anchor="ctr" anchorCtr="1"/>
              <a:lstStyle/>
              <a:p>
                <a:pPr>
                  <a:defRPr sz="10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Hoja2!$C$17:$C$20</c:f>
              <c:strCache>
                <c:ptCount val="4"/>
                <c:pt idx="0">
                  <c:v>Micro</c:v>
                </c:pt>
                <c:pt idx="1">
                  <c:v>Pequeña</c:v>
                </c:pt>
                <c:pt idx="2">
                  <c:v>Mediana</c:v>
                </c:pt>
                <c:pt idx="3">
                  <c:v>Grande</c:v>
                </c:pt>
              </c:strCache>
            </c:strRef>
          </c:cat>
          <c:val>
            <c:numRef>
              <c:f>Hoja2!$D$37:$D$40</c:f>
              <c:numCache>
                <c:formatCode>#,##0</c:formatCode>
                <c:ptCount val="4"/>
                <c:pt idx="0">
                  <c:v>1771349</c:v>
                </c:pt>
                <c:pt idx="1">
                  <c:v>80839</c:v>
                </c:pt>
                <c:pt idx="2">
                  <c:v>13355</c:v>
                </c:pt>
                <c:pt idx="3">
                  <c:v>3450</c:v>
                </c:pt>
              </c:numCache>
            </c:numRef>
          </c:val>
          <c:extLst>
            <c:ext xmlns:c16="http://schemas.microsoft.com/office/drawing/2014/chart" uri="{C3380CC4-5D6E-409C-BE32-E72D297353CC}">
              <c16:uniqueId val="{00000008-0013-4C8E-B903-E34111531B53}"/>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10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b="1"/>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EB8-4DF0-8FE0-32832828A42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EB8-4DF0-8FE0-32832828A42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EB8-4DF0-8FE0-32832828A42A}"/>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EB8-4DF0-8FE0-32832828A42A}"/>
              </c:ext>
            </c:extLst>
          </c:dPt>
          <c:dLbls>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Hoja2!$C$17:$C$20</c:f>
              <c:strCache>
                <c:ptCount val="4"/>
                <c:pt idx="0">
                  <c:v>Micro</c:v>
                </c:pt>
                <c:pt idx="1">
                  <c:v>Pequeña</c:v>
                </c:pt>
                <c:pt idx="2">
                  <c:v>Mediana</c:v>
                </c:pt>
                <c:pt idx="3">
                  <c:v>Grande</c:v>
                </c:pt>
              </c:strCache>
            </c:strRef>
          </c:cat>
          <c:val>
            <c:numRef>
              <c:f>Hoja2!$F$37:$F$40</c:f>
              <c:numCache>
                <c:formatCode>#,##0</c:formatCode>
                <c:ptCount val="4"/>
                <c:pt idx="0">
                  <c:v>4118580</c:v>
                </c:pt>
                <c:pt idx="1">
                  <c:v>1663350</c:v>
                </c:pt>
                <c:pt idx="2">
                  <c:v>1357769</c:v>
                </c:pt>
                <c:pt idx="3">
                  <c:v>2402721</c:v>
                </c:pt>
              </c:numCache>
            </c:numRef>
          </c:val>
          <c:extLst>
            <c:ext xmlns:c16="http://schemas.microsoft.com/office/drawing/2014/chart" uri="{C3380CC4-5D6E-409C-BE32-E72D297353CC}">
              <c16:uniqueId val="{00000008-DEB8-4DF0-8FE0-32832828A42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E41-4F6F-915D-23AC1A7D4D4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E41-4F6F-915D-23AC1A7D4D4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E41-4F6F-915D-23AC1A7D4D4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E41-4F6F-915D-23AC1A7D4D4F}"/>
              </c:ext>
            </c:extLst>
          </c:dPt>
          <c:dLbls>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Hoja2!$C$17:$C$20</c:f>
              <c:strCache>
                <c:ptCount val="4"/>
                <c:pt idx="0">
                  <c:v>Micro</c:v>
                </c:pt>
                <c:pt idx="1">
                  <c:v>Pequeña</c:v>
                </c:pt>
                <c:pt idx="2">
                  <c:v>Mediana</c:v>
                </c:pt>
                <c:pt idx="3">
                  <c:v>Grande</c:v>
                </c:pt>
              </c:strCache>
            </c:strRef>
          </c:cat>
          <c:val>
            <c:numRef>
              <c:f>Hoja2!$D$47:$D$50</c:f>
              <c:numCache>
                <c:formatCode>#,##0</c:formatCode>
                <c:ptCount val="4"/>
                <c:pt idx="0">
                  <c:v>66382</c:v>
                </c:pt>
                <c:pt idx="1">
                  <c:v>21897</c:v>
                </c:pt>
                <c:pt idx="2">
                  <c:v>6242</c:v>
                </c:pt>
                <c:pt idx="3">
                  <c:v>1410</c:v>
                </c:pt>
              </c:numCache>
            </c:numRef>
          </c:val>
          <c:extLst>
            <c:ext xmlns:c16="http://schemas.microsoft.com/office/drawing/2014/chart" uri="{C3380CC4-5D6E-409C-BE32-E72D297353CC}">
              <c16:uniqueId val="{00000008-4E41-4F6F-915D-23AC1A7D4D4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FEE-4DD4-A8D8-FBCEE17061D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FEE-4DD4-A8D8-FBCEE17061D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FEE-4DD4-A8D8-FBCEE17061D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FEE-4DD4-A8D8-FBCEE17061DD}"/>
              </c:ext>
            </c:extLst>
          </c:dPt>
          <c:dLbls>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Hoja2!$C$17:$C$20</c:f>
              <c:strCache>
                <c:ptCount val="4"/>
                <c:pt idx="0">
                  <c:v>Micro</c:v>
                </c:pt>
                <c:pt idx="1">
                  <c:v>Pequeña</c:v>
                </c:pt>
                <c:pt idx="2">
                  <c:v>Mediana</c:v>
                </c:pt>
                <c:pt idx="3">
                  <c:v>Grande</c:v>
                </c:pt>
              </c:strCache>
            </c:strRef>
          </c:cat>
          <c:val>
            <c:numRef>
              <c:f>Hoja2!$F$47:$F$50</c:f>
              <c:numCache>
                <c:formatCode>#,##0</c:formatCode>
                <c:ptCount val="4"/>
                <c:pt idx="0">
                  <c:v>240458</c:v>
                </c:pt>
                <c:pt idx="1">
                  <c:v>493408</c:v>
                </c:pt>
                <c:pt idx="2">
                  <c:v>641447</c:v>
                </c:pt>
                <c:pt idx="3">
                  <c:v>1658171</c:v>
                </c:pt>
              </c:numCache>
            </c:numRef>
          </c:val>
          <c:extLst>
            <c:ext xmlns:c16="http://schemas.microsoft.com/office/drawing/2014/chart" uri="{C3380CC4-5D6E-409C-BE32-E72D297353CC}">
              <c16:uniqueId val="{00000008-3FEE-4DD4-A8D8-FBCEE17061D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1"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0.66981</cdr:x>
      <cdr:y>0.02386</cdr:y>
    </cdr:from>
    <cdr:to>
      <cdr:x>0.66981</cdr:x>
      <cdr:y>0.72671</cdr:y>
    </cdr:to>
    <cdr:cxnSp macro="">
      <cdr:nvCxnSpPr>
        <cdr:cNvPr id="5" name="Conector recto 4">
          <a:extLst xmlns:a="http://schemas.openxmlformats.org/drawingml/2006/main">
            <a:ext uri="{FF2B5EF4-FFF2-40B4-BE49-F238E27FC236}">
              <a16:creationId xmlns:a16="http://schemas.microsoft.com/office/drawing/2014/main" id="{90A2121B-ABD8-4F48-9D3D-07176B83805E}"/>
            </a:ext>
          </a:extLst>
        </cdr:cNvPr>
        <cdr:cNvCxnSpPr/>
      </cdr:nvCxnSpPr>
      <cdr:spPr>
        <a:xfrm xmlns:a="http://schemas.openxmlformats.org/drawingml/2006/main" flipV="1">
          <a:off x="3304809" y="73181"/>
          <a:ext cx="0" cy="2155669"/>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fa9b0d7-a4fd-4359-89cd-8db86f01ab02}"/>
      </w:docPartPr>
      <w:docPartBody>
        <w:p w14:paraId="53C2CA2B">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D1FEB6A15E734391F4430B1F48A51E" ma:contentTypeVersion="2701" ma:contentTypeDescription="A content type to manage public (operations) IDB documents" ma:contentTypeScope="" ma:versionID="d04e90e49d6917e11cf9388d6323c912">
  <xsd:schema xmlns:xsd="http://www.w3.org/2001/XMLSchema" xmlns:xs="http://www.w3.org/2001/XMLSchema" xmlns:p="http://schemas.microsoft.com/office/2006/metadata/properties" xmlns:ns2="cdc7663a-08f0-4737-9e8c-148ce897a09c" targetNamespace="http://schemas.microsoft.com/office/2006/metadata/properties" ma:root="true" ma:fieldsID="c2d317d3dcbfcddf862c85790bca755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3178/OC-ME;3179/TC-ME;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PA-FCC</TermName>
          <TermId xmlns="http://schemas.microsoft.com/office/infopath/2007/PartnerControls">0721090b-7598-4438-912e-9210b5215a71</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CTF</TermName>
          <TermId xmlns="http://schemas.microsoft.com/office/infopath/2007/PartnerControls">09590cec-0e26-4757-bcca-8a4fab00b407</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54</Value>
      <Value>24</Value>
      <Value>37</Value>
      <Value>36</Value>
      <Value>1</Value>
      <Value>19</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ME-L1148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EZSHARE-567788752-65</_dlc_DocId>
    <_dlc_DocIdUrl xmlns="cdc7663a-08f0-4737-9e8c-148ce897a09c">
      <Url>https://idbg.sharepoint.com/teams/EZ-ME-LON/ME-L1148/_layouts/15/DocIdRedir.aspx?ID=EZSHARE-567788752-65</Url>
      <Description>EZSHARE-567788752-65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0BCCB6B-912F-4349-8881-353A9A0E3EAF}">
  <ds:schemaRefs>
    <ds:schemaRef ds:uri="http://schemas.microsoft.com/sharepoint/v3/contenttype/forms"/>
  </ds:schemaRefs>
</ds:datastoreItem>
</file>

<file path=customXml/itemProps2.xml><?xml version="1.0" encoding="utf-8"?>
<ds:datastoreItem xmlns:ds="http://schemas.openxmlformats.org/officeDocument/2006/customXml" ds:itemID="{103A1CF6-5912-4636-8128-A8D7E0EED793}">
  <ds:schemaRefs>
    <ds:schemaRef ds:uri="http://schemas.openxmlformats.org/officeDocument/2006/bibliography"/>
  </ds:schemaRefs>
</ds:datastoreItem>
</file>

<file path=customXml/itemProps3.xml><?xml version="1.0" encoding="utf-8"?>
<ds:datastoreItem xmlns:ds="http://schemas.openxmlformats.org/officeDocument/2006/customXml" ds:itemID="{13CC4F21-0426-47C1-83B9-D1C4DD5C5864}">
  <ds:schemaRefs>
    <ds:schemaRef ds:uri="http://schemas.microsoft.com/sharepoint/events"/>
  </ds:schemaRefs>
</ds:datastoreItem>
</file>

<file path=customXml/itemProps4.xml><?xml version="1.0" encoding="utf-8"?>
<ds:datastoreItem xmlns:ds="http://schemas.openxmlformats.org/officeDocument/2006/customXml" ds:itemID="{E4A929B9-7088-4D80-A12F-4F47EB0502BA}"/>
</file>

<file path=customXml/itemProps5.xml><?xml version="1.0" encoding="utf-8"?>
<ds:datastoreItem xmlns:ds="http://schemas.openxmlformats.org/officeDocument/2006/customXml" ds:itemID="{02C35B36-289C-42C1-B507-70DA67254855}"/>
</file>

<file path=customXml/itemProps6.xml><?xml version="1.0" encoding="utf-8"?>
<ds:datastoreItem xmlns:ds="http://schemas.openxmlformats.org/officeDocument/2006/customXml" ds:itemID="{5074B48C-0C14-4E93-BCC7-5089DEC18C27}"/>
</file>

<file path=customXml/itemProps7.xml><?xml version="1.0" encoding="utf-8"?>
<ds:datastoreItem xmlns:ds="http://schemas.openxmlformats.org/officeDocument/2006/customXml" ds:itemID="{EFE3AB6A-505F-47A1-8641-D530331F821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Isabel Haro</dc:creator>
  <cp:keywords/>
  <dc:description/>
  <cp:lastModifiedBy>Porras Herrera, Fanny Eliana</cp:lastModifiedBy>
  <cp:revision>14</cp:revision>
  <dcterms:created xsi:type="dcterms:W3CDTF">2020-06-03T21:14:00Z</dcterms:created>
  <dcterms:modified xsi:type="dcterms:W3CDTF">2020-07-21T22:05:48Z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37;#PA-FCC|0721090b-7598-4438-912e-9210b5215a71</vt:lpwstr>
  </property>
  <property fmtid="{D5CDD505-2E9C-101B-9397-08002B2CF9AE}" pid="7" name="Fund IDB">
    <vt:lpwstr>54;#CTF|09590cec-0e26-4757-bcca-8a4fab00b407;#24;#ORC|c028a4b2-ad8b-4cf4-9cac-a2ae6a778e23</vt:lpwstr>
  </property>
  <property fmtid="{D5CDD505-2E9C-101B-9397-08002B2CF9AE}" pid="8" name="Country">
    <vt:lpwstr>19;#ME|0eba6470-e7ea-46fd-a959-d4c243acaf26</vt:lpwstr>
  </property>
  <property fmtid="{D5CDD505-2E9C-101B-9397-08002B2CF9AE}" pid="9" name="Sector IDB">
    <vt:lpwstr>36;#PA|261e2b33-090b-4ab0-8e06-3aa3e7f32d57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406280da-fddb-4391-8054-6ebcbaaf07c9</vt:lpwstr>
  </property>
  <property fmtid="{D5CDD505-2E9C-101B-9397-08002B2CF9AE}" pid="12" name="ContentTypeId">
    <vt:lpwstr>0x0101001A458A224826124E8B45B1D613300CFC0072D1FEB6A15E734391F4430B1F48A51E</vt:lpwstr>
  </property>
</Properties>
</file>