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B479B1" w:rsidR="00FE7C13" w:rsidP="00FE7C13" w:rsidRDefault="00FE7C13" w14:paraId="7DE7CD98" w14:textId="77777777">
      <w:pPr>
        <w:spacing w:before="100" w:beforeAutospacing="1" w:after="100" w:afterAutospacing="1" w:line="240" w:lineRule="auto"/>
        <w:ind w:left="720"/>
        <w:jc w:val="center"/>
        <w:rPr>
          <w:b/>
          <w:smallCaps/>
          <w:sz w:val="24"/>
          <w:szCs w:val="24"/>
          <w:lang w:val="es-ES"/>
        </w:rPr>
      </w:pPr>
      <w:r w:rsidRPr="7B6ED46E" w:rsidR="00FE7C13">
        <w:rPr>
          <w:b w:val="1"/>
          <w:bCs w:val="1"/>
          <w:smallCaps w:val="1"/>
          <w:sz w:val="24"/>
          <w:szCs w:val="24"/>
          <w:lang w:val="es-ES"/>
        </w:rPr>
        <w:t>México</w:t>
      </w:r>
    </w:p>
    <w:p w:rsidR="2BFD41D8" w:rsidP="7B6ED46E" w:rsidRDefault="2BFD41D8" w14:paraId="09075C7F" w14:textId="6D79BF82">
      <w:pPr>
        <w:jc w:val="center"/>
      </w:pPr>
      <w:r w:rsidRPr="7B6ED46E" w:rsidR="2BFD41D8">
        <w:rPr>
          <w:rFonts w:ascii="Arial" w:hAnsi="Arial" w:eastAsia="Arial" w:cs="Arial"/>
          <w:b w:val="1"/>
          <w:bCs w:val="1"/>
          <w:smallCaps w:val="1"/>
          <w:noProof w:val="0"/>
          <w:sz w:val="22"/>
          <w:szCs w:val="22"/>
          <w:lang w:val="es"/>
        </w:rPr>
        <w:t>Reformulación del Programa de Financiamiento y Transferencia de Riesgos para Geotermia para financiar el Programa Global de Crédito para la Defensa del Tejido Productivo y el Empleo</w:t>
      </w:r>
    </w:p>
    <w:p w:rsidR="2BFD41D8" w:rsidP="7B6ED46E" w:rsidRDefault="2BFD41D8" w14:paraId="681257CF" w14:textId="4DDA6BCE">
      <w:pPr>
        <w:jc w:val="center"/>
      </w:pPr>
      <w:r w:rsidRPr="7B6ED46E" w:rsidR="2BFD41D8">
        <w:rPr>
          <w:rFonts w:ascii="Arial" w:hAnsi="Arial" w:eastAsia="Arial" w:cs="Arial"/>
          <w:b w:val="1"/>
          <w:bCs w:val="1"/>
          <w:smallCaps w:val="1"/>
          <w:noProof w:val="0"/>
          <w:sz w:val="22"/>
          <w:szCs w:val="22"/>
          <w:lang w:val="es"/>
        </w:rPr>
        <w:t xml:space="preserve"> </w:t>
      </w:r>
      <w:r w:rsidRPr="7B6ED46E" w:rsidR="2BFD41D8">
        <w:rPr>
          <w:rFonts w:ascii="Arial" w:hAnsi="Arial" w:eastAsia="Arial" w:cs="Arial"/>
          <w:b w:val="1"/>
          <w:bCs w:val="1"/>
          <w:smallCaps w:val="1"/>
          <w:noProof w:val="0"/>
          <w:sz w:val="22"/>
          <w:szCs w:val="22"/>
          <w:lang w:val="es"/>
        </w:rPr>
        <w:t>(Modificación del Contrato de Préstamo No. 3178/OC-ME y de las Resoluciones DE-38/14 y DE-41/18)</w:t>
      </w:r>
    </w:p>
    <w:p w:rsidR="7B6ED46E" w:rsidP="7B6ED46E" w:rsidRDefault="7B6ED46E" w14:paraId="306648B7" w14:textId="33EEE96A">
      <w:pPr>
        <w:pStyle w:val="Normal"/>
        <w:spacing w:afterAutospacing="on" w:line="240" w:lineRule="auto"/>
        <w:ind w:left="720"/>
        <w:jc w:val="center"/>
        <w:rPr>
          <w:b w:val="1"/>
          <w:bCs w:val="1"/>
          <w:smallCaps w:val="1"/>
          <w:sz w:val="24"/>
          <w:szCs w:val="24"/>
          <w:lang w:val="es-ES"/>
        </w:rPr>
      </w:pPr>
    </w:p>
    <w:p w:rsidR="00F635D2" w:rsidP="00F635D2" w:rsidRDefault="00F635D2" w14:paraId="22C9CB10" w14:textId="6587F5CD">
      <w:pPr>
        <w:spacing w:before="100" w:beforeAutospacing="1" w:after="100" w:afterAutospacing="1" w:line="240" w:lineRule="auto"/>
        <w:ind w:left="720"/>
        <w:jc w:val="both"/>
        <w:rPr>
          <w:lang w:val="es-MX"/>
        </w:rPr>
      </w:pPr>
      <w:r w:rsidRPr="00F635D2">
        <w:rPr>
          <w:lang w:val="es-MX"/>
        </w:rPr>
        <w:t>Durante marzo y abril del 2009</w:t>
      </w:r>
      <w:r>
        <w:rPr>
          <w:lang w:val="es-MX"/>
        </w:rPr>
        <w:t xml:space="preserve"> México fue azotado por la pandemia de la influenza H1N1.  Esto aunado con la crisis financiera mundial </w:t>
      </w:r>
      <w:r w:rsidR="00325B5B">
        <w:rPr>
          <w:lang w:val="es-MX"/>
        </w:rPr>
        <w:t xml:space="preserve">de 2008, tuvo un gran impacto negativo en la </w:t>
      </w:r>
      <w:r w:rsidR="008B0959">
        <w:rPr>
          <w:lang w:val="es-MX"/>
        </w:rPr>
        <w:t>economía</w:t>
      </w:r>
      <w:r w:rsidR="00325B5B">
        <w:rPr>
          <w:lang w:val="es-MX"/>
        </w:rPr>
        <w:t xml:space="preserve"> del país.</w:t>
      </w:r>
    </w:p>
    <w:p w:rsidR="00021D68" w:rsidP="00021D68" w:rsidRDefault="00325B5B" w14:paraId="18B93994" w14:textId="77777777">
      <w:pPr>
        <w:spacing w:before="100" w:beforeAutospacing="1" w:after="100" w:afterAutospacing="1" w:line="240" w:lineRule="auto"/>
        <w:ind w:left="720"/>
        <w:jc w:val="both"/>
        <w:rPr>
          <w:lang w:val="es-MX"/>
        </w:rPr>
      </w:pPr>
      <w:r w:rsidRPr="00325B5B">
        <w:rPr>
          <w:lang w:val="es-MX"/>
        </w:rPr>
        <w:t xml:space="preserve">El gobierno </w:t>
      </w:r>
      <w:r>
        <w:rPr>
          <w:lang w:val="es-MX"/>
        </w:rPr>
        <w:t xml:space="preserve">identificó que </w:t>
      </w:r>
      <w:r w:rsidRPr="00325B5B">
        <w:rPr>
          <w:lang w:val="es-MX"/>
        </w:rPr>
        <w:t xml:space="preserve">la Banca de desarrollo podría ser un instrumento eficaz y </w:t>
      </w:r>
      <w:r>
        <w:rPr>
          <w:lang w:val="es-MX"/>
        </w:rPr>
        <w:t xml:space="preserve">se dedicó a </w:t>
      </w:r>
      <w:r w:rsidRPr="00325B5B">
        <w:rPr>
          <w:lang w:val="es-MX"/>
        </w:rPr>
        <w:t>fortalecerla</w:t>
      </w:r>
      <w:r>
        <w:rPr>
          <w:lang w:val="es-MX"/>
        </w:rPr>
        <w:t xml:space="preserve"> y a generar nuevos productos que fungieran como un apoyo </w:t>
      </w:r>
      <w:proofErr w:type="spellStart"/>
      <w:r>
        <w:rPr>
          <w:lang w:val="es-MX"/>
        </w:rPr>
        <w:t>contracíclico</w:t>
      </w:r>
      <w:proofErr w:type="spellEnd"/>
      <w:r w:rsidR="00021D68">
        <w:rPr>
          <w:lang w:val="es-MX"/>
        </w:rPr>
        <w:t>,</w:t>
      </w:r>
      <w:r>
        <w:rPr>
          <w:lang w:val="es-MX"/>
        </w:rPr>
        <w:t xml:space="preserve"> generando fondos de garantías y </w:t>
      </w:r>
      <w:r w:rsidR="00021D68">
        <w:rPr>
          <w:lang w:val="es-MX"/>
        </w:rPr>
        <w:t>operando desde el segundo piso</w:t>
      </w:r>
      <w:r>
        <w:rPr>
          <w:lang w:val="es-MX"/>
        </w:rPr>
        <w:t>.</w:t>
      </w:r>
      <w:r w:rsidRPr="00325B5B">
        <w:rPr>
          <w:lang w:val="es-MX"/>
        </w:rPr>
        <w:t xml:space="preserve"> </w:t>
      </w:r>
    </w:p>
    <w:p w:rsidR="00021D68" w:rsidP="00021D68" w:rsidRDefault="00021D68" w14:paraId="58286677" w14:textId="77777777">
      <w:pPr>
        <w:spacing w:before="100" w:beforeAutospacing="1" w:after="100" w:afterAutospacing="1" w:line="240" w:lineRule="auto"/>
        <w:ind w:left="720"/>
        <w:jc w:val="both"/>
        <w:rPr>
          <w:rFonts w:ascii="Arial" w:hAnsi="Arial" w:eastAsia="Times New Roman" w:cs="Arial"/>
          <w:b/>
          <w:bCs/>
          <w:color w:val="000000"/>
          <w:lang w:val="es-MX"/>
        </w:rPr>
      </w:pPr>
    </w:p>
    <w:tbl>
      <w:tblPr>
        <w:tblW w:w="909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Pr="00F635D2" w:rsidR="00F635D2" w:rsidTr="7B6ED46E" w14:paraId="5E90698F" w14:textId="77777777">
        <w:trPr>
          <w:tblCellSpacing w:w="15" w:type="dxa"/>
          <w:jc w:val="center"/>
        </w:trPr>
        <w:tc>
          <w:tcPr>
            <w:tcW w:w="0" w:type="auto"/>
            <w:tcMar/>
            <w:vAlign w:val="center"/>
            <w:hideMark/>
          </w:tcPr>
          <w:p w:rsidRPr="00F635D2" w:rsidR="00F635D2" w:rsidP="00F635D2" w:rsidRDefault="00F635D2" w14:paraId="48C8E89B" w14:textId="5097DB1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pPr>
            <w:r w:rsidR="00F635D2">
              <w:drawing>
                <wp:inline wp14:editId="1DA5958D" wp14:anchorId="1D04FE86">
                  <wp:extent cx="5715000" cy="3025140"/>
                  <wp:effectExtent l="0" t="0" r="0" b="3810"/>
                  <wp:docPr id="1492300639" name="Picture 7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7"/>
                          <pic:cNvPicPr/>
                        </pic:nvPicPr>
                        <pic:blipFill>
                          <a:blip r:embed="Rcc025c22ac214c41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5715000" cy="302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F635D2" w:rsidR="00F635D2" w:rsidTr="7B6ED46E" w14:paraId="42CAFF23" w14:textId="77777777">
        <w:trPr>
          <w:tblCellSpacing w:w="15" w:type="dxa"/>
          <w:jc w:val="center"/>
        </w:trPr>
        <w:tc>
          <w:tcPr>
            <w:tcW w:w="0" w:type="auto"/>
            <w:tcMar/>
            <w:vAlign w:val="center"/>
            <w:hideMark/>
          </w:tcPr>
          <w:p w:rsidRPr="00F635D2" w:rsidR="00F635D2" w:rsidP="00F635D2" w:rsidRDefault="00F635D2" w14:paraId="652E7853" w14:textId="5261D3B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pPr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* Tasa de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crecimiento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anual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promedio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real</w:t>
            </w:r>
            <w:r w:rsidR="00021D68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SHCP</w:t>
            </w:r>
          </w:p>
        </w:tc>
      </w:tr>
    </w:tbl>
    <w:p w:rsidR="00021D68" w:rsidP="00F635D2" w:rsidRDefault="00021D68" w14:paraId="54840A33" w14:textId="77777777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b/>
          <w:bCs/>
          <w:color w:val="333333"/>
          <w:sz w:val="27"/>
          <w:szCs w:val="27"/>
        </w:rPr>
      </w:pPr>
    </w:p>
    <w:p w:rsidRPr="00F635D2" w:rsidR="00F635D2" w:rsidP="00F635D2" w:rsidRDefault="00F635D2" w14:paraId="33796AC6" w14:textId="18216749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color w:val="000000"/>
          <w:lang w:val="es-MX"/>
        </w:rPr>
        <w:t>Al tercer trimestre de 2010, el saldo del crédito total de la Banca de Desarrollo a sus sectores de atención, es decir, los sectores privado y social, así como los gobiernos estatales y municipales, ascendió a 658 mil millones de pesos. Dicho monto es 323 mil millones de pesos, mayor que el de diciembre de 2006, lo que representa un crecimiento real del 68%.</w:t>
      </w:r>
    </w:p>
    <w:p w:rsidRPr="00F635D2" w:rsidR="00F635D2" w:rsidP="00F635D2" w:rsidRDefault="00F635D2" w14:paraId="5401F470" w14:textId="2B989213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color w:val="000000"/>
          <w:sz w:val="14"/>
          <w:szCs w:val="14"/>
        </w:rPr>
      </w:pPr>
      <w:r w:rsidR="00F635D2">
        <w:drawing>
          <wp:inline wp14:editId="294EADF2" wp14:anchorId="63A50A68">
            <wp:extent cx="4762502" cy="3459480"/>
            <wp:effectExtent l="0" t="0" r="0" b="7620"/>
            <wp:docPr id="2045176413" name="Picture 6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6"/>
                    <pic:cNvPicPr/>
                  </pic:nvPicPr>
                  <pic:blipFill>
                    <a:blip r:embed="R3480f32c299e485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62502" cy="345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635D2" w:rsidR="00F635D2" w:rsidP="00F635D2" w:rsidRDefault="00021D68" w14:paraId="6A0B4F1B" w14:textId="57FC2A69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>
        <w:rPr>
          <w:rFonts w:ascii="Arial" w:hAnsi="Arial" w:eastAsia="Times New Roman" w:cs="Arial"/>
          <w:color w:val="000000"/>
          <w:lang w:val="es-MX"/>
        </w:rPr>
        <w:t xml:space="preserve">Durante el periodo de la crisis se observa el incremento de </w:t>
      </w:r>
      <w:r w:rsidRPr="00F635D2" w:rsidR="00F635D2">
        <w:rPr>
          <w:rFonts w:ascii="Arial" w:hAnsi="Arial" w:eastAsia="Times New Roman" w:cs="Arial"/>
          <w:color w:val="000000"/>
          <w:lang w:val="es-MX"/>
        </w:rPr>
        <w:t xml:space="preserve">la cartera de la Banca de Desarrollo como porcentaje de la cartera de la banca privada (a los mismos sectores que atiende la Banca de Desarrollo: rural, industrial, vivienda, de servicios e infraestructura) pasando de representar el 45% al cierre de 2006 a representar el 51% en septiembre de 2010. Dicha proporción alcanzó un nivel máximo de 53% en diciembre de 2009 </w:t>
      </w:r>
      <w:r>
        <w:rPr>
          <w:rFonts w:ascii="Arial" w:hAnsi="Arial" w:eastAsia="Times New Roman" w:cs="Arial"/>
          <w:color w:val="000000"/>
          <w:lang w:val="es-MX"/>
        </w:rPr>
        <w:t xml:space="preserve">con lo </w:t>
      </w:r>
      <w:r w:rsidR="008B0959">
        <w:rPr>
          <w:rFonts w:ascii="Arial" w:hAnsi="Arial" w:eastAsia="Times New Roman" w:cs="Arial"/>
          <w:color w:val="000000"/>
          <w:lang w:val="es-MX"/>
        </w:rPr>
        <w:t>cual</w:t>
      </w:r>
      <w:r>
        <w:rPr>
          <w:rFonts w:ascii="Arial" w:hAnsi="Arial" w:eastAsia="Times New Roman" w:cs="Arial"/>
          <w:color w:val="000000"/>
          <w:lang w:val="es-MX"/>
        </w:rPr>
        <w:t xml:space="preserve"> se observa su </w:t>
      </w:r>
      <w:r w:rsidRPr="00F635D2" w:rsidR="00F635D2">
        <w:rPr>
          <w:rFonts w:ascii="Arial" w:hAnsi="Arial" w:eastAsia="Times New Roman" w:cs="Arial"/>
          <w:color w:val="000000"/>
          <w:lang w:val="es-MX"/>
        </w:rPr>
        <w:t xml:space="preserve">rol </w:t>
      </w:r>
      <w:proofErr w:type="spellStart"/>
      <w:r w:rsidRPr="00F635D2" w:rsidR="00F635D2">
        <w:rPr>
          <w:rFonts w:ascii="Arial" w:hAnsi="Arial" w:eastAsia="Times New Roman" w:cs="Arial"/>
          <w:color w:val="000000"/>
          <w:lang w:val="es-MX"/>
        </w:rPr>
        <w:t>contracíclico</w:t>
      </w:r>
      <w:proofErr w:type="spellEnd"/>
      <w:r w:rsidRPr="00F635D2" w:rsidR="00F635D2">
        <w:rPr>
          <w:rFonts w:ascii="Arial" w:hAnsi="Arial" w:eastAsia="Times New Roman" w:cs="Arial"/>
          <w:color w:val="000000"/>
          <w:lang w:val="es-MX"/>
        </w:rPr>
        <w:t xml:space="preserve"> ante la disminución del  financiamiento del sector privado.</w:t>
      </w:r>
    </w:p>
    <w:p w:rsidRPr="00F635D2" w:rsidR="00F635D2" w:rsidP="00F635D2" w:rsidRDefault="00F635D2" w14:paraId="4EE69BDE" w14:textId="750A6CA3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color w:val="000000"/>
          <w:sz w:val="14"/>
          <w:szCs w:val="14"/>
        </w:rPr>
      </w:pPr>
      <w:r w:rsidR="00F635D2">
        <w:drawing>
          <wp:inline wp14:editId="6A3237EE" wp14:anchorId="4D8D2CAB">
            <wp:extent cx="4762502" cy="2598420"/>
            <wp:effectExtent l="0" t="0" r="0" b="0"/>
            <wp:docPr id="1269664039" name="Picture 5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5"/>
                    <pic:cNvPicPr/>
                  </pic:nvPicPr>
                  <pic:blipFill>
                    <a:blip r:embed="R7b598f644d46452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62502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635D2" w:rsidR="00F635D2" w:rsidP="00F635D2" w:rsidRDefault="00021D68" w14:paraId="2F42BE82" w14:textId="5C0B4E62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>
        <w:rPr>
          <w:rFonts w:ascii="Arial" w:hAnsi="Arial" w:eastAsia="Times New Roman" w:cs="Arial"/>
          <w:color w:val="000000"/>
          <w:lang w:val="es-MX"/>
        </w:rPr>
        <w:t>Durante este periodo</w:t>
      </w:r>
    </w:p>
    <w:p w:rsidRPr="00F635D2" w:rsidR="00F635D2" w:rsidP="00F635D2" w:rsidRDefault="00F635D2" w14:paraId="2E935F90" w14:textId="777777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b/>
          <w:bCs/>
          <w:color w:val="000000"/>
          <w:lang w:val="es-MX"/>
        </w:rPr>
        <w:t>50% más MIPYMES</w:t>
      </w:r>
      <w:r w:rsidRPr="00F635D2">
        <w:rPr>
          <w:rFonts w:ascii="Arial" w:hAnsi="Arial" w:eastAsia="Times New Roman" w:cs="Arial"/>
          <w:color w:val="000000"/>
          <w:lang w:val="es-MX"/>
        </w:rPr>
        <w:t> beneficiadas por Nafin y Bancomext</w:t>
      </w:r>
    </w:p>
    <w:p w:rsidRPr="00F635D2" w:rsidR="00F635D2" w:rsidP="00F635D2" w:rsidRDefault="00F635D2" w14:paraId="66C5E516" w14:textId="7777777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b/>
          <w:bCs/>
          <w:color w:val="000000"/>
          <w:lang w:val="es-MX"/>
        </w:rPr>
        <w:lastRenderedPageBreak/>
        <w:t>43% más productores rurales de bajos ingresos </w:t>
      </w:r>
      <w:r w:rsidRPr="00F635D2">
        <w:rPr>
          <w:rFonts w:ascii="Arial" w:hAnsi="Arial" w:eastAsia="Times New Roman" w:cs="Arial"/>
          <w:color w:val="000000"/>
          <w:lang w:val="es-MX"/>
        </w:rPr>
        <w:t xml:space="preserve">apoyados por </w:t>
      </w:r>
      <w:proofErr w:type="spellStart"/>
      <w:r w:rsidRPr="00F635D2">
        <w:rPr>
          <w:rFonts w:ascii="Arial" w:hAnsi="Arial" w:eastAsia="Times New Roman" w:cs="Arial"/>
          <w:color w:val="000000"/>
          <w:lang w:val="es-MX"/>
        </w:rPr>
        <w:t>Fira</w:t>
      </w:r>
      <w:proofErr w:type="spellEnd"/>
      <w:r w:rsidRPr="00F635D2">
        <w:rPr>
          <w:rFonts w:ascii="Arial" w:hAnsi="Arial" w:eastAsia="Times New Roman" w:cs="Arial"/>
          <w:color w:val="000000"/>
          <w:lang w:val="es-MX"/>
        </w:rPr>
        <w:t xml:space="preserve"> y </w:t>
      </w:r>
      <w:proofErr w:type="spellStart"/>
      <w:r w:rsidRPr="00F635D2">
        <w:rPr>
          <w:rFonts w:ascii="Arial" w:hAnsi="Arial" w:eastAsia="Times New Roman" w:cs="Arial"/>
          <w:color w:val="000000"/>
          <w:lang w:val="es-MX"/>
        </w:rPr>
        <w:t>Finrural</w:t>
      </w:r>
      <w:proofErr w:type="spellEnd"/>
    </w:p>
    <w:p w:rsidRPr="00F635D2" w:rsidR="00F635D2" w:rsidP="00F635D2" w:rsidRDefault="00F635D2" w14:paraId="50F26BA9" w14:textId="7777777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b/>
          <w:bCs/>
          <w:color w:val="000000"/>
          <w:lang w:val="es-MX"/>
        </w:rPr>
        <w:t>159 municipios de alta y muy alta marginación más</w:t>
      </w:r>
      <w:r w:rsidRPr="00F635D2">
        <w:rPr>
          <w:rFonts w:ascii="Arial" w:hAnsi="Arial" w:eastAsia="Times New Roman" w:cs="Arial"/>
          <w:color w:val="000000"/>
          <w:lang w:val="es-MX"/>
        </w:rPr>
        <w:t> en cartera de Banobras</w:t>
      </w:r>
    </w:p>
    <w:p w:rsidRPr="00F635D2" w:rsidR="00F635D2" w:rsidP="00F635D2" w:rsidRDefault="00F635D2" w14:paraId="7F191718" w14:textId="777777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color w:val="000000"/>
          <w:lang w:val="es-MX"/>
        </w:rPr>
        <w:t>Se </w:t>
      </w:r>
      <w:r w:rsidRPr="00F635D2">
        <w:rPr>
          <w:rFonts w:ascii="Arial" w:hAnsi="Arial" w:eastAsia="Times New Roman" w:cs="Arial"/>
          <w:b/>
          <w:bCs/>
          <w:color w:val="000000"/>
          <w:lang w:val="es-MX"/>
        </w:rPr>
        <w:t>duplicó</w:t>
      </w:r>
      <w:r w:rsidRPr="00F635D2">
        <w:rPr>
          <w:rFonts w:ascii="Arial" w:hAnsi="Arial" w:eastAsia="Times New Roman" w:cs="Arial"/>
          <w:color w:val="000000"/>
          <w:lang w:val="es-MX"/>
        </w:rPr>
        <w:t> la proporción de </w:t>
      </w:r>
      <w:r w:rsidRPr="00F635D2">
        <w:rPr>
          <w:rFonts w:ascii="Arial" w:hAnsi="Arial" w:eastAsia="Times New Roman" w:cs="Arial"/>
          <w:b/>
          <w:bCs/>
          <w:color w:val="000000"/>
          <w:lang w:val="es-MX"/>
        </w:rPr>
        <w:t>créditos a la vivienda para personas de bajos ingresos</w:t>
      </w:r>
    </w:p>
    <w:p w:rsidRPr="00F635D2" w:rsidR="00F635D2" w:rsidP="00F635D2" w:rsidRDefault="00F635D2" w14:paraId="0097F8B8" w14:textId="74E3E478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color w:val="000000"/>
          <w:sz w:val="14"/>
          <w:szCs w:val="14"/>
        </w:rPr>
      </w:pPr>
      <w:r w:rsidR="00F635D2">
        <w:drawing>
          <wp:inline wp14:editId="3295FDD6" wp14:anchorId="3BF783BF">
            <wp:extent cx="4762502" cy="2735580"/>
            <wp:effectExtent l="0" t="0" r="0" b="7620"/>
            <wp:docPr id="1033015611" name="Picture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fc7ed313728c423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62502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635D2" w:rsidR="00F635D2" w:rsidP="00F635D2" w:rsidRDefault="00F635D2" w14:paraId="612D6E34" w14:textId="77777777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b/>
          <w:bCs/>
          <w:color w:val="333333"/>
          <w:sz w:val="27"/>
          <w:szCs w:val="27"/>
          <w:lang w:val="es-MX"/>
        </w:rPr>
      </w:pPr>
      <w:r w:rsidRPr="00F635D2">
        <w:rPr>
          <w:rFonts w:ascii="Arial" w:hAnsi="Arial" w:eastAsia="Times New Roman" w:cs="Arial"/>
          <w:b/>
          <w:bCs/>
          <w:color w:val="333333"/>
          <w:sz w:val="27"/>
          <w:szCs w:val="27"/>
          <w:lang w:val="es-MX"/>
        </w:rPr>
        <w:t xml:space="preserve">Complemento a los intermediarios </w:t>
      </w:r>
      <w:proofErr w:type="spellStart"/>
      <w:r w:rsidRPr="00F635D2">
        <w:rPr>
          <w:rFonts w:ascii="Arial" w:hAnsi="Arial" w:eastAsia="Times New Roman" w:cs="Arial"/>
          <w:b/>
          <w:bCs/>
          <w:color w:val="333333"/>
          <w:sz w:val="27"/>
          <w:szCs w:val="27"/>
          <w:lang w:val="es-MX"/>
        </w:rPr>
        <w:t>fiancieros</w:t>
      </w:r>
      <w:proofErr w:type="spellEnd"/>
      <w:r w:rsidRPr="00F635D2">
        <w:rPr>
          <w:rFonts w:ascii="Arial" w:hAnsi="Arial" w:eastAsia="Times New Roman" w:cs="Arial"/>
          <w:b/>
          <w:bCs/>
          <w:color w:val="333333"/>
          <w:sz w:val="27"/>
          <w:szCs w:val="27"/>
          <w:lang w:val="es-MX"/>
        </w:rPr>
        <w:t xml:space="preserve"> privados</w:t>
      </w:r>
    </w:p>
    <w:p w:rsidRPr="00F635D2" w:rsidR="00F635D2" w:rsidP="00F635D2" w:rsidRDefault="00F635D2" w14:paraId="26E9A60C" w14:textId="77777777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color w:val="000000"/>
          <w:lang w:val="es-MX"/>
        </w:rPr>
        <w:t>La Banca de Desarrollo busca llegar a su población objetivo a través de los Intermediarios Financieros Privados (IFP) ya sea con fondeo o garantías. Al mes de septiembre 2010, la Banca de Fomento mantiene operación con 479 IFP, 168 IFP más en operación que los que se tenían al mes de septiembre de 2007.</w:t>
      </w:r>
    </w:p>
    <w:p w:rsidRPr="00F635D2" w:rsidR="00F635D2" w:rsidP="00F635D2" w:rsidRDefault="00F635D2" w14:paraId="6C93E18A" w14:textId="2A829329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color w:val="000000"/>
          <w:sz w:val="14"/>
          <w:szCs w:val="14"/>
        </w:rPr>
      </w:pPr>
      <w:r w:rsidR="00F635D2">
        <w:drawing>
          <wp:inline wp14:editId="6839F981" wp14:anchorId="2186183F">
            <wp:extent cx="5715000" cy="2468880"/>
            <wp:effectExtent l="0" t="0" r="0" b="7620"/>
            <wp:docPr id="478913917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6c79c67d7ce54b5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1500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635D2" w:rsidR="00F635D2" w:rsidP="00F635D2" w:rsidRDefault="00F635D2" w14:paraId="00405A68" w14:textId="77777777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color w:val="000000"/>
          <w:lang w:val="es-MX"/>
        </w:rPr>
        <w:t xml:space="preserve">En los últimos años, se ha </w:t>
      </w:r>
      <w:proofErr w:type="spellStart"/>
      <w:r w:rsidRPr="00F635D2">
        <w:rPr>
          <w:rFonts w:ascii="Arial" w:hAnsi="Arial" w:eastAsia="Times New Roman" w:cs="Arial"/>
          <w:color w:val="000000"/>
          <w:lang w:val="es-MX"/>
        </w:rPr>
        <w:t>buscando</w:t>
      </w:r>
      <w:proofErr w:type="spellEnd"/>
      <w:r w:rsidRPr="00F635D2">
        <w:rPr>
          <w:rFonts w:ascii="Arial" w:hAnsi="Arial" w:eastAsia="Times New Roman" w:cs="Arial"/>
          <w:color w:val="000000"/>
          <w:lang w:val="es-MX"/>
        </w:rPr>
        <w:t xml:space="preserve"> incrementar la coordinación con los Intermediarios Financieros No Bancarios (</w:t>
      </w:r>
      <w:proofErr w:type="spellStart"/>
      <w:r w:rsidRPr="00F635D2">
        <w:rPr>
          <w:rFonts w:ascii="Arial" w:hAnsi="Arial" w:eastAsia="Times New Roman" w:cs="Arial"/>
          <w:color w:val="000000"/>
          <w:lang w:val="es-MX"/>
        </w:rPr>
        <w:t>IFNB´s</w:t>
      </w:r>
      <w:proofErr w:type="spellEnd"/>
      <w:r w:rsidRPr="00F635D2">
        <w:rPr>
          <w:rFonts w:ascii="Arial" w:hAnsi="Arial" w:eastAsia="Times New Roman" w:cs="Arial"/>
          <w:color w:val="000000"/>
          <w:lang w:val="es-MX"/>
        </w:rPr>
        <w:t xml:space="preserve">) que tengan la capacidad de atender a su población objetivo, </w:t>
      </w:r>
      <w:r w:rsidRPr="00F635D2">
        <w:rPr>
          <w:rFonts w:ascii="Arial" w:hAnsi="Arial" w:eastAsia="Times New Roman" w:cs="Arial"/>
          <w:color w:val="000000"/>
          <w:lang w:val="es-MX"/>
        </w:rPr>
        <w:lastRenderedPageBreak/>
        <w:t>y que por ende sean vehículos propicios para hacerles llegar financiamiento. Entre éstos están, SOFOLES y SOFOMES, Uniones de Crédito, Cajas y Cooperativas, Empresas de Factoraje, Arrendadoras, entre otros.</w:t>
      </w:r>
    </w:p>
    <w:p w:rsidRPr="00F635D2" w:rsidR="00F635D2" w:rsidP="00F635D2" w:rsidRDefault="00F635D2" w14:paraId="3FD8F138" w14:textId="77777777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color w:val="000000"/>
          <w:lang w:val="es-MX"/>
        </w:rPr>
        <w:t xml:space="preserve">De esta forma, entre septiembre de 2007 y septiembre 2010, el número de intermediarios financieros no bancarios, a través de los cuales la Banca de Desarrollo canaliza recursos pasó de 246 a 402. El saldo de la cartera de crédito y garantías a estos intermediarios se incrementó en el mismo periodo en 43 mil millones de pesos, esto es 38% en términos reales. Destaca el crecimiento en el saldo de crédito de la Banca de Desarrollo a Uniones de Crédito y Sofoles y </w:t>
      </w:r>
      <w:proofErr w:type="spellStart"/>
      <w:r w:rsidRPr="00F635D2">
        <w:rPr>
          <w:rFonts w:ascii="Arial" w:hAnsi="Arial" w:eastAsia="Times New Roman" w:cs="Arial"/>
          <w:color w:val="000000"/>
          <w:lang w:val="es-MX"/>
        </w:rPr>
        <w:t>Sofomes</w:t>
      </w:r>
      <w:proofErr w:type="spellEnd"/>
      <w:r w:rsidRPr="00F635D2">
        <w:rPr>
          <w:rFonts w:ascii="Arial" w:hAnsi="Arial" w:eastAsia="Times New Roman" w:cs="Arial"/>
          <w:color w:val="000000"/>
          <w:lang w:val="es-MX"/>
        </w:rPr>
        <w:t>, que de septiembre 2007 a septiembre 2010 se incrementó en 68% y 69% real respectivamente.</w:t>
      </w: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Pr="00F635D2" w:rsidR="00F635D2" w:rsidTr="7B6ED46E" w14:paraId="30142EBC" w14:textId="77777777">
        <w:trPr>
          <w:tblCellSpacing w:w="15" w:type="dxa"/>
          <w:jc w:val="center"/>
        </w:trPr>
        <w:tc>
          <w:tcPr>
            <w:tcW w:w="0" w:type="auto"/>
            <w:tcMar/>
            <w:vAlign w:val="center"/>
            <w:hideMark/>
          </w:tcPr>
          <w:p w:rsidRPr="00F635D2" w:rsidR="00F635D2" w:rsidP="00F635D2" w:rsidRDefault="00F635D2" w14:paraId="00AAB5FC" w14:textId="2E14E66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pPr>
            <w:r w:rsidR="00F635D2">
              <w:drawing>
                <wp:inline wp14:editId="16124A65" wp14:anchorId="305CE4E8">
                  <wp:extent cx="5715000" cy="3573780"/>
                  <wp:effectExtent l="0" t="0" r="0" b="7620"/>
                  <wp:docPr id="39564327" name="Picture 2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2"/>
                          <pic:cNvPicPr/>
                        </pic:nvPicPr>
                        <pic:blipFill>
                          <a:blip r:embed="R37c3dbf9fed44cc4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5715000" cy="357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F635D2" w:rsidR="00F635D2" w:rsidTr="7B6ED46E" w14:paraId="036FB8A6" w14:textId="77777777">
        <w:trPr>
          <w:tblCellSpacing w:w="15" w:type="dxa"/>
          <w:jc w:val="center"/>
        </w:trPr>
        <w:tc>
          <w:tcPr>
            <w:tcW w:w="0" w:type="auto"/>
            <w:tcMar/>
            <w:vAlign w:val="center"/>
            <w:hideMark/>
          </w:tcPr>
          <w:p w:rsidRPr="00F635D2" w:rsidR="00F635D2" w:rsidP="00F635D2" w:rsidRDefault="00F635D2" w14:paraId="11519FE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7"/>
                <w:szCs w:val="27"/>
              </w:rPr>
            </w:pPr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*/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Incluye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: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Almacenadoras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Entidades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de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Fomento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Comercializadoras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de Gas,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Sociedades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Cooperativas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de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Ahorro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y Préstamo y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Sociedades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>Financieras</w:t>
            </w:r>
            <w:proofErr w:type="spellEnd"/>
            <w:r w:rsidRPr="00F635D2">
              <w:rPr>
                <w:rFonts w:ascii="Arial" w:hAnsi="Arial" w:eastAsia="Times New Roman" w:cs="Arial"/>
                <w:color w:val="000000"/>
                <w:sz w:val="14"/>
                <w:szCs w:val="14"/>
              </w:rPr>
              <w:t xml:space="preserve"> Populares</w:t>
            </w:r>
          </w:p>
        </w:tc>
      </w:tr>
    </w:tbl>
    <w:p w:rsidRPr="00F635D2" w:rsidR="00F635D2" w:rsidP="00F635D2" w:rsidRDefault="00F635D2" w14:paraId="700B66B8" w14:textId="77777777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b/>
          <w:bCs/>
          <w:color w:val="333333"/>
          <w:sz w:val="27"/>
          <w:szCs w:val="27"/>
        </w:rPr>
      </w:pPr>
      <w:proofErr w:type="spellStart"/>
      <w:r w:rsidRPr="00F635D2">
        <w:rPr>
          <w:rFonts w:ascii="Arial" w:hAnsi="Arial" w:eastAsia="Times New Roman" w:cs="Arial"/>
          <w:b/>
          <w:bCs/>
          <w:color w:val="333333"/>
          <w:sz w:val="27"/>
          <w:szCs w:val="27"/>
        </w:rPr>
        <w:t>Financiamiento</w:t>
      </w:r>
      <w:proofErr w:type="spellEnd"/>
      <w:r w:rsidRPr="00F635D2">
        <w:rPr>
          <w:rFonts w:ascii="Arial" w:hAnsi="Arial" w:eastAsia="Times New Roman" w:cs="Arial"/>
          <w:b/>
          <w:bCs/>
          <w:color w:val="333333"/>
          <w:sz w:val="27"/>
          <w:szCs w:val="27"/>
        </w:rPr>
        <w:t xml:space="preserve"> de largo </w:t>
      </w:r>
      <w:proofErr w:type="spellStart"/>
      <w:r w:rsidRPr="00F635D2">
        <w:rPr>
          <w:rFonts w:ascii="Arial" w:hAnsi="Arial" w:eastAsia="Times New Roman" w:cs="Arial"/>
          <w:b/>
          <w:bCs/>
          <w:color w:val="333333"/>
          <w:sz w:val="27"/>
          <w:szCs w:val="27"/>
        </w:rPr>
        <w:t>plazo</w:t>
      </w:r>
      <w:proofErr w:type="spellEnd"/>
    </w:p>
    <w:p w:rsidRPr="00F635D2" w:rsidR="00F635D2" w:rsidP="00F635D2" w:rsidRDefault="00F635D2" w14:paraId="0070A210" w14:textId="38CAFE16">
      <w:pPr>
        <w:spacing w:before="100" w:beforeAutospacing="1" w:after="100" w:afterAutospacing="1" w:line="240" w:lineRule="auto"/>
        <w:jc w:val="both"/>
        <w:rPr>
          <w:rFonts w:ascii="Arial" w:hAnsi="Arial" w:eastAsia="Times New Roman" w:cs="Arial"/>
          <w:color w:val="000000"/>
          <w:lang w:val="es-MX"/>
        </w:rPr>
      </w:pPr>
      <w:r w:rsidRPr="00F635D2">
        <w:rPr>
          <w:rFonts w:ascii="Arial" w:hAnsi="Arial" w:eastAsia="Times New Roman" w:cs="Arial"/>
          <w:color w:val="000000"/>
          <w:lang w:val="es-MX"/>
        </w:rPr>
        <w:t>En los últimos 12 meses, el plazo promedio de la cartera de las instituciones de Banca de Desarrollo del sector empresarial y del sector rural en su conjunto, se incrementó en 14%, pasando de un plazo promedio de su cartera de 2.5 años en septiembre 2009 a casi 3 años en septiembre 2010. Por su parte, la cartera de Banobras y la SHF, dada la naturaleza del tipo de proyectos que financian, han mantenido durante el último año un plazo promedio de su cartera de 13 y 17 años respectivamente.</w:t>
      </w:r>
    </w:p>
    <w:p w:rsidRPr="00F635D2" w:rsidR="00F635D2" w:rsidP="00F635D2" w:rsidRDefault="00F635D2" w14:paraId="7C05E965" w14:textId="5B024816">
      <w:pPr>
        <w:spacing w:before="100" w:beforeAutospacing="1" w:after="100" w:afterAutospacing="1" w:line="240" w:lineRule="auto"/>
        <w:jc w:val="center"/>
        <w:rPr>
          <w:rFonts w:ascii="Arial" w:hAnsi="Arial" w:eastAsia="Times New Roman" w:cs="Arial"/>
          <w:color w:val="000000"/>
          <w:sz w:val="14"/>
          <w:szCs w:val="14"/>
        </w:rPr>
      </w:pPr>
      <w:r w:rsidR="00F635D2">
        <w:drawing>
          <wp:inline wp14:editId="502AC1E1" wp14:anchorId="76C65EB6">
            <wp:extent cx="4762502" cy="3947160"/>
            <wp:effectExtent l="0" t="0" r="0" b="0"/>
            <wp:docPr id="983870706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2041e378158c42a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62502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5D2" w:rsidRDefault="003F422D" w14:paraId="22A99405" w14:textId="22248A94">
      <w:hyperlink w:history="1" r:id="rId18">
        <w:r w:rsidR="00F635D2">
          <w:rPr>
            <w:rStyle w:val="Hyperlink"/>
          </w:rPr>
          <w:t>http://shcp.gob.mx/ApartadosHaciendaParaTodos/banca_desarrollo/index.html</w:t>
        </w:r>
      </w:hyperlink>
    </w:p>
    <w:sectPr w:rsidR="00F635D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26E40"/>
    <w:multiLevelType w:val="multilevel"/>
    <w:tmpl w:val="9ED6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BD23624"/>
    <w:multiLevelType w:val="multilevel"/>
    <w:tmpl w:val="A58A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D7908DA"/>
    <w:multiLevelType w:val="multilevel"/>
    <w:tmpl w:val="8AB6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E6185"/>
    <w:multiLevelType w:val="multilevel"/>
    <w:tmpl w:val="D408C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08B4C52"/>
    <w:multiLevelType w:val="multilevel"/>
    <w:tmpl w:val="3DF6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5D2"/>
    <w:rsid w:val="00021D68"/>
    <w:rsid w:val="00072EB0"/>
    <w:rsid w:val="00325B5B"/>
    <w:rsid w:val="003F422D"/>
    <w:rsid w:val="004A04FA"/>
    <w:rsid w:val="007638EE"/>
    <w:rsid w:val="008B0959"/>
    <w:rsid w:val="00A00047"/>
    <w:rsid w:val="00B479B1"/>
    <w:rsid w:val="00F635D2"/>
    <w:rsid w:val="00FC755C"/>
    <w:rsid w:val="00FE7C13"/>
    <w:rsid w:val="0E5EAC80"/>
    <w:rsid w:val="2BFD41D8"/>
    <w:rsid w:val="7B6ED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A14F"/>
  <w15:chartTrackingRefBased/>
  <w15:docId w15:val="{08DBB2B2-E943-4733-B973-95314695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35D2"/>
    <w:rPr>
      <w:b/>
      <w:bCs/>
    </w:rPr>
  </w:style>
  <w:style w:type="character" w:styleId="imagen" w:customStyle="1">
    <w:name w:val="imagen"/>
    <w:basedOn w:val="DefaultParagraphFont"/>
    <w:rsid w:val="00F635D2"/>
  </w:style>
  <w:style w:type="paragraph" w:styleId="t1" w:customStyle="1">
    <w:name w:val="t1"/>
    <w:basedOn w:val="Normal"/>
    <w:rsid w:val="00F635D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635D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imagen1" w:customStyle="1">
    <w:name w:val="imagen1"/>
    <w:basedOn w:val="Normal"/>
    <w:rsid w:val="00F635D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635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A0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yperlink" Target="http://shcp.gob.mx/ApartadosHaciendaParaTodos/banca_desarrollo/index.html" TargetMode="External" Id="rId18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customXml" Target="../customXml/item5.xml" Id="rId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image" Target="/media/image8.jpg" Id="Rcc025c22ac214c41" /><Relationship Type="http://schemas.openxmlformats.org/officeDocument/2006/relationships/image" Target="/media/image9.jpg" Id="R3480f32c299e485b" /><Relationship Type="http://schemas.openxmlformats.org/officeDocument/2006/relationships/image" Target="/media/imagea.jpg" Id="R7b598f644d46452e" /><Relationship Type="http://schemas.openxmlformats.org/officeDocument/2006/relationships/image" Target="/media/imageb.jpg" Id="Rfc7ed313728c4238" /><Relationship Type="http://schemas.openxmlformats.org/officeDocument/2006/relationships/image" Target="/media/imagec.jpg" Id="R6c79c67d7ce54b56" /><Relationship Type="http://schemas.openxmlformats.org/officeDocument/2006/relationships/image" Target="/media/imaged.jpg" Id="R37c3dbf9fed44cc4" /><Relationship Type="http://schemas.openxmlformats.org/officeDocument/2006/relationships/image" Target="/media/imagee.jpg" Id="R2041e378158c42a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2D1FEB6A15E734391F4430B1F48A51E" ma:contentTypeVersion="2701" ma:contentTypeDescription="A content type to manage public (operations) IDB documents" ma:contentTypeScope="" ma:versionID="d04e90e49d6917e11cf9388d6323c91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d317d3dcbfcddf862c85790bca755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14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3178/OC-ME;3179/TC-ME;</Approval_x0020_Number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FINANCING</TermName>
          <TermId xmlns="http://schemas.microsoft.com/office/infopath/2007/PartnerControls">0721090b-7598-4438-912e-9210b5215a71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CTF</TermName>
          <TermId xmlns="http://schemas.microsoft.com/office/infopath/2007/PartnerControls">09590cec-0e26-4757-bcca-8a4fab00b407</TermId>
        </TermInfo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54</Value>
      <Value>24</Value>
      <Value>37</Value>
      <Value>36</Value>
      <Value>1</Value>
      <Value>19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ME-L1148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_dlc_DocId xmlns="cdc7663a-08f0-4737-9e8c-148ce897a09c">EZSHARE-567788752-68</_dlc_DocId>
    <_dlc_DocIdUrl xmlns="cdc7663a-08f0-4737-9e8c-148ce897a09c">
      <Url>https://idbg.sharepoint.com/teams/EZ-ME-LON/ME-L1148/_layouts/15/DocIdRedir.aspx?ID=EZSHARE-567788752-68</Url>
      <Description>EZSHARE-567788752-68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1F23E0-EF9B-4343-B94D-3117DD6D83B9}"/>
</file>

<file path=customXml/itemProps2.xml><?xml version="1.0" encoding="utf-8"?>
<ds:datastoreItem xmlns:ds="http://schemas.openxmlformats.org/officeDocument/2006/customXml" ds:itemID="{6A8B2880-7D1F-4B08-B156-8190B9C639E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730D5C-9654-4F66-8422-8FF1CB11C2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0EEA-9689-4B58-929E-6B39A384E125}"/>
</file>

<file path=customXml/itemProps5.xml><?xml version="1.0" encoding="utf-8"?>
<ds:datastoreItem xmlns:ds="http://schemas.openxmlformats.org/officeDocument/2006/customXml" ds:itemID="{B0D9241B-E377-4E31-9AC5-90A30DABA1FF}"/>
</file>

<file path=customXml/itemProps6.xml><?xml version="1.0" encoding="utf-8"?>
<ds:datastoreItem xmlns:ds="http://schemas.openxmlformats.org/officeDocument/2006/customXml" ds:itemID="{350ABE2A-DD06-4412-9386-A0F59502CC97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Riquelme Arriola, Leticia</dc:creator>
  <cp:keywords/>
  <dc:description/>
  <cp:lastModifiedBy>Porras Herrera, Fanny Eliana</cp:lastModifiedBy>
  <cp:revision>9</cp:revision>
  <dcterms:created xsi:type="dcterms:W3CDTF">2020-04-24T21:08:00Z</dcterms:created>
  <dcterms:modified xsi:type="dcterms:W3CDTF">2020-07-15T16:38:09Z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37;#CLIMATE CHANGE FINANCING|0721090b-7598-4438-912e-9210b5215a71</vt:lpwstr>
  </property>
  <property fmtid="{D5CDD505-2E9C-101B-9397-08002B2CF9AE}" pid="7" name="Fund IDB">
    <vt:lpwstr>54;#CTF|09590cec-0e26-4757-bcca-8a4fab00b407;#24;#ORC|c028a4b2-ad8b-4cf4-9cac-a2ae6a778e23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36;#ENVIRONMENT AND NATURAL DISASTERS|261e2b33-090b-4ab0-8e06-3aa3e7f32d57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8c063793-a55b-4a07-a54d-83c37c622917</vt:lpwstr>
  </property>
  <property fmtid="{D5CDD505-2E9C-101B-9397-08002B2CF9AE}" pid="12" name="ContentTypeId">
    <vt:lpwstr>0x0101001A458A224826124E8B45B1D613300CFC0072D1FEB6A15E734391F4430B1F48A51E</vt:lpwstr>
  </property>
</Properties>
</file>