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046E14" w:rsidR="007552B4" w:rsidP="007552B4" w:rsidRDefault="007552B4" w14:paraId="2C0C2F73" w14:textId="77777777">
      <w:pPr>
        <w:tabs>
          <w:tab w:val="left" w:pos="1440"/>
          <w:tab w:val="left" w:pos="3060"/>
        </w:tabs>
        <w:spacing w:line="240" w:lineRule="auto"/>
        <w:jc w:val="center"/>
        <w:rPr>
          <w:rFonts w:ascii="Arial" w:hAnsi="Arial" w:cs="Arial"/>
          <w:b/>
          <w:smallCaps/>
          <w:sz w:val="28"/>
          <w:szCs w:val="28"/>
        </w:rPr>
      </w:pPr>
      <w:r>
        <w:rPr>
          <w:rFonts w:ascii="Arial" w:hAnsi="Arial" w:cs="Arial"/>
          <w:b/>
          <w:smallCaps/>
          <w:sz w:val="28"/>
          <w:szCs w:val="28"/>
        </w:rPr>
        <w:t>México</w:t>
      </w:r>
    </w:p>
    <w:p w:rsidRPr="003A148A" w:rsidR="003A148A" w:rsidP="003A148A" w:rsidRDefault="003A148A" w14:paraId="7D1301BE" w14:textId="77777777">
      <w:pPr>
        <w:jc w:val="center"/>
        <w:rPr>
          <w:rFonts w:ascii="Arial" w:hAnsi="Arial" w:eastAsia="Times New Roman" w:cs="Arial"/>
          <w:b/>
          <w:bCs/>
          <w:smallCaps/>
          <w:sz w:val="28"/>
          <w:szCs w:val="28"/>
          <w:lang w:eastAsia="es-ES"/>
        </w:rPr>
      </w:pPr>
      <w:r w:rsidRPr="003A148A">
        <w:rPr>
          <w:rFonts w:ascii="Arial" w:hAnsi="Arial" w:eastAsia="Times New Roman" w:cs="Arial"/>
          <w:b/>
          <w:bCs/>
          <w:smallCaps/>
          <w:sz w:val="28"/>
          <w:szCs w:val="28"/>
          <w:lang w:eastAsia="es-ES"/>
        </w:rPr>
        <w:t>Reformulación del Programa de Financiamiento y Transferencia de Riesgos para Geotermia para financiar el Programa Global de Crédito para la Defensa del Tejido Productivo y el Empleo</w:t>
      </w:r>
    </w:p>
    <w:p w:rsidRPr="003A148A" w:rsidR="003A148A" w:rsidP="003A148A" w:rsidRDefault="003A148A" w14:paraId="5D36D2DA" w14:textId="77777777">
      <w:pPr>
        <w:jc w:val="center"/>
        <w:rPr>
          <w:rFonts w:ascii="Arial" w:hAnsi="Arial" w:eastAsia="Times New Roman" w:cs="Arial"/>
          <w:b/>
          <w:bCs/>
          <w:smallCaps/>
          <w:sz w:val="28"/>
          <w:szCs w:val="28"/>
          <w:lang w:eastAsia="es-ES"/>
        </w:rPr>
      </w:pPr>
    </w:p>
    <w:p w:rsidRPr="003A148A" w:rsidR="003A148A" w:rsidP="42A94690" w:rsidRDefault="003A148A" w14:paraId="1B43E6B7" w14:textId="77777777" w14:noSpellErr="1">
      <w:pPr>
        <w:jc w:val="center"/>
        <w:rPr>
          <w:rFonts w:ascii="Arial" w:hAnsi="Arial" w:eastAsia="Times New Roman" w:cs="Arial"/>
          <w:b w:val="1"/>
          <w:bCs w:val="1"/>
          <w:smallCaps w:val="1"/>
          <w:sz w:val="22"/>
          <w:szCs w:val="22"/>
          <w:lang w:eastAsia="es-ES"/>
        </w:rPr>
      </w:pPr>
      <w:r w:rsidRPr="42A94690" w:rsidR="003A148A">
        <w:rPr>
          <w:rFonts w:ascii="Arial" w:hAnsi="Arial" w:eastAsia="Times New Roman" w:cs="Arial"/>
          <w:b w:val="1"/>
          <w:bCs w:val="1"/>
          <w:smallCaps w:val="1"/>
          <w:sz w:val="22"/>
          <w:szCs w:val="22"/>
          <w:lang w:eastAsia="es-ES"/>
        </w:rPr>
        <w:t>(Modificación del Contrato de Préstamo No. 3178/OC-ME y de las Resoluciones DE-38/14 y DE-41/18)</w:t>
      </w:r>
    </w:p>
    <w:p w:rsidRPr="00FA065A" w:rsidR="0062403A" w:rsidP="00FA065A" w:rsidRDefault="0062403A" w14:paraId="58A1B82D" w14:textId="77777777">
      <w:pPr>
        <w:jc w:val="center"/>
        <w:rPr>
          <w:rStyle w:val="normaltextrun"/>
          <w:rFonts w:ascii="Arial" w:hAnsi="Arial" w:eastAsia="Times New Roman" w:cs="Arial"/>
          <w:b/>
          <w:bCs/>
          <w:smallCaps/>
          <w:sz w:val="20"/>
          <w:szCs w:val="20"/>
          <w:lang w:eastAsia="es-ES"/>
        </w:rPr>
      </w:pPr>
    </w:p>
    <w:p w:rsidR="00FA065A" w:rsidP="00FA065A" w:rsidRDefault="0062403A" w14:paraId="4F2369F8" w14:textId="07E14A91">
      <w:pPr>
        <w:jc w:val="center"/>
        <w:rPr>
          <w:rStyle w:val="normaltextrun"/>
          <w:rFonts w:ascii="Arial" w:hAnsi="Arial" w:eastAsia="Times New Roman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hAnsi="Arial" w:eastAsia="Times New Roman" w:cs="Arial"/>
          <w:b/>
          <w:bCs/>
          <w:smallCaps/>
          <w:sz w:val="20"/>
          <w:szCs w:val="20"/>
          <w:lang w:eastAsia="es-ES"/>
        </w:rPr>
        <w:t>R</w:t>
      </w:r>
      <w:r w:rsidRPr="00FA065A" w:rsidR="00FA065A">
        <w:rPr>
          <w:rStyle w:val="normaltextrun"/>
          <w:rFonts w:ascii="Arial" w:hAnsi="Arial" w:eastAsia="Times New Roman" w:cs="Arial"/>
          <w:b/>
          <w:bCs/>
          <w:smallCaps/>
          <w:sz w:val="20"/>
          <w:szCs w:val="20"/>
          <w:lang w:eastAsia="es-ES"/>
        </w:rPr>
        <w:t>EFERENCIAS BIBLIOGRÁFICAS</w:t>
      </w:r>
    </w:p>
    <w:p w:rsidR="00095598" w:rsidP="00FA065A" w:rsidRDefault="00095598" w14:paraId="2E3DA990" w14:textId="77777777">
      <w:pPr>
        <w:jc w:val="center"/>
        <w:rPr>
          <w:rStyle w:val="normaltextrun"/>
          <w:rFonts w:ascii="Arial" w:hAnsi="Arial" w:eastAsia="Times New Roman" w:cs="Arial"/>
          <w:b/>
          <w:bCs/>
          <w:smallCaps/>
          <w:sz w:val="20"/>
          <w:szCs w:val="20"/>
          <w:lang w:eastAsia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7851"/>
      </w:tblGrid>
      <w:tr w:rsidRPr="003A148A" w:rsidR="004F2C7D" w:rsidTr="592264BC" w14:paraId="7A76DB0F" w14:textId="77777777">
        <w:tc>
          <w:tcPr>
            <w:tcW w:w="1165" w:type="dxa"/>
            <w:vAlign w:val="center"/>
          </w:tcPr>
          <w:p w:rsidRPr="004F2C7D" w:rsidR="004F2C7D" w:rsidP="004F2C7D" w:rsidRDefault="004F2C7D" w14:paraId="197241ED" w14:textId="089DCC0B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791309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1</w:t>
            </w: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Pr="00791309" w:rsidR="004F2C7D" w:rsidP="004458FE" w:rsidRDefault="00791309" w14:paraId="4F57E847" w14:textId="1D01030A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jc w:val="both"/>
              <w:rPr>
                <w:rStyle w:val="normaltextrun"/>
                <w:rFonts w:ascii="Arial" w:hAnsi="Arial" w:eastAsia="Times New Roman" w:cs="Arial"/>
                <w:smallCaps/>
                <w:sz w:val="20"/>
                <w:szCs w:val="20"/>
                <w:lang w:val="en-US" w:eastAsia="es-ES"/>
              </w:rPr>
            </w:pP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>W</w:t>
            </w:r>
            <w:r w:rsidR="00C473A3">
              <w:rPr>
                <w:rFonts w:ascii="Arial" w:hAnsi="Arial" w:cs="Arial"/>
                <w:sz w:val="18"/>
                <w:szCs w:val="18"/>
                <w:lang w:val="en-US"/>
              </w:rPr>
              <w:t xml:space="preserve">orld 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="00C473A3">
              <w:rPr>
                <w:rFonts w:ascii="Arial" w:hAnsi="Arial" w:cs="Arial"/>
                <w:sz w:val="18"/>
                <w:szCs w:val="18"/>
                <w:lang w:val="en-US"/>
              </w:rPr>
              <w:t xml:space="preserve">ealth 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="00C473A3">
              <w:rPr>
                <w:rFonts w:ascii="Arial" w:hAnsi="Arial" w:cs="Arial"/>
                <w:sz w:val="18"/>
                <w:szCs w:val="18"/>
                <w:lang w:val="en-US"/>
              </w:rPr>
              <w:t>rganization</w:t>
            </w:r>
            <w:r w:rsidR="009A1D92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w:history="1" r:id="rId12">
              <w:r w:rsidRPr="003B003D" w:rsidR="00C86C1B">
                <w:rPr>
                  <w:rStyle w:val="Hyperlink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Coronavirus Disease</w:t>
              </w:r>
              <w:r w:rsidRPr="003B003D" w:rsidR="00C86C1B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 xml:space="preserve"> (</w:t>
              </w:r>
              <w:r w:rsidRPr="003B003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COVID-19</w:t>
              </w:r>
              <w:r w:rsidRPr="003B003D" w:rsidR="00C86C1B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 xml:space="preserve">) </w:t>
              </w:r>
              <w:r w:rsidRPr="003B003D">
                <w:rPr>
                  <w:rStyle w:val="Hyperlink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Dashboard</w:t>
              </w:r>
            </w:hyperlink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5767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Pr="004F2C7D" w:rsidR="000809D3" w:rsidTr="592264BC" w14:paraId="50B9C998" w14:textId="77777777">
        <w:tc>
          <w:tcPr>
            <w:tcW w:w="1165" w:type="dxa"/>
            <w:vAlign w:val="center"/>
          </w:tcPr>
          <w:p w:rsidRPr="004F2C7D" w:rsidR="000809D3" w:rsidP="004F2C7D" w:rsidRDefault="000809D3" w14:paraId="7D1A37C1" w14:textId="28A96849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3F6A8F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2</w:t>
            </w:r>
            <w:r w:rsidRPr="7491CD83"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Pr="005C4B18" w:rsidR="00CE2655" w:rsidP="004458FE" w:rsidRDefault="003A148A" w14:paraId="71D9EF2F" w14:textId="01B5F17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Fonts w:ascii="Arial" w:hAnsi="Arial" w:cs="Arial"/>
                <w:sz w:val="20"/>
                <w:szCs w:val="20"/>
              </w:rPr>
            </w:pPr>
            <w:hyperlink w:history="1" r:id="rId13">
              <w:r w:rsidR="002208B2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 xml:space="preserve">COVID-19 </w:t>
              </w:r>
              <w:r w:rsidRPr="00883C9F" w:rsidR="002208B2">
                <w:rPr>
                  <w:rStyle w:val="Hyperlink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Situation in the Region of the Americas</w:t>
              </w:r>
              <w:r w:rsidRPr="00883C9F" w:rsidR="002208B2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  <w:lang w:val="en-US"/>
                </w:rPr>
                <w:t xml:space="preserve">. </w:t>
              </w:r>
            </w:hyperlink>
            <w:proofErr w:type="spellStart"/>
            <w:r w:rsidRPr="00883C9F" w:rsidR="002208B2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en-US"/>
              </w:rPr>
              <w:t>Reporte</w:t>
            </w:r>
            <w:proofErr w:type="spellEnd"/>
            <w:r w:rsidRPr="00883C9F" w:rsidR="002208B2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en-US"/>
              </w:rPr>
              <w:t xml:space="preserve"> de Pan American Health Organization (PAHO)</w:t>
            </w:r>
            <w:r w:rsidR="002208B2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en-US"/>
              </w:rPr>
              <w:t>.</w:t>
            </w:r>
          </w:p>
        </w:tc>
      </w:tr>
      <w:tr w:rsidRPr="003A148A" w:rsidR="004F2C7D" w:rsidTr="592264BC" w14:paraId="30AD41C2" w14:textId="77777777">
        <w:tc>
          <w:tcPr>
            <w:tcW w:w="1165" w:type="dxa"/>
            <w:vAlign w:val="center"/>
          </w:tcPr>
          <w:p w:rsidRPr="004F2C7D" w:rsidR="004F2C7D" w:rsidP="004F2C7D" w:rsidRDefault="004F2C7D" w14:paraId="3CBEC489" w14:textId="06128B65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1A29AA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3</w:t>
            </w: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Pr="00853231" w:rsidR="004F2C7D" w:rsidP="004458FE" w:rsidRDefault="00F11947" w14:paraId="7D869FCC" w14:textId="15C0A03C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rPr>
                <w:rStyle w:val="normaltextrun"/>
                <w:rFonts w:ascii="Arial" w:hAnsi="Arial" w:eastAsia="Times New Roman" w:cs="Arial"/>
                <w:smallCaps/>
                <w:sz w:val="20"/>
                <w:szCs w:val="20"/>
                <w:lang w:val="en-US" w:eastAsia="es-E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WHO COVID-19 </w:t>
            </w:r>
            <w:r w:rsidRPr="000D0FA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Country Preparedness and Response Status for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COVID-19.</w:t>
            </w:r>
          </w:p>
        </w:tc>
      </w:tr>
      <w:tr w:rsidRPr="001A3199" w:rsidR="004F2C7D" w:rsidTr="592264BC" w14:paraId="27B6F6FE" w14:textId="77777777">
        <w:tc>
          <w:tcPr>
            <w:tcW w:w="1165" w:type="dxa"/>
            <w:vAlign w:val="center"/>
          </w:tcPr>
          <w:p w:rsidRPr="004F2C7D" w:rsidR="004F2C7D" w:rsidP="004F2C7D" w:rsidRDefault="004F2C7D" w14:paraId="31C7491D" w14:textId="107A5120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DB0B45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4</w:t>
            </w: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Pr="00853231" w:rsidR="000809D3" w:rsidP="004458FE" w:rsidRDefault="003A148A" w14:paraId="454CA085" w14:textId="75629D1F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hAnsi="Arial" w:eastAsia="Times New Roman" w:cs="Arial"/>
                <w:smallCaps/>
                <w:sz w:val="20"/>
                <w:szCs w:val="20"/>
                <w:lang w:val="en-US" w:eastAsia="es-ES"/>
              </w:rPr>
            </w:pPr>
            <w:hyperlink w:history="1" r:id="rId14">
              <w:r w:rsidRPr="00B634AE" w:rsidR="00DB0B45">
                <w:rPr>
                  <w:rStyle w:val="Hyperlink"/>
                  <w:rFonts w:ascii="Arial" w:hAnsi="Arial" w:cs="Arial"/>
                  <w:sz w:val="18"/>
                  <w:szCs w:val="18"/>
                </w:rPr>
                <w:t>Comunicado de CEPAL</w:t>
              </w:r>
            </w:hyperlink>
            <w:r w:rsidRPr="00B634AE" w:rsidR="00DB0B45">
              <w:rPr>
                <w:rFonts w:ascii="Arial" w:hAnsi="Arial" w:cs="Arial"/>
                <w:sz w:val="18"/>
                <w:szCs w:val="18"/>
              </w:rPr>
              <w:t xml:space="preserve"> (19 de marzo 2020)</w:t>
            </w:r>
            <w:r w:rsidR="00DB0B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Pr="001A3199" w:rsidR="00DB0B45" w:rsidTr="592264BC" w14:paraId="3251DE96" w14:textId="77777777">
        <w:tc>
          <w:tcPr>
            <w:tcW w:w="1165" w:type="dxa"/>
            <w:vAlign w:val="center"/>
          </w:tcPr>
          <w:p w:rsidRPr="7491CD83" w:rsidR="00DB0B45" w:rsidP="00DB0B45" w:rsidRDefault="00DB0B45" w14:paraId="4E60AA1B" w14:textId="3F86EB47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5</w:t>
            </w: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="00DB0B45" w:rsidP="00DB0B45" w:rsidRDefault="00723033" w14:paraId="6D6AB941" w14:textId="4AA79458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</w:pPr>
            <w:r w:rsidRPr="00D933B1">
              <w:rPr>
                <w:rFonts w:ascii="Arial" w:hAnsi="Arial" w:cs="Arial"/>
                <w:sz w:val="18"/>
                <w:szCs w:val="18"/>
              </w:rPr>
              <w:t xml:space="preserve">FMI, </w:t>
            </w:r>
            <w:proofErr w:type="spellStart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>World</w:t>
            </w:r>
            <w:proofErr w:type="spellEnd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>Economic</w:t>
            </w:r>
            <w:proofErr w:type="spellEnd"/>
            <w:r w:rsidRPr="000D0FA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Outlook</w:t>
            </w:r>
            <w:r w:rsidRPr="00D933B1">
              <w:rPr>
                <w:rFonts w:ascii="Arial" w:hAnsi="Arial" w:cs="Arial"/>
                <w:sz w:val="18"/>
                <w:szCs w:val="18"/>
              </w:rPr>
              <w:t xml:space="preserve"> 2020. Para fines comparativos, en 2009, por ejemplo, el PIB de México disminuyó en 5%.</w:t>
            </w:r>
          </w:p>
        </w:tc>
      </w:tr>
      <w:tr w:rsidRPr="001A3199" w:rsidR="00DB0B45" w:rsidTr="592264BC" w14:paraId="21039765" w14:textId="77777777">
        <w:tc>
          <w:tcPr>
            <w:tcW w:w="1165" w:type="dxa"/>
            <w:vAlign w:val="center"/>
          </w:tcPr>
          <w:p w:rsidRPr="7491CD83" w:rsidR="00DB0B45" w:rsidP="00DB0B45" w:rsidRDefault="00DB0B45" w14:paraId="46F16901" w14:textId="35FCD48A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6</w:t>
            </w:r>
            <w:r w:rsidRPr="7491CD83">
              <w:rPr>
                <w:rStyle w:val="normaltextrun"/>
                <w:rFonts w:eastAsia="Times New Roman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="00DB0B45" w:rsidP="00DB0B45" w:rsidRDefault="00DC662A" w14:paraId="36561F82" w14:textId="6E1BD21E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</w:pPr>
            <w:r>
              <w:rPr>
                <w:rFonts w:ascii="Arial" w:hAnsi="Arial" w:cs="Arial"/>
                <w:sz w:val="18"/>
                <w:szCs w:val="18"/>
              </w:rPr>
              <w:t>BID</w:t>
            </w:r>
            <w:r w:rsidR="004D2C63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2020</w:t>
            </w:r>
            <w:r w:rsidR="004D2C63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hyperlink w:history="1" r:id="rId15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El impacto del COVID-19 en las economías de la región (Centroamérica)</w:t>
              </w:r>
            </w:hyperlink>
            <w:r w:rsidRPr="00DC662A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>.</w:t>
            </w:r>
          </w:p>
        </w:tc>
      </w:tr>
      <w:tr w:rsidRPr="004F2C7D" w:rsidR="00D456DA" w:rsidTr="592264BC" w14:paraId="3C68B3FE" w14:textId="77777777">
        <w:tc>
          <w:tcPr>
            <w:tcW w:w="9016" w:type="dxa"/>
            <w:gridSpan w:val="2"/>
            <w:vAlign w:val="center"/>
          </w:tcPr>
          <w:p w:rsidRPr="009E5387" w:rsidR="00D456DA" w:rsidDel="00B24164" w:rsidP="009E5387" w:rsidRDefault="00FC6039" w14:paraId="490E15D7" w14:textId="582BC49A">
            <w:pPr>
              <w:spacing w:before="120" w:after="120"/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</w:pPr>
            <w:r w:rsidRPr="406F3B22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 xml:space="preserve">Referencias </w:t>
            </w:r>
            <w:r w:rsidRPr="406F3B22" w:rsidR="00D456DA"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  <w:t>de</w:t>
            </w:r>
            <w:r w:rsidRPr="406F3B22"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  <w:t xml:space="preserve"> Experiencia del Banco y </w:t>
            </w:r>
            <w:r w:rsidRPr="406F3B22" w:rsidR="00D456DA"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  <w:t>Lecciones Aprendidas</w:t>
            </w:r>
            <w:r w:rsidRPr="406F3B22" w:rsidR="544F9323">
              <w:rPr>
                <w:rStyle w:val="normaltextrun"/>
                <w:rFonts w:eastAsia="Times New Roman"/>
                <w:b/>
                <w:bCs/>
                <w:smallCaps/>
                <w:lang w:eastAsia="es-ES"/>
              </w:rPr>
              <w:t xml:space="preserve"> </w:t>
            </w:r>
          </w:p>
        </w:tc>
      </w:tr>
      <w:tr w:rsidRPr="004F2C7D" w:rsidR="00D456DA" w:rsidTr="592264BC" w14:paraId="379E7C7B" w14:textId="77777777">
        <w:tc>
          <w:tcPr>
            <w:tcW w:w="1165" w:type="dxa"/>
            <w:vAlign w:val="center"/>
          </w:tcPr>
          <w:p w:rsidR="00D456DA" w:rsidP="00D456DA" w:rsidRDefault="00D456DA" w14:paraId="00CCF8DB" w14:textId="3893A398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AF150F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7</w:t>
            </w: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Pr="009F66E0" w:rsidR="00D456DA" w:rsidP="00D456DA" w:rsidRDefault="00D456DA" w14:paraId="110C32A1" w14:textId="52B3308E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Bebczuk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. (2010). Impact Evaluation of the IDB's Liquidity Program for Growth Sustainability, Capital Markets and Financial Institutions Division, Washington, D.C.: BID. </w:t>
            </w:r>
          </w:p>
          <w:p w:rsidRPr="005C4B18" w:rsidR="00D456DA" w:rsidP="00D456DA" w:rsidRDefault="00D456DA" w14:paraId="429E4267" w14:textId="4F6467A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BID (2013).  Evaluación Corporativa: Instrumentos de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Prestamo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Contingente”, Oficina de Evaluación y Supervisión, Washington, D.C.: BID.</w:t>
            </w:r>
          </w:p>
          <w:p w:rsidRPr="005C4B18" w:rsidR="00D456DA" w:rsidP="00D456DA" w:rsidRDefault="00D456DA" w14:paraId="52739817" w14:textId="46D83AEB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 (2016). “Evaluación del trabajo del Grupo BID a través de intermediarios financieros”, Oficina de Evaluación y Supervisión, Washington, D.C.: BID.</w:t>
            </w:r>
          </w:p>
        </w:tc>
      </w:tr>
      <w:tr w:rsidRPr="003A148A" w:rsidR="00D456DA" w:rsidTr="592264BC" w14:paraId="7F8B3824" w14:textId="77777777">
        <w:tc>
          <w:tcPr>
            <w:tcW w:w="1165" w:type="dxa"/>
            <w:vAlign w:val="center"/>
          </w:tcPr>
          <w:p w:rsidR="00D456DA" w:rsidP="00D456DA" w:rsidRDefault="00D456DA" w14:paraId="75A0EFE5" w14:textId="498764DA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AF150F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8</w:t>
            </w: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Pr="005C4B18" w:rsidR="00D456DA" w:rsidP="00D456DA" w:rsidRDefault="00D456DA" w14:paraId="1B501F07" w14:textId="5B0B18F1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“Second - tier Government Banks and Firm Performance.” 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IDB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Working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Series No. IDB - WP - 294.</w:t>
            </w:r>
          </w:p>
          <w:p w:rsidRPr="005C4B18" w:rsidR="00D456DA" w:rsidP="00D456DA" w:rsidRDefault="00D456DA" w14:paraId="07524EDA" w14:textId="55EFA11E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BID. (2014). “Análisis comparativo de las modalidades de apoyo del BID a la PYME: Evaluación de los Resultados en el Sector de la Manufactura en Brasil”, Oficina de Evaluación y Supervisión, Washington D.C.: BID.</w:t>
            </w:r>
          </w:p>
          <w:p w:rsidRPr="009F66E0" w:rsidR="00D456DA" w:rsidP="00D456DA" w:rsidRDefault="00D456DA" w14:paraId="6504CE05" w14:textId="098D65BB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Mills K.G. (2018) Small Businesses and Their Banks: The Impact of the Great Recession. In: Fintech, Small Business &amp; the American Dream. Palgrave Macmillan, Cham.</w:t>
            </w:r>
          </w:p>
          <w:p w:rsidRPr="005C4B18" w:rsidR="00D456DA" w:rsidP="00D456DA" w:rsidRDefault="00D456DA" w14:paraId="10846192" w14:textId="2248374F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Gramigna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 (2012) The Great Recession of 2008–2009, Conventional and Non-conventional U.S. Federal Government Responses and Their Impact on U.S. Small Businesses. In: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Calcagnini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G.,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Favaretto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 xml:space="preserve"> I. (eds) Small Businesses in the Aftermath of the Crisis. </w:t>
            </w:r>
            <w:r w:rsidRPr="005C4B18">
              <w:rPr>
                <w:rFonts w:ascii="Arial" w:hAnsi="Arial" w:cs="Arial"/>
                <w:sz w:val="20"/>
                <w:szCs w:val="20"/>
              </w:rPr>
              <w:t xml:space="preserve">Contributions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Economics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Physica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>, Heidelberg</w:t>
            </w:r>
          </w:p>
          <w:p w:rsidRPr="001A3199" w:rsidR="00D456DA" w:rsidP="00D456DA" w:rsidRDefault="00D456DA" w14:paraId="477E8DA4" w14:textId="03475C74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Chen, Hanson and </w:t>
            </w:r>
            <w:proofErr w:type="spellStart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>Stei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lang w:val="en-US"/>
              </w:rPr>
              <w:t xml:space="preserve">. 2017. “The Decline of Big-Bank Lending to Small Business: Dynamic Impacts on Local Credit and Labor Markets”. </w:t>
            </w:r>
            <w:r w:rsidRPr="001A3199">
              <w:rPr>
                <w:rFonts w:ascii="Arial" w:hAnsi="Arial" w:cs="Arial"/>
                <w:sz w:val="20"/>
                <w:szCs w:val="20"/>
                <w:lang w:val="en-US"/>
              </w:rPr>
              <w:t>NBER Working Paper No. 23843, September 2017.</w:t>
            </w:r>
          </w:p>
          <w:p w:rsidRPr="001A3199" w:rsidR="00D456DA" w:rsidP="00D456DA" w:rsidRDefault="00D456DA" w14:paraId="3A202DD6" w14:textId="3E78571E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Asdrubali</w:t>
            </w:r>
            <w:proofErr w:type="spellEnd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 y Signore. 2015. “</w:t>
            </w:r>
            <w:proofErr w:type="gramStart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The  Economic</w:t>
            </w:r>
            <w:proofErr w:type="gramEnd"/>
            <w:r w:rsidRPr="00853231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  Impact  of  EU  Guarantees  on Credit to SMEs: Evidence from CESEE Countries”. </w:t>
            </w:r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European Economy Discussion Papers, European </w:t>
            </w:r>
            <w:proofErr w:type="spellStart"/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Comission</w:t>
            </w:r>
            <w:proofErr w:type="spellEnd"/>
            <w:r w:rsidRPr="001A3199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.</w:t>
            </w:r>
          </w:p>
        </w:tc>
      </w:tr>
      <w:tr w:rsidRPr="003A148A" w:rsidR="00D456DA" w:rsidTr="592264BC" w14:paraId="5523C5AB" w14:textId="77777777">
        <w:tc>
          <w:tcPr>
            <w:tcW w:w="1165" w:type="dxa"/>
            <w:vAlign w:val="center"/>
          </w:tcPr>
          <w:p w:rsidR="00D456DA" w:rsidP="00D456DA" w:rsidRDefault="00D456DA" w14:paraId="60789466" w14:textId="0B038297">
            <w:pPr>
              <w:spacing w:before="120" w:after="120"/>
              <w:jc w:val="center"/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lastRenderedPageBreak/>
              <w:t>[</w:t>
            </w:r>
            <w:r w:rsidR="00AF150F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9</w:t>
            </w:r>
            <w:r w:rsidRPr="7491CD83">
              <w:rPr>
                <w:rStyle w:val="normaltextrun"/>
                <w:rFonts w:ascii="Arial" w:hAnsi="Arial" w:eastAsia="Times New Roman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:rsidRPr="005C4B18" w:rsidR="00D456DA" w:rsidP="00D456DA" w:rsidRDefault="00D456DA" w14:paraId="5A7AAAF3" w14:textId="0168F58A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BID. (2005). Desencadenar el Crédito: cómo ampliar y estabilizar la banca, Washington, D.C.: BID.  </w:t>
            </w:r>
          </w:p>
          <w:p w:rsidRPr="005C4B18" w:rsidR="00D456DA" w:rsidP="00D456DA" w:rsidRDefault="00D456DA" w14:paraId="40640A95" w14:textId="5967E27F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>BID. (2013). “Bancos públicos de desarrollo: ¿Hacia un nuevo paradigma?” Fernando de Olloqui (ed.). Washington, DC: BID.</w:t>
            </w:r>
          </w:p>
          <w:p w:rsidRPr="005C4B18" w:rsidR="00D456DA" w:rsidP="00D456DA" w:rsidRDefault="00D456DA" w14:paraId="0E75BBB4" w14:textId="51545CAC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Smallridge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y otros. (2013). “El rol de los Bancos Nacionales de Desarrollo en catalizar el financiamiento climático internacional”. Washington, DC: BID. </w:t>
            </w:r>
          </w:p>
          <w:p w:rsidRPr="005C4B18" w:rsidR="00D456DA" w:rsidP="00D456DA" w:rsidRDefault="00D456DA" w14:paraId="08D897C7" w14:textId="61F01C4B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Bueso-Merriam, J., Demichelis, F., Fernández Diez, M. C.,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Giuliodori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David, Rodríguez, Alejandro y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Stucchi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R. (2016). ‘El impacto del Programa de Crédito para el Desarrollo de la Producción y el Empleo en la Provincia de San Juan’,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Discussion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485, Washington D.C.: Banco Interamericano de Desarrollo.</w:t>
            </w:r>
          </w:p>
          <w:p w:rsidRPr="005C4B18" w:rsidR="00D456DA" w:rsidP="00D456DA" w:rsidRDefault="00D456DA" w14:paraId="718A908F" w14:textId="46EA0CAF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4B18">
              <w:rPr>
                <w:rFonts w:ascii="Arial" w:hAnsi="Arial" w:cs="Arial"/>
                <w:sz w:val="20"/>
                <w:szCs w:val="20"/>
              </w:rPr>
              <w:t xml:space="preserve">Bonilla, C. &amp;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Cancino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, C. (2011). 'El impacto del Programa de Capital Semilla del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Sercotecen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Chile',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Working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4B1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5C4B18">
              <w:rPr>
                <w:rFonts w:ascii="Arial" w:hAnsi="Arial" w:cs="Arial"/>
                <w:sz w:val="20"/>
                <w:szCs w:val="20"/>
              </w:rPr>
              <w:t xml:space="preserve"> 279, División de Mercados de Capital e Instituciones Financieras, Washington D.C.: Banco Interamericano de Desarrollo.</w:t>
            </w:r>
          </w:p>
          <w:p w:rsidRPr="009F66E0" w:rsidR="00D456DA" w:rsidP="00D456DA" w:rsidRDefault="00D456DA" w14:paraId="0CE1FFEC" w14:textId="63674118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9F66E0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9F66E0">
              <w:rPr>
                <w:rFonts w:ascii="Arial" w:hAnsi="Arial" w:cs="Arial"/>
                <w:sz w:val="20"/>
                <w:szCs w:val="20"/>
                <w:lang w:val="en-US"/>
              </w:rPr>
              <w:t>'Second-tier Government Banks and Access to Credit: Micro-Evidence from Colombia', Working Paper No. 308, Washington D.C.; Banco Interamericano de Desarrollo.</w:t>
            </w:r>
          </w:p>
        </w:tc>
      </w:tr>
    </w:tbl>
    <w:p w:rsidRPr="009F66E0" w:rsidR="00FA065A" w:rsidP="00F92D82" w:rsidRDefault="00FA065A" w14:paraId="0576BDA4" w14:textId="77777777">
      <w:pPr>
        <w:rPr>
          <w:rStyle w:val="normaltextrun"/>
          <w:rFonts w:ascii="Arial" w:hAnsi="Arial" w:eastAsia="Times New Roman" w:cs="Arial"/>
          <w:b/>
          <w:bCs/>
          <w:smallCaps/>
          <w:sz w:val="20"/>
          <w:szCs w:val="20"/>
          <w:lang w:val="en-US" w:eastAsia="es-ES"/>
        </w:rPr>
      </w:pPr>
    </w:p>
    <w:sectPr w:rsidRPr="009F66E0" w:rsidR="00FA065A" w:rsidSect="001C08F9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9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4E49"/>
    <w:rsid w:val="00026475"/>
    <w:rsid w:val="00046C78"/>
    <w:rsid w:val="00060FBF"/>
    <w:rsid w:val="00066CD6"/>
    <w:rsid w:val="000717D0"/>
    <w:rsid w:val="000730C1"/>
    <w:rsid w:val="000809D3"/>
    <w:rsid w:val="00095598"/>
    <w:rsid w:val="000B021B"/>
    <w:rsid w:val="000C72DA"/>
    <w:rsid w:val="000F5A4A"/>
    <w:rsid w:val="00122C6A"/>
    <w:rsid w:val="00152162"/>
    <w:rsid w:val="00154F26"/>
    <w:rsid w:val="00155D7A"/>
    <w:rsid w:val="00170258"/>
    <w:rsid w:val="001752EE"/>
    <w:rsid w:val="001A29AA"/>
    <w:rsid w:val="001A2F7A"/>
    <w:rsid w:val="001A3199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208B2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A148A"/>
    <w:rsid w:val="003B003D"/>
    <w:rsid w:val="003C34BC"/>
    <w:rsid w:val="003F6A8F"/>
    <w:rsid w:val="0040380B"/>
    <w:rsid w:val="00410395"/>
    <w:rsid w:val="004363F9"/>
    <w:rsid w:val="004458FE"/>
    <w:rsid w:val="00467C24"/>
    <w:rsid w:val="00471072"/>
    <w:rsid w:val="004A4A6C"/>
    <w:rsid w:val="004D1485"/>
    <w:rsid w:val="004D2C63"/>
    <w:rsid w:val="004E2256"/>
    <w:rsid w:val="004F2C7D"/>
    <w:rsid w:val="00530BF9"/>
    <w:rsid w:val="00554183"/>
    <w:rsid w:val="0056641E"/>
    <w:rsid w:val="00571D52"/>
    <w:rsid w:val="0058199E"/>
    <w:rsid w:val="00585B3C"/>
    <w:rsid w:val="005A7D6C"/>
    <w:rsid w:val="005C4B18"/>
    <w:rsid w:val="005D1A5E"/>
    <w:rsid w:val="0062403A"/>
    <w:rsid w:val="00632C35"/>
    <w:rsid w:val="0066045E"/>
    <w:rsid w:val="00661320"/>
    <w:rsid w:val="00723033"/>
    <w:rsid w:val="00754D9D"/>
    <w:rsid w:val="007552B4"/>
    <w:rsid w:val="00762195"/>
    <w:rsid w:val="0078215A"/>
    <w:rsid w:val="007906BD"/>
    <w:rsid w:val="00791309"/>
    <w:rsid w:val="007D29B4"/>
    <w:rsid w:val="007E5CCE"/>
    <w:rsid w:val="008049ED"/>
    <w:rsid w:val="00833499"/>
    <w:rsid w:val="00836B00"/>
    <w:rsid w:val="0084269D"/>
    <w:rsid w:val="00842AEB"/>
    <w:rsid w:val="00853231"/>
    <w:rsid w:val="008750D3"/>
    <w:rsid w:val="00876077"/>
    <w:rsid w:val="008C0004"/>
    <w:rsid w:val="008C1998"/>
    <w:rsid w:val="00900237"/>
    <w:rsid w:val="00914E91"/>
    <w:rsid w:val="00933B04"/>
    <w:rsid w:val="00940866"/>
    <w:rsid w:val="00943C78"/>
    <w:rsid w:val="0094767C"/>
    <w:rsid w:val="00981217"/>
    <w:rsid w:val="009A1D92"/>
    <w:rsid w:val="009A43B3"/>
    <w:rsid w:val="009C233D"/>
    <w:rsid w:val="009E5387"/>
    <w:rsid w:val="009F66E0"/>
    <w:rsid w:val="00A32A0B"/>
    <w:rsid w:val="00A63C89"/>
    <w:rsid w:val="00A770AB"/>
    <w:rsid w:val="00A829D6"/>
    <w:rsid w:val="00A9550E"/>
    <w:rsid w:val="00AF150F"/>
    <w:rsid w:val="00AF5C1D"/>
    <w:rsid w:val="00B24164"/>
    <w:rsid w:val="00B24715"/>
    <w:rsid w:val="00B661A7"/>
    <w:rsid w:val="00BB69F0"/>
    <w:rsid w:val="00BB7C07"/>
    <w:rsid w:val="00BC3329"/>
    <w:rsid w:val="00BE274D"/>
    <w:rsid w:val="00C00593"/>
    <w:rsid w:val="00C06D22"/>
    <w:rsid w:val="00C16EB1"/>
    <w:rsid w:val="00C202F6"/>
    <w:rsid w:val="00C32579"/>
    <w:rsid w:val="00C473A3"/>
    <w:rsid w:val="00C64C88"/>
    <w:rsid w:val="00C82FF4"/>
    <w:rsid w:val="00C8469F"/>
    <w:rsid w:val="00C86C1B"/>
    <w:rsid w:val="00C90F2B"/>
    <w:rsid w:val="00C97DC1"/>
    <w:rsid w:val="00CB0154"/>
    <w:rsid w:val="00CE0EC9"/>
    <w:rsid w:val="00CE2655"/>
    <w:rsid w:val="00D066F7"/>
    <w:rsid w:val="00D3138E"/>
    <w:rsid w:val="00D32110"/>
    <w:rsid w:val="00D456DA"/>
    <w:rsid w:val="00D96916"/>
    <w:rsid w:val="00D973C6"/>
    <w:rsid w:val="00DB0B45"/>
    <w:rsid w:val="00DC2816"/>
    <w:rsid w:val="00DC662A"/>
    <w:rsid w:val="00DD60A4"/>
    <w:rsid w:val="00DE0E45"/>
    <w:rsid w:val="00E0656D"/>
    <w:rsid w:val="00E13CC7"/>
    <w:rsid w:val="00E344A4"/>
    <w:rsid w:val="00E37CA6"/>
    <w:rsid w:val="00E4013F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2173"/>
    <w:rsid w:val="00ED70BF"/>
    <w:rsid w:val="00EF0E31"/>
    <w:rsid w:val="00EF552F"/>
    <w:rsid w:val="00F11947"/>
    <w:rsid w:val="00F17D4E"/>
    <w:rsid w:val="00F31C2E"/>
    <w:rsid w:val="00F33E0D"/>
    <w:rsid w:val="00F36EB2"/>
    <w:rsid w:val="00F7736C"/>
    <w:rsid w:val="00F8085A"/>
    <w:rsid w:val="00F80D1E"/>
    <w:rsid w:val="00F90DE0"/>
    <w:rsid w:val="00F92D82"/>
    <w:rsid w:val="00FA065A"/>
    <w:rsid w:val="00FA1E73"/>
    <w:rsid w:val="00FC6039"/>
    <w:rsid w:val="00FC6514"/>
    <w:rsid w:val="0275021C"/>
    <w:rsid w:val="10B87DA6"/>
    <w:rsid w:val="123F1313"/>
    <w:rsid w:val="12FED722"/>
    <w:rsid w:val="1D1AE19D"/>
    <w:rsid w:val="299EC2D7"/>
    <w:rsid w:val="2C206A43"/>
    <w:rsid w:val="2DBAEB26"/>
    <w:rsid w:val="3AD6111D"/>
    <w:rsid w:val="3C4DA12C"/>
    <w:rsid w:val="406F3B22"/>
    <w:rsid w:val="42A94690"/>
    <w:rsid w:val="4FFD16CA"/>
    <w:rsid w:val="544F9323"/>
    <w:rsid w:val="592264BC"/>
    <w:rsid w:val="5ADB299C"/>
    <w:rsid w:val="5BA11EA0"/>
    <w:rsid w:val="5D736DEF"/>
    <w:rsid w:val="71E623F1"/>
    <w:rsid w:val="7491CD83"/>
    <w:rsid w:val="79C7B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normaltextrun" w:customStyle="1">
    <w:name w:val="normaltextrun"/>
    <w:basedOn w:val="DefaultParagraphFont"/>
    <w:rsid w:val="00FA065A"/>
  </w:style>
  <w:style w:type="character" w:styleId="eop" w:customStyle="1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  <w:style w:type="character" w:styleId="Hyperlink">
    <w:name w:val="Hyperlink"/>
    <w:basedOn w:val="DefaultParagraphFont"/>
    <w:rsid w:val="007913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13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8" /><Relationship Type="http://schemas.openxmlformats.org/officeDocument/2006/relationships/hyperlink" Target="https://www.paho.org/en/topics/coronavirus-infections/coronavirus-disease-covid-19" TargetMode="External" Id="rId13" /><Relationship Type="http://schemas.openxmlformats.org/officeDocument/2006/relationships/customXml" Target="../customXml/item3.xml" Id="rId3" /><Relationship Type="http://schemas.openxmlformats.org/officeDocument/2006/relationships/customXml" Target="../customXml/item7.xml" Id="rId7" /><Relationship Type="http://schemas.openxmlformats.org/officeDocument/2006/relationships/hyperlink" Target="https://covid19.who.int/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webSettings" Target="webSettings.xml" Id="rId11" /><Relationship Type="http://schemas.openxmlformats.org/officeDocument/2006/relationships/customXml" Target="../customXml/item5.xml" Id="rId5" /><Relationship Type="http://schemas.openxmlformats.org/officeDocument/2006/relationships/hyperlink" Target="https://publications.iadb.org/es/el-impacto-del-covid-19-en-las-economias-de-la-region-centroamerica" TargetMode="External" Id="rId15" /><Relationship Type="http://schemas.openxmlformats.org/officeDocument/2006/relationships/settings" Target="settings.xml" Id="rId10" /><Relationship Type="http://schemas.openxmlformats.org/officeDocument/2006/relationships/customXml" Target="../customXml/item4.xml" Id="rId4" /><Relationship Type="http://schemas.openxmlformats.org/officeDocument/2006/relationships/styles" Target="styles.xml" Id="rId9" /><Relationship Type="http://schemas.openxmlformats.org/officeDocument/2006/relationships/hyperlink" Target="https://www.cepal.org/es/comunicados/covid-19-tendra-graves-efectos-la-economia-mundial-impactara-paises-america-latina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3179/TC-ME;3178/OC-ME;</Approval_x0020_Number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FINANCING</TermName>
          <TermId xmlns="http://schemas.microsoft.com/office/infopath/2007/PartnerControls">0721090b-7598-4438-912e-9210b5215a71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CTF</TermName>
          <TermId xmlns="http://schemas.microsoft.com/office/infopath/2007/PartnerControls">09590cec-0e26-4757-bcca-8a4fab00b407</TermId>
        </TermInfo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54</Value>
      <Value>24</Value>
      <Value>37</Value>
      <Value>36</Value>
      <Value>1</Value>
      <Value>19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ME-L1148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_dlc_DocId xmlns="cdc7663a-08f0-4737-9e8c-148ce897a09c">EZSHARE-567788752-69</_dlc_DocId>
    <_dlc_DocIdUrl xmlns="cdc7663a-08f0-4737-9e8c-148ce897a09c">
      <Url>https://idbg.sharepoint.com/teams/EZ-ME-LON/ME-L1148/_layouts/15/DocIdRedir.aspx?ID=EZSHARE-567788752-69</Url>
      <Description>EZSHARE-567788752-69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2D1FEB6A15E734391F4430B1F48A51E" ma:contentTypeVersion="2701" ma:contentTypeDescription="A content type to manage public (operations) IDB documents" ma:contentTypeScope="" ma:versionID="d04e90e49d6917e11cf9388d6323c91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2d317d3dcbfcddf862c85790bca755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14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E615CF-A9CA-4287-9DD9-7BE62EDA095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768A3F-41E8-42C4-900A-ACF6C280037F}"/>
</file>

<file path=customXml/itemProps3.xml><?xml version="1.0" encoding="utf-8"?>
<ds:datastoreItem xmlns:ds="http://schemas.openxmlformats.org/officeDocument/2006/customXml" ds:itemID="{A5CC51F1-7F55-44D3-A7C0-B446748B560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D2F3E47-F27F-46CF-8F8B-625219C2911E}"/>
</file>

<file path=customXml/itemProps5.xml><?xml version="1.0" encoding="utf-8"?>
<ds:datastoreItem xmlns:ds="http://schemas.openxmlformats.org/officeDocument/2006/customXml" ds:itemID="{8D7331D0-A4F0-4026-B7C1-23D11071364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DC02CB8-0C03-4806-AA01-0AAC5B85C6C6}"/>
</file>

<file path=customXml/itemProps7.xml><?xml version="1.0" encoding="utf-8"?>
<ds:datastoreItem xmlns:ds="http://schemas.openxmlformats.org/officeDocument/2006/customXml" ds:itemID="{595D9732-507B-4987-85A4-ED33934D33B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Porras Herrera, Fanny Eliana</cp:lastModifiedBy>
  <cp:revision>7</cp:revision>
  <dcterms:created xsi:type="dcterms:W3CDTF">2020-05-19T22:31:00Z</dcterms:created>
  <dcterms:modified xsi:type="dcterms:W3CDTF">2020-07-21T22:04:06Z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37;#CLIMATE CHANGE FINANCING|0721090b-7598-4438-912e-9210b5215a71</vt:lpwstr>
  </property>
  <property fmtid="{D5CDD505-2E9C-101B-9397-08002B2CF9AE}" pid="7" name="Fund IDB">
    <vt:lpwstr>54;#CTF|09590cec-0e26-4757-bcca-8a4fab00b407;#24;#ORC|c028a4b2-ad8b-4cf4-9cac-a2ae6a778e23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36;#ENVIRONMENT AND NATURAL DISASTERS|261e2b33-090b-4ab0-8e06-3aa3e7f32d57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9963c267-d665-416a-8ac9-2d38d645790e</vt:lpwstr>
  </property>
  <property fmtid="{D5CDD505-2E9C-101B-9397-08002B2CF9AE}" pid="12" name="ContentTypeId">
    <vt:lpwstr>0x0101001A458A224826124E8B45B1D613300CFC0072D1FEB6A15E734391F4430B1F48A51E</vt:lpwstr>
  </property>
</Properties>
</file>