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lang w:val="es-ES_tradnl"/>
        </w:rPr>
        <w:id w:val="-2042583060"/>
        <w:docPartObj>
          <w:docPartGallery w:val="Cover Pages"/>
          <w:docPartUnique/>
        </w:docPartObj>
      </w:sdtPr>
      <w:sdtEndPr/>
      <w:sdtContent>
        <w:p w14:paraId="104EDD7A" w14:textId="77777777" w:rsidR="00AE17AB" w:rsidRPr="00E83B7E" w:rsidRDefault="00AE17AB" w:rsidP="00AE17AB">
          <w:pPr>
            <w:rPr>
              <w:lang w:val="es-ES_tradnl"/>
            </w:rPr>
          </w:pPr>
        </w:p>
        <w:p w14:paraId="3C93458C" w14:textId="76B81A1A" w:rsidR="00AE17AB" w:rsidRPr="00E83B7E" w:rsidRDefault="00AE17AB" w:rsidP="00AE17AB">
          <w:pPr>
            <w:rPr>
              <w:rFonts w:asciiTheme="majorHAnsi" w:eastAsiaTheme="majorEastAsia" w:hAnsiTheme="majorHAnsi" w:cstheme="majorBidi"/>
              <w:spacing w:val="-10"/>
              <w:kern w:val="28"/>
              <w:sz w:val="56"/>
              <w:szCs w:val="56"/>
              <w:lang w:val="es-ES_tradnl"/>
            </w:rPr>
          </w:pPr>
          <w:r w:rsidRPr="00E83B7E">
            <w:rPr>
              <w:noProof/>
              <w:lang w:val="es-ES_tradnl"/>
            </w:rPr>
            <mc:AlternateContent>
              <mc:Choice Requires="wpg">
                <w:drawing>
                  <wp:anchor distT="0" distB="0" distL="114300" distR="114300" simplePos="0" relativeHeight="251658240" behindDoc="1" locked="0" layoutInCell="1" allowOverlap="1" wp14:anchorId="7C9D8C7E" wp14:editId="4323A879">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6858000" cy="7068185"/>
                    <wp:effectExtent l="0" t="0" r="0" b="0"/>
                    <wp:wrapNone/>
                    <wp:docPr id="125" name="Group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Freeform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14:paraId="0CB2A9E6" w14:textId="75A00304" w:rsidR="00F7793C" w:rsidRPr="005D5E85" w:rsidRDefault="00F7793C" w:rsidP="00AE17AB">
                                  <w:pPr>
                                    <w:rPr>
                                      <w:color w:val="FFFFFF" w:themeColor="background1"/>
                                      <w:sz w:val="72"/>
                                      <w:szCs w:val="72"/>
                                      <w:lang w:val="es-AR"/>
                                    </w:rPr>
                                  </w:pPr>
                                  <w:r>
                                    <w:rPr>
                                      <w:color w:val="FFFFFF" w:themeColor="background1"/>
                                      <w:sz w:val="72"/>
                                      <w:szCs w:val="72"/>
                                      <w:lang w:val="es-AR"/>
                                    </w:rPr>
                                    <w:t>MÉXICO:</w:t>
                                  </w:r>
                                </w:p>
                                <w:p w14:paraId="0E96CD1D" w14:textId="533D9066" w:rsidR="00F7793C" w:rsidRDefault="00F7793C" w:rsidP="00AE17AB">
                                  <w:pPr>
                                    <w:rPr>
                                      <w:color w:val="FFFFFF" w:themeColor="background1"/>
                                      <w:sz w:val="72"/>
                                      <w:szCs w:val="72"/>
                                      <w:lang w:val="es-AR"/>
                                    </w:rPr>
                                  </w:pPr>
                                  <w:r w:rsidRPr="00AE17AB">
                                    <w:rPr>
                                      <w:color w:val="FFFFFF" w:themeColor="background1"/>
                                      <w:sz w:val="72"/>
                                      <w:szCs w:val="72"/>
                                      <w:lang w:val="es-AR"/>
                                    </w:rPr>
                                    <w:t>Vulnerabilidad de sectores productivos ante</w:t>
                                  </w:r>
                                  <w:r>
                                    <w:rPr>
                                      <w:color w:val="FFFFFF" w:themeColor="background1"/>
                                      <w:sz w:val="72"/>
                                      <w:szCs w:val="72"/>
                                      <w:lang w:val="es-AR"/>
                                    </w:rPr>
                                    <w:t xml:space="preserve"> expansión del</w:t>
                                  </w:r>
                                  <w:r w:rsidRPr="00AE17AB">
                                    <w:rPr>
                                      <w:color w:val="FFFFFF" w:themeColor="background1"/>
                                      <w:sz w:val="72"/>
                                      <w:szCs w:val="72"/>
                                      <w:lang w:val="es-AR"/>
                                    </w:rPr>
                                    <w:t xml:space="preserve"> COVID-19 </w:t>
                                  </w:r>
                                </w:p>
                                <w:p w14:paraId="6A9A027A" w14:textId="2E33395F" w:rsidR="00F7793C" w:rsidRPr="005D5E85" w:rsidRDefault="00F7793C">
                                  <w:pPr>
                                    <w:rPr>
                                      <w:color w:val="FFFFFF" w:themeColor="background1"/>
                                      <w:sz w:val="72"/>
                                      <w:szCs w:val="72"/>
                                      <w:lang w:val="es-AR"/>
                                    </w:rPr>
                                  </w:pPr>
                                </w:p>
                              </w:txbxContent>
                            </wps:txbx>
                            <wps:bodyPr rot="0" vert="horz" wrap="square" lIns="914400" tIns="1097280" rIns="1097280" bIns="1097280" anchor="b" anchorCtr="0" upright="1">
                              <a:noAutofit/>
                            </wps:bodyPr>
                          </wps:wsp>
                          <wps:wsp>
                            <wps:cNvPr id="127" name="Freeform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0</wp14:pctHeight>
                    </wp14:sizeRelV>
                  </wp:anchor>
                </w:drawing>
              </mc:Choice>
              <mc:Fallback>
                <w:pict>
                  <v:group w14:anchorId="7C9D8C7E" id="Group 125" o:spid="_x0000_s1026" style="position:absolute;margin-left:0;margin-top:0;width:540pt;height:556.55pt;z-index:-251658240;mso-width-percent:1154;mso-top-percent:45;mso-position-horizontal:center;mso-position-horizontal-relative:margin;mso-position-vertical-relative:page;mso-width-percent:1154;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">
                    <o:lock v:ext="edit" aspectratio="t"/>
                    <v:shape id="Freeform 10" o:spid="_x0000_s1027" style="position:absolute;width:55575;height:54044;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" adj="-11796480,,5400" path="m,c,644,,644,,644v23,6,62,14,113,21c250,685,476,700,720,644v,-27,,-27,,-27c720,,720,,720,,,,,,,e" fillcolor="#4d5f78 [2994]" stroked="f">
                      <v:fill color2="#2a3442 [2018]" rotate="t" colors="0 #5d6d85;.5 #485972;1 #334258"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14:paraId="0CB2A9E6" w14:textId="75A00304" w:rsidR="00F7793C" w:rsidRPr="005D5E85" w:rsidRDefault="00F7793C" w:rsidP="00AE17AB">
                            <w:pPr>
                              <w:rPr>
                                <w:color w:val="FFFFFF" w:themeColor="background1"/>
                                <w:sz w:val="72"/>
                                <w:szCs w:val="72"/>
                                <w:lang w:val="es-AR"/>
                              </w:rPr>
                            </w:pPr>
                            <w:r>
                              <w:rPr>
                                <w:color w:val="FFFFFF" w:themeColor="background1"/>
                                <w:sz w:val="72"/>
                                <w:szCs w:val="72"/>
                                <w:lang w:val="es-AR"/>
                              </w:rPr>
                              <w:t>MÉXICO:</w:t>
                            </w:r>
                          </w:p>
                          <w:p w14:paraId="0E96CD1D" w14:textId="533D9066" w:rsidR="00F7793C" w:rsidRDefault="00F7793C" w:rsidP="00AE17AB">
                            <w:pPr>
                              <w:rPr>
                                <w:color w:val="FFFFFF" w:themeColor="background1"/>
                                <w:sz w:val="72"/>
                                <w:szCs w:val="72"/>
                                <w:lang w:val="es-AR"/>
                              </w:rPr>
                            </w:pPr>
                            <w:r w:rsidRPr="00AE17AB">
                              <w:rPr>
                                <w:color w:val="FFFFFF" w:themeColor="background1"/>
                                <w:sz w:val="72"/>
                                <w:szCs w:val="72"/>
                                <w:lang w:val="es-AR"/>
                              </w:rPr>
                              <w:t>Vulnerabilidad de sectores productivos ante</w:t>
                            </w:r>
                            <w:r>
                              <w:rPr>
                                <w:color w:val="FFFFFF" w:themeColor="background1"/>
                                <w:sz w:val="72"/>
                                <w:szCs w:val="72"/>
                                <w:lang w:val="es-AR"/>
                              </w:rPr>
                              <w:t xml:space="preserve"> expansión del</w:t>
                            </w:r>
                            <w:r w:rsidRPr="00AE17AB">
                              <w:rPr>
                                <w:color w:val="FFFFFF" w:themeColor="background1"/>
                                <w:sz w:val="72"/>
                                <w:szCs w:val="72"/>
                                <w:lang w:val="es-AR"/>
                              </w:rPr>
                              <w:t xml:space="preserve"> COVID-19 </w:t>
                            </w:r>
                          </w:p>
                          <w:p w14:paraId="6A9A027A" w14:textId="2E33395F" w:rsidR="00F7793C" w:rsidRPr="005D5E85" w:rsidRDefault="00F7793C">
                            <w:pPr>
                              <w:rPr>
                                <w:color w:val="FFFFFF" w:themeColor="background1"/>
                                <w:sz w:val="72"/>
                                <w:szCs w:val="72"/>
                                <w:lang w:val="es-AR"/>
                              </w:rPr>
                            </w:pPr>
                          </w:p>
                        </w:txbxContent>
                      </v:textbox>
                    </v:shape>
                    <v:shape id="Freeform 11" o:spid="_x0000_s1028" style="position:absolute;left:8763;top:47697;width:46850;height:5099;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sidRPr="00E83B7E">
            <w:rPr>
              <w:noProof/>
              <w:lang w:val="es-ES_tradnl"/>
            </w:rPr>
            <mc:AlternateContent>
              <mc:Choice Requires="wps">
                <w:drawing>
                  <wp:anchor distT="0" distB="0" distL="114300" distR="114300" simplePos="0" relativeHeight="251658242" behindDoc="0" locked="0" layoutInCell="1" allowOverlap="1" wp14:anchorId="4A02F69C" wp14:editId="6EBB918A">
                    <wp:simplePos x="0" y="0"/>
                    <wp:positionH relativeFrom="page">
                      <wp:align>center</wp:align>
                    </wp:positionH>
                    <wp:positionV relativeFrom="margin">
                      <wp:align>bottom</wp:align>
                    </wp:positionV>
                    <wp:extent cx="5753100" cy="146304"/>
                    <wp:effectExtent l="0" t="0" r="0" b="5715"/>
                    <wp:wrapSquare wrapText="bothSides"/>
                    <wp:docPr id="128" name="Text Box 128"/>
                    <wp:cNvGraphicFramePr/>
                    <a:graphic xmlns:a="http://schemas.openxmlformats.org/drawingml/2006/main">
                      <a:graphicData uri="http://schemas.microsoft.com/office/word/2010/wordprocessingShape">
                        <wps:wsp>
                          <wps:cNvSpPr txBox="1"/>
                          <wps:spPr>
                            <a:xfrm>
                              <a:off x="0" y="0"/>
                              <a:ext cx="5753100" cy="1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A2ADBE" w14:textId="77777777" w:rsidR="00F7793C" w:rsidRPr="00BF5C4A" w:rsidRDefault="006E18DA" w:rsidP="00AE17AB">
                                <w:pPr>
                                  <w:pStyle w:val="NoSpacing"/>
                                  <w:rPr>
                                    <w:color w:val="7F7F7F" w:themeColor="text1" w:themeTint="80"/>
                                    <w:sz w:val="18"/>
                                    <w:szCs w:val="18"/>
                                    <w:lang w:val="es-AR"/>
                                  </w:rPr>
                                </w:pPr>
                                <w:sdt>
                                  <w:sdtPr>
                                    <w:rPr>
                                      <w:caps/>
                                      <w:color w:val="7F7F7F" w:themeColor="text1" w:themeTint="80"/>
                                      <w:sz w:val="18"/>
                                      <w:szCs w:val="18"/>
                                      <w:lang w:val="es-AR"/>
                                    </w:rPr>
                                    <w:alias w:val="Company"/>
                                    <w:tag w:val=""/>
                                    <w:id w:val="-1880927279"/>
                                    <w:showingPlcHdr/>
                                    <w:dataBinding w:prefixMappings="xmlns:ns0='http://schemas.openxmlformats.org/officeDocument/2006/extended-properties' " w:xpath="/ns0:Properties[1]/ns0:Company[1]" w:storeItemID="{6668398D-A668-4E3E-A5EB-62B293D839F1}"/>
                                    <w:text/>
                                  </w:sdtPr>
                                  <w:sdtEndPr/>
                                  <w:sdtContent>
                                    <w:r w:rsidR="00F7793C">
                                      <w:rPr>
                                        <w:caps/>
                                        <w:color w:val="7F7F7F" w:themeColor="text1" w:themeTint="80"/>
                                        <w:sz w:val="18"/>
                                        <w:szCs w:val="18"/>
                                        <w:lang w:val="es-AR"/>
                                      </w:rPr>
                                      <w:t xml:space="preserve">     </w:t>
                                    </w:r>
                                  </w:sdtContent>
                                </w:sdt>
                                <w:r w:rsidR="00F7793C" w:rsidRPr="00BF5C4A">
                                  <w:rPr>
                                    <w:caps/>
                                    <w:color w:val="7F7F7F" w:themeColor="text1" w:themeTint="80"/>
                                    <w:sz w:val="18"/>
                                    <w:szCs w:val="18"/>
                                    <w:lang w:val="es-AR"/>
                                  </w:rPr>
                                  <w:t> </w:t>
                                </w:r>
                                <w:r w:rsidR="00F7793C" w:rsidRPr="00BF5C4A">
                                  <w:rPr>
                                    <w:color w:val="7F7F7F" w:themeColor="text1" w:themeTint="80"/>
                                    <w:sz w:val="18"/>
                                    <w:szCs w:val="18"/>
                                    <w:lang w:val="es-AR"/>
                                  </w:rPr>
                                  <w:t>| </w:t>
                                </w:r>
                                <w:sdt>
                                  <w:sdtPr>
                                    <w:rPr>
                                      <w:color w:val="7F7F7F" w:themeColor="text1" w:themeTint="80"/>
                                      <w:sz w:val="18"/>
                                      <w:szCs w:val="18"/>
                                      <w:lang w:val="es-AR"/>
                                    </w:rPr>
                                    <w:alias w:val="Address"/>
                                    <w:tag w:val=""/>
                                    <w:id w:val="-1023088507"/>
                                    <w:showingPlcHdr/>
                                    <w:dataBinding w:prefixMappings="xmlns:ns0='http://schemas.microsoft.com/office/2006/coverPageProps' " w:xpath="/ns0:CoverPageProperties[1]/ns0:CompanyAddress[1]" w:storeItemID="{55AF091B-3C7A-41E3-B477-F2FDAA23CFDA}"/>
                                    <w:text/>
                                  </w:sdtPr>
                                  <w:sdtEndPr/>
                                  <w:sdtContent>
                                    <w:r w:rsidR="00F7793C">
                                      <w:rPr>
                                        <w:color w:val="7F7F7F" w:themeColor="text1" w:themeTint="80"/>
                                        <w:sz w:val="18"/>
                                        <w:szCs w:val="18"/>
                                        <w:lang w:val="es-AR"/>
                                      </w:rPr>
                                      <w:t xml:space="preserve">     </w:t>
                                    </w:r>
                                  </w:sdtContent>
                                </w:sdt>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type w14:anchorId="4A02F69C" id="_x0000_t202" coordsize="21600,21600" o:spt="202" path="m,l,21600r21600,l21600,xe">
                    <v:stroke joinstyle="miter"/>
                    <v:path gradientshapeok="t" o:connecttype="rect"/>
                  </v:shapetype>
                  <v:shape id="Text Box 128" o:spid="_x0000_s1029" type="#_x0000_t202" style="position:absolute;margin-left:0;margin-top:0;width:453pt;height:11.5pt;z-index:251658242;visibility:visible;mso-wrap-style:square;mso-width-percent:1154;mso-height-percent:0;mso-wrap-distance-left:9pt;mso-wrap-distance-top:0;mso-wrap-distance-right:9pt;mso-wrap-distance-bottom:0;mso-position-horizontal:center;mso-position-horizontal-relative:page;mso-position-vertical:bottom;mso-position-vertical-relative:margin;mso-width-percent:1154;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" filled="f" stroked="f" strokeweight=".5pt">
                    <v:textbox style="mso-fit-shape-to-text:t" inset="1in,0,86.4pt,0">
                      <w:txbxContent>
                        <w:p w14:paraId="7AA2ADBE" w14:textId="77777777" w:rsidR="00F7793C" w:rsidRPr="00BF5C4A" w:rsidRDefault="006E18DA" w:rsidP="00AE17AB">
                          <w:pPr>
                            <w:pStyle w:val="NoSpacing"/>
                            <w:rPr>
                              <w:color w:val="7F7F7F" w:themeColor="text1" w:themeTint="80"/>
                              <w:sz w:val="18"/>
                              <w:szCs w:val="18"/>
                              <w:lang w:val="es-AR"/>
                            </w:rPr>
                          </w:pPr>
                          <w:sdt>
                            <w:sdtPr>
                              <w:rPr>
                                <w:caps/>
                                <w:color w:val="7F7F7F" w:themeColor="text1" w:themeTint="80"/>
                                <w:sz w:val="18"/>
                                <w:szCs w:val="18"/>
                                <w:lang w:val="es-AR"/>
                              </w:rPr>
                              <w:alias w:val="Company"/>
                              <w:tag w:val=""/>
                              <w:id w:val="-1880927279"/>
                              <w:showingPlcHdr/>
                              <w:dataBinding w:prefixMappings="xmlns:ns0='http://schemas.openxmlformats.org/officeDocument/2006/extended-properties' " w:xpath="/ns0:Properties[1]/ns0:Company[1]" w:storeItemID="{6668398D-A668-4E3E-A5EB-62B293D839F1}"/>
                              <w:text/>
                            </w:sdtPr>
                            <w:sdtEndPr/>
                            <w:sdtContent>
                              <w:r w:rsidR="00F7793C">
                                <w:rPr>
                                  <w:caps/>
                                  <w:color w:val="7F7F7F" w:themeColor="text1" w:themeTint="80"/>
                                  <w:sz w:val="18"/>
                                  <w:szCs w:val="18"/>
                                  <w:lang w:val="es-AR"/>
                                </w:rPr>
                                <w:t xml:space="preserve">     </w:t>
                              </w:r>
                            </w:sdtContent>
                          </w:sdt>
                          <w:r w:rsidR="00F7793C" w:rsidRPr="00BF5C4A">
                            <w:rPr>
                              <w:caps/>
                              <w:color w:val="7F7F7F" w:themeColor="text1" w:themeTint="80"/>
                              <w:sz w:val="18"/>
                              <w:szCs w:val="18"/>
                              <w:lang w:val="es-AR"/>
                            </w:rPr>
                            <w:t> </w:t>
                          </w:r>
                          <w:r w:rsidR="00F7793C" w:rsidRPr="00BF5C4A">
                            <w:rPr>
                              <w:color w:val="7F7F7F" w:themeColor="text1" w:themeTint="80"/>
                              <w:sz w:val="18"/>
                              <w:szCs w:val="18"/>
                              <w:lang w:val="es-AR"/>
                            </w:rPr>
                            <w:t>| </w:t>
                          </w:r>
                          <w:sdt>
                            <w:sdtPr>
                              <w:rPr>
                                <w:color w:val="7F7F7F" w:themeColor="text1" w:themeTint="80"/>
                                <w:sz w:val="18"/>
                                <w:szCs w:val="18"/>
                                <w:lang w:val="es-AR"/>
                              </w:rPr>
                              <w:alias w:val="Address"/>
                              <w:tag w:val=""/>
                              <w:id w:val="-1023088507"/>
                              <w:showingPlcHdr/>
                              <w:dataBinding w:prefixMappings="xmlns:ns0='http://schemas.microsoft.com/office/2006/coverPageProps' " w:xpath="/ns0:CoverPageProperties[1]/ns0:CompanyAddress[1]" w:storeItemID="{55AF091B-3C7A-41E3-B477-F2FDAA23CFDA}"/>
                              <w:text/>
                            </w:sdtPr>
                            <w:sdtEndPr/>
                            <w:sdtContent>
                              <w:r w:rsidR="00F7793C">
                                <w:rPr>
                                  <w:color w:val="7F7F7F" w:themeColor="text1" w:themeTint="80"/>
                                  <w:sz w:val="18"/>
                                  <w:szCs w:val="18"/>
                                  <w:lang w:val="es-AR"/>
                                </w:rPr>
                                <w:t xml:space="preserve">     </w:t>
                              </w:r>
                            </w:sdtContent>
                          </w:sdt>
                        </w:p>
                      </w:txbxContent>
                    </v:textbox>
                    <w10:wrap type="square" anchorx="page" anchory="margin"/>
                  </v:shape>
                </w:pict>
              </mc:Fallback>
            </mc:AlternateContent>
          </w:r>
          <w:r w:rsidRPr="00E83B7E">
            <w:rPr>
              <w:noProof/>
              <w:lang w:val="es-ES_tradnl"/>
            </w:rPr>
            <mc:AlternateContent>
              <mc:Choice Requires="wps">
                <w:drawing>
                  <wp:anchor distT="0" distB="0" distL="114300" distR="114300" simplePos="0" relativeHeight="251658241" behindDoc="0" locked="0" layoutInCell="1" allowOverlap="1" wp14:anchorId="2CCB574A" wp14:editId="0FE08AFA">
                    <wp:simplePos x="0" y="0"/>
                    <wp:positionH relativeFrom="page">
                      <wp:align>center</wp:align>
                    </wp:positionH>
                    <mc:AlternateContent>
                      <mc:Choice Requires="wp14">
                        <wp:positionV relativeFrom="page">
                          <wp14:pctPosVOffset>79000</wp14:pctPosVOffset>
                        </wp:positionV>
                      </mc:Choice>
                      <mc:Fallback>
                        <wp:positionV relativeFrom="page">
                          <wp:posOffset>7945755</wp:posOffset>
                        </wp:positionV>
                      </mc:Fallback>
                    </mc:AlternateContent>
                    <wp:extent cx="5753100" cy="484632"/>
                    <wp:effectExtent l="0" t="0" r="0" b="7620"/>
                    <wp:wrapSquare wrapText="bothSides"/>
                    <wp:docPr id="129" name="Text Box 129"/>
                    <wp:cNvGraphicFramePr/>
                    <a:graphic xmlns:a="http://schemas.openxmlformats.org/drawingml/2006/main">
                      <a:graphicData uri="http://schemas.microsoft.com/office/word/2010/wordprocessingShape">
                        <wps:wsp>
                          <wps:cNvSpPr txBox="1"/>
                          <wps:spPr>
                            <a:xfrm>
                              <a:off x="0" y="0"/>
                              <a:ext cx="5753100" cy="4846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CC0133" w14:textId="77777777" w:rsidR="00F7793C" w:rsidRDefault="00F7793C" w:rsidP="00AE17AB">
                                <w:pPr>
                                  <w:pStyle w:val="NoSpacing"/>
                                  <w:spacing w:before="40" w:after="40"/>
                                  <w:rPr>
                                    <w:caps/>
                                    <w:color w:val="4472C4" w:themeColor="accent1"/>
                                    <w:sz w:val="28"/>
                                    <w:szCs w:val="28"/>
                                  </w:rPr>
                                </w:pPr>
                              </w:p>
                              <w:sdt>
                                <w:sdtPr>
                                  <w:rPr>
                                    <w:caps/>
                                    <w:color w:val="5B9BD5" w:themeColor="accent5"/>
                                    <w:sz w:val="24"/>
                                    <w:szCs w:val="24"/>
                                  </w:rPr>
                                  <w:alias w:val="Author"/>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14:paraId="4E56BD52" w14:textId="78A45008" w:rsidR="00F7793C" w:rsidRPr="00A5757F" w:rsidRDefault="00F7793C" w:rsidP="00D16194">
                                    <w:pPr>
                                      <w:pStyle w:val="NoSpacing"/>
                                      <w:spacing w:before="40" w:after="40"/>
                                      <w:jc w:val="both"/>
                                      <w:rPr>
                                        <w:caps/>
                                        <w:color w:val="5B9BD5" w:themeColor="accent5"/>
                                        <w:sz w:val="24"/>
                                        <w:szCs w:val="24"/>
                                      </w:rPr>
                                    </w:pPr>
                                    <w:r w:rsidRPr="003941F4">
                                      <w:rPr>
                                        <w:caps/>
                                        <w:color w:val="5B9BD5" w:themeColor="accent5"/>
                                        <w:sz w:val="24"/>
                                        <w:szCs w:val="24"/>
                                      </w:rPr>
                                      <w:t>m. Carmen Fernández díez (IFD/CMF), Alejandro TÁmola (IFD/CMF), Alexander vasa (IFD/CMF), Amado Crotte (INE/TSP), César Bustamante (CSD/RND), Adela Moreda (CSD/RND) y Monica Maday (INT/TIN)</w:t>
                                    </w:r>
                                    <w:r>
                                      <w:rPr>
                                        <w:caps/>
                                        <w:color w:val="5B9BD5" w:themeColor="accent5"/>
                                        <w:sz w:val="24"/>
                                        <w:szCs w:val="24"/>
                                      </w:rPr>
                                      <w:t>, Paola carvajal (ine/ENE), Javier garcia fernandez (INE/ENE), Christiaan Gischler blanco (INE/ENE), jose antonio urteaga dufour (INE/ENE) y gaston siroit (INE/ENE).</w:t>
                                    </w:r>
                                  </w:p>
                                </w:sdtContent>
                              </w:sdt>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 w14:anchorId="2CCB574A" id="Text Box 129" o:spid="_x0000_s1030" type="#_x0000_t202" style="position:absolute;margin-left:0;margin-top:0;width:453pt;height:38.15pt;z-index:251658241;visibility:visible;mso-wrap-style:square;mso-width-percent:1154;mso-height-percent:0;mso-top-percent:790;mso-wrap-distance-left:9pt;mso-wrap-distance-top:0;mso-wrap-distance-right:9pt;mso-wrap-distance-bottom:0;mso-position-horizontal:center;mso-position-horizontal-relative:page;mso-position-vertical-relative:page;mso-width-percent:1154;mso-height-percent:0;mso-top-percent:7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" filled="f" stroked="f" strokeweight=".5pt">
                    <v:textbox style="mso-fit-shape-to-text:t" inset="1in,0,86.4pt,0">
                      <w:txbxContent>
                        <w:p w14:paraId="15CC0133" w14:textId="77777777" w:rsidR="00F7793C" w:rsidRDefault="00F7793C" w:rsidP="00AE17AB">
                          <w:pPr>
                            <w:pStyle w:val="NoSpacing"/>
                            <w:spacing w:before="40" w:after="40"/>
                            <w:rPr>
                              <w:caps/>
                              <w:color w:val="4472C4" w:themeColor="accent1"/>
                              <w:sz w:val="28"/>
                              <w:szCs w:val="28"/>
                            </w:rPr>
                          </w:pPr>
                        </w:p>
                        <w:sdt>
                          <w:sdtPr>
                            <w:rPr>
                              <w:caps/>
                              <w:color w:val="5B9BD5" w:themeColor="accent5"/>
                              <w:sz w:val="24"/>
                              <w:szCs w:val="24"/>
                            </w:rPr>
                            <w:alias w:val="Author"/>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14:paraId="4E56BD52" w14:textId="78A45008" w:rsidR="00F7793C" w:rsidRPr="00A5757F" w:rsidRDefault="00F7793C" w:rsidP="00D16194">
                              <w:pPr>
                                <w:pStyle w:val="NoSpacing"/>
                                <w:spacing w:before="40" w:after="40"/>
                                <w:jc w:val="both"/>
                                <w:rPr>
                                  <w:caps/>
                                  <w:color w:val="5B9BD5" w:themeColor="accent5"/>
                                  <w:sz w:val="24"/>
                                  <w:szCs w:val="24"/>
                                </w:rPr>
                              </w:pPr>
                              <w:r w:rsidRPr="003941F4">
                                <w:rPr>
                                  <w:caps/>
                                  <w:color w:val="5B9BD5" w:themeColor="accent5"/>
                                  <w:sz w:val="24"/>
                                  <w:szCs w:val="24"/>
                                </w:rPr>
                                <w:t>m. Carmen Fernández díez (IFD/CMF), Alejandro TÁmola (IFD/CMF), Alexander vasa (IFD/CMF), Amado Crotte (INE/TSP), César Bustamante (CSD/RND), Adela Moreda (CSD/RND) y Monica Maday (INT/TIN)</w:t>
                              </w:r>
                              <w:r>
                                <w:rPr>
                                  <w:caps/>
                                  <w:color w:val="5B9BD5" w:themeColor="accent5"/>
                                  <w:sz w:val="24"/>
                                  <w:szCs w:val="24"/>
                                </w:rPr>
                                <w:t>, Paola carvajal (ine/ENE), Javier garcia fernandez (INE/ENE), Christiaan Gischler blanco (INE/ENE), jose antonio urteaga dufour (INE/ENE) y gaston siroit (INE/ENE).</w:t>
                              </w:r>
                            </w:p>
                          </w:sdtContent>
                        </w:sdt>
                      </w:txbxContent>
                    </v:textbox>
                    <w10:wrap type="square" anchorx="page" anchory="page"/>
                  </v:shape>
                </w:pict>
              </mc:Fallback>
            </mc:AlternateContent>
          </w:r>
          <w:r w:rsidRPr="00E83B7E">
            <w:rPr>
              <w:lang w:val="es-ES_tradnl"/>
            </w:rPr>
            <w:br w:type="page"/>
          </w:r>
        </w:p>
      </w:sdtContent>
    </w:sdt>
    <w:sdt>
      <w:sdtPr>
        <w:rPr>
          <w:rFonts w:asciiTheme="minorHAnsi" w:eastAsiaTheme="minorHAnsi" w:hAnsiTheme="minorHAnsi" w:cstheme="minorBidi"/>
          <w:color w:val="auto"/>
          <w:sz w:val="22"/>
          <w:szCs w:val="22"/>
          <w:lang w:val="es-ES_tradnl"/>
        </w:rPr>
        <w:id w:val="2027203165"/>
        <w:docPartObj>
          <w:docPartGallery w:val="Table of Contents"/>
          <w:docPartUnique/>
        </w:docPartObj>
      </w:sdtPr>
      <w:sdtEndPr>
        <w:rPr>
          <w:b/>
          <w:bCs/>
        </w:rPr>
      </w:sdtEndPr>
      <w:sdtContent>
        <w:p w14:paraId="78DFD67C" w14:textId="77777777" w:rsidR="00AE17AB" w:rsidRPr="00E83B7E" w:rsidRDefault="00AE17AB" w:rsidP="00AE17AB">
          <w:pPr>
            <w:pStyle w:val="TOCHeading"/>
            <w:jc w:val="center"/>
            <w:rPr>
              <w:lang w:val="es-ES_tradnl"/>
            </w:rPr>
          </w:pPr>
          <w:r w:rsidRPr="00E83B7E">
            <w:rPr>
              <w:lang w:val="es-ES_tradnl"/>
            </w:rPr>
            <w:t>Índice</w:t>
          </w:r>
        </w:p>
        <w:p w14:paraId="6B35BA97" w14:textId="7E056409" w:rsidR="00D316B0" w:rsidRPr="00E83B7E" w:rsidRDefault="00AE17AB">
          <w:pPr>
            <w:pStyle w:val="TOC1"/>
            <w:tabs>
              <w:tab w:val="right" w:leader="dot" w:pos="9350"/>
            </w:tabs>
            <w:rPr>
              <w:rFonts w:eastAsiaTheme="minorEastAsia"/>
              <w:noProof/>
              <w:lang w:val="es-ES_tradnl"/>
            </w:rPr>
          </w:pPr>
          <w:r w:rsidRPr="00E83B7E">
            <w:rPr>
              <w:lang w:val="es-ES_tradnl"/>
            </w:rPr>
            <w:fldChar w:fldCharType="begin"/>
          </w:r>
          <w:r w:rsidRPr="00E83B7E">
            <w:rPr>
              <w:lang w:val="es-ES_tradnl"/>
            </w:rPr>
            <w:instrText xml:space="preserve"> TOC \o "1-3" \h \z \u </w:instrText>
          </w:r>
          <w:r w:rsidRPr="00E83B7E">
            <w:rPr>
              <w:lang w:val="es-ES_tradnl"/>
            </w:rPr>
            <w:fldChar w:fldCharType="separate"/>
          </w:r>
          <w:hyperlink w:anchor="_Toc36834034" w:history="1">
            <w:r w:rsidR="00D316B0" w:rsidRPr="00E83B7E">
              <w:rPr>
                <w:rStyle w:val="Hyperlink"/>
                <w:noProof/>
                <w:lang w:val="es-ES_tradnl"/>
              </w:rPr>
              <w:t>Siglas y acrónimos</w:t>
            </w:r>
            <w:r w:rsidR="00D316B0" w:rsidRPr="00E83B7E">
              <w:rPr>
                <w:noProof/>
                <w:webHidden/>
                <w:lang w:val="es-ES_tradnl"/>
              </w:rPr>
              <w:tab/>
            </w:r>
            <w:r w:rsidR="00D316B0" w:rsidRPr="00E83B7E">
              <w:rPr>
                <w:noProof/>
                <w:webHidden/>
                <w:lang w:val="es-ES_tradnl"/>
              </w:rPr>
              <w:fldChar w:fldCharType="begin"/>
            </w:r>
            <w:r w:rsidR="00D316B0" w:rsidRPr="00E83B7E">
              <w:rPr>
                <w:noProof/>
                <w:webHidden/>
                <w:lang w:val="es-ES_tradnl"/>
              </w:rPr>
              <w:instrText xml:space="preserve"> PAGEREF _Toc36834034 \h </w:instrText>
            </w:r>
            <w:r w:rsidR="00D316B0" w:rsidRPr="00E83B7E">
              <w:rPr>
                <w:noProof/>
                <w:webHidden/>
                <w:lang w:val="es-ES_tradnl"/>
              </w:rPr>
            </w:r>
            <w:r w:rsidR="00D316B0" w:rsidRPr="00E83B7E">
              <w:rPr>
                <w:noProof/>
                <w:webHidden/>
                <w:lang w:val="es-ES_tradnl"/>
              </w:rPr>
              <w:fldChar w:fldCharType="separate"/>
            </w:r>
            <w:r w:rsidR="00AD1A0C">
              <w:rPr>
                <w:noProof/>
                <w:webHidden/>
                <w:lang w:val="es-ES_tradnl"/>
              </w:rPr>
              <w:t>3</w:t>
            </w:r>
            <w:r w:rsidR="00D316B0" w:rsidRPr="00E83B7E">
              <w:rPr>
                <w:noProof/>
                <w:webHidden/>
                <w:lang w:val="es-ES_tradnl"/>
              </w:rPr>
              <w:fldChar w:fldCharType="end"/>
            </w:r>
          </w:hyperlink>
        </w:p>
        <w:p w14:paraId="07441E9B" w14:textId="5E61B931" w:rsidR="00D316B0" w:rsidRPr="00E83B7E" w:rsidRDefault="006E18DA">
          <w:pPr>
            <w:pStyle w:val="TOC1"/>
            <w:tabs>
              <w:tab w:val="right" w:leader="dot" w:pos="9350"/>
            </w:tabs>
            <w:rPr>
              <w:rFonts w:eastAsiaTheme="minorEastAsia"/>
              <w:noProof/>
              <w:lang w:val="es-ES_tradnl"/>
            </w:rPr>
          </w:pPr>
          <w:hyperlink w:anchor="_Toc36834035" w:history="1">
            <w:r w:rsidR="00D316B0" w:rsidRPr="00E83B7E">
              <w:rPr>
                <w:rStyle w:val="Hyperlink"/>
                <w:noProof/>
                <w:lang w:val="es-ES_tradnl"/>
              </w:rPr>
              <w:t>Resumen ejecutivo</w:t>
            </w:r>
            <w:r w:rsidR="00D316B0" w:rsidRPr="00E83B7E">
              <w:rPr>
                <w:noProof/>
                <w:webHidden/>
                <w:lang w:val="es-ES_tradnl"/>
              </w:rPr>
              <w:tab/>
            </w:r>
            <w:r w:rsidR="00D316B0" w:rsidRPr="00E83B7E">
              <w:rPr>
                <w:noProof/>
                <w:webHidden/>
                <w:lang w:val="es-ES_tradnl"/>
              </w:rPr>
              <w:fldChar w:fldCharType="begin"/>
            </w:r>
            <w:r w:rsidR="00D316B0" w:rsidRPr="00E83B7E">
              <w:rPr>
                <w:noProof/>
                <w:webHidden/>
                <w:lang w:val="es-ES_tradnl"/>
              </w:rPr>
              <w:instrText xml:space="preserve"> PAGEREF _Toc36834035 \h </w:instrText>
            </w:r>
            <w:r w:rsidR="00D316B0" w:rsidRPr="00E83B7E">
              <w:rPr>
                <w:noProof/>
                <w:webHidden/>
                <w:lang w:val="es-ES_tradnl"/>
              </w:rPr>
            </w:r>
            <w:r w:rsidR="00D316B0" w:rsidRPr="00E83B7E">
              <w:rPr>
                <w:noProof/>
                <w:webHidden/>
                <w:lang w:val="es-ES_tradnl"/>
              </w:rPr>
              <w:fldChar w:fldCharType="separate"/>
            </w:r>
            <w:r w:rsidR="00AD1A0C">
              <w:rPr>
                <w:noProof/>
                <w:webHidden/>
                <w:lang w:val="es-ES_tradnl"/>
              </w:rPr>
              <w:t>4</w:t>
            </w:r>
            <w:r w:rsidR="00D316B0" w:rsidRPr="00E83B7E">
              <w:rPr>
                <w:noProof/>
                <w:webHidden/>
                <w:lang w:val="es-ES_tradnl"/>
              </w:rPr>
              <w:fldChar w:fldCharType="end"/>
            </w:r>
          </w:hyperlink>
        </w:p>
        <w:p w14:paraId="5B56DB93" w14:textId="521863CE" w:rsidR="00D316B0" w:rsidRPr="00E83B7E" w:rsidRDefault="006E18DA">
          <w:pPr>
            <w:pStyle w:val="TOC1"/>
            <w:tabs>
              <w:tab w:val="left" w:pos="440"/>
              <w:tab w:val="right" w:leader="dot" w:pos="9350"/>
            </w:tabs>
            <w:rPr>
              <w:rFonts w:eastAsiaTheme="minorEastAsia"/>
              <w:noProof/>
              <w:lang w:val="es-ES_tradnl"/>
            </w:rPr>
          </w:pPr>
          <w:hyperlink w:anchor="_Toc36834036" w:history="1">
            <w:r w:rsidR="00D316B0" w:rsidRPr="00E83B7E">
              <w:rPr>
                <w:rStyle w:val="Hyperlink"/>
                <w:noProof/>
                <w:lang w:val="es-ES_tradnl"/>
              </w:rPr>
              <w:t>I.</w:t>
            </w:r>
            <w:r w:rsidR="00D316B0" w:rsidRPr="00E83B7E">
              <w:rPr>
                <w:rFonts w:eastAsiaTheme="minorEastAsia"/>
                <w:noProof/>
                <w:lang w:val="es-ES_tradnl"/>
              </w:rPr>
              <w:tab/>
            </w:r>
            <w:r w:rsidR="00D316B0" w:rsidRPr="00E83B7E">
              <w:rPr>
                <w:rStyle w:val="Hyperlink"/>
                <w:noProof/>
                <w:lang w:val="es-ES_tradnl"/>
              </w:rPr>
              <w:t>Introducción y marco analítico</w:t>
            </w:r>
            <w:r w:rsidR="00D316B0" w:rsidRPr="00E83B7E">
              <w:rPr>
                <w:noProof/>
                <w:webHidden/>
                <w:lang w:val="es-ES_tradnl"/>
              </w:rPr>
              <w:tab/>
            </w:r>
            <w:r w:rsidR="00D316B0" w:rsidRPr="00E83B7E">
              <w:rPr>
                <w:noProof/>
                <w:webHidden/>
                <w:lang w:val="es-ES_tradnl"/>
              </w:rPr>
              <w:fldChar w:fldCharType="begin"/>
            </w:r>
            <w:r w:rsidR="00D316B0" w:rsidRPr="00E83B7E">
              <w:rPr>
                <w:noProof/>
                <w:webHidden/>
                <w:lang w:val="es-ES_tradnl"/>
              </w:rPr>
              <w:instrText xml:space="preserve"> PAGEREF _Toc36834036 \h </w:instrText>
            </w:r>
            <w:r w:rsidR="00D316B0" w:rsidRPr="00E83B7E">
              <w:rPr>
                <w:noProof/>
                <w:webHidden/>
                <w:lang w:val="es-ES_tradnl"/>
              </w:rPr>
            </w:r>
            <w:r w:rsidR="00D316B0" w:rsidRPr="00E83B7E">
              <w:rPr>
                <w:noProof/>
                <w:webHidden/>
                <w:lang w:val="es-ES_tradnl"/>
              </w:rPr>
              <w:fldChar w:fldCharType="separate"/>
            </w:r>
            <w:r w:rsidR="00AD1A0C">
              <w:rPr>
                <w:noProof/>
                <w:webHidden/>
                <w:lang w:val="es-ES_tradnl"/>
              </w:rPr>
              <w:t>6</w:t>
            </w:r>
            <w:r w:rsidR="00D316B0" w:rsidRPr="00E83B7E">
              <w:rPr>
                <w:noProof/>
                <w:webHidden/>
                <w:lang w:val="es-ES_tradnl"/>
              </w:rPr>
              <w:fldChar w:fldCharType="end"/>
            </w:r>
          </w:hyperlink>
        </w:p>
        <w:p w14:paraId="2E328A3E" w14:textId="06EA6471" w:rsidR="00D316B0" w:rsidRPr="00E83B7E" w:rsidRDefault="006E18DA">
          <w:pPr>
            <w:pStyle w:val="TOC1"/>
            <w:tabs>
              <w:tab w:val="left" w:pos="440"/>
              <w:tab w:val="right" w:leader="dot" w:pos="9350"/>
            </w:tabs>
            <w:rPr>
              <w:rFonts w:eastAsiaTheme="minorEastAsia"/>
              <w:noProof/>
              <w:lang w:val="es-ES_tradnl"/>
            </w:rPr>
          </w:pPr>
          <w:hyperlink w:anchor="_Toc36834037" w:history="1">
            <w:r w:rsidR="00D316B0" w:rsidRPr="00E83B7E">
              <w:rPr>
                <w:rStyle w:val="Hyperlink"/>
                <w:noProof/>
                <w:lang w:val="es-ES_tradnl"/>
              </w:rPr>
              <w:t>II.</w:t>
            </w:r>
            <w:r w:rsidR="00D316B0" w:rsidRPr="00E83B7E">
              <w:rPr>
                <w:rFonts w:eastAsiaTheme="minorEastAsia"/>
                <w:noProof/>
                <w:lang w:val="es-ES_tradnl"/>
              </w:rPr>
              <w:tab/>
            </w:r>
            <w:r w:rsidR="00D316B0" w:rsidRPr="00E83B7E">
              <w:rPr>
                <w:rStyle w:val="Hyperlink"/>
                <w:noProof/>
                <w:lang w:val="es-ES_tradnl"/>
              </w:rPr>
              <w:t>Situación de vulnerabilidad</w:t>
            </w:r>
            <w:r w:rsidR="00D316B0" w:rsidRPr="00E83B7E">
              <w:rPr>
                <w:noProof/>
                <w:webHidden/>
                <w:lang w:val="es-ES_tradnl"/>
              </w:rPr>
              <w:tab/>
            </w:r>
            <w:r w:rsidR="00D316B0" w:rsidRPr="00E83B7E">
              <w:rPr>
                <w:noProof/>
                <w:webHidden/>
                <w:lang w:val="es-ES_tradnl"/>
              </w:rPr>
              <w:fldChar w:fldCharType="begin"/>
            </w:r>
            <w:r w:rsidR="00D316B0" w:rsidRPr="00E83B7E">
              <w:rPr>
                <w:noProof/>
                <w:webHidden/>
                <w:lang w:val="es-ES_tradnl"/>
              </w:rPr>
              <w:instrText xml:space="preserve"> PAGEREF _Toc36834037 \h </w:instrText>
            </w:r>
            <w:r w:rsidR="00D316B0" w:rsidRPr="00E83B7E">
              <w:rPr>
                <w:noProof/>
                <w:webHidden/>
                <w:lang w:val="es-ES_tradnl"/>
              </w:rPr>
            </w:r>
            <w:r w:rsidR="00D316B0" w:rsidRPr="00E83B7E">
              <w:rPr>
                <w:noProof/>
                <w:webHidden/>
                <w:lang w:val="es-ES_tradnl"/>
              </w:rPr>
              <w:fldChar w:fldCharType="separate"/>
            </w:r>
            <w:r w:rsidR="00AD1A0C">
              <w:rPr>
                <w:noProof/>
                <w:webHidden/>
                <w:lang w:val="es-ES_tradnl"/>
              </w:rPr>
              <w:t>7</w:t>
            </w:r>
            <w:r w:rsidR="00D316B0" w:rsidRPr="00E83B7E">
              <w:rPr>
                <w:noProof/>
                <w:webHidden/>
                <w:lang w:val="es-ES_tradnl"/>
              </w:rPr>
              <w:fldChar w:fldCharType="end"/>
            </w:r>
          </w:hyperlink>
        </w:p>
        <w:p w14:paraId="63EE3F51" w14:textId="2B4F617E" w:rsidR="00D316B0" w:rsidRPr="00E83B7E" w:rsidRDefault="006E18DA" w:rsidP="00AD1A0C">
          <w:pPr>
            <w:pStyle w:val="TOC2"/>
            <w:rPr>
              <w:rFonts w:eastAsiaTheme="minorEastAsia"/>
              <w:noProof/>
              <w:lang w:val="es-ES_tradnl"/>
            </w:rPr>
          </w:pPr>
          <w:hyperlink w:anchor="_Toc36834038" w:history="1">
            <w:r w:rsidR="00D316B0" w:rsidRPr="00E83B7E">
              <w:rPr>
                <w:rStyle w:val="Hyperlink"/>
                <w:noProof/>
                <w:lang w:val="es-ES_tradnl"/>
              </w:rPr>
              <w:t>A.</w:t>
            </w:r>
            <w:r w:rsidR="00D316B0" w:rsidRPr="00E83B7E">
              <w:rPr>
                <w:rFonts w:eastAsiaTheme="minorEastAsia"/>
                <w:noProof/>
                <w:lang w:val="es-ES_tradnl"/>
              </w:rPr>
              <w:tab/>
            </w:r>
            <w:r w:rsidR="00D316B0" w:rsidRPr="00E83B7E">
              <w:rPr>
                <w:rStyle w:val="Hyperlink"/>
                <w:noProof/>
                <w:lang w:val="es-ES_tradnl"/>
              </w:rPr>
              <w:t>Situación general</w:t>
            </w:r>
            <w:r w:rsidR="00D316B0" w:rsidRPr="00E83B7E">
              <w:rPr>
                <w:noProof/>
                <w:webHidden/>
                <w:lang w:val="es-ES_tradnl"/>
              </w:rPr>
              <w:tab/>
            </w:r>
            <w:r w:rsidR="00D316B0" w:rsidRPr="00E83B7E">
              <w:rPr>
                <w:noProof/>
                <w:webHidden/>
                <w:lang w:val="es-ES_tradnl"/>
              </w:rPr>
              <w:fldChar w:fldCharType="begin"/>
            </w:r>
            <w:r w:rsidR="00D316B0" w:rsidRPr="00E83B7E">
              <w:rPr>
                <w:noProof/>
                <w:webHidden/>
                <w:lang w:val="es-ES_tradnl"/>
              </w:rPr>
              <w:instrText xml:space="preserve"> PAGEREF _Toc36834038 \h </w:instrText>
            </w:r>
            <w:r w:rsidR="00D316B0" w:rsidRPr="00E83B7E">
              <w:rPr>
                <w:noProof/>
                <w:webHidden/>
                <w:lang w:val="es-ES_tradnl"/>
              </w:rPr>
            </w:r>
            <w:r w:rsidR="00D316B0" w:rsidRPr="00E83B7E">
              <w:rPr>
                <w:noProof/>
                <w:webHidden/>
                <w:lang w:val="es-ES_tradnl"/>
              </w:rPr>
              <w:fldChar w:fldCharType="separate"/>
            </w:r>
            <w:r w:rsidR="00AD1A0C">
              <w:rPr>
                <w:noProof/>
                <w:webHidden/>
                <w:lang w:val="es-ES_tradnl"/>
              </w:rPr>
              <w:t>7</w:t>
            </w:r>
            <w:r w:rsidR="00D316B0" w:rsidRPr="00E83B7E">
              <w:rPr>
                <w:noProof/>
                <w:webHidden/>
                <w:lang w:val="es-ES_tradnl"/>
              </w:rPr>
              <w:fldChar w:fldCharType="end"/>
            </w:r>
          </w:hyperlink>
        </w:p>
        <w:p w14:paraId="45FFFB9D" w14:textId="172BBE1D" w:rsidR="00D316B0" w:rsidRPr="00E83B7E" w:rsidRDefault="006E18DA" w:rsidP="00AD1A0C">
          <w:pPr>
            <w:pStyle w:val="TOC2"/>
            <w:rPr>
              <w:rFonts w:eastAsiaTheme="minorEastAsia"/>
              <w:noProof/>
              <w:lang w:val="es-ES_tradnl"/>
            </w:rPr>
          </w:pPr>
          <w:hyperlink w:anchor="_Toc36834039" w:history="1">
            <w:r w:rsidR="00D316B0" w:rsidRPr="00E83B7E">
              <w:rPr>
                <w:rStyle w:val="Hyperlink"/>
                <w:noProof/>
                <w:lang w:val="es-ES_tradnl"/>
              </w:rPr>
              <w:t>B.</w:t>
            </w:r>
            <w:r w:rsidR="00D316B0" w:rsidRPr="00E83B7E">
              <w:rPr>
                <w:rFonts w:eastAsiaTheme="minorEastAsia"/>
                <w:noProof/>
                <w:lang w:val="es-ES_tradnl"/>
              </w:rPr>
              <w:tab/>
            </w:r>
            <w:r w:rsidR="00D316B0" w:rsidRPr="00E83B7E">
              <w:rPr>
                <w:rStyle w:val="Hyperlink"/>
                <w:noProof/>
                <w:lang w:val="es-ES_tradnl"/>
              </w:rPr>
              <w:t>Situación por sectores</w:t>
            </w:r>
            <w:r w:rsidR="00D316B0" w:rsidRPr="00E83B7E">
              <w:rPr>
                <w:noProof/>
                <w:webHidden/>
                <w:lang w:val="es-ES_tradnl"/>
              </w:rPr>
              <w:tab/>
            </w:r>
            <w:r w:rsidR="00D316B0" w:rsidRPr="00E83B7E">
              <w:rPr>
                <w:noProof/>
                <w:webHidden/>
                <w:lang w:val="es-ES_tradnl"/>
              </w:rPr>
              <w:fldChar w:fldCharType="begin"/>
            </w:r>
            <w:r w:rsidR="00D316B0" w:rsidRPr="00E83B7E">
              <w:rPr>
                <w:noProof/>
                <w:webHidden/>
                <w:lang w:val="es-ES_tradnl"/>
              </w:rPr>
              <w:instrText xml:space="preserve"> PAGEREF _Toc36834039 \h </w:instrText>
            </w:r>
            <w:r w:rsidR="00D316B0" w:rsidRPr="00E83B7E">
              <w:rPr>
                <w:noProof/>
                <w:webHidden/>
                <w:lang w:val="es-ES_tradnl"/>
              </w:rPr>
            </w:r>
            <w:r w:rsidR="00D316B0" w:rsidRPr="00E83B7E">
              <w:rPr>
                <w:noProof/>
                <w:webHidden/>
                <w:lang w:val="es-ES_tradnl"/>
              </w:rPr>
              <w:fldChar w:fldCharType="separate"/>
            </w:r>
            <w:r w:rsidR="00AD1A0C">
              <w:rPr>
                <w:noProof/>
                <w:webHidden/>
                <w:lang w:val="es-ES_tradnl"/>
              </w:rPr>
              <w:t>8</w:t>
            </w:r>
            <w:r w:rsidR="00D316B0" w:rsidRPr="00E83B7E">
              <w:rPr>
                <w:noProof/>
                <w:webHidden/>
                <w:lang w:val="es-ES_tradnl"/>
              </w:rPr>
              <w:fldChar w:fldCharType="end"/>
            </w:r>
          </w:hyperlink>
        </w:p>
        <w:p w14:paraId="0864932D" w14:textId="1708FC07" w:rsidR="00D316B0" w:rsidRPr="00E83B7E" w:rsidRDefault="006E18DA">
          <w:pPr>
            <w:pStyle w:val="TOC1"/>
            <w:tabs>
              <w:tab w:val="left" w:pos="660"/>
              <w:tab w:val="right" w:leader="dot" w:pos="9350"/>
            </w:tabs>
            <w:rPr>
              <w:rFonts w:eastAsiaTheme="minorEastAsia"/>
              <w:noProof/>
              <w:lang w:val="es-ES_tradnl"/>
            </w:rPr>
          </w:pPr>
          <w:hyperlink w:anchor="_Toc36834040" w:history="1">
            <w:r w:rsidR="00D316B0" w:rsidRPr="00E83B7E">
              <w:rPr>
                <w:rStyle w:val="Hyperlink"/>
                <w:noProof/>
                <w:lang w:val="es-ES_tradnl"/>
              </w:rPr>
              <w:t>III.</w:t>
            </w:r>
            <w:r w:rsidR="00D316B0" w:rsidRPr="00E83B7E">
              <w:rPr>
                <w:rFonts w:eastAsiaTheme="minorEastAsia"/>
                <w:noProof/>
                <w:lang w:val="es-ES_tradnl"/>
              </w:rPr>
              <w:tab/>
            </w:r>
            <w:r w:rsidR="00D316B0" w:rsidRPr="00E83B7E">
              <w:rPr>
                <w:rStyle w:val="Hyperlink"/>
                <w:noProof/>
                <w:lang w:val="es-ES_tradnl"/>
              </w:rPr>
              <w:t>Conclusión</w:t>
            </w:r>
            <w:r w:rsidR="00D316B0" w:rsidRPr="00E83B7E">
              <w:rPr>
                <w:noProof/>
                <w:webHidden/>
                <w:lang w:val="es-ES_tradnl"/>
              </w:rPr>
              <w:tab/>
            </w:r>
            <w:r w:rsidR="00D316B0" w:rsidRPr="00E83B7E">
              <w:rPr>
                <w:noProof/>
                <w:webHidden/>
                <w:lang w:val="es-ES_tradnl"/>
              </w:rPr>
              <w:fldChar w:fldCharType="begin"/>
            </w:r>
            <w:r w:rsidR="00D316B0" w:rsidRPr="00E83B7E">
              <w:rPr>
                <w:noProof/>
                <w:webHidden/>
                <w:lang w:val="es-ES_tradnl"/>
              </w:rPr>
              <w:instrText xml:space="preserve"> PAGEREF _Toc36834040 \h </w:instrText>
            </w:r>
            <w:r w:rsidR="00D316B0" w:rsidRPr="00E83B7E">
              <w:rPr>
                <w:noProof/>
                <w:webHidden/>
                <w:lang w:val="es-ES_tradnl"/>
              </w:rPr>
            </w:r>
            <w:r w:rsidR="00D316B0" w:rsidRPr="00E83B7E">
              <w:rPr>
                <w:noProof/>
                <w:webHidden/>
                <w:lang w:val="es-ES_tradnl"/>
              </w:rPr>
              <w:fldChar w:fldCharType="separate"/>
            </w:r>
            <w:r w:rsidR="00AD1A0C">
              <w:rPr>
                <w:noProof/>
                <w:webHidden/>
                <w:lang w:val="es-ES_tradnl"/>
              </w:rPr>
              <w:t>11</w:t>
            </w:r>
            <w:r w:rsidR="00D316B0" w:rsidRPr="00E83B7E">
              <w:rPr>
                <w:noProof/>
                <w:webHidden/>
                <w:lang w:val="es-ES_tradnl"/>
              </w:rPr>
              <w:fldChar w:fldCharType="end"/>
            </w:r>
          </w:hyperlink>
        </w:p>
        <w:p w14:paraId="156ED05C" w14:textId="6479FBBD" w:rsidR="00D316B0" w:rsidRPr="00E83B7E" w:rsidRDefault="006E18DA">
          <w:pPr>
            <w:pStyle w:val="TOC1"/>
            <w:tabs>
              <w:tab w:val="right" w:leader="dot" w:pos="9350"/>
            </w:tabs>
            <w:rPr>
              <w:rFonts w:eastAsiaTheme="minorEastAsia"/>
              <w:noProof/>
              <w:lang w:val="es-ES_tradnl"/>
            </w:rPr>
          </w:pPr>
          <w:hyperlink w:anchor="_Toc36834041" w:history="1">
            <w:r w:rsidR="00D316B0" w:rsidRPr="00E83B7E">
              <w:rPr>
                <w:rStyle w:val="Hyperlink"/>
                <w:noProof/>
                <w:lang w:val="es-ES_tradnl"/>
              </w:rPr>
              <w:t>Anexo I: aspectos metodológicos</w:t>
            </w:r>
            <w:r w:rsidR="00D316B0" w:rsidRPr="00E83B7E">
              <w:rPr>
                <w:noProof/>
                <w:webHidden/>
                <w:lang w:val="es-ES_tradnl"/>
              </w:rPr>
              <w:tab/>
            </w:r>
            <w:r w:rsidR="00D316B0" w:rsidRPr="00E83B7E">
              <w:rPr>
                <w:noProof/>
                <w:webHidden/>
                <w:lang w:val="es-ES_tradnl"/>
              </w:rPr>
              <w:fldChar w:fldCharType="begin"/>
            </w:r>
            <w:r w:rsidR="00D316B0" w:rsidRPr="00E83B7E">
              <w:rPr>
                <w:noProof/>
                <w:webHidden/>
                <w:lang w:val="es-ES_tradnl"/>
              </w:rPr>
              <w:instrText xml:space="preserve"> PAGEREF _Toc36834041 \h </w:instrText>
            </w:r>
            <w:r w:rsidR="00D316B0" w:rsidRPr="00E83B7E">
              <w:rPr>
                <w:noProof/>
                <w:webHidden/>
                <w:lang w:val="es-ES_tradnl"/>
              </w:rPr>
            </w:r>
            <w:r w:rsidR="00D316B0" w:rsidRPr="00E83B7E">
              <w:rPr>
                <w:noProof/>
                <w:webHidden/>
                <w:lang w:val="es-ES_tradnl"/>
              </w:rPr>
              <w:fldChar w:fldCharType="separate"/>
            </w:r>
            <w:r w:rsidR="00AD1A0C">
              <w:rPr>
                <w:noProof/>
                <w:webHidden/>
                <w:lang w:val="es-ES_tradnl"/>
              </w:rPr>
              <w:t>13</w:t>
            </w:r>
            <w:r w:rsidR="00D316B0" w:rsidRPr="00E83B7E">
              <w:rPr>
                <w:noProof/>
                <w:webHidden/>
                <w:lang w:val="es-ES_tradnl"/>
              </w:rPr>
              <w:fldChar w:fldCharType="end"/>
            </w:r>
          </w:hyperlink>
        </w:p>
        <w:p w14:paraId="6B7682A5" w14:textId="16E85C9D" w:rsidR="00AE17AB" w:rsidRPr="00E83B7E" w:rsidRDefault="00AE17AB" w:rsidP="00AE17AB">
          <w:pPr>
            <w:rPr>
              <w:lang w:val="es-ES_tradnl"/>
            </w:rPr>
          </w:pPr>
          <w:r w:rsidRPr="00E83B7E">
            <w:rPr>
              <w:b/>
              <w:bCs/>
              <w:lang w:val="es-ES_tradnl"/>
            </w:rPr>
            <w:fldChar w:fldCharType="end"/>
          </w:r>
        </w:p>
      </w:sdtContent>
    </w:sdt>
    <w:p w14:paraId="5DD9F09A" w14:textId="77777777" w:rsidR="00D316B0" w:rsidRPr="00E83B7E" w:rsidRDefault="00D316B0">
      <w:pPr>
        <w:rPr>
          <w:rFonts w:asciiTheme="majorHAnsi" w:eastAsiaTheme="majorEastAsia" w:hAnsiTheme="majorHAnsi" w:cstheme="majorBidi"/>
          <w:color w:val="2F5496" w:themeColor="accent1" w:themeShade="BF"/>
          <w:sz w:val="32"/>
          <w:szCs w:val="32"/>
          <w:lang w:val="es-ES_tradnl"/>
        </w:rPr>
      </w:pPr>
      <w:bookmarkStart w:id="0" w:name="_Toc36834034"/>
      <w:bookmarkStart w:id="1" w:name="_Toc24900476"/>
      <w:r w:rsidRPr="00E83B7E">
        <w:rPr>
          <w:lang w:val="es-ES_tradnl"/>
        </w:rPr>
        <w:br w:type="page"/>
      </w:r>
    </w:p>
    <w:p w14:paraId="2237FD8E" w14:textId="18BE76A2" w:rsidR="00AE17AB" w:rsidRPr="00E83B7E" w:rsidRDefault="00AE17AB" w:rsidP="0007292C">
      <w:pPr>
        <w:pStyle w:val="Heading1"/>
        <w:numPr>
          <w:ilvl w:val="0"/>
          <w:numId w:val="0"/>
        </w:numPr>
        <w:rPr>
          <w:lang w:val="es-ES_tradnl"/>
        </w:rPr>
      </w:pPr>
      <w:r w:rsidRPr="00E83B7E">
        <w:rPr>
          <w:lang w:val="es-ES_tradnl"/>
        </w:rPr>
        <w:lastRenderedPageBreak/>
        <w:t>Siglas y acrónimos</w:t>
      </w:r>
      <w:bookmarkEnd w:id="0"/>
    </w:p>
    <w:tbl>
      <w:tblPr>
        <w:tblStyle w:val="TableGrid"/>
        <w:tblW w:w="0" w:type="auto"/>
        <w:tblLook w:val="04A0" w:firstRow="1" w:lastRow="0" w:firstColumn="1" w:lastColumn="0" w:noHBand="0" w:noVBand="1"/>
      </w:tblPr>
      <w:tblGrid>
        <w:gridCol w:w="2065"/>
        <w:gridCol w:w="7285"/>
      </w:tblGrid>
      <w:tr w:rsidR="00AE17AB" w:rsidRPr="00E83B7E" w14:paraId="3283999A" w14:textId="77777777" w:rsidTr="0055075B">
        <w:tc>
          <w:tcPr>
            <w:tcW w:w="2065" w:type="dxa"/>
          </w:tcPr>
          <w:p w14:paraId="5906F465" w14:textId="08B5FBE2" w:rsidR="00AE17AB" w:rsidRPr="00E83B7E" w:rsidRDefault="00376D7C" w:rsidP="00AD1A0C">
            <w:pPr>
              <w:spacing w:line="360" w:lineRule="auto"/>
              <w:jc w:val="both"/>
              <w:rPr>
                <w:bCs/>
                <w:lang w:val="es-ES_tradnl"/>
              </w:rPr>
            </w:pPr>
            <w:r w:rsidRPr="00E83B7E">
              <w:rPr>
                <w:bCs/>
                <w:lang w:val="es-ES_tradnl"/>
              </w:rPr>
              <w:t>IV</w:t>
            </w:r>
          </w:p>
        </w:tc>
        <w:tc>
          <w:tcPr>
            <w:tcW w:w="7285" w:type="dxa"/>
          </w:tcPr>
          <w:p w14:paraId="7ADAAF4A" w14:textId="6076686B" w:rsidR="00AE17AB" w:rsidRPr="00E83B7E" w:rsidRDefault="00376D7C" w:rsidP="00941B33">
            <w:pPr>
              <w:jc w:val="both"/>
              <w:rPr>
                <w:bCs/>
                <w:lang w:val="es-ES_tradnl"/>
              </w:rPr>
            </w:pPr>
            <w:r w:rsidRPr="00E83B7E">
              <w:rPr>
                <w:bCs/>
                <w:lang w:val="es-ES_tradnl"/>
              </w:rPr>
              <w:t xml:space="preserve">Índice de </w:t>
            </w:r>
            <w:r w:rsidR="00000654">
              <w:rPr>
                <w:bCs/>
                <w:lang w:val="es-ES_tradnl"/>
              </w:rPr>
              <w:t>V</w:t>
            </w:r>
            <w:r w:rsidRPr="00E83B7E">
              <w:rPr>
                <w:bCs/>
                <w:lang w:val="es-ES_tradnl"/>
              </w:rPr>
              <w:t>ulnerabilidad</w:t>
            </w:r>
          </w:p>
        </w:tc>
      </w:tr>
      <w:tr w:rsidR="00AE17AB" w:rsidRPr="00D16194" w14:paraId="00743B77" w14:textId="77777777" w:rsidTr="0055075B">
        <w:tc>
          <w:tcPr>
            <w:tcW w:w="2065" w:type="dxa"/>
          </w:tcPr>
          <w:p w14:paraId="7DA87C30" w14:textId="766E4134" w:rsidR="00AE17AB" w:rsidRPr="00E83B7E" w:rsidRDefault="002F60E9" w:rsidP="00AD1A0C">
            <w:pPr>
              <w:spacing w:line="360" w:lineRule="auto"/>
              <w:jc w:val="both"/>
              <w:rPr>
                <w:bCs/>
                <w:lang w:val="es-ES_tradnl"/>
              </w:rPr>
            </w:pPr>
            <w:proofErr w:type="spellStart"/>
            <w:r w:rsidRPr="00E83B7E">
              <w:rPr>
                <w:bCs/>
                <w:lang w:val="es-ES_tradnl"/>
              </w:rPr>
              <w:t>MiP</w:t>
            </w:r>
            <w:r w:rsidR="00000654">
              <w:rPr>
                <w:bCs/>
                <w:lang w:val="es-ES_tradnl"/>
              </w:rPr>
              <w:t>Y</w:t>
            </w:r>
            <w:r w:rsidRPr="00E83B7E">
              <w:rPr>
                <w:bCs/>
                <w:lang w:val="es-ES_tradnl"/>
              </w:rPr>
              <w:t>ME</w:t>
            </w:r>
            <w:proofErr w:type="spellEnd"/>
          </w:p>
        </w:tc>
        <w:tc>
          <w:tcPr>
            <w:tcW w:w="7285" w:type="dxa"/>
          </w:tcPr>
          <w:p w14:paraId="43B13612" w14:textId="42637FB7" w:rsidR="00AE17AB" w:rsidRPr="00E83B7E" w:rsidRDefault="002F60E9" w:rsidP="00941B33">
            <w:pPr>
              <w:jc w:val="both"/>
              <w:rPr>
                <w:bCs/>
                <w:lang w:val="es-ES_tradnl"/>
              </w:rPr>
            </w:pPr>
            <w:r w:rsidRPr="00E83B7E">
              <w:rPr>
                <w:bCs/>
                <w:lang w:val="es-ES_tradnl"/>
              </w:rPr>
              <w:t xml:space="preserve">Miro, </w:t>
            </w:r>
            <w:r w:rsidR="00000654">
              <w:rPr>
                <w:bCs/>
                <w:lang w:val="es-ES_tradnl"/>
              </w:rPr>
              <w:t>P</w:t>
            </w:r>
            <w:r w:rsidRPr="00E83B7E">
              <w:rPr>
                <w:bCs/>
                <w:lang w:val="es-ES_tradnl"/>
              </w:rPr>
              <w:t xml:space="preserve">equeñas y </w:t>
            </w:r>
            <w:r w:rsidR="00000654">
              <w:rPr>
                <w:bCs/>
                <w:lang w:val="es-ES_tradnl"/>
              </w:rPr>
              <w:t>M</w:t>
            </w:r>
            <w:r w:rsidRPr="00E83B7E">
              <w:rPr>
                <w:bCs/>
                <w:lang w:val="es-ES_tradnl"/>
              </w:rPr>
              <w:t xml:space="preserve">edianas </w:t>
            </w:r>
            <w:r w:rsidR="00000654">
              <w:rPr>
                <w:bCs/>
                <w:lang w:val="es-ES_tradnl"/>
              </w:rPr>
              <w:t>E</w:t>
            </w:r>
            <w:r w:rsidRPr="00E83B7E">
              <w:rPr>
                <w:bCs/>
                <w:lang w:val="es-ES_tradnl"/>
              </w:rPr>
              <w:t>mpresas</w:t>
            </w:r>
          </w:p>
        </w:tc>
      </w:tr>
      <w:tr w:rsidR="00AE17AB" w:rsidRPr="00D16194" w14:paraId="0378513A" w14:textId="77777777" w:rsidTr="0055075B">
        <w:tc>
          <w:tcPr>
            <w:tcW w:w="2065" w:type="dxa"/>
          </w:tcPr>
          <w:p w14:paraId="0619FF6D" w14:textId="37CC901C" w:rsidR="00AE17AB" w:rsidRPr="00E83B7E" w:rsidRDefault="00000654" w:rsidP="00AD1A0C">
            <w:pPr>
              <w:spacing w:line="360" w:lineRule="auto"/>
              <w:jc w:val="both"/>
              <w:rPr>
                <w:bCs/>
                <w:lang w:val="es-ES_tradnl"/>
              </w:rPr>
            </w:pPr>
            <w:r>
              <w:rPr>
                <w:bCs/>
                <w:lang w:val="es-ES_tradnl"/>
              </w:rPr>
              <w:t>PIB</w:t>
            </w:r>
          </w:p>
        </w:tc>
        <w:tc>
          <w:tcPr>
            <w:tcW w:w="7285" w:type="dxa"/>
          </w:tcPr>
          <w:p w14:paraId="2E68BF1C" w14:textId="3FD95F0F" w:rsidR="00AE17AB" w:rsidRPr="00E83B7E" w:rsidRDefault="00000654" w:rsidP="00941B33">
            <w:pPr>
              <w:jc w:val="both"/>
              <w:rPr>
                <w:bCs/>
                <w:lang w:val="es-ES_tradnl"/>
              </w:rPr>
            </w:pPr>
            <w:r>
              <w:rPr>
                <w:bCs/>
                <w:lang w:val="es-ES_tradnl"/>
              </w:rPr>
              <w:t>Producto Interno Bruto</w:t>
            </w:r>
          </w:p>
        </w:tc>
      </w:tr>
    </w:tbl>
    <w:p w14:paraId="54347C9E" w14:textId="77B247BE" w:rsidR="00AE17AB" w:rsidRPr="00E83B7E" w:rsidRDefault="00AE17AB" w:rsidP="00AE17AB">
      <w:pPr>
        <w:rPr>
          <w:rFonts w:asciiTheme="majorHAnsi" w:eastAsiaTheme="majorEastAsia" w:hAnsiTheme="majorHAnsi" w:cstheme="majorBidi"/>
          <w:b/>
          <w:sz w:val="32"/>
          <w:szCs w:val="32"/>
          <w:lang w:val="es-ES_tradnl"/>
        </w:rPr>
      </w:pPr>
    </w:p>
    <w:bookmarkEnd w:id="1"/>
    <w:p w14:paraId="0D496378" w14:textId="0FCE4824" w:rsidR="00AE17AB" w:rsidRPr="00E83B7E" w:rsidRDefault="00AE17AB">
      <w:pPr>
        <w:rPr>
          <w:b/>
          <w:bCs/>
          <w:sz w:val="24"/>
          <w:szCs w:val="24"/>
          <w:lang w:val="es-ES_tradnl"/>
        </w:rPr>
      </w:pPr>
    </w:p>
    <w:p w14:paraId="0048EB29" w14:textId="77777777" w:rsidR="00AE17AB" w:rsidRPr="00E83B7E" w:rsidRDefault="00AE17AB">
      <w:pPr>
        <w:rPr>
          <w:b/>
          <w:bCs/>
          <w:sz w:val="24"/>
          <w:szCs w:val="24"/>
          <w:lang w:val="es-ES_tradnl"/>
        </w:rPr>
      </w:pPr>
    </w:p>
    <w:p w14:paraId="73F439AD" w14:textId="77777777" w:rsidR="00AE17AB" w:rsidRPr="00E83B7E" w:rsidRDefault="00AE17AB">
      <w:pPr>
        <w:rPr>
          <w:b/>
          <w:bCs/>
          <w:sz w:val="24"/>
          <w:szCs w:val="24"/>
          <w:lang w:val="es-ES_tradnl"/>
        </w:rPr>
      </w:pPr>
      <w:bookmarkStart w:id="2" w:name="_Hlk36746411"/>
      <w:r w:rsidRPr="00E83B7E">
        <w:rPr>
          <w:b/>
          <w:bCs/>
          <w:sz w:val="24"/>
          <w:szCs w:val="24"/>
          <w:lang w:val="es-ES_tradnl"/>
        </w:rPr>
        <w:br w:type="page"/>
      </w:r>
    </w:p>
    <w:p w14:paraId="58DF5ADA" w14:textId="499BB100" w:rsidR="00D92E9C" w:rsidRPr="00E83B7E" w:rsidRDefault="00D41616" w:rsidP="0007292C">
      <w:pPr>
        <w:pStyle w:val="Heading1"/>
        <w:numPr>
          <w:ilvl w:val="0"/>
          <w:numId w:val="0"/>
        </w:numPr>
        <w:rPr>
          <w:lang w:val="es-ES_tradnl"/>
        </w:rPr>
      </w:pPr>
      <w:bookmarkStart w:id="3" w:name="_Toc36834035"/>
      <w:r w:rsidRPr="00E83B7E">
        <w:rPr>
          <w:lang w:val="es-ES_tradnl"/>
        </w:rPr>
        <w:lastRenderedPageBreak/>
        <w:t>Resumen ejecutivo</w:t>
      </w:r>
      <w:bookmarkEnd w:id="3"/>
    </w:p>
    <w:bookmarkEnd w:id="2"/>
    <w:p w14:paraId="457BBF67" w14:textId="65BB986A" w:rsidR="00816025" w:rsidRPr="00E83B7E" w:rsidRDefault="00816025" w:rsidP="00816025">
      <w:pPr>
        <w:jc w:val="both"/>
        <w:rPr>
          <w:lang w:val="es-ES_tradnl"/>
        </w:rPr>
      </w:pPr>
      <w:r w:rsidRPr="00E83B7E">
        <w:rPr>
          <w:lang w:val="es-ES_tradnl"/>
        </w:rPr>
        <w:t>Este documento present</w:t>
      </w:r>
      <w:r w:rsidR="00043713" w:rsidRPr="00E83B7E">
        <w:rPr>
          <w:lang w:val="es-ES_tradnl"/>
        </w:rPr>
        <w:t>a</w:t>
      </w:r>
      <w:r w:rsidRPr="00E83B7E">
        <w:rPr>
          <w:lang w:val="es-ES_tradnl"/>
        </w:rPr>
        <w:t xml:space="preserve"> un análisis de vulnerabilidades desagregado por sectores y con referencia a la situación de las M</w:t>
      </w:r>
      <w:r w:rsidR="00043713" w:rsidRPr="00E83B7E">
        <w:rPr>
          <w:lang w:val="es-ES_tradnl"/>
        </w:rPr>
        <w:t>i</w:t>
      </w:r>
      <w:r w:rsidRPr="00E83B7E">
        <w:rPr>
          <w:lang w:val="es-ES_tradnl"/>
        </w:rPr>
        <w:t>P</w:t>
      </w:r>
      <w:r w:rsidR="00E83B7E">
        <w:rPr>
          <w:lang w:val="es-ES_tradnl"/>
        </w:rPr>
        <w:t>y</w:t>
      </w:r>
      <w:r w:rsidRPr="00E83B7E">
        <w:rPr>
          <w:lang w:val="es-ES_tradnl"/>
        </w:rPr>
        <w:t xml:space="preserve">ME en </w:t>
      </w:r>
      <w:r w:rsidR="003941F4">
        <w:rPr>
          <w:lang w:val="es-ES_tradnl"/>
        </w:rPr>
        <w:t>México</w:t>
      </w:r>
      <w:r w:rsidRPr="00E83B7E">
        <w:rPr>
          <w:lang w:val="es-ES_tradnl"/>
        </w:rPr>
        <w:t xml:space="preserve">. Los sectores analizados son: </w:t>
      </w:r>
      <w:r w:rsidR="00AA2010">
        <w:rPr>
          <w:lang w:val="es-ES_tradnl"/>
        </w:rPr>
        <w:t>comercio al por me</w:t>
      </w:r>
      <w:r w:rsidR="005A31A7">
        <w:rPr>
          <w:lang w:val="es-ES_tradnl"/>
        </w:rPr>
        <w:t>n</w:t>
      </w:r>
      <w:r w:rsidR="00AA2010">
        <w:rPr>
          <w:lang w:val="es-ES_tradnl"/>
        </w:rPr>
        <w:t xml:space="preserve">or, </w:t>
      </w:r>
      <w:r w:rsidRPr="00E83B7E">
        <w:rPr>
          <w:lang w:val="es-ES_tradnl"/>
        </w:rPr>
        <w:t>turismo, transporte</w:t>
      </w:r>
      <w:r w:rsidR="003941F4">
        <w:rPr>
          <w:lang w:val="es-ES_tradnl"/>
        </w:rPr>
        <w:t xml:space="preserve"> </w:t>
      </w:r>
      <w:r w:rsidR="003941F4" w:rsidRPr="00AA2010">
        <w:rPr>
          <w:lang w:val="es-ES_tradnl"/>
        </w:rPr>
        <w:t>de carga y de pasajeros</w:t>
      </w:r>
      <w:r w:rsidRPr="00AA2010">
        <w:rPr>
          <w:lang w:val="es-ES_tradnl"/>
        </w:rPr>
        <w:t xml:space="preserve">, automotriz, </w:t>
      </w:r>
      <w:r w:rsidR="003941F4" w:rsidRPr="00AA2010">
        <w:rPr>
          <w:lang w:val="es-ES_tradnl"/>
        </w:rPr>
        <w:t>autopartes,</w:t>
      </w:r>
      <w:r w:rsidR="003941F4">
        <w:rPr>
          <w:lang w:val="es-ES_tradnl"/>
        </w:rPr>
        <w:t xml:space="preserve"> </w:t>
      </w:r>
      <w:r w:rsidRPr="00E83B7E">
        <w:rPr>
          <w:lang w:val="es-ES_tradnl"/>
        </w:rPr>
        <w:t>textil</w:t>
      </w:r>
      <w:r w:rsidR="006B7755">
        <w:rPr>
          <w:lang w:val="es-ES_tradnl"/>
        </w:rPr>
        <w:t>, energía, construcción</w:t>
      </w:r>
      <w:r w:rsidRPr="00E83B7E">
        <w:rPr>
          <w:lang w:val="es-ES_tradnl"/>
        </w:rPr>
        <w:t xml:space="preserve"> y agro</w:t>
      </w:r>
      <w:r w:rsidR="00F3219B">
        <w:rPr>
          <w:lang w:val="es-ES_tradnl"/>
        </w:rPr>
        <w:t>alimentario</w:t>
      </w:r>
      <w:r w:rsidRPr="00E83B7E">
        <w:rPr>
          <w:lang w:val="es-ES_tradnl"/>
        </w:rPr>
        <w:t>. Para la determinación de la vulnerabilidad general de un sector se agruparon los factores de riesgo en cuatro áreas: (i) oferta; (ii) demanda; (iii) financiera y patrimonial; y (iv) y sistémico y regulatorio. A cada factor de riesgo se le asign</w:t>
      </w:r>
      <w:r w:rsidR="00043713" w:rsidRPr="00E83B7E">
        <w:rPr>
          <w:lang w:val="es-ES_tradnl"/>
        </w:rPr>
        <w:t>ó</w:t>
      </w:r>
      <w:r w:rsidRPr="00E83B7E">
        <w:rPr>
          <w:lang w:val="es-ES_tradnl"/>
        </w:rPr>
        <w:t xml:space="preserve"> un grado cualitativo de materialización potencial e impacto del riesgo, a saber: moderado, significativo, severo y extremo.</w:t>
      </w:r>
      <w:r w:rsidR="73C9812E" w:rsidRPr="00E83B7E">
        <w:rPr>
          <w:lang w:val="es-ES_tradnl"/>
        </w:rPr>
        <w:t xml:space="preserve"> </w:t>
      </w:r>
      <w:r w:rsidRPr="00E83B7E">
        <w:rPr>
          <w:lang w:val="es-ES_tradnl"/>
        </w:rPr>
        <w:t>Una vez asignada la calificación de riesgo/vulnerabilidad para cada factor, se eval</w:t>
      </w:r>
      <w:r w:rsidR="00043713" w:rsidRPr="00E83B7E">
        <w:rPr>
          <w:lang w:val="es-ES_tradnl"/>
        </w:rPr>
        <w:t>uaron</w:t>
      </w:r>
      <w:r w:rsidRPr="00E83B7E">
        <w:rPr>
          <w:lang w:val="es-ES_tradnl"/>
        </w:rPr>
        <w:t xml:space="preserve"> los resultados </w:t>
      </w:r>
      <w:r w:rsidR="00E83B7E" w:rsidRPr="00E83B7E">
        <w:rPr>
          <w:lang w:val="es-ES_tradnl"/>
        </w:rPr>
        <w:t>y se</w:t>
      </w:r>
      <w:r w:rsidRPr="00E83B7E">
        <w:rPr>
          <w:lang w:val="es-ES_tradnl"/>
        </w:rPr>
        <w:t xml:space="preserve"> agrega</w:t>
      </w:r>
      <w:r w:rsidR="00043713" w:rsidRPr="00E83B7E">
        <w:rPr>
          <w:lang w:val="es-ES_tradnl"/>
        </w:rPr>
        <w:t>ron</w:t>
      </w:r>
      <w:r w:rsidRPr="00E83B7E">
        <w:rPr>
          <w:lang w:val="es-ES_tradnl"/>
        </w:rPr>
        <w:t xml:space="preserve"> en un índice que asigna un peso de 30% respectivamente para los factores de oferta, demanda y financieros y patrimoniales y de 10% para los factores sistémicos y regulatorios. </w:t>
      </w:r>
    </w:p>
    <w:p w14:paraId="7C447D4F" w14:textId="77777777" w:rsidR="00CF71C9" w:rsidRDefault="00816025" w:rsidP="00816025">
      <w:pPr>
        <w:jc w:val="both"/>
        <w:rPr>
          <w:lang w:val="es-ES_tradnl"/>
        </w:rPr>
      </w:pPr>
      <w:r w:rsidRPr="00E83B7E">
        <w:rPr>
          <w:lang w:val="es-ES_tradnl"/>
        </w:rPr>
        <w:t>El mayor índice de vulnerabilidad global se present</w:t>
      </w:r>
      <w:r w:rsidR="00043713" w:rsidRPr="00E83B7E">
        <w:rPr>
          <w:lang w:val="es-ES_tradnl"/>
        </w:rPr>
        <w:t>a</w:t>
      </w:r>
      <w:r w:rsidRPr="00E83B7E">
        <w:rPr>
          <w:lang w:val="es-ES_tradnl"/>
        </w:rPr>
        <w:t xml:space="preserve"> en el sector </w:t>
      </w:r>
      <w:r w:rsidR="003941F4">
        <w:rPr>
          <w:lang w:val="es-ES_tradnl"/>
        </w:rPr>
        <w:t>de autopartes</w:t>
      </w:r>
      <w:r w:rsidR="00043713" w:rsidRPr="00E83B7E">
        <w:rPr>
          <w:lang w:val="es-ES_tradnl"/>
        </w:rPr>
        <w:t>,</w:t>
      </w:r>
      <w:r w:rsidRPr="00E83B7E">
        <w:rPr>
          <w:lang w:val="es-ES_tradnl"/>
        </w:rPr>
        <w:t xml:space="preserve"> seguido por el sector de </w:t>
      </w:r>
      <w:r w:rsidR="00CF71C9">
        <w:rPr>
          <w:lang w:val="es-ES_tradnl"/>
        </w:rPr>
        <w:t xml:space="preserve">construcción, </w:t>
      </w:r>
      <w:r w:rsidR="003941F4">
        <w:rPr>
          <w:lang w:val="es-ES_tradnl"/>
        </w:rPr>
        <w:t>textil</w:t>
      </w:r>
      <w:r w:rsidR="00CF71C9">
        <w:rPr>
          <w:lang w:val="es-ES_tradnl"/>
        </w:rPr>
        <w:t xml:space="preserve">, </w:t>
      </w:r>
      <w:r w:rsidR="00E724E1">
        <w:rPr>
          <w:lang w:val="es-ES_tradnl"/>
        </w:rPr>
        <w:t>turismo</w:t>
      </w:r>
      <w:r w:rsidR="00CF71C9">
        <w:rPr>
          <w:lang w:val="es-ES_tradnl"/>
        </w:rPr>
        <w:t xml:space="preserve"> y energía</w:t>
      </w:r>
      <w:r w:rsidR="00E724E1">
        <w:rPr>
          <w:lang w:val="es-ES_tradnl"/>
        </w:rPr>
        <w:t xml:space="preserve"> </w:t>
      </w:r>
      <w:r w:rsidRPr="00E83B7E">
        <w:rPr>
          <w:lang w:val="es-ES_tradnl"/>
        </w:rPr>
        <w:t>(con índices de</w:t>
      </w:r>
      <w:r w:rsidR="003941F4">
        <w:rPr>
          <w:lang w:val="es-ES_tradnl"/>
        </w:rPr>
        <w:t xml:space="preserve"> 0,7</w:t>
      </w:r>
      <w:r w:rsidR="00E514F4">
        <w:rPr>
          <w:lang w:val="es-ES_tradnl"/>
        </w:rPr>
        <w:t>5</w:t>
      </w:r>
      <w:r w:rsidR="003941F4">
        <w:rPr>
          <w:lang w:val="es-ES_tradnl"/>
        </w:rPr>
        <w:t xml:space="preserve">, </w:t>
      </w:r>
      <w:r w:rsidR="00CF71C9">
        <w:rPr>
          <w:lang w:val="es-ES_tradnl"/>
        </w:rPr>
        <w:t xml:space="preserve">0,71, </w:t>
      </w:r>
      <w:r w:rsidR="003941F4">
        <w:rPr>
          <w:lang w:val="es-ES_tradnl"/>
        </w:rPr>
        <w:t>0,</w:t>
      </w:r>
      <w:r w:rsidR="00E724E1">
        <w:rPr>
          <w:lang w:val="es-ES_tradnl"/>
        </w:rPr>
        <w:t>70</w:t>
      </w:r>
      <w:r w:rsidR="00CF71C9">
        <w:rPr>
          <w:lang w:val="es-ES_tradnl"/>
        </w:rPr>
        <w:t xml:space="preserve">, </w:t>
      </w:r>
      <w:r w:rsidR="003941F4">
        <w:rPr>
          <w:lang w:val="es-ES_tradnl"/>
        </w:rPr>
        <w:t>0,68</w:t>
      </w:r>
      <w:r w:rsidR="00CF71C9">
        <w:rPr>
          <w:lang w:val="es-ES_tradnl"/>
        </w:rPr>
        <w:t xml:space="preserve"> y 0,65</w:t>
      </w:r>
      <w:r w:rsidR="003941F4">
        <w:rPr>
          <w:lang w:val="es-ES_tradnl"/>
        </w:rPr>
        <w:t xml:space="preserve"> </w:t>
      </w:r>
      <w:r w:rsidRPr="00E83B7E">
        <w:rPr>
          <w:lang w:val="es-ES_tradnl"/>
        </w:rPr>
        <w:t>respectivamente). Alternativamente, el sector de menor vulnerabilidad es el de</w:t>
      </w:r>
      <w:r w:rsidR="003941F4">
        <w:rPr>
          <w:lang w:val="es-ES_tradnl"/>
        </w:rPr>
        <w:t xml:space="preserve"> transporte de carga y de pasajeros (</w:t>
      </w:r>
      <w:r w:rsidR="003941F4" w:rsidRPr="00E83B7E">
        <w:rPr>
          <w:lang w:val="es-ES_tradnl"/>
        </w:rPr>
        <w:t>con un</w:t>
      </w:r>
      <w:r w:rsidR="003941F4">
        <w:rPr>
          <w:lang w:val="es-ES_tradnl"/>
        </w:rPr>
        <w:t>os</w:t>
      </w:r>
      <w:r w:rsidR="003941F4" w:rsidRPr="00E83B7E">
        <w:rPr>
          <w:lang w:val="es-ES_tradnl"/>
        </w:rPr>
        <w:t xml:space="preserve"> índice</w:t>
      </w:r>
      <w:r w:rsidR="003941F4">
        <w:rPr>
          <w:lang w:val="es-ES_tradnl"/>
        </w:rPr>
        <w:t>s de 0,15 y 0,29 respectivamente</w:t>
      </w:r>
      <w:r w:rsidR="00900E28">
        <w:rPr>
          <w:lang w:val="es-ES_tradnl"/>
        </w:rPr>
        <w:t>, en una situación de vulnerabilidad severa de grado 1</w:t>
      </w:r>
      <w:r w:rsidR="003941F4">
        <w:rPr>
          <w:lang w:val="es-ES_tradnl"/>
        </w:rPr>
        <w:t>)</w:t>
      </w:r>
      <w:r w:rsidRPr="00E83B7E">
        <w:rPr>
          <w:lang w:val="es-ES_tradnl"/>
        </w:rPr>
        <w:t xml:space="preserve">. </w:t>
      </w:r>
    </w:p>
    <w:p w14:paraId="35D9BFCD" w14:textId="6A8837A8" w:rsidR="00382E7B" w:rsidRDefault="00816025" w:rsidP="00816025">
      <w:pPr>
        <w:jc w:val="both"/>
        <w:rPr>
          <w:lang w:val="es-ES_tradnl"/>
        </w:rPr>
      </w:pPr>
      <w:r w:rsidRPr="00E83B7E">
        <w:rPr>
          <w:lang w:val="es-ES_tradnl"/>
        </w:rPr>
        <w:t xml:space="preserve">El </w:t>
      </w:r>
      <w:r w:rsidRPr="00E83B7E">
        <w:rPr>
          <w:b/>
          <w:bCs/>
          <w:lang w:val="es-ES_tradnl"/>
        </w:rPr>
        <w:t>s</w:t>
      </w:r>
      <w:r w:rsidR="008D2824">
        <w:rPr>
          <w:b/>
          <w:bCs/>
          <w:lang w:val="es-ES_tradnl"/>
        </w:rPr>
        <w:t>ub</w:t>
      </w:r>
      <w:r w:rsidR="00AA2010">
        <w:rPr>
          <w:b/>
          <w:bCs/>
          <w:lang w:val="es-ES_tradnl"/>
        </w:rPr>
        <w:t>s</w:t>
      </w:r>
      <w:r w:rsidRPr="00E83B7E">
        <w:rPr>
          <w:b/>
          <w:bCs/>
          <w:lang w:val="es-ES_tradnl"/>
        </w:rPr>
        <w:t xml:space="preserve">ector </w:t>
      </w:r>
      <w:r w:rsidR="003941F4">
        <w:rPr>
          <w:b/>
          <w:bCs/>
          <w:lang w:val="es-ES_tradnl"/>
        </w:rPr>
        <w:t xml:space="preserve">autopartes </w:t>
      </w:r>
      <w:r w:rsidR="003941F4">
        <w:rPr>
          <w:lang w:val="es-ES_tradnl"/>
        </w:rPr>
        <w:t>presenta un grado de vulnerabilidad severo</w:t>
      </w:r>
      <w:r w:rsidR="00900E28">
        <w:rPr>
          <w:lang w:val="es-ES_tradnl"/>
        </w:rPr>
        <w:t xml:space="preserve"> de grado </w:t>
      </w:r>
      <w:r w:rsidR="00650B03">
        <w:rPr>
          <w:lang w:val="es-ES_tradnl"/>
        </w:rPr>
        <w:t>cuatro</w:t>
      </w:r>
      <w:r w:rsidR="003941F4">
        <w:rPr>
          <w:lang w:val="es-ES_tradnl"/>
        </w:rPr>
        <w:t xml:space="preserve">, con </w:t>
      </w:r>
      <w:r w:rsidR="00900E28">
        <w:rPr>
          <w:lang w:val="es-ES_tradnl"/>
        </w:rPr>
        <w:t>índice</w:t>
      </w:r>
      <w:r w:rsidR="008D2824">
        <w:rPr>
          <w:lang w:val="es-ES_tradnl"/>
        </w:rPr>
        <w:t xml:space="preserve"> de </w:t>
      </w:r>
      <w:r w:rsidR="00E514F4">
        <w:rPr>
          <w:lang w:val="es-ES_tradnl"/>
        </w:rPr>
        <w:t>75</w:t>
      </w:r>
      <w:r w:rsidR="008D2824">
        <w:rPr>
          <w:lang w:val="es-ES_tradnl"/>
        </w:rPr>
        <w:t xml:space="preserve">, </w:t>
      </w:r>
      <w:r w:rsidR="008D2824" w:rsidRPr="00E83B7E">
        <w:rPr>
          <w:lang w:val="es-ES_tradnl"/>
        </w:rPr>
        <w:t>mayormente guiado por factores de demanda (100), seguido de los factores de oferta</w:t>
      </w:r>
      <w:r w:rsidR="008D2824">
        <w:rPr>
          <w:lang w:val="es-ES_tradnl"/>
        </w:rPr>
        <w:t xml:space="preserve"> (73)</w:t>
      </w:r>
      <w:r w:rsidR="00E514F4">
        <w:rPr>
          <w:lang w:val="es-ES_tradnl"/>
        </w:rPr>
        <w:t xml:space="preserve">, </w:t>
      </w:r>
      <w:r w:rsidR="005A31A7">
        <w:rPr>
          <w:lang w:val="es-ES_tradnl"/>
        </w:rPr>
        <w:t xml:space="preserve">sistémicos y regulatorios (67) </w:t>
      </w:r>
      <w:r w:rsidR="008D2824">
        <w:rPr>
          <w:lang w:val="es-ES_tradnl"/>
        </w:rPr>
        <w:t>y patrimoniales y financieros (55)</w:t>
      </w:r>
      <w:r w:rsidR="008D2824" w:rsidRPr="00E83B7E">
        <w:rPr>
          <w:lang w:val="es-ES_tradnl"/>
        </w:rPr>
        <w:t>.</w:t>
      </w:r>
      <w:r w:rsidR="008D2824">
        <w:rPr>
          <w:lang w:val="es-ES_tradnl"/>
        </w:rPr>
        <w:t xml:space="preserve"> Este subsector incluye a 1.276 empresas de las cuales el 61,6% son </w:t>
      </w:r>
      <w:proofErr w:type="spellStart"/>
      <w:r w:rsidR="008D2824">
        <w:rPr>
          <w:lang w:val="es-ES_tradnl"/>
        </w:rPr>
        <w:t>MiPYME</w:t>
      </w:r>
      <w:proofErr w:type="spellEnd"/>
      <w:r w:rsidR="008D2824">
        <w:rPr>
          <w:lang w:val="es-ES_tradnl"/>
        </w:rPr>
        <w:t xml:space="preserve">, contribuye en un 3,9% al </w:t>
      </w:r>
      <w:r w:rsidR="007F5D75">
        <w:rPr>
          <w:lang w:val="es-ES_tradnl"/>
        </w:rPr>
        <w:t>empleo</w:t>
      </w:r>
      <w:r w:rsidR="008D2824">
        <w:rPr>
          <w:lang w:val="es-ES_tradnl"/>
        </w:rPr>
        <w:t xml:space="preserve"> y en un 1% al </w:t>
      </w:r>
      <w:r w:rsidR="007F5D75">
        <w:rPr>
          <w:lang w:val="es-ES_tradnl"/>
        </w:rPr>
        <w:t>PIB</w:t>
      </w:r>
      <w:r w:rsidR="008D2824">
        <w:rPr>
          <w:lang w:val="es-ES_tradnl"/>
        </w:rPr>
        <w:t xml:space="preserve">. </w:t>
      </w:r>
      <w:r w:rsidR="00E70BB1">
        <w:rPr>
          <w:lang w:val="es-ES_tradnl"/>
        </w:rPr>
        <w:t>El 83%</w:t>
      </w:r>
      <w:r w:rsidR="00CE228D">
        <w:rPr>
          <w:lang w:val="es-ES_tradnl"/>
        </w:rPr>
        <w:t xml:space="preserve"> de su producción se destina a la exportación. </w:t>
      </w:r>
    </w:p>
    <w:p w14:paraId="06CC20E5" w14:textId="3C09A7D1" w:rsidR="00CF71C9" w:rsidRDefault="00CF71C9" w:rsidP="00816025">
      <w:pPr>
        <w:jc w:val="both"/>
        <w:rPr>
          <w:lang w:val="es-ES_tradnl"/>
        </w:rPr>
      </w:pPr>
      <w:r>
        <w:rPr>
          <w:lang w:val="es-ES_tradnl"/>
        </w:rPr>
        <w:t xml:space="preserve">El sector de la </w:t>
      </w:r>
      <w:r w:rsidRPr="00CF71C9">
        <w:rPr>
          <w:b/>
          <w:bCs/>
          <w:lang w:val="es-ES_tradnl"/>
        </w:rPr>
        <w:t>construcción</w:t>
      </w:r>
      <w:r>
        <w:rPr>
          <w:b/>
          <w:bCs/>
          <w:lang w:val="es-ES_tradnl"/>
        </w:rPr>
        <w:t xml:space="preserve"> </w:t>
      </w:r>
      <w:r>
        <w:rPr>
          <w:lang w:val="es-ES_tradnl"/>
        </w:rPr>
        <w:t xml:space="preserve">severo de grado tres con un índice de 71, como consecuencia de factores de demanda (83), y seguido de factores financieros y patrimoniales (72), institucionales (67) y por último de oferta (60). El sector está constituido por más de 17.400 </w:t>
      </w:r>
      <w:proofErr w:type="spellStart"/>
      <w:r>
        <w:rPr>
          <w:lang w:val="es-ES_tradnl"/>
        </w:rPr>
        <w:t>MiPYME</w:t>
      </w:r>
      <w:proofErr w:type="spellEnd"/>
      <w:r>
        <w:rPr>
          <w:lang w:val="es-ES_tradnl"/>
        </w:rPr>
        <w:t xml:space="preserve">, el 97% de las empresas en el sector. Contribuyen al 12% del empleo y a un 2% del PIB. </w:t>
      </w:r>
    </w:p>
    <w:p w14:paraId="5A799968" w14:textId="2DB9E108" w:rsidR="00A97D13" w:rsidRDefault="00382E7B" w:rsidP="00816025">
      <w:pPr>
        <w:jc w:val="both"/>
        <w:rPr>
          <w:lang w:val="es-ES_tradnl"/>
        </w:rPr>
      </w:pPr>
      <w:r>
        <w:rPr>
          <w:lang w:val="es-ES_tradnl"/>
        </w:rPr>
        <w:t xml:space="preserve">El sector de </w:t>
      </w:r>
      <w:r w:rsidRPr="00382E7B">
        <w:rPr>
          <w:b/>
          <w:bCs/>
          <w:lang w:val="es-ES_tradnl"/>
        </w:rPr>
        <w:t>textil</w:t>
      </w:r>
      <w:r>
        <w:rPr>
          <w:lang w:val="es-ES_tradnl"/>
        </w:rPr>
        <w:t xml:space="preserve"> tiene un grado de vulnerabilidad severo </w:t>
      </w:r>
      <w:r w:rsidR="00900E28">
        <w:rPr>
          <w:lang w:val="es-ES_tradnl"/>
        </w:rPr>
        <w:t xml:space="preserve">de grado tres </w:t>
      </w:r>
      <w:r>
        <w:rPr>
          <w:lang w:val="es-ES_tradnl"/>
        </w:rPr>
        <w:t xml:space="preserve">con un índice de </w:t>
      </w:r>
      <w:r w:rsidR="00EA29AA">
        <w:rPr>
          <w:lang w:val="es-ES_tradnl"/>
        </w:rPr>
        <w:t>70</w:t>
      </w:r>
      <w:r w:rsidR="0048338B">
        <w:rPr>
          <w:lang w:val="es-ES_tradnl"/>
        </w:rPr>
        <w:t xml:space="preserve"> en función del alto grado de percepción de riesgos de demanda (100) y de oferta (66)</w:t>
      </w:r>
      <w:r w:rsidR="00420B9E">
        <w:rPr>
          <w:lang w:val="es-ES_tradnl"/>
        </w:rPr>
        <w:t xml:space="preserve">. Existen más de 102.000 </w:t>
      </w:r>
      <w:proofErr w:type="spellStart"/>
      <w:r w:rsidR="00420B9E">
        <w:rPr>
          <w:lang w:val="es-ES_tradnl"/>
        </w:rPr>
        <w:t>MiPYME</w:t>
      </w:r>
      <w:proofErr w:type="spellEnd"/>
      <w:r w:rsidR="00420B9E">
        <w:rPr>
          <w:lang w:val="es-ES_tradnl"/>
        </w:rPr>
        <w:t xml:space="preserve"> en el sector, el 99 % de las empresas del sector. El sector contribuye en un 2% al empleo nacional y en menos del 1% al nivel de actividad. </w:t>
      </w:r>
      <w:r w:rsidR="00425068">
        <w:rPr>
          <w:lang w:val="es-ES_tradnl"/>
        </w:rPr>
        <w:t>El 61% de los ingresos del sector provienen del mercado extranjero</w:t>
      </w:r>
      <w:r w:rsidR="00E11089">
        <w:rPr>
          <w:rStyle w:val="FootnoteReference"/>
          <w:lang w:val="es-ES_tradnl"/>
        </w:rPr>
        <w:footnoteReference w:id="2"/>
      </w:r>
      <w:r w:rsidR="00420B9E">
        <w:rPr>
          <w:lang w:val="es-ES_tradnl"/>
        </w:rPr>
        <w:t xml:space="preserve">. </w:t>
      </w:r>
    </w:p>
    <w:p w14:paraId="384CF949" w14:textId="5977BF03" w:rsidR="00A97D13" w:rsidRDefault="00A97D13" w:rsidP="00816025">
      <w:pPr>
        <w:jc w:val="both"/>
        <w:rPr>
          <w:lang w:val="es-ES_tradnl"/>
        </w:rPr>
      </w:pPr>
      <w:r>
        <w:rPr>
          <w:lang w:val="es-ES_tradnl"/>
        </w:rPr>
        <w:t xml:space="preserve">El sector del </w:t>
      </w:r>
      <w:r w:rsidRPr="00E83B7E">
        <w:rPr>
          <w:b/>
          <w:bCs/>
          <w:lang w:val="es-ES_tradnl"/>
        </w:rPr>
        <w:t>turismo</w:t>
      </w:r>
      <w:r w:rsidRPr="00E83B7E">
        <w:rPr>
          <w:lang w:val="es-ES_tradnl"/>
        </w:rPr>
        <w:t xml:space="preserve"> presenta un grado de vulnerabilidad severo</w:t>
      </w:r>
      <w:r w:rsidR="00900E28">
        <w:rPr>
          <w:lang w:val="es-ES_tradnl"/>
        </w:rPr>
        <w:t xml:space="preserve"> de grado tres</w:t>
      </w:r>
      <w:r w:rsidRPr="00E83B7E">
        <w:rPr>
          <w:lang w:val="es-ES_tradnl"/>
        </w:rPr>
        <w:t xml:space="preserve">, con un grado de </w:t>
      </w:r>
      <w:r>
        <w:rPr>
          <w:lang w:val="es-ES_tradnl"/>
        </w:rPr>
        <w:t>68, como consecuencia de</w:t>
      </w:r>
      <w:r w:rsidRPr="00E83B7E">
        <w:rPr>
          <w:lang w:val="es-ES_tradnl"/>
        </w:rPr>
        <w:t xml:space="preserve"> factores de demanda (100), seguido de los factores financieros y patrimoniales </w:t>
      </w:r>
      <w:r>
        <w:rPr>
          <w:lang w:val="es-ES_tradnl"/>
        </w:rPr>
        <w:t xml:space="preserve">(66) </w:t>
      </w:r>
      <w:r w:rsidRPr="00E83B7E">
        <w:rPr>
          <w:lang w:val="es-ES_tradnl"/>
        </w:rPr>
        <w:t>y por factores de oferta</w:t>
      </w:r>
      <w:r>
        <w:rPr>
          <w:lang w:val="es-ES_tradnl"/>
        </w:rPr>
        <w:t xml:space="preserve"> (60)</w:t>
      </w:r>
      <w:r w:rsidRPr="00E83B7E">
        <w:rPr>
          <w:lang w:val="es-ES_tradnl"/>
        </w:rPr>
        <w:t xml:space="preserve">. El sector incluye más de </w:t>
      </w:r>
      <w:r>
        <w:rPr>
          <w:lang w:val="es-ES_tradnl"/>
        </w:rPr>
        <w:t>433.090</w:t>
      </w:r>
      <w:r w:rsidRPr="00E83B7E">
        <w:rPr>
          <w:lang w:val="es-ES_tradnl"/>
        </w:rPr>
        <w:t xml:space="preserve"> MiP</w:t>
      </w:r>
      <w:r>
        <w:rPr>
          <w:lang w:val="es-ES_tradnl"/>
        </w:rPr>
        <w:t>y</w:t>
      </w:r>
      <w:r w:rsidRPr="00E83B7E">
        <w:rPr>
          <w:lang w:val="es-ES_tradnl"/>
        </w:rPr>
        <w:t xml:space="preserve">ME (más del 99% del total de empresas del sector), contribuye un </w:t>
      </w:r>
      <w:r>
        <w:rPr>
          <w:lang w:val="es-ES_tradnl"/>
        </w:rPr>
        <w:t>9</w:t>
      </w:r>
      <w:r w:rsidRPr="00E83B7E">
        <w:rPr>
          <w:lang w:val="es-ES_tradnl"/>
        </w:rPr>
        <w:t xml:space="preserve">% al PIB y </w:t>
      </w:r>
      <w:r>
        <w:rPr>
          <w:lang w:val="es-ES_tradnl"/>
        </w:rPr>
        <w:t>en un 6% al empleo, aproximadamente el 17</w:t>
      </w:r>
      <w:r w:rsidRPr="00E83B7E">
        <w:rPr>
          <w:lang w:val="es-ES_tradnl"/>
        </w:rPr>
        <w:t xml:space="preserve"> % de su producción se orienta a la demanda externa</w:t>
      </w:r>
      <w:r>
        <w:rPr>
          <w:lang w:val="es-ES_tradnl"/>
        </w:rPr>
        <w:t xml:space="preserve"> y existen más de 200 empresas tractoras</w:t>
      </w:r>
      <w:r w:rsidRPr="00E83B7E">
        <w:rPr>
          <w:lang w:val="es-ES_tradnl"/>
        </w:rPr>
        <w:t>.</w:t>
      </w:r>
    </w:p>
    <w:p w14:paraId="61E7B7DF" w14:textId="2095D16B" w:rsidR="00CF71C9" w:rsidRPr="00CF71C9" w:rsidRDefault="00CF71C9" w:rsidP="00816025">
      <w:pPr>
        <w:jc w:val="both"/>
        <w:rPr>
          <w:lang w:val="es-ES_tradnl"/>
        </w:rPr>
      </w:pPr>
      <w:bookmarkStart w:id="4" w:name="_Hlk37938351"/>
      <w:r>
        <w:rPr>
          <w:lang w:val="es-ES_tradnl"/>
        </w:rPr>
        <w:t xml:space="preserve">El sector de </w:t>
      </w:r>
      <w:r>
        <w:rPr>
          <w:b/>
          <w:bCs/>
          <w:lang w:val="es-ES_tradnl"/>
        </w:rPr>
        <w:t>energía</w:t>
      </w:r>
      <w:r>
        <w:rPr>
          <w:lang w:val="es-ES_tradnl"/>
        </w:rPr>
        <w:t xml:space="preserve"> </w:t>
      </w:r>
      <w:r w:rsidRPr="00E83B7E">
        <w:rPr>
          <w:lang w:val="es-ES_tradnl"/>
        </w:rPr>
        <w:t>presenta un grado de vulnerabilidad severo</w:t>
      </w:r>
      <w:r>
        <w:rPr>
          <w:lang w:val="es-ES_tradnl"/>
        </w:rPr>
        <w:t xml:space="preserve"> de grado tres</w:t>
      </w:r>
      <w:r w:rsidRPr="00E83B7E">
        <w:rPr>
          <w:lang w:val="es-ES_tradnl"/>
        </w:rPr>
        <w:t>, con un grado</w:t>
      </w:r>
      <w:r>
        <w:rPr>
          <w:lang w:val="es-ES_tradnl"/>
        </w:rPr>
        <w:t xml:space="preserve"> 65, resultado de la severidad del impacto de los riesgos de demanda (100), de los institucionales (67) y financieros y patrimoniales (61). E</w:t>
      </w:r>
      <w:r w:rsidR="004E759C">
        <w:rPr>
          <w:lang w:val="es-ES_tradnl"/>
        </w:rPr>
        <w:t>l</w:t>
      </w:r>
      <w:r>
        <w:rPr>
          <w:lang w:val="es-ES_tradnl"/>
        </w:rPr>
        <w:t xml:space="preserve"> sector incluye al menos 400 </w:t>
      </w:r>
      <w:proofErr w:type="spellStart"/>
      <w:r>
        <w:rPr>
          <w:lang w:val="es-ES_tradnl"/>
        </w:rPr>
        <w:t>MiPYME</w:t>
      </w:r>
      <w:proofErr w:type="spellEnd"/>
      <w:r>
        <w:rPr>
          <w:rStyle w:val="FootnoteReference"/>
          <w:lang w:val="es-ES_tradnl"/>
        </w:rPr>
        <w:footnoteReference w:id="3"/>
      </w:r>
      <w:r w:rsidR="00E65B58">
        <w:rPr>
          <w:lang w:val="es-ES_tradnl"/>
        </w:rPr>
        <w:t xml:space="preserve">, siendo el 96,6% de las empresas del sector </w:t>
      </w:r>
      <w:proofErr w:type="spellStart"/>
      <w:r w:rsidR="00E65B58">
        <w:rPr>
          <w:lang w:val="es-ES_tradnl"/>
        </w:rPr>
        <w:lastRenderedPageBreak/>
        <w:t>MiPYME</w:t>
      </w:r>
      <w:proofErr w:type="spellEnd"/>
      <w:r w:rsidR="00E65B58">
        <w:rPr>
          <w:lang w:val="es-ES_tradnl"/>
        </w:rPr>
        <w:t xml:space="preserve">. El sector contribuye en un 2,3% al empleo y en un 6% al nivel de actividad y exporta el 44% del valor de la producción. </w:t>
      </w:r>
      <w:bookmarkEnd w:id="4"/>
    </w:p>
    <w:p w14:paraId="024A5807" w14:textId="14C80ACC" w:rsidR="00A97D13" w:rsidRDefault="00A97D13" w:rsidP="00816025">
      <w:pPr>
        <w:jc w:val="both"/>
        <w:rPr>
          <w:lang w:val="es-ES_tradnl"/>
        </w:rPr>
      </w:pPr>
      <w:r>
        <w:rPr>
          <w:lang w:val="es-ES_tradnl"/>
        </w:rPr>
        <w:t xml:space="preserve">El sector del </w:t>
      </w:r>
      <w:r>
        <w:rPr>
          <w:b/>
          <w:bCs/>
          <w:lang w:val="es-ES_tradnl"/>
        </w:rPr>
        <w:t xml:space="preserve">comercio al por menor </w:t>
      </w:r>
      <w:r>
        <w:rPr>
          <w:lang w:val="es-ES_tradnl"/>
        </w:rPr>
        <w:t xml:space="preserve">tiene un grado </w:t>
      </w:r>
      <w:r w:rsidR="00900E28">
        <w:rPr>
          <w:lang w:val="es-ES_tradnl"/>
        </w:rPr>
        <w:t xml:space="preserve">severo de grado dos, con un índice </w:t>
      </w:r>
      <w:r w:rsidR="006B2D10">
        <w:rPr>
          <w:lang w:val="es-ES_tradnl"/>
        </w:rPr>
        <w:t xml:space="preserve">alto </w:t>
      </w:r>
      <w:r>
        <w:rPr>
          <w:lang w:val="es-ES_tradnl"/>
        </w:rPr>
        <w:t>de vulnerabilidad de 45.</w:t>
      </w:r>
      <w:r w:rsidRPr="00A97D13">
        <w:rPr>
          <w:lang w:val="es-ES_tradnl"/>
        </w:rPr>
        <w:t xml:space="preserve"> </w:t>
      </w:r>
      <w:r>
        <w:rPr>
          <w:lang w:val="es-ES_tradnl"/>
        </w:rPr>
        <w:t xml:space="preserve">Por los factores del lado de la oferta (66), y en menor medida financieros y patrimoniales (50) y riesgos sistémicos y regulatorios (50).   El sector contribuye en más del 22% al empleo y en un 9% al PIB. Lo conforman alrededor de 2,2 millones de empresas, siendo el 99,9% </w:t>
      </w:r>
      <w:proofErr w:type="spellStart"/>
      <w:r>
        <w:rPr>
          <w:lang w:val="es-ES_tradnl"/>
        </w:rPr>
        <w:t>MiPYME</w:t>
      </w:r>
      <w:proofErr w:type="spellEnd"/>
      <w:r>
        <w:rPr>
          <w:lang w:val="es-ES_tradnl"/>
        </w:rPr>
        <w:t>. El destino de la</w:t>
      </w:r>
      <w:r w:rsidR="00E724E1">
        <w:rPr>
          <w:lang w:val="es-ES_tradnl"/>
        </w:rPr>
        <w:t xml:space="preserve"> actividad</w:t>
      </w:r>
      <w:r>
        <w:rPr>
          <w:lang w:val="es-ES_tradnl"/>
        </w:rPr>
        <w:t xml:space="preserve"> es doméstico.</w:t>
      </w:r>
    </w:p>
    <w:p w14:paraId="1285D49B" w14:textId="23669735" w:rsidR="00023A86" w:rsidRDefault="00420B9E" w:rsidP="00816025">
      <w:pPr>
        <w:jc w:val="both"/>
        <w:rPr>
          <w:lang w:val="es-ES_tradnl"/>
        </w:rPr>
      </w:pPr>
      <w:r>
        <w:rPr>
          <w:lang w:val="es-ES_tradnl"/>
        </w:rPr>
        <w:t xml:space="preserve">El sector </w:t>
      </w:r>
      <w:r>
        <w:rPr>
          <w:b/>
          <w:bCs/>
          <w:lang w:val="es-ES_tradnl"/>
        </w:rPr>
        <w:t xml:space="preserve">automotriz </w:t>
      </w:r>
      <w:r w:rsidR="00F3219B">
        <w:rPr>
          <w:rStyle w:val="FootnoteReference"/>
          <w:b/>
          <w:bCs/>
          <w:lang w:val="es-ES_tradnl"/>
        </w:rPr>
        <w:footnoteReference w:id="4"/>
      </w:r>
      <w:r>
        <w:rPr>
          <w:lang w:val="es-ES_tradnl"/>
        </w:rPr>
        <w:t xml:space="preserve">presenta un grado de vulnerabilidad </w:t>
      </w:r>
      <w:r w:rsidR="00900E28">
        <w:rPr>
          <w:lang w:val="es-ES_tradnl"/>
        </w:rPr>
        <w:t xml:space="preserve">severo de grado dos, con </w:t>
      </w:r>
      <w:r>
        <w:rPr>
          <w:lang w:val="es-ES_tradnl"/>
        </w:rPr>
        <w:t>un índice de 41, fundamentalmente guiado por la percepción de riesgo de la demanda en el sector (83). El sector contribuye al PIB en un</w:t>
      </w:r>
      <w:r w:rsidR="00F3219B">
        <w:rPr>
          <w:lang w:val="es-ES_tradnl"/>
        </w:rPr>
        <w:t xml:space="preserve"> 2,94% y en un </w:t>
      </w:r>
      <w:r>
        <w:rPr>
          <w:lang w:val="es-ES_tradnl"/>
        </w:rPr>
        <w:t>18%</w:t>
      </w:r>
      <w:r w:rsidR="00F3219B">
        <w:rPr>
          <w:lang w:val="es-ES_tradnl"/>
        </w:rPr>
        <w:t xml:space="preserve"> del PIB manufacturero</w:t>
      </w:r>
      <w:r>
        <w:rPr>
          <w:lang w:val="es-ES_tradnl"/>
        </w:rPr>
        <w:t xml:space="preserve"> y al empleo en un </w:t>
      </w:r>
      <w:r w:rsidR="00F3219B">
        <w:rPr>
          <w:lang w:val="es-ES_tradnl"/>
        </w:rPr>
        <w:t>4</w:t>
      </w:r>
      <w:r>
        <w:rPr>
          <w:lang w:val="es-ES_tradnl"/>
        </w:rPr>
        <w:t xml:space="preserve">,4%. </w:t>
      </w:r>
    </w:p>
    <w:p w14:paraId="6A1521E9" w14:textId="4390204B" w:rsidR="00382E7B" w:rsidRPr="00420B9E" w:rsidRDefault="00420B9E" w:rsidP="00816025">
      <w:pPr>
        <w:jc w:val="both"/>
        <w:rPr>
          <w:lang w:val="es-ES_tradnl"/>
        </w:rPr>
      </w:pPr>
      <w:r>
        <w:rPr>
          <w:lang w:val="es-ES_tradnl"/>
        </w:rPr>
        <w:t xml:space="preserve">El sector </w:t>
      </w:r>
      <w:r w:rsidRPr="00420B9E">
        <w:rPr>
          <w:b/>
          <w:bCs/>
          <w:lang w:val="es-ES_tradnl"/>
        </w:rPr>
        <w:t>agro</w:t>
      </w:r>
      <w:r w:rsidR="00F3219B">
        <w:rPr>
          <w:b/>
          <w:bCs/>
          <w:lang w:val="es-ES_tradnl"/>
        </w:rPr>
        <w:t>alimentario</w:t>
      </w:r>
      <w:r>
        <w:rPr>
          <w:b/>
          <w:bCs/>
          <w:lang w:val="es-ES_tradnl"/>
        </w:rPr>
        <w:t xml:space="preserve"> </w:t>
      </w:r>
      <w:r>
        <w:rPr>
          <w:lang w:val="es-ES_tradnl"/>
        </w:rPr>
        <w:t>tiene un grado de vulnerabilidad</w:t>
      </w:r>
      <w:r w:rsidR="00900E28">
        <w:rPr>
          <w:lang w:val="es-ES_tradnl"/>
        </w:rPr>
        <w:t xml:space="preserve"> severo de grado dos, </w:t>
      </w:r>
      <w:r>
        <w:rPr>
          <w:lang w:val="es-ES_tradnl"/>
        </w:rPr>
        <w:t xml:space="preserve">con un índice de 35, guiado por factores de percepción de riesgo </w:t>
      </w:r>
      <w:r w:rsidR="008B26E9">
        <w:rPr>
          <w:lang w:val="es-ES_tradnl"/>
        </w:rPr>
        <w:t xml:space="preserve">significativo </w:t>
      </w:r>
      <w:r>
        <w:rPr>
          <w:lang w:val="es-ES_tradnl"/>
        </w:rPr>
        <w:t>en la demanda (50)</w:t>
      </w:r>
      <w:r w:rsidR="00D60AA3">
        <w:rPr>
          <w:lang w:val="es-ES_tradnl"/>
        </w:rPr>
        <w:t xml:space="preserve">. Estos índices </w:t>
      </w:r>
      <w:r w:rsidR="00F3219B">
        <w:rPr>
          <w:lang w:val="es-ES_tradnl"/>
        </w:rPr>
        <w:t>consideran el sector productivo primario y el sector agroindustrial</w:t>
      </w:r>
      <w:r>
        <w:rPr>
          <w:lang w:val="es-ES_tradnl"/>
        </w:rPr>
        <w:t>.</w:t>
      </w:r>
      <w:r w:rsidR="001A58E1" w:rsidRPr="001A58E1">
        <w:rPr>
          <w:lang w:val="es-ES_tradnl"/>
        </w:rPr>
        <w:t xml:space="preserve"> </w:t>
      </w:r>
      <w:r w:rsidR="001A58E1" w:rsidRPr="00E83B7E">
        <w:rPr>
          <w:lang w:val="es-ES_tradnl"/>
        </w:rPr>
        <w:t xml:space="preserve">El sector tiene una contribución alta al empleo, en un </w:t>
      </w:r>
      <w:r w:rsidR="001A58E1">
        <w:rPr>
          <w:lang w:val="es-ES_tradnl"/>
        </w:rPr>
        <w:t>13</w:t>
      </w:r>
      <w:r w:rsidR="001A58E1" w:rsidRPr="00E83B7E">
        <w:rPr>
          <w:lang w:val="es-ES_tradnl"/>
        </w:rPr>
        <w:t xml:space="preserve">% con un total de más </w:t>
      </w:r>
      <w:r w:rsidR="001A58E1">
        <w:rPr>
          <w:lang w:val="es-ES_tradnl"/>
        </w:rPr>
        <w:t>de 4.200.000 productores, de los cuales el 95</w:t>
      </w:r>
      <w:r w:rsidR="00D60AA3">
        <w:rPr>
          <w:lang w:val="es-ES_tradnl"/>
        </w:rPr>
        <w:t>%</w:t>
      </w:r>
      <w:r w:rsidR="001A58E1">
        <w:rPr>
          <w:lang w:val="es-ES_tradnl"/>
        </w:rPr>
        <w:t xml:space="preserve"> son pequeños productores</w:t>
      </w:r>
      <w:r w:rsidR="00D60AA3">
        <w:rPr>
          <w:lang w:val="es-ES_tradnl"/>
        </w:rPr>
        <w:t xml:space="preserve"> </w:t>
      </w:r>
      <w:r w:rsidR="001A58E1" w:rsidRPr="00E83B7E">
        <w:rPr>
          <w:lang w:val="es-ES_tradnl"/>
        </w:rPr>
        <w:t xml:space="preserve">y contribuyen en </w:t>
      </w:r>
      <w:r w:rsidR="001A58E1">
        <w:rPr>
          <w:lang w:val="es-ES_tradnl"/>
        </w:rPr>
        <w:t>3</w:t>
      </w:r>
      <w:r w:rsidR="001A58E1" w:rsidRPr="00E83B7E">
        <w:rPr>
          <w:lang w:val="es-ES_tradnl"/>
        </w:rPr>
        <w:t>% al nivel de actividad</w:t>
      </w:r>
      <w:r w:rsidR="00900E28">
        <w:rPr>
          <w:lang w:val="es-ES_tradnl"/>
        </w:rPr>
        <w:t>. A su vez la agroindustria contribuye en un 4,8% al PIB.</w:t>
      </w:r>
      <w:r w:rsidR="001A58E1" w:rsidRPr="00E83B7E">
        <w:rPr>
          <w:lang w:val="es-ES_tradnl"/>
        </w:rPr>
        <w:t xml:space="preserve"> Además, más del </w:t>
      </w:r>
      <w:r w:rsidR="001A58E1">
        <w:rPr>
          <w:lang w:val="es-ES_tradnl"/>
        </w:rPr>
        <w:t>32</w:t>
      </w:r>
      <w:r w:rsidR="001A58E1" w:rsidRPr="00E83B7E">
        <w:rPr>
          <w:lang w:val="es-ES_tradnl"/>
        </w:rPr>
        <w:t xml:space="preserve">% de </w:t>
      </w:r>
      <w:r w:rsidR="00900E28">
        <w:rPr>
          <w:lang w:val="es-ES_tradnl"/>
        </w:rPr>
        <w:t>la</w:t>
      </w:r>
      <w:r w:rsidR="001A58E1" w:rsidRPr="00E83B7E">
        <w:rPr>
          <w:lang w:val="es-ES_tradnl"/>
        </w:rPr>
        <w:t xml:space="preserve"> producción </w:t>
      </w:r>
      <w:r w:rsidR="00900E28">
        <w:rPr>
          <w:lang w:val="es-ES_tradnl"/>
        </w:rPr>
        <w:t xml:space="preserve">del sector agroalimentario </w:t>
      </w:r>
      <w:r w:rsidR="001A58E1" w:rsidRPr="00E83B7E">
        <w:rPr>
          <w:lang w:val="es-ES_tradnl"/>
        </w:rPr>
        <w:t>se destina a exportación.</w:t>
      </w:r>
    </w:p>
    <w:p w14:paraId="5C7B2407" w14:textId="0BC96B83" w:rsidR="00043713" w:rsidRPr="00E83B7E" w:rsidRDefault="003C6DCD" w:rsidP="00816025">
      <w:pPr>
        <w:jc w:val="both"/>
        <w:rPr>
          <w:lang w:val="es-ES_tradnl"/>
        </w:rPr>
      </w:pPr>
      <w:r w:rsidRPr="00D42F82">
        <w:rPr>
          <w:lang w:val="es-ES_tradnl"/>
        </w:rPr>
        <w:t xml:space="preserve">El </w:t>
      </w:r>
      <w:r w:rsidR="00FD67A8">
        <w:rPr>
          <w:lang w:val="es-ES_tradnl"/>
        </w:rPr>
        <w:t>sub</w:t>
      </w:r>
      <w:r w:rsidRPr="00D42F82">
        <w:rPr>
          <w:lang w:val="es-ES_tradnl"/>
        </w:rPr>
        <w:t>s</w:t>
      </w:r>
      <w:r w:rsidR="00043713" w:rsidRPr="00D42F82">
        <w:rPr>
          <w:lang w:val="es-ES_tradnl"/>
        </w:rPr>
        <w:t xml:space="preserve">ector </w:t>
      </w:r>
      <w:r w:rsidR="00043713" w:rsidRPr="00D42F82">
        <w:rPr>
          <w:b/>
          <w:bCs/>
          <w:lang w:val="es-ES_tradnl"/>
        </w:rPr>
        <w:t xml:space="preserve">transporte </w:t>
      </w:r>
      <w:r w:rsidR="00FD67A8">
        <w:rPr>
          <w:b/>
          <w:bCs/>
          <w:lang w:val="es-ES_tradnl"/>
        </w:rPr>
        <w:t xml:space="preserve">de pasajeros </w:t>
      </w:r>
      <w:r w:rsidR="00043713" w:rsidRPr="00D42F82">
        <w:rPr>
          <w:lang w:val="es-ES_tradnl"/>
        </w:rPr>
        <w:t>presenta un grado de vulnerabilidad</w:t>
      </w:r>
      <w:r w:rsidR="00FD67A8">
        <w:rPr>
          <w:lang w:val="es-ES_tradnl"/>
        </w:rPr>
        <w:t xml:space="preserve"> </w:t>
      </w:r>
      <w:r w:rsidR="00900E28">
        <w:rPr>
          <w:lang w:val="es-ES_tradnl"/>
        </w:rPr>
        <w:t xml:space="preserve">severo de grado dos, </w:t>
      </w:r>
      <w:r w:rsidR="00043713" w:rsidRPr="00D42F82">
        <w:rPr>
          <w:lang w:val="es-ES_tradnl"/>
        </w:rPr>
        <w:t xml:space="preserve">con un IV de </w:t>
      </w:r>
      <w:r w:rsidR="00FD67A8">
        <w:rPr>
          <w:lang w:val="es-ES_tradnl"/>
        </w:rPr>
        <w:t>29</w:t>
      </w:r>
      <w:r w:rsidR="00043713" w:rsidRPr="00D42F82">
        <w:rPr>
          <w:lang w:val="es-ES_tradnl"/>
        </w:rPr>
        <w:t xml:space="preserve"> como resultado de factores</w:t>
      </w:r>
      <w:r w:rsidR="00FD67A8">
        <w:rPr>
          <w:lang w:val="es-ES_tradnl"/>
        </w:rPr>
        <w:t xml:space="preserve"> institucionales y legales (50) y en menor medida</w:t>
      </w:r>
      <w:r w:rsidR="00043713" w:rsidRPr="00D42F82">
        <w:rPr>
          <w:lang w:val="es-ES_tradnl"/>
        </w:rPr>
        <w:t xml:space="preserve"> de </w:t>
      </w:r>
      <w:r w:rsidR="00FD67A8">
        <w:rPr>
          <w:lang w:val="es-ES_tradnl"/>
        </w:rPr>
        <w:t>demanda y financieros y patrimoniales</w:t>
      </w:r>
      <w:r w:rsidR="00043713" w:rsidRPr="00D42F82">
        <w:rPr>
          <w:lang w:val="es-ES_tradnl"/>
        </w:rPr>
        <w:t xml:space="preserve">. </w:t>
      </w:r>
      <w:r w:rsidR="00FD67A8">
        <w:rPr>
          <w:lang w:val="es-ES_tradnl"/>
        </w:rPr>
        <w:t xml:space="preserve">El subsector de </w:t>
      </w:r>
      <w:r w:rsidR="00FD67A8" w:rsidRPr="00FD67A8">
        <w:rPr>
          <w:b/>
          <w:bCs/>
          <w:lang w:val="es-ES_tradnl"/>
        </w:rPr>
        <w:t>transporte de carga</w:t>
      </w:r>
      <w:r w:rsidR="00FD67A8">
        <w:rPr>
          <w:lang w:val="es-ES_tradnl"/>
        </w:rPr>
        <w:t xml:space="preserve"> tiene un grado </w:t>
      </w:r>
      <w:r w:rsidR="00900E28">
        <w:rPr>
          <w:lang w:val="es-ES_tradnl"/>
        </w:rPr>
        <w:t xml:space="preserve">de vulnerabilidad severo de grado uno, con un índice </w:t>
      </w:r>
      <w:r w:rsidR="00FD67A8">
        <w:rPr>
          <w:lang w:val="es-ES_tradnl"/>
        </w:rPr>
        <w:t xml:space="preserve">menor de vulnerabilidad (15), como resultado de </w:t>
      </w:r>
      <w:r w:rsidR="00A044C9">
        <w:rPr>
          <w:lang w:val="es-ES_tradnl"/>
        </w:rPr>
        <w:t xml:space="preserve">factores de severidad de los riesgos especialmente en temas institucionales. </w:t>
      </w:r>
      <w:r w:rsidR="00043713" w:rsidRPr="00D42F82">
        <w:rPr>
          <w:lang w:val="es-ES_tradnl"/>
        </w:rPr>
        <w:t xml:space="preserve">El sector </w:t>
      </w:r>
      <w:r w:rsidR="00FD67A8">
        <w:rPr>
          <w:lang w:val="es-ES_tradnl"/>
        </w:rPr>
        <w:t xml:space="preserve">transporte </w:t>
      </w:r>
      <w:r w:rsidR="00043713" w:rsidRPr="00D42F82">
        <w:rPr>
          <w:lang w:val="es-ES_tradnl"/>
        </w:rPr>
        <w:t xml:space="preserve">está constituido por más de </w:t>
      </w:r>
      <w:r w:rsidR="00FD67A8">
        <w:rPr>
          <w:lang w:val="es-ES_tradnl"/>
        </w:rPr>
        <w:t>433.000</w:t>
      </w:r>
      <w:r w:rsidR="00043713" w:rsidRPr="00D42F82">
        <w:rPr>
          <w:lang w:val="es-ES_tradnl"/>
        </w:rPr>
        <w:t xml:space="preserve"> M</w:t>
      </w:r>
      <w:r w:rsidRPr="00D42F82">
        <w:rPr>
          <w:lang w:val="es-ES_tradnl"/>
        </w:rPr>
        <w:t>i</w:t>
      </w:r>
      <w:r w:rsidR="00043713" w:rsidRPr="00D42F82">
        <w:rPr>
          <w:lang w:val="es-ES_tradnl"/>
        </w:rPr>
        <w:t>P</w:t>
      </w:r>
      <w:r w:rsidR="00E83B7E" w:rsidRPr="00D42F82">
        <w:rPr>
          <w:lang w:val="es-ES_tradnl"/>
        </w:rPr>
        <w:t>y</w:t>
      </w:r>
      <w:r w:rsidR="00043713" w:rsidRPr="00D42F82">
        <w:rPr>
          <w:lang w:val="es-ES_tradnl"/>
        </w:rPr>
        <w:t>ME</w:t>
      </w:r>
      <w:r w:rsidR="00043713" w:rsidRPr="00E83B7E">
        <w:rPr>
          <w:lang w:val="es-ES_tradnl"/>
        </w:rPr>
        <w:t xml:space="preserve">. El sector contribuye al empleo en un </w:t>
      </w:r>
      <w:r w:rsidR="00FD67A8">
        <w:rPr>
          <w:lang w:val="es-ES_tradnl"/>
        </w:rPr>
        <w:t>6</w:t>
      </w:r>
      <w:r w:rsidR="00043713" w:rsidRPr="00E83B7E">
        <w:rPr>
          <w:lang w:val="es-ES_tradnl"/>
        </w:rPr>
        <w:t xml:space="preserve">% y al nivel de actividad en un </w:t>
      </w:r>
      <w:r w:rsidR="00FD67A8">
        <w:rPr>
          <w:lang w:val="es-ES_tradnl"/>
        </w:rPr>
        <w:t>9</w:t>
      </w:r>
      <w:r w:rsidR="00043713" w:rsidRPr="00E83B7E">
        <w:rPr>
          <w:lang w:val="es-ES_tradnl"/>
        </w:rPr>
        <w:t>%.</w:t>
      </w:r>
      <w:r w:rsidRPr="00E83B7E">
        <w:rPr>
          <w:lang w:val="es-ES_tradnl"/>
        </w:rPr>
        <w:t xml:space="preserve"> </w:t>
      </w:r>
    </w:p>
    <w:p w14:paraId="106B0828" w14:textId="7363D3D2" w:rsidR="00816025" w:rsidRPr="00E83B7E" w:rsidRDefault="00816025" w:rsidP="00816025">
      <w:pPr>
        <w:jc w:val="both"/>
        <w:rPr>
          <w:lang w:val="es-ES_tradnl"/>
        </w:rPr>
      </w:pPr>
      <w:r w:rsidRPr="00E83B7E">
        <w:rPr>
          <w:lang w:val="es-ES_tradnl"/>
        </w:rPr>
        <w:t xml:space="preserve">El análisis concluye que los sectores productivos que pueden considerarse de mayor vulnerabilidad en </w:t>
      </w:r>
      <w:r w:rsidR="00A044C9">
        <w:rPr>
          <w:lang w:val="es-ES_tradnl"/>
        </w:rPr>
        <w:t>México</w:t>
      </w:r>
      <w:r w:rsidRPr="00E83B7E">
        <w:rPr>
          <w:lang w:val="es-ES_tradnl"/>
        </w:rPr>
        <w:t xml:space="preserve"> ante la crisis del COVID-19 dentro de los analizados son: </w:t>
      </w:r>
      <w:r w:rsidR="00A044C9">
        <w:rPr>
          <w:lang w:val="es-ES_tradnl"/>
        </w:rPr>
        <w:t xml:space="preserve">autopartes, </w:t>
      </w:r>
      <w:r w:rsidRPr="00E83B7E">
        <w:rPr>
          <w:lang w:val="es-ES_tradnl"/>
        </w:rPr>
        <w:t>turismo</w:t>
      </w:r>
      <w:r w:rsidR="00A044C9">
        <w:rPr>
          <w:lang w:val="es-ES_tradnl"/>
        </w:rPr>
        <w:t xml:space="preserve">, textil y maquila, </w:t>
      </w:r>
      <w:r w:rsidRPr="00E83B7E">
        <w:rPr>
          <w:lang w:val="es-ES_tradnl"/>
        </w:rPr>
        <w:t>y</w:t>
      </w:r>
      <w:r w:rsidR="00A044C9">
        <w:rPr>
          <w:lang w:val="es-ES_tradnl"/>
        </w:rPr>
        <w:t xml:space="preserve"> agro</w:t>
      </w:r>
      <w:r w:rsidR="00900E28">
        <w:rPr>
          <w:lang w:val="es-ES_tradnl"/>
        </w:rPr>
        <w:t>alimentario</w:t>
      </w:r>
      <w:r w:rsidR="00A044C9">
        <w:rPr>
          <w:lang w:val="es-ES_tradnl"/>
        </w:rPr>
        <w:t>,</w:t>
      </w:r>
      <w:r w:rsidRPr="00E83B7E">
        <w:rPr>
          <w:lang w:val="es-ES_tradnl"/>
        </w:rPr>
        <w:t xml:space="preserve"> y menor medida y</w:t>
      </w:r>
      <w:r w:rsidR="00A044C9">
        <w:rPr>
          <w:lang w:val="es-ES_tradnl"/>
        </w:rPr>
        <w:t xml:space="preserve"> automotriz y transporte</w:t>
      </w:r>
      <w:r w:rsidRPr="00E83B7E">
        <w:rPr>
          <w:lang w:val="es-ES_tradnl"/>
        </w:rPr>
        <w:t xml:space="preserve">. </w:t>
      </w:r>
    </w:p>
    <w:p w14:paraId="79F4E982" w14:textId="4AB5552B" w:rsidR="00D41616" w:rsidRPr="00E83B7E" w:rsidRDefault="00D316B0" w:rsidP="00900E28">
      <w:pPr>
        <w:pStyle w:val="Heading1"/>
        <w:numPr>
          <w:ilvl w:val="0"/>
          <w:numId w:val="4"/>
        </w:numPr>
        <w:jc w:val="both"/>
        <w:rPr>
          <w:lang w:val="es-ES_tradnl"/>
        </w:rPr>
      </w:pPr>
      <w:bookmarkStart w:id="5" w:name="_Toc36834036"/>
      <w:r w:rsidRPr="00E83B7E">
        <w:rPr>
          <w:lang w:val="es-ES_tradnl"/>
        </w:rPr>
        <w:br w:type="page"/>
      </w:r>
      <w:r w:rsidR="00D41616" w:rsidRPr="00E83B7E">
        <w:rPr>
          <w:lang w:val="es-ES_tradnl"/>
        </w:rPr>
        <w:lastRenderedPageBreak/>
        <w:t>Introducción</w:t>
      </w:r>
      <w:r w:rsidR="008F50E1" w:rsidRPr="00E83B7E">
        <w:rPr>
          <w:lang w:val="es-ES_tradnl"/>
        </w:rPr>
        <w:t xml:space="preserve"> y marco analítico</w:t>
      </w:r>
      <w:bookmarkEnd w:id="5"/>
    </w:p>
    <w:p w14:paraId="11706418" w14:textId="7E811DA1" w:rsidR="00933DA6" w:rsidRPr="00E83B7E" w:rsidRDefault="00933DA6" w:rsidP="004656DB">
      <w:pPr>
        <w:jc w:val="both"/>
        <w:rPr>
          <w:lang w:val="es-ES_tradnl"/>
        </w:rPr>
      </w:pPr>
      <w:r w:rsidRPr="00E83B7E">
        <w:rPr>
          <w:lang w:val="es-ES_tradnl"/>
        </w:rPr>
        <w:t xml:space="preserve">Este documento </w:t>
      </w:r>
      <w:r w:rsidR="00DC4A64" w:rsidRPr="00E83B7E">
        <w:rPr>
          <w:lang w:val="es-ES_tradnl"/>
        </w:rPr>
        <w:t>present</w:t>
      </w:r>
      <w:r w:rsidR="00DC4A64">
        <w:rPr>
          <w:lang w:val="es-ES_tradnl"/>
        </w:rPr>
        <w:t>a</w:t>
      </w:r>
      <w:r w:rsidR="00DC4A64" w:rsidRPr="00E83B7E">
        <w:rPr>
          <w:lang w:val="es-ES_tradnl"/>
        </w:rPr>
        <w:t xml:space="preserve"> </w:t>
      </w:r>
      <w:r w:rsidRPr="00E83B7E">
        <w:rPr>
          <w:lang w:val="es-ES_tradnl"/>
        </w:rPr>
        <w:t xml:space="preserve">un análisis de vulnerabilidades desagregado por sectores y con referencia a la situación de las </w:t>
      </w:r>
      <w:r w:rsidR="001570DD" w:rsidRPr="00E83B7E">
        <w:rPr>
          <w:lang w:val="es-ES_tradnl"/>
        </w:rPr>
        <w:t>M</w:t>
      </w:r>
      <w:r w:rsidR="00043713" w:rsidRPr="00E83B7E">
        <w:rPr>
          <w:lang w:val="es-ES_tradnl"/>
        </w:rPr>
        <w:t>i</w:t>
      </w:r>
      <w:r w:rsidRPr="00E83B7E">
        <w:rPr>
          <w:lang w:val="es-ES_tradnl"/>
        </w:rPr>
        <w:t>P</w:t>
      </w:r>
      <w:r w:rsidR="00E83B7E">
        <w:rPr>
          <w:lang w:val="es-ES_tradnl"/>
        </w:rPr>
        <w:t>y</w:t>
      </w:r>
      <w:r w:rsidRPr="00E83B7E">
        <w:rPr>
          <w:lang w:val="es-ES_tradnl"/>
        </w:rPr>
        <w:t xml:space="preserve">ME en </w:t>
      </w:r>
      <w:r w:rsidR="00A044C9">
        <w:rPr>
          <w:lang w:val="es-ES_tradnl"/>
        </w:rPr>
        <w:t>México</w:t>
      </w:r>
      <w:r w:rsidRPr="00E83B7E">
        <w:rPr>
          <w:lang w:val="es-ES_tradnl"/>
        </w:rPr>
        <w:t xml:space="preserve">. Se consideran en particular los siguientes </w:t>
      </w:r>
      <w:r w:rsidR="00E65B58">
        <w:rPr>
          <w:lang w:val="es-ES_tradnl"/>
        </w:rPr>
        <w:t>diez</w:t>
      </w:r>
      <w:r w:rsidR="00A5757F" w:rsidRPr="00E83B7E">
        <w:rPr>
          <w:lang w:val="es-ES_tradnl"/>
        </w:rPr>
        <w:t xml:space="preserve"> </w:t>
      </w:r>
      <w:r w:rsidRPr="00E83B7E">
        <w:rPr>
          <w:lang w:val="es-ES_tradnl"/>
        </w:rPr>
        <w:t>sectores:</w:t>
      </w:r>
      <w:r w:rsidR="00A5757F" w:rsidRPr="00E83B7E">
        <w:rPr>
          <w:lang w:val="es-ES_tradnl"/>
        </w:rPr>
        <w:t xml:space="preserve"> </w:t>
      </w:r>
      <w:r w:rsidR="00E65B58">
        <w:rPr>
          <w:lang w:val="es-ES_tradnl"/>
        </w:rPr>
        <w:t xml:space="preserve">Comercio al por menor, Energía, </w:t>
      </w:r>
      <w:r w:rsidR="00A5757F" w:rsidRPr="00E83B7E">
        <w:rPr>
          <w:lang w:val="es-ES_tradnl"/>
        </w:rPr>
        <w:t>Turismo, Transporte</w:t>
      </w:r>
      <w:r w:rsidR="00A044C9">
        <w:rPr>
          <w:lang w:val="es-ES_tradnl"/>
        </w:rPr>
        <w:t xml:space="preserve"> de carga y de pasajer</w:t>
      </w:r>
      <w:r w:rsidR="00F74A03">
        <w:rPr>
          <w:lang w:val="es-ES_tradnl"/>
        </w:rPr>
        <w:t>o</w:t>
      </w:r>
      <w:r w:rsidR="00A044C9">
        <w:rPr>
          <w:lang w:val="es-ES_tradnl"/>
        </w:rPr>
        <w:t>s</w:t>
      </w:r>
      <w:r w:rsidR="00A5757F" w:rsidRPr="00E83B7E">
        <w:rPr>
          <w:lang w:val="es-ES_tradnl"/>
        </w:rPr>
        <w:t>, Automotriz</w:t>
      </w:r>
      <w:r w:rsidR="00A044C9">
        <w:rPr>
          <w:lang w:val="es-ES_tradnl"/>
        </w:rPr>
        <w:t xml:space="preserve"> y autopartes</w:t>
      </w:r>
      <w:r w:rsidR="00A5757F" w:rsidRPr="00E83B7E">
        <w:rPr>
          <w:lang w:val="es-ES_tradnl"/>
        </w:rPr>
        <w:t>, Textil</w:t>
      </w:r>
      <w:r w:rsidR="00E65B58">
        <w:rPr>
          <w:lang w:val="es-ES_tradnl"/>
        </w:rPr>
        <w:t>,</w:t>
      </w:r>
      <w:r w:rsidR="00A5757F" w:rsidRPr="00E83B7E">
        <w:rPr>
          <w:lang w:val="es-ES_tradnl"/>
        </w:rPr>
        <w:t xml:space="preserve"> Agro</w:t>
      </w:r>
      <w:r w:rsidR="00900E28">
        <w:rPr>
          <w:lang w:val="es-ES_tradnl"/>
        </w:rPr>
        <w:t>alimentario</w:t>
      </w:r>
      <w:r w:rsidR="00E65B58">
        <w:rPr>
          <w:lang w:val="es-ES_tradnl"/>
        </w:rPr>
        <w:t xml:space="preserve"> y Construcción</w:t>
      </w:r>
      <w:r w:rsidR="00A5757F" w:rsidRPr="00E83B7E">
        <w:rPr>
          <w:lang w:val="es-ES_tradnl"/>
        </w:rPr>
        <w:t>.</w:t>
      </w:r>
    </w:p>
    <w:p w14:paraId="63A80D11" w14:textId="3976B0D2" w:rsidR="00E46B00" w:rsidRPr="00E83B7E" w:rsidRDefault="005D1844" w:rsidP="00E46B00">
      <w:pPr>
        <w:spacing w:after="0" w:line="240" w:lineRule="auto"/>
        <w:jc w:val="center"/>
        <w:rPr>
          <w:b/>
          <w:bCs/>
          <w:lang w:val="es-ES_tradnl"/>
        </w:rPr>
      </w:pPr>
      <w:r w:rsidRPr="00E83B7E">
        <w:rPr>
          <w:b/>
          <w:bCs/>
          <w:lang w:val="es-ES_tradnl"/>
        </w:rPr>
        <w:t>Tabla</w:t>
      </w:r>
      <w:r w:rsidR="00E46B00" w:rsidRPr="00E83B7E">
        <w:rPr>
          <w:b/>
          <w:bCs/>
          <w:lang w:val="es-ES_tradnl"/>
        </w:rPr>
        <w:t xml:space="preserve"> I.1</w:t>
      </w:r>
    </w:p>
    <w:p w14:paraId="1D22116A" w14:textId="1C25345B" w:rsidR="00E46B00" w:rsidRPr="00E83B7E" w:rsidRDefault="00E46B00" w:rsidP="0007292C">
      <w:pPr>
        <w:spacing w:after="0" w:line="240" w:lineRule="auto"/>
        <w:jc w:val="center"/>
        <w:rPr>
          <w:b/>
          <w:bCs/>
          <w:lang w:val="es-ES_tradnl"/>
        </w:rPr>
      </w:pPr>
      <w:r w:rsidRPr="00EB6A06">
        <w:rPr>
          <w:b/>
          <w:bCs/>
          <w:lang w:val="es-ES_tradnl"/>
        </w:rPr>
        <w:t>Sectores considerados</w:t>
      </w:r>
      <w:r w:rsidRPr="00E83B7E">
        <w:rPr>
          <w:b/>
          <w:bCs/>
          <w:lang w:val="es-ES_tradnl"/>
        </w:rPr>
        <w:t xml:space="preserve"> </w:t>
      </w:r>
    </w:p>
    <w:tbl>
      <w:tblPr>
        <w:tblStyle w:val="TableGrid"/>
        <w:tblW w:w="0" w:type="auto"/>
        <w:jc w:val="center"/>
        <w:tblLook w:val="04A0" w:firstRow="1" w:lastRow="0" w:firstColumn="1" w:lastColumn="0" w:noHBand="0" w:noVBand="1"/>
      </w:tblPr>
      <w:tblGrid>
        <w:gridCol w:w="1710"/>
        <w:gridCol w:w="2520"/>
      </w:tblGrid>
      <w:tr w:rsidR="00933DA6" w:rsidRPr="00E83B7E" w14:paraId="5E7D590B" w14:textId="77777777" w:rsidTr="0007292C">
        <w:trPr>
          <w:jc w:val="center"/>
        </w:trPr>
        <w:tc>
          <w:tcPr>
            <w:tcW w:w="1710" w:type="dxa"/>
            <w:shd w:val="clear" w:color="auto" w:fill="D9E2F3" w:themeFill="accent1" w:themeFillTint="33"/>
          </w:tcPr>
          <w:p w14:paraId="0F24DF72" w14:textId="6B875490" w:rsidR="00933DA6" w:rsidRPr="00E83B7E" w:rsidRDefault="00E46B00" w:rsidP="0007292C">
            <w:pPr>
              <w:jc w:val="center"/>
              <w:rPr>
                <w:b/>
                <w:bCs/>
                <w:lang w:val="es-ES_tradnl"/>
              </w:rPr>
            </w:pPr>
            <w:r w:rsidRPr="00E83B7E">
              <w:rPr>
                <w:b/>
                <w:bCs/>
                <w:lang w:val="es-ES_tradnl"/>
              </w:rPr>
              <w:t>Sector</w:t>
            </w:r>
          </w:p>
        </w:tc>
        <w:tc>
          <w:tcPr>
            <w:tcW w:w="2520" w:type="dxa"/>
            <w:shd w:val="clear" w:color="auto" w:fill="D9E2F3" w:themeFill="accent1" w:themeFillTint="33"/>
          </w:tcPr>
          <w:p w14:paraId="149CCD51" w14:textId="17420C1E" w:rsidR="00933DA6" w:rsidRPr="00E83B7E" w:rsidRDefault="00BF3440" w:rsidP="0007292C">
            <w:pPr>
              <w:jc w:val="both"/>
              <w:rPr>
                <w:b/>
                <w:bCs/>
                <w:lang w:val="es-ES_tradnl"/>
              </w:rPr>
            </w:pPr>
            <w:r w:rsidRPr="00E83B7E">
              <w:rPr>
                <w:b/>
                <w:bCs/>
                <w:lang w:val="es-ES_tradnl"/>
              </w:rPr>
              <w:t>Rama</w:t>
            </w:r>
          </w:p>
        </w:tc>
      </w:tr>
      <w:tr w:rsidR="00BF3440" w:rsidRPr="00E83B7E" w14:paraId="4F519B63" w14:textId="77777777" w:rsidTr="00933DA6">
        <w:trPr>
          <w:jc w:val="center"/>
        </w:trPr>
        <w:tc>
          <w:tcPr>
            <w:tcW w:w="1710" w:type="dxa"/>
            <w:vMerge w:val="restart"/>
          </w:tcPr>
          <w:p w14:paraId="25E5B574" w14:textId="70E606B8" w:rsidR="00BF3440" w:rsidRPr="00E83B7E" w:rsidRDefault="00BF3440" w:rsidP="0007292C">
            <w:pPr>
              <w:jc w:val="center"/>
              <w:rPr>
                <w:b/>
                <w:bCs/>
                <w:lang w:val="es-ES_tradnl"/>
              </w:rPr>
            </w:pPr>
            <w:r w:rsidRPr="00E83B7E">
              <w:rPr>
                <w:b/>
                <w:bCs/>
                <w:lang w:val="es-ES_tradnl"/>
              </w:rPr>
              <w:t>Servicios</w:t>
            </w:r>
          </w:p>
        </w:tc>
        <w:tc>
          <w:tcPr>
            <w:tcW w:w="2520" w:type="dxa"/>
          </w:tcPr>
          <w:p w14:paraId="786ED796" w14:textId="75DFE970" w:rsidR="00BF3440" w:rsidRPr="00E83B7E" w:rsidRDefault="00AA2010" w:rsidP="00E46B00">
            <w:pPr>
              <w:jc w:val="both"/>
              <w:rPr>
                <w:lang w:val="es-ES_tradnl"/>
              </w:rPr>
            </w:pPr>
            <w:r>
              <w:rPr>
                <w:lang w:val="es-ES_tradnl"/>
              </w:rPr>
              <w:t>Comercio al por menor</w:t>
            </w:r>
            <w:r w:rsidR="00BF3440" w:rsidRPr="00E83B7E">
              <w:rPr>
                <w:lang w:val="es-ES_tradnl"/>
              </w:rPr>
              <w:t xml:space="preserve"> </w:t>
            </w:r>
          </w:p>
        </w:tc>
      </w:tr>
      <w:tr w:rsidR="00E65B58" w:rsidRPr="00E83B7E" w14:paraId="59337234" w14:textId="77777777" w:rsidTr="00933DA6">
        <w:trPr>
          <w:jc w:val="center"/>
        </w:trPr>
        <w:tc>
          <w:tcPr>
            <w:tcW w:w="1710" w:type="dxa"/>
            <w:vMerge/>
          </w:tcPr>
          <w:p w14:paraId="5C125FEB" w14:textId="77777777" w:rsidR="00E65B58" w:rsidRPr="00E83B7E" w:rsidRDefault="00E65B58" w:rsidP="0007292C">
            <w:pPr>
              <w:jc w:val="center"/>
              <w:rPr>
                <w:b/>
                <w:bCs/>
                <w:lang w:val="es-ES_tradnl"/>
              </w:rPr>
            </w:pPr>
          </w:p>
        </w:tc>
        <w:tc>
          <w:tcPr>
            <w:tcW w:w="2520" w:type="dxa"/>
          </w:tcPr>
          <w:p w14:paraId="47F6915D" w14:textId="30276E12" w:rsidR="00E65B58" w:rsidRDefault="00E65B58" w:rsidP="00E46B00">
            <w:pPr>
              <w:jc w:val="both"/>
              <w:rPr>
                <w:lang w:val="es-ES_tradnl"/>
              </w:rPr>
            </w:pPr>
            <w:r>
              <w:rPr>
                <w:lang w:val="es-ES_tradnl"/>
              </w:rPr>
              <w:t>Energía</w:t>
            </w:r>
          </w:p>
        </w:tc>
      </w:tr>
      <w:tr w:rsidR="00AA2010" w:rsidRPr="00E83B7E" w14:paraId="5A846FE4" w14:textId="77777777" w:rsidTr="00933DA6">
        <w:trPr>
          <w:jc w:val="center"/>
        </w:trPr>
        <w:tc>
          <w:tcPr>
            <w:tcW w:w="1710" w:type="dxa"/>
            <w:vMerge/>
          </w:tcPr>
          <w:p w14:paraId="19A71DC3" w14:textId="77777777" w:rsidR="00AA2010" w:rsidRPr="00E83B7E" w:rsidRDefault="00AA2010" w:rsidP="0007292C">
            <w:pPr>
              <w:jc w:val="center"/>
              <w:rPr>
                <w:b/>
                <w:bCs/>
                <w:lang w:val="es-ES_tradnl"/>
              </w:rPr>
            </w:pPr>
          </w:p>
        </w:tc>
        <w:tc>
          <w:tcPr>
            <w:tcW w:w="2520" w:type="dxa"/>
          </w:tcPr>
          <w:p w14:paraId="3B2D78EA" w14:textId="315FDC3A" w:rsidR="00AA2010" w:rsidRPr="00E83B7E" w:rsidRDefault="00AA2010" w:rsidP="00E46B00">
            <w:pPr>
              <w:jc w:val="both"/>
              <w:rPr>
                <w:lang w:val="es-ES_tradnl"/>
              </w:rPr>
            </w:pPr>
            <w:r>
              <w:rPr>
                <w:lang w:val="es-ES_tradnl"/>
              </w:rPr>
              <w:t>Turismo</w:t>
            </w:r>
          </w:p>
        </w:tc>
      </w:tr>
      <w:tr w:rsidR="00A044C9" w:rsidRPr="00E83B7E" w14:paraId="2F2307E5" w14:textId="77777777" w:rsidTr="00941B33">
        <w:trPr>
          <w:jc w:val="center"/>
        </w:trPr>
        <w:tc>
          <w:tcPr>
            <w:tcW w:w="1710" w:type="dxa"/>
            <w:vMerge/>
          </w:tcPr>
          <w:p w14:paraId="4165E155" w14:textId="77777777" w:rsidR="00A044C9" w:rsidRPr="00E83B7E" w:rsidRDefault="00A044C9" w:rsidP="0007292C">
            <w:pPr>
              <w:jc w:val="center"/>
              <w:rPr>
                <w:b/>
                <w:bCs/>
                <w:lang w:val="es-ES_tradnl"/>
              </w:rPr>
            </w:pPr>
          </w:p>
        </w:tc>
        <w:tc>
          <w:tcPr>
            <w:tcW w:w="2520" w:type="dxa"/>
          </w:tcPr>
          <w:p w14:paraId="7C8255D0" w14:textId="3F211F93" w:rsidR="00A044C9" w:rsidRPr="00E83B7E" w:rsidRDefault="00A044C9" w:rsidP="0007292C">
            <w:pPr>
              <w:jc w:val="both"/>
              <w:rPr>
                <w:lang w:val="es-ES_tradnl"/>
              </w:rPr>
            </w:pPr>
            <w:r>
              <w:rPr>
                <w:lang w:val="es-ES_tradnl"/>
              </w:rPr>
              <w:t>Transporte de carga</w:t>
            </w:r>
          </w:p>
        </w:tc>
      </w:tr>
      <w:tr w:rsidR="00A5757F" w:rsidRPr="00E83B7E" w14:paraId="56CF7BD9" w14:textId="77777777" w:rsidTr="00941B33">
        <w:trPr>
          <w:jc w:val="center"/>
        </w:trPr>
        <w:tc>
          <w:tcPr>
            <w:tcW w:w="1710" w:type="dxa"/>
            <w:vMerge/>
          </w:tcPr>
          <w:p w14:paraId="09CDD2D1" w14:textId="77777777" w:rsidR="00A5757F" w:rsidRPr="00E83B7E" w:rsidRDefault="00A5757F" w:rsidP="0007292C">
            <w:pPr>
              <w:jc w:val="center"/>
              <w:rPr>
                <w:b/>
                <w:bCs/>
                <w:lang w:val="es-ES_tradnl"/>
              </w:rPr>
            </w:pPr>
          </w:p>
        </w:tc>
        <w:tc>
          <w:tcPr>
            <w:tcW w:w="2520" w:type="dxa"/>
          </w:tcPr>
          <w:p w14:paraId="381D4AE8" w14:textId="1E3F9318" w:rsidR="00A5757F" w:rsidRPr="00E83B7E" w:rsidRDefault="00A5757F" w:rsidP="0007292C">
            <w:pPr>
              <w:jc w:val="both"/>
              <w:rPr>
                <w:lang w:val="es-ES_tradnl"/>
              </w:rPr>
            </w:pPr>
            <w:r w:rsidRPr="00E83B7E">
              <w:rPr>
                <w:lang w:val="es-ES_tradnl"/>
              </w:rPr>
              <w:t>Transporte</w:t>
            </w:r>
            <w:r w:rsidR="00A044C9">
              <w:rPr>
                <w:lang w:val="es-ES_tradnl"/>
              </w:rPr>
              <w:t xml:space="preserve"> de pasajeros</w:t>
            </w:r>
          </w:p>
        </w:tc>
      </w:tr>
      <w:tr w:rsidR="00A5757F" w:rsidRPr="00E83B7E" w14:paraId="21005F1B" w14:textId="77777777" w:rsidTr="00941B33">
        <w:trPr>
          <w:jc w:val="center"/>
        </w:trPr>
        <w:tc>
          <w:tcPr>
            <w:tcW w:w="1710" w:type="dxa"/>
            <w:vMerge w:val="restart"/>
          </w:tcPr>
          <w:p w14:paraId="4F90D584" w14:textId="4A3C9C50" w:rsidR="00A5757F" w:rsidRPr="00E83B7E" w:rsidRDefault="00A5757F" w:rsidP="0007292C">
            <w:pPr>
              <w:jc w:val="center"/>
              <w:rPr>
                <w:b/>
                <w:bCs/>
                <w:lang w:val="es-ES_tradnl"/>
              </w:rPr>
            </w:pPr>
            <w:r w:rsidRPr="00E83B7E">
              <w:rPr>
                <w:b/>
                <w:bCs/>
                <w:lang w:val="es-ES_tradnl"/>
              </w:rPr>
              <w:t>Industria</w:t>
            </w:r>
          </w:p>
        </w:tc>
        <w:tc>
          <w:tcPr>
            <w:tcW w:w="2520" w:type="dxa"/>
          </w:tcPr>
          <w:p w14:paraId="025C10E2" w14:textId="73D2BB52" w:rsidR="00A5757F" w:rsidRPr="00E83B7E" w:rsidRDefault="00A5757F" w:rsidP="0007292C">
            <w:pPr>
              <w:jc w:val="both"/>
              <w:rPr>
                <w:lang w:val="es-ES_tradnl"/>
              </w:rPr>
            </w:pPr>
            <w:r w:rsidRPr="00E83B7E">
              <w:rPr>
                <w:lang w:val="es-ES_tradnl"/>
              </w:rPr>
              <w:t>Automotriz</w:t>
            </w:r>
          </w:p>
        </w:tc>
      </w:tr>
      <w:tr w:rsidR="00A5757F" w:rsidRPr="00E83B7E" w14:paraId="1AB1B24A" w14:textId="77777777" w:rsidTr="00941B33">
        <w:trPr>
          <w:jc w:val="center"/>
        </w:trPr>
        <w:tc>
          <w:tcPr>
            <w:tcW w:w="1710" w:type="dxa"/>
            <w:vMerge/>
          </w:tcPr>
          <w:p w14:paraId="7DD86CF8" w14:textId="4752B027" w:rsidR="00A5757F" w:rsidRPr="00E83B7E" w:rsidRDefault="00A5757F" w:rsidP="0007292C">
            <w:pPr>
              <w:jc w:val="center"/>
              <w:rPr>
                <w:b/>
                <w:bCs/>
                <w:lang w:val="es-ES_tradnl"/>
              </w:rPr>
            </w:pPr>
          </w:p>
        </w:tc>
        <w:tc>
          <w:tcPr>
            <w:tcW w:w="2520" w:type="dxa"/>
          </w:tcPr>
          <w:p w14:paraId="72D9702F" w14:textId="14D7CE11" w:rsidR="00A5757F" w:rsidRPr="00E83B7E" w:rsidRDefault="00A044C9" w:rsidP="0007292C">
            <w:pPr>
              <w:jc w:val="both"/>
              <w:rPr>
                <w:lang w:val="es-ES_tradnl"/>
              </w:rPr>
            </w:pPr>
            <w:r>
              <w:rPr>
                <w:lang w:val="es-ES_tradnl"/>
              </w:rPr>
              <w:t>Autopartes</w:t>
            </w:r>
          </w:p>
        </w:tc>
      </w:tr>
      <w:tr w:rsidR="00A5757F" w:rsidRPr="00E83B7E" w14:paraId="47FB2D8C" w14:textId="77777777" w:rsidTr="00941B33">
        <w:trPr>
          <w:jc w:val="center"/>
        </w:trPr>
        <w:tc>
          <w:tcPr>
            <w:tcW w:w="1710" w:type="dxa"/>
            <w:vMerge/>
          </w:tcPr>
          <w:p w14:paraId="2E11740F" w14:textId="77777777" w:rsidR="00A5757F" w:rsidRPr="00E83B7E" w:rsidRDefault="00A5757F" w:rsidP="0007292C">
            <w:pPr>
              <w:jc w:val="center"/>
              <w:rPr>
                <w:b/>
                <w:bCs/>
                <w:lang w:val="es-ES_tradnl"/>
              </w:rPr>
            </w:pPr>
          </w:p>
        </w:tc>
        <w:tc>
          <w:tcPr>
            <w:tcW w:w="2520" w:type="dxa"/>
          </w:tcPr>
          <w:p w14:paraId="6E9E3F9C" w14:textId="49099714" w:rsidR="00A5757F" w:rsidRPr="00E83B7E" w:rsidRDefault="00A5757F" w:rsidP="0007292C">
            <w:pPr>
              <w:jc w:val="both"/>
              <w:rPr>
                <w:lang w:val="es-ES_tradnl"/>
              </w:rPr>
            </w:pPr>
            <w:r w:rsidRPr="00E83B7E">
              <w:rPr>
                <w:lang w:val="es-ES_tradnl"/>
              </w:rPr>
              <w:t xml:space="preserve">Textil </w:t>
            </w:r>
          </w:p>
        </w:tc>
      </w:tr>
      <w:tr w:rsidR="00A5757F" w:rsidRPr="00E83B7E" w14:paraId="3E14A6F6" w14:textId="77777777" w:rsidTr="0007292C">
        <w:trPr>
          <w:jc w:val="center"/>
        </w:trPr>
        <w:tc>
          <w:tcPr>
            <w:tcW w:w="1710" w:type="dxa"/>
            <w:tcBorders>
              <w:bottom w:val="single" w:sz="4" w:space="0" w:color="auto"/>
            </w:tcBorders>
          </w:tcPr>
          <w:p w14:paraId="18865FB6" w14:textId="2B3C60CF" w:rsidR="00A5757F" w:rsidRPr="00E83B7E" w:rsidRDefault="00A5757F" w:rsidP="0007292C">
            <w:pPr>
              <w:jc w:val="center"/>
              <w:rPr>
                <w:b/>
                <w:bCs/>
                <w:lang w:val="es-ES_tradnl"/>
              </w:rPr>
            </w:pPr>
            <w:r w:rsidRPr="00E83B7E">
              <w:rPr>
                <w:b/>
                <w:bCs/>
                <w:lang w:val="es-ES_tradnl"/>
              </w:rPr>
              <w:t>Agro</w:t>
            </w:r>
            <w:r w:rsidR="00900E28">
              <w:rPr>
                <w:b/>
                <w:bCs/>
                <w:lang w:val="es-ES_tradnl"/>
              </w:rPr>
              <w:t>alimentario</w:t>
            </w:r>
          </w:p>
        </w:tc>
        <w:tc>
          <w:tcPr>
            <w:tcW w:w="2520" w:type="dxa"/>
            <w:tcBorders>
              <w:bottom w:val="single" w:sz="4" w:space="0" w:color="auto"/>
            </w:tcBorders>
          </w:tcPr>
          <w:p w14:paraId="76127B64" w14:textId="34F8C087" w:rsidR="00A5757F" w:rsidRPr="00E83B7E" w:rsidRDefault="00A5757F" w:rsidP="0007292C">
            <w:pPr>
              <w:jc w:val="both"/>
              <w:rPr>
                <w:i/>
                <w:iCs/>
                <w:lang w:val="es-ES_tradnl"/>
              </w:rPr>
            </w:pPr>
            <w:proofErr w:type="spellStart"/>
            <w:r w:rsidRPr="00E83B7E">
              <w:rPr>
                <w:i/>
                <w:iCs/>
                <w:lang w:val="es-ES_tradnl"/>
              </w:rPr>
              <w:t>Commodities</w:t>
            </w:r>
            <w:proofErr w:type="spellEnd"/>
          </w:p>
        </w:tc>
      </w:tr>
      <w:tr w:rsidR="00E65B58" w:rsidRPr="00E83B7E" w14:paraId="43BB6B93" w14:textId="77777777" w:rsidTr="0007292C">
        <w:trPr>
          <w:jc w:val="center"/>
        </w:trPr>
        <w:tc>
          <w:tcPr>
            <w:tcW w:w="1710" w:type="dxa"/>
            <w:tcBorders>
              <w:bottom w:val="single" w:sz="4" w:space="0" w:color="auto"/>
            </w:tcBorders>
          </w:tcPr>
          <w:p w14:paraId="5F8C32F9" w14:textId="7F78A6C7" w:rsidR="00E65B58" w:rsidRPr="00E83B7E" w:rsidRDefault="00E65B58" w:rsidP="0007292C">
            <w:pPr>
              <w:jc w:val="center"/>
              <w:rPr>
                <w:b/>
                <w:bCs/>
                <w:lang w:val="es-ES_tradnl"/>
              </w:rPr>
            </w:pPr>
            <w:r>
              <w:rPr>
                <w:b/>
                <w:bCs/>
                <w:lang w:val="es-ES_tradnl"/>
              </w:rPr>
              <w:t>Construcción</w:t>
            </w:r>
          </w:p>
        </w:tc>
        <w:tc>
          <w:tcPr>
            <w:tcW w:w="2520" w:type="dxa"/>
            <w:tcBorders>
              <w:bottom w:val="single" w:sz="4" w:space="0" w:color="auto"/>
            </w:tcBorders>
          </w:tcPr>
          <w:p w14:paraId="208C5C3E" w14:textId="46645D85" w:rsidR="00E65B58" w:rsidRPr="00E65B58" w:rsidRDefault="00E65B58" w:rsidP="0007292C">
            <w:pPr>
              <w:jc w:val="both"/>
              <w:rPr>
                <w:lang w:val="es-ES_tradnl"/>
              </w:rPr>
            </w:pPr>
            <w:r w:rsidRPr="00E65B58">
              <w:rPr>
                <w:lang w:val="es-ES_tradnl"/>
              </w:rPr>
              <w:t xml:space="preserve">Construcción </w:t>
            </w:r>
          </w:p>
        </w:tc>
      </w:tr>
      <w:tr w:rsidR="00A5757F" w:rsidRPr="00E83B7E" w14:paraId="79DB20BF" w14:textId="77777777" w:rsidTr="0007292C">
        <w:trPr>
          <w:jc w:val="center"/>
        </w:trPr>
        <w:tc>
          <w:tcPr>
            <w:tcW w:w="4230" w:type="dxa"/>
            <w:gridSpan w:val="2"/>
            <w:tcBorders>
              <w:top w:val="single" w:sz="4" w:space="0" w:color="auto"/>
              <w:left w:val="nil"/>
              <w:bottom w:val="nil"/>
              <w:right w:val="nil"/>
            </w:tcBorders>
          </w:tcPr>
          <w:p w14:paraId="599D127D" w14:textId="1079A57C" w:rsidR="00A5757F" w:rsidRPr="00E83B7E" w:rsidRDefault="00A5757F" w:rsidP="0007292C">
            <w:pPr>
              <w:rPr>
                <w:sz w:val="18"/>
                <w:szCs w:val="18"/>
                <w:lang w:val="es-ES_tradnl"/>
              </w:rPr>
            </w:pPr>
          </w:p>
        </w:tc>
      </w:tr>
    </w:tbl>
    <w:p w14:paraId="434A6927" w14:textId="1783480C" w:rsidR="00933DA6" w:rsidRPr="00E83B7E" w:rsidRDefault="00933DA6" w:rsidP="0007292C">
      <w:pPr>
        <w:jc w:val="both"/>
        <w:rPr>
          <w:lang w:val="es-ES_tradnl"/>
        </w:rPr>
      </w:pPr>
    </w:p>
    <w:p w14:paraId="308E244D" w14:textId="4AA7E7AA" w:rsidR="004656DB" w:rsidRPr="00E83B7E" w:rsidRDefault="004656DB" w:rsidP="004656DB">
      <w:pPr>
        <w:jc w:val="both"/>
        <w:rPr>
          <w:lang w:val="es-ES_tradnl"/>
        </w:rPr>
      </w:pPr>
      <w:r w:rsidRPr="00E83B7E">
        <w:rPr>
          <w:lang w:val="es-ES_tradnl"/>
        </w:rPr>
        <w:t>Para la determinación de la vulnerabilidad general de un sector se identifican cuatro áreas</w:t>
      </w:r>
      <w:r w:rsidR="0007292C" w:rsidRPr="00E83B7E">
        <w:rPr>
          <w:lang w:val="es-ES_tradnl"/>
        </w:rPr>
        <w:t xml:space="preserve"> o factores</w:t>
      </w:r>
      <w:r w:rsidRPr="00E83B7E">
        <w:rPr>
          <w:lang w:val="es-ES_tradnl"/>
        </w:rPr>
        <w:t xml:space="preserve">: </w:t>
      </w:r>
      <w:r w:rsidR="00E83B7E">
        <w:rPr>
          <w:lang w:val="es-ES_tradnl"/>
        </w:rPr>
        <w:t>(</w:t>
      </w:r>
      <w:r w:rsidR="0007292C" w:rsidRPr="00E83B7E">
        <w:rPr>
          <w:lang w:val="es-ES_tradnl"/>
        </w:rPr>
        <w:t>i)</w:t>
      </w:r>
      <w:r w:rsidR="00E83B7E">
        <w:rPr>
          <w:lang w:val="es-ES_tradnl"/>
        </w:rPr>
        <w:t> </w:t>
      </w:r>
      <w:r w:rsidRPr="00E83B7E">
        <w:rPr>
          <w:lang w:val="es-ES_tradnl"/>
        </w:rPr>
        <w:t>oferta</w:t>
      </w:r>
      <w:r w:rsidR="0007292C" w:rsidRPr="00E83B7E">
        <w:rPr>
          <w:lang w:val="es-ES_tradnl"/>
        </w:rPr>
        <w:t xml:space="preserve">; </w:t>
      </w:r>
      <w:r w:rsidR="00E83B7E">
        <w:rPr>
          <w:lang w:val="es-ES_tradnl"/>
        </w:rPr>
        <w:t>(</w:t>
      </w:r>
      <w:r w:rsidR="0007292C" w:rsidRPr="00E83B7E">
        <w:rPr>
          <w:lang w:val="es-ES_tradnl"/>
        </w:rPr>
        <w:t>ii)</w:t>
      </w:r>
      <w:r w:rsidRPr="00E83B7E">
        <w:rPr>
          <w:lang w:val="es-ES_tradnl"/>
        </w:rPr>
        <w:t xml:space="preserve"> demanda</w:t>
      </w:r>
      <w:r w:rsidR="0007292C" w:rsidRPr="00E83B7E">
        <w:rPr>
          <w:lang w:val="es-ES_tradnl"/>
        </w:rPr>
        <w:t xml:space="preserve">; </w:t>
      </w:r>
      <w:r w:rsidR="00E83B7E">
        <w:rPr>
          <w:lang w:val="es-ES_tradnl"/>
        </w:rPr>
        <w:t>(</w:t>
      </w:r>
      <w:r w:rsidR="0007292C" w:rsidRPr="00E83B7E">
        <w:rPr>
          <w:lang w:val="es-ES_tradnl"/>
        </w:rPr>
        <w:t>iii)</w:t>
      </w:r>
      <w:r w:rsidRPr="00E83B7E">
        <w:rPr>
          <w:lang w:val="es-ES_tradnl"/>
        </w:rPr>
        <w:t xml:space="preserve"> financiera y patrimonial</w:t>
      </w:r>
      <w:r w:rsidR="0007292C" w:rsidRPr="00E83B7E">
        <w:rPr>
          <w:lang w:val="es-ES_tradnl"/>
        </w:rPr>
        <w:t xml:space="preserve">; y </w:t>
      </w:r>
      <w:r w:rsidR="00E83B7E">
        <w:rPr>
          <w:lang w:val="es-ES_tradnl"/>
        </w:rPr>
        <w:t>(</w:t>
      </w:r>
      <w:r w:rsidR="0007292C" w:rsidRPr="00E83B7E">
        <w:rPr>
          <w:lang w:val="es-ES_tradnl"/>
        </w:rPr>
        <w:t>iv)</w:t>
      </w:r>
      <w:r w:rsidRPr="00E83B7E">
        <w:rPr>
          <w:lang w:val="es-ES_tradnl"/>
        </w:rPr>
        <w:t xml:space="preserve"> y sistémico y regulatorio. En estas cuatro áreas se identifican </w:t>
      </w:r>
      <w:r w:rsidR="0007292C" w:rsidRPr="00E83B7E">
        <w:rPr>
          <w:lang w:val="es-ES_tradnl"/>
        </w:rPr>
        <w:t>tipos</w:t>
      </w:r>
      <w:r w:rsidRPr="00E83B7E">
        <w:rPr>
          <w:lang w:val="es-ES_tradnl"/>
        </w:rPr>
        <w:t xml:space="preserve"> de riesgo y se los evalúa asignándoles un grado cualitativo de materialización potencial </w:t>
      </w:r>
      <w:r w:rsidR="0007292C" w:rsidRPr="00E83B7E">
        <w:rPr>
          <w:lang w:val="es-ES_tradnl"/>
        </w:rPr>
        <w:t>e impacto del riesgo</w:t>
      </w:r>
      <w:r w:rsidR="00794557" w:rsidRPr="00E83B7E">
        <w:rPr>
          <w:lang w:val="es-ES_tradnl"/>
        </w:rPr>
        <w:t xml:space="preserve">, a saber: moderado, significativo, severo y extremo. La calificación de cada componente </w:t>
      </w:r>
      <w:r w:rsidR="0007292C" w:rsidRPr="00E83B7E">
        <w:rPr>
          <w:lang w:val="es-ES_tradnl"/>
        </w:rPr>
        <w:t>h</w:t>
      </w:r>
      <w:r w:rsidR="00794557" w:rsidRPr="00E83B7E">
        <w:rPr>
          <w:lang w:val="es-ES_tradnl"/>
        </w:rPr>
        <w:t>a sido llevada adelante por expertos sectoriales del Banco Interamericano de Desarrollo</w:t>
      </w:r>
      <w:r w:rsidR="00A5757F" w:rsidRPr="00E83B7E">
        <w:rPr>
          <w:lang w:val="es-ES_tradnl"/>
        </w:rPr>
        <w:t>,</w:t>
      </w:r>
      <w:r w:rsidR="00794557" w:rsidRPr="00E83B7E">
        <w:rPr>
          <w:lang w:val="es-ES_tradnl"/>
        </w:rPr>
        <w:t xml:space="preserve"> quienes han generado una evaluación </w:t>
      </w:r>
      <w:r w:rsidR="00BF3440" w:rsidRPr="00E83B7E">
        <w:rPr>
          <w:lang w:val="es-ES_tradnl"/>
        </w:rPr>
        <w:t>general</w:t>
      </w:r>
      <w:r w:rsidR="0007292C" w:rsidRPr="00E83B7E">
        <w:rPr>
          <w:lang w:val="es-ES_tradnl"/>
        </w:rPr>
        <w:t xml:space="preserve"> al momento del inicio de la crisis del COVID-19, basada en sus percepciones, experiencia y</w:t>
      </w:r>
      <w:r w:rsidR="00794557" w:rsidRPr="00E83B7E">
        <w:rPr>
          <w:lang w:val="es-ES_tradnl"/>
        </w:rPr>
        <w:t xml:space="preserve"> utilizando distintas fuentes de información (incluyendo</w:t>
      </w:r>
      <w:r w:rsidR="0007292C" w:rsidRPr="00E83B7E">
        <w:rPr>
          <w:lang w:val="es-ES_tradnl"/>
        </w:rPr>
        <w:t xml:space="preserve"> entre otras, entrevistas a cámaras de comercio y actores relevantes,</w:t>
      </w:r>
      <w:r w:rsidR="00794557" w:rsidRPr="00E83B7E">
        <w:rPr>
          <w:lang w:val="es-ES_tradnl"/>
        </w:rPr>
        <w:t xml:space="preserve"> estadísticas de acceso público y otros informes especializados). Los factores considerados y las distintas áreas a las que pertenecen se detallan en el </w:t>
      </w:r>
      <w:r w:rsidR="005D1844" w:rsidRPr="00E83B7E">
        <w:rPr>
          <w:lang w:val="es-ES_tradnl"/>
        </w:rPr>
        <w:t>Tabla</w:t>
      </w:r>
      <w:r w:rsidR="00794557" w:rsidRPr="00E83B7E">
        <w:rPr>
          <w:lang w:val="es-ES_tradnl"/>
        </w:rPr>
        <w:t xml:space="preserve"> I.</w:t>
      </w:r>
      <w:r w:rsidR="005D1844" w:rsidRPr="00E83B7E">
        <w:rPr>
          <w:lang w:val="es-ES_tradnl"/>
        </w:rPr>
        <w:t>2</w:t>
      </w:r>
      <w:r w:rsidR="00794557" w:rsidRPr="00E83B7E">
        <w:rPr>
          <w:lang w:val="es-ES_tradnl"/>
        </w:rPr>
        <w:t>.</w:t>
      </w:r>
    </w:p>
    <w:p w14:paraId="6C77E1D3" w14:textId="6B7F7359" w:rsidR="00E46B00" w:rsidRPr="00E83B7E" w:rsidRDefault="005D1844" w:rsidP="0007292C">
      <w:pPr>
        <w:spacing w:after="0" w:line="240" w:lineRule="auto"/>
        <w:jc w:val="center"/>
        <w:rPr>
          <w:b/>
          <w:bCs/>
          <w:lang w:val="es-ES_tradnl"/>
        </w:rPr>
      </w:pPr>
      <w:bookmarkStart w:id="6" w:name="_Hlk36763214"/>
      <w:r w:rsidRPr="00E83B7E">
        <w:rPr>
          <w:b/>
          <w:bCs/>
          <w:lang w:val="es-ES_tradnl"/>
        </w:rPr>
        <w:t>Tabla</w:t>
      </w:r>
      <w:r w:rsidR="00E46B00" w:rsidRPr="00E83B7E">
        <w:rPr>
          <w:b/>
          <w:bCs/>
          <w:lang w:val="es-ES_tradnl"/>
        </w:rPr>
        <w:t xml:space="preserve"> I.</w:t>
      </w:r>
      <w:r w:rsidRPr="00E83B7E">
        <w:rPr>
          <w:b/>
          <w:bCs/>
          <w:lang w:val="es-ES_tradnl"/>
        </w:rPr>
        <w:t>2</w:t>
      </w:r>
    </w:p>
    <w:p w14:paraId="3C9B6E1D" w14:textId="77777777" w:rsidR="00E46B00" w:rsidRPr="00E83B7E" w:rsidRDefault="00E46B00" w:rsidP="00E46B00">
      <w:pPr>
        <w:spacing w:after="0" w:line="240" w:lineRule="auto"/>
        <w:jc w:val="center"/>
        <w:rPr>
          <w:b/>
          <w:bCs/>
          <w:lang w:val="es-ES_tradnl"/>
        </w:rPr>
      </w:pPr>
      <w:r w:rsidRPr="00E83B7E">
        <w:rPr>
          <w:b/>
          <w:bCs/>
          <w:lang w:val="es-ES_tradnl"/>
        </w:rPr>
        <w:t xml:space="preserve">Áreas de clasificación y factores identificados </w:t>
      </w:r>
    </w:p>
    <w:p w14:paraId="673B17E8" w14:textId="10F66785" w:rsidR="00E46B00" w:rsidRPr="00E83B7E" w:rsidRDefault="00E46B00" w:rsidP="0007292C">
      <w:pPr>
        <w:spacing w:after="0" w:line="240" w:lineRule="auto"/>
        <w:jc w:val="center"/>
        <w:rPr>
          <w:b/>
          <w:bCs/>
          <w:lang w:val="es-ES_tradnl"/>
        </w:rPr>
      </w:pPr>
      <w:r w:rsidRPr="00E83B7E">
        <w:rPr>
          <w:b/>
          <w:bCs/>
          <w:lang w:val="es-ES_tradnl"/>
        </w:rPr>
        <w:t>que contribuyen al índice de vulnerabilidad sectorial</w:t>
      </w:r>
      <w:r w:rsidR="00A40BFB" w:rsidRPr="00E83B7E">
        <w:rPr>
          <w:b/>
          <w:bCs/>
          <w:lang w:val="es-ES_tradnl"/>
        </w:rPr>
        <w:t xml:space="preserve"> </w:t>
      </w:r>
      <w:r w:rsidR="00BF3440" w:rsidRPr="00E83B7E">
        <w:rPr>
          <w:rStyle w:val="FootnoteReference"/>
          <w:b/>
          <w:bCs/>
          <w:lang w:val="es-ES_tradnl"/>
        </w:rPr>
        <w:footnoteReference w:id="5"/>
      </w:r>
    </w:p>
    <w:tbl>
      <w:tblPr>
        <w:tblStyle w:val="TableGrid"/>
        <w:tblW w:w="0" w:type="auto"/>
        <w:tblLook w:val="04A0" w:firstRow="1" w:lastRow="0" w:firstColumn="1" w:lastColumn="0" w:noHBand="0" w:noVBand="1"/>
      </w:tblPr>
      <w:tblGrid>
        <w:gridCol w:w="2515"/>
        <w:gridCol w:w="6835"/>
      </w:tblGrid>
      <w:tr w:rsidR="00794557" w:rsidRPr="00E83B7E" w14:paraId="7153C782" w14:textId="77777777" w:rsidTr="0007292C">
        <w:tc>
          <w:tcPr>
            <w:tcW w:w="2515" w:type="dxa"/>
            <w:shd w:val="clear" w:color="auto" w:fill="D9E2F3" w:themeFill="accent1" w:themeFillTint="33"/>
          </w:tcPr>
          <w:bookmarkEnd w:id="6"/>
          <w:p w14:paraId="23B0B0AB" w14:textId="5025DEED" w:rsidR="00794557" w:rsidRPr="00E83B7E" w:rsidRDefault="00AB05B2" w:rsidP="0007292C">
            <w:pPr>
              <w:jc w:val="center"/>
              <w:rPr>
                <w:b/>
                <w:bCs/>
                <w:lang w:val="es-ES_tradnl"/>
              </w:rPr>
            </w:pPr>
            <w:r w:rsidRPr="00E83B7E">
              <w:rPr>
                <w:b/>
                <w:bCs/>
                <w:lang w:val="es-ES_tradnl"/>
              </w:rPr>
              <w:t>Grupo analítico</w:t>
            </w:r>
          </w:p>
        </w:tc>
        <w:tc>
          <w:tcPr>
            <w:tcW w:w="6835" w:type="dxa"/>
            <w:shd w:val="clear" w:color="auto" w:fill="D9E2F3" w:themeFill="accent1" w:themeFillTint="33"/>
          </w:tcPr>
          <w:p w14:paraId="4C764C23" w14:textId="310ECF0F" w:rsidR="00794557" w:rsidRPr="00E83B7E" w:rsidRDefault="00794557" w:rsidP="0007292C">
            <w:pPr>
              <w:jc w:val="center"/>
              <w:rPr>
                <w:b/>
                <w:bCs/>
                <w:lang w:val="es-ES_tradnl"/>
              </w:rPr>
            </w:pPr>
            <w:r w:rsidRPr="00E83B7E">
              <w:rPr>
                <w:b/>
                <w:bCs/>
                <w:lang w:val="es-ES_tradnl"/>
              </w:rPr>
              <w:t>Factor</w:t>
            </w:r>
          </w:p>
        </w:tc>
      </w:tr>
      <w:tr w:rsidR="00794557" w:rsidRPr="00D16194" w14:paraId="02F8C9F9" w14:textId="77777777" w:rsidTr="0007292C">
        <w:tc>
          <w:tcPr>
            <w:tcW w:w="2515" w:type="dxa"/>
            <w:vMerge w:val="restart"/>
            <w:shd w:val="clear" w:color="auto" w:fill="FFFFFF" w:themeFill="background1"/>
          </w:tcPr>
          <w:p w14:paraId="2FB7619A" w14:textId="59331BF5" w:rsidR="00794557" w:rsidRPr="00E83B7E" w:rsidRDefault="00794557" w:rsidP="0007292C">
            <w:pPr>
              <w:jc w:val="center"/>
              <w:rPr>
                <w:b/>
                <w:bCs/>
                <w:lang w:val="es-ES_tradnl"/>
              </w:rPr>
            </w:pPr>
            <w:r w:rsidRPr="00E83B7E">
              <w:rPr>
                <w:b/>
                <w:bCs/>
                <w:lang w:val="es-ES_tradnl"/>
              </w:rPr>
              <w:t>Oferta</w:t>
            </w:r>
          </w:p>
        </w:tc>
        <w:tc>
          <w:tcPr>
            <w:tcW w:w="6835" w:type="dxa"/>
            <w:shd w:val="clear" w:color="auto" w:fill="FFFFFF" w:themeFill="background1"/>
          </w:tcPr>
          <w:p w14:paraId="29281D4D" w14:textId="4FDEC461" w:rsidR="00794557" w:rsidRPr="00E83B7E" w:rsidRDefault="00794557" w:rsidP="00794557">
            <w:pPr>
              <w:jc w:val="both"/>
              <w:rPr>
                <w:lang w:val="es-ES_tradnl"/>
              </w:rPr>
            </w:pPr>
            <w:r w:rsidRPr="00E83B7E">
              <w:rPr>
                <w:lang w:val="es-ES_tradnl"/>
              </w:rPr>
              <w:t>Limitaciones uso de fuerza de trabajo</w:t>
            </w:r>
          </w:p>
        </w:tc>
      </w:tr>
      <w:tr w:rsidR="00794557" w:rsidRPr="00D16194" w14:paraId="2D56D58C" w14:textId="77777777" w:rsidTr="0007292C">
        <w:tc>
          <w:tcPr>
            <w:tcW w:w="2515" w:type="dxa"/>
            <w:vMerge/>
            <w:shd w:val="clear" w:color="auto" w:fill="FFFFFF" w:themeFill="background1"/>
          </w:tcPr>
          <w:p w14:paraId="3619BC8A" w14:textId="77777777" w:rsidR="00794557" w:rsidRPr="00E83B7E" w:rsidRDefault="00794557" w:rsidP="0007292C">
            <w:pPr>
              <w:jc w:val="center"/>
              <w:rPr>
                <w:b/>
                <w:bCs/>
                <w:lang w:val="es-ES_tradnl"/>
              </w:rPr>
            </w:pPr>
          </w:p>
        </w:tc>
        <w:tc>
          <w:tcPr>
            <w:tcW w:w="6835" w:type="dxa"/>
            <w:shd w:val="clear" w:color="auto" w:fill="FFFFFF" w:themeFill="background1"/>
          </w:tcPr>
          <w:p w14:paraId="1462CCC8" w14:textId="56E3EDEC" w:rsidR="00794557" w:rsidRPr="00E83B7E" w:rsidRDefault="00794557" w:rsidP="00794557">
            <w:pPr>
              <w:jc w:val="both"/>
              <w:rPr>
                <w:lang w:val="es-ES_tradnl"/>
              </w:rPr>
            </w:pPr>
            <w:r w:rsidRPr="00E83B7E">
              <w:rPr>
                <w:lang w:val="es-ES_tradnl"/>
              </w:rPr>
              <w:t>Limitaciones al uso de capital fijo (oficinas, centros comerciales, maquinas, etc.)</w:t>
            </w:r>
          </w:p>
        </w:tc>
      </w:tr>
      <w:tr w:rsidR="00794557" w:rsidRPr="00D16194" w14:paraId="5F9BC88F" w14:textId="77777777" w:rsidTr="0007292C">
        <w:tc>
          <w:tcPr>
            <w:tcW w:w="2515" w:type="dxa"/>
            <w:vMerge/>
            <w:shd w:val="clear" w:color="auto" w:fill="FFFFFF" w:themeFill="background1"/>
          </w:tcPr>
          <w:p w14:paraId="774B1ADF" w14:textId="77777777" w:rsidR="00794557" w:rsidRPr="00E83B7E" w:rsidRDefault="00794557" w:rsidP="0007292C">
            <w:pPr>
              <w:jc w:val="center"/>
              <w:rPr>
                <w:b/>
                <w:bCs/>
                <w:lang w:val="es-ES_tradnl"/>
              </w:rPr>
            </w:pPr>
          </w:p>
        </w:tc>
        <w:tc>
          <w:tcPr>
            <w:tcW w:w="6835" w:type="dxa"/>
            <w:shd w:val="clear" w:color="auto" w:fill="FFFFFF" w:themeFill="background1"/>
          </w:tcPr>
          <w:p w14:paraId="1752D400" w14:textId="012B6BB4" w:rsidR="00794557" w:rsidRPr="00E83B7E" w:rsidRDefault="00794557" w:rsidP="00794557">
            <w:pPr>
              <w:jc w:val="both"/>
              <w:rPr>
                <w:lang w:val="es-ES_tradnl"/>
              </w:rPr>
            </w:pPr>
            <w:r w:rsidRPr="00E83B7E">
              <w:rPr>
                <w:lang w:val="es-ES_tradnl"/>
              </w:rPr>
              <w:t>Insuficiencia en cantidad y calidad de insumos físicos</w:t>
            </w:r>
          </w:p>
        </w:tc>
      </w:tr>
      <w:tr w:rsidR="00794557" w:rsidRPr="00D16194" w14:paraId="3D148F4A" w14:textId="77777777" w:rsidTr="0007292C">
        <w:tc>
          <w:tcPr>
            <w:tcW w:w="2515" w:type="dxa"/>
            <w:vMerge/>
            <w:shd w:val="clear" w:color="auto" w:fill="FFFFFF" w:themeFill="background1"/>
          </w:tcPr>
          <w:p w14:paraId="7669F781" w14:textId="77777777" w:rsidR="00794557" w:rsidRPr="00E83B7E" w:rsidRDefault="00794557" w:rsidP="0007292C">
            <w:pPr>
              <w:jc w:val="center"/>
              <w:rPr>
                <w:b/>
                <w:bCs/>
                <w:lang w:val="es-ES_tradnl"/>
              </w:rPr>
            </w:pPr>
          </w:p>
        </w:tc>
        <w:tc>
          <w:tcPr>
            <w:tcW w:w="6835" w:type="dxa"/>
            <w:shd w:val="clear" w:color="auto" w:fill="FFFFFF" w:themeFill="background1"/>
          </w:tcPr>
          <w:p w14:paraId="5A48FCBC" w14:textId="79CF7A41" w:rsidR="00794557" w:rsidRPr="00E83B7E" w:rsidRDefault="00794557" w:rsidP="00794557">
            <w:pPr>
              <w:jc w:val="both"/>
              <w:rPr>
                <w:lang w:val="es-ES_tradnl"/>
              </w:rPr>
            </w:pPr>
            <w:r w:rsidRPr="00E83B7E">
              <w:rPr>
                <w:lang w:val="es-ES_tradnl"/>
              </w:rPr>
              <w:t xml:space="preserve">Limitaciones al acceso a servicios (transporte, comunicación) </w:t>
            </w:r>
          </w:p>
        </w:tc>
      </w:tr>
      <w:tr w:rsidR="00794557" w:rsidRPr="00D16194" w14:paraId="33448694" w14:textId="77777777" w:rsidTr="0007292C">
        <w:tc>
          <w:tcPr>
            <w:tcW w:w="2515" w:type="dxa"/>
            <w:vMerge/>
            <w:shd w:val="clear" w:color="auto" w:fill="FFFFFF" w:themeFill="background1"/>
          </w:tcPr>
          <w:p w14:paraId="58C9DF4D" w14:textId="77777777" w:rsidR="00794557" w:rsidRPr="00E83B7E" w:rsidRDefault="00794557" w:rsidP="0007292C">
            <w:pPr>
              <w:jc w:val="center"/>
              <w:rPr>
                <w:b/>
                <w:bCs/>
                <w:lang w:val="es-ES_tradnl"/>
              </w:rPr>
            </w:pPr>
          </w:p>
        </w:tc>
        <w:tc>
          <w:tcPr>
            <w:tcW w:w="6835" w:type="dxa"/>
            <w:shd w:val="clear" w:color="auto" w:fill="FFFFFF" w:themeFill="background1"/>
          </w:tcPr>
          <w:p w14:paraId="53886982" w14:textId="279213B7" w:rsidR="00794557" w:rsidRPr="00E83B7E" w:rsidRDefault="00794557" w:rsidP="00794557">
            <w:pPr>
              <w:jc w:val="both"/>
              <w:rPr>
                <w:lang w:val="es-ES_tradnl"/>
              </w:rPr>
            </w:pPr>
            <w:r w:rsidRPr="00E83B7E">
              <w:rPr>
                <w:lang w:val="es-ES_tradnl"/>
              </w:rPr>
              <w:t>Aumento de los costos de insumos y de producción</w:t>
            </w:r>
          </w:p>
        </w:tc>
      </w:tr>
      <w:tr w:rsidR="00794557" w:rsidRPr="00D16194" w14:paraId="64AC37CB" w14:textId="77777777" w:rsidTr="0007292C">
        <w:tc>
          <w:tcPr>
            <w:tcW w:w="2515" w:type="dxa"/>
            <w:vMerge w:val="restart"/>
            <w:shd w:val="clear" w:color="auto" w:fill="FFFFFF" w:themeFill="background1"/>
          </w:tcPr>
          <w:p w14:paraId="66EBBA40" w14:textId="1111EE53" w:rsidR="00794557" w:rsidRPr="00E83B7E" w:rsidRDefault="00794557" w:rsidP="0007292C">
            <w:pPr>
              <w:jc w:val="center"/>
              <w:rPr>
                <w:b/>
                <w:bCs/>
                <w:lang w:val="es-ES_tradnl"/>
              </w:rPr>
            </w:pPr>
            <w:r w:rsidRPr="00E83B7E">
              <w:rPr>
                <w:b/>
                <w:bCs/>
                <w:lang w:val="es-ES_tradnl"/>
              </w:rPr>
              <w:t>Demanda</w:t>
            </w:r>
          </w:p>
        </w:tc>
        <w:tc>
          <w:tcPr>
            <w:tcW w:w="6835" w:type="dxa"/>
            <w:shd w:val="clear" w:color="auto" w:fill="FFFFFF" w:themeFill="background1"/>
          </w:tcPr>
          <w:p w14:paraId="7C5504F5" w14:textId="2A0B1B7D" w:rsidR="00794557" w:rsidRPr="00E83B7E" w:rsidRDefault="00794557" w:rsidP="00794557">
            <w:pPr>
              <w:jc w:val="both"/>
              <w:rPr>
                <w:lang w:val="es-ES_tradnl"/>
              </w:rPr>
            </w:pPr>
            <w:r w:rsidRPr="00E83B7E">
              <w:rPr>
                <w:lang w:val="es-ES_tradnl"/>
              </w:rPr>
              <w:t>Reducción de la demanda interna / domestica</w:t>
            </w:r>
          </w:p>
        </w:tc>
      </w:tr>
      <w:tr w:rsidR="00794557" w:rsidRPr="00D16194" w14:paraId="00558798" w14:textId="77777777" w:rsidTr="0007292C">
        <w:tc>
          <w:tcPr>
            <w:tcW w:w="2515" w:type="dxa"/>
            <w:vMerge/>
            <w:shd w:val="clear" w:color="auto" w:fill="FFFFFF" w:themeFill="background1"/>
          </w:tcPr>
          <w:p w14:paraId="3DE54C46" w14:textId="77777777" w:rsidR="00794557" w:rsidRPr="00E83B7E" w:rsidRDefault="00794557" w:rsidP="0007292C">
            <w:pPr>
              <w:jc w:val="center"/>
              <w:rPr>
                <w:b/>
                <w:bCs/>
                <w:lang w:val="es-ES_tradnl"/>
              </w:rPr>
            </w:pPr>
          </w:p>
        </w:tc>
        <w:tc>
          <w:tcPr>
            <w:tcW w:w="6835" w:type="dxa"/>
            <w:shd w:val="clear" w:color="auto" w:fill="FFFFFF" w:themeFill="background1"/>
          </w:tcPr>
          <w:p w14:paraId="20ABF7FE" w14:textId="072A533F" w:rsidR="00794557" w:rsidRPr="00E83B7E" w:rsidRDefault="00794557" w:rsidP="00794557">
            <w:pPr>
              <w:jc w:val="both"/>
              <w:rPr>
                <w:lang w:val="es-ES_tradnl"/>
              </w:rPr>
            </w:pPr>
            <w:r w:rsidRPr="00E83B7E">
              <w:rPr>
                <w:lang w:val="es-ES_tradnl"/>
              </w:rPr>
              <w:t xml:space="preserve">Reducción en la demanda de exportación o extranjera </w:t>
            </w:r>
          </w:p>
        </w:tc>
      </w:tr>
      <w:tr w:rsidR="00E46B00" w:rsidRPr="00D16194" w14:paraId="204BBBBD" w14:textId="77777777" w:rsidTr="0007292C">
        <w:tc>
          <w:tcPr>
            <w:tcW w:w="2515" w:type="dxa"/>
            <w:vMerge w:val="restart"/>
            <w:shd w:val="clear" w:color="auto" w:fill="FFFFFF" w:themeFill="background1"/>
          </w:tcPr>
          <w:p w14:paraId="6C3F8E29" w14:textId="33C0F037" w:rsidR="00E46B00" w:rsidRPr="00E83B7E" w:rsidRDefault="00E46B00" w:rsidP="0007292C">
            <w:pPr>
              <w:jc w:val="center"/>
              <w:rPr>
                <w:b/>
                <w:bCs/>
                <w:lang w:val="es-ES_tradnl"/>
              </w:rPr>
            </w:pPr>
            <w:r w:rsidRPr="00E83B7E">
              <w:rPr>
                <w:b/>
                <w:bCs/>
                <w:lang w:val="es-ES_tradnl"/>
              </w:rPr>
              <w:lastRenderedPageBreak/>
              <w:t>Financiera</w:t>
            </w:r>
          </w:p>
        </w:tc>
        <w:tc>
          <w:tcPr>
            <w:tcW w:w="6835" w:type="dxa"/>
            <w:shd w:val="clear" w:color="auto" w:fill="FFFFFF" w:themeFill="background1"/>
          </w:tcPr>
          <w:p w14:paraId="5D3DA0B9" w14:textId="7DC83A46" w:rsidR="00E46B00" w:rsidRPr="00E83B7E" w:rsidRDefault="00E46B00" w:rsidP="00794557">
            <w:pPr>
              <w:jc w:val="both"/>
              <w:rPr>
                <w:lang w:val="es-ES_tradnl"/>
              </w:rPr>
            </w:pPr>
            <w:r w:rsidRPr="00E83B7E">
              <w:rPr>
                <w:lang w:val="es-ES_tradnl"/>
              </w:rPr>
              <w:t>Retraso o interrupción del ciclo de pagos</w:t>
            </w:r>
          </w:p>
        </w:tc>
      </w:tr>
      <w:tr w:rsidR="00E46B00" w:rsidRPr="00D16194" w14:paraId="0AE51A61" w14:textId="77777777" w:rsidTr="0007292C">
        <w:tc>
          <w:tcPr>
            <w:tcW w:w="2515" w:type="dxa"/>
            <w:vMerge/>
            <w:shd w:val="clear" w:color="auto" w:fill="FFFFFF" w:themeFill="background1"/>
          </w:tcPr>
          <w:p w14:paraId="3DFD292E" w14:textId="77777777" w:rsidR="00E46B00" w:rsidRPr="00E83B7E" w:rsidRDefault="00E46B00" w:rsidP="0007292C">
            <w:pPr>
              <w:jc w:val="center"/>
              <w:rPr>
                <w:b/>
                <w:bCs/>
                <w:lang w:val="es-ES_tradnl"/>
              </w:rPr>
            </w:pPr>
          </w:p>
        </w:tc>
        <w:tc>
          <w:tcPr>
            <w:tcW w:w="6835" w:type="dxa"/>
            <w:shd w:val="clear" w:color="auto" w:fill="FFFFFF" w:themeFill="background1"/>
          </w:tcPr>
          <w:p w14:paraId="3421AC8B" w14:textId="05709DF2" w:rsidR="00E46B00" w:rsidRPr="00E83B7E" w:rsidRDefault="00E46B00" w:rsidP="00794557">
            <w:pPr>
              <w:jc w:val="both"/>
              <w:rPr>
                <w:lang w:val="es-ES_tradnl"/>
              </w:rPr>
            </w:pPr>
            <w:r w:rsidRPr="00E83B7E">
              <w:rPr>
                <w:lang w:val="es-ES_tradnl"/>
              </w:rPr>
              <w:t>Reducción o interrupción de financiamientos de corto plazo</w:t>
            </w:r>
          </w:p>
        </w:tc>
      </w:tr>
      <w:tr w:rsidR="00E46B00" w:rsidRPr="00D16194" w14:paraId="587A1FE7" w14:textId="77777777" w:rsidTr="0007292C">
        <w:tc>
          <w:tcPr>
            <w:tcW w:w="2515" w:type="dxa"/>
            <w:vMerge/>
            <w:shd w:val="clear" w:color="auto" w:fill="FFFFFF" w:themeFill="background1"/>
          </w:tcPr>
          <w:p w14:paraId="452CFD4C" w14:textId="77777777" w:rsidR="00E46B00" w:rsidRPr="00E83B7E" w:rsidRDefault="00E46B00" w:rsidP="0007292C">
            <w:pPr>
              <w:jc w:val="center"/>
              <w:rPr>
                <w:b/>
                <w:bCs/>
                <w:lang w:val="es-ES_tradnl"/>
              </w:rPr>
            </w:pPr>
          </w:p>
        </w:tc>
        <w:tc>
          <w:tcPr>
            <w:tcW w:w="6835" w:type="dxa"/>
            <w:shd w:val="clear" w:color="auto" w:fill="FFFFFF" w:themeFill="background1"/>
          </w:tcPr>
          <w:p w14:paraId="69FE3668" w14:textId="4C6812F9" w:rsidR="00E46B00" w:rsidRPr="00E83B7E" w:rsidRDefault="00E46B00" w:rsidP="00794557">
            <w:pPr>
              <w:jc w:val="both"/>
              <w:rPr>
                <w:lang w:val="es-ES_tradnl"/>
              </w:rPr>
            </w:pPr>
            <w:r w:rsidRPr="00E83B7E">
              <w:rPr>
                <w:lang w:val="es-ES_tradnl"/>
              </w:rPr>
              <w:t xml:space="preserve">Reducción o interrupción de financiamiento de mediano y largo plazo </w:t>
            </w:r>
          </w:p>
        </w:tc>
      </w:tr>
      <w:tr w:rsidR="00E46B00" w:rsidRPr="00D16194" w14:paraId="1B4DE62D" w14:textId="77777777" w:rsidTr="0007292C">
        <w:tc>
          <w:tcPr>
            <w:tcW w:w="2515" w:type="dxa"/>
            <w:vMerge/>
            <w:shd w:val="clear" w:color="auto" w:fill="FFFFFF" w:themeFill="background1"/>
          </w:tcPr>
          <w:p w14:paraId="631D2CCC" w14:textId="77777777" w:rsidR="00E46B00" w:rsidRPr="00E83B7E" w:rsidRDefault="00E46B00" w:rsidP="0007292C">
            <w:pPr>
              <w:jc w:val="center"/>
              <w:rPr>
                <w:b/>
                <w:bCs/>
                <w:lang w:val="es-ES_tradnl"/>
              </w:rPr>
            </w:pPr>
          </w:p>
        </w:tc>
        <w:tc>
          <w:tcPr>
            <w:tcW w:w="6835" w:type="dxa"/>
            <w:shd w:val="clear" w:color="auto" w:fill="FFFFFF" w:themeFill="background1"/>
          </w:tcPr>
          <w:p w14:paraId="714C6865" w14:textId="4FACADED" w:rsidR="00E46B00" w:rsidRPr="00E83B7E" w:rsidRDefault="00E46B00" w:rsidP="00794557">
            <w:pPr>
              <w:jc w:val="both"/>
              <w:rPr>
                <w:lang w:val="es-ES_tradnl"/>
              </w:rPr>
            </w:pPr>
            <w:r w:rsidRPr="00E83B7E">
              <w:rPr>
                <w:lang w:val="es-ES_tradnl"/>
              </w:rPr>
              <w:t>Aumento de los costos financieros y de intermediación (tasas de interés, comisiones, etc.)</w:t>
            </w:r>
          </w:p>
        </w:tc>
      </w:tr>
      <w:tr w:rsidR="00E46B00" w:rsidRPr="00D16194" w14:paraId="6EA176BD" w14:textId="77777777" w:rsidTr="0007292C">
        <w:tc>
          <w:tcPr>
            <w:tcW w:w="2515" w:type="dxa"/>
            <w:vMerge w:val="restart"/>
            <w:shd w:val="clear" w:color="auto" w:fill="FFFFFF" w:themeFill="background1"/>
          </w:tcPr>
          <w:p w14:paraId="79B919BB" w14:textId="3F858AFC" w:rsidR="00E46B00" w:rsidRPr="00E83B7E" w:rsidRDefault="00E46B00" w:rsidP="0007292C">
            <w:pPr>
              <w:jc w:val="center"/>
              <w:rPr>
                <w:b/>
                <w:bCs/>
                <w:lang w:val="es-ES_tradnl"/>
              </w:rPr>
            </w:pPr>
            <w:r w:rsidRPr="00E83B7E">
              <w:rPr>
                <w:b/>
                <w:bCs/>
                <w:lang w:val="es-ES_tradnl"/>
              </w:rPr>
              <w:t>Patrimonial</w:t>
            </w:r>
          </w:p>
        </w:tc>
        <w:tc>
          <w:tcPr>
            <w:tcW w:w="6835" w:type="dxa"/>
            <w:shd w:val="clear" w:color="auto" w:fill="FFFFFF" w:themeFill="background1"/>
          </w:tcPr>
          <w:p w14:paraId="4D1D0DA6" w14:textId="2E994446" w:rsidR="00E46B00" w:rsidRPr="00E83B7E" w:rsidRDefault="00E46B00" w:rsidP="00794557">
            <w:pPr>
              <w:jc w:val="both"/>
              <w:rPr>
                <w:lang w:val="es-ES_tradnl"/>
              </w:rPr>
            </w:pPr>
            <w:r w:rsidRPr="00E83B7E">
              <w:rPr>
                <w:lang w:val="es-ES_tradnl"/>
              </w:rPr>
              <w:t>Reducción del valor de los activos reales por retracción de la demanda</w:t>
            </w:r>
          </w:p>
        </w:tc>
      </w:tr>
      <w:tr w:rsidR="00E46B00" w:rsidRPr="00D16194" w14:paraId="1B25F04E" w14:textId="77777777" w:rsidTr="0007292C">
        <w:tc>
          <w:tcPr>
            <w:tcW w:w="2515" w:type="dxa"/>
            <w:vMerge/>
            <w:shd w:val="clear" w:color="auto" w:fill="FFFFFF" w:themeFill="background1"/>
          </w:tcPr>
          <w:p w14:paraId="69875DCC" w14:textId="77777777" w:rsidR="00E46B00" w:rsidRPr="00E83B7E" w:rsidRDefault="00E46B00" w:rsidP="0007292C">
            <w:pPr>
              <w:jc w:val="center"/>
              <w:rPr>
                <w:b/>
                <w:bCs/>
                <w:lang w:val="es-ES_tradnl"/>
              </w:rPr>
            </w:pPr>
          </w:p>
        </w:tc>
        <w:tc>
          <w:tcPr>
            <w:tcW w:w="6835" w:type="dxa"/>
            <w:shd w:val="clear" w:color="auto" w:fill="FFFFFF" w:themeFill="background1"/>
          </w:tcPr>
          <w:p w14:paraId="09263E05" w14:textId="48DD0FD7" w:rsidR="00E46B00" w:rsidRPr="00E83B7E" w:rsidRDefault="00E46B00" w:rsidP="00794557">
            <w:pPr>
              <w:jc w:val="both"/>
              <w:rPr>
                <w:lang w:val="es-ES_tradnl"/>
              </w:rPr>
            </w:pPr>
            <w:r w:rsidRPr="00E83B7E">
              <w:rPr>
                <w:lang w:val="es-ES_tradnl"/>
              </w:rPr>
              <w:t>Acumulación de pasivos (alquileres, sueldos, etc.)</w:t>
            </w:r>
          </w:p>
        </w:tc>
      </w:tr>
      <w:tr w:rsidR="00E46B00" w:rsidRPr="00E83B7E" w14:paraId="287B5B50" w14:textId="77777777" w:rsidTr="0007292C">
        <w:tc>
          <w:tcPr>
            <w:tcW w:w="2515" w:type="dxa"/>
            <w:vMerge w:val="restart"/>
            <w:shd w:val="clear" w:color="auto" w:fill="FFFFFF" w:themeFill="background1"/>
          </w:tcPr>
          <w:p w14:paraId="086AABAE" w14:textId="1D29CA73" w:rsidR="00E46B00" w:rsidRPr="00E83B7E" w:rsidRDefault="00E46B00" w:rsidP="0007292C">
            <w:pPr>
              <w:jc w:val="center"/>
              <w:rPr>
                <w:b/>
                <w:bCs/>
                <w:lang w:val="es-ES_tradnl"/>
              </w:rPr>
            </w:pPr>
            <w:r w:rsidRPr="00E83B7E">
              <w:rPr>
                <w:b/>
                <w:bCs/>
                <w:lang w:val="es-ES_tradnl"/>
              </w:rPr>
              <w:t>Sistémico y regulatorio</w:t>
            </w:r>
          </w:p>
        </w:tc>
        <w:tc>
          <w:tcPr>
            <w:tcW w:w="6835" w:type="dxa"/>
            <w:shd w:val="clear" w:color="auto" w:fill="FFFFFF" w:themeFill="background1"/>
          </w:tcPr>
          <w:p w14:paraId="7F48D75F" w14:textId="713D0AD4" w:rsidR="00E46B00" w:rsidRPr="00E83B7E" w:rsidRDefault="00E46B00" w:rsidP="00794557">
            <w:pPr>
              <w:jc w:val="both"/>
              <w:rPr>
                <w:lang w:val="es-ES_tradnl"/>
              </w:rPr>
            </w:pPr>
            <w:r w:rsidRPr="00E83B7E">
              <w:rPr>
                <w:lang w:val="es-ES_tradnl"/>
              </w:rPr>
              <w:t>Inestabilidad política y social</w:t>
            </w:r>
          </w:p>
        </w:tc>
      </w:tr>
      <w:tr w:rsidR="00E46B00" w:rsidRPr="00E83B7E" w14:paraId="008A5CE7" w14:textId="77777777" w:rsidTr="0007292C">
        <w:trPr>
          <w:trHeight w:val="134"/>
        </w:trPr>
        <w:tc>
          <w:tcPr>
            <w:tcW w:w="2515" w:type="dxa"/>
            <w:vMerge/>
            <w:tcBorders>
              <w:bottom w:val="single" w:sz="4" w:space="0" w:color="auto"/>
            </w:tcBorders>
            <w:shd w:val="clear" w:color="auto" w:fill="E7E6E6" w:themeFill="background2"/>
          </w:tcPr>
          <w:p w14:paraId="70A69918" w14:textId="77777777" w:rsidR="00E46B00" w:rsidRPr="00E83B7E" w:rsidRDefault="00E46B00" w:rsidP="00794557">
            <w:pPr>
              <w:jc w:val="both"/>
              <w:rPr>
                <w:lang w:val="es-ES_tradnl"/>
              </w:rPr>
            </w:pPr>
          </w:p>
        </w:tc>
        <w:tc>
          <w:tcPr>
            <w:tcW w:w="6835" w:type="dxa"/>
            <w:tcBorders>
              <w:bottom w:val="single" w:sz="4" w:space="0" w:color="auto"/>
            </w:tcBorders>
            <w:shd w:val="clear" w:color="auto" w:fill="FFFFFF" w:themeFill="background1"/>
          </w:tcPr>
          <w:p w14:paraId="424C3497" w14:textId="44F69261" w:rsidR="00E46B00" w:rsidRPr="00E83B7E" w:rsidRDefault="00E46B00" w:rsidP="00794557">
            <w:pPr>
              <w:jc w:val="both"/>
              <w:rPr>
                <w:lang w:val="es-ES_tradnl"/>
              </w:rPr>
            </w:pPr>
            <w:r w:rsidRPr="00E83B7E">
              <w:rPr>
                <w:lang w:val="es-ES_tradnl"/>
              </w:rPr>
              <w:t>Incertidumbre institucional y legal</w:t>
            </w:r>
          </w:p>
        </w:tc>
      </w:tr>
      <w:tr w:rsidR="00E46B00" w:rsidRPr="00E83B7E" w14:paraId="3645FFFA" w14:textId="77777777" w:rsidTr="0007292C">
        <w:trPr>
          <w:trHeight w:val="134"/>
        </w:trPr>
        <w:tc>
          <w:tcPr>
            <w:tcW w:w="9350" w:type="dxa"/>
            <w:gridSpan w:val="2"/>
            <w:tcBorders>
              <w:top w:val="single" w:sz="4" w:space="0" w:color="auto"/>
              <w:left w:val="nil"/>
              <w:bottom w:val="nil"/>
              <w:right w:val="nil"/>
            </w:tcBorders>
            <w:shd w:val="clear" w:color="auto" w:fill="FFFFFF" w:themeFill="background1"/>
          </w:tcPr>
          <w:p w14:paraId="14A26D40" w14:textId="364554C7" w:rsidR="00E46B00" w:rsidRPr="00E83B7E" w:rsidRDefault="00E46B00" w:rsidP="00794557">
            <w:pPr>
              <w:jc w:val="both"/>
              <w:rPr>
                <w:sz w:val="18"/>
                <w:szCs w:val="18"/>
                <w:lang w:val="es-ES_tradnl"/>
              </w:rPr>
            </w:pPr>
            <w:r w:rsidRPr="00E83B7E">
              <w:rPr>
                <w:sz w:val="18"/>
                <w:szCs w:val="18"/>
                <w:lang w:val="es-ES_tradnl"/>
              </w:rPr>
              <w:t>Fuente: IFD/CMF.</w:t>
            </w:r>
          </w:p>
        </w:tc>
      </w:tr>
    </w:tbl>
    <w:p w14:paraId="410E9E54" w14:textId="77777777" w:rsidR="00794557" w:rsidRPr="00E83B7E" w:rsidRDefault="00794557" w:rsidP="0007292C">
      <w:pPr>
        <w:jc w:val="both"/>
        <w:rPr>
          <w:lang w:val="es-ES_tradnl"/>
        </w:rPr>
      </w:pPr>
    </w:p>
    <w:p w14:paraId="226FB7CC" w14:textId="4BF3B986" w:rsidR="004656DB" w:rsidRPr="00E83B7E" w:rsidRDefault="0007292C" w:rsidP="004656DB">
      <w:pPr>
        <w:jc w:val="both"/>
        <w:rPr>
          <w:lang w:val="es-ES_tradnl"/>
        </w:rPr>
      </w:pPr>
      <w:r w:rsidRPr="00E83B7E">
        <w:rPr>
          <w:lang w:val="es-ES_tradnl"/>
        </w:rPr>
        <w:t>Una vez</w:t>
      </w:r>
      <w:r w:rsidR="00E56942" w:rsidRPr="00E83B7E">
        <w:rPr>
          <w:lang w:val="es-ES_tradnl"/>
        </w:rPr>
        <w:t xml:space="preserve"> asigna</w:t>
      </w:r>
      <w:r w:rsidRPr="00E83B7E">
        <w:rPr>
          <w:lang w:val="es-ES_tradnl"/>
        </w:rPr>
        <w:t>da</w:t>
      </w:r>
      <w:r w:rsidR="00E56942" w:rsidRPr="00E83B7E">
        <w:rPr>
          <w:lang w:val="es-ES_tradnl"/>
        </w:rPr>
        <w:t xml:space="preserve"> </w:t>
      </w:r>
      <w:r w:rsidRPr="00E83B7E">
        <w:rPr>
          <w:lang w:val="es-ES_tradnl"/>
        </w:rPr>
        <w:t>la calificación de</w:t>
      </w:r>
      <w:r w:rsidR="00E56942" w:rsidRPr="00E83B7E">
        <w:rPr>
          <w:lang w:val="es-ES_tradnl"/>
        </w:rPr>
        <w:t xml:space="preserve"> riesgo/vulnerabilidad para cada factor, </w:t>
      </w:r>
      <w:r w:rsidRPr="00E83B7E">
        <w:rPr>
          <w:lang w:val="es-ES_tradnl"/>
        </w:rPr>
        <w:t xml:space="preserve">se evalúan los </w:t>
      </w:r>
      <w:r w:rsidR="00E56942" w:rsidRPr="00E83B7E">
        <w:rPr>
          <w:lang w:val="es-ES_tradnl"/>
        </w:rPr>
        <w:t xml:space="preserve">resultados </w:t>
      </w:r>
      <w:r w:rsidRPr="00E83B7E">
        <w:rPr>
          <w:lang w:val="es-ES_tradnl"/>
        </w:rPr>
        <w:t xml:space="preserve"> y  </w:t>
      </w:r>
      <w:r w:rsidR="00E56942" w:rsidRPr="00E83B7E">
        <w:rPr>
          <w:lang w:val="es-ES_tradnl"/>
        </w:rPr>
        <w:t>se agregan en un índice que asigna un peso de 30% respectivamente para los factores de oferta, demanda y financieros y patrimoniales y de 10% para los factores sistémicos y regulatorios.</w:t>
      </w:r>
      <w:r w:rsidR="00E56942" w:rsidRPr="00E83B7E">
        <w:rPr>
          <w:rStyle w:val="FootnoteReference"/>
          <w:lang w:val="es-ES_tradnl"/>
        </w:rPr>
        <w:footnoteReference w:id="6"/>
      </w:r>
      <w:r w:rsidR="00E56942" w:rsidRPr="00E83B7E">
        <w:rPr>
          <w:lang w:val="es-ES_tradnl"/>
        </w:rPr>
        <w:t xml:space="preserve"> </w:t>
      </w:r>
      <w:r w:rsidR="00AB05B2" w:rsidRPr="00E83B7E">
        <w:rPr>
          <w:lang w:val="es-ES_tradnl"/>
        </w:rPr>
        <w:t>De esta manera se obtiene un índice general de vulnerabilidad sectorial junto a índices parciales para los distintos grupos analíticos (</w:t>
      </w:r>
      <w:r w:rsidRPr="00E83B7E">
        <w:rPr>
          <w:lang w:val="es-ES_tradnl"/>
        </w:rPr>
        <w:t xml:space="preserve"> </w:t>
      </w:r>
      <w:r w:rsidR="00AB05B2" w:rsidRPr="00E83B7E">
        <w:rPr>
          <w:lang w:val="es-ES_tradnl"/>
        </w:rPr>
        <w:t xml:space="preserve">oferta, demanda, financieros y patrimoniales y sistémicos y regulatorios). Al momento de esta nota, se han realizado análisis similares para otros países de la región, lo cual permite dimensionar más claramente la distribución de vulnerabilidades entre países. </w:t>
      </w:r>
    </w:p>
    <w:p w14:paraId="7EE4C609" w14:textId="6DB831FA" w:rsidR="00024A68" w:rsidRPr="00E83B7E" w:rsidRDefault="00A700FB" w:rsidP="004656DB">
      <w:pPr>
        <w:jc w:val="both"/>
        <w:rPr>
          <w:lang w:val="es-ES_tradnl"/>
        </w:rPr>
      </w:pPr>
      <w:r w:rsidRPr="00E83B7E">
        <w:rPr>
          <w:lang w:val="es-ES_tradnl"/>
        </w:rPr>
        <w:t>De manera adicional, también se presenta el grado de vulnerabilidad agregado generado por dichos sectores productivos utilizando distintos ponderadores, entre los que se destacan: contribución al empleo, contribución al PIB, contribución al total de empresas M</w:t>
      </w:r>
      <w:r w:rsidR="00043713" w:rsidRPr="00E83B7E">
        <w:rPr>
          <w:lang w:val="es-ES_tradnl"/>
        </w:rPr>
        <w:t>i</w:t>
      </w:r>
      <w:r w:rsidRPr="00E83B7E">
        <w:rPr>
          <w:lang w:val="es-ES_tradnl"/>
        </w:rPr>
        <w:t>P</w:t>
      </w:r>
      <w:r w:rsidR="00E83B7E">
        <w:rPr>
          <w:lang w:val="es-ES_tradnl"/>
        </w:rPr>
        <w:t>y</w:t>
      </w:r>
      <w:r w:rsidRPr="00E83B7E">
        <w:rPr>
          <w:lang w:val="es-ES_tradnl"/>
        </w:rPr>
        <w:t>ME</w:t>
      </w:r>
      <w:r w:rsidRPr="00E83B7E">
        <w:rPr>
          <w:rStyle w:val="FootnoteReference"/>
          <w:lang w:val="es-ES_tradnl"/>
        </w:rPr>
        <w:footnoteReference w:id="7"/>
      </w:r>
      <w:r w:rsidR="00E83B7E">
        <w:rPr>
          <w:lang w:val="es-ES_tradnl"/>
        </w:rPr>
        <w:t>.</w:t>
      </w:r>
    </w:p>
    <w:p w14:paraId="124D52CE" w14:textId="4F82376F" w:rsidR="00AE17AB" w:rsidRPr="00E83B7E" w:rsidRDefault="00D41616" w:rsidP="0007292C">
      <w:pPr>
        <w:pStyle w:val="Heading1"/>
        <w:numPr>
          <w:ilvl w:val="0"/>
          <w:numId w:val="4"/>
        </w:numPr>
        <w:jc w:val="both"/>
        <w:rPr>
          <w:lang w:val="es-ES_tradnl"/>
        </w:rPr>
      </w:pPr>
      <w:bookmarkStart w:id="7" w:name="_Toc36834037"/>
      <w:r w:rsidRPr="00E83B7E">
        <w:rPr>
          <w:lang w:val="es-ES_tradnl"/>
        </w:rPr>
        <w:t>Situación de vulnerabilidad</w:t>
      </w:r>
      <w:bookmarkEnd w:id="7"/>
    </w:p>
    <w:p w14:paraId="4DC306A5" w14:textId="4AB1031F" w:rsidR="00681D94" w:rsidRPr="00E83B7E" w:rsidRDefault="00681D94" w:rsidP="00725F1A">
      <w:pPr>
        <w:pStyle w:val="Heading2"/>
        <w:ind w:left="0"/>
        <w:rPr>
          <w:lang w:val="es-ES_tradnl"/>
        </w:rPr>
      </w:pPr>
      <w:bookmarkStart w:id="8" w:name="_Toc36834038"/>
      <w:r w:rsidRPr="00E83B7E">
        <w:rPr>
          <w:lang w:val="es-ES_tradnl"/>
        </w:rPr>
        <w:t>Situación general</w:t>
      </w:r>
      <w:bookmarkEnd w:id="8"/>
    </w:p>
    <w:p w14:paraId="1C5EE5C9" w14:textId="1430E824" w:rsidR="00CA665E" w:rsidRPr="00E83B7E" w:rsidRDefault="00F3704F" w:rsidP="00A700FB">
      <w:pPr>
        <w:jc w:val="both"/>
        <w:rPr>
          <w:lang w:val="es-ES_tradnl"/>
        </w:rPr>
      </w:pPr>
      <w:r w:rsidRPr="00E83B7E">
        <w:rPr>
          <w:lang w:val="es-ES_tradnl"/>
        </w:rPr>
        <w:t xml:space="preserve">Atendiendo a la importancia relativa de los sectores </w:t>
      </w:r>
      <w:r w:rsidR="5A1761A0" w:rsidRPr="00E83B7E">
        <w:rPr>
          <w:lang w:val="es-ES_tradnl"/>
        </w:rPr>
        <w:t>con relación a la</w:t>
      </w:r>
      <w:r w:rsidRPr="00E83B7E">
        <w:rPr>
          <w:lang w:val="es-ES_tradnl"/>
        </w:rPr>
        <w:t xml:space="preserve"> </w:t>
      </w:r>
      <w:r w:rsidR="00815C71" w:rsidRPr="00E83B7E">
        <w:rPr>
          <w:lang w:val="es-ES_tradnl"/>
        </w:rPr>
        <w:t xml:space="preserve">generación de empleo, </w:t>
      </w:r>
      <w:r w:rsidR="1B340F0C" w:rsidRPr="00E83B7E">
        <w:rPr>
          <w:lang w:val="es-ES_tradnl"/>
        </w:rPr>
        <w:t xml:space="preserve">la </w:t>
      </w:r>
      <w:r w:rsidR="00815C71" w:rsidRPr="00E83B7E">
        <w:rPr>
          <w:lang w:val="es-ES_tradnl"/>
        </w:rPr>
        <w:t xml:space="preserve">participación en el PIB y </w:t>
      </w:r>
      <w:r w:rsidR="39BE0D4D" w:rsidRPr="00E83B7E">
        <w:rPr>
          <w:lang w:val="es-ES_tradnl"/>
        </w:rPr>
        <w:t xml:space="preserve">el </w:t>
      </w:r>
      <w:r w:rsidR="00815C71" w:rsidRPr="00E83B7E">
        <w:rPr>
          <w:lang w:val="es-ES_tradnl"/>
        </w:rPr>
        <w:t>número de empresas M</w:t>
      </w:r>
      <w:r w:rsidR="00043713" w:rsidRPr="00E83B7E">
        <w:rPr>
          <w:lang w:val="es-ES_tradnl"/>
        </w:rPr>
        <w:t>i</w:t>
      </w:r>
      <w:r w:rsidR="00815C71" w:rsidRPr="00E83B7E">
        <w:rPr>
          <w:lang w:val="es-ES_tradnl"/>
        </w:rPr>
        <w:t>P</w:t>
      </w:r>
      <w:r w:rsidR="00E83B7E">
        <w:rPr>
          <w:lang w:val="es-ES_tradnl"/>
        </w:rPr>
        <w:t>y</w:t>
      </w:r>
      <w:r w:rsidR="00815C71" w:rsidRPr="00E83B7E">
        <w:rPr>
          <w:lang w:val="es-ES_tradnl"/>
        </w:rPr>
        <w:t xml:space="preserve">ME, como así también a la disponibilidad de información </w:t>
      </w:r>
      <w:r w:rsidR="00E26F82" w:rsidRPr="00E83B7E">
        <w:rPr>
          <w:lang w:val="es-ES_tradnl"/>
        </w:rPr>
        <w:t xml:space="preserve">adecuada para llevar adelante el análisis de vulnerabilidad, </w:t>
      </w:r>
      <w:r w:rsidR="00817E09" w:rsidRPr="00E83B7E">
        <w:rPr>
          <w:lang w:val="es-ES_tradnl"/>
        </w:rPr>
        <w:t xml:space="preserve">los sectores considerados en el análisis para </w:t>
      </w:r>
      <w:r w:rsidR="00A044C9">
        <w:rPr>
          <w:lang w:val="es-ES_tradnl"/>
        </w:rPr>
        <w:t>México</w:t>
      </w:r>
      <w:r w:rsidR="00817E09" w:rsidRPr="00E83B7E">
        <w:rPr>
          <w:lang w:val="es-ES_tradnl"/>
        </w:rPr>
        <w:t xml:space="preserve"> incluyen </w:t>
      </w:r>
      <w:r w:rsidR="0094371B" w:rsidRPr="00E83B7E">
        <w:rPr>
          <w:lang w:val="es-ES_tradnl"/>
        </w:rPr>
        <w:t>a los siguientes sectores: turismo, transporte</w:t>
      </w:r>
      <w:r w:rsidR="00A044C9">
        <w:rPr>
          <w:lang w:val="es-ES_tradnl"/>
        </w:rPr>
        <w:t xml:space="preserve"> de carga y de pasajeros</w:t>
      </w:r>
      <w:r w:rsidR="0094371B" w:rsidRPr="00E83B7E">
        <w:rPr>
          <w:lang w:val="es-ES_tradnl"/>
        </w:rPr>
        <w:t xml:space="preserve">, </w:t>
      </w:r>
      <w:r w:rsidR="00FF1802" w:rsidRPr="00E83B7E">
        <w:rPr>
          <w:lang w:val="es-ES_tradnl"/>
        </w:rPr>
        <w:t>automotriz</w:t>
      </w:r>
      <w:r w:rsidR="00A044C9">
        <w:rPr>
          <w:lang w:val="es-ES_tradnl"/>
        </w:rPr>
        <w:t xml:space="preserve"> y autopartes</w:t>
      </w:r>
      <w:r w:rsidR="00FF1802" w:rsidRPr="00E83B7E">
        <w:rPr>
          <w:lang w:val="es-ES_tradnl"/>
        </w:rPr>
        <w:t xml:space="preserve">, textil y </w:t>
      </w:r>
      <w:r w:rsidR="00681B57" w:rsidRPr="00E83B7E">
        <w:rPr>
          <w:lang w:val="es-ES_tradnl"/>
        </w:rPr>
        <w:t>agro</w:t>
      </w:r>
      <w:r w:rsidR="00A216E1">
        <w:rPr>
          <w:lang w:val="es-ES_tradnl"/>
        </w:rPr>
        <w:t>alimentario</w:t>
      </w:r>
      <w:r w:rsidR="00681B57" w:rsidRPr="00E83B7E">
        <w:rPr>
          <w:lang w:val="es-ES_tradnl"/>
        </w:rPr>
        <w:t>.</w:t>
      </w:r>
      <w:r w:rsidR="00BE4C81" w:rsidRPr="00E83B7E">
        <w:rPr>
          <w:lang w:val="es-ES_tradnl"/>
        </w:rPr>
        <w:t xml:space="preserve"> </w:t>
      </w:r>
    </w:p>
    <w:p w14:paraId="533462E0" w14:textId="28073F2E" w:rsidR="00303A21" w:rsidRPr="00A044C9" w:rsidRDefault="00BE4C81" w:rsidP="00A700FB">
      <w:pPr>
        <w:jc w:val="both"/>
        <w:rPr>
          <w:highlight w:val="yellow"/>
          <w:lang w:val="es-ES_tradnl"/>
        </w:rPr>
      </w:pPr>
      <w:r w:rsidRPr="00E83B7E">
        <w:rPr>
          <w:lang w:val="es-ES_tradnl"/>
        </w:rPr>
        <w:t>En la tabla II.</w:t>
      </w:r>
      <w:r w:rsidR="00C5740C" w:rsidRPr="00E83B7E">
        <w:rPr>
          <w:lang w:val="es-ES_tradnl"/>
        </w:rPr>
        <w:t>A.</w:t>
      </w:r>
      <w:r w:rsidRPr="00E83B7E">
        <w:rPr>
          <w:lang w:val="es-ES_tradnl"/>
        </w:rPr>
        <w:t>1 se presenta</w:t>
      </w:r>
      <w:r w:rsidR="00DC3871" w:rsidRPr="00E83B7E">
        <w:rPr>
          <w:lang w:val="es-ES_tradnl"/>
        </w:rPr>
        <w:t xml:space="preserve"> el grado de vulnerabilidad calculado para cada sector.</w:t>
      </w:r>
      <w:r w:rsidR="00CC1B3A" w:rsidRPr="00E83B7E">
        <w:rPr>
          <w:lang w:val="es-ES_tradnl"/>
        </w:rPr>
        <w:t xml:space="preserve"> Como puede observarse, </w:t>
      </w:r>
      <w:r w:rsidR="00E5440E" w:rsidRPr="00E83B7E">
        <w:rPr>
          <w:lang w:val="es-ES_tradnl"/>
        </w:rPr>
        <w:t>el mayor índice de vulnerabilidad</w:t>
      </w:r>
      <w:r w:rsidR="00C1409E" w:rsidRPr="00E83B7E">
        <w:rPr>
          <w:lang w:val="es-ES_tradnl"/>
        </w:rPr>
        <w:t xml:space="preserve"> global</w:t>
      </w:r>
      <w:r w:rsidR="00E5440E" w:rsidRPr="00E83B7E">
        <w:rPr>
          <w:lang w:val="es-ES_tradnl"/>
        </w:rPr>
        <w:t xml:space="preserve"> se </w:t>
      </w:r>
      <w:r w:rsidR="00E5440E" w:rsidRPr="00F74A03">
        <w:rPr>
          <w:lang w:val="es-ES_tradnl"/>
        </w:rPr>
        <w:t xml:space="preserve">presenta en el sector </w:t>
      </w:r>
      <w:r w:rsidR="00F74A03" w:rsidRPr="00F74A03">
        <w:rPr>
          <w:lang w:val="es-ES_tradnl"/>
        </w:rPr>
        <w:t xml:space="preserve">Autopartes, seguido de </w:t>
      </w:r>
      <w:r w:rsidR="004E759C">
        <w:rPr>
          <w:lang w:val="es-ES_tradnl"/>
        </w:rPr>
        <w:t xml:space="preserve">construcción, </w:t>
      </w:r>
      <w:proofErr w:type="gramStart"/>
      <w:r w:rsidR="00F74A03" w:rsidRPr="00F74A03">
        <w:rPr>
          <w:lang w:val="es-ES_tradnl"/>
        </w:rPr>
        <w:t>textil</w:t>
      </w:r>
      <w:r w:rsidR="004E759C">
        <w:rPr>
          <w:lang w:val="es-ES_tradnl"/>
        </w:rPr>
        <w:t xml:space="preserve">, </w:t>
      </w:r>
      <w:r w:rsidR="00C54B08" w:rsidRPr="00F74A03">
        <w:rPr>
          <w:lang w:val="es-ES_tradnl"/>
        </w:rPr>
        <w:t xml:space="preserve"> </w:t>
      </w:r>
      <w:r w:rsidR="00E724E1" w:rsidRPr="00F74A03">
        <w:rPr>
          <w:lang w:val="es-ES_tradnl"/>
        </w:rPr>
        <w:t>turismo</w:t>
      </w:r>
      <w:proofErr w:type="gramEnd"/>
      <w:r w:rsidR="004E759C">
        <w:rPr>
          <w:lang w:val="es-ES_tradnl"/>
        </w:rPr>
        <w:t xml:space="preserve"> y energía</w:t>
      </w:r>
      <w:r w:rsidR="00E724E1" w:rsidRPr="00F74A03">
        <w:rPr>
          <w:lang w:val="es-ES_tradnl"/>
        </w:rPr>
        <w:t xml:space="preserve"> </w:t>
      </w:r>
      <w:r w:rsidR="00C54B08" w:rsidRPr="00F74A03">
        <w:rPr>
          <w:lang w:val="es-ES_tradnl"/>
        </w:rPr>
        <w:t>(</w:t>
      </w:r>
      <w:r w:rsidR="000E23D0" w:rsidRPr="00F74A03">
        <w:rPr>
          <w:lang w:val="es-ES_tradnl"/>
        </w:rPr>
        <w:t xml:space="preserve">con índices de </w:t>
      </w:r>
      <w:r w:rsidR="00F74A03" w:rsidRPr="00F74A03">
        <w:rPr>
          <w:lang w:val="es-ES_tradnl"/>
        </w:rPr>
        <w:t>7</w:t>
      </w:r>
      <w:r w:rsidR="00A97D13">
        <w:rPr>
          <w:lang w:val="es-ES_tradnl"/>
        </w:rPr>
        <w:t>5</w:t>
      </w:r>
      <w:r w:rsidR="00F74A03" w:rsidRPr="00F74A03">
        <w:rPr>
          <w:lang w:val="es-ES_tradnl"/>
        </w:rPr>
        <w:t xml:space="preserve">, </w:t>
      </w:r>
      <w:r w:rsidR="004E759C">
        <w:rPr>
          <w:lang w:val="es-ES_tradnl"/>
        </w:rPr>
        <w:t xml:space="preserve">71, </w:t>
      </w:r>
      <w:r w:rsidR="00E724E1">
        <w:rPr>
          <w:lang w:val="es-ES_tradnl"/>
        </w:rPr>
        <w:t>70</w:t>
      </w:r>
      <w:r w:rsidR="004E759C">
        <w:rPr>
          <w:lang w:val="es-ES_tradnl"/>
        </w:rPr>
        <w:t>,</w:t>
      </w:r>
      <w:r w:rsidR="00F74A03" w:rsidRPr="00F74A03">
        <w:rPr>
          <w:lang w:val="es-ES_tradnl"/>
        </w:rPr>
        <w:t xml:space="preserve"> 68</w:t>
      </w:r>
      <w:r w:rsidR="00F74A03">
        <w:rPr>
          <w:lang w:val="es-ES_tradnl"/>
        </w:rPr>
        <w:t xml:space="preserve"> </w:t>
      </w:r>
      <w:r w:rsidR="004E759C">
        <w:rPr>
          <w:lang w:val="es-ES_tradnl"/>
        </w:rPr>
        <w:t xml:space="preserve">y 65, </w:t>
      </w:r>
      <w:r w:rsidR="00C1409E" w:rsidRPr="00F74A03">
        <w:rPr>
          <w:lang w:val="es-ES_tradnl"/>
        </w:rPr>
        <w:t>respectivamente).</w:t>
      </w:r>
      <w:r w:rsidR="00063F34" w:rsidRPr="00F74A03">
        <w:rPr>
          <w:lang w:val="es-ES_tradnl"/>
        </w:rPr>
        <w:t xml:space="preserve"> </w:t>
      </w:r>
    </w:p>
    <w:p w14:paraId="5D484AD4" w14:textId="77777777" w:rsidR="00D316B0" w:rsidRPr="00A044C9" w:rsidRDefault="00D316B0" w:rsidP="00A55D13">
      <w:pPr>
        <w:spacing w:after="0" w:line="240" w:lineRule="auto"/>
        <w:jc w:val="center"/>
        <w:rPr>
          <w:b/>
          <w:bCs/>
          <w:highlight w:val="yellow"/>
          <w:lang w:val="es-ES_tradnl"/>
        </w:rPr>
      </w:pPr>
    </w:p>
    <w:p w14:paraId="6FC49A7D" w14:textId="77777777" w:rsidR="00D316B0" w:rsidRPr="00A044C9" w:rsidRDefault="00D316B0" w:rsidP="00A55D13">
      <w:pPr>
        <w:spacing w:after="0" w:line="240" w:lineRule="auto"/>
        <w:jc w:val="center"/>
        <w:rPr>
          <w:b/>
          <w:bCs/>
          <w:highlight w:val="yellow"/>
          <w:lang w:val="es-ES_tradnl"/>
        </w:rPr>
      </w:pPr>
    </w:p>
    <w:p w14:paraId="795987BF" w14:textId="66DB9B8B" w:rsidR="001A43A9" w:rsidRDefault="001A43A9">
      <w:pPr>
        <w:rPr>
          <w:b/>
          <w:bCs/>
          <w:lang w:val="es-ES_tradnl"/>
        </w:rPr>
      </w:pPr>
      <w:r>
        <w:rPr>
          <w:b/>
          <w:bCs/>
          <w:lang w:val="es-ES_tradnl"/>
        </w:rPr>
        <w:br w:type="page"/>
      </w:r>
    </w:p>
    <w:p w14:paraId="38B1F6E9" w14:textId="7AB99FB9" w:rsidR="00755EA6" w:rsidRPr="00D536DF" w:rsidRDefault="00755EA6" w:rsidP="00A55D13">
      <w:pPr>
        <w:spacing w:after="0" w:line="240" w:lineRule="auto"/>
        <w:jc w:val="center"/>
        <w:rPr>
          <w:b/>
          <w:bCs/>
          <w:lang w:val="es-ES_tradnl"/>
        </w:rPr>
      </w:pPr>
      <w:r w:rsidRPr="00D536DF">
        <w:rPr>
          <w:b/>
          <w:bCs/>
          <w:lang w:val="es-ES_tradnl"/>
        </w:rPr>
        <w:lastRenderedPageBreak/>
        <w:t>Tabla II</w:t>
      </w:r>
      <w:r w:rsidR="00C5740C" w:rsidRPr="00D536DF">
        <w:rPr>
          <w:b/>
          <w:bCs/>
          <w:lang w:val="es-ES_tradnl"/>
        </w:rPr>
        <w:t>.A</w:t>
      </w:r>
      <w:r w:rsidRPr="00D536DF">
        <w:rPr>
          <w:b/>
          <w:bCs/>
          <w:lang w:val="es-ES_tradnl"/>
        </w:rPr>
        <w:t>.1</w:t>
      </w:r>
    </w:p>
    <w:p w14:paraId="04794EBF" w14:textId="15E364A1" w:rsidR="00755EA6" w:rsidRPr="00D536DF" w:rsidRDefault="00CE3E2B" w:rsidP="00A55D13">
      <w:pPr>
        <w:spacing w:after="0" w:line="240" w:lineRule="auto"/>
        <w:jc w:val="center"/>
        <w:rPr>
          <w:b/>
          <w:bCs/>
          <w:lang w:val="es-ES_tradnl"/>
        </w:rPr>
      </w:pPr>
      <w:r w:rsidRPr="00D536DF">
        <w:rPr>
          <w:b/>
          <w:bCs/>
          <w:lang w:val="es-ES_tradnl"/>
        </w:rPr>
        <w:t>Índice de vulnerabilidad</w:t>
      </w:r>
      <w:r w:rsidR="00F86B31" w:rsidRPr="00D536DF">
        <w:rPr>
          <w:b/>
          <w:bCs/>
          <w:lang w:val="es-ES_tradnl"/>
        </w:rPr>
        <w:t xml:space="preserve"> (IV)</w:t>
      </w:r>
      <w:r w:rsidRPr="00D536DF">
        <w:rPr>
          <w:b/>
          <w:bCs/>
          <w:lang w:val="es-ES_tradnl"/>
        </w:rPr>
        <w:t xml:space="preserve"> por sectores.</w:t>
      </w:r>
    </w:p>
    <w:p w14:paraId="153A124C" w14:textId="77777777" w:rsidR="00A55D13" w:rsidRPr="00D536DF" w:rsidRDefault="00F86B31" w:rsidP="00A55D13">
      <w:pPr>
        <w:spacing w:after="0" w:line="240" w:lineRule="auto"/>
        <w:jc w:val="center"/>
        <w:rPr>
          <w:b/>
          <w:bCs/>
          <w:lang w:val="es-ES_tradnl"/>
        </w:rPr>
      </w:pPr>
      <w:r w:rsidRPr="00D536DF">
        <w:rPr>
          <w:b/>
          <w:bCs/>
          <w:lang w:val="es-ES_tradnl"/>
        </w:rPr>
        <w:t>El IV ha sido escalado para tomar valores entre 0 y 100.</w:t>
      </w:r>
    </w:p>
    <w:p w14:paraId="1BD2AC59" w14:textId="3AAE0A91" w:rsidR="00EA4073" w:rsidRPr="00D536DF" w:rsidRDefault="00A55D13" w:rsidP="00EA4073">
      <w:pPr>
        <w:spacing w:after="0" w:line="240" w:lineRule="auto"/>
        <w:jc w:val="center"/>
        <w:rPr>
          <w:lang w:val="es-ES_tradnl"/>
        </w:rPr>
      </w:pPr>
      <w:r w:rsidRPr="00D536DF">
        <w:rPr>
          <w:b/>
          <w:bCs/>
          <w:lang w:val="es-ES_tradnl"/>
        </w:rPr>
        <w:t>Un valor más alto indica una mayor vulnerabilidad global del sector.</w:t>
      </w:r>
      <w:r w:rsidR="007C05F4" w:rsidRPr="00D536DF">
        <w:rPr>
          <w:lang w:val="es-ES_tradnl"/>
        </w:rPr>
        <w:t xml:space="preserve"> </w:t>
      </w:r>
    </w:p>
    <w:tbl>
      <w:tblPr>
        <w:tblW w:w="8196" w:type="dxa"/>
        <w:jc w:val="center"/>
        <w:tblLook w:val="04A0" w:firstRow="1" w:lastRow="0" w:firstColumn="1" w:lastColumn="0" w:noHBand="0" w:noVBand="1"/>
      </w:tblPr>
      <w:tblGrid>
        <w:gridCol w:w="6096"/>
        <w:gridCol w:w="2100"/>
      </w:tblGrid>
      <w:tr w:rsidR="00A97C96" w:rsidRPr="00A97C96" w14:paraId="6D25D7BE" w14:textId="77777777" w:rsidTr="00A97C96">
        <w:trPr>
          <w:divId w:val="1676885892"/>
          <w:trHeight w:val="300"/>
          <w:jc w:val="center"/>
        </w:trPr>
        <w:tc>
          <w:tcPr>
            <w:tcW w:w="6096"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770AB698" w14:textId="77777777" w:rsidR="00A97C96" w:rsidRPr="00A97C96" w:rsidRDefault="00A97C96" w:rsidP="00E34617">
            <w:pPr>
              <w:jc w:val="center"/>
              <w:rPr>
                <w:rFonts w:ascii="Calibri" w:eastAsia="Times New Roman" w:hAnsi="Calibri" w:cs="Calibri"/>
                <w:b/>
                <w:bCs/>
                <w:color w:val="000000"/>
                <w:lang w:val="es-ES_tradnl"/>
              </w:rPr>
            </w:pPr>
            <w:r w:rsidRPr="00A97C96">
              <w:rPr>
                <w:rFonts w:ascii="Calibri" w:eastAsia="Times New Roman" w:hAnsi="Calibri" w:cs="Calibri"/>
                <w:b/>
                <w:bCs/>
                <w:color w:val="000000"/>
                <w:lang w:val="es-ES_tradnl"/>
              </w:rPr>
              <w:t>Sector</w:t>
            </w:r>
          </w:p>
        </w:tc>
        <w:tc>
          <w:tcPr>
            <w:tcW w:w="2100" w:type="dxa"/>
            <w:tcBorders>
              <w:top w:val="single" w:sz="4" w:space="0" w:color="auto"/>
              <w:left w:val="nil"/>
              <w:bottom w:val="single" w:sz="4" w:space="0" w:color="auto"/>
              <w:right w:val="single" w:sz="4" w:space="0" w:color="auto"/>
            </w:tcBorders>
            <w:shd w:val="clear" w:color="000000" w:fill="DDEBF7"/>
            <w:noWrap/>
            <w:vAlign w:val="bottom"/>
            <w:hideMark/>
          </w:tcPr>
          <w:p w14:paraId="710BCF8A" w14:textId="77777777" w:rsidR="00A97C96" w:rsidRPr="00A97C96" w:rsidRDefault="00A97C96" w:rsidP="00E34617">
            <w:pPr>
              <w:spacing w:after="0" w:line="240" w:lineRule="auto"/>
              <w:jc w:val="center"/>
              <w:rPr>
                <w:rFonts w:ascii="Calibri" w:eastAsia="Times New Roman" w:hAnsi="Calibri" w:cs="Calibri"/>
                <w:b/>
                <w:bCs/>
                <w:color w:val="000000"/>
                <w:lang w:val="es-ES_tradnl"/>
              </w:rPr>
            </w:pPr>
            <w:r w:rsidRPr="00A97C96">
              <w:rPr>
                <w:rFonts w:ascii="Calibri" w:eastAsia="Times New Roman" w:hAnsi="Calibri" w:cs="Calibri"/>
                <w:b/>
                <w:bCs/>
                <w:color w:val="000000"/>
                <w:lang w:val="es-ES_tradnl"/>
              </w:rPr>
              <w:t>Índice vulnerabilidad</w:t>
            </w:r>
          </w:p>
        </w:tc>
      </w:tr>
      <w:tr w:rsidR="00A97C96" w:rsidRPr="00FE5090" w14:paraId="19F90217"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tcPr>
          <w:p w14:paraId="5FD2828B" w14:textId="77777777" w:rsidR="00A97C96" w:rsidRPr="00E724E1" w:rsidRDefault="00A97C96" w:rsidP="00E34617">
            <w:pPr>
              <w:spacing w:after="0" w:line="240" w:lineRule="auto"/>
              <w:rPr>
                <w:rFonts w:ascii="Calibri" w:eastAsia="Times New Roman" w:hAnsi="Calibri" w:cs="Calibri"/>
                <w:color w:val="000000"/>
                <w:lang w:val="es-ES_tradnl"/>
              </w:rPr>
            </w:pPr>
            <w:r w:rsidRPr="00E724E1">
              <w:rPr>
                <w:rFonts w:ascii="Calibri" w:eastAsia="Times New Roman" w:hAnsi="Calibri" w:cs="Calibri"/>
                <w:color w:val="000000"/>
                <w:lang w:val="es-ES_tradnl"/>
              </w:rPr>
              <w:t>Autopartes</w:t>
            </w:r>
          </w:p>
        </w:tc>
        <w:tc>
          <w:tcPr>
            <w:tcW w:w="2100" w:type="dxa"/>
            <w:tcBorders>
              <w:top w:val="nil"/>
              <w:left w:val="nil"/>
              <w:bottom w:val="single" w:sz="4" w:space="0" w:color="auto"/>
              <w:right w:val="single" w:sz="4" w:space="0" w:color="auto"/>
            </w:tcBorders>
            <w:shd w:val="clear" w:color="000000" w:fill="FFFFFF"/>
            <w:noWrap/>
            <w:vAlign w:val="bottom"/>
          </w:tcPr>
          <w:p w14:paraId="29E6E557" w14:textId="77777777" w:rsidR="00A97C96" w:rsidRPr="00E724E1" w:rsidRDefault="00A97C96" w:rsidP="00E34617">
            <w:pPr>
              <w:spacing w:after="0" w:line="240" w:lineRule="auto"/>
              <w:jc w:val="center"/>
              <w:rPr>
                <w:rFonts w:ascii="Calibri" w:eastAsia="Times New Roman" w:hAnsi="Calibri" w:cs="Calibri"/>
                <w:color w:val="000000"/>
                <w:lang w:val="es-ES_tradnl"/>
              </w:rPr>
            </w:pPr>
            <w:r w:rsidRPr="00E724E1">
              <w:rPr>
                <w:rFonts w:ascii="Calibri" w:eastAsia="Times New Roman" w:hAnsi="Calibri" w:cs="Calibri"/>
                <w:color w:val="000000"/>
                <w:lang w:val="es-ES_tradnl"/>
              </w:rPr>
              <w:t>75</w:t>
            </w:r>
          </w:p>
        </w:tc>
      </w:tr>
      <w:tr w:rsidR="00E65B58" w:rsidRPr="00FE5090" w14:paraId="46A988C7"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tcPr>
          <w:p w14:paraId="2213192A" w14:textId="2A81F06C" w:rsidR="00E65B58" w:rsidRPr="00E724E1" w:rsidRDefault="00E65B58" w:rsidP="00E34617">
            <w:pPr>
              <w:spacing w:after="0" w:line="240" w:lineRule="auto"/>
              <w:rPr>
                <w:rFonts w:ascii="Calibri" w:eastAsia="Times New Roman" w:hAnsi="Calibri" w:cs="Calibri"/>
                <w:color w:val="000000"/>
                <w:lang w:val="es-ES_tradnl"/>
              </w:rPr>
            </w:pPr>
            <w:r>
              <w:rPr>
                <w:rFonts w:ascii="Calibri" w:eastAsia="Times New Roman" w:hAnsi="Calibri" w:cs="Calibri"/>
                <w:color w:val="000000"/>
                <w:lang w:val="es-ES_tradnl"/>
              </w:rPr>
              <w:t>Construcción</w:t>
            </w:r>
          </w:p>
        </w:tc>
        <w:tc>
          <w:tcPr>
            <w:tcW w:w="2100" w:type="dxa"/>
            <w:tcBorders>
              <w:top w:val="nil"/>
              <w:left w:val="nil"/>
              <w:bottom w:val="single" w:sz="4" w:space="0" w:color="auto"/>
              <w:right w:val="single" w:sz="4" w:space="0" w:color="auto"/>
            </w:tcBorders>
            <w:shd w:val="clear" w:color="000000" w:fill="FFFFFF"/>
            <w:noWrap/>
            <w:vAlign w:val="bottom"/>
          </w:tcPr>
          <w:p w14:paraId="51B92411" w14:textId="1EA967CC" w:rsidR="00E65B58" w:rsidRPr="00E724E1" w:rsidRDefault="00E65B58" w:rsidP="00E34617">
            <w:pPr>
              <w:spacing w:after="0" w:line="240" w:lineRule="auto"/>
              <w:jc w:val="center"/>
              <w:rPr>
                <w:rFonts w:ascii="Calibri" w:eastAsia="Times New Roman" w:hAnsi="Calibri" w:cs="Calibri"/>
                <w:color w:val="000000"/>
                <w:lang w:val="es-ES_tradnl"/>
              </w:rPr>
            </w:pPr>
            <w:r>
              <w:rPr>
                <w:rFonts w:ascii="Calibri" w:eastAsia="Times New Roman" w:hAnsi="Calibri" w:cs="Calibri"/>
                <w:color w:val="000000"/>
                <w:lang w:val="es-ES_tradnl"/>
              </w:rPr>
              <w:t>71</w:t>
            </w:r>
          </w:p>
        </w:tc>
      </w:tr>
      <w:tr w:rsidR="00A97C96" w:rsidRPr="00FE5090" w14:paraId="79F0F026"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tcPr>
          <w:p w14:paraId="00D1EAC6" w14:textId="7E463212" w:rsidR="00A97C96" w:rsidRPr="00E724E1" w:rsidRDefault="00A97C96" w:rsidP="00E34617">
            <w:pPr>
              <w:spacing w:after="0" w:line="240" w:lineRule="auto"/>
              <w:rPr>
                <w:rFonts w:ascii="Calibri" w:eastAsia="Times New Roman" w:hAnsi="Calibri" w:cs="Calibri"/>
                <w:color w:val="000000"/>
                <w:lang w:val="es-ES_tradnl"/>
              </w:rPr>
            </w:pPr>
            <w:r w:rsidRPr="00E724E1">
              <w:rPr>
                <w:rFonts w:ascii="Calibri" w:eastAsia="Times New Roman" w:hAnsi="Calibri" w:cs="Calibri"/>
                <w:color w:val="000000"/>
                <w:lang w:val="es-ES_tradnl"/>
              </w:rPr>
              <w:t xml:space="preserve">Textil </w:t>
            </w:r>
          </w:p>
        </w:tc>
        <w:tc>
          <w:tcPr>
            <w:tcW w:w="2100" w:type="dxa"/>
            <w:tcBorders>
              <w:top w:val="nil"/>
              <w:left w:val="nil"/>
              <w:bottom w:val="single" w:sz="4" w:space="0" w:color="auto"/>
              <w:right w:val="single" w:sz="4" w:space="0" w:color="auto"/>
            </w:tcBorders>
            <w:shd w:val="clear" w:color="000000" w:fill="FFFFFF"/>
            <w:noWrap/>
            <w:vAlign w:val="bottom"/>
          </w:tcPr>
          <w:p w14:paraId="10286D2C" w14:textId="77777777" w:rsidR="00A97C96" w:rsidRPr="00E724E1" w:rsidRDefault="00A97C96" w:rsidP="00E34617">
            <w:pPr>
              <w:spacing w:after="0" w:line="240" w:lineRule="auto"/>
              <w:jc w:val="center"/>
              <w:rPr>
                <w:rFonts w:ascii="Calibri" w:eastAsia="Times New Roman" w:hAnsi="Calibri" w:cs="Calibri"/>
                <w:color w:val="000000"/>
                <w:lang w:val="es-ES_tradnl"/>
              </w:rPr>
            </w:pPr>
            <w:r w:rsidRPr="00E724E1">
              <w:rPr>
                <w:rFonts w:ascii="Calibri" w:eastAsia="Times New Roman" w:hAnsi="Calibri" w:cs="Calibri"/>
                <w:color w:val="000000"/>
                <w:lang w:val="es-ES_tradnl"/>
              </w:rPr>
              <w:t>70</w:t>
            </w:r>
          </w:p>
        </w:tc>
      </w:tr>
      <w:tr w:rsidR="00A97C96" w:rsidRPr="00FE5090" w14:paraId="615AAFB0"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hideMark/>
          </w:tcPr>
          <w:p w14:paraId="2B39CBDE" w14:textId="77777777" w:rsidR="00A97C96" w:rsidRPr="00E724E1" w:rsidRDefault="00A97C96" w:rsidP="00E34617">
            <w:pPr>
              <w:spacing w:after="0" w:line="240" w:lineRule="auto"/>
              <w:rPr>
                <w:rFonts w:ascii="Calibri" w:eastAsia="Times New Roman" w:hAnsi="Calibri" w:cs="Calibri"/>
                <w:color w:val="000000"/>
                <w:lang w:val="es-ES_tradnl"/>
              </w:rPr>
            </w:pPr>
            <w:r w:rsidRPr="00E724E1">
              <w:rPr>
                <w:rFonts w:ascii="Calibri" w:eastAsia="Times New Roman" w:hAnsi="Calibri" w:cs="Calibri"/>
                <w:color w:val="000000"/>
                <w:lang w:val="es-ES_tradnl"/>
              </w:rPr>
              <w:t>Turismo</w:t>
            </w:r>
          </w:p>
        </w:tc>
        <w:tc>
          <w:tcPr>
            <w:tcW w:w="2100" w:type="dxa"/>
            <w:tcBorders>
              <w:top w:val="nil"/>
              <w:left w:val="nil"/>
              <w:bottom w:val="single" w:sz="4" w:space="0" w:color="auto"/>
              <w:right w:val="single" w:sz="4" w:space="0" w:color="auto"/>
            </w:tcBorders>
            <w:shd w:val="clear" w:color="000000" w:fill="FFFFFF"/>
            <w:noWrap/>
            <w:vAlign w:val="bottom"/>
          </w:tcPr>
          <w:p w14:paraId="634ECEA6" w14:textId="77777777" w:rsidR="00A97C96" w:rsidRPr="00E724E1" w:rsidRDefault="00A97C96" w:rsidP="00E34617">
            <w:pPr>
              <w:spacing w:after="0" w:line="240" w:lineRule="auto"/>
              <w:jc w:val="center"/>
              <w:rPr>
                <w:rFonts w:ascii="Calibri" w:eastAsia="Times New Roman" w:hAnsi="Calibri" w:cs="Calibri"/>
                <w:color w:val="000000"/>
                <w:lang w:val="es-ES_tradnl"/>
              </w:rPr>
            </w:pPr>
            <w:r w:rsidRPr="00E724E1">
              <w:rPr>
                <w:rFonts w:ascii="Calibri" w:eastAsia="Times New Roman" w:hAnsi="Calibri" w:cs="Calibri"/>
                <w:color w:val="000000"/>
                <w:lang w:val="es-ES_tradnl"/>
              </w:rPr>
              <w:t>68</w:t>
            </w:r>
          </w:p>
        </w:tc>
      </w:tr>
      <w:tr w:rsidR="00E65B58" w:rsidRPr="00FE5090" w14:paraId="536A9B10"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tcPr>
          <w:p w14:paraId="3EB4E874" w14:textId="2282364F" w:rsidR="00E65B58" w:rsidRPr="00E724E1" w:rsidRDefault="00E65B58" w:rsidP="00E34617">
            <w:pPr>
              <w:spacing w:after="0" w:line="240" w:lineRule="auto"/>
              <w:rPr>
                <w:rFonts w:ascii="Calibri" w:eastAsia="Times New Roman" w:hAnsi="Calibri" w:cs="Calibri"/>
                <w:color w:val="000000"/>
                <w:lang w:val="es-ES_tradnl"/>
              </w:rPr>
            </w:pPr>
            <w:r>
              <w:rPr>
                <w:rFonts w:ascii="Calibri" w:eastAsia="Times New Roman" w:hAnsi="Calibri" w:cs="Calibri"/>
                <w:color w:val="000000"/>
                <w:lang w:val="es-ES_tradnl"/>
              </w:rPr>
              <w:t>Energía</w:t>
            </w:r>
          </w:p>
        </w:tc>
        <w:tc>
          <w:tcPr>
            <w:tcW w:w="2100" w:type="dxa"/>
            <w:tcBorders>
              <w:top w:val="nil"/>
              <w:left w:val="nil"/>
              <w:bottom w:val="single" w:sz="4" w:space="0" w:color="auto"/>
              <w:right w:val="single" w:sz="4" w:space="0" w:color="auto"/>
            </w:tcBorders>
            <w:shd w:val="clear" w:color="000000" w:fill="FFFFFF"/>
            <w:noWrap/>
            <w:vAlign w:val="bottom"/>
          </w:tcPr>
          <w:p w14:paraId="3D4677B1" w14:textId="1E45F8FC" w:rsidR="00E65B58" w:rsidRPr="00E724E1" w:rsidRDefault="00E65B58" w:rsidP="00E34617">
            <w:pPr>
              <w:spacing w:after="0" w:line="240" w:lineRule="auto"/>
              <w:jc w:val="center"/>
              <w:rPr>
                <w:rFonts w:ascii="Calibri" w:eastAsia="Times New Roman" w:hAnsi="Calibri" w:cs="Calibri"/>
                <w:color w:val="000000"/>
                <w:lang w:val="es-ES_tradnl"/>
              </w:rPr>
            </w:pPr>
            <w:r>
              <w:rPr>
                <w:rFonts w:ascii="Calibri" w:eastAsia="Times New Roman" w:hAnsi="Calibri" w:cs="Calibri"/>
                <w:color w:val="000000"/>
                <w:lang w:val="es-ES_tradnl"/>
              </w:rPr>
              <w:t>65</w:t>
            </w:r>
          </w:p>
        </w:tc>
      </w:tr>
      <w:tr w:rsidR="00A97C96" w:rsidRPr="00FE5090" w14:paraId="748DD9D6"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tcPr>
          <w:p w14:paraId="6F12D6AA" w14:textId="77777777" w:rsidR="00A97C96" w:rsidRPr="00E724E1" w:rsidRDefault="00A97C96" w:rsidP="00E34617">
            <w:pPr>
              <w:spacing w:after="0" w:line="240" w:lineRule="auto"/>
              <w:rPr>
                <w:rFonts w:ascii="Calibri" w:eastAsia="Times New Roman" w:hAnsi="Calibri" w:cs="Calibri"/>
                <w:color w:val="000000"/>
                <w:lang w:val="es-ES_tradnl"/>
              </w:rPr>
            </w:pPr>
            <w:r w:rsidRPr="00E724E1">
              <w:rPr>
                <w:rFonts w:ascii="Calibri" w:eastAsia="Times New Roman" w:hAnsi="Calibri" w:cs="Calibri"/>
                <w:color w:val="000000"/>
                <w:lang w:val="es-ES_tradnl"/>
              </w:rPr>
              <w:t>Comercio al por menor</w:t>
            </w:r>
          </w:p>
        </w:tc>
        <w:tc>
          <w:tcPr>
            <w:tcW w:w="2100" w:type="dxa"/>
            <w:tcBorders>
              <w:top w:val="nil"/>
              <w:left w:val="nil"/>
              <w:bottom w:val="single" w:sz="4" w:space="0" w:color="auto"/>
              <w:right w:val="single" w:sz="4" w:space="0" w:color="auto"/>
            </w:tcBorders>
            <w:shd w:val="clear" w:color="000000" w:fill="FFFFFF"/>
            <w:noWrap/>
            <w:vAlign w:val="bottom"/>
          </w:tcPr>
          <w:p w14:paraId="40C22EE5" w14:textId="77777777" w:rsidR="00A97C96" w:rsidRPr="00E724E1" w:rsidRDefault="00A97C96" w:rsidP="00E34617">
            <w:pPr>
              <w:spacing w:after="0" w:line="240" w:lineRule="auto"/>
              <w:jc w:val="center"/>
              <w:rPr>
                <w:rFonts w:ascii="Calibri" w:eastAsia="Times New Roman" w:hAnsi="Calibri" w:cs="Calibri"/>
                <w:color w:val="000000"/>
                <w:lang w:val="es-ES_tradnl"/>
              </w:rPr>
            </w:pPr>
            <w:r w:rsidRPr="00E724E1">
              <w:rPr>
                <w:rFonts w:ascii="Calibri" w:eastAsia="Times New Roman" w:hAnsi="Calibri" w:cs="Calibri"/>
                <w:color w:val="000000"/>
                <w:lang w:val="es-ES_tradnl"/>
              </w:rPr>
              <w:t>45</w:t>
            </w:r>
          </w:p>
        </w:tc>
      </w:tr>
      <w:tr w:rsidR="00A97C96" w:rsidRPr="00FE5090" w14:paraId="11C08D09"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tcPr>
          <w:p w14:paraId="00EACDFF" w14:textId="77777777" w:rsidR="00A97C96" w:rsidRPr="00E724E1" w:rsidRDefault="00A97C96" w:rsidP="00E34617">
            <w:pPr>
              <w:spacing w:after="0" w:line="240" w:lineRule="auto"/>
              <w:rPr>
                <w:rFonts w:ascii="Calibri" w:eastAsia="Times New Roman" w:hAnsi="Calibri" w:cs="Calibri"/>
                <w:color w:val="000000"/>
                <w:lang w:val="es-ES_tradnl"/>
              </w:rPr>
            </w:pPr>
            <w:r w:rsidRPr="00E724E1">
              <w:rPr>
                <w:rFonts w:ascii="Calibri" w:eastAsia="Times New Roman" w:hAnsi="Calibri" w:cs="Calibri"/>
                <w:color w:val="000000"/>
                <w:lang w:val="es-ES_tradnl"/>
              </w:rPr>
              <w:t>Automotriz</w:t>
            </w:r>
          </w:p>
        </w:tc>
        <w:tc>
          <w:tcPr>
            <w:tcW w:w="2100" w:type="dxa"/>
            <w:tcBorders>
              <w:top w:val="nil"/>
              <w:left w:val="nil"/>
              <w:bottom w:val="single" w:sz="4" w:space="0" w:color="auto"/>
              <w:right w:val="single" w:sz="4" w:space="0" w:color="auto"/>
            </w:tcBorders>
            <w:shd w:val="clear" w:color="000000" w:fill="FFFFFF"/>
            <w:noWrap/>
            <w:vAlign w:val="bottom"/>
          </w:tcPr>
          <w:p w14:paraId="4AED6ECD" w14:textId="77777777" w:rsidR="00A97C96" w:rsidRPr="00E724E1" w:rsidRDefault="00A97C96" w:rsidP="00E34617">
            <w:pPr>
              <w:spacing w:after="0" w:line="240" w:lineRule="auto"/>
              <w:jc w:val="center"/>
              <w:rPr>
                <w:rFonts w:ascii="Calibri" w:eastAsia="Times New Roman" w:hAnsi="Calibri" w:cs="Calibri"/>
                <w:color w:val="000000"/>
                <w:lang w:val="es-ES_tradnl"/>
              </w:rPr>
            </w:pPr>
            <w:r w:rsidRPr="00E724E1">
              <w:rPr>
                <w:rFonts w:ascii="Calibri" w:eastAsia="Times New Roman" w:hAnsi="Calibri" w:cs="Calibri"/>
                <w:color w:val="000000"/>
                <w:lang w:val="es-ES_tradnl"/>
              </w:rPr>
              <w:t>41</w:t>
            </w:r>
          </w:p>
        </w:tc>
      </w:tr>
      <w:tr w:rsidR="00A97C96" w:rsidRPr="00FE5090" w14:paraId="6B3B6B35"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tcPr>
          <w:p w14:paraId="22EF5A0E" w14:textId="3F96DB98" w:rsidR="00A97C96" w:rsidRPr="00A216E1" w:rsidRDefault="00A216E1" w:rsidP="00E34617">
            <w:pPr>
              <w:spacing w:after="0" w:line="240" w:lineRule="auto"/>
              <w:rPr>
                <w:rFonts w:ascii="Calibri" w:eastAsia="Times New Roman" w:hAnsi="Calibri" w:cs="Calibri"/>
                <w:color w:val="000000"/>
                <w:lang w:val="es-ES_tradnl"/>
              </w:rPr>
            </w:pPr>
            <w:r w:rsidRPr="00A216E1">
              <w:rPr>
                <w:rFonts w:ascii="Calibri" w:eastAsia="Times New Roman" w:hAnsi="Calibri" w:cs="Calibri"/>
                <w:color w:val="000000"/>
                <w:lang w:val="es-ES_tradnl"/>
              </w:rPr>
              <w:t>Agroalimentario</w:t>
            </w:r>
          </w:p>
        </w:tc>
        <w:tc>
          <w:tcPr>
            <w:tcW w:w="2100" w:type="dxa"/>
            <w:tcBorders>
              <w:top w:val="nil"/>
              <w:left w:val="nil"/>
              <w:bottom w:val="single" w:sz="4" w:space="0" w:color="auto"/>
              <w:right w:val="single" w:sz="4" w:space="0" w:color="auto"/>
            </w:tcBorders>
            <w:shd w:val="clear" w:color="000000" w:fill="FFFFFF"/>
            <w:noWrap/>
            <w:vAlign w:val="bottom"/>
          </w:tcPr>
          <w:p w14:paraId="535E7F03" w14:textId="77777777" w:rsidR="00A97C96" w:rsidRPr="00E724E1" w:rsidRDefault="00A97C96" w:rsidP="00E34617">
            <w:pPr>
              <w:spacing w:after="0" w:line="240" w:lineRule="auto"/>
              <w:jc w:val="center"/>
              <w:rPr>
                <w:rFonts w:ascii="Calibri" w:eastAsia="Times New Roman" w:hAnsi="Calibri" w:cs="Calibri"/>
                <w:color w:val="000000"/>
                <w:lang w:val="es-ES_tradnl"/>
              </w:rPr>
            </w:pPr>
            <w:r w:rsidRPr="00E724E1">
              <w:rPr>
                <w:rFonts w:ascii="Calibri" w:eastAsia="Times New Roman" w:hAnsi="Calibri" w:cs="Calibri"/>
                <w:color w:val="000000"/>
                <w:lang w:val="es-ES_tradnl"/>
              </w:rPr>
              <w:t>35</w:t>
            </w:r>
          </w:p>
        </w:tc>
      </w:tr>
      <w:tr w:rsidR="00A97C96" w:rsidRPr="00FE5090" w14:paraId="772D7E58"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tcPr>
          <w:p w14:paraId="618CB747" w14:textId="77777777" w:rsidR="00A97C96" w:rsidRPr="00E724E1" w:rsidRDefault="00A97C96" w:rsidP="00E34617">
            <w:pPr>
              <w:spacing w:after="0" w:line="240" w:lineRule="auto"/>
              <w:rPr>
                <w:rFonts w:ascii="Calibri" w:eastAsia="Times New Roman" w:hAnsi="Calibri" w:cs="Calibri"/>
                <w:color w:val="000000"/>
                <w:lang w:val="es-ES_tradnl"/>
              </w:rPr>
            </w:pPr>
            <w:proofErr w:type="gramStart"/>
            <w:r w:rsidRPr="00E724E1">
              <w:rPr>
                <w:rFonts w:ascii="Calibri" w:eastAsia="Times New Roman" w:hAnsi="Calibri" w:cs="Calibri"/>
                <w:color w:val="000000"/>
                <w:lang w:val="es-ES_tradnl"/>
              </w:rPr>
              <w:t>Transporte pasajeros</w:t>
            </w:r>
            <w:proofErr w:type="gramEnd"/>
          </w:p>
        </w:tc>
        <w:tc>
          <w:tcPr>
            <w:tcW w:w="2100" w:type="dxa"/>
            <w:tcBorders>
              <w:top w:val="nil"/>
              <w:left w:val="nil"/>
              <w:bottom w:val="single" w:sz="4" w:space="0" w:color="auto"/>
              <w:right w:val="single" w:sz="4" w:space="0" w:color="auto"/>
            </w:tcBorders>
            <w:shd w:val="clear" w:color="000000" w:fill="FFFFFF"/>
            <w:noWrap/>
            <w:vAlign w:val="bottom"/>
          </w:tcPr>
          <w:p w14:paraId="6E6015B4" w14:textId="77777777" w:rsidR="00A97C96" w:rsidRPr="00E724E1" w:rsidRDefault="00A97C96" w:rsidP="00E34617">
            <w:pPr>
              <w:spacing w:after="0" w:line="240" w:lineRule="auto"/>
              <w:jc w:val="center"/>
              <w:rPr>
                <w:rFonts w:ascii="Calibri" w:eastAsia="Times New Roman" w:hAnsi="Calibri" w:cs="Calibri"/>
                <w:color w:val="000000"/>
                <w:lang w:val="es-ES_tradnl"/>
              </w:rPr>
            </w:pPr>
            <w:r w:rsidRPr="00E724E1">
              <w:rPr>
                <w:rFonts w:ascii="Calibri" w:eastAsia="Times New Roman" w:hAnsi="Calibri" w:cs="Calibri"/>
                <w:color w:val="000000"/>
                <w:lang w:val="es-ES_tradnl"/>
              </w:rPr>
              <w:t>29</w:t>
            </w:r>
          </w:p>
        </w:tc>
      </w:tr>
      <w:tr w:rsidR="00A97C96" w:rsidRPr="00FE5090" w14:paraId="574D97C7"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hideMark/>
          </w:tcPr>
          <w:p w14:paraId="2754DBCC" w14:textId="77777777" w:rsidR="00A97C96" w:rsidRPr="00E724E1" w:rsidRDefault="00A97C96" w:rsidP="00E34617">
            <w:pPr>
              <w:spacing w:after="0" w:line="240" w:lineRule="auto"/>
              <w:rPr>
                <w:rFonts w:ascii="Calibri" w:eastAsia="Times New Roman" w:hAnsi="Calibri" w:cs="Calibri"/>
                <w:color w:val="000000"/>
                <w:lang w:val="es-ES_tradnl"/>
              </w:rPr>
            </w:pPr>
            <w:r w:rsidRPr="00E724E1">
              <w:rPr>
                <w:rFonts w:ascii="Calibri" w:eastAsia="Times New Roman" w:hAnsi="Calibri" w:cs="Calibri"/>
                <w:color w:val="000000"/>
                <w:lang w:val="es-ES_tradnl"/>
              </w:rPr>
              <w:t>Transporte carga</w:t>
            </w:r>
          </w:p>
        </w:tc>
        <w:tc>
          <w:tcPr>
            <w:tcW w:w="2100" w:type="dxa"/>
            <w:tcBorders>
              <w:top w:val="nil"/>
              <w:left w:val="nil"/>
              <w:bottom w:val="single" w:sz="4" w:space="0" w:color="auto"/>
              <w:right w:val="single" w:sz="4" w:space="0" w:color="auto"/>
            </w:tcBorders>
            <w:shd w:val="clear" w:color="000000" w:fill="FFFFFF"/>
            <w:noWrap/>
            <w:vAlign w:val="bottom"/>
          </w:tcPr>
          <w:p w14:paraId="7D80F540" w14:textId="77777777" w:rsidR="00A97C96" w:rsidRPr="00E724E1" w:rsidRDefault="00A97C96" w:rsidP="00E34617">
            <w:pPr>
              <w:spacing w:after="0" w:line="240" w:lineRule="auto"/>
              <w:jc w:val="center"/>
              <w:rPr>
                <w:rFonts w:ascii="Calibri" w:eastAsia="Times New Roman" w:hAnsi="Calibri" w:cs="Calibri"/>
                <w:color w:val="000000"/>
                <w:lang w:val="es-ES_tradnl"/>
              </w:rPr>
            </w:pPr>
            <w:r w:rsidRPr="00E724E1">
              <w:rPr>
                <w:rFonts w:ascii="Calibri" w:eastAsia="Times New Roman" w:hAnsi="Calibri" w:cs="Calibri"/>
                <w:color w:val="000000"/>
                <w:lang w:val="es-ES_tradnl"/>
              </w:rPr>
              <w:t>15</w:t>
            </w:r>
          </w:p>
        </w:tc>
      </w:tr>
      <w:tr w:rsidR="00A97C96" w:rsidRPr="00FE5090" w14:paraId="0045D7D4" w14:textId="77777777" w:rsidTr="00A97C96">
        <w:trPr>
          <w:divId w:val="1676885892"/>
          <w:trHeight w:val="150"/>
          <w:jc w:val="center"/>
        </w:trPr>
        <w:tc>
          <w:tcPr>
            <w:tcW w:w="6096" w:type="dxa"/>
            <w:tcBorders>
              <w:top w:val="nil"/>
              <w:left w:val="single" w:sz="4" w:space="0" w:color="auto"/>
              <w:bottom w:val="single" w:sz="4" w:space="0" w:color="auto"/>
              <w:right w:val="nil"/>
            </w:tcBorders>
            <w:shd w:val="clear" w:color="000000" w:fill="FFFFFF"/>
            <w:noWrap/>
            <w:vAlign w:val="bottom"/>
            <w:hideMark/>
          </w:tcPr>
          <w:p w14:paraId="56C48D20" w14:textId="77777777" w:rsidR="00A97C96" w:rsidRPr="00A937CC" w:rsidRDefault="00A97C96" w:rsidP="00E34617">
            <w:pPr>
              <w:spacing w:after="0" w:line="240" w:lineRule="auto"/>
              <w:rPr>
                <w:rFonts w:ascii="Calibri" w:eastAsia="Times New Roman" w:hAnsi="Calibri" w:cs="Calibri"/>
                <w:color w:val="000000"/>
                <w:lang w:val="es-ES_tradnl"/>
              </w:rPr>
            </w:pPr>
            <w:r w:rsidRPr="00A937CC">
              <w:rPr>
                <w:rFonts w:ascii="Calibri" w:eastAsia="Times New Roman" w:hAnsi="Calibri" w:cs="Calibri"/>
                <w:color w:val="000000"/>
                <w:lang w:val="es-ES_tradnl"/>
              </w:rPr>
              <w:t> </w:t>
            </w:r>
          </w:p>
        </w:tc>
        <w:tc>
          <w:tcPr>
            <w:tcW w:w="2100" w:type="dxa"/>
            <w:tcBorders>
              <w:top w:val="nil"/>
              <w:left w:val="nil"/>
              <w:bottom w:val="single" w:sz="4" w:space="0" w:color="auto"/>
              <w:right w:val="single" w:sz="4" w:space="0" w:color="auto"/>
            </w:tcBorders>
            <w:shd w:val="clear" w:color="000000" w:fill="FFFFFF"/>
            <w:noWrap/>
            <w:vAlign w:val="bottom"/>
            <w:hideMark/>
          </w:tcPr>
          <w:p w14:paraId="4D66EAAD" w14:textId="77777777" w:rsidR="00A97C96" w:rsidRPr="00A937CC" w:rsidRDefault="00A97C96" w:rsidP="00E34617">
            <w:pPr>
              <w:spacing w:after="0" w:line="240" w:lineRule="auto"/>
              <w:jc w:val="center"/>
              <w:rPr>
                <w:rFonts w:ascii="Calibri" w:eastAsia="Times New Roman" w:hAnsi="Calibri" w:cs="Calibri"/>
                <w:color w:val="000000"/>
                <w:lang w:val="es-ES_tradnl"/>
              </w:rPr>
            </w:pPr>
            <w:r w:rsidRPr="00A937CC">
              <w:rPr>
                <w:rFonts w:ascii="Calibri" w:eastAsia="Times New Roman" w:hAnsi="Calibri" w:cs="Calibri"/>
                <w:color w:val="000000"/>
                <w:lang w:val="es-ES_tradnl"/>
              </w:rPr>
              <w:t> </w:t>
            </w:r>
          </w:p>
        </w:tc>
      </w:tr>
      <w:tr w:rsidR="009C4498" w:rsidRPr="00FE5090" w14:paraId="1F9AFE5E"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hideMark/>
          </w:tcPr>
          <w:p w14:paraId="12757F7D" w14:textId="77777777" w:rsidR="009C4498" w:rsidRPr="00A937CC" w:rsidRDefault="009C4498" w:rsidP="009C4498">
            <w:pPr>
              <w:spacing w:after="0" w:line="240" w:lineRule="auto"/>
              <w:rPr>
                <w:rFonts w:ascii="Calibri" w:eastAsia="Times New Roman" w:hAnsi="Calibri" w:cs="Calibri"/>
                <w:i/>
                <w:iCs/>
                <w:color w:val="000000"/>
                <w:lang w:val="es-ES_tradnl"/>
              </w:rPr>
            </w:pPr>
            <w:r w:rsidRPr="00A937CC">
              <w:rPr>
                <w:rFonts w:ascii="Calibri" w:eastAsia="Times New Roman" w:hAnsi="Calibri" w:cs="Calibri"/>
                <w:i/>
                <w:iCs/>
                <w:color w:val="000000"/>
                <w:lang w:val="es-ES_tradnl"/>
              </w:rPr>
              <w:t>Mediana sectores</w:t>
            </w:r>
          </w:p>
        </w:tc>
        <w:tc>
          <w:tcPr>
            <w:tcW w:w="2100" w:type="dxa"/>
            <w:tcBorders>
              <w:top w:val="nil"/>
              <w:left w:val="nil"/>
              <w:bottom w:val="single" w:sz="4" w:space="0" w:color="auto"/>
              <w:right w:val="single" w:sz="4" w:space="0" w:color="auto"/>
            </w:tcBorders>
            <w:shd w:val="clear" w:color="000000" w:fill="FFFFFF"/>
            <w:noWrap/>
            <w:vAlign w:val="bottom"/>
          </w:tcPr>
          <w:p w14:paraId="40A89CFA" w14:textId="229E2047" w:rsidR="009C4498" w:rsidRPr="00A937CC" w:rsidRDefault="009C4498" w:rsidP="009C4498">
            <w:pPr>
              <w:spacing w:after="0" w:line="240" w:lineRule="auto"/>
              <w:jc w:val="center"/>
              <w:rPr>
                <w:rFonts w:ascii="Calibri" w:eastAsia="Times New Roman" w:hAnsi="Calibri" w:cs="Calibri"/>
                <w:i/>
                <w:iCs/>
                <w:color w:val="000000"/>
                <w:lang w:val="es-ES_tradnl"/>
              </w:rPr>
            </w:pPr>
            <w:r>
              <w:rPr>
                <w:rFonts w:ascii="Calibri" w:hAnsi="Calibri" w:cs="Calibri"/>
                <w:i/>
                <w:iCs/>
                <w:color w:val="000000"/>
              </w:rPr>
              <w:t>55</w:t>
            </w:r>
          </w:p>
        </w:tc>
      </w:tr>
      <w:tr w:rsidR="009C4498" w:rsidRPr="00FE5090" w14:paraId="7B7CEDFC"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hideMark/>
          </w:tcPr>
          <w:p w14:paraId="181D1625" w14:textId="77777777" w:rsidR="009C4498" w:rsidRPr="00A937CC" w:rsidRDefault="009C4498" w:rsidP="009C4498">
            <w:pPr>
              <w:spacing w:after="0" w:line="240" w:lineRule="auto"/>
              <w:rPr>
                <w:rFonts w:ascii="Calibri" w:eastAsia="Times New Roman" w:hAnsi="Calibri" w:cs="Calibri"/>
                <w:i/>
                <w:iCs/>
                <w:color w:val="000000"/>
                <w:lang w:val="es-ES_tradnl"/>
              </w:rPr>
            </w:pPr>
            <w:r w:rsidRPr="00A937CC">
              <w:rPr>
                <w:rFonts w:ascii="Calibri" w:eastAsia="Times New Roman" w:hAnsi="Calibri" w:cs="Calibri"/>
                <w:i/>
                <w:iCs/>
                <w:color w:val="000000"/>
                <w:lang w:val="es-ES_tradnl"/>
              </w:rPr>
              <w:t>Promedio simple sectores</w:t>
            </w:r>
          </w:p>
        </w:tc>
        <w:tc>
          <w:tcPr>
            <w:tcW w:w="2100" w:type="dxa"/>
            <w:tcBorders>
              <w:top w:val="nil"/>
              <w:left w:val="nil"/>
              <w:bottom w:val="single" w:sz="4" w:space="0" w:color="auto"/>
              <w:right w:val="single" w:sz="4" w:space="0" w:color="auto"/>
            </w:tcBorders>
            <w:shd w:val="clear" w:color="000000" w:fill="FFFFFF"/>
            <w:noWrap/>
            <w:vAlign w:val="bottom"/>
          </w:tcPr>
          <w:p w14:paraId="2EE7538C" w14:textId="3687B520" w:rsidR="009C4498" w:rsidRPr="00A937CC" w:rsidRDefault="009C4498" w:rsidP="009C4498">
            <w:pPr>
              <w:spacing w:after="0" w:line="240" w:lineRule="auto"/>
              <w:jc w:val="center"/>
              <w:rPr>
                <w:rFonts w:ascii="Calibri" w:eastAsia="Times New Roman" w:hAnsi="Calibri" w:cs="Calibri"/>
                <w:i/>
                <w:iCs/>
                <w:color w:val="000000"/>
                <w:lang w:val="es-ES_tradnl"/>
              </w:rPr>
            </w:pPr>
            <w:r>
              <w:rPr>
                <w:rFonts w:ascii="Calibri" w:hAnsi="Calibri" w:cs="Calibri"/>
                <w:i/>
                <w:iCs/>
                <w:color w:val="000000"/>
              </w:rPr>
              <w:t>51</w:t>
            </w:r>
          </w:p>
        </w:tc>
      </w:tr>
      <w:tr w:rsidR="009C4498" w:rsidRPr="00A937CC" w14:paraId="614088DC"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hideMark/>
          </w:tcPr>
          <w:p w14:paraId="02C2CB5F" w14:textId="77777777" w:rsidR="009C4498" w:rsidRPr="00A937CC" w:rsidRDefault="009C4498" w:rsidP="009C4498">
            <w:pPr>
              <w:spacing w:after="0" w:line="240" w:lineRule="auto"/>
              <w:rPr>
                <w:rFonts w:ascii="Calibri" w:eastAsia="Times New Roman" w:hAnsi="Calibri" w:cs="Calibri"/>
                <w:i/>
                <w:iCs/>
                <w:color w:val="000000"/>
                <w:lang w:val="es-ES_tradnl"/>
              </w:rPr>
            </w:pPr>
            <w:r w:rsidRPr="00A937CC">
              <w:rPr>
                <w:rFonts w:ascii="Calibri" w:eastAsia="Times New Roman" w:hAnsi="Calibri" w:cs="Calibri"/>
                <w:i/>
                <w:iCs/>
                <w:color w:val="000000"/>
                <w:lang w:val="es-ES_tradnl"/>
              </w:rPr>
              <w:t>Promedio sectores (ponderado por contribución al PIB) (*)</w:t>
            </w:r>
          </w:p>
        </w:tc>
        <w:tc>
          <w:tcPr>
            <w:tcW w:w="2100" w:type="dxa"/>
            <w:tcBorders>
              <w:top w:val="nil"/>
              <w:left w:val="nil"/>
              <w:bottom w:val="single" w:sz="4" w:space="0" w:color="auto"/>
              <w:right w:val="single" w:sz="4" w:space="0" w:color="auto"/>
            </w:tcBorders>
            <w:shd w:val="clear" w:color="000000" w:fill="FFFFFF"/>
            <w:noWrap/>
            <w:vAlign w:val="bottom"/>
          </w:tcPr>
          <w:p w14:paraId="0600A181" w14:textId="1A565EDD" w:rsidR="009C4498" w:rsidRPr="00A937CC" w:rsidRDefault="009C4498" w:rsidP="009C4498">
            <w:pPr>
              <w:spacing w:after="0" w:line="240" w:lineRule="auto"/>
              <w:jc w:val="center"/>
              <w:rPr>
                <w:rFonts w:ascii="Calibri" w:eastAsia="Times New Roman" w:hAnsi="Calibri" w:cs="Calibri"/>
                <w:i/>
                <w:iCs/>
                <w:color w:val="000000"/>
                <w:lang w:val="es-ES_tradnl"/>
              </w:rPr>
            </w:pPr>
            <w:r>
              <w:rPr>
                <w:rFonts w:ascii="Calibri" w:hAnsi="Calibri" w:cs="Calibri"/>
                <w:i/>
                <w:iCs/>
                <w:color w:val="000000"/>
              </w:rPr>
              <w:t>50</w:t>
            </w:r>
          </w:p>
        </w:tc>
      </w:tr>
      <w:tr w:rsidR="009C4498" w:rsidRPr="00A937CC" w14:paraId="6AFAA313"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hideMark/>
          </w:tcPr>
          <w:p w14:paraId="03CF5D32" w14:textId="77777777" w:rsidR="009C4498" w:rsidRPr="00A937CC" w:rsidRDefault="009C4498" w:rsidP="009C4498">
            <w:pPr>
              <w:spacing w:after="0" w:line="240" w:lineRule="auto"/>
              <w:rPr>
                <w:rFonts w:ascii="Calibri" w:eastAsia="Times New Roman" w:hAnsi="Calibri" w:cs="Calibri"/>
                <w:i/>
                <w:iCs/>
                <w:color w:val="000000"/>
                <w:lang w:val="es-ES_tradnl"/>
              </w:rPr>
            </w:pPr>
            <w:r w:rsidRPr="00A937CC">
              <w:rPr>
                <w:rFonts w:ascii="Calibri" w:eastAsia="Times New Roman" w:hAnsi="Calibri" w:cs="Calibri"/>
                <w:i/>
                <w:iCs/>
                <w:color w:val="000000"/>
                <w:lang w:val="es-ES_tradnl"/>
              </w:rPr>
              <w:t>Promedio sectores (ponderado por contribución al empleo) (*)</w:t>
            </w:r>
          </w:p>
        </w:tc>
        <w:tc>
          <w:tcPr>
            <w:tcW w:w="2100" w:type="dxa"/>
            <w:tcBorders>
              <w:top w:val="nil"/>
              <w:left w:val="nil"/>
              <w:bottom w:val="single" w:sz="4" w:space="0" w:color="auto"/>
              <w:right w:val="single" w:sz="4" w:space="0" w:color="auto"/>
            </w:tcBorders>
            <w:shd w:val="clear" w:color="000000" w:fill="FFFFFF"/>
            <w:noWrap/>
            <w:vAlign w:val="bottom"/>
          </w:tcPr>
          <w:p w14:paraId="45370654" w14:textId="5C89144F" w:rsidR="009C4498" w:rsidRPr="00A937CC" w:rsidRDefault="009C4498" w:rsidP="009C4498">
            <w:pPr>
              <w:spacing w:after="0" w:line="240" w:lineRule="auto"/>
              <w:jc w:val="center"/>
              <w:rPr>
                <w:rFonts w:ascii="Calibri" w:eastAsia="Times New Roman" w:hAnsi="Calibri" w:cs="Calibri"/>
                <w:i/>
                <w:iCs/>
                <w:color w:val="000000"/>
                <w:lang w:val="es-ES_tradnl"/>
              </w:rPr>
            </w:pPr>
            <w:r>
              <w:rPr>
                <w:rFonts w:ascii="Calibri" w:hAnsi="Calibri" w:cs="Calibri"/>
                <w:i/>
                <w:iCs/>
                <w:color w:val="000000"/>
              </w:rPr>
              <w:t>52</w:t>
            </w:r>
          </w:p>
        </w:tc>
      </w:tr>
      <w:tr w:rsidR="00A97C96" w:rsidRPr="00D16194" w14:paraId="6BBD2082" w14:textId="77777777" w:rsidTr="00A97C96">
        <w:trPr>
          <w:divId w:val="1676885892"/>
          <w:trHeight w:val="975"/>
          <w:jc w:val="center"/>
        </w:trPr>
        <w:tc>
          <w:tcPr>
            <w:tcW w:w="8196" w:type="dxa"/>
            <w:gridSpan w:val="2"/>
            <w:tcBorders>
              <w:top w:val="single" w:sz="4" w:space="0" w:color="auto"/>
              <w:left w:val="nil"/>
              <w:bottom w:val="single" w:sz="4" w:space="0" w:color="auto"/>
              <w:right w:val="nil"/>
            </w:tcBorders>
            <w:shd w:val="clear" w:color="000000" w:fill="FFFFFF"/>
            <w:vAlign w:val="bottom"/>
            <w:hideMark/>
          </w:tcPr>
          <w:p w14:paraId="2C4EF296" w14:textId="77777777" w:rsidR="00A97C96" w:rsidRPr="00A937CC" w:rsidRDefault="00A97C96" w:rsidP="00E34617">
            <w:pPr>
              <w:spacing w:after="0" w:line="240" w:lineRule="auto"/>
              <w:rPr>
                <w:rFonts w:ascii="Calibri" w:eastAsia="Times New Roman" w:hAnsi="Calibri" w:cs="Calibri"/>
                <w:color w:val="000000"/>
                <w:sz w:val="18"/>
                <w:szCs w:val="18"/>
                <w:lang w:val="es-ES_tradnl"/>
              </w:rPr>
            </w:pPr>
            <w:r w:rsidRPr="00A937CC">
              <w:rPr>
                <w:rFonts w:ascii="Calibri" w:eastAsia="Times New Roman" w:hAnsi="Calibri" w:cs="Calibri"/>
                <w:color w:val="000000"/>
                <w:sz w:val="18"/>
                <w:szCs w:val="18"/>
                <w:lang w:val="es-ES_tradnl"/>
              </w:rPr>
              <w:t xml:space="preserve">Fuente: IFD/CMF. </w:t>
            </w:r>
            <w:r w:rsidRPr="00A937CC">
              <w:rPr>
                <w:rFonts w:ascii="Calibri" w:eastAsia="Times New Roman" w:hAnsi="Calibri" w:cs="Calibri"/>
                <w:color w:val="000000"/>
                <w:sz w:val="18"/>
                <w:szCs w:val="18"/>
                <w:lang w:val="es-ES_tradnl"/>
              </w:rPr>
              <w:br/>
            </w:r>
            <w:r w:rsidRPr="00A937CC">
              <w:rPr>
                <w:rFonts w:ascii="Calibri" w:eastAsia="Times New Roman" w:hAnsi="Calibri" w:cs="Calibri"/>
                <w:i/>
                <w:iCs/>
                <w:color w:val="000000"/>
                <w:sz w:val="18"/>
                <w:szCs w:val="18"/>
                <w:lang w:val="es-ES_tradnl"/>
              </w:rPr>
              <w:t>(*) La ponderación considera sólo los sectores enumerados.</w:t>
            </w:r>
            <w:r w:rsidRPr="00A937CC">
              <w:rPr>
                <w:rFonts w:ascii="Calibri" w:eastAsia="Times New Roman" w:hAnsi="Calibri" w:cs="Calibri"/>
                <w:i/>
                <w:iCs/>
                <w:color w:val="000000"/>
                <w:sz w:val="18"/>
                <w:szCs w:val="18"/>
                <w:lang w:val="es-ES_tradnl"/>
              </w:rPr>
              <w:br/>
              <w:t>El IV ha sido escalado para tomar valores entre 0 y 100. Un valor más alto indica una mayor vulnerabilidad global del sector.</w:t>
            </w:r>
          </w:p>
        </w:tc>
      </w:tr>
    </w:tbl>
    <w:p w14:paraId="3C106EF7" w14:textId="70104182" w:rsidR="00303A21" w:rsidRPr="00D536DF" w:rsidRDefault="00303A21" w:rsidP="00A700FB">
      <w:pPr>
        <w:jc w:val="both"/>
        <w:rPr>
          <w:lang w:val="es-ES_tradnl"/>
        </w:rPr>
      </w:pPr>
    </w:p>
    <w:p w14:paraId="23669336" w14:textId="04DAD552" w:rsidR="00725F1A" w:rsidRPr="00D536DF" w:rsidRDefault="00725F1A" w:rsidP="00725F1A">
      <w:pPr>
        <w:pStyle w:val="Heading2"/>
        <w:ind w:left="0"/>
        <w:rPr>
          <w:lang w:val="es-ES_tradnl"/>
        </w:rPr>
      </w:pPr>
      <w:bookmarkStart w:id="9" w:name="_Toc36834039"/>
      <w:r w:rsidRPr="00D536DF">
        <w:rPr>
          <w:lang w:val="es-ES_tradnl"/>
        </w:rPr>
        <w:t>Situación por sectores</w:t>
      </w:r>
      <w:bookmarkEnd w:id="9"/>
    </w:p>
    <w:p w14:paraId="1EBE358E" w14:textId="77777777" w:rsidR="00F74A03" w:rsidRPr="00D536DF" w:rsidRDefault="00F74A03" w:rsidP="00E3628F">
      <w:pPr>
        <w:jc w:val="both"/>
        <w:rPr>
          <w:lang w:val="es-ES_tradnl"/>
        </w:rPr>
      </w:pPr>
    </w:p>
    <w:p w14:paraId="1A1F6695" w14:textId="019213B2" w:rsidR="00A216E1" w:rsidRPr="00AD0640" w:rsidRDefault="00A216E1" w:rsidP="001A43A9">
      <w:pPr>
        <w:spacing w:after="0"/>
        <w:jc w:val="both"/>
        <w:rPr>
          <w:lang w:val="es-AR"/>
        </w:rPr>
      </w:pPr>
      <w:r w:rsidRPr="00AD0640">
        <w:rPr>
          <w:lang w:val="es-AR"/>
        </w:rPr>
        <w:t>Antes de pasar a la discusión de la situación por sectores, conviene recordar que la metodología utilizada está identificando un grado de vulnerabilidad global del sector determinado por el impacto del COVID-19. El análisis está, por construcción, centrado en los sectores en los que se espera un mayor impacto, por lo que se está graduando a partir de un nivel de vulnerabilidad elevado. Atendiendo a esto, el siguiente cuadro propone los siguientes rangos para la interpretación del índice (que serán usados en la discusión de esta sección).</w:t>
      </w:r>
    </w:p>
    <w:p w14:paraId="41AF141B" w14:textId="77777777" w:rsidR="00A216E1" w:rsidRPr="00AD0640" w:rsidRDefault="00A216E1" w:rsidP="00A216E1">
      <w:pPr>
        <w:spacing w:after="0" w:line="240" w:lineRule="auto"/>
        <w:jc w:val="center"/>
        <w:rPr>
          <w:b/>
          <w:bCs/>
          <w:lang w:val="es-AR"/>
        </w:rPr>
      </w:pPr>
      <w:r w:rsidRPr="00AD0640">
        <w:rPr>
          <w:b/>
          <w:bCs/>
          <w:lang w:val="es-AR"/>
        </w:rPr>
        <w:t>Tabla II.B.1</w:t>
      </w:r>
    </w:p>
    <w:p w14:paraId="74A32F90" w14:textId="77777777" w:rsidR="00A216E1" w:rsidRPr="00AD0640" w:rsidRDefault="00A216E1" w:rsidP="00A216E1">
      <w:pPr>
        <w:spacing w:after="0" w:line="240" w:lineRule="auto"/>
        <w:jc w:val="center"/>
        <w:rPr>
          <w:b/>
          <w:bCs/>
          <w:lang w:val="es-AR"/>
        </w:rPr>
      </w:pPr>
      <w:r w:rsidRPr="00AD0640">
        <w:rPr>
          <w:b/>
          <w:bCs/>
          <w:lang w:val="es-AR"/>
        </w:rPr>
        <w:t>Clasificación cualitativa del</w:t>
      </w:r>
    </w:p>
    <w:p w14:paraId="3364ACC3" w14:textId="77777777" w:rsidR="00A216E1" w:rsidRPr="00AD0640" w:rsidRDefault="00A216E1" w:rsidP="00A216E1">
      <w:pPr>
        <w:spacing w:after="0" w:line="240" w:lineRule="auto"/>
        <w:jc w:val="center"/>
        <w:rPr>
          <w:lang w:val="es-AR"/>
        </w:rPr>
      </w:pPr>
      <w:r w:rsidRPr="00AD0640">
        <w:rPr>
          <w:b/>
          <w:bCs/>
          <w:lang w:val="es-AR"/>
        </w:rPr>
        <w:t>Índice de vulnerabilidad (IV)</w:t>
      </w:r>
      <w:r w:rsidRPr="00AD0640">
        <w:rPr>
          <w:lang w:val="es-AR"/>
        </w:rPr>
        <w:t xml:space="preserve"> </w:t>
      </w:r>
    </w:p>
    <w:tbl>
      <w:tblPr>
        <w:tblW w:w="2785" w:type="dxa"/>
        <w:jc w:val="center"/>
        <w:tblLook w:val="04A0" w:firstRow="1" w:lastRow="0" w:firstColumn="1" w:lastColumn="0" w:noHBand="0" w:noVBand="1"/>
      </w:tblPr>
      <w:tblGrid>
        <w:gridCol w:w="960"/>
        <w:gridCol w:w="1825"/>
      </w:tblGrid>
      <w:tr w:rsidR="00A216E1" w:rsidRPr="00AD0640" w14:paraId="10F3F944" w14:textId="77777777" w:rsidTr="00844123">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38447BA6" w14:textId="77777777" w:rsidR="00A216E1" w:rsidRPr="00AD0640" w:rsidRDefault="00A216E1" w:rsidP="00844123">
            <w:pPr>
              <w:spacing w:after="0" w:line="240" w:lineRule="auto"/>
              <w:jc w:val="center"/>
              <w:rPr>
                <w:rFonts w:ascii="Calibri" w:eastAsia="Times New Roman" w:hAnsi="Calibri" w:cs="Calibri"/>
                <w:b/>
                <w:bCs/>
                <w:color w:val="000000"/>
                <w:lang w:val="es-AR"/>
              </w:rPr>
            </w:pPr>
            <w:r w:rsidRPr="00AD0640">
              <w:rPr>
                <w:rFonts w:ascii="Calibri" w:eastAsia="Times New Roman" w:hAnsi="Calibri" w:cs="Calibri"/>
                <w:b/>
                <w:bCs/>
                <w:color w:val="000000"/>
                <w:lang w:val="es-AR"/>
              </w:rPr>
              <w:t>IV</w:t>
            </w:r>
          </w:p>
        </w:tc>
        <w:tc>
          <w:tcPr>
            <w:tcW w:w="1825" w:type="dxa"/>
            <w:tcBorders>
              <w:top w:val="single" w:sz="4" w:space="0" w:color="auto"/>
              <w:left w:val="nil"/>
              <w:bottom w:val="single" w:sz="4" w:space="0" w:color="auto"/>
              <w:right w:val="single" w:sz="4" w:space="0" w:color="auto"/>
            </w:tcBorders>
            <w:shd w:val="clear" w:color="000000" w:fill="D9E1F2"/>
            <w:noWrap/>
            <w:vAlign w:val="bottom"/>
            <w:hideMark/>
          </w:tcPr>
          <w:p w14:paraId="36485BBC" w14:textId="77777777" w:rsidR="00A216E1" w:rsidRPr="00AD0640" w:rsidRDefault="00A216E1" w:rsidP="00844123">
            <w:pPr>
              <w:spacing w:after="0" w:line="240" w:lineRule="auto"/>
              <w:jc w:val="center"/>
              <w:rPr>
                <w:rFonts w:ascii="Calibri" w:eastAsia="Times New Roman" w:hAnsi="Calibri" w:cs="Calibri"/>
                <w:b/>
                <w:bCs/>
                <w:color w:val="000000"/>
                <w:lang w:val="es-AR"/>
              </w:rPr>
            </w:pPr>
            <w:r w:rsidRPr="00AD0640">
              <w:rPr>
                <w:rFonts w:ascii="Calibri" w:eastAsia="Times New Roman" w:hAnsi="Calibri" w:cs="Calibri"/>
                <w:b/>
                <w:bCs/>
                <w:color w:val="000000"/>
                <w:lang w:val="es-AR"/>
              </w:rPr>
              <w:t>Interpretación</w:t>
            </w:r>
          </w:p>
        </w:tc>
      </w:tr>
      <w:tr w:rsidR="00A216E1" w:rsidRPr="00AD0640" w14:paraId="206971EF" w14:textId="77777777" w:rsidTr="00844123">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7AAE617E" w14:textId="77777777" w:rsidR="00A216E1" w:rsidRPr="00AD0640" w:rsidRDefault="00A216E1"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0-24</w:t>
            </w:r>
          </w:p>
        </w:tc>
        <w:tc>
          <w:tcPr>
            <w:tcW w:w="1825" w:type="dxa"/>
            <w:tcBorders>
              <w:top w:val="nil"/>
              <w:left w:val="nil"/>
              <w:bottom w:val="single" w:sz="4" w:space="0" w:color="auto"/>
              <w:right w:val="single" w:sz="4" w:space="0" w:color="auto"/>
            </w:tcBorders>
            <w:shd w:val="clear" w:color="000000" w:fill="FFFFFF"/>
            <w:noWrap/>
            <w:vAlign w:val="bottom"/>
            <w:hideMark/>
          </w:tcPr>
          <w:p w14:paraId="0EDF1D08" w14:textId="77777777" w:rsidR="00A216E1" w:rsidRPr="00AD0640" w:rsidRDefault="00A216E1"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Severo grado 1</w:t>
            </w:r>
          </w:p>
        </w:tc>
      </w:tr>
      <w:tr w:rsidR="00A216E1" w:rsidRPr="00AD0640" w14:paraId="2D299F69" w14:textId="77777777" w:rsidTr="00844123">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08448FE1" w14:textId="77777777" w:rsidR="00A216E1" w:rsidRPr="00AD0640" w:rsidRDefault="00A216E1"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25-49</w:t>
            </w:r>
          </w:p>
        </w:tc>
        <w:tc>
          <w:tcPr>
            <w:tcW w:w="1825" w:type="dxa"/>
            <w:tcBorders>
              <w:top w:val="nil"/>
              <w:left w:val="nil"/>
              <w:bottom w:val="single" w:sz="4" w:space="0" w:color="auto"/>
              <w:right w:val="single" w:sz="4" w:space="0" w:color="auto"/>
            </w:tcBorders>
            <w:shd w:val="clear" w:color="000000" w:fill="FFFFFF"/>
            <w:noWrap/>
            <w:vAlign w:val="bottom"/>
            <w:hideMark/>
          </w:tcPr>
          <w:p w14:paraId="49506B1A" w14:textId="77777777" w:rsidR="00A216E1" w:rsidRPr="00AD0640" w:rsidRDefault="00A216E1"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Severo grado 2</w:t>
            </w:r>
          </w:p>
        </w:tc>
      </w:tr>
      <w:tr w:rsidR="00A216E1" w:rsidRPr="00AD0640" w14:paraId="4F4A0E11" w14:textId="77777777" w:rsidTr="00844123">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30D54641" w14:textId="77777777" w:rsidR="00A216E1" w:rsidRPr="00AD0640" w:rsidRDefault="00A216E1"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50-74</w:t>
            </w:r>
          </w:p>
        </w:tc>
        <w:tc>
          <w:tcPr>
            <w:tcW w:w="1825" w:type="dxa"/>
            <w:tcBorders>
              <w:top w:val="nil"/>
              <w:left w:val="nil"/>
              <w:bottom w:val="single" w:sz="4" w:space="0" w:color="auto"/>
              <w:right w:val="single" w:sz="4" w:space="0" w:color="auto"/>
            </w:tcBorders>
            <w:shd w:val="clear" w:color="000000" w:fill="FFFFFF"/>
            <w:noWrap/>
            <w:vAlign w:val="bottom"/>
            <w:hideMark/>
          </w:tcPr>
          <w:p w14:paraId="00F4ED8E" w14:textId="77777777" w:rsidR="00A216E1" w:rsidRPr="00AD0640" w:rsidRDefault="00A216E1"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Severo grado 3</w:t>
            </w:r>
          </w:p>
        </w:tc>
      </w:tr>
      <w:tr w:rsidR="00A216E1" w:rsidRPr="00AD0640" w14:paraId="055ADBE9" w14:textId="77777777" w:rsidTr="00844123">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670A85D4" w14:textId="77777777" w:rsidR="00A216E1" w:rsidRPr="00AD0640" w:rsidRDefault="00A216E1"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75-100</w:t>
            </w:r>
          </w:p>
        </w:tc>
        <w:tc>
          <w:tcPr>
            <w:tcW w:w="1825" w:type="dxa"/>
            <w:tcBorders>
              <w:top w:val="nil"/>
              <w:left w:val="nil"/>
              <w:bottom w:val="single" w:sz="4" w:space="0" w:color="auto"/>
              <w:right w:val="single" w:sz="4" w:space="0" w:color="auto"/>
            </w:tcBorders>
            <w:shd w:val="clear" w:color="000000" w:fill="FFFFFF"/>
            <w:noWrap/>
            <w:vAlign w:val="bottom"/>
            <w:hideMark/>
          </w:tcPr>
          <w:p w14:paraId="19BD11A6" w14:textId="77777777" w:rsidR="00A216E1" w:rsidRPr="00AD0640" w:rsidRDefault="00A216E1"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Severo grado 4</w:t>
            </w:r>
          </w:p>
        </w:tc>
      </w:tr>
      <w:tr w:rsidR="00A216E1" w:rsidRPr="00AD0640" w14:paraId="37334E53" w14:textId="77777777" w:rsidTr="00844123">
        <w:trPr>
          <w:trHeight w:val="300"/>
          <w:jc w:val="center"/>
        </w:trPr>
        <w:tc>
          <w:tcPr>
            <w:tcW w:w="2785" w:type="dxa"/>
            <w:gridSpan w:val="2"/>
            <w:tcBorders>
              <w:top w:val="nil"/>
              <w:left w:val="nil"/>
              <w:bottom w:val="nil"/>
              <w:right w:val="nil"/>
            </w:tcBorders>
            <w:shd w:val="clear" w:color="000000" w:fill="FFFFFF"/>
            <w:noWrap/>
            <w:vAlign w:val="bottom"/>
            <w:hideMark/>
          </w:tcPr>
          <w:p w14:paraId="09B31B84" w14:textId="77777777" w:rsidR="00A216E1" w:rsidRPr="00AD0640" w:rsidRDefault="00A216E1" w:rsidP="00844123">
            <w:pPr>
              <w:spacing w:after="0" w:line="240" w:lineRule="auto"/>
              <w:rPr>
                <w:rFonts w:ascii="Calibri" w:eastAsia="Times New Roman" w:hAnsi="Calibri" w:cs="Calibri"/>
                <w:color w:val="000000"/>
                <w:sz w:val="18"/>
                <w:szCs w:val="18"/>
                <w:lang w:val="es-AR"/>
              </w:rPr>
            </w:pPr>
            <w:r w:rsidRPr="00AD0640">
              <w:rPr>
                <w:rFonts w:ascii="Calibri" w:eastAsia="Times New Roman" w:hAnsi="Calibri" w:cs="Calibri"/>
                <w:color w:val="000000"/>
                <w:sz w:val="18"/>
                <w:szCs w:val="18"/>
                <w:lang w:val="es-AR"/>
              </w:rPr>
              <w:t>Fuente: IFD/CMF.</w:t>
            </w:r>
          </w:p>
        </w:tc>
      </w:tr>
    </w:tbl>
    <w:p w14:paraId="4EEF6CEA" w14:textId="47389724" w:rsidR="00F74A03" w:rsidRPr="00941B33" w:rsidRDefault="00F74A03" w:rsidP="00F74A03">
      <w:pPr>
        <w:jc w:val="both"/>
        <w:rPr>
          <w:lang w:val="es-ES_tradnl"/>
        </w:rPr>
      </w:pPr>
      <w:r w:rsidRPr="00941B33">
        <w:rPr>
          <w:lang w:val="es-ES_tradnl"/>
        </w:rPr>
        <w:lastRenderedPageBreak/>
        <w:t xml:space="preserve">El sector </w:t>
      </w:r>
      <w:r w:rsidRPr="00941B33">
        <w:rPr>
          <w:b/>
          <w:bCs/>
          <w:lang w:val="es-ES_tradnl"/>
        </w:rPr>
        <w:t>autopartes</w:t>
      </w:r>
      <w:r w:rsidRPr="00941B33">
        <w:rPr>
          <w:lang w:val="es-ES_tradnl"/>
        </w:rPr>
        <w:t xml:space="preserve"> presenta </w:t>
      </w:r>
      <w:r w:rsidR="00650B03">
        <w:rPr>
          <w:lang w:val="es-ES_tradnl"/>
        </w:rPr>
        <w:t xml:space="preserve">una </w:t>
      </w:r>
      <w:r w:rsidRPr="00941B33">
        <w:rPr>
          <w:lang w:val="es-ES_tradnl"/>
        </w:rPr>
        <w:t>vulnerabilidad</w:t>
      </w:r>
      <w:r w:rsidR="00650B03" w:rsidRPr="00650B03">
        <w:rPr>
          <w:lang w:val="es-ES_tradnl"/>
        </w:rPr>
        <w:t xml:space="preserve"> </w:t>
      </w:r>
      <w:r w:rsidR="00650B03">
        <w:rPr>
          <w:lang w:val="es-ES_tradnl"/>
        </w:rPr>
        <w:t>severa</w:t>
      </w:r>
      <w:r w:rsidR="00650B03" w:rsidRPr="00941B33">
        <w:rPr>
          <w:lang w:val="es-ES_tradnl"/>
        </w:rPr>
        <w:t xml:space="preserve"> de grado</w:t>
      </w:r>
      <w:r w:rsidR="00650B03">
        <w:rPr>
          <w:lang w:val="es-ES_tradnl"/>
        </w:rPr>
        <w:t xml:space="preserve"> 4</w:t>
      </w:r>
      <w:r w:rsidRPr="00941B33">
        <w:rPr>
          <w:lang w:val="es-ES_tradnl"/>
        </w:rPr>
        <w:t>, con un índice de vulnerabilidad (IV) de 7</w:t>
      </w:r>
      <w:r w:rsidR="005A31A7">
        <w:rPr>
          <w:lang w:val="es-ES_tradnl"/>
        </w:rPr>
        <w:t>5</w:t>
      </w:r>
      <w:r w:rsidRPr="00941B33">
        <w:rPr>
          <w:lang w:val="es-ES_tradnl"/>
        </w:rPr>
        <w:t xml:space="preserve">. Según la contribución de los distintos factores al índice global para el sector, se observa que el mayor índice de precepción de la materialización de riesgos se encuentra en los factores de demanda (100), seguido de los </w:t>
      </w:r>
      <w:r w:rsidR="00941B33" w:rsidRPr="00941B33">
        <w:rPr>
          <w:lang w:val="es-ES_tradnl"/>
        </w:rPr>
        <w:t xml:space="preserve">factores de oferta </w:t>
      </w:r>
      <w:r w:rsidRPr="00941B33">
        <w:rPr>
          <w:lang w:val="es-ES_tradnl"/>
        </w:rPr>
        <w:t xml:space="preserve">(73) y luego por </w:t>
      </w:r>
      <w:r w:rsidR="005A31A7">
        <w:rPr>
          <w:lang w:val="es-ES_tradnl"/>
        </w:rPr>
        <w:t xml:space="preserve">factores </w:t>
      </w:r>
      <w:r w:rsidR="005A31A7" w:rsidRPr="00941B33">
        <w:rPr>
          <w:lang w:val="es-ES_tradnl"/>
        </w:rPr>
        <w:t>institucionales (</w:t>
      </w:r>
      <w:r w:rsidR="005A31A7">
        <w:rPr>
          <w:lang w:val="es-ES_tradnl"/>
        </w:rPr>
        <w:t>67</w:t>
      </w:r>
      <w:r w:rsidRPr="00941B33">
        <w:rPr>
          <w:lang w:val="es-ES_tradnl"/>
        </w:rPr>
        <w:t>). Los factores que menos contribuyen a la volatilidad sectorial son los</w:t>
      </w:r>
      <w:r w:rsidR="005A31A7" w:rsidRPr="005A31A7">
        <w:rPr>
          <w:lang w:val="es-ES_tradnl"/>
        </w:rPr>
        <w:t xml:space="preserve"> </w:t>
      </w:r>
      <w:r w:rsidR="005A31A7" w:rsidRPr="00941B33">
        <w:rPr>
          <w:lang w:val="es-ES_tradnl"/>
        </w:rPr>
        <w:t>factores financieros y patrimoniales</w:t>
      </w:r>
      <w:r w:rsidR="005A31A7">
        <w:rPr>
          <w:lang w:val="es-ES_tradnl"/>
        </w:rPr>
        <w:t xml:space="preserve"> </w:t>
      </w:r>
      <w:r w:rsidR="005A31A7" w:rsidRPr="00941B33">
        <w:rPr>
          <w:lang w:val="es-ES_tradnl"/>
        </w:rPr>
        <w:t>(55</w:t>
      </w:r>
      <w:r w:rsidR="005A31A7">
        <w:rPr>
          <w:lang w:val="es-ES_tradnl"/>
        </w:rPr>
        <w:t>)</w:t>
      </w:r>
      <w:r w:rsidRPr="00941B33">
        <w:rPr>
          <w:lang w:val="es-ES_tradnl"/>
        </w:rPr>
        <w:t xml:space="preserve">. </w:t>
      </w:r>
    </w:p>
    <w:p w14:paraId="52322EA3" w14:textId="287BB683" w:rsidR="00F74A03" w:rsidRPr="00A044C9" w:rsidRDefault="00F74A03" w:rsidP="00F74A03">
      <w:pPr>
        <w:jc w:val="both"/>
        <w:rPr>
          <w:highlight w:val="yellow"/>
          <w:lang w:val="es-ES_tradnl"/>
        </w:rPr>
      </w:pPr>
      <w:r w:rsidRPr="00941B33">
        <w:rPr>
          <w:lang w:val="es-ES_tradnl"/>
        </w:rPr>
        <w:t xml:space="preserve">A nivel más granular, los factores de riesgo más relevantes están relacionados con la reducción de la demanda, tanto interna como externa. Por el lado de los </w:t>
      </w:r>
      <w:r w:rsidR="00941B33" w:rsidRPr="00941B33">
        <w:rPr>
          <w:lang w:val="es-ES_tradnl"/>
        </w:rPr>
        <w:t>de oferta destaca la restricción de la insuficiencia en la cantidad y calidad de insumos</w:t>
      </w:r>
      <w:r w:rsidR="005A31A7">
        <w:rPr>
          <w:lang w:val="es-ES_tradnl"/>
        </w:rPr>
        <w:t xml:space="preserve">. </w:t>
      </w:r>
      <w:r w:rsidR="00EA5F98">
        <w:rPr>
          <w:lang w:val="es-ES_tradnl"/>
        </w:rPr>
        <w:t>Asimismo,</w:t>
      </w:r>
      <w:r w:rsidR="005A31A7">
        <w:rPr>
          <w:lang w:val="es-ES_tradnl"/>
        </w:rPr>
        <w:t xml:space="preserve"> destaca la elevada incertidumbre institucional y regulatoria, </w:t>
      </w:r>
      <w:r w:rsidR="00941B33" w:rsidRPr="00941B33">
        <w:rPr>
          <w:lang w:val="es-ES_tradnl"/>
        </w:rPr>
        <w:t xml:space="preserve">y por el lado de los </w:t>
      </w:r>
      <w:r w:rsidRPr="00941B33">
        <w:rPr>
          <w:lang w:val="es-ES_tradnl"/>
        </w:rPr>
        <w:t>factores financieros y patrimoniales, el retraso o interrupción del ciclo de pagos, la reducción o interrupción de financiamientos de corto plazo</w:t>
      </w:r>
      <w:r w:rsidR="00941B33" w:rsidRPr="00941B33">
        <w:rPr>
          <w:lang w:val="es-ES_tradnl"/>
        </w:rPr>
        <w:t xml:space="preserve">, el aumento de los costos financieros </w:t>
      </w:r>
      <w:r w:rsidRPr="00941B33">
        <w:rPr>
          <w:lang w:val="es-ES_tradnl"/>
        </w:rPr>
        <w:t xml:space="preserve">y la acumulación de pasivos por atrasos en pagos de sueldos, alquileres, etc. El sector incluye </w:t>
      </w:r>
      <w:r w:rsidR="00941B33" w:rsidRPr="00941B33">
        <w:rPr>
          <w:lang w:val="es-ES_tradnl"/>
        </w:rPr>
        <w:t xml:space="preserve">1.276 empresas de las cuales el 61,6% son </w:t>
      </w:r>
      <w:proofErr w:type="spellStart"/>
      <w:r w:rsidR="00941B33" w:rsidRPr="00941B33">
        <w:rPr>
          <w:lang w:val="es-ES_tradnl"/>
        </w:rPr>
        <w:t>MiPYME</w:t>
      </w:r>
      <w:proofErr w:type="spellEnd"/>
      <w:r w:rsidR="00941B33" w:rsidRPr="00941B33">
        <w:rPr>
          <w:lang w:val="es-ES_tradnl"/>
        </w:rPr>
        <w:t xml:space="preserve">, contribuye en un 3,9% </w:t>
      </w:r>
      <w:r w:rsidR="00CE228D">
        <w:rPr>
          <w:lang w:val="es-ES_tradnl"/>
        </w:rPr>
        <w:t>del empleo</w:t>
      </w:r>
      <w:r w:rsidR="00941B33" w:rsidRPr="00941B33">
        <w:rPr>
          <w:lang w:val="es-ES_tradnl"/>
        </w:rPr>
        <w:t xml:space="preserve"> y en un 1% </w:t>
      </w:r>
      <w:r w:rsidR="00CE228D">
        <w:rPr>
          <w:lang w:val="es-ES_tradnl"/>
        </w:rPr>
        <w:t>del</w:t>
      </w:r>
      <w:r w:rsidR="0055075B">
        <w:rPr>
          <w:lang w:val="es-ES_tradnl"/>
        </w:rPr>
        <w:t xml:space="preserve"> Producto Interno Bruto (</w:t>
      </w:r>
      <w:r w:rsidR="00CE228D">
        <w:rPr>
          <w:lang w:val="es-ES_tradnl"/>
        </w:rPr>
        <w:t>PIB</w:t>
      </w:r>
      <w:r w:rsidR="0055075B">
        <w:rPr>
          <w:lang w:val="es-ES_tradnl"/>
        </w:rPr>
        <w:t>)</w:t>
      </w:r>
      <w:r w:rsidR="00941B33">
        <w:rPr>
          <w:lang w:val="es-ES_tradnl"/>
        </w:rPr>
        <w:t>.</w:t>
      </w:r>
      <w:r w:rsidRPr="00A044C9">
        <w:rPr>
          <w:highlight w:val="yellow"/>
          <w:lang w:val="es-ES_tradnl"/>
        </w:rPr>
        <w:t xml:space="preserve"> </w:t>
      </w:r>
    </w:p>
    <w:p w14:paraId="7A5D2B32" w14:textId="253E4E23" w:rsidR="00EB6A06" w:rsidRDefault="00EB6A06" w:rsidP="00EB6A06">
      <w:pPr>
        <w:jc w:val="both"/>
        <w:rPr>
          <w:lang w:val="es-ES_tradnl"/>
        </w:rPr>
      </w:pPr>
      <w:r>
        <w:rPr>
          <w:lang w:val="es-ES_tradnl"/>
        </w:rPr>
        <w:t xml:space="preserve">El sector de la </w:t>
      </w:r>
      <w:r w:rsidRPr="00CF71C9">
        <w:rPr>
          <w:b/>
          <w:bCs/>
          <w:lang w:val="es-ES_tradnl"/>
        </w:rPr>
        <w:t>construcción</w:t>
      </w:r>
      <w:r>
        <w:rPr>
          <w:b/>
          <w:bCs/>
          <w:lang w:val="es-ES_tradnl"/>
        </w:rPr>
        <w:t xml:space="preserve"> </w:t>
      </w:r>
      <w:r>
        <w:rPr>
          <w:lang w:val="es-ES_tradnl"/>
        </w:rPr>
        <w:t xml:space="preserve">tiene un grado de vulnerabilidad severo de grado tres con un índice de 71, como consecuencia de factores de demanda (83), y seguido de factores financieros y patrimoniales (72), institucionales (67) y por último de oferta (60). Del lado de la demanda predomina el riesgo percibido de reducción de la demanda interna. Entre los factores financieros se percibe un grado elevado de riesgo en el retraso o interrupción de los ciclos de pago. Por parte de los factores patrimoniales el mayor agravante es la acumulación de pasivos como alquileres y sueldos. Entre los factores institucionales se considera elevado el efecto negativo de la inestabilidad política y social. Desde el punto de vista de la oferta, la mayor limitante es el acceso a servicios como transporte y comunicaciones. A estos agravantes le siguen como riesgo alto los relacionados con limitaciones en el uso de la mano de obra o del capital fijo, reducción en la demanda de exportación y en el financiamiento de corto, mediano y largo plazo. El sector está constituido por más de 17.400 </w:t>
      </w:r>
      <w:proofErr w:type="spellStart"/>
      <w:r>
        <w:rPr>
          <w:lang w:val="es-ES_tradnl"/>
        </w:rPr>
        <w:t>MiPYME</w:t>
      </w:r>
      <w:proofErr w:type="spellEnd"/>
      <w:r>
        <w:rPr>
          <w:lang w:val="es-ES_tradnl"/>
        </w:rPr>
        <w:t xml:space="preserve">, el 97% de las empresas en el sector. Contribuyen al 12% del empleo y a un 2% del PIB. </w:t>
      </w:r>
    </w:p>
    <w:p w14:paraId="70FE9283" w14:textId="1B1F4202" w:rsidR="00524B11" w:rsidRDefault="00524B11" w:rsidP="00C7727D">
      <w:pPr>
        <w:jc w:val="both"/>
        <w:rPr>
          <w:lang w:val="es-ES_tradnl"/>
        </w:rPr>
      </w:pPr>
      <w:r>
        <w:rPr>
          <w:lang w:val="es-ES_tradnl"/>
        </w:rPr>
        <w:t xml:space="preserve">El sector de </w:t>
      </w:r>
      <w:r w:rsidRPr="00382E7B">
        <w:rPr>
          <w:b/>
          <w:bCs/>
          <w:lang w:val="es-ES_tradnl"/>
        </w:rPr>
        <w:t>textil</w:t>
      </w:r>
      <w:r>
        <w:rPr>
          <w:lang w:val="es-ES_tradnl"/>
        </w:rPr>
        <w:t xml:space="preserve"> tiene un grado de vulnerabilidad </w:t>
      </w:r>
      <w:r w:rsidR="006B2D10">
        <w:rPr>
          <w:lang w:val="es-ES_tradnl"/>
        </w:rPr>
        <w:t>severo</w:t>
      </w:r>
      <w:r>
        <w:rPr>
          <w:lang w:val="es-ES_tradnl"/>
        </w:rPr>
        <w:t xml:space="preserve"> </w:t>
      </w:r>
      <w:r w:rsidR="00650B03">
        <w:rPr>
          <w:lang w:val="es-ES_tradnl"/>
        </w:rPr>
        <w:t xml:space="preserve">de grado tres, </w:t>
      </w:r>
      <w:r>
        <w:rPr>
          <w:lang w:val="es-ES_tradnl"/>
        </w:rPr>
        <w:t xml:space="preserve">con un índice de </w:t>
      </w:r>
      <w:r w:rsidR="00E514F4">
        <w:rPr>
          <w:lang w:val="es-ES_tradnl"/>
        </w:rPr>
        <w:t>70</w:t>
      </w:r>
      <w:r>
        <w:rPr>
          <w:lang w:val="es-ES_tradnl"/>
        </w:rPr>
        <w:t xml:space="preserve"> en función del alto grado de percepción de riesgos de demanda (100) y de oferta (66). Se consideran como factores de riesgo más relevantes</w:t>
      </w:r>
      <w:r w:rsidR="00E514F4">
        <w:rPr>
          <w:lang w:val="es-ES_tradnl"/>
        </w:rPr>
        <w:t xml:space="preserve"> la demanda interna y externa de exportación. Del lado de la oferta los factores más percibidos como de impacto por la crisis del COVID-19 son los de uso de mano de obra y de capital fijo, la insuficiente cantidad y calidad de insumos y de servicios para la producción, y el aumento de los costos de producción. </w:t>
      </w:r>
      <w:r>
        <w:rPr>
          <w:lang w:val="es-ES_tradnl"/>
        </w:rPr>
        <w:t xml:space="preserve">Existen más de 102.000 </w:t>
      </w:r>
      <w:proofErr w:type="spellStart"/>
      <w:r>
        <w:rPr>
          <w:lang w:val="es-ES_tradnl"/>
        </w:rPr>
        <w:t>MiPYME</w:t>
      </w:r>
      <w:proofErr w:type="spellEnd"/>
      <w:r>
        <w:rPr>
          <w:lang w:val="es-ES_tradnl"/>
        </w:rPr>
        <w:t xml:space="preserve"> en el sector, el 99 % de las empresas del sector. El sector contribuye en un 2% al empleo nacional y en menos del 1% al nivel de actividad. El </w:t>
      </w:r>
      <w:r w:rsidR="00CE228D">
        <w:rPr>
          <w:lang w:val="es-ES_tradnl"/>
        </w:rPr>
        <w:t>61</w:t>
      </w:r>
      <w:r>
        <w:rPr>
          <w:lang w:val="es-ES_tradnl"/>
        </w:rPr>
        <w:t>% de su</w:t>
      </w:r>
      <w:r w:rsidR="00CE228D">
        <w:rPr>
          <w:lang w:val="es-ES_tradnl"/>
        </w:rPr>
        <w:t>s ingresos provienen del mercado externo</w:t>
      </w:r>
      <w:r>
        <w:rPr>
          <w:lang w:val="es-ES_tradnl"/>
        </w:rPr>
        <w:t>.</w:t>
      </w:r>
    </w:p>
    <w:p w14:paraId="130B2A7A" w14:textId="28EE9ABB" w:rsidR="00A97D13" w:rsidRPr="00941B33" w:rsidRDefault="00A97D13" w:rsidP="00A97D13">
      <w:pPr>
        <w:jc w:val="both"/>
        <w:rPr>
          <w:lang w:val="es-ES_tradnl"/>
        </w:rPr>
      </w:pPr>
      <w:r w:rsidRPr="00941B33">
        <w:rPr>
          <w:lang w:val="es-ES_tradnl"/>
        </w:rPr>
        <w:t xml:space="preserve">El </w:t>
      </w:r>
      <w:r w:rsidRPr="00941B33">
        <w:rPr>
          <w:b/>
          <w:bCs/>
          <w:lang w:val="es-ES_tradnl"/>
        </w:rPr>
        <w:t>sector turismo</w:t>
      </w:r>
      <w:r w:rsidRPr="00941B33">
        <w:rPr>
          <w:lang w:val="es-ES_tradnl"/>
        </w:rPr>
        <w:t xml:space="preserve">, presenta un grado de vulnerabilidad </w:t>
      </w:r>
      <w:r w:rsidR="006B2D10">
        <w:rPr>
          <w:lang w:val="es-ES_tradnl"/>
        </w:rPr>
        <w:t>severo</w:t>
      </w:r>
      <w:r w:rsidR="00650B03">
        <w:rPr>
          <w:lang w:val="es-ES_tradnl"/>
        </w:rPr>
        <w:t xml:space="preserve"> de grado tres</w:t>
      </w:r>
      <w:r w:rsidRPr="00941B33">
        <w:rPr>
          <w:lang w:val="es-ES_tradnl"/>
        </w:rPr>
        <w:t xml:space="preserve">, con un </w:t>
      </w:r>
      <w:r w:rsidR="00000654" w:rsidRPr="00941B33">
        <w:rPr>
          <w:lang w:val="es-ES_tradnl"/>
        </w:rPr>
        <w:t>Í</w:t>
      </w:r>
      <w:r w:rsidRPr="00941B33">
        <w:rPr>
          <w:lang w:val="es-ES_tradnl"/>
        </w:rPr>
        <w:t xml:space="preserve">ndice de </w:t>
      </w:r>
      <w:r w:rsidR="00000654">
        <w:rPr>
          <w:lang w:val="es-ES_tradnl"/>
        </w:rPr>
        <w:t>V</w:t>
      </w:r>
      <w:r w:rsidRPr="00941B33">
        <w:rPr>
          <w:lang w:val="es-ES_tradnl"/>
        </w:rPr>
        <w:t xml:space="preserve">ulnerabilidad (IV) de 68. Según la contribución de los distintos factores al índice global para el sector, se observa que el mayor índice de precepción de la materialización de riesgos se encuentra en los factores de demanda (100), seguido de los factores financieros y patrimoniales (66) y luego por factores de oferta (60). Los factores que menos contribuyen a la volatilidad sectorial son los institucionales. </w:t>
      </w:r>
    </w:p>
    <w:p w14:paraId="2E6937CE" w14:textId="77777777" w:rsidR="00A97D13" w:rsidRDefault="00A97D13" w:rsidP="00A97D13">
      <w:pPr>
        <w:jc w:val="both"/>
        <w:rPr>
          <w:lang w:val="es-ES_tradnl"/>
        </w:rPr>
      </w:pPr>
      <w:r w:rsidRPr="00941B33">
        <w:rPr>
          <w:lang w:val="es-ES_tradnl"/>
        </w:rPr>
        <w:t>Dentro de cada uno de estos grupos de factores los más relevantes están relacionados con la reducción de la demanda, tanto interna como externa. Por el lado de los factores financieros y patrimoniales, destaca el retraso o interrupción del ciclo de pagos, la reducción o interrupción de financiamientos de corto plazo</w:t>
      </w:r>
      <w:r>
        <w:rPr>
          <w:lang w:val="es-ES_tradnl"/>
        </w:rPr>
        <w:t xml:space="preserve">, el aumento de los costes financieros, la reducción en el valor de los activos patrimoniales por </w:t>
      </w:r>
      <w:r>
        <w:rPr>
          <w:lang w:val="es-ES_tradnl"/>
        </w:rPr>
        <w:lastRenderedPageBreak/>
        <w:t xml:space="preserve">la retracción de la demanda y </w:t>
      </w:r>
      <w:r w:rsidRPr="00941B33">
        <w:rPr>
          <w:lang w:val="es-ES_tradnl"/>
        </w:rPr>
        <w:t xml:space="preserve">la acumulación de pasivos por atrasos en pagos de sueldos, alquileres, etc. </w:t>
      </w:r>
      <w:r>
        <w:rPr>
          <w:lang w:val="es-ES_tradnl"/>
        </w:rPr>
        <w:t xml:space="preserve">Por el lado de los factores de oferta destacan las restricciones en el uso del factor trabajo y del capital fijo como instalaciones y oficinas. </w:t>
      </w:r>
      <w:r w:rsidRPr="00E83B7E">
        <w:rPr>
          <w:lang w:val="es-ES_tradnl"/>
        </w:rPr>
        <w:t xml:space="preserve">El sector incluye más de </w:t>
      </w:r>
      <w:r>
        <w:rPr>
          <w:lang w:val="es-ES_tradnl"/>
        </w:rPr>
        <w:t>433.090</w:t>
      </w:r>
      <w:r w:rsidRPr="00E83B7E">
        <w:rPr>
          <w:lang w:val="es-ES_tradnl"/>
        </w:rPr>
        <w:t xml:space="preserve"> MiP</w:t>
      </w:r>
      <w:r>
        <w:rPr>
          <w:lang w:val="es-ES_tradnl"/>
        </w:rPr>
        <w:t>y</w:t>
      </w:r>
      <w:r w:rsidRPr="00E83B7E">
        <w:rPr>
          <w:lang w:val="es-ES_tradnl"/>
        </w:rPr>
        <w:t xml:space="preserve">ME (más del 99% del total de empresas del sector), contribuye un </w:t>
      </w:r>
      <w:r>
        <w:rPr>
          <w:lang w:val="es-ES_tradnl"/>
        </w:rPr>
        <w:t>9</w:t>
      </w:r>
      <w:r w:rsidRPr="00E83B7E">
        <w:rPr>
          <w:lang w:val="es-ES_tradnl"/>
        </w:rPr>
        <w:t xml:space="preserve">% al PIB y </w:t>
      </w:r>
      <w:r>
        <w:rPr>
          <w:lang w:val="es-ES_tradnl"/>
        </w:rPr>
        <w:t>en un 6% al empleo, aproximadamente el 17</w:t>
      </w:r>
      <w:r w:rsidRPr="00E83B7E">
        <w:rPr>
          <w:lang w:val="es-ES_tradnl"/>
        </w:rPr>
        <w:t xml:space="preserve"> % de su producción se orienta a la demanda externa</w:t>
      </w:r>
      <w:r>
        <w:rPr>
          <w:lang w:val="es-ES_tradnl"/>
        </w:rPr>
        <w:t xml:space="preserve"> y existen más más de 200 empresas tractoras</w:t>
      </w:r>
      <w:r w:rsidRPr="00E83B7E">
        <w:rPr>
          <w:lang w:val="es-ES_tradnl"/>
        </w:rPr>
        <w:t>.</w:t>
      </w:r>
      <w:r>
        <w:rPr>
          <w:lang w:val="es-ES_tradnl"/>
        </w:rPr>
        <w:t xml:space="preserve"> </w:t>
      </w:r>
      <w:r w:rsidRPr="00941B33">
        <w:rPr>
          <w:lang w:val="es-ES_tradnl"/>
        </w:rPr>
        <w:t xml:space="preserve">A nivel general, la capacidad de la MiPyME de realizar transferencias por otros canales como el comercio electrónico es bajo. </w:t>
      </w:r>
    </w:p>
    <w:p w14:paraId="56951049" w14:textId="13A864B0" w:rsidR="00EB6A06" w:rsidRDefault="00EB6A06" w:rsidP="00C7727D">
      <w:pPr>
        <w:jc w:val="both"/>
        <w:rPr>
          <w:lang w:val="es-ES_tradnl"/>
        </w:rPr>
      </w:pPr>
      <w:r>
        <w:rPr>
          <w:lang w:val="es-ES_tradnl"/>
        </w:rPr>
        <w:t xml:space="preserve">El sector de la </w:t>
      </w:r>
      <w:r w:rsidRPr="00EB6A06">
        <w:rPr>
          <w:b/>
          <w:bCs/>
          <w:lang w:val="es-ES_tradnl"/>
        </w:rPr>
        <w:t>energía</w:t>
      </w:r>
      <w:r>
        <w:rPr>
          <w:lang w:val="es-ES_tradnl"/>
        </w:rPr>
        <w:t xml:space="preserve"> </w:t>
      </w:r>
      <w:r w:rsidRPr="00E83B7E">
        <w:rPr>
          <w:lang w:val="es-ES_tradnl"/>
        </w:rPr>
        <w:t>presenta un grado de vulnerabilidad severo</w:t>
      </w:r>
      <w:r>
        <w:rPr>
          <w:lang w:val="es-ES_tradnl"/>
        </w:rPr>
        <w:t xml:space="preserve"> de grado tres</w:t>
      </w:r>
      <w:r w:rsidRPr="00E83B7E">
        <w:rPr>
          <w:lang w:val="es-ES_tradnl"/>
        </w:rPr>
        <w:t>, con un grado</w:t>
      </w:r>
      <w:r>
        <w:rPr>
          <w:lang w:val="es-ES_tradnl"/>
        </w:rPr>
        <w:t xml:space="preserve"> 65, resultado de la severidad del impacto de los riesgos de demanda (100), de los institucionales (67) y financieros y patrimoniales (61). </w:t>
      </w:r>
      <w:r w:rsidR="004E759C">
        <w:rPr>
          <w:lang w:val="es-ES_tradnl"/>
        </w:rPr>
        <w:t xml:space="preserve">Dentro de los factores de demanda se considera tanto la reducción de la demanda interna como la demanda externa, como limitantes. Entre los factores institucionales, la incertidumbre institucional y legal cobra gran relevancia. Por último, entre los factores financieros y patrimoniales el mayor riesgo percibido el retraso o interrupción de los ciclos de pagos. Otros riesgos considerados como materializados y de alto impacto son la insuficiencia en la cantidad y calidad de insumos, la reducción o interrupción de financiamiento de corto plazo y los patrimoniales. </w:t>
      </w:r>
      <w:r>
        <w:rPr>
          <w:lang w:val="es-ES_tradnl"/>
        </w:rPr>
        <w:t>E</w:t>
      </w:r>
      <w:r w:rsidR="004E759C">
        <w:rPr>
          <w:lang w:val="es-ES_tradnl"/>
        </w:rPr>
        <w:t>l</w:t>
      </w:r>
      <w:r>
        <w:rPr>
          <w:lang w:val="es-ES_tradnl"/>
        </w:rPr>
        <w:t xml:space="preserve"> sector incluye al menos 400 </w:t>
      </w:r>
      <w:proofErr w:type="spellStart"/>
      <w:r>
        <w:rPr>
          <w:lang w:val="es-ES_tradnl"/>
        </w:rPr>
        <w:t>MiPYME</w:t>
      </w:r>
      <w:proofErr w:type="spellEnd"/>
      <w:r>
        <w:rPr>
          <w:rStyle w:val="FootnoteReference"/>
          <w:lang w:val="es-ES_tradnl"/>
        </w:rPr>
        <w:footnoteReference w:id="8"/>
      </w:r>
      <w:r>
        <w:rPr>
          <w:lang w:val="es-ES_tradnl"/>
        </w:rPr>
        <w:t xml:space="preserve">, siendo el 96,6% de las empresas del sector </w:t>
      </w:r>
      <w:proofErr w:type="spellStart"/>
      <w:r>
        <w:rPr>
          <w:lang w:val="es-ES_tradnl"/>
        </w:rPr>
        <w:t>MiPYME</w:t>
      </w:r>
      <w:proofErr w:type="spellEnd"/>
      <w:r>
        <w:rPr>
          <w:lang w:val="es-ES_tradnl"/>
        </w:rPr>
        <w:t>. El sector contribuye en un 2,3% al empleo y en un 6% al nivel de actividad y exporta el 44% del valor de la producción.</w:t>
      </w:r>
    </w:p>
    <w:p w14:paraId="62DFB65E" w14:textId="2F9EB03D" w:rsidR="005A31A7" w:rsidRPr="005A31A7" w:rsidRDefault="005A31A7" w:rsidP="00C7727D">
      <w:pPr>
        <w:jc w:val="both"/>
        <w:rPr>
          <w:lang w:val="es-ES_tradnl"/>
        </w:rPr>
      </w:pPr>
      <w:r>
        <w:rPr>
          <w:lang w:val="es-ES_tradnl"/>
        </w:rPr>
        <w:t xml:space="preserve">El sector de </w:t>
      </w:r>
      <w:r>
        <w:rPr>
          <w:b/>
          <w:bCs/>
          <w:lang w:val="es-ES_tradnl"/>
        </w:rPr>
        <w:t xml:space="preserve">comercio al por menor </w:t>
      </w:r>
      <w:r>
        <w:rPr>
          <w:lang w:val="es-ES_tradnl"/>
        </w:rPr>
        <w:t xml:space="preserve">tiene un grado de vulnerabilidad </w:t>
      </w:r>
      <w:r w:rsidR="00650B03">
        <w:rPr>
          <w:lang w:val="es-ES_tradnl"/>
        </w:rPr>
        <w:t>severo de grado dos,</w:t>
      </w:r>
      <w:r>
        <w:rPr>
          <w:lang w:val="es-ES_tradnl"/>
        </w:rPr>
        <w:t xml:space="preserve"> con un índice de 45, reflejo de la percepción elevada de riesgos por el lado de la oferta (66), </w:t>
      </w:r>
      <w:r w:rsidR="00A97D13">
        <w:rPr>
          <w:lang w:val="es-ES_tradnl"/>
        </w:rPr>
        <w:t xml:space="preserve">y en menor medida financieros y patrimoniales (50) y riesgos sistémicos y regulatorios (50). Del lado de la oferta los factores más relevantes identificados como de elevado riesgo materializado son las limitaciones de uso de mano de obra y de capital fijo, la insuficiente cantidad y calidad de insumos y de servicios como transporte y comunicaciones y el aumento de los costos de producción. El sector contribuye en más del 22% al empleo y en un 9% al PIB. Lo conforman alrededor de 2,2 millones de empresas, siendo el 99,9% </w:t>
      </w:r>
      <w:proofErr w:type="spellStart"/>
      <w:r w:rsidR="00A97D13">
        <w:rPr>
          <w:lang w:val="es-ES_tradnl"/>
        </w:rPr>
        <w:t>MiPYME</w:t>
      </w:r>
      <w:proofErr w:type="spellEnd"/>
      <w:r w:rsidR="00A97D13">
        <w:rPr>
          <w:lang w:val="es-ES_tradnl"/>
        </w:rPr>
        <w:t>. El destino de la producción es doméstico.</w:t>
      </w:r>
    </w:p>
    <w:p w14:paraId="7CBE9421" w14:textId="65F8025E" w:rsidR="00094F02" w:rsidRDefault="00094F02" w:rsidP="00094F02">
      <w:pPr>
        <w:jc w:val="both"/>
        <w:rPr>
          <w:lang w:val="es-ES_tradnl"/>
        </w:rPr>
      </w:pPr>
      <w:r>
        <w:rPr>
          <w:lang w:val="es-ES_tradnl"/>
        </w:rPr>
        <w:t xml:space="preserve">El sector </w:t>
      </w:r>
      <w:r>
        <w:rPr>
          <w:b/>
          <w:bCs/>
          <w:lang w:val="es-ES_tradnl"/>
        </w:rPr>
        <w:t xml:space="preserve">automotriz </w:t>
      </w:r>
      <w:r>
        <w:rPr>
          <w:lang w:val="es-ES_tradnl"/>
        </w:rPr>
        <w:t xml:space="preserve">presenta un grado de vulnerabilidad </w:t>
      </w:r>
      <w:r w:rsidR="00650B03">
        <w:rPr>
          <w:lang w:val="es-ES_tradnl"/>
        </w:rPr>
        <w:t xml:space="preserve">severo de grado dos, </w:t>
      </w:r>
      <w:r>
        <w:rPr>
          <w:lang w:val="es-ES_tradnl"/>
        </w:rPr>
        <w:t>con un índice de 41, fundamentalmente guiado por la percepción de riesgo de la demanda en el sector (83). El mayor riesgo percibido es el de caída de la demanda interna, y en menor medida la de exportación. Por último</w:t>
      </w:r>
      <w:r w:rsidR="00650B03">
        <w:rPr>
          <w:lang w:val="es-ES_tradnl"/>
        </w:rPr>
        <w:t>,</w:t>
      </w:r>
      <w:r>
        <w:rPr>
          <w:lang w:val="es-ES_tradnl"/>
        </w:rPr>
        <w:t xml:space="preserve"> se perciben riesgos de acumulación de pasivos como alquileres y sueldos. El sector contribuye al PIB en un 18% y al empleo en un 1,4%. </w:t>
      </w:r>
    </w:p>
    <w:p w14:paraId="46AAA267" w14:textId="7C427DD4" w:rsidR="00094F02" w:rsidRPr="00420B9E" w:rsidRDefault="00094F02" w:rsidP="00094F02">
      <w:pPr>
        <w:jc w:val="both"/>
        <w:rPr>
          <w:lang w:val="es-ES_tradnl"/>
        </w:rPr>
      </w:pPr>
      <w:r>
        <w:rPr>
          <w:lang w:val="es-ES_tradnl"/>
        </w:rPr>
        <w:t xml:space="preserve">El sector </w:t>
      </w:r>
      <w:r w:rsidRPr="00420B9E">
        <w:rPr>
          <w:b/>
          <w:bCs/>
          <w:lang w:val="es-ES_tradnl"/>
        </w:rPr>
        <w:t>agro</w:t>
      </w:r>
      <w:r w:rsidR="00650B03">
        <w:rPr>
          <w:b/>
          <w:bCs/>
          <w:lang w:val="es-ES_tradnl"/>
        </w:rPr>
        <w:t>alimentario</w:t>
      </w:r>
      <w:r>
        <w:rPr>
          <w:b/>
          <w:bCs/>
          <w:lang w:val="es-ES_tradnl"/>
        </w:rPr>
        <w:t xml:space="preserve"> </w:t>
      </w:r>
      <w:r>
        <w:rPr>
          <w:lang w:val="es-ES_tradnl"/>
        </w:rPr>
        <w:t xml:space="preserve">tiene un grado de vulnerabilidad </w:t>
      </w:r>
      <w:r w:rsidR="00650B03">
        <w:rPr>
          <w:lang w:val="es-ES_tradnl"/>
        </w:rPr>
        <w:t xml:space="preserve">severo de grado dos, </w:t>
      </w:r>
      <w:r>
        <w:rPr>
          <w:lang w:val="es-ES_tradnl"/>
        </w:rPr>
        <w:t xml:space="preserve">con un índice de 35, guiado por factores de percepción de riesgo </w:t>
      </w:r>
      <w:r w:rsidR="00803756">
        <w:rPr>
          <w:lang w:val="es-ES_tradnl"/>
        </w:rPr>
        <w:t xml:space="preserve">significativo </w:t>
      </w:r>
      <w:r>
        <w:rPr>
          <w:lang w:val="es-ES_tradnl"/>
        </w:rPr>
        <w:t xml:space="preserve">en la demanda (50). </w:t>
      </w:r>
      <w:r w:rsidR="00650B03">
        <w:rPr>
          <w:lang w:val="es-ES_tradnl"/>
        </w:rPr>
        <w:t xml:space="preserve">El índice de vulnerabilidad contempla el análisis para el subsector de la agroindustria, encontrando riesgos similares al del sector productivo, fundamentalmente limitaciones </w:t>
      </w:r>
      <w:r w:rsidR="002B00EE">
        <w:rPr>
          <w:lang w:val="es-ES_tradnl"/>
        </w:rPr>
        <w:t xml:space="preserve">severas </w:t>
      </w:r>
      <w:r w:rsidR="00650B03">
        <w:rPr>
          <w:lang w:val="es-ES_tradnl"/>
        </w:rPr>
        <w:t>en la demanda interna</w:t>
      </w:r>
      <w:r w:rsidR="002B00EE">
        <w:rPr>
          <w:lang w:val="es-ES_tradnl"/>
        </w:rPr>
        <w:t xml:space="preserve">, así como en la acumulación de pasivos como alquileres y sueldos y salarios. </w:t>
      </w:r>
      <w:r w:rsidR="003B6735">
        <w:rPr>
          <w:lang w:val="es-ES"/>
        </w:rPr>
        <w:t xml:space="preserve">Los </w:t>
      </w:r>
      <w:r w:rsidR="009E067C">
        <w:rPr>
          <w:lang w:val="es-ES"/>
        </w:rPr>
        <w:t xml:space="preserve">resultados </w:t>
      </w:r>
      <w:r w:rsidR="003B6735">
        <w:rPr>
          <w:lang w:val="es-ES"/>
        </w:rPr>
        <w:t>permiten diferenciar el efecto</w:t>
      </w:r>
      <w:r w:rsidR="009E067C">
        <w:rPr>
          <w:lang w:val="es-ES"/>
        </w:rPr>
        <w:t xml:space="preserve"> entre pequeños productores y medianos y grandes</w:t>
      </w:r>
      <w:r>
        <w:rPr>
          <w:lang w:val="es-ES_tradnl"/>
        </w:rPr>
        <w:t>.</w:t>
      </w:r>
      <w:r w:rsidRPr="001A58E1">
        <w:rPr>
          <w:lang w:val="es-ES_tradnl"/>
        </w:rPr>
        <w:t xml:space="preserve"> </w:t>
      </w:r>
      <w:r>
        <w:rPr>
          <w:lang w:val="es-ES_tradnl"/>
        </w:rPr>
        <w:t xml:space="preserve">Se perciben riesgos </w:t>
      </w:r>
      <w:r w:rsidR="009E067C">
        <w:rPr>
          <w:lang w:val="es-ES_tradnl"/>
        </w:rPr>
        <w:t xml:space="preserve">severos </w:t>
      </w:r>
      <w:r>
        <w:rPr>
          <w:lang w:val="es-ES_tradnl"/>
        </w:rPr>
        <w:t xml:space="preserve">de oferta para los pequeños productores como la limitación de servicios de transporte y comunicaciones que afectan a la comercialización de productos. También se perciben riesgos </w:t>
      </w:r>
      <w:r w:rsidR="009E067C">
        <w:rPr>
          <w:lang w:val="es-ES_tradnl"/>
        </w:rPr>
        <w:t xml:space="preserve">severos desde el punto de vista del financiamiento, por falta de financiamiento a corto plazo, por </w:t>
      </w:r>
      <w:r w:rsidR="002B00EE">
        <w:rPr>
          <w:lang w:val="es-ES_tradnl"/>
        </w:rPr>
        <w:t>ejemplo,</w:t>
      </w:r>
      <w:r w:rsidR="009E067C">
        <w:rPr>
          <w:lang w:val="es-ES_tradnl"/>
        </w:rPr>
        <w:t xml:space="preserve"> de proveedores, y de mediano y largo plazo, que tenga en cuenta el ciclo productivo agropecuario. Los riesgos </w:t>
      </w:r>
      <w:r>
        <w:rPr>
          <w:lang w:val="es-ES_tradnl"/>
        </w:rPr>
        <w:t xml:space="preserve">patrimoniales </w:t>
      </w:r>
      <w:r w:rsidR="009E067C">
        <w:rPr>
          <w:lang w:val="es-ES_tradnl"/>
        </w:rPr>
        <w:t xml:space="preserve">severos son </w:t>
      </w:r>
      <w:r w:rsidR="009E067C">
        <w:rPr>
          <w:lang w:val="es-ES_tradnl"/>
        </w:rPr>
        <w:lastRenderedPageBreak/>
        <w:t>por la</w:t>
      </w:r>
      <w:r>
        <w:rPr>
          <w:lang w:val="es-ES_tradnl"/>
        </w:rPr>
        <w:t xml:space="preserve"> acumulación de pasivos como alquileres y sueldos.</w:t>
      </w:r>
      <w:r w:rsidR="002B00EE">
        <w:rPr>
          <w:lang w:val="es-ES_tradnl"/>
        </w:rPr>
        <w:t xml:space="preserve"> Mientras que para los medianos y grandes productores existen mayores riesgos percibidos en el uso de capital fijo y en la demanda de exportación.</w:t>
      </w:r>
      <w:r>
        <w:rPr>
          <w:lang w:val="es-ES_tradnl"/>
        </w:rPr>
        <w:t xml:space="preserve"> </w:t>
      </w:r>
      <w:r w:rsidRPr="00E83B7E">
        <w:rPr>
          <w:lang w:val="es-ES_tradnl"/>
        </w:rPr>
        <w:t xml:space="preserve">El sector tiene una contribución alta al empleo, en un </w:t>
      </w:r>
      <w:r>
        <w:rPr>
          <w:lang w:val="es-ES_tradnl"/>
        </w:rPr>
        <w:t>13</w:t>
      </w:r>
      <w:r w:rsidRPr="00E83B7E">
        <w:rPr>
          <w:lang w:val="es-ES_tradnl"/>
        </w:rPr>
        <w:t xml:space="preserve">% con un total de más </w:t>
      </w:r>
      <w:r>
        <w:rPr>
          <w:lang w:val="es-ES_tradnl"/>
        </w:rPr>
        <w:t xml:space="preserve">de 4.200.000 productores, de los cuales el 95% son pequeños productores </w:t>
      </w:r>
      <w:r w:rsidRPr="00E83B7E">
        <w:rPr>
          <w:lang w:val="es-ES_tradnl"/>
        </w:rPr>
        <w:t xml:space="preserve">y contribuyen en </w:t>
      </w:r>
      <w:r>
        <w:rPr>
          <w:lang w:val="es-ES_tradnl"/>
        </w:rPr>
        <w:t>3</w:t>
      </w:r>
      <w:r w:rsidRPr="00E83B7E">
        <w:rPr>
          <w:lang w:val="es-ES_tradnl"/>
        </w:rPr>
        <w:t>% al nivel de actividad.</w:t>
      </w:r>
      <w:r w:rsidR="002B00EE">
        <w:rPr>
          <w:lang w:val="es-ES_tradnl"/>
        </w:rPr>
        <w:t xml:space="preserve"> Por su parte,</w:t>
      </w:r>
      <w:r w:rsidR="002B00EE" w:rsidRPr="002B00EE">
        <w:rPr>
          <w:lang w:val="es-ES"/>
        </w:rPr>
        <w:t xml:space="preserve"> </w:t>
      </w:r>
      <w:r w:rsidR="002B00EE">
        <w:rPr>
          <w:lang w:val="es-ES"/>
        </w:rPr>
        <w:t xml:space="preserve">el sector agroindustria contribuye en el 4,8% al PIB. </w:t>
      </w:r>
      <w:r w:rsidRPr="00E83B7E">
        <w:rPr>
          <w:lang w:val="es-ES_tradnl"/>
        </w:rPr>
        <w:t xml:space="preserve">Además, más del </w:t>
      </w:r>
      <w:r>
        <w:rPr>
          <w:lang w:val="es-ES_tradnl"/>
        </w:rPr>
        <w:t>32</w:t>
      </w:r>
      <w:r w:rsidRPr="00E83B7E">
        <w:rPr>
          <w:lang w:val="es-ES_tradnl"/>
        </w:rPr>
        <w:t xml:space="preserve">% de </w:t>
      </w:r>
      <w:r w:rsidR="002B00EE">
        <w:rPr>
          <w:lang w:val="es-ES_tradnl"/>
        </w:rPr>
        <w:t>la</w:t>
      </w:r>
      <w:r w:rsidRPr="00E83B7E">
        <w:rPr>
          <w:lang w:val="es-ES_tradnl"/>
        </w:rPr>
        <w:t xml:space="preserve"> producción </w:t>
      </w:r>
      <w:r w:rsidR="002B00EE">
        <w:rPr>
          <w:lang w:val="es-ES_tradnl"/>
        </w:rPr>
        <w:t xml:space="preserve">del sector </w:t>
      </w:r>
      <w:r w:rsidRPr="00E83B7E">
        <w:rPr>
          <w:lang w:val="es-ES_tradnl"/>
        </w:rPr>
        <w:t xml:space="preserve">se destina a </w:t>
      </w:r>
      <w:r w:rsidR="002B00EE">
        <w:rPr>
          <w:lang w:val="es-ES_tradnl"/>
        </w:rPr>
        <w:t xml:space="preserve">la </w:t>
      </w:r>
      <w:r w:rsidRPr="00E83B7E">
        <w:rPr>
          <w:lang w:val="es-ES_tradnl"/>
        </w:rPr>
        <w:t>exportación</w:t>
      </w:r>
      <w:r w:rsidR="002B00EE">
        <w:rPr>
          <w:lang w:val="es-ES_tradnl"/>
        </w:rPr>
        <w:t>.</w:t>
      </w:r>
    </w:p>
    <w:p w14:paraId="1B253578" w14:textId="4A7C4350" w:rsidR="00094F02" w:rsidRPr="00E83B7E" w:rsidRDefault="00094F02" w:rsidP="00094F02">
      <w:pPr>
        <w:jc w:val="both"/>
        <w:rPr>
          <w:lang w:val="es-ES_tradnl"/>
        </w:rPr>
      </w:pPr>
      <w:r w:rsidRPr="00D42F82">
        <w:rPr>
          <w:lang w:val="es-ES_tradnl"/>
        </w:rPr>
        <w:t xml:space="preserve">El </w:t>
      </w:r>
      <w:r>
        <w:rPr>
          <w:lang w:val="es-ES_tradnl"/>
        </w:rPr>
        <w:t>sub</w:t>
      </w:r>
      <w:r w:rsidRPr="00D42F82">
        <w:rPr>
          <w:lang w:val="es-ES_tradnl"/>
        </w:rPr>
        <w:t xml:space="preserve">sector </w:t>
      </w:r>
      <w:r w:rsidRPr="00D42F82">
        <w:rPr>
          <w:b/>
          <w:bCs/>
          <w:lang w:val="es-ES_tradnl"/>
        </w:rPr>
        <w:t xml:space="preserve">transporte </w:t>
      </w:r>
      <w:r>
        <w:rPr>
          <w:b/>
          <w:bCs/>
          <w:lang w:val="es-ES_tradnl"/>
        </w:rPr>
        <w:t xml:space="preserve">de pasajeros </w:t>
      </w:r>
      <w:r w:rsidRPr="00D42F82">
        <w:rPr>
          <w:lang w:val="es-ES_tradnl"/>
        </w:rPr>
        <w:t>presenta un grado de vulnerabilidad</w:t>
      </w:r>
      <w:r>
        <w:rPr>
          <w:lang w:val="es-ES_tradnl"/>
        </w:rPr>
        <w:t xml:space="preserve"> </w:t>
      </w:r>
      <w:r w:rsidR="002B00EE">
        <w:rPr>
          <w:lang w:val="es-ES_tradnl"/>
        </w:rPr>
        <w:t>severo de grado 2</w:t>
      </w:r>
      <w:r w:rsidRPr="00D42F82">
        <w:rPr>
          <w:lang w:val="es-ES_tradnl"/>
        </w:rPr>
        <w:t xml:space="preserve">, con un IV de </w:t>
      </w:r>
      <w:r>
        <w:rPr>
          <w:lang w:val="es-ES_tradnl"/>
        </w:rPr>
        <w:t>29</w:t>
      </w:r>
      <w:r w:rsidRPr="00D42F82">
        <w:rPr>
          <w:lang w:val="es-ES_tradnl"/>
        </w:rPr>
        <w:t xml:space="preserve"> como resultado de factores</w:t>
      </w:r>
      <w:r>
        <w:rPr>
          <w:lang w:val="es-ES_tradnl"/>
        </w:rPr>
        <w:t xml:space="preserve"> institucionales y legales (50) y en menor medida</w:t>
      </w:r>
      <w:r w:rsidRPr="00D42F82">
        <w:rPr>
          <w:lang w:val="es-ES_tradnl"/>
        </w:rPr>
        <w:t xml:space="preserve"> de </w:t>
      </w:r>
      <w:r>
        <w:rPr>
          <w:lang w:val="es-ES_tradnl"/>
        </w:rPr>
        <w:t>demanda y financieros y patrimoniales</w:t>
      </w:r>
      <w:r w:rsidRPr="00D42F82">
        <w:rPr>
          <w:lang w:val="es-ES_tradnl"/>
        </w:rPr>
        <w:t>.</w:t>
      </w:r>
      <w:r w:rsidR="0057313D">
        <w:rPr>
          <w:lang w:val="es-ES_tradnl"/>
        </w:rPr>
        <w:t xml:space="preserve"> El riesgo más materializado son los relacionados con la inestabilidad política y social y en menor medida la acumulación de pasivos patrimoniales como alquileres, sueldos y salarios. </w:t>
      </w:r>
      <w:r>
        <w:rPr>
          <w:lang w:val="es-ES_tradnl"/>
        </w:rPr>
        <w:t xml:space="preserve">El subsector de </w:t>
      </w:r>
      <w:r w:rsidRPr="00FD67A8">
        <w:rPr>
          <w:b/>
          <w:bCs/>
          <w:lang w:val="es-ES_tradnl"/>
        </w:rPr>
        <w:t>transporte de carga</w:t>
      </w:r>
      <w:r>
        <w:rPr>
          <w:lang w:val="es-ES_tradnl"/>
        </w:rPr>
        <w:t xml:space="preserve"> tiene un grado </w:t>
      </w:r>
      <w:r w:rsidR="002B00EE">
        <w:rPr>
          <w:lang w:val="es-ES_tradnl"/>
        </w:rPr>
        <w:t xml:space="preserve">de vulnerabilidad severo de grado uno, </w:t>
      </w:r>
      <w:proofErr w:type="gramStart"/>
      <w:r>
        <w:rPr>
          <w:lang w:val="es-ES_tradnl"/>
        </w:rPr>
        <w:t>(</w:t>
      </w:r>
      <w:r w:rsidR="002B00EE">
        <w:rPr>
          <w:lang w:val="es-ES_tradnl"/>
        </w:rPr>
        <w:t xml:space="preserve"> con</w:t>
      </w:r>
      <w:proofErr w:type="gramEnd"/>
      <w:r w:rsidR="002B00EE">
        <w:rPr>
          <w:lang w:val="es-ES_tradnl"/>
        </w:rPr>
        <w:t xml:space="preserve"> un IV de </w:t>
      </w:r>
      <w:r>
        <w:rPr>
          <w:lang w:val="es-ES_tradnl"/>
        </w:rPr>
        <w:t>15), como resultado de factores de severidad de los riesgos especialmente en temas institucionales</w:t>
      </w:r>
      <w:r w:rsidR="0057313D">
        <w:rPr>
          <w:lang w:val="es-ES_tradnl"/>
        </w:rPr>
        <w:t>, destaca el riesgo percibido de inestabilidad política y social</w:t>
      </w:r>
      <w:r>
        <w:rPr>
          <w:lang w:val="es-ES_tradnl"/>
        </w:rPr>
        <w:t xml:space="preserve">. </w:t>
      </w:r>
      <w:r w:rsidRPr="00D42F82">
        <w:rPr>
          <w:lang w:val="es-ES_tradnl"/>
        </w:rPr>
        <w:t xml:space="preserve">El sector </w:t>
      </w:r>
      <w:r>
        <w:rPr>
          <w:lang w:val="es-ES_tradnl"/>
        </w:rPr>
        <w:t xml:space="preserve">transporte </w:t>
      </w:r>
      <w:r w:rsidR="0057313D">
        <w:rPr>
          <w:lang w:val="es-ES_tradnl"/>
        </w:rPr>
        <w:t xml:space="preserve">en su conjunto </w:t>
      </w:r>
      <w:r w:rsidRPr="00D42F82">
        <w:rPr>
          <w:lang w:val="es-ES_tradnl"/>
        </w:rPr>
        <w:t xml:space="preserve">está constituido por más de </w:t>
      </w:r>
      <w:r>
        <w:rPr>
          <w:lang w:val="es-ES_tradnl"/>
        </w:rPr>
        <w:t>433.000</w:t>
      </w:r>
      <w:r w:rsidRPr="00D42F82">
        <w:rPr>
          <w:lang w:val="es-ES_tradnl"/>
        </w:rPr>
        <w:t xml:space="preserve"> MiPyME</w:t>
      </w:r>
      <w:r w:rsidRPr="00E83B7E">
        <w:rPr>
          <w:lang w:val="es-ES_tradnl"/>
        </w:rPr>
        <w:t xml:space="preserve">. El sector contribuye al empleo en un </w:t>
      </w:r>
      <w:r>
        <w:rPr>
          <w:lang w:val="es-ES_tradnl"/>
        </w:rPr>
        <w:t>6</w:t>
      </w:r>
      <w:r w:rsidRPr="00E83B7E">
        <w:rPr>
          <w:lang w:val="es-ES_tradnl"/>
        </w:rPr>
        <w:t xml:space="preserve">% y al nivel de actividad en un </w:t>
      </w:r>
      <w:r>
        <w:rPr>
          <w:lang w:val="es-ES_tradnl"/>
        </w:rPr>
        <w:t>9</w:t>
      </w:r>
      <w:r w:rsidRPr="00E83B7E">
        <w:rPr>
          <w:lang w:val="es-ES_tradnl"/>
        </w:rPr>
        <w:t xml:space="preserve">%. </w:t>
      </w:r>
    </w:p>
    <w:p w14:paraId="7C473A84" w14:textId="0C8D5958" w:rsidR="004F54FB" w:rsidRPr="00E83B7E" w:rsidRDefault="00DF757D" w:rsidP="0033629B">
      <w:pPr>
        <w:spacing w:after="0" w:line="240" w:lineRule="auto"/>
        <w:jc w:val="center"/>
        <w:rPr>
          <w:b/>
          <w:bCs/>
          <w:lang w:val="es-ES_tradnl"/>
        </w:rPr>
      </w:pPr>
      <w:r w:rsidRPr="00E83B7E">
        <w:rPr>
          <w:b/>
          <w:bCs/>
          <w:lang w:val="es-ES_tradnl"/>
        </w:rPr>
        <w:t>Tabla II.B.1</w:t>
      </w:r>
    </w:p>
    <w:p w14:paraId="18468152" w14:textId="399BCE8D" w:rsidR="00DF757D" w:rsidRPr="00D536DF" w:rsidRDefault="0033629B" w:rsidP="0033629B">
      <w:pPr>
        <w:spacing w:after="0" w:line="240" w:lineRule="auto"/>
        <w:jc w:val="center"/>
        <w:rPr>
          <w:b/>
          <w:bCs/>
          <w:lang w:val="es-ES"/>
        </w:rPr>
      </w:pPr>
      <w:r w:rsidRPr="009E067C">
        <w:rPr>
          <w:b/>
          <w:bCs/>
          <w:lang w:val="es-ES_tradnl"/>
        </w:rPr>
        <w:t>Situación por sectores</w:t>
      </w:r>
    </w:p>
    <w:p w14:paraId="31B644F0" w14:textId="24DDBBD8" w:rsidR="0033629B" w:rsidRPr="00E83B7E" w:rsidRDefault="004E759C" w:rsidP="0033629B">
      <w:pPr>
        <w:spacing w:after="0" w:line="240" w:lineRule="auto"/>
        <w:jc w:val="center"/>
        <w:rPr>
          <w:b/>
          <w:bCs/>
          <w:lang w:val="es-ES_tradnl"/>
        </w:rPr>
      </w:pPr>
      <w:r w:rsidRPr="004E759C">
        <w:rPr>
          <w:noProof/>
        </w:rPr>
        <w:drawing>
          <wp:inline distT="0" distB="0" distL="0" distR="0" wp14:anchorId="415EB205" wp14:editId="1DDDB5F8">
            <wp:extent cx="6440557" cy="3236105"/>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43632" cy="3237650"/>
                    </a:xfrm>
                    <a:prstGeom prst="rect">
                      <a:avLst/>
                    </a:prstGeom>
                    <a:noFill/>
                    <a:ln>
                      <a:noFill/>
                    </a:ln>
                  </pic:spPr>
                </pic:pic>
              </a:graphicData>
            </a:graphic>
          </wp:inline>
        </w:drawing>
      </w:r>
    </w:p>
    <w:p w14:paraId="23D11D59" w14:textId="679369EC" w:rsidR="00404E61" w:rsidRPr="00E83B7E" w:rsidRDefault="00404E61" w:rsidP="00404E61">
      <w:pPr>
        <w:spacing w:after="0" w:line="240" w:lineRule="auto"/>
        <w:rPr>
          <w:sz w:val="18"/>
          <w:szCs w:val="18"/>
          <w:lang w:val="es-ES_tradnl"/>
        </w:rPr>
      </w:pPr>
      <w:r w:rsidRPr="00E83B7E">
        <w:rPr>
          <w:sz w:val="18"/>
          <w:szCs w:val="18"/>
          <w:lang w:val="es-ES_tradnl"/>
        </w:rPr>
        <w:t xml:space="preserve">Fuente: </w:t>
      </w:r>
      <w:r w:rsidR="009E067C">
        <w:rPr>
          <w:sz w:val="18"/>
          <w:szCs w:val="18"/>
          <w:lang w:val="es-ES_tradnl"/>
        </w:rPr>
        <w:t>Elaboración propia</w:t>
      </w:r>
      <w:r w:rsidRPr="00E83B7E">
        <w:rPr>
          <w:sz w:val="18"/>
          <w:szCs w:val="18"/>
          <w:lang w:val="es-ES_tradnl"/>
        </w:rPr>
        <w:t>.</w:t>
      </w:r>
    </w:p>
    <w:p w14:paraId="0CA925C5" w14:textId="318E5DBA" w:rsidR="00AB05B2" w:rsidRPr="00E83B7E" w:rsidRDefault="00AB05B2" w:rsidP="0007292C">
      <w:pPr>
        <w:pStyle w:val="Heading1"/>
        <w:jc w:val="both"/>
        <w:rPr>
          <w:lang w:val="es-ES_tradnl"/>
        </w:rPr>
      </w:pPr>
      <w:bookmarkStart w:id="10" w:name="_Toc36834040"/>
      <w:r w:rsidRPr="00E83B7E">
        <w:rPr>
          <w:lang w:val="es-ES_tradnl"/>
        </w:rPr>
        <w:t>Conclusión</w:t>
      </w:r>
      <w:bookmarkEnd w:id="10"/>
      <w:r w:rsidRPr="00E83B7E">
        <w:rPr>
          <w:lang w:val="es-ES_tradnl"/>
        </w:rPr>
        <w:t xml:space="preserve"> </w:t>
      </w:r>
    </w:p>
    <w:p w14:paraId="65A8F1B5" w14:textId="384ACC5C" w:rsidR="00A700FB" w:rsidRPr="00E83B7E" w:rsidRDefault="00A700FB" w:rsidP="00A700FB">
      <w:pPr>
        <w:jc w:val="both"/>
        <w:rPr>
          <w:lang w:val="es-ES_tradnl"/>
        </w:rPr>
      </w:pPr>
      <w:r w:rsidRPr="00E83B7E">
        <w:rPr>
          <w:lang w:val="es-ES_tradnl"/>
        </w:rPr>
        <w:t xml:space="preserve">El análisis concluye que los sectores productivos que pueden considerarse de mayor vulnerabilidad en </w:t>
      </w:r>
      <w:r w:rsidR="00A044C9">
        <w:rPr>
          <w:lang w:val="es-ES_tradnl"/>
        </w:rPr>
        <w:t>México</w:t>
      </w:r>
      <w:r w:rsidRPr="00E83B7E">
        <w:rPr>
          <w:lang w:val="es-ES_tradnl"/>
        </w:rPr>
        <w:t xml:space="preserve"> ante la crisis del COVID-19</w:t>
      </w:r>
      <w:r w:rsidR="00994BAE" w:rsidRPr="00E83B7E">
        <w:rPr>
          <w:lang w:val="es-ES_tradnl"/>
        </w:rPr>
        <w:t xml:space="preserve"> dentro de los analizados</w:t>
      </w:r>
      <w:r w:rsidRPr="00E83B7E">
        <w:rPr>
          <w:lang w:val="es-ES_tradnl"/>
        </w:rPr>
        <w:t xml:space="preserve"> son: </w:t>
      </w:r>
      <w:r w:rsidR="00A044C9">
        <w:rPr>
          <w:lang w:val="es-ES_tradnl"/>
        </w:rPr>
        <w:t xml:space="preserve">autopartes </w:t>
      </w:r>
      <w:r w:rsidR="002B00EE">
        <w:rPr>
          <w:lang w:val="es-ES_tradnl"/>
        </w:rPr>
        <w:t>con un impacto severo de grado cuatro, seguido de</w:t>
      </w:r>
      <w:r w:rsidR="002B00EE" w:rsidRPr="00E83B7E">
        <w:rPr>
          <w:lang w:val="es-ES_tradnl"/>
        </w:rPr>
        <w:t xml:space="preserve"> </w:t>
      </w:r>
      <w:r w:rsidR="002B00EE">
        <w:rPr>
          <w:lang w:val="es-ES_tradnl"/>
        </w:rPr>
        <w:t xml:space="preserve">los sectores </w:t>
      </w:r>
      <w:r w:rsidR="00EC45B4">
        <w:rPr>
          <w:lang w:val="es-ES_tradnl"/>
        </w:rPr>
        <w:t xml:space="preserve">con severidad de grado tres como </w:t>
      </w:r>
      <w:r w:rsidR="00230AD4">
        <w:rPr>
          <w:lang w:val="es-ES_tradnl"/>
        </w:rPr>
        <w:t xml:space="preserve">construcción, </w:t>
      </w:r>
      <w:r w:rsidR="00EC45B4">
        <w:rPr>
          <w:lang w:val="es-ES_tradnl"/>
        </w:rPr>
        <w:t xml:space="preserve">textil, </w:t>
      </w:r>
      <w:r w:rsidR="00A044C9">
        <w:rPr>
          <w:lang w:val="es-ES_tradnl"/>
        </w:rPr>
        <w:t>turismo</w:t>
      </w:r>
      <w:r w:rsidR="0A291431" w:rsidRPr="00E83B7E">
        <w:rPr>
          <w:lang w:val="es-ES_tradnl"/>
        </w:rPr>
        <w:t xml:space="preserve">, </w:t>
      </w:r>
      <w:r w:rsidR="00230AD4">
        <w:rPr>
          <w:lang w:val="es-ES_tradnl"/>
        </w:rPr>
        <w:t xml:space="preserve">energía, </w:t>
      </w:r>
      <w:r w:rsidR="00EC45B4">
        <w:rPr>
          <w:lang w:val="es-ES_tradnl"/>
        </w:rPr>
        <w:t>comercio al por menor</w:t>
      </w:r>
      <w:r w:rsidR="00D817F2">
        <w:rPr>
          <w:lang w:val="es-ES_tradnl"/>
        </w:rPr>
        <w:t xml:space="preserve">, automotriz y </w:t>
      </w:r>
      <w:r w:rsidR="002B00EE">
        <w:rPr>
          <w:lang w:val="es-ES_tradnl"/>
        </w:rPr>
        <w:t>agroalimentario</w:t>
      </w:r>
      <w:r w:rsidR="0077797C" w:rsidRPr="00E83B7E">
        <w:rPr>
          <w:lang w:val="es-ES_tradnl"/>
        </w:rPr>
        <w:t xml:space="preserve">. </w:t>
      </w:r>
      <w:r w:rsidR="003B6735">
        <w:rPr>
          <w:lang w:val="es-ES_tradnl"/>
        </w:rPr>
        <w:t>En el</w:t>
      </w:r>
      <w:r w:rsidR="009E067C">
        <w:rPr>
          <w:lang w:val="es-ES_tradnl"/>
        </w:rPr>
        <w:t xml:space="preserve"> </w:t>
      </w:r>
      <w:r w:rsidR="009E067C" w:rsidRPr="00E83B7E">
        <w:rPr>
          <w:lang w:val="es-ES_tradnl"/>
        </w:rPr>
        <w:t xml:space="preserve">sector transporte </w:t>
      </w:r>
      <w:r w:rsidR="0077797C" w:rsidRPr="00E83B7E">
        <w:rPr>
          <w:lang w:val="es-ES_tradnl"/>
        </w:rPr>
        <w:t>se encuentra</w:t>
      </w:r>
      <w:r w:rsidR="00D817F2">
        <w:rPr>
          <w:lang w:val="es-ES_tradnl"/>
        </w:rPr>
        <w:t>n</w:t>
      </w:r>
      <w:r w:rsidR="0077797C" w:rsidRPr="00E83B7E">
        <w:rPr>
          <w:lang w:val="es-ES_tradnl"/>
        </w:rPr>
        <w:t xml:space="preserve"> en una situación </w:t>
      </w:r>
      <w:r w:rsidR="00A044C9">
        <w:rPr>
          <w:lang w:val="es-ES_tradnl"/>
        </w:rPr>
        <w:t xml:space="preserve">de </w:t>
      </w:r>
      <w:r w:rsidR="009E067C">
        <w:rPr>
          <w:lang w:val="es-ES_tradnl"/>
        </w:rPr>
        <w:t>menor</w:t>
      </w:r>
      <w:r w:rsidR="002B00EE">
        <w:rPr>
          <w:lang w:val="es-ES_tradnl"/>
        </w:rPr>
        <w:t xml:space="preserve"> severidad del</w:t>
      </w:r>
      <w:r w:rsidR="00A044C9">
        <w:rPr>
          <w:lang w:val="es-ES_tradnl"/>
        </w:rPr>
        <w:t xml:space="preserve"> impacto</w:t>
      </w:r>
      <w:r w:rsidR="0077797C" w:rsidRPr="00E83B7E">
        <w:rPr>
          <w:lang w:val="es-ES_tradnl"/>
        </w:rPr>
        <w:t xml:space="preserve"> (ver tabla II.A.1).</w:t>
      </w:r>
    </w:p>
    <w:p w14:paraId="1D4D8D30" w14:textId="77777777" w:rsidR="00A700FB" w:rsidRPr="00E83B7E" w:rsidRDefault="00A700FB" w:rsidP="00A700FB">
      <w:pPr>
        <w:jc w:val="both"/>
        <w:rPr>
          <w:lang w:val="es-ES_tradnl"/>
        </w:rPr>
      </w:pPr>
      <w:r w:rsidRPr="00E83B7E">
        <w:rPr>
          <w:lang w:val="es-ES_tradnl"/>
        </w:rPr>
        <w:lastRenderedPageBreak/>
        <w:t>Este diagnóstico toma en consideración los sectores que presentan una mayor probabilidad de verse afectados en términos de pérdidas de empleo en función de la posible materialización de los siguientes riesgos identificados ante la crisis del COVID-19: (i) factores de contracción de la oferta (como limitaciones al uso del factor trabajo, insuficiencia en la cantidad y calidad de insumos variables, aumentos en los costes de factores de producción, disrupciones en la cadena de valor, entre otros; (ii) factores de contracción de la demanda (como los cambios en los comportamientos y preferencias del consumo, restricciones de liquidez de demandantes, reducción en la demanda de exportación, entre otros); (iii) factores financieros (como retraso e interrupción en los ciclos de pago, reducción o interrupción de financiamiento, incremento en los costos de financiamiento) y patrimoniales (reducción en el valor de activos y acumulación de pasivos); y (iv) otros riesgos sistémicos y del entorno regulatorio (incertidumbre institucional y legal e inestabilidad política y social).</w:t>
      </w:r>
    </w:p>
    <w:p w14:paraId="31851136" w14:textId="77777777" w:rsidR="00D4307D" w:rsidRPr="00E83B7E" w:rsidRDefault="00D4307D">
      <w:pPr>
        <w:rPr>
          <w:rFonts w:asciiTheme="majorHAnsi" w:eastAsiaTheme="majorEastAsia" w:hAnsiTheme="majorHAnsi" w:cstheme="majorBidi"/>
          <w:sz w:val="32"/>
          <w:szCs w:val="32"/>
          <w:lang w:val="es-ES_tradnl"/>
        </w:rPr>
      </w:pPr>
      <w:r w:rsidRPr="00E83B7E">
        <w:rPr>
          <w:lang w:val="es-ES_tradnl"/>
        </w:rPr>
        <w:br w:type="page"/>
      </w:r>
    </w:p>
    <w:p w14:paraId="6222AD1D" w14:textId="201B9F1B" w:rsidR="00945B21" w:rsidRPr="00E83B7E" w:rsidRDefault="00945B21" w:rsidP="0007292C">
      <w:pPr>
        <w:pStyle w:val="Heading1"/>
        <w:numPr>
          <w:ilvl w:val="0"/>
          <w:numId w:val="0"/>
        </w:numPr>
        <w:jc w:val="both"/>
        <w:rPr>
          <w:lang w:val="es-ES_tradnl"/>
        </w:rPr>
      </w:pPr>
      <w:bookmarkStart w:id="11" w:name="_Toc36834041"/>
      <w:r w:rsidRPr="00E83B7E">
        <w:rPr>
          <w:lang w:val="es-ES_tradnl"/>
        </w:rPr>
        <w:lastRenderedPageBreak/>
        <w:t>Anexo</w:t>
      </w:r>
      <w:r w:rsidR="00BF3440" w:rsidRPr="00E83B7E">
        <w:rPr>
          <w:lang w:val="es-ES_tradnl"/>
        </w:rPr>
        <w:t xml:space="preserve"> I: </w:t>
      </w:r>
      <w:r w:rsidRPr="00E83B7E">
        <w:rPr>
          <w:lang w:val="es-ES_tradnl"/>
        </w:rPr>
        <w:t>aspectos metodológicos</w:t>
      </w:r>
      <w:bookmarkEnd w:id="11"/>
    </w:p>
    <w:p w14:paraId="5059A126" w14:textId="5CBAD958" w:rsidR="00C705C2" w:rsidRPr="00E83B7E" w:rsidRDefault="00A87C9A" w:rsidP="00A87C9A">
      <w:pPr>
        <w:jc w:val="both"/>
        <w:rPr>
          <w:lang w:val="es-ES_tradnl"/>
        </w:rPr>
      </w:pPr>
      <w:r w:rsidRPr="00E83B7E">
        <w:rPr>
          <w:lang w:val="es-ES_tradnl"/>
        </w:rPr>
        <w:t xml:space="preserve">Este documento presente un análisis de vulnerabilidades desagregado por sectores y con referencia a la situación de las MIPYME. Se consideran en particular los siguientes </w:t>
      </w:r>
      <w:r w:rsidR="0096126B">
        <w:rPr>
          <w:lang w:val="es-ES_tradnl"/>
        </w:rPr>
        <w:t>ocho</w:t>
      </w:r>
      <w:r w:rsidRPr="00E83B7E">
        <w:rPr>
          <w:lang w:val="es-ES_tradnl"/>
        </w:rPr>
        <w:t xml:space="preserve"> sectores: </w:t>
      </w:r>
      <w:r w:rsidR="0096126B">
        <w:rPr>
          <w:lang w:val="es-ES_tradnl"/>
        </w:rPr>
        <w:t xml:space="preserve">Comercio al por menor, </w:t>
      </w:r>
      <w:r w:rsidRPr="00E83B7E">
        <w:rPr>
          <w:lang w:val="es-ES_tradnl"/>
        </w:rPr>
        <w:t>Turismo, Transporte</w:t>
      </w:r>
      <w:r w:rsidR="0096126B">
        <w:rPr>
          <w:lang w:val="es-ES_tradnl"/>
        </w:rPr>
        <w:t xml:space="preserve"> de carga y de pasajeros</w:t>
      </w:r>
      <w:r w:rsidRPr="00E83B7E">
        <w:rPr>
          <w:lang w:val="es-ES_tradnl"/>
        </w:rPr>
        <w:t xml:space="preserve">, Automotriz, </w:t>
      </w:r>
      <w:r w:rsidR="0096126B">
        <w:rPr>
          <w:lang w:val="es-ES_tradnl"/>
        </w:rPr>
        <w:t>Autopartes</w:t>
      </w:r>
      <w:r w:rsidRPr="00E83B7E">
        <w:rPr>
          <w:lang w:val="es-ES_tradnl"/>
        </w:rPr>
        <w:t>, Textil y Agropecuario.</w:t>
      </w:r>
      <w:r w:rsidR="003426B4" w:rsidRPr="00E83B7E">
        <w:rPr>
          <w:lang w:val="es-ES_tradnl"/>
        </w:rPr>
        <w:t xml:space="preserve"> </w:t>
      </w:r>
    </w:p>
    <w:p w14:paraId="682A224F" w14:textId="77777777" w:rsidR="00781E24" w:rsidRPr="00E83B7E" w:rsidRDefault="00A87C9A" w:rsidP="00A87C9A">
      <w:pPr>
        <w:jc w:val="both"/>
        <w:rPr>
          <w:lang w:val="es-ES_tradnl"/>
        </w:rPr>
      </w:pPr>
      <w:r w:rsidRPr="00E83B7E">
        <w:rPr>
          <w:lang w:val="es-ES_tradnl"/>
        </w:rPr>
        <w:t>Para la determinación de la vulnerabilidad general de un sector se identifican</w:t>
      </w:r>
      <w:r w:rsidR="00C705C2" w:rsidRPr="00E83B7E">
        <w:rPr>
          <w:lang w:val="es-ES_tradnl"/>
        </w:rPr>
        <w:t xml:space="preserve"> factores agrupados en</w:t>
      </w:r>
      <w:r w:rsidRPr="00E83B7E">
        <w:rPr>
          <w:lang w:val="es-ES_tradnl"/>
        </w:rPr>
        <w:t xml:space="preserve"> cuatro áreas</w:t>
      </w:r>
      <w:r w:rsidR="00C705C2" w:rsidRPr="00E83B7E">
        <w:rPr>
          <w:lang w:val="es-ES_tradnl"/>
        </w:rPr>
        <w:t>:</w:t>
      </w:r>
      <w:r w:rsidRPr="00E83B7E">
        <w:rPr>
          <w:lang w:val="es-ES_tradnl"/>
        </w:rPr>
        <w:t xml:space="preserve"> oferta</w:t>
      </w:r>
      <w:r w:rsidR="002145E1" w:rsidRPr="00E83B7E">
        <w:rPr>
          <w:lang w:val="es-ES_tradnl"/>
        </w:rPr>
        <w:t>,</w:t>
      </w:r>
      <w:r w:rsidRPr="00E83B7E">
        <w:rPr>
          <w:lang w:val="es-ES_tradnl"/>
        </w:rPr>
        <w:t xml:space="preserve"> demanda</w:t>
      </w:r>
      <w:r w:rsidR="002145E1" w:rsidRPr="00E83B7E">
        <w:rPr>
          <w:lang w:val="es-ES_tradnl"/>
        </w:rPr>
        <w:t>,</w:t>
      </w:r>
      <w:r w:rsidRPr="00E83B7E">
        <w:rPr>
          <w:lang w:val="es-ES_tradnl"/>
        </w:rPr>
        <w:t xml:space="preserve"> financiera y patrimonial y sistémico y regulatorio. En estas cuatro áreas se identifican tipos de riesgo y se los evalúa asignándoles un grado cualitativo de materialización potencial e impacto del riesgo, a saber: moderado, significativo, severo y extremo.</w:t>
      </w:r>
    </w:p>
    <w:p w14:paraId="2BF9AE76" w14:textId="7863E4C2" w:rsidR="00A87C9A" w:rsidRPr="00E83B7E" w:rsidRDefault="00A87C9A" w:rsidP="00A87C9A">
      <w:pPr>
        <w:jc w:val="both"/>
        <w:rPr>
          <w:lang w:val="es-ES_tradnl"/>
        </w:rPr>
      </w:pPr>
      <w:r w:rsidRPr="00E83B7E">
        <w:rPr>
          <w:lang w:val="es-ES_tradnl"/>
        </w:rPr>
        <w:t>La calificación de cada componente ha sido llevada adelante por expertos sectoriales del Banco Interamericano de Desarrollo, quienes han generado una evaluación general al momento del inicio de la crisis del COVID-19, basada en sus percepciones, experiencia y utilizando distintas fuentes de información (incluyendo entre otras, entrevistas a cámaras de comercio y actores relevantes, estadísticas de acceso público y otros informes especializados). Los factores considerados y las distintas áreas a las que pertenecen</w:t>
      </w:r>
      <w:r w:rsidR="00E54526" w:rsidRPr="00E83B7E">
        <w:rPr>
          <w:lang w:val="es-ES_tradnl"/>
        </w:rPr>
        <w:t>, junto con una descripción del concepto se incluyen en el cuadro A.</w:t>
      </w:r>
      <w:r w:rsidR="00FE18AA" w:rsidRPr="00E83B7E">
        <w:rPr>
          <w:lang w:val="es-ES_tradnl"/>
        </w:rPr>
        <w:t>I.</w:t>
      </w:r>
      <w:r w:rsidR="00E54526" w:rsidRPr="00E83B7E">
        <w:rPr>
          <w:lang w:val="es-ES_tradnl"/>
        </w:rPr>
        <w:t>1</w:t>
      </w:r>
      <w:r w:rsidR="00FE18AA" w:rsidRPr="00E83B7E">
        <w:rPr>
          <w:lang w:val="es-ES_tradnl"/>
        </w:rPr>
        <w:t>.</w:t>
      </w:r>
    </w:p>
    <w:p w14:paraId="24A6AD40" w14:textId="4770015A" w:rsidR="00A87C9A" w:rsidRPr="00E83B7E" w:rsidRDefault="00A87C9A" w:rsidP="00667CD9">
      <w:pPr>
        <w:jc w:val="both"/>
        <w:rPr>
          <w:lang w:val="es-ES_tradnl"/>
        </w:rPr>
      </w:pPr>
      <w:r w:rsidRPr="00E83B7E">
        <w:rPr>
          <w:lang w:val="es-ES_tradnl"/>
        </w:rPr>
        <w:t>Una vez asignada la calificación de riesgo/vulnerabilidad para cada factor, se evalúan los resultados y se agregan en un índice que asigna un peso de 30% respectivamente para los factores de oferta, demanda y financieros y patrimoniales y de 10% para los factores sistémicos y regulatorios.</w:t>
      </w:r>
      <w:r w:rsidR="001321AA" w:rsidRPr="00E83B7E">
        <w:rPr>
          <w:lang w:val="es-ES_tradnl"/>
        </w:rPr>
        <w:t xml:space="preserve"> Se le ha dado mayor ponderación relativa a los factores que se consideran más volátiles </w:t>
      </w:r>
      <w:r w:rsidR="00DE5A58" w:rsidRPr="00E83B7E">
        <w:rPr>
          <w:lang w:val="es-ES_tradnl"/>
        </w:rPr>
        <w:t>en el corto plazo</w:t>
      </w:r>
      <w:r w:rsidR="00C21AD8" w:rsidRPr="00E83B7E">
        <w:rPr>
          <w:lang w:val="es-ES_tradnl"/>
        </w:rPr>
        <w:t xml:space="preserve"> (oferta, demanda, factores patrimoniales y financieros), pero también se ha decidido la inclusión de factores institucionales debido al riesgo en esa dimensión que emerge por la significatividad del problema generado por la pandemia del COVID-19.</w:t>
      </w:r>
      <w:r w:rsidRPr="00E83B7E">
        <w:rPr>
          <w:lang w:val="es-ES_tradnl"/>
        </w:rPr>
        <w:t xml:space="preserve"> </w:t>
      </w:r>
    </w:p>
    <w:p w14:paraId="20A3C259" w14:textId="5402A2A8" w:rsidR="00D755A2" w:rsidRPr="00E83B7E" w:rsidRDefault="00A87C9A" w:rsidP="00A87C9A">
      <w:pPr>
        <w:jc w:val="both"/>
        <w:rPr>
          <w:lang w:val="es-ES_tradnl"/>
        </w:rPr>
      </w:pPr>
      <w:r w:rsidRPr="00E83B7E">
        <w:rPr>
          <w:lang w:val="es-ES_tradnl"/>
        </w:rPr>
        <w:t xml:space="preserve">De manera adicional, también se presenta el grado de vulnerabilidad agregado generado por dichos sectores productivos utilizando </w:t>
      </w:r>
      <w:r w:rsidR="00D755A2" w:rsidRPr="00E83B7E">
        <w:rPr>
          <w:lang w:val="es-ES_tradnl"/>
        </w:rPr>
        <w:t xml:space="preserve">la contribución al PIB y al empleo como ponderadores alternativos. En este caso (ver tabla </w:t>
      </w:r>
      <w:r w:rsidR="005D1844" w:rsidRPr="00E83B7E">
        <w:rPr>
          <w:lang w:val="es-ES_tradnl"/>
        </w:rPr>
        <w:t xml:space="preserve">II.A.1), </w:t>
      </w:r>
      <w:r w:rsidR="00825D67" w:rsidRPr="00E83B7E">
        <w:rPr>
          <w:lang w:val="es-ES_tradnl"/>
        </w:rPr>
        <w:t xml:space="preserve">se están considerando las contribuciones sólo de los sectores bajo análisis, con lo cual </w:t>
      </w:r>
      <w:r w:rsidR="00F95A60" w:rsidRPr="00E83B7E">
        <w:rPr>
          <w:lang w:val="es-ES_tradnl"/>
        </w:rPr>
        <w:t xml:space="preserve">los ponderadores se recalculan para llegar al 100 a pesar de que la contribución al PIB esté en torno al 35% y del empleo </w:t>
      </w:r>
      <w:r w:rsidR="0091146C" w:rsidRPr="00E83B7E">
        <w:rPr>
          <w:lang w:val="es-ES_tradnl"/>
        </w:rPr>
        <w:t>cerca del 41%.</w:t>
      </w:r>
    </w:p>
    <w:p w14:paraId="38ED9B12" w14:textId="77777777" w:rsidR="00EC45B4" w:rsidRPr="00AD0640" w:rsidRDefault="00EC45B4" w:rsidP="00EC45B4">
      <w:pPr>
        <w:rPr>
          <w:b/>
          <w:bCs/>
          <w:lang w:val="es-AR"/>
        </w:rPr>
      </w:pPr>
      <w:r w:rsidRPr="00AD0640">
        <w:rPr>
          <w:b/>
          <w:bCs/>
          <w:lang w:val="es-AR"/>
        </w:rPr>
        <w:t>Interpretación del IV</w:t>
      </w:r>
    </w:p>
    <w:p w14:paraId="0E62C56D" w14:textId="5944A4D8" w:rsidR="00EC45B4" w:rsidRDefault="00EC45B4" w:rsidP="00EC45B4">
      <w:pPr>
        <w:jc w:val="both"/>
        <w:rPr>
          <w:lang w:val="es-AR"/>
        </w:rPr>
      </w:pPr>
      <w:r w:rsidRPr="00AD0640">
        <w:rPr>
          <w:lang w:val="es-AR"/>
        </w:rPr>
        <w:t xml:space="preserve">La metodología utilizada está identificando un grado de vulnerabilidad global de un sector determinado por el impacto del COVID-19. Los sectores analizados han sido elegidos por su importancia relativa en lo que refiere a la creación de empleo y a su contribución al PBI y por su potencial vulnerabilidad ante los cambios en las condiciones de oferta, demanda, financieras y patrimoniales, como así también institucionales. En ese sentido, el índice está graduando a partir de un nivel de vulnerabilidad elevado. De esta manera, el que un sector cuente con un IV relativamente bajo, por ejemplo, entre 0 y 24, no significa que ese sector no sea vulnerable, sino que está en un primer nivel de severidad dentro de los afectados. Para resaltar este concepto, se propone en el siguiente cuadro una lectura por rangos del IV que va desde “Severo grado 1” a “Severo grado 4”. </w:t>
      </w:r>
    </w:p>
    <w:p w14:paraId="3974E3E9" w14:textId="54583BA2" w:rsidR="00EC45B4" w:rsidRDefault="00EC45B4" w:rsidP="00EC45B4">
      <w:pPr>
        <w:jc w:val="both"/>
        <w:rPr>
          <w:lang w:val="es-AR"/>
        </w:rPr>
      </w:pPr>
    </w:p>
    <w:p w14:paraId="57F49575" w14:textId="5D16A103" w:rsidR="00EC45B4" w:rsidRDefault="00EC45B4" w:rsidP="00EC45B4">
      <w:pPr>
        <w:jc w:val="both"/>
        <w:rPr>
          <w:lang w:val="es-AR"/>
        </w:rPr>
      </w:pPr>
    </w:p>
    <w:p w14:paraId="482BE56D" w14:textId="570D71AB" w:rsidR="00EC45B4" w:rsidRDefault="00EC45B4" w:rsidP="00EC45B4">
      <w:pPr>
        <w:jc w:val="both"/>
        <w:rPr>
          <w:lang w:val="es-AR"/>
        </w:rPr>
      </w:pPr>
    </w:p>
    <w:p w14:paraId="7E3CAFCD" w14:textId="77777777" w:rsidR="00EC45B4" w:rsidRPr="00AD0640" w:rsidRDefault="00EC45B4" w:rsidP="00EC45B4">
      <w:pPr>
        <w:spacing w:after="0" w:line="240" w:lineRule="auto"/>
        <w:jc w:val="center"/>
        <w:rPr>
          <w:b/>
          <w:bCs/>
          <w:lang w:val="es-AR"/>
        </w:rPr>
      </w:pPr>
      <w:r w:rsidRPr="00AD0640">
        <w:rPr>
          <w:b/>
          <w:bCs/>
          <w:lang w:val="es-AR"/>
        </w:rPr>
        <w:lastRenderedPageBreak/>
        <w:t>Tabla A.I.1</w:t>
      </w:r>
    </w:p>
    <w:p w14:paraId="79313711" w14:textId="77777777" w:rsidR="00EC45B4" w:rsidRPr="00AD0640" w:rsidRDefault="00EC45B4" w:rsidP="00EC45B4">
      <w:pPr>
        <w:spacing w:after="0" w:line="240" w:lineRule="auto"/>
        <w:jc w:val="center"/>
        <w:rPr>
          <w:b/>
          <w:bCs/>
          <w:lang w:val="es-AR"/>
        </w:rPr>
      </w:pPr>
      <w:r w:rsidRPr="00AD0640">
        <w:rPr>
          <w:b/>
          <w:bCs/>
          <w:lang w:val="es-AR"/>
        </w:rPr>
        <w:t>Clasificación cualitativa del</w:t>
      </w:r>
    </w:p>
    <w:p w14:paraId="701A8115" w14:textId="77777777" w:rsidR="00EC45B4" w:rsidRPr="00AD0640" w:rsidRDefault="00EC45B4" w:rsidP="00EC45B4">
      <w:pPr>
        <w:spacing w:after="0" w:line="240" w:lineRule="auto"/>
        <w:jc w:val="center"/>
        <w:rPr>
          <w:lang w:val="es-AR"/>
        </w:rPr>
      </w:pPr>
      <w:r w:rsidRPr="00AD0640">
        <w:rPr>
          <w:b/>
          <w:bCs/>
          <w:lang w:val="es-AR"/>
        </w:rPr>
        <w:t>Índice de vulnerabilidad (IV)</w:t>
      </w:r>
      <w:r w:rsidRPr="00AD0640">
        <w:rPr>
          <w:lang w:val="es-AR"/>
        </w:rPr>
        <w:t xml:space="preserve"> </w:t>
      </w:r>
    </w:p>
    <w:tbl>
      <w:tblPr>
        <w:tblW w:w="2785" w:type="dxa"/>
        <w:jc w:val="center"/>
        <w:tblLook w:val="04A0" w:firstRow="1" w:lastRow="0" w:firstColumn="1" w:lastColumn="0" w:noHBand="0" w:noVBand="1"/>
      </w:tblPr>
      <w:tblGrid>
        <w:gridCol w:w="960"/>
        <w:gridCol w:w="1825"/>
      </w:tblGrid>
      <w:tr w:rsidR="00EC45B4" w:rsidRPr="00AD0640" w14:paraId="3AA7A139" w14:textId="77777777" w:rsidTr="00844123">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43D6F0D9" w14:textId="77777777" w:rsidR="00EC45B4" w:rsidRPr="00AD0640" w:rsidRDefault="00EC45B4" w:rsidP="00844123">
            <w:pPr>
              <w:spacing w:after="0" w:line="240" w:lineRule="auto"/>
              <w:jc w:val="center"/>
              <w:rPr>
                <w:rFonts w:ascii="Calibri" w:eastAsia="Times New Roman" w:hAnsi="Calibri" w:cs="Calibri"/>
                <w:b/>
                <w:bCs/>
                <w:color w:val="000000"/>
                <w:lang w:val="es-AR"/>
              </w:rPr>
            </w:pPr>
            <w:r w:rsidRPr="00AD0640">
              <w:rPr>
                <w:rFonts w:ascii="Calibri" w:eastAsia="Times New Roman" w:hAnsi="Calibri" w:cs="Calibri"/>
                <w:b/>
                <w:bCs/>
                <w:color w:val="000000"/>
                <w:lang w:val="es-AR"/>
              </w:rPr>
              <w:t>IV</w:t>
            </w:r>
          </w:p>
        </w:tc>
        <w:tc>
          <w:tcPr>
            <w:tcW w:w="1825" w:type="dxa"/>
            <w:tcBorders>
              <w:top w:val="single" w:sz="4" w:space="0" w:color="auto"/>
              <w:left w:val="nil"/>
              <w:bottom w:val="single" w:sz="4" w:space="0" w:color="auto"/>
              <w:right w:val="single" w:sz="4" w:space="0" w:color="auto"/>
            </w:tcBorders>
            <w:shd w:val="clear" w:color="000000" w:fill="D9E1F2"/>
            <w:noWrap/>
            <w:vAlign w:val="bottom"/>
            <w:hideMark/>
          </w:tcPr>
          <w:p w14:paraId="27E2962A" w14:textId="77777777" w:rsidR="00EC45B4" w:rsidRPr="00AD0640" w:rsidRDefault="00EC45B4" w:rsidP="00844123">
            <w:pPr>
              <w:spacing w:after="0" w:line="240" w:lineRule="auto"/>
              <w:jc w:val="center"/>
              <w:rPr>
                <w:rFonts w:ascii="Calibri" w:eastAsia="Times New Roman" w:hAnsi="Calibri" w:cs="Calibri"/>
                <w:b/>
                <w:bCs/>
                <w:color w:val="000000"/>
                <w:lang w:val="es-AR"/>
              </w:rPr>
            </w:pPr>
            <w:r w:rsidRPr="00AD0640">
              <w:rPr>
                <w:rFonts w:ascii="Calibri" w:eastAsia="Times New Roman" w:hAnsi="Calibri" w:cs="Calibri"/>
                <w:b/>
                <w:bCs/>
                <w:color w:val="000000"/>
                <w:lang w:val="es-AR"/>
              </w:rPr>
              <w:t>Interpretación</w:t>
            </w:r>
          </w:p>
        </w:tc>
      </w:tr>
      <w:tr w:rsidR="00EC45B4" w:rsidRPr="00AD0640" w14:paraId="3A061E05" w14:textId="77777777" w:rsidTr="00844123">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4BE0EAFD" w14:textId="77777777" w:rsidR="00EC45B4" w:rsidRPr="00AD0640" w:rsidRDefault="00EC45B4"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0-24</w:t>
            </w:r>
          </w:p>
        </w:tc>
        <w:tc>
          <w:tcPr>
            <w:tcW w:w="1825" w:type="dxa"/>
            <w:tcBorders>
              <w:top w:val="nil"/>
              <w:left w:val="nil"/>
              <w:bottom w:val="single" w:sz="4" w:space="0" w:color="auto"/>
              <w:right w:val="single" w:sz="4" w:space="0" w:color="auto"/>
            </w:tcBorders>
            <w:shd w:val="clear" w:color="000000" w:fill="FFFFFF"/>
            <w:noWrap/>
            <w:vAlign w:val="bottom"/>
            <w:hideMark/>
          </w:tcPr>
          <w:p w14:paraId="0EA3B93D" w14:textId="77777777" w:rsidR="00EC45B4" w:rsidRPr="00AD0640" w:rsidRDefault="00EC45B4"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Severo grado 1</w:t>
            </w:r>
          </w:p>
        </w:tc>
      </w:tr>
      <w:tr w:rsidR="00EC45B4" w:rsidRPr="00AD0640" w14:paraId="3DAC81D3" w14:textId="77777777" w:rsidTr="00844123">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17BA7CE3" w14:textId="77777777" w:rsidR="00EC45B4" w:rsidRPr="00AD0640" w:rsidRDefault="00EC45B4"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25-49</w:t>
            </w:r>
          </w:p>
        </w:tc>
        <w:tc>
          <w:tcPr>
            <w:tcW w:w="1825" w:type="dxa"/>
            <w:tcBorders>
              <w:top w:val="nil"/>
              <w:left w:val="nil"/>
              <w:bottom w:val="single" w:sz="4" w:space="0" w:color="auto"/>
              <w:right w:val="single" w:sz="4" w:space="0" w:color="auto"/>
            </w:tcBorders>
            <w:shd w:val="clear" w:color="000000" w:fill="FFFFFF"/>
            <w:noWrap/>
            <w:vAlign w:val="bottom"/>
            <w:hideMark/>
          </w:tcPr>
          <w:p w14:paraId="6855C67C" w14:textId="77777777" w:rsidR="00EC45B4" w:rsidRPr="00AD0640" w:rsidRDefault="00EC45B4"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Severo grado 2</w:t>
            </w:r>
          </w:p>
        </w:tc>
      </w:tr>
      <w:tr w:rsidR="00EC45B4" w:rsidRPr="00AD0640" w14:paraId="402BD7FF" w14:textId="77777777" w:rsidTr="00844123">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1DFD6262" w14:textId="77777777" w:rsidR="00EC45B4" w:rsidRPr="00AD0640" w:rsidRDefault="00EC45B4"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50-74</w:t>
            </w:r>
          </w:p>
        </w:tc>
        <w:tc>
          <w:tcPr>
            <w:tcW w:w="1825" w:type="dxa"/>
            <w:tcBorders>
              <w:top w:val="nil"/>
              <w:left w:val="nil"/>
              <w:bottom w:val="single" w:sz="4" w:space="0" w:color="auto"/>
              <w:right w:val="single" w:sz="4" w:space="0" w:color="auto"/>
            </w:tcBorders>
            <w:shd w:val="clear" w:color="000000" w:fill="FFFFFF"/>
            <w:noWrap/>
            <w:vAlign w:val="bottom"/>
            <w:hideMark/>
          </w:tcPr>
          <w:p w14:paraId="1CB3FE34" w14:textId="77777777" w:rsidR="00EC45B4" w:rsidRPr="00AD0640" w:rsidRDefault="00EC45B4"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Severo grado 3</w:t>
            </w:r>
          </w:p>
        </w:tc>
      </w:tr>
      <w:tr w:rsidR="00EC45B4" w:rsidRPr="00AD0640" w14:paraId="6A0596A2" w14:textId="77777777" w:rsidTr="00844123">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6D0A39EF" w14:textId="77777777" w:rsidR="00EC45B4" w:rsidRPr="00AD0640" w:rsidRDefault="00EC45B4"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75-100</w:t>
            </w:r>
          </w:p>
        </w:tc>
        <w:tc>
          <w:tcPr>
            <w:tcW w:w="1825" w:type="dxa"/>
            <w:tcBorders>
              <w:top w:val="nil"/>
              <w:left w:val="nil"/>
              <w:bottom w:val="single" w:sz="4" w:space="0" w:color="auto"/>
              <w:right w:val="single" w:sz="4" w:space="0" w:color="auto"/>
            </w:tcBorders>
            <w:shd w:val="clear" w:color="000000" w:fill="FFFFFF"/>
            <w:noWrap/>
            <w:vAlign w:val="bottom"/>
            <w:hideMark/>
          </w:tcPr>
          <w:p w14:paraId="3C5D8008" w14:textId="77777777" w:rsidR="00EC45B4" w:rsidRPr="00AD0640" w:rsidRDefault="00EC45B4"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Severo grado 4</w:t>
            </w:r>
          </w:p>
        </w:tc>
      </w:tr>
      <w:tr w:rsidR="00EC45B4" w:rsidRPr="00AD0640" w14:paraId="46E8AB68" w14:textId="77777777" w:rsidTr="00844123">
        <w:trPr>
          <w:trHeight w:val="300"/>
          <w:jc w:val="center"/>
        </w:trPr>
        <w:tc>
          <w:tcPr>
            <w:tcW w:w="2785" w:type="dxa"/>
            <w:gridSpan w:val="2"/>
            <w:tcBorders>
              <w:top w:val="nil"/>
              <w:left w:val="nil"/>
              <w:bottom w:val="nil"/>
              <w:right w:val="nil"/>
            </w:tcBorders>
            <w:shd w:val="clear" w:color="000000" w:fill="FFFFFF"/>
            <w:noWrap/>
            <w:vAlign w:val="bottom"/>
            <w:hideMark/>
          </w:tcPr>
          <w:p w14:paraId="7370BBFC" w14:textId="77777777" w:rsidR="00EC45B4" w:rsidRPr="00AD0640" w:rsidRDefault="00EC45B4" w:rsidP="00844123">
            <w:pPr>
              <w:spacing w:after="0" w:line="240" w:lineRule="auto"/>
              <w:rPr>
                <w:rFonts w:ascii="Calibri" w:eastAsia="Times New Roman" w:hAnsi="Calibri" w:cs="Calibri"/>
                <w:color w:val="000000"/>
                <w:sz w:val="18"/>
                <w:szCs w:val="18"/>
                <w:lang w:val="es-AR"/>
              </w:rPr>
            </w:pPr>
            <w:r w:rsidRPr="00AD0640">
              <w:rPr>
                <w:rFonts w:ascii="Calibri" w:eastAsia="Times New Roman" w:hAnsi="Calibri" w:cs="Calibri"/>
                <w:color w:val="000000"/>
                <w:sz w:val="18"/>
                <w:szCs w:val="18"/>
                <w:lang w:val="es-AR"/>
              </w:rPr>
              <w:t>Fuente: IFD/CMF.</w:t>
            </w:r>
          </w:p>
        </w:tc>
      </w:tr>
    </w:tbl>
    <w:p w14:paraId="67048E2B" w14:textId="77777777" w:rsidR="00EC45B4" w:rsidRPr="00AD0640" w:rsidRDefault="00EC45B4" w:rsidP="00EC45B4">
      <w:pPr>
        <w:jc w:val="both"/>
        <w:rPr>
          <w:lang w:val="es-AR"/>
        </w:rPr>
      </w:pPr>
    </w:p>
    <w:p w14:paraId="34CEFC36" w14:textId="77777777" w:rsidR="00EC45B4" w:rsidRPr="00AD0640" w:rsidRDefault="00EC45B4" w:rsidP="00EC45B4">
      <w:pPr>
        <w:jc w:val="both"/>
        <w:rPr>
          <w:lang w:val="es-AR"/>
        </w:rPr>
      </w:pPr>
      <w:r w:rsidRPr="00AD0640">
        <w:rPr>
          <w:lang w:val="es-AR"/>
        </w:rPr>
        <w:t xml:space="preserve">De manera adicional, un IV más elevado no debe interpretarse de manera directa como un ordenamiento directo para guiar la asignación de recursos paliativos. Para ellos debe realizarse un análisis más pormenorizado, atendiendo no solamente a la vulnerabilidad global sino a la situación por factores y al instrumento a utilizar. Por ejemplo, si un sector A tuviese un IV global mayor que un sector B y se estuviese considerando la utilización de instrumentos financieros, sería aconsejable prestar particular atención a la situación de los factores financieros y patrimoniales que contribuyen al índice. Y aún en el caso de un mayor índice de vulnerabilidad a nivel de subcomponente, eso no debe interpretarse de manera directa y monótona como un ordenamiento para establecer sectores prioritarios, ya que es posible que el retorno social esperado de la utilización de ciertos instrumentos no sea lineal condicional al grado de vulnerabilidad calculado. Hechas estas acotaciones, a continuación, se discuten brevemente las condiciones en los distintos sectores considerados. </w:t>
      </w:r>
    </w:p>
    <w:p w14:paraId="02FD0D32" w14:textId="01DBA46B" w:rsidR="00C4729C" w:rsidRPr="00E83B7E" w:rsidRDefault="00C4729C" w:rsidP="00C4729C">
      <w:pPr>
        <w:spacing w:after="0" w:line="240" w:lineRule="auto"/>
        <w:jc w:val="center"/>
        <w:rPr>
          <w:b/>
          <w:bCs/>
          <w:lang w:val="es-ES_tradnl"/>
        </w:rPr>
      </w:pPr>
      <w:r w:rsidRPr="00E83B7E">
        <w:rPr>
          <w:b/>
          <w:bCs/>
          <w:lang w:val="es-ES_tradnl"/>
        </w:rPr>
        <w:t>Cuadro A.I.1</w:t>
      </w:r>
    </w:p>
    <w:p w14:paraId="12BF60EB" w14:textId="6B943098" w:rsidR="00C4729C" w:rsidRPr="00E83B7E" w:rsidRDefault="00C4729C" w:rsidP="0007292C">
      <w:pPr>
        <w:spacing w:after="0" w:line="240" w:lineRule="auto"/>
        <w:jc w:val="center"/>
        <w:rPr>
          <w:b/>
          <w:bCs/>
          <w:lang w:val="es-ES_tradnl"/>
        </w:rPr>
      </w:pPr>
      <w:r w:rsidRPr="00E83B7E">
        <w:rPr>
          <w:b/>
          <w:bCs/>
          <w:lang w:val="es-ES_tradnl"/>
        </w:rPr>
        <w:t>Descripción componentes índice de vulnerabilidad</w:t>
      </w:r>
    </w:p>
    <w:tbl>
      <w:tblPr>
        <w:tblStyle w:val="TableGrid"/>
        <w:tblW w:w="0" w:type="auto"/>
        <w:tblLook w:val="04A0" w:firstRow="1" w:lastRow="0" w:firstColumn="1" w:lastColumn="0" w:noHBand="0" w:noVBand="1"/>
      </w:tblPr>
      <w:tblGrid>
        <w:gridCol w:w="498"/>
        <w:gridCol w:w="498"/>
        <w:gridCol w:w="1647"/>
        <w:gridCol w:w="6707"/>
      </w:tblGrid>
      <w:tr w:rsidR="00C4729C" w:rsidRPr="00E83B7E" w14:paraId="78D47CF3" w14:textId="77777777" w:rsidTr="00C4729C">
        <w:trPr>
          <w:trHeight w:val="300"/>
        </w:trPr>
        <w:tc>
          <w:tcPr>
            <w:tcW w:w="498" w:type="dxa"/>
            <w:noWrap/>
            <w:hideMark/>
          </w:tcPr>
          <w:p w14:paraId="79275396" w14:textId="77777777" w:rsidR="00C4729C" w:rsidRPr="00E83B7E" w:rsidRDefault="00C4729C" w:rsidP="00C4729C">
            <w:pPr>
              <w:jc w:val="both"/>
              <w:rPr>
                <w:b/>
                <w:bCs/>
                <w:lang w:val="es-ES_tradnl"/>
              </w:rPr>
            </w:pPr>
            <w:r w:rsidRPr="00E83B7E">
              <w:rPr>
                <w:b/>
                <w:bCs/>
                <w:lang w:val="es-ES_tradnl"/>
              </w:rPr>
              <w:t> </w:t>
            </w:r>
          </w:p>
        </w:tc>
        <w:tc>
          <w:tcPr>
            <w:tcW w:w="498" w:type="dxa"/>
            <w:noWrap/>
            <w:hideMark/>
          </w:tcPr>
          <w:p w14:paraId="74BE89B7" w14:textId="77777777" w:rsidR="00C4729C" w:rsidRPr="00E83B7E" w:rsidRDefault="00C4729C" w:rsidP="00C4729C">
            <w:pPr>
              <w:jc w:val="both"/>
              <w:rPr>
                <w:b/>
                <w:bCs/>
                <w:lang w:val="es-ES_tradnl"/>
              </w:rPr>
            </w:pPr>
            <w:r w:rsidRPr="00E83B7E">
              <w:rPr>
                <w:b/>
                <w:bCs/>
                <w:lang w:val="es-ES_tradnl"/>
              </w:rPr>
              <w:t> </w:t>
            </w:r>
          </w:p>
        </w:tc>
        <w:tc>
          <w:tcPr>
            <w:tcW w:w="1647" w:type="dxa"/>
            <w:hideMark/>
          </w:tcPr>
          <w:p w14:paraId="4CB624CB" w14:textId="77777777" w:rsidR="00C4729C" w:rsidRPr="00E83B7E" w:rsidRDefault="00C4729C" w:rsidP="00C4729C">
            <w:pPr>
              <w:jc w:val="both"/>
              <w:rPr>
                <w:b/>
                <w:bCs/>
                <w:lang w:val="es-ES_tradnl"/>
              </w:rPr>
            </w:pPr>
            <w:r w:rsidRPr="00E83B7E">
              <w:rPr>
                <w:b/>
                <w:bCs/>
                <w:lang w:val="es-ES_tradnl"/>
              </w:rPr>
              <w:t>Riesgo</w:t>
            </w:r>
          </w:p>
        </w:tc>
        <w:tc>
          <w:tcPr>
            <w:tcW w:w="6707" w:type="dxa"/>
            <w:hideMark/>
          </w:tcPr>
          <w:p w14:paraId="02AE6E92" w14:textId="77777777" w:rsidR="00C4729C" w:rsidRPr="00E83B7E" w:rsidRDefault="00C4729C" w:rsidP="00C4729C">
            <w:pPr>
              <w:jc w:val="both"/>
              <w:rPr>
                <w:b/>
                <w:bCs/>
                <w:lang w:val="es-ES_tradnl"/>
              </w:rPr>
            </w:pPr>
            <w:r w:rsidRPr="00E83B7E">
              <w:rPr>
                <w:b/>
                <w:bCs/>
                <w:lang w:val="es-ES_tradnl"/>
              </w:rPr>
              <w:t>Descripción</w:t>
            </w:r>
          </w:p>
        </w:tc>
      </w:tr>
      <w:tr w:rsidR="00C4729C" w:rsidRPr="00D16194" w14:paraId="3DC80164" w14:textId="77777777" w:rsidTr="00C4729C">
        <w:trPr>
          <w:trHeight w:val="3600"/>
        </w:trPr>
        <w:tc>
          <w:tcPr>
            <w:tcW w:w="498" w:type="dxa"/>
            <w:noWrap/>
            <w:textDirection w:val="btLr"/>
            <w:hideMark/>
          </w:tcPr>
          <w:p w14:paraId="0ACA730A" w14:textId="77777777" w:rsidR="00C4729C" w:rsidRPr="00E83B7E" w:rsidRDefault="00C4729C" w:rsidP="0007292C">
            <w:pPr>
              <w:jc w:val="center"/>
              <w:rPr>
                <w:lang w:val="es-ES_tradnl"/>
              </w:rPr>
            </w:pPr>
            <w:r w:rsidRPr="00E83B7E">
              <w:rPr>
                <w:lang w:val="es-ES_tradnl"/>
              </w:rPr>
              <w:t>Oferta</w:t>
            </w:r>
          </w:p>
        </w:tc>
        <w:tc>
          <w:tcPr>
            <w:tcW w:w="498" w:type="dxa"/>
            <w:noWrap/>
            <w:textDirection w:val="btLr"/>
            <w:hideMark/>
          </w:tcPr>
          <w:p w14:paraId="13ABFB4F" w14:textId="77777777" w:rsidR="00C4729C" w:rsidRPr="00E83B7E" w:rsidRDefault="00C4729C" w:rsidP="0007292C">
            <w:pPr>
              <w:jc w:val="center"/>
              <w:rPr>
                <w:lang w:val="es-ES_tradnl"/>
              </w:rPr>
            </w:pPr>
            <w:r w:rsidRPr="00E83B7E">
              <w:rPr>
                <w:lang w:val="es-ES_tradnl"/>
              </w:rPr>
              <w:t>Operativo</w:t>
            </w:r>
          </w:p>
        </w:tc>
        <w:tc>
          <w:tcPr>
            <w:tcW w:w="1647" w:type="dxa"/>
            <w:hideMark/>
          </w:tcPr>
          <w:p w14:paraId="47D4D3C6" w14:textId="77777777" w:rsidR="00C4729C" w:rsidRPr="00E83B7E" w:rsidRDefault="00C4729C" w:rsidP="0007292C">
            <w:pPr>
              <w:rPr>
                <w:lang w:val="es-ES_tradnl"/>
              </w:rPr>
            </w:pPr>
            <w:r w:rsidRPr="00E83B7E">
              <w:rPr>
                <w:lang w:val="es-ES_tradnl"/>
              </w:rPr>
              <w:t>Limitaciones uso de fuerza de trabajo</w:t>
            </w:r>
          </w:p>
        </w:tc>
        <w:tc>
          <w:tcPr>
            <w:tcW w:w="6707" w:type="dxa"/>
            <w:hideMark/>
          </w:tcPr>
          <w:p w14:paraId="4ACD371C" w14:textId="77777777" w:rsidR="00C4729C" w:rsidRPr="00E83B7E" w:rsidRDefault="00C4729C" w:rsidP="0007292C">
            <w:pPr>
              <w:rPr>
                <w:lang w:val="es-ES_tradnl"/>
              </w:rPr>
            </w:pPr>
            <w:r w:rsidRPr="00E83B7E">
              <w:rPr>
                <w:lang w:val="es-ES_tradnl"/>
              </w:rPr>
              <w:t xml:space="preserve">Indica las limitaciones en la disponibilidad efectiva de la fuerza de trabajo, con relación a la disponibilidad habitual en condiciones normales. </w:t>
            </w:r>
            <w:r w:rsidRPr="00E83B7E">
              <w:rPr>
                <w:lang w:val="es-ES_tradnl"/>
              </w:rPr>
              <w:br/>
            </w:r>
            <w:r w:rsidRPr="00E83B7E">
              <w:rPr>
                <w:lang w:val="es-ES_tradnl"/>
              </w:rPr>
              <w:br/>
              <w:t>La disponibilidad efectiva ha de tratar de considerar el uso efectivo de la fuerza de trabajo. Así, por ejemplo, si nominalmente se cuenta con el 100% de la fuerza de trabajo, pero solo pueden trabajar una jornada reducida de medio día, la disponibilidad efectiva puede ser del 50% (o todavía menor si se considera un grado de pérdida de eficiencia en la organización del trabajo.</w:t>
            </w:r>
            <w:r w:rsidRPr="00E83B7E">
              <w:rPr>
                <w:lang w:val="es-ES_tradnl"/>
              </w:rPr>
              <w:br/>
            </w:r>
            <w:r w:rsidRPr="00E83B7E">
              <w:rPr>
                <w:lang w:val="es-ES_tradnl"/>
              </w:rPr>
              <w:br/>
              <w:t>Considerar la posibilidad de hacer uso de teletrabajo, turnos alternativos/extendidos y otras soluciones que puedan presentarse.</w:t>
            </w:r>
          </w:p>
        </w:tc>
      </w:tr>
      <w:tr w:rsidR="00C4729C" w:rsidRPr="00D16194" w14:paraId="45C51843" w14:textId="77777777" w:rsidTr="00C4729C">
        <w:trPr>
          <w:trHeight w:val="2100"/>
        </w:trPr>
        <w:tc>
          <w:tcPr>
            <w:tcW w:w="498" w:type="dxa"/>
            <w:noWrap/>
            <w:textDirection w:val="btLr"/>
            <w:hideMark/>
          </w:tcPr>
          <w:p w14:paraId="3CEA3976" w14:textId="77777777" w:rsidR="00C4729C" w:rsidRPr="00E83B7E" w:rsidRDefault="00C4729C" w:rsidP="0007292C">
            <w:pPr>
              <w:jc w:val="center"/>
              <w:rPr>
                <w:lang w:val="es-ES_tradnl"/>
              </w:rPr>
            </w:pPr>
            <w:r w:rsidRPr="00E83B7E">
              <w:rPr>
                <w:lang w:val="es-ES_tradnl"/>
              </w:rPr>
              <w:lastRenderedPageBreak/>
              <w:t>Oferta</w:t>
            </w:r>
          </w:p>
        </w:tc>
        <w:tc>
          <w:tcPr>
            <w:tcW w:w="498" w:type="dxa"/>
            <w:noWrap/>
            <w:textDirection w:val="btLr"/>
            <w:hideMark/>
          </w:tcPr>
          <w:p w14:paraId="00AB3F6F" w14:textId="77777777" w:rsidR="00C4729C" w:rsidRPr="00E83B7E" w:rsidRDefault="00C4729C" w:rsidP="0007292C">
            <w:pPr>
              <w:jc w:val="center"/>
              <w:rPr>
                <w:lang w:val="es-ES_tradnl"/>
              </w:rPr>
            </w:pPr>
            <w:r w:rsidRPr="00E83B7E">
              <w:rPr>
                <w:lang w:val="es-ES_tradnl"/>
              </w:rPr>
              <w:t>Operativo</w:t>
            </w:r>
          </w:p>
        </w:tc>
        <w:tc>
          <w:tcPr>
            <w:tcW w:w="1647" w:type="dxa"/>
            <w:hideMark/>
          </w:tcPr>
          <w:p w14:paraId="44AD3774" w14:textId="77777777" w:rsidR="00C4729C" w:rsidRPr="00E83B7E" w:rsidRDefault="00C4729C" w:rsidP="0007292C">
            <w:pPr>
              <w:rPr>
                <w:lang w:val="es-ES_tradnl"/>
              </w:rPr>
            </w:pPr>
            <w:r w:rsidRPr="00E83B7E">
              <w:rPr>
                <w:lang w:val="es-ES_tradnl"/>
              </w:rPr>
              <w:t>Limitaciones al uso de capital fijo (oficinas, centros comerciales, maquinas, etc.)</w:t>
            </w:r>
          </w:p>
        </w:tc>
        <w:tc>
          <w:tcPr>
            <w:tcW w:w="6707" w:type="dxa"/>
            <w:hideMark/>
          </w:tcPr>
          <w:p w14:paraId="44352479" w14:textId="77777777" w:rsidR="00C4729C" w:rsidRPr="00E83B7E" w:rsidRDefault="00C4729C" w:rsidP="0007292C">
            <w:pPr>
              <w:rPr>
                <w:lang w:val="es-ES_tradnl"/>
              </w:rPr>
            </w:pPr>
            <w:r w:rsidRPr="00E83B7E">
              <w:rPr>
                <w:lang w:val="es-ES_tradnl"/>
              </w:rPr>
              <w:t xml:space="preserve">Refiere a las limitaciones al uso de activos necesarios para la producción. </w:t>
            </w:r>
            <w:r w:rsidRPr="00E83B7E">
              <w:rPr>
                <w:lang w:val="es-ES_tradnl"/>
              </w:rPr>
              <w:br/>
            </w:r>
            <w:r w:rsidRPr="00E83B7E">
              <w:rPr>
                <w:lang w:val="es-ES_tradnl"/>
              </w:rPr>
              <w:br/>
              <w:t>Atender especialmente la posibilidad o grado de continuidad que pueda lograrse mediante arreglos alternativos (por ej.: uso de turnos para minimizar número de empleados en un horario) y la importancia relativa de comercialización digital (presencia digital y capacidad logística). Considerar la disponibilidad equivalente de manera similar a las limitaciones de trabajo (arreglo de turnos, canales digitales, otros).</w:t>
            </w:r>
          </w:p>
        </w:tc>
      </w:tr>
      <w:tr w:rsidR="00C4729C" w:rsidRPr="00D16194" w14:paraId="2A30ED4B" w14:textId="77777777" w:rsidTr="00C4729C">
        <w:trPr>
          <w:trHeight w:val="2100"/>
        </w:trPr>
        <w:tc>
          <w:tcPr>
            <w:tcW w:w="498" w:type="dxa"/>
            <w:noWrap/>
            <w:textDirection w:val="btLr"/>
            <w:hideMark/>
          </w:tcPr>
          <w:p w14:paraId="3540A82B" w14:textId="77777777" w:rsidR="00C4729C" w:rsidRPr="00E83B7E" w:rsidRDefault="00C4729C" w:rsidP="0007292C">
            <w:pPr>
              <w:jc w:val="center"/>
              <w:rPr>
                <w:lang w:val="es-ES_tradnl"/>
              </w:rPr>
            </w:pPr>
            <w:r w:rsidRPr="00E83B7E">
              <w:rPr>
                <w:lang w:val="es-ES_tradnl"/>
              </w:rPr>
              <w:t>Oferta</w:t>
            </w:r>
          </w:p>
        </w:tc>
        <w:tc>
          <w:tcPr>
            <w:tcW w:w="498" w:type="dxa"/>
            <w:noWrap/>
            <w:textDirection w:val="btLr"/>
            <w:hideMark/>
          </w:tcPr>
          <w:p w14:paraId="0C804DB2" w14:textId="77777777" w:rsidR="00C4729C" w:rsidRPr="00E83B7E" w:rsidRDefault="00C4729C" w:rsidP="0007292C">
            <w:pPr>
              <w:jc w:val="center"/>
              <w:rPr>
                <w:lang w:val="es-ES_tradnl"/>
              </w:rPr>
            </w:pPr>
            <w:r w:rsidRPr="00E83B7E">
              <w:rPr>
                <w:lang w:val="es-ES_tradnl"/>
              </w:rPr>
              <w:t>Operativo</w:t>
            </w:r>
          </w:p>
        </w:tc>
        <w:tc>
          <w:tcPr>
            <w:tcW w:w="1647" w:type="dxa"/>
            <w:hideMark/>
          </w:tcPr>
          <w:p w14:paraId="31315180" w14:textId="77777777" w:rsidR="00C4729C" w:rsidRPr="00E83B7E" w:rsidRDefault="00C4729C" w:rsidP="0007292C">
            <w:pPr>
              <w:rPr>
                <w:lang w:val="es-ES_tradnl"/>
              </w:rPr>
            </w:pPr>
            <w:r w:rsidRPr="00E83B7E">
              <w:rPr>
                <w:lang w:val="es-ES_tradnl"/>
              </w:rPr>
              <w:t>Insuficiencia en cantidad y calidad de insumos físicos</w:t>
            </w:r>
          </w:p>
        </w:tc>
        <w:tc>
          <w:tcPr>
            <w:tcW w:w="6707" w:type="dxa"/>
            <w:hideMark/>
          </w:tcPr>
          <w:p w14:paraId="4C1058F1" w14:textId="6C403BDA" w:rsidR="00C4729C" w:rsidRPr="00E83B7E" w:rsidRDefault="00C4729C" w:rsidP="0007292C">
            <w:pPr>
              <w:rPr>
                <w:lang w:val="es-ES_tradnl"/>
              </w:rPr>
            </w:pPr>
            <w:r w:rsidRPr="00E83B7E">
              <w:rPr>
                <w:lang w:val="es-ES_tradnl"/>
              </w:rPr>
              <w:t xml:space="preserve">Limitaciones al acceso de insumos de producción (de bienes o servicios). </w:t>
            </w:r>
            <w:r w:rsidRPr="00E83B7E">
              <w:rPr>
                <w:lang w:val="es-ES_tradnl"/>
              </w:rPr>
              <w:br/>
            </w:r>
            <w:r w:rsidRPr="00E83B7E">
              <w:rPr>
                <w:lang w:val="es-ES_tradnl"/>
              </w:rPr>
              <w:br/>
              <w:t>Considerar, energía, materias primas e insumos físicos en general. No considerar servicios como transporte, comunicaciones ni financieros (considerados aparte).</w:t>
            </w:r>
            <w:r w:rsidRPr="00E83B7E">
              <w:rPr>
                <w:lang w:val="es-ES_tradnl"/>
              </w:rPr>
              <w:br/>
            </w:r>
            <w:r w:rsidRPr="00E83B7E">
              <w:rPr>
                <w:lang w:val="es-ES_tradnl"/>
              </w:rPr>
              <w:br/>
              <w:t>Considerar la posibilidad de utilizar insumos de menor calidad o cambios en las relaciones de uso.</w:t>
            </w:r>
          </w:p>
        </w:tc>
      </w:tr>
      <w:tr w:rsidR="00C4729C" w:rsidRPr="00D16194" w14:paraId="0B3FB335" w14:textId="77777777" w:rsidTr="00C4729C">
        <w:trPr>
          <w:trHeight w:val="1500"/>
        </w:trPr>
        <w:tc>
          <w:tcPr>
            <w:tcW w:w="498" w:type="dxa"/>
            <w:noWrap/>
            <w:textDirection w:val="btLr"/>
            <w:hideMark/>
          </w:tcPr>
          <w:p w14:paraId="320C249F" w14:textId="77777777" w:rsidR="00C4729C" w:rsidRPr="00E83B7E" w:rsidRDefault="00C4729C" w:rsidP="0007292C">
            <w:pPr>
              <w:jc w:val="center"/>
              <w:rPr>
                <w:lang w:val="es-ES_tradnl"/>
              </w:rPr>
            </w:pPr>
            <w:r w:rsidRPr="00E83B7E">
              <w:rPr>
                <w:lang w:val="es-ES_tradnl"/>
              </w:rPr>
              <w:t>Oferta</w:t>
            </w:r>
          </w:p>
        </w:tc>
        <w:tc>
          <w:tcPr>
            <w:tcW w:w="498" w:type="dxa"/>
            <w:noWrap/>
            <w:textDirection w:val="btLr"/>
            <w:hideMark/>
          </w:tcPr>
          <w:p w14:paraId="16E5C174" w14:textId="77777777" w:rsidR="00C4729C" w:rsidRPr="00E83B7E" w:rsidRDefault="00C4729C" w:rsidP="0007292C">
            <w:pPr>
              <w:jc w:val="center"/>
              <w:rPr>
                <w:lang w:val="es-ES_tradnl"/>
              </w:rPr>
            </w:pPr>
            <w:r w:rsidRPr="00E83B7E">
              <w:rPr>
                <w:lang w:val="es-ES_tradnl"/>
              </w:rPr>
              <w:t>Operativo</w:t>
            </w:r>
          </w:p>
        </w:tc>
        <w:tc>
          <w:tcPr>
            <w:tcW w:w="1647" w:type="dxa"/>
            <w:hideMark/>
          </w:tcPr>
          <w:p w14:paraId="073B42E1" w14:textId="7744FCCC" w:rsidR="00C4729C" w:rsidRPr="00E83B7E" w:rsidRDefault="00C4729C" w:rsidP="0007292C">
            <w:pPr>
              <w:rPr>
                <w:lang w:val="es-ES_tradnl"/>
              </w:rPr>
            </w:pPr>
            <w:r w:rsidRPr="00E83B7E">
              <w:rPr>
                <w:lang w:val="es-ES_tradnl"/>
              </w:rPr>
              <w:t>Limitaciones al acceso a servicios (transporte, comunicación)</w:t>
            </w:r>
          </w:p>
        </w:tc>
        <w:tc>
          <w:tcPr>
            <w:tcW w:w="6707" w:type="dxa"/>
            <w:hideMark/>
          </w:tcPr>
          <w:p w14:paraId="07816D03" w14:textId="4E17E248" w:rsidR="00C4729C" w:rsidRPr="00E83B7E" w:rsidRDefault="00C4729C" w:rsidP="0007292C">
            <w:pPr>
              <w:rPr>
                <w:lang w:val="es-ES_tradnl"/>
              </w:rPr>
            </w:pPr>
            <w:r w:rsidRPr="00E83B7E">
              <w:rPr>
                <w:lang w:val="es-ES_tradnl"/>
              </w:rPr>
              <w:t>Limitaciones logísticas y de servicios de comunicación.</w:t>
            </w:r>
            <w:r w:rsidRPr="00E83B7E">
              <w:rPr>
                <w:lang w:val="es-ES_tradnl"/>
              </w:rPr>
              <w:br/>
            </w:r>
            <w:r w:rsidRPr="00E83B7E">
              <w:rPr>
                <w:lang w:val="es-ES_tradnl"/>
              </w:rPr>
              <w:br/>
              <w:t>Considerar las limitaciones a la logística (en particular a los servicios de transporte y distribución) y a los servicios de comunicaciones.</w:t>
            </w:r>
          </w:p>
        </w:tc>
      </w:tr>
      <w:tr w:rsidR="00C4729C" w:rsidRPr="00D16194" w14:paraId="73B3AAD4" w14:textId="77777777" w:rsidTr="00C4729C">
        <w:trPr>
          <w:trHeight w:val="2100"/>
        </w:trPr>
        <w:tc>
          <w:tcPr>
            <w:tcW w:w="498" w:type="dxa"/>
            <w:noWrap/>
            <w:textDirection w:val="btLr"/>
            <w:hideMark/>
          </w:tcPr>
          <w:p w14:paraId="25CAA4B0" w14:textId="77777777" w:rsidR="00C4729C" w:rsidRPr="00E83B7E" w:rsidRDefault="00C4729C" w:rsidP="0007292C">
            <w:pPr>
              <w:jc w:val="center"/>
              <w:rPr>
                <w:lang w:val="es-ES_tradnl"/>
              </w:rPr>
            </w:pPr>
            <w:r w:rsidRPr="00E83B7E">
              <w:rPr>
                <w:lang w:val="es-ES_tradnl"/>
              </w:rPr>
              <w:t>Oferta</w:t>
            </w:r>
          </w:p>
        </w:tc>
        <w:tc>
          <w:tcPr>
            <w:tcW w:w="498" w:type="dxa"/>
            <w:noWrap/>
            <w:textDirection w:val="btLr"/>
            <w:hideMark/>
          </w:tcPr>
          <w:p w14:paraId="6A1CC2C3" w14:textId="77777777" w:rsidR="00C4729C" w:rsidRPr="00E83B7E" w:rsidRDefault="00C4729C" w:rsidP="0007292C">
            <w:pPr>
              <w:jc w:val="center"/>
              <w:rPr>
                <w:lang w:val="es-ES_tradnl"/>
              </w:rPr>
            </w:pPr>
            <w:r w:rsidRPr="00E83B7E">
              <w:rPr>
                <w:lang w:val="es-ES_tradnl"/>
              </w:rPr>
              <w:t>De mercado</w:t>
            </w:r>
          </w:p>
        </w:tc>
        <w:tc>
          <w:tcPr>
            <w:tcW w:w="1647" w:type="dxa"/>
            <w:hideMark/>
          </w:tcPr>
          <w:p w14:paraId="6C688FF9" w14:textId="77777777" w:rsidR="00C4729C" w:rsidRPr="00E83B7E" w:rsidRDefault="00C4729C" w:rsidP="0007292C">
            <w:pPr>
              <w:rPr>
                <w:lang w:val="es-ES_tradnl"/>
              </w:rPr>
            </w:pPr>
            <w:r w:rsidRPr="00E83B7E">
              <w:rPr>
                <w:lang w:val="es-ES_tradnl"/>
              </w:rPr>
              <w:t>Aumento de los costos de insumos y de producción</w:t>
            </w:r>
          </w:p>
        </w:tc>
        <w:tc>
          <w:tcPr>
            <w:tcW w:w="6707" w:type="dxa"/>
            <w:hideMark/>
          </w:tcPr>
          <w:p w14:paraId="02683B32" w14:textId="77777777" w:rsidR="00C4729C" w:rsidRPr="00E83B7E" w:rsidRDefault="00C4729C" w:rsidP="0007292C">
            <w:pPr>
              <w:rPr>
                <w:lang w:val="es-ES_tradnl"/>
              </w:rPr>
            </w:pPr>
            <w:r w:rsidRPr="00E83B7E">
              <w:rPr>
                <w:lang w:val="es-ES_tradnl"/>
              </w:rPr>
              <w:t>Aumento de los costos de producción de bienes y servicios (mano de obra, servicios del capital, transporte, energía, comunicaciones, etc.).</w:t>
            </w:r>
            <w:r w:rsidRPr="00E83B7E">
              <w:rPr>
                <w:lang w:val="es-ES_tradnl"/>
              </w:rPr>
              <w:br/>
            </w:r>
            <w:r w:rsidRPr="00E83B7E">
              <w:rPr>
                <w:lang w:val="es-ES_tradnl"/>
              </w:rPr>
              <w:br/>
              <w:t>En términos reales.</w:t>
            </w:r>
            <w:r w:rsidRPr="00E83B7E">
              <w:rPr>
                <w:lang w:val="es-ES_tradnl"/>
              </w:rPr>
              <w:br/>
            </w:r>
            <w:r w:rsidRPr="00E83B7E">
              <w:rPr>
                <w:lang w:val="es-ES_tradnl"/>
              </w:rPr>
              <w:br/>
              <w:t>Considerar costos de manera global aun cuando insumos particulares puedan tener incrementos muy significativos.</w:t>
            </w:r>
          </w:p>
        </w:tc>
      </w:tr>
      <w:tr w:rsidR="00C4729C" w:rsidRPr="00D16194" w14:paraId="263C2690" w14:textId="77777777" w:rsidTr="00C4729C">
        <w:trPr>
          <w:trHeight w:val="1215"/>
        </w:trPr>
        <w:tc>
          <w:tcPr>
            <w:tcW w:w="498" w:type="dxa"/>
            <w:noWrap/>
            <w:textDirection w:val="btLr"/>
            <w:hideMark/>
          </w:tcPr>
          <w:p w14:paraId="4EAD73AA" w14:textId="77777777" w:rsidR="00C4729C" w:rsidRPr="00E83B7E" w:rsidRDefault="00C4729C" w:rsidP="0007292C">
            <w:pPr>
              <w:jc w:val="center"/>
              <w:rPr>
                <w:lang w:val="es-ES_tradnl"/>
              </w:rPr>
            </w:pPr>
            <w:r w:rsidRPr="00E83B7E">
              <w:rPr>
                <w:lang w:val="es-ES_tradnl"/>
              </w:rPr>
              <w:t>Demanda</w:t>
            </w:r>
          </w:p>
        </w:tc>
        <w:tc>
          <w:tcPr>
            <w:tcW w:w="498" w:type="dxa"/>
            <w:noWrap/>
            <w:textDirection w:val="btLr"/>
            <w:hideMark/>
          </w:tcPr>
          <w:p w14:paraId="6F3B19D8" w14:textId="77777777" w:rsidR="00C4729C" w:rsidRPr="00E83B7E" w:rsidRDefault="00C4729C" w:rsidP="0007292C">
            <w:pPr>
              <w:jc w:val="center"/>
              <w:rPr>
                <w:lang w:val="es-ES_tradnl"/>
              </w:rPr>
            </w:pPr>
            <w:r w:rsidRPr="00E83B7E">
              <w:rPr>
                <w:lang w:val="es-ES_tradnl"/>
              </w:rPr>
              <w:t>De mercado</w:t>
            </w:r>
          </w:p>
        </w:tc>
        <w:tc>
          <w:tcPr>
            <w:tcW w:w="1647" w:type="dxa"/>
            <w:hideMark/>
          </w:tcPr>
          <w:p w14:paraId="495B728C" w14:textId="77777777" w:rsidR="00C4729C" w:rsidRPr="00E83B7E" w:rsidRDefault="00C4729C" w:rsidP="0007292C">
            <w:pPr>
              <w:rPr>
                <w:lang w:val="es-ES_tradnl"/>
              </w:rPr>
            </w:pPr>
            <w:r w:rsidRPr="00E83B7E">
              <w:rPr>
                <w:lang w:val="es-ES_tradnl"/>
              </w:rPr>
              <w:t>Reducción de la demanda interna / domestica</w:t>
            </w:r>
          </w:p>
        </w:tc>
        <w:tc>
          <w:tcPr>
            <w:tcW w:w="6707" w:type="dxa"/>
            <w:hideMark/>
          </w:tcPr>
          <w:p w14:paraId="54464118" w14:textId="77777777" w:rsidR="00C4729C" w:rsidRPr="00E83B7E" w:rsidRDefault="00C4729C" w:rsidP="0007292C">
            <w:pPr>
              <w:rPr>
                <w:lang w:val="es-ES_tradnl"/>
              </w:rPr>
            </w:pPr>
            <w:r w:rsidRPr="00E83B7E">
              <w:rPr>
                <w:lang w:val="es-ES_tradnl"/>
              </w:rPr>
              <w:t>Reducción de la demanda interna por los bienes y/o servicios producidos. Incluye demanda de consumidores (familias o empresas) y del gobierno.</w:t>
            </w:r>
          </w:p>
        </w:tc>
      </w:tr>
      <w:tr w:rsidR="00C4729C" w:rsidRPr="00D16194" w14:paraId="13379CD2" w14:textId="77777777" w:rsidTr="00C4729C">
        <w:trPr>
          <w:trHeight w:val="1215"/>
        </w:trPr>
        <w:tc>
          <w:tcPr>
            <w:tcW w:w="498" w:type="dxa"/>
            <w:noWrap/>
            <w:textDirection w:val="btLr"/>
            <w:hideMark/>
          </w:tcPr>
          <w:p w14:paraId="6CA02AEA" w14:textId="77777777" w:rsidR="00C4729C" w:rsidRPr="00E83B7E" w:rsidRDefault="00C4729C" w:rsidP="0007292C">
            <w:pPr>
              <w:jc w:val="center"/>
              <w:rPr>
                <w:lang w:val="es-ES_tradnl"/>
              </w:rPr>
            </w:pPr>
            <w:r w:rsidRPr="00E83B7E">
              <w:rPr>
                <w:lang w:val="es-ES_tradnl"/>
              </w:rPr>
              <w:t>Demanda</w:t>
            </w:r>
          </w:p>
        </w:tc>
        <w:tc>
          <w:tcPr>
            <w:tcW w:w="498" w:type="dxa"/>
            <w:noWrap/>
            <w:textDirection w:val="btLr"/>
            <w:hideMark/>
          </w:tcPr>
          <w:p w14:paraId="579B5395" w14:textId="77777777" w:rsidR="00C4729C" w:rsidRPr="00E83B7E" w:rsidRDefault="00C4729C" w:rsidP="0007292C">
            <w:pPr>
              <w:jc w:val="center"/>
              <w:rPr>
                <w:lang w:val="es-ES_tradnl"/>
              </w:rPr>
            </w:pPr>
            <w:r w:rsidRPr="00E83B7E">
              <w:rPr>
                <w:lang w:val="es-ES_tradnl"/>
              </w:rPr>
              <w:t>De mercado</w:t>
            </w:r>
          </w:p>
        </w:tc>
        <w:tc>
          <w:tcPr>
            <w:tcW w:w="1647" w:type="dxa"/>
            <w:hideMark/>
          </w:tcPr>
          <w:p w14:paraId="7CE26FA4" w14:textId="0908323A" w:rsidR="00C4729C" w:rsidRPr="00E83B7E" w:rsidRDefault="00C4729C" w:rsidP="0007292C">
            <w:pPr>
              <w:rPr>
                <w:lang w:val="es-ES_tradnl"/>
              </w:rPr>
            </w:pPr>
            <w:r w:rsidRPr="00E83B7E">
              <w:rPr>
                <w:lang w:val="es-ES_tradnl"/>
              </w:rPr>
              <w:t>Reducción en la demanda de exportación o extranjera</w:t>
            </w:r>
          </w:p>
        </w:tc>
        <w:tc>
          <w:tcPr>
            <w:tcW w:w="6707" w:type="dxa"/>
            <w:hideMark/>
          </w:tcPr>
          <w:p w14:paraId="15E1D1BA" w14:textId="77777777" w:rsidR="00C4729C" w:rsidRPr="00E83B7E" w:rsidRDefault="00C4729C" w:rsidP="0007292C">
            <w:pPr>
              <w:rPr>
                <w:lang w:val="es-ES_tradnl"/>
              </w:rPr>
            </w:pPr>
            <w:r w:rsidRPr="00E83B7E">
              <w:rPr>
                <w:lang w:val="es-ES_tradnl"/>
              </w:rPr>
              <w:t>Reducción de la demanda externa por los bienes y/o servicios producidos. Considerar la demanda de turistas por bienes y servicios provistos dentro del país como demanda externa.</w:t>
            </w:r>
          </w:p>
        </w:tc>
      </w:tr>
      <w:tr w:rsidR="00C4729C" w:rsidRPr="00D16194" w14:paraId="1752AC31" w14:textId="77777777" w:rsidTr="00C4729C">
        <w:trPr>
          <w:trHeight w:val="1170"/>
        </w:trPr>
        <w:tc>
          <w:tcPr>
            <w:tcW w:w="498" w:type="dxa"/>
            <w:noWrap/>
            <w:textDirection w:val="btLr"/>
            <w:hideMark/>
          </w:tcPr>
          <w:p w14:paraId="5787EC5E" w14:textId="77777777" w:rsidR="00C4729C" w:rsidRPr="00E83B7E" w:rsidRDefault="00C4729C" w:rsidP="0007292C">
            <w:pPr>
              <w:jc w:val="center"/>
              <w:rPr>
                <w:lang w:val="es-ES_tradnl"/>
              </w:rPr>
            </w:pPr>
            <w:r w:rsidRPr="00E83B7E">
              <w:rPr>
                <w:lang w:val="es-ES_tradnl"/>
              </w:rPr>
              <w:t>Financiero</w:t>
            </w:r>
          </w:p>
        </w:tc>
        <w:tc>
          <w:tcPr>
            <w:tcW w:w="498" w:type="dxa"/>
            <w:noWrap/>
            <w:textDirection w:val="btLr"/>
            <w:hideMark/>
          </w:tcPr>
          <w:p w14:paraId="1483C850" w14:textId="77777777" w:rsidR="00C4729C" w:rsidRPr="00E83B7E" w:rsidRDefault="00C4729C" w:rsidP="0007292C">
            <w:pPr>
              <w:jc w:val="center"/>
              <w:rPr>
                <w:lang w:val="es-ES_tradnl"/>
              </w:rPr>
            </w:pPr>
            <w:r w:rsidRPr="00E83B7E">
              <w:rPr>
                <w:lang w:val="es-ES_tradnl"/>
              </w:rPr>
              <w:t>de Liquidez</w:t>
            </w:r>
          </w:p>
        </w:tc>
        <w:tc>
          <w:tcPr>
            <w:tcW w:w="1647" w:type="dxa"/>
            <w:hideMark/>
          </w:tcPr>
          <w:p w14:paraId="1EA869B3" w14:textId="77777777" w:rsidR="00C4729C" w:rsidRPr="00E83B7E" w:rsidRDefault="00C4729C" w:rsidP="0007292C">
            <w:pPr>
              <w:rPr>
                <w:lang w:val="es-ES_tradnl"/>
              </w:rPr>
            </w:pPr>
            <w:r w:rsidRPr="00E83B7E">
              <w:rPr>
                <w:lang w:val="es-ES_tradnl"/>
              </w:rPr>
              <w:t>Retraso o interrupción del ciclo de pagos</w:t>
            </w:r>
          </w:p>
        </w:tc>
        <w:tc>
          <w:tcPr>
            <w:tcW w:w="6707" w:type="dxa"/>
            <w:hideMark/>
          </w:tcPr>
          <w:p w14:paraId="3DEBBA31" w14:textId="77777777" w:rsidR="00C4729C" w:rsidRPr="00E83B7E" w:rsidRDefault="00C4729C" w:rsidP="0007292C">
            <w:pPr>
              <w:rPr>
                <w:lang w:val="es-ES_tradnl"/>
              </w:rPr>
            </w:pPr>
            <w:r w:rsidRPr="00E83B7E">
              <w:rPr>
                <w:lang w:val="es-ES_tradnl"/>
              </w:rPr>
              <w:t>Grado de retracción o demora en los pagos por ventas de bienes y servicios realizados. con relación a las condiciones usuales</w:t>
            </w:r>
          </w:p>
        </w:tc>
      </w:tr>
      <w:tr w:rsidR="00C4729C" w:rsidRPr="00D16194" w14:paraId="5517B61E" w14:textId="77777777" w:rsidTr="00C4729C">
        <w:trPr>
          <w:trHeight w:val="1200"/>
        </w:trPr>
        <w:tc>
          <w:tcPr>
            <w:tcW w:w="498" w:type="dxa"/>
            <w:noWrap/>
            <w:textDirection w:val="btLr"/>
            <w:hideMark/>
          </w:tcPr>
          <w:p w14:paraId="59A484BA" w14:textId="77777777" w:rsidR="00C4729C" w:rsidRPr="00E83B7E" w:rsidRDefault="00C4729C" w:rsidP="0007292C">
            <w:pPr>
              <w:jc w:val="center"/>
              <w:rPr>
                <w:lang w:val="es-ES_tradnl"/>
              </w:rPr>
            </w:pPr>
            <w:r w:rsidRPr="00E83B7E">
              <w:rPr>
                <w:lang w:val="es-ES_tradnl"/>
              </w:rPr>
              <w:lastRenderedPageBreak/>
              <w:t>Financiero</w:t>
            </w:r>
          </w:p>
        </w:tc>
        <w:tc>
          <w:tcPr>
            <w:tcW w:w="498" w:type="dxa"/>
            <w:noWrap/>
            <w:textDirection w:val="btLr"/>
            <w:hideMark/>
          </w:tcPr>
          <w:p w14:paraId="1784C4DD" w14:textId="77777777" w:rsidR="00C4729C" w:rsidRPr="00E83B7E" w:rsidRDefault="00C4729C" w:rsidP="0007292C">
            <w:pPr>
              <w:jc w:val="center"/>
              <w:rPr>
                <w:lang w:val="es-ES_tradnl"/>
              </w:rPr>
            </w:pPr>
            <w:r w:rsidRPr="00E83B7E">
              <w:rPr>
                <w:lang w:val="es-ES_tradnl"/>
              </w:rPr>
              <w:t>de Liquidez</w:t>
            </w:r>
          </w:p>
        </w:tc>
        <w:tc>
          <w:tcPr>
            <w:tcW w:w="1647" w:type="dxa"/>
            <w:hideMark/>
          </w:tcPr>
          <w:p w14:paraId="5B811E56" w14:textId="77777777" w:rsidR="00C4729C" w:rsidRPr="00E83B7E" w:rsidRDefault="00C4729C" w:rsidP="0007292C">
            <w:pPr>
              <w:rPr>
                <w:lang w:val="es-ES_tradnl"/>
              </w:rPr>
            </w:pPr>
            <w:r w:rsidRPr="00E83B7E">
              <w:rPr>
                <w:lang w:val="es-ES_tradnl"/>
              </w:rPr>
              <w:t>Reducción o interrupción de financiamientos de corto plazo</w:t>
            </w:r>
          </w:p>
        </w:tc>
        <w:tc>
          <w:tcPr>
            <w:tcW w:w="6707" w:type="dxa"/>
            <w:hideMark/>
          </w:tcPr>
          <w:p w14:paraId="0375B119" w14:textId="77777777" w:rsidR="00C4729C" w:rsidRPr="00E83B7E" w:rsidRDefault="00C4729C" w:rsidP="0007292C">
            <w:pPr>
              <w:rPr>
                <w:lang w:val="es-ES_tradnl"/>
              </w:rPr>
            </w:pPr>
            <w:r w:rsidRPr="00E83B7E">
              <w:rPr>
                <w:lang w:val="es-ES_tradnl"/>
              </w:rPr>
              <w:t xml:space="preserve">Reducción o interrupción de financiamientos de corto plazo (crédito de proveedores, </w:t>
            </w:r>
            <w:proofErr w:type="spellStart"/>
            <w:r w:rsidRPr="00E83B7E">
              <w:rPr>
                <w:lang w:val="es-ES_tradnl"/>
              </w:rPr>
              <w:t>factoreo</w:t>
            </w:r>
            <w:proofErr w:type="spellEnd"/>
            <w:r w:rsidRPr="00E83B7E">
              <w:rPr>
                <w:lang w:val="es-ES_tradnl"/>
              </w:rPr>
              <w:t>, capital de trabajo, otros financiamientos de corto plazo (ej. tarjetas de crédito)</w:t>
            </w:r>
          </w:p>
        </w:tc>
      </w:tr>
      <w:tr w:rsidR="00C4729C" w:rsidRPr="00D16194" w14:paraId="74E2622D" w14:textId="77777777" w:rsidTr="00C4729C">
        <w:trPr>
          <w:trHeight w:val="1500"/>
        </w:trPr>
        <w:tc>
          <w:tcPr>
            <w:tcW w:w="498" w:type="dxa"/>
            <w:noWrap/>
            <w:textDirection w:val="btLr"/>
            <w:hideMark/>
          </w:tcPr>
          <w:p w14:paraId="09B272EB" w14:textId="77777777" w:rsidR="00C4729C" w:rsidRPr="00E83B7E" w:rsidRDefault="00C4729C" w:rsidP="0007292C">
            <w:pPr>
              <w:jc w:val="center"/>
              <w:rPr>
                <w:lang w:val="es-ES_tradnl"/>
              </w:rPr>
            </w:pPr>
            <w:r w:rsidRPr="00E83B7E">
              <w:rPr>
                <w:lang w:val="es-ES_tradnl"/>
              </w:rPr>
              <w:t>Financiero</w:t>
            </w:r>
          </w:p>
        </w:tc>
        <w:tc>
          <w:tcPr>
            <w:tcW w:w="498" w:type="dxa"/>
            <w:noWrap/>
            <w:textDirection w:val="btLr"/>
            <w:hideMark/>
          </w:tcPr>
          <w:p w14:paraId="1DEF68EE" w14:textId="77777777" w:rsidR="00C4729C" w:rsidRPr="00E83B7E" w:rsidRDefault="00C4729C" w:rsidP="0007292C">
            <w:pPr>
              <w:jc w:val="center"/>
              <w:rPr>
                <w:lang w:val="es-ES_tradnl"/>
              </w:rPr>
            </w:pPr>
            <w:r w:rsidRPr="00E83B7E">
              <w:rPr>
                <w:lang w:val="es-ES_tradnl"/>
              </w:rPr>
              <w:t>Crédito</w:t>
            </w:r>
          </w:p>
        </w:tc>
        <w:tc>
          <w:tcPr>
            <w:tcW w:w="1647" w:type="dxa"/>
            <w:hideMark/>
          </w:tcPr>
          <w:p w14:paraId="049937D9" w14:textId="1A7B8F5F" w:rsidR="00C4729C" w:rsidRPr="00E83B7E" w:rsidRDefault="00C4729C" w:rsidP="0007292C">
            <w:pPr>
              <w:rPr>
                <w:lang w:val="es-ES_tradnl"/>
              </w:rPr>
            </w:pPr>
            <w:r w:rsidRPr="00E83B7E">
              <w:rPr>
                <w:lang w:val="es-ES_tradnl"/>
              </w:rPr>
              <w:t>Reducción o interrupción de financiamiento de mediano y largo plazo</w:t>
            </w:r>
          </w:p>
        </w:tc>
        <w:tc>
          <w:tcPr>
            <w:tcW w:w="6707" w:type="dxa"/>
            <w:hideMark/>
          </w:tcPr>
          <w:p w14:paraId="05003AF4" w14:textId="77777777" w:rsidR="00C4729C" w:rsidRPr="00E83B7E" w:rsidRDefault="00C4729C" w:rsidP="0007292C">
            <w:pPr>
              <w:rPr>
                <w:lang w:val="es-ES_tradnl"/>
              </w:rPr>
            </w:pPr>
            <w:r w:rsidRPr="00E83B7E">
              <w:rPr>
                <w:lang w:val="es-ES_tradnl"/>
              </w:rPr>
              <w:t>Reducción o interrupción de financiamientos de mediano y largo plazo (incluye comercio exterior e inversión)</w:t>
            </w:r>
          </w:p>
        </w:tc>
      </w:tr>
      <w:tr w:rsidR="00C4729C" w:rsidRPr="00D16194" w14:paraId="7C241AEA" w14:textId="77777777" w:rsidTr="00C4729C">
        <w:trPr>
          <w:trHeight w:val="2400"/>
        </w:trPr>
        <w:tc>
          <w:tcPr>
            <w:tcW w:w="498" w:type="dxa"/>
            <w:noWrap/>
            <w:textDirection w:val="btLr"/>
            <w:hideMark/>
          </w:tcPr>
          <w:p w14:paraId="2BDD59C0" w14:textId="77777777" w:rsidR="00C4729C" w:rsidRPr="00E83B7E" w:rsidRDefault="00C4729C" w:rsidP="0007292C">
            <w:pPr>
              <w:jc w:val="center"/>
              <w:rPr>
                <w:lang w:val="es-ES_tradnl"/>
              </w:rPr>
            </w:pPr>
            <w:r w:rsidRPr="00E83B7E">
              <w:rPr>
                <w:lang w:val="es-ES_tradnl"/>
              </w:rPr>
              <w:t>Financiero</w:t>
            </w:r>
          </w:p>
        </w:tc>
        <w:tc>
          <w:tcPr>
            <w:tcW w:w="498" w:type="dxa"/>
            <w:noWrap/>
            <w:textDirection w:val="btLr"/>
            <w:hideMark/>
          </w:tcPr>
          <w:p w14:paraId="65C8E8E6" w14:textId="77777777" w:rsidR="00C4729C" w:rsidRPr="00E83B7E" w:rsidRDefault="00C4729C" w:rsidP="0007292C">
            <w:pPr>
              <w:jc w:val="center"/>
              <w:rPr>
                <w:lang w:val="es-ES_tradnl"/>
              </w:rPr>
            </w:pPr>
            <w:r w:rsidRPr="00E83B7E">
              <w:rPr>
                <w:lang w:val="es-ES_tradnl"/>
              </w:rPr>
              <w:t>Operativo</w:t>
            </w:r>
          </w:p>
        </w:tc>
        <w:tc>
          <w:tcPr>
            <w:tcW w:w="1647" w:type="dxa"/>
            <w:hideMark/>
          </w:tcPr>
          <w:p w14:paraId="679BAAB3" w14:textId="77777777" w:rsidR="00C4729C" w:rsidRPr="00E83B7E" w:rsidRDefault="00C4729C" w:rsidP="0007292C">
            <w:pPr>
              <w:rPr>
                <w:lang w:val="es-ES_tradnl"/>
              </w:rPr>
            </w:pPr>
            <w:r w:rsidRPr="00E83B7E">
              <w:rPr>
                <w:lang w:val="es-ES_tradnl"/>
              </w:rPr>
              <w:t>Aumento de los costos financieros y de intermediación (tasas de interés, comisiones, etc.)</w:t>
            </w:r>
          </w:p>
        </w:tc>
        <w:tc>
          <w:tcPr>
            <w:tcW w:w="6707" w:type="dxa"/>
            <w:hideMark/>
          </w:tcPr>
          <w:p w14:paraId="59F08B7D" w14:textId="77777777" w:rsidR="00C4729C" w:rsidRPr="00E83B7E" w:rsidRDefault="00C4729C" w:rsidP="0007292C">
            <w:pPr>
              <w:rPr>
                <w:lang w:val="es-ES_tradnl"/>
              </w:rPr>
            </w:pPr>
            <w:r w:rsidRPr="00E83B7E">
              <w:rPr>
                <w:lang w:val="es-ES_tradnl"/>
              </w:rPr>
              <w:t>Aumento de los costos financieros y de intermediación (tasas de interés, comisiones, etc.). Considerar costos de todas las fuentes (proveedores, bancarios, tarjetas de crédito, etc.)</w:t>
            </w:r>
            <w:r w:rsidRPr="00E83B7E">
              <w:rPr>
                <w:lang w:val="es-ES_tradnl"/>
              </w:rPr>
              <w:br/>
            </w:r>
            <w:r w:rsidRPr="00E83B7E">
              <w:rPr>
                <w:lang w:val="es-ES_tradnl"/>
              </w:rPr>
              <w:br/>
              <w:t>Considerar costos y tasas en términos reales (prestar atención a la inflación)</w:t>
            </w:r>
          </w:p>
        </w:tc>
      </w:tr>
      <w:tr w:rsidR="00C4729C" w:rsidRPr="00E83B7E" w14:paraId="7BFB4721" w14:textId="77777777" w:rsidTr="00C4729C">
        <w:trPr>
          <w:trHeight w:val="1500"/>
        </w:trPr>
        <w:tc>
          <w:tcPr>
            <w:tcW w:w="498" w:type="dxa"/>
            <w:noWrap/>
            <w:textDirection w:val="btLr"/>
            <w:hideMark/>
          </w:tcPr>
          <w:p w14:paraId="1029816A" w14:textId="77777777" w:rsidR="00C4729C" w:rsidRPr="00E83B7E" w:rsidRDefault="00C4729C" w:rsidP="0007292C">
            <w:pPr>
              <w:jc w:val="center"/>
              <w:rPr>
                <w:lang w:val="es-ES_tradnl"/>
              </w:rPr>
            </w:pPr>
            <w:r w:rsidRPr="00E83B7E">
              <w:rPr>
                <w:lang w:val="es-ES_tradnl"/>
              </w:rPr>
              <w:t>Patrimonial</w:t>
            </w:r>
          </w:p>
        </w:tc>
        <w:tc>
          <w:tcPr>
            <w:tcW w:w="498" w:type="dxa"/>
            <w:noWrap/>
            <w:textDirection w:val="btLr"/>
            <w:hideMark/>
          </w:tcPr>
          <w:p w14:paraId="23568378" w14:textId="77777777" w:rsidR="00C4729C" w:rsidRPr="00E83B7E" w:rsidRDefault="00C4729C" w:rsidP="0007292C">
            <w:pPr>
              <w:jc w:val="center"/>
              <w:rPr>
                <w:lang w:val="es-ES_tradnl"/>
              </w:rPr>
            </w:pPr>
            <w:r w:rsidRPr="00E83B7E">
              <w:rPr>
                <w:lang w:val="es-ES_tradnl"/>
              </w:rPr>
              <w:t>Patrimonial</w:t>
            </w:r>
          </w:p>
        </w:tc>
        <w:tc>
          <w:tcPr>
            <w:tcW w:w="1647" w:type="dxa"/>
            <w:hideMark/>
          </w:tcPr>
          <w:p w14:paraId="48FE62C4" w14:textId="77777777" w:rsidR="00C4729C" w:rsidRPr="00E83B7E" w:rsidRDefault="00C4729C" w:rsidP="0007292C">
            <w:pPr>
              <w:rPr>
                <w:lang w:val="es-ES_tradnl"/>
              </w:rPr>
            </w:pPr>
            <w:r w:rsidRPr="00E83B7E">
              <w:rPr>
                <w:lang w:val="es-ES_tradnl"/>
              </w:rPr>
              <w:t>Reducción del valor de los activos reales por retracción de la demanda</w:t>
            </w:r>
          </w:p>
        </w:tc>
        <w:tc>
          <w:tcPr>
            <w:tcW w:w="6707" w:type="dxa"/>
            <w:hideMark/>
          </w:tcPr>
          <w:p w14:paraId="621FE0AD" w14:textId="77777777" w:rsidR="00C4729C" w:rsidRPr="00E83B7E" w:rsidRDefault="00C4729C" w:rsidP="0007292C">
            <w:pPr>
              <w:rPr>
                <w:lang w:val="es-ES_tradnl"/>
              </w:rPr>
            </w:pPr>
            <w:r w:rsidRPr="00E83B7E">
              <w:rPr>
                <w:lang w:val="es-ES_tradnl"/>
              </w:rPr>
              <w:t>Reducción del valor de los activos reales por retracción de la demanda (valor edificios, terrenos, inventarios, etc.) y depreciación (ej. vencimientos de mercadería).</w:t>
            </w:r>
            <w:r w:rsidRPr="00E83B7E">
              <w:rPr>
                <w:lang w:val="es-ES_tradnl"/>
              </w:rPr>
              <w:br/>
            </w:r>
            <w:r w:rsidRPr="00E83B7E">
              <w:rPr>
                <w:lang w:val="es-ES_tradnl"/>
              </w:rPr>
              <w:br/>
              <w:t>Considerar en términos reales.</w:t>
            </w:r>
          </w:p>
        </w:tc>
      </w:tr>
      <w:tr w:rsidR="00C4729C" w:rsidRPr="00D16194" w14:paraId="7774CA64" w14:textId="77777777" w:rsidTr="00C4729C">
        <w:trPr>
          <w:trHeight w:val="1500"/>
        </w:trPr>
        <w:tc>
          <w:tcPr>
            <w:tcW w:w="498" w:type="dxa"/>
            <w:noWrap/>
            <w:textDirection w:val="btLr"/>
            <w:hideMark/>
          </w:tcPr>
          <w:p w14:paraId="71E4A79C" w14:textId="77777777" w:rsidR="00C4729C" w:rsidRPr="00E83B7E" w:rsidRDefault="00C4729C" w:rsidP="0007292C">
            <w:pPr>
              <w:jc w:val="center"/>
              <w:rPr>
                <w:lang w:val="es-ES_tradnl"/>
              </w:rPr>
            </w:pPr>
            <w:r w:rsidRPr="00E83B7E">
              <w:rPr>
                <w:lang w:val="es-ES_tradnl"/>
              </w:rPr>
              <w:t>Patrimonial</w:t>
            </w:r>
          </w:p>
        </w:tc>
        <w:tc>
          <w:tcPr>
            <w:tcW w:w="498" w:type="dxa"/>
            <w:noWrap/>
            <w:textDirection w:val="btLr"/>
            <w:hideMark/>
          </w:tcPr>
          <w:p w14:paraId="6BFEF7CB" w14:textId="77777777" w:rsidR="00C4729C" w:rsidRPr="00E83B7E" w:rsidRDefault="00C4729C" w:rsidP="0007292C">
            <w:pPr>
              <w:jc w:val="center"/>
              <w:rPr>
                <w:lang w:val="es-ES_tradnl"/>
              </w:rPr>
            </w:pPr>
            <w:r w:rsidRPr="00E83B7E">
              <w:rPr>
                <w:lang w:val="es-ES_tradnl"/>
              </w:rPr>
              <w:t>Operativo</w:t>
            </w:r>
          </w:p>
        </w:tc>
        <w:tc>
          <w:tcPr>
            <w:tcW w:w="1647" w:type="dxa"/>
            <w:hideMark/>
          </w:tcPr>
          <w:p w14:paraId="2F7504C8" w14:textId="77777777" w:rsidR="00C4729C" w:rsidRPr="00E83B7E" w:rsidRDefault="00C4729C" w:rsidP="0007292C">
            <w:pPr>
              <w:rPr>
                <w:lang w:val="es-ES_tradnl"/>
              </w:rPr>
            </w:pPr>
            <w:r w:rsidRPr="00E83B7E">
              <w:rPr>
                <w:lang w:val="es-ES_tradnl"/>
              </w:rPr>
              <w:t>Acumulación de pasivos (alquileres, sueldos, etc.)</w:t>
            </w:r>
          </w:p>
        </w:tc>
        <w:tc>
          <w:tcPr>
            <w:tcW w:w="6707" w:type="dxa"/>
            <w:hideMark/>
          </w:tcPr>
          <w:p w14:paraId="374544FF" w14:textId="77777777" w:rsidR="00C4729C" w:rsidRPr="00E83B7E" w:rsidRDefault="00C4729C" w:rsidP="0007292C">
            <w:pPr>
              <w:rPr>
                <w:lang w:val="es-ES_tradnl"/>
              </w:rPr>
            </w:pPr>
            <w:r w:rsidRPr="00E83B7E">
              <w:rPr>
                <w:lang w:val="es-ES_tradnl"/>
              </w:rPr>
              <w:t>Considerar principalmente el aumento de pasivos asociados a la falta de ingresos por ventas que normalmente se utilizarían, por ejemplo, pago de salarios, alquileres, obligaciones impositivas, pago de servicios (energía, comunicaciones), etc. Considerar los endeudamientos incurridos para mantener dichos pagos (ejemplo, préstamos para pago de sueldos y jornales).</w:t>
            </w:r>
          </w:p>
        </w:tc>
      </w:tr>
      <w:tr w:rsidR="00C4729C" w:rsidRPr="00D16194" w14:paraId="148667C4" w14:textId="77777777" w:rsidTr="00C4729C">
        <w:trPr>
          <w:trHeight w:val="2100"/>
        </w:trPr>
        <w:tc>
          <w:tcPr>
            <w:tcW w:w="498" w:type="dxa"/>
            <w:noWrap/>
            <w:textDirection w:val="btLr"/>
            <w:hideMark/>
          </w:tcPr>
          <w:p w14:paraId="568563C6" w14:textId="77777777" w:rsidR="00C4729C" w:rsidRPr="00E83B7E" w:rsidRDefault="00C4729C" w:rsidP="0007292C">
            <w:pPr>
              <w:jc w:val="center"/>
              <w:rPr>
                <w:lang w:val="es-ES_tradnl"/>
              </w:rPr>
            </w:pPr>
            <w:r w:rsidRPr="00E83B7E">
              <w:rPr>
                <w:lang w:val="es-ES_tradnl"/>
              </w:rPr>
              <w:t>Institucionales</w:t>
            </w:r>
          </w:p>
        </w:tc>
        <w:tc>
          <w:tcPr>
            <w:tcW w:w="498" w:type="dxa"/>
            <w:noWrap/>
            <w:textDirection w:val="btLr"/>
            <w:hideMark/>
          </w:tcPr>
          <w:p w14:paraId="56519019" w14:textId="77777777" w:rsidR="00C4729C" w:rsidRPr="00E83B7E" w:rsidRDefault="00C4729C" w:rsidP="0007292C">
            <w:pPr>
              <w:jc w:val="center"/>
              <w:rPr>
                <w:lang w:val="es-ES_tradnl"/>
              </w:rPr>
            </w:pPr>
            <w:proofErr w:type="spellStart"/>
            <w:r w:rsidRPr="00E83B7E">
              <w:rPr>
                <w:lang w:val="es-ES_tradnl"/>
              </w:rPr>
              <w:t>Sist</w:t>
            </w:r>
            <w:proofErr w:type="spellEnd"/>
            <w:r w:rsidRPr="00E83B7E">
              <w:rPr>
                <w:lang w:val="es-ES_tradnl"/>
              </w:rPr>
              <w:t xml:space="preserve"> y reg.</w:t>
            </w:r>
          </w:p>
        </w:tc>
        <w:tc>
          <w:tcPr>
            <w:tcW w:w="1647" w:type="dxa"/>
            <w:hideMark/>
          </w:tcPr>
          <w:p w14:paraId="121201E0" w14:textId="654DB5F5" w:rsidR="00C4729C" w:rsidRPr="00E83B7E" w:rsidRDefault="00C4729C" w:rsidP="0007292C">
            <w:pPr>
              <w:rPr>
                <w:lang w:val="es-ES_tradnl"/>
              </w:rPr>
            </w:pPr>
            <w:r w:rsidRPr="00E83B7E">
              <w:rPr>
                <w:lang w:val="es-ES_tradnl"/>
              </w:rPr>
              <w:t>Inestabilidad política y social</w:t>
            </w:r>
          </w:p>
        </w:tc>
        <w:tc>
          <w:tcPr>
            <w:tcW w:w="6707" w:type="dxa"/>
            <w:hideMark/>
          </w:tcPr>
          <w:p w14:paraId="57DEAC57" w14:textId="77777777" w:rsidR="00C4729C" w:rsidRPr="00E83B7E" w:rsidRDefault="00C4729C" w:rsidP="0007292C">
            <w:pPr>
              <w:rPr>
                <w:lang w:val="es-ES_tradnl"/>
              </w:rPr>
            </w:pPr>
            <w:r w:rsidRPr="00E83B7E">
              <w:rPr>
                <w:lang w:val="es-ES_tradnl"/>
              </w:rPr>
              <w:t xml:space="preserve">Impacto que la inestabilidad política y social puede tener en el giro de negocios. </w:t>
            </w:r>
            <w:r w:rsidRPr="00E83B7E">
              <w:rPr>
                <w:lang w:val="es-ES_tradnl"/>
              </w:rPr>
              <w:br/>
            </w:r>
            <w:r w:rsidRPr="00E83B7E">
              <w:rPr>
                <w:lang w:val="es-ES_tradnl"/>
              </w:rPr>
              <w:br/>
              <w:t>Considerar un escenario moderado de inestabilidad política y social (desordenes sociales localizados y contenidos; saqueos y aumento de la violencia y criminalidad localizado y contenido).</w:t>
            </w:r>
          </w:p>
        </w:tc>
      </w:tr>
      <w:tr w:rsidR="00C4729C" w:rsidRPr="00D16194" w14:paraId="451F8475" w14:textId="77777777" w:rsidTr="00AD1A0C">
        <w:trPr>
          <w:cantSplit/>
          <w:trHeight w:val="1862"/>
        </w:trPr>
        <w:tc>
          <w:tcPr>
            <w:tcW w:w="498" w:type="dxa"/>
            <w:tcBorders>
              <w:bottom w:val="single" w:sz="4" w:space="0" w:color="auto"/>
            </w:tcBorders>
            <w:noWrap/>
            <w:textDirection w:val="btLr"/>
            <w:hideMark/>
          </w:tcPr>
          <w:p w14:paraId="03477BBC" w14:textId="77777777" w:rsidR="00C4729C" w:rsidRPr="00E83B7E" w:rsidRDefault="00C4729C" w:rsidP="00CE223E">
            <w:pPr>
              <w:ind w:left="113" w:right="113"/>
              <w:jc w:val="center"/>
              <w:rPr>
                <w:lang w:val="es-ES_tradnl"/>
              </w:rPr>
            </w:pPr>
            <w:r w:rsidRPr="00E83B7E">
              <w:rPr>
                <w:lang w:val="es-ES_tradnl"/>
              </w:rPr>
              <w:t>Institucionales</w:t>
            </w:r>
          </w:p>
        </w:tc>
        <w:tc>
          <w:tcPr>
            <w:tcW w:w="498" w:type="dxa"/>
            <w:tcBorders>
              <w:bottom w:val="single" w:sz="4" w:space="0" w:color="auto"/>
            </w:tcBorders>
            <w:noWrap/>
            <w:textDirection w:val="btLr"/>
            <w:hideMark/>
          </w:tcPr>
          <w:p w14:paraId="6862913E" w14:textId="77777777" w:rsidR="00C4729C" w:rsidRPr="00E83B7E" w:rsidRDefault="00C4729C" w:rsidP="00CE223E">
            <w:pPr>
              <w:ind w:left="113" w:right="113"/>
              <w:jc w:val="center"/>
              <w:rPr>
                <w:lang w:val="es-ES_tradnl"/>
              </w:rPr>
            </w:pPr>
            <w:proofErr w:type="spellStart"/>
            <w:r w:rsidRPr="00E83B7E">
              <w:rPr>
                <w:lang w:val="es-ES_tradnl"/>
              </w:rPr>
              <w:t>Sist</w:t>
            </w:r>
            <w:proofErr w:type="spellEnd"/>
            <w:r w:rsidRPr="00E83B7E">
              <w:rPr>
                <w:lang w:val="es-ES_tradnl"/>
              </w:rPr>
              <w:t xml:space="preserve"> y reg.</w:t>
            </w:r>
          </w:p>
        </w:tc>
        <w:tc>
          <w:tcPr>
            <w:tcW w:w="1647" w:type="dxa"/>
            <w:tcBorders>
              <w:bottom w:val="single" w:sz="4" w:space="0" w:color="auto"/>
            </w:tcBorders>
            <w:hideMark/>
          </w:tcPr>
          <w:p w14:paraId="286AEF56" w14:textId="77777777" w:rsidR="00C4729C" w:rsidRPr="00E83B7E" w:rsidRDefault="00C4729C" w:rsidP="0007292C">
            <w:pPr>
              <w:rPr>
                <w:lang w:val="es-ES_tradnl"/>
              </w:rPr>
            </w:pPr>
            <w:r w:rsidRPr="00E83B7E">
              <w:rPr>
                <w:lang w:val="es-ES_tradnl"/>
              </w:rPr>
              <w:t>Incertidumbre institucional y legal</w:t>
            </w:r>
          </w:p>
        </w:tc>
        <w:tc>
          <w:tcPr>
            <w:tcW w:w="6707" w:type="dxa"/>
            <w:tcBorders>
              <w:bottom w:val="single" w:sz="4" w:space="0" w:color="auto"/>
            </w:tcBorders>
            <w:hideMark/>
          </w:tcPr>
          <w:p w14:paraId="296C91BB" w14:textId="6D718C0C" w:rsidR="00C4729C" w:rsidRPr="00E83B7E" w:rsidRDefault="00C4729C" w:rsidP="0007292C">
            <w:pPr>
              <w:rPr>
                <w:lang w:val="es-ES_tradnl"/>
              </w:rPr>
            </w:pPr>
            <w:r w:rsidRPr="00E83B7E">
              <w:rPr>
                <w:lang w:val="es-ES_tradnl"/>
              </w:rPr>
              <w:t xml:space="preserve">Impacto que la inestabilidad institucional y legal puede tener en el giro de negocios. </w:t>
            </w:r>
            <w:r w:rsidRPr="00E83B7E">
              <w:rPr>
                <w:lang w:val="es-ES_tradnl"/>
              </w:rPr>
              <w:br/>
            </w:r>
            <w:r w:rsidRPr="00E83B7E">
              <w:rPr>
                <w:lang w:val="es-ES_tradnl"/>
              </w:rPr>
              <w:br/>
              <w:t>Considerar un escenario moderado de inestabilidad institucional y legal de mantenimiento general del orden constitucional, estado de derecho y protección de la propiedad privada y derechos civiles, pero con avances sobre la propiedad privada y los contratos entre privados.</w:t>
            </w:r>
          </w:p>
        </w:tc>
      </w:tr>
      <w:tr w:rsidR="00C4729C" w:rsidRPr="00E83B7E" w14:paraId="42B382D8" w14:textId="77777777" w:rsidTr="00CE223E">
        <w:trPr>
          <w:trHeight w:val="197"/>
        </w:trPr>
        <w:tc>
          <w:tcPr>
            <w:tcW w:w="9350" w:type="dxa"/>
            <w:gridSpan w:val="4"/>
            <w:tcBorders>
              <w:top w:val="single" w:sz="4" w:space="0" w:color="auto"/>
              <w:left w:val="nil"/>
              <w:bottom w:val="nil"/>
              <w:right w:val="nil"/>
            </w:tcBorders>
            <w:noWrap/>
          </w:tcPr>
          <w:p w14:paraId="3213F53A" w14:textId="657A0839" w:rsidR="00C4729C" w:rsidRPr="00E83B7E" w:rsidRDefault="00C4729C" w:rsidP="00C4729C">
            <w:pPr>
              <w:rPr>
                <w:sz w:val="18"/>
                <w:szCs w:val="18"/>
                <w:lang w:val="es-ES_tradnl"/>
              </w:rPr>
            </w:pPr>
            <w:r w:rsidRPr="00E83B7E">
              <w:rPr>
                <w:sz w:val="18"/>
                <w:szCs w:val="18"/>
                <w:lang w:val="es-ES_tradnl"/>
              </w:rPr>
              <w:t>Fuente: IFD/CMF.</w:t>
            </w:r>
          </w:p>
        </w:tc>
      </w:tr>
    </w:tbl>
    <w:p w14:paraId="19CCDAB1" w14:textId="77777777" w:rsidR="00C42147" w:rsidRPr="00E83B7E" w:rsidRDefault="00C42147" w:rsidP="00AD1A0C">
      <w:pPr>
        <w:jc w:val="both"/>
        <w:rPr>
          <w:b/>
          <w:bCs/>
          <w:sz w:val="24"/>
          <w:szCs w:val="24"/>
          <w:lang w:val="es-ES_tradnl"/>
        </w:rPr>
      </w:pPr>
    </w:p>
    <w:sectPr w:rsidR="00C42147" w:rsidRPr="00E83B7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4DB609" w14:textId="77777777" w:rsidR="00BB244C" w:rsidRDefault="00BB244C" w:rsidP="00BF3440">
      <w:pPr>
        <w:spacing w:after="0" w:line="240" w:lineRule="auto"/>
      </w:pPr>
      <w:r>
        <w:separator/>
      </w:r>
    </w:p>
  </w:endnote>
  <w:endnote w:type="continuationSeparator" w:id="0">
    <w:p w14:paraId="1AA06BAC" w14:textId="77777777" w:rsidR="00BB244C" w:rsidRDefault="00BB244C" w:rsidP="00BF3440">
      <w:pPr>
        <w:spacing w:after="0" w:line="240" w:lineRule="auto"/>
      </w:pPr>
      <w:r>
        <w:continuationSeparator/>
      </w:r>
    </w:p>
  </w:endnote>
  <w:endnote w:type="continuationNotice" w:id="1">
    <w:p w14:paraId="5E13F8FF" w14:textId="77777777" w:rsidR="00BB244C" w:rsidRDefault="00BB24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6B1C8E" w14:textId="77777777" w:rsidR="00BB244C" w:rsidRDefault="00BB244C" w:rsidP="00BF3440">
      <w:pPr>
        <w:spacing w:after="0" w:line="240" w:lineRule="auto"/>
      </w:pPr>
      <w:r>
        <w:separator/>
      </w:r>
    </w:p>
  </w:footnote>
  <w:footnote w:type="continuationSeparator" w:id="0">
    <w:p w14:paraId="03004DDA" w14:textId="77777777" w:rsidR="00BB244C" w:rsidRDefault="00BB244C" w:rsidP="00BF3440">
      <w:pPr>
        <w:spacing w:after="0" w:line="240" w:lineRule="auto"/>
      </w:pPr>
      <w:r>
        <w:continuationSeparator/>
      </w:r>
    </w:p>
  </w:footnote>
  <w:footnote w:type="continuationNotice" w:id="1">
    <w:p w14:paraId="3F350171" w14:textId="77777777" w:rsidR="00BB244C" w:rsidRDefault="00BB244C">
      <w:pPr>
        <w:spacing w:after="0" w:line="240" w:lineRule="auto"/>
      </w:pPr>
    </w:p>
  </w:footnote>
  <w:footnote w:id="2">
    <w:p w14:paraId="059F82A0" w14:textId="458F2B89" w:rsidR="00F7793C" w:rsidRPr="00F3219B" w:rsidRDefault="00F7793C">
      <w:pPr>
        <w:pStyle w:val="FootnoteText"/>
        <w:rPr>
          <w:lang w:val="es-ES_tradnl"/>
        </w:rPr>
      </w:pPr>
      <w:r>
        <w:rPr>
          <w:rStyle w:val="FootnoteReference"/>
        </w:rPr>
        <w:footnoteRef/>
      </w:r>
      <w:r w:rsidRPr="00F3219B">
        <w:rPr>
          <w:lang w:val="es-ES_tradnl"/>
        </w:rPr>
        <w:t xml:space="preserve"> </w:t>
      </w:r>
      <w:r>
        <w:rPr>
          <w:lang w:val="es-ES_tradnl"/>
        </w:rPr>
        <w:t xml:space="preserve">El </w:t>
      </w:r>
      <w:r w:rsidRPr="00E11089">
        <w:rPr>
          <w:lang w:val="es-ES_tradnl"/>
        </w:rPr>
        <w:t xml:space="preserve">cálculo </w:t>
      </w:r>
      <w:r>
        <w:rPr>
          <w:lang w:val="es-ES_tradnl"/>
        </w:rPr>
        <w:t>se basa considerando los</w:t>
      </w:r>
      <w:r w:rsidRPr="00E11089">
        <w:rPr>
          <w:lang w:val="es-ES_tradnl"/>
        </w:rPr>
        <w:t xml:space="preserve"> ingresos proveniente</w:t>
      </w:r>
      <w:r>
        <w:rPr>
          <w:lang w:val="es-ES_tradnl"/>
        </w:rPr>
        <w:t>s</w:t>
      </w:r>
      <w:r w:rsidRPr="00E11089">
        <w:rPr>
          <w:lang w:val="es-ES_tradnl"/>
        </w:rPr>
        <w:t xml:space="preserve"> </w:t>
      </w:r>
      <w:r>
        <w:rPr>
          <w:lang w:val="es-ES_tradnl"/>
        </w:rPr>
        <w:t xml:space="preserve">de los </w:t>
      </w:r>
      <w:r w:rsidRPr="00E11089">
        <w:rPr>
          <w:lang w:val="es-ES_tradnl"/>
        </w:rPr>
        <w:t>mercado</w:t>
      </w:r>
      <w:r>
        <w:rPr>
          <w:lang w:val="es-ES_tradnl"/>
        </w:rPr>
        <w:t>s</w:t>
      </w:r>
      <w:r w:rsidRPr="00E11089">
        <w:rPr>
          <w:lang w:val="es-ES_tradnl"/>
        </w:rPr>
        <w:t xml:space="preserve"> </w:t>
      </w:r>
      <w:r>
        <w:rPr>
          <w:lang w:val="es-ES_tradnl"/>
        </w:rPr>
        <w:t xml:space="preserve">nacional y </w:t>
      </w:r>
      <w:r w:rsidRPr="00E11089">
        <w:rPr>
          <w:lang w:val="es-ES_tradnl"/>
        </w:rPr>
        <w:t>extranjero</w:t>
      </w:r>
      <w:r>
        <w:rPr>
          <w:lang w:val="es-ES_tradnl"/>
        </w:rPr>
        <w:t xml:space="preserve"> por el suministro de bienes y servicios.</w:t>
      </w:r>
    </w:p>
  </w:footnote>
  <w:footnote w:id="3">
    <w:p w14:paraId="24FF0806" w14:textId="21752C77" w:rsidR="00CF71C9" w:rsidRPr="00CF71C9" w:rsidRDefault="00CF71C9">
      <w:pPr>
        <w:pStyle w:val="FootnoteText"/>
        <w:rPr>
          <w:lang w:val="es-ES"/>
        </w:rPr>
      </w:pPr>
      <w:r>
        <w:rPr>
          <w:rStyle w:val="FootnoteReference"/>
        </w:rPr>
        <w:footnoteRef/>
      </w:r>
      <w:r w:rsidRPr="00CF71C9">
        <w:rPr>
          <w:lang w:val="es-ES"/>
        </w:rPr>
        <w:t xml:space="preserve"> </w:t>
      </w:r>
      <w:r>
        <w:rPr>
          <w:lang w:val="es-ES"/>
        </w:rPr>
        <w:t xml:space="preserve">Según las empresas </w:t>
      </w:r>
      <w:r w:rsidR="00E65B58">
        <w:rPr>
          <w:lang w:val="es-ES"/>
        </w:rPr>
        <w:t xml:space="preserve">registradas en asociaciones de </w:t>
      </w:r>
      <w:r w:rsidR="00E65B58">
        <w:rPr>
          <w:lang w:val="es-ES"/>
        </w:rPr>
        <w:t>MiPYME.</w:t>
      </w:r>
      <w:r>
        <w:rPr>
          <w:lang w:val="es-ES"/>
        </w:rPr>
        <w:t xml:space="preserve"> </w:t>
      </w:r>
    </w:p>
  </w:footnote>
  <w:footnote w:id="4">
    <w:p w14:paraId="6E4A527A" w14:textId="31FC59C7" w:rsidR="00F7793C" w:rsidRPr="00F3219B" w:rsidRDefault="00F7793C">
      <w:pPr>
        <w:pStyle w:val="FootnoteText"/>
        <w:rPr>
          <w:lang w:val="es-ES"/>
        </w:rPr>
      </w:pPr>
      <w:r>
        <w:rPr>
          <w:rStyle w:val="FootnoteReference"/>
        </w:rPr>
        <w:footnoteRef/>
      </w:r>
      <w:r w:rsidRPr="00F3219B">
        <w:rPr>
          <w:lang w:val="es-ES"/>
        </w:rPr>
        <w:t xml:space="preserve"> </w:t>
      </w:r>
      <w:r>
        <w:rPr>
          <w:lang w:val="es-ES"/>
        </w:rPr>
        <w:t xml:space="preserve">Integrado por las ramas de </w:t>
      </w:r>
      <w:r w:rsidRPr="00F63089">
        <w:rPr>
          <w:lang w:val="es-ES_tradnl"/>
        </w:rPr>
        <w:t>Fabricación de automóviles y camiones</w:t>
      </w:r>
      <w:r>
        <w:rPr>
          <w:lang w:val="es-ES_tradnl"/>
        </w:rPr>
        <w:t xml:space="preserve">, </w:t>
      </w:r>
      <w:r w:rsidRPr="00F63089">
        <w:rPr>
          <w:lang w:val="es-ES_tradnl"/>
        </w:rPr>
        <w:t>Fabricación de carrocerías y remolques</w:t>
      </w:r>
      <w:r>
        <w:rPr>
          <w:lang w:val="es-ES_tradnl"/>
        </w:rPr>
        <w:t xml:space="preserve"> y </w:t>
      </w:r>
      <w:r w:rsidRPr="00F63089">
        <w:rPr>
          <w:lang w:val="es-ES_tradnl"/>
        </w:rPr>
        <w:t>Fabricación de partes para vehículos automotores</w:t>
      </w:r>
      <w:r>
        <w:rPr>
          <w:lang w:val="es-ES_tradnl"/>
        </w:rPr>
        <w:t>.</w:t>
      </w:r>
    </w:p>
  </w:footnote>
  <w:footnote w:id="5">
    <w:p w14:paraId="0FB5163B" w14:textId="5C64EA52" w:rsidR="00F7793C" w:rsidRPr="0007292C" w:rsidRDefault="00F7793C">
      <w:pPr>
        <w:pStyle w:val="FootnoteText"/>
        <w:rPr>
          <w:lang w:val="es-AR"/>
        </w:rPr>
      </w:pPr>
      <w:r>
        <w:rPr>
          <w:rStyle w:val="FootnoteReference"/>
        </w:rPr>
        <w:footnoteRef/>
      </w:r>
      <w:r w:rsidRPr="0007292C">
        <w:rPr>
          <w:lang w:val="es-AR"/>
        </w:rPr>
        <w:t xml:space="preserve"> </w:t>
      </w:r>
      <w:r>
        <w:rPr>
          <w:lang w:val="es-AR"/>
        </w:rPr>
        <w:t>Una descripción detallada de estos factores se da en el Anexo I.</w:t>
      </w:r>
    </w:p>
  </w:footnote>
  <w:footnote w:id="6">
    <w:p w14:paraId="4E678BF6" w14:textId="640E3DDF" w:rsidR="00F7793C" w:rsidRPr="0007292C" w:rsidRDefault="00F7793C">
      <w:pPr>
        <w:pStyle w:val="FootnoteText"/>
        <w:rPr>
          <w:lang w:val="es-AR"/>
        </w:rPr>
      </w:pPr>
      <w:r>
        <w:rPr>
          <w:rStyle w:val="FootnoteReference"/>
        </w:rPr>
        <w:footnoteRef/>
      </w:r>
      <w:r w:rsidRPr="00E97C66">
        <w:rPr>
          <w:lang w:val="es-AR"/>
        </w:rPr>
        <w:t xml:space="preserve"> </w:t>
      </w:r>
      <w:r>
        <w:rPr>
          <w:lang w:val="es-AR"/>
        </w:rPr>
        <w:t>Para mayor detalle analítico ver Anexo I.</w:t>
      </w:r>
    </w:p>
  </w:footnote>
  <w:footnote w:id="7">
    <w:p w14:paraId="32143FE8" w14:textId="2E5B66C7" w:rsidR="00F7793C" w:rsidRPr="0007292C" w:rsidRDefault="00F7793C">
      <w:pPr>
        <w:pStyle w:val="FootnoteText"/>
        <w:rPr>
          <w:lang w:val="es-AR"/>
        </w:rPr>
      </w:pPr>
      <w:r>
        <w:rPr>
          <w:rStyle w:val="FootnoteReference"/>
        </w:rPr>
        <w:footnoteRef/>
      </w:r>
      <w:r w:rsidRPr="00E97C66">
        <w:rPr>
          <w:lang w:val="es-AR"/>
        </w:rPr>
        <w:t xml:space="preserve"> </w:t>
      </w:r>
      <w:r>
        <w:rPr>
          <w:lang w:val="es-AR"/>
        </w:rPr>
        <w:t>Para mayor detalle analítico ver Anexo I.</w:t>
      </w:r>
    </w:p>
  </w:footnote>
  <w:footnote w:id="8">
    <w:p w14:paraId="525941BE" w14:textId="77777777" w:rsidR="00EB6A06" w:rsidRPr="00CF71C9" w:rsidRDefault="00EB6A06" w:rsidP="00EB6A06">
      <w:pPr>
        <w:pStyle w:val="FootnoteText"/>
        <w:rPr>
          <w:lang w:val="es-ES"/>
        </w:rPr>
      </w:pPr>
      <w:r>
        <w:rPr>
          <w:rStyle w:val="FootnoteReference"/>
        </w:rPr>
        <w:footnoteRef/>
      </w:r>
      <w:r w:rsidRPr="00CF71C9">
        <w:rPr>
          <w:lang w:val="es-ES"/>
        </w:rPr>
        <w:t xml:space="preserve"> </w:t>
      </w:r>
      <w:r>
        <w:rPr>
          <w:lang w:val="es-ES"/>
        </w:rPr>
        <w:t xml:space="preserve">Según las empresas registradas en asociaciones de </w:t>
      </w:r>
      <w:r>
        <w:rPr>
          <w:lang w:val="es-ES"/>
        </w:rPr>
        <w:t xml:space="preserve">MiPYME.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A2F7A4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0"/>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147"/>
    <w:rsid w:val="00000654"/>
    <w:rsid w:val="000130CF"/>
    <w:rsid w:val="000153AA"/>
    <w:rsid w:val="0001715E"/>
    <w:rsid w:val="00023A86"/>
    <w:rsid w:val="000243B9"/>
    <w:rsid w:val="00024A68"/>
    <w:rsid w:val="00043713"/>
    <w:rsid w:val="00046679"/>
    <w:rsid w:val="00054F6D"/>
    <w:rsid w:val="000612A6"/>
    <w:rsid w:val="00063F34"/>
    <w:rsid w:val="0007292C"/>
    <w:rsid w:val="00077DD7"/>
    <w:rsid w:val="00094F02"/>
    <w:rsid w:val="000A2F6D"/>
    <w:rsid w:val="000A742C"/>
    <w:rsid w:val="000B0EA0"/>
    <w:rsid w:val="000B2210"/>
    <w:rsid w:val="000B35B1"/>
    <w:rsid w:val="000C1350"/>
    <w:rsid w:val="000E23D0"/>
    <w:rsid w:val="000E6E1E"/>
    <w:rsid w:val="000F0075"/>
    <w:rsid w:val="000F3D91"/>
    <w:rsid w:val="000F59E6"/>
    <w:rsid w:val="00101F9B"/>
    <w:rsid w:val="00121F3B"/>
    <w:rsid w:val="001321AA"/>
    <w:rsid w:val="00132CB7"/>
    <w:rsid w:val="00136846"/>
    <w:rsid w:val="00143DE2"/>
    <w:rsid w:val="001470EC"/>
    <w:rsid w:val="001570DD"/>
    <w:rsid w:val="0017060A"/>
    <w:rsid w:val="0018115D"/>
    <w:rsid w:val="00182894"/>
    <w:rsid w:val="0019222A"/>
    <w:rsid w:val="001953C0"/>
    <w:rsid w:val="001A2D24"/>
    <w:rsid w:val="001A43A9"/>
    <w:rsid w:val="001A58E1"/>
    <w:rsid w:val="001B58F2"/>
    <w:rsid w:val="001C01FF"/>
    <w:rsid w:val="001C6940"/>
    <w:rsid w:val="001E5AD1"/>
    <w:rsid w:val="001E6937"/>
    <w:rsid w:val="00202828"/>
    <w:rsid w:val="0020497F"/>
    <w:rsid w:val="002104C9"/>
    <w:rsid w:val="002145E1"/>
    <w:rsid w:val="002263BE"/>
    <w:rsid w:val="00230AD4"/>
    <w:rsid w:val="00231254"/>
    <w:rsid w:val="00236DA8"/>
    <w:rsid w:val="00263A04"/>
    <w:rsid w:val="00280514"/>
    <w:rsid w:val="002844AD"/>
    <w:rsid w:val="00285CD3"/>
    <w:rsid w:val="002B00EE"/>
    <w:rsid w:val="002B3175"/>
    <w:rsid w:val="002C1F33"/>
    <w:rsid w:val="002E4B4A"/>
    <w:rsid w:val="002F60E9"/>
    <w:rsid w:val="00303A21"/>
    <w:rsid w:val="003124BB"/>
    <w:rsid w:val="003202C0"/>
    <w:rsid w:val="0033629B"/>
    <w:rsid w:val="003426B4"/>
    <w:rsid w:val="003625CE"/>
    <w:rsid w:val="00364A96"/>
    <w:rsid w:val="00366688"/>
    <w:rsid w:val="003708D1"/>
    <w:rsid w:val="00376D7C"/>
    <w:rsid w:val="00380CB5"/>
    <w:rsid w:val="0038219B"/>
    <w:rsid w:val="00382E7B"/>
    <w:rsid w:val="003845F7"/>
    <w:rsid w:val="003871AA"/>
    <w:rsid w:val="0039233C"/>
    <w:rsid w:val="003941F4"/>
    <w:rsid w:val="003A4989"/>
    <w:rsid w:val="003A5830"/>
    <w:rsid w:val="003A6D81"/>
    <w:rsid w:val="003B358E"/>
    <w:rsid w:val="003B4323"/>
    <w:rsid w:val="003B6735"/>
    <w:rsid w:val="003C033C"/>
    <w:rsid w:val="003C6DCD"/>
    <w:rsid w:val="003E1812"/>
    <w:rsid w:val="003E2301"/>
    <w:rsid w:val="003E7003"/>
    <w:rsid w:val="00404E61"/>
    <w:rsid w:val="0041747A"/>
    <w:rsid w:val="00420B9E"/>
    <w:rsid w:val="00421C29"/>
    <w:rsid w:val="00425068"/>
    <w:rsid w:val="0043226E"/>
    <w:rsid w:val="004467EE"/>
    <w:rsid w:val="004656DB"/>
    <w:rsid w:val="004732C1"/>
    <w:rsid w:val="0048150E"/>
    <w:rsid w:val="0048338B"/>
    <w:rsid w:val="00491164"/>
    <w:rsid w:val="004B3258"/>
    <w:rsid w:val="004B789A"/>
    <w:rsid w:val="004C6262"/>
    <w:rsid w:val="004D645F"/>
    <w:rsid w:val="004E759C"/>
    <w:rsid w:val="004F0E70"/>
    <w:rsid w:val="004F54FB"/>
    <w:rsid w:val="0050208F"/>
    <w:rsid w:val="0050643B"/>
    <w:rsid w:val="00517203"/>
    <w:rsid w:val="00524B11"/>
    <w:rsid w:val="005342F5"/>
    <w:rsid w:val="00550023"/>
    <w:rsid w:val="0055075B"/>
    <w:rsid w:val="00553C9F"/>
    <w:rsid w:val="00556998"/>
    <w:rsid w:val="00560F55"/>
    <w:rsid w:val="005617F8"/>
    <w:rsid w:val="00566663"/>
    <w:rsid w:val="00567FA8"/>
    <w:rsid w:val="0057313D"/>
    <w:rsid w:val="0059582D"/>
    <w:rsid w:val="005A31A7"/>
    <w:rsid w:val="005C49E3"/>
    <w:rsid w:val="005C6CA8"/>
    <w:rsid w:val="005D1844"/>
    <w:rsid w:val="00611B36"/>
    <w:rsid w:val="006221D8"/>
    <w:rsid w:val="006239C6"/>
    <w:rsid w:val="006249A6"/>
    <w:rsid w:val="00636076"/>
    <w:rsid w:val="00650B03"/>
    <w:rsid w:val="00651B7E"/>
    <w:rsid w:val="00667CD9"/>
    <w:rsid w:val="006809DE"/>
    <w:rsid w:val="00680EB8"/>
    <w:rsid w:val="00681B57"/>
    <w:rsid w:val="00681D94"/>
    <w:rsid w:val="00697AEF"/>
    <w:rsid w:val="006B2D10"/>
    <w:rsid w:val="006B7755"/>
    <w:rsid w:val="006B79AB"/>
    <w:rsid w:val="006C40FB"/>
    <w:rsid w:val="006D0655"/>
    <w:rsid w:val="006D4EEB"/>
    <w:rsid w:val="006E18DA"/>
    <w:rsid w:val="006F1929"/>
    <w:rsid w:val="006F6A85"/>
    <w:rsid w:val="00702813"/>
    <w:rsid w:val="00710EE5"/>
    <w:rsid w:val="007216B6"/>
    <w:rsid w:val="00725F1A"/>
    <w:rsid w:val="00746F48"/>
    <w:rsid w:val="00755EA6"/>
    <w:rsid w:val="0077797C"/>
    <w:rsid w:val="00781E24"/>
    <w:rsid w:val="0078223F"/>
    <w:rsid w:val="00794557"/>
    <w:rsid w:val="007B6C0F"/>
    <w:rsid w:val="007C05F4"/>
    <w:rsid w:val="007D7E6F"/>
    <w:rsid w:val="007E4C60"/>
    <w:rsid w:val="007E7523"/>
    <w:rsid w:val="007E7BA1"/>
    <w:rsid w:val="007F33A0"/>
    <w:rsid w:val="007F55F8"/>
    <w:rsid w:val="007F5D75"/>
    <w:rsid w:val="00803756"/>
    <w:rsid w:val="0080449E"/>
    <w:rsid w:val="0081327D"/>
    <w:rsid w:val="00815C71"/>
    <w:rsid w:val="00816025"/>
    <w:rsid w:val="00816670"/>
    <w:rsid w:val="00817E09"/>
    <w:rsid w:val="00825D67"/>
    <w:rsid w:val="0082722B"/>
    <w:rsid w:val="00844123"/>
    <w:rsid w:val="00851347"/>
    <w:rsid w:val="00861224"/>
    <w:rsid w:val="008614E1"/>
    <w:rsid w:val="00872C9D"/>
    <w:rsid w:val="008973CA"/>
    <w:rsid w:val="008B19F4"/>
    <w:rsid w:val="008B226C"/>
    <w:rsid w:val="008B26E9"/>
    <w:rsid w:val="008C0398"/>
    <w:rsid w:val="008C0FCF"/>
    <w:rsid w:val="008D0AB6"/>
    <w:rsid w:val="008D2824"/>
    <w:rsid w:val="008E02A8"/>
    <w:rsid w:val="008F3CE9"/>
    <w:rsid w:val="008F48D9"/>
    <w:rsid w:val="008F50E1"/>
    <w:rsid w:val="00900E28"/>
    <w:rsid w:val="009111B6"/>
    <w:rsid w:val="0091146C"/>
    <w:rsid w:val="00913238"/>
    <w:rsid w:val="00913643"/>
    <w:rsid w:val="00933D73"/>
    <w:rsid w:val="00933DA6"/>
    <w:rsid w:val="00941B33"/>
    <w:rsid w:val="0094371B"/>
    <w:rsid w:val="00945B21"/>
    <w:rsid w:val="00947AA8"/>
    <w:rsid w:val="00953364"/>
    <w:rsid w:val="0096126B"/>
    <w:rsid w:val="0098529F"/>
    <w:rsid w:val="00994BAE"/>
    <w:rsid w:val="009B6388"/>
    <w:rsid w:val="009B6E24"/>
    <w:rsid w:val="009C4498"/>
    <w:rsid w:val="009E067C"/>
    <w:rsid w:val="009E655F"/>
    <w:rsid w:val="00A0198E"/>
    <w:rsid w:val="00A0202B"/>
    <w:rsid w:val="00A044C9"/>
    <w:rsid w:val="00A07C6D"/>
    <w:rsid w:val="00A14F89"/>
    <w:rsid w:val="00A17353"/>
    <w:rsid w:val="00A216E1"/>
    <w:rsid w:val="00A330BA"/>
    <w:rsid w:val="00A33B4C"/>
    <w:rsid w:val="00A40BFB"/>
    <w:rsid w:val="00A4357D"/>
    <w:rsid w:val="00A460CE"/>
    <w:rsid w:val="00A55D13"/>
    <w:rsid w:val="00A5757F"/>
    <w:rsid w:val="00A60952"/>
    <w:rsid w:val="00A60EBD"/>
    <w:rsid w:val="00A700FB"/>
    <w:rsid w:val="00A81985"/>
    <w:rsid w:val="00A87C9A"/>
    <w:rsid w:val="00A91C1A"/>
    <w:rsid w:val="00A937CC"/>
    <w:rsid w:val="00A97C96"/>
    <w:rsid w:val="00A97D13"/>
    <w:rsid w:val="00AA0B5F"/>
    <w:rsid w:val="00AA1A09"/>
    <w:rsid w:val="00AA2010"/>
    <w:rsid w:val="00AB05B2"/>
    <w:rsid w:val="00AB406C"/>
    <w:rsid w:val="00AC0CAA"/>
    <w:rsid w:val="00AD1A0C"/>
    <w:rsid w:val="00AD37D8"/>
    <w:rsid w:val="00AD7842"/>
    <w:rsid w:val="00AE17AB"/>
    <w:rsid w:val="00B0788D"/>
    <w:rsid w:val="00B209E1"/>
    <w:rsid w:val="00B2795F"/>
    <w:rsid w:val="00B31740"/>
    <w:rsid w:val="00B506B7"/>
    <w:rsid w:val="00B604EF"/>
    <w:rsid w:val="00B62285"/>
    <w:rsid w:val="00B629B3"/>
    <w:rsid w:val="00B85ED7"/>
    <w:rsid w:val="00B90260"/>
    <w:rsid w:val="00B905DF"/>
    <w:rsid w:val="00B9430F"/>
    <w:rsid w:val="00BB09E7"/>
    <w:rsid w:val="00BB244C"/>
    <w:rsid w:val="00BD6E18"/>
    <w:rsid w:val="00BE4C81"/>
    <w:rsid w:val="00BF3440"/>
    <w:rsid w:val="00C044A5"/>
    <w:rsid w:val="00C07272"/>
    <w:rsid w:val="00C07C7C"/>
    <w:rsid w:val="00C1409E"/>
    <w:rsid w:val="00C21AD8"/>
    <w:rsid w:val="00C24074"/>
    <w:rsid w:val="00C42147"/>
    <w:rsid w:val="00C42BBE"/>
    <w:rsid w:val="00C45AE8"/>
    <w:rsid w:val="00C4729C"/>
    <w:rsid w:val="00C50950"/>
    <w:rsid w:val="00C53D5D"/>
    <w:rsid w:val="00C54B08"/>
    <w:rsid w:val="00C5740C"/>
    <w:rsid w:val="00C658C9"/>
    <w:rsid w:val="00C705C2"/>
    <w:rsid w:val="00C7727D"/>
    <w:rsid w:val="00C85F68"/>
    <w:rsid w:val="00C9667A"/>
    <w:rsid w:val="00CA2B45"/>
    <w:rsid w:val="00CA665E"/>
    <w:rsid w:val="00CC1B3A"/>
    <w:rsid w:val="00CC1EF9"/>
    <w:rsid w:val="00CD4B33"/>
    <w:rsid w:val="00CE223E"/>
    <w:rsid w:val="00CE228D"/>
    <w:rsid w:val="00CE3E2B"/>
    <w:rsid w:val="00CF71C9"/>
    <w:rsid w:val="00D16194"/>
    <w:rsid w:val="00D316B0"/>
    <w:rsid w:val="00D34DFA"/>
    <w:rsid w:val="00D41616"/>
    <w:rsid w:val="00D42F82"/>
    <w:rsid w:val="00D4307D"/>
    <w:rsid w:val="00D46351"/>
    <w:rsid w:val="00D536DF"/>
    <w:rsid w:val="00D60AA3"/>
    <w:rsid w:val="00D66202"/>
    <w:rsid w:val="00D755A2"/>
    <w:rsid w:val="00D817F2"/>
    <w:rsid w:val="00D85674"/>
    <w:rsid w:val="00D92E9C"/>
    <w:rsid w:val="00D97C15"/>
    <w:rsid w:val="00DA3884"/>
    <w:rsid w:val="00DA5A02"/>
    <w:rsid w:val="00DA6870"/>
    <w:rsid w:val="00DC3871"/>
    <w:rsid w:val="00DC4A64"/>
    <w:rsid w:val="00DE17A5"/>
    <w:rsid w:val="00DE241A"/>
    <w:rsid w:val="00DE5A58"/>
    <w:rsid w:val="00DF58EE"/>
    <w:rsid w:val="00DF757D"/>
    <w:rsid w:val="00E05E9E"/>
    <w:rsid w:val="00E11089"/>
    <w:rsid w:val="00E1357D"/>
    <w:rsid w:val="00E26F82"/>
    <w:rsid w:val="00E34617"/>
    <w:rsid w:val="00E356BD"/>
    <w:rsid w:val="00E3628F"/>
    <w:rsid w:val="00E3658E"/>
    <w:rsid w:val="00E46B00"/>
    <w:rsid w:val="00E5067B"/>
    <w:rsid w:val="00E50C4A"/>
    <w:rsid w:val="00E514F4"/>
    <w:rsid w:val="00E5440E"/>
    <w:rsid w:val="00E54526"/>
    <w:rsid w:val="00E56942"/>
    <w:rsid w:val="00E613E4"/>
    <w:rsid w:val="00E65B58"/>
    <w:rsid w:val="00E70BB1"/>
    <w:rsid w:val="00E724E1"/>
    <w:rsid w:val="00E72BE4"/>
    <w:rsid w:val="00E83B7E"/>
    <w:rsid w:val="00E97C66"/>
    <w:rsid w:val="00EA29AA"/>
    <w:rsid w:val="00EA4073"/>
    <w:rsid w:val="00EA4C51"/>
    <w:rsid w:val="00EA5F98"/>
    <w:rsid w:val="00EA71EF"/>
    <w:rsid w:val="00EB6A06"/>
    <w:rsid w:val="00EC2E9B"/>
    <w:rsid w:val="00EC45B4"/>
    <w:rsid w:val="00ED27CF"/>
    <w:rsid w:val="00ED6F69"/>
    <w:rsid w:val="00EE704E"/>
    <w:rsid w:val="00F03121"/>
    <w:rsid w:val="00F03FC6"/>
    <w:rsid w:val="00F24416"/>
    <w:rsid w:val="00F3219B"/>
    <w:rsid w:val="00F3704F"/>
    <w:rsid w:val="00F6028B"/>
    <w:rsid w:val="00F61082"/>
    <w:rsid w:val="00F63089"/>
    <w:rsid w:val="00F657E7"/>
    <w:rsid w:val="00F7216E"/>
    <w:rsid w:val="00F74A03"/>
    <w:rsid w:val="00F7793C"/>
    <w:rsid w:val="00F86B31"/>
    <w:rsid w:val="00F95A60"/>
    <w:rsid w:val="00FD67A8"/>
    <w:rsid w:val="00FD7E3E"/>
    <w:rsid w:val="00FE18AA"/>
    <w:rsid w:val="00FE550B"/>
    <w:rsid w:val="00FF1802"/>
    <w:rsid w:val="00FF21F3"/>
    <w:rsid w:val="00FF3D6E"/>
    <w:rsid w:val="00FF4E49"/>
    <w:rsid w:val="00FF5330"/>
    <w:rsid w:val="05D548EB"/>
    <w:rsid w:val="0A291431"/>
    <w:rsid w:val="0A81EE1D"/>
    <w:rsid w:val="0B269FCD"/>
    <w:rsid w:val="0DE8370F"/>
    <w:rsid w:val="17206411"/>
    <w:rsid w:val="17251BEA"/>
    <w:rsid w:val="1B340F0C"/>
    <w:rsid w:val="27356D79"/>
    <w:rsid w:val="388D4838"/>
    <w:rsid w:val="39BE0D4D"/>
    <w:rsid w:val="3A3DE7C2"/>
    <w:rsid w:val="3C122E93"/>
    <w:rsid w:val="3E377DAC"/>
    <w:rsid w:val="40F25CF6"/>
    <w:rsid w:val="464C3263"/>
    <w:rsid w:val="46BE3271"/>
    <w:rsid w:val="47636CBB"/>
    <w:rsid w:val="49E642BF"/>
    <w:rsid w:val="4BEBFC7E"/>
    <w:rsid w:val="4C6478FC"/>
    <w:rsid w:val="4C86B6B0"/>
    <w:rsid w:val="53A60544"/>
    <w:rsid w:val="56F10468"/>
    <w:rsid w:val="5A1761A0"/>
    <w:rsid w:val="5ED60937"/>
    <w:rsid w:val="661FEBC4"/>
    <w:rsid w:val="66AB0C64"/>
    <w:rsid w:val="6A881B99"/>
    <w:rsid w:val="6B2280BB"/>
    <w:rsid w:val="6BEB82F3"/>
    <w:rsid w:val="6EADD849"/>
    <w:rsid w:val="73C9812E"/>
    <w:rsid w:val="74C6EF87"/>
    <w:rsid w:val="74DF2FA9"/>
    <w:rsid w:val="75BE55CF"/>
    <w:rsid w:val="76C1505E"/>
    <w:rsid w:val="792EC07A"/>
    <w:rsid w:val="7A9CAA33"/>
    <w:rsid w:val="7BD03FAF"/>
    <w:rsid w:val="7D4C5BEE"/>
    <w:rsid w:val="7F3A91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6549D"/>
  <w15:chartTrackingRefBased/>
  <w15:docId w15:val="{98BA54C0-07E3-49E2-8AC8-20FE0CD3E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E17AB"/>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45B21"/>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45B21"/>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45B21"/>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45B21"/>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45B21"/>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45B21"/>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45B21"/>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45B21"/>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21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2147"/>
    <w:rPr>
      <w:rFonts w:ascii="Segoe UI" w:hAnsi="Segoe UI" w:cs="Segoe UI"/>
      <w:sz w:val="18"/>
      <w:szCs w:val="18"/>
    </w:rPr>
  </w:style>
  <w:style w:type="table" w:styleId="TableGrid">
    <w:name w:val="Table Grid"/>
    <w:basedOn w:val="TableNormal"/>
    <w:uiPriority w:val="39"/>
    <w:rsid w:val="00AE17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AE17AB"/>
    <w:pPr>
      <w:spacing w:after="0" w:line="240" w:lineRule="auto"/>
    </w:pPr>
    <w:rPr>
      <w:rFonts w:eastAsiaTheme="minorEastAsia"/>
    </w:rPr>
  </w:style>
  <w:style w:type="character" w:customStyle="1" w:styleId="NoSpacingChar">
    <w:name w:val="No Spacing Char"/>
    <w:basedOn w:val="DefaultParagraphFont"/>
    <w:link w:val="NoSpacing"/>
    <w:uiPriority w:val="1"/>
    <w:rsid w:val="00AE17AB"/>
    <w:rPr>
      <w:rFonts w:eastAsiaTheme="minorEastAsia"/>
    </w:rPr>
  </w:style>
  <w:style w:type="character" w:customStyle="1" w:styleId="Heading1Char">
    <w:name w:val="Heading 1 Char"/>
    <w:basedOn w:val="DefaultParagraphFont"/>
    <w:link w:val="Heading1"/>
    <w:uiPriority w:val="9"/>
    <w:rsid w:val="00AE17A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AE17AB"/>
    <w:pPr>
      <w:outlineLvl w:val="9"/>
    </w:pPr>
  </w:style>
  <w:style w:type="paragraph" w:styleId="TOC1">
    <w:name w:val="toc 1"/>
    <w:basedOn w:val="Normal"/>
    <w:next w:val="Normal"/>
    <w:autoRedefine/>
    <w:uiPriority w:val="39"/>
    <w:unhideWhenUsed/>
    <w:rsid w:val="00AE17AB"/>
    <w:pPr>
      <w:spacing w:after="100"/>
    </w:pPr>
  </w:style>
  <w:style w:type="paragraph" w:styleId="TOC2">
    <w:name w:val="toc 2"/>
    <w:basedOn w:val="Normal"/>
    <w:next w:val="Normal"/>
    <w:autoRedefine/>
    <w:uiPriority w:val="39"/>
    <w:unhideWhenUsed/>
    <w:rsid w:val="00AD1A0C"/>
    <w:pPr>
      <w:tabs>
        <w:tab w:val="left" w:pos="660"/>
        <w:tab w:val="right" w:leader="dot" w:pos="9350"/>
      </w:tabs>
      <w:spacing w:after="100"/>
      <w:ind w:left="220"/>
    </w:pPr>
  </w:style>
  <w:style w:type="paragraph" w:styleId="TOC3">
    <w:name w:val="toc 3"/>
    <w:basedOn w:val="Normal"/>
    <w:next w:val="Normal"/>
    <w:autoRedefine/>
    <w:uiPriority w:val="39"/>
    <w:unhideWhenUsed/>
    <w:rsid w:val="00AE17AB"/>
    <w:pPr>
      <w:spacing w:after="100"/>
      <w:ind w:left="440"/>
    </w:pPr>
  </w:style>
  <w:style w:type="character" w:styleId="Hyperlink">
    <w:name w:val="Hyperlink"/>
    <w:basedOn w:val="DefaultParagraphFont"/>
    <w:uiPriority w:val="99"/>
    <w:unhideWhenUsed/>
    <w:rsid w:val="00AE17AB"/>
    <w:rPr>
      <w:color w:val="0563C1" w:themeColor="hyperlink"/>
      <w:u w:val="single"/>
    </w:rPr>
  </w:style>
  <w:style w:type="character" w:customStyle="1" w:styleId="Heading2Char">
    <w:name w:val="Heading 2 Char"/>
    <w:basedOn w:val="DefaultParagraphFont"/>
    <w:link w:val="Heading2"/>
    <w:uiPriority w:val="9"/>
    <w:rsid w:val="00945B21"/>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945B21"/>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945B21"/>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945B21"/>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945B21"/>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45B21"/>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45B2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45B21"/>
    <w:rPr>
      <w:rFonts w:asciiTheme="majorHAnsi" w:eastAsiaTheme="majorEastAsia" w:hAnsiTheme="majorHAnsi" w:cstheme="majorBidi"/>
      <w:i/>
      <w:iCs/>
      <w:color w:val="272727" w:themeColor="text1" w:themeTint="D8"/>
      <w:sz w:val="21"/>
      <w:szCs w:val="21"/>
    </w:rPr>
  </w:style>
  <w:style w:type="paragraph" w:styleId="FootnoteText">
    <w:name w:val="footnote text"/>
    <w:basedOn w:val="Normal"/>
    <w:link w:val="FootnoteTextChar"/>
    <w:uiPriority w:val="99"/>
    <w:semiHidden/>
    <w:unhideWhenUsed/>
    <w:rsid w:val="00BF34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3440"/>
    <w:rPr>
      <w:sz w:val="20"/>
      <w:szCs w:val="20"/>
    </w:rPr>
  </w:style>
  <w:style w:type="character" w:styleId="FootnoteReference">
    <w:name w:val="footnote reference"/>
    <w:basedOn w:val="DefaultParagraphFont"/>
    <w:uiPriority w:val="99"/>
    <w:semiHidden/>
    <w:unhideWhenUsed/>
    <w:rsid w:val="00BF3440"/>
    <w:rPr>
      <w:vertAlign w:val="superscript"/>
    </w:rPr>
  </w:style>
  <w:style w:type="paragraph" w:styleId="Header">
    <w:name w:val="header"/>
    <w:basedOn w:val="Normal"/>
    <w:link w:val="HeaderChar"/>
    <w:uiPriority w:val="99"/>
    <w:semiHidden/>
    <w:unhideWhenUsed/>
    <w:rsid w:val="00C42BB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42BBE"/>
  </w:style>
  <w:style w:type="paragraph" w:styleId="Footer">
    <w:name w:val="footer"/>
    <w:basedOn w:val="Normal"/>
    <w:link w:val="FooterChar"/>
    <w:uiPriority w:val="99"/>
    <w:semiHidden/>
    <w:unhideWhenUsed/>
    <w:rsid w:val="00C42BB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42BBE"/>
  </w:style>
  <w:style w:type="character" w:styleId="CommentReference">
    <w:name w:val="annotation reference"/>
    <w:basedOn w:val="DefaultParagraphFont"/>
    <w:uiPriority w:val="99"/>
    <w:semiHidden/>
    <w:unhideWhenUsed/>
    <w:rsid w:val="007E4C60"/>
    <w:rPr>
      <w:sz w:val="16"/>
      <w:szCs w:val="16"/>
    </w:rPr>
  </w:style>
  <w:style w:type="paragraph" w:styleId="CommentText">
    <w:name w:val="annotation text"/>
    <w:basedOn w:val="Normal"/>
    <w:link w:val="CommentTextChar"/>
    <w:uiPriority w:val="99"/>
    <w:semiHidden/>
    <w:unhideWhenUsed/>
    <w:rsid w:val="007E4C60"/>
    <w:pPr>
      <w:spacing w:line="240" w:lineRule="auto"/>
    </w:pPr>
    <w:rPr>
      <w:sz w:val="20"/>
      <w:szCs w:val="20"/>
    </w:rPr>
  </w:style>
  <w:style w:type="character" w:customStyle="1" w:styleId="CommentTextChar">
    <w:name w:val="Comment Text Char"/>
    <w:basedOn w:val="DefaultParagraphFont"/>
    <w:link w:val="CommentText"/>
    <w:uiPriority w:val="99"/>
    <w:semiHidden/>
    <w:rsid w:val="007E4C60"/>
    <w:rPr>
      <w:sz w:val="20"/>
      <w:szCs w:val="20"/>
    </w:rPr>
  </w:style>
  <w:style w:type="paragraph" w:styleId="CommentSubject">
    <w:name w:val="annotation subject"/>
    <w:basedOn w:val="CommentText"/>
    <w:next w:val="CommentText"/>
    <w:link w:val="CommentSubjectChar"/>
    <w:uiPriority w:val="99"/>
    <w:semiHidden/>
    <w:unhideWhenUsed/>
    <w:rsid w:val="007E4C60"/>
    <w:rPr>
      <w:b/>
      <w:bCs/>
    </w:rPr>
  </w:style>
  <w:style w:type="character" w:customStyle="1" w:styleId="CommentSubjectChar">
    <w:name w:val="Comment Subject Char"/>
    <w:basedOn w:val="CommentTextChar"/>
    <w:link w:val="CommentSubject"/>
    <w:uiPriority w:val="99"/>
    <w:semiHidden/>
    <w:rsid w:val="007E4C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658117">
      <w:bodyDiv w:val="1"/>
      <w:marLeft w:val="0"/>
      <w:marRight w:val="0"/>
      <w:marTop w:val="0"/>
      <w:marBottom w:val="0"/>
      <w:divBdr>
        <w:top w:val="none" w:sz="0" w:space="0" w:color="auto"/>
        <w:left w:val="none" w:sz="0" w:space="0" w:color="auto"/>
        <w:bottom w:val="none" w:sz="0" w:space="0" w:color="auto"/>
        <w:right w:val="none" w:sz="0" w:space="0" w:color="auto"/>
      </w:divBdr>
    </w:div>
    <w:div w:id="609238892">
      <w:bodyDiv w:val="1"/>
      <w:marLeft w:val="0"/>
      <w:marRight w:val="0"/>
      <w:marTop w:val="0"/>
      <w:marBottom w:val="0"/>
      <w:divBdr>
        <w:top w:val="none" w:sz="0" w:space="0" w:color="auto"/>
        <w:left w:val="none" w:sz="0" w:space="0" w:color="auto"/>
        <w:bottom w:val="none" w:sz="0" w:space="0" w:color="auto"/>
        <w:right w:val="none" w:sz="0" w:space="0" w:color="auto"/>
      </w:divBdr>
    </w:div>
    <w:div w:id="653919601">
      <w:bodyDiv w:val="1"/>
      <w:marLeft w:val="0"/>
      <w:marRight w:val="0"/>
      <w:marTop w:val="0"/>
      <w:marBottom w:val="0"/>
      <w:divBdr>
        <w:top w:val="none" w:sz="0" w:space="0" w:color="auto"/>
        <w:left w:val="none" w:sz="0" w:space="0" w:color="auto"/>
        <w:bottom w:val="none" w:sz="0" w:space="0" w:color="auto"/>
        <w:right w:val="none" w:sz="0" w:space="0" w:color="auto"/>
      </w:divBdr>
    </w:div>
    <w:div w:id="1104692667">
      <w:bodyDiv w:val="1"/>
      <w:marLeft w:val="0"/>
      <w:marRight w:val="0"/>
      <w:marTop w:val="0"/>
      <w:marBottom w:val="0"/>
      <w:divBdr>
        <w:top w:val="none" w:sz="0" w:space="0" w:color="auto"/>
        <w:left w:val="none" w:sz="0" w:space="0" w:color="auto"/>
        <w:bottom w:val="none" w:sz="0" w:space="0" w:color="auto"/>
        <w:right w:val="none" w:sz="0" w:space="0" w:color="auto"/>
      </w:divBdr>
    </w:div>
    <w:div w:id="1384714488">
      <w:bodyDiv w:val="1"/>
      <w:marLeft w:val="0"/>
      <w:marRight w:val="0"/>
      <w:marTop w:val="0"/>
      <w:marBottom w:val="0"/>
      <w:divBdr>
        <w:top w:val="none" w:sz="0" w:space="0" w:color="auto"/>
        <w:left w:val="none" w:sz="0" w:space="0" w:color="auto"/>
        <w:bottom w:val="none" w:sz="0" w:space="0" w:color="auto"/>
        <w:right w:val="none" w:sz="0" w:space="0" w:color="auto"/>
      </w:divBdr>
    </w:div>
    <w:div w:id="1443455184">
      <w:bodyDiv w:val="1"/>
      <w:marLeft w:val="0"/>
      <w:marRight w:val="0"/>
      <w:marTop w:val="0"/>
      <w:marBottom w:val="0"/>
      <w:divBdr>
        <w:top w:val="none" w:sz="0" w:space="0" w:color="auto"/>
        <w:left w:val="none" w:sz="0" w:space="0" w:color="auto"/>
        <w:bottom w:val="none" w:sz="0" w:space="0" w:color="auto"/>
        <w:right w:val="none" w:sz="0" w:space="0" w:color="auto"/>
      </w:divBdr>
    </w:div>
    <w:div w:id="1558128332">
      <w:bodyDiv w:val="1"/>
      <w:marLeft w:val="0"/>
      <w:marRight w:val="0"/>
      <w:marTop w:val="0"/>
      <w:marBottom w:val="0"/>
      <w:divBdr>
        <w:top w:val="none" w:sz="0" w:space="0" w:color="auto"/>
        <w:left w:val="none" w:sz="0" w:space="0" w:color="auto"/>
        <w:bottom w:val="none" w:sz="0" w:space="0" w:color="auto"/>
        <w:right w:val="none" w:sz="0" w:space="0" w:color="auto"/>
      </w:divBdr>
    </w:div>
    <w:div w:id="1676885892">
      <w:bodyDiv w:val="1"/>
      <w:marLeft w:val="0"/>
      <w:marRight w:val="0"/>
      <w:marTop w:val="0"/>
      <w:marBottom w:val="0"/>
      <w:divBdr>
        <w:top w:val="none" w:sz="0" w:space="0" w:color="auto"/>
        <w:left w:val="none" w:sz="0" w:space="0" w:color="auto"/>
        <w:bottom w:val="none" w:sz="0" w:space="0" w:color="auto"/>
        <w:right w:val="none" w:sz="0" w:space="0" w:color="auto"/>
      </w:divBdr>
    </w:div>
    <w:div w:id="1689982660">
      <w:bodyDiv w:val="1"/>
      <w:marLeft w:val="0"/>
      <w:marRight w:val="0"/>
      <w:marTop w:val="0"/>
      <w:marBottom w:val="0"/>
      <w:divBdr>
        <w:top w:val="none" w:sz="0" w:space="0" w:color="auto"/>
        <w:left w:val="none" w:sz="0" w:space="0" w:color="auto"/>
        <w:bottom w:val="none" w:sz="0" w:space="0" w:color="auto"/>
        <w:right w:val="none" w:sz="0" w:space="0" w:color="auto"/>
      </w:divBdr>
    </w:div>
    <w:div w:id="1722512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customXml" Target="../customXml/item6.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3178/OC-ME;3179/TC-ME;</Approval_x0020_Number>
    <Phase xmlns="cdc7663a-08f0-4737-9e8c-148ce897a09c" xsi:nil="true"/>
    <Document_x0020_Author xmlns="cdc7663a-08f0-4737-9e8c-148ce897a09c">Porras HerreraFanny Eliana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BANKING MARKET DEVELOPMENT</TermName>
          <TermId xmlns="http://schemas.microsoft.com/office/infopath/2007/PartnerControls">5f08329b-f2bb-4342-ba75-eb4216b403d4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152</Value>
      <Value>45</Value>
      <Value>24</Value>
      <Value>1</Value>
      <Value>43</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ME-L1148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 xsi:nil="true"/>
    <_dlc_DocId xmlns="cdc7663a-08f0-4737-9e8c-148ce897a09c">EZSHARE-567788752-72</_dlc_DocId>
    <_dlc_DocIdUrl xmlns="cdc7663a-08f0-4737-9e8c-148ce897a09c">
      <Url>https://idbg.sharepoint.com/teams/EZ-ME-LON/ME-L1148/_layouts/15/DocIdRedir.aspx?ID=EZSHARE-567788752-72</Url>
      <Description>EZSHARE-567788752-72</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2D1FEB6A15E734391F4430B1F48A51E" ma:contentTypeVersion="2701" ma:contentTypeDescription="A content type to manage public (operations) IDB documents" ma:contentTypeScope="" ma:versionID="d04e90e49d6917e11cf9388d6323c912">
  <xsd:schema xmlns:xsd="http://www.w3.org/2001/XMLSchema" xmlns:xs="http://www.w3.org/2001/XMLSchema" xmlns:p="http://schemas.microsoft.com/office/2006/metadata/properties" xmlns:ns2="cdc7663a-08f0-4737-9e8c-148ce897a09c" targetNamespace="http://schemas.microsoft.com/office/2006/metadata/properties" ma:root="true" ma:fieldsID="c2d317d3dcbfcddf862c85790bca755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ME-L114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56396C-2313-47C8-954B-BAFCC8AFA019}">
  <ds:schemaRefs>
    <ds:schemaRef ds:uri="21810d22-7470-404a-8d45-53d4729a43ca"/>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26d49450-fb46-4eb1-967b-1b58ff5c261d"/>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12FCA50D-4B29-45E4-B374-65F48584A212}">
  <ds:schemaRefs>
    <ds:schemaRef ds:uri="http://schemas.openxmlformats.org/officeDocument/2006/bibliography"/>
  </ds:schemaRefs>
</ds:datastoreItem>
</file>

<file path=customXml/itemProps3.xml><?xml version="1.0" encoding="utf-8"?>
<ds:datastoreItem xmlns:ds="http://schemas.openxmlformats.org/officeDocument/2006/customXml" ds:itemID="{E43CFEE0-CDF5-4DA4-9B8F-3BC35B07BCF2}">
  <ds:schemaRefs>
    <ds:schemaRef ds:uri="http://schemas.microsoft.com/sharepoint/v3/contenttype/forms"/>
  </ds:schemaRefs>
</ds:datastoreItem>
</file>

<file path=customXml/itemProps4.xml><?xml version="1.0" encoding="utf-8"?>
<ds:datastoreItem xmlns:ds="http://schemas.openxmlformats.org/officeDocument/2006/customXml" ds:itemID="{526F0E02-0AD0-4B0B-AC6B-92D3A7A539A1}"/>
</file>

<file path=customXml/itemProps5.xml><?xml version="1.0" encoding="utf-8"?>
<ds:datastoreItem xmlns:ds="http://schemas.openxmlformats.org/officeDocument/2006/customXml" ds:itemID="{ADE76FC6-9FCD-4294-9724-EA0E055E09DD}"/>
</file>

<file path=customXml/itemProps6.xml><?xml version="1.0" encoding="utf-8"?>
<ds:datastoreItem xmlns:ds="http://schemas.openxmlformats.org/officeDocument/2006/customXml" ds:itemID="{7879D711-CBB2-4DAC-9CD8-D3F6ED992DB3}"/>
</file>

<file path=customXml/itemProps7.xml><?xml version="1.0" encoding="utf-8"?>
<ds:datastoreItem xmlns:ds="http://schemas.openxmlformats.org/officeDocument/2006/customXml" ds:itemID="{E329C9C2-8E0E-46CD-8F42-9F87969DE314}"/>
</file>

<file path=docProps/app.xml><?xml version="1.0" encoding="utf-8"?>
<Properties xmlns="http://schemas.openxmlformats.org/officeDocument/2006/extended-properties" xmlns:vt="http://schemas.openxmlformats.org/officeDocument/2006/docPropsVTypes">
  <Template>Normal</Template>
  <TotalTime>1</TotalTime>
  <Pages>16</Pages>
  <Words>5009</Words>
  <Characters>28557</Characters>
  <Application>Microsoft Office Word</Application>
  <DocSecurity>0</DocSecurity>
  <Lines>237</Lines>
  <Paragraphs>66</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Siglas y acrónimos</vt:lpstr>
      <vt:lpstr>Resumen ejecutivo</vt:lpstr>
      <vt:lpstr>Introducción y marco analítico</vt:lpstr>
      <vt:lpstr>Situación de vulnerabilidad</vt:lpstr>
      <vt:lpstr>    Situación general</vt:lpstr>
      <vt:lpstr>    Situación por sectores</vt:lpstr>
      <vt:lpstr>Conclusión </vt:lpstr>
      <vt:lpstr>Anexo I: aspectos metodológicos</vt:lpstr>
    </vt:vector>
  </TitlesOfParts>
  <Company/>
  <LinksUpToDate>false</LinksUpToDate>
  <CharactersWithSpaces>33500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Carmen Fernández díez (IFD/CMF), Alejandro TÁmola (IFD/CMF), Alexander vasa (IFD/CMF), Amado Crotte (INE/TSP), César Bustamante (CSD/RND), Adela Moreda (CSD/RND) y Monica Maday (INT/TIN), Paola carvajal (ine/ENE), Javier garcia fernandez (INE/ENE), Christiaan Gischler blanco (INE/ENE), jose antonio urteaga dufour (INE/ENE) y gaston siroit (INE/ENE).</dc:creator>
  <cp:keywords/>
  <dc:description/>
  <cp:lastModifiedBy>Porras Herrera, Fanny Eliana</cp:lastModifiedBy>
  <cp:revision>2</cp:revision>
  <dcterms:created xsi:type="dcterms:W3CDTF">2020-06-26T15:17:00Z</dcterms:created>
  <dcterms:modified xsi:type="dcterms:W3CDTF">2020-06-26T15:17:00Z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45;#BANKING MARKET DEVELOPMENT|5f08329b-f2bb-4342-ba75-eb4216b403d4</vt:lpwstr>
  </property>
  <property fmtid="{D5CDD505-2E9C-101B-9397-08002B2CF9AE}" pid="7" name="Fund IDB">
    <vt:lpwstr>24;#ORC|c028a4b2-ad8b-4cf4-9cac-a2ae6a778e23</vt:lpwstr>
  </property>
  <property fmtid="{D5CDD505-2E9C-101B-9397-08002B2CF9AE}" pid="8" name="Country">
    <vt:lpwstr>152;#Ecuador|8f163189-00fa-4e7c-827d-28fb5798781c</vt:lpwstr>
  </property>
  <property fmtid="{D5CDD505-2E9C-101B-9397-08002B2CF9AE}" pid="9" name="Sector IDB">
    <vt:lpwstr>43;#FINANCIAL MARKETS|75500f29-2419-473a-bcd8-84901ddc2aa7</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d994a257-702d-4541-80a5-bde9d8d60f47</vt:lpwstr>
  </property>
  <property fmtid="{D5CDD505-2E9C-101B-9397-08002B2CF9AE}" pid="12" name="ContentTypeId">
    <vt:lpwstr>0x0101001A458A224826124E8B45B1D613300CFC0072D1FEB6A15E734391F4430B1F48A51E</vt:lpwstr>
  </property>
</Properties>
</file>