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8BE6F9" w14:textId="77777777" w:rsidR="0070277C" w:rsidRDefault="00D10948">
      <w:pPr>
        <w:pStyle w:val="Cuerpo"/>
        <w:jc w:val="center"/>
      </w:pPr>
      <w:bookmarkStart w:id="0" w:name="_GoBack"/>
      <w:bookmarkEnd w:id="0"/>
      <w:r>
        <w:rPr>
          <w:rStyle w:val="Ninguno"/>
          <w:rFonts w:ascii="Arial" w:hAnsi="Arial"/>
          <w:b/>
          <w:bCs/>
          <w:sz w:val="28"/>
          <w:szCs w:val="28"/>
        </w:rPr>
        <w:t>PROGRAMA DE DESARROLLO E INTEGRACIÓN DE LA REGIÓN</w:t>
      </w:r>
    </w:p>
    <w:p w14:paraId="0E28ABDC" w14:textId="77777777" w:rsidR="0070277C" w:rsidRDefault="00D10948">
      <w:pPr>
        <w:pStyle w:val="Cuerpo"/>
        <w:jc w:val="center"/>
      </w:pPr>
      <w:r>
        <w:rPr>
          <w:rStyle w:val="Ninguno"/>
          <w:rFonts w:ascii="Arial" w:hAnsi="Arial"/>
          <w:b/>
          <w:bCs/>
          <w:sz w:val="28"/>
          <w:szCs w:val="28"/>
        </w:rPr>
        <w:t xml:space="preserve"> DE SALTO GRANDE</w:t>
      </w:r>
    </w:p>
    <w:p w14:paraId="4955E2C0" w14:textId="77777777" w:rsidR="0070277C" w:rsidRDefault="00D10948">
      <w:pPr>
        <w:pStyle w:val="Cuerpo"/>
        <w:jc w:val="center"/>
      </w:pPr>
      <w:r>
        <w:rPr>
          <w:rStyle w:val="Ninguno"/>
          <w:rFonts w:ascii="Arial" w:hAnsi="Arial"/>
          <w:b/>
          <w:bCs/>
          <w:sz w:val="28"/>
          <w:szCs w:val="28"/>
        </w:rPr>
        <w:t>(RG-L1126)</w:t>
      </w:r>
    </w:p>
    <w:p w14:paraId="7EE8B2B1" w14:textId="77777777" w:rsidR="0070277C" w:rsidRDefault="0070277C">
      <w:pPr>
        <w:pStyle w:val="Cuerpo"/>
        <w:jc w:val="center"/>
      </w:pPr>
    </w:p>
    <w:p w14:paraId="401C336D" w14:textId="77777777" w:rsidR="0070277C" w:rsidRDefault="00D10948">
      <w:pPr>
        <w:pStyle w:val="Cuerpo"/>
        <w:jc w:val="center"/>
      </w:pPr>
      <w:r>
        <w:rPr>
          <w:rStyle w:val="Ninguno"/>
          <w:rFonts w:ascii="Arial" w:hAnsi="Arial"/>
          <w:sz w:val="28"/>
          <w:szCs w:val="28"/>
        </w:rPr>
        <w:t>Conocimiento del Banco sobre los sectores y lecciones aprendidas</w:t>
      </w:r>
    </w:p>
    <w:p w14:paraId="14EDB1A5" w14:textId="77777777" w:rsidR="0070277C" w:rsidRDefault="0070277C">
      <w:pPr>
        <w:pStyle w:val="Cuerpo"/>
        <w:jc w:val="center"/>
      </w:pPr>
    </w:p>
    <w:p w14:paraId="7DC4C0A2" w14:textId="77777777" w:rsidR="0070277C" w:rsidRDefault="00D10948">
      <w:pPr>
        <w:pStyle w:val="Paragraph"/>
        <w:numPr>
          <w:ilvl w:val="1"/>
          <w:numId w:val="2"/>
        </w:numPr>
        <w:rPr>
          <w:rFonts w:ascii="Arial" w:hAnsi="Arial"/>
          <w:sz w:val="22"/>
          <w:szCs w:val="22"/>
        </w:rPr>
      </w:pPr>
      <w:r>
        <w:rPr>
          <w:rStyle w:val="Ninguno"/>
          <w:rFonts w:ascii="Arial" w:hAnsi="Arial"/>
          <w:sz w:val="22"/>
          <w:szCs w:val="22"/>
        </w:rPr>
        <w:t>Banco ha realizado múltiples operaciones y cuenta con amplio conocimiento en los sectores incluidos en este Programa: producción, turismo, sector aeroportuario, gestión coordinada de fronteras y proyectos regionales. La descripción de los proyectos y las lecciones aprendidas en cada caso, se describen a continuación.</w:t>
      </w:r>
    </w:p>
    <w:p w14:paraId="001F01D0" w14:textId="77777777" w:rsidR="0070277C" w:rsidRDefault="00D10948">
      <w:pPr>
        <w:pStyle w:val="Paragraph"/>
        <w:numPr>
          <w:ilvl w:val="1"/>
          <w:numId w:val="2"/>
        </w:numPr>
        <w:rPr>
          <w:rFonts w:ascii="Arial" w:hAnsi="Arial"/>
          <w:sz w:val="22"/>
          <w:szCs w:val="22"/>
        </w:rPr>
      </w:pPr>
      <w:r>
        <w:rPr>
          <w:rStyle w:val="Ninguno"/>
          <w:rFonts w:ascii="Arial" w:hAnsi="Arial"/>
          <w:sz w:val="22"/>
          <w:szCs w:val="22"/>
          <w:u w:val="single"/>
        </w:rPr>
        <w:t>En producción</w:t>
      </w:r>
      <w:r>
        <w:rPr>
          <w:rStyle w:val="Ninguno"/>
          <w:rFonts w:ascii="Arial" w:hAnsi="Arial"/>
          <w:sz w:val="22"/>
          <w:szCs w:val="22"/>
        </w:rPr>
        <w:t xml:space="preserve"> el Banco ha desarrollado los programas de Modernización Productiva de la Provincia de Río Negro </w:t>
      </w:r>
      <w:r>
        <w:rPr>
          <w:rStyle w:val="Ninguno"/>
          <w:rFonts w:ascii="Arial" w:hAnsi="Arial"/>
          <w:sz w:val="22"/>
          <w:szCs w:val="22"/>
          <w:shd w:val="clear" w:color="auto" w:fill="FEFFFF"/>
        </w:rPr>
        <w:t>(</w:t>
      </w:r>
      <w:hyperlink r:id="rId7" w:history="1">
        <w:r w:rsidRPr="003D4674">
          <w:rPr>
            <w:rStyle w:val="Hyperlink0"/>
            <w:rFonts w:ascii="Arial" w:hAnsi="Arial"/>
            <w:sz w:val="22"/>
            <w:szCs w:val="22"/>
            <w:lang w:val="es-AR"/>
          </w:rPr>
          <w:t>AR0279</w:t>
        </w:r>
      </w:hyperlink>
      <w:r>
        <w:rPr>
          <w:rStyle w:val="Ninguno"/>
          <w:rFonts w:ascii="Arial" w:hAnsi="Arial"/>
          <w:sz w:val="22"/>
          <w:szCs w:val="22"/>
          <w:shd w:val="clear" w:color="auto" w:fill="FEFFFF"/>
        </w:rPr>
        <w:t>)</w:t>
      </w:r>
      <w:r>
        <w:rPr>
          <w:rStyle w:val="Ninguno"/>
          <w:rFonts w:ascii="Arial" w:hAnsi="Arial"/>
          <w:sz w:val="22"/>
          <w:szCs w:val="22"/>
        </w:rPr>
        <w:t>; de Crédito para el Desarrollo de la Producción de San Juan (</w:t>
      </w:r>
      <w:hyperlink r:id="rId8" w:history="1">
        <w:r w:rsidRPr="003D4674">
          <w:rPr>
            <w:rStyle w:val="Enlace"/>
            <w:rFonts w:ascii="Arial" w:hAnsi="Arial"/>
            <w:sz w:val="22"/>
            <w:szCs w:val="22"/>
            <w:lang w:val="es-AR"/>
          </w:rPr>
          <w:t>AR-L1130</w:t>
        </w:r>
      </w:hyperlink>
      <w:r>
        <w:rPr>
          <w:rStyle w:val="Ninguno"/>
          <w:rFonts w:ascii="Arial" w:hAnsi="Arial"/>
          <w:sz w:val="22"/>
          <w:szCs w:val="22"/>
        </w:rPr>
        <w:t>); de Desarrollo Productivo y Competitividad de Mendoza (</w:t>
      </w:r>
      <w:hyperlink r:id="rId9" w:history="1">
        <w:r w:rsidRPr="003D4674">
          <w:rPr>
            <w:rStyle w:val="Enlace"/>
            <w:rFonts w:ascii="Arial" w:hAnsi="Arial"/>
            <w:sz w:val="22"/>
            <w:szCs w:val="22"/>
            <w:lang w:val="es-AR"/>
          </w:rPr>
          <w:t>AR-L1003</w:t>
        </w:r>
      </w:hyperlink>
      <w:r>
        <w:rPr>
          <w:rStyle w:val="Ninguno"/>
          <w:rFonts w:ascii="Arial" w:hAnsi="Arial"/>
          <w:sz w:val="22"/>
          <w:szCs w:val="22"/>
        </w:rPr>
        <w:t>); y de Desarrollo de la Infraestructura de Apoyo a la Producción de Entre Ríos (</w:t>
      </w:r>
      <w:hyperlink r:id="rId10" w:history="1">
        <w:r w:rsidRPr="003D4674">
          <w:rPr>
            <w:rStyle w:val="Enlace"/>
            <w:rFonts w:ascii="Arial" w:hAnsi="Arial"/>
            <w:sz w:val="22"/>
            <w:szCs w:val="22"/>
            <w:lang w:val="es-AR"/>
          </w:rPr>
          <w:t>AR-L1036</w:t>
        </w:r>
      </w:hyperlink>
      <w:r>
        <w:rPr>
          <w:rStyle w:val="Ninguno"/>
          <w:rFonts w:ascii="Arial" w:hAnsi="Arial"/>
          <w:sz w:val="22"/>
          <w:szCs w:val="22"/>
        </w:rPr>
        <w:t>), entre otros. Una de las lecciones aprendidas más importantes se refiere a la importancia de abordar el desarrollo económico de manera integrada, actuando simultáneamente en la mejora de la infraestructura económica básica, el fortalecimiento de la capacidad del sector público, y el desarrollo empresarial.</w:t>
      </w:r>
    </w:p>
    <w:p w14:paraId="40953EE3" w14:textId="77777777" w:rsidR="0070277C" w:rsidRDefault="00D10948">
      <w:pPr>
        <w:pStyle w:val="Paragraph"/>
        <w:numPr>
          <w:ilvl w:val="1"/>
          <w:numId w:val="2"/>
        </w:numPr>
        <w:rPr>
          <w:rFonts w:ascii="Arial" w:hAnsi="Arial"/>
          <w:sz w:val="22"/>
          <w:szCs w:val="22"/>
        </w:rPr>
      </w:pPr>
      <w:r>
        <w:rPr>
          <w:rStyle w:val="Ninguno"/>
          <w:rFonts w:ascii="Arial" w:hAnsi="Arial"/>
          <w:sz w:val="22"/>
          <w:szCs w:val="22"/>
          <w:u w:val="single"/>
        </w:rPr>
        <w:t>En turismo</w:t>
      </w:r>
      <w:r>
        <w:rPr>
          <w:rStyle w:val="Ninguno"/>
          <w:rFonts w:ascii="Arial" w:hAnsi="Arial"/>
          <w:sz w:val="22"/>
          <w:szCs w:val="22"/>
        </w:rPr>
        <w:t>, en Argentina se han desarrollado operaciones de Mejora de la Competitividad del Sector Turismo (</w:t>
      </w:r>
      <w:hyperlink r:id="rId11" w:history="1">
        <w:r w:rsidRPr="003D4674">
          <w:rPr>
            <w:rStyle w:val="Enlace"/>
            <w:rFonts w:ascii="Arial" w:hAnsi="Arial"/>
            <w:sz w:val="22"/>
            <w:szCs w:val="22"/>
            <w:lang w:val="es-AR"/>
          </w:rPr>
          <w:t>AR-L1004</w:t>
        </w:r>
      </w:hyperlink>
      <w:r>
        <w:rPr>
          <w:rStyle w:val="Ninguno"/>
          <w:rFonts w:ascii="Arial" w:hAnsi="Arial"/>
          <w:sz w:val="22"/>
          <w:szCs w:val="22"/>
        </w:rPr>
        <w:t>) con foco en dos corredores priorizados; Desarrollo de Corredores Turísticos (</w:t>
      </w:r>
      <w:hyperlink r:id="rId12" w:history="1">
        <w:r w:rsidRPr="003D4674">
          <w:rPr>
            <w:rStyle w:val="Enlace"/>
            <w:rFonts w:ascii="Arial" w:hAnsi="Arial"/>
            <w:sz w:val="22"/>
            <w:szCs w:val="22"/>
            <w:lang w:val="es-AR"/>
          </w:rPr>
          <w:t>AR-L1071</w:t>
        </w:r>
      </w:hyperlink>
      <w:r>
        <w:rPr>
          <w:rStyle w:val="Ninguno"/>
          <w:rFonts w:ascii="Arial" w:hAnsi="Arial"/>
          <w:sz w:val="22"/>
          <w:szCs w:val="22"/>
        </w:rPr>
        <w:t>) para ampliar a cuatro corredores más; y el Programa de Desarrollo Turístico Sustentable en la Provincia de Salta (</w:t>
      </w:r>
      <w:hyperlink r:id="rId13" w:history="1">
        <w:r w:rsidRPr="003D4674">
          <w:rPr>
            <w:rStyle w:val="Enlace"/>
            <w:rFonts w:ascii="Arial" w:hAnsi="Arial"/>
            <w:sz w:val="22"/>
            <w:szCs w:val="22"/>
            <w:lang w:val="es-AR"/>
          </w:rPr>
          <w:t>AR-L1140</w:t>
        </w:r>
      </w:hyperlink>
      <w:r>
        <w:rPr>
          <w:rStyle w:val="Ninguno"/>
          <w:rFonts w:ascii="Arial" w:hAnsi="Arial"/>
          <w:sz w:val="22"/>
          <w:szCs w:val="22"/>
        </w:rPr>
        <w:t>). En Uruguay se desarrollaron el Programa de Desarrollo de Corredores Turísticos</w:t>
      </w:r>
      <w:r>
        <w:rPr>
          <w:rStyle w:val="Ninguno"/>
          <w:rFonts w:ascii="Arial" w:hAnsi="Arial"/>
          <w:smallCaps/>
          <w:sz w:val="22"/>
          <w:szCs w:val="22"/>
        </w:rPr>
        <w:t xml:space="preserve"> (</w:t>
      </w:r>
      <w:hyperlink r:id="rId14" w:history="1">
        <w:r w:rsidRPr="003D4674">
          <w:rPr>
            <w:rStyle w:val="Enlace"/>
            <w:rFonts w:ascii="Arial" w:hAnsi="Arial"/>
            <w:sz w:val="22"/>
            <w:szCs w:val="22"/>
            <w:lang w:val="es-AR"/>
          </w:rPr>
          <w:t>UR-L1113</w:t>
        </w:r>
      </w:hyperlink>
      <w:r>
        <w:rPr>
          <w:rStyle w:val="Ninguno"/>
          <w:rFonts w:ascii="Arial" w:hAnsi="Arial"/>
          <w:smallCaps/>
          <w:sz w:val="22"/>
          <w:szCs w:val="22"/>
        </w:rPr>
        <w:t xml:space="preserve">); </w:t>
      </w:r>
      <w:r>
        <w:rPr>
          <w:rStyle w:val="Ninguno"/>
          <w:rFonts w:ascii="Arial" w:hAnsi="Arial"/>
          <w:sz w:val="22"/>
          <w:szCs w:val="22"/>
        </w:rPr>
        <w:t xml:space="preserve">el Programa de Mejora de la Competitividad de Destinos Turísticos Estratégicos (UR-L1018); y el Programa de Apoyo al Sector Turístico </w:t>
      </w:r>
      <w:hyperlink r:id="rId15" w:history="1">
        <w:r w:rsidRPr="003D4674">
          <w:rPr>
            <w:rStyle w:val="Hyperlink0"/>
            <w:rFonts w:ascii="Arial" w:hAnsi="Arial"/>
            <w:sz w:val="22"/>
            <w:szCs w:val="22"/>
            <w:lang w:val="es-AR"/>
          </w:rPr>
          <w:t>(UR-L1066)</w:t>
        </w:r>
      </w:hyperlink>
      <w:r>
        <w:rPr>
          <w:rStyle w:val="Ninguno"/>
          <w:rFonts w:ascii="Arial" w:hAnsi="Arial"/>
          <w:sz w:val="22"/>
          <w:szCs w:val="22"/>
          <w:shd w:val="clear" w:color="auto" w:fill="FEFFFF"/>
        </w:rPr>
        <w:t>.</w:t>
      </w:r>
      <w:r>
        <w:rPr>
          <w:rStyle w:val="Ninguno"/>
          <w:rFonts w:ascii="Arial" w:hAnsi="Arial"/>
          <w:sz w:val="22"/>
          <w:szCs w:val="22"/>
        </w:rPr>
        <w:t xml:space="preserve"> De estas operaciones se desprenden las siguientes lecciones aprendidas: (i) la planificación y el escalonamiento de las inversiones son necesarios para prevenir y mitigar los impactos negativos asociados a un crecimiento acelerado del turismo; (ii) con el objeto de evitar inversiones dispersas, puntuales y de bajo impacto, los proyectos turísticos deben sumarse a un modelo de desarrollo estratégico, focalizando esfuerzos en tipos de turismo y destinos concretos; (iii) los programas de desarrollo turístico deben equilibrar las inversiones en infraestructuras con el fortalecimiento de la gobernanza turística local; y (iv) los programas de desarrollo turístico requieren una capacidad de participación y ejecución transversal, acorde a la naturaleza del turismo.</w:t>
      </w:r>
    </w:p>
    <w:p w14:paraId="389A5864" w14:textId="77777777" w:rsidR="0070277C" w:rsidRDefault="00D10948">
      <w:pPr>
        <w:pStyle w:val="Paragraph"/>
        <w:numPr>
          <w:ilvl w:val="1"/>
          <w:numId w:val="2"/>
        </w:numPr>
        <w:rPr>
          <w:rFonts w:ascii="Arial" w:hAnsi="Arial"/>
          <w:sz w:val="22"/>
          <w:szCs w:val="22"/>
        </w:rPr>
      </w:pPr>
      <w:r>
        <w:rPr>
          <w:rStyle w:val="Ninguno"/>
          <w:rFonts w:ascii="Arial" w:hAnsi="Arial"/>
          <w:sz w:val="22"/>
          <w:szCs w:val="22"/>
          <w:u w:val="single"/>
        </w:rPr>
        <w:t>En el sector aeroportuario</w:t>
      </w:r>
      <w:r>
        <w:rPr>
          <w:rStyle w:val="Ninguno"/>
          <w:rFonts w:ascii="Arial" w:hAnsi="Arial"/>
          <w:sz w:val="22"/>
          <w:szCs w:val="22"/>
        </w:rPr>
        <w:t>, el Banco ha apoyado a Bahamas con dos cooperaciones técnicas no reembolsables</w:t>
      </w:r>
      <w:r>
        <w:rPr>
          <w:rStyle w:val="FootnoteReference"/>
          <w:rFonts w:ascii="Arial" w:eastAsia="Arial" w:hAnsi="Arial" w:cs="Arial"/>
          <w:sz w:val="22"/>
          <w:szCs w:val="22"/>
        </w:rPr>
        <w:footnoteReference w:id="2"/>
      </w:r>
      <w:r>
        <w:rPr>
          <w:rStyle w:val="Ninguno"/>
          <w:rFonts w:ascii="Arial" w:hAnsi="Arial"/>
          <w:sz w:val="22"/>
          <w:szCs w:val="22"/>
        </w:rPr>
        <w:t xml:space="preserve"> y un Programa de Infraestructura Aeroportuaria (</w:t>
      </w:r>
      <w:hyperlink r:id="rId16" w:history="1">
        <w:r w:rsidRPr="003D4674">
          <w:rPr>
            <w:rStyle w:val="Enlace"/>
            <w:rFonts w:ascii="Arial" w:hAnsi="Arial"/>
            <w:sz w:val="22"/>
            <w:szCs w:val="22"/>
            <w:lang w:val="es-AR"/>
          </w:rPr>
          <w:t>BH-L1041</w:t>
        </w:r>
      </w:hyperlink>
      <w:r>
        <w:rPr>
          <w:rStyle w:val="Ninguno"/>
          <w:rFonts w:ascii="Arial" w:hAnsi="Arial"/>
          <w:sz w:val="22"/>
          <w:szCs w:val="22"/>
        </w:rPr>
        <w:t>); y a Colombia en una operación para ampliar, operar y mantener el Aeropuerto Internacional El Dorado de Bogotá (</w:t>
      </w:r>
      <w:hyperlink r:id="rId17" w:history="1">
        <w:r w:rsidRPr="003D4674">
          <w:rPr>
            <w:rStyle w:val="Enlace"/>
            <w:rFonts w:ascii="Arial" w:hAnsi="Arial"/>
            <w:sz w:val="22"/>
            <w:szCs w:val="22"/>
            <w:lang w:val="es-AR"/>
          </w:rPr>
          <w:t>CO-L1029</w:t>
        </w:r>
      </w:hyperlink>
      <w:r>
        <w:rPr>
          <w:rStyle w:val="Ninguno"/>
          <w:rFonts w:ascii="Arial" w:hAnsi="Arial"/>
          <w:sz w:val="22"/>
          <w:szCs w:val="22"/>
        </w:rPr>
        <w:t xml:space="preserve">). Como lecciones aprendidas se consideran, en cuanto a los sobrecostos, las siguientes: (i) hacer un dimensionamiento cuidadoso del proyecto, en cuanto al tamaño y el alcance; (ii) llevar a cabo un análisis apropiado de la capacidad </w:t>
      </w:r>
      <w:r>
        <w:rPr>
          <w:rStyle w:val="Ninguno"/>
          <w:rFonts w:ascii="Arial" w:hAnsi="Arial"/>
          <w:sz w:val="22"/>
          <w:szCs w:val="22"/>
        </w:rPr>
        <w:lastRenderedPageBreak/>
        <w:t>institucional del organismo ejecutor para incorporar medidas de fortalecimiento institucional en una fase temprana de la ejecución; (iii) en el presupuesto para las licitaciones se deben considerar las demoras del proyecto, la transferencia de riesgos, los costos de oportunidad del sector privado, y toda disposición de ajuste de precios e imprevistos; y (iv) una supervisión estrecha del proyecto para reducir a un mínimo los sobrecostos causados por demoras en la ejecución.</w:t>
      </w:r>
    </w:p>
    <w:p w14:paraId="143DD8F6" w14:textId="77777777" w:rsidR="0070277C" w:rsidRDefault="00D10948">
      <w:pPr>
        <w:pStyle w:val="Paragraph"/>
        <w:numPr>
          <w:ilvl w:val="1"/>
          <w:numId w:val="2"/>
        </w:numPr>
        <w:rPr>
          <w:rFonts w:ascii="Arial" w:hAnsi="Arial"/>
          <w:sz w:val="22"/>
          <w:szCs w:val="22"/>
        </w:rPr>
      </w:pPr>
      <w:r>
        <w:rPr>
          <w:rStyle w:val="Ninguno"/>
          <w:rFonts w:ascii="Arial" w:hAnsi="Arial"/>
          <w:sz w:val="22"/>
          <w:szCs w:val="22"/>
          <w:u w:val="single"/>
        </w:rPr>
        <w:t>En materia de coordinación de fronteras</w:t>
      </w:r>
      <w:r>
        <w:rPr>
          <w:rStyle w:val="Ninguno"/>
          <w:rFonts w:ascii="Arial" w:hAnsi="Arial"/>
          <w:sz w:val="22"/>
          <w:szCs w:val="22"/>
        </w:rPr>
        <w:t>, el Banco ha trabajado en varios programas de pasos de frontera como los de Integración Fronteriza en Costa Rica (</w:t>
      </w:r>
      <w:hyperlink r:id="rId18" w:history="1">
        <w:r w:rsidRPr="003D4674">
          <w:rPr>
            <w:rStyle w:val="Enlace"/>
            <w:rFonts w:ascii="Arial" w:hAnsi="Arial"/>
            <w:sz w:val="22"/>
            <w:szCs w:val="22"/>
            <w:lang w:val="es-AR"/>
          </w:rPr>
          <w:t>CR-L1066)</w:t>
        </w:r>
      </w:hyperlink>
      <w:r>
        <w:rPr>
          <w:rStyle w:val="Ninguno"/>
          <w:rFonts w:ascii="Arial" w:hAnsi="Arial"/>
          <w:sz w:val="22"/>
          <w:szCs w:val="22"/>
        </w:rPr>
        <w:t>; de Integración Fronteriza en Nicaragua (</w:t>
      </w:r>
      <w:hyperlink r:id="rId19" w:history="1">
        <w:r w:rsidRPr="003D4674">
          <w:rPr>
            <w:rStyle w:val="Enlace"/>
            <w:rFonts w:ascii="Arial" w:hAnsi="Arial"/>
            <w:sz w:val="22"/>
            <w:szCs w:val="22"/>
            <w:lang w:val="es-AR"/>
          </w:rPr>
          <w:t>NI-L1083</w:t>
        </w:r>
      </w:hyperlink>
      <w:r>
        <w:rPr>
          <w:rStyle w:val="Ninguno"/>
          <w:rFonts w:ascii="Arial" w:hAnsi="Arial"/>
          <w:sz w:val="22"/>
          <w:szCs w:val="22"/>
        </w:rPr>
        <w:t>); de Integración Logística Aduanera en Panamá (</w:t>
      </w:r>
      <w:hyperlink r:id="rId20" w:history="1">
        <w:r w:rsidRPr="003D4674">
          <w:rPr>
            <w:rStyle w:val="Enlace"/>
            <w:rFonts w:ascii="Arial" w:hAnsi="Arial"/>
            <w:sz w:val="22"/>
            <w:szCs w:val="22"/>
            <w:lang w:val="es-AR"/>
          </w:rPr>
          <w:t>PN-L1107</w:t>
        </w:r>
      </w:hyperlink>
      <w:r>
        <w:rPr>
          <w:rStyle w:val="Ninguno"/>
          <w:rFonts w:ascii="Arial" w:hAnsi="Arial"/>
          <w:sz w:val="22"/>
          <w:szCs w:val="22"/>
        </w:rPr>
        <w:t>); y la Mejora de Pasos de Frontera en Ecuador (</w:t>
      </w:r>
      <w:hyperlink r:id="rId21" w:history="1">
        <w:r w:rsidRPr="003D4674">
          <w:rPr>
            <w:rStyle w:val="Enlace"/>
            <w:rFonts w:ascii="Arial" w:hAnsi="Arial"/>
            <w:sz w:val="22"/>
            <w:szCs w:val="22"/>
            <w:lang w:val="es-AR"/>
          </w:rPr>
          <w:t>EC-L1116</w:t>
        </w:r>
      </w:hyperlink>
      <w:r>
        <w:rPr>
          <w:rStyle w:val="Ninguno"/>
          <w:rFonts w:ascii="Arial" w:hAnsi="Arial"/>
          <w:sz w:val="22"/>
          <w:szCs w:val="22"/>
        </w:rPr>
        <w:t>). Las principales lecciones aprendidas aplicadas en el diseño incluyen: (i) la disponibilidad de un marco regional de actuación para los pasos de frontera; (ii) cada paso es único, es necesario proponer modelos operativos específicos para cada paso de frontera; (iii) la coordinación binacional de los modelos operativos es indispensable para un buen proceso de diseño; (iv) es clave profundizar la coordinación interna de las agencias de control fiscal y parafiscal, todas deben participar en la convalidación del modelo operativo, lo cual con frecuencia requiere liderazgo al más alto nivel político; (v) la interacción con las comunidades fronterizas es importante para entender la problemática y proponer actuaciones adecuadas que faciliten la implementación del programa; y (vi) es importante fortalecer la Ventanilla Única de Comercio Exterior (VUCE) como pre-requisito para el buen funcionamiento de la gestión coordinada de fronteras.</w:t>
      </w:r>
    </w:p>
    <w:p w14:paraId="23B906AC" w14:textId="62FD5CCB" w:rsidR="0070277C" w:rsidRDefault="00D10948">
      <w:pPr>
        <w:pStyle w:val="Paragraph"/>
        <w:numPr>
          <w:ilvl w:val="1"/>
          <w:numId w:val="2"/>
        </w:numPr>
        <w:rPr>
          <w:rFonts w:ascii="Arial" w:hAnsi="Arial"/>
          <w:sz w:val="22"/>
          <w:szCs w:val="22"/>
        </w:rPr>
      </w:pPr>
      <w:r>
        <w:rPr>
          <w:rStyle w:val="Ninguno"/>
          <w:rFonts w:ascii="Arial" w:hAnsi="Arial"/>
          <w:sz w:val="22"/>
          <w:szCs w:val="22"/>
          <w:u w:val="single"/>
        </w:rPr>
        <w:t>En cuanto a apoyo a proyectos regionales</w:t>
      </w:r>
      <w:r>
        <w:rPr>
          <w:rStyle w:val="Ninguno"/>
          <w:rFonts w:ascii="Arial" w:hAnsi="Arial"/>
          <w:sz w:val="22"/>
          <w:szCs w:val="22"/>
        </w:rPr>
        <w:t>, a través del Fondo para el Financiamiento de Operaciones de Cooperación Técnica para Iniciativas para la Integración de Infraestructura Regional (FIRII), se financiaron nueve cooperaciones técnicas</w:t>
      </w:r>
      <w:r>
        <w:rPr>
          <w:rStyle w:val="FootnoteReference"/>
          <w:rFonts w:ascii="Arial" w:eastAsia="Arial" w:hAnsi="Arial" w:cs="Arial"/>
          <w:sz w:val="22"/>
          <w:szCs w:val="22"/>
        </w:rPr>
        <w:footnoteReference w:id="3"/>
      </w:r>
      <w:r>
        <w:rPr>
          <w:rStyle w:val="Ninguno"/>
          <w:rFonts w:ascii="Arial" w:hAnsi="Arial"/>
          <w:sz w:val="22"/>
          <w:szCs w:val="22"/>
        </w:rPr>
        <w:t>, de las cuales 23 incluyen estudios fronterizos y de corredores multimodales regionales. Entre 2016 y 2017 el Banco aprobó: (i) el Programa de Estructuración del Túnel Agua Negra (</w:t>
      </w:r>
      <w:hyperlink r:id="rId22" w:history="1">
        <w:r w:rsidRPr="003D4674">
          <w:rPr>
            <w:rStyle w:val="Enlace"/>
            <w:rFonts w:ascii="Arial" w:hAnsi="Arial"/>
            <w:sz w:val="22"/>
            <w:szCs w:val="22"/>
            <w:lang w:val="es-AR"/>
          </w:rPr>
          <w:t>PETAN</w:t>
        </w:r>
      </w:hyperlink>
      <w:r>
        <w:rPr>
          <w:rStyle w:val="Ninguno"/>
          <w:rFonts w:ascii="Arial" w:hAnsi="Arial"/>
          <w:sz w:val="22"/>
          <w:szCs w:val="22"/>
        </w:rPr>
        <w:t>) entre Argentina y Chile para financiar los estudios de pre-inversión del túnel (3867/OC-RG y 3868/OC-RG); y (ii) una Línea de Crédito Condicional para Proyectos de Inversión (CCLIP) para financiar las obras del túnel (</w:t>
      </w:r>
      <w:hyperlink r:id="rId23" w:history="1">
        <w:r w:rsidR="003D4674" w:rsidRPr="003D4674">
          <w:rPr>
            <w:rStyle w:val="Enlace"/>
            <w:rFonts w:ascii="Arial" w:hAnsi="Arial"/>
            <w:sz w:val="22"/>
            <w:szCs w:val="22"/>
            <w:lang w:val="es-AR"/>
          </w:rPr>
          <w:t>RG-L1116</w:t>
        </w:r>
      </w:hyperlink>
      <w:r>
        <w:rPr>
          <w:rStyle w:val="Ninguno"/>
          <w:rFonts w:ascii="Arial" w:hAnsi="Arial"/>
          <w:sz w:val="22"/>
          <w:szCs w:val="22"/>
        </w:rPr>
        <w:t>). En este contexto, el Banco fue reconocido por facilitar el diálogo mediante la coordinación de comités multinacionales de acompañamiento. Este mecanismo facilitó una mejor apropiación de los resultados, y ha establecido las bases para la futura implementación coordinada del proyecto. Entre Chile y Argentina, además, se aprobó la Primera Operación Ampliación de Capacidad y Mejoras de Seguridad en los Accesos al Paso Cristo Redentor (</w:t>
      </w:r>
      <w:hyperlink r:id="rId24" w:history="1">
        <w:r w:rsidRPr="003D4674">
          <w:rPr>
            <w:rStyle w:val="Enlace"/>
            <w:rFonts w:ascii="Arial" w:hAnsi="Arial"/>
            <w:sz w:val="22"/>
            <w:szCs w:val="22"/>
            <w:lang w:val="es-AR"/>
          </w:rPr>
          <w:t>AR-L1279</w:t>
        </w:r>
      </w:hyperlink>
      <w:r>
        <w:rPr>
          <w:rStyle w:val="Ninguno"/>
          <w:rFonts w:ascii="Arial" w:hAnsi="Arial"/>
          <w:sz w:val="22"/>
          <w:szCs w:val="22"/>
        </w:rPr>
        <w:t>), cuyo objetivo es contribuir a mejorar la integración transfronteriza entre ambos países, reduciendo los tiempos y costos de transporte en el Corredor Sistema Cristo Redentor mediante la provisión de infraestructura de transporte y de un sistema de integración fronteriza que facilite la conectividad a nivel regional.</w:t>
      </w:r>
    </w:p>
    <w:sectPr w:rsidR="0070277C">
      <w:headerReference w:type="default" r:id="rId25"/>
      <w:footerReference w:type="default" r:id="rId26"/>
      <w:pgSz w:w="12240" w:h="15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B3888" w14:textId="77777777" w:rsidR="00C4442B" w:rsidRDefault="00C4442B">
      <w:r>
        <w:separator/>
      </w:r>
    </w:p>
  </w:endnote>
  <w:endnote w:type="continuationSeparator" w:id="0">
    <w:p w14:paraId="01387D05" w14:textId="77777777" w:rsidR="00C4442B" w:rsidRDefault="00C44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887802" w14:textId="77777777" w:rsidR="0070277C" w:rsidRDefault="00D10948">
    <w:pPr>
      <w:pStyle w:val="Footer"/>
      <w:tabs>
        <w:tab w:val="clear" w:pos="9360"/>
        <w:tab w:val="right" w:pos="9340"/>
      </w:tabs>
      <w:jc w:val="center"/>
    </w:pPr>
    <w:r>
      <w:rPr>
        <w:rStyle w:val="Ninguno"/>
        <w:rFonts w:ascii="Arial" w:hAnsi="Arial"/>
        <w:sz w:val="18"/>
        <w:szCs w:val="18"/>
      </w:rPr>
      <w:fldChar w:fldCharType="begin"/>
    </w:r>
    <w:r>
      <w:rPr>
        <w:rStyle w:val="Ninguno"/>
        <w:rFonts w:ascii="Arial" w:hAnsi="Arial"/>
        <w:sz w:val="18"/>
        <w:szCs w:val="18"/>
      </w:rPr>
      <w:instrText xml:space="preserve"> PAGE </w:instrText>
    </w:r>
    <w:r>
      <w:rPr>
        <w:rStyle w:val="Ninguno"/>
        <w:rFonts w:ascii="Arial" w:hAnsi="Arial"/>
        <w:sz w:val="18"/>
        <w:szCs w:val="18"/>
      </w:rPr>
      <w:fldChar w:fldCharType="separate"/>
    </w:r>
    <w:r>
      <w:rPr>
        <w:rStyle w:val="Ninguno"/>
        <w:rFonts w:ascii="Arial" w:hAnsi="Arial"/>
        <w:sz w:val="18"/>
        <w:szCs w:val="18"/>
      </w:rPr>
      <w:t>2</w:t>
    </w:r>
    <w:r>
      <w:rPr>
        <w:rStyle w:val="Ninguno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48A5AE" w14:textId="77777777" w:rsidR="00C4442B" w:rsidRDefault="00C4442B">
      <w:r>
        <w:separator/>
      </w:r>
    </w:p>
  </w:footnote>
  <w:footnote w:type="continuationSeparator" w:id="0">
    <w:p w14:paraId="5E9CFA7C" w14:textId="77777777" w:rsidR="00C4442B" w:rsidRDefault="00C4442B">
      <w:r>
        <w:continuationSeparator/>
      </w:r>
    </w:p>
  </w:footnote>
  <w:footnote w:type="continuationNotice" w:id="1">
    <w:p w14:paraId="583542CB" w14:textId="77777777" w:rsidR="00C4442B" w:rsidRDefault="00C4442B"/>
  </w:footnote>
  <w:footnote w:id="2">
    <w:p w14:paraId="7D403C2B" w14:textId="77777777" w:rsidR="0070277C" w:rsidRDefault="00D10948">
      <w:pPr>
        <w:pStyle w:val="FootnoteText"/>
        <w:ind w:left="0" w:firstLine="0"/>
      </w:pPr>
      <w:r>
        <w:rPr>
          <w:rStyle w:val="Ninguno"/>
          <w:rFonts w:ascii="Arial" w:eastAsia="Arial" w:hAnsi="Arial" w:cs="Arial"/>
          <w:sz w:val="22"/>
          <w:szCs w:val="22"/>
          <w:vertAlign w:val="superscript"/>
        </w:rPr>
        <w:footnoteRef/>
      </w:r>
      <w:r>
        <w:rPr>
          <w:rStyle w:val="Ninguno"/>
          <w:rFonts w:ascii="Arial" w:hAnsi="Arial"/>
          <w:sz w:val="18"/>
          <w:szCs w:val="18"/>
        </w:rPr>
        <w:t xml:space="preserve"> Fortalecimiento de la Seguridad Aeroportuaria (ATN/MT-9073-BH) y Apoyo al Desarrollo de un Plan Nacional de Diversificación del Transporte Aéreo (ATN/OC-15345-BH)</w:t>
      </w:r>
    </w:p>
  </w:footnote>
  <w:footnote w:id="3">
    <w:p w14:paraId="24513775" w14:textId="77777777" w:rsidR="0070277C" w:rsidRPr="000421FB" w:rsidRDefault="00D10948">
      <w:pPr>
        <w:pStyle w:val="NotaalpieA"/>
        <w:rPr>
          <w:rFonts w:ascii="Arial" w:hAnsi="Arial" w:cs="Arial"/>
          <w:sz w:val="18"/>
          <w:szCs w:val="18"/>
          <w:lang w:val="es-ES_tradnl"/>
        </w:rPr>
      </w:pPr>
      <w:r w:rsidRPr="000421FB">
        <w:rPr>
          <w:rStyle w:val="Ninguno"/>
          <w:rFonts w:ascii="Arial" w:eastAsia="Arial" w:hAnsi="Arial" w:cs="Arial"/>
          <w:sz w:val="18"/>
          <w:szCs w:val="18"/>
          <w:vertAlign w:val="superscript"/>
          <w:lang w:val="es-ES_tradnl"/>
        </w:rPr>
        <w:footnoteRef/>
      </w:r>
      <w:r w:rsidRPr="000421FB">
        <w:rPr>
          <w:rStyle w:val="Ninguno"/>
          <w:rFonts w:ascii="Arial" w:hAnsi="Arial" w:cs="Arial"/>
          <w:sz w:val="18"/>
          <w:szCs w:val="18"/>
          <w:lang w:val="es-ES_tradnl"/>
        </w:rPr>
        <w:t xml:space="preserve"> </w:t>
      </w:r>
      <w:hyperlink r:id="rId1" w:history="1">
        <w:r w:rsidRPr="000421FB">
          <w:rPr>
            <w:rStyle w:val="Enlace"/>
            <w:rFonts w:ascii="Arial" w:hAnsi="Arial" w:cs="Arial"/>
            <w:sz w:val="18"/>
            <w:szCs w:val="18"/>
            <w:lang w:val="es-ES_tradnl"/>
          </w:rPr>
          <w:t>ATN/OC-10620-RG</w:t>
        </w:r>
      </w:hyperlink>
      <w:r w:rsidRPr="000421FB">
        <w:rPr>
          <w:rStyle w:val="Ninguno"/>
          <w:rFonts w:ascii="Arial" w:hAnsi="Arial" w:cs="Arial"/>
          <w:sz w:val="18"/>
          <w:szCs w:val="18"/>
          <w:lang w:val="es-ES_tradnl"/>
        </w:rPr>
        <w:t xml:space="preserve">; </w:t>
      </w:r>
      <w:hyperlink r:id="rId2" w:history="1">
        <w:r w:rsidRPr="000421FB">
          <w:rPr>
            <w:rStyle w:val="Enlace"/>
            <w:rFonts w:ascii="Arial" w:hAnsi="Arial" w:cs="Arial"/>
            <w:sz w:val="18"/>
            <w:szCs w:val="18"/>
            <w:lang w:val="es-ES_tradnl"/>
          </w:rPr>
          <w:t>ATN/OC-10847-RG</w:t>
        </w:r>
      </w:hyperlink>
      <w:r w:rsidRPr="000421FB">
        <w:rPr>
          <w:rStyle w:val="Ninguno"/>
          <w:rFonts w:ascii="Arial" w:hAnsi="Arial" w:cs="Arial"/>
          <w:sz w:val="18"/>
          <w:szCs w:val="18"/>
          <w:lang w:val="es-ES_tradnl"/>
        </w:rPr>
        <w:t xml:space="preserve">; </w:t>
      </w:r>
      <w:hyperlink r:id="rId3" w:history="1">
        <w:r w:rsidRPr="000421FB">
          <w:rPr>
            <w:rStyle w:val="Enlace"/>
            <w:rFonts w:ascii="Arial" w:hAnsi="Arial" w:cs="Arial"/>
            <w:sz w:val="18"/>
            <w:szCs w:val="18"/>
            <w:lang w:val="es-ES_tradnl"/>
          </w:rPr>
          <w:t>ATN/OC-11400-RG</w:t>
        </w:r>
      </w:hyperlink>
      <w:r w:rsidRPr="000421FB">
        <w:rPr>
          <w:rStyle w:val="Ninguno"/>
          <w:rFonts w:ascii="Arial" w:hAnsi="Arial" w:cs="Arial"/>
          <w:sz w:val="18"/>
          <w:szCs w:val="18"/>
          <w:lang w:val="es-ES_tradnl"/>
        </w:rPr>
        <w:t xml:space="preserve">; </w:t>
      </w:r>
      <w:hyperlink r:id="rId4" w:history="1">
        <w:r w:rsidRPr="000421FB">
          <w:rPr>
            <w:rStyle w:val="Enlace"/>
            <w:rFonts w:ascii="Arial" w:hAnsi="Arial" w:cs="Arial"/>
            <w:sz w:val="18"/>
            <w:szCs w:val="18"/>
            <w:lang w:val="es-ES_tradnl"/>
          </w:rPr>
          <w:t>ATN/OC-10774-RG</w:t>
        </w:r>
      </w:hyperlink>
      <w:r w:rsidRPr="000421FB">
        <w:rPr>
          <w:rStyle w:val="Ninguno"/>
          <w:rFonts w:ascii="Arial" w:hAnsi="Arial" w:cs="Arial"/>
          <w:sz w:val="18"/>
          <w:szCs w:val="18"/>
          <w:lang w:val="es-ES_tradnl"/>
        </w:rPr>
        <w:t xml:space="preserve">; </w:t>
      </w:r>
      <w:hyperlink r:id="rId5" w:history="1">
        <w:r w:rsidRPr="000421FB">
          <w:rPr>
            <w:rStyle w:val="Enlace"/>
            <w:rFonts w:ascii="Arial" w:hAnsi="Arial" w:cs="Arial"/>
            <w:sz w:val="18"/>
            <w:szCs w:val="18"/>
            <w:lang w:val="es-ES_tradnl"/>
          </w:rPr>
          <w:t>ATN/OC-13350-RG</w:t>
        </w:r>
      </w:hyperlink>
      <w:r w:rsidRPr="000421FB">
        <w:rPr>
          <w:rStyle w:val="Ninguno"/>
          <w:rFonts w:ascii="Arial" w:hAnsi="Arial" w:cs="Arial"/>
          <w:sz w:val="18"/>
          <w:szCs w:val="18"/>
          <w:lang w:val="es-ES_tradnl"/>
        </w:rPr>
        <w:t xml:space="preserve">; </w:t>
      </w:r>
      <w:hyperlink r:id="rId6" w:history="1">
        <w:r w:rsidRPr="000421FB">
          <w:rPr>
            <w:rStyle w:val="Enlace"/>
            <w:rFonts w:ascii="Arial" w:hAnsi="Arial" w:cs="Arial"/>
            <w:sz w:val="18"/>
            <w:szCs w:val="18"/>
            <w:lang w:val="es-ES_tradnl"/>
          </w:rPr>
          <w:t>ATN/OC-13632-RG;</w:t>
        </w:r>
      </w:hyperlink>
      <w:r w:rsidRPr="000421FB">
        <w:rPr>
          <w:rStyle w:val="Ninguno"/>
          <w:rFonts w:ascii="Arial" w:hAnsi="Arial" w:cs="Arial"/>
          <w:sz w:val="18"/>
          <w:szCs w:val="18"/>
          <w:lang w:val="es-ES_tradnl"/>
        </w:rPr>
        <w:t xml:space="preserve"> </w:t>
      </w:r>
      <w:hyperlink r:id="rId7" w:history="1">
        <w:r w:rsidRPr="000421FB">
          <w:rPr>
            <w:rStyle w:val="Enlace"/>
            <w:rFonts w:ascii="Arial" w:hAnsi="Arial" w:cs="Arial"/>
            <w:sz w:val="18"/>
            <w:szCs w:val="18"/>
            <w:lang w:val="es-ES_tradnl"/>
          </w:rPr>
          <w:t>ATN/OC-13872-RG</w:t>
        </w:r>
      </w:hyperlink>
      <w:r w:rsidRPr="000421FB">
        <w:rPr>
          <w:rStyle w:val="Ninguno"/>
          <w:rFonts w:ascii="Arial" w:hAnsi="Arial" w:cs="Arial"/>
          <w:sz w:val="18"/>
          <w:szCs w:val="18"/>
          <w:lang w:val="es-ES_tradnl"/>
        </w:rPr>
        <w:t xml:space="preserve">; </w:t>
      </w:r>
      <w:hyperlink r:id="rId8" w:history="1">
        <w:r w:rsidRPr="000421FB">
          <w:rPr>
            <w:rStyle w:val="Enlace"/>
            <w:rFonts w:ascii="Arial" w:hAnsi="Arial" w:cs="Arial"/>
            <w:sz w:val="18"/>
            <w:szCs w:val="18"/>
            <w:lang w:val="es-ES_tradnl"/>
          </w:rPr>
          <w:t>ATN/OC-13289-RG</w:t>
        </w:r>
      </w:hyperlink>
      <w:r w:rsidRPr="000421FB">
        <w:rPr>
          <w:rStyle w:val="Ninguno"/>
          <w:rFonts w:ascii="Arial" w:hAnsi="Arial" w:cs="Arial"/>
          <w:sz w:val="18"/>
          <w:szCs w:val="18"/>
          <w:lang w:val="es-ES_tradnl"/>
        </w:rPr>
        <w:t xml:space="preserve">; y </w:t>
      </w:r>
      <w:hyperlink r:id="rId9" w:history="1">
        <w:r w:rsidRPr="000421FB">
          <w:rPr>
            <w:rStyle w:val="Enlace"/>
            <w:rFonts w:ascii="Arial" w:hAnsi="Arial" w:cs="Arial"/>
            <w:sz w:val="18"/>
            <w:szCs w:val="18"/>
            <w:lang w:val="es-ES_tradnl"/>
          </w:rPr>
          <w:t>ATN/FG-15606-RG</w:t>
        </w:r>
      </w:hyperlink>
      <w:r w:rsidRPr="000421FB">
        <w:rPr>
          <w:rStyle w:val="Ninguno"/>
          <w:rFonts w:ascii="Arial" w:hAnsi="Arial" w:cs="Arial"/>
          <w:sz w:val="18"/>
          <w:szCs w:val="18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7B6431" w14:textId="77777777" w:rsidR="0070277C" w:rsidRDefault="0070277C">
    <w:pPr>
      <w:pStyle w:val="Cabeceraypi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EE489F"/>
    <w:multiLevelType w:val="multilevel"/>
    <w:tmpl w:val="89EEE560"/>
    <w:styleLink w:val="Estiloimportado1"/>
    <w:lvl w:ilvl="0">
      <w:start w:val="1"/>
      <w:numFmt w:val="upperRoman"/>
      <w:lvlText w:val="%1."/>
      <w:lvlJc w:val="left"/>
      <w:pPr>
        <w:tabs>
          <w:tab w:val="left" w:pos="720"/>
        </w:tabs>
        <w:ind w:left="1152" w:hanging="4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Letter"/>
      <w:lvlText w:val="%3."/>
      <w:lvlJc w:val="left"/>
      <w:pPr>
        <w:ind w:left="833" w:hanging="8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Roman"/>
      <w:lvlText w:val="%4."/>
      <w:lvlJc w:val="left"/>
      <w:pPr>
        <w:tabs>
          <w:tab w:val="left" w:pos="720"/>
        </w:tabs>
        <w:ind w:left="361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4.%5."/>
      <w:lvlJc w:val="left"/>
      <w:pPr>
        <w:tabs>
          <w:tab w:val="left" w:pos="720"/>
        </w:tabs>
        <w:ind w:left="432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4.%5.%6."/>
      <w:lvlJc w:val="left"/>
      <w:pPr>
        <w:tabs>
          <w:tab w:val="left" w:pos="720"/>
        </w:tabs>
        <w:ind w:left="576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4.%5.%6.%7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4.%5.%6.%7.%8."/>
      <w:lvlJc w:val="left"/>
      <w:pPr>
        <w:ind w:left="864" w:hanging="8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4.%5.%6.%7.%8.%9."/>
      <w:lvlJc w:val="left"/>
      <w:pPr>
        <w:ind w:left="1008" w:hanging="10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5BD539FE"/>
    <w:multiLevelType w:val="multilevel"/>
    <w:tmpl w:val="89EEE560"/>
    <w:numStyleLink w:val="Estiloimportado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77C"/>
    <w:rsid w:val="000421FB"/>
    <w:rsid w:val="003D4674"/>
    <w:rsid w:val="0070277C"/>
    <w:rsid w:val="00C4442B"/>
    <w:rsid w:val="00CB40C0"/>
    <w:rsid w:val="00D1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F7B45"/>
  <w15:docId w15:val="{74118302-DA98-400E-98FD-E64118D1B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Cabeceraypie">
    <w:name w:val="Cabecera y pie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Footer">
    <w:name w:val="footer"/>
    <w:pPr>
      <w:tabs>
        <w:tab w:val="center" w:pos="4680"/>
        <w:tab w:val="right" w:pos="9360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Ninguno">
    <w:name w:val="Ninguno"/>
  </w:style>
  <w:style w:type="paragraph" w:customStyle="1" w:styleId="Cuerpo">
    <w:name w:val="Cuerpo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paragraph" w:customStyle="1" w:styleId="Paragraph">
    <w:name w:val="Paragraph"/>
    <w:pPr>
      <w:tabs>
        <w:tab w:val="left" w:pos="360"/>
        <w:tab w:val="left" w:pos="720"/>
      </w:tabs>
      <w:spacing w:before="120" w:after="120"/>
      <w:ind w:left="360" w:hanging="360"/>
      <w:jc w:val="both"/>
      <w:outlineLvl w:val="1"/>
    </w:pPr>
    <w:rPr>
      <w:rFonts w:cs="Arial Unicode MS"/>
      <w:color w:val="000000"/>
      <w:sz w:val="24"/>
      <w:szCs w:val="24"/>
      <w:u w:color="000000"/>
      <w:lang w:val="es-ES_tradnl"/>
    </w:rPr>
  </w:style>
  <w:style w:type="numbering" w:customStyle="1" w:styleId="Estiloimportado1">
    <w:name w:val="Estilo importado 1"/>
    <w:pPr>
      <w:numPr>
        <w:numId w:val="1"/>
      </w:numPr>
    </w:pPr>
  </w:style>
  <w:style w:type="character" w:customStyle="1" w:styleId="Enlace">
    <w:name w:val="Enlace"/>
    <w:rPr>
      <w:color w:val="0563C1"/>
      <w:u w:val="single" w:color="0563C1"/>
    </w:rPr>
  </w:style>
  <w:style w:type="character" w:customStyle="1" w:styleId="Hyperlink0">
    <w:name w:val="Hyperlink.0"/>
    <w:basedOn w:val="Enlace"/>
    <w:rPr>
      <w:color w:val="0563C1"/>
      <w:u w:val="single" w:color="0563C1"/>
      <w:shd w:val="clear" w:color="auto" w:fill="FEFFFF"/>
    </w:rPr>
  </w:style>
  <w:style w:type="character" w:styleId="FootnoteReference">
    <w:name w:val="footnote reference"/>
    <w:basedOn w:val="Ninguno"/>
    <w:rPr>
      <w:vertAlign w:val="superscript"/>
    </w:rPr>
  </w:style>
  <w:style w:type="paragraph" w:styleId="FootnoteText">
    <w:name w:val="footnote text"/>
    <w:pPr>
      <w:keepNext/>
      <w:keepLines/>
      <w:spacing w:after="120"/>
      <w:ind w:left="288" w:hanging="288"/>
      <w:jc w:val="both"/>
    </w:pPr>
    <w:rPr>
      <w:rFonts w:eastAsia="Times New Roman"/>
      <w:color w:val="000000"/>
      <w:spacing w:val="-2"/>
      <w:u w:color="000000"/>
      <w:lang w:val="es-ES_tradnl"/>
    </w:rPr>
  </w:style>
  <w:style w:type="paragraph" w:customStyle="1" w:styleId="NotaalpieA">
    <w:name w:val="Nota al pie A"/>
    <w:rPr>
      <w:rFonts w:ascii="Helvetica" w:eastAsia="Helvetica" w:hAnsi="Helvetica" w:cs="Helvetica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iadb.org/es/project/AR-L1140" TargetMode="External"/><Relationship Id="rId18" Type="http://schemas.openxmlformats.org/officeDocument/2006/relationships/hyperlink" Target="https://www.iadb.org/es/project/CR-L1066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www.iadb.org/es/project/EC-L1116" TargetMode="External"/><Relationship Id="rId34" Type="http://schemas.openxmlformats.org/officeDocument/2006/relationships/customXml" Target="../customXml/item6.xml"/><Relationship Id="rId7" Type="http://schemas.openxmlformats.org/officeDocument/2006/relationships/hyperlink" Target="https://www.iadb.org/es/project/ar0279" TargetMode="External"/><Relationship Id="rId12" Type="http://schemas.openxmlformats.org/officeDocument/2006/relationships/hyperlink" Target="https://www.iadb.org/es/project/AR-L1071" TargetMode="External"/><Relationship Id="rId17" Type="http://schemas.openxmlformats.org/officeDocument/2006/relationships/hyperlink" Target="https://www.iadb.org/en/project/CO-L1029" TargetMode="External"/><Relationship Id="rId25" Type="http://schemas.openxmlformats.org/officeDocument/2006/relationships/header" Target="header1.xml"/><Relationship Id="rId33" Type="http://schemas.openxmlformats.org/officeDocument/2006/relationships/customXml" Target="../customXml/item5.xml"/><Relationship Id="rId2" Type="http://schemas.openxmlformats.org/officeDocument/2006/relationships/styles" Target="styles.xml"/><Relationship Id="rId16" Type="http://schemas.openxmlformats.org/officeDocument/2006/relationships/hyperlink" Target="https://www.iadb.org/en/project/BH-L1041" TargetMode="External"/><Relationship Id="rId20" Type="http://schemas.openxmlformats.org/officeDocument/2006/relationships/hyperlink" Target="https://www.iadb.org/es/project/PN-L1107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adb.org/es/project/AR-L1004" TargetMode="External"/><Relationship Id="rId24" Type="http://schemas.openxmlformats.org/officeDocument/2006/relationships/hyperlink" Target="https://www.iadb.org/es/project/AR-L1279" TargetMode="External"/><Relationship Id="rId32" Type="http://schemas.openxmlformats.org/officeDocument/2006/relationships/customXml" Target="../customXml/item4.xml"/><Relationship Id="rId5" Type="http://schemas.openxmlformats.org/officeDocument/2006/relationships/footnotes" Target="footnotes.xml"/><Relationship Id="rId15" Type="http://schemas.openxmlformats.org/officeDocument/2006/relationships/hyperlink" Target="https://www.iadb.org/es/project/UR-L1066" TargetMode="External"/><Relationship Id="rId23" Type="http://schemas.openxmlformats.org/officeDocument/2006/relationships/hyperlink" Target="https://www.iadb.org/es/project/RG-L1116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iadb.org/es/project/AR-L1036" TargetMode="External"/><Relationship Id="rId19" Type="http://schemas.openxmlformats.org/officeDocument/2006/relationships/hyperlink" Target="https://www.iadb.org/es/project/NI-L1083" TargetMode="External"/><Relationship Id="rId31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yperlink" Target="https://www.iadb.org/es/project/AR-L1003" TargetMode="External"/><Relationship Id="rId14" Type="http://schemas.openxmlformats.org/officeDocument/2006/relationships/hyperlink" Target="https://www.iadb.org/es/project/UR-L1113" TargetMode="External"/><Relationship Id="rId22" Type="http://schemas.openxmlformats.org/officeDocument/2006/relationships/hyperlink" Target="https://www.iadb.org/es/project/RG-L1074" TargetMode="External"/><Relationship Id="rId27" Type="http://schemas.openxmlformats.org/officeDocument/2006/relationships/fontTable" Target="fontTable.xml"/><Relationship Id="rId30" Type="http://schemas.openxmlformats.org/officeDocument/2006/relationships/customXml" Target="../customXml/item2.xml"/><Relationship Id="rId35" Type="http://schemas.openxmlformats.org/officeDocument/2006/relationships/customXml" Target="../customXml/item7.xml"/><Relationship Id="rId8" Type="http://schemas.openxmlformats.org/officeDocument/2006/relationships/hyperlink" Target="https://www.iadb.org/es/project/AR-L1130" TargetMode="Externa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adb.org/es/project/RG-T2161" TargetMode="External"/><Relationship Id="rId3" Type="http://schemas.openxmlformats.org/officeDocument/2006/relationships/hyperlink" Target="https://www.iadb.org/es/project/RG-T1589" TargetMode="External"/><Relationship Id="rId7" Type="http://schemas.openxmlformats.org/officeDocument/2006/relationships/hyperlink" Target="https://www.iadb.org/es/project/RG-T2256" TargetMode="External"/><Relationship Id="rId2" Type="http://schemas.openxmlformats.org/officeDocument/2006/relationships/hyperlink" Target="https://www.iadb.org/es/project/RG-T1230" TargetMode="External"/><Relationship Id="rId1" Type="http://schemas.openxmlformats.org/officeDocument/2006/relationships/hyperlink" Target="https://www.iadb.org/es/project/RG-T1264" TargetMode="External"/><Relationship Id="rId6" Type="http://schemas.openxmlformats.org/officeDocument/2006/relationships/hyperlink" Target="https://www.iadb.org/es/project/RG-T2244" TargetMode="External"/><Relationship Id="rId5" Type="http://schemas.openxmlformats.org/officeDocument/2006/relationships/hyperlink" Target="https://www.iadb.org/es/project/RG-T2056" TargetMode="External"/><Relationship Id="rId4" Type="http://schemas.openxmlformats.org/officeDocument/2006/relationships/hyperlink" Target="https://www.iadb.org/es/project/RG-T1275" TargetMode="External"/><Relationship Id="rId9" Type="http://schemas.openxmlformats.org/officeDocument/2006/relationships/hyperlink" Target="https://www.iadb.org/es/project/RG-T2729" TargetMode="Externa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A3AC9CCF3D2C1040A7CDDCA8D06CA451" ma:contentTypeVersion="106" ma:contentTypeDescription="The base project type from which other project content types inherit their information." ma:contentTypeScope="" ma:versionID="def88d2b43c4de9ce46479623864e9e1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244edc977392eb86ccd7a5b92254eec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RG-L1126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C697213E112A184AA7E1DC1044C67038" ma:contentTypeVersion="318" ma:contentTypeDescription="A content type to manage public (operations) IDB documents" ma:contentTypeScope="" ma:versionID="afc48fb4a6fd0912c6745915f938171b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055636d608c74bada4dfd53d9112c225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RG-L1126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R0002614112</Record_x0020_Number>
    <Key_x0020_Document xmlns="cdc7663a-08f0-4737-9e8c-148ce897a09c">false</Key_x0020_Document>
    <Division_x0020_or_x0020_Unit xmlns="cdc7663a-08f0-4737-9e8c-148ce897a09c">INT/TIN</Division_x0020_or_x0020_Unit>
    <IDBDocs_x0020_Number xmlns="cdc7663a-08f0-4737-9e8c-148ce897a09c" xsi:nil="true"/>
    <Document_x0020_Author xmlns="cdc7663a-08f0-4737-9e8c-148ce897a09c">Esteves, Yasmin</Document_x0020_Author>
    <_dlc_DocId xmlns="cdc7663a-08f0-4737-9e8c-148ce897a09c">EZSHARE-567986568-16</_dlc_DocId>
    <Operation_x0020_Type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Regional</TermName>
          <TermId xmlns="http://schemas.microsoft.com/office/infopath/2007/PartnerControls">2537a5b7-6d8e-482c-94dc-32c3cc44ff65</TermId>
        </TermInfo>
      </Terms>
    </ic46d7e087fd4a108fb86518ca413cc6>
    <TaxCatchAll xmlns="cdc7663a-08f0-4737-9e8c-148ce897a09c">
      <Value>34</Value>
      <Value>20</Value>
      <Value>79</Value>
      <Value>1</Value>
    </TaxCatchAll>
    <Fiscal_x0020_Year_x0020_IDB xmlns="cdc7663a-08f0-4737-9e8c-148ce897a09c">2018</Fiscal_x0020_Year_x0020_IDB>
    <b26cdb1da78c4bb4b1c1bac2f6ac5911 xmlns="cdc7663a-08f0-4737-9e8c-148ce897a09c">
      <Terms xmlns="http://schemas.microsoft.com/office/infopath/2007/PartnerControls"/>
    </b26cdb1da78c4bb4b1c1bac2f6ac5911>
    <Project_x0020_Number xmlns="cdc7663a-08f0-4737-9e8c-148ce897a09c">RG-L1126</Project_x0020_Number>
    <Package_x0020_Code xmlns="cdc7663a-08f0-4737-9e8c-148ce897a09c" xsi:nil="true"/>
    <Migration_x0020_Info xmlns="cdc7663a-08f0-4737-9e8c-148ce897a09c" xsi:nil="true"/>
    <Related_x0020_SisCor_x0020_Number xmlns="cdc7663a-08f0-4737-9e8c-148ce897a09c" xsi:nil="true"/>
    <Approval_x0020_Number xmlns="cdc7663a-08f0-4737-9e8c-148ce897a09c" xsi:nil="true"/>
    <Business_x0020_Area xmlns="cdc7663a-08f0-4737-9e8c-148ce897a09c" xsi:nil="true"/>
    <SISCOR_x0020_Number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Access_x0020_to_x0020_Information_x00a0_Policy xmlns="cdc7663a-08f0-4737-9e8c-148ce897a09c">Public - Simultaneous Disclosure</Access_x0020_to_x0020_Information_x00a0_Policy>
    <Identifier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REGIONAL INTEGRATION</TermName>
          <TermId xmlns="http://schemas.microsoft.com/office/infopath/2007/PartnerControls">b03a04c9-d326-4abf-a4f0-668c26a9787b</TermId>
        </TermInfo>
      </Terms>
    </nddeef1749674d76abdbe4b239a70bc6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REGIONAL AND CROSS-BORDER COOPERATION</TermName>
          <TermId xmlns="http://schemas.microsoft.com/office/infopath/2007/PartnerControls">7208f771-2fab-49b8-ac23-627e139a1e28</TermId>
        </TermInfo>
      </Terms>
    </b2ec7cfb18674cb8803df6b262e8b107>
    <Document_x0020_Language_x0020_IDB xmlns="cdc7663a-08f0-4737-9e8c-148ce897a09c">English</Document_x0020_Language_x0020_IDB>
    <_dlc_DocIdUrl xmlns="cdc7663a-08f0-4737-9e8c-148ce897a09c">
      <Url>https://idbg.sharepoint.com/teams/EZ-RG-LON/RG-L1126/_layouts/15/DocIdRedir.aspx?ID=EZSHARE-567986568-16</Url>
      <Description>EZSHARE-567986568-16</Description>
    </_dlc_DocIdUrl>
    <Phase xmlns="cdc7663a-08f0-4737-9e8c-148ce897a09c" xsi:nil="true"/>
    <Other_x0020_Author xmlns="cdc7663a-08f0-4737-9e8c-148ce897a09c" xsi:nil="true"/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0A5398B0-31BC-4980-85E0-F8B3B69CBEF5}"/>
</file>

<file path=customXml/itemProps2.xml><?xml version="1.0" encoding="utf-8"?>
<ds:datastoreItem xmlns:ds="http://schemas.openxmlformats.org/officeDocument/2006/customXml" ds:itemID="{84A47724-7108-4396-B774-1F51F045B82B}"/>
</file>

<file path=customXml/itemProps3.xml><?xml version="1.0" encoding="utf-8"?>
<ds:datastoreItem xmlns:ds="http://schemas.openxmlformats.org/officeDocument/2006/customXml" ds:itemID="{DA076FDE-A772-4AFD-BF2A-814A28182C73}"/>
</file>

<file path=customXml/itemProps4.xml><?xml version="1.0" encoding="utf-8"?>
<ds:datastoreItem xmlns:ds="http://schemas.openxmlformats.org/officeDocument/2006/customXml" ds:itemID="{B479EED2-5CAD-42B9-A27E-263EC39285A4}"/>
</file>

<file path=customXml/itemProps5.xml><?xml version="1.0" encoding="utf-8"?>
<ds:datastoreItem xmlns:ds="http://schemas.openxmlformats.org/officeDocument/2006/customXml" ds:itemID="{DB717D5E-10E1-4FBC-B29B-F820A72717D2}"/>
</file>

<file path=customXml/itemProps6.xml><?xml version="1.0" encoding="utf-8"?>
<ds:datastoreItem xmlns:ds="http://schemas.openxmlformats.org/officeDocument/2006/customXml" ds:itemID="{9A7C169D-9B29-40EB-92B1-C7BE8E7A35E6}"/>
</file>

<file path=customXml/itemProps7.xml><?xml version="1.0" encoding="utf-8"?>
<ds:datastoreItem xmlns:ds="http://schemas.openxmlformats.org/officeDocument/2006/customXml" ds:itemID="{68DB3289-8DC2-4AF6-B3D7-63AFB985313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1069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ModifiedBy>Esteves, Yasmin</cp:lastModifiedBy>
  <cp:revision>2</cp:revision>
  <dcterms:created xsi:type="dcterms:W3CDTF">2018-08-16T16:06:00Z</dcterms:created>
  <dcterms:modified xsi:type="dcterms:W3CDTF">2018-08-16T16:06:00Z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79;#REGIONAL AND CROSS-BORDER COOPERATION|7208f771-2fab-49b8-ac23-627e139a1e28</vt:lpwstr>
  </property>
  <property fmtid="{D5CDD505-2E9C-101B-9397-08002B2CF9AE}" pid="7" name="Country">
    <vt:lpwstr>20;#Regional|2537a5b7-6d8e-482c-94dc-32c3cc44ff65</vt:lpwstr>
  </property>
  <property fmtid="{D5CDD505-2E9C-101B-9397-08002B2CF9AE}" pid="8" name="Fund IDB">
    <vt:lpwstr/>
  </property>
  <property fmtid="{D5CDD505-2E9C-101B-9397-08002B2CF9AE}" pid="9" name="_dlc_DocIdItemGuid">
    <vt:lpwstr>3e78d648-4a02-4f71-bd08-497b562d1158</vt:lpwstr>
  </property>
  <property fmtid="{D5CDD505-2E9C-101B-9397-08002B2CF9AE}" pid="10" name="Sector IDB">
    <vt:lpwstr>34;#REGIONAL INTEGRATION|b03a04c9-d326-4abf-a4f0-668c26a9787b</vt:lpwstr>
  </property>
  <property fmtid="{D5CDD505-2E9C-101B-9397-08002B2CF9AE}" pid="11" name="Function Operations IDB">
    <vt:lpwstr>1;#Project Preparation, Planning and Design|29ca0c72-1fc4-435f-a09c-28585cb5eac9</vt:lpwstr>
  </property>
  <property fmtid="{D5CDD505-2E9C-101B-9397-08002B2CF9AE}" pid="12" name="Disclosure Activity">
    <vt:lpwstr>Loan Proposal</vt:lpwstr>
  </property>
  <property fmtid="{D5CDD505-2E9C-101B-9397-08002B2CF9AE}" pid="13" name="ContentTypeId">
    <vt:lpwstr>0x0101001A458A224826124E8B45B1D613300CFC00C697213E112A184AA7E1DC1044C67038</vt:lpwstr>
  </property>
</Properties>
</file>