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quickStyle1.xml" ContentType="application/vnd.openxmlformats-officedocument.drawingml.diagramStyle+xml"/>
  <Override PartName="/word/diagrams/drawing1.xml" ContentType="application/vnd.ms-office.drawingml.diagramDrawing+xml"/>
  <Override PartName="/word/theme/theme1.xml" ContentType="application/vnd.openxmlformats-officedocument.theme+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C668" w14:textId="77777777" w:rsidR="00F1165D" w:rsidRPr="00F1165D" w:rsidRDefault="00F1165D" w:rsidP="00F1165D">
      <w:pPr>
        <w:jc w:val="center"/>
        <w:rPr>
          <w:b/>
          <w:bCs/>
          <w:caps/>
          <w:lang w:val="es-ES_tradnl"/>
        </w:rPr>
      </w:pPr>
      <w:r w:rsidRPr="00F1165D">
        <w:rPr>
          <w:b/>
          <w:bCs/>
          <w:caps/>
          <w:lang w:val="es-ES_tradnl"/>
        </w:rPr>
        <w:t>República Del Ecuador</w:t>
      </w:r>
    </w:p>
    <w:p w14:paraId="681331F0" w14:textId="77777777" w:rsidR="00F1165D" w:rsidRPr="00F1165D" w:rsidRDefault="00F1165D" w:rsidP="00F1165D">
      <w:pPr>
        <w:jc w:val="left"/>
        <w:rPr>
          <w:b/>
          <w:bCs/>
          <w:caps/>
          <w:lang w:val="es-ES_tradnl"/>
        </w:rPr>
      </w:pPr>
    </w:p>
    <w:p w14:paraId="436FB0D4" w14:textId="77777777" w:rsidR="00F1165D" w:rsidRPr="00F1165D" w:rsidRDefault="00F1165D" w:rsidP="00F1165D">
      <w:pPr>
        <w:jc w:val="left"/>
        <w:rPr>
          <w:b/>
          <w:bCs/>
          <w:caps/>
          <w:lang w:val="es-ES_tradnl"/>
        </w:rPr>
      </w:pPr>
    </w:p>
    <w:p w14:paraId="2D8673C4" w14:textId="77777777" w:rsidR="00F1165D" w:rsidRPr="00F1165D" w:rsidRDefault="00F1165D" w:rsidP="00F1165D">
      <w:pPr>
        <w:jc w:val="left"/>
        <w:rPr>
          <w:b/>
          <w:bCs/>
          <w:caps/>
          <w:lang w:val="es-ES_tradnl"/>
        </w:rPr>
      </w:pPr>
    </w:p>
    <w:p w14:paraId="1A13F089" w14:textId="77777777" w:rsidR="00F1165D" w:rsidRDefault="00F1165D" w:rsidP="00F1165D">
      <w:pPr>
        <w:jc w:val="left"/>
        <w:rPr>
          <w:b/>
          <w:bCs/>
          <w:caps/>
          <w:lang w:val="es-ES_tradnl"/>
        </w:rPr>
      </w:pPr>
    </w:p>
    <w:p w14:paraId="09FF7271" w14:textId="77777777" w:rsidR="002B1AFD" w:rsidRDefault="002B1AFD" w:rsidP="00F1165D">
      <w:pPr>
        <w:jc w:val="left"/>
        <w:rPr>
          <w:b/>
          <w:bCs/>
          <w:caps/>
          <w:lang w:val="es-ES_tradnl"/>
        </w:rPr>
      </w:pPr>
    </w:p>
    <w:p w14:paraId="27D61525" w14:textId="77777777" w:rsidR="002B1AFD" w:rsidRDefault="002B1AFD" w:rsidP="00F1165D">
      <w:pPr>
        <w:jc w:val="left"/>
        <w:rPr>
          <w:b/>
          <w:bCs/>
          <w:caps/>
          <w:lang w:val="es-ES_tradnl"/>
        </w:rPr>
      </w:pPr>
    </w:p>
    <w:p w14:paraId="5AF5F9D7" w14:textId="77777777" w:rsidR="002B1AFD" w:rsidRDefault="002B1AFD" w:rsidP="00F1165D">
      <w:pPr>
        <w:jc w:val="left"/>
        <w:rPr>
          <w:b/>
          <w:bCs/>
          <w:caps/>
          <w:lang w:val="es-ES_tradnl"/>
        </w:rPr>
      </w:pPr>
    </w:p>
    <w:p w14:paraId="297E9F4C" w14:textId="77777777" w:rsidR="002B1AFD" w:rsidRPr="00F1165D" w:rsidRDefault="002B1AFD" w:rsidP="00F1165D">
      <w:pPr>
        <w:jc w:val="left"/>
        <w:rPr>
          <w:b/>
          <w:bCs/>
          <w:caps/>
          <w:lang w:val="es-ES_tradnl"/>
        </w:rPr>
      </w:pPr>
    </w:p>
    <w:p w14:paraId="79B1F98D" w14:textId="77777777" w:rsidR="00F1165D" w:rsidRDefault="00F1165D" w:rsidP="00F1165D">
      <w:pPr>
        <w:jc w:val="left"/>
        <w:rPr>
          <w:b/>
          <w:bCs/>
          <w:caps/>
          <w:lang w:val="es-ES_tradnl"/>
        </w:rPr>
      </w:pPr>
    </w:p>
    <w:p w14:paraId="3BBF9959" w14:textId="77777777" w:rsidR="00F1165D" w:rsidRPr="00F1165D" w:rsidRDefault="00F1165D" w:rsidP="00F1165D">
      <w:pPr>
        <w:jc w:val="left"/>
        <w:rPr>
          <w:b/>
          <w:bCs/>
          <w:caps/>
          <w:lang w:val="es-ES_tradnl"/>
        </w:rPr>
      </w:pPr>
    </w:p>
    <w:p w14:paraId="773B433D" w14:textId="02DAB66C" w:rsidR="00D66E0E" w:rsidRPr="00D66E0E" w:rsidRDefault="00D66E0E" w:rsidP="00D66E0E">
      <w:pPr>
        <w:jc w:val="center"/>
        <w:rPr>
          <w:b/>
          <w:bCs/>
          <w:smallCaps/>
          <w:sz w:val="24"/>
          <w:lang w:val="es-ES_tradnl"/>
        </w:rPr>
      </w:pPr>
      <w:r w:rsidRPr="00D66E0E">
        <w:rPr>
          <w:b/>
          <w:bCs/>
          <w:smallCaps/>
          <w:sz w:val="24"/>
          <w:lang w:val="es-ES_tradnl"/>
        </w:rPr>
        <w:t xml:space="preserve"> </w:t>
      </w:r>
    </w:p>
    <w:p w14:paraId="3DDB0EAA" w14:textId="77777777" w:rsidR="004370A2" w:rsidRDefault="008A6BE7" w:rsidP="00D66E0E">
      <w:pPr>
        <w:jc w:val="center"/>
        <w:rPr>
          <w:b/>
          <w:bCs/>
          <w:smallCaps/>
          <w:sz w:val="24"/>
          <w:lang w:val="es-ES_tradnl"/>
        </w:rPr>
      </w:pPr>
      <w:r>
        <w:rPr>
          <w:b/>
          <w:bCs/>
          <w:smallCaps/>
          <w:sz w:val="24"/>
          <w:lang w:val="es-ES_tradnl"/>
        </w:rPr>
        <w:t xml:space="preserve">PROGRAMA </w:t>
      </w:r>
      <w:r w:rsidR="00D66E0E" w:rsidRPr="00D66E0E">
        <w:rPr>
          <w:b/>
          <w:bCs/>
          <w:smallCaps/>
          <w:sz w:val="24"/>
          <w:lang w:val="es-ES_tradnl"/>
        </w:rPr>
        <w:t>DE FORTALECIMIENTO INSTITUCIONAL PARA LA COMPETITIVIDAD</w:t>
      </w:r>
      <w:r w:rsidR="004370A2">
        <w:rPr>
          <w:b/>
          <w:bCs/>
          <w:smallCaps/>
          <w:sz w:val="24"/>
          <w:lang w:val="es-ES_tradnl"/>
        </w:rPr>
        <w:t xml:space="preserve"> </w:t>
      </w:r>
    </w:p>
    <w:p w14:paraId="406AC060" w14:textId="17CE6361" w:rsidR="00F1165D" w:rsidRPr="00F1165D" w:rsidRDefault="00D66E0E" w:rsidP="00D66E0E">
      <w:pPr>
        <w:jc w:val="center"/>
        <w:rPr>
          <w:b/>
          <w:bCs/>
          <w:caps/>
          <w:sz w:val="24"/>
          <w:lang w:val="es-ES_tradnl"/>
        </w:rPr>
      </w:pPr>
      <w:r w:rsidRPr="00D66E0E">
        <w:rPr>
          <w:b/>
          <w:bCs/>
          <w:smallCaps/>
          <w:sz w:val="24"/>
          <w:lang w:val="es-ES_tradnl"/>
        </w:rPr>
        <w:t>(EC-L1250)</w:t>
      </w:r>
    </w:p>
    <w:p w14:paraId="5A6302EF" w14:textId="5BE57893" w:rsidR="00F1165D" w:rsidRDefault="00F1165D" w:rsidP="00F1165D">
      <w:pPr>
        <w:jc w:val="center"/>
        <w:rPr>
          <w:b/>
          <w:bCs/>
          <w:caps/>
          <w:sz w:val="24"/>
          <w:lang w:val="es-ES_tradnl"/>
        </w:rPr>
      </w:pPr>
    </w:p>
    <w:p w14:paraId="0D4F85E8" w14:textId="3ED0DB57" w:rsidR="00045AF7" w:rsidRDefault="00045AF7" w:rsidP="00F1165D">
      <w:pPr>
        <w:jc w:val="center"/>
        <w:rPr>
          <w:b/>
          <w:bCs/>
          <w:caps/>
          <w:sz w:val="24"/>
          <w:lang w:val="es-ES_tradnl"/>
        </w:rPr>
      </w:pPr>
    </w:p>
    <w:p w14:paraId="6D7B6C13" w14:textId="77777777" w:rsidR="00045AF7" w:rsidRPr="00F1165D" w:rsidRDefault="00045AF7" w:rsidP="00F1165D">
      <w:pPr>
        <w:jc w:val="center"/>
        <w:rPr>
          <w:b/>
          <w:bCs/>
          <w:caps/>
          <w:sz w:val="24"/>
          <w:lang w:val="es-ES_tradnl"/>
        </w:rPr>
      </w:pPr>
    </w:p>
    <w:p w14:paraId="427D687C" w14:textId="2008F677" w:rsidR="00F1165D" w:rsidRPr="00F1165D" w:rsidRDefault="00AE58BE" w:rsidP="00F1165D">
      <w:pPr>
        <w:jc w:val="center"/>
        <w:rPr>
          <w:b/>
          <w:bCs/>
          <w:caps/>
          <w:sz w:val="24"/>
          <w:lang w:val="es-ES_tradnl"/>
        </w:rPr>
      </w:pPr>
      <w:r w:rsidRPr="00AE58BE">
        <w:rPr>
          <w:b/>
          <w:bCs/>
          <w:smallCaps/>
          <w:sz w:val="24"/>
          <w:lang w:val="es-ES_tradnl"/>
        </w:rPr>
        <w:t xml:space="preserve">Contrato </w:t>
      </w:r>
      <w:r>
        <w:rPr>
          <w:b/>
          <w:bCs/>
          <w:smallCaps/>
          <w:sz w:val="24"/>
          <w:lang w:val="es-ES_tradnl"/>
        </w:rPr>
        <w:t>d</w:t>
      </w:r>
      <w:r w:rsidRPr="00AE58BE">
        <w:rPr>
          <w:b/>
          <w:bCs/>
          <w:smallCaps/>
          <w:sz w:val="24"/>
          <w:lang w:val="es-ES_tradnl"/>
        </w:rPr>
        <w:t>e Préstamo</w:t>
      </w:r>
      <w:r w:rsidR="00F1165D" w:rsidRPr="00F1165D">
        <w:rPr>
          <w:b/>
          <w:bCs/>
          <w:caps/>
          <w:sz w:val="24"/>
          <w:lang w:val="es-ES_tradnl"/>
        </w:rPr>
        <w:t xml:space="preserve"> </w:t>
      </w:r>
      <w:r w:rsidR="00972E0E">
        <w:rPr>
          <w:b/>
          <w:bCs/>
          <w:caps/>
          <w:sz w:val="24"/>
          <w:lang w:val="es-ES_tradnl"/>
        </w:rPr>
        <w:t>XXXX</w:t>
      </w:r>
      <w:r w:rsidR="00A038B9" w:rsidRPr="00A038B9">
        <w:rPr>
          <w:b/>
          <w:bCs/>
          <w:caps/>
          <w:sz w:val="24"/>
          <w:lang w:val="es-ES_tradnl"/>
        </w:rPr>
        <w:t>/OC-EC</w:t>
      </w:r>
    </w:p>
    <w:p w14:paraId="7F5814B9" w14:textId="32EDFC14" w:rsidR="00F1165D" w:rsidRDefault="00F1165D" w:rsidP="00F1165D">
      <w:pPr>
        <w:jc w:val="center"/>
        <w:rPr>
          <w:b/>
          <w:bCs/>
          <w:caps/>
          <w:sz w:val="24"/>
          <w:lang w:val="es-ES_tradnl"/>
        </w:rPr>
      </w:pPr>
    </w:p>
    <w:p w14:paraId="6EEC69BF" w14:textId="77777777" w:rsidR="00045AF7" w:rsidRPr="00F1165D" w:rsidRDefault="00045AF7" w:rsidP="00F1165D">
      <w:pPr>
        <w:jc w:val="center"/>
        <w:rPr>
          <w:b/>
          <w:bCs/>
          <w:caps/>
          <w:sz w:val="24"/>
          <w:lang w:val="es-ES_tradnl"/>
        </w:rPr>
      </w:pPr>
    </w:p>
    <w:p w14:paraId="711FFFA8" w14:textId="5AF01C86" w:rsidR="00F1165D" w:rsidRPr="00AE58BE" w:rsidRDefault="00AE58BE" w:rsidP="00F1165D">
      <w:pPr>
        <w:jc w:val="center"/>
        <w:rPr>
          <w:b/>
          <w:bCs/>
          <w:caps/>
          <w:smallCaps/>
          <w:sz w:val="24"/>
        </w:rPr>
      </w:pPr>
      <w:r w:rsidRPr="00AE58BE">
        <w:rPr>
          <w:b/>
          <w:bCs/>
          <w:smallCaps/>
          <w:sz w:val="24"/>
          <w:lang w:val="es-ES_tradnl"/>
        </w:rPr>
        <w:t>Reglamento Operativo</w:t>
      </w:r>
      <w:r w:rsidR="00F1165D" w:rsidRPr="00AE58BE">
        <w:rPr>
          <w:b/>
          <w:bCs/>
          <w:caps/>
          <w:smallCaps/>
          <w:sz w:val="24"/>
          <w:lang w:val="es-ES_tradnl"/>
        </w:rPr>
        <w:t xml:space="preserve"> </w:t>
      </w:r>
    </w:p>
    <w:p w14:paraId="739FB302" w14:textId="7FDA29D7" w:rsidR="00F1165D" w:rsidRPr="00AE58BE" w:rsidRDefault="0062709E" w:rsidP="00F1165D">
      <w:pPr>
        <w:jc w:val="center"/>
        <w:rPr>
          <w:bCs/>
          <w:caps/>
          <w:lang w:val="es-ES_tradnl"/>
        </w:rPr>
      </w:pPr>
      <w:r>
        <w:rPr>
          <w:bCs/>
          <w:caps/>
          <w:lang w:val="es-ES_tradnl"/>
        </w:rPr>
        <w:t xml:space="preserve">vERSIÓN: </w:t>
      </w:r>
      <w:r w:rsidR="00A54031">
        <w:rPr>
          <w:bCs/>
          <w:caps/>
          <w:lang w:val="es-ES_tradnl"/>
        </w:rPr>
        <w:t xml:space="preserve">NOVIEMBRE 2019 - </w:t>
      </w:r>
      <w:r w:rsidR="00AE58BE">
        <w:rPr>
          <w:bCs/>
          <w:caps/>
          <w:lang w:val="es-ES_tradnl"/>
        </w:rPr>
        <w:t>Borrador</w:t>
      </w:r>
      <w:r>
        <w:rPr>
          <w:bCs/>
          <w:caps/>
          <w:lang w:val="es-ES_tradnl"/>
        </w:rPr>
        <w:t xml:space="preserve"> </w:t>
      </w:r>
      <w:r w:rsidR="0088212F">
        <w:rPr>
          <w:bCs/>
          <w:caps/>
          <w:lang w:val="es-ES_tradnl"/>
        </w:rPr>
        <w:t xml:space="preserve">FINAL </w:t>
      </w:r>
    </w:p>
    <w:p w14:paraId="50A351FB" w14:textId="7EA1C675" w:rsidR="00F1165D" w:rsidRDefault="00F1165D" w:rsidP="00F1165D">
      <w:pPr>
        <w:jc w:val="center"/>
        <w:rPr>
          <w:b/>
          <w:bCs/>
          <w:caps/>
          <w:lang w:val="es-ES_tradnl"/>
        </w:rPr>
      </w:pPr>
    </w:p>
    <w:p w14:paraId="1F47834C" w14:textId="77777777" w:rsidR="00045AF7" w:rsidRPr="00F1165D" w:rsidRDefault="00045AF7" w:rsidP="00F1165D">
      <w:pPr>
        <w:jc w:val="center"/>
        <w:rPr>
          <w:b/>
          <w:bCs/>
          <w:caps/>
          <w:lang w:val="es-ES_tradnl"/>
        </w:rPr>
      </w:pPr>
    </w:p>
    <w:p w14:paraId="2B4685DE" w14:textId="4B38EA86" w:rsidR="00F1165D" w:rsidRPr="00AE58BE" w:rsidRDefault="00F1165D" w:rsidP="00F1165D">
      <w:pPr>
        <w:jc w:val="center"/>
        <w:rPr>
          <w:b/>
          <w:bCs/>
          <w:smallCaps/>
          <w:lang w:val="es-ES_tradnl"/>
        </w:rPr>
      </w:pPr>
      <w:r w:rsidRPr="00AE58BE">
        <w:rPr>
          <w:b/>
          <w:bCs/>
          <w:smallCaps/>
          <w:lang w:val="es-ES_tradnl"/>
        </w:rPr>
        <w:t xml:space="preserve">Este documento fue elaborado </w:t>
      </w:r>
      <w:r w:rsidR="00AE58BE" w:rsidRPr="00AE58BE">
        <w:rPr>
          <w:b/>
          <w:bCs/>
          <w:smallCaps/>
          <w:lang w:val="es-ES_tradnl"/>
        </w:rPr>
        <w:t xml:space="preserve">y revisado </w:t>
      </w:r>
      <w:r w:rsidRPr="00AE58BE">
        <w:rPr>
          <w:b/>
          <w:bCs/>
          <w:smallCaps/>
          <w:lang w:val="es-ES_tradnl"/>
        </w:rPr>
        <w:t xml:space="preserve">por: </w:t>
      </w:r>
    </w:p>
    <w:p w14:paraId="4B8A53B0" w14:textId="15966672" w:rsidR="00382BCF" w:rsidRDefault="00382BCF" w:rsidP="0063685F">
      <w:pPr>
        <w:pStyle w:val="NoSpacing"/>
        <w:rPr>
          <w:lang w:val="es-ES_tradnl"/>
        </w:rPr>
      </w:pPr>
    </w:p>
    <w:p w14:paraId="45E4CF2C" w14:textId="77777777" w:rsidR="00591FD3" w:rsidRDefault="00591FD3" w:rsidP="0063685F">
      <w:pPr>
        <w:pStyle w:val="NoSpacing"/>
        <w:rPr>
          <w:lang w:val="es-ES_tradnl"/>
        </w:rPr>
      </w:pPr>
    </w:p>
    <w:p w14:paraId="0BF2AC4D" w14:textId="1DDA3986" w:rsidR="00556C71" w:rsidRPr="0093179B" w:rsidRDefault="00CC40AA" w:rsidP="0063685F">
      <w:pPr>
        <w:pStyle w:val="NoSpacing"/>
        <w:rPr>
          <w:b/>
          <w:u w:val="single"/>
          <w:lang w:val="es-ES_tradnl"/>
        </w:rPr>
      </w:pPr>
      <w:r w:rsidRPr="0093179B">
        <w:rPr>
          <w:b/>
          <w:u w:val="single"/>
          <w:lang w:val="es-ES_tradnl"/>
        </w:rPr>
        <w:t>Borrador p</w:t>
      </w:r>
      <w:r w:rsidR="00556C71" w:rsidRPr="0093179B">
        <w:rPr>
          <w:b/>
          <w:u w:val="single"/>
          <w:lang w:val="es-ES_tradnl"/>
        </w:rPr>
        <w:t>ara revisión</w:t>
      </w:r>
      <w:r w:rsidRPr="0093179B">
        <w:rPr>
          <w:b/>
          <w:u w:val="single"/>
          <w:lang w:val="es-ES_tradnl"/>
        </w:rPr>
        <w:t xml:space="preserve"> de</w:t>
      </w:r>
      <w:r w:rsidR="00556C71" w:rsidRPr="0093179B">
        <w:rPr>
          <w:b/>
          <w:u w:val="single"/>
          <w:lang w:val="es-ES_tradnl"/>
        </w:rPr>
        <w:t>:</w:t>
      </w:r>
    </w:p>
    <w:p w14:paraId="4870A8BC" w14:textId="585A26FC" w:rsidR="007951E6" w:rsidRPr="00A643A4" w:rsidRDefault="007951E6" w:rsidP="00972E0E">
      <w:pPr>
        <w:pStyle w:val="NoSpacing"/>
      </w:pPr>
      <w:r>
        <w:t xml:space="preserve">BID: </w:t>
      </w:r>
      <w:r w:rsidR="00D97067" w:rsidRPr="00D97067">
        <w:t>Mauricio García (ICS/CEC), Jefe de Equipo; Claudia Suaznábar, Carlos Guaipatín (IFD/CTI); Camila Mejía (ICS/CEC); Marcela Hidrovo, Carolina Escudero (FMP/CEC</w:t>
      </w:r>
      <w:r w:rsidR="00D97067">
        <w:t>)</w:t>
      </w:r>
      <w:r w:rsidR="00D97067" w:rsidRPr="00D97067">
        <w:t>.</w:t>
      </w:r>
    </w:p>
    <w:p w14:paraId="0FC625C8" w14:textId="39D85DC9" w:rsidR="00220433" w:rsidRDefault="00D97067" w:rsidP="0063685F">
      <w:pPr>
        <w:pStyle w:val="NoSpacing"/>
      </w:pPr>
      <w:r>
        <w:t>M</w:t>
      </w:r>
      <w:r w:rsidR="004370A2">
        <w:t>inisterio de Economía y Finanzas (MEF)</w:t>
      </w:r>
      <w:r>
        <w:t xml:space="preserve"> </w:t>
      </w:r>
    </w:p>
    <w:p w14:paraId="4A97DF9A" w14:textId="502892E5" w:rsidR="004370A2" w:rsidRDefault="004370A2" w:rsidP="0063685F">
      <w:pPr>
        <w:pStyle w:val="NoSpacing"/>
      </w:pPr>
      <w:r>
        <w:t xml:space="preserve">Vicepresidencia de la República (VPR) </w:t>
      </w:r>
    </w:p>
    <w:p w14:paraId="733781B3" w14:textId="265B2FDA" w:rsidR="004370A2" w:rsidRDefault="004370A2" w:rsidP="0063685F">
      <w:pPr>
        <w:pStyle w:val="NoSpacing"/>
      </w:pPr>
      <w:r>
        <w:t>Secretaría General de la Presidencia de la República (SGP)</w:t>
      </w:r>
    </w:p>
    <w:p w14:paraId="0E280171" w14:textId="000833BB" w:rsidR="0063685F" w:rsidRDefault="0063685F" w:rsidP="0063685F">
      <w:pPr>
        <w:pStyle w:val="NoSpacing"/>
      </w:pPr>
      <w:r>
        <w:t>CONSULTOR: Francisco Bedoya M</w:t>
      </w:r>
    </w:p>
    <w:p w14:paraId="407B4B30" w14:textId="32E23516" w:rsidR="002B1AFD" w:rsidRPr="0084326C" w:rsidRDefault="0063685F" w:rsidP="00556C71">
      <w:pPr>
        <w:pStyle w:val="NoSpacing"/>
      </w:pPr>
      <w:r>
        <w:t xml:space="preserve"> </w:t>
      </w:r>
    </w:p>
    <w:p w14:paraId="59B8BABA" w14:textId="0443B4D6" w:rsidR="00507E94" w:rsidRDefault="00507E94" w:rsidP="00556C71">
      <w:pPr>
        <w:pStyle w:val="NoSpacing"/>
      </w:pPr>
    </w:p>
    <w:p w14:paraId="347D2014" w14:textId="77777777" w:rsidR="00220433" w:rsidRDefault="00220433" w:rsidP="00556C71">
      <w:pPr>
        <w:pStyle w:val="NoSpacing"/>
      </w:pPr>
    </w:p>
    <w:p w14:paraId="5500530B" w14:textId="77777777" w:rsidR="00F1165D" w:rsidRPr="00F1165D" w:rsidRDefault="00E87FE6" w:rsidP="00F1165D">
      <w:pPr>
        <w:jc w:val="center"/>
        <w:rPr>
          <w:b/>
          <w:bCs/>
          <w:caps/>
          <w:lang w:val="es-ES_tradnl"/>
        </w:rPr>
      </w:pPr>
      <w:r>
        <w:rPr>
          <w:b/>
          <w:bCs/>
          <w:caps/>
          <w:lang w:val="es-ES_tradnl"/>
        </w:rPr>
        <w:lastRenderedPageBreak/>
        <w:t>contenido</w:t>
      </w:r>
    </w:p>
    <w:p w14:paraId="087EA856" w14:textId="77777777" w:rsidR="00F1165D" w:rsidRPr="0084326C" w:rsidRDefault="00F1165D" w:rsidP="00FB6F3E">
      <w:pPr>
        <w:pStyle w:val="TOC1"/>
      </w:pPr>
    </w:p>
    <w:p w14:paraId="58D074C9" w14:textId="6B8A6610" w:rsidR="00910810" w:rsidRDefault="00324A5D">
      <w:pPr>
        <w:pStyle w:val="TOC1"/>
        <w:rPr>
          <w:rFonts w:asciiTheme="minorHAnsi" w:eastAsiaTheme="minorEastAsia" w:hAnsiTheme="minorHAnsi" w:cstheme="minorBidi"/>
          <w:b w:val="0"/>
          <w:bCs w:val="0"/>
          <w:caps w:val="0"/>
          <w:noProof/>
          <w:spacing w:val="0"/>
          <w:szCs w:val="22"/>
          <w:lang w:eastAsia="es-EC"/>
        </w:rPr>
      </w:pPr>
      <w:r>
        <w:fldChar w:fldCharType="begin"/>
      </w:r>
      <w:r>
        <w:instrText xml:space="preserve"> TOC \o "1-2" \h \z \u </w:instrText>
      </w:r>
      <w:r>
        <w:fldChar w:fldCharType="separate"/>
      </w:r>
      <w:hyperlink w:anchor="_Toc23797290" w:history="1">
        <w:r w:rsidR="00910810" w:rsidRPr="00DF69B5">
          <w:rPr>
            <w:rStyle w:val="Hyperlink"/>
            <w:noProof/>
          </w:rPr>
          <w:t>ABREVIATURAS</w:t>
        </w:r>
        <w:r w:rsidR="00910810">
          <w:rPr>
            <w:noProof/>
            <w:webHidden/>
          </w:rPr>
          <w:tab/>
        </w:r>
        <w:r w:rsidR="00910810">
          <w:rPr>
            <w:noProof/>
            <w:webHidden/>
          </w:rPr>
          <w:fldChar w:fldCharType="begin"/>
        </w:r>
        <w:r w:rsidR="00910810">
          <w:rPr>
            <w:noProof/>
            <w:webHidden/>
          </w:rPr>
          <w:instrText xml:space="preserve"> PAGEREF _Toc23797290 \h </w:instrText>
        </w:r>
        <w:r w:rsidR="00910810">
          <w:rPr>
            <w:noProof/>
            <w:webHidden/>
          </w:rPr>
        </w:r>
        <w:r w:rsidR="00910810">
          <w:rPr>
            <w:noProof/>
            <w:webHidden/>
          </w:rPr>
          <w:fldChar w:fldCharType="separate"/>
        </w:r>
        <w:r w:rsidR="003538B4">
          <w:rPr>
            <w:noProof/>
            <w:webHidden/>
          </w:rPr>
          <w:t>4</w:t>
        </w:r>
        <w:r w:rsidR="00910810">
          <w:rPr>
            <w:noProof/>
            <w:webHidden/>
          </w:rPr>
          <w:fldChar w:fldCharType="end"/>
        </w:r>
      </w:hyperlink>
    </w:p>
    <w:p w14:paraId="501D3044" w14:textId="3903E383"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291" w:history="1">
        <w:r w:rsidR="00910810" w:rsidRPr="00DF69B5">
          <w:rPr>
            <w:rStyle w:val="Hyperlink"/>
            <w:noProof/>
          </w:rPr>
          <w:t>I.</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Objetivo y Alcance del Reglamento Operativo</w:t>
        </w:r>
        <w:r w:rsidR="00910810">
          <w:rPr>
            <w:noProof/>
            <w:webHidden/>
          </w:rPr>
          <w:tab/>
        </w:r>
        <w:r w:rsidR="00910810">
          <w:rPr>
            <w:noProof/>
            <w:webHidden/>
          </w:rPr>
          <w:fldChar w:fldCharType="begin"/>
        </w:r>
        <w:r w:rsidR="00910810">
          <w:rPr>
            <w:noProof/>
            <w:webHidden/>
          </w:rPr>
          <w:instrText xml:space="preserve"> PAGEREF _Toc23797291 \h </w:instrText>
        </w:r>
        <w:r w:rsidR="00910810">
          <w:rPr>
            <w:noProof/>
            <w:webHidden/>
          </w:rPr>
        </w:r>
        <w:r w:rsidR="00910810">
          <w:rPr>
            <w:noProof/>
            <w:webHidden/>
          </w:rPr>
          <w:fldChar w:fldCharType="separate"/>
        </w:r>
        <w:r w:rsidR="003538B4">
          <w:rPr>
            <w:noProof/>
            <w:webHidden/>
          </w:rPr>
          <w:t>5</w:t>
        </w:r>
        <w:r w:rsidR="00910810">
          <w:rPr>
            <w:noProof/>
            <w:webHidden/>
          </w:rPr>
          <w:fldChar w:fldCharType="end"/>
        </w:r>
      </w:hyperlink>
    </w:p>
    <w:p w14:paraId="0AD1741A" w14:textId="486B70A6" w:rsidR="00910810" w:rsidRDefault="00373BCC">
      <w:pPr>
        <w:pStyle w:val="TOC2"/>
        <w:rPr>
          <w:rFonts w:asciiTheme="minorHAnsi" w:eastAsiaTheme="minorEastAsia" w:hAnsiTheme="minorHAnsi" w:cstheme="minorBidi"/>
          <w:smallCaps w:val="0"/>
          <w:noProof/>
          <w:spacing w:val="0"/>
          <w:szCs w:val="22"/>
          <w:lang w:eastAsia="es-EC"/>
        </w:rPr>
      </w:pPr>
      <w:hyperlink w:anchor="_Toc23797292"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Objetivo del Reglamento Operativo</w:t>
        </w:r>
        <w:r w:rsidR="00910810">
          <w:rPr>
            <w:noProof/>
            <w:webHidden/>
          </w:rPr>
          <w:tab/>
        </w:r>
        <w:r w:rsidR="00910810">
          <w:rPr>
            <w:noProof/>
            <w:webHidden/>
          </w:rPr>
          <w:fldChar w:fldCharType="begin"/>
        </w:r>
        <w:r w:rsidR="00910810">
          <w:rPr>
            <w:noProof/>
            <w:webHidden/>
          </w:rPr>
          <w:instrText xml:space="preserve"> PAGEREF _Toc23797292 \h </w:instrText>
        </w:r>
        <w:r w:rsidR="00910810">
          <w:rPr>
            <w:noProof/>
            <w:webHidden/>
          </w:rPr>
        </w:r>
        <w:r w:rsidR="00910810">
          <w:rPr>
            <w:noProof/>
            <w:webHidden/>
          </w:rPr>
          <w:fldChar w:fldCharType="separate"/>
        </w:r>
        <w:r w:rsidR="003538B4">
          <w:rPr>
            <w:noProof/>
            <w:webHidden/>
          </w:rPr>
          <w:t>5</w:t>
        </w:r>
        <w:r w:rsidR="00910810">
          <w:rPr>
            <w:noProof/>
            <w:webHidden/>
          </w:rPr>
          <w:fldChar w:fldCharType="end"/>
        </w:r>
      </w:hyperlink>
    </w:p>
    <w:p w14:paraId="205FC34B" w14:textId="5081D2B3" w:rsidR="00910810" w:rsidRDefault="00373BCC">
      <w:pPr>
        <w:pStyle w:val="TOC2"/>
        <w:rPr>
          <w:rFonts w:asciiTheme="minorHAnsi" w:eastAsiaTheme="minorEastAsia" w:hAnsiTheme="minorHAnsi" w:cstheme="minorBidi"/>
          <w:smallCaps w:val="0"/>
          <w:noProof/>
          <w:spacing w:val="0"/>
          <w:szCs w:val="22"/>
          <w:lang w:eastAsia="es-EC"/>
        </w:rPr>
      </w:pPr>
      <w:hyperlink w:anchor="_Toc23797293"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Alcance</w:t>
        </w:r>
        <w:r w:rsidR="00910810">
          <w:rPr>
            <w:noProof/>
            <w:webHidden/>
          </w:rPr>
          <w:tab/>
        </w:r>
        <w:r w:rsidR="00910810">
          <w:rPr>
            <w:noProof/>
            <w:webHidden/>
          </w:rPr>
          <w:fldChar w:fldCharType="begin"/>
        </w:r>
        <w:r w:rsidR="00910810">
          <w:rPr>
            <w:noProof/>
            <w:webHidden/>
          </w:rPr>
          <w:instrText xml:space="preserve"> PAGEREF _Toc23797293 \h </w:instrText>
        </w:r>
        <w:r w:rsidR="00910810">
          <w:rPr>
            <w:noProof/>
            <w:webHidden/>
          </w:rPr>
        </w:r>
        <w:r w:rsidR="00910810">
          <w:rPr>
            <w:noProof/>
            <w:webHidden/>
          </w:rPr>
          <w:fldChar w:fldCharType="separate"/>
        </w:r>
        <w:r w:rsidR="003538B4">
          <w:rPr>
            <w:noProof/>
            <w:webHidden/>
          </w:rPr>
          <w:t>5</w:t>
        </w:r>
        <w:r w:rsidR="00910810">
          <w:rPr>
            <w:noProof/>
            <w:webHidden/>
          </w:rPr>
          <w:fldChar w:fldCharType="end"/>
        </w:r>
      </w:hyperlink>
    </w:p>
    <w:p w14:paraId="14D3D06B" w14:textId="163A49CB" w:rsidR="00910810" w:rsidRDefault="00373BCC">
      <w:pPr>
        <w:pStyle w:val="TOC2"/>
        <w:rPr>
          <w:rFonts w:asciiTheme="minorHAnsi" w:eastAsiaTheme="minorEastAsia" w:hAnsiTheme="minorHAnsi" w:cstheme="minorBidi"/>
          <w:smallCaps w:val="0"/>
          <w:noProof/>
          <w:spacing w:val="0"/>
          <w:szCs w:val="22"/>
          <w:lang w:eastAsia="es-EC"/>
        </w:rPr>
      </w:pPr>
      <w:hyperlink w:anchor="_Toc23797294" w:history="1">
        <w:r w:rsidR="00910810" w:rsidRPr="00DF69B5">
          <w:rPr>
            <w:rStyle w:val="Hyperlink"/>
            <w:noProof/>
          </w:rPr>
          <w:t>C.</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Vigencia y Modificaciones</w:t>
        </w:r>
        <w:r w:rsidR="00910810">
          <w:rPr>
            <w:noProof/>
            <w:webHidden/>
          </w:rPr>
          <w:tab/>
        </w:r>
        <w:r w:rsidR="00910810">
          <w:rPr>
            <w:noProof/>
            <w:webHidden/>
          </w:rPr>
          <w:fldChar w:fldCharType="begin"/>
        </w:r>
        <w:r w:rsidR="00910810">
          <w:rPr>
            <w:noProof/>
            <w:webHidden/>
          </w:rPr>
          <w:instrText xml:space="preserve"> PAGEREF _Toc23797294 \h </w:instrText>
        </w:r>
        <w:r w:rsidR="00910810">
          <w:rPr>
            <w:noProof/>
            <w:webHidden/>
          </w:rPr>
        </w:r>
        <w:r w:rsidR="00910810">
          <w:rPr>
            <w:noProof/>
            <w:webHidden/>
          </w:rPr>
          <w:fldChar w:fldCharType="separate"/>
        </w:r>
        <w:r w:rsidR="003538B4">
          <w:rPr>
            <w:noProof/>
            <w:webHidden/>
          </w:rPr>
          <w:t>5</w:t>
        </w:r>
        <w:r w:rsidR="00910810">
          <w:rPr>
            <w:noProof/>
            <w:webHidden/>
          </w:rPr>
          <w:fldChar w:fldCharType="end"/>
        </w:r>
      </w:hyperlink>
    </w:p>
    <w:p w14:paraId="1CEF46E1" w14:textId="51F97C47" w:rsidR="00910810" w:rsidRDefault="00373BCC">
      <w:pPr>
        <w:pStyle w:val="TOC2"/>
        <w:rPr>
          <w:rFonts w:asciiTheme="minorHAnsi" w:eastAsiaTheme="minorEastAsia" w:hAnsiTheme="minorHAnsi" w:cstheme="minorBidi"/>
          <w:smallCaps w:val="0"/>
          <w:noProof/>
          <w:spacing w:val="0"/>
          <w:szCs w:val="22"/>
          <w:lang w:eastAsia="es-EC"/>
        </w:rPr>
      </w:pPr>
      <w:hyperlink w:anchor="_Toc23797295" w:history="1">
        <w:r w:rsidR="00910810" w:rsidRPr="00DF69B5">
          <w:rPr>
            <w:rStyle w:val="Hyperlink"/>
            <w:noProof/>
          </w:rPr>
          <w:t>D.</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Normas que Rigen la Ejecución del Programa</w:t>
        </w:r>
        <w:r w:rsidR="00910810">
          <w:rPr>
            <w:noProof/>
            <w:webHidden/>
          </w:rPr>
          <w:tab/>
        </w:r>
        <w:r w:rsidR="00910810">
          <w:rPr>
            <w:noProof/>
            <w:webHidden/>
          </w:rPr>
          <w:fldChar w:fldCharType="begin"/>
        </w:r>
        <w:r w:rsidR="00910810">
          <w:rPr>
            <w:noProof/>
            <w:webHidden/>
          </w:rPr>
          <w:instrText xml:space="preserve"> PAGEREF _Toc23797295 \h </w:instrText>
        </w:r>
        <w:r w:rsidR="00910810">
          <w:rPr>
            <w:noProof/>
            <w:webHidden/>
          </w:rPr>
        </w:r>
        <w:r w:rsidR="00910810">
          <w:rPr>
            <w:noProof/>
            <w:webHidden/>
          </w:rPr>
          <w:fldChar w:fldCharType="separate"/>
        </w:r>
        <w:r w:rsidR="003538B4">
          <w:rPr>
            <w:noProof/>
            <w:webHidden/>
          </w:rPr>
          <w:t>5</w:t>
        </w:r>
        <w:r w:rsidR="00910810">
          <w:rPr>
            <w:noProof/>
            <w:webHidden/>
          </w:rPr>
          <w:fldChar w:fldCharType="end"/>
        </w:r>
      </w:hyperlink>
    </w:p>
    <w:p w14:paraId="227EED72" w14:textId="7FEC260E" w:rsidR="00910810" w:rsidRDefault="00373BCC">
      <w:pPr>
        <w:pStyle w:val="TOC2"/>
        <w:rPr>
          <w:rFonts w:asciiTheme="minorHAnsi" w:eastAsiaTheme="minorEastAsia" w:hAnsiTheme="minorHAnsi" w:cstheme="minorBidi"/>
          <w:smallCaps w:val="0"/>
          <w:noProof/>
          <w:spacing w:val="0"/>
          <w:szCs w:val="22"/>
          <w:lang w:eastAsia="es-EC"/>
        </w:rPr>
      </w:pPr>
      <w:hyperlink w:anchor="_Toc23797296" w:history="1">
        <w:r w:rsidR="00910810" w:rsidRPr="00DF69B5">
          <w:rPr>
            <w:rStyle w:val="Hyperlink"/>
            <w:noProof/>
          </w:rPr>
          <w:t>E.</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Normas que rigen la gestión de adquisiciones del Programa</w:t>
        </w:r>
        <w:r w:rsidR="00910810">
          <w:rPr>
            <w:noProof/>
            <w:webHidden/>
          </w:rPr>
          <w:tab/>
        </w:r>
        <w:r w:rsidR="00910810">
          <w:rPr>
            <w:noProof/>
            <w:webHidden/>
          </w:rPr>
          <w:fldChar w:fldCharType="begin"/>
        </w:r>
        <w:r w:rsidR="00910810">
          <w:rPr>
            <w:noProof/>
            <w:webHidden/>
          </w:rPr>
          <w:instrText xml:space="preserve"> PAGEREF _Toc23797296 \h </w:instrText>
        </w:r>
        <w:r w:rsidR="00910810">
          <w:rPr>
            <w:noProof/>
            <w:webHidden/>
          </w:rPr>
        </w:r>
        <w:r w:rsidR="00910810">
          <w:rPr>
            <w:noProof/>
            <w:webHidden/>
          </w:rPr>
          <w:fldChar w:fldCharType="separate"/>
        </w:r>
        <w:r w:rsidR="003538B4">
          <w:rPr>
            <w:noProof/>
            <w:webHidden/>
          </w:rPr>
          <w:t>6</w:t>
        </w:r>
        <w:r w:rsidR="00910810">
          <w:rPr>
            <w:noProof/>
            <w:webHidden/>
          </w:rPr>
          <w:fldChar w:fldCharType="end"/>
        </w:r>
      </w:hyperlink>
    </w:p>
    <w:p w14:paraId="7A6801BB" w14:textId="5034CE75" w:rsidR="00910810" w:rsidRDefault="00373BCC">
      <w:pPr>
        <w:pStyle w:val="TOC2"/>
        <w:rPr>
          <w:rFonts w:asciiTheme="minorHAnsi" w:eastAsiaTheme="minorEastAsia" w:hAnsiTheme="minorHAnsi" w:cstheme="minorBidi"/>
          <w:smallCaps w:val="0"/>
          <w:noProof/>
          <w:spacing w:val="0"/>
          <w:szCs w:val="22"/>
          <w:lang w:eastAsia="es-EC"/>
        </w:rPr>
      </w:pPr>
      <w:hyperlink w:anchor="_Toc23797297" w:history="1">
        <w:r w:rsidR="00910810" w:rsidRPr="00DF69B5">
          <w:rPr>
            <w:rStyle w:val="Hyperlink"/>
            <w:noProof/>
          </w:rPr>
          <w:t>F.</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Normas que rigen la gestión financiera del Programa</w:t>
        </w:r>
        <w:r w:rsidR="00910810">
          <w:rPr>
            <w:noProof/>
            <w:webHidden/>
          </w:rPr>
          <w:tab/>
        </w:r>
        <w:r w:rsidR="00910810">
          <w:rPr>
            <w:noProof/>
            <w:webHidden/>
          </w:rPr>
          <w:fldChar w:fldCharType="begin"/>
        </w:r>
        <w:r w:rsidR="00910810">
          <w:rPr>
            <w:noProof/>
            <w:webHidden/>
          </w:rPr>
          <w:instrText xml:space="preserve"> PAGEREF _Toc23797297 \h </w:instrText>
        </w:r>
        <w:r w:rsidR="00910810">
          <w:rPr>
            <w:noProof/>
            <w:webHidden/>
          </w:rPr>
        </w:r>
        <w:r w:rsidR="00910810">
          <w:rPr>
            <w:noProof/>
            <w:webHidden/>
          </w:rPr>
          <w:fldChar w:fldCharType="separate"/>
        </w:r>
        <w:r w:rsidR="003538B4">
          <w:rPr>
            <w:noProof/>
            <w:webHidden/>
          </w:rPr>
          <w:t>6</w:t>
        </w:r>
        <w:r w:rsidR="00910810">
          <w:rPr>
            <w:noProof/>
            <w:webHidden/>
          </w:rPr>
          <w:fldChar w:fldCharType="end"/>
        </w:r>
      </w:hyperlink>
    </w:p>
    <w:p w14:paraId="0317628A" w14:textId="1E80820D" w:rsidR="00910810" w:rsidRDefault="00373BCC">
      <w:pPr>
        <w:pStyle w:val="TOC2"/>
        <w:rPr>
          <w:rFonts w:asciiTheme="minorHAnsi" w:eastAsiaTheme="minorEastAsia" w:hAnsiTheme="minorHAnsi" w:cstheme="minorBidi"/>
          <w:smallCaps w:val="0"/>
          <w:noProof/>
          <w:spacing w:val="0"/>
          <w:szCs w:val="22"/>
          <w:lang w:eastAsia="es-EC"/>
        </w:rPr>
      </w:pPr>
      <w:hyperlink w:anchor="_Toc23797298" w:history="1">
        <w:r w:rsidR="00910810" w:rsidRPr="00DF69B5">
          <w:rPr>
            <w:rStyle w:val="Hyperlink"/>
            <w:noProof/>
          </w:rPr>
          <w:t>G.</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Instrumentos que rigen la planificación del Programa</w:t>
        </w:r>
        <w:r w:rsidR="00910810">
          <w:rPr>
            <w:noProof/>
            <w:webHidden/>
          </w:rPr>
          <w:tab/>
        </w:r>
        <w:r w:rsidR="00910810">
          <w:rPr>
            <w:noProof/>
            <w:webHidden/>
          </w:rPr>
          <w:fldChar w:fldCharType="begin"/>
        </w:r>
        <w:r w:rsidR="00910810">
          <w:rPr>
            <w:noProof/>
            <w:webHidden/>
          </w:rPr>
          <w:instrText xml:space="preserve"> PAGEREF _Toc23797298 \h </w:instrText>
        </w:r>
        <w:r w:rsidR="00910810">
          <w:rPr>
            <w:noProof/>
            <w:webHidden/>
          </w:rPr>
        </w:r>
        <w:r w:rsidR="00910810">
          <w:rPr>
            <w:noProof/>
            <w:webHidden/>
          </w:rPr>
          <w:fldChar w:fldCharType="separate"/>
        </w:r>
        <w:r w:rsidR="003538B4">
          <w:rPr>
            <w:noProof/>
            <w:webHidden/>
          </w:rPr>
          <w:t>7</w:t>
        </w:r>
        <w:r w:rsidR="00910810">
          <w:rPr>
            <w:noProof/>
            <w:webHidden/>
          </w:rPr>
          <w:fldChar w:fldCharType="end"/>
        </w:r>
      </w:hyperlink>
    </w:p>
    <w:p w14:paraId="332C087F" w14:textId="6CBFB823" w:rsidR="00910810" w:rsidRDefault="00373BCC">
      <w:pPr>
        <w:pStyle w:val="TOC2"/>
        <w:rPr>
          <w:rFonts w:asciiTheme="minorHAnsi" w:eastAsiaTheme="minorEastAsia" w:hAnsiTheme="minorHAnsi" w:cstheme="minorBidi"/>
          <w:smallCaps w:val="0"/>
          <w:noProof/>
          <w:spacing w:val="0"/>
          <w:szCs w:val="22"/>
          <w:lang w:eastAsia="es-EC"/>
        </w:rPr>
      </w:pPr>
      <w:hyperlink w:anchor="_Toc23797299" w:history="1">
        <w:r w:rsidR="00910810" w:rsidRPr="00DF69B5">
          <w:rPr>
            <w:rStyle w:val="Hyperlink"/>
            <w:noProof/>
          </w:rPr>
          <w:t>H.</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Otra normativa nacional</w:t>
        </w:r>
        <w:r w:rsidR="00910810">
          <w:rPr>
            <w:noProof/>
            <w:webHidden/>
          </w:rPr>
          <w:tab/>
        </w:r>
        <w:r w:rsidR="00910810">
          <w:rPr>
            <w:noProof/>
            <w:webHidden/>
          </w:rPr>
          <w:fldChar w:fldCharType="begin"/>
        </w:r>
        <w:r w:rsidR="00910810">
          <w:rPr>
            <w:noProof/>
            <w:webHidden/>
          </w:rPr>
          <w:instrText xml:space="preserve"> PAGEREF _Toc23797299 \h </w:instrText>
        </w:r>
        <w:r w:rsidR="00910810">
          <w:rPr>
            <w:noProof/>
            <w:webHidden/>
          </w:rPr>
        </w:r>
        <w:r w:rsidR="00910810">
          <w:rPr>
            <w:noProof/>
            <w:webHidden/>
          </w:rPr>
          <w:fldChar w:fldCharType="separate"/>
        </w:r>
        <w:r w:rsidR="003538B4">
          <w:rPr>
            <w:noProof/>
            <w:webHidden/>
          </w:rPr>
          <w:t>7</w:t>
        </w:r>
        <w:r w:rsidR="00910810">
          <w:rPr>
            <w:noProof/>
            <w:webHidden/>
          </w:rPr>
          <w:fldChar w:fldCharType="end"/>
        </w:r>
      </w:hyperlink>
    </w:p>
    <w:p w14:paraId="3B4ECB1A" w14:textId="5916C1B4"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00" w:history="1">
        <w:r w:rsidR="00910810" w:rsidRPr="00DF69B5">
          <w:rPr>
            <w:rStyle w:val="Hyperlink"/>
            <w:noProof/>
          </w:rPr>
          <w:t>II.</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Descripción del Programa</w:t>
        </w:r>
        <w:r w:rsidR="00910810">
          <w:rPr>
            <w:noProof/>
            <w:webHidden/>
          </w:rPr>
          <w:tab/>
        </w:r>
        <w:r w:rsidR="00910810">
          <w:rPr>
            <w:noProof/>
            <w:webHidden/>
          </w:rPr>
          <w:fldChar w:fldCharType="begin"/>
        </w:r>
        <w:r w:rsidR="00910810">
          <w:rPr>
            <w:noProof/>
            <w:webHidden/>
          </w:rPr>
          <w:instrText xml:space="preserve"> PAGEREF _Toc23797300 \h </w:instrText>
        </w:r>
        <w:r w:rsidR="00910810">
          <w:rPr>
            <w:noProof/>
            <w:webHidden/>
          </w:rPr>
        </w:r>
        <w:r w:rsidR="00910810">
          <w:rPr>
            <w:noProof/>
            <w:webHidden/>
          </w:rPr>
          <w:fldChar w:fldCharType="separate"/>
        </w:r>
        <w:r w:rsidR="003538B4">
          <w:rPr>
            <w:noProof/>
            <w:webHidden/>
          </w:rPr>
          <w:t>8</w:t>
        </w:r>
        <w:r w:rsidR="00910810">
          <w:rPr>
            <w:noProof/>
            <w:webHidden/>
          </w:rPr>
          <w:fldChar w:fldCharType="end"/>
        </w:r>
      </w:hyperlink>
    </w:p>
    <w:p w14:paraId="58D2828E" w14:textId="225EE068" w:rsidR="00910810" w:rsidRDefault="00373BCC">
      <w:pPr>
        <w:pStyle w:val="TOC2"/>
        <w:rPr>
          <w:rFonts w:asciiTheme="minorHAnsi" w:eastAsiaTheme="minorEastAsia" w:hAnsiTheme="minorHAnsi" w:cstheme="minorBidi"/>
          <w:smallCaps w:val="0"/>
          <w:noProof/>
          <w:spacing w:val="0"/>
          <w:szCs w:val="22"/>
          <w:lang w:eastAsia="es-EC"/>
        </w:rPr>
      </w:pPr>
      <w:hyperlink w:anchor="_Toc23797301"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Objetivo y Estructura del Programa</w:t>
        </w:r>
        <w:r w:rsidR="00910810">
          <w:rPr>
            <w:noProof/>
            <w:webHidden/>
          </w:rPr>
          <w:tab/>
        </w:r>
        <w:r w:rsidR="00910810">
          <w:rPr>
            <w:noProof/>
            <w:webHidden/>
          </w:rPr>
          <w:fldChar w:fldCharType="begin"/>
        </w:r>
        <w:r w:rsidR="00910810">
          <w:rPr>
            <w:noProof/>
            <w:webHidden/>
          </w:rPr>
          <w:instrText xml:space="preserve"> PAGEREF _Toc23797301 \h </w:instrText>
        </w:r>
        <w:r w:rsidR="00910810">
          <w:rPr>
            <w:noProof/>
            <w:webHidden/>
          </w:rPr>
        </w:r>
        <w:r w:rsidR="00910810">
          <w:rPr>
            <w:noProof/>
            <w:webHidden/>
          </w:rPr>
          <w:fldChar w:fldCharType="separate"/>
        </w:r>
        <w:r w:rsidR="003538B4">
          <w:rPr>
            <w:noProof/>
            <w:webHidden/>
          </w:rPr>
          <w:t>8</w:t>
        </w:r>
        <w:r w:rsidR="00910810">
          <w:rPr>
            <w:noProof/>
            <w:webHidden/>
          </w:rPr>
          <w:fldChar w:fldCharType="end"/>
        </w:r>
      </w:hyperlink>
    </w:p>
    <w:p w14:paraId="1EE760D2" w14:textId="51C5DB7B" w:rsidR="00910810" w:rsidRDefault="00373BCC">
      <w:pPr>
        <w:pStyle w:val="TOC2"/>
        <w:rPr>
          <w:rFonts w:asciiTheme="minorHAnsi" w:eastAsiaTheme="minorEastAsia" w:hAnsiTheme="minorHAnsi" w:cstheme="minorBidi"/>
          <w:smallCaps w:val="0"/>
          <w:noProof/>
          <w:spacing w:val="0"/>
          <w:szCs w:val="22"/>
          <w:lang w:eastAsia="es-EC"/>
        </w:rPr>
      </w:pPr>
      <w:hyperlink w:anchor="_Toc23797302"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Costo del Programa y reprogramaciones</w:t>
        </w:r>
        <w:r w:rsidR="00910810">
          <w:rPr>
            <w:noProof/>
            <w:webHidden/>
          </w:rPr>
          <w:tab/>
        </w:r>
        <w:r w:rsidR="00910810">
          <w:rPr>
            <w:noProof/>
            <w:webHidden/>
          </w:rPr>
          <w:fldChar w:fldCharType="begin"/>
        </w:r>
        <w:r w:rsidR="00910810">
          <w:rPr>
            <w:noProof/>
            <w:webHidden/>
          </w:rPr>
          <w:instrText xml:space="preserve"> PAGEREF _Toc23797302 \h </w:instrText>
        </w:r>
        <w:r w:rsidR="00910810">
          <w:rPr>
            <w:noProof/>
            <w:webHidden/>
          </w:rPr>
        </w:r>
        <w:r w:rsidR="00910810">
          <w:rPr>
            <w:noProof/>
            <w:webHidden/>
          </w:rPr>
          <w:fldChar w:fldCharType="separate"/>
        </w:r>
        <w:r w:rsidR="003538B4">
          <w:rPr>
            <w:noProof/>
            <w:webHidden/>
          </w:rPr>
          <w:t>8</w:t>
        </w:r>
        <w:r w:rsidR="00910810">
          <w:rPr>
            <w:noProof/>
            <w:webHidden/>
          </w:rPr>
          <w:fldChar w:fldCharType="end"/>
        </w:r>
      </w:hyperlink>
    </w:p>
    <w:p w14:paraId="2D7A2CF6" w14:textId="46C89AC1" w:rsidR="00910810" w:rsidRDefault="00373BCC">
      <w:pPr>
        <w:pStyle w:val="TOC2"/>
        <w:rPr>
          <w:rFonts w:asciiTheme="minorHAnsi" w:eastAsiaTheme="minorEastAsia" w:hAnsiTheme="minorHAnsi" w:cstheme="minorBidi"/>
          <w:smallCaps w:val="0"/>
          <w:noProof/>
          <w:spacing w:val="0"/>
          <w:szCs w:val="22"/>
          <w:lang w:eastAsia="es-EC"/>
        </w:rPr>
      </w:pPr>
      <w:hyperlink w:anchor="_Toc23797303" w:history="1">
        <w:r w:rsidR="00910810" w:rsidRPr="00DF69B5">
          <w:rPr>
            <w:rStyle w:val="Hyperlink"/>
            <w:noProof/>
          </w:rPr>
          <w:t>C.</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Modificaciones y reasignaciones</w:t>
        </w:r>
        <w:r w:rsidR="00910810">
          <w:rPr>
            <w:noProof/>
            <w:webHidden/>
          </w:rPr>
          <w:tab/>
        </w:r>
        <w:r w:rsidR="00910810">
          <w:rPr>
            <w:noProof/>
            <w:webHidden/>
          </w:rPr>
          <w:fldChar w:fldCharType="begin"/>
        </w:r>
        <w:r w:rsidR="00910810">
          <w:rPr>
            <w:noProof/>
            <w:webHidden/>
          </w:rPr>
          <w:instrText xml:space="preserve"> PAGEREF _Toc23797303 \h </w:instrText>
        </w:r>
        <w:r w:rsidR="00910810">
          <w:rPr>
            <w:noProof/>
            <w:webHidden/>
          </w:rPr>
        </w:r>
        <w:r w:rsidR="00910810">
          <w:rPr>
            <w:noProof/>
            <w:webHidden/>
          </w:rPr>
          <w:fldChar w:fldCharType="separate"/>
        </w:r>
        <w:r w:rsidR="003538B4">
          <w:rPr>
            <w:noProof/>
            <w:webHidden/>
          </w:rPr>
          <w:t>8</w:t>
        </w:r>
        <w:r w:rsidR="00910810">
          <w:rPr>
            <w:noProof/>
            <w:webHidden/>
          </w:rPr>
          <w:fldChar w:fldCharType="end"/>
        </w:r>
      </w:hyperlink>
    </w:p>
    <w:p w14:paraId="431B9695" w14:textId="42BD1B8F"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04" w:history="1">
        <w:r w:rsidR="00910810" w:rsidRPr="00DF69B5">
          <w:rPr>
            <w:rStyle w:val="Hyperlink"/>
            <w:noProof/>
          </w:rPr>
          <w:t>III.</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Esquema de Ejecución del Programa</w:t>
        </w:r>
        <w:r w:rsidR="00910810">
          <w:rPr>
            <w:noProof/>
            <w:webHidden/>
          </w:rPr>
          <w:tab/>
        </w:r>
        <w:r w:rsidR="00910810">
          <w:rPr>
            <w:noProof/>
            <w:webHidden/>
          </w:rPr>
          <w:fldChar w:fldCharType="begin"/>
        </w:r>
        <w:r w:rsidR="00910810">
          <w:rPr>
            <w:noProof/>
            <w:webHidden/>
          </w:rPr>
          <w:instrText xml:space="preserve"> PAGEREF _Toc23797304 \h </w:instrText>
        </w:r>
        <w:r w:rsidR="00910810">
          <w:rPr>
            <w:noProof/>
            <w:webHidden/>
          </w:rPr>
        </w:r>
        <w:r w:rsidR="00910810">
          <w:rPr>
            <w:noProof/>
            <w:webHidden/>
          </w:rPr>
          <w:fldChar w:fldCharType="separate"/>
        </w:r>
        <w:r w:rsidR="003538B4">
          <w:rPr>
            <w:noProof/>
            <w:webHidden/>
          </w:rPr>
          <w:t>9</w:t>
        </w:r>
        <w:r w:rsidR="00910810">
          <w:rPr>
            <w:noProof/>
            <w:webHidden/>
          </w:rPr>
          <w:fldChar w:fldCharType="end"/>
        </w:r>
      </w:hyperlink>
    </w:p>
    <w:p w14:paraId="146CBB55" w14:textId="354A384A" w:rsidR="00910810" w:rsidRDefault="00373BCC">
      <w:pPr>
        <w:pStyle w:val="TOC2"/>
        <w:rPr>
          <w:rFonts w:asciiTheme="minorHAnsi" w:eastAsiaTheme="minorEastAsia" w:hAnsiTheme="minorHAnsi" w:cstheme="minorBidi"/>
          <w:smallCaps w:val="0"/>
          <w:noProof/>
          <w:spacing w:val="0"/>
          <w:szCs w:val="22"/>
          <w:lang w:eastAsia="es-EC"/>
        </w:rPr>
      </w:pPr>
      <w:hyperlink w:anchor="_Toc23797305"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Mecanismo de ejecución del Programa</w:t>
        </w:r>
        <w:r w:rsidR="00910810">
          <w:rPr>
            <w:noProof/>
            <w:webHidden/>
          </w:rPr>
          <w:tab/>
        </w:r>
        <w:r w:rsidR="00910810">
          <w:rPr>
            <w:noProof/>
            <w:webHidden/>
          </w:rPr>
          <w:fldChar w:fldCharType="begin"/>
        </w:r>
        <w:r w:rsidR="00910810">
          <w:rPr>
            <w:noProof/>
            <w:webHidden/>
          </w:rPr>
          <w:instrText xml:space="preserve"> PAGEREF _Toc23797305 \h </w:instrText>
        </w:r>
        <w:r w:rsidR="00910810">
          <w:rPr>
            <w:noProof/>
            <w:webHidden/>
          </w:rPr>
        </w:r>
        <w:r w:rsidR="00910810">
          <w:rPr>
            <w:noProof/>
            <w:webHidden/>
          </w:rPr>
          <w:fldChar w:fldCharType="separate"/>
        </w:r>
        <w:r w:rsidR="003538B4">
          <w:rPr>
            <w:noProof/>
            <w:webHidden/>
          </w:rPr>
          <w:t>9</w:t>
        </w:r>
        <w:r w:rsidR="00910810">
          <w:rPr>
            <w:noProof/>
            <w:webHidden/>
          </w:rPr>
          <w:fldChar w:fldCharType="end"/>
        </w:r>
      </w:hyperlink>
    </w:p>
    <w:p w14:paraId="2A5B6041" w14:textId="693B8858" w:rsidR="00910810" w:rsidRDefault="00373BCC">
      <w:pPr>
        <w:pStyle w:val="TOC2"/>
        <w:rPr>
          <w:rFonts w:asciiTheme="minorHAnsi" w:eastAsiaTheme="minorEastAsia" w:hAnsiTheme="minorHAnsi" w:cstheme="minorBidi"/>
          <w:smallCaps w:val="0"/>
          <w:noProof/>
          <w:spacing w:val="0"/>
          <w:szCs w:val="22"/>
          <w:lang w:eastAsia="es-EC"/>
        </w:rPr>
      </w:pPr>
      <w:hyperlink w:anchor="_Toc23797306"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Entidades responsables de la ejecución del Programa</w:t>
        </w:r>
        <w:r w:rsidR="00910810">
          <w:rPr>
            <w:noProof/>
            <w:webHidden/>
          </w:rPr>
          <w:tab/>
        </w:r>
        <w:r w:rsidR="00910810">
          <w:rPr>
            <w:noProof/>
            <w:webHidden/>
          </w:rPr>
          <w:fldChar w:fldCharType="begin"/>
        </w:r>
        <w:r w:rsidR="00910810">
          <w:rPr>
            <w:noProof/>
            <w:webHidden/>
          </w:rPr>
          <w:instrText xml:space="preserve"> PAGEREF _Toc23797306 \h </w:instrText>
        </w:r>
        <w:r w:rsidR="00910810">
          <w:rPr>
            <w:noProof/>
            <w:webHidden/>
          </w:rPr>
        </w:r>
        <w:r w:rsidR="00910810">
          <w:rPr>
            <w:noProof/>
            <w:webHidden/>
          </w:rPr>
          <w:fldChar w:fldCharType="separate"/>
        </w:r>
        <w:r w:rsidR="003538B4">
          <w:rPr>
            <w:noProof/>
            <w:webHidden/>
          </w:rPr>
          <w:t>9</w:t>
        </w:r>
        <w:r w:rsidR="00910810">
          <w:rPr>
            <w:noProof/>
            <w:webHidden/>
          </w:rPr>
          <w:fldChar w:fldCharType="end"/>
        </w:r>
      </w:hyperlink>
    </w:p>
    <w:p w14:paraId="0E88762F" w14:textId="60D42D8D" w:rsidR="00910810" w:rsidRDefault="00373BCC">
      <w:pPr>
        <w:pStyle w:val="TOC2"/>
        <w:rPr>
          <w:rFonts w:asciiTheme="minorHAnsi" w:eastAsiaTheme="minorEastAsia" w:hAnsiTheme="minorHAnsi" w:cstheme="minorBidi"/>
          <w:smallCaps w:val="0"/>
          <w:noProof/>
          <w:spacing w:val="0"/>
          <w:szCs w:val="22"/>
          <w:lang w:eastAsia="es-EC"/>
        </w:rPr>
      </w:pPr>
      <w:hyperlink w:anchor="_Toc23797307" w:history="1">
        <w:r w:rsidR="00910810" w:rsidRPr="00DF69B5">
          <w:rPr>
            <w:rStyle w:val="Hyperlink"/>
            <w:noProof/>
          </w:rPr>
          <w:t>C.</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El MEF como OE</w:t>
        </w:r>
        <w:r w:rsidR="00910810">
          <w:rPr>
            <w:noProof/>
            <w:webHidden/>
          </w:rPr>
          <w:tab/>
        </w:r>
        <w:r w:rsidR="00910810">
          <w:rPr>
            <w:noProof/>
            <w:webHidden/>
          </w:rPr>
          <w:fldChar w:fldCharType="begin"/>
        </w:r>
        <w:r w:rsidR="00910810">
          <w:rPr>
            <w:noProof/>
            <w:webHidden/>
          </w:rPr>
          <w:instrText xml:space="preserve"> PAGEREF _Toc23797307 \h </w:instrText>
        </w:r>
        <w:r w:rsidR="00910810">
          <w:rPr>
            <w:noProof/>
            <w:webHidden/>
          </w:rPr>
        </w:r>
        <w:r w:rsidR="00910810">
          <w:rPr>
            <w:noProof/>
            <w:webHidden/>
          </w:rPr>
          <w:fldChar w:fldCharType="separate"/>
        </w:r>
        <w:r w:rsidR="003538B4">
          <w:rPr>
            <w:noProof/>
            <w:webHidden/>
          </w:rPr>
          <w:t>9</w:t>
        </w:r>
        <w:r w:rsidR="00910810">
          <w:rPr>
            <w:noProof/>
            <w:webHidden/>
          </w:rPr>
          <w:fldChar w:fldCharType="end"/>
        </w:r>
      </w:hyperlink>
    </w:p>
    <w:p w14:paraId="242A9103" w14:textId="457BC1CE" w:rsidR="00910810" w:rsidRDefault="00373BCC">
      <w:pPr>
        <w:pStyle w:val="TOC2"/>
        <w:rPr>
          <w:rFonts w:asciiTheme="minorHAnsi" w:eastAsiaTheme="minorEastAsia" w:hAnsiTheme="minorHAnsi" w:cstheme="minorBidi"/>
          <w:smallCaps w:val="0"/>
          <w:noProof/>
          <w:spacing w:val="0"/>
          <w:szCs w:val="22"/>
          <w:lang w:eastAsia="es-EC"/>
        </w:rPr>
      </w:pPr>
      <w:hyperlink w:anchor="_Toc23797308" w:history="1">
        <w:r w:rsidR="00910810" w:rsidRPr="00DF69B5">
          <w:rPr>
            <w:rStyle w:val="Hyperlink"/>
            <w:noProof/>
          </w:rPr>
          <w:t>D.</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Los OSE del Programa</w:t>
        </w:r>
        <w:r w:rsidR="00910810">
          <w:rPr>
            <w:noProof/>
            <w:webHidden/>
          </w:rPr>
          <w:tab/>
        </w:r>
        <w:r w:rsidR="00910810">
          <w:rPr>
            <w:noProof/>
            <w:webHidden/>
          </w:rPr>
          <w:fldChar w:fldCharType="begin"/>
        </w:r>
        <w:r w:rsidR="00910810">
          <w:rPr>
            <w:noProof/>
            <w:webHidden/>
          </w:rPr>
          <w:instrText xml:space="preserve"> PAGEREF _Toc23797308 \h </w:instrText>
        </w:r>
        <w:r w:rsidR="00910810">
          <w:rPr>
            <w:noProof/>
            <w:webHidden/>
          </w:rPr>
        </w:r>
        <w:r w:rsidR="00910810">
          <w:rPr>
            <w:noProof/>
            <w:webHidden/>
          </w:rPr>
          <w:fldChar w:fldCharType="separate"/>
        </w:r>
        <w:r w:rsidR="003538B4">
          <w:rPr>
            <w:noProof/>
            <w:webHidden/>
          </w:rPr>
          <w:t>11</w:t>
        </w:r>
        <w:r w:rsidR="00910810">
          <w:rPr>
            <w:noProof/>
            <w:webHidden/>
          </w:rPr>
          <w:fldChar w:fldCharType="end"/>
        </w:r>
      </w:hyperlink>
    </w:p>
    <w:p w14:paraId="1009F2D0" w14:textId="62731A58" w:rsidR="00910810" w:rsidRDefault="00373BCC">
      <w:pPr>
        <w:pStyle w:val="TOC2"/>
        <w:rPr>
          <w:rFonts w:asciiTheme="minorHAnsi" w:eastAsiaTheme="minorEastAsia" w:hAnsiTheme="minorHAnsi" w:cstheme="minorBidi"/>
          <w:smallCaps w:val="0"/>
          <w:noProof/>
          <w:spacing w:val="0"/>
          <w:szCs w:val="22"/>
          <w:lang w:eastAsia="es-EC"/>
        </w:rPr>
      </w:pPr>
      <w:hyperlink w:anchor="_Toc23797309" w:history="1">
        <w:r w:rsidR="00910810" w:rsidRPr="00DF69B5">
          <w:rPr>
            <w:rStyle w:val="Hyperlink"/>
            <w:noProof/>
          </w:rPr>
          <w:t>E.</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Mecanismos de Coordinación del Programa</w:t>
        </w:r>
        <w:r w:rsidR="00910810">
          <w:rPr>
            <w:noProof/>
            <w:webHidden/>
          </w:rPr>
          <w:tab/>
        </w:r>
        <w:r w:rsidR="00910810">
          <w:rPr>
            <w:noProof/>
            <w:webHidden/>
          </w:rPr>
          <w:fldChar w:fldCharType="begin"/>
        </w:r>
        <w:r w:rsidR="00910810">
          <w:rPr>
            <w:noProof/>
            <w:webHidden/>
          </w:rPr>
          <w:instrText xml:space="preserve"> PAGEREF _Toc23797309 \h </w:instrText>
        </w:r>
        <w:r w:rsidR="00910810">
          <w:rPr>
            <w:noProof/>
            <w:webHidden/>
          </w:rPr>
        </w:r>
        <w:r w:rsidR="00910810">
          <w:rPr>
            <w:noProof/>
            <w:webHidden/>
          </w:rPr>
          <w:fldChar w:fldCharType="separate"/>
        </w:r>
        <w:r w:rsidR="003538B4">
          <w:rPr>
            <w:noProof/>
            <w:webHidden/>
          </w:rPr>
          <w:t>14</w:t>
        </w:r>
        <w:r w:rsidR="00910810">
          <w:rPr>
            <w:noProof/>
            <w:webHidden/>
          </w:rPr>
          <w:fldChar w:fldCharType="end"/>
        </w:r>
      </w:hyperlink>
    </w:p>
    <w:p w14:paraId="68B4DD6B" w14:textId="01821818"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10" w:history="1">
        <w:r w:rsidR="00910810" w:rsidRPr="00DF69B5">
          <w:rPr>
            <w:rStyle w:val="Hyperlink"/>
            <w:noProof/>
          </w:rPr>
          <w:t>IV.</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Gestión del Programa</w:t>
        </w:r>
        <w:r w:rsidR="00910810">
          <w:rPr>
            <w:noProof/>
            <w:webHidden/>
          </w:rPr>
          <w:tab/>
        </w:r>
        <w:r w:rsidR="00910810">
          <w:rPr>
            <w:noProof/>
            <w:webHidden/>
          </w:rPr>
          <w:fldChar w:fldCharType="begin"/>
        </w:r>
        <w:r w:rsidR="00910810">
          <w:rPr>
            <w:noProof/>
            <w:webHidden/>
          </w:rPr>
          <w:instrText xml:space="preserve"> PAGEREF _Toc23797310 \h </w:instrText>
        </w:r>
        <w:r w:rsidR="00910810">
          <w:rPr>
            <w:noProof/>
            <w:webHidden/>
          </w:rPr>
        </w:r>
        <w:r w:rsidR="00910810">
          <w:rPr>
            <w:noProof/>
            <w:webHidden/>
          </w:rPr>
          <w:fldChar w:fldCharType="separate"/>
        </w:r>
        <w:r w:rsidR="003538B4">
          <w:rPr>
            <w:noProof/>
            <w:webHidden/>
          </w:rPr>
          <w:t>18</w:t>
        </w:r>
        <w:r w:rsidR="00910810">
          <w:rPr>
            <w:noProof/>
            <w:webHidden/>
          </w:rPr>
          <w:fldChar w:fldCharType="end"/>
        </w:r>
      </w:hyperlink>
    </w:p>
    <w:p w14:paraId="7D9F3320" w14:textId="7DEB466C" w:rsidR="00910810" w:rsidRDefault="00373BCC">
      <w:pPr>
        <w:pStyle w:val="TOC2"/>
        <w:rPr>
          <w:rFonts w:asciiTheme="minorHAnsi" w:eastAsiaTheme="minorEastAsia" w:hAnsiTheme="minorHAnsi" w:cstheme="minorBidi"/>
          <w:smallCaps w:val="0"/>
          <w:noProof/>
          <w:spacing w:val="0"/>
          <w:szCs w:val="22"/>
          <w:lang w:eastAsia="es-EC"/>
        </w:rPr>
      </w:pPr>
      <w:hyperlink w:anchor="_Toc23797311"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Gestión para Resultados del Programa</w:t>
        </w:r>
        <w:r w:rsidR="00910810">
          <w:rPr>
            <w:noProof/>
            <w:webHidden/>
          </w:rPr>
          <w:tab/>
        </w:r>
        <w:r w:rsidR="00910810">
          <w:rPr>
            <w:noProof/>
            <w:webHidden/>
          </w:rPr>
          <w:fldChar w:fldCharType="begin"/>
        </w:r>
        <w:r w:rsidR="00910810">
          <w:rPr>
            <w:noProof/>
            <w:webHidden/>
          </w:rPr>
          <w:instrText xml:space="preserve"> PAGEREF _Toc23797311 \h </w:instrText>
        </w:r>
        <w:r w:rsidR="00910810">
          <w:rPr>
            <w:noProof/>
            <w:webHidden/>
          </w:rPr>
        </w:r>
        <w:r w:rsidR="00910810">
          <w:rPr>
            <w:noProof/>
            <w:webHidden/>
          </w:rPr>
          <w:fldChar w:fldCharType="separate"/>
        </w:r>
        <w:r w:rsidR="003538B4">
          <w:rPr>
            <w:noProof/>
            <w:webHidden/>
          </w:rPr>
          <w:t>18</w:t>
        </w:r>
        <w:r w:rsidR="00910810">
          <w:rPr>
            <w:noProof/>
            <w:webHidden/>
          </w:rPr>
          <w:fldChar w:fldCharType="end"/>
        </w:r>
      </w:hyperlink>
    </w:p>
    <w:p w14:paraId="5F7949FC" w14:textId="10DDC8AF" w:rsidR="00910810" w:rsidRDefault="00373BCC">
      <w:pPr>
        <w:pStyle w:val="TOC2"/>
        <w:rPr>
          <w:rFonts w:asciiTheme="minorHAnsi" w:eastAsiaTheme="minorEastAsia" w:hAnsiTheme="minorHAnsi" w:cstheme="minorBidi"/>
          <w:smallCaps w:val="0"/>
          <w:noProof/>
          <w:spacing w:val="0"/>
          <w:szCs w:val="22"/>
          <w:lang w:eastAsia="es-EC"/>
        </w:rPr>
      </w:pPr>
      <w:hyperlink w:anchor="_Toc23797312"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Gestión de Adquisiciones y Contrataciones del Programa</w:t>
        </w:r>
        <w:r w:rsidR="00910810">
          <w:rPr>
            <w:noProof/>
            <w:webHidden/>
          </w:rPr>
          <w:tab/>
        </w:r>
        <w:r w:rsidR="00910810">
          <w:rPr>
            <w:noProof/>
            <w:webHidden/>
          </w:rPr>
          <w:fldChar w:fldCharType="begin"/>
        </w:r>
        <w:r w:rsidR="00910810">
          <w:rPr>
            <w:noProof/>
            <w:webHidden/>
          </w:rPr>
          <w:instrText xml:space="preserve"> PAGEREF _Toc23797312 \h </w:instrText>
        </w:r>
        <w:r w:rsidR="00910810">
          <w:rPr>
            <w:noProof/>
            <w:webHidden/>
          </w:rPr>
        </w:r>
        <w:r w:rsidR="00910810">
          <w:rPr>
            <w:noProof/>
            <w:webHidden/>
          </w:rPr>
          <w:fldChar w:fldCharType="separate"/>
        </w:r>
        <w:r w:rsidR="003538B4">
          <w:rPr>
            <w:noProof/>
            <w:webHidden/>
          </w:rPr>
          <w:t>19</w:t>
        </w:r>
        <w:r w:rsidR="00910810">
          <w:rPr>
            <w:noProof/>
            <w:webHidden/>
          </w:rPr>
          <w:fldChar w:fldCharType="end"/>
        </w:r>
      </w:hyperlink>
    </w:p>
    <w:p w14:paraId="4B183006" w14:textId="72C8FE47" w:rsidR="00910810" w:rsidRDefault="00373BCC">
      <w:pPr>
        <w:pStyle w:val="TOC2"/>
        <w:rPr>
          <w:rFonts w:asciiTheme="minorHAnsi" w:eastAsiaTheme="minorEastAsia" w:hAnsiTheme="minorHAnsi" w:cstheme="minorBidi"/>
          <w:smallCaps w:val="0"/>
          <w:noProof/>
          <w:spacing w:val="0"/>
          <w:szCs w:val="22"/>
          <w:lang w:eastAsia="es-EC"/>
        </w:rPr>
      </w:pPr>
      <w:hyperlink w:anchor="_Toc23797313" w:history="1">
        <w:r w:rsidR="00910810" w:rsidRPr="00DF69B5">
          <w:rPr>
            <w:rStyle w:val="Hyperlink"/>
            <w:noProof/>
          </w:rPr>
          <w:t>C.</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Gestión Financiera del Programa</w:t>
        </w:r>
        <w:r w:rsidR="00910810">
          <w:rPr>
            <w:noProof/>
            <w:webHidden/>
          </w:rPr>
          <w:tab/>
        </w:r>
        <w:r w:rsidR="00910810">
          <w:rPr>
            <w:noProof/>
            <w:webHidden/>
          </w:rPr>
          <w:fldChar w:fldCharType="begin"/>
        </w:r>
        <w:r w:rsidR="00910810">
          <w:rPr>
            <w:noProof/>
            <w:webHidden/>
          </w:rPr>
          <w:instrText xml:space="preserve"> PAGEREF _Toc23797313 \h </w:instrText>
        </w:r>
        <w:r w:rsidR="00910810">
          <w:rPr>
            <w:noProof/>
            <w:webHidden/>
          </w:rPr>
        </w:r>
        <w:r w:rsidR="00910810">
          <w:rPr>
            <w:noProof/>
            <w:webHidden/>
          </w:rPr>
          <w:fldChar w:fldCharType="separate"/>
        </w:r>
        <w:r w:rsidR="003538B4">
          <w:rPr>
            <w:noProof/>
            <w:webHidden/>
          </w:rPr>
          <w:t>34</w:t>
        </w:r>
        <w:r w:rsidR="00910810">
          <w:rPr>
            <w:noProof/>
            <w:webHidden/>
          </w:rPr>
          <w:fldChar w:fldCharType="end"/>
        </w:r>
      </w:hyperlink>
    </w:p>
    <w:p w14:paraId="79F72A19" w14:textId="7AC68801" w:rsidR="00910810" w:rsidRDefault="00373BCC">
      <w:pPr>
        <w:pStyle w:val="TOC2"/>
        <w:rPr>
          <w:rFonts w:asciiTheme="minorHAnsi" w:eastAsiaTheme="minorEastAsia" w:hAnsiTheme="minorHAnsi" w:cstheme="minorBidi"/>
          <w:smallCaps w:val="0"/>
          <w:noProof/>
          <w:spacing w:val="0"/>
          <w:szCs w:val="22"/>
          <w:lang w:eastAsia="es-EC"/>
        </w:rPr>
      </w:pPr>
      <w:hyperlink w:anchor="_Toc23797314" w:history="1">
        <w:r w:rsidR="00910810" w:rsidRPr="00DF69B5">
          <w:rPr>
            <w:rStyle w:val="Hyperlink"/>
            <w:noProof/>
          </w:rPr>
          <w:t>D.</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Gestión de Monitoreo y Evaluación del Programa</w:t>
        </w:r>
        <w:r w:rsidR="00910810">
          <w:rPr>
            <w:noProof/>
            <w:webHidden/>
          </w:rPr>
          <w:tab/>
        </w:r>
        <w:r w:rsidR="00910810">
          <w:rPr>
            <w:noProof/>
            <w:webHidden/>
          </w:rPr>
          <w:fldChar w:fldCharType="begin"/>
        </w:r>
        <w:r w:rsidR="00910810">
          <w:rPr>
            <w:noProof/>
            <w:webHidden/>
          </w:rPr>
          <w:instrText xml:space="preserve"> PAGEREF _Toc23797314 \h </w:instrText>
        </w:r>
        <w:r w:rsidR="00910810">
          <w:rPr>
            <w:noProof/>
            <w:webHidden/>
          </w:rPr>
        </w:r>
        <w:r w:rsidR="00910810">
          <w:rPr>
            <w:noProof/>
            <w:webHidden/>
          </w:rPr>
          <w:fldChar w:fldCharType="separate"/>
        </w:r>
        <w:r w:rsidR="003538B4">
          <w:rPr>
            <w:noProof/>
            <w:webHidden/>
          </w:rPr>
          <w:t>37</w:t>
        </w:r>
        <w:r w:rsidR="00910810">
          <w:rPr>
            <w:noProof/>
            <w:webHidden/>
          </w:rPr>
          <w:fldChar w:fldCharType="end"/>
        </w:r>
      </w:hyperlink>
    </w:p>
    <w:p w14:paraId="1A16EBB5" w14:textId="5071DE0B"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15" w:history="1">
        <w:r w:rsidR="00910810" w:rsidRPr="00DF69B5">
          <w:rPr>
            <w:rStyle w:val="Hyperlink"/>
            <w:noProof/>
          </w:rPr>
          <w:t>V.</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Estructura Administrativa para la Gestión el Programa</w:t>
        </w:r>
        <w:r w:rsidR="00910810">
          <w:rPr>
            <w:noProof/>
            <w:webHidden/>
          </w:rPr>
          <w:tab/>
        </w:r>
        <w:r w:rsidR="00910810">
          <w:rPr>
            <w:noProof/>
            <w:webHidden/>
          </w:rPr>
          <w:fldChar w:fldCharType="begin"/>
        </w:r>
        <w:r w:rsidR="00910810">
          <w:rPr>
            <w:noProof/>
            <w:webHidden/>
          </w:rPr>
          <w:instrText xml:space="preserve"> PAGEREF _Toc23797315 \h </w:instrText>
        </w:r>
        <w:r w:rsidR="00910810">
          <w:rPr>
            <w:noProof/>
            <w:webHidden/>
          </w:rPr>
        </w:r>
        <w:r w:rsidR="00910810">
          <w:rPr>
            <w:noProof/>
            <w:webHidden/>
          </w:rPr>
          <w:fldChar w:fldCharType="separate"/>
        </w:r>
        <w:r w:rsidR="003538B4">
          <w:rPr>
            <w:noProof/>
            <w:webHidden/>
          </w:rPr>
          <w:t>42</w:t>
        </w:r>
        <w:r w:rsidR="00910810">
          <w:rPr>
            <w:noProof/>
            <w:webHidden/>
          </w:rPr>
          <w:fldChar w:fldCharType="end"/>
        </w:r>
      </w:hyperlink>
    </w:p>
    <w:p w14:paraId="7C5D4482" w14:textId="73EE6505" w:rsidR="00910810" w:rsidRDefault="00373BCC">
      <w:pPr>
        <w:pStyle w:val="TOC2"/>
        <w:rPr>
          <w:rFonts w:asciiTheme="minorHAnsi" w:eastAsiaTheme="minorEastAsia" w:hAnsiTheme="minorHAnsi" w:cstheme="minorBidi"/>
          <w:smallCaps w:val="0"/>
          <w:noProof/>
          <w:spacing w:val="0"/>
          <w:szCs w:val="22"/>
          <w:lang w:eastAsia="es-EC"/>
        </w:rPr>
      </w:pPr>
      <w:hyperlink w:anchor="_Toc23797316"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Funciones y Responsabilidades de los miembros del EDG-MEF</w:t>
        </w:r>
        <w:r w:rsidR="00910810">
          <w:rPr>
            <w:noProof/>
            <w:webHidden/>
          </w:rPr>
          <w:tab/>
        </w:r>
        <w:r w:rsidR="00910810">
          <w:rPr>
            <w:noProof/>
            <w:webHidden/>
          </w:rPr>
          <w:fldChar w:fldCharType="begin"/>
        </w:r>
        <w:r w:rsidR="00910810">
          <w:rPr>
            <w:noProof/>
            <w:webHidden/>
          </w:rPr>
          <w:instrText xml:space="preserve"> PAGEREF _Toc23797316 \h </w:instrText>
        </w:r>
        <w:r w:rsidR="00910810">
          <w:rPr>
            <w:noProof/>
            <w:webHidden/>
          </w:rPr>
        </w:r>
        <w:r w:rsidR="00910810">
          <w:rPr>
            <w:noProof/>
            <w:webHidden/>
          </w:rPr>
          <w:fldChar w:fldCharType="separate"/>
        </w:r>
        <w:r w:rsidR="003538B4">
          <w:rPr>
            <w:noProof/>
            <w:webHidden/>
          </w:rPr>
          <w:t>42</w:t>
        </w:r>
        <w:r w:rsidR="00910810">
          <w:rPr>
            <w:noProof/>
            <w:webHidden/>
          </w:rPr>
          <w:fldChar w:fldCharType="end"/>
        </w:r>
      </w:hyperlink>
    </w:p>
    <w:p w14:paraId="211A338D" w14:textId="5C7870E8" w:rsidR="00910810" w:rsidRDefault="00373BCC">
      <w:pPr>
        <w:pStyle w:val="TOC2"/>
        <w:rPr>
          <w:rFonts w:asciiTheme="minorHAnsi" w:eastAsiaTheme="minorEastAsia" w:hAnsiTheme="minorHAnsi" w:cstheme="minorBidi"/>
          <w:smallCaps w:val="0"/>
          <w:noProof/>
          <w:spacing w:val="0"/>
          <w:szCs w:val="22"/>
          <w:lang w:eastAsia="es-EC"/>
        </w:rPr>
      </w:pPr>
      <w:hyperlink w:anchor="_Toc23797317"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Funciones y Responsabilidades de los miembros de los EDG-OSE</w:t>
        </w:r>
        <w:r w:rsidR="00910810">
          <w:rPr>
            <w:noProof/>
            <w:webHidden/>
          </w:rPr>
          <w:tab/>
        </w:r>
        <w:r w:rsidR="00910810">
          <w:rPr>
            <w:noProof/>
            <w:webHidden/>
          </w:rPr>
          <w:fldChar w:fldCharType="begin"/>
        </w:r>
        <w:r w:rsidR="00910810">
          <w:rPr>
            <w:noProof/>
            <w:webHidden/>
          </w:rPr>
          <w:instrText xml:space="preserve"> PAGEREF _Toc23797317 \h </w:instrText>
        </w:r>
        <w:r w:rsidR="00910810">
          <w:rPr>
            <w:noProof/>
            <w:webHidden/>
          </w:rPr>
        </w:r>
        <w:r w:rsidR="00910810">
          <w:rPr>
            <w:noProof/>
            <w:webHidden/>
          </w:rPr>
          <w:fldChar w:fldCharType="separate"/>
        </w:r>
        <w:r w:rsidR="003538B4">
          <w:rPr>
            <w:noProof/>
            <w:webHidden/>
          </w:rPr>
          <w:t>45</w:t>
        </w:r>
        <w:r w:rsidR="00910810">
          <w:rPr>
            <w:noProof/>
            <w:webHidden/>
          </w:rPr>
          <w:fldChar w:fldCharType="end"/>
        </w:r>
      </w:hyperlink>
    </w:p>
    <w:p w14:paraId="053879AC" w14:textId="26253DFD" w:rsidR="00910810" w:rsidRDefault="00373BCC">
      <w:pPr>
        <w:pStyle w:val="TOC2"/>
        <w:rPr>
          <w:rFonts w:asciiTheme="minorHAnsi" w:eastAsiaTheme="minorEastAsia" w:hAnsiTheme="minorHAnsi" w:cstheme="minorBidi"/>
          <w:smallCaps w:val="0"/>
          <w:noProof/>
          <w:spacing w:val="0"/>
          <w:szCs w:val="22"/>
          <w:lang w:eastAsia="es-EC"/>
        </w:rPr>
      </w:pPr>
      <w:hyperlink w:anchor="_Toc23797318"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Perfiles básicos de los miembros el EDG</w:t>
        </w:r>
        <w:r w:rsidR="00910810">
          <w:rPr>
            <w:noProof/>
            <w:webHidden/>
          </w:rPr>
          <w:tab/>
        </w:r>
        <w:r w:rsidR="00910810">
          <w:rPr>
            <w:noProof/>
            <w:webHidden/>
          </w:rPr>
          <w:fldChar w:fldCharType="begin"/>
        </w:r>
        <w:r w:rsidR="00910810">
          <w:rPr>
            <w:noProof/>
            <w:webHidden/>
          </w:rPr>
          <w:instrText xml:space="preserve"> PAGEREF _Toc23797318 \h </w:instrText>
        </w:r>
        <w:r w:rsidR="00910810">
          <w:rPr>
            <w:noProof/>
            <w:webHidden/>
          </w:rPr>
        </w:r>
        <w:r w:rsidR="00910810">
          <w:rPr>
            <w:noProof/>
            <w:webHidden/>
          </w:rPr>
          <w:fldChar w:fldCharType="separate"/>
        </w:r>
        <w:r w:rsidR="003538B4">
          <w:rPr>
            <w:noProof/>
            <w:webHidden/>
          </w:rPr>
          <w:t>47</w:t>
        </w:r>
        <w:r w:rsidR="00910810">
          <w:rPr>
            <w:noProof/>
            <w:webHidden/>
          </w:rPr>
          <w:fldChar w:fldCharType="end"/>
        </w:r>
      </w:hyperlink>
    </w:p>
    <w:p w14:paraId="62A07FF8" w14:textId="79C9B3CE"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19" w:history="1">
        <w:r w:rsidR="00910810" w:rsidRPr="00DF69B5">
          <w:rPr>
            <w:rStyle w:val="Hyperlink"/>
            <w:noProof/>
            <w:lang w:val="es-ES"/>
          </w:rPr>
          <w:t>VI.</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lang w:val="es-ES"/>
          </w:rPr>
          <w:t>ASPECTOS PARTICULARES PARA LA EJECUCIÓN DEL PROGRAMA</w:t>
        </w:r>
        <w:r w:rsidR="00910810">
          <w:rPr>
            <w:noProof/>
            <w:webHidden/>
          </w:rPr>
          <w:tab/>
        </w:r>
        <w:r w:rsidR="00910810">
          <w:rPr>
            <w:noProof/>
            <w:webHidden/>
          </w:rPr>
          <w:fldChar w:fldCharType="begin"/>
        </w:r>
        <w:r w:rsidR="00910810">
          <w:rPr>
            <w:noProof/>
            <w:webHidden/>
          </w:rPr>
          <w:instrText xml:space="preserve"> PAGEREF _Toc23797319 \h </w:instrText>
        </w:r>
        <w:r w:rsidR="00910810">
          <w:rPr>
            <w:noProof/>
            <w:webHidden/>
          </w:rPr>
        </w:r>
        <w:r w:rsidR="00910810">
          <w:rPr>
            <w:noProof/>
            <w:webHidden/>
          </w:rPr>
          <w:fldChar w:fldCharType="separate"/>
        </w:r>
        <w:r w:rsidR="003538B4">
          <w:rPr>
            <w:noProof/>
            <w:webHidden/>
          </w:rPr>
          <w:t>49</w:t>
        </w:r>
        <w:r w:rsidR="00910810">
          <w:rPr>
            <w:noProof/>
            <w:webHidden/>
          </w:rPr>
          <w:fldChar w:fldCharType="end"/>
        </w:r>
      </w:hyperlink>
    </w:p>
    <w:p w14:paraId="425A27AF" w14:textId="1468CAB1" w:rsidR="00910810" w:rsidRDefault="00373BCC">
      <w:pPr>
        <w:pStyle w:val="TOC2"/>
        <w:rPr>
          <w:rFonts w:asciiTheme="minorHAnsi" w:eastAsiaTheme="minorEastAsia" w:hAnsiTheme="minorHAnsi" w:cstheme="minorBidi"/>
          <w:smallCaps w:val="0"/>
          <w:noProof/>
          <w:spacing w:val="0"/>
          <w:szCs w:val="22"/>
          <w:lang w:eastAsia="es-EC"/>
        </w:rPr>
      </w:pPr>
      <w:hyperlink w:anchor="_Toc23797320" w:history="1">
        <w:r w:rsidR="00910810" w:rsidRPr="00DF69B5">
          <w:rPr>
            <w:rStyle w:val="Hyperlink"/>
            <w:noProof/>
            <w:lang w:val="es-ES"/>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lang w:val="es-ES"/>
          </w:rPr>
          <w:t>Condiciones previas al primer desembolso</w:t>
        </w:r>
        <w:r w:rsidR="00910810">
          <w:rPr>
            <w:noProof/>
            <w:webHidden/>
          </w:rPr>
          <w:tab/>
        </w:r>
        <w:r w:rsidR="00910810">
          <w:rPr>
            <w:noProof/>
            <w:webHidden/>
          </w:rPr>
          <w:fldChar w:fldCharType="begin"/>
        </w:r>
        <w:r w:rsidR="00910810">
          <w:rPr>
            <w:noProof/>
            <w:webHidden/>
          </w:rPr>
          <w:instrText xml:space="preserve"> PAGEREF _Toc23797320 \h </w:instrText>
        </w:r>
        <w:r w:rsidR="00910810">
          <w:rPr>
            <w:noProof/>
            <w:webHidden/>
          </w:rPr>
        </w:r>
        <w:r w:rsidR="00910810">
          <w:rPr>
            <w:noProof/>
            <w:webHidden/>
          </w:rPr>
          <w:fldChar w:fldCharType="separate"/>
        </w:r>
        <w:r w:rsidR="003538B4">
          <w:rPr>
            <w:noProof/>
            <w:webHidden/>
          </w:rPr>
          <w:t>49</w:t>
        </w:r>
        <w:r w:rsidR="00910810">
          <w:rPr>
            <w:noProof/>
            <w:webHidden/>
          </w:rPr>
          <w:fldChar w:fldCharType="end"/>
        </w:r>
      </w:hyperlink>
    </w:p>
    <w:p w14:paraId="17B12F35" w14:textId="642F1420" w:rsidR="00910810" w:rsidRDefault="00373BCC">
      <w:pPr>
        <w:pStyle w:val="TOC2"/>
        <w:rPr>
          <w:rFonts w:asciiTheme="minorHAnsi" w:eastAsiaTheme="minorEastAsia" w:hAnsiTheme="minorHAnsi" w:cstheme="minorBidi"/>
          <w:smallCaps w:val="0"/>
          <w:noProof/>
          <w:spacing w:val="0"/>
          <w:szCs w:val="22"/>
          <w:lang w:eastAsia="es-EC"/>
        </w:rPr>
      </w:pPr>
      <w:hyperlink w:anchor="_Toc23797321"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Proyectos de Inversión y CUP</w:t>
        </w:r>
        <w:r w:rsidR="00910810">
          <w:rPr>
            <w:noProof/>
            <w:webHidden/>
          </w:rPr>
          <w:tab/>
        </w:r>
        <w:r w:rsidR="00910810">
          <w:rPr>
            <w:noProof/>
            <w:webHidden/>
          </w:rPr>
          <w:fldChar w:fldCharType="begin"/>
        </w:r>
        <w:r w:rsidR="00910810">
          <w:rPr>
            <w:noProof/>
            <w:webHidden/>
          </w:rPr>
          <w:instrText xml:space="preserve"> PAGEREF _Toc23797321 \h </w:instrText>
        </w:r>
        <w:r w:rsidR="00910810">
          <w:rPr>
            <w:noProof/>
            <w:webHidden/>
          </w:rPr>
        </w:r>
        <w:r w:rsidR="00910810">
          <w:rPr>
            <w:noProof/>
            <w:webHidden/>
          </w:rPr>
          <w:fldChar w:fldCharType="separate"/>
        </w:r>
        <w:r w:rsidR="003538B4">
          <w:rPr>
            <w:noProof/>
            <w:webHidden/>
          </w:rPr>
          <w:t>49</w:t>
        </w:r>
        <w:r w:rsidR="00910810">
          <w:rPr>
            <w:noProof/>
            <w:webHidden/>
          </w:rPr>
          <w:fldChar w:fldCharType="end"/>
        </w:r>
      </w:hyperlink>
    </w:p>
    <w:p w14:paraId="036CB470" w14:textId="6B3DECA9" w:rsidR="00910810" w:rsidRDefault="00373BCC">
      <w:pPr>
        <w:pStyle w:val="TOC2"/>
        <w:rPr>
          <w:rFonts w:asciiTheme="minorHAnsi" w:eastAsiaTheme="minorEastAsia" w:hAnsiTheme="minorHAnsi" w:cstheme="minorBidi"/>
          <w:smallCaps w:val="0"/>
          <w:noProof/>
          <w:spacing w:val="0"/>
          <w:szCs w:val="22"/>
          <w:lang w:eastAsia="es-EC"/>
        </w:rPr>
      </w:pPr>
      <w:hyperlink w:anchor="_Toc23797322" w:history="1">
        <w:r w:rsidR="00910810" w:rsidRPr="00DF69B5">
          <w:rPr>
            <w:rStyle w:val="Hyperlink"/>
            <w:noProof/>
          </w:rPr>
          <w:t>C.</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Aspectos particulares para la ejecución de las actividades a cargo de la VPR</w:t>
        </w:r>
        <w:r w:rsidR="00910810">
          <w:rPr>
            <w:noProof/>
            <w:webHidden/>
          </w:rPr>
          <w:tab/>
        </w:r>
        <w:r w:rsidR="00910810">
          <w:rPr>
            <w:noProof/>
            <w:webHidden/>
          </w:rPr>
          <w:fldChar w:fldCharType="begin"/>
        </w:r>
        <w:r w:rsidR="00910810">
          <w:rPr>
            <w:noProof/>
            <w:webHidden/>
          </w:rPr>
          <w:instrText xml:space="preserve"> PAGEREF _Toc23797322 \h </w:instrText>
        </w:r>
        <w:r w:rsidR="00910810">
          <w:rPr>
            <w:noProof/>
            <w:webHidden/>
          </w:rPr>
        </w:r>
        <w:r w:rsidR="00910810">
          <w:rPr>
            <w:noProof/>
            <w:webHidden/>
          </w:rPr>
          <w:fldChar w:fldCharType="separate"/>
        </w:r>
        <w:r w:rsidR="003538B4">
          <w:rPr>
            <w:noProof/>
            <w:webHidden/>
          </w:rPr>
          <w:t>49</w:t>
        </w:r>
        <w:r w:rsidR="00910810">
          <w:rPr>
            <w:noProof/>
            <w:webHidden/>
          </w:rPr>
          <w:fldChar w:fldCharType="end"/>
        </w:r>
      </w:hyperlink>
    </w:p>
    <w:p w14:paraId="7C52D84B" w14:textId="2422D606" w:rsidR="00910810" w:rsidRDefault="00373BCC">
      <w:pPr>
        <w:pStyle w:val="TOC2"/>
        <w:rPr>
          <w:rFonts w:asciiTheme="minorHAnsi" w:eastAsiaTheme="minorEastAsia" w:hAnsiTheme="minorHAnsi" w:cstheme="minorBidi"/>
          <w:smallCaps w:val="0"/>
          <w:noProof/>
          <w:spacing w:val="0"/>
          <w:szCs w:val="22"/>
          <w:lang w:eastAsia="es-EC"/>
        </w:rPr>
      </w:pPr>
      <w:hyperlink w:anchor="_Toc23797323" w:history="1">
        <w:r w:rsidR="00910810" w:rsidRPr="00DF69B5">
          <w:rPr>
            <w:rStyle w:val="Hyperlink"/>
            <w:noProof/>
          </w:rPr>
          <w:t>D.</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Las Mesas Ejecutivas para Resolver Obstáculos al Sector Privado</w:t>
        </w:r>
        <w:r w:rsidR="00910810">
          <w:rPr>
            <w:noProof/>
            <w:webHidden/>
          </w:rPr>
          <w:tab/>
        </w:r>
        <w:r w:rsidR="00910810">
          <w:rPr>
            <w:noProof/>
            <w:webHidden/>
          </w:rPr>
          <w:fldChar w:fldCharType="begin"/>
        </w:r>
        <w:r w:rsidR="00910810">
          <w:rPr>
            <w:noProof/>
            <w:webHidden/>
          </w:rPr>
          <w:instrText xml:space="preserve"> PAGEREF _Toc23797323 \h </w:instrText>
        </w:r>
        <w:r w:rsidR="00910810">
          <w:rPr>
            <w:noProof/>
            <w:webHidden/>
          </w:rPr>
        </w:r>
        <w:r w:rsidR="00910810">
          <w:rPr>
            <w:noProof/>
            <w:webHidden/>
          </w:rPr>
          <w:fldChar w:fldCharType="separate"/>
        </w:r>
        <w:r w:rsidR="003538B4">
          <w:rPr>
            <w:noProof/>
            <w:webHidden/>
          </w:rPr>
          <w:t>51</w:t>
        </w:r>
        <w:r w:rsidR="00910810">
          <w:rPr>
            <w:noProof/>
            <w:webHidden/>
          </w:rPr>
          <w:fldChar w:fldCharType="end"/>
        </w:r>
      </w:hyperlink>
    </w:p>
    <w:p w14:paraId="1140AA83" w14:textId="39D90384" w:rsidR="00910810" w:rsidRDefault="00373BCC">
      <w:pPr>
        <w:pStyle w:val="TOC2"/>
        <w:rPr>
          <w:rFonts w:asciiTheme="minorHAnsi" w:eastAsiaTheme="minorEastAsia" w:hAnsiTheme="minorHAnsi" w:cstheme="minorBidi"/>
          <w:smallCaps w:val="0"/>
          <w:noProof/>
          <w:spacing w:val="0"/>
          <w:szCs w:val="22"/>
          <w:lang w:eastAsia="es-EC"/>
        </w:rPr>
      </w:pPr>
      <w:hyperlink w:anchor="_Toc23797324" w:history="1">
        <w:r w:rsidR="00910810" w:rsidRPr="00DF69B5">
          <w:rPr>
            <w:rStyle w:val="Hyperlink"/>
            <w:noProof/>
          </w:rPr>
          <w:t>E.</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Instrumentos de innovación. -</w:t>
        </w:r>
        <w:r w:rsidR="00910810">
          <w:rPr>
            <w:noProof/>
            <w:webHidden/>
          </w:rPr>
          <w:tab/>
        </w:r>
        <w:r w:rsidR="00910810">
          <w:rPr>
            <w:noProof/>
            <w:webHidden/>
          </w:rPr>
          <w:fldChar w:fldCharType="begin"/>
        </w:r>
        <w:r w:rsidR="00910810">
          <w:rPr>
            <w:noProof/>
            <w:webHidden/>
          </w:rPr>
          <w:instrText xml:space="preserve"> PAGEREF _Toc23797324 \h </w:instrText>
        </w:r>
        <w:r w:rsidR="00910810">
          <w:rPr>
            <w:noProof/>
            <w:webHidden/>
          </w:rPr>
        </w:r>
        <w:r w:rsidR="00910810">
          <w:rPr>
            <w:noProof/>
            <w:webHidden/>
          </w:rPr>
          <w:fldChar w:fldCharType="separate"/>
        </w:r>
        <w:r w:rsidR="003538B4">
          <w:rPr>
            <w:noProof/>
            <w:webHidden/>
          </w:rPr>
          <w:t>52</w:t>
        </w:r>
        <w:r w:rsidR="00910810">
          <w:rPr>
            <w:noProof/>
            <w:webHidden/>
          </w:rPr>
          <w:fldChar w:fldCharType="end"/>
        </w:r>
      </w:hyperlink>
    </w:p>
    <w:p w14:paraId="78DA2167" w14:textId="2D6676D8" w:rsidR="00910810" w:rsidRDefault="00373BCC">
      <w:pPr>
        <w:pStyle w:val="TOC2"/>
        <w:rPr>
          <w:rFonts w:asciiTheme="minorHAnsi" w:eastAsiaTheme="minorEastAsia" w:hAnsiTheme="minorHAnsi" w:cstheme="minorBidi"/>
          <w:smallCaps w:val="0"/>
          <w:noProof/>
          <w:spacing w:val="0"/>
          <w:szCs w:val="22"/>
          <w:lang w:eastAsia="es-EC"/>
        </w:rPr>
      </w:pPr>
      <w:hyperlink w:anchor="_Toc23797325" w:history="1">
        <w:r w:rsidR="00910810" w:rsidRPr="00DF69B5">
          <w:rPr>
            <w:rStyle w:val="Hyperlink"/>
            <w:noProof/>
          </w:rPr>
          <w:t>F.</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Aspectos particulares para la ejecución a cargo de la SGP</w:t>
        </w:r>
        <w:r w:rsidR="00910810">
          <w:rPr>
            <w:noProof/>
            <w:webHidden/>
          </w:rPr>
          <w:tab/>
        </w:r>
        <w:r w:rsidR="00910810">
          <w:rPr>
            <w:noProof/>
            <w:webHidden/>
          </w:rPr>
          <w:fldChar w:fldCharType="begin"/>
        </w:r>
        <w:r w:rsidR="00910810">
          <w:rPr>
            <w:noProof/>
            <w:webHidden/>
          </w:rPr>
          <w:instrText xml:space="preserve"> PAGEREF _Toc23797325 \h </w:instrText>
        </w:r>
        <w:r w:rsidR="00910810">
          <w:rPr>
            <w:noProof/>
            <w:webHidden/>
          </w:rPr>
        </w:r>
        <w:r w:rsidR="00910810">
          <w:rPr>
            <w:noProof/>
            <w:webHidden/>
          </w:rPr>
          <w:fldChar w:fldCharType="separate"/>
        </w:r>
        <w:r w:rsidR="003538B4">
          <w:rPr>
            <w:noProof/>
            <w:webHidden/>
          </w:rPr>
          <w:t>54</w:t>
        </w:r>
        <w:r w:rsidR="00910810">
          <w:rPr>
            <w:noProof/>
            <w:webHidden/>
          </w:rPr>
          <w:fldChar w:fldCharType="end"/>
        </w:r>
      </w:hyperlink>
    </w:p>
    <w:p w14:paraId="63406700" w14:textId="00A0FD57" w:rsidR="00910810" w:rsidRDefault="00373BCC">
      <w:pPr>
        <w:pStyle w:val="TOC2"/>
        <w:rPr>
          <w:rFonts w:asciiTheme="minorHAnsi" w:eastAsiaTheme="minorEastAsia" w:hAnsiTheme="minorHAnsi" w:cstheme="minorBidi"/>
          <w:smallCaps w:val="0"/>
          <w:noProof/>
          <w:spacing w:val="0"/>
          <w:szCs w:val="22"/>
          <w:lang w:eastAsia="es-EC"/>
        </w:rPr>
      </w:pPr>
      <w:hyperlink w:anchor="_Toc23797326" w:history="1">
        <w:r w:rsidR="00910810" w:rsidRPr="00DF69B5">
          <w:rPr>
            <w:rStyle w:val="Hyperlink"/>
            <w:noProof/>
          </w:rPr>
          <w:t>G.</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Aspectos particulares para la ejecución a cargo del MEF</w:t>
        </w:r>
        <w:r w:rsidR="00910810">
          <w:rPr>
            <w:noProof/>
            <w:webHidden/>
          </w:rPr>
          <w:tab/>
        </w:r>
        <w:r w:rsidR="00910810">
          <w:rPr>
            <w:noProof/>
            <w:webHidden/>
          </w:rPr>
          <w:fldChar w:fldCharType="begin"/>
        </w:r>
        <w:r w:rsidR="00910810">
          <w:rPr>
            <w:noProof/>
            <w:webHidden/>
          </w:rPr>
          <w:instrText xml:space="preserve"> PAGEREF _Toc23797326 \h </w:instrText>
        </w:r>
        <w:r w:rsidR="00910810">
          <w:rPr>
            <w:noProof/>
            <w:webHidden/>
          </w:rPr>
        </w:r>
        <w:r w:rsidR="00910810">
          <w:rPr>
            <w:noProof/>
            <w:webHidden/>
          </w:rPr>
          <w:fldChar w:fldCharType="separate"/>
        </w:r>
        <w:r w:rsidR="003538B4">
          <w:rPr>
            <w:noProof/>
            <w:webHidden/>
          </w:rPr>
          <w:t>55</w:t>
        </w:r>
        <w:r w:rsidR="00910810">
          <w:rPr>
            <w:noProof/>
            <w:webHidden/>
          </w:rPr>
          <w:fldChar w:fldCharType="end"/>
        </w:r>
      </w:hyperlink>
    </w:p>
    <w:p w14:paraId="38BC4B22" w14:textId="5F993CF8" w:rsidR="00910810" w:rsidRDefault="00373BCC">
      <w:pPr>
        <w:pStyle w:val="TOC2"/>
        <w:rPr>
          <w:rFonts w:asciiTheme="minorHAnsi" w:eastAsiaTheme="minorEastAsia" w:hAnsiTheme="minorHAnsi" w:cstheme="minorBidi"/>
          <w:smallCaps w:val="0"/>
          <w:noProof/>
          <w:spacing w:val="0"/>
          <w:szCs w:val="22"/>
          <w:lang w:eastAsia="es-EC"/>
        </w:rPr>
      </w:pPr>
      <w:hyperlink w:anchor="_Toc23797327" w:history="1">
        <w:r w:rsidR="00910810" w:rsidRPr="00DF69B5">
          <w:rPr>
            <w:rStyle w:val="Hyperlink"/>
            <w:noProof/>
          </w:rPr>
          <w:t>H.</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Ejecución - Estrategia mejora del acceso a financiamiento y sostenibilidad de MIPYMEs</w:t>
        </w:r>
        <w:r w:rsidR="00910810">
          <w:rPr>
            <w:noProof/>
            <w:webHidden/>
          </w:rPr>
          <w:tab/>
        </w:r>
        <w:r w:rsidR="00910810">
          <w:rPr>
            <w:noProof/>
            <w:webHidden/>
          </w:rPr>
          <w:fldChar w:fldCharType="begin"/>
        </w:r>
        <w:r w:rsidR="00910810">
          <w:rPr>
            <w:noProof/>
            <w:webHidden/>
          </w:rPr>
          <w:instrText xml:space="preserve"> PAGEREF _Toc23797327 \h </w:instrText>
        </w:r>
        <w:r w:rsidR="00910810">
          <w:rPr>
            <w:noProof/>
            <w:webHidden/>
          </w:rPr>
        </w:r>
        <w:r w:rsidR="00910810">
          <w:rPr>
            <w:noProof/>
            <w:webHidden/>
          </w:rPr>
          <w:fldChar w:fldCharType="separate"/>
        </w:r>
        <w:r w:rsidR="003538B4">
          <w:rPr>
            <w:noProof/>
            <w:webHidden/>
          </w:rPr>
          <w:t>56</w:t>
        </w:r>
        <w:r w:rsidR="00910810">
          <w:rPr>
            <w:noProof/>
            <w:webHidden/>
          </w:rPr>
          <w:fldChar w:fldCharType="end"/>
        </w:r>
      </w:hyperlink>
    </w:p>
    <w:p w14:paraId="2A9B32EA" w14:textId="5D19591E" w:rsidR="00910810" w:rsidRDefault="00373BCC">
      <w:pPr>
        <w:pStyle w:val="TOC2"/>
        <w:rPr>
          <w:rFonts w:asciiTheme="minorHAnsi" w:eastAsiaTheme="minorEastAsia" w:hAnsiTheme="minorHAnsi" w:cstheme="minorBidi"/>
          <w:smallCaps w:val="0"/>
          <w:noProof/>
          <w:spacing w:val="0"/>
          <w:szCs w:val="22"/>
          <w:lang w:eastAsia="es-EC"/>
        </w:rPr>
      </w:pPr>
      <w:hyperlink w:anchor="_Toc23797328" w:history="1">
        <w:r w:rsidR="00910810" w:rsidRPr="00DF69B5">
          <w:rPr>
            <w:rStyle w:val="Hyperlink"/>
            <w:noProof/>
          </w:rPr>
          <w:t>I.</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Procedimiento de ejecución de los PIRIS</w:t>
        </w:r>
        <w:r w:rsidR="00910810">
          <w:rPr>
            <w:noProof/>
            <w:webHidden/>
          </w:rPr>
          <w:tab/>
        </w:r>
        <w:r w:rsidR="00910810">
          <w:rPr>
            <w:noProof/>
            <w:webHidden/>
          </w:rPr>
          <w:fldChar w:fldCharType="begin"/>
        </w:r>
        <w:r w:rsidR="00910810">
          <w:rPr>
            <w:noProof/>
            <w:webHidden/>
          </w:rPr>
          <w:instrText xml:space="preserve"> PAGEREF _Toc23797328 \h </w:instrText>
        </w:r>
        <w:r w:rsidR="00910810">
          <w:rPr>
            <w:noProof/>
            <w:webHidden/>
          </w:rPr>
        </w:r>
        <w:r w:rsidR="00910810">
          <w:rPr>
            <w:noProof/>
            <w:webHidden/>
          </w:rPr>
          <w:fldChar w:fldCharType="separate"/>
        </w:r>
        <w:r w:rsidR="003538B4">
          <w:rPr>
            <w:noProof/>
            <w:webHidden/>
          </w:rPr>
          <w:t>57</w:t>
        </w:r>
        <w:r w:rsidR="00910810">
          <w:rPr>
            <w:noProof/>
            <w:webHidden/>
          </w:rPr>
          <w:fldChar w:fldCharType="end"/>
        </w:r>
      </w:hyperlink>
    </w:p>
    <w:p w14:paraId="1EFD1380" w14:textId="3A1C3D97" w:rsidR="00910810" w:rsidRDefault="00373BCC">
      <w:pPr>
        <w:pStyle w:val="TOC2"/>
        <w:rPr>
          <w:rFonts w:asciiTheme="minorHAnsi" w:eastAsiaTheme="minorEastAsia" w:hAnsiTheme="minorHAnsi" w:cstheme="minorBidi"/>
          <w:smallCaps w:val="0"/>
          <w:noProof/>
          <w:spacing w:val="0"/>
          <w:szCs w:val="22"/>
          <w:lang w:eastAsia="es-EC"/>
        </w:rPr>
      </w:pPr>
      <w:hyperlink w:anchor="_Toc23797329" w:history="1">
        <w:r w:rsidR="00910810" w:rsidRPr="00DF69B5">
          <w:rPr>
            <w:rStyle w:val="Hyperlink"/>
            <w:noProof/>
          </w:rPr>
          <w:t>J.</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Desvinculaciones</w:t>
        </w:r>
        <w:r w:rsidR="00910810">
          <w:rPr>
            <w:noProof/>
            <w:webHidden/>
          </w:rPr>
          <w:tab/>
        </w:r>
        <w:r w:rsidR="00910810">
          <w:rPr>
            <w:noProof/>
            <w:webHidden/>
          </w:rPr>
          <w:fldChar w:fldCharType="begin"/>
        </w:r>
        <w:r w:rsidR="00910810">
          <w:rPr>
            <w:noProof/>
            <w:webHidden/>
          </w:rPr>
          <w:instrText xml:space="preserve"> PAGEREF _Toc23797329 \h </w:instrText>
        </w:r>
        <w:r w:rsidR="00910810">
          <w:rPr>
            <w:noProof/>
            <w:webHidden/>
          </w:rPr>
        </w:r>
        <w:r w:rsidR="00910810">
          <w:rPr>
            <w:noProof/>
            <w:webHidden/>
          </w:rPr>
          <w:fldChar w:fldCharType="separate"/>
        </w:r>
        <w:r w:rsidR="003538B4">
          <w:rPr>
            <w:noProof/>
            <w:webHidden/>
          </w:rPr>
          <w:t>59</w:t>
        </w:r>
        <w:r w:rsidR="00910810">
          <w:rPr>
            <w:noProof/>
            <w:webHidden/>
          </w:rPr>
          <w:fldChar w:fldCharType="end"/>
        </w:r>
      </w:hyperlink>
    </w:p>
    <w:p w14:paraId="6DE1DCD4" w14:textId="3886A7E3" w:rsidR="00910810" w:rsidRDefault="00373BCC">
      <w:pPr>
        <w:pStyle w:val="TOC1"/>
        <w:rPr>
          <w:rFonts w:asciiTheme="minorHAnsi" w:eastAsiaTheme="minorEastAsia" w:hAnsiTheme="minorHAnsi" w:cstheme="minorBidi"/>
          <w:b w:val="0"/>
          <w:bCs w:val="0"/>
          <w:caps w:val="0"/>
          <w:noProof/>
          <w:spacing w:val="0"/>
          <w:szCs w:val="22"/>
          <w:lang w:eastAsia="es-EC"/>
        </w:rPr>
      </w:pPr>
      <w:hyperlink w:anchor="_Toc23797330" w:history="1">
        <w:r w:rsidR="00910810" w:rsidRPr="00DF69B5">
          <w:rPr>
            <w:rStyle w:val="Hyperlink"/>
            <w:noProof/>
          </w:rPr>
          <w:t>VII.</w:t>
        </w:r>
        <w:r w:rsidR="00910810">
          <w:rPr>
            <w:rFonts w:asciiTheme="minorHAnsi" w:eastAsiaTheme="minorEastAsia" w:hAnsiTheme="minorHAnsi" w:cstheme="minorBidi"/>
            <w:b w:val="0"/>
            <w:bCs w:val="0"/>
            <w:caps w:val="0"/>
            <w:noProof/>
            <w:spacing w:val="0"/>
            <w:szCs w:val="22"/>
            <w:lang w:eastAsia="es-EC"/>
          </w:rPr>
          <w:tab/>
        </w:r>
        <w:r w:rsidR="00910810" w:rsidRPr="00DF69B5">
          <w:rPr>
            <w:rStyle w:val="Hyperlink"/>
            <w:noProof/>
          </w:rPr>
          <w:t>Enlaces y Anexos</w:t>
        </w:r>
        <w:r w:rsidR="00910810">
          <w:rPr>
            <w:noProof/>
            <w:webHidden/>
          </w:rPr>
          <w:tab/>
        </w:r>
        <w:r w:rsidR="00910810">
          <w:rPr>
            <w:noProof/>
            <w:webHidden/>
          </w:rPr>
          <w:fldChar w:fldCharType="begin"/>
        </w:r>
        <w:r w:rsidR="00910810">
          <w:rPr>
            <w:noProof/>
            <w:webHidden/>
          </w:rPr>
          <w:instrText xml:space="preserve"> PAGEREF _Toc23797330 \h </w:instrText>
        </w:r>
        <w:r w:rsidR="00910810">
          <w:rPr>
            <w:noProof/>
            <w:webHidden/>
          </w:rPr>
        </w:r>
        <w:r w:rsidR="00910810">
          <w:rPr>
            <w:noProof/>
            <w:webHidden/>
          </w:rPr>
          <w:fldChar w:fldCharType="separate"/>
        </w:r>
        <w:r w:rsidR="003538B4">
          <w:rPr>
            <w:noProof/>
            <w:webHidden/>
          </w:rPr>
          <w:t>62</w:t>
        </w:r>
        <w:r w:rsidR="00910810">
          <w:rPr>
            <w:noProof/>
            <w:webHidden/>
          </w:rPr>
          <w:fldChar w:fldCharType="end"/>
        </w:r>
      </w:hyperlink>
    </w:p>
    <w:p w14:paraId="0CE1AE39" w14:textId="5309132A" w:rsidR="00910810" w:rsidRDefault="00373BCC">
      <w:pPr>
        <w:pStyle w:val="TOC2"/>
        <w:rPr>
          <w:rFonts w:asciiTheme="minorHAnsi" w:eastAsiaTheme="minorEastAsia" w:hAnsiTheme="minorHAnsi" w:cstheme="minorBidi"/>
          <w:smallCaps w:val="0"/>
          <w:noProof/>
          <w:spacing w:val="0"/>
          <w:szCs w:val="22"/>
          <w:lang w:eastAsia="es-EC"/>
        </w:rPr>
      </w:pPr>
      <w:hyperlink w:anchor="_Toc23797331" w:history="1">
        <w:r w:rsidR="00910810" w:rsidRPr="00DF69B5">
          <w:rPr>
            <w:rStyle w:val="Hyperlink"/>
            <w:noProof/>
          </w:rPr>
          <w:t>A.</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Enlaces de anexos digitales</w:t>
        </w:r>
        <w:r w:rsidR="00910810">
          <w:rPr>
            <w:noProof/>
            <w:webHidden/>
          </w:rPr>
          <w:tab/>
        </w:r>
        <w:r w:rsidR="00910810">
          <w:rPr>
            <w:noProof/>
            <w:webHidden/>
          </w:rPr>
          <w:fldChar w:fldCharType="begin"/>
        </w:r>
        <w:r w:rsidR="00910810">
          <w:rPr>
            <w:noProof/>
            <w:webHidden/>
          </w:rPr>
          <w:instrText xml:space="preserve"> PAGEREF _Toc23797331 \h </w:instrText>
        </w:r>
        <w:r w:rsidR="00910810">
          <w:rPr>
            <w:noProof/>
            <w:webHidden/>
          </w:rPr>
        </w:r>
        <w:r w:rsidR="00910810">
          <w:rPr>
            <w:noProof/>
            <w:webHidden/>
          </w:rPr>
          <w:fldChar w:fldCharType="separate"/>
        </w:r>
        <w:r w:rsidR="003538B4">
          <w:rPr>
            <w:noProof/>
            <w:webHidden/>
          </w:rPr>
          <w:t>62</w:t>
        </w:r>
        <w:r w:rsidR="00910810">
          <w:rPr>
            <w:noProof/>
            <w:webHidden/>
          </w:rPr>
          <w:fldChar w:fldCharType="end"/>
        </w:r>
      </w:hyperlink>
    </w:p>
    <w:p w14:paraId="48E58843" w14:textId="5B286710" w:rsidR="00910810" w:rsidRDefault="00373BCC">
      <w:pPr>
        <w:pStyle w:val="TOC2"/>
        <w:rPr>
          <w:rFonts w:asciiTheme="minorHAnsi" w:eastAsiaTheme="minorEastAsia" w:hAnsiTheme="minorHAnsi" w:cstheme="minorBidi"/>
          <w:smallCaps w:val="0"/>
          <w:noProof/>
          <w:spacing w:val="0"/>
          <w:szCs w:val="22"/>
          <w:lang w:eastAsia="es-EC"/>
        </w:rPr>
      </w:pPr>
      <w:hyperlink w:anchor="_Toc23797332" w:history="1">
        <w:r w:rsidR="00910810" w:rsidRPr="00DF69B5">
          <w:rPr>
            <w:rStyle w:val="Hyperlink"/>
            <w:noProof/>
          </w:rPr>
          <w:t>B.</w:t>
        </w:r>
        <w:r w:rsidR="00910810">
          <w:rPr>
            <w:rFonts w:asciiTheme="minorHAnsi" w:eastAsiaTheme="minorEastAsia" w:hAnsiTheme="minorHAnsi" w:cstheme="minorBidi"/>
            <w:smallCaps w:val="0"/>
            <w:noProof/>
            <w:spacing w:val="0"/>
            <w:szCs w:val="22"/>
            <w:lang w:eastAsia="es-EC"/>
          </w:rPr>
          <w:tab/>
        </w:r>
        <w:r w:rsidR="00910810" w:rsidRPr="00DF69B5">
          <w:rPr>
            <w:rStyle w:val="Hyperlink"/>
            <w:noProof/>
          </w:rPr>
          <w:t>Anexos</w:t>
        </w:r>
        <w:r w:rsidR="00910810">
          <w:rPr>
            <w:noProof/>
            <w:webHidden/>
          </w:rPr>
          <w:tab/>
        </w:r>
        <w:r w:rsidR="00910810">
          <w:rPr>
            <w:noProof/>
            <w:webHidden/>
          </w:rPr>
          <w:fldChar w:fldCharType="begin"/>
        </w:r>
        <w:r w:rsidR="00910810">
          <w:rPr>
            <w:noProof/>
            <w:webHidden/>
          </w:rPr>
          <w:instrText xml:space="preserve"> PAGEREF _Toc23797332 \h </w:instrText>
        </w:r>
        <w:r w:rsidR="00910810">
          <w:rPr>
            <w:noProof/>
            <w:webHidden/>
          </w:rPr>
        </w:r>
        <w:r w:rsidR="00910810">
          <w:rPr>
            <w:noProof/>
            <w:webHidden/>
          </w:rPr>
          <w:fldChar w:fldCharType="separate"/>
        </w:r>
        <w:r w:rsidR="003538B4">
          <w:rPr>
            <w:noProof/>
            <w:webHidden/>
          </w:rPr>
          <w:t>62</w:t>
        </w:r>
        <w:r w:rsidR="00910810">
          <w:rPr>
            <w:noProof/>
            <w:webHidden/>
          </w:rPr>
          <w:fldChar w:fldCharType="end"/>
        </w:r>
      </w:hyperlink>
    </w:p>
    <w:p w14:paraId="7F9D41AE" w14:textId="29F28B23" w:rsidR="00A32F1F" w:rsidRDefault="00324A5D">
      <w:pPr>
        <w:jc w:val="left"/>
        <w:rPr>
          <w:rFonts w:cstheme="minorHAnsi"/>
          <w:b/>
          <w:bCs/>
          <w:caps/>
          <w:szCs w:val="20"/>
        </w:rPr>
      </w:pPr>
      <w:r>
        <w:rPr>
          <w:rFonts w:cstheme="minorHAnsi"/>
          <w:b/>
          <w:bCs/>
          <w:caps/>
          <w:szCs w:val="20"/>
        </w:rPr>
        <w:fldChar w:fldCharType="end"/>
      </w:r>
    </w:p>
    <w:p w14:paraId="4EEDB6B5" w14:textId="1D65E39C" w:rsidR="002B3E2E" w:rsidRDefault="002B3E2E">
      <w:pPr>
        <w:jc w:val="left"/>
        <w:rPr>
          <w:rFonts w:cstheme="minorHAnsi"/>
          <w:b/>
          <w:bCs/>
          <w:caps/>
          <w:szCs w:val="20"/>
        </w:rPr>
      </w:pPr>
    </w:p>
    <w:p w14:paraId="68D986BA" w14:textId="24B09722" w:rsidR="00FB6F3E" w:rsidRDefault="00FB6F3E">
      <w:pPr>
        <w:jc w:val="left"/>
        <w:rPr>
          <w:rFonts w:cstheme="minorHAnsi"/>
          <w:b/>
          <w:bCs/>
          <w:caps/>
          <w:szCs w:val="20"/>
        </w:rPr>
      </w:pPr>
    </w:p>
    <w:p w14:paraId="25A2C6D3" w14:textId="77777777" w:rsidR="00FB6F3E" w:rsidRDefault="00FB6F3E">
      <w:pPr>
        <w:jc w:val="left"/>
        <w:rPr>
          <w:rFonts w:cstheme="minorHAnsi"/>
          <w:b/>
          <w:bCs/>
          <w:caps/>
          <w:szCs w:val="20"/>
        </w:rPr>
      </w:pPr>
    </w:p>
    <w:p w14:paraId="4AA6B27A" w14:textId="77777777" w:rsidR="00E87FE6" w:rsidRDefault="00E87FE6">
      <w:pPr>
        <w:jc w:val="left"/>
        <w:rPr>
          <w:rFonts w:cstheme="minorHAnsi"/>
          <w:b/>
          <w:bCs/>
          <w:caps/>
          <w:szCs w:val="20"/>
        </w:rPr>
      </w:pPr>
      <w:r>
        <w:rPr>
          <w:rFonts w:cstheme="minorHAnsi"/>
          <w:b/>
          <w:bCs/>
          <w:caps/>
          <w:szCs w:val="20"/>
        </w:rPr>
        <w:t>tablas</w:t>
      </w:r>
    </w:p>
    <w:p w14:paraId="2642DAA3" w14:textId="592A04F6" w:rsidR="00910810" w:rsidRDefault="00591FD3">
      <w:pPr>
        <w:pStyle w:val="TableofFigures"/>
        <w:tabs>
          <w:tab w:val="right" w:leader="dot" w:pos="9060"/>
        </w:tabs>
        <w:rPr>
          <w:rFonts w:asciiTheme="minorHAnsi" w:eastAsiaTheme="minorEastAsia" w:hAnsiTheme="minorHAnsi" w:cstheme="minorBidi"/>
          <w:smallCaps w:val="0"/>
          <w:noProof/>
          <w:spacing w:val="0"/>
          <w:sz w:val="22"/>
          <w:szCs w:val="22"/>
          <w:lang w:eastAsia="es-EC"/>
        </w:rPr>
      </w:pPr>
      <w:r>
        <w:rPr>
          <w:b/>
          <w:bCs/>
          <w:caps/>
          <w:sz w:val="18"/>
        </w:rPr>
        <w:fldChar w:fldCharType="begin"/>
      </w:r>
      <w:r>
        <w:rPr>
          <w:b/>
          <w:bCs/>
          <w:caps/>
          <w:sz w:val="18"/>
        </w:rPr>
        <w:instrText xml:space="preserve"> TOC \h \z \c "Tabla" </w:instrText>
      </w:r>
      <w:r>
        <w:rPr>
          <w:b/>
          <w:bCs/>
          <w:caps/>
          <w:sz w:val="18"/>
        </w:rPr>
        <w:fldChar w:fldCharType="separate"/>
      </w:r>
      <w:hyperlink w:anchor="_Toc23797277" w:history="1">
        <w:r w:rsidR="00910810" w:rsidRPr="00795FE2">
          <w:rPr>
            <w:rStyle w:val="Hyperlink"/>
            <w:noProof/>
          </w:rPr>
          <w:t>Tabla 1. Entidades responsables de la ejecución del Programa</w:t>
        </w:r>
        <w:r w:rsidR="00910810">
          <w:rPr>
            <w:noProof/>
            <w:webHidden/>
          </w:rPr>
          <w:tab/>
        </w:r>
        <w:r w:rsidR="00910810">
          <w:rPr>
            <w:noProof/>
            <w:webHidden/>
          </w:rPr>
          <w:fldChar w:fldCharType="begin"/>
        </w:r>
        <w:r w:rsidR="00910810">
          <w:rPr>
            <w:noProof/>
            <w:webHidden/>
          </w:rPr>
          <w:instrText xml:space="preserve"> PAGEREF _Toc23797277 \h </w:instrText>
        </w:r>
        <w:r w:rsidR="00910810">
          <w:rPr>
            <w:noProof/>
            <w:webHidden/>
          </w:rPr>
        </w:r>
        <w:r w:rsidR="00910810">
          <w:rPr>
            <w:noProof/>
            <w:webHidden/>
          </w:rPr>
          <w:fldChar w:fldCharType="separate"/>
        </w:r>
        <w:r w:rsidR="003538B4">
          <w:rPr>
            <w:noProof/>
            <w:webHidden/>
          </w:rPr>
          <w:t>9</w:t>
        </w:r>
        <w:r w:rsidR="00910810">
          <w:rPr>
            <w:noProof/>
            <w:webHidden/>
          </w:rPr>
          <w:fldChar w:fldCharType="end"/>
        </w:r>
      </w:hyperlink>
    </w:p>
    <w:p w14:paraId="6DCA5E87" w14:textId="647B112B"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78" w:history="1">
        <w:r w:rsidR="00910810" w:rsidRPr="00795FE2">
          <w:rPr>
            <w:rStyle w:val="Hyperlink"/>
            <w:noProof/>
          </w:rPr>
          <w:t>Tabla 2. Proyectos de Inversión asociados al Programa EC-L1250</w:t>
        </w:r>
        <w:r w:rsidR="00910810">
          <w:rPr>
            <w:noProof/>
            <w:webHidden/>
          </w:rPr>
          <w:tab/>
        </w:r>
        <w:r w:rsidR="00910810">
          <w:rPr>
            <w:noProof/>
            <w:webHidden/>
          </w:rPr>
          <w:fldChar w:fldCharType="begin"/>
        </w:r>
        <w:r w:rsidR="00910810">
          <w:rPr>
            <w:noProof/>
            <w:webHidden/>
          </w:rPr>
          <w:instrText xml:space="preserve"> PAGEREF _Toc23797278 \h </w:instrText>
        </w:r>
        <w:r w:rsidR="00910810">
          <w:rPr>
            <w:noProof/>
            <w:webHidden/>
          </w:rPr>
        </w:r>
        <w:r w:rsidR="00910810">
          <w:rPr>
            <w:noProof/>
            <w:webHidden/>
          </w:rPr>
          <w:fldChar w:fldCharType="separate"/>
        </w:r>
        <w:r w:rsidR="003538B4">
          <w:rPr>
            <w:noProof/>
            <w:webHidden/>
          </w:rPr>
          <w:t>15</w:t>
        </w:r>
        <w:r w:rsidR="00910810">
          <w:rPr>
            <w:noProof/>
            <w:webHidden/>
          </w:rPr>
          <w:fldChar w:fldCharType="end"/>
        </w:r>
      </w:hyperlink>
    </w:p>
    <w:p w14:paraId="07994D8B" w14:textId="40419814"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79" w:history="1">
        <w:r w:rsidR="00910810" w:rsidRPr="00795FE2">
          <w:rPr>
            <w:rStyle w:val="Hyperlink"/>
            <w:noProof/>
          </w:rPr>
          <w:t>Tabla 3. Documentos Básicos de Contratación (DBC) y Medios de Publicidad / Convocatoria por Categoría y Cuantía de Contratación</w:t>
        </w:r>
        <w:r w:rsidR="00910810">
          <w:rPr>
            <w:noProof/>
            <w:webHidden/>
          </w:rPr>
          <w:tab/>
        </w:r>
        <w:r w:rsidR="00910810">
          <w:rPr>
            <w:noProof/>
            <w:webHidden/>
          </w:rPr>
          <w:fldChar w:fldCharType="begin"/>
        </w:r>
        <w:r w:rsidR="00910810">
          <w:rPr>
            <w:noProof/>
            <w:webHidden/>
          </w:rPr>
          <w:instrText xml:space="preserve"> PAGEREF _Toc23797279 \h </w:instrText>
        </w:r>
        <w:r w:rsidR="00910810">
          <w:rPr>
            <w:noProof/>
            <w:webHidden/>
          </w:rPr>
        </w:r>
        <w:r w:rsidR="00910810">
          <w:rPr>
            <w:noProof/>
            <w:webHidden/>
          </w:rPr>
          <w:fldChar w:fldCharType="separate"/>
        </w:r>
        <w:r w:rsidR="003538B4">
          <w:rPr>
            <w:noProof/>
            <w:webHidden/>
          </w:rPr>
          <w:t>20</w:t>
        </w:r>
        <w:r w:rsidR="00910810">
          <w:rPr>
            <w:noProof/>
            <w:webHidden/>
          </w:rPr>
          <w:fldChar w:fldCharType="end"/>
        </w:r>
      </w:hyperlink>
    </w:p>
    <w:p w14:paraId="1F408193" w14:textId="12E668CD"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80" w:history="1">
        <w:r w:rsidR="00910810" w:rsidRPr="00795FE2">
          <w:rPr>
            <w:rStyle w:val="Hyperlink"/>
            <w:noProof/>
          </w:rPr>
          <w:t>Tabla 4. Cuantías y Métodos de Adquisición de Bienes y Servicios diferentes de Consultoría, Modalidad de Supervisión por parte del BID</w:t>
        </w:r>
        <w:r w:rsidR="00910810">
          <w:rPr>
            <w:noProof/>
            <w:webHidden/>
          </w:rPr>
          <w:tab/>
        </w:r>
        <w:r w:rsidR="00910810">
          <w:rPr>
            <w:noProof/>
            <w:webHidden/>
          </w:rPr>
          <w:fldChar w:fldCharType="begin"/>
        </w:r>
        <w:r w:rsidR="00910810">
          <w:rPr>
            <w:noProof/>
            <w:webHidden/>
          </w:rPr>
          <w:instrText xml:space="preserve"> PAGEREF _Toc23797280 \h </w:instrText>
        </w:r>
        <w:r w:rsidR="00910810">
          <w:rPr>
            <w:noProof/>
            <w:webHidden/>
          </w:rPr>
        </w:r>
        <w:r w:rsidR="00910810">
          <w:rPr>
            <w:noProof/>
            <w:webHidden/>
          </w:rPr>
          <w:fldChar w:fldCharType="separate"/>
        </w:r>
        <w:r w:rsidR="003538B4">
          <w:rPr>
            <w:noProof/>
            <w:webHidden/>
          </w:rPr>
          <w:t>29</w:t>
        </w:r>
        <w:r w:rsidR="00910810">
          <w:rPr>
            <w:noProof/>
            <w:webHidden/>
          </w:rPr>
          <w:fldChar w:fldCharType="end"/>
        </w:r>
      </w:hyperlink>
    </w:p>
    <w:p w14:paraId="08B7A119" w14:textId="78EFBBC3"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81" w:history="1">
        <w:r w:rsidR="00910810" w:rsidRPr="00795FE2">
          <w:rPr>
            <w:rStyle w:val="Hyperlink"/>
            <w:noProof/>
          </w:rPr>
          <w:t>Tabla 5. Cuantías y Métodos de Selección de Servicios de Consultoría, Modalidad de Supervisión por parte del BID</w:t>
        </w:r>
        <w:r w:rsidR="00910810">
          <w:rPr>
            <w:noProof/>
            <w:webHidden/>
          </w:rPr>
          <w:tab/>
        </w:r>
        <w:r w:rsidR="00910810">
          <w:rPr>
            <w:noProof/>
            <w:webHidden/>
          </w:rPr>
          <w:fldChar w:fldCharType="begin"/>
        </w:r>
        <w:r w:rsidR="00910810">
          <w:rPr>
            <w:noProof/>
            <w:webHidden/>
          </w:rPr>
          <w:instrText xml:space="preserve"> PAGEREF _Toc23797281 \h </w:instrText>
        </w:r>
        <w:r w:rsidR="00910810">
          <w:rPr>
            <w:noProof/>
            <w:webHidden/>
          </w:rPr>
        </w:r>
        <w:r w:rsidR="00910810">
          <w:rPr>
            <w:noProof/>
            <w:webHidden/>
          </w:rPr>
          <w:fldChar w:fldCharType="separate"/>
        </w:r>
        <w:r w:rsidR="003538B4">
          <w:rPr>
            <w:noProof/>
            <w:webHidden/>
          </w:rPr>
          <w:t>29</w:t>
        </w:r>
        <w:r w:rsidR="00910810">
          <w:rPr>
            <w:noProof/>
            <w:webHidden/>
          </w:rPr>
          <w:fldChar w:fldCharType="end"/>
        </w:r>
      </w:hyperlink>
    </w:p>
    <w:p w14:paraId="07ABF482" w14:textId="30EB04C9"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82" w:history="1">
        <w:r w:rsidR="00910810" w:rsidRPr="00795FE2">
          <w:rPr>
            <w:rStyle w:val="Hyperlink"/>
            <w:noProof/>
          </w:rPr>
          <w:t>Tabla 6. Plan de Supervisión del Programa</w:t>
        </w:r>
        <w:r w:rsidR="00910810">
          <w:rPr>
            <w:noProof/>
            <w:webHidden/>
          </w:rPr>
          <w:tab/>
        </w:r>
        <w:r w:rsidR="00910810">
          <w:rPr>
            <w:noProof/>
            <w:webHidden/>
          </w:rPr>
          <w:fldChar w:fldCharType="begin"/>
        </w:r>
        <w:r w:rsidR="00910810">
          <w:rPr>
            <w:noProof/>
            <w:webHidden/>
          </w:rPr>
          <w:instrText xml:space="preserve"> PAGEREF _Toc23797282 \h </w:instrText>
        </w:r>
        <w:r w:rsidR="00910810">
          <w:rPr>
            <w:noProof/>
            <w:webHidden/>
          </w:rPr>
        </w:r>
        <w:r w:rsidR="00910810">
          <w:rPr>
            <w:noProof/>
            <w:webHidden/>
          </w:rPr>
          <w:fldChar w:fldCharType="separate"/>
        </w:r>
        <w:r w:rsidR="003538B4">
          <w:rPr>
            <w:noProof/>
            <w:webHidden/>
          </w:rPr>
          <w:t>36</w:t>
        </w:r>
        <w:r w:rsidR="00910810">
          <w:rPr>
            <w:noProof/>
            <w:webHidden/>
          </w:rPr>
          <w:fldChar w:fldCharType="end"/>
        </w:r>
      </w:hyperlink>
    </w:p>
    <w:p w14:paraId="6ACFCA15" w14:textId="4008B19F" w:rsidR="00910810" w:rsidRDefault="00373BCC">
      <w:pPr>
        <w:pStyle w:val="TableofFigures"/>
        <w:tabs>
          <w:tab w:val="right" w:leader="dot" w:pos="9060"/>
        </w:tabs>
        <w:rPr>
          <w:rFonts w:asciiTheme="minorHAnsi" w:eastAsiaTheme="minorEastAsia" w:hAnsiTheme="minorHAnsi" w:cstheme="minorBidi"/>
          <w:smallCaps w:val="0"/>
          <w:noProof/>
          <w:spacing w:val="0"/>
          <w:sz w:val="22"/>
          <w:szCs w:val="22"/>
          <w:lang w:eastAsia="es-EC"/>
        </w:rPr>
      </w:pPr>
      <w:hyperlink w:anchor="_Toc23797283" w:history="1">
        <w:r w:rsidR="00910810" w:rsidRPr="00795FE2">
          <w:rPr>
            <w:rStyle w:val="Hyperlink"/>
            <w:noProof/>
          </w:rPr>
          <w:t>Tabla 7. Perfiles Básicos del EDG y rango de referencias remunerativas sugeridas</w:t>
        </w:r>
        <w:r w:rsidR="00910810">
          <w:rPr>
            <w:noProof/>
            <w:webHidden/>
          </w:rPr>
          <w:tab/>
        </w:r>
        <w:r w:rsidR="00910810">
          <w:rPr>
            <w:noProof/>
            <w:webHidden/>
          </w:rPr>
          <w:fldChar w:fldCharType="begin"/>
        </w:r>
        <w:r w:rsidR="00910810">
          <w:rPr>
            <w:noProof/>
            <w:webHidden/>
          </w:rPr>
          <w:instrText xml:space="preserve"> PAGEREF _Toc23797283 \h </w:instrText>
        </w:r>
        <w:r w:rsidR="00910810">
          <w:rPr>
            <w:noProof/>
            <w:webHidden/>
          </w:rPr>
        </w:r>
        <w:r w:rsidR="00910810">
          <w:rPr>
            <w:noProof/>
            <w:webHidden/>
          </w:rPr>
          <w:fldChar w:fldCharType="separate"/>
        </w:r>
        <w:r w:rsidR="003538B4">
          <w:rPr>
            <w:noProof/>
            <w:webHidden/>
          </w:rPr>
          <w:t>47</w:t>
        </w:r>
        <w:r w:rsidR="00910810">
          <w:rPr>
            <w:noProof/>
            <w:webHidden/>
          </w:rPr>
          <w:fldChar w:fldCharType="end"/>
        </w:r>
      </w:hyperlink>
    </w:p>
    <w:p w14:paraId="27B5BB39" w14:textId="09874A87" w:rsidR="002B3E2E" w:rsidRDefault="00591FD3">
      <w:pPr>
        <w:jc w:val="left"/>
        <w:rPr>
          <w:rFonts w:cstheme="minorHAnsi"/>
          <w:b/>
          <w:bCs/>
          <w:caps/>
          <w:szCs w:val="20"/>
        </w:rPr>
      </w:pPr>
      <w:r>
        <w:rPr>
          <w:rFonts w:cstheme="minorHAnsi"/>
          <w:b/>
          <w:bCs/>
          <w:caps/>
          <w:sz w:val="18"/>
          <w:szCs w:val="20"/>
        </w:rPr>
        <w:fldChar w:fldCharType="end"/>
      </w:r>
      <w:r w:rsidR="002B3E2E">
        <w:rPr>
          <w:rFonts w:cstheme="minorHAnsi"/>
          <w:b/>
          <w:bCs/>
          <w:caps/>
          <w:szCs w:val="20"/>
        </w:rPr>
        <w:br w:type="page"/>
      </w:r>
    </w:p>
    <w:p w14:paraId="01DC39C6" w14:textId="77777777" w:rsidR="002B3E2E" w:rsidRDefault="002B3E2E" w:rsidP="009F3496">
      <w:pPr>
        <w:pStyle w:val="Heading1"/>
        <w:numPr>
          <w:ilvl w:val="0"/>
          <w:numId w:val="0"/>
        </w:numPr>
        <w:ind w:left="360"/>
      </w:pPr>
      <w:bookmarkStart w:id="0" w:name="_Toc424879188"/>
      <w:bookmarkStart w:id="1" w:name="_Toc454056443"/>
      <w:bookmarkStart w:id="2" w:name="_Toc23797290"/>
      <w:r>
        <w:lastRenderedPageBreak/>
        <w:t>ABREVIATURAS</w:t>
      </w:r>
      <w:bookmarkEnd w:id="0"/>
      <w:bookmarkEnd w:id="1"/>
      <w:bookmarkEnd w:id="2"/>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9"/>
        <w:gridCol w:w="7488"/>
        <w:gridCol w:w="27"/>
      </w:tblGrid>
      <w:tr w:rsidR="00F002F2" w:rsidRPr="00234138" w14:paraId="2EBA86FB" w14:textId="77777777" w:rsidTr="00A648BD">
        <w:trPr>
          <w:trHeight w:val="283"/>
        </w:trPr>
        <w:tc>
          <w:tcPr>
            <w:tcW w:w="1699" w:type="dxa"/>
          </w:tcPr>
          <w:p w14:paraId="411E4206" w14:textId="1AF13851" w:rsidR="00F002F2" w:rsidRPr="007A6342" w:rsidRDefault="00F002F2" w:rsidP="00F002F2">
            <w:pPr>
              <w:pStyle w:val="NoSpacing"/>
              <w:jc w:val="left"/>
              <w:rPr>
                <w:rFonts w:ascii="Arial Narrow" w:hAnsi="Arial Narrow"/>
              </w:rPr>
            </w:pPr>
            <w:r w:rsidRPr="007A6342">
              <w:rPr>
                <w:rFonts w:ascii="Arial Narrow" w:hAnsi="Arial Narrow"/>
              </w:rPr>
              <w:t>EC-</w:t>
            </w:r>
            <w:r w:rsidR="00377037">
              <w:rPr>
                <w:rFonts w:ascii="Arial Narrow" w:hAnsi="Arial Narrow"/>
              </w:rPr>
              <w:t>12</w:t>
            </w:r>
            <w:r w:rsidR="004B0AE2">
              <w:rPr>
                <w:rFonts w:ascii="Arial Narrow" w:hAnsi="Arial Narrow"/>
              </w:rPr>
              <w:t>50</w:t>
            </w:r>
          </w:p>
        </w:tc>
        <w:tc>
          <w:tcPr>
            <w:tcW w:w="7515" w:type="dxa"/>
            <w:gridSpan w:val="2"/>
          </w:tcPr>
          <w:p w14:paraId="40D7B7FF" w14:textId="6DBB82A2" w:rsidR="00F002F2" w:rsidRPr="007A6342" w:rsidRDefault="00BE3FD0" w:rsidP="00F002F2">
            <w:pPr>
              <w:pStyle w:val="NoSpacing"/>
              <w:rPr>
                <w:rFonts w:ascii="Arial Narrow" w:hAnsi="Arial Narrow"/>
              </w:rPr>
            </w:pPr>
            <w:r w:rsidRPr="00BE3FD0">
              <w:rPr>
                <w:rFonts w:ascii="Arial Narrow" w:hAnsi="Arial Narrow"/>
              </w:rPr>
              <w:t>Programa de Fortalecimiento Institucional para la Competitividad</w:t>
            </w:r>
          </w:p>
        </w:tc>
      </w:tr>
      <w:tr w:rsidR="00F6541D" w:rsidRPr="00234138" w14:paraId="669CA9C6" w14:textId="77777777" w:rsidTr="00A648BD">
        <w:trPr>
          <w:trHeight w:val="283"/>
        </w:trPr>
        <w:tc>
          <w:tcPr>
            <w:tcW w:w="1699" w:type="dxa"/>
          </w:tcPr>
          <w:p w14:paraId="3DA2E95C" w14:textId="1AC23355" w:rsidR="00F6541D" w:rsidRPr="007A6342" w:rsidRDefault="00A038B9" w:rsidP="00F002F2">
            <w:pPr>
              <w:pStyle w:val="NoSpacing"/>
              <w:jc w:val="left"/>
              <w:rPr>
                <w:rFonts w:ascii="Arial Narrow" w:hAnsi="Arial Narrow"/>
              </w:rPr>
            </w:pPr>
            <w:r>
              <w:rPr>
                <w:rFonts w:ascii="Arial Narrow" w:hAnsi="Arial Narrow"/>
              </w:rPr>
              <w:t xml:space="preserve"> </w:t>
            </w:r>
            <w:r w:rsidR="00C6129A">
              <w:rPr>
                <w:rFonts w:ascii="Arial Narrow" w:hAnsi="Arial Narrow"/>
              </w:rPr>
              <w:t>XXXX</w:t>
            </w:r>
            <w:r w:rsidRPr="00A038B9">
              <w:rPr>
                <w:rFonts w:ascii="Arial Narrow" w:hAnsi="Arial Narrow"/>
              </w:rPr>
              <w:t>/OC-EC</w:t>
            </w:r>
          </w:p>
        </w:tc>
        <w:tc>
          <w:tcPr>
            <w:tcW w:w="7515" w:type="dxa"/>
            <w:gridSpan w:val="2"/>
          </w:tcPr>
          <w:p w14:paraId="2DDF3262" w14:textId="0C68220D" w:rsidR="00F6541D" w:rsidRPr="007A6342" w:rsidRDefault="00F6541D" w:rsidP="005161CA">
            <w:pPr>
              <w:pStyle w:val="NoSpacing"/>
              <w:rPr>
                <w:rFonts w:ascii="Arial Narrow" w:hAnsi="Arial Narrow"/>
              </w:rPr>
            </w:pPr>
            <w:r w:rsidRPr="007A6342">
              <w:rPr>
                <w:rFonts w:ascii="Arial Narrow" w:hAnsi="Arial Narrow"/>
              </w:rPr>
              <w:t xml:space="preserve">Contrato de Préstamo del </w:t>
            </w:r>
            <w:r w:rsidR="00867360" w:rsidRPr="00BE3FD0">
              <w:rPr>
                <w:rFonts w:ascii="Arial Narrow" w:hAnsi="Arial Narrow"/>
              </w:rPr>
              <w:t>Programa de Fortalecimiento Institucional para la Competitividad</w:t>
            </w:r>
          </w:p>
        </w:tc>
      </w:tr>
      <w:tr w:rsidR="00F72564" w:rsidRPr="00234138" w14:paraId="35060186" w14:textId="77777777" w:rsidTr="00A648BD">
        <w:trPr>
          <w:trHeight w:val="283"/>
        </w:trPr>
        <w:tc>
          <w:tcPr>
            <w:tcW w:w="1699" w:type="dxa"/>
          </w:tcPr>
          <w:p w14:paraId="1EC4A199" w14:textId="77777777" w:rsidR="00F72564" w:rsidRPr="007A6342" w:rsidRDefault="00F72564" w:rsidP="002C7221">
            <w:pPr>
              <w:pStyle w:val="NoSpacing"/>
              <w:jc w:val="left"/>
              <w:rPr>
                <w:rFonts w:ascii="Arial Narrow" w:hAnsi="Arial Narrow"/>
              </w:rPr>
            </w:pPr>
            <w:r w:rsidRPr="007A6342">
              <w:rPr>
                <w:rFonts w:ascii="Arial Narrow" w:hAnsi="Arial Narrow"/>
              </w:rPr>
              <w:t>BID</w:t>
            </w:r>
          </w:p>
        </w:tc>
        <w:tc>
          <w:tcPr>
            <w:tcW w:w="7515" w:type="dxa"/>
            <w:gridSpan w:val="2"/>
          </w:tcPr>
          <w:p w14:paraId="78782A91" w14:textId="77777777" w:rsidR="00F72564" w:rsidRPr="007A6342" w:rsidRDefault="00F72564" w:rsidP="002B3E2E">
            <w:pPr>
              <w:pStyle w:val="NoSpacing"/>
              <w:rPr>
                <w:rFonts w:ascii="Arial Narrow" w:hAnsi="Arial Narrow"/>
              </w:rPr>
            </w:pPr>
            <w:r w:rsidRPr="007A6342">
              <w:rPr>
                <w:rFonts w:ascii="Arial Narrow" w:hAnsi="Arial Narrow"/>
              </w:rPr>
              <w:t>Banco Interamericano de Desarrollo</w:t>
            </w:r>
          </w:p>
        </w:tc>
      </w:tr>
      <w:tr w:rsidR="00017940" w:rsidRPr="00234138" w14:paraId="410FCA75" w14:textId="77777777" w:rsidTr="00A648BD">
        <w:trPr>
          <w:trHeight w:val="283"/>
        </w:trPr>
        <w:tc>
          <w:tcPr>
            <w:tcW w:w="1699" w:type="dxa"/>
          </w:tcPr>
          <w:p w14:paraId="42754D78" w14:textId="0915F250" w:rsidR="00017940" w:rsidRPr="007A6342" w:rsidRDefault="00017940" w:rsidP="002C7221">
            <w:pPr>
              <w:pStyle w:val="NoSpacing"/>
              <w:jc w:val="left"/>
              <w:rPr>
                <w:rFonts w:ascii="Arial Narrow" w:hAnsi="Arial Narrow"/>
              </w:rPr>
            </w:pPr>
            <w:r w:rsidRPr="007A6342">
              <w:rPr>
                <w:rFonts w:ascii="Arial Narrow" w:hAnsi="Arial Narrow"/>
              </w:rPr>
              <w:t>BID (OP-273-</w:t>
            </w:r>
            <w:r w:rsidR="00CF642A">
              <w:rPr>
                <w:rFonts w:ascii="Arial Narrow" w:hAnsi="Arial Narrow"/>
              </w:rPr>
              <w:t>6</w:t>
            </w:r>
            <w:r w:rsidRPr="007A6342">
              <w:rPr>
                <w:rFonts w:ascii="Arial Narrow" w:hAnsi="Arial Narrow"/>
              </w:rPr>
              <w:t>)</w:t>
            </w:r>
          </w:p>
        </w:tc>
        <w:tc>
          <w:tcPr>
            <w:tcW w:w="7515" w:type="dxa"/>
            <w:gridSpan w:val="2"/>
          </w:tcPr>
          <w:p w14:paraId="2929BBA1" w14:textId="701DA5CE" w:rsidR="00017940" w:rsidRPr="007A6342" w:rsidRDefault="00017940" w:rsidP="002B3E2E">
            <w:pPr>
              <w:pStyle w:val="NoSpacing"/>
              <w:rPr>
                <w:rFonts w:ascii="Arial Narrow" w:hAnsi="Arial Narrow"/>
              </w:rPr>
            </w:pPr>
            <w:r w:rsidRPr="007A6342">
              <w:rPr>
                <w:rFonts w:ascii="Arial Narrow" w:hAnsi="Arial Narrow"/>
              </w:rPr>
              <w:t xml:space="preserve">Política de Gestión Financiera </w:t>
            </w:r>
            <w:r w:rsidR="00FB6F3E" w:rsidRPr="007A6342">
              <w:rPr>
                <w:rFonts w:ascii="Arial Narrow" w:hAnsi="Arial Narrow"/>
              </w:rPr>
              <w:t>para Programas</w:t>
            </w:r>
            <w:r w:rsidRPr="007A6342">
              <w:rPr>
                <w:rFonts w:ascii="Arial Narrow" w:hAnsi="Arial Narrow"/>
              </w:rPr>
              <w:t xml:space="preserve"> Financiados por el BID</w:t>
            </w:r>
          </w:p>
        </w:tc>
      </w:tr>
      <w:tr w:rsidR="00017940" w:rsidRPr="00234138" w14:paraId="7B3156B3" w14:textId="77777777" w:rsidTr="00A648BD">
        <w:trPr>
          <w:gridAfter w:val="1"/>
          <w:wAfter w:w="27" w:type="dxa"/>
          <w:trHeight w:val="283"/>
        </w:trPr>
        <w:tc>
          <w:tcPr>
            <w:tcW w:w="1699" w:type="dxa"/>
          </w:tcPr>
          <w:p w14:paraId="15D6C279" w14:textId="77777777" w:rsidR="00017940" w:rsidRPr="007A6342" w:rsidRDefault="00017940" w:rsidP="002C7221">
            <w:pPr>
              <w:pStyle w:val="NoSpacing"/>
              <w:jc w:val="left"/>
              <w:rPr>
                <w:rFonts w:ascii="Arial Narrow" w:hAnsi="Arial Narrow"/>
              </w:rPr>
            </w:pPr>
            <w:r w:rsidRPr="007A6342">
              <w:rPr>
                <w:rFonts w:ascii="Arial Narrow" w:hAnsi="Arial Narrow"/>
              </w:rPr>
              <w:t>BID (GN-2349-9)</w:t>
            </w:r>
          </w:p>
        </w:tc>
        <w:tc>
          <w:tcPr>
            <w:tcW w:w="7488" w:type="dxa"/>
          </w:tcPr>
          <w:p w14:paraId="6AEF58DF" w14:textId="69C0FEBA" w:rsidR="00017940" w:rsidRPr="007A6342" w:rsidRDefault="00017940" w:rsidP="002B3E2E">
            <w:pPr>
              <w:pStyle w:val="NoSpacing"/>
              <w:rPr>
                <w:rFonts w:ascii="Arial Narrow" w:hAnsi="Arial Narrow"/>
              </w:rPr>
            </w:pPr>
            <w:r w:rsidRPr="007A6342">
              <w:rPr>
                <w:rFonts w:ascii="Arial Narrow" w:hAnsi="Arial Narrow"/>
              </w:rPr>
              <w:t xml:space="preserve">Políticas para </w:t>
            </w:r>
            <w:r w:rsidR="00FB6F3E" w:rsidRPr="007A6342">
              <w:rPr>
                <w:rFonts w:ascii="Arial Narrow" w:hAnsi="Arial Narrow"/>
              </w:rPr>
              <w:t>la Adquisición</w:t>
            </w:r>
            <w:r w:rsidRPr="007A6342">
              <w:rPr>
                <w:rFonts w:ascii="Arial Narrow" w:hAnsi="Arial Narrow"/>
              </w:rPr>
              <w:t xml:space="preserve"> de Obras y Bienes Financiados por el BID</w:t>
            </w:r>
          </w:p>
        </w:tc>
      </w:tr>
      <w:tr w:rsidR="00017940" w:rsidRPr="00234138" w14:paraId="0736B1B0" w14:textId="77777777" w:rsidTr="00A648BD">
        <w:trPr>
          <w:gridAfter w:val="1"/>
          <w:wAfter w:w="27" w:type="dxa"/>
          <w:trHeight w:val="283"/>
        </w:trPr>
        <w:tc>
          <w:tcPr>
            <w:tcW w:w="1699" w:type="dxa"/>
          </w:tcPr>
          <w:p w14:paraId="2ED7FC40" w14:textId="77777777" w:rsidR="00017940" w:rsidRPr="007A6342" w:rsidRDefault="00017940" w:rsidP="002C7221">
            <w:pPr>
              <w:pStyle w:val="NoSpacing"/>
              <w:jc w:val="left"/>
              <w:rPr>
                <w:rFonts w:ascii="Arial Narrow" w:hAnsi="Arial Narrow"/>
              </w:rPr>
            </w:pPr>
            <w:r w:rsidRPr="007A6342">
              <w:rPr>
                <w:rFonts w:ascii="Arial Narrow" w:hAnsi="Arial Narrow"/>
              </w:rPr>
              <w:t>BID (GN-2350-9)</w:t>
            </w:r>
          </w:p>
        </w:tc>
        <w:tc>
          <w:tcPr>
            <w:tcW w:w="7488" w:type="dxa"/>
          </w:tcPr>
          <w:p w14:paraId="2EF4FA65" w14:textId="77777777" w:rsidR="00017940" w:rsidRPr="007A6342" w:rsidRDefault="00017940" w:rsidP="002B3E2E">
            <w:pPr>
              <w:pStyle w:val="NoSpacing"/>
              <w:rPr>
                <w:rFonts w:ascii="Arial Narrow" w:hAnsi="Arial Narrow"/>
              </w:rPr>
            </w:pPr>
            <w:r w:rsidRPr="007A6342">
              <w:rPr>
                <w:rFonts w:ascii="Arial Narrow" w:hAnsi="Arial Narrow"/>
              </w:rPr>
              <w:t>Políticas para la Selección y Contratación de Consultores Financiados por el BID</w:t>
            </w:r>
          </w:p>
        </w:tc>
      </w:tr>
      <w:tr w:rsidR="00C0782B" w:rsidRPr="00234138" w14:paraId="02B52A16" w14:textId="77777777" w:rsidTr="00A648BD">
        <w:trPr>
          <w:gridAfter w:val="1"/>
          <w:wAfter w:w="27" w:type="dxa"/>
          <w:trHeight w:val="283"/>
        </w:trPr>
        <w:tc>
          <w:tcPr>
            <w:tcW w:w="1699" w:type="dxa"/>
          </w:tcPr>
          <w:p w14:paraId="2F31C3DA" w14:textId="0FEDA584" w:rsidR="00C0782B" w:rsidRPr="007A6342" w:rsidRDefault="00C0782B" w:rsidP="002C7221">
            <w:pPr>
              <w:pStyle w:val="NoSpacing"/>
              <w:jc w:val="left"/>
              <w:rPr>
                <w:rFonts w:ascii="Arial Narrow" w:hAnsi="Arial Narrow"/>
              </w:rPr>
            </w:pPr>
            <w:r>
              <w:rPr>
                <w:rFonts w:ascii="Arial Narrow" w:hAnsi="Arial Narrow"/>
              </w:rPr>
              <w:t>CCE</w:t>
            </w:r>
          </w:p>
        </w:tc>
        <w:tc>
          <w:tcPr>
            <w:tcW w:w="7488" w:type="dxa"/>
          </w:tcPr>
          <w:p w14:paraId="233350F2" w14:textId="43C9B0C8" w:rsidR="00C0782B" w:rsidRPr="007A6342" w:rsidRDefault="00C0782B" w:rsidP="002B3E2E">
            <w:pPr>
              <w:pStyle w:val="NoSpacing"/>
              <w:rPr>
                <w:rFonts w:ascii="Arial Narrow" w:hAnsi="Arial Narrow"/>
              </w:rPr>
            </w:pPr>
            <w:r>
              <w:rPr>
                <w:rFonts w:ascii="Arial Narrow" w:hAnsi="Arial Narrow"/>
              </w:rPr>
              <w:t>Comité de Competitividad y Emprendimiento</w:t>
            </w:r>
          </w:p>
        </w:tc>
      </w:tr>
      <w:tr w:rsidR="00172746" w:rsidRPr="00234138" w14:paraId="36E2C0A2" w14:textId="77777777" w:rsidTr="00A648BD">
        <w:trPr>
          <w:gridAfter w:val="1"/>
          <w:wAfter w:w="27" w:type="dxa"/>
          <w:trHeight w:val="283"/>
        </w:trPr>
        <w:tc>
          <w:tcPr>
            <w:tcW w:w="1699" w:type="dxa"/>
          </w:tcPr>
          <w:p w14:paraId="44AF4DCC" w14:textId="77777777" w:rsidR="00172746" w:rsidRPr="007A6342" w:rsidRDefault="00172746" w:rsidP="002C7221">
            <w:pPr>
              <w:pStyle w:val="NoSpacing"/>
              <w:jc w:val="left"/>
              <w:rPr>
                <w:rFonts w:ascii="Arial Narrow" w:hAnsi="Arial Narrow"/>
              </w:rPr>
            </w:pPr>
            <w:r w:rsidRPr="007A6342">
              <w:rPr>
                <w:rFonts w:ascii="Arial Narrow" w:hAnsi="Arial Narrow"/>
              </w:rPr>
              <w:t>CGE</w:t>
            </w:r>
          </w:p>
        </w:tc>
        <w:tc>
          <w:tcPr>
            <w:tcW w:w="7488" w:type="dxa"/>
          </w:tcPr>
          <w:p w14:paraId="14485B49" w14:textId="77777777" w:rsidR="00172746" w:rsidRPr="007A6342" w:rsidRDefault="00172746" w:rsidP="00A55675">
            <w:pPr>
              <w:pStyle w:val="NoSpacing"/>
              <w:rPr>
                <w:rFonts w:ascii="Arial Narrow" w:hAnsi="Arial Narrow"/>
              </w:rPr>
            </w:pPr>
            <w:r w:rsidRPr="007A6342">
              <w:rPr>
                <w:rFonts w:ascii="Arial Narrow" w:hAnsi="Arial Narrow"/>
              </w:rPr>
              <w:t>Contraloría General del Estado</w:t>
            </w:r>
          </w:p>
        </w:tc>
      </w:tr>
      <w:tr w:rsidR="00017940" w:rsidRPr="00234138" w14:paraId="58DFF77C" w14:textId="77777777" w:rsidTr="00A648BD">
        <w:trPr>
          <w:gridAfter w:val="1"/>
          <w:wAfter w:w="27" w:type="dxa"/>
          <w:trHeight w:val="283"/>
        </w:trPr>
        <w:tc>
          <w:tcPr>
            <w:tcW w:w="1699" w:type="dxa"/>
          </w:tcPr>
          <w:p w14:paraId="3404DAC6" w14:textId="4C30253B" w:rsidR="00017940" w:rsidRPr="007A6342" w:rsidRDefault="00017940" w:rsidP="002C7221">
            <w:pPr>
              <w:pStyle w:val="NoSpacing"/>
              <w:jc w:val="left"/>
              <w:rPr>
                <w:rFonts w:ascii="Arial Narrow" w:hAnsi="Arial Narrow"/>
              </w:rPr>
            </w:pPr>
            <w:r w:rsidRPr="007A6342">
              <w:rPr>
                <w:rFonts w:ascii="Arial Narrow" w:hAnsi="Arial Narrow"/>
              </w:rPr>
              <w:t>COP</w:t>
            </w:r>
            <w:r w:rsidR="00C6129A">
              <w:rPr>
                <w:rFonts w:ascii="Arial Narrow" w:hAnsi="Arial Narrow"/>
              </w:rPr>
              <w:t>LAF</w:t>
            </w:r>
            <w:r w:rsidR="00A648BD">
              <w:rPr>
                <w:rFonts w:ascii="Arial Narrow" w:hAnsi="Arial Narrow"/>
              </w:rPr>
              <w:t>I</w:t>
            </w:r>
            <w:r w:rsidRPr="007A6342">
              <w:rPr>
                <w:rFonts w:ascii="Arial Narrow" w:hAnsi="Arial Narrow"/>
              </w:rPr>
              <w:t>P</w:t>
            </w:r>
          </w:p>
        </w:tc>
        <w:tc>
          <w:tcPr>
            <w:tcW w:w="7488" w:type="dxa"/>
          </w:tcPr>
          <w:p w14:paraId="3949A231" w14:textId="77777777" w:rsidR="00017940" w:rsidRPr="007A6342" w:rsidRDefault="00017940" w:rsidP="002B3E2E">
            <w:pPr>
              <w:pStyle w:val="NoSpacing"/>
              <w:rPr>
                <w:rFonts w:ascii="Arial Narrow" w:hAnsi="Arial Narrow"/>
              </w:rPr>
            </w:pPr>
            <w:r w:rsidRPr="007A6342">
              <w:rPr>
                <w:rFonts w:ascii="Arial Narrow" w:hAnsi="Arial Narrow"/>
              </w:rPr>
              <w:t>Código Orgánico de Planificación y Finanzas Públicas</w:t>
            </w:r>
          </w:p>
        </w:tc>
      </w:tr>
      <w:tr w:rsidR="001A6CAB" w:rsidRPr="00234138" w14:paraId="658E51F3" w14:textId="77777777" w:rsidTr="00A648BD">
        <w:trPr>
          <w:gridAfter w:val="1"/>
          <w:wAfter w:w="27" w:type="dxa"/>
          <w:trHeight w:val="283"/>
        </w:trPr>
        <w:tc>
          <w:tcPr>
            <w:tcW w:w="1699" w:type="dxa"/>
          </w:tcPr>
          <w:p w14:paraId="00CCBC44" w14:textId="77777777" w:rsidR="001A6CAB" w:rsidRPr="007A6342" w:rsidRDefault="001A6CAB" w:rsidP="002C7221">
            <w:pPr>
              <w:pStyle w:val="NoSpacing"/>
              <w:jc w:val="left"/>
              <w:rPr>
                <w:rFonts w:ascii="Arial Narrow" w:hAnsi="Arial Narrow"/>
              </w:rPr>
            </w:pPr>
            <w:r w:rsidRPr="007A6342">
              <w:rPr>
                <w:rFonts w:ascii="Arial Narrow" w:hAnsi="Arial Narrow"/>
              </w:rPr>
              <w:t>DEA</w:t>
            </w:r>
          </w:p>
        </w:tc>
        <w:tc>
          <w:tcPr>
            <w:tcW w:w="7488" w:type="dxa"/>
          </w:tcPr>
          <w:p w14:paraId="495F3C04" w14:textId="77777777" w:rsidR="001A6CAB" w:rsidRPr="007A6342" w:rsidRDefault="001A6CAB" w:rsidP="002B3E2E">
            <w:pPr>
              <w:pStyle w:val="NoSpacing"/>
              <w:rPr>
                <w:rFonts w:ascii="Arial Narrow" w:hAnsi="Arial Narrow"/>
              </w:rPr>
            </w:pPr>
            <w:r w:rsidRPr="007A6342">
              <w:rPr>
                <w:rFonts w:ascii="Arial Narrow" w:hAnsi="Arial Narrow"/>
              </w:rPr>
              <w:t>Documentos Estándar de Adquisiciones</w:t>
            </w:r>
          </w:p>
        </w:tc>
      </w:tr>
      <w:tr w:rsidR="001A6CAB" w:rsidRPr="00234138" w14:paraId="3F875BD3" w14:textId="77777777" w:rsidTr="00A648BD">
        <w:trPr>
          <w:gridAfter w:val="1"/>
          <w:wAfter w:w="27" w:type="dxa"/>
          <w:trHeight w:val="283"/>
        </w:trPr>
        <w:tc>
          <w:tcPr>
            <w:tcW w:w="1699" w:type="dxa"/>
          </w:tcPr>
          <w:p w14:paraId="1FEABD2F" w14:textId="77777777" w:rsidR="001A6CAB" w:rsidRPr="007A6342" w:rsidRDefault="001A6CAB" w:rsidP="002C7221">
            <w:pPr>
              <w:pStyle w:val="NoSpacing"/>
              <w:jc w:val="left"/>
              <w:rPr>
                <w:rFonts w:ascii="Arial Narrow" w:hAnsi="Arial Narrow"/>
              </w:rPr>
            </w:pPr>
            <w:r w:rsidRPr="007A6342">
              <w:rPr>
                <w:rFonts w:ascii="Arial Narrow" w:hAnsi="Arial Narrow"/>
              </w:rPr>
              <w:t xml:space="preserve">DEL </w:t>
            </w:r>
          </w:p>
        </w:tc>
        <w:tc>
          <w:tcPr>
            <w:tcW w:w="7488" w:type="dxa"/>
          </w:tcPr>
          <w:p w14:paraId="0B6868C1" w14:textId="77777777" w:rsidR="001A6CAB" w:rsidRPr="007A6342" w:rsidRDefault="001A6CAB" w:rsidP="002B3E2E">
            <w:pPr>
              <w:pStyle w:val="NoSpacing"/>
              <w:rPr>
                <w:rFonts w:ascii="Arial Narrow" w:hAnsi="Arial Narrow"/>
              </w:rPr>
            </w:pPr>
            <w:r w:rsidRPr="007A6342">
              <w:rPr>
                <w:rFonts w:ascii="Arial Narrow" w:hAnsi="Arial Narrow"/>
              </w:rPr>
              <w:t>Documentos Estándar de Licitaciones</w:t>
            </w:r>
          </w:p>
        </w:tc>
      </w:tr>
      <w:tr w:rsidR="00105160" w:rsidRPr="00234138" w14:paraId="0DEFFDBF" w14:textId="77777777" w:rsidTr="00A648BD">
        <w:trPr>
          <w:gridAfter w:val="1"/>
          <w:wAfter w:w="27" w:type="dxa"/>
          <w:trHeight w:val="283"/>
        </w:trPr>
        <w:tc>
          <w:tcPr>
            <w:tcW w:w="1699" w:type="dxa"/>
          </w:tcPr>
          <w:p w14:paraId="4E498D0B" w14:textId="1A2E1DF4" w:rsidR="00105160" w:rsidRPr="007A6342" w:rsidRDefault="00D7609D" w:rsidP="002C7221">
            <w:pPr>
              <w:pStyle w:val="NoSpacing"/>
              <w:jc w:val="left"/>
              <w:rPr>
                <w:rFonts w:ascii="Arial Narrow" w:hAnsi="Arial Narrow"/>
              </w:rPr>
            </w:pPr>
            <w:r>
              <w:rPr>
                <w:rFonts w:ascii="Arial Narrow" w:hAnsi="Arial Narrow"/>
              </w:rPr>
              <w:t>EDG</w:t>
            </w:r>
          </w:p>
        </w:tc>
        <w:tc>
          <w:tcPr>
            <w:tcW w:w="7488" w:type="dxa"/>
          </w:tcPr>
          <w:p w14:paraId="76B4B77C" w14:textId="5B64D73E" w:rsidR="00105160" w:rsidRPr="007A6342" w:rsidRDefault="00105160" w:rsidP="002B3E2E">
            <w:pPr>
              <w:pStyle w:val="NoSpacing"/>
              <w:rPr>
                <w:rFonts w:ascii="Arial Narrow" w:hAnsi="Arial Narrow"/>
              </w:rPr>
            </w:pPr>
            <w:r w:rsidRPr="007A6342">
              <w:rPr>
                <w:rFonts w:ascii="Arial Narrow" w:hAnsi="Arial Narrow"/>
              </w:rPr>
              <w:t>Equipo de Gestión del Programa</w:t>
            </w:r>
            <w:r w:rsidR="00983EE0" w:rsidRPr="007A6342">
              <w:rPr>
                <w:rFonts w:ascii="Arial Narrow" w:hAnsi="Arial Narrow"/>
              </w:rPr>
              <w:t xml:space="preserve"> </w:t>
            </w:r>
          </w:p>
        </w:tc>
      </w:tr>
      <w:tr w:rsidR="007B1497" w:rsidRPr="00234138" w14:paraId="5EAE2AC4" w14:textId="77777777" w:rsidTr="00A648BD">
        <w:trPr>
          <w:gridAfter w:val="1"/>
          <w:wAfter w:w="27" w:type="dxa"/>
          <w:trHeight w:val="283"/>
        </w:trPr>
        <w:tc>
          <w:tcPr>
            <w:tcW w:w="1699" w:type="dxa"/>
          </w:tcPr>
          <w:p w14:paraId="4AE638DD" w14:textId="77777777" w:rsidR="007B1497" w:rsidRPr="007A6342" w:rsidRDefault="007B1497" w:rsidP="002C7221">
            <w:pPr>
              <w:pStyle w:val="NoSpacing"/>
              <w:jc w:val="left"/>
              <w:rPr>
                <w:rFonts w:ascii="Arial Narrow" w:hAnsi="Arial Narrow"/>
              </w:rPr>
            </w:pPr>
            <w:r w:rsidRPr="007A6342">
              <w:rPr>
                <w:rFonts w:ascii="Arial Narrow" w:hAnsi="Arial Narrow"/>
              </w:rPr>
              <w:t>e-Sigef</w:t>
            </w:r>
          </w:p>
        </w:tc>
        <w:tc>
          <w:tcPr>
            <w:tcW w:w="7488" w:type="dxa"/>
          </w:tcPr>
          <w:p w14:paraId="7D206420" w14:textId="77777777" w:rsidR="007B1497" w:rsidRPr="007A6342" w:rsidRDefault="00D22AFE" w:rsidP="00E66574">
            <w:pPr>
              <w:pStyle w:val="NoSpacing"/>
              <w:rPr>
                <w:rFonts w:ascii="Arial Narrow" w:hAnsi="Arial Narrow"/>
              </w:rPr>
            </w:pPr>
            <w:r w:rsidRPr="007A6342">
              <w:rPr>
                <w:rFonts w:ascii="Arial Narrow" w:hAnsi="Arial Narrow"/>
              </w:rPr>
              <w:t>Sistema de Administración Financiera del Sector Público</w:t>
            </w:r>
          </w:p>
        </w:tc>
      </w:tr>
      <w:tr w:rsidR="00017940" w:rsidRPr="00234138" w14:paraId="33F9A23D" w14:textId="77777777" w:rsidTr="00A648BD">
        <w:trPr>
          <w:gridAfter w:val="1"/>
          <w:wAfter w:w="27" w:type="dxa"/>
          <w:trHeight w:val="283"/>
        </w:trPr>
        <w:tc>
          <w:tcPr>
            <w:tcW w:w="1699" w:type="dxa"/>
          </w:tcPr>
          <w:p w14:paraId="5AAB86E1" w14:textId="77777777" w:rsidR="00017940" w:rsidRPr="007A6342" w:rsidRDefault="00017940" w:rsidP="002C7221">
            <w:pPr>
              <w:pStyle w:val="NoSpacing"/>
              <w:jc w:val="left"/>
              <w:rPr>
                <w:rFonts w:ascii="Arial Narrow" w:hAnsi="Arial Narrow"/>
              </w:rPr>
            </w:pPr>
            <w:r w:rsidRPr="007A6342">
              <w:rPr>
                <w:rFonts w:ascii="Arial Narrow" w:hAnsi="Arial Narrow"/>
              </w:rPr>
              <w:t>GRP</w:t>
            </w:r>
          </w:p>
        </w:tc>
        <w:tc>
          <w:tcPr>
            <w:tcW w:w="7488" w:type="dxa"/>
          </w:tcPr>
          <w:p w14:paraId="0162523D" w14:textId="77777777" w:rsidR="00017940" w:rsidRPr="007A6342" w:rsidRDefault="00017940" w:rsidP="00E66574">
            <w:pPr>
              <w:pStyle w:val="NoSpacing"/>
              <w:rPr>
                <w:rFonts w:ascii="Arial Narrow" w:hAnsi="Arial Narrow"/>
              </w:rPr>
            </w:pPr>
            <w:r w:rsidRPr="007A6342">
              <w:rPr>
                <w:rFonts w:ascii="Arial Narrow" w:hAnsi="Arial Narrow"/>
              </w:rPr>
              <w:t>Gestión de Riesgos del Programa</w:t>
            </w:r>
          </w:p>
        </w:tc>
      </w:tr>
      <w:tr w:rsidR="004179CE" w:rsidRPr="00234138" w14:paraId="75960AE4" w14:textId="77777777" w:rsidTr="00A648BD">
        <w:trPr>
          <w:gridAfter w:val="1"/>
          <w:wAfter w:w="27" w:type="dxa"/>
          <w:trHeight w:val="283"/>
        </w:trPr>
        <w:tc>
          <w:tcPr>
            <w:tcW w:w="1699" w:type="dxa"/>
          </w:tcPr>
          <w:p w14:paraId="56BF0859" w14:textId="7F56BB63" w:rsidR="004179CE" w:rsidRPr="007A6342" w:rsidRDefault="004179CE" w:rsidP="002C7221">
            <w:pPr>
              <w:pStyle w:val="NoSpacing"/>
              <w:jc w:val="left"/>
              <w:rPr>
                <w:rFonts w:ascii="Arial Narrow" w:hAnsi="Arial Narrow"/>
              </w:rPr>
            </w:pPr>
            <w:r>
              <w:rPr>
                <w:rFonts w:ascii="Arial Narrow" w:hAnsi="Arial Narrow"/>
              </w:rPr>
              <w:t>INMOBILIAR</w:t>
            </w:r>
          </w:p>
        </w:tc>
        <w:tc>
          <w:tcPr>
            <w:tcW w:w="7488" w:type="dxa"/>
          </w:tcPr>
          <w:p w14:paraId="79B0255B" w14:textId="096A35DB" w:rsidR="004179CE" w:rsidRPr="007A6342" w:rsidRDefault="004179CE" w:rsidP="00E66574">
            <w:pPr>
              <w:pStyle w:val="NoSpacing"/>
              <w:rPr>
                <w:rFonts w:ascii="Arial Narrow" w:hAnsi="Arial Narrow"/>
              </w:rPr>
            </w:pPr>
            <w:r>
              <w:rPr>
                <w:rFonts w:ascii="Arial Narrow" w:hAnsi="Arial Narrow"/>
              </w:rPr>
              <w:t>Servicio de Gestión Inmobiliaria del Sector Público</w:t>
            </w:r>
          </w:p>
        </w:tc>
      </w:tr>
      <w:tr w:rsidR="00906D02" w:rsidRPr="00234138" w14:paraId="5C07C39E" w14:textId="77777777" w:rsidTr="00A648BD">
        <w:trPr>
          <w:gridAfter w:val="1"/>
          <w:wAfter w:w="27" w:type="dxa"/>
          <w:trHeight w:val="283"/>
        </w:trPr>
        <w:tc>
          <w:tcPr>
            <w:tcW w:w="1699" w:type="dxa"/>
          </w:tcPr>
          <w:p w14:paraId="19BE0350" w14:textId="77777777" w:rsidR="00906D02" w:rsidRPr="007A6342" w:rsidRDefault="00906D02" w:rsidP="002C7221">
            <w:pPr>
              <w:pStyle w:val="NoSpacing"/>
              <w:jc w:val="left"/>
              <w:rPr>
                <w:rFonts w:ascii="Arial Narrow" w:hAnsi="Arial Narrow"/>
              </w:rPr>
            </w:pPr>
            <w:r w:rsidRPr="007A6342">
              <w:rPr>
                <w:rFonts w:ascii="Arial Narrow" w:hAnsi="Arial Narrow"/>
              </w:rPr>
              <w:t>ISP</w:t>
            </w:r>
          </w:p>
        </w:tc>
        <w:tc>
          <w:tcPr>
            <w:tcW w:w="7488" w:type="dxa"/>
          </w:tcPr>
          <w:p w14:paraId="2991DE3E" w14:textId="77777777" w:rsidR="00906D02" w:rsidRPr="007A6342" w:rsidRDefault="00906D02" w:rsidP="00E66574">
            <w:pPr>
              <w:pStyle w:val="NoSpacing"/>
              <w:rPr>
                <w:rFonts w:ascii="Arial Narrow" w:hAnsi="Arial Narrow"/>
              </w:rPr>
            </w:pPr>
            <w:r w:rsidRPr="007A6342">
              <w:rPr>
                <w:rFonts w:ascii="Arial Narrow" w:hAnsi="Arial Narrow"/>
              </w:rPr>
              <w:t>Informe Semestral de Progreso</w:t>
            </w:r>
          </w:p>
        </w:tc>
      </w:tr>
      <w:tr w:rsidR="00017940" w:rsidRPr="00234138" w14:paraId="3DD5C323" w14:textId="77777777" w:rsidTr="00A648BD">
        <w:trPr>
          <w:gridAfter w:val="1"/>
          <w:wAfter w:w="27" w:type="dxa"/>
          <w:trHeight w:val="283"/>
        </w:trPr>
        <w:tc>
          <w:tcPr>
            <w:tcW w:w="1699" w:type="dxa"/>
          </w:tcPr>
          <w:p w14:paraId="7E03AF07" w14:textId="77777777" w:rsidR="00017940" w:rsidRPr="007A6342" w:rsidRDefault="00017940" w:rsidP="002C7221">
            <w:pPr>
              <w:pStyle w:val="NoSpacing"/>
              <w:jc w:val="left"/>
              <w:rPr>
                <w:rFonts w:ascii="Arial Narrow" w:hAnsi="Arial Narrow"/>
              </w:rPr>
            </w:pPr>
            <w:r w:rsidRPr="007A6342">
              <w:rPr>
                <w:rFonts w:ascii="Arial Narrow" w:hAnsi="Arial Narrow"/>
              </w:rPr>
              <w:t>LOSNCP</w:t>
            </w:r>
          </w:p>
        </w:tc>
        <w:tc>
          <w:tcPr>
            <w:tcW w:w="7488" w:type="dxa"/>
          </w:tcPr>
          <w:p w14:paraId="6E5E970D" w14:textId="77777777" w:rsidR="00017940" w:rsidRPr="007A6342" w:rsidRDefault="00017940" w:rsidP="00E66574">
            <w:pPr>
              <w:pStyle w:val="NoSpacing"/>
              <w:rPr>
                <w:rFonts w:ascii="Arial Narrow" w:hAnsi="Arial Narrow"/>
              </w:rPr>
            </w:pPr>
            <w:r w:rsidRPr="007A6342">
              <w:rPr>
                <w:rFonts w:ascii="Arial Narrow" w:hAnsi="Arial Narrow"/>
              </w:rPr>
              <w:t>Ley Orgánica del Sistema Nacional de Contratación Pública</w:t>
            </w:r>
          </w:p>
        </w:tc>
      </w:tr>
      <w:tr w:rsidR="002A7974" w:rsidRPr="00234138" w14:paraId="38A097DE" w14:textId="77777777" w:rsidTr="00A648BD">
        <w:trPr>
          <w:gridAfter w:val="1"/>
          <w:wAfter w:w="27" w:type="dxa"/>
          <w:trHeight w:val="283"/>
        </w:trPr>
        <w:tc>
          <w:tcPr>
            <w:tcW w:w="1699" w:type="dxa"/>
          </w:tcPr>
          <w:p w14:paraId="77C3086A" w14:textId="3D61E2C2" w:rsidR="002A7974" w:rsidRPr="007A6342" w:rsidRDefault="002A7974" w:rsidP="00234138">
            <w:pPr>
              <w:pStyle w:val="NoSpacing"/>
              <w:jc w:val="left"/>
              <w:rPr>
                <w:rFonts w:ascii="Arial Narrow" w:hAnsi="Arial Narrow"/>
              </w:rPr>
            </w:pPr>
            <w:r w:rsidRPr="007A6342">
              <w:rPr>
                <w:rFonts w:ascii="Arial Narrow" w:hAnsi="Arial Narrow"/>
              </w:rPr>
              <w:t>M</w:t>
            </w:r>
            <w:r w:rsidR="00A648BD">
              <w:rPr>
                <w:rFonts w:ascii="Arial Narrow" w:hAnsi="Arial Narrow"/>
              </w:rPr>
              <w:t>EF</w:t>
            </w:r>
          </w:p>
        </w:tc>
        <w:tc>
          <w:tcPr>
            <w:tcW w:w="7488" w:type="dxa"/>
          </w:tcPr>
          <w:p w14:paraId="1026B954" w14:textId="6B626C5C" w:rsidR="002A7974" w:rsidRPr="007A6342" w:rsidRDefault="002A7974" w:rsidP="00E66574">
            <w:pPr>
              <w:pStyle w:val="NoSpacing"/>
              <w:rPr>
                <w:rFonts w:ascii="Arial Narrow" w:hAnsi="Arial Narrow"/>
              </w:rPr>
            </w:pPr>
            <w:r w:rsidRPr="007A6342">
              <w:rPr>
                <w:rFonts w:ascii="Arial Narrow" w:hAnsi="Arial Narrow"/>
              </w:rPr>
              <w:t>Ministerio de</w:t>
            </w:r>
            <w:r w:rsidR="00A648BD">
              <w:rPr>
                <w:rFonts w:ascii="Arial Narrow" w:hAnsi="Arial Narrow"/>
              </w:rPr>
              <w:t xml:space="preserve"> Economía y </w:t>
            </w:r>
            <w:r w:rsidRPr="007A6342">
              <w:rPr>
                <w:rFonts w:ascii="Arial Narrow" w:hAnsi="Arial Narrow"/>
              </w:rPr>
              <w:t>Finanzas</w:t>
            </w:r>
          </w:p>
        </w:tc>
      </w:tr>
      <w:tr w:rsidR="00C0782B" w:rsidRPr="00234138" w14:paraId="79FD2281" w14:textId="77777777" w:rsidTr="00A648BD">
        <w:trPr>
          <w:gridAfter w:val="1"/>
          <w:wAfter w:w="27" w:type="dxa"/>
          <w:trHeight w:val="283"/>
        </w:trPr>
        <w:tc>
          <w:tcPr>
            <w:tcW w:w="1699" w:type="dxa"/>
          </w:tcPr>
          <w:p w14:paraId="545A6CE2" w14:textId="5CB0A6A8" w:rsidR="00C0782B" w:rsidRPr="007A6342" w:rsidRDefault="00C0782B" w:rsidP="00234138">
            <w:pPr>
              <w:pStyle w:val="NoSpacing"/>
              <w:jc w:val="left"/>
              <w:rPr>
                <w:rFonts w:ascii="Arial Narrow" w:hAnsi="Arial Narrow"/>
              </w:rPr>
            </w:pPr>
            <w:r>
              <w:rPr>
                <w:rFonts w:ascii="Arial Narrow" w:hAnsi="Arial Narrow"/>
              </w:rPr>
              <w:t>MERO</w:t>
            </w:r>
          </w:p>
        </w:tc>
        <w:tc>
          <w:tcPr>
            <w:tcW w:w="7488" w:type="dxa"/>
          </w:tcPr>
          <w:p w14:paraId="2C0FECD3" w14:textId="17CC9203" w:rsidR="00C0782B" w:rsidRPr="007A6342" w:rsidRDefault="00C0782B" w:rsidP="00E66574">
            <w:pPr>
              <w:pStyle w:val="NoSpacing"/>
              <w:rPr>
                <w:rFonts w:ascii="Arial Narrow" w:hAnsi="Arial Narrow"/>
              </w:rPr>
            </w:pPr>
            <w:r>
              <w:rPr>
                <w:rFonts w:ascii="Arial Narrow" w:hAnsi="Arial Narrow"/>
              </w:rPr>
              <w:t>Mesas Ejecutivas para Resolver Obstáculos</w:t>
            </w:r>
          </w:p>
        </w:tc>
      </w:tr>
      <w:tr w:rsidR="00581748" w:rsidRPr="00234138" w14:paraId="75799376" w14:textId="77777777" w:rsidTr="00A648BD">
        <w:trPr>
          <w:gridAfter w:val="1"/>
          <w:wAfter w:w="27" w:type="dxa"/>
          <w:trHeight w:val="283"/>
        </w:trPr>
        <w:tc>
          <w:tcPr>
            <w:tcW w:w="1699" w:type="dxa"/>
          </w:tcPr>
          <w:p w14:paraId="1D3079FC" w14:textId="5491EAAB" w:rsidR="00581748" w:rsidRDefault="00581748" w:rsidP="00234138">
            <w:pPr>
              <w:pStyle w:val="NoSpacing"/>
              <w:jc w:val="left"/>
              <w:rPr>
                <w:rFonts w:ascii="Arial Narrow" w:hAnsi="Arial Narrow"/>
              </w:rPr>
            </w:pPr>
            <w:r>
              <w:rPr>
                <w:rFonts w:ascii="Arial Narrow" w:hAnsi="Arial Narrow"/>
              </w:rPr>
              <w:t>MERNNR</w:t>
            </w:r>
          </w:p>
        </w:tc>
        <w:tc>
          <w:tcPr>
            <w:tcW w:w="7488" w:type="dxa"/>
          </w:tcPr>
          <w:p w14:paraId="67C46C3F" w14:textId="28FF7891" w:rsidR="00581748" w:rsidRDefault="00581748" w:rsidP="00E66574">
            <w:pPr>
              <w:pStyle w:val="NoSpacing"/>
              <w:rPr>
                <w:rFonts w:ascii="Arial Narrow" w:hAnsi="Arial Narrow"/>
              </w:rPr>
            </w:pPr>
            <w:r>
              <w:rPr>
                <w:rFonts w:ascii="Arial Narrow" w:hAnsi="Arial Narrow"/>
              </w:rPr>
              <w:t>Ministerio de Energía y Recursos Naturales no Renovables</w:t>
            </w:r>
          </w:p>
        </w:tc>
      </w:tr>
      <w:tr w:rsidR="00F72564" w:rsidRPr="00234138" w14:paraId="553C9AD1" w14:textId="77777777" w:rsidTr="00A648BD">
        <w:trPr>
          <w:gridAfter w:val="1"/>
          <w:wAfter w:w="27" w:type="dxa"/>
          <w:trHeight w:val="283"/>
        </w:trPr>
        <w:tc>
          <w:tcPr>
            <w:tcW w:w="1699" w:type="dxa"/>
          </w:tcPr>
          <w:p w14:paraId="4A103925" w14:textId="398CA576" w:rsidR="00F72564" w:rsidRPr="007A6342" w:rsidRDefault="00F72564" w:rsidP="002C7221">
            <w:pPr>
              <w:pStyle w:val="NoSpacing"/>
              <w:jc w:val="left"/>
              <w:rPr>
                <w:rFonts w:ascii="Arial Narrow" w:hAnsi="Arial Narrow"/>
              </w:rPr>
            </w:pPr>
            <w:r w:rsidRPr="007A6342">
              <w:rPr>
                <w:rFonts w:ascii="Arial Narrow" w:hAnsi="Arial Narrow"/>
              </w:rPr>
              <w:t>M</w:t>
            </w:r>
            <w:r w:rsidR="00132A3B">
              <w:rPr>
                <w:rFonts w:ascii="Arial Narrow" w:hAnsi="Arial Narrow"/>
              </w:rPr>
              <w:t>d</w:t>
            </w:r>
            <w:r w:rsidRPr="007A6342">
              <w:rPr>
                <w:rFonts w:ascii="Arial Narrow" w:hAnsi="Arial Narrow"/>
              </w:rPr>
              <w:t>R</w:t>
            </w:r>
          </w:p>
        </w:tc>
        <w:tc>
          <w:tcPr>
            <w:tcW w:w="7488" w:type="dxa"/>
          </w:tcPr>
          <w:p w14:paraId="6B6D254B" w14:textId="77777777" w:rsidR="00F72564" w:rsidRPr="007A6342" w:rsidRDefault="00F72564" w:rsidP="00E66574">
            <w:pPr>
              <w:pStyle w:val="NoSpacing"/>
              <w:rPr>
                <w:rFonts w:ascii="Arial Narrow" w:hAnsi="Arial Narrow"/>
              </w:rPr>
            </w:pPr>
            <w:r w:rsidRPr="007A6342">
              <w:rPr>
                <w:rFonts w:ascii="Arial Narrow" w:hAnsi="Arial Narrow"/>
              </w:rPr>
              <w:t>Matriz de Resultados</w:t>
            </w:r>
          </w:p>
        </w:tc>
      </w:tr>
      <w:tr w:rsidR="00A72004" w:rsidRPr="00234138" w14:paraId="2A5FF40F" w14:textId="77777777" w:rsidTr="00A648BD">
        <w:trPr>
          <w:gridAfter w:val="1"/>
          <w:wAfter w:w="27" w:type="dxa"/>
          <w:trHeight w:val="283"/>
        </w:trPr>
        <w:tc>
          <w:tcPr>
            <w:tcW w:w="1699" w:type="dxa"/>
          </w:tcPr>
          <w:p w14:paraId="6F1BF1CE" w14:textId="6D23E8BD" w:rsidR="00A72004" w:rsidRPr="007A6342" w:rsidRDefault="00A72004" w:rsidP="002C7221">
            <w:pPr>
              <w:pStyle w:val="NoSpacing"/>
              <w:jc w:val="left"/>
              <w:rPr>
                <w:rFonts w:ascii="Arial Narrow" w:hAnsi="Arial Narrow"/>
              </w:rPr>
            </w:pPr>
            <w:r>
              <w:rPr>
                <w:rFonts w:ascii="Arial Narrow" w:hAnsi="Arial Narrow"/>
              </w:rPr>
              <w:t>MDT</w:t>
            </w:r>
          </w:p>
        </w:tc>
        <w:tc>
          <w:tcPr>
            <w:tcW w:w="7488" w:type="dxa"/>
          </w:tcPr>
          <w:p w14:paraId="1E186ED0" w14:textId="62FA99EE" w:rsidR="00A72004" w:rsidRPr="007A6342" w:rsidRDefault="00A72004" w:rsidP="00E66574">
            <w:pPr>
              <w:pStyle w:val="NoSpacing"/>
              <w:rPr>
                <w:rFonts w:ascii="Arial Narrow" w:hAnsi="Arial Narrow"/>
              </w:rPr>
            </w:pPr>
            <w:r>
              <w:rPr>
                <w:rFonts w:ascii="Arial Narrow" w:hAnsi="Arial Narrow"/>
              </w:rPr>
              <w:t>Ministerio del Trabajo</w:t>
            </w:r>
          </w:p>
        </w:tc>
      </w:tr>
      <w:tr w:rsidR="00581748" w:rsidRPr="00234138" w14:paraId="1DB71FF0" w14:textId="77777777" w:rsidTr="00A648BD">
        <w:trPr>
          <w:gridAfter w:val="1"/>
          <w:wAfter w:w="27" w:type="dxa"/>
          <w:trHeight w:val="283"/>
        </w:trPr>
        <w:tc>
          <w:tcPr>
            <w:tcW w:w="1699" w:type="dxa"/>
          </w:tcPr>
          <w:p w14:paraId="2774C1E4" w14:textId="50BD06A7" w:rsidR="00581748" w:rsidRPr="007A6342" w:rsidRDefault="00581748" w:rsidP="002C7221">
            <w:pPr>
              <w:pStyle w:val="NoSpacing"/>
              <w:jc w:val="left"/>
              <w:rPr>
                <w:rFonts w:ascii="Arial Narrow" w:hAnsi="Arial Narrow"/>
              </w:rPr>
            </w:pPr>
            <w:r>
              <w:rPr>
                <w:rFonts w:ascii="Arial Narrow" w:hAnsi="Arial Narrow"/>
              </w:rPr>
              <w:t>MPCEIP</w:t>
            </w:r>
          </w:p>
        </w:tc>
        <w:tc>
          <w:tcPr>
            <w:tcW w:w="7488" w:type="dxa"/>
          </w:tcPr>
          <w:p w14:paraId="453F0532" w14:textId="4E42B594" w:rsidR="00581748" w:rsidRPr="007A6342" w:rsidRDefault="00581748" w:rsidP="00E66574">
            <w:pPr>
              <w:pStyle w:val="NoSpacing"/>
              <w:rPr>
                <w:rFonts w:ascii="Arial Narrow" w:hAnsi="Arial Narrow"/>
              </w:rPr>
            </w:pPr>
            <w:r>
              <w:rPr>
                <w:rFonts w:ascii="Arial Narrow" w:hAnsi="Arial Narrow"/>
              </w:rPr>
              <w:t>Ministerio de Producción, Comercio Exterior, Inversiones y Pesca</w:t>
            </w:r>
          </w:p>
        </w:tc>
      </w:tr>
      <w:tr w:rsidR="007B12EF" w:rsidRPr="00983EE0" w14:paraId="29EE6C12" w14:textId="77777777" w:rsidTr="00A648BD">
        <w:trPr>
          <w:gridAfter w:val="1"/>
          <w:wAfter w:w="27" w:type="dxa"/>
          <w:trHeight w:val="283"/>
        </w:trPr>
        <w:tc>
          <w:tcPr>
            <w:tcW w:w="1699" w:type="dxa"/>
          </w:tcPr>
          <w:p w14:paraId="5F49C024" w14:textId="77777777" w:rsidR="007B12EF" w:rsidRPr="007A6342" w:rsidRDefault="007B12EF" w:rsidP="002C7221">
            <w:pPr>
              <w:pStyle w:val="NoSpacing"/>
              <w:jc w:val="left"/>
              <w:rPr>
                <w:rFonts w:ascii="Arial Narrow" w:hAnsi="Arial Narrow"/>
              </w:rPr>
            </w:pPr>
            <w:r w:rsidRPr="007A6342">
              <w:rPr>
                <w:rFonts w:ascii="Arial Narrow" w:hAnsi="Arial Narrow"/>
              </w:rPr>
              <w:t>OE</w:t>
            </w:r>
          </w:p>
        </w:tc>
        <w:tc>
          <w:tcPr>
            <w:tcW w:w="7488" w:type="dxa"/>
          </w:tcPr>
          <w:p w14:paraId="2B5D00A4" w14:textId="77C26B49" w:rsidR="007B12EF" w:rsidRPr="007A6342" w:rsidRDefault="007B12EF" w:rsidP="00E66574">
            <w:pPr>
              <w:pStyle w:val="NoSpacing"/>
              <w:rPr>
                <w:rFonts w:ascii="Arial Narrow" w:hAnsi="Arial Narrow"/>
              </w:rPr>
            </w:pPr>
            <w:r w:rsidRPr="007A6342">
              <w:rPr>
                <w:rFonts w:ascii="Arial Narrow" w:hAnsi="Arial Narrow"/>
              </w:rPr>
              <w:t>Organismo Ejecutor</w:t>
            </w:r>
            <w:r w:rsidR="00A62CA7">
              <w:rPr>
                <w:rFonts w:ascii="Arial Narrow" w:hAnsi="Arial Narrow"/>
              </w:rPr>
              <w:t xml:space="preserve"> </w:t>
            </w:r>
          </w:p>
        </w:tc>
      </w:tr>
      <w:tr w:rsidR="00C0782B" w:rsidRPr="00983EE0" w14:paraId="23FEEC8A" w14:textId="77777777" w:rsidTr="00A648BD">
        <w:trPr>
          <w:gridAfter w:val="1"/>
          <w:wAfter w:w="27" w:type="dxa"/>
          <w:trHeight w:val="283"/>
        </w:trPr>
        <w:tc>
          <w:tcPr>
            <w:tcW w:w="1699" w:type="dxa"/>
          </w:tcPr>
          <w:p w14:paraId="6DEF5F27" w14:textId="28C9AEFB" w:rsidR="00C0782B" w:rsidRPr="007A6342" w:rsidRDefault="00C0782B" w:rsidP="002C7221">
            <w:pPr>
              <w:pStyle w:val="NoSpacing"/>
              <w:jc w:val="left"/>
              <w:rPr>
                <w:rFonts w:ascii="Arial Narrow" w:hAnsi="Arial Narrow"/>
              </w:rPr>
            </w:pPr>
            <w:r>
              <w:rPr>
                <w:rFonts w:ascii="Arial Narrow" w:hAnsi="Arial Narrow"/>
              </w:rPr>
              <w:t>OSE</w:t>
            </w:r>
          </w:p>
        </w:tc>
        <w:tc>
          <w:tcPr>
            <w:tcW w:w="7488" w:type="dxa"/>
          </w:tcPr>
          <w:p w14:paraId="13224006" w14:textId="06673EA1" w:rsidR="00C0782B" w:rsidRPr="007A6342" w:rsidRDefault="00C0782B" w:rsidP="00E66574">
            <w:pPr>
              <w:pStyle w:val="NoSpacing"/>
              <w:rPr>
                <w:rFonts w:ascii="Arial Narrow" w:hAnsi="Arial Narrow"/>
              </w:rPr>
            </w:pPr>
            <w:r>
              <w:rPr>
                <w:rFonts w:ascii="Arial Narrow" w:hAnsi="Arial Narrow"/>
              </w:rPr>
              <w:t>Organismo Subejecutor</w:t>
            </w:r>
          </w:p>
        </w:tc>
      </w:tr>
      <w:tr w:rsidR="00017940" w:rsidRPr="00234138" w14:paraId="6524530A" w14:textId="77777777" w:rsidTr="00A648BD">
        <w:trPr>
          <w:gridAfter w:val="1"/>
          <w:wAfter w:w="27" w:type="dxa"/>
          <w:trHeight w:val="283"/>
        </w:trPr>
        <w:tc>
          <w:tcPr>
            <w:tcW w:w="1699" w:type="dxa"/>
          </w:tcPr>
          <w:p w14:paraId="3AB4B5DF" w14:textId="77777777" w:rsidR="00017940" w:rsidRPr="007A6342" w:rsidRDefault="00017940" w:rsidP="002C7221">
            <w:pPr>
              <w:pStyle w:val="NoSpacing"/>
              <w:jc w:val="left"/>
              <w:rPr>
                <w:rFonts w:ascii="Arial Narrow" w:hAnsi="Arial Narrow"/>
              </w:rPr>
            </w:pPr>
            <w:r w:rsidRPr="007A6342">
              <w:rPr>
                <w:rFonts w:ascii="Arial Narrow" w:hAnsi="Arial Narrow"/>
              </w:rPr>
              <w:t>PA</w:t>
            </w:r>
          </w:p>
        </w:tc>
        <w:tc>
          <w:tcPr>
            <w:tcW w:w="7488" w:type="dxa"/>
          </w:tcPr>
          <w:p w14:paraId="41B202DB" w14:textId="77777777" w:rsidR="00017940" w:rsidRPr="007A6342" w:rsidRDefault="00017940" w:rsidP="00E66574">
            <w:pPr>
              <w:pStyle w:val="NoSpacing"/>
              <w:rPr>
                <w:rFonts w:ascii="Arial Narrow" w:hAnsi="Arial Narrow"/>
              </w:rPr>
            </w:pPr>
            <w:r w:rsidRPr="007A6342">
              <w:rPr>
                <w:rFonts w:ascii="Arial Narrow" w:hAnsi="Arial Narrow"/>
              </w:rPr>
              <w:t>Plan de Adquisiciones</w:t>
            </w:r>
          </w:p>
        </w:tc>
      </w:tr>
      <w:tr w:rsidR="00C0782B" w:rsidRPr="00234138" w14:paraId="1C86BA21" w14:textId="77777777" w:rsidTr="00A648BD">
        <w:trPr>
          <w:gridAfter w:val="1"/>
          <w:wAfter w:w="27" w:type="dxa"/>
          <w:trHeight w:val="283"/>
        </w:trPr>
        <w:tc>
          <w:tcPr>
            <w:tcW w:w="1699" w:type="dxa"/>
          </w:tcPr>
          <w:p w14:paraId="62C2A24A" w14:textId="54FE5AD3" w:rsidR="00C0782B" w:rsidRPr="007A6342" w:rsidRDefault="00C0782B" w:rsidP="002C7221">
            <w:pPr>
              <w:pStyle w:val="NoSpacing"/>
              <w:jc w:val="left"/>
              <w:rPr>
                <w:rFonts w:ascii="Arial Narrow" w:hAnsi="Arial Narrow"/>
              </w:rPr>
            </w:pPr>
            <w:r>
              <w:rPr>
                <w:rFonts w:ascii="Arial Narrow" w:hAnsi="Arial Narrow"/>
              </w:rPr>
              <w:t>PAI</w:t>
            </w:r>
          </w:p>
        </w:tc>
        <w:tc>
          <w:tcPr>
            <w:tcW w:w="7488" w:type="dxa"/>
          </w:tcPr>
          <w:p w14:paraId="5FD8D596" w14:textId="2718742D" w:rsidR="00C0782B" w:rsidRPr="007A6342" w:rsidRDefault="00C0782B" w:rsidP="00E66574">
            <w:pPr>
              <w:pStyle w:val="NoSpacing"/>
              <w:rPr>
                <w:rFonts w:ascii="Arial Narrow" w:hAnsi="Arial Narrow"/>
              </w:rPr>
            </w:pPr>
            <w:r>
              <w:rPr>
                <w:rFonts w:ascii="Arial Narrow" w:hAnsi="Arial Narrow"/>
              </w:rPr>
              <w:t>Plan Anual de Inversiones</w:t>
            </w:r>
          </w:p>
        </w:tc>
      </w:tr>
      <w:tr w:rsidR="00017940" w:rsidRPr="00234138" w14:paraId="0A2DB606" w14:textId="77777777" w:rsidTr="00A648BD">
        <w:trPr>
          <w:gridAfter w:val="1"/>
          <w:wAfter w:w="27" w:type="dxa"/>
          <w:trHeight w:val="283"/>
        </w:trPr>
        <w:tc>
          <w:tcPr>
            <w:tcW w:w="1699" w:type="dxa"/>
          </w:tcPr>
          <w:p w14:paraId="70C62E43" w14:textId="77777777" w:rsidR="00017940" w:rsidRPr="007A6342" w:rsidRDefault="00017940" w:rsidP="002C7221">
            <w:pPr>
              <w:pStyle w:val="NoSpacing"/>
              <w:jc w:val="left"/>
              <w:rPr>
                <w:rFonts w:ascii="Arial Narrow" w:hAnsi="Arial Narrow"/>
              </w:rPr>
            </w:pPr>
            <w:r w:rsidRPr="007A6342">
              <w:rPr>
                <w:rFonts w:ascii="Arial Narrow" w:hAnsi="Arial Narrow"/>
              </w:rPr>
              <w:t>PEP</w:t>
            </w:r>
          </w:p>
        </w:tc>
        <w:tc>
          <w:tcPr>
            <w:tcW w:w="7488" w:type="dxa"/>
          </w:tcPr>
          <w:p w14:paraId="7DE9B766" w14:textId="77777777" w:rsidR="00017940" w:rsidRPr="007A6342" w:rsidRDefault="00017940" w:rsidP="00E66574">
            <w:pPr>
              <w:pStyle w:val="NoSpacing"/>
              <w:rPr>
                <w:rFonts w:ascii="Arial Narrow" w:hAnsi="Arial Narrow"/>
              </w:rPr>
            </w:pPr>
            <w:r w:rsidRPr="007A6342">
              <w:rPr>
                <w:rFonts w:ascii="Arial Narrow" w:hAnsi="Arial Narrow"/>
              </w:rPr>
              <w:t>Plan de Ejecución del Programa</w:t>
            </w:r>
          </w:p>
        </w:tc>
      </w:tr>
      <w:tr w:rsidR="002A7974" w:rsidRPr="00234138" w14:paraId="206E8442" w14:textId="77777777" w:rsidTr="00A648BD">
        <w:trPr>
          <w:gridAfter w:val="1"/>
          <w:wAfter w:w="27" w:type="dxa"/>
          <w:trHeight w:val="283"/>
        </w:trPr>
        <w:tc>
          <w:tcPr>
            <w:tcW w:w="1699" w:type="dxa"/>
          </w:tcPr>
          <w:p w14:paraId="16ACC24C" w14:textId="77777777" w:rsidR="002A7974" w:rsidRPr="007A6342" w:rsidRDefault="002A7974" w:rsidP="002C7221">
            <w:pPr>
              <w:pStyle w:val="NoSpacing"/>
              <w:jc w:val="left"/>
              <w:rPr>
                <w:rFonts w:ascii="Arial Narrow" w:hAnsi="Arial Narrow"/>
              </w:rPr>
            </w:pPr>
            <w:r w:rsidRPr="007A6342">
              <w:rPr>
                <w:rFonts w:ascii="Arial Narrow" w:hAnsi="Arial Narrow"/>
              </w:rPr>
              <w:t>PF</w:t>
            </w:r>
          </w:p>
        </w:tc>
        <w:tc>
          <w:tcPr>
            <w:tcW w:w="7488" w:type="dxa"/>
          </w:tcPr>
          <w:p w14:paraId="7CA6A756" w14:textId="77777777" w:rsidR="002A7974" w:rsidRPr="007A6342" w:rsidRDefault="002A7974" w:rsidP="00E66574">
            <w:pPr>
              <w:pStyle w:val="NoSpacing"/>
              <w:rPr>
                <w:rFonts w:ascii="Arial Narrow" w:hAnsi="Arial Narrow"/>
              </w:rPr>
            </w:pPr>
            <w:r w:rsidRPr="007A6342">
              <w:rPr>
                <w:rFonts w:ascii="Arial Narrow" w:hAnsi="Arial Narrow"/>
              </w:rPr>
              <w:t>Plan Financiero</w:t>
            </w:r>
          </w:p>
        </w:tc>
      </w:tr>
      <w:tr w:rsidR="00017940" w:rsidRPr="00234138" w14:paraId="68F5BF47" w14:textId="77777777" w:rsidTr="00A648BD">
        <w:trPr>
          <w:gridAfter w:val="1"/>
          <w:wAfter w:w="27" w:type="dxa"/>
          <w:trHeight w:val="283"/>
        </w:trPr>
        <w:tc>
          <w:tcPr>
            <w:tcW w:w="1699" w:type="dxa"/>
          </w:tcPr>
          <w:p w14:paraId="4B005DCA" w14:textId="77777777" w:rsidR="00017940" w:rsidRPr="007A6342" w:rsidRDefault="00017940" w:rsidP="002C7221">
            <w:pPr>
              <w:pStyle w:val="NoSpacing"/>
              <w:jc w:val="left"/>
              <w:rPr>
                <w:rFonts w:ascii="Arial Narrow" w:hAnsi="Arial Narrow"/>
              </w:rPr>
            </w:pPr>
            <w:r w:rsidRPr="007A6342">
              <w:rPr>
                <w:rFonts w:ascii="Arial Narrow" w:hAnsi="Arial Narrow"/>
              </w:rPr>
              <w:t>POA</w:t>
            </w:r>
          </w:p>
        </w:tc>
        <w:tc>
          <w:tcPr>
            <w:tcW w:w="7488" w:type="dxa"/>
          </w:tcPr>
          <w:p w14:paraId="681AD8A2" w14:textId="77777777" w:rsidR="00017940" w:rsidRPr="007A6342" w:rsidRDefault="00017940" w:rsidP="00E66574">
            <w:pPr>
              <w:pStyle w:val="NoSpacing"/>
              <w:rPr>
                <w:rFonts w:ascii="Arial Narrow" w:hAnsi="Arial Narrow"/>
              </w:rPr>
            </w:pPr>
            <w:r w:rsidRPr="007A6342">
              <w:rPr>
                <w:rFonts w:ascii="Arial Narrow" w:hAnsi="Arial Narrow"/>
              </w:rPr>
              <w:t>Plan Operativo Anual</w:t>
            </w:r>
          </w:p>
        </w:tc>
      </w:tr>
      <w:tr w:rsidR="00215D9B" w:rsidRPr="00234138" w14:paraId="01831E04" w14:textId="77777777" w:rsidTr="00A648BD">
        <w:trPr>
          <w:gridAfter w:val="1"/>
          <w:wAfter w:w="27" w:type="dxa"/>
          <w:trHeight w:val="283"/>
        </w:trPr>
        <w:tc>
          <w:tcPr>
            <w:tcW w:w="1699" w:type="dxa"/>
          </w:tcPr>
          <w:p w14:paraId="11A42187" w14:textId="4C778DE7" w:rsidR="00215D9B" w:rsidRPr="007A6342" w:rsidRDefault="00215D9B" w:rsidP="002C7221">
            <w:pPr>
              <w:pStyle w:val="NoSpacing"/>
              <w:jc w:val="left"/>
              <w:rPr>
                <w:rFonts w:ascii="Arial Narrow" w:hAnsi="Arial Narrow"/>
              </w:rPr>
            </w:pPr>
            <w:r>
              <w:rPr>
                <w:rFonts w:ascii="Arial Narrow" w:hAnsi="Arial Narrow"/>
              </w:rPr>
              <w:t>PIRIS</w:t>
            </w:r>
          </w:p>
        </w:tc>
        <w:tc>
          <w:tcPr>
            <w:tcW w:w="7488" w:type="dxa"/>
          </w:tcPr>
          <w:p w14:paraId="60A6FEA0" w14:textId="57D41FB8" w:rsidR="00215D9B" w:rsidRPr="007A6342" w:rsidRDefault="00215D9B" w:rsidP="00E66574">
            <w:pPr>
              <w:pStyle w:val="NoSpacing"/>
              <w:rPr>
                <w:rFonts w:ascii="Arial Narrow" w:hAnsi="Arial Narrow"/>
              </w:rPr>
            </w:pPr>
            <w:r w:rsidRPr="00215D9B">
              <w:rPr>
                <w:rFonts w:ascii="Arial Narrow" w:hAnsi="Arial Narrow"/>
              </w:rPr>
              <w:t>Planes de Inversión para la Reforma Institucional</w:t>
            </w:r>
          </w:p>
        </w:tc>
      </w:tr>
      <w:tr w:rsidR="007B1497" w:rsidRPr="00234138" w14:paraId="0AABD77C" w14:textId="77777777" w:rsidTr="00A648BD">
        <w:trPr>
          <w:gridAfter w:val="1"/>
          <w:wAfter w:w="27" w:type="dxa"/>
          <w:trHeight w:val="283"/>
        </w:trPr>
        <w:tc>
          <w:tcPr>
            <w:tcW w:w="1699" w:type="dxa"/>
          </w:tcPr>
          <w:p w14:paraId="36B7ED5F" w14:textId="77777777" w:rsidR="007B1497" w:rsidRPr="007A6342" w:rsidRDefault="007B1497" w:rsidP="002C7221">
            <w:pPr>
              <w:pStyle w:val="NoSpacing"/>
              <w:jc w:val="left"/>
              <w:rPr>
                <w:rFonts w:ascii="Arial Narrow" w:hAnsi="Arial Narrow"/>
              </w:rPr>
            </w:pPr>
            <w:r w:rsidRPr="007A6342">
              <w:rPr>
                <w:rFonts w:ascii="Arial Narrow" w:hAnsi="Arial Narrow"/>
              </w:rPr>
              <w:t>PMR</w:t>
            </w:r>
          </w:p>
        </w:tc>
        <w:tc>
          <w:tcPr>
            <w:tcW w:w="7488" w:type="dxa"/>
          </w:tcPr>
          <w:p w14:paraId="491A228A" w14:textId="1BAEBDA7" w:rsidR="007B1497" w:rsidRPr="007A6342" w:rsidRDefault="0074720C" w:rsidP="00E66574">
            <w:pPr>
              <w:pStyle w:val="NoSpacing"/>
              <w:rPr>
                <w:rFonts w:ascii="Arial Narrow" w:hAnsi="Arial Narrow"/>
              </w:rPr>
            </w:pPr>
            <w:r w:rsidRPr="007A6342">
              <w:rPr>
                <w:rFonts w:ascii="Arial Narrow" w:hAnsi="Arial Narrow"/>
                <w:i/>
              </w:rPr>
              <w:t>Project Monitoring Report</w:t>
            </w:r>
            <w:r w:rsidR="009B569E" w:rsidRPr="007A6342">
              <w:rPr>
                <w:rFonts w:ascii="Arial Narrow" w:hAnsi="Arial Narrow"/>
                <w:i/>
              </w:rPr>
              <w:t xml:space="preserve"> </w:t>
            </w:r>
            <w:r w:rsidR="004170E1" w:rsidRPr="007A6342">
              <w:rPr>
                <w:rFonts w:ascii="Arial Narrow" w:hAnsi="Arial Narrow"/>
              </w:rPr>
              <w:t>–</w:t>
            </w:r>
            <w:r w:rsidR="009B569E" w:rsidRPr="007A6342">
              <w:rPr>
                <w:rFonts w:ascii="Arial Narrow" w:hAnsi="Arial Narrow"/>
              </w:rPr>
              <w:t xml:space="preserve"> Reporte de Monitoreo </w:t>
            </w:r>
            <w:r w:rsidR="001D7831" w:rsidRPr="007A6342">
              <w:rPr>
                <w:rFonts w:ascii="Arial Narrow" w:hAnsi="Arial Narrow"/>
              </w:rPr>
              <w:t>del Programa</w:t>
            </w:r>
          </w:p>
        </w:tc>
      </w:tr>
      <w:tr w:rsidR="00215D9B" w:rsidRPr="00234138" w14:paraId="3606DE37" w14:textId="77777777" w:rsidTr="00A648BD">
        <w:trPr>
          <w:gridAfter w:val="1"/>
          <w:wAfter w:w="27" w:type="dxa"/>
          <w:trHeight w:val="283"/>
        </w:trPr>
        <w:tc>
          <w:tcPr>
            <w:tcW w:w="1699" w:type="dxa"/>
          </w:tcPr>
          <w:p w14:paraId="2562132A" w14:textId="0370AB4C" w:rsidR="00215D9B" w:rsidRPr="007A6342" w:rsidRDefault="00215D9B" w:rsidP="002C7221">
            <w:pPr>
              <w:pStyle w:val="NoSpacing"/>
              <w:jc w:val="left"/>
              <w:rPr>
                <w:rFonts w:ascii="Arial Narrow" w:hAnsi="Arial Narrow"/>
              </w:rPr>
            </w:pPr>
            <w:r w:rsidRPr="00215D9B">
              <w:rPr>
                <w:rFonts w:ascii="Arial Narrow" w:hAnsi="Arial Narrow"/>
              </w:rPr>
              <w:t>PRIGP-MDT</w:t>
            </w:r>
          </w:p>
        </w:tc>
        <w:tc>
          <w:tcPr>
            <w:tcW w:w="7488" w:type="dxa"/>
          </w:tcPr>
          <w:p w14:paraId="3E8601FB" w14:textId="6EE541B3" w:rsidR="00215D9B" w:rsidRPr="00215D9B" w:rsidRDefault="00215D9B" w:rsidP="00E66574">
            <w:pPr>
              <w:pStyle w:val="NoSpacing"/>
              <w:rPr>
                <w:rFonts w:ascii="Arial Narrow" w:hAnsi="Arial Narrow"/>
                <w:iCs/>
              </w:rPr>
            </w:pPr>
            <w:r w:rsidRPr="00215D9B">
              <w:rPr>
                <w:rFonts w:ascii="Arial Narrow" w:hAnsi="Arial Narrow"/>
                <w:iCs/>
              </w:rPr>
              <w:t>Programa de Reforma Institucional de la Gestión Pública, CUP 30400000.1780.7402</w:t>
            </w:r>
          </w:p>
        </w:tc>
      </w:tr>
      <w:tr w:rsidR="00F72564" w:rsidRPr="00234138" w14:paraId="72925126" w14:textId="77777777" w:rsidTr="00A648BD">
        <w:trPr>
          <w:gridAfter w:val="1"/>
          <w:wAfter w:w="27" w:type="dxa"/>
          <w:trHeight w:val="283"/>
        </w:trPr>
        <w:tc>
          <w:tcPr>
            <w:tcW w:w="1699" w:type="dxa"/>
          </w:tcPr>
          <w:p w14:paraId="7D76713B" w14:textId="471D5986" w:rsidR="00F72564" w:rsidRPr="007A6342" w:rsidRDefault="00F72564" w:rsidP="002C7221">
            <w:pPr>
              <w:pStyle w:val="NoSpacing"/>
              <w:jc w:val="left"/>
              <w:rPr>
                <w:rFonts w:ascii="Arial Narrow" w:hAnsi="Arial Narrow"/>
              </w:rPr>
            </w:pPr>
            <w:r w:rsidRPr="007A6342">
              <w:rPr>
                <w:rFonts w:ascii="Arial Narrow" w:hAnsi="Arial Narrow"/>
              </w:rPr>
              <w:t>RO</w:t>
            </w:r>
            <w:r w:rsidR="00132A3B">
              <w:rPr>
                <w:rFonts w:ascii="Arial Narrow" w:hAnsi="Arial Narrow"/>
              </w:rPr>
              <w:t>P</w:t>
            </w:r>
          </w:p>
        </w:tc>
        <w:tc>
          <w:tcPr>
            <w:tcW w:w="7488" w:type="dxa"/>
          </w:tcPr>
          <w:p w14:paraId="43E2E5AF" w14:textId="454C3561" w:rsidR="00F72564" w:rsidRPr="007A6342" w:rsidRDefault="00F72564" w:rsidP="00234138">
            <w:pPr>
              <w:pStyle w:val="NoSpacing"/>
              <w:rPr>
                <w:rFonts w:ascii="Arial Narrow" w:hAnsi="Arial Narrow"/>
              </w:rPr>
            </w:pPr>
            <w:r w:rsidRPr="007A6342">
              <w:rPr>
                <w:rFonts w:ascii="Arial Narrow" w:hAnsi="Arial Narrow"/>
              </w:rPr>
              <w:t xml:space="preserve">Reglamento Operativo del Programa </w:t>
            </w:r>
          </w:p>
        </w:tc>
      </w:tr>
      <w:tr w:rsidR="00581748" w:rsidRPr="00234138" w14:paraId="5A356F64" w14:textId="77777777" w:rsidTr="00A648BD">
        <w:trPr>
          <w:gridAfter w:val="1"/>
          <w:wAfter w:w="27" w:type="dxa"/>
          <w:trHeight w:val="283"/>
        </w:trPr>
        <w:tc>
          <w:tcPr>
            <w:tcW w:w="1699" w:type="dxa"/>
          </w:tcPr>
          <w:p w14:paraId="0403412C" w14:textId="7B73DC28" w:rsidR="00581748" w:rsidRPr="007A6342" w:rsidRDefault="00581748" w:rsidP="002C7221">
            <w:pPr>
              <w:pStyle w:val="NoSpacing"/>
              <w:jc w:val="left"/>
              <w:rPr>
                <w:rFonts w:ascii="Arial Narrow" w:hAnsi="Arial Narrow"/>
              </w:rPr>
            </w:pPr>
            <w:r>
              <w:rPr>
                <w:rFonts w:ascii="Arial Narrow" w:hAnsi="Arial Narrow"/>
              </w:rPr>
              <w:t>SERCOP</w:t>
            </w:r>
          </w:p>
        </w:tc>
        <w:tc>
          <w:tcPr>
            <w:tcW w:w="7488" w:type="dxa"/>
          </w:tcPr>
          <w:p w14:paraId="0BE7E47E" w14:textId="68433320" w:rsidR="00581748" w:rsidRPr="007A6342" w:rsidRDefault="00581748" w:rsidP="00234138">
            <w:pPr>
              <w:pStyle w:val="NoSpacing"/>
              <w:rPr>
                <w:rFonts w:ascii="Arial Narrow" w:hAnsi="Arial Narrow"/>
              </w:rPr>
            </w:pPr>
            <w:r>
              <w:rPr>
                <w:rFonts w:ascii="Arial Narrow" w:hAnsi="Arial Narrow"/>
              </w:rPr>
              <w:t>Servicio Nacional de Contratación Pública</w:t>
            </w:r>
          </w:p>
        </w:tc>
      </w:tr>
      <w:tr w:rsidR="00AA610A" w:rsidRPr="00234138" w14:paraId="550A86DB" w14:textId="77777777" w:rsidTr="00A648BD">
        <w:trPr>
          <w:gridAfter w:val="1"/>
          <w:wAfter w:w="27" w:type="dxa"/>
          <w:trHeight w:val="283"/>
        </w:trPr>
        <w:tc>
          <w:tcPr>
            <w:tcW w:w="1699" w:type="dxa"/>
          </w:tcPr>
          <w:p w14:paraId="0849C7E2" w14:textId="09AA954D" w:rsidR="00AA610A" w:rsidRPr="007A6342" w:rsidRDefault="00AA610A" w:rsidP="00AA610A">
            <w:pPr>
              <w:pStyle w:val="NoSpacing"/>
              <w:jc w:val="left"/>
              <w:rPr>
                <w:rFonts w:ascii="Arial Narrow" w:hAnsi="Arial Narrow"/>
              </w:rPr>
            </w:pPr>
            <w:r w:rsidRPr="007A6342">
              <w:rPr>
                <w:rFonts w:ascii="Arial Narrow" w:hAnsi="Arial Narrow"/>
              </w:rPr>
              <w:t>SNCP</w:t>
            </w:r>
          </w:p>
        </w:tc>
        <w:tc>
          <w:tcPr>
            <w:tcW w:w="7488" w:type="dxa"/>
          </w:tcPr>
          <w:p w14:paraId="1185CCB2" w14:textId="733E580E" w:rsidR="00AA610A" w:rsidRPr="007A6342" w:rsidRDefault="00AA610A" w:rsidP="00E66574">
            <w:pPr>
              <w:pStyle w:val="NoSpacing"/>
              <w:rPr>
                <w:rFonts w:ascii="Arial Narrow" w:hAnsi="Arial Narrow"/>
              </w:rPr>
            </w:pPr>
            <w:r w:rsidRPr="007A6342">
              <w:rPr>
                <w:rFonts w:ascii="Arial Narrow" w:hAnsi="Arial Narrow"/>
              </w:rPr>
              <w:t>Sistemas Nacionales de Contratación Pública</w:t>
            </w:r>
          </w:p>
        </w:tc>
      </w:tr>
      <w:tr w:rsidR="001A6CAB" w:rsidRPr="00234138" w14:paraId="56F4A772" w14:textId="77777777" w:rsidTr="00A648BD">
        <w:trPr>
          <w:gridAfter w:val="1"/>
          <w:wAfter w:w="27" w:type="dxa"/>
          <w:trHeight w:val="283"/>
        </w:trPr>
        <w:tc>
          <w:tcPr>
            <w:tcW w:w="1699" w:type="dxa"/>
          </w:tcPr>
          <w:p w14:paraId="7E0CAAED" w14:textId="77777777" w:rsidR="001A6CAB" w:rsidRPr="007A6342" w:rsidRDefault="001A6CAB" w:rsidP="002C7221">
            <w:pPr>
              <w:pStyle w:val="NoSpacing"/>
              <w:jc w:val="left"/>
              <w:rPr>
                <w:rFonts w:ascii="Arial Narrow" w:hAnsi="Arial Narrow"/>
              </w:rPr>
            </w:pPr>
            <w:r w:rsidRPr="007A6342">
              <w:rPr>
                <w:rFonts w:ascii="Arial Narrow" w:hAnsi="Arial Narrow"/>
              </w:rPr>
              <w:t>SEP</w:t>
            </w:r>
          </w:p>
        </w:tc>
        <w:tc>
          <w:tcPr>
            <w:tcW w:w="7488" w:type="dxa"/>
          </w:tcPr>
          <w:p w14:paraId="47064793" w14:textId="77777777" w:rsidR="001A6CAB" w:rsidRPr="007A6342" w:rsidRDefault="001A6CAB" w:rsidP="00E66574">
            <w:pPr>
              <w:pStyle w:val="NoSpacing"/>
              <w:rPr>
                <w:rFonts w:ascii="Arial Narrow" w:hAnsi="Arial Narrow"/>
              </w:rPr>
            </w:pPr>
            <w:r w:rsidRPr="007A6342">
              <w:rPr>
                <w:rFonts w:ascii="Arial Narrow" w:hAnsi="Arial Narrow"/>
              </w:rPr>
              <w:t xml:space="preserve">Solicitud Estándar de </w:t>
            </w:r>
            <w:r w:rsidR="00F6541D" w:rsidRPr="007A6342">
              <w:rPr>
                <w:rFonts w:ascii="Arial Narrow" w:hAnsi="Arial Narrow"/>
              </w:rPr>
              <w:t>Propuestas</w:t>
            </w:r>
          </w:p>
        </w:tc>
      </w:tr>
      <w:tr w:rsidR="00397985" w:rsidRPr="00234138" w14:paraId="60161048" w14:textId="77777777" w:rsidTr="00A648BD">
        <w:trPr>
          <w:gridAfter w:val="1"/>
          <w:wAfter w:w="27" w:type="dxa"/>
          <w:trHeight w:val="283"/>
        </w:trPr>
        <w:tc>
          <w:tcPr>
            <w:tcW w:w="1699" w:type="dxa"/>
          </w:tcPr>
          <w:p w14:paraId="464693B6" w14:textId="77777777" w:rsidR="00397985" w:rsidRPr="007A6342" w:rsidRDefault="00397985" w:rsidP="002C7221">
            <w:pPr>
              <w:pStyle w:val="NoSpacing"/>
              <w:jc w:val="left"/>
              <w:rPr>
                <w:rFonts w:ascii="Arial Narrow" w:hAnsi="Arial Narrow"/>
              </w:rPr>
            </w:pPr>
            <w:r w:rsidRPr="007A6342">
              <w:rPr>
                <w:rFonts w:ascii="Arial Narrow" w:hAnsi="Arial Narrow"/>
              </w:rPr>
              <w:t>TDR</w:t>
            </w:r>
          </w:p>
        </w:tc>
        <w:tc>
          <w:tcPr>
            <w:tcW w:w="7488" w:type="dxa"/>
          </w:tcPr>
          <w:p w14:paraId="1C9D781F" w14:textId="77777777" w:rsidR="00397985" w:rsidRPr="007A6342" w:rsidRDefault="00397985" w:rsidP="002B3E2E">
            <w:pPr>
              <w:pStyle w:val="NoSpacing"/>
              <w:rPr>
                <w:rFonts w:ascii="Arial Narrow" w:hAnsi="Arial Narrow"/>
              </w:rPr>
            </w:pPr>
            <w:r w:rsidRPr="007A6342">
              <w:rPr>
                <w:rFonts w:ascii="Arial Narrow" w:hAnsi="Arial Narrow"/>
              </w:rPr>
              <w:t>Términos de Referencia</w:t>
            </w:r>
          </w:p>
        </w:tc>
      </w:tr>
      <w:tr w:rsidR="00C0782B" w:rsidRPr="00234138" w14:paraId="1FF036D7" w14:textId="77777777" w:rsidTr="00A648BD">
        <w:trPr>
          <w:gridAfter w:val="1"/>
          <w:wAfter w:w="27" w:type="dxa"/>
          <w:trHeight w:val="283"/>
        </w:trPr>
        <w:tc>
          <w:tcPr>
            <w:tcW w:w="1699" w:type="dxa"/>
          </w:tcPr>
          <w:p w14:paraId="7D213514" w14:textId="17DD5251" w:rsidR="00C0782B" w:rsidRPr="007A6342" w:rsidRDefault="00C0782B" w:rsidP="002C7221">
            <w:pPr>
              <w:pStyle w:val="NoSpacing"/>
              <w:jc w:val="left"/>
              <w:rPr>
                <w:rFonts w:ascii="Arial Narrow" w:hAnsi="Arial Narrow"/>
              </w:rPr>
            </w:pPr>
            <w:r>
              <w:rPr>
                <w:rFonts w:ascii="Arial Narrow" w:hAnsi="Arial Narrow"/>
              </w:rPr>
              <w:t>VPR</w:t>
            </w:r>
          </w:p>
        </w:tc>
        <w:tc>
          <w:tcPr>
            <w:tcW w:w="7488" w:type="dxa"/>
          </w:tcPr>
          <w:p w14:paraId="7DFE4D81" w14:textId="17B2C170" w:rsidR="00C0782B" w:rsidRPr="007A6342" w:rsidRDefault="00C0782B" w:rsidP="002B3E2E">
            <w:pPr>
              <w:pStyle w:val="NoSpacing"/>
              <w:rPr>
                <w:rFonts w:ascii="Arial Narrow" w:hAnsi="Arial Narrow"/>
              </w:rPr>
            </w:pPr>
            <w:r>
              <w:rPr>
                <w:rFonts w:ascii="Arial Narrow" w:hAnsi="Arial Narrow"/>
              </w:rPr>
              <w:t>Vicepresidencia de la República</w:t>
            </w:r>
          </w:p>
        </w:tc>
      </w:tr>
    </w:tbl>
    <w:p w14:paraId="7EFD7A3D" w14:textId="77777777" w:rsidR="002B3E2E" w:rsidRDefault="002B3E2E" w:rsidP="003B1B28">
      <w:pPr>
        <w:jc w:val="left"/>
        <w:rPr>
          <w:rFonts w:eastAsiaTheme="majorEastAsia" w:cstheme="majorBidi"/>
          <w:b/>
          <w:smallCaps/>
          <w:color w:val="0092C4"/>
          <w:sz w:val="28"/>
          <w:szCs w:val="32"/>
        </w:rPr>
      </w:pPr>
    </w:p>
    <w:p w14:paraId="5D47734A" w14:textId="77777777" w:rsidR="00CB521C" w:rsidRDefault="00CB521C" w:rsidP="003B1B28">
      <w:pPr>
        <w:jc w:val="left"/>
        <w:rPr>
          <w:rFonts w:eastAsiaTheme="majorEastAsia" w:cstheme="majorBidi"/>
          <w:b/>
          <w:smallCaps/>
          <w:color w:val="0092C4"/>
          <w:sz w:val="28"/>
          <w:szCs w:val="32"/>
        </w:rPr>
      </w:pPr>
    </w:p>
    <w:p w14:paraId="191EC4E9" w14:textId="77777777" w:rsidR="000500B3" w:rsidRDefault="00250C44" w:rsidP="009F3496">
      <w:pPr>
        <w:pStyle w:val="Heading1"/>
      </w:pPr>
      <w:bookmarkStart w:id="3" w:name="_Toc424879189"/>
      <w:bookmarkStart w:id="4" w:name="_Toc454056444"/>
      <w:bookmarkStart w:id="5" w:name="_Toc23797291"/>
      <w:r>
        <w:lastRenderedPageBreak/>
        <w:t>Objetivo y Alcance del Reglamento Operativo</w:t>
      </w:r>
      <w:bookmarkEnd w:id="3"/>
      <w:bookmarkEnd w:id="4"/>
      <w:bookmarkEnd w:id="5"/>
    </w:p>
    <w:p w14:paraId="4C74EF1E" w14:textId="0712E053" w:rsidR="00250C44" w:rsidRDefault="00250C44" w:rsidP="00A94976">
      <w:pPr>
        <w:pStyle w:val="Heading2"/>
      </w:pPr>
      <w:bookmarkStart w:id="6" w:name="_Toc424879190"/>
      <w:bookmarkStart w:id="7" w:name="_Toc454056445"/>
      <w:bookmarkStart w:id="8" w:name="_Toc23797292"/>
      <w:r>
        <w:t>Objetivo</w:t>
      </w:r>
      <w:r w:rsidR="008B0157">
        <w:t xml:space="preserve"> del Reglamento Operativo</w:t>
      </w:r>
      <w:bookmarkEnd w:id="6"/>
      <w:bookmarkEnd w:id="7"/>
      <w:bookmarkEnd w:id="8"/>
    </w:p>
    <w:p w14:paraId="3D062EE3" w14:textId="15160FEA" w:rsidR="006B417E" w:rsidRDefault="00A56731" w:rsidP="009B54B5">
      <w:pPr>
        <w:pStyle w:val="Estilo1"/>
      </w:pPr>
      <w:r w:rsidRPr="00A56731">
        <w:t xml:space="preserve">El </w:t>
      </w:r>
      <w:r>
        <w:t xml:space="preserve">Reglamento </w:t>
      </w:r>
      <w:r w:rsidRPr="00A56731">
        <w:t>Operativo (</w:t>
      </w:r>
      <w:r>
        <w:t>R</w:t>
      </w:r>
      <w:r w:rsidRPr="00A56731">
        <w:t>O</w:t>
      </w:r>
      <w:r w:rsidR="005A165B">
        <w:t>P</w:t>
      </w:r>
      <w:r w:rsidRPr="00A56731">
        <w:t>) tiene como objetivo</w:t>
      </w:r>
      <w:r w:rsidR="007E4D6C">
        <w:t xml:space="preserve"> normar y </w:t>
      </w:r>
      <w:r w:rsidRPr="00A56731">
        <w:t xml:space="preserve">establecer las </w:t>
      </w:r>
      <w:r>
        <w:t xml:space="preserve">directrices </w:t>
      </w:r>
      <w:r w:rsidRPr="00A56731">
        <w:t xml:space="preserve">y procedimientos que regirán la ejecución del </w:t>
      </w:r>
      <w:r w:rsidR="00DF4791" w:rsidRPr="00DF4791">
        <w:t>“Pro</w:t>
      </w:r>
      <w:r w:rsidR="004370A2">
        <w:t xml:space="preserve">grama </w:t>
      </w:r>
      <w:r w:rsidR="00DF4791" w:rsidRPr="00DF4791">
        <w:t>de Fortalecimiento Institucional para la Competitividad (EC-L1250)</w:t>
      </w:r>
      <w:r w:rsidR="004370A2">
        <w:t>”</w:t>
      </w:r>
      <w:r w:rsidRPr="00A56731">
        <w:t xml:space="preserve">, </w:t>
      </w:r>
      <w:r w:rsidR="00125C80" w:rsidRPr="00125C80">
        <w:t>en sujeción a las normas y demás disposiciones contenidas en el Contrato de Préstamo</w:t>
      </w:r>
      <w:r w:rsidR="00125C80" w:rsidRPr="00125C80">
        <w:rPr>
          <w:highlight w:val="yellow"/>
        </w:rPr>
        <w:t xml:space="preserve"> </w:t>
      </w:r>
      <w:r w:rsidR="00555922" w:rsidRPr="005A165B">
        <w:rPr>
          <w:highlight w:val="yellow"/>
        </w:rPr>
        <w:t>XXXX</w:t>
      </w:r>
      <w:r w:rsidR="00A038B9" w:rsidRPr="005A165B">
        <w:rPr>
          <w:highlight w:val="yellow"/>
        </w:rPr>
        <w:t>/OC-EC</w:t>
      </w:r>
      <w:r w:rsidRPr="00A56731">
        <w:t>.</w:t>
      </w:r>
    </w:p>
    <w:p w14:paraId="3887CCAD" w14:textId="5FB56A82" w:rsidR="00250C44" w:rsidRDefault="00250C44" w:rsidP="00A94976">
      <w:pPr>
        <w:pStyle w:val="Heading2"/>
      </w:pPr>
      <w:bookmarkStart w:id="9" w:name="_Toc424879191"/>
      <w:bookmarkStart w:id="10" w:name="_Toc454056446"/>
      <w:bookmarkStart w:id="11" w:name="_Toc23797293"/>
      <w:r>
        <w:t>Alcance</w:t>
      </w:r>
      <w:bookmarkEnd w:id="9"/>
      <w:bookmarkEnd w:id="10"/>
      <w:bookmarkEnd w:id="11"/>
    </w:p>
    <w:p w14:paraId="7C6E390B" w14:textId="7ACBEAC1" w:rsidR="00C472DD" w:rsidRPr="00C472DD" w:rsidRDefault="00F61752" w:rsidP="009B54B5">
      <w:pPr>
        <w:pStyle w:val="Estilo1"/>
      </w:pPr>
      <w:r>
        <w:t>El RO</w:t>
      </w:r>
      <w:r w:rsidR="005A165B">
        <w:t>P</w:t>
      </w:r>
      <w:r>
        <w:t>, está diseñado para</w:t>
      </w:r>
      <w:r w:rsidR="005505C0">
        <w:t xml:space="preserve"> </w:t>
      </w:r>
      <w:r>
        <w:t xml:space="preserve">facilitar la gestión </w:t>
      </w:r>
      <w:r w:rsidR="00DD6485">
        <w:t>y ejecución i</w:t>
      </w:r>
      <w:r w:rsidR="003278CA">
        <w:t>ntegral del Programa a</w:t>
      </w:r>
      <w:r w:rsidR="00DD6485">
        <w:t>l</w:t>
      </w:r>
      <w:r w:rsidR="005B482E">
        <w:t xml:space="preserve"> Organismo</w:t>
      </w:r>
      <w:r w:rsidR="00F002F2">
        <w:t xml:space="preserve"> </w:t>
      </w:r>
      <w:r w:rsidR="00B2749D">
        <w:t>E</w:t>
      </w:r>
      <w:r w:rsidR="00F002F2">
        <w:t>jecutor (OE</w:t>
      </w:r>
      <w:r w:rsidR="00F002F2" w:rsidRPr="001477F0">
        <w:t>)</w:t>
      </w:r>
      <w:r w:rsidR="00523F0E">
        <w:t xml:space="preserve">, a los Organismos Subejecutores (OSE) </w:t>
      </w:r>
      <w:r w:rsidR="005B482E">
        <w:t>y a</w:t>
      </w:r>
      <w:r w:rsidR="00DF4791">
        <w:t xml:space="preserve"> los demás </w:t>
      </w:r>
      <w:r w:rsidR="00492CEA">
        <w:t>Organismo</w:t>
      </w:r>
      <w:r w:rsidR="00DF4791">
        <w:t xml:space="preserve">s </w:t>
      </w:r>
      <w:r w:rsidR="00A673A3">
        <w:t>p</w:t>
      </w:r>
      <w:r w:rsidR="00DF4791">
        <w:t>articipantes</w:t>
      </w:r>
      <w:r w:rsidR="001C3557">
        <w:t xml:space="preserve"> </w:t>
      </w:r>
      <w:r w:rsidR="00DF4791">
        <w:t>en la ejecución d</w:t>
      </w:r>
      <w:r w:rsidR="005B482E">
        <w:t>el Programa</w:t>
      </w:r>
      <w:r w:rsidRPr="001477F0">
        <w:t>.</w:t>
      </w:r>
      <w:r>
        <w:t xml:space="preserve"> </w:t>
      </w:r>
      <w:r w:rsidR="005A165B">
        <w:t xml:space="preserve"> </w:t>
      </w:r>
      <w:r w:rsidR="001C74B6">
        <w:t>La aplicación del presente RO</w:t>
      </w:r>
      <w:r w:rsidR="005A165B">
        <w:t>P</w:t>
      </w:r>
      <w:r w:rsidR="001C74B6">
        <w:t xml:space="preserve"> es obligatoria para</w:t>
      </w:r>
      <w:r w:rsidR="001C3557">
        <w:t xml:space="preserve">: (i) </w:t>
      </w:r>
      <w:r w:rsidR="001C74B6" w:rsidRPr="00523F0E">
        <w:t xml:space="preserve">el </w:t>
      </w:r>
      <w:r w:rsidR="005B482E" w:rsidRPr="00523F0E">
        <w:t>Ministerio de Economía y Finanzas (MEF)</w:t>
      </w:r>
      <w:r w:rsidR="00DF4791" w:rsidRPr="00523F0E">
        <w:t xml:space="preserve"> </w:t>
      </w:r>
      <w:r w:rsidR="005B482E">
        <w:t>en calidad de OE</w:t>
      </w:r>
      <w:r w:rsidR="001C3557">
        <w:t xml:space="preserve">; (ii) </w:t>
      </w:r>
      <w:r w:rsidR="00B21732">
        <w:t>la Secretaría General de la Presidencia (SGP)</w:t>
      </w:r>
      <w:r w:rsidR="001C3557">
        <w:t xml:space="preserve"> en calidad de OSE; (iii)</w:t>
      </w:r>
      <w:r w:rsidR="00184BD3">
        <w:t xml:space="preserve"> la Vicepresidencia de la República (VPR) en calidad de OSE; (iv) </w:t>
      </w:r>
      <w:r w:rsidR="001C3557">
        <w:t xml:space="preserve">el </w:t>
      </w:r>
      <w:r w:rsidR="00184BD3">
        <w:t>Comité de Competitividad y Emprendimiento</w:t>
      </w:r>
      <w:r w:rsidR="001C3557">
        <w:t xml:space="preserve"> (C</w:t>
      </w:r>
      <w:r w:rsidR="00184BD3">
        <w:t>CE</w:t>
      </w:r>
      <w:r w:rsidR="001C3557">
        <w:t>)</w:t>
      </w:r>
      <w:r w:rsidR="005262F8">
        <w:rPr>
          <w:rStyle w:val="FootnoteReference"/>
        </w:rPr>
        <w:footnoteReference w:id="2"/>
      </w:r>
      <w:r w:rsidR="001C3557">
        <w:t xml:space="preserve"> y su Secretaría Técnica (ST</w:t>
      </w:r>
      <w:r w:rsidR="00A0093C">
        <w:t>-</w:t>
      </w:r>
      <w:r w:rsidR="001C3557">
        <w:t>C</w:t>
      </w:r>
      <w:r w:rsidR="00412ED1">
        <w:t>CE</w:t>
      </w:r>
      <w:r w:rsidR="001C3557">
        <w:t>) órgano adscrito a la V</w:t>
      </w:r>
      <w:r w:rsidR="00184BD3">
        <w:t>PR</w:t>
      </w:r>
      <w:r w:rsidR="001C3557">
        <w:t>; (iv)</w:t>
      </w:r>
      <w:r w:rsidR="00A44233">
        <w:t xml:space="preserve"> los Equipos de Gestión del Programa EDG del OE y de los OSE; (v) </w:t>
      </w:r>
      <w:r w:rsidR="001C3557">
        <w:t xml:space="preserve">las unidades internas del MEF, SGP, </w:t>
      </w:r>
      <w:r w:rsidR="00412ED1">
        <w:t xml:space="preserve">VPR y </w:t>
      </w:r>
      <w:r w:rsidR="001C3557">
        <w:t>ST</w:t>
      </w:r>
      <w:r w:rsidR="00A0093C">
        <w:t>-</w:t>
      </w:r>
      <w:r w:rsidR="001C3557">
        <w:t>C</w:t>
      </w:r>
      <w:r w:rsidR="00412ED1">
        <w:t>CE</w:t>
      </w:r>
      <w:r w:rsidR="00A673A3">
        <w:t xml:space="preserve"> que se encuentren directa e indirectamente vinculados con la implementación del Programa;</w:t>
      </w:r>
      <w:r w:rsidR="00A44233">
        <w:t xml:space="preserve"> y</w:t>
      </w:r>
      <w:r w:rsidR="00A673A3">
        <w:t xml:space="preserve"> (v</w:t>
      </w:r>
      <w:r w:rsidR="00A44233">
        <w:t>i</w:t>
      </w:r>
      <w:r w:rsidR="00A673A3">
        <w:t xml:space="preserve">) </w:t>
      </w:r>
      <w:r w:rsidR="00DF4791">
        <w:t xml:space="preserve">los </w:t>
      </w:r>
      <w:r w:rsidR="00A673A3">
        <w:t>o</w:t>
      </w:r>
      <w:r w:rsidR="00DF4791">
        <w:t xml:space="preserve">rganismos </w:t>
      </w:r>
      <w:r w:rsidR="00184BD3">
        <w:t>que mantienen proyectos de inversión relacionados con el Programa</w:t>
      </w:r>
      <w:r w:rsidR="00184BD3">
        <w:rPr>
          <w:rStyle w:val="FootnoteReference"/>
        </w:rPr>
        <w:footnoteReference w:id="3"/>
      </w:r>
      <w:r w:rsidR="00184BD3">
        <w:t xml:space="preserve"> y organismos </w:t>
      </w:r>
      <w:r w:rsidR="00A673A3">
        <w:t>beneficiarios de la ejecución del Programa.</w:t>
      </w:r>
      <w:r w:rsidR="005A041F">
        <w:t xml:space="preserve"> </w:t>
      </w:r>
    </w:p>
    <w:p w14:paraId="2B8F6431" w14:textId="44E0AA2E" w:rsidR="00250C44" w:rsidRPr="00263F5B" w:rsidRDefault="00250C44" w:rsidP="00A94976">
      <w:pPr>
        <w:pStyle w:val="Heading2"/>
      </w:pPr>
      <w:bookmarkStart w:id="12" w:name="_Toc424879192"/>
      <w:bookmarkStart w:id="13" w:name="_Toc454056447"/>
      <w:bookmarkStart w:id="14" w:name="_Toc23797294"/>
      <w:r w:rsidRPr="00263F5B">
        <w:t>Vigencia y Modificaciones</w:t>
      </w:r>
      <w:bookmarkEnd w:id="12"/>
      <w:bookmarkEnd w:id="13"/>
      <w:bookmarkEnd w:id="14"/>
    </w:p>
    <w:p w14:paraId="384EDDD2" w14:textId="57AD8A69" w:rsidR="00426CAA" w:rsidRDefault="003278CA" w:rsidP="009B54B5">
      <w:pPr>
        <w:pStyle w:val="Estilo1"/>
      </w:pPr>
      <w:r>
        <w:t>Para que el RO</w:t>
      </w:r>
      <w:r w:rsidR="005A041F">
        <w:t>P</w:t>
      </w:r>
      <w:r>
        <w:t xml:space="preserve"> entre en vigencia, debe</w:t>
      </w:r>
      <w:r w:rsidR="009F41B1">
        <w:t>rá</w:t>
      </w:r>
      <w:r>
        <w:t xml:space="preserve"> tener la No Objeción escrita del</w:t>
      </w:r>
      <w:r w:rsidR="009F41B1">
        <w:t xml:space="preserve"> Banco Interamericano de Desarrollo (</w:t>
      </w:r>
      <w:r>
        <w:t>BID</w:t>
      </w:r>
      <w:r w:rsidR="009F41B1">
        <w:t>)</w:t>
      </w:r>
      <w:r>
        <w:t xml:space="preserve"> y contar con las autorizaciones formales de las </w:t>
      </w:r>
      <w:r w:rsidRPr="00556C71">
        <w:t>autoridades del OE</w:t>
      </w:r>
      <w:r w:rsidR="004370A2">
        <w:t xml:space="preserve"> y los OSE</w:t>
      </w:r>
      <w:r w:rsidR="005F03A5">
        <w:t>.</w:t>
      </w:r>
      <w:r w:rsidRPr="00556C71">
        <w:t xml:space="preserve"> </w:t>
      </w:r>
      <w:r w:rsidR="00A44233">
        <w:t xml:space="preserve"> </w:t>
      </w:r>
      <w:r w:rsidR="00F61752">
        <w:t>Las modificaciones y/o actualizaciones al RO</w:t>
      </w:r>
      <w:r w:rsidR="00542D63">
        <w:t>P</w:t>
      </w:r>
      <w:r w:rsidR="00F61752">
        <w:t xml:space="preserve"> y</w:t>
      </w:r>
      <w:r w:rsidR="00A32F1F">
        <w:t>/o</w:t>
      </w:r>
      <w:r w:rsidR="00F61752">
        <w:t xml:space="preserve"> sus anexos serán puest</w:t>
      </w:r>
      <w:r w:rsidR="00720193">
        <w:t>o</w:t>
      </w:r>
      <w:r w:rsidR="00F61752">
        <w:t>s a consideración del B</w:t>
      </w:r>
      <w:r w:rsidR="00B2749D">
        <w:t>ID</w:t>
      </w:r>
      <w:r w:rsidR="00720193">
        <w:t xml:space="preserve"> para su No Objeción, </w:t>
      </w:r>
      <w:r w:rsidR="00263F5B">
        <w:t xml:space="preserve">por parte del </w:t>
      </w:r>
      <w:r w:rsidR="00B2749D">
        <w:t>E</w:t>
      </w:r>
      <w:r w:rsidR="00720193">
        <w:t>DG-MEF</w:t>
      </w:r>
      <w:r w:rsidR="00B945C2">
        <w:t xml:space="preserve"> y </w:t>
      </w:r>
      <w:r w:rsidR="00720193">
        <w:t xml:space="preserve">deberán </w:t>
      </w:r>
      <w:r w:rsidR="00A44233">
        <w:t xml:space="preserve">contar con las autorizaciones formales de las autoridades </w:t>
      </w:r>
      <w:r w:rsidR="00720193">
        <w:t xml:space="preserve">del OE </w:t>
      </w:r>
      <w:r w:rsidR="00B945C2">
        <w:t>y/</w:t>
      </w:r>
      <w:r w:rsidR="00720193">
        <w:t xml:space="preserve">o de los OSE según corresponda. Si la modificación es específica y </w:t>
      </w:r>
      <w:r w:rsidR="00366FDA">
        <w:t>solamente afect</w:t>
      </w:r>
      <w:r w:rsidR="00720193">
        <w:t>a</w:t>
      </w:r>
      <w:r w:rsidR="00366FDA">
        <w:t xml:space="preserve"> a </w:t>
      </w:r>
      <w:r w:rsidR="00720193">
        <w:t xml:space="preserve">uno de </w:t>
      </w:r>
      <w:r w:rsidR="00366FDA">
        <w:t>los OSE</w:t>
      </w:r>
      <w:r w:rsidR="00B50EB9">
        <w:t xml:space="preserve">, </w:t>
      </w:r>
      <w:r w:rsidR="00BF1F54">
        <w:t xml:space="preserve">la </w:t>
      </w:r>
      <w:r w:rsidR="00B50EB9">
        <w:t xml:space="preserve">estas </w:t>
      </w:r>
      <w:r w:rsidR="00B945C2">
        <w:t>podrán ser p</w:t>
      </w:r>
      <w:r w:rsidR="00720193">
        <w:t xml:space="preserve">uestas a consideración del BID con la formalización de la autoridad </w:t>
      </w:r>
      <w:r w:rsidR="00BF1F54">
        <w:t>o delegado del OSE correspondiente</w:t>
      </w:r>
      <w:r w:rsidR="00B2749D">
        <w:t>.</w:t>
      </w:r>
      <w:r w:rsidR="005F03A5">
        <w:t xml:space="preserve"> </w:t>
      </w:r>
      <w:r w:rsidR="00B2749D">
        <w:t>P</w:t>
      </w:r>
      <w:r w:rsidR="005505C0">
        <w:t>ara</w:t>
      </w:r>
      <w:r w:rsidR="009F41B1">
        <w:t xml:space="preserve"> que las modificaciones entren en </w:t>
      </w:r>
      <w:r w:rsidR="005505C0">
        <w:t>vigencia</w:t>
      </w:r>
      <w:r w:rsidR="00B2749D">
        <w:t>,</w:t>
      </w:r>
      <w:r w:rsidR="005505C0">
        <w:t xml:space="preserve"> deberán contar con </w:t>
      </w:r>
      <w:r w:rsidR="00F61752">
        <w:t xml:space="preserve">la </w:t>
      </w:r>
      <w:r w:rsidR="00B2749D">
        <w:t>No</w:t>
      </w:r>
      <w:r w:rsidR="00F61752">
        <w:t xml:space="preserve"> Objeción</w:t>
      </w:r>
      <w:r w:rsidR="005505C0">
        <w:t xml:space="preserve"> escrita </w:t>
      </w:r>
      <w:r w:rsidR="006C6065">
        <w:t>del BID</w:t>
      </w:r>
      <w:r w:rsidR="009F41B1">
        <w:t>.</w:t>
      </w:r>
      <w:r w:rsidR="00542D63">
        <w:t xml:space="preserve"> </w:t>
      </w:r>
      <w:r w:rsidR="00556C71">
        <w:t xml:space="preserve">Las delegaciones para </w:t>
      </w:r>
      <w:r w:rsidR="00596EAF">
        <w:t>a</w:t>
      </w:r>
      <w:r w:rsidR="00556C71">
        <w:t>utorizar modificaciones al RO</w:t>
      </w:r>
      <w:r w:rsidR="00542D63">
        <w:t>P</w:t>
      </w:r>
      <w:r w:rsidR="00556C71">
        <w:t xml:space="preserve"> deberán ser:</w:t>
      </w:r>
      <w:r w:rsidR="00542D63">
        <w:t xml:space="preserve"> (i) otorgadas por la máxima autoridad </w:t>
      </w:r>
      <w:r w:rsidR="00556C71">
        <w:t>del OE</w:t>
      </w:r>
      <w:r w:rsidR="00366FDA">
        <w:t xml:space="preserve"> u OSE</w:t>
      </w:r>
      <w:r w:rsidR="00542D63">
        <w:t xml:space="preserve">; (ii) </w:t>
      </w:r>
      <w:r w:rsidR="00556C71">
        <w:t>notificadas por escrito al Banco</w:t>
      </w:r>
      <w:r w:rsidR="00542D63">
        <w:t>; (iii) t</w:t>
      </w:r>
      <w:r w:rsidR="00556C71">
        <w:t xml:space="preserve">ambién deberá notificarse </w:t>
      </w:r>
      <w:r w:rsidR="00596EAF">
        <w:t xml:space="preserve">al Banco de </w:t>
      </w:r>
      <w:r w:rsidR="00556C71">
        <w:t xml:space="preserve">cualquier modificación a dichas delegaciones. </w:t>
      </w:r>
      <w:r w:rsidR="00B945C2">
        <w:t>El EDG-MEF y c</w:t>
      </w:r>
      <w:r w:rsidR="00366FDA">
        <w:t>ada EDG</w:t>
      </w:r>
      <w:r w:rsidR="00B945C2">
        <w:t xml:space="preserve"> que corresponda </w:t>
      </w:r>
      <w:r w:rsidR="002E57F7">
        <w:t>notificará a las diferentes instancias de</w:t>
      </w:r>
      <w:r w:rsidR="00A671E8">
        <w:t xml:space="preserve"> ejecución y </w:t>
      </w:r>
      <w:r w:rsidR="00324AA9">
        <w:t>demás Organismos participantes de</w:t>
      </w:r>
      <w:r w:rsidR="00B945C2">
        <w:t>l</w:t>
      </w:r>
      <w:r w:rsidR="00324AA9">
        <w:t xml:space="preserve"> Programa</w:t>
      </w:r>
      <w:r w:rsidR="002E57F7">
        <w:t>, la entrada en vigencia de las modificaciones y/o actualizaciones</w:t>
      </w:r>
      <w:r w:rsidR="00596EAF">
        <w:t xml:space="preserve"> al ROP</w:t>
      </w:r>
      <w:r w:rsidR="00A671E8">
        <w:t xml:space="preserve">. El ROP </w:t>
      </w:r>
      <w:r w:rsidR="00BA0470">
        <w:t xml:space="preserve">deberá especificar </w:t>
      </w:r>
      <w:r w:rsidR="002E57F7">
        <w:t>la versión correspondiente y su fecha de</w:t>
      </w:r>
      <w:r w:rsidR="00B945C2">
        <w:t xml:space="preserve"> entrada en </w:t>
      </w:r>
      <w:r w:rsidR="002E57F7">
        <w:t>vigencia</w:t>
      </w:r>
      <w:r w:rsidR="00110A01">
        <w:t xml:space="preserve">; además, </w:t>
      </w:r>
      <w:r w:rsidR="00B945C2" w:rsidRPr="00B945C2">
        <w:t>dicho documento, en su versión más actualizada, estará vigente mientras dure la ejecución del Programa, en concordancia a lo suscrito en el contrato de préstamo con el BID.</w:t>
      </w:r>
      <w:r w:rsidR="00B945C2">
        <w:t xml:space="preserve"> </w:t>
      </w:r>
      <w:r w:rsidR="002E57F7">
        <w:t xml:space="preserve">  </w:t>
      </w:r>
    </w:p>
    <w:p w14:paraId="4CF00B8E" w14:textId="4F2846C9" w:rsidR="00E3251D" w:rsidRDefault="00E3251D" w:rsidP="00A94976">
      <w:pPr>
        <w:pStyle w:val="Heading2"/>
      </w:pPr>
      <w:bookmarkStart w:id="15" w:name="_Toc424879198"/>
      <w:bookmarkStart w:id="16" w:name="_Toc454056448"/>
      <w:bookmarkStart w:id="17" w:name="_Toc23797295"/>
      <w:r>
        <w:t>Normas que Rigen la Ejecución del Programa</w:t>
      </w:r>
      <w:bookmarkEnd w:id="15"/>
      <w:bookmarkEnd w:id="16"/>
      <w:bookmarkEnd w:id="17"/>
      <w:r>
        <w:t xml:space="preserve"> </w:t>
      </w:r>
    </w:p>
    <w:p w14:paraId="505D2481" w14:textId="446DC1AC" w:rsidR="00110A01" w:rsidRPr="00B00CFB" w:rsidRDefault="00110A01" w:rsidP="009B54B5">
      <w:pPr>
        <w:pStyle w:val="Estilo1"/>
      </w:pPr>
      <w:r w:rsidRPr="00B00CFB">
        <w:t xml:space="preserve">La República del Ecuador es miembro del Convenio Constitutivo que crea al Banco Interamericano de Desarrollo como Organismo Multilateral y sujeto de Derecho Internacional. Este Convenio Constitutivo tiene categoría de Tratado Internacional, y al suscribir Contratos </w:t>
      </w:r>
      <w:r w:rsidRPr="00B00CFB">
        <w:lastRenderedPageBreak/>
        <w:t xml:space="preserve">de Préstamo los miembros ratifican su adhesión. En tal sentido, el Contrato de Préstamo </w:t>
      </w:r>
      <w:r w:rsidRPr="00110A01">
        <w:rPr>
          <w:highlight w:val="yellow"/>
        </w:rPr>
        <w:t>XXXX</w:t>
      </w:r>
      <w:r w:rsidRPr="00620D7D">
        <w:t>/OC-EC</w:t>
      </w:r>
      <w:r w:rsidRPr="00B00CFB">
        <w:t xml:space="preserve"> suscrito entre la República del Ecuador y el BID, con fecha </w:t>
      </w:r>
      <w:r w:rsidRPr="00B00CFB">
        <w:rPr>
          <w:highlight w:val="yellow"/>
        </w:rPr>
        <w:t>XX de XXXX de 2019</w:t>
      </w:r>
      <w:r w:rsidRPr="00B00CFB">
        <w:t xml:space="preserve">, tiene la calidad de Convenio Internacional, el cual norma y establece las directrices y procedimientos que rigen la ejecución del Programa. </w:t>
      </w:r>
    </w:p>
    <w:p w14:paraId="783D18EA" w14:textId="77777777" w:rsidR="00110A01" w:rsidRDefault="00110A01" w:rsidP="009B54B5">
      <w:pPr>
        <w:pStyle w:val="Estilo1"/>
      </w:pPr>
      <w:r>
        <w:t>Tomando en consideración lo dispuesto en el Artículo 425 de la Constitución de la República del Ecuador (CRE)</w:t>
      </w:r>
      <w:r>
        <w:rPr>
          <w:rStyle w:val="FootnoteReference"/>
        </w:rPr>
        <w:footnoteReference w:id="4"/>
      </w:r>
      <w:r>
        <w:t>, el orden jerárquico de aplicación de las normas para la ejecución integral del Programa será (siempre y cuando no se contrapongan al Contrato de Préstamo): Las normas que rigen la ejecución del Programa son:</w:t>
      </w:r>
    </w:p>
    <w:p w14:paraId="5AF1B308" w14:textId="77777777" w:rsidR="00110A01" w:rsidRPr="008972DB" w:rsidRDefault="00110A01" w:rsidP="009B54B5">
      <w:pPr>
        <w:pStyle w:val="numeradorom"/>
        <w:numPr>
          <w:ilvl w:val="0"/>
          <w:numId w:val="29"/>
        </w:numPr>
      </w:pPr>
      <w:r w:rsidRPr="008972DB">
        <w:t xml:space="preserve">La Constitución de la República. </w:t>
      </w:r>
    </w:p>
    <w:p w14:paraId="056E14A6" w14:textId="20A39240" w:rsidR="00110A01" w:rsidRPr="008972DB" w:rsidRDefault="00110A01" w:rsidP="009B54B5">
      <w:pPr>
        <w:pStyle w:val="numeradorom"/>
        <w:numPr>
          <w:ilvl w:val="0"/>
          <w:numId w:val="29"/>
        </w:numPr>
      </w:pPr>
      <w:r w:rsidRPr="008972DB">
        <w:t>El Contrato de Préstamo</w:t>
      </w:r>
      <w:r>
        <w:t xml:space="preserve"> </w:t>
      </w:r>
      <w:r w:rsidRPr="00110A01">
        <w:rPr>
          <w:highlight w:val="yellow"/>
        </w:rPr>
        <w:t>XXXX/OC-EC</w:t>
      </w:r>
      <w:r w:rsidRPr="008972DB">
        <w:t xml:space="preserve"> (incluyendo el ROP, las políticas</w:t>
      </w:r>
      <w:r>
        <w:t xml:space="preserve"> del BID</w:t>
      </w:r>
      <w:r w:rsidRPr="008972DB">
        <w:t>, las guías</w:t>
      </w:r>
      <w:r>
        <w:t xml:space="preserve"> del BID</w:t>
      </w:r>
      <w:r w:rsidRPr="008972DB">
        <w:t>, los documentos estándar</w:t>
      </w:r>
      <w:r>
        <w:t xml:space="preserve"> del BID</w:t>
      </w:r>
      <w:r w:rsidRPr="008972DB">
        <w:t>, los instrumentos de planificación y ejecución</w:t>
      </w:r>
      <w:r>
        <w:t xml:space="preserve"> del BID</w:t>
      </w:r>
      <w:r w:rsidRPr="008972DB">
        <w:t>, las herramientas de monitoreo y control</w:t>
      </w:r>
      <w:r>
        <w:t xml:space="preserve"> del BID</w:t>
      </w:r>
      <w:r w:rsidRPr="008972DB">
        <w:t xml:space="preserve">, entre otros). </w:t>
      </w:r>
    </w:p>
    <w:p w14:paraId="6B1AD681" w14:textId="77777777" w:rsidR="00110A01" w:rsidRPr="008972DB" w:rsidRDefault="00110A01" w:rsidP="009B54B5">
      <w:pPr>
        <w:pStyle w:val="numeradorom"/>
        <w:numPr>
          <w:ilvl w:val="0"/>
          <w:numId w:val="29"/>
        </w:numPr>
      </w:pPr>
      <w:r w:rsidRPr="008972DB">
        <w:t>Las leyes orgánicas,</w:t>
      </w:r>
    </w:p>
    <w:p w14:paraId="7FA40786" w14:textId="77777777" w:rsidR="00110A01" w:rsidRPr="008972DB" w:rsidRDefault="00110A01" w:rsidP="009B54B5">
      <w:pPr>
        <w:pStyle w:val="numeradorom"/>
        <w:numPr>
          <w:ilvl w:val="0"/>
          <w:numId w:val="29"/>
        </w:numPr>
      </w:pPr>
      <w:r w:rsidRPr="008972DB">
        <w:t>Las leyes ordinarias,</w:t>
      </w:r>
    </w:p>
    <w:p w14:paraId="52C198D7" w14:textId="77777777" w:rsidR="00110A01" w:rsidRPr="008972DB" w:rsidRDefault="00110A01" w:rsidP="009B54B5">
      <w:pPr>
        <w:pStyle w:val="numeradorom"/>
        <w:numPr>
          <w:ilvl w:val="0"/>
          <w:numId w:val="29"/>
        </w:numPr>
      </w:pPr>
      <w:r w:rsidRPr="008972DB">
        <w:t>Las normas regionales y las ordenanzas distritales,</w:t>
      </w:r>
    </w:p>
    <w:p w14:paraId="68113F01" w14:textId="77777777" w:rsidR="00110A01" w:rsidRPr="008972DB" w:rsidRDefault="00110A01" w:rsidP="009B54B5">
      <w:pPr>
        <w:pStyle w:val="numeradorom"/>
        <w:numPr>
          <w:ilvl w:val="0"/>
          <w:numId w:val="29"/>
        </w:numPr>
      </w:pPr>
      <w:r w:rsidRPr="008972DB">
        <w:t xml:space="preserve">Los decretos y reglamentos, </w:t>
      </w:r>
    </w:p>
    <w:p w14:paraId="78AAED77" w14:textId="77777777" w:rsidR="00110A01" w:rsidRPr="00447FFD" w:rsidRDefault="00110A01" w:rsidP="009B54B5">
      <w:pPr>
        <w:pStyle w:val="numeradorom"/>
        <w:numPr>
          <w:ilvl w:val="0"/>
          <w:numId w:val="29"/>
        </w:numPr>
      </w:pPr>
      <w:r w:rsidRPr="008972DB">
        <w:t>Las ordenanzas,</w:t>
      </w:r>
    </w:p>
    <w:p w14:paraId="5064E1D8" w14:textId="77777777" w:rsidR="00110A01" w:rsidRPr="008972DB" w:rsidRDefault="00110A01" w:rsidP="009B54B5">
      <w:pPr>
        <w:pStyle w:val="numeradorom"/>
        <w:numPr>
          <w:ilvl w:val="0"/>
          <w:numId w:val="29"/>
        </w:numPr>
      </w:pPr>
      <w:r w:rsidRPr="008972DB">
        <w:t>Los acuerdos y las resoluciones, y</w:t>
      </w:r>
    </w:p>
    <w:p w14:paraId="4938FFCC" w14:textId="77777777" w:rsidR="00110A01" w:rsidRPr="008972DB" w:rsidRDefault="00110A01" w:rsidP="009B54B5">
      <w:pPr>
        <w:pStyle w:val="numeradorom"/>
        <w:numPr>
          <w:ilvl w:val="0"/>
          <w:numId w:val="29"/>
        </w:numPr>
      </w:pPr>
      <w:r w:rsidRPr="008972DB">
        <w:t>Los demás actos y resoluciones de los poderes públicos.</w:t>
      </w:r>
    </w:p>
    <w:p w14:paraId="2ABA1744" w14:textId="77777777" w:rsidR="00110A01" w:rsidRDefault="00110A01" w:rsidP="009B54B5">
      <w:pPr>
        <w:pStyle w:val="Estilo1"/>
      </w:pPr>
      <w:r>
        <w:t xml:space="preserve">Si existiese falta de consonancia o contradicción entre las disposiciones del RO y del Contrato de Préstamo, prevalecerán las disposiciones contenidas en el Contrato de Préstamo. </w:t>
      </w:r>
    </w:p>
    <w:p w14:paraId="7AA058BD" w14:textId="553834B3" w:rsidR="00110A01" w:rsidRPr="008D1B03" w:rsidRDefault="00110A01" w:rsidP="00110A01">
      <w:pPr>
        <w:pStyle w:val="Heading2"/>
        <w:spacing w:before="200" w:after="20"/>
        <w:jc w:val="both"/>
      </w:pPr>
      <w:bookmarkStart w:id="19" w:name="_Toc15397746"/>
      <w:bookmarkStart w:id="20" w:name="_Toc23797296"/>
      <w:r>
        <w:t>Normas que rigen la gestión de adquisiciones del Programa</w:t>
      </w:r>
      <w:bookmarkEnd w:id="19"/>
      <w:bookmarkEnd w:id="20"/>
      <w:r>
        <w:t xml:space="preserve"> </w:t>
      </w:r>
    </w:p>
    <w:p w14:paraId="74793907" w14:textId="77777777" w:rsidR="00110A01" w:rsidRPr="00447FFD" w:rsidRDefault="00110A01" w:rsidP="009B54B5">
      <w:pPr>
        <w:pStyle w:val="Estilo1"/>
        <w:rPr>
          <w:lang w:val="es-ES_tradnl"/>
        </w:rPr>
      </w:pPr>
      <w:r w:rsidRPr="00447FFD">
        <w:rPr>
          <w:lang w:val="es-ES_tradnl"/>
        </w:rPr>
        <w:t xml:space="preserve">Las normas que rigen las adquisiciones del Programa y que se encuentran previstas en el plan de adquisiciones en orden jerárquico son: </w:t>
      </w:r>
    </w:p>
    <w:p w14:paraId="698DC7BD" w14:textId="77777777" w:rsidR="00110A01" w:rsidRDefault="00110A01" w:rsidP="009B54B5">
      <w:pPr>
        <w:pStyle w:val="numeradorom"/>
        <w:numPr>
          <w:ilvl w:val="0"/>
          <w:numId w:val="51"/>
        </w:numPr>
      </w:pPr>
      <w:r>
        <w:t xml:space="preserve">Políticas para la Adquisición de Obras y Bienes Financiados por el BID (GN-2349-9) y sus actualizaciones. </w:t>
      </w:r>
    </w:p>
    <w:p w14:paraId="7F3483C9" w14:textId="77777777" w:rsidR="00110A01" w:rsidRDefault="00110A01" w:rsidP="009B54B5">
      <w:pPr>
        <w:pStyle w:val="numeradorom"/>
        <w:numPr>
          <w:ilvl w:val="0"/>
          <w:numId w:val="51"/>
        </w:numPr>
      </w:pPr>
      <w:r>
        <w:t>Políticas para la Selección y Contratación de Consultores Financiados por el BID (GN-2350-9), y sus actualizaciones.</w:t>
      </w:r>
    </w:p>
    <w:p w14:paraId="1CB0A5F7" w14:textId="77777777" w:rsidR="00110A01" w:rsidRDefault="00110A01" w:rsidP="009B54B5">
      <w:pPr>
        <w:pStyle w:val="numeradorom"/>
        <w:numPr>
          <w:ilvl w:val="0"/>
          <w:numId w:val="51"/>
        </w:numPr>
      </w:pPr>
      <w:r>
        <w:t>Arreglos para la ejecución de las adquisiciones acordados en el Reglamento Operativo del Programa.</w:t>
      </w:r>
    </w:p>
    <w:p w14:paraId="3FDBB698" w14:textId="77777777" w:rsidR="00110A01" w:rsidRDefault="00110A01" w:rsidP="009B54B5">
      <w:pPr>
        <w:pStyle w:val="numeradorom"/>
        <w:numPr>
          <w:ilvl w:val="0"/>
          <w:numId w:val="51"/>
        </w:numPr>
      </w:pPr>
      <w:r>
        <w:t>Ley Orgánica del Sistema Nacional de Contratación Pública (LOSNCP), la cual se aplicará de conformidad con lo dispuesto en el Artículo 3 de dicha norma</w:t>
      </w:r>
    </w:p>
    <w:p w14:paraId="6AF8B218" w14:textId="77777777" w:rsidR="00110A01" w:rsidRDefault="00110A01" w:rsidP="009B54B5">
      <w:pPr>
        <w:pStyle w:val="numeradorom"/>
        <w:numPr>
          <w:ilvl w:val="0"/>
          <w:numId w:val="51"/>
        </w:numPr>
      </w:pPr>
      <w:r>
        <w:t>Uso del Sistema Nacional de Contratación Pública, en función de las condiciones y vigencia contenidos en el convenio de uso del SNCP suscrito entre el Banco y el Gobierno de la República del Ecuador, lo cual será comunicado al Ejecutor y aprobado mediante el Plan de Adquisiciones del Programa.</w:t>
      </w:r>
    </w:p>
    <w:p w14:paraId="61D52A7E" w14:textId="5F6478E9" w:rsidR="00110A01" w:rsidRPr="008D1B03" w:rsidRDefault="00110A01" w:rsidP="00110A01">
      <w:pPr>
        <w:pStyle w:val="Heading2"/>
        <w:spacing w:before="200" w:after="20"/>
        <w:jc w:val="both"/>
      </w:pPr>
      <w:bookmarkStart w:id="21" w:name="_Toc15397747"/>
      <w:bookmarkStart w:id="22" w:name="_Toc23797297"/>
      <w:r>
        <w:t>Normas que rigen la gestión financiera del Programa</w:t>
      </w:r>
      <w:bookmarkEnd w:id="21"/>
      <w:bookmarkEnd w:id="22"/>
      <w:r>
        <w:t xml:space="preserve"> </w:t>
      </w:r>
    </w:p>
    <w:p w14:paraId="49CC13A4" w14:textId="77777777" w:rsidR="00110A01" w:rsidRPr="00447FFD" w:rsidRDefault="00110A01" w:rsidP="009B54B5">
      <w:pPr>
        <w:pStyle w:val="Estilo1"/>
        <w:rPr>
          <w:lang w:val="es-ES_tradnl"/>
        </w:rPr>
      </w:pPr>
      <w:r w:rsidRPr="00A86D09">
        <w:rPr>
          <w:lang w:val="es-ES_tradnl"/>
        </w:rPr>
        <w:t>Las normas que rigen la gestión financiera del Programa son</w:t>
      </w:r>
      <w:r w:rsidRPr="00447FFD">
        <w:rPr>
          <w:lang w:val="es-ES_tradnl"/>
        </w:rPr>
        <w:t xml:space="preserve">: </w:t>
      </w:r>
    </w:p>
    <w:p w14:paraId="351A5BB0" w14:textId="77777777" w:rsidR="00110A01" w:rsidRDefault="00110A01" w:rsidP="009B54B5">
      <w:pPr>
        <w:pStyle w:val="numeradorom"/>
        <w:numPr>
          <w:ilvl w:val="0"/>
          <w:numId w:val="52"/>
        </w:numPr>
      </w:pPr>
      <w:r>
        <w:t>Política de Gestión Financiera para Programas Financiados por el BID (OP-273-6) y sus actualizaciones.</w:t>
      </w:r>
    </w:p>
    <w:p w14:paraId="4F3C31FF" w14:textId="77777777" w:rsidR="00110A01" w:rsidRDefault="00110A01" w:rsidP="009B54B5">
      <w:pPr>
        <w:pStyle w:val="numeradorom"/>
        <w:numPr>
          <w:ilvl w:val="0"/>
          <w:numId w:val="52"/>
        </w:numPr>
      </w:pPr>
      <w:r>
        <w:t>La Guía de Desembolsos para Proyectos financiados por el BID.</w:t>
      </w:r>
    </w:p>
    <w:p w14:paraId="5356F347" w14:textId="77777777" w:rsidR="00110A01" w:rsidRDefault="00110A01" w:rsidP="009B54B5">
      <w:pPr>
        <w:pStyle w:val="numeradorom"/>
        <w:numPr>
          <w:ilvl w:val="0"/>
          <w:numId w:val="52"/>
        </w:numPr>
      </w:pPr>
      <w:r>
        <w:t>Las Guías de Informes Financieros y Auditoría Externa de las Operaciones Financiadas por el BID.</w:t>
      </w:r>
    </w:p>
    <w:p w14:paraId="49BFDD5C" w14:textId="77777777" w:rsidR="00110A01" w:rsidRDefault="00110A01" w:rsidP="009B54B5">
      <w:pPr>
        <w:pStyle w:val="numeradorom"/>
        <w:numPr>
          <w:ilvl w:val="0"/>
          <w:numId w:val="52"/>
        </w:numPr>
      </w:pPr>
      <w:r>
        <w:t>Código Orgánico de Planificación y Finanzas Públicas (COPLAFIP) y su Reglamento.</w:t>
      </w:r>
    </w:p>
    <w:p w14:paraId="609BE1D8" w14:textId="77777777" w:rsidR="00110A01" w:rsidRDefault="00110A01" w:rsidP="009B54B5">
      <w:pPr>
        <w:pStyle w:val="numeradorom"/>
        <w:numPr>
          <w:ilvl w:val="0"/>
          <w:numId w:val="52"/>
        </w:numPr>
      </w:pPr>
      <w:r>
        <w:t>Ley Orgánica del Sistema Nacional de Contratación Pública (LOSNCP), la cual se aplicará de conformidad con lo dispuesto en el Artículo 3 de dicha norma.</w:t>
      </w:r>
    </w:p>
    <w:p w14:paraId="573409FD" w14:textId="77777777" w:rsidR="00110A01" w:rsidRDefault="00110A01" w:rsidP="009B54B5">
      <w:pPr>
        <w:pStyle w:val="numeradorom"/>
        <w:numPr>
          <w:ilvl w:val="0"/>
          <w:numId w:val="52"/>
        </w:numPr>
      </w:pPr>
      <w:r>
        <w:lastRenderedPageBreak/>
        <w:t>Ley Orgánica del Servicio Público (LOSEP) y su Reglamento.</w:t>
      </w:r>
    </w:p>
    <w:p w14:paraId="027005AE" w14:textId="77777777" w:rsidR="00110A01" w:rsidRDefault="00110A01" w:rsidP="009B54B5">
      <w:pPr>
        <w:pStyle w:val="numeradorom"/>
        <w:numPr>
          <w:ilvl w:val="0"/>
          <w:numId w:val="52"/>
        </w:numPr>
      </w:pPr>
      <w:r>
        <w:t xml:space="preserve">Ley de Seguridad Social. </w:t>
      </w:r>
    </w:p>
    <w:p w14:paraId="1E96A4BA" w14:textId="5CF579D7" w:rsidR="00110A01" w:rsidRDefault="00110A01" w:rsidP="009B54B5">
      <w:pPr>
        <w:pStyle w:val="numeradorom"/>
        <w:numPr>
          <w:ilvl w:val="0"/>
          <w:numId w:val="52"/>
        </w:numPr>
      </w:pPr>
      <w:r>
        <w:t xml:space="preserve">Los </w:t>
      </w:r>
      <w:r w:rsidRPr="00F070CF">
        <w:t>decretos, acuerdos,</w:t>
      </w:r>
      <w:r>
        <w:t xml:space="preserve"> instructivos y resoluciones administrativas y financieras internas del MEF</w:t>
      </w:r>
      <w:r w:rsidR="00A51980">
        <w:t>, de la SGP</w:t>
      </w:r>
      <w:r w:rsidR="009F7FF5">
        <w:t xml:space="preserve">, </w:t>
      </w:r>
      <w:r>
        <w:t xml:space="preserve">de la </w:t>
      </w:r>
      <w:r w:rsidR="00A51980">
        <w:t>VPR</w:t>
      </w:r>
      <w:r w:rsidR="009F7FF5">
        <w:t xml:space="preserve"> y del CCE</w:t>
      </w:r>
      <w:r>
        <w:t xml:space="preserve"> que no contravengan lo establecido en el Contrato de Préstamo y </w:t>
      </w:r>
      <w:r w:rsidR="005C40F3">
        <w:t xml:space="preserve">su </w:t>
      </w:r>
      <w:r>
        <w:t>correspondiente ROP.</w:t>
      </w:r>
    </w:p>
    <w:p w14:paraId="143A361D" w14:textId="1CA23243" w:rsidR="00110A01" w:rsidRDefault="00110A01" w:rsidP="009B54B5">
      <w:pPr>
        <w:pStyle w:val="numeradorom"/>
        <w:numPr>
          <w:ilvl w:val="0"/>
          <w:numId w:val="52"/>
        </w:numPr>
      </w:pPr>
      <w:r>
        <w:t>Los Convenios Interinstitucionales entre el OE y otros Organismos</w:t>
      </w:r>
      <w:r w:rsidR="005C40F3">
        <w:t>,</w:t>
      </w:r>
      <w:r>
        <w:t xml:space="preserve"> suscritos para la ejecución del Programa  </w:t>
      </w:r>
    </w:p>
    <w:p w14:paraId="183AA60B" w14:textId="74EB36D7" w:rsidR="00110A01" w:rsidRPr="008D1B03" w:rsidRDefault="00110A01" w:rsidP="00110A01">
      <w:pPr>
        <w:pStyle w:val="Heading2"/>
        <w:spacing w:before="200" w:after="20"/>
        <w:jc w:val="both"/>
      </w:pPr>
      <w:bookmarkStart w:id="23" w:name="_Toc15397748"/>
      <w:bookmarkStart w:id="24" w:name="_Toc23797298"/>
      <w:r>
        <w:t>Instrumentos que rigen la planificación del Programa</w:t>
      </w:r>
      <w:bookmarkEnd w:id="23"/>
      <w:bookmarkEnd w:id="24"/>
      <w:r>
        <w:t xml:space="preserve"> </w:t>
      </w:r>
    </w:p>
    <w:p w14:paraId="1D00AD9E" w14:textId="77777777" w:rsidR="00110A01" w:rsidRPr="00447FFD" w:rsidRDefault="00110A01" w:rsidP="009B54B5">
      <w:pPr>
        <w:pStyle w:val="Estilo1"/>
        <w:rPr>
          <w:lang w:val="es-ES_tradnl"/>
        </w:rPr>
      </w:pPr>
      <w:r w:rsidRPr="009A51FD">
        <w:rPr>
          <w:lang w:val="es-ES_tradnl"/>
        </w:rPr>
        <w:t>Los instrumentos que rigen la planificación para la ejecución del Programa son</w:t>
      </w:r>
      <w:r w:rsidRPr="00447FFD">
        <w:rPr>
          <w:lang w:val="es-ES_tradnl"/>
        </w:rPr>
        <w:t xml:space="preserve">: </w:t>
      </w:r>
    </w:p>
    <w:p w14:paraId="3E115406" w14:textId="77777777" w:rsidR="00110A01" w:rsidRDefault="00110A01" w:rsidP="009B54B5">
      <w:pPr>
        <w:pStyle w:val="numeradorom"/>
        <w:numPr>
          <w:ilvl w:val="0"/>
          <w:numId w:val="53"/>
        </w:numPr>
      </w:pPr>
      <w:r>
        <w:t>Matriz de resultados</w:t>
      </w:r>
    </w:p>
    <w:p w14:paraId="39D14AEA" w14:textId="77777777" w:rsidR="00110A01" w:rsidRDefault="00110A01" w:rsidP="009B54B5">
      <w:pPr>
        <w:pStyle w:val="numeradorom"/>
        <w:numPr>
          <w:ilvl w:val="0"/>
          <w:numId w:val="53"/>
        </w:numPr>
      </w:pPr>
      <w:r>
        <w:t>Plan de ejecución plurianual (PEP)</w:t>
      </w:r>
    </w:p>
    <w:p w14:paraId="2D33B997" w14:textId="77777777" w:rsidR="00110A01" w:rsidRDefault="00110A01" w:rsidP="009B54B5">
      <w:pPr>
        <w:pStyle w:val="numeradorom"/>
        <w:numPr>
          <w:ilvl w:val="0"/>
          <w:numId w:val="53"/>
        </w:numPr>
      </w:pPr>
      <w:r>
        <w:t>Plan Operativo Anual (POA)</w:t>
      </w:r>
    </w:p>
    <w:p w14:paraId="3463B3BE" w14:textId="77777777" w:rsidR="00110A01" w:rsidRDefault="00110A01" w:rsidP="009B54B5">
      <w:pPr>
        <w:pStyle w:val="numeradorom"/>
        <w:numPr>
          <w:ilvl w:val="0"/>
          <w:numId w:val="53"/>
        </w:numPr>
      </w:pPr>
      <w:r>
        <w:t>Plan de Adquisiciones (PA)</w:t>
      </w:r>
    </w:p>
    <w:p w14:paraId="6FF34A5A" w14:textId="77777777" w:rsidR="00110A01" w:rsidRDefault="00110A01" w:rsidP="009B54B5">
      <w:pPr>
        <w:pStyle w:val="numeradorom"/>
        <w:numPr>
          <w:ilvl w:val="0"/>
          <w:numId w:val="53"/>
        </w:numPr>
      </w:pPr>
      <w:r>
        <w:t>Matriz de Gestión del Riesgos del Programa (GRP)</w:t>
      </w:r>
    </w:p>
    <w:p w14:paraId="63783FBA" w14:textId="77777777" w:rsidR="00110A01" w:rsidRPr="008B695D" w:rsidRDefault="00110A01" w:rsidP="009B54B5">
      <w:pPr>
        <w:pStyle w:val="numeradorom"/>
        <w:numPr>
          <w:ilvl w:val="0"/>
          <w:numId w:val="53"/>
        </w:numPr>
      </w:pPr>
      <w:r>
        <w:t>Reportes de Monitoreo del Programa (PMR)</w:t>
      </w:r>
    </w:p>
    <w:p w14:paraId="1731A51B" w14:textId="3C2C88F1" w:rsidR="00110A01" w:rsidRDefault="00110A01" w:rsidP="00110A01">
      <w:pPr>
        <w:pStyle w:val="Heading2"/>
        <w:spacing w:before="200" w:after="20"/>
        <w:jc w:val="both"/>
      </w:pPr>
      <w:bookmarkStart w:id="25" w:name="_Toc15397749"/>
      <w:bookmarkStart w:id="26" w:name="_Toc23797299"/>
      <w:r>
        <w:t>Otra normativa nacional</w:t>
      </w:r>
      <w:bookmarkEnd w:id="25"/>
      <w:bookmarkEnd w:id="26"/>
      <w:r>
        <w:t xml:space="preserve"> </w:t>
      </w:r>
    </w:p>
    <w:p w14:paraId="6697AAD0" w14:textId="400A8E1B" w:rsidR="00110A01" w:rsidRDefault="00110A01" w:rsidP="009B54B5">
      <w:pPr>
        <w:pStyle w:val="Estilo1"/>
      </w:pPr>
      <w:r w:rsidRPr="0063209C">
        <w:t>Los Estatutos Orgánicos de Gestión por Procesos de</w:t>
      </w:r>
      <w:r w:rsidR="005C40F3">
        <w:t xml:space="preserve"> los OE y OSE</w:t>
      </w:r>
      <w:r w:rsidRPr="0063209C">
        <w:t>, cuando sus disposiciones no contravengan o resulten incompatibles con lo establecido en el Contrato de Préstamo, el ROP y las Políticas aplicables en la ejecución del Programa</w:t>
      </w:r>
      <w:r>
        <w:t>.</w:t>
      </w:r>
    </w:p>
    <w:p w14:paraId="44A08CD1" w14:textId="019823D3" w:rsidR="00215A75" w:rsidRDefault="00215A75" w:rsidP="009F3496">
      <w:pPr>
        <w:pStyle w:val="Heading1"/>
      </w:pPr>
      <w:bookmarkStart w:id="27" w:name="_Toc424879193"/>
      <w:bookmarkStart w:id="28" w:name="_Toc454056449"/>
      <w:bookmarkStart w:id="29" w:name="_Toc23797300"/>
      <w:r>
        <w:lastRenderedPageBreak/>
        <w:t>Descripción del Programa</w:t>
      </w:r>
      <w:bookmarkEnd w:id="27"/>
      <w:bookmarkEnd w:id="28"/>
      <w:bookmarkEnd w:id="29"/>
    </w:p>
    <w:p w14:paraId="5E470B5C" w14:textId="48BFF194" w:rsidR="00917CBC" w:rsidRDefault="00215A75" w:rsidP="00A94976">
      <w:pPr>
        <w:pStyle w:val="Heading2"/>
        <w:numPr>
          <w:ilvl w:val="0"/>
          <w:numId w:val="3"/>
        </w:numPr>
      </w:pPr>
      <w:bookmarkStart w:id="30" w:name="_Toc424879194"/>
      <w:bookmarkStart w:id="31" w:name="_Toc454056450"/>
      <w:bookmarkStart w:id="32" w:name="_Toc23797301"/>
      <w:r w:rsidRPr="00215A75">
        <w:t>Objetivo</w:t>
      </w:r>
      <w:r w:rsidR="0061797C">
        <w:t xml:space="preserve"> y Estructura </w:t>
      </w:r>
      <w:r w:rsidR="007502D3">
        <w:t>del Programa</w:t>
      </w:r>
      <w:bookmarkEnd w:id="30"/>
      <w:bookmarkEnd w:id="31"/>
      <w:bookmarkEnd w:id="32"/>
    </w:p>
    <w:p w14:paraId="3EB81AA9" w14:textId="77777777" w:rsidR="003C351F" w:rsidRPr="003C351F" w:rsidRDefault="003C351F" w:rsidP="003C351F">
      <w:pPr>
        <w:pStyle w:val="ListParagraph"/>
        <w:numPr>
          <w:ilvl w:val="0"/>
          <w:numId w:val="7"/>
        </w:numPr>
        <w:tabs>
          <w:tab w:val="clear" w:pos="720"/>
        </w:tabs>
        <w:spacing w:before="0" w:after="100"/>
        <w:jc w:val="both"/>
        <w:rPr>
          <w:rFonts w:ascii="Segoe UI" w:hAnsi="Segoe UI"/>
          <w:vanish/>
          <w:sz w:val="20"/>
        </w:rPr>
      </w:pPr>
    </w:p>
    <w:p w14:paraId="7CC7EFC5" w14:textId="265DB3C4" w:rsidR="00572D6B" w:rsidRDefault="00BD5D10" w:rsidP="009B54B5">
      <w:pPr>
        <w:pStyle w:val="Estilo1"/>
      </w:pPr>
      <w:r w:rsidRPr="00BD5D10">
        <w:rPr>
          <w:b/>
          <w:u w:val="single"/>
        </w:rPr>
        <w:t>O</w:t>
      </w:r>
      <w:r w:rsidR="00A27ACE" w:rsidRPr="00BD5D10">
        <w:rPr>
          <w:b/>
          <w:u w:val="single"/>
        </w:rPr>
        <w:t xml:space="preserve">bjetivo general de </w:t>
      </w:r>
      <w:r w:rsidR="00484397" w:rsidRPr="00BD5D10">
        <w:rPr>
          <w:b/>
          <w:u w:val="single"/>
        </w:rPr>
        <w:t>del programa</w:t>
      </w:r>
      <w:r>
        <w:rPr>
          <w:b/>
        </w:rPr>
        <w:t xml:space="preserve">. </w:t>
      </w:r>
      <w:r>
        <w:t>E</w:t>
      </w:r>
      <w:r w:rsidR="002D696A">
        <w:t>s c</w:t>
      </w:r>
      <w:r w:rsidR="00484397" w:rsidRPr="00484397">
        <w:t>ontribuir a mejorar la competitividad del país, a través del fortalecimiento de las instituciones que inciden sobre el ambiente de negocios y la productividad, específicamente: (i) la gobernanza para la competitividad e innovación; (ii) la calidad regulatoria y transparencia del ambiente de negocios; (iii) la gestión de entidades y activos públicos de apoyo a la competitividad; y (iv) la entrega de servicios a empresas y ciudadanos</w:t>
      </w:r>
      <w:r w:rsidR="00484397" w:rsidRPr="00484397">
        <w:rPr>
          <w:b/>
        </w:rPr>
        <w:t>.</w:t>
      </w:r>
      <w:r w:rsidR="0061797C" w:rsidRPr="0061797C">
        <w:t xml:space="preserve"> Para ello, el programa se estructurará en los siguientes componentes:</w:t>
      </w:r>
    </w:p>
    <w:p w14:paraId="6D36A0F7" w14:textId="42D9F3A7" w:rsidR="00F420CD" w:rsidRPr="00BD5D10" w:rsidRDefault="00F420CD" w:rsidP="00BD5D10">
      <w:pPr>
        <w:pStyle w:val="Heading3"/>
      </w:pPr>
      <w:r w:rsidRPr="00A6479F">
        <w:t xml:space="preserve">Componente 1. </w:t>
      </w:r>
      <w:r w:rsidR="002D696A" w:rsidRPr="002D696A">
        <w:t>Fortalecimiento de la gobernanza para la competitividad e innovación</w:t>
      </w:r>
      <w:r w:rsidR="004F7F49">
        <w:t xml:space="preserve">.  </w:t>
      </w:r>
      <w:r w:rsidR="002D696A" w:rsidRPr="00BD5D10">
        <w:rPr>
          <w:b w:val="0"/>
          <w:bCs/>
        </w:rPr>
        <w:t>El objetivo es fortalecer los mecanismos de dialogo y coordinación entre los sectores público y privado; así como mejorar la innovación y la productividad de áreas y sectores productivos estratégicos priorizados.</w:t>
      </w:r>
    </w:p>
    <w:p w14:paraId="54182FC3" w14:textId="3CB81BDE" w:rsidR="000E12C9" w:rsidRPr="00BD5D10" w:rsidRDefault="00FD0F22" w:rsidP="00BD5D10">
      <w:pPr>
        <w:pStyle w:val="Heading3"/>
        <w:rPr>
          <w:b w:val="0"/>
          <w:bCs/>
        </w:rPr>
      </w:pPr>
      <w:r w:rsidRPr="00632D39">
        <w:t>Componente 2.</w:t>
      </w:r>
      <w:r w:rsidR="00BF3BDC" w:rsidRPr="00632D39">
        <w:t xml:space="preserve"> </w:t>
      </w:r>
      <w:r w:rsidR="005F4DB7" w:rsidRPr="00632D39">
        <w:t xml:space="preserve"> </w:t>
      </w:r>
      <w:r w:rsidR="002D696A" w:rsidRPr="002D696A">
        <w:t>Mejora regulatoria y transparencia del ambiente de negocios</w:t>
      </w:r>
      <w:r w:rsidR="00423D32" w:rsidRPr="00632D39">
        <w:t xml:space="preserve">. </w:t>
      </w:r>
      <w:r w:rsidR="002D696A" w:rsidRPr="00BD5D10">
        <w:rPr>
          <w:b w:val="0"/>
          <w:bCs/>
        </w:rPr>
        <w:t>El objetivo es fortalecer los mecanismos institucionales que apoyan a la calidad regulatoria y la transparencia del ambiente de negocios</w:t>
      </w:r>
      <w:r w:rsidR="00166224" w:rsidRPr="00BD5D10">
        <w:rPr>
          <w:b w:val="0"/>
          <w:bCs/>
        </w:rPr>
        <w:t>.</w:t>
      </w:r>
      <w:r w:rsidR="00F84433" w:rsidRPr="00BD5D10">
        <w:rPr>
          <w:b w:val="0"/>
          <w:bCs/>
        </w:rPr>
        <w:t xml:space="preserve"> </w:t>
      </w:r>
    </w:p>
    <w:p w14:paraId="687DCB4C" w14:textId="53A4AA05" w:rsidR="002D696A" w:rsidRPr="00BD5D10" w:rsidRDefault="00413630" w:rsidP="00BD5D10">
      <w:pPr>
        <w:pStyle w:val="Heading3"/>
        <w:rPr>
          <w:b w:val="0"/>
          <w:bCs/>
        </w:rPr>
      </w:pPr>
      <w:r w:rsidRPr="00413630">
        <w:t xml:space="preserve">Componente 3. </w:t>
      </w:r>
      <w:r w:rsidR="002D696A" w:rsidRPr="002D696A">
        <w:t>Fortalecimiento de la gestión de entidades y activos públicos de apoyo a la competitividad</w:t>
      </w:r>
      <w:r w:rsidRPr="00632D39">
        <w:t xml:space="preserve">. </w:t>
      </w:r>
      <w:r w:rsidR="002D696A" w:rsidRPr="00BD5D10">
        <w:rPr>
          <w:b w:val="0"/>
          <w:bCs/>
        </w:rPr>
        <w:t>El objetivo es mejorar la gestión interna de las entidades, procesos y activos gubernamentales que contribuyen a la productividad del sector privado.</w:t>
      </w:r>
    </w:p>
    <w:p w14:paraId="16B376A2" w14:textId="21FDBB3D" w:rsidR="00413630" w:rsidRPr="00BD5D10" w:rsidRDefault="002D696A" w:rsidP="00BD5D10">
      <w:pPr>
        <w:pStyle w:val="Heading3"/>
      </w:pPr>
      <w:r w:rsidRPr="00413630">
        <w:t xml:space="preserve">Componente </w:t>
      </w:r>
      <w:r>
        <w:t>4</w:t>
      </w:r>
      <w:r w:rsidRPr="00413630">
        <w:t xml:space="preserve">. </w:t>
      </w:r>
      <w:r w:rsidRPr="002D696A">
        <w:t>Mejora en la entrega de servicios a empresas y ciudadanos</w:t>
      </w:r>
      <w:r w:rsidRPr="00632D39">
        <w:t xml:space="preserve">. </w:t>
      </w:r>
      <w:r w:rsidRPr="00BD5D10">
        <w:rPr>
          <w:b w:val="0"/>
          <w:bCs/>
        </w:rPr>
        <w:t>El objetivo es reducir los costos de transacción para los usuarios de servicios públicos.</w:t>
      </w:r>
      <w:r w:rsidR="00166224" w:rsidRPr="00BD5D10">
        <w:t xml:space="preserve"> </w:t>
      </w:r>
    </w:p>
    <w:p w14:paraId="097186BA" w14:textId="77DD1475" w:rsidR="00AB0D7A" w:rsidRDefault="005505C0" w:rsidP="009B54B5">
      <w:pPr>
        <w:pStyle w:val="Estilo1"/>
      </w:pPr>
      <w:r>
        <w:t xml:space="preserve">El detalle del alcance de los </w:t>
      </w:r>
      <w:r w:rsidR="005D5BD0">
        <w:t>c</w:t>
      </w:r>
      <w:r>
        <w:t xml:space="preserve">omponentes se muestra en el Anexo ‘El Programa’ del Contrato de </w:t>
      </w:r>
      <w:r w:rsidRPr="00A038B9">
        <w:t xml:space="preserve">Préstamo </w:t>
      </w:r>
      <w:r w:rsidR="00823551" w:rsidRPr="006E0293">
        <w:rPr>
          <w:highlight w:val="yellow"/>
        </w:rPr>
        <w:t>XXXX</w:t>
      </w:r>
      <w:r w:rsidR="00A038B9" w:rsidRPr="006E0293">
        <w:rPr>
          <w:highlight w:val="yellow"/>
        </w:rPr>
        <w:t>/OC-EC</w:t>
      </w:r>
      <w:r w:rsidRPr="00A038B9">
        <w:t>.</w:t>
      </w:r>
      <w:r>
        <w:t xml:space="preserve">  </w:t>
      </w:r>
      <w:r w:rsidR="003C4255" w:rsidRPr="00C27182">
        <w:t xml:space="preserve">Los productos que se financian en cada componente, se encuentran detallados en </w:t>
      </w:r>
      <w:r w:rsidR="00DB7771">
        <w:t>la Matriz de Resultados del Programa (M</w:t>
      </w:r>
      <w:r w:rsidR="00423D32">
        <w:t>d</w:t>
      </w:r>
      <w:r w:rsidR="00DB7771">
        <w:t>R)</w:t>
      </w:r>
      <w:r w:rsidR="005D5BD0">
        <w:t xml:space="preserve">. </w:t>
      </w:r>
      <w:r w:rsidR="00523F0E">
        <w:t xml:space="preserve"> Las actividades de cada producto se detallan en el Plan Operativo Anual (POA) y el Plan de Adquisiciones (PA). </w:t>
      </w:r>
    </w:p>
    <w:p w14:paraId="634A5546" w14:textId="171CD90E" w:rsidR="00CE538C" w:rsidRPr="008C2281" w:rsidRDefault="00CE538C" w:rsidP="00A94976">
      <w:pPr>
        <w:pStyle w:val="Heading2"/>
      </w:pPr>
      <w:bookmarkStart w:id="33" w:name="_Toc454056452"/>
      <w:bookmarkStart w:id="34" w:name="_Toc23797302"/>
      <w:bookmarkStart w:id="35" w:name="_Toc424879196"/>
      <w:r w:rsidRPr="008C2281">
        <w:t xml:space="preserve">Costo del Programa y </w:t>
      </w:r>
      <w:r w:rsidR="007E4D6C" w:rsidRPr="008C2281">
        <w:t>reprogramaciones</w:t>
      </w:r>
      <w:bookmarkEnd w:id="33"/>
      <w:bookmarkEnd w:id="34"/>
      <w:r w:rsidR="007E4D6C" w:rsidRPr="008C2281">
        <w:t xml:space="preserve"> </w:t>
      </w:r>
      <w:bookmarkEnd w:id="35"/>
    </w:p>
    <w:p w14:paraId="35B6581D" w14:textId="056150B7" w:rsidR="00195A77" w:rsidRPr="00624FF5" w:rsidRDefault="00CE538C" w:rsidP="009B54B5">
      <w:pPr>
        <w:pStyle w:val="Estilo1"/>
      </w:pPr>
      <w:r w:rsidRPr="00624FF5">
        <w:t xml:space="preserve">El costo </w:t>
      </w:r>
      <w:r w:rsidR="00195A77" w:rsidRPr="00624FF5">
        <w:t xml:space="preserve">total </w:t>
      </w:r>
      <w:r w:rsidRPr="00624FF5">
        <w:t>estimado del Programa</w:t>
      </w:r>
      <w:r w:rsidR="005D5BD0" w:rsidRPr="00624FF5">
        <w:rPr>
          <w:rStyle w:val="FootnoteReference"/>
        </w:rPr>
        <w:footnoteReference w:id="5"/>
      </w:r>
      <w:r w:rsidRPr="00624FF5">
        <w:t xml:space="preserve"> </w:t>
      </w:r>
      <w:r w:rsidR="008C2281" w:rsidRPr="00624FF5">
        <w:t>es de U</w:t>
      </w:r>
      <w:r w:rsidR="00195A77" w:rsidRPr="00624FF5">
        <w:t>$</w:t>
      </w:r>
      <w:r w:rsidR="002D696A">
        <w:t>44</w:t>
      </w:r>
      <w:r w:rsidR="004F7F49">
        <w:t>.</w:t>
      </w:r>
      <w:r w:rsidR="002D696A">
        <w:t>8</w:t>
      </w:r>
      <w:r w:rsidR="008C2281" w:rsidRPr="00624FF5">
        <w:t xml:space="preserve"> millones</w:t>
      </w:r>
      <w:r w:rsidR="00EC4473">
        <w:t xml:space="preserve"> de dólares</w:t>
      </w:r>
      <w:r w:rsidR="008C2281" w:rsidRPr="00624FF5">
        <w:t>, de</w:t>
      </w:r>
      <w:r w:rsidR="00195A77" w:rsidRPr="00624FF5">
        <w:t xml:space="preserve"> los cuales U$</w:t>
      </w:r>
      <w:r w:rsidR="002D696A">
        <w:t>40</w:t>
      </w:r>
      <w:r w:rsidR="000372CE" w:rsidRPr="00624FF5">
        <w:t xml:space="preserve"> </w:t>
      </w:r>
      <w:r w:rsidR="00195A77" w:rsidRPr="00624FF5">
        <w:t>millones s</w:t>
      </w:r>
      <w:r w:rsidR="0071762A" w:rsidRPr="00624FF5">
        <w:t xml:space="preserve">erán </w:t>
      </w:r>
      <w:r w:rsidR="00195A77" w:rsidRPr="00624FF5">
        <w:t xml:space="preserve">financiados por el BID </w:t>
      </w:r>
      <w:r w:rsidR="00B57428">
        <w:t xml:space="preserve">y US$ </w:t>
      </w:r>
      <w:r w:rsidR="002D696A">
        <w:t>4.8</w:t>
      </w:r>
      <w:r w:rsidR="00B57428">
        <w:t xml:space="preserve"> millones con a</w:t>
      </w:r>
      <w:r w:rsidR="00195A77" w:rsidRPr="00624FF5">
        <w:t xml:space="preserve">porte </w:t>
      </w:r>
      <w:r w:rsidR="00AB1983">
        <w:t>l</w:t>
      </w:r>
      <w:r w:rsidR="00195A77" w:rsidRPr="00624FF5">
        <w:t>ocal</w:t>
      </w:r>
      <w:r w:rsidR="008C2281" w:rsidRPr="00624FF5">
        <w:t>.</w:t>
      </w:r>
      <w:r w:rsidR="00C73FAE">
        <w:t xml:space="preserve"> El costo del Programa presupuestado vigente, corresponderá al de la última programación o reprogramación que cuente con la No Objeción escrita del Banco.</w:t>
      </w:r>
    </w:p>
    <w:p w14:paraId="7395230D" w14:textId="70BDC89A" w:rsidR="00C73FAE" w:rsidRDefault="00C73FAE" w:rsidP="00A94976">
      <w:pPr>
        <w:pStyle w:val="Heading2"/>
      </w:pPr>
      <w:bookmarkStart w:id="36" w:name="_Toc23797303"/>
      <w:r>
        <w:t>Modificaciones y reasignaciones</w:t>
      </w:r>
      <w:bookmarkEnd w:id="36"/>
    </w:p>
    <w:p w14:paraId="5263C588" w14:textId="40177D3B" w:rsidR="00452008" w:rsidRDefault="00EC0906" w:rsidP="009B54B5">
      <w:pPr>
        <w:pStyle w:val="Estilo1"/>
      </w:pPr>
      <w:r>
        <w:t>Únicamente el</w:t>
      </w:r>
      <w:r w:rsidR="002D696A">
        <w:t xml:space="preserve"> MEF</w:t>
      </w:r>
      <w:r>
        <w:t>, en su calidad de OE</w:t>
      </w:r>
      <w:r w:rsidR="00550B74">
        <w:t>,</w:t>
      </w:r>
      <w:r w:rsidR="008C2281">
        <w:t xml:space="preserve"> </w:t>
      </w:r>
      <w:r w:rsidR="007E4D6C">
        <w:t xml:space="preserve">podrá </w:t>
      </w:r>
      <w:r w:rsidR="007E4D6C" w:rsidRPr="00A912DF">
        <w:t>solicitar</w:t>
      </w:r>
      <w:r w:rsidR="007E4D6C">
        <w:t xml:space="preserve"> al </w:t>
      </w:r>
      <w:r w:rsidR="00452008">
        <w:t>BID reasignaciones y modificaciones a la estructura de costos de los componentes del Programa, las mismas que deberán estar justificadas con la documentación financiera y técnica respectiva y las herramientas de gestión actualizadas.</w:t>
      </w:r>
      <w:r w:rsidR="00FF03D8">
        <w:t xml:space="preserve"> Las modificaciones propuestas por los OSE deberán ser canalizadas al Banco por el MEF.</w:t>
      </w:r>
      <w:r w:rsidR="00452008">
        <w:t xml:space="preserve"> Cuando se trate de modificaciones o reasignaciones entre componentes de inversión, se deberán adjuntar la justificación técnica elaborada por el </w:t>
      </w:r>
      <w:r w:rsidR="0095227D">
        <w:t>OE</w:t>
      </w:r>
      <w:r w:rsidR="00FF03D8">
        <w:t xml:space="preserve"> y OSE </w:t>
      </w:r>
      <w:r w:rsidR="00452008">
        <w:t xml:space="preserve">y la respectiva autorización de la Subsecretaría de Financiamiento Público del MEF.  Para que </w:t>
      </w:r>
      <w:r w:rsidR="005B0E96">
        <w:t>cualquiera de dichas modificaciones entre</w:t>
      </w:r>
      <w:r w:rsidR="00452008">
        <w:t xml:space="preserve"> en vigencia se deberá contar con la No objeción y consentimiento por escrito del BID. Toda modificación importante en los planes, especificaciones, </w:t>
      </w:r>
      <w:r w:rsidR="005B0E96">
        <w:t xml:space="preserve">cronograma, </w:t>
      </w:r>
      <w:r w:rsidR="00452008">
        <w:t>presupuestos, reglamentos y otros documentos que el Banco apruebe, y todo cambio sustancial en los contratos financiados con recursos del Préstamo requieren consentimiento escrito del Banco el cual deberá ser solicitado por</w:t>
      </w:r>
      <w:r w:rsidR="00DB434D">
        <w:t xml:space="preserve"> escrito por</w:t>
      </w:r>
      <w:r w:rsidR="00452008">
        <w:t xml:space="preserve"> el</w:t>
      </w:r>
      <w:r>
        <w:t xml:space="preserve"> OE</w:t>
      </w:r>
      <w:r w:rsidR="00452008">
        <w:t>.</w:t>
      </w:r>
    </w:p>
    <w:p w14:paraId="70D27794" w14:textId="7D23CEFE" w:rsidR="00E141FC" w:rsidRDefault="00452008" w:rsidP="009B54B5">
      <w:pPr>
        <w:pStyle w:val="Estilo1"/>
      </w:pPr>
      <w:r>
        <w:t>En caso de contradicción o inconsistencias entre las disposiciones del contrato de Préstamo y cualquier plan especificación, calendario de inversiones, presupuesto, reglamento u otro documento que apruebe el Banco</w:t>
      </w:r>
      <w:r w:rsidR="00423D32">
        <w:t xml:space="preserve">, las disposiciones del contrato de Préstamo prevalecerán sobre dichos documentos. </w:t>
      </w:r>
    </w:p>
    <w:p w14:paraId="6EE18DED" w14:textId="75721674" w:rsidR="00DC52B2" w:rsidRDefault="00DC52B2" w:rsidP="009F3496">
      <w:pPr>
        <w:pStyle w:val="Heading1"/>
      </w:pPr>
      <w:bookmarkStart w:id="37" w:name="_Toc428278753"/>
      <w:bookmarkStart w:id="38" w:name="_Toc424879197"/>
      <w:bookmarkStart w:id="39" w:name="_Toc454056453"/>
      <w:bookmarkStart w:id="40" w:name="_Toc23797304"/>
      <w:bookmarkEnd w:id="37"/>
      <w:r>
        <w:lastRenderedPageBreak/>
        <w:t>Esquema de Ejecución del Programa</w:t>
      </w:r>
      <w:bookmarkEnd w:id="38"/>
      <w:bookmarkEnd w:id="39"/>
      <w:bookmarkEnd w:id="40"/>
    </w:p>
    <w:p w14:paraId="52194F9B" w14:textId="7D4CD52A" w:rsidR="002124E2" w:rsidRDefault="002124E2" w:rsidP="00A94976">
      <w:pPr>
        <w:pStyle w:val="Heading2"/>
        <w:numPr>
          <w:ilvl w:val="0"/>
          <w:numId w:val="5"/>
        </w:numPr>
      </w:pPr>
      <w:bookmarkStart w:id="41" w:name="_Toc23797305"/>
      <w:bookmarkStart w:id="42" w:name="_Toc424879199"/>
      <w:bookmarkStart w:id="43" w:name="_Toc454056454"/>
      <w:r>
        <w:t>Mecanismo de ejecución del Programa</w:t>
      </w:r>
      <w:bookmarkEnd w:id="41"/>
    </w:p>
    <w:p w14:paraId="079AA7D1" w14:textId="623CC269" w:rsidR="002124E2" w:rsidRPr="002124E2" w:rsidRDefault="002124E2" w:rsidP="009B54B5">
      <w:pPr>
        <w:pStyle w:val="Estilo1"/>
      </w:pPr>
      <w:r w:rsidRPr="002124E2">
        <w:t>El prestatario será la República de Ecuador, y el O</w:t>
      </w:r>
      <w:r>
        <w:t xml:space="preserve">rganismo </w:t>
      </w:r>
      <w:r w:rsidRPr="002124E2">
        <w:t>E</w:t>
      </w:r>
      <w:r>
        <w:t>jecutor (OE)</w:t>
      </w:r>
      <w:r w:rsidRPr="002124E2">
        <w:t xml:space="preserve"> y contraparte oficial del programa será el</w:t>
      </w:r>
      <w:r>
        <w:t xml:space="preserve"> Ministerio de Economía y Finanzas (</w:t>
      </w:r>
      <w:r w:rsidRPr="002124E2">
        <w:t>MEF</w:t>
      </w:r>
      <w:r>
        <w:t>)</w:t>
      </w:r>
      <w:r w:rsidRPr="002124E2">
        <w:t xml:space="preserve">, contando con la </w:t>
      </w:r>
      <w:r>
        <w:t>Secretaría General de la Presidencia (</w:t>
      </w:r>
      <w:r w:rsidRPr="002124E2">
        <w:t>SGP</w:t>
      </w:r>
      <w:r>
        <w:t>)</w:t>
      </w:r>
      <w:r w:rsidRPr="002124E2">
        <w:t xml:space="preserve"> y la</w:t>
      </w:r>
      <w:r>
        <w:t xml:space="preserve"> Vicepresidencia de la República (V</w:t>
      </w:r>
      <w:r w:rsidRPr="002124E2">
        <w:t>PR</w:t>
      </w:r>
      <w:r>
        <w:t>)</w:t>
      </w:r>
      <w:r w:rsidRPr="002124E2">
        <w:t xml:space="preserve"> como</w:t>
      </w:r>
      <w:r>
        <w:t xml:space="preserve"> Organismos Subejecutores (</w:t>
      </w:r>
      <w:r w:rsidRPr="002124E2">
        <w:t>OSE</w:t>
      </w:r>
      <w:r>
        <w:t>)</w:t>
      </w:r>
      <w:r w:rsidRPr="002124E2">
        <w:t>.</w:t>
      </w:r>
    </w:p>
    <w:p w14:paraId="16C9E8AE" w14:textId="201E52E7" w:rsidR="00BE4B24" w:rsidRPr="00FE6E17" w:rsidRDefault="00BE4B24" w:rsidP="00A94976">
      <w:pPr>
        <w:pStyle w:val="Heading2"/>
        <w:numPr>
          <w:ilvl w:val="0"/>
          <w:numId w:val="5"/>
        </w:numPr>
      </w:pPr>
      <w:bookmarkStart w:id="44" w:name="_Toc23797306"/>
      <w:r w:rsidRPr="002845D8">
        <w:t>Entidades</w:t>
      </w:r>
      <w:r w:rsidRPr="00FE6E17">
        <w:t xml:space="preserve"> responsables de la ejecución del Programa</w:t>
      </w:r>
      <w:bookmarkEnd w:id="42"/>
      <w:bookmarkEnd w:id="43"/>
      <w:bookmarkEnd w:id="44"/>
    </w:p>
    <w:p w14:paraId="6F1850FC" w14:textId="77777777" w:rsidR="0000424F" w:rsidRPr="0000424F" w:rsidRDefault="0000424F" w:rsidP="0000424F">
      <w:pPr>
        <w:pStyle w:val="ListParagraph"/>
        <w:numPr>
          <w:ilvl w:val="0"/>
          <w:numId w:val="7"/>
        </w:numPr>
        <w:tabs>
          <w:tab w:val="clear" w:pos="720"/>
        </w:tabs>
        <w:spacing w:before="0" w:after="100"/>
        <w:jc w:val="both"/>
        <w:rPr>
          <w:rFonts w:ascii="Segoe UI" w:hAnsi="Segoe UI"/>
          <w:vanish/>
          <w:sz w:val="20"/>
        </w:rPr>
      </w:pPr>
    </w:p>
    <w:p w14:paraId="7403E142" w14:textId="081BED86" w:rsidR="00DD24DC" w:rsidRDefault="002124E2" w:rsidP="009B54B5">
      <w:pPr>
        <w:pStyle w:val="Estilo1"/>
      </w:pPr>
      <w:r w:rsidRPr="002124E2">
        <w:t>El MEF será el responsable de la ejecución del Componente 3</w:t>
      </w:r>
      <w:r w:rsidR="00376E12">
        <w:t xml:space="preserve">, </w:t>
      </w:r>
      <w:r w:rsidRPr="002124E2">
        <w:t>la VPR del Componente 1, y la SGP de los Componentes 2 y 4. Además, el MEF será el responsable de la consolidación y presentación de informes de progreso, desembolsos, de contratar las evaluaciones y las auditorías, así como del cumplimiento de las condiciones contractuales especiales previas al primer desembolso del financiamiento.</w:t>
      </w:r>
      <w:r w:rsidR="00376E12">
        <w:t xml:space="preserve"> </w:t>
      </w:r>
      <w:r w:rsidR="00376E12" w:rsidRPr="00376E12">
        <w:rPr>
          <w:rFonts w:cs="Arial"/>
          <w:sz w:val="22"/>
        </w:rPr>
        <w:t>A los efectos del manejo gerencial, el OE y los OSE conformarán sus</w:t>
      </w:r>
      <w:r w:rsidR="001863C1">
        <w:rPr>
          <w:rFonts w:cs="Arial"/>
          <w:sz w:val="22"/>
        </w:rPr>
        <w:t xml:space="preserve"> Equipos de Gestión del Programa (</w:t>
      </w:r>
      <w:r w:rsidR="00376E12" w:rsidRPr="00376E12">
        <w:rPr>
          <w:rFonts w:cs="Arial"/>
          <w:sz w:val="22"/>
        </w:rPr>
        <w:t>EDG</w:t>
      </w:r>
      <w:r w:rsidR="001863C1">
        <w:rPr>
          <w:rFonts w:cs="Arial"/>
          <w:sz w:val="22"/>
        </w:rPr>
        <w:t>)</w:t>
      </w:r>
      <w:r w:rsidR="00376E12" w:rsidRPr="00376E12">
        <w:rPr>
          <w:rFonts w:cs="Arial"/>
          <w:sz w:val="22"/>
        </w:rPr>
        <w:t xml:space="preserve"> separados </w:t>
      </w:r>
      <w:r w:rsidR="001144E6">
        <w:rPr>
          <w:rFonts w:cs="Arial"/>
          <w:sz w:val="22"/>
        </w:rPr>
        <w:t xml:space="preserve">con </w:t>
      </w:r>
      <w:r w:rsidR="00376E12" w:rsidRPr="00376E12">
        <w:rPr>
          <w:rFonts w:cs="Arial"/>
          <w:sz w:val="22"/>
        </w:rPr>
        <w:t xml:space="preserve">dedicación exclusiva y de tiempo completo en la ejecución del </w:t>
      </w:r>
      <w:r w:rsidR="001144E6">
        <w:rPr>
          <w:rFonts w:cs="Arial"/>
          <w:sz w:val="22"/>
        </w:rPr>
        <w:t>P</w:t>
      </w:r>
      <w:r w:rsidR="00376E12" w:rsidRPr="00376E12">
        <w:rPr>
          <w:rFonts w:cs="Arial"/>
          <w:sz w:val="22"/>
        </w:rPr>
        <w:t>rograma. En resumen, e</w:t>
      </w:r>
      <w:r w:rsidR="00C31FB6">
        <w:t xml:space="preserve">l </w:t>
      </w:r>
      <w:r w:rsidR="00D51933">
        <w:t>OE</w:t>
      </w:r>
      <w:r w:rsidR="00C31FB6">
        <w:t xml:space="preserve"> y </w:t>
      </w:r>
      <w:r w:rsidR="005A22C2">
        <w:t xml:space="preserve">los </w:t>
      </w:r>
      <w:r w:rsidR="00C31FB6">
        <w:t xml:space="preserve">OSE serán responsables de la ejecución de: </w:t>
      </w:r>
    </w:p>
    <w:p w14:paraId="39A7B113" w14:textId="157AFE61" w:rsidR="00A00CBB" w:rsidRDefault="00A00CBB" w:rsidP="00537683">
      <w:pPr>
        <w:pStyle w:val="Caption"/>
        <w:keepNext/>
        <w:spacing w:after="80"/>
      </w:pPr>
      <w:bookmarkStart w:id="45" w:name="_Toc499198639"/>
      <w:bookmarkStart w:id="46" w:name="_Toc23797277"/>
      <w:r>
        <w:t xml:space="preserve">Tabla </w:t>
      </w:r>
      <w:r>
        <w:rPr>
          <w:noProof/>
        </w:rPr>
        <w:fldChar w:fldCharType="begin"/>
      </w:r>
      <w:r>
        <w:rPr>
          <w:noProof/>
        </w:rPr>
        <w:instrText xml:space="preserve"> SEQ Tabla \* ARABIC </w:instrText>
      </w:r>
      <w:r>
        <w:rPr>
          <w:noProof/>
        </w:rPr>
        <w:fldChar w:fldCharType="separate"/>
      </w:r>
      <w:r w:rsidR="003538B4">
        <w:rPr>
          <w:noProof/>
        </w:rPr>
        <w:t>1</w:t>
      </w:r>
      <w:r>
        <w:rPr>
          <w:noProof/>
        </w:rPr>
        <w:fldChar w:fldCharType="end"/>
      </w:r>
      <w:r>
        <w:t>. Entidades responsables de la ejecución del Programa</w:t>
      </w:r>
      <w:bookmarkEnd w:id="45"/>
      <w:bookmarkEnd w:id="46"/>
      <w:r>
        <w:t xml:space="preserve"> </w:t>
      </w:r>
    </w:p>
    <w:tbl>
      <w:tblPr>
        <w:tblW w:w="8363" w:type="dxa"/>
        <w:jc w:val="right"/>
        <w:tblLayout w:type="fixed"/>
        <w:tblCellMar>
          <w:left w:w="70" w:type="dxa"/>
          <w:right w:w="70" w:type="dxa"/>
        </w:tblCellMar>
        <w:tblLook w:val="04A0" w:firstRow="1" w:lastRow="0" w:firstColumn="1" w:lastColumn="0" w:noHBand="0" w:noVBand="1"/>
      </w:tblPr>
      <w:tblGrid>
        <w:gridCol w:w="846"/>
        <w:gridCol w:w="709"/>
        <w:gridCol w:w="6808"/>
      </w:tblGrid>
      <w:tr w:rsidR="00A00CBB" w:rsidRPr="0019131D" w14:paraId="6A35B8DF" w14:textId="77777777" w:rsidTr="00F4659C">
        <w:trPr>
          <w:trHeight w:val="397"/>
          <w:tblHeader/>
          <w:jc w:val="right"/>
        </w:trPr>
        <w:tc>
          <w:tcPr>
            <w:tcW w:w="8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A8B8D1" w14:textId="028ABDB4" w:rsidR="00A00CBB" w:rsidRPr="0019131D" w:rsidRDefault="004C2264" w:rsidP="00A00CBB">
            <w:pPr>
              <w:spacing w:before="60" w:after="60"/>
              <w:jc w:val="center"/>
              <w:rPr>
                <w:rFonts w:ascii="Arial Narrow" w:hAnsi="Arial Narrow" w:cs="Arial"/>
                <w:b/>
                <w:bCs/>
                <w:szCs w:val="21"/>
                <w:u w:val="single"/>
                <w:lang w:val="es-ES"/>
              </w:rPr>
            </w:pPr>
            <w:r w:rsidRPr="0019131D">
              <w:rPr>
                <w:rFonts w:ascii="Arial Narrow" w:hAnsi="Arial Narrow" w:cs="Arial"/>
                <w:b/>
                <w:bCs/>
                <w:szCs w:val="21"/>
                <w:u w:val="single"/>
                <w:lang w:val="es-ES"/>
              </w:rPr>
              <w:t xml:space="preserve">Entidad </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11EBC62" w14:textId="1CEA294C" w:rsidR="00A00CBB" w:rsidRPr="0019131D" w:rsidRDefault="002D3DE3" w:rsidP="00A00CBB">
            <w:pPr>
              <w:spacing w:before="60" w:after="60"/>
              <w:jc w:val="center"/>
              <w:rPr>
                <w:rFonts w:ascii="Arial Narrow" w:hAnsi="Arial Narrow" w:cs="Arial"/>
                <w:b/>
                <w:bCs/>
                <w:szCs w:val="21"/>
                <w:u w:val="single"/>
              </w:rPr>
            </w:pPr>
            <w:r w:rsidRPr="0019131D">
              <w:rPr>
                <w:rFonts w:ascii="Arial Narrow" w:hAnsi="Arial Narrow" w:cs="Arial"/>
                <w:b/>
                <w:bCs/>
                <w:szCs w:val="21"/>
                <w:u w:val="single"/>
              </w:rPr>
              <w:t>Tipo</w:t>
            </w:r>
          </w:p>
        </w:tc>
        <w:tc>
          <w:tcPr>
            <w:tcW w:w="68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C70C75" w14:textId="710327E7" w:rsidR="00A00CBB" w:rsidRPr="0019131D" w:rsidRDefault="00A00CBB" w:rsidP="00A00CBB">
            <w:pPr>
              <w:spacing w:before="60" w:after="60"/>
              <w:jc w:val="center"/>
              <w:rPr>
                <w:rFonts w:ascii="Arial Narrow" w:hAnsi="Arial Narrow" w:cs="Arial"/>
                <w:b/>
                <w:bCs/>
                <w:szCs w:val="21"/>
                <w:u w:val="single"/>
                <w:lang w:val="es-ES"/>
              </w:rPr>
            </w:pPr>
            <w:r w:rsidRPr="0019131D">
              <w:rPr>
                <w:rFonts w:ascii="Arial Narrow" w:hAnsi="Arial Narrow" w:cs="Arial"/>
                <w:b/>
                <w:bCs/>
                <w:szCs w:val="21"/>
                <w:u w:val="single"/>
              </w:rPr>
              <w:t>Componentes a Ejecutar</w:t>
            </w:r>
          </w:p>
        </w:tc>
      </w:tr>
      <w:tr w:rsidR="0003512C" w:rsidRPr="0019131D" w14:paraId="5F2A7705" w14:textId="77777777" w:rsidTr="00F4659C">
        <w:trPr>
          <w:trHeight w:val="20"/>
          <w:jc w:val="right"/>
        </w:trPr>
        <w:tc>
          <w:tcPr>
            <w:tcW w:w="846" w:type="dxa"/>
            <w:tcBorders>
              <w:top w:val="single" w:sz="4" w:space="0" w:color="auto"/>
              <w:left w:val="single" w:sz="4" w:space="0" w:color="auto"/>
              <w:bottom w:val="single" w:sz="4" w:space="0" w:color="auto"/>
              <w:right w:val="single" w:sz="4" w:space="0" w:color="auto"/>
            </w:tcBorders>
          </w:tcPr>
          <w:p w14:paraId="3121C5F3" w14:textId="1FF716B7" w:rsidR="0003512C" w:rsidRPr="0019131D" w:rsidRDefault="0003512C" w:rsidP="0003512C">
            <w:pPr>
              <w:spacing w:before="40" w:after="40"/>
              <w:jc w:val="left"/>
              <w:rPr>
                <w:rFonts w:ascii="Arial Narrow" w:hAnsi="Arial Narrow" w:cs="Arial"/>
                <w:szCs w:val="21"/>
                <w:lang w:val="es-ES"/>
              </w:rPr>
            </w:pPr>
            <w:r>
              <w:rPr>
                <w:rFonts w:ascii="Arial Narrow" w:hAnsi="Arial Narrow"/>
                <w:szCs w:val="21"/>
              </w:rPr>
              <w:t>MEF</w:t>
            </w:r>
            <w:r w:rsidRPr="0019131D">
              <w:rPr>
                <w:rFonts w:ascii="Arial Narrow" w:hAnsi="Arial Narrow"/>
                <w:szCs w:val="21"/>
              </w:rPr>
              <w:t xml:space="preserve"> </w:t>
            </w:r>
          </w:p>
        </w:tc>
        <w:tc>
          <w:tcPr>
            <w:tcW w:w="709" w:type="dxa"/>
            <w:tcBorders>
              <w:top w:val="single" w:sz="4" w:space="0" w:color="auto"/>
              <w:left w:val="single" w:sz="4" w:space="0" w:color="auto"/>
              <w:bottom w:val="single" w:sz="4" w:space="0" w:color="auto"/>
              <w:right w:val="single" w:sz="4" w:space="0" w:color="auto"/>
            </w:tcBorders>
          </w:tcPr>
          <w:p w14:paraId="7FDDE7AB" w14:textId="7EA2C24F" w:rsidR="0003512C" w:rsidRPr="0019131D" w:rsidRDefault="0003512C" w:rsidP="0003512C">
            <w:pPr>
              <w:rPr>
                <w:rFonts w:ascii="Arial Narrow" w:hAnsi="Arial Narrow"/>
                <w:szCs w:val="21"/>
              </w:rPr>
            </w:pPr>
            <w:r>
              <w:rPr>
                <w:rFonts w:ascii="Arial Narrow" w:hAnsi="Arial Narrow"/>
                <w:szCs w:val="21"/>
              </w:rPr>
              <w:t>OE</w:t>
            </w:r>
          </w:p>
        </w:tc>
        <w:tc>
          <w:tcPr>
            <w:tcW w:w="6808" w:type="dxa"/>
            <w:tcBorders>
              <w:top w:val="single" w:sz="4" w:space="0" w:color="auto"/>
              <w:left w:val="single" w:sz="4" w:space="0" w:color="auto"/>
              <w:bottom w:val="single" w:sz="4" w:space="0" w:color="auto"/>
              <w:right w:val="single" w:sz="4" w:space="0" w:color="auto"/>
            </w:tcBorders>
          </w:tcPr>
          <w:p w14:paraId="33C8D155" w14:textId="49AD2F19" w:rsidR="0003512C" w:rsidRDefault="0003512C" w:rsidP="00C54F8B">
            <w:pPr>
              <w:pStyle w:val="ListParagraph"/>
              <w:numPr>
                <w:ilvl w:val="0"/>
                <w:numId w:val="30"/>
              </w:numPr>
              <w:spacing w:before="20" w:after="20"/>
              <w:rPr>
                <w:sz w:val="22"/>
                <w:szCs w:val="21"/>
              </w:rPr>
            </w:pPr>
            <w:r>
              <w:rPr>
                <w:sz w:val="22"/>
                <w:szCs w:val="21"/>
              </w:rPr>
              <w:t xml:space="preserve">Componente 3. </w:t>
            </w:r>
            <w:r w:rsidRPr="0003512C">
              <w:rPr>
                <w:sz w:val="22"/>
                <w:szCs w:val="21"/>
              </w:rPr>
              <w:t>Fortalecimiento de la gestión de entidades y activos públicos de apoyo a la competitividad</w:t>
            </w:r>
          </w:p>
          <w:p w14:paraId="3B8CB874" w14:textId="5B7F0AA9" w:rsidR="0003512C" w:rsidRPr="0019131D" w:rsidRDefault="0003512C" w:rsidP="00C54F8B">
            <w:pPr>
              <w:pStyle w:val="ListParagraph"/>
              <w:numPr>
                <w:ilvl w:val="0"/>
                <w:numId w:val="30"/>
              </w:numPr>
              <w:spacing w:before="20" w:after="20"/>
              <w:rPr>
                <w:sz w:val="22"/>
                <w:szCs w:val="21"/>
              </w:rPr>
            </w:pPr>
            <w:r>
              <w:rPr>
                <w:sz w:val="22"/>
                <w:szCs w:val="21"/>
              </w:rPr>
              <w:t xml:space="preserve">Coordinación y </w:t>
            </w:r>
            <w:r w:rsidRPr="0019131D">
              <w:rPr>
                <w:sz w:val="22"/>
                <w:szCs w:val="21"/>
              </w:rPr>
              <w:t>Administración del Programa (auditorías, monitoreo y evaluación)</w:t>
            </w:r>
          </w:p>
          <w:p w14:paraId="208D134F" w14:textId="77777777" w:rsidR="0003512C" w:rsidRPr="0019131D" w:rsidRDefault="0003512C" w:rsidP="00C54F8B">
            <w:pPr>
              <w:pStyle w:val="ListParagraph"/>
              <w:numPr>
                <w:ilvl w:val="0"/>
                <w:numId w:val="30"/>
              </w:numPr>
              <w:spacing w:before="20" w:after="20"/>
              <w:rPr>
                <w:sz w:val="22"/>
                <w:szCs w:val="21"/>
              </w:rPr>
            </w:pPr>
            <w:r w:rsidRPr="0019131D">
              <w:rPr>
                <w:sz w:val="22"/>
                <w:szCs w:val="21"/>
              </w:rPr>
              <w:t>Contratación del EDG-MEF para el Programa</w:t>
            </w:r>
          </w:p>
        </w:tc>
      </w:tr>
      <w:tr w:rsidR="0003512C" w:rsidRPr="0019131D" w14:paraId="0450F3CB" w14:textId="77777777" w:rsidTr="00F4659C">
        <w:trPr>
          <w:trHeight w:val="20"/>
          <w:jc w:val="right"/>
        </w:trPr>
        <w:tc>
          <w:tcPr>
            <w:tcW w:w="846" w:type="dxa"/>
            <w:tcBorders>
              <w:top w:val="single" w:sz="4" w:space="0" w:color="auto"/>
              <w:left w:val="single" w:sz="4" w:space="0" w:color="auto"/>
              <w:bottom w:val="single" w:sz="4" w:space="0" w:color="auto"/>
              <w:right w:val="single" w:sz="4" w:space="0" w:color="auto"/>
            </w:tcBorders>
          </w:tcPr>
          <w:p w14:paraId="68616EB9" w14:textId="27726796" w:rsidR="0003512C" w:rsidRDefault="0003512C" w:rsidP="0003512C">
            <w:pPr>
              <w:spacing w:before="40" w:after="40"/>
              <w:jc w:val="left"/>
              <w:rPr>
                <w:rFonts w:ascii="Arial Narrow" w:hAnsi="Arial Narrow" w:cs="Arial"/>
                <w:szCs w:val="21"/>
                <w:lang w:val="es-ES"/>
              </w:rPr>
            </w:pPr>
            <w:r>
              <w:rPr>
                <w:rFonts w:ascii="Arial Narrow" w:hAnsi="Arial Narrow"/>
                <w:szCs w:val="21"/>
              </w:rPr>
              <w:t>VPR</w:t>
            </w:r>
            <w:r w:rsidR="00AF31C5">
              <w:rPr>
                <w:rStyle w:val="FootnoteReference"/>
                <w:rFonts w:ascii="Arial Narrow" w:hAnsi="Arial Narrow"/>
                <w:szCs w:val="21"/>
              </w:rPr>
              <w:footnoteReference w:id="6"/>
            </w:r>
          </w:p>
        </w:tc>
        <w:tc>
          <w:tcPr>
            <w:tcW w:w="709" w:type="dxa"/>
            <w:tcBorders>
              <w:top w:val="single" w:sz="4" w:space="0" w:color="auto"/>
              <w:left w:val="single" w:sz="4" w:space="0" w:color="auto"/>
              <w:bottom w:val="single" w:sz="4" w:space="0" w:color="auto"/>
              <w:right w:val="single" w:sz="4" w:space="0" w:color="auto"/>
            </w:tcBorders>
          </w:tcPr>
          <w:p w14:paraId="7CE19033" w14:textId="1BC2BCA4" w:rsidR="0003512C" w:rsidRDefault="0003512C" w:rsidP="0003512C">
            <w:pPr>
              <w:spacing w:before="40" w:after="40"/>
              <w:rPr>
                <w:rFonts w:ascii="Arial Narrow" w:hAnsi="Arial Narrow"/>
                <w:szCs w:val="21"/>
              </w:rPr>
            </w:pPr>
            <w:r>
              <w:rPr>
                <w:rFonts w:ascii="Arial Narrow" w:hAnsi="Arial Narrow"/>
                <w:szCs w:val="21"/>
              </w:rPr>
              <w:t>OSE</w:t>
            </w:r>
          </w:p>
        </w:tc>
        <w:tc>
          <w:tcPr>
            <w:tcW w:w="6808" w:type="dxa"/>
            <w:tcBorders>
              <w:top w:val="single" w:sz="4" w:space="0" w:color="auto"/>
              <w:left w:val="single" w:sz="4" w:space="0" w:color="auto"/>
              <w:bottom w:val="single" w:sz="4" w:space="0" w:color="auto"/>
              <w:right w:val="single" w:sz="4" w:space="0" w:color="auto"/>
            </w:tcBorders>
          </w:tcPr>
          <w:p w14:paraId="431FF279" w14:textId="1C3CC872" w:rsidR="0003512C" w:rsidRDefault="0003512C" w:rsidP="00C54F8B">
            <w:pPr>
              <w:pStyle w:val="ListParagraph"/>
              <w:numPr>
                <w:ilvl w:val="0"/>
                <w:numId w:val="30"/>
              </w:numPr>
              <w:spacing w:before="20" w:after="20"/>
              <w:rPr>
                <w:sz w:val="22"/>
                <w:szCs w:val="21"/>
              </w:rPr>
            </w:pPr>
            <w:r>
              <w:rPr>
                <w:sz w:val="22"/>
                <w:szCs w:val="21"/>
              </w:rPr>
              <w:t xml:space="preserve">Componente 1. </w:t>
            </w:r>
            <w:r w:rsidRPr="0003512C">
              <w:rPr>
                <w:sz w:val="22"/>
                <w:szCs w:val="21"/>
              </w:rPr>
              <w:t>Fortalecimiento de la gobernanza para la competitividad e innovación</w:t>
            </w:r>
            <w:r>
              <w:rPr>
                <w:sz w:val="22"/>
                <w:szCs w:val="21"/>
              </w:rPr>
              <w:t xml:space="preserve">. </w:t>
            </w:r>
          </w:p>
          <w:p w14:paraId="7465E6B7" w14:textId="01AE97CC" w:rsidR="0003512C" w:rsidRDefault="0003512C" w:rsidP="00C54F8B">
            <w:pPr>
              <w:pStyle w:val="ListParagraph"/>
              <w:numPr>
                <w:ilvl w:val="0"/>
                <w:numId w:val="30"/>
              </w:numPr>
              <w:spacing w:before="20" w:after="20"/>
              <w:rPr>
                <w:sz w:val="22"/>
                <w:szCs w:val="21"/>
              </w:rPr>
            </w:pPr>
            <w:r w:rsidRPr="0019131D">
              <w:rPr>
                <w:sz w:val="22"/>
                <w:szCs w:val="21"/>
              </w:rPr>
              <w:t>Contratación del EDG-</w:t>
            </w:r>
            <w:r w:rsidR="00F4659C">
              <w:rPr>
                <w:sz w:val="22"/>
                <w:szCs w:val="21"/>
              </w:rPr>
              <w:t>VPR</w:t>
            </w:r>
            <w:r w:rsidRPr="0019131D">
              <w:rPr>
                <w:sz w:val="22"/>
                <w:szCs w:val="21"/>
              </w:rPr>
              <w:t xml:space="preserve"> para </w:t>
            </w:r>
            <w:r w:rsidR="00F4659C">
              <w:rPr>
                <w:sz w:val="22"/>
                <w:szCs w:val="21"/>
              </w:rPr>
              <w:t>la ejecución del componente asignado</w:t>
            </w:r>
          </w:p>
        </w:tc>
      </w:tr>
      <w:tr w:rsidR="0003512C" w:rsidRPr="00F4659C" w14:paraId="79C89441" w14:textId="77777777" w:rsidTr="00F4659C">
        <w:trPr>
          <w:trHeight w:val="20"/>
          <w:jc w:val="right"/>
        </w:trPr>
        <w:tc>
          <w:tcPr>
            <w:tcW w:w="846" w:type="dxa"/>
            <w:tcBorders>
              <w:top w:val="single" w:sz="4" w:space="0" w:color="auto"/>
              <w:left w:val="single" w:sz="4" w:space="0" w:color="auto"/>
              <w:bottom w:val="single" w:sz="4" w:space="0" w:color="auto"/>
              <w:right w:val="single" w:sz="4" w:space="0" w:color="auto"/>
            </w:tcBorders>
          </w:tcPr>
          <w:p w14:paraId="4EBCE5AD" w14:textId="6219C253" w:rsidR="0003512C" w:rsidRPr="0019131D" w:rsidRDefault="0003512C" w:rsidP="0003512C">
            <w:pPr>
              <w:spacing w:before="40" w:after="40"/>
              <w:jc w:val="left"/>
              <w:rPr>
                <w:rFonts w:ascii="Arial Narrow" w:hAnsi="Arial Narrow" w:cs="Arial"/>
                <w:szCs w:val="21"/>
                <w:lang w:val="es-ES"/>
              </w:rPr>
            </w:pPr>
            <w:r>
              <w:rPr>
                <w:rFonts w:ascii="Arial Narrow" w:hAnsi="Arial Narrow"/>
                <w:szCs w:val="21"/>
              </w:rPr>
              <w:t>SGP</w:t>
            </w:r>
          </w:p>
        </w:tc>
        <w:tc>
          <w:tcPr>
            <w:tcW w:w="709" w:type="dxa"/>
            <w:tcBorders>
              <w:top w:val="single" w:sz="4" w:space="0" w:color="auto"/>
              <w:left w:val="single" w:sz="4" w:space="0" w:color="auto"/>
              <w:bottom w:val="single" w:sz="4" w:space="0" w:color="auto"/>
              <w:right w:val="single" w:sz="4" w:space="0" w:color="auto"/>
            </w:tcBorders>
          </w:tcPr>
          <w:p w14:paraId="453F458E" w14:textId="2C5F0365" w:rsidR="0003512C" w:rsidRPr="0019131D" w:rsidRDefault="0003512C" w:rsidP="0003512C">
            <w:pPr>
              <w:spacing w:before="40" w:after="40"/>
              <w:rPr>
                <w:rFonts w:ascii="Arial Narrow" w:hAnsi="Arial Narrow"/>
                <w:szCs w:val="21"/>
              </w:rPr>
            </w:pPr>
            <w:r>
              <w:rPr>
                <w:rFonts w:ascii="Arial Narrow" w:hAnsi="Arial Narrow"/>
                <w:szCs w:val="21"/>
              </w:rPr>
              <w:t>OSE</w:t>
            </w:r>
          </w:p>
        </w:tc>
        <w:tc>
          <w:tcPr>
            <w:tcW w:w="6808" w:type="dxa"/>
            <w:tcBorders>
              <w:top w:val="single" w:sz="4" w:space="0" w:color="auto"/>
              <w:left w:val="single" w:sz="4" w:space="0" w:color="auto"/>
              <w:bottom w:val="single" w:sz="4" w:space="0" w:color="auto"/>
              <w:right w:val="single" w:sz="4" w:space="0" w:color="auto"/>
            </w:tcBorders>
          </w:tcPr>
          <w:p w14:paraId="2C0F7CA1" w14:textId="5EC4A34E" w:rsidR="0003512C" w:rsidRDefault="0003512C" w:rsidP="00C54F8B">
            <w:pPr>
              <w:pStyle w:val="ListParagraph"/>
              <w:numPr>
                <w:ilvl w:val="0"/>
                <w:numId w:val="30"/>
              </w:numPr>
              <w:spacing w:before="20" w:after="20"/>
              <w:rPr>
                <w:sz w:val="22"/>
                <w:szCs w:val="21"/>
              </w:rPr>
            </w:pPr>
            <w:r>
              <w:rPr>
                <w:sz w:val="22"/>
                <w:szCs w:val="21"/>
              </w:rPr>
              <w:t xml:space="preserve">Componente </w:t>
            </w:r>
            <w:r w:rsidR="00F4659C">
              <w:rPr>
                <w:sz w:val="22"/>
                <w:szCs w:val="21"/>
              </w:rPr>
              <w:t>2</w:t>
            </w:r>
            <w:r>
              <w:rPr>
                <w:sz w:val="22"/>
                <w:szCs w:val="21"/>
              </w:rPr>
              <w:t xml:space="preserve">.  </w:t>
            </w:r>
            <w:r w:rsidR="00F4659C" w:rsidRPr="00F4659C">
              <w:rPr>
                <w:sz w:val="22"/>
                <w:szCs w:val="21"/>
              </w:rPr>
              <w:t>Mejora regulatoria y transparencia del ambiente de negocios.</w:t>
            </w:r>
          </w:p>
          <w:p w14:paraId="0F94BA9E" w14:textId="77777777" w:rsidR="0003512C" w:rsidRDefault="0003512C" w:rsidP="00C54F8B">
            <w:pPr>
              <w:pStyle w:val="ListParagraph"/>
              <w:numPr>
                <w:ilvl w:val="0"/>
                <w:numId w:val="30"/>
              </w:numPr>
              <w:spacing w:before="20" w:after="20"/>
              <w:rPr>
                <w:sz w:val="22"/>
                <w:szCs w:val="21"/>
              </w:rPr>
            </w:pPr>
            <w:r>
              <w:rPr>
                <w:sz w:val="22"/>
                <w:szCs w:val="21"/>
              </w:rPr>
              <w:t xml:space="preserve">Componente </w:t>
            </w:r>
            <w:r w:rsidR="00F4659C">
              <w:rPr>
                <w:sz w:val="22"/>
                <w:szCs w:val="21"/>
              </w:rPr>
              <w:t xml:space="preserve">4. </w:t>
            </w:r>
            <w:r w:rsidRPr="0019131D">
              <w:rPr>
                <w:sz w:val="22"/>
                <w:szCs w:val="21"/>
              </w:rPr>
              <w:t xml:space="preserve"> </w:t>
            </w:r>
            <w:r w:rsidR="00F4659C" w:rsidRPr="00F4659C">
              <w:rPr>
                <w:sz w:val="22"/>
                <w:szCs w:val="21"/>
              </w:rPr>
              <w:t>Mejora en la entrega de servicios a empresas y ciudadanos.</w:t>
            </w:r>
          </w:p>
          <w:p w14:paraId="5EA84E16" w14:textId="3BF23F2A" w:rsidR="00F4659C" w:rsidRPr="0019131D" w:rsidRDefault="00F4659C" w:rsidP="00C54F8B">
            <w:pPr>
              <w:pStyle w:val="ListParagraph"/>
              <w:numPr>
                <w:ilvl w:val="0"/>
                <w:numId w:val="30"/>
              </w:numPr>
              <w:spacing w:before="20" w:after="20"/>
              <w:rPr>
                <w:sz w:val="22"/>
                <w:szCs w:val="21"/>
              </w:rPr>
            </w:pPr>
            <w:r w:rsidRPr="0019131D">
              <w:rPr>
                <w:sz w:val="22"/>
                <w:szCs w:val="21"/>
              </w:rPr>
              <w:t>Contratación del EDG-</w:t>
            </w:r>
            <w:r>
              <w:rPr>
                <w:sz w:val="22"/>
                <w:szCs w:val="21"/>
              </w:rPr>
              <w:t>SGP</w:t>
            </w:r>
            <w:r w:rsidRPr="0019131D">
              <w:rPr>
                <w:sz w:val="22"/>
                <w:szCs w:val="21"/>
              </w:rPr>
              <w:t xml:space="preserve"> para </w:t>
            </w:r>
            <w:r>
              <w:rPr>
                <w:sz w:val="22"/>
                <w:szCs w:val="21"/>
              </w:rPr>
              <w:t>la ejecución de los componentes asignados</w:t>
            </w:r>
          </w:p>
        </w:tc>
      </w:tr>
    </w:tbl>
    <w:p w14:paraId="4B126788" w14:textId="76DD385C" w:rsidR="00537683" w:rsidRPr="00537683" w:rsidRDefault="00537683" w:rsidP="00A94976">
      <w:pPr>
        <w:pStyle w:val="Heading2"/>
      </w:pPr>
      <w:bookmarkStart w:id="47" w:name="_Toc23797307"/>
      <w:r w:rsidRPr="004C4D4C">
        <w:t xml:space="preserve">El </w:t>
      </w:r>
      <w:r w:rsidRPr="0019131D">
        <w:t>MEF</w:t>
      </w:r>
      <w:r w:rsidR="00E835EA" w:rsidRPr="0019131D">
        <w:t xml:space="preserve"> </w:t>
      </w:r>
      <w:r>
        <w:t>como OE</w:t>
      </w:r>
      <w:bookmarkEnd w:id="47"/>
    </w:p>
    <w:p w14:paraId="2B2DD094" w14:textId="21F7F252" w:rsidR="00DD24DC" w:rsidRPr="0019131D" w:rsidRDefault="00DD24DC" w:rsidP="009B54B5">
      <w:pPr>
        <w:pStyle w:val="Estilo1"/>
      </w:pPr>
      <w:r w:rsidRPr="0019131D">
        <w:t xml:space="preserve">El Ministerio de Economía y Finanzas (MEF), será el OE y en consecuencia será el responsable de </w:t>
      </w:r>
      <w:r w:rsidR="00BD5D37" w:rsidRPr="0019131D">
        <w:t xml:space="preserve">la </w:t>
      </w:r>
      <w:r w:rsidRPr="0019131D">
        <w:t xml:space="preserve">ejecución integral </w:t>
      </w:r>
      <w:r w:rsidR="00BD5D37" w:rsidRPr="0019131D">
        <w:t xml:space="preserve">del Programa </w:t>
      </w:r>
      <w:r w:rsidRPr="0019131D">
        <w:t>y la contraparte oficial ante el Banco.</w:t>
      </w:r>
      <w:r w:rsidR="00A76A93" w:rsidRPr="0019131D">
        <w:t xml:space="preserve"> </w:t>
      </w:r>
      <w:r w:rsidR="002A6E06" w:rsidRPr="0019131D">
        <w:t>El MEF</w:t>
      </w:r>
      <w:r w:rsidR="00E835EA" w:rsidRPr="0019131D">
        <w:t xml:space="preserve"> </w:t>
      </w:r>
      <w:bookmarkStart w:id="48" w:name="_Hlk12911360"/>
      <w:r w:rsidR="002A6E06" w:rsidRPr="0019131D">
        <w:t>tendrá a su cargo</w:t>
      </w:r>
      <w:r w:rsidR="0019131D">
        <w:t xml:space="preserve"> </w:t>
      </w:r>
      <w:r w:rsidR="00C31FB6">
        <w:t>la c</w:t>
      </w:r>
      <w:r w:rsidR="0019131D">
        <w:t xml:space="preserve">oordinación general del Programa, </w:t>
      </w:r>
      <w:r w:rsidR="002A6E06" w:rsidRPr="0019131D">
        <w:t xml:space="preserve">así como </w:t>
      </w:r>
      <w:r w:rsidR="0019131D">
        <w:t>su administración</w:t>
      </w:r>
      <w:r w:rsidR="002A6E06" w:rsidRPr="0019131D">
        <w:t>.</w:t>
      </w:r>
      <w:r w:rsidR="00CF30C5">
        <w:t xml:space="preserve"> </w:t>
      </w:r>
      <w:bookmarkEnd w:id="48"/>
      <w:r w:rsidR="00CF30C5">
        <w:t>También se</w:t>
      </w:r>
      <w:r w:rsidR="00D9240B">
        <w:t xml:space="preserve">rá el responsable </w:t>
      </w:r>
      <w:r w:rsidR="00CF30C5">
        <w:t>de la ejecución del componente 3 ‘</w:t>
      </w:r>
      <w:r w:rsidR="00CF30C5" w:rsidRPr="00CF30C5">
        <w:t>Fortalecimiento de la gestión de entidades y activos públicos de apoyo a la competitividad</w:t>
      </w:r>
      <w:r w:rsidR="00CF30C5">
        <w:t>’</w:t>
      </w:r>
      <w:r w:rsidR="00AC1438">
        <w:rPr>
          <w:rStyle w:val="FootnoteReference"/>
        </w:rPr>
        <w:footnoteReference w:id="7"/>
      </w:r>
      <w:r w:rsidR="00CF30C5">
        <w:t xml:space="preserve"> y de la contratación de las auditorías y evaluaciones del Programa y del EDG-MEF.</w:t>
      </w:r>
    </w:p>
    <w:p w14:paraId="1C40FF81" w14:textId="6664515F" w:rsidR="00A76A93" w:rsidRPr="0015386C" w:rsidRDefault="00A76A93" w:rsidP="009B54B5">
      <w:pPr>
        <w:pStyle w:val="Estilo1"/>
      </w:pPr>
      <w:r w:rsidRPr="0015386C">
        <w:t xml:space="preserve">Funciones y Responsabilidades del MEF como OE. </w:t>
      </w:r>
      <w:r w:rsidR="004C4D4C" w:rsidRPr="0015386C">
        <w:t xml:space="preserve"> </w:t>
      </w:r>
    </w:p>
    <w:p w14:paraId="0496C771" w14:textId="77777777" w:rsidR="00A76A93" w:rsidRDefault="00A76A93" w:rsidP="009B54B5">
      <w:pPr>
        <w:pStyle w:val="numeradorom"/>
        <w:numPr>
          <w:ilvl w:val="2"/>
          <w:numId w:val="11"/>
        </w:numPr>
      </w:pPr>
      <w:r>
        <w:t xml:space="preserve">Ejecutar el Programa, de acuerdo con los objetivos del mismo, con la diligencia económica, financiera, administrativa y técnica eficiente, asegurando el cumplimiento de las </w:t>
      </w:r>
      <w:r w:rsidRPr="00234138">
        <w:t xml:space="preserve">cláusulas </w:t>
      </w:r>
      <w:r>
        <w:t xml:space="preserve">establecidas en el </w:t>
      </w:r>
      <w:r w:rsidRPr="00234138">
        <w:t xml:space="preserve">contrato de </w:t>
      </w:r>
      <w:r>
        <w:t>P</w:t>
      </w:r>
      <w:r w:rsidRPr="00234138">
        <w:t>réstamo</w:t>
      </w:r>
      <w:r>
        <w:t xml:space="preserve"> y el ROP. </w:t>
      </w:r>
    </w:p>
    <w:p w14:paraId="276DE9C8" w14:textId="6977A917" w:rsidR="00A76A93" w:rsidRDefault="00A76A93" w:rsidP="009B54B5">
      <w:pPr>
        <w:pStyle w:val="numeradorom"/>
        <w:numPr>
          <w:ilvl w:val="2"/>
          <w:numId w:val="11"/>
        </w:numPr>
      </w:pPr>
      <w:r>
        <w:t>Dar cu</w:t>
      </w:r>
      <w:r w:rsidRPr="000C590D">
        <w:t xml:space="preserve">mplimiento de las condiciones </w:t>
      </w:r>
      <w:r>
        <w:t xml:space="preserve">contractuales especiales </w:t>
      </w:r>
      <w:r w:rsidRPr="000C590D">
        <w:t>previas al primer desembolso</w:t>
      </w:r>
      <w:r>
        <w:t xml:space="preserve">. </w:t>
      </w:r>
    </w:p>
    <w:p w14:paraId="3EAE6C2E" w14:textId="46EC9BBE" w:rsidR="00A76A93" w:rsidRDefault="00A76A93" w:rsidP="009B54B5">
      <w:pPr>
        <w:pStyle w:val="numeradorom"/>
        <w:numPr>
          <w:ilvl w:val="2"/>
          <w:numId w:val="11"/>
        </w:numPr>
      </w:pPr>
      <w:r>
        <w:lastRenderedPageBreak/>
        <w:t>Conformar un Equipo de Gestión del Programa (EDG-MEF)</w:t>
      </w:r>
      <w:r w:rsidR="0064644F">
        <w:t xml:space="preserve">, para el manejo gerencial del Programa </w:t>
      </w:r>
      <w:r>
        <w:t>e informar al Banco de su</w:t>
      </w:r>
      <w:r w:rsidR="0064644F">
        <w:t xml:space="preserve"> ubicación y </w:t>
      </w:r>
      <w:r>
        <w:t>composición.</w:t>
      </w:r>
    </w:p>
    <w:p w14:paraId="44790856" w14:textId="724A2F31" w:rsidR="00A76A93" w:rsidRDefault="00A76A93" w:rsidP="009B54B5">
      <w:pPr>
        <w:pStyle w:val="numeradorom"/>
        <w:numPr>
          <w:ilvl w:val="2"/>
          <w:numId w:val="11"/>
        </w:numPr>
      </w:pPr>
      <w:r>
        <w:t xml:space="preserve">Fortalecer al EDG-MEF a fin de que asuma la responsabilidad de la coordinación global de la ejecución y seguimiento del Programa. </w:t>
      </w:r>
    </w:p>
    <w:p w14:paraId="5C9A7A76" w14:textId="77777777" w:rsidR="00A76A93" w:rsidRDefault="00A76A93" w:rsidP="009B54B5">
      <w:pPr>
        <w:pStyle w:val="numeradorom"/>
        <w:numPr>
          <w:ilvl w:val="2"/>
          <w:numId w:val="11"/>
        </w:numPr>
      </w:pPr>
      <w:r>
        <w:t>Co</w:t>
      </w:r>
      <w:r w:rsidRPr="005529D0">
        <w:t>nsolida</w:t>
      </w:r>
      <w:r>
        <w:t>r</w:t>
      </w:r>
      <w:r w:rsidRPr="005529D0">
        <w:t xml:space="preserve"> y presenta</w:t>
      </w:r>
      <w:r>
        <w:t xml:space="preserve">r los </w:t>
      </w:r>
      <w:r w:rsidRPr="005529D0">
        <w:t xml:space="preserve">informes </w:t>
      </w:r>
      <w:r>
        <w:t>semestrales d</w:t>
      </w:r>
      <w:r w:rsidRPr="005529D0">
        <w:t xml:space="preserve">e </w:t>
      </w:r>
      <w:r>
        <w:t>P</w:t>
      </w:r>
      <w:r w:rsidRPr="005529D0">
        <w:t>rogreso</w:t>
      </w:r>
      <w:r>
        <w:t xml:space="preserve"> (ISP) y gestionar los </w:t>
      </w:r>
      <w:r w:rsidRPr="005529D0">
        <w:t>desembolsos</w:t>
      </w:r>
      <w:r>
        <w:t xml:space="preserve"> ante el BID. </w:t>
      </w:r>
    </w:p>
    <w:p w14:paraId="2D58EDBD" w14:textId="77777777" w:rsidR="00A76A93" w:rsidRDefault="00A76A93" w:rsidP="009B54B5">
      <w:pPr>
        <w:pStyle w:val="numeradorom"/>
        <w:numPr>
          <w:ilvl w:val="2"/>
          <w:numId w:val="11"/>
        </w:numPr>
      </w:pPr>
      <w:r>
        <w:t>C</w:t>
      </w:r>
      <w:r w:rsidRPr="000C590D">
        <w:t xml:space="preserve">ontratar y presentar </w:t>
      </w:r>
      <w:r>
        <w:t xml:space="preserve">al Banco </w:t>
      </w:r>
      <w:r w:rsidRPr="000C590D">
        <w:t>las evaluaciones y las auditorias</w:t>
      </w:r>
      <w:r>
        <w:t xml:space="preserve"> del Programa. </w:t>
      </w:r>
    </w:p>
    <w:p w14:paraId="47A54294" w14:textId="77777777" w:rsidR="00A76A93" w:rsidRDefault="00A76A93" w:rsidP="009B54B5">
      <w:pPr>
        <w:pStyle w:val="numeradorom"/>
        <w:numPr>
          <w:ilvl w:val="2"/>
          <w:numId w:val="11"/>
        </w:numPr>
      </w:pPr>
      <w:r>
        <w:t xml:space="preserve">Facilitar los mecanismos necesarios para agilizar y garantizar la ejecución oportuna de los productos del Programa. </w:t>
      </w:r>
    </w:p>
    <w:p w14:paraId="086269D4" w14:textId="022BBBC5" w:rsidR="0064644F" w:rsidRDefault="0064644F" w:rsidP="009B54B5">
      <w:pPr>
        <w:pStyle w:val="numeradorom"/>
        <w:numPr>
          <w:ilvl w:val="2"/>
          <w:numId w:val="11"/>
        </w:numPr>
      </w:pPr>
      <w:r>
        <w:t xml:space="preserve">Apoyar </w:t>
      </w:r>
      <w:r w:rsidR="00E45695">
        <w:t>a</w:t>
      </w:r>
      <w:r>
        <w:t xml:space="preserve">l EDG-MEF en </w:t>
      </w:r>
      <w:r w:rsidRPr="006D54EF">
        <w:t>los requerimientos de información, mecanismos y periodos de rendición de cuentas</w:t>
      </w:r>
      <w:r>
        <w:t xml:space="preserve"> que se requieren </w:t>
      </w:r>
      <w:r w:rsidRPr="006D54EF">
        <w:t>para mantener actualizado el estado de avance del Programa.</w:t>
      </w:r>
    </w:p>
    <w:p w14:paraId="29F7F638" w14:textId="16088D3F" w:rsidR="00A76A93" w:rsidRDefault="0064644F" w:rsidP="009B54B5">
      <w:pPr>
        <w:pStyle w:val="numeradorom"/>
        <w:numPr>
          <w:ilvl w:val="2"/>
          <w:numId w:val="11"/>
        </w:numPr>
      </w:pPr>
      <w:r>
        <w:t xml:space="preserve">Asegurar la Priorización y los espacios presupuestarios de los Proyectos de Inversión </w:t>
      </w:r>
      <w:r w:rsidRPr="006D54EF">
        <w:t>a través de</w:t>
      </w:r>
      <w:r>
        <w:t xml:space="preserve"> los cuales </w:t>
      </w:r>
      <w:r w:rsidRPr="006D54EF">
        <w:t>se ejecuta</w:t>
      </w:r>
      <w:r>
        <w:t xml:space="preserve">rán </w:t>
      </w:r>
      <w:r w:rsidRPr="006D54EF">
        <w:t>las actividades</w:t>
      </w:r>
      <w:r w:rsidR="00A53A7A">
        <w:t xml:space="preserve"> a su cargo </w:t>
      </w:r>
      <w:r w:rsidRPr="006D54EF">
        <w:t xml:space="preserve">contempladas en el </w:t>
      </w:r>
      <w:r>
        <w:t>Programa</w:t>
      </w:r>
      <w:r>
        <w:rPr>
          <w:rStyle w:val="FootnoteReference"/>
        </w:rPr>
        <w:footnoteReference w:id="8"/>
      </w:r>
      <w:r w:rsidRPr="006D54EF">
        <w:t>.</w:t>
      </w:r>
      <w:r>
        <w:t xml:space="preserve"> </w:t>
      </w:r>
    </w:p>
    <w:p w14:paraId="7A2930CE" w14:textId="079C69E3" w:rsidR="00A53A7A" w:rsidRDefault="004C4D4C" w:rsidP="009B54B5">
      <w:pPr>
        <w:pStyle w:val="Estilo1"/>
      </w:pPr>
      <w:r w:rsidRPr="004C4D4C">
        <w:rPr>
          <w:b/>
          <w:u w:val="single"/>
        </w:rPr>
        <w:t>El EDG-MEF</w:t>
      </w:r>
      <w:r>
        <w:t xml:space="preserve">. </w:t>
      </w:r>
      <w:r w:rsidR="008A374A">
        <w:t xml:space="preserve">Para efectos de manejo gerencial el MEF conformará un Equipo de Gestión (EDG-MEF) con dedicación exclusiva a la ejecución del Programa. </w:t>
      </w:r>
      <w:r w:rsidR="00A53A7A">
        <w:t>El EDG-MEF, coordinará la ejecución integral y el seguimiento del Programa y actuará como contraparte ante el Banco y como representante del Programa ante el OSE en la ejecución del mismo.</w:t>
      </w:r>
      <w:r w:rsidR="00A53A7A" w:rsidRPr="00F61C62">
        <w:t xml:space="preserve"> </w:t>
      </w:r>
      <w:r w:rsidR="00A53A7A">
        <w:t>El EDG-MEF se encontrará</w:t>
      </w:r>
      <w:r w:rsidR="008A374A">
        <w:t xml:space="preserve"> ubicado </w:t>
      </w:r>
      <w:r w:rsidR="00A53A7A">
        <w:t>en la Coordinación General de Programas BID</w:t>
      </w:r>
      <w:r w:rsidR="008A374A">
        <w:t xml:space="preserve"> del MEF y </w:t>
      </w:r>
      <w:r w:rsidR="00A53A7A">
        <w:t xml:space="preserve">deberá estar constituido al menos por un Coordinador del Proyecto, un Especialista de Adquisiciones, un Especialista Financiero y un Especialista en Monitoreo y Seguimiento, de tiempo completo </w:t>
      </w:r>
      <w:r w:rsidR="008A374A">
        <w:t xml:space="preserve">para </w:t>
      </w:r>
      <w:r w:rsidR="00A53A7A">
        <w:t xml:space="preserve">la ejecución del Programa. </w:t>
      </w:r>
    </w:p>
    <w:p w14:paraId="19425230" w14:textId="77777777" w:rsidR="00A53A7A" w:rsidRDefault="00A53A7A" w:rsidP="009B54B5">
      <w:pPr>
        <w:pStyle w:val="Estilo1"/>
      </w:pPr>
      <w:r w:rsidRPr="0043114D">
        <w:t xml:space="preserve">La conformación de los miembros del </w:t>
      </w:r>
      <w:r>
        <w:t>EDG-MEF</w:t>
      </w:r>
      <w:r w:rsidRPr="0043114D">
        <w:t xml:space="preserve"> estará a cargo de la máxima autoridad de la Institución o su delegado para el efecto</w:t>
      </w:r>
      <w:r>
        <w:t>, dentro de los plazos establecidos en el contrato de Préstamo</w:t>
      </w:r>
      <w:r w:rsidRPr="0043114D">
        <w:t>.</w:t>
      </w:r>
      <w:r>
        <w:t xml:space="preserve"> Los TDR y perfiles utilizados para la selección de los miembros del EDG-MEF deberán contar con la aprobación del Banco. </w:t>
      </w:r>
    </w:p>
    <w:p w14:paraId="6E3EFD47" w14:textId="2E399F70" w:rsidR="007D6FA8" w:rsidRDefault="00A53A7A" w:rsidP="009B54B5">
      <w:pPr>
        <w:pStyle w:val="Estilo1"/>
      </w:pPr>
      <w:r>
        <w:t xml:space="preserve">El MEF, a través de la Coordinación General de Programas BID </w:t>
      </w:r>
      <w:r w:rsidRPr="0043114D">
        <w:t xml:space="preserve">deberá notificar oficialmente al Banco, respecto de la designación de </w:t>
      </w:r>
      <w:r>
        <w:t xml:space="preserve">sus </w:t>
      </w:r>
      <w:r w:rsidRPr="0043114D">
        <w:t>miembros</w:t>
      </w:r>
      <w:r>
        <w:t xml:space="preserve">, así como de cualquier modificación en su composición. </w:t>
      </w:r>
      <w:r w:rsidRPr="0043114D">
        <w:t xml:space="preserve"> La</w:t>
      </w:r>
      <w:r>
        <w:t>s</w:t>
      </w:r>
      <w:r w:rsidRPr="0043114D">
        <w:t xml:space="preserve"> funciones de los</w:t>
      </w:r>
      <w:r>
        <w:t xml:space="preserve"> miembros del EDG-MEF </w:t>
      </w:r>
      <w:r w:rsidRPr="0043114D">
        <w:t>se describe</w:t>
      </w:r>
      <w:r>
        <w:t>n</w:t>
      </w:r>
      <w:r w:rsidRPr="0043114D">
        <w:t xml:space="preserve"> en la sección V del presente ROP: “Estructura Administrativa para la Gestión del Programa”.</w:t>
      </w:r>
      <w:r w:rsidR="00DD08D8">
        <w:t xml:space="preserve"> </w:t>
      </w:r>
    </w:p>
    <w:p w14:paraId="61453D01" w14:textId="0F336F91" w:rsidR="00A53A7A" w:rsidRPr="001A7286" w:rsidRDefault="00A53A7A" w:rsidP="009B54B5">
      <w:pPr>
        <w:pStyle w:val="Estilo1"/>
      </w:pPr>
      <w:bookmarkStart w:id="49" w:name="_Toc462127925"/>
      <w:bookmarkEnd w:id="49"/>
      <w:r w:rsidRPr="00EB6FE3">
        <w:t>Funciones y Responsabilidades del EDG-MEF para la Ejecución del Programa</w:t>
      </w:r>
      <w:r w:rsidR="005F3931">
        <w:t xml:space="preserve">: </w:t>
      </w:r>
    </w:p>
    <w:p w14:paraId="38422934" w14:textId="77777777" w:rsidR="00A53A7A" w:rsidRPr="00DC2BB2" w:rsidRDefault="00A53A7A" w:rsidP="009B54B5">
      <w:pPr>
        <w:pStyle w:val="numeradorom"/>
        <w:numPr>
          <w:ilvl w:val="2"/>
          <w:numId w:val="17"/>
        </w:numPr>
      </w:pPr>
      <w:r w:rsidRPr="00DC2BB2">
        <w:t xml:space="preserve">Ejecutar el Programa de acuerdo con los objetivos del mismo y a las disposiciones del Contrato de Préstamo, los planes, especificaciones, cronogramas, presupuestos, reglamentos y demás documentos pertinentes al Programa, aprobados por el Banco, a fin de contribuir con el cumplimiento de los resultados esperados. </w:t>
      </w:r>
    </w:p>
    <w:p w14:paraId="21977875" w14:textId="1E8BF57D" w:rsidR="001144E6" w:rsidRDefault="001144E6" w:rsidP="009B54B5">
      <w:pPr>
        <w:pStyle w:val="numeradorom"/>
        <w:numPr>
          <w:ilvl w:val="2"/>
          <w:numId w:val="17"/>
        </w:numPr>
      </w:pPr>
      <w:r>
        <w:t xml:space="preserve">Interlocución con el Banco para temas generales del </w:t>
      </w:r>
      <w:r w:rsidR="00CE0EAF">
        <w:t>Programa</w:t>
      </w:r>
      <w:r w:rsidR="00A42F4C">
        <w:t>.</w:t>
      </w:r>
    </w:p>
    <w:p w14:paraId="5D338190" w14:textId="3273DAA3" w:rsidR="00A53A7A" w:rsidRPr="003B1B28" w:rsidRDefault="00A53A7A" w:rsidP="009B54B5">
      <w:pPr>
        <w:pStyle w:val="numeradorom"/>
        <w:numPr>
          <w:ilvl w:val="2"/>
          <w:numId w:val="17"/>
        </w:numPr>
      </w:pPr>
      <w:r w:rsidRPr="003B1B28">
        <w:t>Mantener controles internos tendientes a asegurar razonablemente, que: (i) los recursos del Programa sean utilizados para los propósitos del contrato de Préstamo, con especial atención a los principios de economía, eficiencia y transparencia bajo las normas de financiamiento externo que rigen dicho contrato; (ii) los activos del Programa</w:t>
      </w:r>
      <w:r>
        <w:t>, que correspondan a su ejecución</w:t>
      </w:r>
      <w:r w:rsidR="00DC2BB2">
        <w:rPr>
          <w:rStyle w:val="FootnoteReference"/>
        </w:rPr>
        <w:footnoteReference w:id="9"/>
      </w:r>
      <w:r>
        <w:t xml:space="preserve">, </w:t>
      </w:r>
      <w:r w:rsidRPr="003B1B28">
        <w:t xml:space="preserve"> sean adecuadamente custodiados, protegidos, conservados y salvaguardados; (iii) las transacciones, decisiones y actividades del programa sean debidamente autorizadas y ejecutadas de acuerdo con las disposiciones del </w:t>
      </w:r>
      <w:r>
        <w:t>C</w:t>
      </w:r>
      <w:r w:rsidRPr="003B1B28">
        <w:t>ontrato de Préstamo y de cualquier otro contrato relacionado con el Programa; y (iv) las transacciones sean apropiadamente documentadas y sean registradas de forma que puedan producirse informes y reportes oportunos y confiables.</w:t>
      </w:r>
    </w:p>
    <w:p w14:paraId="1BFE4AB4" w14:textId="77777777" w:rsidR="00A53A7A" w:rsidRDefault="00A53A7A" w:rsidP="009B54B5">
      <w:pPr>
        <w:pStyle w:val="numeradorom"/>
        <w:numPr>
          <w:ilvl w:val="2"/>
          <w:numId w:val="17"/>
        </w:numPr>
      </w:pPr>
      <w:r>
        <w:lastRenderedPageBreak/>
        <w:t>Mantener un sistema de gestión financiera aceptable y confiable que permita oportunamente, en lo que concierne a los recursos del Programa: (i) la planificación financiera; (ii) el registro contable, presupuestario y financiero; (iii) la administración de contratos; (iv) la realización de pagos; y (v) la emisión de informes de auditoría financiera y de otros informes relacionados con los recursos del Préstamo, del Aporte Local y de otras fuentes de financiamiento del Proyecto, si fuera el caso.</w:t>
      </w:r>
    </w:p>
    <w:p w14:paraId="29B9DCC5" w14:textId="1046CAD8" w:rsidR="00CE0EAF" w:rsidRDefault="00CE0EAF" w:rsidP="009B54B5">
      <w:pPr>
        <w:pStyle w:val="numeradorom"/>
        <w:numPr>
          <w:ilvl w:val="2"/>
          <w:numId w:val="17"/>
        </w:numPr>
      </w:pPr>
      <w:r>
        <w:t>P</w:t>
      </w:r>
      <w:r w:rsidRPr="00CE0EAF">
        <w:t>repara</w:t>
      </w:r>
      <w:r>
        <w:t xml:space="preserve">r </w:t>
      </w:r>
      <w:r w:rsidRPr="00CE0EAF">
        <w:t>y remi</w:t>
      </w:r>
      <w:r>
        <w:t xml:space="preserve">tir </w:t>
      </w:r>
      <w:r w:rsidRPr="00CE0EAF">
        <w:t>(después de aprobación por parte del ministro del MEF o la autoridad que él designe y de las autoridades designadas por la VPR y la SGP) al Banco de los Informes Semestrales de Avance, Informes Financieros Auditados, Informe de Evaluación de Medio Término, Informe de Evaluación Final y otros documentos definidos en el ROP</w:t>
      </w:r>
      <w:r w:rsidR="00A42F4C">
        <w:t>.</w:t>
      </w:r>
    </w:p>
    <w:p w14:paraId="0584A99F" w14:textId="7CF6F8F5" w:rsidR="00A53A7A" w:rsidRPr="00C6129A" w:rsidRDefault="00A53A7A" w:rsidP="009B54B5">
      <w:pPr>
        <w:pStyle w:val="numeradorom"/>
        <w:numPr>
          <w:ilvl w:val="2"/>
          <w:numId w:val="17"/>
        </w:numPr>
      </w:pPr>
      <w:r w:rsidRPr="00C6129A">
        <w:t>Elaborar los informes</w:t>
      </w:r>
      <w:r>
        <w:t xml:space="preserve"> (</w:t>
      </w:r>
      <w:r w:rsidRPr="00C6129A">
        <w:t>técnicos y financieros</w:t>
      </w:r>
      <w:r>
        <w:t>)</w:t>
      </w:r>
      <w:r w:rsidRPr="00C6129A">
        <w:t xml:space="preserve"> que deban presentarse al Banco</w:t>
      </w:r>
      <w:r w:rsidR="004C25C2">
        <w:rPr>
          <w:rStyle w:val="FootnoteReference"/>
        </w:rPr>
        <w:footnoteReference w:id="10"/>
      </w:r>
      <w:r w:rsidRPr="00C6129A">
        <w:t xml:space="preserve">, así como proveer a éste de la información relativa al control operacional y financiero del </w:t>
      </w:r>
      <w:r>
        <w:t>P</w:t>
      </w:r>
      <w:r w:rsidRPr="00C6129A">
        <w:t>rograma que se requiere, incluyendo las solicitudes de desembolso, sus respectivas justificaciones y preparación de estados financieros</w:t>
      </w:r>
      <w:r>
        <w:t>.</w:t>
      </w:r>
      <w:r w:rsidRPr="00C6129A">
        <w:t xml:space="preserve"> </w:t>
      </w:r>
    </w:p>
    <w:p w14:paraId="4D6BDE27" w14:textId="77777777" w:rsidR="00A53A7A" w:rsidRDefault="00A53A7A" w:rsidP="009B54B5">
      <w:pPr>
        <w:pStyle w:val="numeradorom"/>
        <w:numPr>
          <w:ilvl w:val="2"/>
          <w:numId w:val="17"/>
        </w:numPr>
      </w:pPr>
      <w:r w:rsidRPr="00C6129A">
        <w:t>Solicitar, gestionar y dar seguimiento a los desembolsos del Banco y coordinar la disponibilidad presupuestaria</w:t>
      </w:r>
      <w:r>
        <w:t xml:space="preserve"> (avales y certificaciones presupuestarias)</w:t>
      </w:r>
      <w:r w:rsidRPr="00C6129A">
        <w:t xml:space="preserve"> para la ejecución del Programa y el pago de proveedores. </w:t>
      </w:r>
    </w:p>
    <w:p w14:paraId="4CAAD62F" w14:textId="65AAA24B" w:rsidR="003A46AA" w:rsidRDefault="00A53A7A" w:rsidP="009B54B5">
      <w:pPr>
        <w:pStyle w:val="numeradorom"/>
        <w:numPr>
          <w:ilvl w:val="2"/>
          <w:numId w:val="17"/>
        </w:numPr>
      </w:pPr>
      <w:r w:rsidRPr="000A16D8">
        <w:t>Coordinar, gestionar y supervisar las actividades referentes a los procesos de adquisiciones para la contratación de bienes, de servicios diferentes a consultoría, de las obras, consultorías firmas e individuos, y auditorías de todas las actividades del Programa que le competan al MEF</w:t>
      </w:r>
      <w:r w:rsidR="003A46AA" w:rsidRPr="000A16D8">
        <w:t xml:space="preserve"> con los responsables de la Ejecución de los productos y actividades de los Componentes que se describen en el presente ROP</w:t>
      </w:r>
      <w:r w:rsidR="000A16D8" w:rsidRPr="000A16D8">
        <w:t>.</w:t>
      </w:r>
    </w:p>
    <w:p w14:paraId="5E20F774" w14:textId="06E07632" w:rsidR="00CE0EAF" w:rsidRPr="000A16D8" w:rsidRDefault="00CE0EAF" w:rsidP="009B54B5">
      <w:pPr>
        <w:pStyle w:val="numeradorom"/>
        <w:numPr>
          <w:ilvl w:val="2"/>
          <w:numId w:val="17"/>
        </w:numPr>
      </w:pPr>
      <w:r>
        <w:t>S</w:t>
      </w:r>
      <w:r w:rsidRPr="00CE0EAF">
        <w:t>upervis</w:t>
      </w:r>
      <w:r>
        <w:t>ar</w:t>
      </w:r>
      <w:r w:rsidRPr="00CE0EAF">
        <w:t xml:space="preserve"> la gestión de los aspectos ambientales y sociales del </w:t>
      </w:r>
      <w:r>
        <w:t>P</w:t>
      </w:r>
      <w:r w:rsidRPr="00CE0EAF">
        <w:t>rograma</w:t>
      </w:r>
      <w:r w:rsidR="00A42F4C">
        <w:t>.</w:t>
      </w:r>
    </w:p>
    <w:p w14:paraId="43C74E53" w14:textId="1977A89B" w:rsidR="00A53A7A" w:rsidRPr="00C6129A" w:rsidRDefault="00A53A7A" w:rsidP="009B54B5">
      <w:pPr>
        <w:pStyle w:val="numeradorom"/>
        <w:numPr>
          <w:ilvl w:val="2"/>
          <w:numId w:val="17"/>
        </w:numPr>
      </w:pPr>
      <w:r>
        <w:t xml:space="preserve">Asegurar la implementación de </w:t>
      </w:r>
      <w:r w:rsidRPr="00C6129A">
        <w:t>las recomendaciones de las consultorías contratadas de apoyo al Programa, incluyendo las de evaluación intermedia y final, y de las auditorias</w:t>
      </w:r>
      <w:r w:rsidR="00A42F4C">
        <w:t>.</w:t>
      </w:r>
    </w:p>
    <w:p w14:paraId="50149AAC" w14:textId="2A840A09" w:rsidR="00A53A7A" w:rsidRDefault="00A53A7A" w:rsidP="009B54B5">
      <w:pPr>
        <w:pStyle w:val="numeradorom"/>
        <w:numPr>
          <w:ilvl w:val="2"/>
          <w:numId w:val="17"/>
        </w:numPr>
      </w:pPr>
      <w:r>
        <w:t>Asegurar que el MEF conserve los documentos y registros físicos y digitales del Pro</w:t>
      </w:r>
      <w:r w:rsidR="0015761E">
        <w:t xml:space="preserve">grama </w:t>
      </w:r>
      <w:r>
        <w:t xml:space="preserve">por un período mínimo de </w:t>
      </w:r>
      <w:r w:rsidR="005A22C2">
        <w:t xml:space="preserve">tres (3) años </w:t>
      </w:r>
      <w:r>
        <w:t>después del vencimiento del Plazo Original de Desembolsos o cualquiera de sus extensiones. Estos documentos y registros deberán ser adecuados para: (i) respaldar las actividades, decisiones y transacciones relativas al Proyecto, incluidos todos los gastos incurridos; y (ii) evidenciar la correlación de gastos incurridos con cargo al Préstamo con el respectivo desembolso efectuado por el Banco.</w:t>
      </w:r>
    </w:p>
    <w:p w14:paraId="417E8E21" w14:textId="77777777" w:rsidR="00A53A7A" w:rsidRDefault="00A53A7A" w:rsidP="009B54B5">
      <w:pPr>
        <w:pStyle w:val="numeradorom"/>
        <w:numPr>
          <w:ilvl w:val="2"/>
          <w:numId w:val="17"/>
        </w:numPr>
      </w:pPr>
      <w:r>
        <w:t>Cumplir toda otra tarea que le corresponda de acuerdo con lo dispuesto en el Contrato de Préstamo y el presente ROP.</w:t>
      </w:r>
    </w:p>
    <w:p w14:paraId="57FF09FA" w14:textId="4B6946E6" w:rsidR="00537683" w:rsidRPr="0015761E" w:rsidRDefault="0015761E" w:rsidP="00A94976">
      <w:pPr>
        <w:pStyle w:val="Heading2"/>
      </w:pPr>
      <w:bookmarkStart w:id="50" w:name="_Toc23797308"/>
      <w:r>
        <w:t xml:space="preserve">Los OSE del </w:t>
      </w:r>
      <w:r w:rsidRPr="0015761E">
        <w:t>Programa</w:t>
      </w:r>
      <w:bookmarkEnd w:id="50"/>
      <w:r w:rsidRPr="0015761E">
        <w:t xml:space="preserve"> </w:t>
      </w:r>
    </w:p>
    <w:p w14:paraId="4AD3AE1A" w14:textId="28AC5521" w:rsidR="00B565EF" w:rsidRDefault="00DD24DC" w:rsidP="009B54B5">
      <w:pPr>
        <w:pStyle w:val="Estilo1"/>
      </w:pPr>
      <w:r>
        <w:t xml:space="preserve">La </w:t>
      </w:r>
      <w:r w:rsidR="0015761E">
        <w:t>Secretaría General de la Presidencia (SGP)</w:t>
      </w:r>
      <w:r w:rsidR="00E064EB">
        <w:t xml:space="preserve"> y la Vicepresidencia de la República (VPR) serán los </w:t>
      </w:r>
      <w:r>
        <w:t>OSE</w:t>
      </w:r>
      <w:r w:rsidR="002A6E06">
        <w:t xml:space="preserve"> </w:t>
      </w:r>
      <w:r w:rsidR="00E064EB">
        <w:t xml:space="preserve">del Programa. </w:t>
      </w:r>
      <w:r w:rsidR="00B565EF">
        <w:t>La SGP</w:t>
      </w:r>
      <w:r w:rsidR="00E94676">
        <w:t>,</w:t>
      </w:r>
      <w:r w:rsidR="00B565EF">
        <w:t xml:space="preserve"> se encargará de la ejecución de</w:t>
      </w:r>
      <w:r w:rsidR="00EB072A">
        <w:t xml:space="preserve">: (i) el componente </w:t>
      </w:r>
      <w:r w:rsidR="00CF30C5">
        <w:t>2 ‘</w:t>
      </w:r>
      <w:r w:rsidR="00CF30C5" w:rsidRPr="00CF30C5">
        <w:t>Mejora regulatoria y transparencia del ambiente de negocios</w:t>
      </w:r>
      <w:r w:rsidR="00CF30C5">
        <w:t>’</w:t>
      </w:r>
      <w:r w:rsidR="00EB072A">
        <w:t>; (</w:t>
      </w:r>
      <w:r w:rsidR="005B1FEE">
        <w:t xml:space="preserve">ii) </w:t>
      </w:r>
      <w:r w:rsidR="00EB072A">
        <w:t xml:space="preserve">el componente </w:t>
      </w:r>
      <w:r w:rsidR="00CF30C5">
        <w:t>4 ‘</w:t>
      </w:r>
      <w:r w:rsidR="00CF30C5" w:rsidRPr="00CF30C5">
        <w:t>Mejora en la entrega de servicios a empresas y ciudadanos</w:t>
      </w:r>
      <w:r w:rsidR="00CF30C5">
        <w:t>’</w:t>
      </w:r>
      <w:r w:rsidR="005B1FEE">
        <w:t xml:space="preserve">; </w:t>
      </w:r>
      <w:r w:rsidR="00B565EF">
        <w:t>y</w:t>
      </w:r>
      <w:r w:rsidR="005B1FEE">
        <w:t xml:space="preserve">, (iii) </w:t>
      </w:r>
      <w:r w:rsidR="00B565EF">
        <w:t>de la</w:t>
      </w:r>
      <w:r w:rsidR="00CF30C5">
        <w:t xml:space="preserve"> contratación del EDG-SGP</w:t>
      </w:r>
      <w:r w:rsidR="00922901">
        <w:t xml:space="preserve"> para la ejecución de sus componentes</w:t>
      </w:r>
      <w:r w:rsidR="00B565EF">
        <w:t>. La VPR</w:t>
      </w:r>
      <w:r w:rsidR="00E94676">
        <w:t xml:space="preserve">, </w:t>
      </w:r>
      <w:r w:rsidR="002A6E06">
        <w:t xml:space="preserve">se encargará de la ejecución del </w:t>
      </w:r>
      <w:r w:rsidR="00B565EF">
        <w:t>c</w:t>
      </w:r>
      <w:r w:rsidR="002A6E06">
        <w:t xml:space="preserve">omponente </w:t>
      </w:r>
      <w:r w:rsidR="00CF30C5">
        <w:t>1 ‘</w:t>
      </w:r>
      <w:r w:rsidR="00CF30C5" w:rsidRPr="00CF30C5">
        <w:t>Fortalecimiento de la gobernanza para la competitividad</w:t>
      </w:r>
      <w:r w:rsidR="00CF30C5">
        <w:t xml:space="preserve">’ del Programa </w:t>
      </w:r>
      <w:r w:rsidR="00B565EF">
        <w:t>y de la</w:t>
      </w:r>
      <w:r w:rsidR="00CF30C5">
        <w:t xml:space="preserve"> contratación del EDG–VPR</w:t>
      </w:r>
      <w:r w:rsidR="00922901">
        <w:t xml:space="preserve"> para la ejecución de su componente</w:t>
      </w:r>
      <w:r w:rsidR="002A6E06" w:rsidRPr="007E2F2D">
        <w:t>.</w:t>
      </w:r>
      <w:r w:rsidR="00A76A93">
        <w:t xml:space="preserve"> </w:t>
      </w:r>
    </w:p>
    <w:p w14:paraId="25F372AF" w14:textId="0AB2834B" w:rsidR="002D0238" w:rsidRDefault="00B565EF" w:rsidP="009B54B5">
      <w:pPr>
        <w:pStyle w:val="Estilo1"/>
      </w:pPr>
      <w:r>
        <w:t>Cada OSE</w:t>
      </w:r>
      <w:r w:rsidR="002D0238">
        <w:t>,</w:t>
      </w:r>
      <w:r w:rsidR="00B9296E">
        <w:t xml:space="preserve"> será el responsable directo de la administración de los recursos del financiamiento que le serán transferidos </w:t>
      </w:r>
      <w:r w:rsidR="002D0238" w:rsidRPr="00C26FE6">
        <w:t>y gestionará las contrataciones y pagos</w:t>
      </w:r>
      <w:r w:rsidR="002D0238">
        <w:t xml:space="preserve"> a su cargo</w:t>
      </w:r>
      <w:r w:rsidR="00AE6875">
        <w:t xml:space="preserve"> y de los procesos administrativos para que estas se realicen, garantizando el estricto cumplimiento de las políticas del Banco</w:t>
      </w:r>
      <w:r w:rsidR="002D0238">
        <w:t>.</w:t>
      </w:r>
      <w:r w:rsidR="00AE6875">
        <w:t xml:space="preserve"> </w:t>
      </w:r>
      <w:r w:rsidR="002D0238">
        <w:t>S</w:t>
      </w:r>
      <w:r w:rsidR="002D0238" w:rsidRPr="00C26FE6">
        <w:t xml:space="preserve">in </w:t>
      </w:r>
      <w:r w:rsidR="002D0238">
        <w:t>embargo</w:t>
      </w:r>
      <w:r w:rsidR="002D0238" w:rsidRPr="00C26FE6">
        <w:t xml:space="preserve">, </w:t>
      </w:r>
      <w:r w:rsidR="002D0238">
        <w:t xml:space="preserve">como se señaló, </w:t>
      </w:r>
      <w:r w:rsidR="002D0238" w:rsidRPr="00C26FE6">
        <w:t xml:space="preserve">el MEF será el responsable de mantener </w:t>
      </w:r>
      <w:r w:rsidR="002D0238" w:rsidRPr="00C26FE6">
        <w:lastRenderedPageBreak/>
        <w:t xml:space="preserve">información consolidada de todo el </w:t>
      </w:r>
      <w:r w:rsidR="002D0238">
        <w:t>P</w:t>
      </w:r>
      <w:r w:rsidR="002D0238" w:rsidRPr="00C26FE6">
        <w:t>rograma, presentar los informes requeridos y gestionar los desembolsos ante el BID.</w:t>
      </w:r>
    </w:p>
    <w:p w14:paraId="4DCE9B15" w14:textId="70AEE26C" w:rsidR="00DA6274" w:rsidRPr="009F68DF" w:rsidRDefault="00DA6274" w:rsidP="009B54B5">
      <w:pPr>
        <w:pStyle w:val="Estilo1"/>
      </w:pPr>
      <w:r w:rsidRPr="009F68DF">
        <w:t>Funciones y Responsabilidades de l</w:t>
      </w:r>
      <w:r w:rsidR="0015761E">
        <w:t xml:space="preserve">os </w:t>
      </w:r>
      <w:r w:rsidRPr="009F68DF">
        <w:t>OSE del Programa</w:t>
      </w:r>
      <w:r w:rsidR="009F68DF" w:rsidRPr="009F68DF">
        <w:t xml:space="preserve">: </w:t>
      </w:r>
    </w:p>
    <w:p w14:paraId="0A204CD3" w14:textId="603B41B1" w:rsidR="00DA6274" w:rsidRDefault="00DA6274" w:rsidP="009B54B5">
      <w:pPr>
        <w:pStyle w:val="numeradorom"/>
        <w:numPr>
          <w:ilvl w:val="2"/>
          <w:numId w:val="16"/>
        </w:numPr>
      </w:pPr>
      <w:r>
        <w:t xml:space="preserve">Ejecutar </w:t>
      </w:r>
      <w:r w:rsidR="00C66018">
        <w:t xml:space="preserve">las actividades del Programa a su </w:t>
      </w:r>
      <w:r w:rsidR="001D6918">
        <w:t>cargo, de</w:t>
      </w:r>
      <w:r>
        <w:t xml:space="preserve"> acuerdo con los objetivos de</w:t>
      </w:r>
      <w:r w:rsidR="001D6918">
        <w:t xml:space="preserve"> establecidos en la Matriz de Resultados (MdR)</w:t>
      </w:r>
      <w:r>
        <w:t xml:space="preserve">, con la diligencia económica, financiera, administrativa y técnica eficiente, asegurando el cumplimiento de las </w:t>
      </w:r>
      <w:r w:rsidRPr="00234138">
        <w:t xml:space="preserve">cláusulas </w:t>
      </w:r>
      <w:r>
        <w:t xml:space="preserve">establecidas en el </w:t>
      </w:r>
      <w:r w:rsidRPr="00234138">
        <w:t xml:space="preserve">contrato de </w:t>
      </w:r>
      <w:r>
        <w:t>P</w:t>
      </w:r>
      <w:r w:rsidRPr="00234138">
        <w:t>réstamo</w:t>
      </w:r>
      <w:r w:rsidR="001D6918">
        <w:t xml:space="preserve"> y el</w:t>
      </w:r>
      <w:r>
        <w:t xml:space="preserve"> ROP</w:t>
      </w:r>
      <w:r w:rsidR="001D6918">
        <w:t>.</w:t>
      </w:r>
      <w:r>
        <w:t xml:space="preserve"> </w:t>
      </w:r>
    </w:p>
    <w:p w14:paraId="142FE61D" w14:textId="6CAB417B" w:rsidR="00DA6274" w:rsidRDefault="00DA6274" w:rsidP="009B54B5">
      <w:pPr>
        <w:pStyle w:val="numeradorom"/>
        <w:numPr>
          <w:ilvl w:val="2"/>
          <w:numId w:val="11"/>
        </w:numPr>
      </w:pPr>
      <w:r>
        <w:t>Dar cu</w:t>
      </w:r>
      <w:r w:rsidRPr="000C590D">
        <w:t>mplimiento de las condiciones previas al primer desembolso</w:t>
      </w:r>
      <w:r w:rsidR="001D6918">
        <w:t xml:space="preserve"> o de ejecución que se establezcan en el Contrato de Préstamo y que sean de competencia </w:t>
      </w:r>
      <w:r w:rsidR="00E152D7">
        <w:t xml:space="preserve">específica </w:t>
      </w:r>
      <w:r w:rsidR="001D6918">
        <w:t xml:space="preserve">de </w:t>
      </w:r>
      <w:r w:rsidR="002C232F">
        <w:t>cada OSE</w:t>
      </w:r>
      <w:r>
        <w:t xml:space="preserve">. </w:t>
      </w:r>
    </w:p>
    <w:p w14:paraId="0C9BA780" w14:textId="2A5B4783" w:rsidR="00DA6274" w:rsidRDefault="00DA6274" w:rsidP="009B54B5">
      <w:pPr>
        <w:pStyle w:val="numeradorom"/>
        <w:numPr>
          <w:ilvl w:val="2"/>
          <w:numId w:val="11"/>
        </w:numPr>
      </w:pPr>
      <w:r>
        <w:t xml:space="preserve">Conformar </w:t>
      </w:r>
      <w:r w:rsidR="0073229D">
        <w:t xml:space="preserve">un </w:t>
      </w:r>
      <w:r w:rsidR="00D7609D">
        <w:t>EDG</w:t>
      </w:r>
      <w:r w:rsidR="0073229D">
        <w:t>-OSE</w:t>
      </w:r>
      <w:r w:rsidR="00A45C3A">
        <w:t xml:space="preserve"> para la ejecución </w:t>
      </w:r>
      <w:r w:rsidR="0073229D">
        <w:t>en cada OSE</w:t>
      </w:r>
      <w:r w:rsidR="00A45C3A">
        <w:t>, e</w:t>
      </w:r>
      <w:r>
        <w:t xml:space="preserve"> informar al Banco de su composición.</w:t>
      </w:r>
    </w:p>
    <w:p w14:paraId="4A759F7C" w14:textId="0FF4B59E" w:rsidR="00DA6274" w:rsidRDefault="00DA6274" w:rsidP="009B54B5">
      <w:pPr>
        <w:pStyle w:val="numeradorom"/>
        <w:numPr>
          <w:ilvl w:val="2"/>
          <w:numId w:val="11"/>
        </w:numPr>
      </w:pPr>
      <w:r>
        <w:t>Fortalecer a</w:t>
      </w:r>
      <w:r w:rsidR="0073229D">
        <w:t xml:space="preserve"> su </w:t>
      </w:r>
      <w:r w:rsidR="00D7609D">
        <w:t>EDG</w:t>
      </w:r>
      <w:r w:rsidR="0073229D">
        <w:t xml:space="preserve">-OSE correspondiente </w:t>
      </w:r>
      <w:r>
        <w:t>a fin de que asuma la responsabilidad de la coordinación de la ejecución y seguimiento de</w:t>
      </w:r>
      <w:r w:rsidR="00597AA3">
        <w:t xml:space="preserve"> las actividades de</w:t>
      </w:r>
      <w:r>
        <w:t>l Programa</w:t>
      </w:r>
      <w:r w:rsidR="00597AA3">
        <w:t xml:space="preserve">, que son </w:t>
      </w:r>
      <w:r w:rsidR="0073229D">
        <w:t xml:space="preserve">de su </w:t>
      </w:r>
      <w:r w:rsidR="00597AA3">
        <w:t>competencia</w:t>
      </w:r>
      <w:r>
        <w:t>.</w:t>
      </w:r>
    </w:p>
    <w:p w14:paraId="1D74248D" w14:textId="6A6692D0" w:rsidR="00DA6274" w:rsidRDefault="00DA6274" w:rsidP="009B54B5">
      <w:pPr>
        <w:pStyle w:val="numeradorom"/>
        <w:numPr>
          <w:ilvl w:val="2"/>
          <w:numId w:val="11"/>
        </w:numPr>
      </w:pPr>
      <w:r>
        <w:t xml:space="preserve">Asegurar la </w:t>
      </w:r>
      <w:r w:rsidR="00E94676">
        <w:t>p</w:t>
      </w:r>
      <w:r>
        <w:t>riorización y los espacios presupuestarios de</w:t>
      </w:r>
      <w:r w:rsidR="0073229D">
        <w:t xml:space="preserve"> todos </w:t>
      </w:r>
      <w:r>
        <w:t xml:space="preserve">los Proyectos de Inversión </w:t>
      </w:r>
      <w:r w:rsidRPr="006D54EF">
        <w:t>a través de</w:t>
      </w:r>
      <w:r>
        <w:t xml:space="preserve"> los cuales </w:t>
      </w:r>
      <w:r w:rsidRPr="006D54EF">
        <w:t>se ejecuta</w:t>
      </w:r>
      <w:r>
        <w:t xml:space="preserve">rán </w:t>
      </w:r>
      <w:r w:rsidRPr="006D54EF">
        <w:t xml:space="preserve">las actividades contempladas en </w:t>
      </w:r>
      <w:r w:rsidR="00E94676">
        <w:t>los componentes d</w:t>
      </w:r>
      <w:r w:rsidRPr="006D54EF">
        <w:t xml:space="preserve">el </w:t>
      </w:r>
      <w:r>
        <w:t>Programa</w:t>
      </w:r>
      <w:r w:rsidR="00597AA3">
        <w:t xml:space="preserve">, que son de competencia de </w:t>
      </w:r>
      <w:r w:rsidR="0073229D">
        <w:t>cada OSE</w:t>
      </w:r>
      <w:r w:rsidRPr="006D54EF">
        <w:t>.</w:t>
      </w:r>
    </w:p>
    <w:p w14:paraId="50F8943C" w14:textId="4ADC93E2" w:rsidR="00225C8B" w:rsidRDefault="00CE0EAF" w:rsidP="009B54B5">
      <w:pPr>
        <w:pStyle w:val="numeradorom"/>
        <w:numPr>
          <w:ilvl w:val="2"/>
          <w:numId w:val="11"/>
        </w:numPr>
      </w:pPr>
      <w:r>
        <w:t>C</w:t>
      </w:r>
      <w:r w:rsidRPr="00CE0EAF">
        <w:t>ada OSE será el responsable directo de la administración de los recursos del financiamiento que les serán transferidos considerando la preparación de los TDR para las compras y contrataciones, así como de los procesos administrativos para que estas se realicen, garantizando un estricto cumplimiento de las políticas del Banco en la materia, y el envío de toda la documentación requerida al Banco para su no objeción</w:t>
      </w:r>
      <w:r w:rsidR="002C232F">
        <w:t>.</w:t>
      </w:r>
    </w:p>
    <w:p w14:paraId="0D219752" w14:textId="64AAF7A1" w:rsidR="00307B8A" w:rsidRDefault="00307B8A" w:rsidP="009B54B5">
      <w:pPr>
        <w:pStyle w:val="numeradorom"/>
        <w:numPr>
          <w:ilvl w:val="2"/>
          <w:numId w:val="11"/>
        </w:numPr>
      </w:pPr>
      <w:r>
        <w:t>Velar por el cumplimiento de los convenios interinstitucionales</w:t>
      </w:r>
      <w:r>
        <w:rPr>
          <w:rStyle w:val="FootnoteReference"/>
        </w:rPr>
        <w:footnoteReference w:id="11"/>
      </w:r>
      <w:r>
        <w:t xml:space="preserve">, con las entidades beneficiarias de las actividades ejecutadas por el OSE </w:t>
      </w:r>
    </w:p>
    <w:p w14:paraId="394BAE91" w14:textId="5482F01E" w:rsidR="00DA6274" w:rsidRDefault="00DA6274" w:rsidP="009B54B5">
      <w:pPr>
        <w:pStyle w:val="numeradorom"/>
        <w:numPr>
          <w:ilvl w:val="2"/>
          <w:numId w:val="11"/>
        </w:numPr>
      </w:pPr>
      <w:r>
        <w:t xml:space="preserve">Facilitar los mecanismos necesarios para agilizar y garantizar la ejecución oportuna de </w:t>
      </w:r>
      <w:r w:rsidR="00A45C3A">
        <w:t>l</w:t>
      </w:r>
      <w:r w:rsidR="00597AA3">
        <w:t xml:space="preserve">as actividades del </w:t>
      </w:r>
      <w:r>
        <w:t>Programa</w:t>
      </w:r>
      <w:r w:rsidR="00597AA3">
        <w:t xml:space="preserve"> que son de competencia de </w:t>
      </w:r>
      <w:r w:rsidR="000648A4">
        <w:t>cada OSE</w:t>
      </w:r>
      <w:r>
        <w:t xml:space="preserve">. </w:t>
      </w:r>
    </w:p>
    <w:p w14:paraId="3BFF578D" w14:textId="21AD0D3D" w:rsidR="00DA6274" w:rsidRDefault="00597AA3" w:rsidP="009B54B5">
      <w:pPr>
        <w:pStyle w:val="numeradorom"/>
        <w:numPr>
          <w:ilvl w:val="2"/>
          <w:numId w:val="11"/>
        </w:numPr>
      </w:pPr>
      <w:r>
        <w:t>Brindar el apoyo necesario a</w:t>
      </w:r>
      <w:r w:rsidR="00DA6274">
        <w:t xml:space="preserve">l </w:t>
      </w:r>
      <w:r w:rsidR="00D7609D">
        <w:t>EDG</w:t>
      </w:r>
      <w:r w:rsidR="00DA6274">
        <w:t xml:space="preserve">-MEF en </w:t>
      </w:r>
      <w:r w:rsidR="00DA6274" w:rsidRPr="006D54EF">
        <w:t>los requerimientos de información, mecanismos y periodos de rendición de cuentas</w:t>
      </w:r>
      <w:r w:rsidR="00DA6274">
        <w:t xml:space="preserve"> que </w:t>
      </w:r>
      <w:r w:rsidR="002C232F">
        <w:t xml:space="preserve">se </w:t>
      </w:r>
      <w:r w:rsidR="001B5C18">
        <w:t>requieran de</w:t>
      </w:r>
      <w:r w:rsidR="000648A4">
        <w:t xml:space="preserve"> cada OSE</w:t>
      </w:r>
      <w:r w:rsidR="001B5C18">
        <w:t xml:space="preserve">, </w:t>
      </w:r>
      <w:r w:rsidR="00DA6274" w:rsidRPr="006D54EF">
        <w:t xml:space="preserve">para mantener actualizado el estado de avance del Programa. </w:t>
      </w:r>
    </w:p>
    <w:p w14:paraId="7FA295AD" w14:textId="066F117B" w:rsidR="00A46868" w:rsidRDefault="00922901" w:rsidP="009B54B5">
      <w:pPr>
        <w:pStyle w:val="Estilo1"/>
      </w:pPr>
      <w:r>
        <w:rPr>
          <w:b/>
          <w:u w:val="single"/>
        </w:rPr>
        <w:t xml:space="preserve">Los </w:t>
      </w:r>
      <w:r w:rsidR="009F68DF" w:rsidRPr="009F68DF">
        <w:rPr>
          <w:b/>
          <w:u w:val="single"/>
        </w:rPr>
        <w:t>EDG-</w:t>
      </w:r>
      <w:r w:rsidR="00D87CC8">
        <w:rPr>
          <w:b/>
          <w:u w:val="single"/>
        </w:rPr>
        <w:t>OSE</w:t>
      </w:r>
      <w:r w:rsidR="009F68DF">
        <w:t xml:space="preserve">. Para efectos de manejo gerencial </w:t>
      </w:r>
      <w:r w:rsidR="00D87CC8">
        <w:t xml:space="preserve">de las actividades del Programa, cada OSE </w:t>
      </w:r>
      <w:r w:rsidR="009F68DF">
        <w:t>conformará un Equipo de Gestión (EDG-</w:t>
      </w:r>
      <w:r w:rsidR="00D87CC8">
        <w:t>OSE</w:t>
      </w:r>
      <w:r w:rsidR="009F68DF">
        <w:t>) con dedicación exclusiva a la ejecución de</w:t>
      </w:r>
      <w:r>
        <w:t xml:space="preserve"> las actividades del </w:t>
      </w:r>
      <w:r w:rsidR="009F68DF">
        <w:t>Programa</w:t>
      </w:r>
      <w:r>
        <w:t xml:space="preserve"> asignadas a cada OSE</w:t>
      </w:r>
      <w:r w:rsidR="009F68DF">
        <w:t xml:space="preserve">.  </w:t>
      </w:r>
      <w:r w:rsidR="00D87CC8">
        <w:t xml:space="preserve">Cada </w:t>
      </w:r>
      <w:r w:rsidR="00D7609D">
        <w:t>EDG</w:t>
      </w:r>
      <w:r w:rsidR="0062784E">
        <w:t>-</w:t>
      </w:r>
      <w:r w:rsidR="00D87CC8">
        <w:t>OSE</w:t>
      </w:r>
      <w:r w:rsidR="0062784E">
        <w:t>, c</w:t>
      </w:r>
      <w:r w:rsidR="000C39D8">
        <w:t>oordinar</w:t>
      </w:r>
      <w:r w:rsidR="0062784E">
        <w:t xml:space="preserve">á </w:t>
      </w:r>
      <w:r w:rsidR="00A46868">
        <w:t>la ejecución</w:t>
      </w:r>
      <w:r w:rsidR="0062784E">
        <w:t>, control y seguimiento</w:t>
      </w:r>
      <w:r w:rsidR="00A46868">
        <w:t xml:space="preserve"> de las actividades del Programa</w:t>
      </w:r>
      <w:r w:rsidR="00D87CC8">
        <w:t xml:space="preserve"> a su cargo</w:t>
      </w:r>
      <w:r w:rsidR="000C39D8">
        <w:t>.</w:t>
      </w:r>
      <w:r w:rsidR="0062784E">
        <w:t xml:space="preserve"> </w:t>
      </w:r>
    </w:p>
    <w:p w14:paraId="1874E53B" w14:textId="52972A5F" w:rsidR="001573F7" w:rsidRDefault="00D87CC8" w:rsidP="009B54B5">
      <w:pPr>
        <w:pStyle w:val="Estilo1"/>
      </w:pPr>
      <w:r>
        <w:t xml:space="preserve">Cada </w:t>
      </w:r>
      <w:r w:rsidR="00D7609D">
        <w:t>EDG</w:t>
      </w:r>
      <w:r w:rsidR="00A46868">
        <w:t>-</w:t>
      </w:r>
      <w:r>
        <w:t xml:space="preserve">OSE </w:t>
      </w:r>
      <w:r w:rsidR="00A46868">
        <w:t xml:space="preserve">deberá estar constituido al menos por un </w:t>
      </w:r>
      <w:r>
        <w:t>c</w:t>
      </w:r>
      <w:r w:rsidR="00A46868">
        <w:t>oordinador de</w:t>
      </w:r>
      <w:r w:rsidR="0062784E">
        <w:t xml:space="preserve"> las actividades de en la ejecución del </w:t>
      </w:r>
      <w:r w:rsidR="00A46868">
        <w:t>Pro</w:t>
      </w:r>
      <w:r w:rsidR="00DD08D8">
        <w:t>grama</w:t>
      </w:r>
      <w:r>
        <w:t xml:space="preserve"> a su cargo</w:t>
      </w:r>
      <w:r w:rsidR="00C36E12">
        <w:t>,</w:t>
      </w:r>
      <w:r w:rsidR="00FB2ACD">
        <w:t xml:space="preserve"> </w:t>
      </w:r>
      <w:r>
        <w:t xml:space="preserve">un especialista de planificación, monitoreo y control, </w:t>
      </w:r>
      <w:r w:rsidR="00A46868">
        <w:t xml:space="preserve">un </w:t>
      </w:r>
      <w:r>
        <w:t>e</w:t>
      </w:r>
      <w:r w:rsidR="00A46868">
        <w:t xml:space="preserve">specialista de </w:t>
      </w:r>
      <w:r>
        <w:t>a</w:t>
      </w:r>
      <w:r w:rsidR="00A46868">
        <w:t>dquisiciones</w:t>
      </w:r>
      <w:r w:rsidR="00C36E12">
        <w:t xml:space="preserve"> y </w:t>
      </w:r>
      <w:r w:rsidR="00A46868">
        <w:t xml:space="preserve">un </w:t>
      </w:r>
      <w:r>
        <w:t>e</w:t>
      </w:r>
      <w:r w:rsidR="00A46868">
        <w:t xml:space="preserve">specialista </w:t>
      </w:r>
      <w:r>
        <w:t>f</w:t>
      </w:r>
      <w:r w:rsidR="00A46868">
        <w:t>inanciero</w:t>
      </w:r>
      <w:r w:rsidR="00E152D7">
        <w:t xml:space="preserve">, de dedicación exclusiva y tiempo completo a la ejecución de las actividades </w:t>
      </w:r>
      <w:r>
        <w:t xml:space="preserve">a cargo de cada OSE </w:t>
      </w:r>
      <w:r w:rsidR="00E152D7">
        <w:t>en el Programa</w:t>
      </w:r>
      <w:r w:rsidR="00A46868">
        <w:t xml:space="preserve">. </w:t>
      </w:r>
    </w:p>
    <w:p w14:paraId="1E294942" w14:textId="7A87931C" w:rsidR="00A46868" w:rsidRDefault="00A46868" w:rsidP="009B54B5">
      <w:pPr>
        <w:pStyle w:val="Estilo1"/>
      </w:pPr>
      <w:r w:rsidRPr="0043114D">
        <w:t>La conformación de los miembros de</w:t>
      </w:r>
      <w:r w:rsidR="002966CB">
        <w:t xml:space="preserve"> cada </w:t>
      </w:r>
      <w:r w:rsidR="00D7609D">
        <w:t>EDG</w:t>
      </w:r>
      <w:r>
        <w:t>-</w:t>
      </w:r>
      <w:r w:rsidR="002966CB">
        <w:t>OSE</w:t>
      </w:r>
      <w:r w:rsidR="00C36E12">
        <w:t xml:space="preserve"> </w:t>
      </w:r>
      <w:r w:rsidRPr="0043114D">
        <w:t>estará a cargo de la máxima autoridad de la Institución o su delegado para el efecto</w:t>
      </w:r>
      <w:r>
        <w:t xml:space="preserve">, dentro de los plazos </w:t>
      </w:r>
      <w:r w:rsidR="00C36E12">
        <w:t>acordados con el Banco</w:t>
      </w:r>
      <w:r w:rsidRPr="0043114D">
        <w:t>.</w:t>
      </w:r>
      <w:r>
        <w:t xml:space="preserve"> Los TDR y perfiles utilizados para la selección de los miembros de</w:t>
      </w:r>
      <w:r w:rsidR="00FF0C00">
        <w:t xml:space="preserve"> los </w:t>
      </w:r>
      <w:r w:rsidR="00D7609D">
        <w:t>EDG</w:t>
      </w:r>
      <w:r>
        <w:t>-</w:t>
      </w:r>
      <w:r w:rsidR="00FF0C00">
        <w:t>OSE</w:t>
      </w:r>
      <w:r w:rsidR="00C36E12">
        <w:t xml:space="preserve"> </w:t>
      </w:r>
      <w:r>
        <w:t xml:space="preserve">deberán contar con la aprobación del Banco. </w:t>
      </w:r>
    </w:p>
    <w:p w14:paraId="30EC1B68" w14:textId="49AA4B78" w:rsidR="00A46868" w:rsidRDefault="00FF0C00" w:rsidP="009B54B5">
      <w:pPr>
        <w:pStyle w:val="Estilo1"/>
      </w:pPr>
      <w:r>
        <w:t xml:space="preserve">Cada OSE </w:t>
      </w:r>
      <w:r w:rsidR="00A46868" w:rsidRPr="0043114D">
        <w:t xml:space="preserve">deberá notificar oficialmente al Banco, respecto de la designación de </w:t>
      </w:r>
      <w:r w:rsidR="00DD08D8">
        <w:t xml:space="preserve">los </w:t>
      </w:r>
      <w:r w:rsidR="00A46868" w:rsidRPr="0043114D">
        <w:t>miembros</w:t>
      </w:r>
      <w:r w:rsidR="00DD08D8">
        <w:t xml:space="preserve"> de </w:t>
      </w:r>
      <w:r>
        <w:t xml:space="preserve">cada </w:t>
      </w:r>
      <w:r w:rsidR="00DD08D8">
        <w:t>EDG-</w:t>
      </w:r>
      <w:r>
        <w:t>OSE</w:t>
      </w:r>
      <w:r w:rsidR="00A46868">
        <w:t xml:space="preserve">, así como de cualquier modificación en su composición. </w:t>
      </w:r>
      <w:r w:rsidR="00A46868" w:rsidRPr="0043114D">
        <w:t xml:space="preserve"> La</w:t>
      </w:r>
      <w:r w:rsidR="00A46868">
        <w:t>s</w:t>
      </w:r>
      <w:r w:rsidR="00A46868" w:rsidRPr="0043114D">
        <w:t xml:space="preserve"> funciones de los</w:t>
      </w:r>
      <w:r w:rsidR="00A46868">
        <w:t xml:space="preserve"> miembros de</w:t>
      </w:r>
      <w:r>
        <w:t xml:space="preserve"> los </w:t>
      </w:r>
      <w:r w:rsidR="00D7609D">
        <w:t>EDG</w:t>
      </w:r>
      <w:r w:rsidR="00A46868">
        <w:t>-</w:t>
      </w:r>
      <w:r>
        <w:t>OSE</w:t>
      </w:r>
      <w:r w:rsidR="00A46868">
        <w:t xml:space="preserve"> </w:t>
      </w:r>
      <w:r w:rsidR="00A46868" w:rsidRPr="0043114D">
        <w:t>se describe</w:t>
      </w:r>
      <w:r w:rsidR="00A46868">
        <w:t>n</w:t>
      </w:r>
      <w:r w:rsidR="00A46868" w:rsidRPr="0043114D">
        <w:t xml:space="preserve"> en la sección V del presente ROP: “Estructura Administrativa para la Gestión del Programa”.</w:t>
      </w:r>
    </w:p>
    <w:p w14:paraId="6CE4219F" w14:textId="33859743" w:rsidR="00A46868" w:rsidRPr="00922901" w:rsidRDefault="00A46868" w:rsidP="009B54B5">
      <w:pPr>
        <w:pStyle w:val="Estilo1"/>
      </w:pPr>
      <w:r w:rsidRPr="00922901">
        <w:t>Funciones y Responsabilidades de</w:t>
      </w:r>
      <w:r w:rsidR="00FF0C00" w:rsidRPr="00922901">
        <w:t xml:space="preserve"> los </w:t>
      </w:r>
      <w:r w:rsidR="00D7609D" w:rsidRPr="00922901">
        <w:t>EDG</w:t>
      </w:r>
      <w:r w:rsidRPr="00922901">
        <w:t>-</w:t>
      </w:r>
      <w:r w:rsidR="00FF0C00" w:rsidRPr="00922901">
        <w:t>OSE</w:t>
      </w:r>
      <w:r w:rsidRPr="00922901">
        <w:t xml:space="preserve"> para la Ejecución del Programa</w:t>
      </w:r>
      <w:r w:rsidR="00DD08D8" w:rsidRPr="00922901">
        <w:t xml:space="preserve">: </w:t>
      </w:r>
    </w:p>
    <w:p w14:paraId="06EABD7D" w14:textId="1099B90A" w:rsidR="00A46868" w:rsidRDefault="00A46868" w:rsidP="009B54B5">
      <w:pPr>
        <w:pStyle w:val="numeradorom"/>
        <w:numPr>
          <w:ilvl w:val="2"/>
          <w:numId w:val="18"/>
        </w:numPr>
      </w:pPr>
      <w:r>
        <w:t xml:space="preserve">Ejecutar </w:t>
      </w:r>
      <w:r w:rsidR="00740D56">
        <w:t>las actividades d</w:t>
      </w:r>
      <w:r>
        <w:t>el Programa</w:t>
      </w:r>
      <w:r w:rsidR="00740D56">
        <w:t xml:space="preserve"> asignadas </w:t>
      </w:r>
      <w:r w:rsidR="0074721B">
        <w:t>a cada OSE</w:t>
      </w:r>
      <w:r w:rsidR="00F30A9A">
        <w:t>, de</w:t>
      </w:r>
      <w:r>
        <w:t xml:space="preserve"> acuerdo con los objetivos</w:t>
      </w:r>
      <w:r w:rsidR="00740D56">
        <w:t xml:space="preserve"> </w:t>
      </w:r>
      <w:r w:rsidR="00A2034E">
        <w:t>y las</w:t>
      </w:r>
      <w:r>
        <w:t xml:space="preserve"> disposiciones del Contrato de Préstamo, los planes, especificaciones, cronogramas, presupuestos, reglamentos y demás documentos pertinentes al </w:t>
      </w:r>
      <w:r>
        <w:lastRenderedPageBreak/>
        <w:t xml:space="preserve">Programa, aprobados por el Banco, a fin de contribuir con el cumplimiento de los resultados esperados. </w:t>
      </w:r>
    </w:p>
    <w:p w14:paraId="76740719" w14:textId="3ADE36D4" w:rsidR="00A46868" w:rsidRPr="003B1B28" w:rsidRDefault="00A46868" w:rsidP="009B54B5">
      <w:pPr>
        <w:pStyle w:val="numeradorom"/>
        <w:numPr>
          <w:ilvl w:val="2"/>
          <w:numId w:val="18"/>
        </w:numPr>
      </w:pPr>
      <w:r w:rsidRPr="003B1B28">
        <w:t xml:space="preserve">Mantener controles internos tendientes a asegurar razonablemente, que: (i) los recursos de </w:t>
      </w:r>
      <w:r w:rsidR="00740D56">
        <w:t xml:space="preserve">las actividades asignadas </w:t>
      </w:r>
      <w:r w:rsidR="0074721B">
        <w:t xml:space="preserve">a cada OSE </w:t>
      </w:r>
      <w:r w:rsidR="00740D56">
        <w:t xml:space="preserve">dentro del </w:t>
      </w:r>
      <w:r w:rsidRPr="003B1B28">
        <w:t>Programa sean utilizados para los propósitos del contrato de Préstamo, con especial atención a los principios de economía, eficiencia y transparencia bajo las normas de financiamiento externo que rigen dicho contrato</w:t>
      </w:r>
      <w:r w:rsidR="002C232F">
        <w:t xml:space="preserve">; </w:t>
      </w:r>
      <w:r w:rsidR="002C232F" w:rsidRPr="003B1B28">
        <w:t>(ii) los activos del Programa</w:t>
      </w:r>
      <w:r w:rsidR="002C232F">
        <w:t>, que correspondan a su ejecución</w:t>
      </w:r>
      <w:r w:rsidR="002C232F">
        <w:rPr>
          <w:rStyle w:val="FootnoteReference"/>
        </w:rPr>
        <w:footnoteReference w:id="12"/>
      </w:r>
      <w:r w:rsidR="002C232F">
        <w:t xml:space="preserve">, </w:t>
      </w:r>
      <w:r w:rsidR="002C232F" w:rsidRPr="003B1B28">
        <w:t xml:space="preserve"> sean adecuadamente custodiados, protegidos, conservados y salvaguardados</w:t>
      </w:r>
      <w:r w:rsidR="002C232F">
        <w:t xml:space="preserve">; </w:t>
      </w:r>
      <w:r w:rsidR="002C232F" w:rsidRPr="003B1B28">
        <w:t xml:space="preserve"> </w:t>
      </w:r>
      <w:r w:rsidRPr="003B1B28">
        <w:t>(iii) las transacciones, decisiones y actividades de</w:t>
      </w:r>
      <w:r w:rsidR="002C232F">
        <w:t xml:space="preserve"> los componentes a ejecutar </w:t>
      </w:r>
      <w:r w:rsidRPr="003B1B28">
        <w:t xml:space="preserve">sean debidamente autorizadas y ejecutadas de acuerdo con las disposiciones del </w:t>
      </w:r>
      <w:r>
        <w:t>C</w:t>
      </w:r>
      <w:r w:rsidRPr="003B1B28">
        <w:t>ontrato de Préstamo y de cualquier otro contrato relacionado con el Programa; y (iv) las transacciones sean apropiadamente documentadas y sean registradas de forma que puedan producirse informes y reportes oportunos y confiables.</w:t>
      </w:r>
    </w:p>
    <w:p w14:paraId="5C414E1B" w14:textId="4F104EDE" w:rsidR="00A46868" w:rsidRDefault="00A46868" w:rsidP="009B54B5">
      <w:pPr>
        <w:pStyle w:val="numeradorom"/>
        <w:numPr>
          <w:ilvl w:val="2"/>
          <w:numId w:val="18"/>
        </w:numPr>
      </w:pPr>
      <w:r>
        <w:t xml:space="preserve">Mantener un sistema de gestión financiera aceptable y confiable que permita oportunamente, en lo que concierne a los recursos </w:t>
      </w:r>
      <w:r w:rsidR="00F30A9A">
        <w:t>asignados para la ejecución de</w:t>
      </w:r>
      <w:r w:rsidR="00882A51">
        <w:t xml:space="preserve"> los componentes </w:t>
      </w:r>
      <w:r w:rsidR="00F30A9A">
        <w:t>asignad</w:t>
      </w:r>
      <w:r w:rsidR="00882A51">
        <w:t>os a cada OSE</w:t>
      </w:r>
      <w:r>
        <w:t xml:space="preserve">: (i) la planificación financiera; (ii) el registro contable, presupuestario y financiero; (iii) la administración de contratos; (iv) la realización de pagos; y (v) la emisión de informes relacionados con los recursos del Préstamo, del </w:t>
      </w:r>
      <w:r w:rsidR="000153D4">
        <w:t>a</w:t>
      </w:r>
      <w:r>
        <w:t xml:space="preserve">porte </w:t>
      </w:r>
      <w:r w:rsidR="000153D4">
        <w:t>l</w:t>
      </w:r>
      <w:r>
        <w:t>ocal y de otras fuentes de financiamiento del Proyecto, si fuera el caso.</w:t>
      </w:r>
    </w:p>
    <w:p w14:paraId="32A890AA" w14:textId="5E8CDED2" w:rsidR="00A2034E" w:rsidRDefault="00A2034E" w:rsidP="009B54B5">
      <w:pPr>
        <w:pStyle w:val="numeradorom"/>
        <w:numPr>
          <w:ilvl w:val="2"/>
          <w:numId w:val="18"/>
        </w:numPr>
      </w:pPr>
      <w:r w:rsidRPr="00A2034E">
        <w:t xml:space="preserve">Licitar, contratar y gestionar técnica y fiduciariamente </w:t>
      </w:r>
      <w:r>
        <w:t xml:space="preserve">los </w:t>
      </w:r>
      <w:r w:rsidRPr="00A2034E">
        <w:t xml:space="preserve">bienes, obras y servicios diferentes a consultoría y servicios de consultoría del componente </w:t>
      </w:r>
      <w:r>
        <w:t xml:space="preserve">y actividades del Programa a </w:t>
      </w:r>
      <w:r w:rsidRPr="00A2034E">
        <w:t>cargo</w:t>
      </w:r>
      <w:r>
        <w:t xml:space="preserve"> de</w:t>
      </w:r>
      <w:r w:rsidR="00882A51">
        <w:t>l OSE correspondiente</w:t>
      </w:r>
      <w:r w:rsidRPr="00A2034E">
        <w:t>.</w:t>
      </w:r>
    </w:p>
    <w:p w14:paraId="5D4D0457" w14:textId="1AF83AA4" w:rsidR="00E63BFB" w:rsidRPr="00A2034E" w:rsidRDefault="00E63BFB" w:rsidP="009B54B5">
      <w:pPr>
        <w:pStyle w:val="numeradorom"/>
        <w:numPr>
          <w:ilvl w:val="2"/>
          <w:numId w:val="18"/>
        </w:numPr>
      </w:pPr>
      <w:r>
        <w:t xml:space="preserve">Mantener </w:t>
      </w:r>
      <w:r w:rsidRPr="00E63BFB">
        <w:t xml:space="preserve">la interlocución </w:t>
      </w:r>
      <w:r>
        <w:t xml:space="preserve">necesaria </w:t>
      </w:r>
      <w:r w:rsidRPr="00E63BFB">
        <w:t>con el BID para el envío de no objeciones relacionadas con sus contrataciones y adquisiciones.</w:t>
      </w:r>
    </w:p>
    <w:p w14:paraId="505E3DBF" w14:textId="4A3DA7BE" w:rsidR="00A46868" w:rsidRPr="00C6129A" w:rsidRDefault="00A46868" w:rsidP="009B54B5">
      <w:pPr>
        <w:pStyle w:val="numeradorom"/>
        <w:numPr>
          <w:ilvl w:val="2"/>
          <w:numId w:val="18"/>
        </w:numPr>
      </w:pPr>
      <w:r w:rsidRPr="00C6129A">
        <w:t>Elaborar los informes</w:t>
      </w:r>
      <w:r>
        <w:t xml:space="preserve"> (</w:t>
      </w:r>
      <w:r w:rsidRPr="00C6129A">
        <w:t>técnicos y financieros</w:t>
      </w:r>
      <w:r>
        <w:t>)</w:t>
      </w:r>
      <w:r w:rsidRPr="00C6129A">
        <w:t xml:space="preserve"> que deban presentarse al</w:t>
      </w:r>
      <w:r w:rsidR="00B96117">
        <w:t xml:space="preserve"> </w:t>
      </w:r>
      <w:r w:rsidR="00D7609D">
        <w:t>EDG</w:t>
      </w:r>
      <w:r w:rsidR="00B96117">
        <w:t xml:space="preserve">-MEF y/o al </w:t>
      </w:r>
      <w:r w:rsidRPr="00C6129A">
        <w:t>Banco</w:t>
      </w:r>
      <w:r w:rsidR="00DD08D8">
        <w:rPr>
          <w:rStyle w:val="FootnoteReference"/>
        </w:rPr>
        <w:footnoteReference w:id="13"/>
      </w:r>
      <w:r w:rsidRPr="00C6129A">
        <w:t>, así como proveer a</w:t>
      </w:r>
      <w:r w:rsidR="00B96117">
        <w:t xml:space="preserve">l </w:t>
      </w:r>
      <w:r w:rsidR="00D7609D">
        <w:t>EDG</w:t>
      </w:r>
      <w:r w:rsidR="00B96117">
        <w:t xml:space="preserve">-MEF </w:t>
      </w:r>
      <w:r w:rsidRPr="00C6129A">
        <w:t>de la información relativa al control operacional y financiero de</w:t>
      </w:r>
      <w:r w:rsidR="00B96117">
        <w:t xml:space="preserve"> las actividades realizadas por </w:t>
      </w:r>
      <w:r w:rsidR="00882A51">
        <w:t xml:space="preserve">cada OSE </w:t>
      </w:r>
      <w:r w:rsidRPr="00C6129A">
        <w:t>que se requier</w:t>
      </w:r>
      <w:r w:rsidR="00B96117">
        <w:t>an</w:t>
      </w:r>
      <w:r w:rsidRPr="00C6129A">
        <w:t>, incluyendo las</w:t>
      </w:r>
      <w:r w:rsidR="00B96117">
        <w:t xml:space="preserve"> justificaciones de desembolsos e información necesaria para la preparación de los Estados Financieros</w:t>
      </w:r>
      <w:r>
        <w:t>.</w:t>
      </w:r>
      <w:r w:rsidRPr="00C6129A">
        <w:t xml:space="preserve"> </w:t>
      </w:r>
    </w:p>
    <w:p w14:paraId="4A739D5B" w14:textId="5459C89A" w:rsidR="00A46868" w:rsidRDefault="00A46868" w:rsidP="009B54B5">
      <w:pPr>
        <w:pStyle w:val="numeradorom"/>
        <w:numPr>
          <w:ilvl w:val="2"/>
          <w:numId w:val="18"/>
        </w:numPr>
      </w:pPr>
      <w:r w:rsidRPr="00C6129A">
        <w:t>Solicitar</w:t>
      </w:r>
      <w:r w:rsidR="00B96117">
        <w:t xml:space="preserve"> al </w:t>
      </w:r>
      <w:r w:rsidR="00D7609D">
        <w:t>EDG</w:t>
      </w:r>
      <w:r w:rsidR="00B464E1">
        <w:t xml:space="preserve">-MEF, requiera y </w:t>
      </w:r>
      <w:r w:rsidRPr="00C6129A">
        <w:t>gestion</w:t>
      </w:r>
      <w:r w:rsidR="00B464E1">
        <w:t>e</w:t>
      </w:r>
      <w:r w:rsidRPr="00C6129A">
        <w:t xml:space="preserve"> los </w:t>
      </w:r>
      <w:r w:rsidR="00B464E1">
        <w:t xml:space="preserve">correspondientes </w:t>
      </w:r>
      <w:r w:rsidRPr="00C6129A">
        <w:t>desembolsos del Banco</w:t>
      </w:r>
      <w:r w:rsidR="00B464E1">
        <w:t xml:space="preserve"> para las actividades de </w:t>
      </w:r>
      <w:r w:rsidR="00882A51">
        <w:t xml:space="preserve">cada OSE </w:t>
      </w:r>
      <w:r w:rsidRPr="00C6129A">
        <w:t>y coordinar la disponibilidad presupuestaria</w:t>
      </w:r>
      <w:r>
        <w:t xml:space="preserve"> (avales y certificaciones presupuestarias)</w:t>
      </w:r>
      <w:r w:rsidRPr="00C6129A">
        <w:t xml:space="preserve"> para la ejecución de</w:t>
      </w:r>
      <w:r w:rsidR="00B464E1">
        <w:t xml:space="preserve"> las actividades de </w:t>
      </w:r>
      <w:r w:rsidR="00882A51">
        <w:t xml:space="preserve">cada OSE </w:t>
      </w:r>
      <w:r w:rsidRPr="00C6129A">
        <w:t xml:space="preserve">y el pago de proveedores. </w:t>
      </w:r>
    </w:p>
    <w:p w14:paraId="50688526" w14:textId="3A02145A" w:rsidR="00A46868" w:rsidRPr="00831438" w:rsidRDefault="00A46868" w:rsidP="009B54B5">
      <w:pPr>
        <w:pStyle w:val="numeradorom"/>
        <w:numPr>
          <w:ilvl w:val="2"/>
          <w:numId w:val="18"/>
        </w:numPr>
      </w:pPr>
      <w:r w:rsidRPr="00831438">
        <w:t>Coordinar, gestionar y supervisar las actividades referentes a los procesos de adquisiciones para la contratación de bienes, de servicios diferentes a consultoría, de las obras, consultorías firmas e individuos</w:t>
      </w:r>
      <w:r w:rsidR="00CA6619" w:rsidRPr="00831438">
        <w:t xml:space="preserve">, de las actividades </w:t>
      </w:r>
      <w:r w:rsidR="00831438" w:rsidRPr="00831438">
        <w:t xml:space="preserve">realizadas por </w:t>
      </w:r>
      <w:r w:rsidR="00882A51">
        <w:t xml:space="preserve">cada OSE </w:t>
      </w:r>
      <w:r w:rsidR="00831438" w:rsidRPr="00831438">
        <w:t>en el Programa</w:t>
      </w:r>
      <w:r w:rsidRPr="00831438">
        <w:t xml:space="preserve">. </w:t>
      </w:r>
    </w:p>
    <w:p w14:paraId="54C8DB85" w14:textId="1D314861" w:rsidR="00A46868" w:rsidRPr="00C6129A" w:rsidRDefault="00614FD4" w:rsidP="009B54B5">
      <w:pPr>
        <w:pStyle w:val="numeradorom"/>
        <w:numPr>
          <w:ilvl w:val="2"/>
          <w:numId w:val="18"/>
        </w:numPr>
      </w:pPr>
      <w:r>
        <w:t>Velar por la implementaci</w:t>
      </w:r>
      <w:r w:rsidR="00873C92">
        <w:t>ó</w:t>
      </w:r>
      <w:r>
        <w:t>n de</w:t>
      </w:r>
      <w:r w:rsidR="00A46868" w:rsidRPr="00C6129A">
        <w:t xml:space="preserve"> las recomendaciones de las consultorías contratadas de apoyo a</w:t>
      </w:r>
      <w:r w:rsidR="00882A51">
        <w:t xml:space="preserve"> las actividades del programa</w:t>
      </w:r>
      <w:r w:rsidR="00CA155C">
        <w:t>, gestionad</w:t>
      </w:r>
      <w:r w:rsidR="00882A51">
        <w:t>as por cada OSE</w:t>
      </w:r>
      <w:r w:rsidR="00A46868" w:rsidRPr="00C6129A">
        <w:t>, incluyendo las de evaluación intermedia y final, y de las auditorias;</w:t>
      </w:r>
    </w:p>
    <w:p w14:paraId="022C363E" w14:textId="041A45B5" w:rsidR="001573F7" w:rsidRDefault="001573F7" w:rsidP="009B54B5">
      <w:pPr>
        <w:pStyle w:val="numeradorom"/>
        <w:numPr>
          <w:ilvl w:val="2"/>
          <w:numId w:val="18"/>
        </w:numPr>
      </w:pPr>
      <w:r>
        <w:t xml:space="preserve">Entregar oportunamente al </w:t>
      </w:r>
      <w:r w:rsidR="00D7609D">
        <w:t>EDG</w:t>
      </w:r>
      <w:r w:rsidR="00CE5C17">
        <w:t>-</w:t>
      </w:r>
      <w:r>
        <w:t>MEF</w:t>
      </w:r>
      <w:r w:rsidR="00CE5C17">
        <w:t xml:space="preserve"> toda la información del Proyecto que este requiera para la consolidación y elaboración de los informes y reportes que se detallan en el presente ROP</w:t>
      </w:r>
    </w:p>
    <w:p w14:paraId="389A598E" w14:textId="0FC7E731" w:rsidR="00A46868" w:rsidRDefault="009A601B" w:rsidP="009B54B5">
      <w:pPr>
        <w:pStyle w:val="numeradorom"/>
        <w:numPr>
          <w:ilvl w:val="2"/>
          <w:numId w:val="18"/>
        </w:numPr>
      </w:pPr>
      <w:r>
        <w:t>Asegurar que</w:t>
      </w:r>
      <w:r w:rsidR="00882A51">
        <w:t xml:space="preserve"> cada OSE </w:t>
      </w:r>
      <w:r>
        <w:t xml:space="preserve">conserve </w:t>
      </w:r>
      <w:r w:rsidR="00A46868">
        <w:t xml:space="preserve">los documentos y registros físicos y digitales </w:t>
      </w:r>
      <w:r w:rsidR="00CA155C">
        <w:t>de las actividades a cargo de</w:t>
      </w:r>
      <w:r w:rsidR="008C643E">
        <w:t>l OSE que corresponda</w:t>
      </w:r>
      <w:r w:rsidR="00CA155C">
        <w:t xml:space="preserve"> </w:t>
      </w:r>
      <w:r w:rsidR="00A46868">
        <w:t xml:space="preserve">por un período mínimo de tres (3) años después del vencimiento del Plazo Original de Desembolsos o cualquiera de sus </w:t>
      </w:r>
      <w:r w:rsidR="00A46868">
        <w:lastRenderedPageBreak/>
        <w:t>extensiones. Estos documentos y registros deberán ser adecuados para: (i) respaldar las actividades, decisiones y transacciones relativas a</w:t>
      </w:r>
      <w:r w:rsidR="00CA155C">
        <w:t xml:space="preserve"> las actividades de </w:t>
      </w:r>
      <w:r w:rsidR="00882A51">
        <w:t xml:space="preserve">cada OSE </w:t>
      </w:r>
      <w:r w:rsidR="00CA155C">
        <w:t>en el</w:t>
      </w:r>
      <w:r w:rsidR="00A46868">
        <w:t xml:space="preserve"> Proyecto, incluidos todos los gastos incurridos; y (ii) evidenciar la correlación de gastos incurridos</w:t>
      </w:r>
      <w:r w:rsidR="00CA155C">
        <w:t xml:space="preserve"> por </w:t>
      </w:r>
      <w:r w:rsidR="00882A51">
        <w:t xml:space="preserve">cada OSE </w:t>
      </w:r>
      <w:r w:rsidR="00CA155C">
        <w:t xml:space="preserve">en el Programa </w:t>
      </w:r>
      <w:r w:rsidR="00A46868">
        <w:t>con cargo al Préstamo con el respectivo desembolso efectuado por el Banco.</w:t>
      </w:r>
    </w:p>
    <w:p w14:paraId="686B9DB0" w14:textId="6AC1ECED" w:rsidR="00A46868" w:rsidRDefault="00A46868" w:rsidP="009B54B5">
      <w:pPr>
        <w:pStyle w:val="numeradorom"/>
        <w:numPr>
          <w:ilvl w:val="2"/>
          <w:numId w:val="18"/>
        </w:numPr>
      </w:pPr>
      <w:r>
        <w:t>Cumplir toda otra tarea que le corresponda de acuerdo con lo dispuesto en el Contrato de Préstamo y el presente ROP.</w:t>
      </w:r>
    </w:p>
    <w:p w14:paraId="4D5AE0B4" w14:textId="46464D08" w:rsidR="00EA6188" w:rsidRDefault="001A7286" w:rsidP="00A94976">
      <w:pPr>
        <w:pStyle w:val="Heading2"/>
      </w:pPr>
      <w:bookmarkStart w:id="51" w:name="_Toc23797309"/>
      <w:r w:rsidRPr="00882A51">
        <w:t>Mecanismos de Coordinación</w:t>
      </w:r>
      <w:r w:rsidR="00F85199" w:rsidRPr="00882A51">
        <w:t xml:space="preserve"> </w:t>
      </w:r>
      <w:r w:rsidR="006E19E8">
        <w:t>del Programa</w:t>
      </w:r>
      <w:bookmarkEnd w:id="51"/>
    </w:p>
    <w:p w14:paraId="3C0F78E3" w14:textId="52B0CEB2" w:rsidR="00684680" w:rsidRDefault="00684680" w:rsidP="009B54B5">
      <w:pPr>
        <w:pStyle w:val="Estilo1"/>
      </w:pPr>
      <w:r w:rsidRPr="00684680">
        <w:rPr>
          <w:b/>
          <w:u w:val="single"/>
        </w:rPr>
        <w:t>Matriz de comunicación del Programa</w:t>
      </w:r>
      <w:r>
        <w:t>.  El EDG-MEF con el apoyo de</w:t>
      </w:r>
      <w:r w:rsidR="00882A51">
        <w:t xml:space="preserve"> los </w:t>
      </w:r>
      <w:r>
        <w:t>EDG-</w:t>
      </w:r>
      <w:r w:rsidR="00882A51">
        <w:t>OSE</w:t>
      </w:r>
      <w:r>
        <w:t xml:space="preserve">, desarrollará como mecanismo de coordinación una Matriz de Comunicación del Programa, </w:t>
      </w:r>
      <w:r w:rsidRPr="00684680">
        <w:t>que describirá los principales flujos de intercambios de información entre las partes, periodicidad y canales para la entrega de dicha información y sus responsables</w:t>
      </w:r>
      <w:r>
        <w:t xml:space="preserve">. </w:t>
      </w:r>
      <w:r w:rsidRPr="00684680">
        <w:t xml:space="preserve">La herramienta, se basará en </w:t>
      </w:r>
      <w:r>
        <w:t xml:space="preserve">una </w:t>
      </w:r>
      <w:r w:rsidRPr="00684680">
        <w:t xml:space="preserve">Matriz de interesados </w:t>
      </w:r>
      <w:r>
        <w:t xml:space="preserve">del Programa </w:t>
      </w:r>
      <w:r w:rsidRPr="00684680">
        <w:t>previamente identificada</w:t>
      </w:r>
      <w:r w:rsidR="0095652E">
        <w:rPr>
          <w:rStyle w:val="FootnoteReference"/>
        </w:rPr>
        <w:footnoteReference w:id="14"/>
      </w:r>
      <w:r w:rsidRPr="00684680">
        <w:t xml:space="preserve">. </w:t>
      </w:r>
      <w:r w:rsidR="0095652E">
        <w:t xml:space="preserve">La matriz de comunicación, deberá identificar claramente los flujos, periodicidad y formatos de la información que </w:t>
      </w:r>
      <w:r w:rsidR="00882A51">
        <w:t xml:space="preserve">cada OSE </w:t>
      </w:r>
      <w:r w:rsidR="0095652E">
        <w:t xml:space="preserve">deberá remitir al MEF para la elaboración de los informes señalados en el Contrato de Préstamo y el Presente ROP.  </w:t>
      </w:r>
    </w:p>
    <w:p w14:paraId="337454B9" w14:textId="04865F8B" w:rsidR="00362EAB" w:rsidRDefault="00F84DEE" w:rsidP="009B54B5">
      <w:pPr>
        <w:pStyle w:val="Estilo1"/>
      </w:pPr>
      <w:r w:rsidRPr="00F84DEE">
        <w:rPr>
          <w:b/>
          <w:u w:val="single"/>
        </w:rPr>
        <w:t>Reuniones de coordinación.</w:t>
      </w:r>
      <w:r>
        <w:t xml:space="preserve"> </w:t>
      </w:r>
      <w:r w:rsidR="00E91AAA">
        <w:t xml:space="preserve">El </w:t>
      </w:r>
      <w:r w:rsidR="00D7609D">
        <w:t>EDG</w:t>
      </w:r>
      <w:r w:rsidR="00D37E76">
        <w:t>-MEF</w:t>
      </w:r>
      <w:r w:rsidR="00882A51">
        <w:t xml:space="preserve"> y los EDG</w:t>
      </w:r>
      <w:r w:rsidR="000153D4">
        <w:t>-</w:t>
      </w:r>
      <w:r w:rsidR="00882A51">
        <w:t>OSE</w:t>
      </w:r>
      <w:r w:rsidR="00D37E76">
        <w:t xml:space="preserve">, sostendrán </w:t>
      </w:r>
      <w:r>
        <w:t>al menos una (1) r</w:t>
      </w:r>
      <w:r w:rsidR="00D37E76" w:rsidRPr="00F84DEE">
        <w:t>euni</w:t>
      </w:r>
      <w:r>
        <w:t xml:space="preserve">ón </w:t>
      </w:r>
      <w:r w:rsidR="00362EAB" w:rsidRPr="00F84DEE">
        <w:t>de coordinación</w:t>
      </w:r>
      <w:r w:rsidR="00362EAB">
        <w:t xml:space="preserve"> </w:t>
      </w:r>
      <w:r w:rsidR="00E63BFB">
        <w:t xml:space="preserve">periódica mensual </w:t>
      </w:r>
      <w:r w:rsidR="00E91AAA">
        <w:t>para garantizar una buena ejecución del Programa</w:t>
      </w:r>
      <w:r w:rsidR="00E63BFB">
        <w:t xml:space="preserve"> en las que revisarán </w:t>
      </w:r>
      <w:r w:rsidR="00E63BFB">
        <w:rPr>
          <w:rFonts w:cs="Arial"/>
          <w:sz w:val="22"/>
        </w:rPr>
        <w:t>conjuntamente el avance de las actividades del proyecto y tomarán acción para resolver obstáculos a la ejecución</w:t>
      </w:r>
      <w:r w:rsidR="00362EAB">
        <w:t xml:space="preserve">. Los acuerdos alcanzados en dichas reuniones de coordinación, deberán ser documentados en actas que se encontrarán en los archivos de los </w:t>
      </w:r>
      <w:r w:rsidR="00D7609D">
        <w:t>EDG</w:t>
      </w:r>
      <w:r w:rsidR="00362EAB">
        <w:t xml:space="preserve"> correspondientes y un extracto de los mismos y sus resultados se reportará en el ISP</w:t>
      </w:r>
      <w:r w:rsidR="0032560B">
        <w:t>.</w:t>
      </w:r>
    </w:p>
    <w:p w14:paraId="6D1F49E0" w14:textId="66C81A09" w:rsidR="004B5BC5" w:rsidRPr="004B5BC5" w:rsidRDefault="0076603A" w:rsidP="009B54B5">
      <w:pPr>
        <w:pStyle w:val="Estilo1"/>
      </w:pPr>
      <w:bookmarkStart w:id="52" w:name="_Ref12890444"/>
      <w:r w:rsidRPr="004B5BC5">
        <w:rPr>
          <w:b/>
          <w:u w:val="single"/>
        </w:rPr>
        <w:t>Convenios Interinstitucionales</w:t>
      </w:r>
      <w:r w:rsidR="006D7640" w:rsidRPr="004B5BC5">
        <w:rPr>
          <w:b/>
          <w:u w:val="single"/>
        </w:rPr>
        <w:t>.</w:t>
      </w:r>
      <w:r w:rsidR="006D7640">
        <w:t xml:space="preserve"> </w:t>
      </w:r>
      <w:r w:rsidR="004B5BC5">
        <w:t xml:space="preserve"> </w:t>
      </w:r>
      <w:r w:rsidR="00E63BFB" w:rsidRPr="00E63BFB">
        <w:t>En la medida que la operación tiene prevista una serie de actividades, cuyos principales responsables y beneficiarios son otras agencias públicas distintas al OE y los OSE, se estable</w:t>
      </w:r>
      <w:r w:rsidR="00F05EF0">
        <w:t xml:space="preserve"> la necesidad de contar co</w:t>
      </w:r>
      <w:r w:rsidR="00E63BFB" w:rsidRPr="00E63BFB">
        <w:t xml:space="preserve">n convenios interinstitucionales, en </w:t>
      </w:r>
      <w:r w:rsidR="00F05EF0">
        <w:t>los cuales deberán fijarse l</w:t>
      </w:r>
      <w:r w:rsidR="00E63BFB" w:rsidRPr="00E63BFB">
        <w:t>os términos de cooperación incluyendo: la preparación de TDR y las especificaciones técnicas de los bienes y servicios a ser contratados; su transferencia a las entidades beneficiarias; y las responsabilidades de cada uno de los agentes firmantes.</w:t>
      </w:r>
      <w:r w:rsidR="00E63BFB">
        <w:t xml:space="preserve">  </w:t>
      </w:r>
      <w:r w:rsidR="00F05EF0">
        <w:t>S</w:t>
      </w:r>
      <w:r w:rsidR="00CE76CC">
        <w:t xml:space="preserve">e han definido la existencia de los siguientes convenios interinstitucionales: </w:t>
      </w:r>
      <w:r w:rsidR="007A2719">
        <w:t xml:space="preserve">(i) Convenio Marco de ejecución del Programa; </w:t>
      </w:r>
      <w:r w:rsidR="00CE76CC">
        <w:t>(</w:t>
      </w:r>
      <w:r w:rsidR="007A2719">
        <w:t>ii</w:t>
      </w:r>
      <w:r w:rsidR="00CE76CC">
        <w:t xml:space="preserve">) </w:t>
      </w:r>
      <w:r w:rsidR="00EF2A1B">
        <w:t>Convenios Subsidiarios; (ii</w:t>
      </w:r>
      <w:r w:rsidR="000149B7">
        <w:t>i</w:t>
      </w:r>
      <w:r w:rsidR="00EF2A1B">
        <w:t xml:space="preserve">) Convenios </w:t>
      </w:r>
      <w:r w:rsidR="004B5BC5">
        <w:t>Interinstitucionales</w:t>
      </w:r>
      <w:r w:rsidR="00EF2A1B">
        <w:t xml:space="preserve"> de transferencia de obligaciones a</w:t>
      </w:r>
      <w:r w:rsidR="004B5BC5">
        <w:t xml:space="preserve"> co</w:t>
      </w:r>
      <w:r w:rsidR="003608E9">
        <w:t>-</w:t>
      </w:r>
      <w:r w:rsidR="00EF2A1B">
        <w:t>ejecutores; (i</w:t>
      </w:r>
      <w:r w:rsidR="000149B7">
        <w:t>v</w:t>
      </w:r>
      <w:r w:rsidR="00EF2A1B">
        <w:t xml:space="preserve">) Convenios Interinstitucionales </w:t>
      </w:r>
      <w:r w:rsidR="004B5BC5">
        <w:t>específicos de</w:t>
      </w:r>
      <w:r w:rsidR="00EF2A1B">
        <w:t xml:space="preserve"> transferencia de bienes y/o servicios a las entidades beneficiarias</w:t>
      </w:r>
      <w:r w:rsidR="001E143B">
        <w:t>; (vi) Convenios de Cooperación Interinstitucional para la ejecución de los PIRIS</w:t>
      </w:r>
      <w:r w:rsidR="004B5BC5">
        <w:t>.</w:t>
      </w:r>
    </w:p>
    <w:p w14:paraId="02E23831" w14:textId="56E68791" w:rsidR="000149B7" w:rsidRPr="000149B7" w:rsidRDefault="000149B7" w:rsidP="009B54B5">
      <w:pPr>
        <w:pStyle w:val="numeradorom"/>
        <w:numPr>
          <w:ilvl w:val="2"/>
          <w:numId w:val="32"/>
        </w:numPr>
      </w:pPr>
      <w:r w:rsidRPr="004B5BC5">
        <w:rPr>
          <w:b/>
          <w:bCs/>
          <w:u w:val="single"/>
        </w:rPr>
        <w:t>Convenio</w:t>
      </w:r>
      <w:r>
        <w:rPr>
          <w:b/>
          <w:bCs/>
          <w:u w:val="single"/>
        </w:rPr>
        <w:t xml:space="preserve"> Marco para la Ejecución del Programa</w:t>
      </w:r>
      <w:r w:rsidRPr="004B5BC5">
        <w:rPr>
          <w:b/>
          <w:bCs/>
          <w:u w:val="single"/>
        </w:rPr>
        <w:t>.</w:t>
      </w:r>
      <w:r>
        <w:t xml:space="preserve">   Como condición especial previa al primer desembolso de los recursos de cada componente, se estableció que el MEF en calidad de OE deberá suscribir con </w:t>
      </w:r>
      <w:r w:rsidR="00BC6F12">
        <w:t>los OSE (</w:t>
      </w:r>
      <w:r>
        <w:t>VPR y la SGP</w:t>
      </w:r>
      <w:r w:rsidR="00BC6F12">
        <w:t>)</w:t>
      </w:r>
      <w:r>
        <w:t xml:space="preserve"> un convenio</w:t>
      </w:r>
      <w:r w:rsidR="00BC6F12">
        <w:t xml:space="preserve"> marco para iniciar la implementación,</w:t>
      </w:r>
      <w:r>
        <w:t xml:space="preserve"> en el cual, se determin</w:t>
      </w:r>
      <w:r w:rsidR="00BC6F12">
        <w:t xml:space="preserve">arán </w:t>
      </w:r>
      <w:r>
        <w:t>las obligaciones de las partes en la ejecución del Programa y la forma en cómo se van a transferir los recursos</w:t>
      </w:r>
      <w:r w:rsidR="00303956">
        <w:rPr>
          <w:rStyle w:val="FootnoteReference"/>
        </w:rPr>
        <w:footnoteReference w:id="15"/>
      </w:r>
      <w:r>
        <w:t xml:space="preserve">. </w:t>
      </w:r>
      <w:r w:rsidR="00BA5886">
        <w:t xml:space="preserve">Para el efecto el convenio deberá tener en cuenta las obligaciones establecidas en el contrato de Préstamo y </w:t>
      </w:r>
      <w:r w:rsidR="00303956">
        <w:t xml:space="preserve">en </w:t>
      </w:r>
      <w:r w:rsidR="00BA5886">
        <w:t>el ROP.</w:t>
      </w:r>
    </w:p>
    <w:p w14:paraId="6442D48A" w14:textId="698790F0" w:rsidR="00682151" w:rsidRDefault="004B5BC5" w:rsidP="009B54B5">
      <w:pPr>
        <w:pStyle w:val="numeradorom"/>
        <w:numPr>
          <w:ilvl w:val="2"/>
          <w:numId w:val="32"/>
        </w:numPr>
      </w:pPr>
      <w:r w:rsidRPr="004B5BC5">
        <w:rPr>
          <w:b/>
          <w:bCs/>
          <w:u w:val="single"/>
        </w:rPr>
        <w:t>Convenios Subsidiarios.</w:t>
      </w:r>
      <w:r>
        <w:t xml:space="preserve">   Son los c</w:t>
      </w:r>
      <w:r w:rsidRPr="004B5BC5">
        <w:t>onvenios subsidiarios, celebrados entre el MEF y el/los ejecutor/es de</w:t>
      </w:r>
      <w:r w:rsidR="000153D4">
        <w:t xml:space="preserve">l/los </w:t>
      </w:r>
      <w:r w:rsidRPr="00682151">
        <w:rPr>
          <w:b/>
          <w:bCs/>
        </w:rPr>
        <w:t>proyecto/s de inversión</w:t>
      </w:r>
      <w:r w:rsidR="00682151">
        <w:rPr>
          <w:rStyle w:val="FootnoteReference"/>
          <w:b/>
          <w:bCs/>
        </w:rPr>
        <w:footnoteReference w:id="16"/>
      </w:r>
      <w:r w:rsidRPr="004B5BC5">
        <w:t xml:space="preserve"> asociados al Crédito EC-L1250; a fin de transferir en forma parcial o total, los derechos y obligaciones contractuales del crédito a favor de la/las entidad/es ejecutora/s del proyecto/s de inversión.</w:t>
      </w:r>
      <w:r>
        <w:t xml:space="preserve"> </w:t>
      </w:r>
      <w:r w:rsidR="00682151">
        <w:t xml:space="preserve">En el marco del Programa se espera tener los siguientes proyectos de inversión: </w:t>
      </w:r>
    </w:p>
    <w:p w14:paraId="4D46F23B" w14:textId="10635FC6" w:rsidR="0074022E" w:rsidRDefault="0074022E" w:rsidP="0074022E">
      <w:pPr>
        <w:pStyle w:val="Caption"/>
        <w:keepNext/>
        <w:spacing w:before="240"/>
      </w:pPr>
      <w:bookmarkStart w:id="53" w:name="_Ref17646617"/>
      <w:bookmarkStart w:id="54" w:name="_Toc23797278"/>
      <w:r>
        <w:lastRenderedPageBreak/>
        <w:t xml:space="preserve">Tabla </w:t>
      </w:r>
      <w:fldSimple w:instr=" SEQ Tabla \* ARABIC ">
        <w:r w:rsidR="003538B4">
          <w:rPr>
            <w:noProof/>
          </w:rPr>
          <w:t>2</w:t>
        </w:r>
      </w:fldSimple>
      <w:r>
        <w:t xml:space="preserve">. </w:t>
      </w:r>
      <w:bookmarkStart w:id="55" w:name="_Hlk22746455"/>
      <w:r>
        <w:t>Proyectos de Inversión asociados al Programa EC-L1250</w:t>
      </w:r>
      <w:bookmarkEnd w:id="53"/>
      <w:bookmarkEnd w:id="54"/>
      <w:bookmarkEnd w:id="55"/>
    </w:p>
    <w:tbl>
      <w:tblPr>
        <w:tblW w:w="4936" w:type="pct"/>
        <w:tblLayout w:type="fixed"/>
        <w:tblLook w:val="04A0" w:firstRow="1" w:lastRow="0" w:firstColumn="1" w:lastColumn="0" w:noHBand="0" w:noVBand="1"/>
      </w:tblPr>
      <w:tblGrid>
        <w:gridCol w:w="3394"/>
        <w:gridCol w:w="1421"/>
        <w:gridCol w:w="1276"/>
        <w:gridCol w:w="2853"/>
      </w:tblGrid>
      <w:tr w:rsidR="00AA2D80" w:rsidRPr="009D280D" w14:paraId="73366676" w14:textId="74FA80C5" w:rsidTr="008B2056">
        <w:trPr>
          <w:tblHeader/>
        </w:trPr>
        <w:tc>
          <w:tcPr>
            <w:tcW w:w="189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6E1DA4" w14:textId="16DF1DCD" w:rsidR="00DC3A3B" w:rsidRPr="009D280D" w:rsidRDefault="00DC3A3B" w:rsidP="00DC3A3B">
            <w:pPr>
              <w:spacing w:before="40" w:after="40"/>
              <w:jc w:val="center"/>
              <w:rPr>
                <w:rFonts w:ascii="Arial Narrow" w:hAnsi="Arial Narrow"/>
                <w:b/>
                <w:sz w:val="20"/>
                <w:szCs w:val="20"/>
                <w:u w:val="single"/>
              </w:rPr>
            </w:pPr>
            <w:r w:rsidRPr="009D280D">
              <w:rPr>
                <w:rFonts w:ascii="Arial Narrow" w:hAnsi="Arial Narrow"/>
                <w:b/>
                <w:sz w:val="20"/>
                <w:szCs w:val="20"/>
                <w:u w:val="single"/>
              </w:rPr>
              <w:t>Proyecto de Inversión</w:t>
            </w:r>
            <w:r>
              <w:rPr>
                <w:rFonts w:ascii="Arial Narrow" w:hAnsi="Arial Narrow"/>
                <w:b/>
                <w:sz w:val="20"/>
                <w:szCs w:val="20"/>
                <w:u w:val="single"/>
              </w:rPr>
              <w:t xml:space="preserve"> /</w:t>
            </w:r>
            <w:r w:rsidR="00F272D5">
              <w:rPr>
                <w:rFonts w:ascii="Arial Narrow" w:hAnsi="Arial Narrow"/>
                <w:b/>
                <w:sz w:val="20"/>
                <w:szCs w:val="20"/>
                <w:u w:val="single"/>
              </w:rPr>
              <w:t xml:space="preserve"> </w:t>
            </w:r>
            <w:r>
              <w:rPr>
                <w:rFonts w:ascii="Arial Narrow" w:hAnsi="Arial Narrow"/>
                <w:b/>
                <w:sz w:val="20"/>
                <w:szCs w:val="20"/>
                <w:u w:val="single"/>
              </w:rPr>
              <w:t>CUP</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E78A6F" w14:textId="2943EFA6" w:rsidR="00DC3A3B" w:rsidRPr="009D280D" w:rsidRDefault="00DC3A3B" w:rsidP="00DC3A3B">
            <w:pPr>
              <w:spacing w:before="40" w:after="40"/>
              <w:jc w:val="center"/>
              <w:rPr>
                <w:rFonts w:ascii="Arial Narrow" w:hAnsi="Arial Narrow"/>
                <w:b/>
                <w:sz w:val="20"/>
                <w:szCs w:val="20"/>
                <w:u w:val="single"/>
              </w:rPr>
            </w:pPr>
            <w:r w:rsidRPr="009D280D">
              <w:rPr>
                <w:rFonts w:ascii="Arial Narrow" w:hAnsi="Arial Narrow"/>
                <w:b/>
                <w:sz w:val="20"/>
                <w:szCs w:val="20"/>
                <w:u w:val="single"/>
              </w:rPr>
              <w:t xml:space="preserve">Entidad ejecutora del CUP </w:t>
            </w:r>
          </w:p>
        </w:tc>
        <w:tc>
          <w:tcPr>
            <w:tcW w:w="71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8206F" w14:textId="77777777" w:rsidR="00DC3A3B" w:rsidRDefault="00DC3A3B" w:rsidP="00DC3A3B">
            <w:pPr>
              <w:spacing w:before="40" w:after="40"/>
              <w:jc w:val="center"/>
              <w:rPr>
                <w:rFonts w:ascii="Arial Narrow" w:hAnsi="Arial Narrow"/>
                <w:b/>
                <w:sz w:val="20"/>
                <w:szCs w:val="20"/>
                <w:u w:val="single"/>
              </w:rPr>
            </w:pPr>
            <w:r w:rsidRPr="009D280D">
              <w:rPr>
                <w:rFonts w:ascii="Arial Narrow" w:hAnsi="Arial Narrow"/>
                <w:b/>
                <w:sz w:val="20"/>
                <w:szCs w:val="20"/>
                <w:u w:val="single"/>
              </w:rPr>
              <w:t>Componente</w:t>
            </w:r>
            <w:r>
              <w:rPr>
                <w:rFonts w:ascii="Arial Narrow" w:hAnsi="Arial Narrow"/>
                <w:b/>
                <w:sz w:val="20"/>
                <w:szCs w:val="20"/>
                <w:u w:val="single"/>
              </w:rPr>
              <w:t xml:space="preserve"> </w:t>
            </w:r>
            <w:r w:rsidRPr="009D280D">
              <w:rPr>
                <w:rFonts w:ascii="Arial Narrow" w:hAnsi="Arial Narrow"/>
                <w:b/>
                <w:sz w:val="20"/>
                <w:szCs w:val="20"/>
                <w:u w:val="single"/>
              </w:rPr>
              <w:t>/ Producto</w:t>
            </w:r>
            <w:r>
              <w:rPr>
                <w:rFonts w:ascii="Arial Narrow" w:hAnsi="Arial Narrow"/>
                <w:b/>
                <w:sz w:val="20"/>
                <w:szCs w:val="20"/>
                <w:u w:val="single"/>
              </w:rPr>
              <w:t xml:space="preserve">  </w:t>
            </w:r>
          </w:p>
          <w:p w14:paraId="4B340105" w14:textId="2B60EF35" w:rsidR="00DC3A3B" w:rsidRPr="009D280D" w:rsidRDefault="00DC3A3B" w:rsidP="00DC3A3B">
            <w:pPr>
              <w:spacing w:before="40" w:after="40"/>
              <w:jc w:val="center"/>
              <w:rPr>
                <w:rFonts w:ascii="Arial Narrow" w:hAnsi="Arial Narrow"/>
                <w:b/>
                <w:sz w:val="20"/>
                <w:szCs w:val="20"/>
                <w:u w:val="single"/>
              </w:rPr>
            </w:pPr>
            <w:r>
              <w:rPr>
                <w:rFonts w:ascii="Arial Narrow" w:hAnsi="Arial Narrow"/>
                <w:b/>
                <w:sz w:val="20"/>
                <w:szCs w:val="20"/>
                <w:u w:val="single"/>
              </w:rPr>
              <w:t xml:space="preserve"> EC-L1250</w:t>
            </w:r>
          </w:p>
        </w:tc>
        <w:tc>
          <w:tcPr>
            <w:tcW w:w="159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2AF6E5" w14:textId="0C958BEE" w:rsidR="00DC3A3B" w:rsidRPr="009D280D" w:rsidRDefault="00DC3A3B" w:rsidP="00DC3A3B">
            <w:pPr>
              <w:spacing w:before="40" w:after="40"/>
              <w:jc w:val="center"/>
              <w:rPr>
                <w:rFonts w:ascii="Arial Narrow" w:hAnsi="Arial Narrow"/>
                <w:b/>
                <w:sz w:val="20"/>
                <w:szCs w:val="20"/>
                <w:u w:val="single"/>
              </w:rPr>
            </w:pPr>
            <w:r>
              <w:rPr>
                <w:rFonts w:ascii="Arial Narrow" w:hAnsi="Arial Narrow"/>
                <w:b/>
                <w:sz w:val="20"/>
                <w:szCs w:val="20"/>
                <w:u w:val="single"/>
              </w:rPr>
              <w:t>Observaciones</w:t>
            </w:r>
          </w:p>
        </w:tc>
      </w:tr>
      <w:tr w:rsidR="00AA2D80" w:rsidRPr="009D280D" w14:paraId="57168163" w14:textId="104E9206" w:rsidTr="008B2056">
        <w:tc>
          <w:tcPr>
            <w:tcW w:w="1897" w:type="pct"/>
            <w:vMerge w:val="restart"/>
            <w:tcBorders>
              <w:top w:val="single" w:sz="4" w:space="0" w:color="auto"/>
              <w:left w:val="single" w:sz="4" w:space="0" w:color="auto"/>
              <w:right w:val="single" w:sz="4" w:space="0" w:color="auto"/>
            </w:tcBorders>
            <w:shd w:val="clear" w:color="auto" w:fill="auto"/>
            <w:vAlign w:val="center"/>
          </w:tcPr>
          <w:p w14:paraId="3B3078ED" w14:textId="52F409E7" w:rsidR="00DC3A3B" w:rsidRPr="009D280D" w:rsidRDefault="00DC3A3B" w:rsidP="00DC3A3B">
            <w:pPr>
              <w:spacing w:before="40" w:after="40"/>
              <w:jc w:val="left"/>
              <w:rPr>
                <w:rFonts w:ascii="Arial Narrow" w:hAnsi="Arial Narrow"/>
                <w:bCs/>
                <w:sz w:val="20"/>
                <w:szCs w:val="20"/>
              </w:rPr>
            </w:pPr>
            <w:r>
              <w:rPr>
                <w:rFonts w:ascii="Arial Narrow" w:hAnsi="Arial Narrow"/>
                <w:bCs/>
                <w:sz w:val="20"/>
                <w:szCs w:val="20"/>
              </w:rPr>
              <w:t>“Proyecto de Fortalecimiento Institucional para la Competitividad”</w:t>
            </w:r>
            <w:r>
              <w:rPr>
                <w:rStyle w:val="FootnoteReference"/>
                <w:rFonts w:ascii="Arial Narrow" w:hAnsi="Arial Narrow"/>
                <w:bCs/>
                <w:sz w:val="20"/>
                <w:szCs w:val="20"/>
              </w:rPr>
              <w:footnoteReference w:id="17"/>
            </w:r>
            <w:r>
              <w:rPr>
                <w:rFonts w:ascii="Arial Narrow" w:hAnsi="Arial Narrow"/>
                <w:bCs/>
                <w:sz w:val="20"/>
                <w:szCs w:val="20"/>
              </w:rPr>
              <w:t>/CUP por definir</w:t>
            </w:r>
          </w:p>
        </w:tc>
        <w:tc>
          <w:tcPr>
            <w:tcW w:w="794" w:type="pct"/>
            <w:vMerge w:val="restart"/>
            <w:tcBorders>
              <w:top w:val="single" w:sz="4" w:space="0" w:color="auto"/>
              <w:left w:val="single" w:sz="4" w:space="0" w:color="auto"/>
              <w:right w:val="single" w:sz="4" w:space="0" w:color="auto"/>
            </w:tcBorders>
            <w:shd w:val="clear" w:color="auto" w:fill="auto"/>
            <w:vAlign w:val="center"/>
          </w:tcPr>
          <w:p w14:paraId="1D3F9138" w14:textId="67E7B1B9" w:rsidR="00DC3A3B" w:rsidRPr="009D280D" w:rsidRDefault="00FC705D" w:rsidP="00DC3A3B">
            <w:pPr>
              <w:spacing w:before="40" w:after="40"/>
              <w:jc w:val="center"/>
              <w:rPr>
                <w:rFonts w:ascii="Arial Narrow" w:hAnsi="Arial Narrow"/>
                <w:sz w:val="20"/>
                <w:szCs w:val="20"/>
              </w:rPr>
            </w:pPr>
            <w:r>
              <w:rPr>
                <w:rFonts w:ascii="Arial Narrow" w:hAnsi="Arial Narrow"/>
                <w:sz w:val="20"/>
                <w:szCs w:val="20"/>
              </w:rPr>
              <w:t>V</w:t>
            </w:r>
            <w:r w:rsidR="00084E0E">
              <w:rPr>
                <w:rFonts w:ascii="Arial Narrow" w:hAnsi="Arial Narrow"/>
                <w:sz w:val="20"/>
                <w:szCs w:val="20"/>
              </w:rPr>
              <w:t>PR</w:t>
            </w:r>
            <w:r w:rsidR="00DC3A3B">
              <w:rPr>
                <w:rStyle w:val="FootnoteReference"/>
                <w:rFonts w:ascii="Arial Narrow" w:hAnsi="Arial Narrow"/>
                <w:sz w:val="20"/>
                <w:szCs w:val="20"/>
              </w:rPr>
              <w:footnoteReference w:id="18"/>
            </w:r>
          </w:p>
        </w:tc>
        <w:tc>
          <w:tcPr>
            <w:tcW w:w="713" w:type="pct"/>
            <w:tcBorders>
              <w:top w:val="single" w:sz="4" w:space="0" w:color="auto"/>
              <w:left w:val="single" w:sz="4" w:space="0" w:color="auto"/>
              <w:right w:val="single" w:sz="4" w:space="0" w:color="auto"/>
            </w:tcBorders>
            <w:vAlign w:val="center"/>
          </w:tcPr>
          <w:p w14:paraId="228106AA" w14:textId="5D3FED3C" w:rsidR="00DC3A3B" w:rsidRDefault="00DC3A3B" w:rsidP="00DC3A3B">
            <w:pPr>
              <w:spacing w:before="40" w:after="40"/>
              <w:jc w:val="center"/>
              <w:rPr>
                <w:rFonts w:ascii="Arial Narrow" w:hAnsi="Arial Narrow"/>
                <w:sz w:val="20"/>
                <w:szCs w:val="20"/>
              </w:rPr>
            </w:pPr>
            <w:r>
              <w:rPr>
                <w:rFonts w:ascii="Arial Narrow" w:hAnsi="Arial Narrow"/>
                <w:bCs/>
                <w:sz w:val="20"/>
                <w:szCs w:val="20"/>
              </w:rPr>
              <w:t>1.</w:t>
            </w:r>
          </w:p>
        </w:tc>
        <w:tc>
          <w:tcPr>
            <w:tcW w:w="1595" w:type="pct"/>
            <w:tcBorders>
              <w:top w:val="single" w:sz="4" w:space="0" w:color="auto"/>
              <w:left w:val="single" w:sz="4" w:space="0" w:color="auto"/>
              <w:right w:val="single" w:sz="4" w:space="0" w:color="auto"/>
            </w:tcBorders>
          </w:tcPr>
          <w:p w14:paraId="3144BA0F" w14:textId="5A95603E" w:rsidR="00DC3A3B" w:rsidRDefault="00DC3A3B" w:rsidP="00DC3A3B">
            <w:pPr>
              <w:spacing w:before="40" w:after="40"/>
              <w:jc w:val="center"/>
              <w:rPr>
                <w:rFonts w:ascii="Arial Narrow" w:hAnsi="Arial Narrow"/>
                <w:bCs/>
                <w:sz w:val="20"/>
                <w:szCs w:val="20"/>
              </w:rPr>
            </w:pPr>
          </w:p>
        </w:tc>
      </w:tr>
      <w:tr w:rsidR="00AA2D80" w:rsidRPr="009D280D" w14:paraId="661F53D7" w14:textId="34A2AF09" w:rsidTr="008B2056">
        <w:tc>
          <w:tcPr>
            <w:tcW w:w="1897" w:type="pct"/>
            <w:vMerge/>
            <w:tcBorders>
              <w:left w:val="single" w:sz="4" w:space="0" w:color="auto"/>
              <w:right w:val="single" w:sz="4" w:space="0" w:color="auto"/>
            </w:tcBorders>
            <w:shd w:val="clear" w:color="auto" w:fill="auto"/>
            <w:vAlign w:val="center"/>
          </w:tcPr>
          <w:p w14:paraId="26438117" w14:textId="4AA1C449" w:rsidR="00DC3A3B" w:rsidRDefault="00DC3A3B" w:rsidP="00DC3A3B">
            <w:pPr>
              <w:spacing w:before="40" w:after="40"/>
              <w:jc w:val="left"/>
              <w:rPr>
                <w:rFonts w:ascii="Arial Narrow" w:hAnsi="Arial Narrow"/>
                <w:bCs/>
                <w:sz w:val="20"/>
                <w:szCs w:val="20"/>
              </w:rPr>
            </w:pPr>
          </w:p>
        </w:tc>
        <w:tc>
          <w:tcPr>
            <w:tcW w:w="794" w:type="pct"/>
            <w:vMerge/>
            <w:tcBorders>
              <w:left w:val="single" w:sz="4" w:space="0" w:color="auto"/>
              <w:right w:val="single" w:sz="4" w:space="0" w:color="auto"/>
            </w:tcBorders>
            <w:shd w:val="clear" w:color="auto" w:fill="auto"/>
            <w:vAlign w:val="center"/>
          </w:tcPr>
          <w:p w14:paraId="78FB920F" w14:textId="34A942D8" w:rsidR="00DC3A3B" w:rsidRDefault="00DC3A3B" w:rsidP="00DC3A3B">
            <w:pPr>
              <w:spacing w:before="40" w:after="40"/>
              <w:jc w:val="center"/>
              <w:rPr>
                <w:rFonts w:ascii="Arial Narrow" w:hAnsi="Arial Narrow"/>
                <w:sz w:val="20"/>
                <w:szCs w:val="20"/>
              </w:rPr>
            </w:pPr>
          </w:p>
        </w:tc>
        <w:tc>
          <w:tcPr>
            <w:tcW w:w="713" w:type="pct"/>
            <w:tcBorders>
              <w:left w:val="single" w:sz="4" w:space="0" w:color="auto"/>
              <w:right w:val="single" w:sz="4" w:space="0" w:color="auto"/>
            </w:tcBorders>
            <w:vAlign w:val="center"/>
          </w:tcPr>
          <w:p w14:paraId="76DC2D44" w14:textId="787CFAE6" w:rsidR="00DC3A3B" w:rsidRDefault="00DC3A3B" w:rsidP="00DC3A3B">
            <w:pPr>
              <w:spacing w:before="40" w:after="40"/>
              <w:jc w:val="center"/>
              <w:rPr>
                <w:rFonts w:ascii="Arial Narrow" w:hAnsi="Arial Narrow"/>
                <w:sz w:val="20"/>
                <w:szCs w:val="20"/>
              </w:rPr>
            </w:pPr>
            <w:r>
              <w:rPr>
                <w:rFonts w:ascii="Arial Narrow" w:hAnsi="Arial Narrow"/>
                <w:bCs/>
                <w:sz w:val="20"/>
                <w:szCs w:val="20"/>
              </w:rPr>
              <w:t>2.</w:t>
            </w:r>
          </w:p>
        </w:tc>
        <w:tc>
          <w:tcPr>
            <w:tcW w:w="1595" w:type="pct"/>
            <w:tcBorders>
              <w:left w:val="single" w:sz="4" w:space="0" w:color="auto"/>
              <w:right w:val="single" w:sz="4" w:space="0" w:color="auto"/>
            </w:tcBorders>
          </w:tcPr>
          <w:p w14:paraId="6021C116" w14:textId="2F9A1BD1" w:rsidR="00DC3A3B" w:rsidRDefault="00DC3A3B" w:rsidP="00DC3A3B">
            <w:pPr>
              <w:spacing w:before="40" w:after="40"/>
              <w:jc w:val="center"/>
              <w:rPr>
                <w:rFonts w:ascii="Arial Narrow" w:hAnsi="Arial Narrow"/>
                <w:bCs/>
                <w:sz w:val="20"/>
                <w:szCs w:val="20"/>
              </w:rPr>
            </w:pPr>
          </w:p>
        </w:tc>
      </w:tr>
      <w:tr w:rsidR="00AA2D80" w:rsidRPr="009D280D" w14:paraId="7CB47870" w14:textId="55B6FC90" w:rsidTr="008B2056">
        <w:tc>
          <w:tcPr>
            <w:tcW w:w="1897" w:type="pct"/>
            <w:vMerge/>
            <w:tcBorders>
              <w:left w:val="single" w:sz="4" w:space="0" w:color="auto"/>
              <w:right w:val="single" w:sz="4" w:space="0" w:color="auto"/>
            </w:tcBorders>
            <w:shd w:val="clear" w:color="auto" w:fill="auto"/>
            <w:vAlign w:val="center"/>
          </w:tcPr>
          <w:p w14:paraId="04D19CA8" w14:textId="77777777" w:rsidR="00AA2D80" w:rsidRDefault="00AA2D80" w:rsidP="00AA2D80">
            <w:pPr>
              <w:spacing w:before="40" w:after="40"/>
              <w:jc w:val="left"/>
              <w:rPr>
                <w:rFonts w:ascii="Arial Narrow" w:hAnsi="Arial Narrow"/>
                <w:bCs/>
                <w:sz w:val="20"/>
                <w:szCs w:val="20"/>
              </w:rPr>
            </w:pPr>
          </w:p>
        </w:tc>
        <w:tc>
          <w:tcPr>
            <w:tcW w:w="794" w:type="pct"/>
            <w:vMerge/>
            <w:tcBorders>
              <w:left w:val="single" w:sz="4" w:space="0" w:color="auto"/>
              <w:right w:val="single" w:sz="4" w:space="0" w:color="auto"/>
            </w:tcBorders>
            <w:shd w:val="clear" w:color="auto" w:fill="auto"/>
            <w:vAlign w:val="center"/>
          </w:tcPr>
          <w:p w14:paraId="03BCCA95" w14:textId="77777777" w:rsidR="00AA2D80" w:rsidRDefault="00AA2D80" w:rsidP="00AA2D80">
            <w:pPr>
              <w:spacing w:before="40" w:after="40"/>
              <w:jc w:val="center"/>
              <w:rPr>
                <w:rFonts w:ascii="Arial Narrow" w:hAnsi="Arial Narrow"/>
                <w:sz w:val="20"/>
                <w:szCs w:val="20"/>
              </w:rPr>
            </w:pPr>
          </w:p>
        </w:tc>
        <w:tc>
          <w:tcPr>
            <w:tcW w:w="713" w:type="pct"/>
            <w:tcBorders>
              <w:left w:val="single" w:sz="4" w:space="0" w:color="auto"/>
              <w:right w:val="single" w:sz="4" w:space="0" w:color="auto"/>
            </w:tcBorders>
            <w:vAlign w:val="center"/>
          </w:tcPr>
          <w:p w14:paraId="4EDDF1C2" w14:textId="69E17EF3" w:rsidR="00AA2D80" w:rsidRDefault="00AA2D80" w:rsidP="00AA2D80">
            <w:pPr>
              <w:spacing w:before="40" w:after="40"/>
              <w:jc w:val="center"/>
              <w:rPr>
                <w:rFonts w:ascii="Arial Narrow" w:hAnsi="Arial Narrow"/>
                <w:sz w:val="20"/>
                <w:szCs w:val="20"/>
              </w:rPr>
            </w:pPr>
            <w:r>
              <w:rPr>
                <w:rFonts w:ascii="Arial Narrow" w:hAnsi="Arial Narrow"/>
                <w:bCs/>
                <w:sz w:val="20"/>
                <w:szCs w:val="20"/>
              </w:rPr>
              <w:t>4.</w:t>
            </w:r>
          </w:p>
        </w:tc>
        <w:tc>
          <w:tcPr>
            <w:tcW w:w="1595" w:type="pct"/>
            <w:tcBorders>
              <w:left w:val="single" w:sz="4" w:space="0" w:color="auto"/>
              <w:right w:val="single" w:sz="4" w:space="0" w:color="auto"/>
            </w:tcBorders>
          </w:tcPr>
          <w:p w14:paraId="6803F1D5" w14:textId="2659B584" w:rsidR="00AA2D80" w:rsidRDefault="008B2056" w:rsidP="00AA2D80">
            <w:pPr>
              <w:spacing w:before="40" w:after="40"/>
              <w:jc w:val="center"/>
              <w:rPr>
                <w:rFonts w:ascii="Arial Narrow" w:hAnsi="Arial Narrow"/>
                <w:bCs/>
                <w:sz w:val="20"/>
                <w:szCs w:val="20"/>
              </w:rPr>
            </w:pPr>
            <w:r>
              <w:rPr>
                <w:rFonts w:ascii="Arial Narrow" w:hAnsi="Arial Narrow"/>
                <w:bCs/>
                <w:sz w:val="20"/>
                <w:szCs w:val="20"/>
              </w:rPr>
              <w:t>Todas las actividades, exc</w:t>
            </w:r>
            <w:r w:rsidR="00AA2D80">
              <w:rPr>
                <w:rFonts w:ascii="Arial Narrow" w:hAnsi="Arial Narrow"/>
                <w:bCs/>
                <w:sz w:val="20"/>
                <w:szCs w:val="20"/>
              </w:rPr>
              <w:t>ept</w:t>
            </w:r>
            <w:r>
              <w:rPr>
                <w:rFonts w:ascii="Arial Narrow" w:hAnsi="Arial Narrow"/>
                <w:bCs/>
                <w:sz w:val="20"/>
                <w:szCs w:val="20"/>
              </w:rPr>
              <w:t xml:space="preserve">uando las </w:t>
            </w:r>
            <w:r w:rsidR="00AA2D80">
              <w:rPr>
                <w:rFonts w:ascii="Arial Narrow" w:hAnsi="Arial Narrow"/>
                <w:bCs/>
                <w:sz w:val="20"/>
                <w:szCs w:val="20"/>
              </w:rPr>
              <w:t>actividades señaladas en otro CUP</w:t>
            </w:r>
          </w:p>
        </w:tc>
      </w:tr>
      <w:tr w:rsidR="00AA2D80" w:rsidRPr="009D280D" w14:paraId="6A6D3CB2" w14:textId="7A616A31" w:rsidTr="008B2056">
        <w:tc>
          <w:tcPr>
            <w:tcW w:w="1897" w:type="pct"/>
            <w:vMerge/>
            <w:tcBorders>
              <w:left w:val="single" w:sz="4" w:space="0" w:color="auto"/>
              <w:bottom w:val="single" w:sz="4" w:space="0" w:color="auto"/>
              <w:right w:val="single" w:sz="4" w:space="0" w:color="auto"/>
            </w:tcBorders>
            <w:shd w:val="clear" w:color="auto" w:fill="auto"/>
            <w:vAlign w:val="center"/>
          </w:tcPr>
          <w:p w14:paraId="61D8D530" w14:textId="77777777" w:rsidR="00DC3A3B" w:rsidRDefault="00DC3A3B" w:rsidP="00DC3A3B">
            <w:pPr>
              <w:spacing w:before="40" w:after="40"/>
              <w:jc w:val="left"/>
              <w:rPr>
                <w:rFonts w:ascii="Arial Narrow" w:hAnsi="Arial Narrow"/>
                <w:bCs/>
                <w:sz w:val="20"/>
                <w:szCs w:val="20"/>
              </w:rPr>
            </w:pPr>
          </w:p>
        </w:tc>
        <w:tc>
          <w:tcPr>
            <w:tcW w:w="794" w:type="pct"/>
            <w:vMerge/>
            <w:tcBorders>
              <w:left w:val="single" w:sz="4" w:space="0" w:color="auto"/>
              <w:bottom w:val="single" w:sz="4" w:space="0" w:color="auto"/>
              <w:right w:val="single" w:sz="4" w:space="0" w:color="auto"/>
            </w:tcBorders>
            <w:shd w:val="clear" w:color="auto" w:fill="auto"/>
            <w:vAlign w:val="center"/>
          </w:tcPr>
          <w:p w14:paraId="4281036D" w14:textId="77777777" w:rsidR="00DC3A3B" w:rsidRDefault="00DC3A3B" w:rsidP="00DC3A3B">
            <w:pPr>
              <w:spacing w:before="40" w:after="40"/>
              <w:jc w:val="center"/>
              <w:rPr>
                <w:rFonts w:ascii="Arial Narrow" w:hAnsi="Arial Narrow"/>
                <w:sz w:val="20"/>
                <w:szCs w:val="20"/>
              </w:rPr>
            </w:pPr>
          </w:p>
        </w:tc>
        <w:tc>
          <w:tcPr>
            <w:tcW w:w="713" w:type="pct"/>
            <w:tcBorders>
              <w:left w:val="single" w:sz="4" w:space="0" w:color="auto"/>
              <w:bottom w:val="single" w:sz="4" w:space="0" w:color="auto"/>
              <w:right w:val="single" w:sz="4" w:space="0" w:color="auto"/>
            </w:tcBorders>
            <w:vAlign w:val="center"/>
          </w:tcPr>
          <w:p w14:paraId="4BEF030A" w14:textId="0AD01283" w:rsidR="00DC3A3B" w:rsidRDefault="00DC3A3B" w:rsidP="00DC3A3B">
            <w:pPr>
              <w:spacing w:before="40" w:after="40"/>
              <w:jc w:val="center"/>
              <w:rPr>
                <w:rFonts w:ascii="Arial Narrow" w:hAnsi="Arial Narrow"/>
                <w:sz w:val="20"/>
                <w:szCs w:val="20"/>
              </w:rPr>
            </w:pPr>
            <w:r>
              <w:rPr>
                <w:rFonts w:ascii="Arial Narrow" w:hAnsi="Arial Narrow"/>
                <w:bCs/>
                <w:sz w:val="20"/>
                <w:szCs w:val="20"/>
              </w:rPr>
              <w:t>5.</w:t>
            </w:r>
          </w:p>
        </w:tc>
        <w:tc>
          <w:tcPr>
            <w:tcW w:w="1595" w:type="pct"/>
            <w:tcBorders>
              <w:left w:val="single" w:sz="4" w:space="0" w:color="auto"/>
              <w:bottom w:val="single" w:sz="4" w:space="0" w:color="auto"/>
              <w:right w:val="single" w:sz="4" w:space="0" w:color="auto"/>
            </w:tcBorders>
          </w:tcPr>
          <w:p w14:paraId="0633D6A3" w14:textId="4629ECFA" w:rsidR="00DC3A3B" w:rsidRDefault="00DC3A3B" w:rsidP="00DC3A3B">
            <w:pPr>
              <w:spacing w:before="40" w:after="40"/>
              <w:jc w:val="center"/>
              <w:rPr>
                <w:rFonts w:ascii="Arial Narrow" w:hAnsi="Arial Narrow"/>
                <w:bCs/>
                <w:sz w:val="20"/>
                <w:szCs w:val="20"/>
              </w:rPr>
            </w:pPr>
          </w:p>
        </w:tc>
      </w:tr>
      <w:tr w:rsidR="00AA2D80" w:rsidRPr="009D280D" w14:paraId="28FBEC67" w14:textId="0DBDD002" w:rsidTr="008B2056">
        <w:tc>
          <w:tcPr>
            <w:tcW w:w="1897" w:type="pct"/>
            <w:tcBorders>
              <w:top w:val="single" w:sz="4" w:space="0" w:color="auto"/>
              <w:left w:val="single" w:sz="4" w:space="0" w:color="auto"/>
              <w:bottom w:val="single" w:sz="4" w:space="0" w:color="auto"/>
              <w:right w:val="single" w:sz="4" w:space="0" w:color="auto"/>
            </w:tcBorders>
            <w:shd w:val="clear" w:color="auto" w:fill="auto"/>
            <w:vAlign w:val="center"/>
          </w:tcPr>
          <w:p w14:paraId="0CF4C276" w14:textId="6B780FA1" w:rsidR="00DC3A3B" w:rsidRDefault="00DC3A3B" w:rsidP="00DC3A3B">
            <w:pPr>
              <w:spacing w:before="40" w:after="40"/>
              <w:jc w:val="left"/>
              <w:rPr>
                <w:rFonts w:ascii="Arial Narrow" w:hAnsi="Arial Narrow"/>
                <w:bCs/>
                <w:sz w:val="20"/>
                <w:szCs w:val="20"/>
              </w:rPr>
            </w:pPr>
            <w:bookmarkStart w:id="56" w:name="_Hlk22811847"/>
            <w:r w:rsidRPr="001060E7">
              <w:rPr>
                <w:rFonts w:ascii="Arial Narrow" w:hAnsi="Arial Narrow"/>
                <w:bCs/>
                <w:sz w:val="20"/>
                <w:szCs w:val="20"/>
              </w:rPr>
              <w:t>Provisión de servicios electrónicos para trámites en línea</w:t>
            </w:r>
            <w:r>
              <w:rPr>
                <w:rFonts w:ascii="Arial Narrow" w:hAnsi="Arial Narrow"/>
                <w:bCs/>
                <w:sz w:val="20"/>
                <w:szCs w:val="20"/>
              </w:rPr>
              <w:t xml:space="preserve"> / CUP </w:t>
            </w:r>
            <w:r w:rsidRPr="001060E7">
              <w:rPr>
                <w:rFonts w:ascii="Arial Narrow" w:hAnsi="Arial Narrow"/>
                <w:bCs/>
                <w:sz w:val="20"/>
                <w:szCs w:val="20"/>
              </w:rPr>
              <w:t>175400000.0000.384656</w:t>
            </w:r>
            <w:bookmarkEnd w:id="56"/>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139A7EB7" w14:textId="39A81DD4" w:rsidR="00DC3A3B" w:rsidRDefault="00DC3A3B" w:rsidP="00DC3A3B">
            <w:pPr>
              <w:spacing w:before="40" w:after="40"/>
              <w:jc w:val="center"/>
              <w:rPr>
                <w:rFonts w:ascii="Arial Narrow" w:hAnsi="Arial Narrow"/>
                <w:sz w:val="20"/>
                <w:szCs w:val="20"/>
              </w:rPr>
            </w:pPr>
            <w:r>
              <w:rPr>
                <w:rFonts w:ascii="Arial Narrow" w:hAnsi="Arial Narrow"/>
                <w:sz w:val="20"/>
                <w:szCs w:val="20"/>
              </w:rPr>
              <w:t>MINTEL</w:t>
            </w:r>
          </w:p>
        </w:tc>
        <w:tc>
          <w:tcPr>
            <w:tcW w:w="713" w:type="pct"/>
            <w:tcBorders>
              <w:top w:val="single" w:sz="4" w:space="0" w:color="auto"/>
              <w:left w:val="single" w:sz="4" w:space="0" w:color="auto"/>
              <w:bottom w:val="single" w:sz="4" w:space="0" w:color="auto"/>
              <w:right w:val="single" w:sz="4" w:space="0" w:color="auto"/>
            </w:tcBorders>
            <w:vAlign w:val="center"/>
          </w:tcPr>
          <w:p w14:paraId="64907F6A" w14:textId="0802B599" w:rsidR="00DC3A3B" w:rsidRDefault="00DC3A3B" w:rsidP="00DC3A3B">
            <w:pPr>
              <w:spacing w:before="40" w:after="40"/>
              <w:jc w:val="center"/>
              <w:rPr>
                <w:rFonts w:ascii="Arial Narrow" w:hAnsi="Arial Narrow"/>
                <w:sz w:val="20"/>
                <w:szCs w:val="20"/>
              </w:rPr>
            </w:pPr>
            <w:r>
              <w:rPr>
                <w:rFonts w:ascii="Arial Narrow" w:hAnsi="Arial Narrow"/>
                <w:sz w:val="20"/>
                <w:szCs w:val="20"/>
              </w:rPr>
              <w:t>4.1</w:t>
            </w:r>
          </w:p>
        </w:tc>
        <w:tc>
          <w:tcPr>
            <w:tcW w:w="1595" w:type="pct"/>
            <w:tcBorders>
              <w:top w:val="single" w:sz="4" w:space="0" w:color="auto"/>
              <w:left w:val="single" w:sz="4" w:space="0" w:color="auto"/>
              <w:bottom w:val="single" w:sz="4" w:space="0" w:color="auto"/>
              <w:right w:val="single" w:sz="4" w:space="0" w:color="auto"/>
            </w:tcBorders>
            <w:vAlign w:val="center"/>
          </w:tcPr>
          <w:p w14:paraId="45E19752" w14:textId="701C2942" w:rsidR="00DC3A3B" w:rsidRDefault="00DC3A3B" w:rsidP="00DC3A3B">
            <w:pPr>
              <w:spacing w:before="40" w:after="40"/>
              <w:jc w:val="center"/>
              <w:rPr>
                <w:rFonts w:ascii="Arial Narrow" w:hAnsi="Arial Narrow"/>
                <w:sz w:val="20"/>
                <w:szCs w:val="20"/>
              </w:rPr>
            </w:pPr>
            <w:r>
              <w:rPr>
                <w:rFonts w:ascii="Arial Narrow" w:hAnsi="Arial Narrow"/>
                <w:sz w:val="20"/>
                <w:szCs w:val="20"/>
              </w:rPr>
              <w:t>Todas las actividades</w:t>
            </w:r>
            <w:r w:rsidR="00545562">
              <w:rPr>
                <w:rFonts w:ascii="Arial Narrow" w:hAnsi="Arial Narrow"/>
                <w:sz w:val="20"/>
                <w:szCs w:val="20"/>
              </w:rPr>
              <w:t xml:space="preserve"> del Producto Fortalecimiento de la Plataforma Ruter</w:t>
            </w:r>
          </w:p>
        </w:tc>
      </w:tr>
      <w:tr w:rsidR="00991C24" w:rsidRPr="009D280D" w14:paraId="594DC2AA" w14:textId="77777777" w:rsidTr="006932DF">
        <w:tc>
          <w:tcPr>
            <w:tcW w:w="1897" w:type="pct"/>
            <w:tcBorders>
              <w:top w:val="single" w:sz="4" w:space="0" w:color="auto"/>
              <w:left w:val="single" w:sz="4" w:space="0" w:color="auto"/>
              <w:bottom w:val="single" w:sz="4" w:space="0" w:color="auto"/>
              <w:right w:val="single" w:sz="4" w:space="0" w:color="auto"/>
            </w:tcBorders>
            <w:shd w:val="clear" w:color="auto" w:fill="auto"/>
            <w:vAlign w:val="center"/>
          </w:tcPr>
          <w:p w14:paraId="5BC1BC36" w14:textId="77777777" w:rsidR="00991C24" w:rsidRPr="00494952" w:rsidRDefault="00991C24" w:rsidP="006932DF">
            <w:pPr>
              <w:spacing w:before="40" w:after="40"/>
              <w:jc w:val="left"/>
              <w:rPr>
                <w:rFonts w:ascii="Arial Narrow" w:hAnsi="Arial Narrow"/>
                <w:bCs/>
                <w:sz w:val="20"/>
                <w:szCs w:val="20"/>
              </w:rPr>
            </w:pPr>
            <w:r w:rsidRPr="00494952">
              <w:rPr>
                <w:rFonts w:ascii="Arial Narrow" w:hAnsi="Arial Narrow"/>
                <w:bCs/>
                <w:sz w:val="20"/>
                <w:szCs w:val="20"/>
              </w:rPr>
              <w:t xml:space="preserve">Programa de </w:t>
            </w:r>
            <w:r>
              <w:rPr>
                <w:rFonts w:ascii="Arial Narrow" w:hAnsi="Arial Narrow"/>
                <w:bCs/>
                <w:sz w:val="20"/>
                <w:szCs w:val="20"/>
              </w:rPr>
              <w:t xml:space="preserve">Modernización de la Administración Financiera / CUP </w:t>
            </w:r>
            <w:r w:rsidRPr="00991C24">
              <w:rPr>
                <w:rFonts w:ascii="Arial Narrow" w:hAnsi="Arial Narrow"/>
                <w:bCs/>
                <w:sz w:val="20"/>
                <w:szCs w:val="20"/>
              </w:rPr>
              <w:t>81300000.0000.384365</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325E47B9" w14:textId="77777777" w:rsidR="00991C24" w:rsidRPr="00494952" w:rsidRDefault="00991C24" w:rsidP="006932DF">
            <w:pPr>
              <w:spacing w:before="40" w:after="40"/>
              <w:jc w:val="center"/>
              <w:rPr>
                <w:rFonts w:ascii="Arial Narrow" w:hAnsi="Arial Narrow"/>
                <w:sz w:val="20"/>
                <w:szCs w:val="20"/>
              </w:rPr>
            </w:pPr>
            <w:r>
              <w:rPr>
                <w:rFonts w:ascii="Arial Narrow" w:hAnsi="Arial Narrow"/>
                <w:sz w:val="20"/>
                <w:szCs w:val="20"/>
              </w:rPr>
              <w:t>MEF</w:t>
            </w:r>
          </w:p>
        </w:tc>
        <w:tc>
          <w:tcPr>
            <w:tcW w:w="713" w:type="pct"/>
            <w:tcBorders>
              <w:top w:val="single" w:sz="4" w:space="0" w:color="auto"/>
              <w:left w:val="single" w:sz="4" w:space="0" w:color="auto"/>
              <w:bottom w:val="single" w:sz="4" w:space="0" w:color="auto"/>
              <w:right w:val="single" w:sz="4" w:space="0" w:color="auto"/>
            </w:tcBorders>
            <w:vAlign w:val="center"/>
          </w:tcPr>
          <w:p w14:paraId="65F25175" w14:textId="77777777" w:rsidR="00991C24" w:rsidRPr="00494952" w:rsidRDefault="00991C24" w:rsidP="006932DF">
            <w:pPr>
              <w:spacing w:before="40" w:after="40"/>
              <w:jc w:val="center"/>
              <w:rPr>
                <w:rFonts w:ascii="Arial Narrow" w:hAnsi="Arial Narrow"/>
                <w:sz w:val="20"/>
                <w:szCs w:val="20"/>
              </w:rPr>
            </w:pPr>
            <w:r>
              <w:rPr>
                <w:rFonts w:ascii="Arial Narrow" w:hAnsi="Arial Narrow"/>
                <w:sz w:val="20"/>
                <w:szCs w:val="20"/>
              </w:rPr>
              <w:t>3.1</w:t>
            </w:r>
          </w:p>
        </w:tc>
        <w:tc>
          <w:tcPr>
            <w:tcW w:w="1595" w:type="pct"/>
            <w:tcBorders>
              <w:top w:val="single" w:sz="4" w:space="0" w:color="auto"/>
              <w:left w:val="single" w:sz="4" w:space="0" w:color="auto"/>
              <w:bottom w:val="single" w:sz="4" w:space="0" w:color="auto"/>
              <w:right w:val="single" w:sz="4" w:space="0" w:color="auto"/>
            </w:tcBorders>
          </w:tcPr>
          <w:p w14:paraId="1C2BD9C3" w14:textId="77777777" w:rsidR="00991C24" w:rsidRPr="00494952" w:rsidRDefault="00991C24" w:rsidP="006932DF">
            <w:pPr>
              <w:spacing w:before="40" w:after="40"/>
              <w:jc w:val="center"/>
              <w:rPr>
                <w:rFonts w:ascii="Arial Narrow" w:hAnsi="Arial Narrow"/>
                <w:sz w:val="20"/>
                <w:szCs w:val="20"/>
              </w:rPr>
            </w:pPr>
            <w:r w:rsidRPr="00084E0E">
              <w:rPr>
                <w:rFonts w:ascii="Arial Narrow" w:hAnsi="Arial Narrow"/>
                <w:sz w:val="20"/>
                <w:szCs w:val="20"/>
              </w:rPr>
              <w:t>Estrat</w:t>
            </w:r>
            <w:r>
              <w:rPr>
                <w:rFonts w:ascii="Arial Narrow" w:hAnsi="Arial Narrow"/>
                <w:sz w:val="20"/>
                <w:szCs w:val="20"/>
              </w:rPr>
              <w:t>e</w:t>
            </w:r>
            <w:r w:rsidRPr="00084E0E">
              <w:rPr>
                <w:rFonts w:ascii="Arial Narrow" w:hAnsi="Arial Narrow"/>
                <w:sz w:val="20"/>
                <w:szCs w:val="20"/>
              </w:rPr>
              <w:t>gia para la mejora del acceso a financiamiento y sostenibilidad de MIPYMEs</w:t>
            </w:r>
          </w:p>
        </w:tc>
      </w:tr>
      <w:tr w:rsidR="00DC3A3B" w:rsidRPr="00494952" w14:paraId="6BA6876A" w14:textId="7A770046" w:rsidTr="008B2056">
        <w:tc>
          <w:tcPr>
            <w:tcW w:w="1897" w:type="pct"/>
            <w:vMerge w:val="restart"/>
            <w:tcBorders>
              <w:top w:val="single" w:sz="4" w:space="0" w:color="auto"/>
              <w:left w:val="single" w:sz="4" w:space="0" w:color="auto"/>
              <w:right w:val="single" w:sz="4" w:space="0" w:color="auto"/>
            </w:tcBorders>
            <w:shd w:val="clear" w:color="auto" w:fill="auto"/>
            <w:vAlign w:val="center"/>
          </w:tcPr>
          <w:p w14:paraId="4298458E" w14:textId="4775FADB" w:rsidR="00DC3A3B" w:rsidRPr="00494952" w:rsidRDefault="00DC3A3B" w:rsidP="00DC3A3B">
            <w:pPr>
              <w:spacing w:before="40" w:after="40"/>
              <w:jc w:val="left"/>
              <w:rPr>
                <w:rFonts w:ascii="Arial Narrow" w:hAnsi="Arial Narrow"/>
                <w:bCs/>
                <w:sz w:val="20"/>
                <w:szCs w:val="20"/>
              </w:rPr>
            </w:pPr>
            <w:r w:rsidRPr="00494952">
              <w:rPr>
                <w:rFonts w:ascii="Arial Narrow" w:hAnsi="Arial Narrow"/>
                <w:bCs/>
                <w:sz w:val="20"/>
                <w:szCs w:val="20"/>
              </w:rPr>
              <w:t>Programa de Reforma Institucional de la Gestión Pública</w:t>
            </w:r>
            <w:r w:rsidR="00851356">
              <w:rPr>
                <w:rFonts w:ascii="Arial Narrow" w:hAnsi="Arial Narrow"/>
                <w:bCs/>
                <w:sz w:val="20"/>
                <w:szCs w:val="20"/>
              </w:rPr>
              <w:t xml:space="preserve"> </w:t>
            </w:r>
            <w:r w:rsidR="00851356" w:rsidRPr="00494952">
              <w:rPr>
                <w:rStyle w:val="FootnoteReference"/>
                <w:rFonts w:ascii="Arial Narrow" w:hAnsi="Arial Narrow"/>
                <w:bCs/>
                <w:sz w:val="20"/>
                <w:szCs w:val="20"/>
              </w:rPr>
              <w:footnoteReference w:id="19"/>
            </w:r>
            <w:r w:rsidRPr="00494952">
              <w:rPr>
                <w:rFonts w:ascii="Arial Narrow" w:hAnsi="Arial Narrow"/>
                <w:bCs/>
                <w:sz w:val="20"/>
                <w:szCs w:val="20"/>
              </w:rPr>
              <w:t xml:space="preserve"> / CUP 30400000.1780.7402</w:t>
            </w:r>
            <w:r w:rsidR="00494952">
              <w:rPr>
                <w:rFonts w:ascii="Arial Narrow" w:hAnsi="Arial Narrow"/>
                <w:bCs/>
                <w:sz w:val="20"/>
                <w:szCs w:val="20"/>
              </w:rPr>
              <w:t>.</w:t>
            </w:r>
          </w:p>
        </w:tc>
        <w:tc>
          <w:tcPr>
            <w:tcW w:w="794" w:type="pct"/>
            <w:vMerge w:val="restart"/>
            <w:tcBorders>
              <w:top w:val="single" w:sz="4" w:space="0" w:color="auto"/>
              <w:left w:val="single" w:sz="4" w:space="0" w:color="auto"/>
              <w:right w:val="single" w:sz="4" w:space="0" w:color="auto"/>
            </w:tcBorders>
            <w:shd w:val="clear" w:color="auto" w:fill="auto"/>
            <w:vAlign w:val="center"/>
          </w:tcPr>
          <w:p w14:paraId="36727693" w14:textId="0367E02E" w:rsidR="00DC3A3B" w:rsidRPr="00494952" w:rsidRDefault="00DC3A3B" w:rsidP="00DC3A3B">
            <w:pPr>
              <w:spacing w:before="40" w:after="40"/>
              <w:jc w:val="center"/>
              <w:rPr>
                <w:rFonts w:ascii="Arial Narrow" w:hAnsi="Arial Narrow"/>
                <w:sz w:val="20"/>
                <w:szCs w:val="20"/>
              </w:rPr>
            </w:pPr>
            <w:r w:rsidRPr="00494952">
              <w:rPr>
                <w:rFonts w:ascii="Arial Narrow" w:hAnsi="Arial Narrow"/>
                <w:sz w:val="20"/>
                <w:szCs w:val="20"/>
              </w:rPr>
              <w:t>Ministerio de Trabajo</w:t>
            </w:r>
          </w:p>
        </w:tc>
        <w:tc>
          <w:tcPr>
            <w:tcW w:w="713" w:type="pct"/>
            <w:tcBorders>
              <w:top w:val="single" w:sz="4" w:space="0" w:color="auto"/>
              <w:left w:val="single" w:sz="4" w:space="0" w:color="auto"/>
              <w:right w:val="single" w:sz="4" w:space="0" w:color="auto"/>
            </w:tcBorders>
          </w:tcPr>
          <w:p w14:paraId="603BA7F0" w14:textId="24B9946A" w:rsidR="00DC3A3B" w:rsidRPr="00494952" w:rsidRDefault="00545562" w:rsidP="00DC3A3B">
            <w:pPr>
              <w:spacing w:before="40" w:after="40"/>
              <w:jc w:val="center"/>
              <w:rPr>
                <w:rFonts w:ascii="Arial Narrow" w:hAnsi="Arial Narrow"/>
                <w:sz w:val="20"/>
                <w:szCs w:val="20"/>
              </w:rPr>
            </w:pPr>
            <w:r w:rsidRPr="00494952">
              <w:rPr>
                <w:rFonts w:ascii="Arial Narrow" w:hAnsi="Arial Narrow"/>
                <w:sz w:val="20"/>
                <w:szCs w:val="20"/>
              </w:rPr>
              <w:t>3.</w:t>
            </w:r>
            <w:r w:rsidR="008B2056" w:rsidRPr="00494952">
              <w:rPr>
                <w:rFonts w:ascii="Arial Narrow" w:hAnsi="Arial Narrow"/>
                <w:sz w:val="20"/>
                <w:szCs w:val="20"/>
              </w:rPr>
              <w:t>2</w:t>
            </w:r>
            <w:r w:rsidRPr="00494952">
              <w:rPr>
                <w:rFonts w:ascii="Arial Narrow" w:hAnsi="Arial Narrow"/>
                <w:sz w:val="20"/>
                <w:szCs w:val="20"/>
              </w:rPr>
              <w:t>.</w:t>
            </w:r>
          </w:p>
        </w:tc>
        <w:tc>
          <w:tcPr>
            <w:tcW w:w="1595" w:type="pct"/>
            <w:tcBorders>
              <w:top w:val="single" w:sz="4" w:space="0" w:color="auto"/>
              <w:left w:val="single" w:sz="4" w:space="0" w:color="auto"/>
              <w:right w:val="single" w:sz="4" w:space="0" w:color="auto"/>
            </w:tcBorders>
          </w:tcPr>
          <w:p w14:paraId="42527551" w14:textId="75A462FB" w:rsidR="00DC3A3B" w:rsidRPr="00494952" w:rsidRDefault="002F7D1A" w:rsidP="00DC3A3B">
            <w:pPr>
              <w:spacing w:before="40" w:after="40"/>
              <w:jc w:val="center"/>
              <w:rPr>
                <w:rFonts w:ascii="Arial Narrow" w:hAnsi="Arial Narrow"/>
                <w:sz w:val="20"/>
                <w:szCs w:val="20"/>
              </w:rPr>
            </w:pPr>
            <w:r w:rsidRPr="002F7D1A">
              <w:rPr>
                <w:rFonts w:ascii="Arial Narrow" w:hAnsi="Arial Narrow"/>
                <w:sz w:val="20"/>
                <w:szCs w:val="20"/>
              </w:rPr>
              <w:t>Planes de Inversión de Reforma Institucional (PIRIs) para fortalecer la capacidad de gestión de los activos públicos, incluyendo su monitoreo y control, para maximizar su contribución a la PTF</w:t>
            </w:r>
          </w:p>
        </w:tc>
      </w:tr>
      <w:tr w:rsidR="00DC3A3B" w:rsidRPr="009D280D" w14:paraId="2C60707B" w14:textId="77777777" w:rsidTr="008B2056">
        <w:tc>
          <w:tcPr>
            <w:tcW w:w="1897" w:type="pct"/>
            <w:vMerge/>
            <w:tcBorders>
              <w:left w:val="single" w:sz="4" w:space="0" w:color="auto"/>
              <w:bottom w:val="single" w:sz="4" w:space="0" w:color="auto"/>
              <w:right w:val="single" w:sz="4" w:space="0" w:color="auto"/>
            </w:tcBorders>
            <w:shd w:val="clear" w:color="auto" w:fill="auto"/>
            <w:vAlign w:val="center"/>
          </w:tcPr>
          <w:p w14:paraId="5376F88A" w14:textId="77777777" w:rsidR="00DC3A3B" w:rsidRPr="00494952" w:rsidRDefault="00DC3A3B" w:rsidP="00DC3A3B">
            <w:pPr>
              <w:spacing w:before="40" w:after="40"/>
              <w:jc w:val="left"/>
              <w:rPr>
                <w:rFonts w:ascii="Arial Narrow" w:hAnsi="Arial Narrow"/>
                <w:bCs/>
                <w:sz w:val="20"/>
                <w:szCs w:val="20"/>
              </w:rPr>
            </w:pPr>
          </w:p>
        </w:tc>
        <w:tc>
          <w:tcPr>
            <w:tcW w:w="794" w:type="pct"/>
            <w:vMerge/>
            <w:tcBorders>
              <w:left w:val="single" w:sz="4" w:space="0" w:color="auto"/>
              <w:bottom w:val="single" w:sz="4" w:space="0" w:color="auto"/>
              <w:right w:val="single" w:sz="4" w:space="0" w:color="auto"/>
            </w:tcBorders>
            <w:shd w:val="clear" w:color="auto" w:fill="auto"/>
            <w:vAlign w:val="center"/>
          </w:tcPr>
          <w:p w14:paraId="1629B09C" w14:textId="77777777" w:rsidR="00DC3A3B" w:rsidRPr="00494952" w:rsidRDefault="00DC3A3B" w:rsidP="00DC3A3B">
            <w:pPr>
              <w:spacing w:before="40" w:after="40"/>
              <w:jc w:val="center"/>
              <w:rPr>
                <w:rFonts w:ascii="Arial Narrow" w:hAnsi="Arial Narrow"/>
                <w:sz w:val="20"/>
                <w:szCs w:val="20"/>
              </w:rPr>
            </w:pPr>
          </w:p>
        </w:tc>
        <w:tc>
          <w:tcPr>
            <w:tcW w:w="713" w:type="pct"/>
            <w:tcBorders>
              <w:left w:val="single" w:sz="4" w:space="0" w:color="auto"/>
              <w:bottom w:val="single" w:sz="4" w:space="0" w:color="auto"/>
              <w:right w:val="single" w:sz="4" w:space="0" w:color="auto"/>
            </w:tcBorders>
          </w:tcPr>
          <w:p w14:paraId="5869086B" w14:textId="0F6A64B9" w:rsidR="00DC3A3B" w:rsidRPr="00494952" w:rsidRDefault="00545562" w:rsidP="00DC3A3B">
            <w:pPr>
              <w:spacing w:before="40" w:after="40"/>
              <w:jc w:val="center"/>
              <w:rPr>
                <w:rFonts w:ascii="Arial Narrow" w:hAnsi="Arial Narrow"/>
                <w:sz w:val="20"/>
                <w:szCs w:val="20"/>
              </w:rPr>
            </w:pPr>
            <w:r w:rsidRPr="00494952">
              <w:rPr>
                <w:rFonts w:ascii="Arial Narrow" w:hAnsi="Arial Narrow"/>
                <w:sz w:val="20"/>
                <w:szCs w:val="20"/>
              </w:rPr>
              <w:t>3.3</w:t>
            </w:r>
          </w:p>
        </w:tc>
        <w:tc>
          <w:tcPr>
            <w:tcW w:w="1595" w:type="pct"/>
            <w:tcBorders>
              <w:left w:val="single" w:sz="4" w:space="0" w:color="auto"/>
              <w:bottom w:val="single" w:sz="4" w:space="0" w:color="auto"/>
              <w:right w:val="single" w:sz="4" w:space="0" w:color="auto"/>
            </w:tcBorders>
          </w:tcPr>
          <w:p w14:paraId="5074D01B" w14:textId="05BEDDAC" w:rsidR="00DC3A3B" w:rsidRPr="00494952" w:rsidRDefault="00545562" w:rsidP="00991C24">
            <w:pPr>
              <w:spacing w:before="40" w:after="40"/>
              <w:jc w:val="center"/>
              <w:rPr>
                <w:rFonts w:ascii="Arial Narrow" w:hAnsi="Arial Narrow"/>
                <w:sz w:val="20"/>
                <w:szCs w:val="20"/>
              </w:rPr>
            </w:pPr>
            <w:r w:rsidRPr="00494952">
              <w:rPr>
                <w:rFonts w:ascii="Arial Narrow" w:hAnsi="Arial Narrow"/>
                <w:sz w:val="20"/>
                <w:szCs w:val="20"/>
              </w:rPr>
              <w:t xml:space="preserve">   </w:t>
            </w:r>
            <w:r w:rsidR="002F7D1A" w:rsidRPr="002F7D1A">
              <w:rPr>
                <w:rFonts w:ascii="Arial Narrow" w:hAnsi="Arial Narrow"/>
                <w:sz w:val="20"/>
                <w:szCs w:val="20"/>
              </w:rPr>
              <w:t>PIRIS para el reordenamiento, racionalización y fortalecimiento de agencias públicas que prestan servicios al sector productivo</w:t>
            </w:r>
            <w:r w:rsidR="002F7D1A" w:rsidRPr="002F7D1A">
              <w:rPr>
                <w:rStyle w:val="FootnoteReference"/>
                <w:rFonts w:ascii="Arial Narrow" w:hAnsi="Arial Narrow"/>
                <w:sz w:val="20"/>
                <w:szCs w:val="20"/>
                <w:vertAlign w:val="baseline"/>
              </w:rPr>
              <w:t xml:space="preserve"> </w:t>
            </w:r>
            <w:r w:rsidR="00494952" w:rsidRPr="00494952">
              <w:rPr>
                <w:rStyle w:val="FootnoteReference"/>
                <w:rFonts w:ascii="Arial Narrow" w:hAnsi="Arial Narrow"/>
                <w:sz w:val="20"/>
                <w:szCs w:val="20"/>
              </w:rPr>
              <w:footnoteReference w:id="20"/>
            </w:r>
          </w:p>
        </w:tc>
      </w:tr>
    </w:tbl>
    <w:p w14:paraId="07867BC5" w14:textId="0636C839" w:rsidR="0074022E" w:rsidRDefault="0074022E" w:rsidP="009B54B5">
      <w:pPr>
        <w:pStyle w:val="numeradorom"/>
        <w:numPr>
          <w:ilvl w:val="0"/>
          <w:numId w:val="0"/>
        </w:numPr>
        <w:ind w:left="720"/>
      </w:pPr>
    </w:p>
    <w:p w14:paraId="7EABEBE0" w14:textId="44FDDBB6" w:rsidR="00545562" w:rsidRDefault="00545562" w:rsidP="009B54B5">
      <w:pPr>
        <w:pStyle w:val="numeradorom"/>
        <w:numPr>
          <w:ilvl w:val="0"/>
          <w:numId w:val="0"/>
        </w:numPr>
        <w:ind w:left="1191"/>
      </w:pPr>
      <w:r>
        <w:t xml:space="preserve">En </w:t>
      </w:r>
      <w:r w:rsidR="00E11203">
        <w:t>consecuencia,</w:t>
      </w:r>
      <w:r>
        <w:t xml:space="preserve"> el MEF deberá firmar convenios subsidiarios con: (i) </w:t>
      </w:r>
      <w:r w:rsidR="009F7FF5">
        <w:t>la VPR</w:t>
      </w:r>
      <w:r>
        <w:t xml:space="preserve">; (ii) el MINTEL y (iii) </w:t>
      </w:r>
      <w:r w:rsidR="00E11203">
        <w:t>el Ministerio de Trabajo.</w:t>
      </w:r>
    </w:p>
    <w:p w14:paraId="5F74749B" w14:textId="2C2205FD" w:rsidR="004B5BC5" w:rsidRDefault="004B5BC5" w:rsidP="009B54B5">
      <w:pPr>
        <w:pStyle w:val="numeradorom"/>
        <w:numPr>
          <w:ilvl w:val="2"/>
          <w:numId w:val="32"/>
        </w:numPr>
      </w:pPr>
      <w:r w:rsidRPr="004B5BC5">
        <w:rPr>
          <w:b/>
          <w:bCs/>
          <w:u w:val="single"/>
        </w:rPr>
        <w:t>Convenios Interinstitucionales de transferencia de obligaciones</w:t>
      </w:r>
      <w:r>
        <w:t xml:space="preserve">. </w:t>
      </w:r>
      <w:r w:rsidRPr="004B5BC5">
        <w:t xml:space="preserve"> Son convenios interinstitucionales, celebrados entre la/las </w:t>
      </w:r>
      <w:r w:rsidR="00B83843" w:rsidRPr="004B5BC5">
        <w:t>entidades ejecutoras</w:t>
      </w:r>
      <w:r w:rsidRPr="004B5BC5">
        <w:t>/s del proyecto/s de inversión</w:t>
      </w:r>
      <w:r w:rsidR="00E11203">
        <w:t xml:space="preserve"> con CUP </w:t>
      </w:r>
      <w:r w:rsidRPr="004B5BC5">
        <w:t>con su respectivos co-ejecutores; a fin de transferir la proporción y obligaciones que le correspondan a cada co-ejecutor</w:t>
      </w:r>
      <w:r w:rsidR="00FA18CC">
        <w:t xml:space="preserve">, </w:t>
      </w:r>
      <w:r w:rsidR="00FA18CC" w:rsidRPr="002F7D1A">
        <w:rPr>
          <w:u w:val="single"/>
        </w:rPr>
        <w:t xml:space="preserve">de acuerdo a sus </w:t>
      </w:r>
      <w:r w:rsidR="00CA00B5" w:rsidRPr="002F7D1A">
        <w:rPr>
          <w:u w:val="single"/>
        </w:rPr>
        <w:t>competencias</w:t>
      </w:r>
      <w:r w:rsidR="00CA00B5">
        <w:t xml:space="preserve">, </w:t>
      </w:r>
      <w:r w:rsidR="00CA00B5" w:rsidRPr="004B5BC5">
        <w:t>sobre</w:t>
      </w:r>
      <w:r w:rsidRPr="004B5BC5">
        <w:t xml:space="preserve"> el proyecto de inversión asociado al Crédito, normando entre otros aspectos, los administrativos, operativos, financieros de las partes.</w:t>
      </w:r>
      <w:r w:rsidR="00E11203">
        <w:t xml:space="preserve"> </w:t>
      </w:r>
      <w:r w:rsidR="00B83843">
        <w:t xml:space="preserve">Estos convenios consideran el traspaso presupuestal respectivo de la entidad dueña del proyecto de inversión al ejecutor de las actividades del Programa. </w:t>
      </w:r>
      <w:r w:rsidR="00E11203">
        <w:t xml:space="preserve">En el marco del Programa, se ha definido que: (i) </w:t>
      </w:r>
      <w:r w:rsidR="00E45A8C">
        <w:t xml:space="preserve">para </w:t>
      </w:r>
      <w:r w:rsidR="00E11203">
        <w:t xml:space="preserve">el componente 1 </w:t>
      </w:r>
      <w:r w:rsidR="00E45A8C">
        <w:t xml:space="preserve">que </w:t>
      </w:r>
      <w:r w:rsidR="00E11203">
        <w:t xml:space="preserve">será ejecutado por la </w:t>
      </w:r>
      <w:r w:rsidR="00FA18CC">
        <w:t xml:space="preserve">VPR </w:t>
      </w:r>
      <w:r w:rsidR="00E11203">
        <w:t xml:space="preserve">no requiere de este convenio; (ii) </w:t>
      </w:r>
      <w:r w:rsidR="00E45A8C">
        <w:t xml:space="preserve">para </w:t>
      </w:r>
      <w:r w:rsidR="00E11203">
        <w:t>el componente 2</w:t>
      </w:r>
      <w:r w:rsidR="00E45A8C">
        <w:t xml:space="preserve"> y componente 4 que </w:t>
      </w:r>
      <w:r w:rsidR="00E11203">
        <w:t>será</w:t>
      </w:r>
      <w:r w:rsidR="00E45A8C">
        <w:t>n</w:t>
      </w:r>
      <w:r w:rsidR="00E11203">
        <w:t xml:space="preserve"> ejecutado</w:t>
      </w:r>
      <w:r w:rsidR="00E45A8C">
        <w:t>s</w:t>
      </w:r>
      <w:r w:rsidR="00E11203">
        <w:t xml:space="preserve"> por la SGP se requerirá de un convenio Interinstitucional entre </w:t>
      </w:r>
      <w:r w:rsidR="00FA18CC">
        <w:t xml:space="preserve">la VPR </w:t>
      </w:r>
      <w:r w:rsidR="00E11203">
        <w:t>y la SGP; (iii)</w:t>
      </w:r>
      <w:r w:rsidR="00E45A8C">
        <w:t xml:space="preserve"> para </w:t>
      </w:r>
      <w:r w:rsidR="00E11203">
        <w:t xml:space="preserve">el componente </w:t>
      </w:r>
      <w:r w:rsidR="00E45A8C">
        <w:t xml:space="preserve">3 que </w:t>
      </w:r>
      <w:r w:rsidR="00E11203">
        <w:t xml:space="preserve">será ejecutado por el MEF </w:t>
      </w:r>
      <w:r w:rsidR="00E45A8C">
        <w:t>s</w:t>
      </w:r>
      <w:r w:rsidR="00E11203">
        <w:t>e requerirá de convenio</w:t>
      </w:r>
      <w:r w:rsidR="00FA18CC">
        <w:t>s</w:t>
      </w:r>
      <w:r w:rsidR="00E11203">
        <w:t xml:space="preserve"> interinstitucional</w:t>
      </w:r>
      <w:r w:rsidR="00FA18CC">
        <w:t>es</w:t>
      </w:r>
      <w:r w:rsidR="00E11203">
        <w:t xml:space="preserve"> entre </w:t>
      </w:r>
      <w:r w:rsidR="00E45A8C">
        <w:t xml:space="preserve">el </w:t>
      </w:r>
      <w:r w:rsidR="00FA18CC">
        <w:t>Ministerio de Trabajo y los beneficiarios</w:t>
      </w:r>
      <w:r w:rsidR="002F7D1A">
        <w:t xml:space="preserve">: INMOBILIAR, CGE, </w:t>
      </w:r>
      <w:r w:rsidR="00FA18CC">
        <w:t xml:space="preserve"> MPCEIP, SERCOP</w:t>
      </w:r>
      <w:r w:rsidR="002F7D1A">
        <w:t xml:space="preserve"> y MERNNR</w:t>
      </w:r>
      <w:r w:rsidR="00FA18CC">
        <w:t>,</w:t>
      </w:r>
      <w:r w:rsidR="002F7D1A">
        <w:t xml:space="preserve"> beneficiarios </w:t>
      </w:r>
      <w:r w:rsidR="00FA18CC">
        <w:t>de los PIRIS presentados en el componente</w:t>
      </w:r>
      <w:r w:rsidR="00E45A8C">
        <w:t>; (iv) para las actividades 3.</w:t>
      </w:r>
      <w:r w:rsidR="00946F03">
        <w:t>3</w:t>
      </w:r>
      <w:r w:rsidR="00E45A8C">
        <w:t>.1.1 y 3.</w:t>
      </w:r>
      <w:r w:rsidR="00946F03">
        <w:t>3</w:t>
      </w:r>
      <w:r w:rsidR="00E45A8C">
        <w:t xml:space="preserve">.3.1 de desvinculaciones se requerirá un convenio interinstitucional entre el Ministerio de Trabajo y </w:t>
      </w:r>
      <w:r w:rsidR="00FA18CC">
        <w:t>el Ministerio de Energía y e MPCEIP</w:t>
      </w:r>
      <w:r w:rsidR="00E45A8C">
        <w:t xml:space="preserve">; y (v) para el producto 4.1 de fortalecimiento de la plataforma Ruter se requerirá de un convenio interinstitucional entre </w:t>
      </w:r>
      <w:r w:rsidR="00B83843">
        <w:t xml:space="preserve">el MINTEL y la </w:t>
      </w:r>
      <w:r w:rsidR="00E45A8C">
        <w:t>SGP</w:t>
      </w:r>
      <w:r w:rsidR="00B83843">
        <w:t>.</w:t>
      </w:r>
      <w:r w:rsidR="00E45A8C">
        <w:t xml:space="preserve">  </w:t>
      </w:r>
    </w:p>
    <w:p w14:paraId="29E2704C" w14:textId="77777777" w:rsidR="00F03165" w:rsidRDefault="00BA5886" w:rsidP="00F03165">
      <w:pPr>
        <w:pStyle w:val="numeradorom"/>
        <w:numPr>
          <w:ilvl w:val="2"/>
          <w:numId w:val="32"/>
        </w:numPr>
      </w:pPr>
      <w:r w:rsidRPr="00303956">
        <w:rPr>
          <w:b/>
          <w:bCs/>
          <w:u w:val="single"/>
        </w:rPr>
        <w:t>Convenios i</w:t>
      </w:r>
      <w:r w:rsidRPr="00EF7997">
        <w:rPr>
          <w:b/>
          <w:bCs/>
          <w:u w:val="single"/>
        </w:rPr>
        <w:t xml:space="preserve">nterinstitucionales específicos. </w:t>
      </w:r>
      <w:r w:rsidRPr="00B83843">
        <w:t>Los convenios interinstitucionales específicos contendrán</w:t>
      </w:r>
      <w:r w:rsidRPr="000B0C6E">
        <w:t xml:space="preserve"> los mecanismos de control que aseguren la custodia y </w:t>
      </w:r>
      <w:r w:rsidRPr="000B0C6E">
        <w:lastRenderedPageBreak/>
        <w:t>conservación de los bienes o servicios producto de la materialización de los Componentes o actividades del Programa que serán transferidos a las entidades beneficiarias de dichas actividades.</w:t>
      </w:r>
      <w:r>
        <w:t xml:space="preserve">  Los convenios interinstitucionales específicos serán suscritos por el OE u OSE del Programa con la entidad beneficiaria de la actividad del Programa que será ejecutada y que conste en el Plan de Adquisiciones. </w:t>
      </w:r>
      <w:r w:rsidRPr="001304A7">
        <w:rPr>
          <w:u w:val="single"/>
        </w:rPr>
        <w:t>El OE o los OSE respectivos no podrán iniciar los procesos de adquisición de las actividades que tengan una entidad beneficiaria</w:t>
      </w:r>
      <w:r>
        <w:rPr>
          <w:u w:val="single"/>
        </w:rPr>
        <w:t xml:space="preserve">, </w:t>
      </w:r>
      <w:r w:rsidRPr="001304A7">
        <w:rPr>
          <w:u w:val="single"/>
        </w:rPr>
        <w:t xml:space="preserve">sin tener suscrito </w:t>
      </w:r>
      <w:r>
        <w:rPr>
          <w:u w:val="single"/>
        </w:rPr>
        <w:t xml:space="preserve">previamente </w:t>
      </w:r>
      <w:r w:rsidRPr="001304A7">
        <w:rPr>
          <w:u w:val="single"/>
        </w:rPr>
        <w:t>el respectivo convenio específico.</w:t>
      </w:r>
      <w:r>
        <w:t xml:space="preserve"> Los convenios específicos </w:t>
      </w:r>
      <w:r w:rsidRPr="005764DA">
        <w:t xml:space="preserve">establecerán las responsabilidades de las partes (las entidades beneficiarias y </w:t>
      </w:r>
      <w:r>
        <w:t>el OE u OSE correspondiente</w:t>
      </w:r>
      <w:r w:rsidRPr="005764DA">
        <w:t>), y la forma de aplicación de: (i) las disposiciones del Contrato de Préstamo en materia de adquisiciones</w:t>
      </w:r>
      <w:r>
        <w:t xml:space="preserve">; (ii) </w:t>
      </w:r>
      <w:r w:rsidRPr="00237D93">
        <w:t>los bienes o servicios que posteriormente serán transferidos a las entidades beneficiarias de acuerdo a lo estipulado en el reglamento de control de bienes del sector público de la CGE</w:t>
      </w:r>
      <w:r>
        <w:t>. Las responsabilidades mínimas que tendrán las entidades beneficiarias y que se establecerán en los convenios específicos son:</w:t>
      </w:r>
      <w:r w:rsidR="009B54B5">
        <w:t xml:space="preserve"> </w:t>
      </w:r>
    </w:p>
    <w:p w14:paraId="1A774D98" w14:textId="2C28877C" w:rsidR="00F03165" w:rsidRDefault="00F03165" w:rsidP="00F03165">
      <w:pPr>
        <w:pStyle w:val="numeradorom"/>
        <w:numPr>
          <w:ilvl w:val="3"/>
          <w:numId w:val="32"/>
        </w:numPr>
      </w:pPr>
      <w:r>
        <w:t xml:space="preserve">La institución beneficiaria levantará un informe de necesidades que estará alineado con las necesidades identificadas en el Proyecto de Inversión que corresponda. </w:t>
      </w:r>
    </w:p>
    <w:p w14:paraId="6DE87198" w14:textId="77777777" w:rsidR="00F03165" w:rsidRDefault="00F03165" w:rsidP="00F03165">
      <w:pPr>
        <w:pStyle w:val="numeradorom"/>
        <w:numPr>
          <w:ilvl w:val="3"/>
          <w:numId w:val="32"/>
        </w:numPr>
      </w:pPr>
      <w:r>
        <w:t xml:space="preserve">La institución beneficiaria tendrá la obligación de participar en la elaboración de los TDR y/o especificaciones técnicas de las adquisiciones que se harán con cargo al Programa y será responsable de la aceptación de los productos. </w:t>
      </w:r>
    </w:p>
    <w:p w14:paraId="095AC8F6" w14:textId="77777777" w:rsidR="00F03165" w:rsidRDefault="00F03165" w:rsidP="00F03165">
      <w:pPr>
        <w:pStyle w:val="numeradorom"/>
        <w:numPr>
          <w:ilvl w:val="3"/>
          <w:numId w:val="32"/>
        </w:numPr>
      </w:pPr>
      <w:r>
        <w:t>La institución beneficiaria designará a un técnico afín del bien o servicio a adquirir, que será responsable de participar en el proceso de contratación, desde el levantamiento de la necesidad hasta la entrega del bien o servicio.</w:t>
      </w:r>
    </w:p>
    <w:p w14:paraId="7ADC38D7" w14:textId="77777777" w:rsidR="00F03165" w:rsidRDefault="00F03165" w:rsidP="00F03165">
      <w:pPr>
        <w:pStyle w:val="numeradorom"/>
        <w:numPr>
          <w:ilvl w:val="3"/>
          <w:numId w:val="32"/>
        </w:numPr>
      </w:pPr>
      <w:r>
        <w:t xml:space="preserve">Los bienes o servicios adquiridos por el OE u OSE correspondiente, pasarán a formar parte de los activos de la institución beneficiaria bajo la modalidad de transferencia de bienes, bajo la elaboración de un acta entrega recepción del bien.  </w:t>
      </w:r>
    </w:p>
    <w:p w14:paraId="6D7D8823" w14:textId="77777777" w:rsidR="00F03165" w:rsidRDefault="00F03165" w:rsidP="00F03165">
      <w:pPr>
        <w:pStyle w:val="numeradorom"/>
        <w:numPr>
          <w:ilvl w:val="3"/>
          <w:numId w:val="32"/>
        </w:numPr>
      </w:pPr>
      <w:r>
        <w:t xml:space="preserve">Los activos transferidos serán de uso para el logro de los objetivos del Programa. </w:t>
      </w:r>
    </w:p>
    <w:p w14:paraId="03DCA69F" w14:textId="77777777" w:rsidR="00F03165" w:rsidRDefault="00F03165" w:rsidP="00F03165">
      <w:pPr>
        <w:pStyle w:val="numeradorom"/>
        <w:numPr>
          <w:ilvl w:val="3"/>
          <w:numId w:val="32"/>
        </w:numPr>
      </w:pPr>
      <w:r>
        <w:t>Una vez finalizado el Programa los activos transferidos, deberán mantenerse para el fin con el cual fueron concebidos.</w:t>
      </w:r>
    </w:p>
    <w:p w14:paraId="42F0D7A3" w14:textId="77777777" w:rsidR="00F03165" w:rsidRDefault="00F03165" w:rsidP="00F03165">
      <w:pPr>
        <w:pStyle w:val="numeradorom"/>
        <w:numPr>
          <w:ilvl w:val="3"/>
          <w:numId w:val="32"/>
        </w:numPr>
      </w:pPr>
      <w:r>
        <w:t>La entidad beneficiaria, otorgará las facilidades necesarias para garantizar los procesos de evaluación y auditoría del Programa.</w:t>
      </w:r>
    </w:p>
    <w:p w14:paraId="2C8D52B2" w14:textId="77777777" w:rsidR="00F03165" w:rsidRDefault="00F03165" w:rsidP="00F03165">
      <w:pPr>
        <w:pStyle w:val="numeradorom"/>
        <w:numPr>
          <w:ilvl w:val="3"/>
          <w:numId w:val="32"/>
        </w:numPr>
      </w:pPr>
      <w:r>
        <w:t xml:space="preserve">La administración, implementación y mantenimiento de los bienes o servicios transferidos, serán responsabilidad de la institución beneficiaria.  </w:t>
      </w:r>
    </w:p>
    <w:p w14:paraId="44AA3F45" w14:textId="77777777" w:rsidR="00F03165" w:rsidRDefault="00F03165" w:rsidP="00F03165">
      <w:pPr>
        <w:pStyle w:val="numeradorom"/>
        <w:numPr>
          <w:ilvl w:val="3"/>
          <w:numId w:val="32"/>
        </w:numPr>
      </w:pPr>
      <w:r>
        <w:t>El OE u OSE que corresponda, será el responsable de realizar los procesos de contratación pública de conformidad con las políticas establecidas en el Contrato de Préstamo, y de acuerdo con el Plan de Adquisiciones aprobado del Programa</w:t>
      </w:r>
    </w:p>
    <w:p w14:paraId="524A1447" w14:textId="77777777" w:rsidR="00F03165" w:rsidRDefault="00F03165" w:rsidP="00F03165">
      <w:pPr>
        <w:pStyle w:val="numeradorom"/>
        <w:numPr>
          <w:ilvl w:val="3"/>
          <w:numId w:val="32"/>
        </w:numPr>
      </w:pPr>
      <w:r>
        <w:t>El OE u OSE que corresponda, será el responsable de administrar el presupuesto asignado para las adquisiciones realizadas</w:t>
      </w:r>
    </w:p>
    <w:p w14:paraId="7EF8DC4E" w14:textId="77777777" w:rsidR="00F03165" w:rsidRDefault="00F03165" w:rsidP="00F03165">
      <w:pPr>
        <w:pStyle w:val="numeradorom"/>
        <w:numPr>
          <w:ilvl w:val="3"/>
          <w:numId w:val="32"/>
        </w:numPr>
      </w:pPr>
      <w:r>
        <w:t>El OE u OSE que corresponda designará el administrador del contrato, quien deberá dar cumplimiento a las condiciones establecidas en los contratos suscritos, y velará por el cumplimiento de las obligaciones de las partes derivadas del contrato. El administrador del contrato deberá mantener contacto con los técnicos de las entidades beneficiarias durante la ejecución de las contrataciones.</w:t>
      </w:r>
    </w:p>
    <w:p w14:paraId="33F2F064" w14:textId="295FADD8" w:rsidR="009B54B5" w:rsidRPr="000149B7" w:rsidRDefault="007B1384" w:rsidP="009B54B5">
      <w:pPr>
        <w:pStyle w:val="numeradorom"/>
        <w:numPr>
          <w:ilvl w:val="2"/>
          <w:numId w:val="32"/>
        </w:numPr>
      </w:pPr>
      <w:r w:rsidRPr="007B1384">
        <w:rPr>
          <w:b/>
          <w:bCs/>
          <w:u w:val="single"/>
        </w:rPr>
        <w:t>Convenio de Cooperación Interinstitucional para la ejecución de</w:t>
      </w:r>
      <w:r>
        <w:rPr>
          <w:b/>
          <w:bCs/>
          <w:u w:val="single"/>
        </w:rPr>
        <w:t xml:space="preserve"> los </w:t>
      </w:r>
      <w:r w:rsidRPr="007B1384">
        <w:rPr>
          <w:b/>
          <w:bCs/>
          <w:u w:val="single"/>
        </w:rPr>
        <w:t>PIRI</w:t>
      </w:r>
      <w:r>
        <w:rPr>
          <w:b/>
          <w:bCs/>
          <w:u w:val="single"/>
        </w:rPr>
        <w:t>s</w:t>
      </w:r>
      <w:r w:rsidR="009B54B5" w:rsidRPr="004B5BC5">
        <w:rPr>
          <w:b/>
          <w:bCs/>
          <w:u w:val="single"/>
        </w:rPr>
        <w:t>.</w:t>
      </w:r>
      <w:r w:rsidR="009B54B5">
        <w:t xml:space="preserve">   </w:t>
      </w:r>
      <w:r>
        <w:t>Son convenios de cooperación interinstitucional suscritos entre</w:t>
      </w:r>
      <w:r w:rsidR="00267F67">
        <w:t xml:space="preserve"> el Ministerio de Trabajo (MDT)</w:t>
      </w:r>
      <w:r>
        <w:t xml:space="preserve"> </w:t>
      </w:r>
      <w:r w:rsidR="00267F67" w:rsidRPr="00267F67">
        <w:t xml:space="preserve">en su calidad de responsable del proyecto de inversión “Programa de Reforma Institucional de la Gestión Pública”; el MEF en su calidad de OE del </w:t>
      </w:r>
      <w:r w:rsidR="00267F67">
        <w:t>“</w:t>
      </w:r>
      <w:r w:rsidR="00267F67" w:rsidRPr="00267F67">
        <w:t>Programa de Fortalecimiento Institucional para la Competitividad</w:t>
      </w:r>
      <w:r w:rsidR="00267F67">
        <w:t xml:space="preserve">” </w:t>
      </w:r>
      <w:r>
        <w:t xml:space="preserve">y el beneficiario del PIRI que corresponda, </w:t>
      </w:r>
      <w:r w:rsidR="00267F67">
        <w:t xml:space="preserve">cuyo objetivo consiste en </w:t>
      </w:r>
      <w:r>
        <w:t xml:space="preserve">poner en vigencia </w:t>
      </w:r>
      <w:r w:rsidR="00267F67">
        <w:t>el PIRI aprobado y viabilizar el diseño e implementación del PIRI definitivo. El detalle de este tipo de convenios de muestra en la sección V “Aspectos Particulares para la Ejecución del Programa”, literal H “Procedimiento de ejecución de los PIRIS” del Presente ROP</w:t>
      </w:r>
      <w:r w:rsidR="009B54B5">
        <w:t>.</w:t>
      </w:r>
    </w:p>
    <w:bookmarkEnd w:id="52"/>
    <w:p w14:paraId="3241BF59" w14:textId="79C863FE" w:rsidR="009B54B5" w:rsidRDefault="009B54B5" w:rsidP="00F03165">
      <w:pPr>
        <w:pStyle w:val="Estilo1"/>
        <w:numPr>
          <w:ilvl w:val="0"/>
          <w:numId w:val="0"/>
        </w:numPr>
        <w:ind w:left="720"/>
      </w:pPr>
    </w:p>
    <w:p w14:paraId="567E5A7C" w14:textId="77777777" w:rsidR="009B54B5" w:rsidRDefault="009B54B5" w:rsidP="009B54B5">
      <w:pPr>
        <w:pStyle w:val="numeradorom"/>
        <w:numPr>
          <w:ilvl w:val="0"/>
          <w:numId w:val="0"/>
        </w:numPr>
        <w:ind w:left="1800"/>
      </w:pPr>
    </w:p>
    <w:p w14:paraId="2F37EC27" w14:textId="6607506F" w:rsidR="0032560B" w:rsidRDefault="00F84DEE" w:rsidP="009B54B5">
      <w:pPr>
        <w:pStyle w:val="Estilo1"/>
      </w:pPr>
      <w:r w:rsidRPr="00CA00B5">
        <w:rPr>
          <w:b/>
          <w:u w:val="single"/>
        </w:rPr>
        <w:t>Requerimientos Presupuestarios para la Ejecución</w:t>
      </w:r>
      <w:r w:rsidRPr="00F84DEE">
        <w:rPr>
          <w:b/>
          <w:u w:val="single"/>
        </w:rPr>
        <w:t>.</w:t>
      </w:r>
      <w:r>
        <w:t xml:space="preserve"> </w:t>
      </w:r>
      <w:r w:rsidR="0032560B">
        <w:t xml:space="preserve">Para asegurar que los recursos del Préstamo sean registrados de manera oportuna en el Programa y utilizados en los términos y propósitos acordados en el contrato de Préstamo, se establece el siguiente mecanismo: </w:t>
      </w:r>
    </w:p>
    <w:p w14:paraId="0F6B5F66" w14:textId="66B67E4C" w:rsidR="0032560B" w:rsidRDefault="0032560B" w:rsidP="009B54B5">
      <w:pPr>
        <w:pStyle w:val="numeradorom"/>
        <w:numPr>
          <w:ilvl w:val="2"/>
          <w:numId w:val="19"/>
        </w:numPr>
      </w:pPr>
      <w:r>
        <w:t xml:space="preserve">Los recursos del Préstamo entregados por el BID, por concepto de anticipos serán acreditados a la cuenta </w:t>
      </w:r>
      <w:r w:rsidR="003608E9">
        <w:t xml:space="preserve">que se abra </w:t>
      </w:r>
      <w:r>
        <w:t xml:space="preserve">para los fines específicos del Programa, que forma parte de la Cuenta Única del Tesoro (CUT), de manera que los fondos que se encuentran en la CUT y todos los pagos realizados por el OE y OSE relacionados con el Programa saldrán de la CUT. </w:t>
      </w:r>
    </w:p>
    <w:p w14:paraId="25378D9E" w14:textId="7678C523" w:rsidR="0032560B" w:rsidRDefault="0032560B" w:rsidP="009B54B5">
      <w:pPr>
        <w:pStyle w:val="numeradorom"/>
        <w:numPr>
          <w:ilvl w:val="2"/>
          <w:numId w:val="19"/>
        </w:numPr>
      </w:pPr>
      <w:r>
        <w:t>Para garantizar el uso de los recursos del préstamo el OE y los OSE son responsables de establecer en cada institución una estructura programática para cada uno de los Proyectos de Inversión Priorizados a través de los cuales se ejecutan los recursos del Programa, guardando relación con la estructura del Programa EC-L12</w:t>
      </w:r>
      <w:r w:rsidR="00DC2EBA">
        <w:t>50</w:t>
      </w:r>
      <w:r>
        <w:t xml:space="preserve">. La consistencia de la creación de la estructura programática del Programa podrá ser revisada y observada por el </w:t>
      </w:r>
      <w:r w:rsidR="00D7609D">
        <w:t>EDG</w:t>
      </w:r>
      <w:r>
        <w:t xml:space="preserve">-MEF, en su calidad de OE.  </w:t>
      </w:r>
    </w:p>
    <w:p w14:paraId="5F40BDC3" w14:textId="6CD0F082" w:rsidR="0032560B" w:rsidRDefault="0032560B" w:rsidP="009B54B5">
      <w:pPr>
        <w:pStyle w:val="numeradorom"/>
        <w:numPr>
          <w:ilvl w:val="2"/>
          <w:numId w:val="19"/>
        </w:numPr>
      </w:pPr>
      <w:r>
        <w:t xml:space="preserve">La estructura Programática consiste en asignar presupuestariamente: (i) Programa; (ii) Proyecto de Inversión; (iii) Actividad; (iv) ítem; y (v) fuente.  El “Programa” se relacionará con los Programas presupuestarios Institucionales alienados a los objetivos de cada entidad; los “Proyectos” corresponden a los Proyectos de Inversión priorizados a través de los cuales se ejecutan los recursos del Programa, siendo clave en la estructura la identificación del Código Único de Proyecto (CUP) de cada Proyecto de Inversión. Cada “Proyecto de Inversión”, debe encontrarse priorizado por </w:t>
      </w:r>
      <w:r w:rsidR="00DC2EBA">
        <w:t xml:space="preserve">Planifica Ecuador </w:t>
      </w:r>
      <w:r>
        <w:t xml:space="preserve">y en el PAI, siendo responsabilidad de los OE y de los OSE asegurar esta condición.  </w:t>
      </w:r>
    </w:p>
    <w:p w14:paraId="5789B40E" w14:textId="1BC61F47" w:rsidR="00F85199" w:rsidRDefault="0032560B" w:rsidP="009B54B5">
      <w:pPr>
        <w:pStyle w:val="numeradorom"/>
        <w:numPr>
          <w:ilvl w:val="2"/>
          <w:numId w:val="19"/>
        </w:numPr>
      </w:pPr>
      <w:r>
        <w:t xml:space="preserve">A cada CUP, se encuentran asociadas las actividades, que vienen a ser los componentes de los “Proyectos de Inversión”, el Ítem es la clasificación presupuestaria para los distintos gastos y que será donde se registra los pagos relacionados con las contrataciones del Programa.  Finalmente, </w:t>
      </w:r>
      <w:r w:rsidRPr="006F3A29">
        <w:t>la fuente comprende el organismo (para el BID es el 2002) y el correlativo que será registrado en el libro de deuda.</w:t>
      </w:r>
      <w:r>
        <w:t xml:space="preserve"> </w:t>
      </w:r>
    </w:p>
    <w:p w14:paraId="22856A54" w14:textId="683E7835" w:rsidR="00A8130D" w:rsidRDefault="00993D51" w:rsidP="009F3496">
      <w:pPr>
        <w:pStyle w:val="Heading1"/>
      </w:pPr>
      <w:bookmarkStart w:id="58" w:name="_Toc454056457"/>
      <w:bookmarkStart w:id="59" w:name="_Toc23797310"/>
      <w:r>
        <w:lastRenderedPageBreak/>
        <w:t xml:space="preserve">Gestión </w:t>
      </w:r>
      <w:r w:rsidR="00A8130D">
        <w:t>del Programa</w:t>
      </w:r>
      <w:bookmarkEnd w:id="58"/>
      <w:bookmarkEnd w:id="59"/>
    </w:p>
    <w:p w14:paraId="7F82402B" w14:textId="769C2FBB" w:rsidR="000D4367" w:rsidRDefault="000D4367" w:rsidP="00A94976">
      <w:pPr>
        <w:pStyle w:val="Heading2"/>
        <w:numPr>
          <w:ilvl w:val="0"/>
          <w:numId w:val="6"/>
        </w:numPr>
      </w:pPr>
      <w:bookmarkStart w:id="60" w:name="_Toc424879203"/>
      <w:bookmarkStart w:id="61" w:name="_Toc454056458"/>
      <w:bookmarkStart w:id="62" w:name="_Toc23797311"/>
      <w:r>
        <w:t>Gestión para Resultados del Programa</w:t>
      </w:r>
      <w:bookmarkEnd w:id="60"/>
      <w:bookmarkEnd w:id="61"/>
      <w:bookmarkEnd w:id="62"/>
    </w:p>
    <w:p w14:paraId="1EBE6096" w14:textId="4C1D5C4D" w:rsidR="00B648AC" w:rsidRDefault="00B648AC" w:rsidP="009B54B5">
      <w:pPr>
        <w:pStyle w:val="Estilo1"/>
      </w:pPr>
      <w:r w:rsidRPr="00C52944">
        <w:t>La gestión del Programa, estará encaminada al cumplimiento de resultados. Por lo tanto, el conjunto de actividades y productos deberá articularse sobre la base de la cadena de resultados, que se establece en la Matriz de Resultados del Programa (M</w:t>
      </w:r>
      <w:r>
        <w:t>d</w:t>
      </w:r>
      <w:r w:rsidRPr="00C52944">
        <w:t xml:space="preserve">R). Será responsabilidad del </w:t>
      </w:r>
      <w:r w:rsidR="00D7609D">
        <w:t>EDG</w:t>
      </w:r>
      <w:r w:rsidR="00BD6196">
        <w:t>-OE y de los EDG-OSE en lo que corresponda</w:t>
      </w:r>
      <w:r w:rsidRPr="00C52944">
        <w:t>, mantener la coherencia e integralidad entre las actividades, los productos y los resultados del Programa</w:t>
      </w:r>
      <w:r>
        <w:t xml:space="preserve"> establecidos en </w:t>
      </w:r>
      <w:r w:rsidRPr="007375AE">
        <w:rPr>
          <w:u w:val="single"/>
        </w:rPr>
        <w:t>las herramientas de gestión del Programa</w:t>
      </w:r>
      <w:r>
        <w:t xml:space="preserve">, las cuales son: </w:t>
      </w:r>
    </w:p>
    <w:p w14:paraId="715E8FCC" w14:textId="0AA0BF7B" w:rsidR="00BB2B88" w:rsidRDefault="00B97A56" w:rsidP="009B54B5">
      <w:pPr>
        <w:pStyle w:val="Estilo1"/>
      </w:pPr>
      <w:r w:rsidRPr="005476BB">
        <w:rPr>
          <w:b/>
          <w:u w:val="single"/>
        </w:rPr>
        <w:t xml:space="preserve">La </w:t>
      </w:r>
      <w:r w:rsidR="005476BB" w:rsidRPr="005476BB">
        <w:rPr>
          <w:b/>
          <w:u w:val="single"/>
        </w:rPr>
        <w:t>Matriz de Resultados (</w:t>
      </w:r>
      <w:r w:rsidRPr="005476BB">
        <w:rPr>
          <w:b/>
          <w:u w:val="single"/>
        </w:rPr>
        <w:t>MdR</w:t>
      </w:r>
      <w:r w:rsidR="005476BB" w:rsidRPr="005476BB">
        <w:rPr>
          <w:b/>
          <w:u w:val="single"/>
        </w:rPr>
        <w:t>)</w:t>
      </w:r>
      <w:r w:rsidR="005476BB">
        <w:t xml:space="preserve">. </w:t>
      </w:r>
      <w:r w:rsidR="006664A7">
        <w:t>C</w:t>
      </w:r>
      <w:r>
        <w:t>ontiene</w:t>
      </w:r>
      <w:r w:rsidR="00420166">
        <w:t xml:space="preserve"> la línea de base y las metas físicas de los productos </w:t>
      </w:r>
      <w:r w:rsidR="00A94B31">
        <w:t>del Programa</w:t>
      </w:r>
      <w:r w:rsidR="00420166">
        <w:t xml:space="preserve">. Es la base para realizar el seguimiento físico </w:t>
      </w:r>
      <w:r w:rsidR="00A94B31">
        <w:t>del Programa</w:t>
      </w:r>
      <w:r w:rsidR="00420166">
        <w:t xml:space="preserve"> y establecer las pautas para su evaluación. </w:t>
      </w:r>
      <w:r w:rsidR="00BB2B88" w:rsidRPr="00BB2B88">
        <w:t>Se presenta como parte de la Propuesta de Desarrollo de la Operación (POD) y durante el periodo de ejecución se refleja en la matriz del Reporte de Monitoreo del Programa (PMR). Se focaliza en los: (i) productos; (ii) resultados, e (iii) impacto, prioritarios de la operación. La MdR es la herramienta que se usar</w:t>
      </w:r>
      <w:r w:rsidR="008E31AB">
        <w:t>á</w:t>
      </w:r>
      <w:r w:rsidR="00BB2B88" w:rsidRPr="00BB2B88">
        <w:t xml:space="preserve"> para establecer si el proyecto cumplió con sus objetivos de desarrollo.</w:t>
      </w:r>
      <w:r w:rsidR="00BB2B88">
        <w:t xml:space="preserve"> </w:t>
      </w:r>
      <w:r w:rsidR="008E31AB">
        <w:t xml:space="preserve"> </w:t>
      </w:r>
      <w:r w:rsidR="008E31AB" w:rsidRPr="00B97A56">
        <w:rPr>
          <w:u w:val="single"/>
        </w:rPr>
        <w:t xml:space="preserve">Será responsabilidad del </w:t>
      </w:r>
      <w:r w:rsidR="00D7609D">
        <w:rPr>
          <w:u w:val="single"/>
        </w:rPr>
        <w:t>EDG</w:t>
      </w:r>
      <w:r w:rsidR="00BD6196">
        <w:rPr>
          <w:u w:val="single"/>
        </w:rPr>
        <w:t xml:space="preserve">-OE </w:t>
      </w:r>
      <w:r w:rsidR="00BD6196" w:rsidRPr="00B97A56">
        <w:rPr>
          <w:u w:val="single"/>
        </w:rPr>
        <w:t>documentar</w:t>
      </w:r>
      <w:r w:rsidR="008E31AB" w:rsidRPr="00B97A56">
        <w:rPr>
          <w:u w:val="single"/>
        </w:rPr>
        <w:t>, las modificaciones efectuadas en la MdR, los procedimientos utilizados para medir los indicadores de resultados establecidos en la MdR y las revisiones de metas, con miras a facilitar las evaluaciones de medio término y de cierre del Programa</w:t>
      </w:r>
      <w:r w:rsidR="008E31AB" w:rsidRPr="008E31AB">
        <w:t>.</w:t>
      </w:r>
    </w:p>
    <w:p w14:paraId="2C12C968" w14:textId="2A56C71F" w:rsidR="002B1C77" w:rsidRDefault="005476BB" w:rsidP="009B54B5">
      <w:pPr>
        <w:pStyle w:val="Estilo1"/>
      </w:pPr>
      <w:r w:rsidRPr="005476BB">
        <w:rPr>
          <w:b/>
          <w:u w:val="single"/>
        </w:rPr>
        <w:t>El Reporte de Monitoreo del Programa (</w:t>
      </w:r>
      <w:r w:rsidR="00B97A56" w:rsidRPr="005476BB">
        <w:rPr>
          <w:b/>
          <w:u w:val="single"/>
        </w:rPr>
        <w:t>PMR</w:t>
      </w:r>
      <w:r w:rsidRPr="005476BB">
        <w:rPr>
          <w:b/>
          <w:u w:val="single"/>
        </w:rPr>
        <w:t>)</w:t>
      </w:r>
      <w:r>
        <w:t xml:space="preserve">. </w:t>
      </w:r>
      <w:r w:rsidR="00B97A56">
        <w:t xml:space="preserve"> </w:t>
      </w:r>
      <w:r w:rsidR="006664A7">
        <w:t>S</w:t>
      </w:r>
      <w:r w:rsidR="002B1C77" w:rsidRPr="00FE580C">
        <w:t xml:space="preserve">e basa en </w:t>
      </w:r>
      <w:r w:rsidR="005321C0">
        <w:t xml:space="preserve">la </w:t>
      </w:r>
      <w:r w:rsidR="002B1C77" w:rsidRPr="00FE580C">
        <w:t xml:space="preserve">MdR y </w:t>
      </w:r>
      <w:r w:rsidR="002B1C77" w:rsidRPr="00745AFF">
        <w:t>se constituye en la fuente oficial y primordial de información periódica sobre el avance físico y financiero de la ejecución del proyecto.</w:t>
      </w:r>
      <w:r w:rsidR="002B1C77" w:rsidRPr="00745AFF">
        <w:rPr>
          <w:b/>
        </w:rPr>
        <w:t xml:space="preserve"> </w:t>
      </w:r>
      <w:r w:rsidR="002B1C77">
        <w:t>El PMR tiene por objeto</w:t>
      </w:r>
      <w:r w:rsidR="002B1C77" w:rsidRPr="008739F9">
        <w:t xml:space="preserve"> reportar los logros del año </w:t>
      </w:r>
      <w:r w:rsidR="002B1C77">
        <w:t>en curso</w:t>
      </w:r>
      <w:r w:rsidR="002B1C77" w:rsidRPr="008739F9">
        <w:t xml:space="preserve"> (cifras actuales) y revisar las </w:t>
      </w:r>
      <w:r w:rsidR="002B1C77">
        <w:t>metas</w:t>
      </w:r>
      <w:r w:rsidR="002B1C77" w:rsidRPr="008739F9">
        <w:t xml:space="preserve"> "planeadas" de años futuros</w:t>
      </w:r>
      <w:r w:rsidR="002B1C77">
        <w:t xml:space="preserve">. De esta manera, </w:t>
      </w:r>
      <w:r w:rsidR="002B1C77" w:rsidRPr="008739F9">
        <w:t>detecta las posibles desviaciones en</w:t>
      </w:r>
      <w:r w:rsidR="002B1C77">
        <w:t>tre</w:t>
      </w:r>
      <w:r w:rsidR="002B1C77" w:rsidRPr="008739F9">
        <w:t xml:space="preserve"> las unidades físicas y financieras programadas </w:t>
      </w:r>
      <w:r w:rsidR="002B1C77">
        <w:t xml:space="preserve">y logradas </w:t>
      </w:r>
      <w:r w:rsidR="002B1C77" w:rsidRPr="008739F9">
        <w:t>e identifica las acciones para potenciar el cumplimiento de metas y costos</w:t>
      </w:r>
      <w:r w:rsidR="002B1C77">
        <w:rPr>
          <w:rStyle w:val="FootnoteReference"/>
        </w:rPr>
        <w:footnoteReference w:id="21"/>
      </w:r>
      <w:r w:rsidR="002B1C77" w:rsidRPr="008739F9">
        <w:t>.</w:t>
      </w:r>
      <w:r w:rsidR="002B1C77">
        <w:t xml:space="preserve"> Asimismo, el PMR e</w:t>
      </w:r>
      <w:r w:rsidR="002B1C77" w:rsidRPr="00152DB3">
        <w:t xml:space="preserve">s un mecanismo para monitorear el desempeño del proyecto e indispensable para preparar el Informe de Terminación de Proyecto (PCR). El PMR se </w:t>
      </w:r>
      <w:r w:rsidR="002B1C77">
        <w:t xml:space="preserve">actualiza como mínimo </w:t>
      </w:r>
      <w:r w:rsidR="002B1C77" w:rsidRPr="00152DB3">
        <w:t xml:space="preserve">cada seis meses </w:t>
      </w:r>
      <w:r w:rsidR="002B1C77">
        <w:t xml:space="preserve">y </w:t>
      </w:r>
      <w:r w:rsidR="002B1C77" w:rsidRPr="008739F9">
        <w:t xml:space="preserve">debe </w:t>
      </w:r>
      <w:r w:rsidR="002B1C77">
        <w:t xml:space="preserve">ser </w:t>
      </w:r>
      <w:r w:rsidR="002B1C77" w:rsidRPr="008739F9">
        <w:t>presenta</w:t>
      </w:r>
      <w:r w:rsidR="002B1C77">
        <w:t>do</w:t>
      </w:r>
      <w:r w:rsidR="002B1C77" w:rsidRPr="008739F9">
        <w:t xml:space="preserve"> </w:t>
      </w:r>
      <w:r w:rsidR="002B1C77">
        <w:t>semestralmente</w:t>
      </w:r>
      <w:r w:rsidR="002B1C77" w:rsidRPr="008739F9">
        <w:t xml:space="preserve"> al Banco </w:t>
      </w:r>
      <w:r w:rsidR="002B1C77">
        <w:t>como parte del paquete de herramientas de gestión del</w:t>
      </w:r>
      <w:r w:rsidR="00E01627">
        <w:t xml:space="preserve"> Informe Semestral de Progreso del Programa (</w:t>
      </w:r>
      <w:r w:rsidR="002B1C77">
        <w:t>ISP</w:t>
      </w:r>
      <w:r w:rsidR="00E01627">
        <w:t>)</w:t>
      </w:r>
      <w:r w:rsidR="002B1C77" w:rsidRPr="00152DB3">
        <w:t>.</w:t>
      </w:r>
    </w:p>
    <w:p w14:paraId="2CF08AD5" w14:textId="4EB8371F" w:rsidR="00CB7A13" w:rsidRPr="00CB7A13" w:rsidRDefault="006664A7" w:rsidP="009B54B5">
      <w:pPr>
        <w:pStyle w:val="Estilo1"/>
      </w:pPr>
      <w:r w:rsidRPr="006664A7">
        <w:rPr>
          <w:b/>
          <w:u w:val="single"/>
        </w:rPr>
        <w:t>El Plan de Ejecución Plurianual del Programa (PEP).</w:t>
      </w:r>
      <w:r>
        <w:t xml:space="preserve"> </w:t>
      </w:r>
      <w:r w:rsidR="00B97A56">
        <w:t xml:space="preserve"> </w:t>
      </w:r>
      <w:r>
        <w:t>E</w:t>
      </w:r>
      <w:r w:rsidR="00CB7A13" w:rsidRPr="00CB7A13">
        <w:t>s la base de expectativas globales de ejecución financiera por componente, año y fuente de financiamiento, por el tiempo que dure el Programa. El PEP enumera las acciones que se van a realizar durante todo el periodo de ejecución de la operación para alcanzar los resultados esperados del programa.</w:t>
      </w:r>
      <w:r w:rsidR="00623D64">
        <w:t xml:space="preserve"> El PEP deberá </w:t>
      </w:r>
      <w:r w:rsidR="00623D64" w:rsidRPr="00623D64">
        <w:t>comprender la planificación completa del Proyecto de conformidad con la estructura de los productos esperados según la M</w:t>
      </w:r>
      <w:r w:rsidR="00623D64">
        <w:t xml:space="preserve">dR. </w:t>
      </w:r>
      <w:r w:rsidR="00CB7A13" w:rsidRPr="00CB7A13">
        <w:t xml:space="preserve"> El PEP especifica los montos y los tiempos de los que se dispone para cada uno de los productos y actividades del programa y señala los distintos cronogramas para la consecución de cada uno de los productos, con lo cual se puede considerar como una versión simplificada de un POA multianual. El PEP inicial se prepara en la fase de diseño del proyecto y como anexo a la Propuesta de Desarrollo de la Operación (POD). </w:t>
      </w:r>
      <w:r w:rsidR="00CB7A13" w:rsidRPr="00CB7A13">
        <w:rPr>
          <w:u w:val="single"/>
        </w:rPr>
        <w:t>En la fase de elegibilidad luego de la aprobación del contrato de préstamo respectivo se actualiza y genera el PEP Final</w:t>
      </w:r>
      <w:r w:rsidR="00CB7A13" w:rsidRPr="00CB7A13">
        <w:t xml:space="preserve">, </w:t>
      </w:r>
      <w:r w:rsidR="00CB7A13" w:rsidRPr="00CB7A13">
        <w:rPr>
          <w:u w:val="single"/>
        </w:rPr>
        <w:t>que se presenta al Banco como parte del Informe Inicial del proyecto.</w:t>
      </w:r>
      <w:r w:rsidR="00CB7A13">
        <w:rPr>
          <w:u w:val="single"/>
        </w:rPr>
        <w:t xml:space="preserve"> </w:t>
      </w:r>
      <w:r w:rsidR="00CB7A13" w:rsidRPr="00CB7A13">
        <w:t xml:space="preserve"> En la medida que los proyectos se vean afectados por factores externos que pongan en riesgo el logro de los objetivos, resultados e indicadores, </w:t>
      </w:r>
      <w:r w:rsidR="00CB7A13">
        <w:t xml:space="preserve">el </w:t>
      </w:r>
      <w:r w:rsidR="00CB7A13" w:rsidRPr="00CB7A13">
        <w:t xml:space="preserve">PEP podrá ser modificado, con el debido registro documentado de las razones de los cambios. </w:t>
      </w:r>
      <w:r w:rsidR="00CB7A13" w:rsidRPr="008E31AB">
        <w:rPr>
          <w:u w:val="single"/>
        </w:rPr>
        <w:t xml:space="preserve">Será responsabilidad del </w:t>
      </w:r>
      <w:r w:rsidR="00D7609D">
        <w:rPr>
          <w:u w:val="single"/>
        </w:rPr>
        <w:t>EDG</w:t>
      </w:r>
      <w:r w:rsidR="00CB7A13" w:rsidRPr="008E31AB">
        <w:rPr>
          <w:u w:val="single"/>
        </w:rPr>
        <w:t xml:space="preserve"> documentar, las </w:t>
      </w:r>
      <w:r w:rsidR="00CB7A13">
        <w:rPr>
          <w:u w:val="single"/>
        </w:rPr>
        <w:t xml:space="preserve">actualizaciones y </w:t>
      </w:r>
      <w:r w:rsidR="00CB7A13" w:rsidRPr="008E31AB">
        <w:rPr>
          <w:u w:val="single"/>
        </w:rPr>
        <w:t>modificaciones efectuadas</w:t>
      </w:r>
      <w:r w:rsidR="00CB7A13">
        <w:rPr>
          <w:u w:val="single"/>
        </w:rPr>
        <w:t xml:space="preserve">; </w:t>
      </w:r>
      <w:r w:rsidR="00CB7A13" w:rsidRPr="00CB7A13">
        <w:rPr>
          <w:u w:val="single"/>
        </w:rPr>
        <w:t>cualquier cambio en el PEP que provoca una nueva ruta crítica para el préstamo deberá contar con la “no objeción” previa del Banco</w:t>
      </w:r>
      <w:r w:rsidR="00CB7A13" w:rsidRPr="00CB7A13">
        <w:t>. El PEP deberá ser presentado al Banco como parte del paquete de herramientas de gestión del ISP, junto con el PMR, POA, PA y PF para cada año de ejecución.</w:t>
      </w:r>
    </w:p>
    <w:p w14:paraId="2DFE838F" w14:textId="60FFCF11" w:rsidR="00420166" w:rsidRDefault="006664A7" w:rsidP="009B54B5">
      <w:pPr>
        <w:pStyle w:val="Estilo1"/>
      </w:pPr>
      <w:r w:rsidRPr="006664A7">
        <w:rPr>
          <w:b/>
          <w:u w:val="single"/>
        </w:rPr>
        <w:t>El Plan Operativo Anual (</w:t>
      </w:r>
      <w:r w:rsidR="00B97A56" w:rsidRPr="006664A7">
        <w:rPr>
          <w:b/>
          <w:u w:val="single"/>
        </w:rPr>
        <w:t>POA</w:t>
      </w:r>
      <w:r w:rsidRPr="006664A7">
        <w:rPr>
          <w:b/>
          <w:u w:val="single"/>
        </w:rPr>
        <w:t>).</w:t>
      </w:r>
      <w:r>
        <w:t xml:space="preserve"> D</w:t>
      </w:r>
      <w:r w:rsidR="009C7542" w:rsidRPr="009C7542">
        <w:t xml:space="preserve">etalla las actividades, metas, medios y responsables esperados del Programa para un año calendario específico de ejecución.  El POA es una herramienta de planificación a nivel de actividades, que permite dar seguimiento a la ejecución; </w:t>
      </w:r>
      <w:r w:rsidR="009C7542" w:rsidRPr="009C7542">
        <w:lastRenderedPageBreak/>
        <w:t>se desprende del PEP y establece con detalle la ejecución del proyecto para el año fiscal que se esté planificando; es un instrumento dinámico y abarca todos los aspectos de la ejecución. El POA contiene un cronograma de ejecución de actividades relacionadas fundamentalmente con el alcance de los componentes, subcomponentes y productos del proyecto, la planificación de la gestión de adquisiciones de bienes y servicios (determinante de los tiempos), la planificación de las necesidades de recursos financieros (directamente resultante de la secuencia de adquisiciones que permite anticipar el nivel de desembolsos y “</w:t>
      </w:r>
      <w:r w:rsidR="009C7542" w:rsidRPr="00B97A56">
        <w:rPr>
          <w:i/>
        </w:rPr>
        <w:t>cash flow</w:t>
      </w:r>
      <w:r w:rsidR="009C7542" w:rsidRPr="009C7542">
        <w:t>” requerido, así como el cumplimiento de las salvaguardias ambientales y sociales, la ejecución de las acciones de mitigación de riesgos, las actividades de gestión del proyecto y el monitoreo y evaluación del mismo.</w:t>
      </w:r>
      <w:r w:rsidR="002330E0">
        <w:t xml:space="preserve"> El primer POA alcanzará un período de al menos 18 meses. </w:t>
      </w:r>
      <w:r w:rsidR="009C7542" w:rsidRPr="009C7542">
        <w:t xml:space="preserve"> </w:t>
      </w:r>
      <w:r w:rsidR="0073095D" w:rsidRPr="008E31AB">
        <w:rPr>
          <w:u w:val="single"/>
        </w:rPr>
        <w:t xml:space="preserve">Será responsabilidad del </w:t>
      </w:r>
      <w:r w:rsidR="00D7609D">
        <w:rPr>
          <w:u w:val="single"/>
        </w:rPr>
        <w:t>EDG</w:t>
      </w:r>
      <w:r w:rsidR="0073095D" w:rsidRPr="008E31AB">
        <w:rPr>
          <w:u w:val="single"/>
        </w:rPr>
        <w:t xml:space="preserve"> documentar, las </w:t>
      </w:r>
      <w:r w:rsidR="0073095D">
        <w:rPr>
          <w:u w:val="single"/>
        </w:rPr>
        <w:t xml:space="preserve">actualizaciones y </w:t>
      </w:r>
      <w:r w:rsidR="0073095D" w:rsidRPr="008E31AB">
        <w:rPr>
          <w:u w:val="single"/>
        </w:rPr>
        <w:t>modificaciones efectuadas</w:t>
      </w:r>
      <w:r w:rsidR="0073095D">
        <w:t>, c</w:t>
      </w:r>
      <w:r w:rsidR="009C7542" w:rsidRPr="009C7542">
        <w:t>ualquier cambio en el POA que provoque una</w:t>
      </w:r>
      <w:r w:rsidR="0073095D">
        <w:t xml:space="preserve"> nueva </w:t>
      </w:r>
      <w:r w:rsidR="009C7542" w:rsidRPr="009C7542">
        <w:t>ruta crítica para el préstamo deberá contar con la “no objeción” previa del Banco. Este instrumento se constituye en el insumo principal para la formulación del presupuesto del proyecto de cada año.  El POA deberá ser presentado al Banco como parte del paquete de herramientas de gestión del ISP, junto con el PMR, PEP, PA y PF para cada año de ejecución.</w:t>
      </w:r>
      <w:r w:rsidR="00420166">
        <w:t xml:space="preserve"> </w:t>
      </w:r>
    </w:p>
    <w:p w14:paraId="1809BE6C" w14:textId="45FB96B9" w:rsidR="00420166" w:rsidRDefault="006664A7" w:rsidP="009B54B5">
      <w:pPr>
        <w:pStyle w:val="Estilo1"/>
      </w:pPr>
      <w:r w:rsidRPr="006664A7">
        <w:rPr>
          <w:b/>
          <w:u w:val="single"/>
        </w:rPr>
        <w:t>El Plan de Adquisiciones (</w:t>
      </w:r>
      <w:r w:rsidR="00B97A56" w:rsidRPr="006664A7">
        <w:rPr>
          <w:b/>
          <w:u w:val="single"/>
        </w:rPr>
        <w:t>PA</w:t>
      </w:r>
      <w:r w:rsidRPr="006664A7">
        <w:rPr>
          <w:b/>
          <w:u w:val="single"/>
        </w:rPr>
        <w:t>).</w:t>
      </w:r>
      <w:r>
        <w:t xml:space="preserve"> S</w:t>
      </w:r>
      <w:r w:rsidR="00B97A56">
        <w:t xml:space="preserve">e utiliza </w:t>
      </w:r>
      <w:r w:rsidR="00420166">
        <w:t xml:space="preserve">para el control y supervisión de las adquisiciones y contrataciones </w:t>
      </w:r>
      <w:r w:rsidR="00A94B31">
        <w:t>del Programa</w:t>
      </w:r>
      <w:r w:rsidR="00420166">
        <w:t xml:space="preserve">, contiene las adquisiciones previstas para los primeros 18 meses de ejecución y sus </w:t>
      </w:r>
      <w:r w:rsidR="006462CB">
        <w:t xml:space="preserve">posteriores </w:t>
      </w:r>
      <w:r w:rsidR="00420166">
        <w:t xml:space="preserve">actualizaciones anuales. </w:t>
      </w:r>
    </w:p>
    <w:p w14:paraId="48DAF4EC" w14:textId="2D844E8E" w:rsidR="00420166" w:rsidRDefault="006664A7" w:rsidP="009B54B5">
      <w:pPr>
        <w:pStyle w:val="Estilo1"/>
      </w:pPr>
      <w:r w:rsidRPr="006664A7">
        <w:rPr>
          <w:b/>
          <w:u w:val="single"/>
        </w:rPr>
        <w:t>El Plan Financiero (PF) y la Proyección Anual de Flujo de Caja (CF).</w:t>
      </w:r>
      <w:r>
        <w:t xml:space="preserve">  Tr</w:t>
      </w:r>
      <w:r w:rsidR="00B97A56">
        <w:t>aducen</w:t>
      </w:r>
      <w:r w:rsidR="00420166">
        <w:t xml:space="preserve"> el POA y el PA a flujos de efectivo que serán necesarios para llevar a cabo las actividades, adquisiciones y metas planeadas para el año; permite también estimar la magnitud y periodicidad de los desembolsos </w:t>
      </w:r>
      <w:r w:rsidR="00A94B31">
        <w:t>del Préstamo</w:t>
      </w:r>
      <w:r w:rsidR="00420166">
        <w:t xml:space="preserve"> para el mismo período. </w:t>
      </w:r>
    </w:p>
    <w:p w14:paraId="0EE4EC43" w14:textId="3C8B781E" w:rsidR="0073095D" w:rsidRDefault="009E4AE7" w:rsidP="009B54B5">
      <w:pPr>
        <w:pStyle w:val="Estilo1"/>
      </w:pPr>
      <w:r w:rsidRPr="009E4AE7">
        <w:rPr>
          <w:b/>
          <w:u w:val="single"/>
        </w:rPr>
        <w:t>Las Matrices de Gestión de Riesgos del Programa (</w:t>
      </w:r>
      <w:r w:rsidR="00B97A56" w:rsidRPr="009E4AE7">
        <w:rPr>
          <w:b/>
          <w:u w:val="single"/>
        </w:rPr>
        <w:t>GRP</w:t>
      </w:r>
      <w:r w:rsidRPr="009E4AE7">
        <w:rPr>
          <w:b/>
          <w:u w:val="single"/>
        </w:rPr>
        <w:t>).</w:t>
      </w:r>
      <w:r>
        <w:t xml:space="preserve"> S</w:t>
      </w:r>
      <w:r w:rsidR="00B97A56">
        <w:t>e compone</w:t>
      </w:r>
      <w:r>
        <w:t>n</w:t>
      </w:r>
      <w:r w:rsidR="00B97A56">
        <w:t xml:space="preserve"> de </w:t>
      </w:r>
      <w:r w:rsidR="0073095D" w:rsidRPr="0073095D">
        <w:t xml:space="preserve">las matrices de Registro de Riesgos y Factores de Probabilidad (RRF), Matriz de Evaluación de Riesgos (MER); Matriz de Mitigación de Riesgos (MMR). </w:t>
      </w:r>
      <w:r w:rsidR="007375AE">
        <w:t xml:space="preserve">La </w:t>
      </w:r>
      <w:r w:rsidR="0073095D" w:rsidRPr="0073095D">
        <w:t>GRP será actualizado al menos una vez al año al inicio de cada gestión, en un taller conjunto con el Banco, y formará parte del paquete de herramientas de gestión del ISP.</w:t>
      </w:r>
    </w:p>
    <w:p w14:paraId="65C28B10" w14:textId="7057FF3F" w:rsidR="0073095D" w:rsidRPr="0073095D" w:rsidRDefault="0073095D" w:rsidP="009B54B5">
      <w:pPr>
        <w:pStyle w:val="Estilo1"/>
      </w:pPr>
      <w:r w:rsidRPr="0073095D">
        <w:t xml:space="preserve">Cualquier cambio en las Herramientas de Gestión del Programa </w:t>
      </w:r>
      <w:r>
        <w:t xml:space="preserve">deberá ser presentado al BID por parte del </w:t>
      </w:r>
      <w:r w:rsidR="00D7609D">
        <w:t>EDG</w:t>
      </w:r>
      <w:r w:rsidR="00AD7464">
        <w:t>-OE</w:t>
      </w:r>
      <w:r w:rsidRPr="0073095D">
        <w:t>.  Cada modificación, deberá contar con la respectiva justificación y análisis de impacto en el cumplimiento de la M</w:t>
      </w:r>
      <w:r>
        <w:t>dR</w:t>
      </w:r>
      <w:r w:rsidRPr="0073095D">
        <w:t xml:space="preserve">. </w:t>
      </w:r>
    </w:p>
    <w:p w14:paraId="41E53AAB" w14:textId="77777777" w:rsidR="004C1E17" w:rsidRPr="008628E6" w:rsidRDefault="004C1E17" w:rsidP="004C1E17">
      <w:pPr>
        <w:pStyle w:val="Heading2"/>
        <w:spacing w:before="200" w:after="20"/>
        <w:jc w:val="both"/>
      </w:pPr>
      <w:bookmarkStart w:id="63" w:name="_Toc454056459"/>
      <w:bookmarkStart w:id="64" w:name="_Toc15397761"/>
      <w:bookmarkStart w:id="65" w:name="_Toc23797312"/>
      <w:bookmarkStart w:id="66" w:name="_Toc454056460"/>
      <w:r w:rsidRPr="008628E6">
        <w:t xml:space="preserve">Gestión de Adquisiciones y Contrataciones </w:t>
      </w:r>
      <w:r w:rsidRPr="00042D37">
        <w:t>del</w:t>
      </w:r>
      <w:r w:rsidRPr="008628E6">
        <w:t xml:space="preserve"> Programa</w:t>
      </w:r>
      <w:bookmarkEnd w:id="63"/>
      <w:bookmarkEnd w:id="64"/>
      <w:bookmarkEnd w:id="65"/>
    </w:p>
    <w:p w14:paraId="12087902" w14:textId="77777777" w:rsidR="004C1E17" w:rsidRPr="00CA4B28" w:rsidRDefault="004C1E17" w:rsidP="009B54B5">
      <w:pPr>
        <w:pStyle w:val="Estilo1"/>
      </w:pPr>
      <w:r w:rsidRPr="0033398D">
        <w:t>Normas y Procedimientos Aplicables</w:t>
      </w:r>
      <w:r>
        <w:t xml:space="preserve">. </w:t>
      </w:r>
      <w:r w:rsidRPr="00CA4B28">
        <w:t xml:space="preserve"> </w:t>
      </w:r>
    </w:p>
    <w:p w14:paraId="6A16EEC2" w14:textId="34FE0E05" w:rsidR="004C1E17" w:rsidRDefault="004C1E17" w:rsidP="009B54B5">
      <w:pPr>
        <w:pStyle w:val="numeradorom"/>
        <w:numPr>
          <w:ilvl w:val="2"/>
          <w:numId w:val="33"/>
        </w:numPr>
      </w:pPr>
      <w:r w:rsidRPr="00CA4B28">
        <w:rPr>
          <w:b/>
          <w:bCs/>
          <w:u w:val="single"/>
        </w:rPr>
        <w:t>Etapa Pre Contractual.</w:t>
      </w:r>
      <w:r>
        <w:t xml:space="preserve"> </w:t>
      </w:r>
      <w:r w:rsidRPr="00042D37">
        <w:t>Los procesos precontractuales para el Programa se llevarán a cabo de acuerdo con las “Políticas para la Adquisición de Bienes y Obras Financiados por el Banco Interamericano de Desarrollo” Documento GN-2349-9 (en adelante las Políticas del BID), con las “Políticas para la Selección y Contratación de Consultores Financiados por el Banco Interamericano de Desarrollo” Documento GN-2350-9 (en adelante las Políticas del BID), con los lineamientos establecidos en este ROP, con los instructivos que emita el BID en materia de adquisiciones, con las disposiciones establecidas en los Documentos Estándar de Licitación (DEL) y Documentos Estándar de Solicitud de Propuestas (D</w:t>
      </w:r>
      <w:r>
        <w:t>E</w:t>
      </w:r>
      <w:r w:rsidRPr="00042D37">
        <w:t>SP) del BID, y con las disposiciones establecidas en los Documentos de Licitación y Documentos de Solicitud de Propuestas aprobados por el BID para contrataciones convocadas en el ámbito nacional.</w:t>
      </w:r>
      <w:r>
        <w:t xml:space="preserve"> El MEF como OE y </w:t>
      </w:r>
      <w:r w:rsidR="00FB3180">
        <w:t xml:space="preserve">los OSE (SGP, VPR) </w:t>
      </w:r>
      <w:r>
        <w:t xml:space="preserve">-a través de </w:t>
      </w:r>
      <w:r w:rsidR="00FB3180">
        <w:t xml:space="preserve">sus </w:t>
      </w:r>
      <w:r>
        <w:t xml:space="preserve">EDG acordarán con el Banco el procedimiento a aplicar, para todo aquello que no esté incluido en las normas del BID, en este ROP, en los instructivos emitidos por el BID, o en los documentos en materia de adquisiciones. La aplicación del Sistema Nacional de Contratación Pública (SNCP) del Ecuador se aplicará en la medida que la República del Ecuador haya acordado con el BID, mediante convenio de uso del SNCP suscrito entre ambas partes.  La aplicación del SNCP se reflejará en el Plan de Adquisiciones aprobado por el BID, el cual indicará los métodos del SNCP que se utilizarán en los procesos. </w:t>
      </w:r>
    </w:p>
    <w:p w14:paraId="0CD268B0" w14:textId="77777777" w:rsidR="004C1E17" w:rsidRPr="00CA4B28" w:rsidRDefault="004C1E17" w:rsidP="009B54B5">
      <w:pPr>
        <w:pStyle w:val="numeradorom"/>
        <w:numPr>
          <w:ilvl w:val="2"/>
          <w:numId w:val="33"/>
        </w:numPr>
        <w:rPr>
          <w:b/>
          <w:bCs/>
          <w:u w:val="single"/>
        </w:rPr>
      </w:pPr>
      <w:r w:rsidRPr="00CA4B28">
        <w:rPr>
          <w:b/>
          <w:bCs/>
          <w:u w:val="single"/>
        </w:rPr>
        <w:t xml:space="preserve">Etapa Contractual. </w:t>
      </w:r>
      <w:r w:rsidRPr="00CA4B28">
        <w:t xml:space="preserve">La administración de los contratos se regirá por las disposiciones contenidas en los modelos estándar de contratos que forman parte de los DEL y </w:t>
      </w:r>
      <w:r>
        <w:t>DESP</w:t>
      </w:r>
      <w:r w:rsidRPr="00CA4B28">
        <w:t xml:space="preserve">, </w:t>
      </w:r>
      <w:r w:rsidRPr="00CA4B28">
        <w:lastRenderedPageBreak/>
        <w:t>y la legislación nacional del país para todo lo que no esté contemplado en dichos contratos.</w:t>
      </w:r>
    </w:p>
    <w:p w14:paraId="7F06E41A" w14:textId="77777777" w:rsidR="004C1E17" w:rsidRPr="00F347B4" w:rsidRDefault="004C1E17" w:rsidP="009B54B5">
      <w:pPr>
        <w:pStyle w:val="Estilo1"/>
        <w:rPr>
          <w:b/>
          <w:u w:val="single"/>
        </w:rPr>
      </w:pPr>
      <w:r w:rsidRPr="00F347B4">
        <w:rPr>
          <w:b/>
          <w:u w:val="single"/>
        </w:rPr>
        <w:t xml:space="preserve">DEL, </w:t>
      </w:r>
      <w:r>
        <w:rPr>
          <w:b/>
          <w:u w:val="single"/>
        </w:rPr>
        <w:t>DESP</w:t>
      </w:r>
      <w:r w:rsidRPr="00F347B4">
        <w:rPr>
          <w:b/>
          <w:u w:val="single"/>
        </w:rPr>
        <w:t xml:space="preserve"> y sitios de publicidad o convocatoria obligatoria</w:t>
      </w:r>
      <w:r>
        <w:rPr>
          <w:b/>
          <w:u w:val="single"/>
        </w:rPr>
        <w:t>.</w:t>
      </w:r>
      <w:r>
        <w:t xml:space="preserve"> </w:t>
      </w:r>
      <w:r w:rsidRPr="00F347B4">
        <w:t xml:space="preserve">Los procesos de licitación para la adquisición de bienes, contratación de obras y contratación de servicios diferentes de consultoría, y los procesos de selección para la contratación de servicios de consultoría previstos para la ejecución del Programa Multipropósito harán uso de los DEL o </w:t>
      </w:r>
      <w:r>
        <w:t>DESP</w:t>
      </w:r>
      <w:r w:rsidRPr="00F347B4">
        <w:t xml:space="preserve"> estándares del BID o acordados con el BID; y utilizarán obligatoriamente los medios de publicidad o convocatoria según se indica a continuación:</w:t>
      </w:r>
    </w:p>
    <w:p w14:paraId="4669B42E" w14:textId="4DA643FD" w:rsidR="004C1E17" w:rsidRDefault="004C1E17" w:rsidP="004C1E17">
      <w:pPr>
        <w:pStyle w:val="Caption"/>
        <w:keepNext/>
      </w:pPr>
      <w:bookmarkStart w:id="67" w:name="_Ref14944825"/>
      <w:bookmarkStart w:id="68" w:name="_Toc15397733"/>
      <w:bookmarkStart w:id="69" w:name="_Toc23797279"/>
      <w:r>
        <w:t xml:space="preserve">Tabla </w:t>
      </w:r>
      <w:fldSimple w:instr=" SEQ Tabla \* ARABIC ">
        <w:r w:rsidR="003538B4">
          <w:rPr>
            <w:noProof/>
          </w:rPr>
          <w:t>3</w:t>
        </w:r>
      </w:fldSimple>
      <w:r>
        <w:t>. Documentos Básicos de Contratación (DBC)</w:t>
      </w:r>
      <w:r w:rsidRPr="008037E6">
        <w:t xml:space="preserve"> y Medios de Publicidad</w:t>
      </w:r>
      <w:r>
        <w:t xml:space="preserve"> </w:t>
      </w:r>
      <w:r w:rsidRPr="008037E6">
        <w:t>/</w:t>
      </w:r>
      <w:r>
        <w:t xml:space="preserve"> </w:t>
      </w:r>
      <w:r w:rsidRPr="008037E6">
        <w:t>Convocatoria por Categoría y Cuantía de Contratación</w:t>
      </w:r>
      <w:bookmarkEnd w:id="67"/>
      <w:bookmarkEnd w:id="68"/>
      <w:bookmarkEnd w:id="69"/>
    </w:p>
    <w:tbl>
      <w:tblPr>
        <w:tblW w:w="5000" w:type="pct"/>
        <w:tblLayout w:type="fixed"/>
        <w:tblLook w:val="04A0" w:firstRow="1" w:lastRow="0" w:firstColumn="1" w:lastColumn="0" w:noHBand="0" w:noVBand="1"/>
      </w:tblPr>
      <w:tblGrid>
        <w:gridCol w:w="1271"/>
        <w:gridCol w:w="2694"/>
        <w:gridCol w:w="2551"/>
        <w:gridCol w:w="2544"/>
      </w:tblGrid>
      <w:tr w:rsidR="004C1E17" w:rsidRPr="00495A9F" w14:paraId="6E82361F" w14:textId="77777777" w:rsidTr="00D51933">
        <w:trPr>
          <w:tblHeader/>
        </w:trPr>
        <w:tc>
          <w:tcPr>
            <w:tcW w:w="70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321091" w14:textId="77777777" w:rsidR="004C1E17" w:rsidRPr="00495A9F" w:rsidRDefault="004C1E17" w:rsidP="00D51933">
            <w:pPr>
              <w:spacing w:before="80" w:after="80"/>
              <w:jc w:val="center"/>
              <w:rPr>
                <w:rFonts w:ascii="Arial Narrow" w:hAnsi="Arial Narrow"/>
                <w:b/>
                <w:sz w:val="21"/>
                <w:szCs w:val="21"/>
                <w:u w:val="single"/>
              </w:rPr>
            </w:pPr>
            <w:r w:rsidRPr="00495A9F">
              <w:rPr>
                <w:rFonts w:ascii="Arial Narrow" w:hAnsi="Arial Narrow"/>
                <w:b/>
                <w:sz w:val="21"/>
                <w:szCs w:val="21"/>
                <w:u w:val="single"/>
              </w:rPr>
              <w:t>Cuantías US$</w:t>
            </w:r>
          </w:p>
        </w:tc>
        <w:tc>
          <w:tcPr>
            <w:tcW w:w="148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B26BEE" w14:textId="77777777" w:rsidR="004C1E17" w:rsidRPr="00495A9F" w:rsidRDefault="004C1E17" w:rsidP="00D51933">
            <w:pPr>
              <w:spacing w:before="80" w:after="80"/>
              <w:jc w:val="center"/>
              <w:rPr>
                <w:rFonts w:ascii="Arial Narrow" w:hAnsi="Arial Narrow"/>
                <w:b/>
                <w:sz w:val="21"/>
                <w:szCs w:val="21"/>
                <w:u w:val="single"/>
              </w:rPr>
            </w:pPr>
            <w:r w:rsidRPr="00495A9F">
              <w:rPr>
                <w:rFonts w:ascii="Arial Narrow" w:hAnsi="Arial Narrow"/>
                <w:b/>
                <w:sz w:val="21"/>
                <w:szCs w:val="21"/>
                <w:u w:val="single"/>
              </w:rPr>
              <w:t>Documento que aplica</w:t>
            </w:r>
          </w:p>
        </w:tc>
        <w:tc>
          <w:tcPr>
            <w:tcW w:w="14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E380D3" w14:textId="77777777" w:rsidR="004C1E17" w:rsidRPr="00495A9F" w:rsidRDefault="004C1E17" w:rsidP="00D51933">
            <w:pPr>
              <w:spacing w:before="80" w:after="80"/>
              <w:jc w:val="center"/>
              <w:rPr>
                <w:rFonts w:ascii="Arial Narrow" w:hAnsi="Arial Narrow"/>
                <w:b/>
                <w:sz w:val="21"/>
                <w:szCs w:val="21"/>
                <w:u w:val="single"/>
              </w:rPr>
            </w:pPr>
            <w:r w:rsidRPr="00495A9F">
              <w:rPr>
                <w:rFonts w:ascii="Arial Narrow" w:hAnsi="Arial Narrow"/>
                <w:b/>
                <w:sz w:val="21"/>
                <w:szCs w:val="21"/>
                <w:u w:val="single"/>
              </w:rPr>
              <w:t xml:space="preserve">Sitio para Descarga del DEL o </w:t>
            </w:r>
            <w:r>
              <w:rPr>
                <w:rFonts w:ascii="Arial Narrow" w:hAnsi="Arial Narrow"/>
                <w:b/>
                <w:sz w:val="21"/>
                <w:szCs w:val="21"/>
                <w:u w:val="single"/>
              </w:rPr>
              <w:t>DESP</w:t>
            </w:r>
          </w:p>
        </w:tc>
        <w:tc>
          <w:tcPr>
            <w:tcW w:w="140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D1DFC3" w14:textId="77777777" w:rsidR="004C1E17" w:rsidRPr="00495A9F" w:rsidRDefault="004C1E17" w:rsidP="00D51933">
            <w:pPr>
              <w:spacing w:before="80" w:after="80"/>
              <w:jc w:val="center"/>
              <w:rPr>
                <w:rFonts w:ascii="Arial Narrow" w:hAnsi="Arial Narrow"/>
                <w:b/>
                <w:sz w:val="21"/>
                <w:szCs w:val="21"/>
                <w:u w:val="single"/>
              </w:rPr>
            </w:pPr>
            <w:r w:rsidRPr="00495A9F">
              <w:rPr>
                <w:rFonts w:ascii="Arial Narrow" w:hAnsi="Arial Narrow"/>
                <w:b/>
                <w:sz w:val="21"/>
                <w:szCs w:val="21"/>
                <w:u w:val="single"/>
              </w:rPr>
              <w:t>Sitio de Publicidad o Convocatoria</w:t>
            </w:r>
          </w:p>
        </w:tc>
      </w:tr>
      <w:tr w:rsidR="004C1E17" w:rsidRPr="00495A9F" w14:paraId="3BE42339" w14:textId="77777777" w:rsidTr="00D51933">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632DE3" w14:textId="77777777" w:rsidR="004C1E17" w:rsidRPr="00495A9F" w:rsidRDefault="004C1E17" w:rsidP="00D51933">
            <w:pPr>
              <w:spacing w:before="80" w:after="60"/>
              <w:jc w:val="left"/>
              <w:rPr>
                <w:rFonts w:ascii="Arial Narrow" w:hAnsi="Arial Narrow"/>
                <w:b/>
                <w:sz w:val="21"/>
                <w:szCs w:val="21"/>
                <w:lang w:val="en-US"/>
              </w:rPr>
            </w:pPr>
            <w:r w:rsidRPr="00495A9F">
              <w:rPr>
                <w:rFonts w:ascii="Arial Narrow" w:hAnsi="Arial Narrow"/>
                <w:b/>
                <w:sz w:val="21"/>
                <w:szCs w:val="21"/>
              </w:rPr>
              <w:t xml:space="preserve">     Obras</w:t>
            </w:r>
          </w:p>
        </w:tc>
      </w:tr>
      <w:tr w:rsidR="004C1E17" w:rsidRPr="00495A9F" w14:paraId="7BD8A577"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3A281FAB"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&gt; 10.000.000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053B46B"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DEL “Contratación de Obras y Guía de Usuario”.  (versión 2011 o actualizaciones)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163D49C9"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Portal del BID </w:t>
            </w:r>
          </w:p>
          <w:p w14:paraId="4844607D" w14:textId="77777777" w:rsidR="004C1E17" w:rsidRPr="00495A9F" w:rsidRDefault="00373BCC" w:rsidP="00D51933">
            <w:pPr>
              <w:spacing w:before="40" w:after="40"/>
              <w:jc w:val="left"/>
              <w:rPr>
                <w:rFonts w:ascii="Arial Narrow" w:hAnsi="Arial Narrow"/>
                <w:bCs/>
                <w:sz w:val="21"/>
                <w:szCs w:val="21"/>
              </w:rPr>
            </w:pPr>
            <w:hyperlink r:id="rId13" w:history="1">
              <w:r w:rsidR="004C1E17" w:rsidRPr="00495A9F">
                <w:rPr>
                  <w:rStyle w:val="Hyperlink"/>
                  <w:rFonts w:ascii="Arial Narrow" w:hAnsi="Arial Narrow"/>
                  <w:bCs/>
                  <w:sz w:val="21"/>
                  <w:szCs w:val="21"/>
                </w:rPr>
                <w:t>https://www.iadb.org/es/projects/adquisiciones-de-proyectos</w:t>
              </w:r>
            </w:hyperlink>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0236654B"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lang w:val="en-US"/>
              </w:rPr>
              <w:t xml:space="preserve">Portal del United Nations Development Business (UNDB).  </w:t>
            </w:r>
            <w:r w:rsidRPr="00495A9F">
              <w:rPr>
                <w:rFonts w:ascii="Arial Narrow" w:hAnsi="Arial Narrow"/>
                <w:bCs/>
                <w:sz w:val="21"/>
                <w:szCs w:val="21"/>
              </w:rPr>
              <w:t xml:space="preserve">Solicitudes a: </w:t>
            </w:r>
            <w:hyperlink r:id="rId14" w:history="1">
              <w:r w:rsidRPr="00495A9F">
                <w:rPr>
                  <w:rStyle w:val="Hyperlink"/>
                  <w:rFonts w:ascii="Arial Narrow" w:hAnsi="Arial Narrow"/>
                  <w:bCs/>
                  <w:sz w:val="21"/>
                  <w:szCs w:val="21"/>
                </w:rPr>
                <w:t>dbusiness@un.org</w:t>
              </w:r>
            </w:hyperlink>
          </w:p>
        </w:tc>
      </w:tr>
      <w:tr w:rsidR="004C1E17" w:rsidRPr="00495A9F" w14:paraId="1129A33D"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4150C16A"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 10.000.000</w:t>
            </w:r>
          </w:p>
          <w:p w14:paraId="5218E1BD"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&gt; 3.000.000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1F98EE86"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DEL “Contratación de Obras Menores” </w:t>
            </w:r>
          </w:p>
          <w:p w14:paraId="49033C82"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(versión 2011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1C35190D"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Portal del BID </w:t>
            </w:r>
          </w:p>
          <w:p w14:paraId="3C0EC8B0" w14:textId="77777777" w:rsidR="004C1E17" w:rsidRPr="00495A9F" w:rsidRDefault="00373BCC" w:rsidP="00D51933">
            <w:pPr>
              <w:spacing w:before="40" w:after="40"/>
              <w:jc w:val="left"/>
              <w:rPr>
                <w:rFonts w:ascii="Arial Narrow" w:hAnsi="Arial Narrow"/>
                <w:bCs/>
                <w:sz w:val="21"/>
                <w:szCs w:val="21"/>
              </w:rPr>
            </w:pPr>
            <w:hyperlink r:id="rId15" w:history="1">
              <w:r w:rsidR="004C1E17" w:rsidRPr="00495A9F">
                <w:rPr>
                  <w:rStyle w:val="Hyperlink"/>
                  <w:rFonts w:ascii="Arial Narrow" w:hAnsi="Arial Narrow"/>
                  <w:bCs/>
                  <w:sz w:val="21"/>
                  <w:szCs w:val="21"/>
                </w:rPr>
                <w:t>https://www.iadb.org/es/projects/adquisiciones-de-proyectos</w:t>
              </w:r>
            </w:hyperlink>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1E35CDEC"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lang w:val="en-US"/>
              </w:rPr>
              <w:t xml:space="preserve">Portal del United Nations Development Business (UNDB).  </w:t>
            </w:r>
            <w:r w:rsidRPr="00495A9F">
              <w:rPr>
                <w:rFonts w:ascii="Arial Narrow" w:hAnsi="Arial Narrow"/>
                <w:bCs/>
                <w:sz w:val="21"/>
                <w:szCs w:val="21"/>
              </w:rPr>
              <w:t xml:space="preserve">Solicitudes a: </w:t>
            </w:r>
            <w:hyperlink r:id="rId16" w:history="1">
              <w:r w:rsidRPr="00495A9F">
                <w:rPr>
                  <w:rStyle w:val="Hyperlink"/>
                  <w:rFonts w:ascii="Arial Narrow" w:hAnsi="Arial Narrow"/>
                  <w:bCs/>
                  <w:sz w:val="21"/>
                  <w:szCs w:val="21"/>
                </w:rPr>
                <w:t>dbusiness@un.org</w:t>
              </w:r>
            </w:hyperlink>
          </w:p>
        </w:tc>
      </w:tr>
      <w:tr w:rsidR="004C1E17" w:rsidRPr="00495A9F" w14:paraId="4372CA27"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05682019" w14:textId="77777777" w:rsidR="004C1E17" w:rsidRPr="00495A9F" w:rsidRDefault="004C1E17" w:rsidP="00D51933">
            <w:pPr>
              <w:spacing w:before="40" w:after="40"/>
              <w:ind w:right="-109"/>
              <w:jc w:val="center"/>
              <w:rPr>
                <w:rFonts w:ascii="Arial" w:hAnsi="Arial" w:cs="Arial"/>
                <w:sz w:val="21"/>
                <w:szCs w:val="21"/>
              </w:rPr>
            </w:pPr>
            <w:r w:rsidRPr="00495A9F">
              <w:rPr>
                <w:rFonts w:ascii="Arial Narrow" w:hAnsi="Arial Narrow"/>
                <w:bCs/>
                <w:sz w:val="21"/>
                <w:szCs w:val="21"/>
              </w:rPr>
              <w:t xml:space="preserve">≤ </w:t>
            </w:r>
            <w:r w:rsidRPr="00495A9F">
              <w:rPr>
                <w:rFonts w:ascii="Arial" w:hAnsi="Arial" w:cs="Arial"/>
                <w:sz w:val="21"/>
                <w:szCs w:val="21"/>
              </w:rPr>
              <w:t>3.000.000</w:t>
            </w:r>
          </w:p>
          <w:p w14:paraId="06A416C2" w14:textId="77777777" w:rsidR="004C1E17" w:rsidRPr="00495A9F" w:rsidRDefault="004C1E17" w:rsidP="00D51933">
            <w:pPr>
              <w:spacing w:before="40" w:after="40"/>
              <w:ind w:right="-109"/>
              <w:jc w:val="center"/>
              <w:rPr>
                <w:rFonts w:ascii="Arial Narrow" w:hAnsi="Arial Narrow"/>
                <w:bCs/>
                <w:sz w:val="21"/>
                <w:szCs w:val="21"/>
              </w:rPr>
            </w:pPr>
            <w:r w:rsidRPr="00495A9F">
              <w:rPr>
                <w:rFonts w:ascii="Arial" w:hAnsi="Arial" w:cs="Arial"/>
                <w:sz w:val="21"/>
                <w:szCs w:val="21"/>
              </w:rPr>
              <w:t>&gt; 250.000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6009C261"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Documento de Licitación Pública Nacional para la Contratación de Obras para Ecuador. (versión 10/2012 o actualizaciones)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7172DC07"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5E6FDBBF"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(Solicitar acceso mediante correo al especialista en el Banco) </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044E1B1D"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Periódico de circulación nacional, y/o Portal del SERCOP. Adicionalmente, se puede publicar en el portal institucional del OE</w:t>
            </w:r>
          </w:p>
        </w:tc>
      </w:tr>
      <w:tr w:rsidR="004C1E17" w:rsidRPr="00495A9F" w14:paraId="134EF8CA"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25C210DD"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 250.000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10DA7D5"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 xml:space="preserve">Documento de Solicitud de Cotizaciones para la Contratación de Pequeñas Obras por Comparación de Precios para Ecuador.  (versión 10/2012 o actualizaciones)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23EC5D0A"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3DBA0720"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24B01CD6"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sz w:val="21"/>
                <w:szCs w:val="21"/>
              </w:rPr>
              <w:t>Periódico de circulación nacional, y/o Portal del SERCOP. Adicionalmente, se puede publicar en el portal institucional del OE</w:t>
            </w:r>
          </w:p>
        </w:tc>
      </w:tr>
      <w:tr w:rsidR="004C1E17" w:rsidRPr="00495A9F" w14:paraId="597610CC" w14:textId="77777777" w:rsidTr="00D51933">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B15F4" w14:textId="77777777" w:rsidR="004C1E17" w:rsidRPr="00495A9F" w:rsidRDefault="004C1E17" w:rsidP="00D51933">
            <w:pPr>
              <w:spacing w:before="80" w:after="60"/>
              <w:jc w:val="left"/>
              <w:rPr>
                <w:rFonts w:ascii="Arial Narrow" w:hAnsi="Arial Narrow"/>
                <w:b/>
                <w:sz w:val="21"/>
                <w:szCs w:val="21"/>
              </w:rPr>
            </w:pPr>
            <w:r w:rsidRPr="00495A9F">
              <w:rPr>
                <w:rFonts w:ascii="Arial Narrow" w:hAnsi="Arial Narrow"/>
                <w:b/>
                <w:sz w:val="21"/>
                <w:szCs w:val="21"/>
              </w:rPr>
              <w:t xml:space="preserve">     Bienes y Servicios Diferentes de Consultoría</w:t>
            </w:r>
          </w:p>
        </w:tc>
      </w:tr>
      <w:tr w:rsidR="004C1E17" w:rsidRPr="00495A9F" w14:paraId="6F5C21F6"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216F562D" w14:textId="77777777" w:rsidR="004C1E17" w:rsidRPr="00495A9F" w:rsidRDefault="004C1E17" w:rsidP="00D51933">
            <w:pPr>
              <w:spacing w:before="40" w:after="40"/>
              <w:jc w:val="center"/>
              <w:rPr>
                <w:rFonts w:ascii="Arial Narrow" w:hAnsi="Arial Narrow"/>
                <w:bCs/>
                <w:sz w:val="21"/>
                <w:szCs w:val="21"/>
              </w:rPr>
            </w:pPr>
            <w:r w:rsidRPr="00495A9F">
              <w:rPr>
                <w:rFonts w:ascii="Arial" w:hAnsi="Arial" w:cs="Arial"/>
                <w:sz w:val="21"/>
                <w:szCs w:val="21"/>
              </w:rPr>
              <w:t>&gt; 250.000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749BDAF"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DEL “Adquisición de Bienes”.  (versión 01/2012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72FECB65"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Portal del BID</w:t>
            </w:r>
          </w:p>
          <w:p w14:paraId="33CDE651" w14:textId="1EBB5EE9"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 </w:t>
            </w:r>
            <w:hyperlink r:id="rId17" w:history="1">
              <w:r w:rsidR="00A74448" w:rsidRPr="00C00615">
                <w:rPr>
                  <w:rStyle w:val="Hyperlink"/>
                  <w:rFonts w:ascii="Arial Narrow" w:hAnsi="Arial Narrow"/>
                  <w:sz w:val="21"/>
                  <w:szCs w:val="21"/>
                </w:rPr>
                <w:t>https://www.iadb.org/es/projects/adquisiciones-de-proyectos</w:t>
              </w:r>
            </w:hyperlink>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7D097861"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lang w:val="en-US"/>
              </w:rPr>
              <w:t xml:space="preserve">Portal del United Nations Development Business (UNDB).  </w:t>
            </w:r>
            <w:r w:rsidRPr="00495A9F">
              <w:rPr>
                <w:rFonts w:ascii="Arial Narrow" w:hAnsi="Arial Narrow"/>
                <w:sz w:val="21"/>
                <w:szCs w:val="21"/>
              </w:rPr>
              <w:t xml:space="preserve">Solicitudes a: </w:t>
            </w:r>
            <w:hyperlink r:id="rId18" w:history="1">
              <w:r w:rsidRPr="00495A9F">
                <w:rPr>
                  <w:rStyle w:val="Hyperlink"/>
                  <w:rFonts w:ascii="Arial Narrow" w:hAnsi="Arial Narrow"/>
                  <w:sz w:val="21"/>
                  <w:szCs w:val="21"/>
                </w:rPr>
                <w:t>dbusiness@un.org</w:t>
              </w:r>
            </w:hyperlink>
          </w:p>
        </w:tc>
      </w:tr>
      <w:tr w:rsidR="004C1E17" w:rsidRPr="00495A9F" w14:paraId="0EE6E8C3"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3C8FDCF8" w14:textId="77777777" w:rsidR="004C1E17" w:rsidRPr="00495A9F" w:rsidRDefault="004C1E17" w:rsidP="00D51933">
            <w:pPr>
              <w:spacing w:before="40" w:after="40"/>
              <w:ind w:right="-106"/>
              <w:jc w:val="center"/>
              <w:rPr>
                <w:rFonts w:ascii="Arial" w:hAnsi="Arial" w:cs="Arial"/>
                <w:sz w:val="21"/>
                <w:szCs w:val="21"/>
              </w:rPr>
            </w:pPr>
            <w:r w:rsidRPr="00495A9F">
              <w:rPr>
                <w:rFonts w:ascii="Arial" w:hAnsi="Arial" w:cs="Arial"/>
                <w:sz w:val="21"/>
                <w:szCs w:val="21"/>
              </w:rPr>
              <w:t xml:space="preserve"> </w:t>
            </w:r>
            <w:r w:rsidRPr="00495A9F">
              <w:rPr>
                <w:rFonts w:ascii="Arial Narrow" w:hAnsi="Arial Narrow"/>
                <w:bCs/>
                <w:sz w:val="21"/>
                <w:szCs w:val="21"/>
              </w:rPr>
              <w:t>≤</w:t>
            </w:r>
            <w:r w:rsidRPr="00495A9F">
              <w:rPr>
                <w:rFonts w:ascii="Arial" w:hAnsi="Arial" w:cs="Arial"/>
                <w:sz w:val="21"/>
                <w:szCs w:val="21"/>
              </w:rPr>
              <w:t>250.000</w:t>
            </w:r>
          </w:p>
          <w:p w14:paraId="761CE0A5" w14:textId="77777777" w:rsidR="004C1E17" w:rsidRPr="00495A9F" w:rsidRDefault="004C1E17" w:rsidP="00D51933">
            <w:pPr>
              <w:spacing w:before="40" w:after="40"/>
              <w:jc w:val="center"/>
              <w:rPr>
                <w:rFonts w:ascii="Arial Narrow" w:hAnsi="Arial Narrow"/>
                <w:bCs/>
                <w:sz w:val="21"/>
                <w:szCs w:val="21"/>
              </w:rPr>
            </w:pPr>
            <w:r w:rsidRPr="00495A9F">
              <w:rPr>
                <w:rFonts w:ascii="Arial" w:hAnsi="Arial" w:cs="Arial"/>
                <w:sz w:val="21"/>
                <w:szCs w:val="21"/>
              </w:rPr>
              <w:t>&gt;50.000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CE30FE1"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Documento de Licitación Pública Nacional para la Adquisición de Bienes para Ecuador.  (versión 10/2012 o actualizaciones)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3DE500FB"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156379A6"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243E8E54"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Periódico de circulación nacional, y/o Portal del SERCOP. Adicionalmente, se puede publicar en el portal institucional del OE</w:t>
            </w:r>
          </w:p>
        </w:tc>
      </w:tr>
      <w:tr w:rsidR="004C1E17" w:rsidRPr="00495A9F" w14:paraId="164FB1E4"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4B7C35D0"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Bienes</w:t>
            </w:r>
          </w:p>
          <w:p w14:paraId="77295682"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 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8B34A"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Documento de Invitación para la Adquisición de Bienes por Comparación de Precios para Ecuador.  (versión 10/2012 o actualizaciones)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0532CD51"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08FB4F15"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2C158404"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Con convocatoria:</w:t>
            </w:r>
          </w:p>
          <w:p w14:paraId="50764772"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Portal del SERCOP. Adicionalmente, se puede publicar en el portal institucional del OE </w:t>
            </w:r>
          </w:p>
          <w:p w14:paraId="649FD0E1"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Con invitación dirigida:</w:t>
            </w:r>
          </w:p>
          <w:p w14:paraId="621D3A3A"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Invitación a proveedores, cuidando obtener al menos 3 ofertas comparables</w:t>
            </w:r>
          </w:p>
        </w:tc>
      </w:tr>
      <w:tr w:rsidR="004C1E17" w:rsidRPr="00495A9F" w14:paraId="4C995973"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0A68441C"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 xml:space="preserve">Servicios diferentes de </w:t>
            </w:r>
            <w:r w:rsidRPr="00495A9F">
              <w:rPr>
                <w:rFonts w:ascii="Arial Narrow" w:hAnsi="Arial Narrow"/>
                <w:bCs/>
                <w:sz w:val="21"/>
                <w:szCs w:val="21"/>
              </w:rPr>
              <w:lastRenderedPageBreak/>
              <w:t>Consultoría ≤50.000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5D099633"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lastRenderedPageBreak/>
              <w:t xml:space="preserve">Documento de Invitación para la Contratación de Servicios </w:t>
            </w:r>
            <w:r w:rsidRPr="00495A9F">
              <w:rPr>
                <w:rFonts w:ascii="Arial Narrow" w:hAnsi="Arial Narrow"/>
                <w:sz w:val="21"/>
                <w:szCs w:val="21"/>
              </w:rPr>
              <w:lastRenderedPageBreak/>
              <w:t>Diferentes de Consultoría por Comparación de Precios para Ecuador.  (versión 10/2012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53D40CED"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lastRenderedPageBreak/>
              <w:t>Toolkit</w:t>
            </w:r>
            <w:r w:rsidRPr="00495A9F">
              <w:rPr>
                <w:rFonts w:ascii="Arial Narrow" w:hAnsi="Arial Narrow"/>
                <w:bCs/>
                <w:sz w:val="21"/>
                <w:szCs w:val="21"/>
              </w:rPr>
              <w:t xml:space="preserve"> del BID en Ecuador</w:t>
            </w:r>
          </w:p>
          <w:p w14:paraId="0900B73E"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lastRenderedPageBreak/>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7B828283"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lastRenderedPageBreak/>
              <w:t>Con convocatoria:</w:t>
            </w:r>
          </w:p>
          <w:p w14:paraId="58D5D63F"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lastRenderedPageBreak/>
              <w:t xml:space="preserve">Portal del SERCOP. Adicionalmente, se puede publicar en el portal institucional del OE </w:t>
            </w:r>
          </w:p>
          <w:p w14:paraId="1E891611"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Con invitación dirigida:</w:t>
            </w:r>
          </w:p>
          <w:p w14:paraId="0C20423A"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Invitación a proveedores, cuidando obtener al menos 3 ofertas válidas y comparables</w:t>
            </w:r>
          </w:p>
        </w:tc>
      </w:tr>
      <w:tr w:rsidR="004C1E17" w:rsidRPr="00495A9F" w14:paraId="30CD043B" w14:textId="77777777" w:rsidTr="00D51933">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097B54" w14:textId="77777777" w:rsidR="004C1E17" w:rsidRPr="00495A9F" w:rsidRDefault="004C1E17" w:rsidP="00D51933">
            <w:pPr>
              <w:spacing w:before="80" w:after="60"/>
              <w:jc w:val="left"/>
              <w:rPr>
                <w:rFonts w:ascii="Arial Narrow" w:hAnsi="Arial Narrow"/>
                <w:b/>
                <w:sz w:val="21"/>
                <w:szCs w:val="21"/>
              </w:rPr>
            </w:pPr>
            <w:r w:rsidRPr="00495A9F">
              <w:rPr>
                <w:rFonts w:ascii="Arial Narrow" w:hAnsi="Arial Narrow"/>
                <w:b/>
                <w:sz w:val="21"/>
                <w:szCs w:val="21"/>
              </w:rPr>
              <w:lastRenderedPageBreak/>
              <w:t xml:space="preserve">     Servicios de Consultoría</w:t>
            </w:r>
          </w:p>
        </w:tc>
      </w:tr>
      <w:tr w:rsidR="004C1E17" w:rsidRPr="00495A9F" w14:paraId="38883432"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4428268C" w14:textId="77777777" w:rsidR="004C1E17" w:rsidRPr="00495A9F" w:rsidRDefault="004C1E17" w:rsidP="00D51933">
            <w:pPr>
              <w:spacing w:before="40" w:after="40"/>
              <w:jc w:val="center"/>
              <w:rPr>
                <w:rFonts w:ascii="Arial Narrow" w:hAnsi="Arial Narrow"/>
                <w:bCs/>
                <w:sz w:val="21"/>
                <w:szCs w:val="21"/>
              </w:rPr>
            </w:pPr>
            <w:r w:rsidRPr="00495A9F">
              <w:rPr>
                <w:rFonts w:ascii="Arial" w:hAnsi="Arial" w:cs="Arial"/>
                <w:sz w:val="21"/>
                <w:szCs w:val="21"/>
                <w:u w:val="single"/>
                <w:lang w:val="es-ES"/>
              </w:rPr>
              <w:t>&gt;</w:t>
            </w:r>
            <w:r w:rsidRPr="00495A9F">
              <w:rPr>
                <w:rFonts w:ascii="Arial" w:hAnsi="Arial" w:cs="Arial"/>
                <w:sz w:val="21"/>
                <w:szCs w:val="21"/>
              </w:rPr>
              <w:t>200.000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535B9DE7"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Documento Estándar de Contratación “Solicitud Estándar de Propuestas” (versión 07/2013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7CC586F9"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Portal del BID </w:t>
            </w:r>
            <w:hyperlink r:id="rId19" w:history="1">
              <w:r w:rsidRPr="00495A9F">
                <w:rPr>
                  <w:rStyle w:val="Hyperlink"/>
                  <w:rFonts w:ascii="Arial Narrow" w:hAnsi="Arial Narrow"/>
                  <w:sz w:val="21"/>
                  <w:szCs w:val="21"/>
                </w:rPr>
                <w:t>https://www.iadb.org/es/projects/adquisiciones-de-proyectos</w:t>
              </w:r>
            </w:hyperlink>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40D7F96A"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lang w:val="en-US"/>
              </w:rPr>
              <w:t xml:space="preserve">Portal del United Nations Development Business (UNDB).  </w:t>
            </w:r>
            <w:r w:rsidRPr="00495A9F">
              <w:rPr>
                <w:rFonts w:ascii="Arial Narrow" w:hAnsi="Arial Narrow"/>
                <w:sz w:val="21"/>
                <w:szCs w:val="21"/>
              </w:rPr>
              <w:t xml:space="preserve">Solicitudes a: </w:t>
            </w:r>
            <w:hyperlink r:id="rId20" w:history="1">
              <w:r w:rsidRPr="00495A9F">
                <w:rPr>
                  <w:rStyle w:val="Hyperlink"/>
                  <w:rFonts w:ascii="Arial Narrow" w:hAnsi="Arial Narrow"/>
                  <w:sz w:val="21"/>
                  <w:szCs w:val="21"/>
                </w:rPr>
                <w:t>dbusiness@un.org</w:t>
              </w:r>
            </w:hyperlink>
          </w:p>
        </w:tc>
      </w:tr>
      <w:tr w:rsidR="004C1E17" w:rsidRPr="00495A9F" w14:paraId="2D89AFCF"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5C473017"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&lt; 200.000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20CB899"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Documento para la Selección y Contratación de Firmas Consultoras bajo modalidades SBC, SBCC, SBMC y SBPF para Ecuador (versión 10/2012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2D12A20C"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3EDF5F61"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1A5AEED9"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Periódico de circulación nacional, y/o Portal del SERCOP. Adicionalmente, se puede publicar en el portal institucional del OE</w:t>
            </w:r>
          </w:p>
        </w:tc>
      </w:tr>
      <w:tr w:rsidR="004C1E17" w:rsidRPr="00495A9F" w14:paraId="1C9220EC"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162A5BCA"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&lt; 50.000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21001B6"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Documento para la Selección y Contratación de Firmas Consultoras bajo modalidades SBCC, SBMC y SBPF para Ecuador (versión 10/2012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6B1E9F32"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10CE3994"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52839258"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 xml:space="preserve">Portal del SERCOP. Adicionalmente, se puede publicar en el portal institucional del OE </w:t>
            </w:r>
          </w:p>
        </w:tc>
      </w:tr>
      <w:tr w:rsidR="004C1E17" w:rsidRPr="00495A9F" w14:paraId="07E9827F"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2D05C73E"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&lt;200.000</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51B95044"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Documento para la Selección y Contratación de Firmas Consultoras con presupuesto reducido (hasta US$200,000) bajo modalidad SCC (versión 10/2012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4D492A20"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0AE1FD46"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1ABE0C45"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Periódico de amplia circulación nacional, y/o Portal del SERCOP. Adicionalmente, se puede publicar en el portal institucional del OE</w:t>
            </w:r>
          </w:p>
        </w:tc>
      </w:tr>
      <w:tr w:rsidR="004C1E17" w:rsidRPr="00495A9F" w14:paraId="7461F56E" w14:textId="77777777" w:rsidTr="00D51933">
        <w:tc>
          <w:tcPr>
            <w:tcW w:w="701" w:type="pct"/>
            <w:tcBorders>
              <w:top w:val="single" w:sz="4" w:space="0" w:color="auto"/>
              <w:left w:val="single" w:sz="4" w:space="0" w:color="auto"/>
              <w:bottom w:val="single" w:sz="4" w:space="0" w:color="auto"/>
              <w:right w:val="single" w:sz="4" w:space="0" w:color="auto"/>
            </w:tcBorders>
            <w:shd w:val="clear" w:color="auto" w:fill="auto"/>
          </w:tcPr>
          <w:p w14:paraId="243FE3EE" w14:textId="77777777" w:rsidR="004C1E17" w:rsidRPr="00495A9F" w:rsidRDefault="004C1E17" w:rsidP="00D51933">
            <w:pPr>
              <w:spacing w:before="40" w:after="40"/>
              <w:jc w:val="center"/>
              <w:rPr>
                <w:rFonts w:ascii="Arial Narrow" w:hAnsi="Arial Narrow"/>
                <w:bCs/>
                <w:sz w:val="21"/>
                <w:szCs w:val="21"/>
              </w:rPr>
            </w:pPr>
            <w:r w:rsidRPr="00495A9F">
              <w:rPr>
                <w:rFonts w:ascii="Arial Narrow" w:hAnsi="Arial Narrow"/>
                <w:bCs/>
                <w:sz w:val="21"/>
                <w:szCs w:val="21"/>
              </w:rPr>
              <w:t>Consultoría Individual</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217F83A"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Documento para la Selección y Contratación de Consultor Individual para Ecuador (versión 10/2012 o actualizaciones)</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2C9AAFF3" w14:textId="77777777" w:rsidR="004C1E17" w:rsidRPr="00495A9F" w:rsidRDefault="004C1E17" w:rsidP="00D51933">
            <w:pPr>
              <w:spacing w:before="40" w:after="40"/>
              <w:jc w:val="left"/>
              <w:rPr>
                <w:rFonts w:ascii="Arial Narrow" w:hAnsi="Arial Narrow"/>
                <w:bCs/>
                <w:sz w:val="21"/>
                <w:szCs w:val="21"/>
              </w:rPr>
            </w:pPr>
            <w:r w:rsidRPr="00495A9F">
              <w:rPr>
                <w:rFonts w:ascii="Arial Narrow" w:hAnsi="Arial Narrow"/>
                <w:bCs/>
                <w:i/>
                <w:iCs/>
                <w:sz w:val="21"/>
                <w:szCs w:val="21"/>
              </w:rPr>
              <w:t>Toolkit</w:t>
            </w:r>
            <w:r w:rsidRPr="00495A9F">
              <w:rPr>
                <w:rFonts w:ascii="Arial Narrow" w:hAnsi="Arial Narrow"/>
                <w:bCs/>
                <w:sz w:val="21"/>
                <w:szCs w:val="21"/>
              </w:rPr>
              <w:t xml:space="preserve"> del BID en Ecuador</w:t>
            </w:r>
          </w:p>
          <w:p w14:paraId="455CBFD0"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bCs/>
                <w:sz w:val="21"/>
                <w:szCs w:val="21"/>
              </w:rPr>
              <w:t>(Solicitar acceso mediante correo al especialista en el Banco)</w:t>
            </w:r>
          </w:p>
        </w:tc>
        <w:tc>
          <w:tcPr>
            <w:tcW w:w="1404" w:type="pct"/>
            <w:tcBorders>
              <w:top w:val="single" w:sz="4" w:space="0" w:color="auto"/>
              <w:left w:val="single" w:sz="4" w:space="0" w:color="auto"/>
              <w:bottom w:val="single" w:sz="4" w:space="0" w:color="auto"/>
              <w:right w:val="single" w:sz="4" w:space="0" w:color="auto"/>
            </w:tcBorders>
            <w:shd w:val="clear" w:color="auto" w:fill="auto"/>
          </w:tcPr>
          <w:p w14:paraId="123773CB" w14:textId="77777777" w:rsidR="004C1E17" w:rsidRPr="00495A9F" w:rsidRDefault="004C1E17" w:rsidP="00D51933">
            <w:pPr>
              <w:spacing w:before="40" w:after="40"/>
              <w:jc w:val="left"/>
              <w:rPr>
                <w:rFonts w:ascii="Arial Narrow" w:hAnsi="Arial Narrow"/>
                <w:sz w:val="21"/>
                <w:szCs w:val="21"/>
              </w:rPr>
            </w:pPr>
            <w:r w:rsidRPr="00495A9F">
              <w:rPr>
                <w:rFonts w:ascii="Arial Narrow" w:hAnsi="Arial Narrow"/>
                <w:sz w:val="21"/>
                <w:szCs w:val="21"/>
              </w:rPr>
              <w:t>Portal del SERCOP. Adicionalmente, se puede publicar en el portal institucional del OE</w:t>
            </w:r>
          </w:p>
        </w:tc>
      </w:tr>
    </w:tbl>
    <w:p w14:paraId="6D117020" w14:textId="77777777" w:rsidR="004C1E17" w:rsidRPr="00F347B4" w:rsidRDefault="004C1E17" w:rsidP="009B54B5">
      <w:pPr>
        <w:pStyle w:val="Estilo1"/>
        <w:numPr>
          <w:ilvl w:val="0"/>
          <w:numId w:val="0"/>
        </w:numPr>
      </w:pPr>
    </w:p>
    <w:p w14:paraId="51075C82" w14:textId="77777777" w:rsidR="004C1E17" w:rsidRDefault="004C1E17" w:rsidP="009B54B5">
      <w:pPr>
        <w:pStyle w:val="Estilo1"/>
      </w:pPr>
      <w:r>
        <w:t>Las particularidades para cada proceso de licitación o selección (experiencia, perfil empresarial, perfil profesional, planos, presupuestos y especificaciones técnicas, plazos, aspectos impositivos, formas de pago, garantías, productos/entregables, control de calidad, verificación, etc.), se incorporarán en los DEL o DESP a través de los términos de referencia, especificaciones técnicas o en las secciones que corresponda, y serán la base para establecer los criterios de evaluación y/o los criterios de calificación que conduzcan a seleccionar las mejores ofertas, propuestas o candidatos.</w:t>
      </w:r>
    </w:p>
    <w:p w14:paraId="2274BBD3" w14:textId="2E132453" w:rsidR="004C1E17" w:rsidRDefault="004C1E17" w:rsidP="009B54B5">
      <w:pPr>
        <w:pStyle w:val="Estilo1"/>
      </w:pPr>
      <w:r>
        <w:t xml:space="preserve">De requerirse ajustes a los DEL o DESP indicados en el cuadro anterior, el </w:t>
      </w:r>
      <w:r w:rsidR="00A74448">
        <w:t>OE (MEF)</w:t>
      </w:r>
      <w:r>
        <w:t xml:space="preserve"> o </w:t>
      </w:r>
      <w:r w:rsidR="00FB3180">
        <w:t xml:space="preserve">los OSE (SGP, VPR) </w:t>
      </w:r>
      <w:r>
        <w:t xml:space="preserve">a través del EDG </w:t>
      </w:r>
      <w:r w:rsidR="00A74448">
        <w:t xml:space="preserve">que </w:t>
      </w:r>
      <w:r>
        <w:t>correspond</w:t>
      </w:r>
      <w:r w:rsidR="00A74448">
        <w:t>a</w:t>
      </w:r>
      <w:r w:rsidR="00A74448">
        <w:rPr>
          <w:rStyle w:val="FootnoteReference"/>
        </w:rPr>
        <w:footnoteReference w:id="22"/>
      </w:r>
      <w:r>
        <w:t>, deberá elaborar una propuesta de DEL o DESP modificado, sustentando las razones para realizar los ajustes, y someterla a la No Objeción del Banco previo a utilizar dicho documento. Este procedimiento será obligatorio para todos los procesos de contratación independientemente del porcentaje de financiamiento con fuente BID, de la categoría y cuantía, y de la modalidad de supervisión por parte del BID.</w:t>
      </w:r>
    </w:p>
    <w:p w14:paraId="735643E6" w14:textId="1AAC105D" w:rsidR="004C1E17" w:rsidRDefault="004C1E17" w:rsidP="009B54B5">
      <w:pPr>
        <w:pStyle w:val="Estilo1"/>
      </w:pPr>
      <w:r w:rsidRPr="00284C60">
        <w:rPr>
          <w:b/>
          <w:bCs/>
          <w:u w:val="single"/>
        </w:rPr>
        <w:lastRenderedPageBreak/>
        <w:t>Plan de Adquisiciones</w:t>
      </w:r>
      <w:r>
        <w:t xml:space="preserve">.  </w:t>
      </w:r>
      <w:r w:rsidRPr="00284C60">
        <w:t xml:space="preserve">El Plan de Adquisiciones (PA) aprobado por el Banco es una herramienta de planificación obligatoria, cuya función es la planificación de todas las adquisiciones de obras, bienes, servicios de consultoría y servicios diferentes de consultoría, previstas en el Plan Operativo Anual (POA) y/o en el Plan de Ejecución Plurianual (PEP), para poder dar cumplimiento a los objetivos del Programa, y que requieren de un contrato u orden de compra para ser llevadas a cabo. </w:t>
      </w:r>
      <w:r>
        <w:t xml:space="preserve"> El </w:t>
      </w:r>
      <w:r w:rsidR="00A74448">
        <w:t>OE</w:t>
      </w:r>
      <w:r>
        <w:t xml:space="preserve"> a través de</w:t>
      </w:r>
      <w:r w:rsidR="00A74448">
        <w:t xml:space="preserve"> su </w:t>
      </w:r>
      <w:r>
        <w:t>EDG</w:t>
      </w:r>
      <w:r w:rsidR="00A90150">
        <w:rPr>
          <w:rStyle w:val="FootnoteReference"/>
        </w:rPr>
        <w:footnoteReference w:id="23"/>
      </w:r>
      <w:r>
        <w:t xml:space="preserve">, </w:t>
      </w:r>
      <w:r w:rsidRPr="00284C60">
        <w:t>deberá presentar para la revisión y aprobación del BID, el PA para el Programa.</w:t>
      </w:r>
      <w:r>
        <w:t xml:space="preserve"> </w:t>
      </w:r>
      <w:r w:rsidRPr="00284C60">
        <w:t>El PA será gestionado y aprobado a través del Sistema de Ejecución de Planes de Adquisiciones (SEPA)</w:t>
      </w:r>
      <w:r>
        <w:rPr>
          <w:rStyle w:val="FootnoteReference"/>
        </w:rPr>
        <w:footnoteReference w:id="24"/>
      </w:r>
      <w:r w:rsidRPr="00284C60">
        <w:t xml:space="preserve"> u otro sistema cuando el Banco así lo comunique.</w:t>
      </w:r>
    </w:p>
    <w:p w14:paraId="4F77BBE0" w14:textId="77777777" w:rsidR="004C1E17" w:rsidRDefault="004C1E17" w:rsidP="009B54B5">
      <w:pPr>
        <w:pStyle w:val="Estilo1"/>
      </w:pPr>
      <w:r w:rsidRPr="00284C60">
        <w:t>No podrá iniciarse ningún proceso de adquisición, selección o contratación sea cual fuere su monto si previamente no se encuentra consignado en el PA aprobado por el BID, o para el cual no se cuente con la No Objeción específica y previa del BID autorizando de forma excepcional el inicio del proceso de licitación o de selección cuando este aún no se encuentra incluido en el PA aprobado por el BID. De realizarse un proceso obviando estas previsiones, el BID no estará obligado a reconocer la contratación como elegible para ser financiada con sus recursos u otros recursos que el BID administre en el marco del Programa.</w:t>
      </w:r>
      <w:r>
        <w:t xml:space="preserve"> </w:t>
      </w:r>
    </w:p>
    <w:p w14:paraId="3F6F5AD0" w14:textId="77777777" w:rsidR="004C1E17" w:rsidRDefault="004C1E17" w:rsidP="009B54B5">
      <w:pPr>
        <w:pStyle w:val="Estilo1"/>
      </w:pPr>
      <w:r w:rsidRPr="006A1175">
        <w:t xml:space="preserve">El PA inicial del Programa consiste en un cronograma de las adquisiciones y contrataciones que se prevén realizar durante los primeros 18 (dieciocho) meses de ejecución del Programa. Este Plan deberá corresponder a las actividades y metas establecidas en el POA y/o PEP para ese periodo, para cada categoría establecida en la estructura de financiamiento del Programa. El PA deberá contener la siguiente información: </w:t>
      </w:r>
      <w:r>
        <w:t>(</w:t>
      </w:r>
      <w:r w:rsidRPr="006A1175">
        <w:t xml:space="preserve">i) la descripción de cada contrato para la adquisición de bienes, contratación de obras, contratación de servicios de consultoría, contratación de servicios diferentes de consultoría, y adquisiciones clasificadas como gastos operativos que sean requeridos para el ejecución del Programa; </w:t>
      </w:r>
      <w:r>
        <w:t>(</w:t>
      </w:r>
      <w:r w:rsidRPr="006A1175">
        <w:t xml:space="preserve">ii) el costo estimado de cada contrato; </w:t>
      </w:r>
      <w:r>
        <w:t>(</w:t>
      </w:r>
      <w:r w:rsidRPr="006A1175">
        <w:t xml:space="preserve">iii) los métodos de licitación y de selección a aplicar en las contrataciones, incluyendo los casos en los que se requiere precalificación; </w:t>
      </w:r>
      <w:r>
        <w:t>(</w:t>
      </w:r>
      <w:r w:rsidRPr="006A1175">
        <w:t xml:space="preserve">iv) los procedimientos aplicables para la revisión del BID; </w:t>
      </w:r>
      <w:r>
        <w:t>(</w:t>
      </w:r>
      <w:r w:rsidRPr="006A1175">
        <w:t xml:space="preserve">v) las fechas estimadas de publicación de los avisos específicos de adquisiciones y de terminación de los contratos; y vi) el status del proceso y del contrato suscrito.  </w:t>
      </w:r>
      <w:r>
        <w:t xml:space="preserve"> </w:t>
      </w:r>
    </w:p>
    <w:p w14:paraId="2DFBC09E" w14:textId="77777777" w:rsidR="004C1E17" w:rsidRDefault="004C1E17" w:rsidP="009B54B5">
      <w:pPr>
        <w:pStyle w:val="Estilo1"/>
      </w:pPr>
      <w:r>
        <w:t>El PA deberá ser actualizado cada 12 meses, o según las necesidades que imponga la ejecución del Programa, y cualquier propuesta de revisión al mismo deberá obtener la no objeción del BID antes de iniciar convocatorias de nuevos procesos de licitación o de selección.</w:t>
      </w:r>
    </w:p>
    <w:p w14:paraId="2E194C2F" w14:textId="07821713" w:rsidR="004C1E17" w:rsidRDefault="004C1E17" w:rsidP="009B54B5">
      <w:pPr>
        <w:pStyle w:val="Estilo1"/>
      </w:pPr>
      <w:r>
        <w:t xml:space="preserve">A efecto de lograr la debida operación del SEPA, </w:t>
      </w:r>
      <w:r w:rsidR="00A90150">
        <w:t>el OE</w:t>
      </w:r>
      <w:r>
        <w:t xml:space="preserve"> a través de</w:t>
      </w:r>
      <w:r w:rsidR="00A90150">
        <w:t xml:space="preserve"> su </w:t>
      </w:r>
      <w:r>
        <w:t>EDG</w:t>
      </w:r>
      <w:r w:rsidR="00801B53">
        <w:rPr>
          <w:rStyle w:val="FootnoteReference"/>
        </w:rPr>
        <w:footnoteReference w:id="25"/>
      </w:r>
      <w:r>
        <w:t>, solicitará al BID, de forma inmediatamente posterior a la suscripción del Contrato de Préstamo y/o del cumplimiento de Condiciones Previas del Programa, la habilitación del PA del Programa y de usuarios en el SEPA. Para el efecto deberá utilizarse el formulario V-1 para solicitar el alta del PA del Programa en el SEPA y de los usuarios/perfiles correspondientes; y el formulario V-2 para actualizar la relación de usuarios del SEPA durante la ejecución del Programa, según aplique</w:t>
      </w:r>
      <w:r>
        <w:rPr>
          <w:rStyle w:val="FootnoteReference"/>
        </w:rPr>
        <w:footnoteReference w:id="26"/>
      </w:r>
      <w:r>
        <w:t>.</w:t>
      </w:r>
    </w:p>
    <w:p w14:paraId="1B8C784D" w14:textId="57F1B962" w:rsidR="004C1E17" w:rsidRDefault="004C1E17" w:rsidP="009B54B5">
      <w:pPr>
        <w:pStyle w:val="Estilo1"/>
      </w:pPr>
      <w:r w:rsidRPr="00EE234C">
        <w:rPr>
          <w:b/>
          <w:bCs/>
          <w:u w:val="single"/>
        </w:rPr>
        <w:t>Responsabilidad por las adquisiciones y contrataciones.</w:t>
      </w:r>
      <w:r>
        <w:t xml:space="preserve"> </w:t>
      </w:r>
      <w:r w:rsidRPr="00EE234C">
        <w:t xml:space="preserve"> La responsabilidad por las adquisiciones y contrataciones que se requieran para la </w:t>
      </w:r>
      <w:r>
        <w:t>ejecución de las actividades de</w:t>
      </w:r>
      <w:r w:rsidR="003F07CE">
        <w:t>l componente 3</w:t>
      </w:r>
      <w:r>
        <w:t>, así como de la administración del Programa</w:t>
      </w:r>
      <w:r w:rsidRPr="00EE234C">
        <w:t xml:space="preserve"> corresponderá al</w:t>
      </w:r>
      <w:r>
        <w:t xml:space="preserve"> MEF a través del EDG-MEF</w:t>
      </w:r>
      <w:r w:rsidR="00EF0604">
        <w:t>;</w:t>
      </w:r>
      <w:r w:rsidR="00801B53">
        <w:t xml:space="preserve"> la responsabilidad </w:t>
      </w:r>
      <w:r>
        <w:t xml:space="preserve">para las </w:t>
      </w:r>
      <w:r w:rsidRPr="00EE234C">
        <w:t xml:space="preserve">adquisiciones y contrataciones que se requieran para la </w:t>
      </w:r>
      <w:r>
        <w:t xml:space="preserve">ejecución de las actividades del </w:t>
      </w:r>
      <w:r w:rsidR="00801B53">
        <w:t>c</w:t>
      </w:r>
      <w:r>
        <w:t xml:space="preserve">omponente </w:t>
      </w:r>
      <w:r w:rsidR="00EF0604">
        <w:t>1</w:t>
      </w:r>
      <w:r>
        <w:t xml:space="preserve"> del Programa y de su administración a la </w:t>
      </w:r>
      <w:r w:rsidR="00412ED1">
        <w:t>VPR</w:t>
      </w:r>
      <w:r>
        <w:t xml:space="preserve"> a través del EDG-</w:t>
      </w:r>
      <w:r w:rsidR="00412ED1">
        <w:t>VPR</w:t>
      </w:r>
      <w:r w:rsidR="00801B53">
        <w:t xml:space="preserve">; y, la responsabilidad para las </w:t>
      </w:r>
      <w:r w:rsidR="00801B53" w:rsidRPr="00EE234C">
        <w:t xml:space="preserve">adquisiciones y contrataciones que se requieran para la </w:t>
      </w:r>
      <w:r w:rsidR="00801B53">
        <w:t>ejecución de las actividades de los componentes 2 y 4 del Programa y de su administración a la SGP a través del EDG-SGP</w:t>
      </w:r>
      <w:r w:rsidRPr="00EE234C">
        <w:t>.</w:t>
      </w:r>
    </w:p>
    <w:p w14:paraId="76EFD18D" w14:textId="6D6F9C36" w:rsidR="004C1E17" w:rsidRDefault="004C1E17" w:rsidP="009B54B5">
      <w:pPr>
        <w:pStyle w:val="Estilo1"/>
      </w:pPr>
      <w:r>
        <w:rPr>
          <w:b/>
          <w:bCs/>
          <w:u w:val="single"/>
        </w:rPr>
        <w:t>Funciones y r</w:t>
      </w:r>
      <w:r w:rsidRPr="00842E75">
        <w:rPr>
          <w:b/>
          <w:bCs/>
          <w:u w:val="single"/>
        </w:rPr>
        <w:t>esponsabilidades de los funcionarios del OE, OSE y EDG, relacionados con las adquisiciones del Programa.</w:t>
      </w:r>
      <w:r>
        <w:t xml:space="preserve"> Además de las funcione</w:t>
      </w:r>
      <w:r w:rsidR="00801B53">
        <w:t>s</w:t>
      </w:r>
      <w:r>
        <w:t xml:space="preserve"> y responsabilidades descritas en la sección ‘V. Estructura Administrativa para la Gestión del Programa’ del </w:t>
      </w:r>
      <w:r>
        <w:lastRenderedPageBreak/>
        <w:t>presente ROP a continuación se detallan las funciones y responsabilidades de los funcionarios del OE, OSE y EDG, relacionados con las adquisiciones del Programa:</w:t>
      </w:r>
    </w:p>
    <w:p w14:paraId="6946F52C" w14:textId="6A1060C0" w:rsidR="004C1E17" w:rsidRDefault="004C1E17" w:rsidP="00BD5D10">
      <w:pPr>
        <w:pStyle w:val="Heading3"/>
        <w:rPr>
          <w:lang w:eastAsia="es-ES"/>
        </w:rPr>
      </w:pPr>
      <w:r w:rsidRPr="00701174">
        <w:rPr>
          <w:lang w:eastAsia="es-ES"/>
        </w:rPr>
        <w:t>Coordinador General del Programa</w:t>
      </w:r>
      <w:r>
        <w:rPr>
          <w:lang w:eastAsia="es-ES"/>
        </w:rPr>
        <w:t xml:space="preserve"> (CGP-EDG</w:t>
      </w:r>
      <w:r w:rsidR="00267FF4">
        <w:rPr>
          <w:lang w:eastAsia="es-ES"/>
        </w:rPr>
        <w:t>-</w:t>
      </w:r>
      <w:r>
        <w:rPr>
          <w:lang w:eastAsia="es-ES"/>
        </w:rPr>
        <w:t>MEF)</w:t>
      </w:r>
      <w:r>
        <w:rPr>
          <w:rStyle w:val="FootnoteReference"/>
          <w:lang w:eastAsia="es-ES"/>
        </w:rPr>
        <w:footnoteReference w:id="27"/>
      </w:r>
    </w:p>
    <w:p w14:paraId="62388900" w14:textId="3D05616C" w:rsidR="004C1E17" w:rsidRDefault="004C1E17" w:rsidP="009B54B5">
      <w:pPr>
        <w:pStyle w:val="numeradorom"/>
        <w:numPr>
          <w:ilvl w:val="2"/>
          <w:numId w:val="34"/>
        </w:numPr>
        <w:rPr>
          <w:lang w:eastAsia="es-ES"/>
        </w:rPr>
      </w:pPr>
      <w:r w:rsidRPr="00842E75">
        <w:rPr>
          <w:lang w:eastAsia="es-ES"/>
        </w:rPr>
        <w:t>Disponer la actualización, aprobación y publicación del PA en SEPA con base en el POA y/o PEP, y en disponibilidad presupuestaria para cada contratación según la estimación realizada por el</w:t>
      </w:r>
      <w:r>
        <w:rPr>
          <w:lang w:eastAsia="es-ES"/>
        </w:rPr>
        <w:t xml:space="preserve"> OE y </w:t>
      </w:r>
      <w:r w:rsidR="00267FF4">
        <w:rPr>
          <w:lang w:eastAsia="es-ES"/>
        </w:rPr>
        <w:t xml:space="preserve">los </w:t>
      </w:r>
      <w:r>
        <w:rPr>
          <w:lang w:eastAsia="es-ES"/>
        </w:rPr>
        <w:t>OSE respectivamente</w:t>
      </w:r>
      <w:r>
        <w:rPr>
          <w:rStyle w:val="FootnoteReference"/>
          <w:lang w:eastAsia="es-ES"/>
        </w:rPr>
        <w:footnoteReference w:id="28"/>
      </w:r>
      <w:r>
        <w:rPr>
          <w:lang w:eastAsia="es-ES"/>
        </w:rPr>
        <w:t>.</w:t>
      </w:r>
    </w:p>
    <w:p w14:paraId="2DECB40C" w14:textId="1232CC57" w:rsidR="004C1E17" w:rsidRPr="004225BA" w:rsidRDefault="004C1E17" w:rsidP="00C54F8B">
      <w:pPr>
        <w:pStyle w:val="ListParagraph"/>
        <w:numPr>
          <w:ilvl w:val="2"/>
          <w:numId w:val="34"/>
        </w:numPr>
        <w:jc w:val="both"/>
        <w:rPr>
          <w:rFonts w:ascii="Arial" w:hAnsi="Arial" w:cs="Arial"/>
          <w:spacing w:val="-2"/>
          <w:lang w:val="es-EC" w:eastAsia="es-ES"/>
        </w:rPr>
      </w:pPr>
      <w:r w:rsidRPr="004225BA">
        <w:rPr>
          <w:rFonts w:ascii="Arial" w:hAnsi="Arial"/>
          <w:spacing w:val="-2"/>
          <w:sz w:val="21"/>
          <w:lang w:val="es-EC" w:eastAsia="es-ES"/>
        </w:rPr>
        <w:t>Diligenciar la publicación de avisos de licitación o de selección en los medios de publicidad que corresponda de acuerdo con la categoría y cuantía de la contratación (</w:t>
      </w:r>
      <w:r w:rsidRPr="004225BA">
        <w:rPr>
          <w:rFonts w:ascii="Arial" w:hAnsi="Arial"/>
          <w:spacing w:val="-2"/>
          <w:sz w:val="21"/>
          <w:lang w:val="es-EC" w:eastAsia="es-ES"/>
        </w:rPr>
        <w:fldChar w:fldCharType="begin"/>
      </w:r>
      <w:r w:rsidRPr="004225BA">
        <w:rPr>
          <w:rFonts w:ascii="Arial" w:hAnsi="Arial"/>
          <w:spacing w:val="-2"/>
          <w:sz w:val="21"/>
          <w:lang w:val="es-EC" w:eastAsia="es-ES"/>
        </w:rPr>
        <w:instrText xml:space="preserve"> REF  _Ref14944825 \h  \* MERGEFORMAT </w:instrText>
      </w:r>
      <w:r w:rsidRPr="004225BA">
        <w:rPr>
          <w:rFonts w:ascii="Arial" w:hAnsi="Arial"/>
          <w:spacing w:val="-2"/>
          <w:sz w:val="21"/>
          <w:lang w:val="es-EC" w:eastAsia="es-ES"/>
        </w:rPr>
      </w:r>
      <w:r w:rsidRPr="004225BA">
        <w:rPr>
          <w:rFonts w:ascii="Arial" w:hAnsi="Arial"/>
          <w:spacing w:val="-2"/>
          <w:sz w:val="21"/>
          <w:lang w:val="es-EC" w:eastAsia="es-ES"/>
        </w:rPr>
        <w:fldChar w:fldCharType="separate"/>
      </w:r>
      <w:r w:rsidR="003538B4" w:rsidRPr="003538B4">
        <w:rPr>
          <w:rFonts w:ascii="Arial" w:hAnsi="Arial"/>
          <w:spacing w:val="-2"/>
          <w:sz w:val="21"/>
          <w:lang w:val="es-EC" w:eastAsia="es-ES"/>
        </w:rPr>
        <w:t>Tabla 3. Documentos Básicos de Contratación (DBC) y Medios de Publicidad / Convocatoria por Categoría y Cuantía de Contratación</w:t>
      </w:r>
      <w:r w:rsidRPr="004225BA">
        <w:rPr>
          <w:rFonts w:ascii="Arial" w:hAnsi="Arial"/>
          <w:spacing w:val="-2"/>
          <w:sz w:val="21"/>
          <w:lang w:val="es-EC" w:eastAsia="es-ES"/>
        </w:rPr>
        <w:fldChar w:fldCharType="end"/>
      </w:r>
      <w:r w:rsidRPr="004225BA">
        <w:rPr>
          <w:rFonts w:ascii="Arial" w:hAnsi="Arial"/>
          <w:spacing w:val="-2"/>
          <w:sz w:val="21"/>
          <w:lang w:val="es-EC" w:eastAsia="es-ES"/>
        </w:rPr>
        <w:t>).</w:t>
      </w:r>
    </w:p>
    <w:p w14:paraId="6CC3EB2D" w14:textId="77777777" w:rsidR="004C1E17" w:rsidRDefault="004C1E17" w:rsidP="009B54B5">
      <w:pPr>
        <w:pStyle w:val="numeradorom"/>
        <w:numPr>
          <w:ilvl w:val="2"/>
          <w:numId w:val="34"/>
        </w:numPr>
        <w:rPr>
          <w:lang w:eastAsia="es-ES"/>
        </w:rPr>
      </w:pPr>
      <w:r>
        <w:rPr>
          <w:lang w:eastAsia="es-ES"/>
        </w:rPr>
        <w:t>Gestionar la divulgación de circulares o boletines de aclaraciones y circulares de enmiendas a los Documentos Básicos de Contratación (DBC).</w:t>
      </w:r>
    </w:p>
    <w:p w14:paraId="33220DBE" w14:textId="77777777" w:rsidR="004C1E17" w:rsidRDefault="004C1E17" w:rsidP="009B54B5">
      <w:pPr>
        <w:pStyle w:val="numeradorom"/>
        <w:numPr>
          <w:ilvl w:val="2"/>
          <w:numId w:val="34"/>
        </w:numPr>
        <w:rPr>
          <w:lang w:eastAsia="es-ES"/>
        </w:rPr>
      </w:pPr>
      <w:r>
        <w:rPr>
          <w:lang w:eastAsia="es-ES"/>
        </w:rPr>
        <w:t>Designar a los integrantes de las diferentes Comisiones de Calificaciones.</w:t>
      </w:r>
    </w:p>
    <w:p w14:paraId="3C75F72F" w14:textId="77777777" w:rsidR="004C1E17" w:rsidRDefault="004C1E17" w:rsidP="009B54B5">
      <w:pPr>
        <w:pStyle w:val="numeradorom"/>
        <w:numPr>
          <w:ilvl w:val="2"/>
          <w:numId w:val="34"/>
        </w:numPr>
        <w:rPr>
          <w:lang w:eastAsia="es-ES"/>
        </w:rPr>
      </w:pPr>
      <w:r>
        <w:rPr>
          <w:lang w:eastAsia="es-ES"/>
        </w:rPr>
        <w:t>Gestionar la ampliación del plazo de validez de las ofertas o propuestas, y la extensión de la vigencia de las garantías cuando corresponda.</w:t>
      </w:r>
    </w:p>
    <w:p w14:paraId="149892A7" w14:textId="77777777" w:rsidR="004C1E17" w:rsidRDefault="004C1E17" w:rsidP="009B54B5">
      <w:pPr>
        <w:pStyle w:val="numeradorom"/>
        <w:numPr>
          <w:ilvl w:val="2"/>
          <w:numId w:val="34"/>
        </w:numPr>
        <w:rPr>
          <w:lang w:eastAsia="es-ES"/>
        </w:rPr>
      </w:pPr>
      <w:r>
        <w:rPr>
          <w:lang w:eastAsia="es-ES"/>
        </w:rPr>
        <w:t>Aprobar los informes de las diferentes Comisiones de Calificaciones y sus recomendaciones.</w:t>
      </w:r>
    </w:p>
    <w:p w14:paraId="3C3EDC92" w14:textId="77777777" w:rsidR="004C1E17" w:rsidRDefault="004C1E17" w:rsidP="009B54B5">
      <w:pPr>
        <w:pStyle w:val="numeradorom"/>
        <w:numPr>
          <w:ilvl w:val="2"/>
          <w:numId w:val="34"/>
        </w:numPr>
        <w:rPr>
          <w:lang w:eastAsia="es-ES"/>
        </w:rPr>
      </w:pPr>
      <w:r>
        <w:rPr>
          <w:lang w:eastAsia="es-ES"/>
        </w:rPr>
        <w:t>Cuando se trate de procesos supervisados de forma ex ante por el BID, remitir los informes de las diferentes Comisiones de Calificaciones y sus recomendaciones para la no objeción del BID.</w:t>
      </w:r>
    </w:p>
    <w:p w14:paraId="52A0A6F4" w14:textId="77777777" w:rsidR="004C1E17" w:rsidRDefault="004C1E17" w:rsidP="009B54B5">
      <w:pPr>
        <w:pStyle w:val="numeradorom"/>
        <w:numPr>
          <w:ilvl w:val="2"/>
          <w:numId w:val="34"/>
        </w:numPr>
        <w:rPr>
          <w:lang w:eastAsia="es-ES"/>
        </w:rPr>
      </w:pPr>
      <w:r>
        <w:rPr>
          <w:lang w:eastAsia="es-ES"/>
        </w:rPr>
        <w:t>Cancelar, anular, suspender o declarar desierto el proceso de contratación, con base a la recomendación de las diferentes Comisiones de Calificaciones, de la Unidad Solicitante, de la Gerencia Administrativa y/o de la Unidad Jurídica, respaldada en informes de calificación de ofertas o propuestas, informes técnicos, informes administrativos y/o informes jurídicos, y de conformidad con las disposiciones de los DEL y DESP y las Políticas del BID; o debido a cambio en las prioridades y/o necesidades de la institución.</w:t>
      </w:r>
    </w:p>
    <w:p w14:paraId="7831B747" w14:textId="77777777" w:rsidR="004C1E17" w:rsidRDefault="004C1E17" w:rsidP="009B54B5">
      <w:pPr>
        <w:pStyle w:val="numeradorom"/>
        <w:numPr>
          <w:ilvl w:val="2"/>
          <w:numId w:val="34"/>
        </w:numPr>
        <w:rPr>
          <w:lang w:eastAsia="es-ES"/>
        </w:rPr>
      </w:pPr>
      <w:r>
        <w:rPr>
          <w:lang w:eastAsia="es-ES"/>
        </w:rPr>
        <w:t>Adjudicar o declarar desierta la contratación de bienes, obras o servicios con base en informes de calificación de ofertas o propuestas, informes técnicos, informes administrativos y/o informes jurídicos, y de conformidad con las disposiciones de los DEL y DESP y las Políticas del BID.</w:t>
      </w:r>
    </w:p>
    <w:p w14:paraId="26511A6D" w14:textId="07CDA20D" w:rsidR="004C1E17" w:rsidRPr="004225BA" w:rsidRDefault="004C1E17" w:rsidP="00C54F8B">
      <w:pPr>
        <w:pStyle w:val="ListParagraph"/>
        <w:numPr>
          <w:ilvl w:val="2"/>
          <w:numId w:val="34"/>
        </w:numPr>
        <w:jc w:val="both"/>
        <w:rPr>
          <w:rFonts w:ascii="Arial" w:hAnsi="Arial"/>
          <w:spacing w:val="-2"/>
          <w:sz w:val="21"/>
          <w:lang w:val="es-EC" w:eastAsia="es-ES"/>
        </w:rPr>
      </w:pPr>
      <w:r w:rsidRPr="004225BA">
        <w:rPr>
          <w:rFonts w:ascii="Arial" w:hAnsi="Arial"/>
          <w:spacing w:val="-2"/>
          <w:sz w:val="21"/>
          <w:lang w:val="es-EC" w:eastAsia="es-ES"/>
        </w:rPr>
        <w:t>Diligenciar la publicación de avisos de los resultados de los procesos de licitación o de selección en los medios de publicidad que corresponda de acuerdo con la categoría y cuantía de la contratación (</w:t>
      </w:r>
      <w:r w:rsidRPr="004225BA">
        <w:rPr>
          <w:rFonts w:ascii="Arial" w:hAnsi="Arial"/>
          <w:spacing w:val="-2"/>
          <w:sz w:val="21"/>
          <w:lang w:val="es-EC" w:eastAsia="es-ES"/>
        </w:rPr>
        <w:fldChar w:fldCharType="begin"/>
      </w:r>
      <w:r w:rsidRPr="004225BA">
        <w:rPr>
          <w:rFonts w:ascii="Arial" w:hAnsi="Arial"/>
          <w:spacing w:val="-2"/>
          <w:sz w:val="21"/>
          <w:lang w:val="es-EC" w:eastAsia="es-ES"/>
        </w:rPr>
        <w:instrText xml:space="preserve"> REF  _Ref14944825 \h  \* MERGEFORMAT </w:instrText>
      </w:r>
      <w:r w:rsidRPr="004225BA">
        <w:rPr>
          <w:rFonts w:ascii="Arial" w:hAnsi="Arial"/>
          <w:spacing w:val="-2"/>
          <w:sz w:val="21"/>
          <w:lang w:val="es-EC" w:eastAsia="es-ES"/>
        </w:rPr>
      </w:r>
      <w:r w:rsidRPr="004225BA">
        <w:rPr>
          <w:rFonts w:ascii="Arial" w:hAnsi="Arial"/>
          <w:spacing w:val="-2"/>
          <w:sz w:val="21"/>
          <w:lang w:val="es-EC" w:eastAsia="es-ES"/>
        </w:rPr>
        <w:fldChar w:fldCharType="separate"/>
      </w:r>
      <w:r w:rsidR="003538B4" w:rsidRPr="003538B4">
        <w:rPr>
          <w:rFonts w:ascii="Arial" w:hAnsi="Arial"/>
          <w:spacing w:val="-2"/>
          <w:sz w:val="21"/>
          <w:lang w:val="es-EC" w:eastAsia="es-ES"/>
        </w:rPr>
        <w:t>Tabla 3. Documentos Básicos de Contratación (DBC) y Medios de Publicidad / Convocatoria por Categoría y Cuantía de Contratación</w:t>
      </w:r>
      <w:r w:rsidRPr="004225BA">
        <w:rPr>
          <w:rFonts w:ascii="Arial" w:hAnsi="Arial"/>
          <w:spacing w:val="-2"/>
          <w:sz w:val="21"/>
          <w:lang w:val="es-EC" w:eastAsia="es-ES"/>
        </w:rPr>
        <w:fldChar w:fldCharType="end"/>
      </w:r>
      <w:r w:rsidRPr="004225BA">
        <w:rPr>
          <w:rFonts w:ascii="Arial" w:hAnsi="Arial"/>
          <w:spacing w:val="-2"/>
          <w:sz w:val="21"/>
          <w:lang w:val="es-EC" w:eastAsia="es-ES"/>
        </w:rPr>
        <w:t>).</w:t>
      </w:r>
    </w:p>
    <w:p w14:paraId="106F965A" w14:textId="77777777" w:rsidR="004C1E17" w:rsidRDefault="004C1E17" w:rsidP="009B54B5">
      <w:pPr>
        <w:pStyle w:val="numeradorom"/>
        <w:numPr>
          <w:ilvl w:val="2"/>
          <w:numId w:val="34"/>
        </w:numPr>
        <w:rPr>
          <w:lang w:eastAsia="es-ES"/>
        </w:rPr>
      </w:pPr>
      <w:r>
        <w:rPr>
          <w:lang w:eastAsia="es-ES"/>
        </w:rPr>
        <w:t>Cundo sea necesario, autorizar la ampliación de plazo de presentación de documentos para la suscripción de contratos.</w:t>
      </w:r>
    </w:p>
    <w:p w14:paraId="23E7AA80" w14:textId="77777777" w:rsidR="004C1E17" w:rsidRDefault="004C1E17" w:rsidP="009B54B5">
      <w:pPr>
        <w:pStyle w:val="numeradorom"/>
        <w:numPr>
          <w:ilvl w:val="2"/>
          <w:numId w:val="34"/>
        </w:numPr>
        <w:rPr>
          <w:lang w:eastAsia="es-ES"/>
        </w:rPr>
      </w:pPr>
      <w:r>
        <w:rPr>
          <w:lang w:eastAsia="es-ES"/>
        </w:rPr>
        <w:t xml:space="preserve">Disponer la inmediata atención de protestas, quejas e inconformidades de los procesos de licitación o selección; y, cuando corresponda, solicitar la No Objeción del BID a la propuesta de respuesta a las protestas interpuestas por Oferentes, Consultores, o terceros afectados de los procesos de licitación o selección.  </w:t>
      </w:r>
    </w:p>
    <w:p w14:paraId="0984C5FF" w14:textId="77777777" w:rsidR="004C1E17" w:rsidRDefault="004C1E17" w:rsidP="009B54B5">
      <w:pPr>
        <w:pStyle w:val="numeradorom"/>
        <w:numPr>
          <w:ilvl w:val="2"/>
          <w:numId w:val="34"/>
        </w:numPr>
        <w:rPr>
          <w:lang w:eastAsia="es-ES"/>
        </w:rPr>
      </w:pPr>
      <w:r>
        <w:rPr>
          <w:lang w:eastAsia="es-ES"/>
        </w:rPr>
        <w:t>Suscribir los contratos para el Programa.</w:t>
      </w:r>
    </w:p>
    <w:p w14:paraId="45AC84C7" w14:textId="77777777" w:rsidR="004C1E17" w:rsidRDefault="004C1E17" w:rsidP="009B54B5">
      <w:pPr>
        <w:pStyle w:val="numeradorom"/>
        <w:numPr>
          <w:ilvl w:val="2"/>
          <w:numId w:val="34"/>
        </w:numPr>
        <w:rPr>
          <w:lang w:eastAsia="es-ES"/>
        </w:rPr>
      </w:pPr>
      <w:r>
        <w:rPr>
          <w:lang w:eastAsia="es-ES"/>
        </w:rPr>
        <w:t>Designar a los Administradores de los contratos.</w:t>
      </w:r>
    </w:p>
    <w:p w14:paraId="066EA887" w14:textId="77777777" w:rsidR="004C1E17" w:rsidRDefault="004C1E17" w:rsidP="009B54B5">
      <w:pPr>
        <w:pStyle w:val="numeradorom"/>
        <w:numPr>
          <w:ilvl w:val="2"/>
          <w:numId w:val="34"/>
        </w:numPr>
        <w:rPr>
          <w:lang w:eastAsia="es-ES"/>
        </w:rPr>
      </w:pPr>
      <w:r>
        <w:rPr>
          <w:lang w:eastAsia="es-ES"/>
        </w:rPr>
        <w:t>Disponer la inmediata atención de controversias, optando por los mecanismos establecidos en los contratos, surgidas entre las partes durante la ejecución de los contratos.</w:t>
      </w:r>
    </w:p>
    <w:p w14:paraId="5E43FB8A" w14:textId="77777777" w:rsidR="004C1E17" w:rsidRDefault="004C1E17" w:rsidP="009B54B5">
      <w:pPr>
        <w:pStyle w:val="numeradorom"/>
        <w:numPr>
          <w:ilvl w:val="2"/>
          <w:numId w:val="34"/>
        </w:numPr>
        <w:rPr>
          <w:lang w:eastAsia="es-ES"/>
        </w:rPr>
      </w:pPr>
      <w:r>
        <w:rPr>
          <w:lang w:eastAsia="es-ES"/>
        </w:rPr>
        <w:t>Designar a la Comisión de Recepción de Obras, Bienes y Servicios para cada una de las contrataciones según corresponda.</w:t>
      </w:r>
    </w:p>
    <w:p w14:paraId="7115B552" w14:textId="77777777" w:rsidR="004C1E17" w:rsidRDefault="004C1E17" w:rsidP="009B54B5">
      <w:pPr>
        <w:pStyle w:val="numeradorom"/>
        <w:numPr>
          <w:ilvl w:val="2"/>
          <w:numId w:val="34"/>
        </w:numPr>
        <w:rPr>
          <w:lang w:eastAsia="es-ES"/>
        </w:rPr>
      </w:pPr>
      <w:r>
        <w:rPr>
          <w:lang w:eastAsia="es-ES"/>
        </w:rPr>
        <w:lastRenderedPageBreak/>
        <w:t>Disponer la terminación de contratos, de conformidad con las disposiciones de los contratos suscritos, y mediante justificación técnica, legal, administrativa, según corresponda.</w:t>
      </w:r>
    </w:p>
    <w:p w14:paraId="68DA02F9" w14:textId="5BE880B7" w:rsidR="004C1E17" w:rsidRDefault="004C1E17" w:rsidP="00BD5D10">
      <w:pPr>
        <w:pStyle w:val="Heading3"/>
        <w:rPr>
          <w:lang w:eastAsia="es-ES"/>
        </w:rPr>
      </w:pPr>
      <w:r w:rsidRPr="00701174">
        <w:rPr>
          <w:lang w:eastAsia="es-ES"/>
        </w:rPr>
        <w:t xml:space="preserve">Coordinador </w:t>
      </w:r>
      <w:r>
        <w:rPr>
          <w:lang w:eastAsia="es-ES"/>
        </w:rPr>
        <w:t>de las actividades de</w:t>
      </w:r>
      <w:r w:rsidRPr="00701174">
        <w:rPr>
          <w:lang w:eastAsia="es-ES"/>
        </w:rPr>
        <w:t>l Programa</w:t>
      </w:r>
      <w:r>
        <w:rPr>
          <w:lang w:eastAsia="es-ES"/>
        </w:rPr>
        <w:t xml:space="preserve"> a cargo de l</w:t>
      </w:r>
      <w:r w:rsidR="004225BA">
        <w:rPr>
          <w:lang w:eastAsia="es-ES"/>
        </w:rPr>
        <w:t>os OSE</w:t>
      </w:r>
      <w:r>
        <w:rPr>
          <w:rStyle w:val="FootnoteReference"/>
          <w:lang w:eastAsia="es-ES"/>
        </w:rPr>
        <w:footnoteReference w:id="29"/>
      </w:r>
    </w:p>
    <w:p w14:paraId="0EB0F1C9" w14:textId="77777777" w:rsidR="004C1E17" w:rsidRDefault="004C1E17" w:rsidP="009B54B5">
      <w:pPr>
        <w:pStyle w:val="numeradorom"/>
        <w:numPr>
          <w:ilvl w:val="2"/>
          <w:numId w:val="35"/>
        </w:numPr>
        <w:rPr>
          <w:lang w:eastAsia="es-ES"/>
        </w:rPr>
      </w:pPr>
      <w:r>
        <w:rPr>
          <w:lang w:eastAsia="es-ES"/>
        </w:rPr>
        <w:t>Las mismas señaladas anteriormente para el CGP-EDG/MEF exceptuando del literal (i) de las responsabilidades relacionadas con las adquisiciones.</w:t>
      </w:r>
    </w:p>
    <w:p w14:paraId="35387201" w14:textId="208993F6" w:rsidR="004C1E17" w:rsidRDefault="004C1E17" w:rsidP="00BD5D10">
      <w:pPr>
        <w:pStyle w:val="Heading3"/>
        <w:rPr>
          <w:lang w:eastAsia="es-ES"/>
        </w:rPr>
      </w:pPr>
      <w:r w:rsidRPr="007E7B98">
        <w:rPr>
          <w:lang w:eastAsia="es-ES"/>
        </w:rPr>
        <w:t>Unidades o Áreas Solicitantes</w:t>
      </w:r>
      <w:r>
        <w:rPr>
          <w:lang w:eastAsia="es-ES"/>
        </w:rPr>
        <w:t xml:space="preserve"> del MEF</w:t>
      </w:r>
      <w:r w:rsidR="00A51980">
        <w:rPr>
          <w:lang w:eastAsia="es-ES"/>
        </w:rPr>
        <w:t>, SGP</w:t>
      </w:r>
      <w:r>
        <w:rPr>
          <w:lang w:eastAsia="es-ES"/>
        </w:rPr>
        <w:t xml:space="preserve"> y </w:t>
      </w:r>
      <w:r w:rsidR="00412ED1">
        <w:rPr>
          <w:lang w:eastAsia="es-ES"/>
        </w:rPr>
        <w:t>VPR</w:t>
      </w:r>
      <w:r>
        <w:rPr>
          <w:rStyle w:val="FootnoteReference"/>
          <w:lang w:eastAsia="es-ES"/>
        </w:rPr>
        <w:footnoteReference w:id="30"/>
      </w:r>
    </w:p>
    <w:p w14:paraId="517A5CDD" w14:textId="77777777" w:rsidR="004C1E17" w:rsidRDefault="004C1E17" w:rsidP="009B54B5">
      <w:pPr>
        <w:pStyle w:val="numeradorom"/>
        <w:numPr>
          <w:ilvl w:val="2"/>
          <w:numId w:val="36"/>
        </w:numPr>
        <w:rPr>
          <w:lang w:eastAsia="es-ES"/>
        </w:rPr>
      </w:pPr>
      <w:r>
        <w:rPr>
          <w:lang w:eastAsia="es-ES"/>
        </w:rPr>
        <w:t>Elaborar las especificaciones técnicas y/o descripción de servicios para la contratación de bienes, obras y servicios diferentes de consultoría; y, en función a la complejidad y cuantía de la contratación, definir los criterios de evaluación y calificación que mejor se ajusten al requerimiento.</w:t>
      </w:r>
    </w:p>
    <w:p w14:paraId="5E497595" w14:textId="77777777" w:rsidR="004C1E17" w:rsidRDefault="004C1E17" w:rsidP="009B54B5">
      <w:pPr>
        <w:pStyle w:val="numeradorom"/>
        <w:numPr>
          <w:ilvl w:val="2"/>
          <w:numId w:val="36"/>
        </w:numPr>
        <w:rPr>
          <w:lang w:eastAsia="es-ES"/>
        </w:rPr>
      </w:pPr>
      <w:r>
        <w:rPr>
          <w:lang w:eastAsia="es-ES"/>
        </w:rPr>
        <w:t>Elaborar los perfiles requeridos de firmas consultoras para brindar servicios de consultoría. Estos perfiles deben establecer parámetros objetivos acerca de la experiencia y calificaciones adecuadas (cualitativos antes que cuantitativos), en función del nivel técnico y de la complejidad de las contrataciones, los cuales serán aplicados para la conformación de las listas cortas de firmas consultoras.</w:t>
      </w:r>
    </w:p>
    <w:p w14:paraId="4330B32A" w14:textId="77777777" w:rsidR="004C1E17" w:rsidRDefault="004C1E17" w:rsidP="009B54B5">
      <w:pPr>
        <w:pStyle w:val="numeradorom"/>
        <w:numPr>
          <w:ilvl w:val="2"/>
          <w:numId w:val="36"/>
        </w:numPr>
        <w:rPr>
          <w:lang w:eastAsia="es-ES"/>
        </w:rPr>
      </w:pPr>
      <w:r>
        <w:rPr>
          <w:lang w:eastAsia="es-ES"/>
        </w:rPr>
        <w:t>Elaborar los términos de referencia para la contratación de servicios de consultoría; y, en función a la complejidad de la contratación, definir los criterios de evaluación (cualitativos antes que cuantitativos) a ser aplicados para calificar las propuestas metodológicas, los equipos de profesionales clave, los cronogramas y esquemas de organización para el trabajo, entre otros según lo determinado en las Políticas del BID.</w:t>
      </w:r>
    </w:p>
    <w:p w14:paraId="3E562A86" w14:textId="77777777" w:rsidR="004C1E17" w:rsidRDefault="004C1E17" w:rsidP="009B54B5">
      <w:pPr>
        <w:pStyle w:val="numeradorom"/>
        <w:numPr>
          <w:ilvl w:val="2"/>
          <w:numId w:val="36"/>
        </w:numPr>
        <w:rPr>
          <w:lang w:eastAsia="es-ES"/>
        </w:rPr>
      </w:pPr>
      <w:r>
        <w:rPr>
          <w:lang w:eastAsia="es-ES"/>
        </w:rPr>
        <w:t>Juntamente con el Área de Contrataciones o Adquisiciones (Compras Públicas), determinar el método de selección que mejor se ajuste al requerimiento (SBCC, SBMC, SCC, SBC, SBPF), en función de la complejidad de los servicios a contratar y de las disposiciones al respecto establecidos en las Políticas del BID.</w:t>
      </w:r>
    </w:p>
    <w:p w14:paraId="0AAA2F79" w14:textId="77777777" w:rsidR="004C1E17" w:rsidRDefault="004C1E17" w:rsidP="009B54B5">
      <w:pPr>
        <w:pStyle w:val="numeradorom"/>
        <w:numPr>
          <w:ilvl w:val="2"/>
          <w:numId w:val="36"/>
        </w:numPr>
        <w:rPr>
          <w:lang w:eastAsia="es-ES"/>
        </w:rPr>
      </w:pPr>
      <w:r>
        <w:rPr>
          <w:lang w:eastAsia="es-ES"/>
        </w:rPr>
        <w:t>Solicitar el asesoramiento de otras unidades, o solicitar la contratación de expertos sectoriales, cuando la Unidad o Área Solicitante no cuente con personal técnico calificado para la elaboración de las especificaciones técnicas o términos de referencia, o para contribuir en la evaluación de ofertas/propuestas complejas.</w:t>
      </w:r>
    </w:p>
    <w:p w14:paraId="3DEBF1CD" w14:textId="77777777" w:rsidR="004C1E17" w:rsidRDefault="004C1E17" w:rsidP="009B54B5">
      <w:pPr>
        <w:pStyle w:val="numeradorom"/>
        <w:numPr>
          <w:ilvl w:val="2"/>
          <w:numId w:val="36"/>
        </w:numPr>
        <w:rPr>
          <w:lang w:eastAsia="es-ES"/>
        </w:rPr>
      </w:pPr>
      <w:r>
        <w:rPr>
          <w:lang w:eastAsia="es-ES"/>
        </w:rPr>
        <w:t>Realizar los sondeos y cálculos necesarios para estimar el precio referencial de cada contratación acorde a los precios de mercado y tomando en consideración costos indirectos y la legislación nacional únicamente en cuanto a cargas impositivas y otros aplicables al contrato en cuestión. Para este ejercicio puede resultar válido tomar como referencia los precios de obras, bienes y servicios similares de años recientes ajustados a valores presentes.</w:t>
      </w:r>
    </w:p>
    <w:p w14:paraId="1FA80BD5" w14:textId="77777777" w:rsidR="004C1E17" w:rsidRDefault="004C1E17" w:rsidP="009B54B5">
      <w:pPr>
        <w:pStyle w:val="numeradorom"/>
        <w:numPr>
          <w:ilvl w:val="2"/>
          <w:numId w:val="36"/>
        </w:numPr>
        <w:rPr>
          <w:lang w:eastAsia="es-ES"/>
        </w:rPr>
      </w:pPr>
      <w:r>
        <w:rPr>
          <w:lang w:eastAsia="es-ES"/>
        </w:rPr>
        <w:t>Coordinar con quien corresponda, y según corresponda, la oportuna disponibilidad financiera y certificación presupuestaria de los recursos necesarios para las contrataciones en función de las estimaciones de precio referencial realizadas, previa la adjudicación de las diferentes contrataciones.</w:t>
      </w:r>
    </w:p>
    <w:p w14:paraId="0CDAB35D" w14:textId="77777777" w:rsidR="004C1E17" w:rsidRDefault="004C1E17" w:rsidP="009B54B5">
      <w:pPr>
        <w:pStyle w:val="numeradorom"/>
        <w:numPr>
          <w:ilvl w:val="2"/>
          <w:numId w:val="36"/>
        </w:numPr>
        <w:rPr>
          <w:lang w:eastAsia="es-ES"/>
        </w:rPr>
      </w:pPr>
      <w:r>
        <w:rPr>
          <w:lang w:eastAsia="es-ES"/>
        </w:rPr>
        <w:t>Preparar y entregar oportunamente los insumos necesarios para la elaboración de los DEL y DESP, de modo que se cumpla con la programación de adjudicación y terminación de contratos prevista en el PA.</w:t>
      </w:r>
    </w:p>
    <w:p w14:paraId="3D1FA71D" w14:textId="77777777" w:rsidR="004C1E17" w:rsidRDefault="004C1E17" w:rsidP="009B54B5">
      <w:pPr>
        <w:pStyle w:val="numeradorom"/>
        <w:numPr>
          <w:ilvl w:val="2"/>
          <w:numId w:val="36"/>
        </w:numPr>
        <w:rPr>
          <w:lang w:eastAsia="es-ES"/>
        </w:rPr>
      </w:pPr>
      <w:r>
        <w:rPr>
          <w:lang w:eastAsia="es-ES"/>
        </w:rPr>
        <w:t>Cuando corresponda, preparar informes explicativos de aclaración a las especificaciones técnicas o términos de referencia que forman parte de los DEL o DESP.</w:t>
      </w:r>
    </w:p>
    <w:p w14:paraId="025AE373" w14:textId="77777777" w:rsidR="004C1E17" w:rsidRDefault="004C1E17" w:rsidP="009B54B5">
      <w:pPr>
        <w:pStyle w:val="numeradorom"/>
        <w:numPr>
          <w:ilvl w:val="2"/>
          <w:numId w:val="36"/>
        </w:numPr>
        <w:rPr>
          <w:lang w:eastAsia="es-ES"/>
        </w:rPr>
      </w:pPr>
      <w:r>
        <w:rPr>
          <w:lang w:eastAsia="es-ES"/>
        </w:rPr>
        <w:t>Cuando corresponda, emitir criterios acerca de enmiendas a las especificaciones técnicas o términos de referencia que forman parte de los DEL o DESP.</w:t>
      </w:r>
    </w:p>
    <w:p w14:paraId="73D45312" w14:textId="77777777" w:rsidR="004C1E17" w:rsidRDefault="004C1E17" w:rsidP="009B54B5">
      <w:pPr>
        <w:pStyle w:val="numeradorom"/>
        <w:numPr>
          <w:ilvl w:val="2"/>
          <w:numId w:val="36"/>
        </w:numPr>
        <w:rPr>
          <w:lang w:eastAsia="es-ES"/>
        </w:rPr>
      </w:pPr>
      <w:r>
        <w:rPr>
          <w:lang w:eastAsia="es-ES"/>
        </w:rPr>
        <w:t>Integrar las Comisiones de Calificaciones y Comisiones de Recepción, o ser Responsable de Evaluación o Responsable de Recepción de bienes y servicios.</w:t>
      </w:r>
    </w:p>
    <w:p w14:paraId="3383BE65" w14:textId="77777777" w:rsidR="004C1E17" w:rsidRDefault="004C1E17" w:rsidP="009B54B5">
      <w:pPr>
        <w:pStyle w:val="numeradorom"/>
        <w:numPr>
          <w:ilvl w:val="2"/>
          <w:numId w:val="36"/>
        </w:numPr>
        <w:rPr>
          <w:lang w:eastAsia="es-ES"/>
        </w:rPr>
      </w:pPr>
      <w:r>
        <w:rPr>
          <w:lang w:eastAsia="es-ES"/>
        </w:rPr>
        <w:lastRenderedPageBreak/>
        <w:t>Elaborar el informe de justificación técnica u otros que se requieran para la cancelación, suspensión o anulación de procesos de licitación o de selección, de conformidad con las disposiciones de los DEL y DESP y las Políticas del BID.</w:t>
      </w:r>
    </w:p>
    <w:p w14:paraId="602C05FA" w14:textId="77777777" w:rsidR="004C1E17" w:rsidRDefault="004C1E17" w:rsidP="009B54B5">
      <w:pPr>
        <w:pStyle w:val="numeradorom"/>
        <w:numPr>
          <w:ilvl w:val="2"/>
          <w:numId w:val="36"/>
        </w:numPr>
        <w:rPr>
          <w:lang w:eastAsia="es-ES"/>
        </w:rPr>
      </w:pPr>
      <w:r>
        <w:rPr>
          <w:lang w:eastAsia="es-ES"/>
        </w:rPr>
        <w:t>Efectuar el seguimiento sobre el avance y cumplimiento de los contratos en los aspectos de su competencia, entre otros.</w:t>
      </w:r>
    </w:p>
    <w:p w14:paraId="13EE2722" w14:textId="5F667F22" w:rsidR="004C1E17" w:rsidRDefault="004C1E17" w:rsidP="00BD5D10">
      <w:pPr>
        <w:pStyle w:val="Heading3"/>
        <w:rPr>
          <w:lang w:eastAsia="es-ES"/>
        </w:rPr>
      </w:pPr>
      <w:r>
        <w:rPr>
          <w:lang w:eastAsia="es-ES"/>
        </w:rPr>
        <w:t xml:space="preserve">Coordinación/Dirección </w:t>
      </w:r>
      <w:r w:rsidRPr="00A97D7E">
        <w:rPr>
          <w:lang w:eastAsia="es-ES"/>
        </w:rPr>
        <w:t>Administra</w:t>
      </w:r>
      <w:r>
        <w:rPr>
          <w:lang w:eastAsia="es-ES"/>
        </w:rPr>
        <w:t xml:space="preserve">tiva Financiera </w:t>
      </w:r>
      <w:r w:rsidRPr="00A97D7E">
        <w:rPr>
          <w:lang w:eastAsia="es-ES"/>
        </w:rPr>
        <w:t>del</w:t>
      </w:r>
      <w:r>
        <w:rPr>
          <w:lang w:eastAsia="es-ES"/>
        </w:rPr>
        <w:t xml:space="preserve"> MEF</w:t>
      </w:r>
      <w:r w:rsidR="00A51980">
        <w:rPr>
          <w:lang w:eastAsia="es-ES"/>
        </w:rPr>
        <w:t>, SGP</w:t>
      </w:r>
      <w:r>
        <w:rPr>
          <w:lang w:eastAsia="es-ES"/>
        </w:rPr>
        <w:t xml:space="preserve"> y </w:t>
      </w:r>
      <w:r w:rsidR="00412ED1">
        <w:rPr>
          <w:lang w:eastAsia="es-ES"/>
        </w:rPr>
        <w:t>VPR</w:t>
      </w:r>
      <w:r>
        <w:rPr>
          <w:rStyle w:val="FootnoteReference"/>
          <w:lang w:eastAsia="es-ES"/>
        </w:rPr>
        <w:footnoteReference w:id="31"/>
      </w:r>
    </w:p>
    <w:p w14:paraId="325FF8A0" w14:textId="77777777" w:rsidR="004C1E17" w:rsidRDefault="004C1E17" w:rsidP="009B54B5">
      <w:pPr>
        <w:pStyle w:val="numeradorom"/>
        <w:numPr>
          <w:ilvl w:val="2"/>
          <w:numId w:val="37"/>
        </w:numPr>
        <w:rPr>
          <w:lang w:eastAsia="es-ES"/>
        </w:rPr>
      </w:pPr>
      <w:r>
        <w:rPr>
          <w:lang w:eastAsia="es-ES"/>
        </w:rPr>
        <w:t xml:space="preserve">Gestionar oportunamente la obtención de avales y certificaciones presupuestarias, a fin de permitir el inicio de los procesos de adquisiciones en atención a la programación. </w:t>
      </w:r>
    </w:p>
    <w:p w14:paraId="26D1F196" w14:textId="77777777" w:rsidR="004C1E17" w:rsidRDefault="004C1E17" w:rsidP="009B54B5">
      <w:pPr>
        <w:pStyle w:val="numeradorom"/>
        <w:numPr>
          <w:ilvl w:val="2"/>
          <w:numId w:val="37"/>
        </w:numPr>
        <w:rPr>
          <w:lang w:eastAsia="es-ES"/>
        </w:rPr>
      </w:pPr>
      <w:r>
        <w:rPr>
          <w:lang w:eastAsia="es-ES"/>
        </w:rPr>
        <w:t>Administrar y custodiar las garantías de mantenimiento de oferta y de cumplimiento de contrato.</w:t>
      </w:r>
    </w:p>
    <w:p w14:paraId="5F2DCAB4" w14:textId="77777777" w:rsidR="004C1E17" w:rsidRDefault="004C1E17" w:rsidP="009B54B5">
      <w:pPr>
        <w:pStyle w:val="numeradorom"/>
        <w:numPr>
          <w:ilvl w:val="2"/>
          <w:numId w:val="37"/>
        </w:numPr>
        <w:rPr>
          <w:lang w:eastAsia="es-ES"/>
        </w:rPr>
      </w:pPr>
      <w:r>
        <w:rPr>
          <w:lang w:eastAsia="es-ES"/>
        </w:rPr>
        <w:t>Gestionar los pagos correspondientes a contratos, en coordinación con áreas a las que corresponda otorgar visto bueno a la recepción de bienes, servicios, productos, etc.</w:t>
      </w:r>
    </w:p>
    <w:p w14:paraId="7AC6329B" w14:textId="77777777" w:rsidR="004C1E17" w:rsidRDefault="004C1E17" w:rsidP="009B54B5">
      <w:pPr>
        <w:pStyle w:val="numeradorom"/>
        <w:numPr>
          <w:ilvl w:val="2"/>
          <w:numId w:val="37"/>
        </w:numPr>
        <w:rPr>
          <w:lang w:eastAsia="es-ES"/>
        </w:rPr>
      </w:pPr>
      <w:r>
        <w:rPr>
          <w:lang w:eastAsia="es-ES"/>
        </w:rPr>
        <w:t>Ejecutar las garantías, según corresponda, previo informe legal, de conformidad con las disposiciones de los DEL o DESP, y de los contratos suscritos.</w:t>
      </w:r>
    </w:p>
    <w:p w14:paraId="20904EA2" w14:textId="5145D93D" w:rsidR="004C1E17" w:rsidRDefault="004C1E17" w:rsidP="00BD5D10">
      <w:pPr>
        <w:pStyle w:val="Heading3"/>
        <w:rPr>
          <w:lang w:eastAsia="es-ES"/>
        </w:rPr>
      </w:pPr>
      <w:r>
        <w:rPr>
          <w:lang w:eastAsia="es-ES"/>
        </w:rPr>
        <w:t xml:space="preserve">Dirección de Compras Públicas </w:t>
      </w:r>
      <w:r w:rsidRPr="00A97D7E">
        <w:rPr>
          <w:lang w:eastAsia="es-ES"/>
        </w:rPr>
        <w:t>del</w:t>
      </w:r>
      <w:r>
        <w:rPr>
          <w:lang w:eastAsia="es-ES"/>
        </w:rPr>
        <w:t xml:space="preserve"> MEF</w:t>
      </w:r>
      <w:r w:rsidR="00A51980">
        <w:rPr>
          <w:lang w:eastAsia="es-ES"/>
        </w:rPr>
        <w:t>, SGP</w:t>
      </w:r>
      <w:r>
        <w:rPr>
          <w:lang w:eastAsia="es-ES"/>
        </w:rPr>
        <w:t xml:space="preserve"> y </w:t>
      </w:r>
      <w:r w:rsidR="00412ED1">
        <w:rPr>
          <w:lang w:eastAsia="es-ES"/>
        </w:rPr>
        <w:t>VPR</w:t>
      </w:r>
      <w:r>
        <w:rPr>
          <w:rStyle w:val="FootnoteReference"/>
          <w:lang w:eastAsia="es-ES"/>
        </w:rPr>
        <w:footnoteReference w:id="32"/>
      </w:r>
    </w:p>
    <w:p w14:paraId="5B256D19" w14:textId="35C4F846" w:rsidR="004C1E17" w:rsidRDefault="004C1E17" w:rsidP="009B54B5">
      <w:pPr>
        <w:pStyle w:val="numeradorom"/>
        <w:numPr>
          <w:ilvl w:val="2"/>
          <w:numId w:val="38"/>
        </w:numPr>
        <w:rPr>
          <w:lang w:eastAsia="es-ES"/>
        </w:rPr>
      </w:pPr>
      <w:r>
        <w:rPr>
          <w:lang w:eastAsia="es-ES"/>
        </w:rPr>
        <w:t>Asegurar la elaboración y actualización del PA en SEPA, en coordinación con el EDG-MEF y EDG-</w:t>
      </w:r>
      <w:r w:rsidR="00A51980">
        <w:rPr>
          <w:lang w:eastAsia="es-ES"/>
        </w:rPr>
        <w:t>OSE</w:t>
      </w:r>
      <w:r>
        <w:rPr>
          <w:lang w:eastAsia="es-ES"/>
        </w:rPr>
        <w:t xml:space="preserve"> según corresponda, y efectuar el seguimiento al cumplimiento de los cronogramas de las contrataciones programadas en este documento.</w:t>
      </w:r>
    </w:p>
    <w:p w14:paraId="45D74687" w14:textId="77777777" w:rsidR="004C1E17" w:rsidRDefault="004C1E17" w:rsidP="009B54B5">
      <w:pPr>
        <w:pStyle w:val="numeradorom"/>
        <w:numPr>
          <w:ilvl w:val="2"/>
          <w:numId w:val="38"/>
        </w:numPr>
        <w:rPr>
          <w:lang w:eastAsia="es-ES"/>
        </w:rPr>
      </w:pPr>
      <w:r>
        <w:rPr>
          <w:lang w:eastAsia="es-ES"/>
        </w:rPr>
        <w:t xml:space="preserve">Preparar y remitir informes trimestrales sobre el cumplimiento de la ejecución del PA, en concordancia con lo establecido en SEPA. </w:t>
      </w:r>
    </w:p>
    <w:p w14:paraId="6EB978D7" w14:textId="77777777" w:rsidR="004C1E17" w:rsidRDefault="004C1E17" w:rsidP="009B54B5">
      <w:pPr>
        <w:pStyle w:val="numeradorom"/>
        <w:numPr>
          <w:ilvl w:val="2"/>
          <w:numId w:val="38"/>
        </w:numPr>
        <w:rPr>
          <w:lang w:eastAsia="es-ES"/>
        </w:rPr>
      </w:pPr>
      <w:r>
        <w:rPr>
          <w:lang w:eastAsia="es-ES"/>
        </w:rPr>
        <w:t>Realizar todos los actos administrativos que correspondan, con relación a los procesos y procedimientos de adquisiciones.</w:t>
      </w:r>
    </w:p>
    <w:p w14:paraId="5C5DBB1A" w14:textId="77777777" w:rsidR="004C1E17" w:rsidRDefault="004C1E17" w:rsidP="009B54B5">
      <w:pPr>
        <w:pStyle w:val="numeradorom"/>
        <w:numPr>
          <w:ilvl w:val="2"/>
          <w:numId w:val="38"/>
        </w:numPr>
        <w:rPr>
          <w:lang w:eastAsia="es-ES"/>
        </w:rPr>
      </w:pPr>
      <w:r>
        <w:rPr>
          <w:lang w:eastAsia="es-ES"/>
        </w:rPr>
        <w:t xml:space="preserve">Velar por el cumplimiento de las condiciones y plazos establecidos en los procesos precontractuales, de conformidad con los objetivos del Programa, en el marco del convenio de financiamiento, de las Políticas del BID, de los DEL o DESP de las directrices de este ROP, de los instructivos en materia de adquisiciones emitidos por el BID, y de la LOSNCP, solamente para cuando se aplique el uso del sistema nacional de contratación pública.  </w:t>
      </w:r>
    </w:p>
    <w:p w14:paraId="12DFBCF9" w14:textId="77777777" w:rsidR="004C1E17" w:rsidRDefault="004C1E17" w:rsidP="009B54B5">
      <w:pPr>
        <w:pStyle w:val="numeradorom"/>
        <w:numPr>
          <w:ilvl w:val="2"/>
          <w:numId w:val="38"/>
        </w:numPr>
        <w:rPr>
          <w:lang w:eastAsia="es-ES"/>
        </w:rPr>
      </w:pPr>
      <w:r>
        <w:rPr>
          <w:lang w:eastAsia="es-ES"/>
        </w:rPr>
        <w:t xml:space="preserve">Asegurar la adecuada preparación de los DEL y DESP, utilizando los formatos y condiciones establecidas en las Políticas del BID. </w:t>
      </w:r>
    </w:p>
    <w:p w14:paraId="2C615ED8" w14:textId="77777777" w:rsidR="004C1E17" w:rsidRDefault="004C1E17" w:rsidP="009B54B5">
      <w:pPr>
        <w:pStyle w:val="numeradorom"/>
        <w:numPr>
          <w:ilvl w:val="2"/>
          <w:numId w:val="38"/>
        </w:numPr>
        <w:rPr>
          <w:lang w:eastAsia="es-ES"/>
        </w:rPr>
      </w:pPr>
      <w:r>
        <w:rPr>
          <w:lang w:eastAsia="es-ES"/>
        </w:rPr>
        <w:t>Asegurar la atención oportuna y adecuada de las solicitudes de aclaraciones o solicitudes de enmiendas a los DEL y DESP por parte de la Unidad Solicitante, del Especialista en Adquisiciones del Programa y de otros a quienes corresponda.</w:t>
      </w:r>
    </w:p>
    <w:p w14:paraId="2E805BC3" w14:textId="77777777" w:rsidR="004C1E17" w:rsidRDefault="004C1E17" w:rsidP="009B54B5">
      <w:pPr>
        <w:pStyle w:val="numeradorom"/>
        <w:numPr>
          <w:ilvl w:val="2"/>
          <w:numId w:val="38"/>
        </w:numPr>
        <w:rPr>
          <w:lang w:eastAsia="es-ES"/>
        </w:rPr>
      </w:pPr>
      <w:r>
        <w:rPr>
          <w:lang w:eastAsia="es-ES"/>
        </w:rPr>
        <w:t xml:space="preserve">Asegurar la divulgación oportuna en los medios de comunicación que corresponda, de las circulares o boletines de aclaraciones y de circulares o boletines de enmiendas a los DEL y DESP que se hayan generado como resultado de las solicitudes de aclaraciones o enmiendas de los potenciales Oferentes o Consultores. </w:t>
      </w:r>
    </w:p>
    <w:p w14:paraId="0D4D12C6" w14:textId="77777777" w:rsidR="004C1E17" w:rsidRDefault="004C1E17" w:rsidP="009B54B5">
      <w:pPr>
        <w:pStyle w:val="numeradorom"/>
        <w:numPr>
          <w:ilvl w:val="2"/>
          <w:numId w:val="38"/>
        </w:numPr>
        <w:rPr>
          <w:lang w:eastAsia="es-ES"/>
        </w:rPr>
      </w:pPr>
      <w:r>
        <w:rPr>
          <w:lang w:eastAsia="es-ES"/>
        </w:rPr>
        <w:t xml:space="preserve">Llevar un registro o libro de actas de las ofertas, propuestas o postulaciones recibidas. </w:t>
      </w:r>
    </w:p>
    <w:p w14:paraId="60D5DB9E" w14:textId="77777777" w:rsidR="004C1E17" w:rsidRDefault="004C1E17" w:rsidP="009B54B5">
      <w:pPr>
        <w:pStyle w:val="numeradorom"/>
        <w:numPr>
          <w:ilvl w:val="2"/>
          <w:numId w:val="38"/>
        </w:numPr>
        <w:rPr>
          <w:lang w:eastAsia="es-ES"/>
        </w:rPr>
      </w:pPr>
      <w:r>
        <w:rPr>
          <w:lang w:eastAsia="es-ES"/>
        </w:rPr>
        <w:t xml:space="preserve">Conformar y archivar el expediente de cada uno de los procesos de contratación, velando por la seguridad, integridad y confidencialidad de la documentación; entre otros. </w:t>
      </w:r>
    </w:p>
    <w:p w14:paraId="07572441" w14:textId="77777777" w:rsidR="004C1E17" w:rsidRDefault="004C1E17" w:rsidP="009B54B5">
      <w:pPr>
        <w:pStyle w:val="numeradorom"/>
        <w:numPr>
          <w:ilvl w:val="2"/>
          <w:numId w:val="38"/>
        </w:numPr>
        <w:rPr>
          <w:lang w:eastAsia="es-ES"/>
        </w:rPr>
      </w:pPr>
      <w:r>
        <w:rPr>
          <w:lang w:eastAsia="es-ES"/>
        </w:rPr>
        <w:t>Digitalizar la documentación íntegra de los procesos de contratación de revisión ex post, que servirá como insumo para futuras auditorías. El expediente deberá contener el proceso precontractual, incluyendo evidencia de publicaciones de documentos conforme lo indicado en las Políticas del BID, así como protestas o impugnaciones de existir. Además, deberá contener los documentos relevantes que se generen durante la etapa contractual o de ejecución.</w:t>
      </w:r>
    </w:p>
    <w:p w14:paraId="35167BA6" w14:textId="0E7E6668" w:rsidR="004C1E17" w:rsidRDefault="004C1E17" w:rsidP="00BD5D10">
      <w:pPr>
        <w:pStyle w:val="Heading3"/>
      </w:pPr>
      <w:r w:rsidRPr="00162231">
        <w:lastRenderedPageBreak/>
        <w:t>Especialista</w:t>
      </w:r>
      <w:r>
        <w:t>s</w:t>
      </w:r>
      <w:r w:rsidRPr="00162231">
        <w:t xml:space="preserve"> de Adquisiciones</w:t>
      </w:r>
      <w:r w:rsidR="00A51980">
        <w:rPr>
          <w:rStyle w:val="FootnoteReference"/>
        </w:rPr>
        <w:footnoteReference w:id="33"/>
      </w:r>
      <w:r w:rsidRPr="00162231">
        <w:t xml:space="preserve"> </w:t>
      </w:r>
    </w:p>
    <w:p w14:paraId="3A926553" w14:textId="77777777" w:rsidR="004C1E17" w:rsidRDefault="004C1E17" w:rsidP="009B54B5">
      <w:pPr>
        <w:pStyle w:val="numeradorom"/>
        <w:numPr>
          <w:ilvl w:val="2"/>
          <w:numId w:val="56"/>
        </w:numPr>
        <w:rPr>
          <w:lang w:eastAsia="es-ES"/>
        </w:rPr>
      </w:pPr>
      <w:r>
        <w:rPr>
          <w:lang w:eastAsia="es-ES"/>
        </w:rPr>
        <w:t>Dar seguimiento a la elaboración de insumos técnicos y financieros necesarios para poder cumplir con la programación del PA, y alertar sobre retrasos que puedan impactar negativamente en el cumplimiento de los objetivos del Programa previstos en el POA y/o PEP.</w:t>
      </w:r>
    </w:p>
    <w:p w14:paraId="1D45E8B6" w14:textId="77777777" w:rsidR="004C1E17" w:rsidRDefault="004C1E17" w:rsidP="009B54B5">
      <w:pPr>
        <w:pStyle w:val="numeradorom"/>
        <w:numPr>
          <w:ilvl w:val="2"/>
          <w:numId w:val="56"/>
        </w:numPr>
        <w:rPr>
          <w:lang w:eastAsia="es-ES"/>
        </w:rPr>
      </w:pPr>
      <w:r>
        <w:rPr>
          <w:lang w:eastAsia="es-ES"/>
        </w:rPr>
        <w:t xml:space="preserve">Conforme se vayan generando, gestionar las no objeciones ante el BID a los documentos correspondientes a los procesos de licitación o de selección bajo supervisión ex ante por parte del Banco, (términos de referencia, especificaciones técnicas, DEL y DESP, circulares o boletines de aclaraciones al DEL y DESP, circulares o boletines de enmiendas al DEL y DESP, ampliaciones de plazo para entrega de ofertas o propuestas, etc.) </w:t>
      </w:r>
    </w:p>
    <w:p w14:paraId="1DFD5381" w14:textId="77777777" w:rsidR="004C1E17" w:rsidRDefault="004C1E17" w:rsidP="009B54B5">
      <w:pPr>
        <w:pStyle w:val="numeradorom"/>
        <w:numPr>
          <w:ilvl w:val="2"/>
          <w:numId w:val="56"/>
        </w:numPr>
        <w:rPr>
          <w:lang w:eastAsia="es-ES"/>
        </w:rPr>
      </w:pPr>
      <w:r>
        <w:rPr>
          <w:lang w:eastAsia="es-ES"/>
        </w:rPr>
        <w:t>Asesorar a la Unidad Solicitante acerca de los criterios de evaluación y selección a considerar en los diferentes procedimientos conforme lo establecido en los estándar y Políticas del BDI.</w:t>
      </w:r>
    </w:p>
    <w:p w14:paraId="1A7936FC" w14:textId="77777777" w:rsidR="004C1E17" w:rsidRDefault="004C1E17" w:rsidP="009B54B5">
      <w:pPr>
        <w:pStyle w:val="numeradorom"/>
        <w:numPr>
          <w:ilvl w:val="2"/>
          <w:numId w:val="56"/>
        </w:numPr>
        <w:rPr>
          <w:lang w:eastAsia="es-ES"/>
        </w:rPr>
      </w:pPr>
      <w:r>
        <w:rPr>
          <w:lang w:eastAsia="es-ES"/>
        </w:rPr>
        <w:t>Elaborar los DEL y DESP atendiendo las disposiciones establecidas en los documentos estándar del BID y sus Políticas, incorporando las especificaciones técnicas o términos de referencia, los criterios de evaluación o de selección, preparados por la Unidad Solicitante.</w:t>
      </w:r>
    </w:p>
    <w:p w14:paraId="373F2116" w14:textId="51C8DA64" w:rsidR="004C1E17" w:rsidRDefault="004C1E17" w:rsidP="009B54B5">
      <w:pPr>
        <w:pStyle w:val="numeradorom"/>
        <w:numPr>
          <w:ilvl w:val="2"/>
          <w:numId w:val="56"/>
        </w:numPr>
        <w:rPr>
          <w:lang w:eastAsia="es-ES"/>
        </w:rPr>
      </w:pPr>
      <w:r>
        <w:rPr>
          <w:lang w:eastAsia="es-ES"/>
        </w:rPr>
        <w:t xml:space="preserve">Elaborar y divulgar los avisos específicos de adquisiciones o de solicitudes de expresiones de interés, en los medios de publicidad que corresponda de acuerdo con la categoría y cuantía de la contratación </w:t>
      </w:r>
      <w:r w:rsidRPr="009E1D4E">
        <w:rPr>
          <w:lang w:eastAsia="es-ES"/>
        </w:rPr>
        <w:t>(</w:t>
      </w:r>
      <w:r>
        <w:rPr>
          <w:lang w:eastAsia="es-ES"/>
        </w:rPr>
        <w:fldChar w:fldCharType="begin"/>
      </w:r>
      <w:r>
        <w:rPr>
          <w:lang w:eastAsia="es-ES"/>
        </w:rPr>
        <w:instrText xml:space="preserve"> REF  _Ref14944825 \h  \* MERGEFORMAT </w:instrText>
      </w:r>
      <w:r>
        <w:rPr>
          <w:lang w:eastAsia="es-ES"/>
        </w:rPr>
      </w:r>
      <w:r>
        <w:rPr>
          <w:lang w:eastAsia="es-ES"/>
        </w:rPr>
        <w:fldChar w:fldCharType="separate"/>
      </w:r>
      <w:r w:rsidR="003538B4">
        <w:t xml:space="preserve">Tabla </w:t>
      </w:r>
      <w:r w:rsidR="003538B4">
        <w:rPr>
          <w:noProof/>
        </w:rPr>
        <w:t>3.</w:t>
      </w:r>
      <w:r w:rsidR="003538B4">
        <w:t xml:space="preserve"> Documentos Básicos de Contratación (DBC)</w:t>
      </w:r>
      <w:r w:rsidR="003538B4" w:rsidRPr="008037E6">
        <w:t xml:space="preserve"> y Medios de Publicidad</w:t>
      </w:r>
      <w:r w:rsidR="003538B4">
        <w:t xml:space="preserve"> </w:t>
      </w:r>
      <w:r w:rsidR="003538B4" w:rsidRPr="008037E6">
        <w:t>/</w:t>
      </w:r>
      <w:r w:rsidR="003538B4">
        <w:t xml:space="preserve"> </w:t>
      </w:r>
      <w:r w:rsidR="003538B4" w:rsidRPr="008037E6">
        <w:t>Convocatoria por Categoría y Cuantía de Contratación</w:t>
      </w:r>
      <w:r>
        <w:rPr>
          <w:lang w:eastAsia="es-ES"/>
        </w:rPr>
        <w:fldChar w:fldCharType="end"/>
      </w:r>
      <w:r>
        <w:rPr>
          <w:lang w:eastAsia="es-ES"/>
        </w:rPr>
        <w:t>).</w:t>
      </w:r>
    </w:p>
    <w:p w14:paraId="0BE52409" w14:textId="288EB8BA" w:rsidR="004C1E17" w:rsidRDefault="004C1E17" w:rsidP="009B54B5">
      <w:pPr>
        <w:pStyle w:val="numeradorom"/>
        <w:numPr>
          <w:ilvl w:val="2"/>
          <w:numId w:val="56"/>
        </w:numPr>
        <w:rPr>
          <w:lang w:eastAsia="es-ES"/>
        </w:rPr>
      </w:pPr>
      <w:r>
        <w:rPr>
          <w:lang w:eastAsia="es-ES"/>
        </w:rPr>
        <w:t xml:space="preserve">Elaborar y divulgar oportunamente las circulares o boletines de aclaraciones y/o circulares o boletines de enmiendas a los DEL y DESP en los medios de publicidad que corresponda de acuerdo con la categoría y cuantía de la contratación </w:t>
      </w:r>
      <w:r w:rsidRPr="009E1D4E">
        <w:rPr>
          <w:lang w:eastAsia="es-ES"/>
        </w:rPr>
        <w:t>(</w:t>
      </w:r>
      <w:r>
        <w:rPr>
          <w:lang w:eastAsia="es-ES"/>
        </w:rPr>
        <w:fldChar w:fldCharType="begin"/>
      </w:r>
      <w:r>
        <w:rPr>
          <w:lang w:eastAsia="es-ES"/>
        </w:rPr>
        <w:instrText xml:space="preserve"> REF  _Ref14944825 \h  \* MERGEFORMAT </w:instrText>
      </w:r>
      <w:r>
        <w:rPr>
          <w:lang w:eastAsia="es-ES"/>
        </w:rPr>
      </w:r>
      <w:r>
        <w:rPr>
          <w:lang w:eastAsia="es-ES"/>
        </w:rPr>
        <w:fldChar w:fldCharType="separate"/>
      </w:r>
      <w:r w:rsidR="003538B4">
        <w:t xml:space="preserve">Tabla </w:t>
      </w:r>
      <w:r w:rsidR="003538B4">
        <w:rPr>
          <w:noProof/>
        </w:rPr>
        <w:t>3.</w:t>
      </w:r>
      <w:r w:rsidR="003538B4">
        <w:t xml:space="preserve"> Documentos Básicos de Contratación (DBC)</w:t>
      </w:r>
      <w:r w:rsidR="003538B4" w:rsidRPr="008037E6">
        <w:t xml:space="preserve"> y Medios de Publicidad</w:t>
      </w:r>
      <w:r w:rsidR="003538B4">
        <w:t xml:space="preserve"> </w:t>
      </w:r>
      <w:r w:rsidR="003538B4" w:rsidRPr="008037E6">
        <w:t>/</w:t>
      </w:r>
      <w:r w:rsidR="003538B4">
        <w:t xml:space="preserve"> </w:t>
      </w:r>
      <w:r w:rsidR="003538B4" w:rsidRPr="008037E6">
        <w:t>Convocatoria por Categoría y Cuantía de Contratación</w:t>
      </w:r>
      <w:r>
        <w:rPr>
          <w:lang w:eastAsia="es-ES"/>
        </w:rPr>
        <w:fldChar w:fldCharType="end"/>
      </w:r>
      <w:r>
        <w:rPr>
          <w:lang w:eastAsia="es-ES"/>
        </w:rPr>
        <w:t>).</w:t>
      </w:r>
    </w:p>
    <w:p w14:paraId="70A414FB" w14:textId="77777777" w:rsidR="004C1E17" w:rsidRDefault="004C1E17" w:rsidP="009B54B5">
      <w:pPr>
        <w:pStyle w:val="numeradorom"/>
        <w:numPr>
          <w:ilvl w:val="2"/>
          <w:numId w:val="56"/>
        </w:numPr>
        <w:rPr>
          <w:lang w:eastAsia="es-ES"/>
        </w:rPr>
      </w:pPr>
      <w:r>
        <w:rPr>
          <w:lang w:eastAsia="es-ES"/>
        </w:rPr>
        <w:t>Diligenciar la confirmación escrita de recepción de la invitación a presentar propuestas, y de las notificaciones de aclaraciones o enmiendas al DEL y DESP por parte de los integrantes de la lista corta de firmas consultoras.</w:t>
      </w:r>
    </w:p>
    <w:p w14:paraId="61C5C55C" w14:textId="77777777" w:rsidR="004C1E17" w:rsidRDefault="004C1E17" w:rsidP="009B54B5">
      <w:pPr>
        <w:pStyle w:val="numeradorom"/>
        <w:numPr>
          <w:ilvl w:val="2"/>
          <w:numId w:val="56"/>
        </w:numPr>
        <w:rPr>
          <w:lang w:eastAsia="es-ES"/>
        </w:rPr>
      </w:pPr>
      <w:r>
        <w:rPr>
          <w:lang w:eastAsia="es-ES"/>
        </w:rPr>
        <w:t>Asegurar que el desarrollo de los procesos de licitación o de selección cumplan con la realización de los actos públicos establecidos en los DEL y DESP o en las Políticas del BID, tales como reunión de aclaraciones, visita al sitio de las obras, recepción de ofertas o propuestas, apertura de ofertas o propuestas, entre otros. Deberá velar por la suscripción de los documentos que correspondan.</w:t>
      </w:r>
    </w:p>
    <w:p w14:paraId="7B315514" w14:textId="6BCD0A3F" w:rsidR="004C1E17" w:rsidRDefault="004C1E17" w:rsidP="009B54B5">
      <w:pPr>
        <w:pStyle w:val="numeradorom"/>
        <w:numPr>
          <w:ilvl w:val="2"/>
          <w:numId w:val="56"/>
        </w:numPr>
        <w:rPr>
          <w:lang w:eastAsia="es-ES"/>
        </w:rPr>
      </w:pPr>
      <w:r>
        <w:rPr>
          <w:lang w:eastAsia="es-ES"/>
        </w:rPr>
        <w:t xml:space="preserve">Elaborar y divulgar los avisos de los resultados de los procesos de licitación o selección, en los medios de publicidad que corresponda de acuerdo con la categoría y cuantía de la contratación </w:t>
      </w:r>
      <w:r w:rsidRPr="009E1D4E">
        <w:rPr>
          <w:lang w:eastAsia="es-ES"/>
        </w:rPr>
        <w:t>(</w:t>
      </w:r>
      <w:r>
        <w:rPr>
          <w:lang w:eastAsia="es-ES"/>
        </w:rPr>
        <w:fldChar w:fldCharType="begin"/>
      </w:r>
      <w:r>
        <w:rPr>
          <w:lang w:eastAsia="es-ES"/>
        </w:rPr>
        <w:instrText xml:space="preserve"> REF  _Ref14944825 \h  \* MERGEFORMAT </w:instrText>
      </w:r>
      <w:r>
        <w:rPr>
          <w:lang w:eastAsia="es-ES"/>
        </w:rPr>
      </w:r>
      <w:r>
        <w:rPr>
          <w:lang w:eastAsia="es-ES"/>
        </w:rPr>
        <w:fldChar w:fldCharType="separate"/>
      </w:r>
      <w:r w:rsidR="003538B4">
        <w:t xml:space="preserve">Tabla </w:t>
      </w:r>
      <w:r w:rsidR="003538B4">
        <w:rPr>
          <w:noProof/>
        </w:rPr>
        <w:t>3.</w:t>
      </w:r>
      <w:r w:rsidR="003538B4">
        <w:t xml:space="preserve"> Documentos Básicos de Contratación (DBC)</w:t>
      </w:r>
      <w:r w:rsidR="003538B4" w:rsidRPr="008037E6">
        <w:t xml:space="preserve"> y Medios de Publicidad</w:t>
      </w:r>
      <w:r w:rsidR="003538B4">
        <w:t xml:space="preserve"> </w:t>
      </w:r>
      <w:r w:rsidR="003538B4" w:rsidRPr="008037E6">
        <w:t>/</w:t>
      </w:r>
      <w:r w:rsidR="003538B4">
        <w:t xml:space="preserve"> </w:t>
      </w:r>
      <w:r w:rsidR="003538B4" w:rsidRPr="008037E6">
        <w:t>Convocatoria por Categoría y Cuantía de Contratación</w:t>
      </w:r>
      <w:r>
        <w:rPr>
          <w:lang w:eastAsia="es-ES"/>
        </w:rPr>
        <w:fldChar w:fldCharType="end"/>
      </w:r>
      <w:r>
        <w:rPr>
          <w:lang w:eastAsia="es-ES"/>
        </w:rPr>
        <w:t>).</w:t>
      </w:r>
    </w:p>
    <w:p w14:paraId="2E99C75E" w14:textId="77777777" w:rsidR="004C1E17" w:rsidRDefault="004C1E17" w:rsidP="009B54B5">
      <w:pPr>
        <w:pStyle w:val="numeradorom"/>
        <w:numPr>
          <w:ilvl w:val="2"/>
          <w:numId w:val="56"/>
        </w:numPr>
        <w:rPr>
          <w:lang w:eastAsia="es-ES"/>
        </w:rPr>
      </w:pPr>
      <w:r>
        <w:rPr>
          <w:lang w:eastAsia="es-ES"/>
        </w:rPr>
        <w:t>Asegurar la integridad y confidencialidad de los informes de evaluación de ofertas o propuestas y de documentos de respaldo a las recomendaciones de adjudicación de contratos, de conformidad con las disposiciones de los DEL y DESP y las Políticas del BID.</w:t>
      </w:r>
    </w:p>
    <w:p w14:paraId="5C823897" w14:textId="77777777" w:rsidR="004C1E17" w:rsidRDefault="004C1E17" w:rsidP="009B54B5">
      <w:pPr>
        <w:pStyle w:val="numeradorom"/>
        <w:numPr>
          <w:ilvl w:val="2"/>
          <w:numId w:val="56"/>
        </w:numPr>
        <w:rPr>
          <w:lang w:eastAsia="es-ES"/>
        </w:rPr>
      </w:pPr>
      <w:r>
        <w:rPr>
          <w:lang w:eastAsia="es-ES"/>
        </w:rPr>
        <w:t>A medida que se vayan firmando, gestionar el envío inmediato al Banco de fotocopias de los contratos suscritos entre el OE u OSE según corresponda y contratistas o consultores. Este procedimiento es obligatorio para todas las contrataciones independientemente del tipo de supervisión de adquisiciones por parte del Banco.</w:t>
      </w:r>
    </w:p>
    <w:p w14:paraId="0AC1D1B9" w14:textId="7B44AEE2" w:rsidR="004C1E17" w:rsidRDefault="004C1E17" w:rsidP="009B54B5">
      <w:pPr>
        <w:pStyle w:val="numeradorom"/>
        <w:numPr>
          <w:ilvl w:val="2"/>
          <w:numId w:val="56"/>
        </w:numPr>
        <w:rPr>
          <w:lang w:eastAsia="es-ES"/>
        </w:rPr>
      </w:pPr>
      <w:r>
        <w:rPr>
          <w:lang w:eastAsia="es-ES"/>
        </w:rPr>
        <w:t>Brindar asesoría y capacitación, en materia de la normativa aplicable a las contrataciones que se financien con los recursos del BID, al personal de la EDG-MEF u EDG OSE según corresponda y/o del MEF o</w:t>
      </w:r>
      <w:r w:rsidR="00A51980">
        <w:rPr>
          <w:lang w:eastAsia="es-ES"/>
        </w:rPr>
        <w:t xml:space="preserve"> SGP o </w:t>
      </w:r>
      <w:r w:rsidR="00412ED1">
        <w:rPr>
          <w:lang w:eastAsia="es-ES"/>
        </w:rPr>
        <w:t>VPR</w:t>
      </w:r>
      <w:r>
        <w:rPr>
          <w:lang w:eastAsia="es-ES"/>
        </w:rPr>
        <w:t xml:space="preserve"> que deba estar involucrado en la gestión de las adquisiciones y contrataciones, incluyendo a las Comisiones Calificadoras de ofertas o propuestas. </w:t>
      </w:r>
    </w:p>
    <w:p w14:paraId="48976A04" w14:textId="18623DD5" w:rsidR="004C1E17" w:rsidRDefault="004C1E17" w:rsidP="00BD5D10">
      <w:pPr>
        <w:pStyle w:val="Heading3"/>
      </w:pPr>
      <w:r w:rsidRPr="0015160B">
        <w:lastRenderedPageBreak/>
        <w:t>Comisión Calificadora</w:t>
      </w:r>
      <w:r>
        <w:t xml:space="preserve"> </w:t>
      </w:r>
      <w:r w:rsidRPr="00162231">
        <w:t>(EA-</w:t>
      </w:r>
      <w:r>
        <w:t>EDG/</w:t>
      </w:r>
      <w:r w:rsidR="00517A59">
        <w:t>OE y EA-EDG/OSE</w:t>
      </w:r>
      <w:r>
        <w:t>)</w:t>
      </w:r>
    </w:p>
    <w:p w14:paraId="73CB040D" w14:textId="5323FB09" w:rsidR="004C1E17" w:rsidRDefault="0015160B" w:rsidP="009B54B5">
      <w:pPr>
        <w:pStyle w:val="numeradorom"/>
        <w:numPr>
          <w:ilvl w:val="0"/>
          <w:numId w:val="0"/>
        </w:numPr>
        <w:ind w:left="737"/>
        <w:rPr>
          <w:lang w:eastAsia="es-ES"/>
        </w:rPr>
      </w:pPr>
      <w:r w:rsidRPr="0015160B">
        <w:rPr>
          <w:lang w:eastAsia="es-ES"/>
        </w:rPr>
        <w:t xml:space="preserve">Será designada conforme lo establezca la LOSNCP o su reglamento y estará conformada </w:t>
      </w:r>
      <w:r w:rsidR="004C1E17" w:rsidRPr="0015160B">
        <w:rPr>
          <w:lang w:eastAsia="es-ES"/>
        </w:rPr>
        <w:t>por el CGP-EDG/MEF o CP-EDG/</w:t>
      </w:r>
      <w:r w:rsidR="003B2131" w:rsidRPr="0015160B">
        <w:rPr>
          <w:lang w:eastAsia="es-ES"/>
        </w:rPr>
        <w:t>OSE</w:t>
      </w:r>
      <w:r w:rsidR="004C1E17" w:rsidRPr="000B7657">
        <w:rPr>
          <w:lang w:eastAsia="es-ES"/>
        </w:rPr>
        <w:t xml:space="preserve"> y por funcionarios del </w:t>
      </w:r>
      <w:r w:rsidR="00332825">
        <w:rPr>
          <w:lang w:eastAsia="es-ES"/>
        </w:rPr>
        <w:t>OE</w:t>
      </w:r>
      <w:r w:rsidR="004C1E17" w:rsidRPr="000B7657">
        <w:rPr>
          <w:lang w:eastAsia="es-ES"/>
        </w:rPr>
        <w:t xml:space="preserve"> o </w:t>
      </w:r>
      <w:r w:rsidR="003B2131">
        <w:rPr>
          <w:lang w:eastAsia="es-ES"/>
        </w:rPr>
        <w:t xml:space="preserve">del OSE </w:t>
      </w:r>
      <w:r w:rsidR="004C1E17" w:rsidRPr="000B7657">
        <w:rPr>
          <w:lang w:eastAsia="es-ES"/>
        </w:rPr>
        <w:t>según corresponda, incluyendo la participación de expertos sectoriales externos (cuando se requiera en función de la complejidad de la contratación), siendo sus funciones</w:t>
      </w:r>
      <w:r w:rsidR="004C1E17">
        <w:rPr>
          <w:lang w:eastAsia="es-ES"/>
        </w:rPr>
        <w:t xml:space="preserve">: </w:t>
      </w:r>
    </w:p>
    <w:p w14:paraId="4E675671" w14:textId="77777777" w:rsidR="004C1E17" w:rsidRDefault="004C1E17" w:rsidP="009B54B5">
      <w:pPr>
        <w:pStyle w:val="numeradorom"/>
        <w:numPr>
          <w:ilvl w:val="2"/>
          <w:numId w:val="39"/>
        </w:numPr>
        <w:rPr>
          <w:lang w:eastAsia="es-ES"/>
        </w:rPr>
      </w:pPr>
      <w:r>
        <w:rPr>
          <w:lang w:eastAsia="es-ES"/>
        </w:rPr>
        <w:t>Preparar las circulares o boletines de aclaraciones o enmiendas a los DEL o DESP.</w:t>
      </w:r>
    </w:p>
    <w:p w14:paraId="6D6C004B" w14:textId="77777777" w:rsidR="004C1E17" w:rsidRDefault="004C1E17" w:rsidP="009B54B5">
      <w:pPr>
        <w:pStyle w:val="numeradorom"/>
        <w:numPr>
          <w:ilvl w:val="2"/>
          <w:numId w:val="39"/>
        </w:numPr>
        <w:rPr>
          <w:lang w:eastAsia="es-ES"/>
        </w:rPr>
      </w:pPr>
      <w:r>
        <w:rPr>
          <w:lang w:eastAsia="es-ES"/>
        </w:rPr>
        <w:t>Participar en los actos de apertura de ofertas o propuestas.</w:t>
      </w:r>
    </w:p>
    <w:p w14:paraId="635435E1" w14:textId="77777777" w:rsidR="004C1E17" w:rsidRDefault="004C1E17" w:rsidP="009B54B5">
      <w:pPr>
        <w:pStyle w:val="numeradorom"/>
        <w:numPr>
          <w:ilvl w:val="2"/>
          <w:numId w:val="39"/>
        </w:numPr>
        <w:rPr>
          <w:lang w:eastAsia="es-ES"/>
        </w:rPr>
      </w:pPr>
      <w:r>
        <w:rPr>
          <w:lang w:eastAsia="es-ES"/>
        </w:rPr>
        <w:t>Evaluar y calificar las ofertas o propuestas, de conformidad con las disposiciones establecidas en los DEL y DESP y en las Políticas del BID.</w:t>
      </w:r>
    </w:p>
    <w:p w14:paraId="30A3E3AA" w14:textId="77777777" w:rsidR="004C1E17" w:rsidRDefault="004C1E17" w:rsidP="009B54B5">
      <w:pPr>
        <w:pStyle w:val="numeradorom"/>
        <w:numPr>
          <w:ilvl w:val="2"/>
          <w:numId w:val="39"/>
        </w:numPr>
        <w:rPr>
          <w:lang w:eastAsia="es-ES"/>
        </w:rPr>
      </w:pPr>
      <w:r>
        <w:rPr>
          <w:lang w:eastAsia="es-ES"/>
        </w:rPr>
        <w:t>Solicitar aclaraciones -o canalizar la solicitud de las aclaraciones, según corresponda, a las ofertas o propuestas, incluyendo la corrección de aspectos subsanables, de conformidad con las disposiciones establecidas en los DEL y DESP y en las Políticas del BID.</w:t>
      </w:r>
    </w:p>
    <w:p w14:paraId="1A61ABF4" w14:textId="77777777" w:rsidR="004C1E17" w:rsidRDefault="004C1E17" w:rsidP="009B54B5">
      <w:pPr>
        <w:pStyle w:val="numeradorom"/>
        <w:numPr>
          <w:ilvl w:val="2"/>
          <w:numId w:val="39"/>
        </w:numPr>
        <w:rPr>
          <w:lang w:eastAsia="es-ES"/>
        </w:rPr>
      </w:pPr>
      <w:r>
        <w:rPr>
          <w:lang w:eastAsia="es-ES"/>
        </w:rPr>
        <w:t>Autorizar cuando corresponda, la aprobación de ampliación de plazo de presentación de ofertas, propuestas, o postulaciones que realicen las comisiones.</w:t>
      </w:r>
    </w:p>
    <w:p w14:paraId="300E7626" w14:textId="77777777" w:rsidR="004C1E17" w:rsidRDefault="004C1E17" w:rsidP="009B54B5">
      <w:pPr>
        <w:pStyle w:val="numeradorom"/>
        <w:numPr>
          <w:ilvl w:val="2"/>
          <w:numId w:val="39"/>
        </w:numPr>
        <w:rPr>
          <w:lang w:eastAsia="es-ES"/>
        </w:rPr>
      </w:pPr>
      <w:r>
        <w:rPr>
          <w:lang w:eastAsia="es-ES"/>
        </w:rPr>
        <w:t xml:space="preserve">Elaborar el informe de evaluación y calificación de ofertas o propuestas incluyendo a cabalidad el análisis que se haya realizado sobre aclaraciones, subsanaciones, desviaciones, omisiones, reservas, corrección de errores aritméticos, determinación de cumplimiento sustancial de ofertas o propuestas, comparación y determinación de la oferta más baja evaluada, calificación del oferentes, calificación de los profesionales  propuestos por firmas consultoras, etc., según corresponda, de conformidad con las disposiciones establecidas en los DEL y DESP y en las Políticas del BID. </w:t>
      </w:r>
    </w:p>
    <w:p w14:paraId="35D766B9" w14:textId="77777777" w:rsidR="004C1E17" w:rsidRDefault="004C1E17" w:rsidP="009B54B5">
      <w:pPr>
        <w:pStyle w:val="numeradorom"/>
        <w:numPr>
          <w:ilvl w:val="2"/>
          <w:numId w:val="39"/>
        </w:numPr>
        <w:rPr>
          <w:lang w:eastAsia="es-ES"/>
        </w:rPr>
      </w:pPr>
      <w:r>
        <w:rPr>
          <w:lang w:eastAsia="es-ES"/>
        </w:rPr>
        <w:t>Elaborar cuando corresponda el informe para la cancelación, suspensión o anulación de un proceso, de conformidad con las disposiciones establecidas en los DEL y DESP y en las Políticas del BID; entre otros.</w:t>
      </w:r>
    </w:p>
    <w:p w14:paraId="238C95A9" w14:textId="77777777" w:rsidR="004C1E17" w:rsidRDefault="004C1E17" w:rsidP="009B54B5">
      <w:pPr>
        <w:pStyle w:val="numeradorom"/>
        <w:numPr>
          <w:ilvl w:val="2"/>
          <w:numId w:val="39"/>
        </w:numPr>
        <w:rPr>
          <w:lang w:eastAsia="es-ES"/>
        </w:rPr>
      </w:pPr>
      <w:r>
        <w:rPr>
          <w:lang w:eastAsia="es-ES"/>
        </w:rPr>
        <w:t>Un profesional no podrá conformar la Comisión Calificadora si tras la recepción de ofertas, propuestas o postulaciones, se presenta una figura de conflicto de interés con uno o más oferentes, consultores o candidatos.</w:t>
      </w:r>
    </w:p>
    <w:p w14:paraId="63562EB0" w14:textId="77777777" w:rsidR="004C1E17" w:rsidRDefault="004C1E17" w:rsidP="009B54B5">
      <w:pPr>
        <w:pStyle w:val="numeradorom"/>
        <w:numPr>
          <w:ilvl w:val="2"/>
          <w:numId w:val="39"/>
        </w:numPr>
        <w:rPr>
          <w:lang w:eastAsia="es-ES"/>
        </w:rPr>
      </w:pPr>
      <w:r>
        <w:rPr>
          <w:lang w:eastAsia="es-ES"/>
        </w:rPr>
        <w:t>Elaborar las respuestas a posibles protestas o impugnaciones en caso de existir.</w:t>
      </w:r>
    </w:p>
    <w:p w14:paraId="7C49FBE9" w14:textId="56E8EDD9" w:rsidR="004C1E17" w:rsidRDefault="004C1E17" w:rsidP="00BD5D10">
      <w:pPr>
        <w:pStyle w:val="Heading3"/>
      </w:pPr>
      <w:r w:rsidRPr="00A7030F">
        <w:t xml:space="preserve">Unidad Jurídica/Abogado </w:t>
      </w:r>
      <w:r>
        <w:rPr>
          <w:lang w:eastAsia="es-ES"/>
        </w:rPr>
        <w:t>del MEF</w:t>
      </w:r>
      <w:r w:rsidR="003B2131">
        <w:rPr>
          <w:lang w:eastAsia="es-ES"/>
        </w:rPr>
        <w:t>, SGP</w:t>
      </w:r>
      <w:r>
        <w:rPr>
          <w:lang w:eastAsia="es-ES"/>
        </w:rPr>
        <w:t xml:space="preserve"> y </w:t>
      </w:r>
      <w:r w:rsidR="00412ED1">
        <w:rPr>
          <w:lang w:eastAsia="es-ES"/>
        </w:rPr>
        <w:t>VPR</w:t>
      </w:r>
      <w:r>
        <w:rPr>
          <w:rStyle w:val="FootnoteReference"/>
          <w:lang w:eastAsia="es-ES"/>
        </w:rPr>
        <w:footnoteReference w:id="34"/>
      </w:r>
    </w:p>
    <w:p w14:paraId="3D522204" w14:textId="77777777" w:rsidR="004C1E17" w:rsidRDefault="004C1E17" w:rsidP="009B54B5">
      <w:pPr>
        <w:pStyle w:val="numeradorom"/>
        <w:numPr>
          <w:ilvl w:val="2"/>
          <w:numId w:val="40"/>
        </w:numPr>
        <w:rPr>
          <w:lang w:eastAsia="es-ES"/>
        </w:rPr>
      </w:pPr>
      <w:r>
        <w:rPr>
          <w:lang w:eastAsia="es-ES"/>
        </w:rPr>
        <w:t>Asesorar en materia legal y entregar inputs de carácter legal a los responsables de elaborar los DBC, incluyendo los requisitos y criterios de orden legal a ser requeridos y aplicados en la evaluación de las ofertas o propuestas, y los borradores de contrato que forman parte integral de los DBC.</w:t>
      </w:r>
    </w:p>
    <w:p w14:paraId="12EFBD69" w14:textId="77777777" w:rsidR="004C1E17" w:rsidRDefault="004C1E17" w:rsidP="009B54B5">
      <w:pPr>
        <w:pStyle w:val="numeradorom"/>
        <w:numPr>
          <w:ilvl w:val="2"/>
          <w:numId w:val="40"/>
        </w:numPr>
        <w:rPr>
          <w:lang w:eastAsia="es-ES"/>
        </w:rPr>
      </w:pPr>
      <w:r>
        <w:rPr>
          <w:lang w:eastAsia="es-ES"/>
        </w:rPr>
        <w:t>Elaborar los informes legales requeridos en los procesos de licitación, selección y/o contratación.</w:t>
      </w:r>
    </w:p>
    <w:p w14:paraId="12422357" w14:textId="77777777" w:rsidR="004C1E17" w:rsidRDefault="004C1E17" w:rsidP="009B54B5">
      <w:pPr>
        <w:pStyle w:val="numeradorom"/>
        <w:numPr>
          <w:ilvl w:val="2"/>
          <w:numId w:val="40"/>
        </w:numPr>
        <w:rPr>
          <w:lang w:eastAsia="es-ES"/>
        </w:rPr>
      </w:pPr>
      <w:r>
        <w:rPr>
          <w:lang w:eastAsia="es-ES"/>
        </w:rPr>
        <w:t>Elaborar y visar los borradores de contratos, y sus modificaciones, previo a la negociación de los mismos con los oferentes o consultores adjudicatarios.</w:t>
      </w:r>
    </w:p>
    <w:p w14:paraId="0E526AF1" w14:textId="77777777" w:rsidR="004C1E17" w:rsidRDefault="004C1E17" w:rsidP="009B54B5">
      <w:pPr>
        <w:pStyle w:val="numeradorom"/>
        <w:numPr>
          <w:ilvl w:val="2"/>
          <w:numId w:val="40"/>
        </w:numPr>
        <w:rPr>
          <w:lang w:eastAsia="es-ES"/>
        </w:rPr>
      </w:pPr>
      <w:r>
        <w:rPr>
          <w:lang w:eastAsia="es-ES"/>
        </w:rPr>
        <w:t>Elaborar y visar los convenios con terceros (intergubernamentales, interinstitucionales, etc.), y sus modificaciones, necesarios para la ejecución del Programa.</w:t>
      </w:r>
    </w:p>
    <w:p w14:paraId="0ADD6B15" w14:textId="77777777" w:rsidR="004C1E17" w:rsidRDefault="004C1E17" w:rsidP="009B54B5">
      <w:pPr>
        <w:pStyle w:val="numeradorom"/>
        <w:numPr>
          <w:ilvl w:val="2"/>
          <w:numId w:val="40"/>
        </w:numPr>
        <w:rPr>
          <w:lang w:eastAsia="es-ES"/>
        </w:rPr>
      </w:pPr>
      <w:r>
        <w:rPr>
          <w:lang w:eastAsia="es-ES"/>
        </w:rPr>
        <w:t>Revisar y dar visto bueno a la legalidad de la documentación presentada por los oferentes o consultores adjudicatarios previo a la suscripción de contratos;</w:t>
      </w:r>
    </w:p>
    <w:p w14:paraId="6B61BBB3" w14:textId="77777777" w:rsidR="004C1E17" w:rsidRDefault="004C1E17" w:rsidP="009B54B5">
      <w:pPr>
        <w:pStyle w:val="numeradorom"/>
        <w:numPr>
          <w:ilvl w:val="2"/>
          <w:numId w:val="40"/>
        </w:numPr>
        <w:rPr>
          <w:lang w:eastAsia="es-ES"/>
        </w:rPr>
      </w:pPr>
      <w:r>
        <w:rPr>
          <w:lang w:eastAsia="es-ES"/>
        </w:rPr>
        <w:t>Brindar asesoría legal para el tratamiento protestas.</w:t>
      </w:r>
    </w:p>
    <w:p w14:paraId="1F6AAF46" w14:textId="77777777" w:rsidR="004C1E17" w:rsidRDefault="004C1E17" w:rsidP="009B54B5">
      <w:pPr>
        <w:pStyle w:val="numeradorom"/>
        <w:numPr>
          <w:ilvl w:val="2"/>
          <w:numId w:val="40"/>
        </w:numPr>
        <w:rPr>
          <w:lang w:eastAsia="es-ES"/>
        </w:rPr>
      </w:pPr>
      <w:r>
        <w:rPr>
          <w:lang w:eastAsia="es-ES"/>
        </w:rPr>
        <w:t>Elaborar el informe legal para la cancelación, suspensión o anulación de procesos de licitación o selección, de conformidad con las disposiciones del DBC y de las Políticas del BID.</w:t>
      </w:r>
    </w:p>
    <w:p w14:paraId="5AD2E3F9" w14:textId="77777777" w:rsidR="004C1E17" w:rsidRDefault="004C1E17" w:rsidP="009B54B5">
      <w:pPr>
        <w:pStyle w:val="numeradorom"/>
        <w:numPr>
          <w:ilvl w:val="2"/>
          <w:numId w:val="40"/>
        </w:numPr>
        <w:rPr>
          <w:lang w:eastAsia="es-ES"/>
        </w:rPr>
      </w:pPr>
      <w:r>
        <w:rPr>
          <w:lang w:eastAsia="es-ES"/>
        </w:rPr>
        <w:t>Gestionar la protocolización de los Contratos suscritos, únicamente cuando superen el umbral determinado en la legislación nacional.</w:t>
      </w:r>
    </w:p>
    <w:p w14:paraId="6780B599" w14:textId="77777777" w:rsidR="004C1E17" w:rsidRDefault="004C1E17" w:rsidP="009B54B5">
      <w:pPr>
        <w:pStyle w:val="numeradorom"/>
        <w:numPr>
          <w:ilvl w:val="2"/>
          <w:numId w:val="40"/>
        </w:numPr>
        <w:rPr>
          <w:lang w:eastAsia="es-ES"/>
        </w:rPr>
      </w:pPr>
      <w:r>
        <w:rPr>
          <w:lang w:eastAsia="es-ES"/>
        </w:rPr>
        <w:t>Brindar asesoría legal y elaborar los informes legales que se requieran para el tratamiento de controversias, arbitraje y resolución de contratos durante la ejecución de los mismos; entre otros.</w:t>
      </w:r>
    </w:p>
    <w:p w14:paraId="4FC3AF3C" w14:textId="77777777" w:rsidR="004C1E17" w:rsidRDefault="004C1E17" w:rsidP="00BD5D10">
      <w:pPr>
        <w:pStyle w:val="Heading3"/>
      </w:pPr>
      <w:r w:rsidRPr="000B7657">
        <w:lastRenderedPageBreak/>
        <w:t>Comisión de Recepción de bienes, obras y servicios del Programa</w:t>
      </w:r>
      <w:r w:rsidRPr="000B7657">
        <w:rPr>
          <w:rStyle w:val="FootnoteReference"/>
          <w:vertAlign w:val="baseline"/>
        </w:rPr>
        <w:t xml:space="preserve"> </w:t>
      </w:r>
    </w:p>
    <w:p w14:paraId="212665EB" w14:textId="77777777" w:rsidR="004C1E17" w:rsidRDefault="004C1E17" w:rsidP="009B54B5">
      <w:pPr>
        <w:pStyle w:val="numeradorom"/>
        <w:numPr>
          <w:ilvl w:val="2"/>
          <w:numId w:val="41"/>
        </w:numPr>
        <w:rPr>
          <w:lang w:eastAsia="es-ES"/>
        </w:rPr>
      </w:pPr>
      <w:r>
        <w:rPr>
          <w:lang w:eastAsia="es-ES"/>
        </w:rPr>
        <w:t>Verificar el cumplimiento de las especificaciones técnicas y/o términos de referencia para realizar la recepción de los bienes, obras, servicios diferentes de consultoría y servicios de consultoría.</w:t>
      </w:r>
    </w:p>
    <w:p w14:paraId="5920A908" w14:textId="77777777" w:rsidR="004C1E17" w:rsidRDefault="004C1E17" w:rsidP="009B54B5">
      <w:pPr>
        <w:pStyle w:val="numeradorom"/>
        <w:numPr>
          <w:ilvl w:val="2"/>
          <w:numId w:val="41"/>
        </w:numPr>
        <w:rPr>
          <w:lang w:eastAsia="es-ES"/>
        </w:rPr>
      </w:pPr>
      <w:r>
        <w:rPr>
          <w:lang w:eastAsia="es-ES"/>
        </w:rPr>
        <w:t>Dar conformidad sobre los bienes, obras, servicios diferentes de consultoría y servicios de consultoría, a través de la emisión de los certificados que corresponda de acuerdo a las condiciones de los contratos.</w:t>
      </w:r>
    </w:p>
    <w:p w14:paraId="55018EBE" w14:textId="77777777" w:rsidR="004C1E17" w:rsidRDefault="004C1E17" w:rsidP="00BD5D10">
      <w:pPr>
        <w:pStyle w:val="Heading3"/>
      </w:pPr>
      <w:r>
        <w:t>Otros Expertos</w:t>
      </w:r>
    </w:p>
    <w:p w14:paraId="37CDEC03" w14:textId="61784E80" w:rsidR="004C1E17" w:rsidRDefault="004C1E17" w:rsidP="009B54B5">
      <w:pPr>
        <w:pStyle w:val="numeradorom"/>
        <w:numPr>
          <w:ilvl w:val="0"/>
          <w:numId w:val="0"/>
        </w:numPr>
        <w:ind w:left="737"/>
        <w:rPr>
          <w:lang w:eastAsia="es-ES"/>
        </w:rPr>
      </w:pPr>
      <w:r w:rsidRPr="009A5F0B">
        <w:rPr>
          <w:lang w:eastAsia="es-ES"/>
        </w:rPr>
        <w:t xml:space="preserve">En caso de ser necesario, y previa no objeción del BID, el EDG MEF </w:t>
      </w:r>
      <w:r w:rsidR="003B2131">
        <w:rPr>
          <w:lang w:eastAsia="es-ES"/>
        </w:rPr>
        <w:t>u</w:t>
      </w:r>
      <w:r w:rsidRPr="009A5F0B">
        <w:rPr>
          <w:lang w:eastAsia="es-ES"/>
        </w:rPr>
        <w:t xml:space="preserve"> </w:t>
      </w:r>
      <w:r w:rsidR="003B2131">
        <w:rPr>
          <w:lang w:eastAsia="es-ES"/>
        </w:rPr>
        <w:t>OSE</w:t>
      </w:r>
      <w:r w:rsidRPr="009A5F0B">
        <w:rPr>
          <w:lang w:eastAsia="es-ES"/>
        </w:rPr>
        <w:t>, según corresponda, podrá contratar con cargo al Programa</w:t>
      </w:r>
      <w:r>
        <w:rPr>
          <w:lang w:eastAsia="es-ES"/>
        </w:rPr>
        <w:t xml:space="preserve">: </w:t>
      </w:r>
    </w:p>
    <w:p w14:paraId="71E3F286" w14:textId="77777777" w:rsidR="004C1E17" w:rsidRDefault="004C1E17" w:rsidP="009B54B5">
      <w:pPr>
        <w:pStyle w:val="numeradorom"/>
        <w:numPr>
          <w:ilvl w:val="2"/>
          <w:numId w:val="42"/>
        </w:numPr>
        <w:rPr>
          <w:lang w:eastAsia="es-ES"/>
        </w:rPr>
      </w:pPr>
      <w:r>
        <w:rPr>
          <w:lang w:eastAsia="es-ES"/>
        </w:rPr>
        <w:t>Expertos en Adquisiciones (contratados como consultores por producto) para asesorar en la elaboración de los DBC para procesos de licitación o selección complejos, para la elaboración de planillas parametrizadas de calificación, o para brindar asesoría técnica a las Comisiones Calificadoras durante la evaluación de ofertas o propuestas.</w:t>
      </w:r>
    </w:p>
    <w:p w14:paraId="50DBEACD" w14:textId="77777777" w:rsidR="004C1E17" w:rsidRDefault="004C1E17" w:rsidP="009B54B5">
      <w:pPr>
        <w:pStyle w:val="numeradorom"/>
        <w:numPr>
          <w:ilvl w:val="2"/>
          <w:numId w:val="42"/>
        </w:numPr>
        <w:rPr>
          <w:lang w:eastAsia="es-ES"/>
        </w:rPr>
      </w:pPr>
      <w:r>
        <w:rPr>
          <w:lang w:eastAsia="es-ES"/>
        </w:rPr>
        <w:t>Abogados externos (contratados como consultores por producto), para asesorar casos de controversia o arbitraje de contratos complejos.</w:t>
      </w:r>
    </w:p>
    <w:p w14:paraId="1FCB9883" w14:textId="77777777" w:rsidR="004C1E17" w:rsidRDefault="004C1E17" w:rsidP="009B54B5">
      <w:pPr>
        <w:pStyle w:val="numeradorom"/>
        <w:numPr>
          <w:ilvl w:val="2"/>
          <w:numId w:val="42"/>
        </w:numPr>
        <w:rPr>
          <w:lang w:eastAsia="es-ES"/>
        </w:rPr>
      </w:pPr>
      <w:r>
        <w:rPr>
          <w:lang w:eastAsia="es-ES"/>
        </w:rPr>
        <w:t>Otros expertos requeridos por el OE u OSE, para apoyar o asesorar en temas de carácter técnico tales como elaboración de términos de referencia, elaboración de especificaciones técnicas, entre otros.</w:t>
      </w:r>
    </w:p>
    <w:p w14:paraId="60A68B7E" w14:textId="77777777" w:rsidR="004C1E17" w:rsidRDefault="004C1E17" w:rsidP="009B54B5">
      <w:pPr>
        <w:pStyle w:val="Estilo1"/>
      </w:pPr>
      <w:r>
        <w:rPr>
          <w:b/>
          <w:bCs/>
          <w:u w:val="single"/>
        </w:rPr>
        <w:t>Condiciones para el inicio de los procesos de licitación o selección</w:t>
      </w:r>
      <w:r w:rsidRPr="00842E75">
        <w:rPr>
          <w:b/>
          <w:bCs/>
          <w:u w:val="single"/>
        </w:rPr>
        <w:t>.</w:t>
      </w:r>
      <w:r>
        <w:t xml:space="preserve"> </w:t>
      </w:r>
      <w:r w:rsidRPr="001A3E40">
        <w:t>Son condiciones para dar inicio a un proceso de adquisición, selección o contratación</w:t>
      </w:r>
      <w:r>
        <w:t>:</w:t>
      </w:r>
    </w:p>
    <w:p w14:paraId="70423990" w14:textId="77777777" w:rsidR="004C1E17" w:rsidRDefault="004C1E17" w:rsidP="009B54B5">
      <w:pPr>
        <w:pStyle w:val="numeradorom"/>
        <w:numPr>
          <w:ilvl w:val="2"/>
          <w:numId w:val="43"/>
        </w:numPr>
        <w:rPr>
          <w:lang w:eastAsia="es-ES"/>
        </w:rPr>
      </w:pPr>
      <w:r>
        <w:rPr>
          <w:lang w:eastAsia="es-ES"/>
        </w:rPr>
        <w:t>Si corresponde, contar con los Convenios Interinstitucionales de Financiamiento suscritos.</w:t>
      </w:r>
    </w:p>
    <w:p w14:paraId="37A72C85" w14:textId="77777777" w:rsidR="004C1E17" w:rsidRDefault="004C1E17" w:rsidP="009B54B5">
      <w:pPr>
        <w:pStyle w:val="numeradorom"/>
        <w:numPr>
          <w:ilvl w:val="2"/>
          <w:numId w:val="43"/>
        </w:numPr>
        <w:rPr>
          <w:lang w:eastAsia="es-ES"/>
        </w:rPr>
      </w:pPr>
      <w:r>
        <w:rPr>
          <w:lang w:eastAsia="es-ES"/>
        </w:rPr>
        <w:t>Si corresponde, contar con la liberación de derechos de vía y servidumbres para la construcción de obras.</w:t>
      </w:r>
    </w:p>
    <w:p w14:paraId="2363B0AD" w14:textId="77777777" w:rsidR="004C1E17" w:rsidRDefault="004C1E17" w:rsidP="009B54B5">
      <w:pPr>
        <w:pStyle w:val="numeradorom"/>
        <w:numPr>
          <w:ilvl w:val="2"/>
          <w:numId w:val="43"/>
        </w:numPr>
        <w:rPr>
          <w:lang w:eastAsia="es-ES"/>
        </w:rPr>
      </w:pPr>
      <w:r>
        <w:rPr>
          <w:lang w:eastAsia="es-ES"/>
        </w:rPr>
        <w:t>Contar con la certificación presupuestaria para la contratación en cuestión.</w:t>
      </w:r>
    </w:p>
    <w:p w14:paraId="427DA5D4" w14:textId="77777777" w:rsidR="004C1E17" w:rsidRDefault="004C1E17" w:rsidP="009B54B5">
      <w:pPr>
        <w:pStyle w:val="numeradorom"/>
        <w:numPr>
          <w:ilvl w:val="2"/>
          <w:numId w:val="43"/>
        </w:numPr>
        <w:rPr>
          <w:lang w:eastAsia="es-ES"/>
        </w:rPr>
      </w:pPr>
      <w:r>
        <w:rPr>
          <w:lang w:eastAsia="es-ES"/>
        </w:rPr>
        <w:t xml:space="preserve">Contar con el proceso de adquisición inscrito en el PA aprobado por el BID a través de SEPA. </w:t>
      </w:r>
    </w:p>
    <w:p w14:paraId="694F8CB5" w14:textId="77777777" w:rsidR="004C1E17" w:rsidRDefault="004C1E17" w:rsidP="009B54B5">
      <w:pPr>
        <w:pStyle w:val="numeradorom"/>
        <w:numPr>
          <w:ilvl w:val="2"/>
          <w:numId w:val="43"/>
        </w:numPr>
        <w:rPr>
          <w:lang w:eastAsia="es-ES"/>
        </w:rPr>
      </w:pPr>
      <w:r>
        <w:rPr>
          <w:lang w:eastAsia="es-ES"/>
        </w:rPr>
        <w:t>Contar con la no objeción del BID a los términos de referencia y/o especificaciones técnicas (incluyendo los criterios de evaluación de ofertas) para la contratación de bienes, obras y servicios diferentes de consultoría. Esta condición es obligatoria en todos los casos, sea que los procesos estén sujetos a supervisión ex - post o ex - ante por parte del Banco.</w:t>
      </w:r>
    </w:p>
    <w:p w14:paraId="2BD5DBAA" w14:textId="77777777" w:rsidR="004C1E17" w:rsidRDefault="004C1E17" w:rsidP="009B54B5">
      <w:pPr>
        <w:pStyle w:val="numeradorom"/>
        <w:numPr>
          <w:ilvl w:val="2"/>
          <w:numId w:val="43"/>
        </w:numPr>
        <w:rPr>
          <w:lang w:eastAsia="es-ES"/>
        </w:rPr>
      </w:pPr>
      <w:r>
        <w:rPr>
          <w:lang w:eastAsia="es-ES"/>
        </w:rPr>
        <w:t>Contar con la no objeción del BID a los términos de referencia (incluyendo el perfil de la firma consultora y de los profesionales que formarán parte del equipo consultor) para la contratación de servicios de consultoría de forma previa a la preparación de los DBC.  Esta condición es obligatoria en todos los casos, sea que los procesos estén sujetos a supervisión ex - post o ex - ante por parte del Banco.</w:t>
      </w:r>
    </w:p>
    <w:p w14:paraId="4658CF6A" w14:textId="77777777" w:rsidR="004C1E17" w:rsidRDefault="004C1E17" w:rsidP="009B54B5">
      <w:pPr>
        <w:pStyle w:val="numeradorom"/>
        <w:numPr>
          <w:ilvl w:val="2"/>
          <w:numId w:val="43"/>
        </w:numPr>
        <w:rPr>
          <w:lang w:eastAsia="es-ES"/>
        </w:rPr>
      </w:pPr>
      <w:r>
        <w:rPr>
          <w:lang w:eastAsia="es-ES"/>
        </w:rPr>
        <w:t>Contar con la No Objeción del BID al DBC para los procesos de licitación o de selección supervisados de forma ex ante por el Banco; y otras condiciones que se definan como necesarias.</w:t>
      </w:r>
    </w:p>
    <w:p w14:paraId="5819FA5C" w14:textId="77777777" w:rsidR="004C1E17" w:rsidRPr="00C138A0" w:rsidRDefault="004C1E17" w:rsidP="009B54B5">
      <w:pPr>
        <w:pStyle w:val="Estilo1"/>
      </w:pPr>
      <w:r>
        <w:t>C</w:t>
      </w:r>
      <w:r w:rsidRPr="00C138A0">
        <w:t xml:space="preserve">ategorías </w:t>
      </w:r>
      <w:r>
        <w:t>y</w:t>
      </w:r>
      <w:r w:rsidRPr="00C138A0">
        <w:t xml:space="preserve"> </w:t>
      </w:r>
      <w:r>
        <w:t>c</w:t>
      </w:r>
      <w:r w:rsidRPr="00C138A0">
        <w:t>uantías para la selección de métodos de adquisiciones</w:t>
      </w:r>
      <w:r>
        <w:t xml:space="preserve"> y</w:t>
      </w:r>
      <w:r w:rsidRPr="00C138A0">
        <w:t xml:space="preserve"> modalidad de supervisión aplicable por parte del </w:t>
      </w:r>
      <w:r>
        <w:t>BID.</w:t>
      </w:r>
      <w:r w:rsidRPr="00C138A0">
        <w:t xml:space="preserve"> </w:t>
      </w:r>
    </w:p>
    <w:p w14:paraId="77A687FD" w14:textId="77777777" w:rsidR="004C1E17" w:rsidRDefault="004C1E17" w:rsidP="009B54B5">
      <w:pPr>
        <w:pStyle w:val="numeradorom"/>
        <w:numPr>
          <w:ilvl w:val="2"/>
          <w:numId w:val="44"/>
        </w:numPr>
        <w:rPr>
          <w:lang w:eastAsia="es-ES"/>
        </w:rPr>
      </w:pPr>
      <w:r w:rsidRPr="0016535C">
        <w:rPr>
          <w:b/>
          <w:bCs/>
          <w:u w:val="single"/>
          <w:lang w:eastAsia="es-ES"/>
        </w:rPr>
        <w:t>Adquisición de Bienes, Obras y Servicios Diferentes de Consultoría</w:t>
      </w:r>
      <w:r>
        <w:rPr>
          <w:b/>
          <w:bCs/>
          <w:u w:val="single"/>
          <w:lang w:eastAsia="es-ES"/>
        </w:rPr>
        <w:t>.</w:t>
      </w:r>
      <w:r>
        <w:rPr>
          <w:lang w:eastAsia="es-ES"/>
        </w:rPr>
        <w:t xml:space="preserve"> </w:t>
      </w:r>
      <w:r w:rsidRPr="0016535C">
        <w:rPr>
          <w:lang w:eastAsia="es-ES"/>
        </w:rPr>
        <w:t xml:space="preserve">La adquisición de bienes y obras se efectuará de acuerdo a los métodos y cuantías consignados en el siguiente cuadro, en el </w:t>
      </w:r>
      <w:r>
        <w:rPr>
          <w:lang w:eastAsia="es-ES"/>
        </w:rPr>
        <w:t xml:space="preserve">cual </w:t>
      </w:r>
      <w:r w:rsidRPr="0016535C">
        <w:rPr>
          <w:lang w:eastAsia="es-ES"/>
        </w:rPr>
        <w:t>se indica la modalidad de supervisión por parte del BID</w:t>
      </w:r>
      <w:r>
        <w:rPr>
          <w:lang w:eastAsia="es-ES"/>
        </w:rPr>
        <w:t>:</w:t>
      </w:r>
    </w:p>
    <w:p w14:paraId="4ABBFCAE" w14:textId="5FC9359A" w:rsidR="004C1E17" w:rsidRDefault="004C1E17" w:rsidP="004C1E17">
      <w:pPr>
        <w:pStyle w:val="Caption"/>
        <w:keepNext/>
        <w:spacing w:before="240"/>
      </w:pPr>
      <w:bookmarkStart w:id="70" w:name="_Toc15397734"/>
      <w:bookmarkStart w:id="71" w:name="_Toc23797280"/>
      <w:r>
        <w:lastRenderedPageBreak/>
        <w:t xml:space="preserve">Tabla </w:t>
      </w:r>
      <w:fldSimple w:instr=" SEQ Tabla \* ARABIC ">
        <w:r w:rsidR="003538B4">
          <w:rPr>
            <w:noProof/>
          </w:rPr>
          <w:t>4</w:t>
        </w:r>
      </w:fldSimple>
      <w:r>
        <w:t xml:space="preserve">. </w:t>
      </w:r>
      <w:r w:rsidRPr="00CF43E0">
        <w:t>Cuantías y Métodos de Adquisición de Bienes y Servicios diferentes de Consultoría, Modalidad de Supervisión por parte del BID</w:t>
      </w:r>
      <w:bookmarkEnd w:id="70"/>
      <w:bookmarkEnd w:id="71"/>
    </w:p>
    <w:tbl>
      <w:tblPr>
        <w:tblW w:w="5000" w:type="pct"/>
        <w:tblLayout w:type="fixed"/>
        <w:tblLook w:val="04A0" w:firstRow="1" w:lastRow="0" w:firstColumn="1" w:lastColumn="0" w:noHBand="0" w:noVBand="1"/>
      </w:tblPr>
      <w:tblGrid>
        <w:gridCol w:w="1271"/>
        <w:gridCol w:w="1559"/>
        <w:gridCol w:w="1984"/>
        <w:gridCol w:w="4246"/>
      </w:tblGrid>
      <w:tr w:rsidR="004C1E17" w:rsidRPr="00495A9F" w14:paraId="1C6D9268" w14:textId="77777777" w:rsidTr="00D51933">
        <w:trPr>
          <w:tblHeader/>
        </w:trPr>
        <w:tc>
          <w:tcPr>
            <w:tcW w:w="70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D97E26"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Categoría</w:t>
            </w:r>
          </w:p>
        </w:tc>
        <w:tc>
          <w:tcPr>
            <w:tcW w:w="8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C9309A"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Método de Contratación</w:t>
            </w:r>
            <w:r>
              <w:rPr>
                <w:rStyle w:val="FootnoteReference"/>
                <w:rFonts w:ascii="Arial Narrow" w:hAnsi="Arial Narrow"/>
                <w:b/>
                <w:u w:val="single"/>
              </w:rPr>
              <w:footnoteReference w:id="35"/>
            </w:r>
          </w:p>
        </w:tc>
        <w:tc>
          <w:tcPr>
            <w:tcW w:w="109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5A51A5"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Valor de Contratación (</w:t>
            </w:r>
            <w:r>
              <w:rPr>
                <w:rFonts w:ascii="Arial Narrow" w:hAnsi="Arial Narrow"/>
                <w:b/>
                <w:u w:val="single"/>
              </w:rPr>
              <w:t>USD</w:t>
            </w:r>
            <w:r w:rsidRPr="0016535C">
              <w:rPr>
                <w:rFonts w:ascii="Arial Narrow" w:hAnsi="Arial Narrow"/>
                <w:b/>
                <w:u w:val="single"/>
              </w:rPr>
              <w:t>)</w:t>
            </w:r>
          </w:p>
        </w:tc>
        <w:tc>
          <w:tcPr>
            <w:tcW w:w="234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B0EA4"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Esquema de</w:t>
            </w:r>
            <w:r>
              <w:rPr>
                <w:rFonts w:ascii="Arial Narrow" w:hAnsi="Arial Narrow"/>
                <w:b/>
                <w:u w:val="single"/>
              </w:rPr>
              <w:t xml:space="preserve"> </w:t>
            </w:r>
            <w:r w:rsidRPr="0016535C">
              <w:rPr>
                <w:rFonts w:ascii="Arial Narrow" w:hAnsi="Arial Narrow"/>
                <w:b/>
                <w:u w:val="single"/>
              </w:rPr>
              <w:t>Revisión</w:t>
            </w:r>
          </w:p>
        </w:tc>
      </w:tr>
      <w:tr w:rsidR="004C1E17" w:rsidRPr="00495A9F" w14:paraId="28DF785A" w14:textId="77777777" w:rsidTr="00D51933">
        <w:tc>
          <w:tcPr>
            <w:tcW w:w="701" w:type="pct"/>
            <w:vMerge w:val="restart"/>
            <w:tcBorders>
              <w:top w:val="single" w:sz="4" w:space="0" w:color="auto"/>
              <w:left w:val="single" w:sz="4" w:space="0" w:color="auto"/>
              <w:right w:val="single" w:sz="4" w:space="0" w:color="auto"/>
            </w:tcBorders>
            <w:shd w:val="clear" w:color="auto" w:fill="auto"/>
            <w:vAlign w:val="center"/>
          </w:tcPr>
          <w:p w14:paraId="329657AE" w14:textId="77777777" w:rsidR="004C1E17" w:rsidRPr="00495A9F" w:rsidRDefault="004C1E17" w:rsidP="00D51933">
            <w:pPr>
              <w:spacing w:before="40" w:after="40"/>
              <w:jc w:val="center"/>
              <w:rPr>
                <w:rFonts w:ascii="Arial Narrow" w:hAnsi="Arial Narrow"/>
                <w:bCs/>
                <w:sz w:val="21"/>
                <w:szCs w:val="21"/>
              </w:rPr>
            </w:pPr>
            <w:r>
              <w:rPr>
                <w:rFonts w:ascii="Arial Narrow" w:hAnsi="Arial Narrow"/>
                <w:bCs/>
                <w:sz w:val="21"/>
                <w:szCs w:val="21"/>
              </w:rPr>
              <w:t>OBRAS</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4CAE7505"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LPI</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5BCC0D3E"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 3.000.000</w:t>
            </w:r>
          </w:p>
        </w:tc>
        <w:tc>
          <w:tcPr>
            <w:tcW w:w="2343" w:type="pct"/>
            <w:tcBorders>
              <w:top w:val="single" w:sz="4" w:space="0" w:color="auto"/>
              <w:left w:val="single" w:sz="4" w:space="0" w:color="auto"/>
              <w:bottom w:val="single" w:sz="4" w:space="0" w:color="auto"/>
              <w:right w:val="single" w:sz="4" w:space="0" w:color="auto"/>
            </w:tcBorders>
            <w:shd w:val="clear" w:color="auto" w:fill="auto"/>
            <w:vAlign w:val="center"/>
          </w:tcPr>
          <w:p w14:paraId="3E24E7DA"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para todos los contratos</w:t>
            </w:r>
          </w:p>
        </w:tc>
      </w:tr>
      <w:tr w:rsidR="004C1E17" w:rsidRPr="00495A9F" w14:paraId="1DF52BD3" w14:textId="77777777" w:rsidTr="00D51933">
        <w:tc>
          <w:tcPr>
            <w:tcW w:w="701" w:type="pct"/>
            <w:vMerge/>
            <w:tcBorders>
              <w:left w:val="single" w:sz="4" w:space="0" w:color="auto"/>
              <w:right w:val="single" w:sz="4" w:space="0" w:color="auto"/>
            </w:tcBorders>
            <w:shd w:val="clear" w:color="auto" w:fill="auto"/>
          </w:tcPr>
          <w:p w14:paraId="2018EC97" w14:textId="77777777" w:rsidR="004C1E17" w:rsidRPr="00495A9F" w:rsidRDefault="004C1E17" w:rsidP="00D51933">
            <w:pPr>
              <w:spacing w:before="40" w:after="40"/>
              <w:jc w:val="center"/>
              <w:rPr>
                <w:rFonts w:ascii="Arial Narrow" w:hAnsi="Arial Narrow"/>
                <w:bCs/>
                <w:sz w:val="21"/>
                <w:szCs w:val="21"/>
              </w:rPr>
            </w:pP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773912CD"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LPN/CP</w:t>
            </w:r>
            <w:r w:rsidRPr="0016535C">
              <w:rPr>
                <w:rStyle w:val="FootnoteReference"/>
                <w:rFonts w:ascii="Arial Narrow" w:hAnsi="Arial Narrow"/>
              </w:rPr>
              <w:footnoteReference w:id="36"/>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63933A48"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 250.000 y &lt;3.000.000</w:t>
            </w:r>
          </w:p>
        </w:tc>
        <w:tc>
          <w:tcPr>
            <w:tcW w:w="2343" w:type="pct"/>
            <w:tcBorders>
              <w:top w:val="single" w:sz="4" w:space="0" w:color="auto"/>
              <w:left w:val="single" w:sz="4" w:space="0" w:color="auto"/>
              <w:bottom w:val="single" w:sz="4" w:space="0" w:color="auto"/>
              <w:right w:val="single" w:sz="4" w:space="0" w:color="auto"/>
            </w:tcBorders>
            <w:shd w:val="clear" w:color="auto" w:fill="auto"/>
            <w:vAlign w:val="center"/>
          </w:tcPr>
          <w:p w14:paraId="222FC715"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o ex post (según se defina en el PA en SEPA)</w:t>
            </w:r>
          </w:p>
        </w:tc>
      </w:tr>
      <w:tr w:rsidR="004C1E17" w:rsidRPr="00495A9F" w14:paraId="2651215E" w14:textId="77777777" w:rsidTr="00D51933">
        <w:tc>
          <w:tcPr>
            <w:tcW w:w="701" w:type="pct"/>
            <w:vMerge/>
            <w:tcBorders>
              <w:left w:val="single" w:sz="4" w:space="0" w:color="auto"/>
              <w:right w:val="single" w:sz="4" w:space="0" w:color="auto"/>
            </w:tcBorders>
            <w:shd w:val="clear" w:color="auto" w:fill="auto"/>
          </w:tcPr>
          <w:p w14:paraId="619F0428" w14:textId="77777777" w:rsidR="004C1E17" w:rsidRPr="00495A9F" w:rsidRDefault="004C1E17" w:rsidP="00D51933">
            <w:pPr>
              <w:spacing w:before="40" w:after="40"/>
              <w:jc w:val="center"/>
              <w:rPr>
                <w:rFonts w:ascii="Arial Narrow" w:hAnsi="Arial Narrow"/>
                <w:bCs/>
                <w:sz w:val="21"/>
                <w:szCs w:val="21"/>
              </w:rPr>
            </w:pP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2C6F6FD0"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CP</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A214D03"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&lt; 250.000</w:t>
            </w:r>
          </w:p>
        </w:tc>
        <w:tc>
          <w:tcPr>
            <w:tcW w:w="2343" w:type="pct"/>
            <w:tcBorders>
              <w:top w:val="single" w:sz="4" w:space="0" w:color="auto"/>
              <w:left w:val="single" w:sz="4" w:space="0" w:color="auto"/>
              <w:bottom w:val="single" w:sz="4" w:space="0" w:color="auto"/>
              <w:right w:val="single" w:sz="4" w:space="0" w:color="auto"/>
            </w:tcBorders>
            <w:shd w:val="clear" w:color="auto" w:fill="auto"/>
            <w:vAlign w:val="center"/>
          </w:tcPr>
          <w:p w14:paraId="7A944CBE"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o ex post (según se defina en el PA en SEPA)</w:t>
            </w:r>
          </w:p>
        </w:tc>
      </w:tr>
      <w:tr w:rsidR="004C1E17" w:rsidRPr="00495A9F" w14:paraId="60C661E9" w14:textId="77777777" w:rsidTr="00D51933">
        <w:tc>
          <w:tcPr>
            <w:tcW w:w="701" w:type="pct"/>
            <w:vMerge w:val="restart"/>
            <w:tcBorders>
              <w:top w:val="single" w:sz="4" w:space="0" w:color="auto"/>
              <w:left w:val="single" w:sz="4" w:space="0" w:color="auto"/>
              <w:right w:val="single" w:sz="4" w:space="0" w:color="auto"/>
            </w:tcBorders>
            <w:shd w:val="clear" w:color="auto" w:fill="auto"/>
            <w:vAlign w:val="center"/>
          </w:tcPr>
          <w:p w14:paraId="1179CEDF" w14:textId="77777777" w:rsidR="004C1E17" w:rsidRPr="00495A9F" w:rsidRDefault="004C1E17" w:rsidP="00D51933">
            <w:pPr>
              <w:spacing w:before="40" w:after="40"/>
              <w:jc w:val="center"/>
              <w:rPr>
                <w:rFonts w:ascii="Arial Narrow" w:hAnsi="Arial Narrow"/>
                <w:bCs/>
                <w:sz w:val="21"/>
                <w:szCs w:val="21"/>
              </w:rPr>
            </w:pPr>
            <w:r>
              <w:rPr>
                <w:rFonts w:ascii="Arial Narrow" w:hAnsi="Arial Narrow"/>
                <w:bCs/>
                <w:sz w:val="21"/>
                <w:szCs w:val="21"/>
              </w:rPr>
              <w:t>BIENES</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0901EB93"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LPI</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29B72079"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 250.000</w:t>
            </w:r>
          </w:p>
        </w:tc>
        <w:tc>
          <w:tcPr>
            <w:tcW w:w="2343" w:type="pct"/>
            <w:tcBorders>
              <w:top w:val="single" w:sz="4" w:space="0" w:color="auto"/>
              <w:left w:val="single" w:sz="4" w:space="0" w:color="auto"/>
              <w:bottom w:val="single" w:sz="4" w:space="0" w:color="auto"/>
              <w:right w:val="single" w:sz="4" w:space="0" w:color="auto"/>
            </w:tcBorders>
            <w:shd w:val="clear" w:color="auto" w:fill="auto"/>
            <w:vAlign w:val="center"/>
          </w:tcPr>
          <w:p w14:paraId="71659307"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para todos los contratos</w:t>
            </w:r>
          </w:p>
        </w:tc>
      </w:tr>
      <w:tr w:rsidR="004C1E17" w:rsidRPr="00495A9F" w14:paraId="1476049E" w14:textId="77777777" w:rsidTr="00D51933">
        <w:tc>
          <w:tcPr>
            <w:tcW w:w="701" w:type="pct"/>
            <w:vMerge/>
            <w:tcBorders>
              <w:left w:val="single" w:sz="4" w:space="0" w:color="auto"/>
              <w:right w:val="single" w:sz="4" w:space="0" w:color="auto"/>
            </w:tcBorders>
            <w:shd w:val="clear" w:color="auto" w:fill="auto"/>
          </w:tcPr>
          <w:p w14:paraId="35A716EA" w14:textId="77777777" w:rsidR="004C1E17" w:rsidRPr="00495A9F" w:rsidRDefault="004C1E17" w:rsidP="00D51933">
            <w:pPr>
              <w:spacing w:before="40" w:after="40"/>
              <w:jc w:val="center"/>
              <w:rPr>
                <w:rFonts w:ascii="Arial Narrow" w:hAnsi="Arial Narrow"/>
                <w:bCs/>
                <w:sz w:val="21"/>
                <w:szCs w:val="21"/>
              </w:rPr>
            </w:pP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6626DEBB"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LPN/CP</w:t>
            </w:r>
            <w:r w:rsidRPr="0016535C">
              <w:rPr>
                <w:rStyle w:val="FootnoteReference"/>
                <w:rFonts w:ascii="Arial Narrow" w:hAnsi="Arial Narrow"/>
              </w:rPr>
              <w:footnoteReference w:id="37"/>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7C3B8FF6"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 50.000 y &lt;250.000</w:t>
            </w:r>
          </w:p>
        </w:tc>
        <w:tc>
          <w:tcPr>
            <w:tcW w:w="2343" w:type="pct"/>
            <w:tcBorders>
              <w:top w:val="single" w:sz="4" w:space="0" w:color="auto"/>
              <w:left w:val="single" w:sz="4" w:space="0" w:color="auto"/>
              <w:bottom w:val="single" w:sz="4" w:space="0" w:color="auto"/>
              <w:right w:val="single" w:sz="4" w:space="0" w:color="auto"/>
            </w:tcBorders>
            <w:shd w:val="clear" w:color="auto" w:fill="auto"/>
          </w:tcPr>
          <w:p w14:paraId="140EBD04"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o ex post (según se defina en el PA en SEPA)</w:t>
            </w:r>
          </w:p>
        </w:tc>
      </w:tr>
      <w:tr w:rsidR="004C1E17" w:rsidRPr="00495A9F" w14:paraId="733AA400" w14:textId="77777777" w:rsidTr="00D51933">
        <w:tc>
          <w:tcPr>
            <w:tcW w:w="701" w:type="pct"/>
            <w:vMerge/>
            <w:tcBorders>
              <w:left w:val="single" w:sz="4" w:space="0" w:color="auto"/>
              <w:right w:val="single" w:sz="4" w:space="0" w:color="auto"/>
            </w:tcBorders>
            <w:shd w:val="clear" w:color="auto" w:fill="auto"/>
          </w:tcPr>
          <w:p w14:paraId="0E9BE3CA" w14:textId="77777777" w:rsidR="004C1E17" w:rsidRPr="00495A9F" w:rsidRDefault="004C1E17" w:rsidP="00D51933">
            <w:pPr>
              <w:spacing w:before="40" w:after="40"/>
              <w:jc w:val="center"/>
              <w:rPr>
                <w:rFonts w:ascii="Arial Narrow" w:hAnsi="Arial Narrow"/>
                <w:bCs/>
                <w:sz w:val="21"/>
                <w:szCs w:val="21"/>
              </w:rPr>
            </w:pP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0D7E6D50"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CP</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63460FE"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&lt; 50.000</w:t>
            </w:r>
          </w:p>
        </w:tc>
        <w:tc>
          <w:tcPr>
            <w:tcW w:w="2343" w:type="pct"/>
            <w:tcBorders>
              <w:top w:val="single" w:sz="4" w:space="0" w:color="auto"/>
              <w:left w:val="single" w:sz="4" w:space="0" w:color="auto"/>
              <w:bottom w:val="single" w:sz="4" w:space="0" w:color="auto"/>
              <w:right w:val="single" w:sz="4" w:space="0" w:color="auto"/>
            </w:tcBorders>
            <w:shd w:val="clear" w:color="auto" w:fill="auto"/>
          </w:tcPr>
          <w:p w14:paraId="6279BC53" w14:textId="77777777" w:rsidR="004C1E17" w:rsidRPr="00495A9F" w:rsidRDefault="004C1E17" w:rsidP="00D51933">
            <w:pPr>
              <w:spacing w:before="40" w:after="40"/>
              <w:jc w:val="left"/>
              <w:rPr>
                <w:rFonts w:ascii="Arial Narrow" w:hAnsi="Arial Narrow"/>
                <w:bCs/>
                <w:sz w:val="21"/>
                <w:szCs w:val="21"/>
              </w:rPr>
            </w:pPr>
            <w:r w:rsidRPr="0016535C">
              <w:rPr>
                <w:rFonts w:ascii="Arial Narrow" w:hAnsi="Arial Narrow"/>
              </w:rPr>
              <w:t>Ex ante o ex post (según se defina en el PA en SEPA)</w:t>
            </w:r>
          </w:p>
        </w:tc>
      </w:tr>
      <w:tr w:rsidR="004C1E17" w:rsidRPr="00495A9F" w14:paraId="676288DC" w14:textId="77777777" w:rsidTr="00D51933">
        <w:tc>
          <w:tcPr>
            <w:tcW w:w="701" w:type="pct"/>
            <w:vMerge/>
            <w:tcBorders>
              <w:left w:val="single" w:sz="4" w:space="0" w:color="auto"/>
              <w:bottom w:val="single" w:sz="4" w:space="0" w:color="auto"/>
              <w:right w:val="single" w:sz="4" w:space="0" w:color="auto"/>
            </w:tcBorders>
            <w:shd w:val="clear" w:color="auto" w:fill="auto"/>
          </w:tcPr>
          <w:p w14:paraId="2BB28AC3" w14:textId="77777777" w:rsidR="004C1E17" w:rsidRPr="00495A9F" w:rsidRDefault="004C1E17" w:rsidP="00D51933">
            <w:pPr>
              <w:spacing w:before="40" w:after="40"/>
              <w:jc w:val="center"/>
              <w:rPr>
                <w:rFonts w:ascii="Arial Narrow" w:hAnsi="Arial Narrow"/>
                <w:bCs/>
                <w:sz w:val="21"/>
                <w:szCs w:val="21"/>
              </w:rPr>
            </w:pP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tcPr>
          <w:p w14:paraId="7B8230EE" w14:textId="77777777" w:rsidR="004C1E17" w:rsidRPr="0016535C" w:rsidRDefault="004C1E17" w:rsidP="00D51933">
            <w:pPr>
              <w:spacing w:before="40" w:after="40"/>
              <w:jc w:val="left"/>
              <w:rPr>
                <w:rFonts w:ascii="Arial Narrow" w:hAnsi="Arial Narrow"/>
              </w:rPr>
            </w:pPr>
            <w:r w:rsidRPr="0016535C">
              <w:rPr>
                <w:rFonts w:ascii="Arial Narrow" w:hAnsi="Arial Narrow"/>
              </w:rPr>
              <w:t>CD</w:t>
            </w:r>
            <w:r w:rsidRPr="0016535C">
              <w:rPr>
                <w:rStyle w:val="FootnoteReference"/>
                <w:rFonts w:ascii="Arial Narrow" w:hAnsi="Arial Narrow"/>
              </w:rPr>
              <w:footnoteReference w:id="38"/>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14:paraId="4C9C0F59" w14:textId="77777777" w:rsidR="004C1E17" w:rsidRPr="0016535C" w:rsidRDefault="004C1E17" w:rsidP="00D51933">
            <w:pPr>
              <w:spacing w:before="40" w:after="40"/>
              <w:jc w:val="left"/>
              <w:rPr>
                <w:rFonts w:ascii="Arial Narrow" w:hAnsi="Arial Narrow"/>
              </w:rPr>
            </w:pPr>
            <w:r w:rsidRPr="0016535C">
              <w:rPr>
                <w:rFonts w:ascii="Arial Narrow" w:hAnsi="Arial Narrow"/>
              </w:rPr>
              <w:t>Cualquier monto</w:t>
            </w:r>
            <w:r w:rsidRPr="0016535C" w:rsidDel="002A1014">
              <w:rPr>
                <w:rFonts w:ascii="Arial Narrow" w:hAnsi="Arial Narrow"/>
              </w:rPr>
              <w:t xml:space="preserve"> </w:t>
            </w:r>
          </w:p>
        </w:tc>
        <w:tc>
          <w:tcPr>
            <w:tcW w:w="2343" w:type="pct"/>
            <w:tcBorders>
              <w:top w:val="single" w:sz="4" w:space="0" w:color="auto"/>
              <w:left w:val="single" w:sz="4" w:space="0" w:color="auto"/>
              <w:bottom w:val="single" w:sz="4" w:space="0" w:color="auto"/>
              <w:right w:val="single" w:sz="4" w:space="0" w:color="auto"/>
            </w:tcBorders>
            <w:shd w:val="clear" w:color="auto" w:fill="auto"/>
            <w:vAlign w:val="center"/>
          </w:tcPr>
          <w:p w14:paraId="1A05B0F6" w14:textId="77777777" w:rsidR="004C1E17" w:rsidRPr="0016535C" w:rsidRDefault="004C1E17" w:rsidP="00D51933">
            <w:pPr>
              <w:spacing w:before="40" w:after="40"/>
              <w:jc w:val="left"/>
              <w:rPr>
                <w:rFonts w:ascii="Arial Narrow" w:hAnsi="Arial Narrow"/>
              </w:rPr>
            </w:pPr>
            <w:r w:rsidRPr="0016535C">
              <w:rPr>
                <w:rFonts w:ascii="Arial Narrow" w:hAnsi="Arial Narrow"/>
              </w:rPr>
              <w:t>Ex ante para todos los contratos</w:t>
            </w:r>
          </w:p>
        </w:tc>
      </w:tr>
    </w:tbl>
    <w:p w14:paraId="4A29424D" w14:textId="77777777" w:rsidR="004C1E17" w:rsidRDefault="004C1E17" w:rsidP="004C1E17">
      <w:pPr>
        <w:rPr>
          <w:lang w:eastAsia="es-ES"/>
        </w:rPr>
      </w:pPr>
    </w:p>
    <w:p w14:paraId="2BE170C5" w14:textId="77777777" w:rsidR="004C1E17" w:rsidRDefault="004C1E17" w:rsidP="009B54B5">
      <w:pPr>
        <w:pStyle w:val="numeradorom"/>
        <w:numPr>
          <w:ilvl w:val="2"/>
          <w:numId w:val="44"/>
        </w:numPr>
        <w:rPr>
          <w:lang w:eastAsia="es-ES"/>
        </w:rPr>
      </w:pPr>
      <w:r w:rsidRPr="00CF43E0">
        <w:rPr>
          <w:b/>
          <w:u w:val="single"/>
        </w:rPr>
        <w:t>Selección de Servicios de Consultoría</w:t>
      </w:r>
      <w:r>
        <w:rPr>
          <w:b/>
          <w:bCs/>
          <w:u w:val="single"/>
          <w:lang w:eastAsia="es-ES"/>
        </w:rPr>
        <w:t>.</w:t>
      </w:r>
      <w:r>
        <w:rPr>
          <w:lang w:eastAsia="es-ES"/>
        </w:rPr>
        <w:t xml:space="preserve"> </w:t>
      </w:r>
      <w:r w:rsidRPr="0016535C">
        <w:rPr>
          <w:lang w:eastAsia="es-ES"/>
        </w:rPr>
        <w:t xml:space="preserve"> </w:t>
      </w:r>
      <w:r w:rsidRPr="000658F4">
        <w:rPr>
          <w:lang w:eastAsia="es-ES"/>
        </w:rPr>
        <w:t>La selección y contratación de servicios de consultoría, sea a través de firmas o de consultores individuales, se efectuará de acuerdo a los métodos y cuantías consignados en el siguiente cuadro, en el que además se explicita la modalidad de revisión por parte del BID</w:t>
      </w:r>
      <w:r>
        <w:rPr>
          <w:lang w:eastAsia="es-ES"/>
        </w:rPr>
        <w:t>:</w:t>
      </w:r>
    </w:p>
    <w:p w14:paraId="02B00585" w14:textId="1D10DC92" w:rsidR="004C1E17" w:rsidRDefault="004C1E17" w:rsidP="004C1E17">
      <w:pPr>
        <w:pStyle w:val="Caption"/>
        <w:keepNext/>
        <w:spacing w:before="240"/>
      </w:pPr>
      <w:bookmarkStart w:id="72" w:name="_Toc15397735"/>
      <w:bookmarkStart w:id="73" w:name="_Toc23797281"/>
      <w:r>
        <w:t xml:space="preserve">Tabla </w:t>
      </w:r>
      <w:fldSimple w:instr=" SEQ Tabla \* ARABIC ">
        <w:r w:rsidR="003538B4">
          <w:rPr>
            <w:noProof/>
          </w:rPr>
          <w:t>5</w:t>
        </w:r>
      </w:fldSimple>
      <w:r>
        <w:t xml:space="preserve">. </w:t>
      </w:r>
      <w:r w:rsidRPr="00CF43E0">
        <w:t xml:space="preserve">Cuantías y Métodos de </w:t>
      </w:r>
      <w:r w:rsidRPr="000658F4">
        <w:t>Selección de Servicios de Consultoría</w:t>
      </w:r>
      <w:r w:rsidRPr="00CF43E0">
        <w:t>, Modalidad de Supervisión por parte del BID</w:t>
      </w:r>
      <w:bookmarkEnd w:id="72"/>
      <w:bookmarkEnd w:id="73"/>
    </w:p>
    <w:tbl>
      <w:tblPr>
        <w:tblW w:w="5000" w:type="pct"/>
        <w:tblLayout w:type="fixed"/>
        <w:tblLook w:val="04A0" w:firstRow="1" w:lastRow="0" w:firstColumn="1" w:lastColumn="0" w:noHBand="0" w:noVBand="1"/>
      </w:tblPr>
      <w:tblGrid>
        <w:gridCol w:w="1559"/>
        <w:gridCol w:w="2406"/>
        <w:gridCol w:w="1560"/>
        <w:gridCol w:w="3535"/>
      </w:tblGrid>
      <w:tr w:rsidR="004C1E17" w:rsidRPr="00495A9F" w14:paraId="70111511" w14:textId="77777777" w:rsidTr="00D51933">
        <w:trPr>
          <w:tblHeader/>
        </w:trPr>
        <w:tc>
          <w:tcPr>
            <w:tcW w:w="8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D06B86"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Categoría</w:t>
            </w:r>
          </w:p>
        </w:tc>
        <w:tc>
          <w:tcPr>
            <w:tcW w:w="132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B9D3F8"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Método de Contratación</w:t>
            </w:r>
            <w:r>
              <w:rPr>
                <w:rStyle w:val="FootnoteReference"/>
                <w:rFonts w:ascii="Arial Narrow" w:hAnsi="Arial Narrow"/>
                <w:b/>
                <w:u w:val="single"/>
              </w:rPr>
              <w:footnoteReference w:id="39"/>
            </w:r>
          </w:p>
        </w:tc>
        <w:tc>
          <w:tcPr>
            <w:tcW w:w="8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0584DE"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Valor de Contratación (</w:t>
            </w:r>
            <w:r>
              <w:rPr>
                <w:rFonts w:ascii="Arial Narrow" w:hAnsi="Arial Narrow"/>
                <w:b/>
                <w:u w:val="single"/>
              </w:rPr>
              <w:t>USD</w:t>
            </w:r>
            <w:r w:rsidRPr="0016535C">
              <w:rPr>
                <w:rFonts w:ascii="Arial Narrow" w:hAnsi="Arial Narrow"/>
                <w:b/>
                <w:u w:val="single"/>
              </w:rPr>
              <w:t>)</w:t>
            </w:r>
          </w:p>
        </w:tc>
        <w:tc>
          <w:tcPr>
            <w:tcW w:w="19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C72632" w14:textId="77777777" w:rsidR="004C1E17" w:rsidRPr="00495A9F" w:rsidRDefault="004C1E17" w:rsidP="00D51933">
            <w:pPr>
              <w:spacing w:before="40" w:after="40"/>
              <w:jc w:val="center"/>
              <w:rPr>
                <w:rFonts w:ascii="Arial Narrow" w:hAnsi="Arial Narrow"/>
                <w:b/>
                <w:sz w:val="21"/>
                <w:szCs w:val="21"/>
                <w:u w:val="single"/>
              </w:rPr>
            </w:pPr>
            <w:r w:rsidRPr="0016535C">
              <w:rPr>
                <w:rFonts w:ascii="Arial Narrow" w:hAnsi="Arial Narrow"/>
                <w:b/>
                <w:u w:val="single"/>
              </w:rPr>
              <w:t>Esquema de</w:t>
            </w:r>
            <w:r>
              <w:rPr>
                <w:rFonts w:ascii="Arial Narrow" w:hAnsi="Arial Narrow"/>
                <w:b/>
                <w:u w:val="single"/>
              </w:rPr>
              <w:t xml:space="preserve"> </w:t>
            </w:r>
            <w:r w:rsidRPr="0016535C">
              <w:rPr>
                <w:rFonts w:ascii="Arial Narrow" w:hAnsi="Arial Narrow"/>
                <w:b/>
                <w:u w:val="single"/>
              </w:rPr>
              <w:t>Revisión</w:t>
            </w:r>
          </w:p>
        </w:tc>
      </w:tr>
      <w:tr w:rsidR="004C1E17" w:rsidRPr="00495A9F" w14:paraId="7A2D054D" w14:textId="77777777" w:rsidTr="00D51933">
        <w:tc>
          <w:tcPr>
            <w:tcW w:w="860" w:type="pct"/>
            <w:vMerge w:val="restart"/>
            <w:tcBorders>
              <w:top w:val="single" w:sz="4" w:space="0" w:color="auto"/>
              <w:left w:val="single" w:sz="4" w:space="0" w:color="auto"/>
              <w:right w:val="single" w:sz="4" w:space="0" w:color="auto"/>
            </w:tcBorders>
            <w:shd w:val="clear" w:color="auto" w:fill="auto"/>
            <w:vAlign w:val="center"/>
          </w:tcPr>
          <w:p w14:paraId="5A622343" w14:textId="77777777" w:rsidR="004C1E17" w:rsidRPr="00495A9F" w:rsidRDefault="004C1E17" w:rsidP="00D51933">
            <w:pPr>
              <w:spacing w:before="40" w:after="40"/>
              <w:jc w:val="center"/>
              <w:rPr>
                <w:rFonts w:ascii="Arial Narrow" w:hAnsi="Arial Narrow"/>
                <w:bCs/>
                <w:sz w:val="21"/>
                <w:szCs w:val="21"/>
              </w:rPr>
            </w:pPr>
            <w:r>
              <w:rPr>
                <w:rFonts w:ascii="Arial Narrow" w:hAnsi="Arial Narrow"/>
                <w:bCs/>
                <w:sz w:val="21"/>
                <w:szCs w:val="21"/>
              </w:rPr>
              <w:t>FIRMAS CONSULTORAS</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01EFA560" w14:textId="77777777" w:rsidR="004C1E17" w:rsidRPr="009F7460" w:rsidRDefault="004C1E17" w:rsidP="00D51933">
            <w:pPr>
              <w:spacing w:after="0"/>
              <w:jc w:val="left"/>
              <w:rPr>
                <w:rFonts w:ascii="Arial Narrow" w:hAnsi="Arial Narrow"/>
                <w:lang w:val="es-PY"/>
              </w:rPr>
            </w:pPr>
            <w:r w:rsidRPr="009F7460">
              <w:rPr>
                <w:rFonts w:ascii="Arial Narrow" w:hAnsi="Arial Narrow"/>
                <w:lang w:val="es-PY"/>
              </w:rPr>
              <w:t xml:space="preserve">SBCC, SBC, SBPF, SBMC </w:t>
            </w:r>
          </w:p>
          <w:p w14:paraId="61A7F3CB" w14:textId="77777777" w:rsidR="004C1E17" w:rsidRPr="009F7460" w:rsidRDefault="004C1E17" w:rsidP="00D51933">
            <w:pPr>
              <w:spacing w:before="40" w:after="40"/>
              <w:jc w:val="left"/>
              <w:rPr>
                <w:rFonts w:ascii="Arial Narrow" w:hAnsi="Arial Narrow"/>
                <w:bCs/>
              </w:rPr>
            </w:pPr>
            <w:r w:rsidRPr="009F7460">
              <w:rPr>
                <w:rFonts w:ascii="Arial Narrow" w:hAnsi="Arial Narrow"/>
                <w:lang w:val="es-PY"/>
              </w:rPr>
              <w:t>(lista corta de 6 firmas elegibles y máximo 2 con la misma nacionalidad)</w:t>
            </w:r>
          </w:p>
        </w:tc>
        <w:tc>
          <w:tcPr>
            <w:tcW w:w="861" w:type="pct"/>
            <w:tcBorders>
              <w:top w:val="single" w:sz="4" w:space="0" w:color="auto"/>
              <w:left w:val="single" w:sz="4" w:space="0" w:color="auto"/>
              <w:bottom w:val="single" w:sz="4" w:space="0" w:color="auto"/>
              <w:right w:val="single" w:sz="4" w:space="0" w:color="auto"/>
            </w:tcBorders>
            <w:shd w:val="clear" w:color="auto" w:fill="auto"/>
            <w:vAlign w:val="center"/>
          </w:tcPr>
          <w:p w14:paraId="03409B21" w14:textId="77777777" w:rsidR="004C1E17" w:rsidRPr="009F7460" w:rsidRDefault="004C1E17" w:rsidP="00D51933">
            <w:pPr>
              <w:spacing w:before="40" w:after="40"/>
              <w:jc w:val="left"/>
              <w:rPr>
                <w:rFonts w:ascii="Arial Narrow" w:hAnsi="Arial Narrow"/>
                <w:bCs/>
              </w:rPr>
            </w:pPr>
            <w:r w:rsidRPr="009F7460">
              <w:rPr>
                <w:rFonts w:ascii="Arial Narrow" w:hAnsi="Arial Narrow"/>
              </w:rPr>
              <w:t>≥ 200.000</w:t>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tcPr>
          <w:p w14:paraId="608BE613" w14:textId="77777777" w:rsidR="004C1E17" w:rsidRPr="009F7460" w:rsidRDefault="004C1E17" w:rsidP="00D51933">
            <w:pPr>
              <w:spacing w:after="0"/>
              <w:jc w:val="left"/>
              <w:rPr>
                <w:rFonts w:ascii="Arial Narrow" w:hAnsi="Arial Narrow"/>
              </w:rPr>
            </w:pPr>
            <w:r w:rsidRPr="009F7460">
              <w:rPr>
                <w:rFonts w:ascii="Arial Narrow" w:hAnsi="Arial Narrow"/>
              </w:rPr>
              <w:t>Ex ante para todos los contratos</w:t>
            </w:r>
          </w:p>
          <w:p w14:paraId="720663BC" w14:textId="77777777" w:rsidR="004C1E17" w:rsidRPr="009F7460" w:rsidRDefault="004C1E17" w:rsidP="00D51933">
            <w:pPr>
              <w:spacing w:before="40" w:after="40"/>
              <w:jc w:val="left"/>
              <w:rPr>
                <w:rFonts w:ascii="Arial Narrow" w:hAnsi="Arial Narrow"/>
                <w:bCs/>
              </w:rPr>
            </w:pPr>
            <w:r>
              <w:rPr>
                <w:rFonts w:ascii="Arial Narrow" w:hAnsi="Arial Narrow"/>
              </w:rPr>
              <w:t>(</w:t>
            </w:r>
            <w:r w:rsidRPr="009F7460">
              <w:rPr>
                <w:rFonts w:ascii="Arial Narrow" w:hAnsi="Arial Narrow"/>
              </w:rPr>
              <w:t>Solicitud de expresiones de interés publicada en UNDB</w:t>
            </w:r>
            <w:r>
              <w:rPr>
                <w:rFonts w:ascii="Arial Narrow" w:hAnsi="Arial Narrow"/>
              </w:rPr>
              <w:t>)</w:t>
            </w:r>
          </w:p>
        </w:tc>
      </w:tr>
      <w:tr w:rsidR="004C1E17" w:rsidRPr="00495A9F" w14:paraId="32EA4235" w14:textId="77777777" w:rsidTr="00D51933">
        <w:tc>
          <w:tcPr>
            <w:tcW w:w="860" w:type="pct"/>
            <w:vMerge/>
            <w:tcBorders>
              <w:left w:val="single" w:sz="4" w:space="0" w:color="auto"/>
              <w:bottom w:val="single" w:sz="4" w:space="0" w:color="auto"/>
              <w:right w:val="single" w:sz="4" w:space="0" w:color="auto"/>
            </w:tcBorders>
            <w:shd w:val="clear" w:color="auto" w:fill="auto"/>
          </w:tcPr>
          <w:p w14:paraId="2C314B4B" w14:textId="77777777" w:rsidR="004C1E17" w:rsidRPr="00495A9F" w:rsidRDefault="004C1E17" w:rsidP="00D51933">
            <w:pPr>
              <w:spacing w:before="40" w:after="40"/>
              <w:jc w:val="center"/>
              <w:rPr>
                <w:rFonts w:ascii="Arial Narrow" w:hAnsi="Arial Narrow"/>
                <w:bCs/>
                <w:sz w:val="21"/>
                <w:szCs w:val="21"/>
              </w:rPr>
            </w:pP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7A223A82" w14:textId="77777777" w:rsidR="004C1E17" w:rsidRPr="009F7460" w:rsidRDefault="004C1E17" w:rsidP="00D51933">
            <w:pPr>
              <w:spacing w:after="0"/>
              <w:jc w:val="left"/>
              <w:rPr>
                <w:rFonts w:ascii="Arial Narrow" w:hAnsi="Arial Narrow"/>
                <w:lang w:val="es-PY"/>
              </w:rPr>
            </w:pPr>
            <w:r w:rsidRPr="009F7460">
              <w:rPr>
                <w:rFonts w:ascii="Arial Narrow" w:hAnsi="Arial Narrow"/>
                <w:lang w:val="es-PY"/>
              </w:rPr>
              <w:t xml:space="preserve">SBCC, SBC, SBPF, SBMC, SCC </w:t>
            </w:r>
          </w:p>
          <w:p w14:paraId="0E2B8B42" w14:textId="77777777" w:rsidR="004C1E17" w:rsidRPr="009F7460" w:rsidRDefault="004C1E17" w:rsidP="00D51933">
            <w:pPr>
              <w:spacing w:before="40" w:after="40"/>
              <w:jc w:val="left"/>
              <w:rPr>
                <w:rFonts w:ascii="Arial Narrow" w:hAnsi="Arial Narrow"/>
                <w:bCs/>
              </w:rPr>
            </w:pPr>
            <w:r w:rsidRPr="009F7460">
              <w:rPr>
                <w:rFonts w:ascii="Arial Narrow" w:hAnsi="Arial Narrow"/>
                <w:lang w:val="es-PY"/>
              </w:rPr>
              <w:t>(lista corta de 6 firmas elegibles que todas pueden ser nacionales)</w:t>
            </w:r>
          </w:p>
        </w:tc>
        <w:tc>
          <w:tcPr>
            <w:tcW w:w="861" w:type="pct"/>
            <w:tcBorders>
              <w:top w:val="single" w:sz="4" w:space="0" w:color="auto"/>
              <w:left w:val="single" w:sz="4" w:space="0" w:color="auto"/>
              <w:bottom w:val="single" w:sz="4" w:space="0" w:color="auto"/>
              <w:right w:val="single" w:sz="4" w:space="0" w:color="auto"/>
            </w:tcBorders>
            <w:shd w:val="clear" w:color="auto" w:fill="auto"/>
            <w:vAlign w:val="center"/>
          </w:tcPr>
          <w:p w14:paraId="378A2A89" w14:textId="77777777" w:rsidR="004C1E17" w:rsidRPr="009F7460" w:rsidRDefault="004C1E17" w:rsidP="00D51933">
            <w:pPr>
              <w:spacing w:before="40" w:after="40"/>
              <w:jc w:val="left"/>
              <w:rPr>
                <w:rFonts w:ascii="Arial Narrow" w:hAnsi="Arial Narrow"/>
                <w:bCs/>
              </w:rPr>
            </w:pPr>
            <w:r w:rsidRPr="009F7460">
              <w:rPr>
                <w:rFonts w:ascii="Arial Narrow" w:hAnsi="Arial Narrow"/>
              </w:rPr>
              <w:t>&lt;200.000</w:t>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tcPr>
          <w:p w14:paraId="4A8E8F27" w14:textId="77777777" w:rsidR="004C1E17" w:rsidRPr="009F7460" w:rsidRDefault="004C1E17" w:rsidP="00D51933">
            <w:pPr>
              <w:spacing w:after="0"/>
              <w:jc w:val="left"/>
              <w:rPr>
                <w:rFonts w:ascii="Arial Narrow" w:hAnsi="Arial Narrow"/>
              </w:rPr>
            </w:pPr>
            <w:r w:rsidRPr="009F7460">
              <w:rPr>
                <w:rFonts w:ascii="Arial Narrow" w:hAnsi="Arial Narrow"/>
              </w:rPr>
              <w:t>Ex ante o ex post (según se defina en el PA en SEPA)</w:t>
            </w:r>
          </w:p>
          <w:p w14:paraId="5A16ACA6" w14:textId="77777777" w:rsidR="004C1E17" w:rsidRPr="009F7460" w:rsidRDefault="004C1E17" w:rsidP="00D51933">
            <w:pPr>
              <w:spacing w:before="40" w:after="40"/>
              <w:jc w:val="left"/>
              <w:rPr>
                <w:rFonts w:ascii="Arial Narrow" w:hAnsi="Arial Narrow"/>
                <w:bCs/>
              </w:rPr>
            </w:pPr>
            <w:r>
              <w:rPr>
                <w:rFonts w:ascii="Arial Narrow" w:hAnsi="Arial Narrow"/>
              </w:rPr>
              <w:t>(</w:t>
            </w:r>
            <w:r w:rsidRPr="009F7460">
              <w:rPr>
                <w:rFonts w:ascii="Arial Narrow" w:hAnsi="Arial Narrow"/>
              </w:rPr>
              <w:t>Solicitud de expresiones de interés publicada en periódico de circulación nacional y SICOES</w:t>
            </w:r>
            <w:r>
              <w:rPr>
                <w:rFonts w:ascii="Arial Narrow" w:hAnsi="Arial Narrow"/>
              </w:rPr>
              <w:t>)</w:t>
            </w:r>
          </w:p>
        </w:tc>
      </w:tr>
      <w:tr w:rsidR="004C1E17" w:rsidRPr="00495A9F" w14:paraId="75F63AB9" w14:textId="77777777" w:rsidTr="00D51933">
        <w:tc>
          <w:tcPr>
            <w:tcW w:w="8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FAC64A" w14:textId="77777777" w:rsidR="004C1E17" w:rsidRPr="00495A9F" w:rsidRDefault="004C1E17" w:rsidP="00D51933">
            <w:pPr>
              <w:spacing w:before="40" w:after="40"/>
              <w:jc w:val="center"/>
              <w:rPr>
                <w:rFonts w:ascii="Arial Narrow" w:hAnsi="Arial Narrow"/>
                <w:bCs/>
                <w:sz w:val="21"/>
                <w:szCs w:val="21"/>
              </w:rPr>
            </w:pPr>
            <w:r>
              <w:rPr>
                <w:rFonts w:ascii="Arial Narrow" w:hAnsi="Arial Narrow"/>
                <w:bCs/>
                <w:sz w:val="21"/>
                <w:szCs w:val="21"/>
              </w:rPr>
              <w:t>CONSULTORES INDIVIDUALES</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3295F953" w14:textId="77777777" w:rsidR="004C1E17" w:rsidRPr="009F7460" w:rsidRDefault="004C1E17" w:rsidP="00D51933">
            <w:pPr>
              <w:spacing w:before="40" w:after="40"/>
              <w:jc w:val="center"/>
              <w:rPr>
                <w:rFonts w:ascii="Arial Narrow" w:hAnsi="Arial Narrow"/>
                <w:bCs/>
              </w:rPr>
            </w:pPr>
            <w:r w:rsidRPr="009F7460">
              <w:rPr>
                <w:rFonts w:ascii="Arial Narrow" w:hAnsi="Arial Narrow"/>
              </w:rPr>
              <w:t>CCIN</w:t>
            </w:r>
          </w:p>
        </w:tc>
        <w:tc>
          <w:tcPr>
            <w:tcW w:w="861" w:type="pct"/>
            <w:tcBorders>
              <w:top w:val="single" w:sz="4" w:space="0" w:color="auto"/>
              <w:left w:val="single" w:sz="4" w:space="0" w:color="auto"/>
              <w:bottom w:val="single" w:sz="4" w:space="0" w:color="auto"/>
              <w:right w:val="single" w:sz="4" w:space="0" w:color="auto"/>
            </w:tcBorders>
            <w:shd w:val="clear" w:color="auto" w:fill="auto"/>
            <w:vAlign w:val="center"/>
          </w:tcPr>
          <w:p w14:paraId="3E8AA2F8" w14:textId="77777777" w:rsidR="004C1E17" w:rsidRPr="009F7460" w:rsidRDefault="004C1E17" w:rsidP="00D51933">
            <w:pPr>
              <w:spacing w:before="40" w:after="40"/>
              <w:jc w:val="left"/>
              <w:rPr>
                <w:rFonts w:ascii="Arial Narrow" w:hAnsi="Arial Narrow"/>
                <w:bCs/>
              </w:rPr>
            </w:pPr>
            <w:r w:rsidRPr="009F7460">
              <w:rPr>
                <w:rFonts w:ascii="Arial Narrow" w:hAnsi="Arial Narrow"/>
              </w:rPr>
              <w:t>Cualquier monto</w:t>
            </w:r>
          </w:p>
        </w:tc>
        <w:tc>
          <w:tcPr>
            <w:tcW w:w="1951" w:type="pct"/>
            <w:tcBorders>
              <w:top w:val="single" w:sz="4" w:space="0" w:color="auto"/>
              <w:left w:val="single" w:sz="4" w:space="0" w:color="auto"/>
              <w:bottom w:val="single" w:sz="4" w:space="0" w:color="auto"/>
              <w:right w:val="single" w:sz="4" w:space="0" w:color="auto"/>
            </w:tcBorders>
            <w:shd w:val="clear" w:color="auto" w:fill="auto"/>
          </w:tcPr>
          <w:p w14:paraId="679AD850" w14:textId="77777777" w:rsidR="004C1E17" w:rsidRPr="009F7460" w:rsidRDefault="004C1E17" w:rsidP="00D51933">
            <w:pPr>
              <w:spacing w:after="0"/>
              <w:jc w:val="left"/>
              <w:rPr>
                <w:rFonts w:ascii="Arial Narrow" w:hAnsi="Arial Narrow"/>
              </w:rPr>
            </w:pPr>
            <w:r w:rsidRPr="009F7460">
              <w:rPr>
                <w:rFonts w:ascii="Arial Narrow" w:hAnsi="Arial Narrow"/>
              </w:rPr>
              <w:t>Ex ante o ex post (según se defina en el PA en SEPA)</w:t>
            </w:r>
          </w:p>
          <w:p w14:paraId="3A695532" w14:textId="77777777" w:rsidR="004C1E17" w:rsidRPr="009F7460" w:rsidRDefault="004C1E17" w:rsidP="00D51933">
            <w:pPr>
              <w:spacing w:before="40" w:after="40"/>
              <w:jc w:val="left"/>
              <w:rPr>
                <w:rFonts w:ascii="Arial Narrow" w:hAnsi="Arial Narrow"/>
                <w:bCs/>
              </w:rPr>
            </w:pPr>
            <w:r>
              <w:rPr>
                <w:rFonts w:ascii="Arial Narrow" w:hAnsi="Arial Narrow"/>
              </w:rPr>
              <w:lastRenderedPageBreak/>
              <w:t>(</w:t>
            </w:r>
            <w:r w:rsidRPr="009F7460">
              <w:rPr>
                <w:rFonts w:ascii="Arial Narrow" w:hAnsi="Arial Narrow"/>
              </w:rPr>
              <w:t>Convocatorias en SICOES y además en periódico de circulación nacional para personal clave</w:t>
            </w:r>
            <w:r>
              <w:rPr>
                <w:rFonts w:ascii="Arial Narrow" w:hAnsi="Arial Narrow"/>
              </w:rPr>
              <w:t>)</w:t>
            </w:r>
          </w:p>
        </w:tc>
      </w:tr>
      <w:tr w:rsidR="004C1E17" w:rsidRPr="00495A9F" w14:paraId="7CA380B2" w14:textId="77777777" w:rsidTr="00D51933">
        <w:tc>
          <w:tcPr>
            <w:tcW w:w="860" w:type="pct"/>
            <w:vMerge/>
            <w:tcBorders>
              <w:left w:val="single" w:sz="4" w:space="0" w:color="auto"/>
              <w:bottom w:val="single" w:sz="4" w:space="0" w:color="auto"/>
              <w:right w:val="single" w:sz="4" w:space="0" w:color="auto"/>
            </w:tcBorders>
            <w:shd w:val="clear" w:color="auto" w:fill="auto"/>
          </w:tcPr>
          <w:p w14:paraId="0237CA11" w14:textId="77777777" w:rsidR="004C1E17" w:rsidRPr="00495A9F" w:rsidRDefault="004C1E17" w:rsidP="00D51933">
            <w:pPr>
              <w:spacing w:before="40" w:after="40"/>
              <w:jc w:val="center"/>
              <w:rPr>
                <w:rFonts w:ascii="Arial Narrow" w:hAnsi="Arial Narrow"/>
                <w:bCs/>
                <w:sz w:val="21"/>
                <w:szCs w:val="21"/>
              </w:rPr>
            </w:pP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314F8F38" w14:textId="77777777" w:rsidR="004C1E17" w:rsidRPr="009F7460" w:rsidRDefault="004C1E17" w:rsidP="00D51933">
            <w:pPr>
              <w:spacing w:before="40" w:after="40"/>
              <w:jc w:val="center"/>
              <w:rPr>
                <w:rFonts w:ascii="Arial Narrow" w:hAnsi="Arial Narrow"/>
                <w:bCs/>
              </w:rPr>
            </w:pPr>
            <w:r w:rsidRPr="009F7460">
              <w:rPr>
                <w:rFonts w:ascii="Arial Narrow" w:hAnsi="Arial Narrow"/>
              </w:rPr>
              <w:t>CCII</w:t>
            </w:r>
          </w:p>
        </w:tc>
        <w:tc>
          <w:tcPr>
            <w:tcW w:w="861" w:type="pct"/>
            <w:tcBorders>
              <w:top w:val="single" w:sz="4" w:space="0" w:color="auto"/>
              <w:left w:val="single" w:sz="4" w:space="0" w:color="auto"/>
              <w:bottom w:val="single" w:sz="4" w:space="0" w:color="auto"/>
              <w:right w:val="single" w:sz="4" w:space="0" w:color="auto"/>
            </w:tcBorders>
            <w:shd w:val="clear" w:color="auto" w:fill="auto"/>
            <w:vAlign w:val="center"/>
          </w:tcPr>
          <w:p w14:paraId="54363528" w14:textId="77777777" w:rsidR="004C1E17" w:rsidRPr="009F7460" w:rsidRDefault="004C1E17" w:rsidP="00D51933">
            <w:pPr>
              <w:spacing w:before="40" w:after="40"/>
              <w:jc w:val="left"/>
              <w:rPr>
                <w:rFonts w:ascii="Arial Narrow" w:hAnsi="Arial Narrow"/>
                <w:bCs/>
              </w:rPr>
            </w:pPr>
            <w:r w:rsidRPr="009F7460">
              <w:rPr>
                <w:rFonts w:ascii="Arial Narrow" w:hAnsi="Arial Narrow"/>
              </w:rPr>
              <w:t>Cualquier monto</w:t>
            </w:r>
          </w:p>
        </w:tc>
        <w:tc>
          <w:tcPr>
            <w:tcW w:w="1951" w:type="pct"/>
            <w:tcBorders>
              <w:top w:val="single" w:sz="4" w:space="0" w:color="auto"/>
              <w:left w:val="single" w:sz="4" w:space="0" w:color="auto"/>
              <w:bottom w:val="single" w:sz="4" w:space="0" w:color="auto"/>
              <w:right w:val="single" w:sz="4" w:space="0" w:color="auto"/>
            </w:tcBorders>
            <w:shd w:val="clear" w:color="auto" w:fill="auto"/>
          </w:tcPr>
          <w:p w14:paraId="3EA219E5" w14:textId="77777777" w:rsidR="004C1E17" w:rsidRPr="009F7460" w:rsidRDefault="004C1E17" w:rsidP="00D51933">
            <w:pPr>
              <w:spacing w:after="0"/>
              <w:jc w:val="left"/>
              <w:rPr>
                <w:rFonts w:ascii="Arial Narrow" w:hAnsi="Arial Narrow"/>
              </w:rPr>
            </w:pPr>
            <w:r w:rsidRPr="009F7460">
              <w:rPr>
                <w:rFonts w:ascii="Arial Narrow" w:hAnsi="Arial Narrow"/>
              </w:rPr>
              <w:t>Ex ante o ex post (según se defina en el PA en SEPA)</w:t>
            </w:r>
          </w:p>
          <w:p w14:paraId="6BC84247" w14:textId="77777777" w:rsidR="004C1E17" w:rsidRPr="009F7460" w:rsidRDefault="004C1E17" w:rsidP="00D51933">
            <w:pPr>
              <w:spacing w:before="40" w:after="40"/>
              <w:jc w:val="left"/>
              <w:rPr>
                <w:rFonts w:ascii="Arial Narrow" w:hAnsi="Arial Narrow"/>
                <w:bCs/>
              </w:rPr>
            </w:pPr>
            <w:r>
              <w:rPr>
                <w:rFonts w:ascii="Arial Narrow" w:hAnsi="Arial Narrow"/>
              </w:rPr>
              <w:t>(</w:t>
            </w:r>
            <w:r w:rsidRPr="009F7460">
              <w:rPr>
                <w:rFonts w:ascii="Arial Narrow" w:hAnsi="Arial Narrow"/>
              </w:rPr>
              <w:t>Convocatorias en SICOES y además en periódico de circulación nacional para personal clave)</w:t>
            </w:r>
          </w:p>
        </w:tc>
      </w:tr>
    </w:tbl>
    <w:p w14:paraId="278D23E0" w14:textId="77777777" w:rsidR="004C1E17" w:rsidRDefault="004C1E17" w:rsidP="004C1E17">
      <w:pPr>
        <w:rPr>
          <w:lang w:eastAsia="es-ES"/>
        </w:rPr>
      </w:pPr>
    </w:p>
    <w:p w14:paraId="6CA621E9" w14:textId="0B84510B" w:rsidR="004C1E17" w:rsidRPr="00C853EC" w:rsidRDefault="004C1E17" w:rsidP="009B54B5">
      <w:pPr>
        <w:pStyle w:val="Estilo1"/>
        <w:rPr>
          <w:b/>
          <w:bCs/>
          <w:u w:val="single"/>
        </w:rPr>
      </w:pPr>
      <w:r w:rsidRPr="004B3B99">
        <w:rPr>
          <w:b/>
          <w:bCs/>
          <w:u w:val="single"/>
        </w:rPr>
        <w:t>Comunicaciones entre el MEF y el Banco y l</w:t>
      </w:r>
      <w:r w:rsidR="003B2131">
        <w:rPr>
          <w:b/>
          <w:bCs/>
          <w:u w:val="single"/>
        </w:rPr>
        <w:t>os OSE</w:t>
      </w:r>
      <w:r w:rsidRPr="004B3B99">
        <w:rPr>
          <w:b/>
          <w:bCs/>
          <w:u w:val="single"/>
        </w:rPr>
        <w:t xml:space="preserve"> y el Banco sobre adquisiciones</w:t>
      </w:r>
      <w:r>
        <w:t xml:space="preserve">. Las comunicaciones y solicitudes de no objeción al BID sobre los procesos de licitación o selección bajo el esquema de supervisión ex ante del BID, incluyendo aquellas referidas a acordar los insumos o prerrequisitos de los procesos de licitación o selección, requieren del uso de referencias adecuadas, que permitan: (i) identificar de forma rápida que los procesos están incluidos en el PA aprobado, y (ii) mantener registro secuencial de dicho proceso conforme se avanza en cada una de las etapas. Para ello, todas las notas sobre comunicaciones referidas a los procesos de licitación o selección y de los insumos o prerrequisitos deben incluir el número de identificación del proceso de SEPA junto a la referencia de la solicitud. </w:t>
      </w:r>
    </w:p>
    <w:p w14:paraId="3C6FEA2C" w14:textId="6E25D215" w:rsidR="004C1E17" w:rsidRPr="00FA7421" w:rsidRDefault="004C1E17" w:rsidP="009B54B5">
      <w:pPr>
        <w:pStyle w:val="Estilo1"/>
        <w:rPr>
          <w:b/>
          <w:bCs/>
          <w:u w:val="single"/>
        </w:rPr>
      </w:pPr>
      <w:r w:rsidRPr="0015160B">
        <w:rPr>
          <w:b/>
          <w:bCs/>
          <w:u w:val="single"/>
        </w:rPr>
        <w:t>Gastos Operativos</w:t>
      </w:r>
      <w:r w:rsidRPr="0015160B">
        <w:t>.</w:t>
      </w:r>
      <w:r w:rsidRPr="00C853EC">
        <w:t xml:space="preserve"> </w:t>
      </w:r>
      <w:r>
        <w:t>Los gastos operativos se definen como todos aquellos contratos necesarios para permitir que los EDG del MEF y</w:t>
      </w:r>
      <w:r w:rsidR="003B2131">
        <w:t xml:space="preserve"> OSE respectivo</w:t>
      </w:r>
      <w:r w:rsidR="00235BC0">
        <w:t>s</w:t>
      </w:r>
      <w:r>
        <w:t xml:space="preserve"> puedan operar adecuadamente durante la ejecución del Programa.  Estos gastos son, por ejemplo: papelería, alquiler de oficina, gastos generales (servicios de electricidad, telefonía, agua potable, internet), adquisición de mobiliario para uso del personal de la Unidad Ejecutora, pago de servicios de vigilancia y mensajería, secretaria, conductor, gastos de mantenimiento, servicios de publicidad (por ejemplo: difusión de convocatorias, difusión de avisos de licitación o de solicitud de expresiones de interés), etc.  Los gastos operativos serán acordados con el BID, y deberán estar consignados en el presupuesto del Programa, e incluidos en el PA aprobado por el BID en SEPA bajo la categoría de “gastos operativos” para poderlos ejecutar. Salvo que el Banco decida otra cosa, la contratación de estos bienes y servicios se realizará aplicando las NB-SABS, de acuerdo con los umbrales y métodos establecidos en dicha normativa. El Banco podrá abstenerse de financiar estos gastos si determina que su aplicación ha vulnerado los principios fundamentales de competencia, eficiencia y economía, o si el objeto de dichas contrataciones no es pertinente a los objetivos del Programa. La supervisión de los “gastos operativos” se realizará de manera ex post por parte del Banco.</w:t>
      </w:r>
    </w:p>
    <w:p w14:paraId="2C775DA5" w14:textId="77777777" w:rsidR="004C1E17" w:rsidRDefault="004C1E17" w:rsidP="009B54B5">
      <w:pPr>
        <w:pStyle w:val="Estilo1"/>
      </w:pPr>
      <w:r>
        <w:rPr>
          <w:b/>
          <w:bCs/>
          <w:u w:val="single"/>
        </w:rPr>
        <w:t>Supervisión de Adquisiciones por parte del BID.</w:t>
      </w:r>
      <w:r>
        <w:t xml:space="preserve">  </w:t>
      </w:r>
      <w:r w:rsidRPr="00531BD7">
        <w:t>Debe entenderse que la supervisión de adquisiciones se refiere a cada uno de los procedimientos aplicados para la gestión de las adquisiciones, y no así a los insumos o prerrequisitos que permiten el inicio de los procedimientos, los cuales siempre deben contar con la No Objeción del Banco para poder ser aplicados en los procesos de licitación o de selección de consultores. Entre los insumos o prerrequisitos, sin limitar la lista, se cuentan:</w:t>
      </w:r>
    </w:p>
    <w:p w14:paraId="7A505D9A" w14:textId="77777777" w:rsidR="004C1E17" w:rsidRDefault="004C1E17" w:rsidP="009B54B5">
      <w:pPr>
        <w:pStyle w:val="numeradorom"/>
        <w:numPr>
          <w:ilvl w:val="2"/>
          <w:numId w:val="45"/>
        </w:numPr>
        <w:rPr>
          <w:lang w:eastAsia="es-ES"/>
        </w:rPr>
      </w:pPr>
      <w:r>
        <w:rPr>
          <w:lang w:eastAsia="es-ES"/>
        </w:rPr>
        <w:t>No Objeción de los términos de referencia para consultores individuales, incluyendo el perfil profesional, los criterios de calificación, y la estimación detallada del costo.</w:t>
      </w:r>
    </w:p>
    <w:p w14:paraId="7823D4E7" w14:textId="77777777" w:rsidR="004C1E17" w:rsidRDefault="004C1E17" w:rsidP="009B54B5">
      <w:pPr>
        <w:pStyle w:val="numeradorom"/>
        <w:numPr>
          <w:ilvl w:val="2"/>
          <w:numId w:val="45"/>
        </w:numPr>
        <w:rPr>
          <w:lang w:eastAsia="es-ES"/>
        </w:rPr>
      </w:pPr>
      <w:r>
        <w:rPr>
          <w:lang w:eastAsia="es-ES"/>
        </w:rPr>
        <w:t>No Objeción de los términos de referencia para servicios de firmas consultoras, incluyendo el perfil de las firmas, el perfil de los profesionales, los criterios de calificación, y la estimación detallada del costo.</w:t>
      </w:r>
    </w:p>
    <w:p w14:paraId="11AB9AC8" w14:textId="77777777" w:rsidR="004C1E17" w:rsidRDefault="004C1E17" w:rsidP="009B54B5">
      <w:pPr>
        <w:pStyle w:val="numeradorom"/>
        <w:numPr>
          <w:ilvl w:val="2"/>
          <w:numId w:val="45"/>
        </w:numPr>
        <w:rPr>
          <w:lang w:eastAsia="es-ES"/>
        </w:rPr>
      </w:pPr>
      <w:r>
        <w:rPr>
          <w:lang w:eastAsia="es-ES"/>
        </w:rPr>
        <w:t>No Objeción a las especificaciones técnicas de bienes o servicios diferentes de consultoría, incluyendo la estimación detallada del costo.</w:t>
      </w:r>
    </w:p>
    <w:p w14:paraId="7F5D9DAE" w14:textId="77777777" w:rsidR="004C1E17" w:rsidRDefault="004C1E17" w:rsidP="009B54B5">
      <w:pPr>
        <w:pStyle w:val="numeradorom"/>
        <w:numPr>
          <w:ilvl w:val="2"/>
          <w:numId w:val="45"/>
        </w:numPr>
        <w:rPr>
          <w:lang w:eastAsia="es-ES"/>
        </w:rPr>
      </w:pPr>
      <w:r>
        <w:rPr>
          <w:lang w:eastAsia="es-ES"/>
        </w:rPr>
        <w:t>No Objeción a las especificaciones técnicas de obras, incluyendo los estudios de factibilidad (social, ambiental, geológico, planos, etc.), los perfiles del personal clave, los criterios de calificación de los oferentes, y la estimación detallada del costo.</w:t>
      </w:r>
    </w:p>
    <w:p w14:paraId="457710CD" w14:textId="77777777" w:rsidR="004C1E17" w:rsidRDefault="004C1E17" w:rsidP="009B54B5">
      <w:pPr>
        <w:pStyle w:val="numeradorom"/>
        <w:numPr>
          <w:ilvl w:val="2"/>
          <w:numId w:val="45"/>
        </w:numPr>
        <w:rPr>
          <w:lang w:eastAsia="es-ES"/>
        </w:rPr>
      </w:pPr>
      <w:r>
        <w:rPr>
          <w:lang w:eastAsia="es-ES"/>
        </w:rPr>
        <w:lastRenderedPageBreak/>
        <w:t>No Objeción a las modificaciones a los contratos suscritos (enmiendas, adendas, contratos modificatorios, etc.), siempre que estas modificaciones:</w:t>
      </w:r>
    </w:p>
    <w:p w14:paraId="03CC543B" w14:textId="77777777" w:rsidR="004C1E17" w:rsidRDefault="004C1E17" w:rsidP="009B54B5">
      <w:pPr>
        <w:pStyle w:val="numeradorom"/>
        <w:numPr>
          <w:ilvl w:val="3"/>
          <w:numId w:val="46"/>
        </w:numPr>
        <w:rPr>
          <w:lang w:eastAsia="es-ES"/>
        </w:rPr>
      </w:pPr>
      <w:r>
        <w:rPr>
          <w:lang w:eastAsia="es-ES"/>
        </w:rPr>
        <w:t>Generen un cambio en el monto del contrato equivalente al 15% del monto original.</w:t>
      </w:r>
    </w:p>
    <w:p w14:paraId="50C8010C" w14:textId="77777777" w:rsidR="004C1E17" w:rsidRDefault="004C1E17" w:rsidP="009B54B5">
      <w:pPr>
        <w:pStyle w:val="numeradorom"/>
        <w:numPr>
          <w:ilvl w:val="3"/>
          <w:numId w:val="46"/>
        </w:numPr>
        <w:rPr>
          <w:lang w:eastAsia="es-ES"/>
        </w:rPr>
      </w:pPr>
      <w:r>
        <w:rPr>
          <w:lang w:eastAsia="es-ES"/>
        </w:rPr>
        <w:t>Cambio/sustitución del personal clave en el caso de contratos de consultoría.</w:t>
      </w:r>
    </w:p>
    <w:p w14:paraId="23DD0A3E" w14:textId="77777777" w:rsidR="004C1E17" w:rsidRDefault="004C1E17" w:rsidP="009B54B5">
      <w:pPr>
        <w:pStyle w:val="numeradorom"/>
        <w:numPr>
          <w:ilvl w:val="3"/>
          <w:numId w:val="46"/>
        </w:numPr>
        <w:rPr>
          <w:lang w:eastAsia="es-ES"/>
        </w:rPr>
      </w:pPr>
      <w:r>
        <w:rPr>
          <w:lang w:eastAsia="es-ES"/>
        </w:rPr>
        <w:t xml:space="preserve">Renuncia o dispensa a condiciones del contrato. </w:t>
      </w:r>
    </w:p>
    <w:p w14:paraId="71DEC10A" w14:textId="77777777" w:rsidR="004C1E17" w:rsidRDefault="004C1E17" w:rsidP="009B54B5">
      <w:pPr>
        <w:pStyle w:val="numeradorom"/>
        <w:numPr>
          <w:ilvl w:val="3"/>
          <w:numId w:val="46"/>
        </w:numPr>
        <w:rPr>
          <w:lang w:eastAsia="es-ES"/>
        </w:rPr>
      </w:pPr>
      <w:r>
        <w:rPr>
          <w:lang w:eastAsia="es-ES"/>
        </w:rPr>
        <w:t>Prórrogas del plazo de ejecución que se consideren sustanciales.</w:t>
      </w:r>
    </w:p>
    <w:p w14:paraId="09A098A5" w14:textId="77777777" w:rsidR="004C1E17" w:rsidRPr="00531BD7" w:rsidRDefault="004C1E17" w:rsidP="009B54B5">
      <w:pPr>
        <w:pStyle w:val="Estilo1"/>
      </w:pPr>
      <w:r w:rsidRPr="00531BD7">
        <w:t>En adición a los requisitos preliminares para iniciar los procesos de licitación o de selección, al finalizar la adjudicación de los contratos se deberá remitir al BID una copia del contrato suscrito (incluyendo todos sus anexos y documentos integrantes) para conocimiento y registro del número PRISM.</w:t>
      </w:r>
      <w:r>
        <w:t xml:space="preserve"> </w:t>
      </w:r>
      <w:r w:rsidRPr="00531BD7">
        <w:t>De la misma manera, cuando la ejecución de los contratos suscritos demande la necesidad de generar enmiendas o contratos modificatorios, se deberá remitir al BID una copia de dichas enmiendas o contratos modificatorios suscritos para conocimiento y registro</w:t>
      </w:r>
      <w:r>
        <w:t>.</w:t>
      </w:r>
    </w:p>
    <w:p w14:paraId="710C96BB" w14:textId="77777777" w:rsidR="004C1E17" w:rsidRDefault="004C1E17" w:rsidP="009B54B5">
      <w:pPr>
        <w:pStyle w:val="Estilo1"/>
      </w:pPr>
      <w:r w:rsidRPr="0058799D">
        <w:rPr>
          <w:b/>
          <w:bCs/>
          <w:u w:val="single"/>
        </w:rPr>
        <w:t>Supervisión Ex – Ante</w:t>
      </w:r>
      <w:r>
        <w:t xml:space="preserve">.  </w:t>
      </w:r>
      <w:r w:rsidRPr="0058799D">
        <w:t>El BID realizará revisiones y emitirá no objeciones de forma preliminar o ex</w:t>
      </w:r>
      <w:r>
        <w:t xml:space="preserve"> </w:t>
      </w:r>
      <w:r w:rsidRPr="0058799D">
        <w:t>-</w:t>
      </w:r>
      <w:r>
        <w:t xml:space="preserve"> </w:t>
      </w:r>
      <w:r w:rsidRPr="0058799D">
        <w:t>ante a todos los procedimientos de adquisiciones de bienes, obras, servicios diferentes de consultoría y servicios de consultoría, que se deben llevar a cabo como parte de cada proceso de contratación prevista por el Programa.  Estos procedimientos incluyen</w:t>
      </w:r>
      <w:r w:rsidRPr="00531BD7">
        <w:t>:</w:t>
      </w:r>
    </w:p>
    <w:p w14:paraId="0AFF64E5" w14:textId="77777777" w:rsidR="004C1E17" w:rsidRDefault="004C1E17" w:rsidP="009B54B5">
      <w:pPr>
        <w:pStyle w:val="numeradorom"/>
        <w:numPr>
          <w:ilvl w:val="2"/>
          <w:numId w:val="47"/>
        </w:numPr>
        <w:rPr>
          <w:lang w:eastAsia="es-ES"/>
        </w:rPr>
      </w:pPr>
      <w:r>
        <w:rPr>
          <w:lang w:eastAsia="es-ES"/>
        </w:rPr>
        <w:t>Avisos específicos de adquisiciones y solicitudes de expresiones de interés.</w:t>
      </w:r>
    </w:p>
    <w:p w14:paraId="02CE5A78" w14:textId="77777777" w:rsidR="004C1E17" w:rsidRDefault="004C1E17" w:rsidP="009B54B5">
      <w:pPr>
        <w:pStyle w:val="numeradorom"/>
        <w:numPr>
          <w:ilvl w:val="2"/>
          <w:numId w:val="47"/>
        </w:numPr>
        <w:rPr>
          <w:lang w:eastAsia="es-ES"/>
        </w:rPr>
      </w:pPr>
      <w:r>
        <w:rPr>
          <w:lang w:eastAsia="es-ES"/>
        </w:rPr>
        <w:t>Conformación de listas cortas de firmas consultoras.</w:t>
      </w:r>
    </w:p>
    <w:p w14:paraId="417166B0" w14:textId="77777777" w:rsidR="004C1E17" w:rsidRDefault="004C1E17" w:rsidP="009B54B5">
      <w:pPr>
        <w:pStyle w:val="numeradorom"/>
        <w:numPr>
          <w:ilvl w:val="2"/>
          <w:numId w:val="47"/>
        </w:numPr>
        <w:rPr>
          <w:lang w:eastAsia="es-ES"/>
        </w:rPr>
      </w:pPr>
      <w:r>
        <w:rPr>
          <w:lang w:eastAsia="es-ES"/>
        </w:rPr>
        <w:t>Documentos Base de Contratación (DBC) en función de la categoría y umbral de la contratación en cuestión.</w:t>
      </w:r>
    </w:p>
    <w:p w14:paraId="367D5784" w14:textId="76EE0AD9" w:rsidR="004C1E17" w:rsidRDefault="004C1E17" w:rsidP="009B54B5">
      <w:pPr>
        <w:pStyle w:val="numeradorom"/>
        <w:numPr>
          <w:ilvl w:val="2"/>
          <w:numId w:val="47"/>
        </w:numPr>
        <w:rPr>
          <w:lang w:eastAsia="es-ES"/>
        </w:rPr>
      </w:pPr>
      <w:r>
        <w:rPr>
          <w:lang w:eastAsia="es-ES"/>
        </w:rPr>
        <w:t>Circulares o boletines de aclaraciones y enmiendas a los DBC que surjan a partir de las reuniones aclaratorias, las visitas al terreno, las solicitudes de potenciales Oferentes o Consultores; o, como necesidad identificada por las ED</w:t>
      </w:r>
      <w:r w:rsidR="003B2131">
        <w:rPr>
          <w:lang w:eastAsia="es-ES"/>
        </w:rPr>
        <w:t>G</w:t>
      </w:r>
      <w:r>
        <w:rPr>
          <w:lang w:eastAsia="es-ES"/>
        </w:rPr>
        <w:t xml:space="preserve"> del MEF </w:t>
      </w:r>
      <w:r w:rsidR="003B2131">
        <w:rPr>
          <w:lang w:eastAsia="es-ES"/>
        </w:rPr>
        <w:t>u OSE</w:t>
      </w:r>
      <w:r>
        <w:rPr>
          <w:lang w:eastAsia="es-ES"/>
        </w:rPr>
        <w:t xml:space="preserve"> respectivamente.</w:t>
      </w:r>
    </w:p>
    <w:p w14:paraId="01932AD0" w14:textId="77777777" w:rsidR="004C1E17" w:rsidRDefault="004C1E17" w:rsidP="009B54B5">
      <w:pPr>
        <w:pStyle w:val="numeradorom"/>
        <w:numPr>
          <w:ilvl w:val="2"/>
          <w:numId w:val="47"/>
        </w:numPr>
        <w:rPr>
          <w:lang w:eastAsia="es-ES"/>
        </w:rPr>
      </w:pPr>
      <w:r>
        <w:rPr>
          <w:lang w:eastAsia="es-ES"/>
        </w:rPr>
        <w:t>Informes de evaluación de ofertas, de propuestas o de calificación de candidatos, y recomendación de adjudicación de contrato.</w:t>
      </w:r>
    </w:p>
    <w:p w14:paraId="05DE2876" w14:textId="77777777" w:rsidR="004C1E17" w:rsidRDefault="004C1E17" w:rsidP="009B54B5">
      <w:pPr>
        <w:pStyle w:val="numeradorom"/>
        <w:numPr>
          <w:ilvl w:val="2"/>
          <w:numId w:val="47"/>
        </w:numPr>
        <w:rPr>
          <w:lang w:eastAsia="es-ES"/>
        </w:rPr>
      </w:pPr>
      <w:r>
        <w:rPr>
          <w:lang w:eastAsia="es-ES"/>
        </w:rPr>
        <w:t>Borradores de contrato.</w:t>
      </w:r>
    </w:p>
    <w:p w14:paraId="36C2E181" w14:textId="77777777" w:rsidR="004C1E17" w:rsidRDefault="004C1E17" w:rsidP="009B54B5">
      <w:pPr>
        <w:pStyle w:val="numeradorom"/>
        <w:numPr>
          <w:ilvl w:val="2"/>
          <w:numId w:val="47"/>
        </w:numPr>
        <w:rPr>
          <w:lang w:eastAsia="es-ES"/>
        </w:rPr>
      </w:pPr>
      <w:r>
        <w:rPr>
          <w:lang w:eastAsia="es-ES"/>
        </w:rPr>
        <w:t>Propuesta de respuesta a protestas.</w:t>
      </w:r>
    </w:p>
    <w:p w14:paraId="6D51DE65" w14:textId="77777777" w:rsidR="004C1E17" w:rsidRDefault="004C1E17" w:rsidP="009B54B5">
      <w:pPr>
        <w:pStyle w:val="Estilo1"/>
      </w:pPr>
      <w:r w:rsidRPr="00AF40FF">
        <w:rPr>
          <w:b/>
          <w:bCs/>
          <w:u w:val="single"/>
        </w:rPr>
        <w:t>Revisiones Ex – Post</w:t>
      </w:r>
      <w:r>
        <w:t xml:space="preserve">.  En cualquier momento durante el período de ejecución del Programa, el BID podrá decidir que la revisión de las adquisiciones y contrataciones se realice de manera ex post, en cuyo caso ésta se llevará a cabo de conformidad con los procedimientos establecidos en el párrafo 4 del Apéndice 1 de las Políticas del BID. De igual modo, con base en el análisis continuo de la gestión del Programa, el Banco podrá determinar que las adquisiciones previstas para supervisión ex post se gestionen bajo el formato de supervisión ex ante. </w:t>
      </w:r>
    </w:p>
    <w:p w14:paraId="78CDC30C" w14:textId="43303DDE" w:rsidR="004C1E17" w:rsidRPr="009F23BD" w:rsidRDefault="004C1E17" w:rsidP="009B54B5">
      <w:pPr>
        <w:pStyle w:val="Estilo1"/>
        <w:rPr>
          <w:b/>
          <w:bCs/>
          <w:u w:val="single"/>
        </w:rPr>
      </w:pPr>
      <w:r w:rsidRPr="008024B2">
        <w:rPr>
          <w:b/>
          <w:bCs/>
          <w:u w:val="single"/>
        </w:rPr>
        <w:t xml:space="preserve">Tratamiento de Protestas. </w:t>
      </w:r>
      <w:r w:rsidRPr="008024B2">
        <w:t>En</w:t>
      </w:r>
      <w:r w:rsidRPr="00AF40FF">
        <w:t xml:space="preserve"> el marco de los procesos de adquisiciones financiados total o parcialmente por el Banco, un Oferente o Consultor que participa en un proceso de licitación o de selección, o un tercero afectado, podrá presentar una protesta</w:t>
      </w:r>
      <w:r>
        <w:rPr>
          <w:rStyle w:val="FootnoteReference"/>
        </w:rPr>
        <w:footnoteReference w:id="40"/>
      </w:r>
      <w:r w:rsidRPr="00AF40FF">
        <w:t xml:space="preserve">  cuando considere que</w:t>
      </w:r>
      <w:r>
        <w:t xml:space="preserve"> el EDG del MEF o de</w:t>
      </w:r>
      <w:r w:rsidR="003B2131">
        <w:t>l OSE</w:t>
      </w:r>
      <w:r>
        <w:t xml:space="preserve">, según corresponda, </w:t>
      </w:r>
      <w:r w:rsidRPr="00AF40FF">
        <w:t>ha incumplido una o varias de las disposiciones establecidas en los DBC y/o en las Políticas del BID.</w:t>
      </w:r>
      <w:r>
        <w:t xml:space="preserve"> Las protestas deberán presentarse por escrito, y no requiere la entrega de documentos adicionales tales como garantías o documentos legales de constitución, etc. El plazo para la presentación de protestas no está limitado, estas se pueden recibir en cualquier momento del proceso (inclusive con posterioridad a la adjudicación del contrato), y se mantendrá el derecho a instaurar las acciones legales que corresponda en contra de las decisiones o actuaciones de la EDG del MEF </w:t>
      </w:r>
      <w:r w:rsidR="003B2131">
        <w:t>u OSE</w:t>
      </w:r>
      <w:r>
        <w:t xml:space="preserve">, según corresponda, cuando tales decisiones y acciones contravengan los documentos rectores del proceso de licitación o selección y se consideren afectados. La EDG del MEF </w:t>
      </w:r>
      <w:r w:rsidR="003B2131">
        <w:t>u OSE</w:t>
      </w:r>
      <w:r>
        <w:t xml:space="preserve">, según corresponda, tiene la obligación de dar trámite y debida atención a cualquier protesta que se reciba como parte de un proceso de licitación o selección. Esta responsabilidad implica responder al Oferente, Consultor o tercero protestante en el marco de </w:t>
      </w:r>
      <w:r>
        <w:lastRenderedPageBreak/>
        <w:t>las disposiciones de los DBC y/o de las Políticas del BID</w:t>
      </w:r>
      <w:bookmarkStart w:id="74" w:name="_Hlk15394887"/>
      <w:r>
        <w:t xml:space="preserve">.  La EDG del MEF </w:t>
      </w:r>
      <w:r w:rsidR="003B2131">
        <w:t>u OSE</w:t>
      </w:r>
      <w:r>
        <w:t xml:space="preserve">, según corresponda, </w:t>
      </w:r>
      <w:bookmarkEnd w:id="74"/>
      <w:r>
        <w:t xml:space="preserve">debe informar al Banco acerca de las protestas recibidas, indicando las acciones que se tomaron para resolverla si los procesos están sujetos a supervisión ex post por el Banco, o indicando las acciones que se tomarán para resolverla si el proceso está sujeto a supervisión ex ante por el Banco. La EDG del MEF </w:t>
      </w:r>
      <w:r w:rsidR="003B2131">
        <w:t>u OSE</w:t>
      </w:r>
      <w:r>
        <w:t xml:space="preserve">, según corresponda, debe velar por que la protesta sea atendida de forma inmediata, tratando de no exceder los tiempos sugeridos a continuación, y cuidando que la respuesta refleje correctamente lo dispuesto por en los DBC y/o en las Políticas del BID. Cuando se reciba una protesta en el marco de un proceso de licitación o selección con supervisión ex ante, el Banco revisará el borrador de respuesta preparado por la EDG del MEF </w:t>
      </w:r>
      <w:r w:rsidR="003B2131">
        <w:t>u OSE</w:t>
      </w:r>
      <w:r>
        <w:t xml:space="preserve">, según corresponda, esta propuesta de respuesta debe ajustarse a las disposiciones del DBC y/o a las Políticas del BID, en caso contrario el Banco solicitará incorporar las modificaciones necesarias. Si la EDG del MEF </w:t>
      </w:r>
      <w:r w:rsidR="003B2131">
        <w:t>u OSE</w:t>
      </w:r>
      <w:r>
        <w:t xml:space="preserve">, según corresponda, decide responder a la protesta sin considerar las recomendaciones del BID, éste podrá declarar la adquisición no elegible para financiamiento del Banco. Cuando se reciba una protesta en el marco de un proceso de adquisiciones bajo supervisión ex post, la EDG del MEF </w:t>
      </w:r>
      <w:r w:rsidR="003B2131">
        <w:t>u OSE</w:t>
      </w:r>
      <w:r>
        <w:t xml:space="preserve">, según corresponda, deberá analizar y responder la protesta de conformidad con las disposiciones del DBC y/o a las Políticas del BID y dentro de los plazos sugeridos. La EDG del MEF </w:t>
      </w:r>
      <w:r w:rsidR="003B2131">
        <w:t>u OSE</w:t>
      </w:r>
      <w:r>
        <w:t>, según corresponda, deberá incluir el proceso de licitación o selección en cuestión en la lista de revisión ex post que esté programada dentro del plan de supervisión del Programa. En dicha revisión, el BID determinará si la protesta fue resuelta de conformidad con las disposiciones del DBC y/o las Políticas del BID como un elemento para reconocer la elegibilidad de financiamiento</w:t>
      </w:r>
    </w:p>
    <w:p w14:paraId="08C09507" w14:textId="353AC10F" w:rsidR="004C1E17" w:rsidRDefault="004C1E17" w:rsidP="004C1E17">
      <w:pPr>
        <w:pStyle w:val="Caption"/>
        <w:keepNext/>
      </w:pPr>
      <w:r>
        <w:t xml:space="preserve">Ilustración </w:t>
      </w:r>
      <w:fldSimple w:instr=" SEQ Ilustración \* ARABIC ">
        <w:r w:rsidR="003538B4">
          <w:rPr>
            <w:noProof/>
          </w:rPr>
          <w:t>1</w:t>
        </w:r>
      </w:fldSimple>
      <w:r>
        <w:t>. Flujo de Tratamiento de Protestas y Plazos Sugeridos</w:t>
      </w:r>
    </w:p>
    <w:p w14:paraId="5F21F626" w14:textId="77777777" w:rsidR="004C1E17" w:rsidRDefault="004C1E17" w:rsidP="004C1E17">
      <w:r>
        <w:rPr>
          <w:noProof/>
        </w:rPr>
        <w:drawing>
          <wp:anchor distT="0" distB="0" distL="114300" distR="114300" simplePos="0" relativeHeight="251659264" behindDoc="0" locked="0" layoutInCell="1" allowOverlap="1" wp14:anchorId="0B9D6C19" wp14:editId="3148A066">
            <wp:simplePos x="0" y="0"/>
            <wp:positionH relativeFrom="column">
              <wp:posOffset>3696</wp:posOffset>
            </wp:positionH>
            <wp:positionV relativeFrom="paragraph">
              <wp:posOffset>-2890</wp:posOffset>
            </wp:positionV>
            <wp:extent cx="5759450" cy="2599236"/>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759450" cy="2599236"/>
                    </a:xfrm>
                    <a:prstGeom prst="rect">
                      <a:avLst/>
                    </a:prstGeom>
                  </pic:spPr>
                </pic:pic>
              </a:graphicData>
            </a:graphic>
          </wp:anchor>
        </w:drawing>
      </w:r>
    </w:p>
    <w:p w14:paraId="34ECEA05" w14:textId="3443520F" w:rsidR="004C1E17" w:rsidRDefault="004C1E17" w:rsidP="009B54B5">
      <w:pPr>
        <w:pStyle w:val="Estilo1"/>
      </w:pPr>
      <w:r w:rsidRPr="00351BFD">
        <w:rPr>
          <w:b/>
          <w:bCs/>
          <w:u w:val="single"/>
        </w:rPr>
        <w:t>Denuncias de Prácticas Prohibidas</w:t>
      </w:r>
      <w:r>
        <w:t xml:space="preserve">. Las prácticas prohibidas son las que se definen en las Políticas para las Adquisiciones de Bienes y Obras y las Políticas para la Selección y Contratación de Servicios de Consultoría (las Políticas). La Oficina de Integridad Institucional del BID (OII) es un órgano asesor independiente encargado de investigar las denuncias de Prácticas Prohibidas y de gestionar la determinación de sanciones correspondientes. </w:t>
      </w:r>
      <w:r>
        <w:rPr>
          <w:lang w:eastAsia="es-ES"/>
        </w:rPr>
        <w:t>e</w:t>
      </w:r>
      <w:r>
        <w:t xml:space="preserve">l EDG del MEF </w:t>
      </w:r>
      <w:r w:rsidR="003B2131">
        <w:t>u OSE</w:t>
      </w:r>
      <w:r>
        <w:t>, según corresponda,</w:t>
      </w:r>
      <w:r>
        <w:rPr>
          <w:lang w:eastAsia="es-ES"/>
        </w:rPr>
        <w:t xml:space="preserve"> </w:t>
      </w:r>
      <w:r>
        <w:t xml:space="preserve">(incluyendo al personal de nómina (ítems), de línea y temporal), está en la obligación de reportar a la OII cualquier indicio de Prácticas Prohibidas.  Por el contrario, </w:t>
      </w:r>
      <w:r w:rsidRPr="00350474">
        <w:t xml:space="preserve">el EDG del MEF </w:t>
      </w:r>
      <w:r w:rsidR="003B2131">
        <w:t>u OSE</w:t>
      </w:r>
      <w:r w:rsidRPr="00350474">
        <w:t xml:space="preserve">, según corresponda, </w:t>
      </w:r>
      <w:r>
        <w:t>tiene la facultad de determinar que en el marco de las contrataciones financiadas por el BID se haya cometido alguna Práctica Prohibida. Los reportes a la OII pueden suministrarse por cualquiera de estos medios:</w:t>
      </w:r>
    </w:p>
    <w:p w14:paraId="7FDA8FF7" w14:textId="77777777" w:rsidR="004C1E17" w:rsidRDefault="004C1E17" w:rsidP="004C1E17">
      <w:r w:rsidRPr="00A54031">
        <w:rPr>
          <w:noProof/>
          <w:shd w:val="clear" w:color="auto" w:fill="BFBFBF" w:themeFill="background1" w:themeFillShade="BF"/>
        </w:rPr>
        <w:lastRenderedPageBreak/>
        <w:drawing>
          <wp:inline distT="0" distB="0" distL="0" distR="0" wp14:anchorId="4A3E2E10" wp14:editId="6891B2E9">
            <wp:extent cx="6012815" cy="1982912"/>
            <wp:effectExtent l="38100" t="0" r="45085"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7ED1E1E0" w14:textId="77777777" w:rsidR="004C1E17" w:rsidRDefault="004C1E17" w:rsidP="009B54B5">
      <w:pPr>
        <w:pStyle w:val="Estilo1"/>
      </w:pPr>
      <w:r>
        <w:t>Al reportar se debe ofrecer la mayor cantidad posible de detalles, incluyendo los siguientes:</w:t>
      </w:r>
    </w:p>
    <w:p w14:paraId="54D344FC" w14:textId="77777777" w:rsidR="004C1E17" w:rsidRDefault="004C1E17" w:rsidP="009B54B5">
      <w:pPr>
        <w:pStyle w:val="numeradorom"/>
        <w:numPr>
          <w:ilvl w:val="2"/>
          <w:numId w:val="48"/>
        </w:numPr>
        <w:rPr>
          <w:lang w:eastAsia="es-ES"/>
        </w:rPr>
      </w:pPr>
      <w:r>
        <w:rPr>
          <w:lang w:eastAsia="es-ES"/>
        </w:rPr>
        <w:t>Si se tiene a disposición, nombre y número del proyecto financiado por el BID.</w:t>
      </w:r>
    </w:p>
    <w:p w14:paraId="480A6611" w14:textId="77777777" w:rsidR="004C1E17" w:rsidRDefault="004C1E17" w:rsidP="009B54B5">
      <w:pPr>
        <w:pStyle w:val="numeradorom"/>
        <w:numPr>
          <w:ilvl w:val="2"/>
          <w:numId w:val="48"/>
        </w:numPr>
        <w:rPr>
          <w:lang w:eastAsia="es-ES"/>
        </w:rPr>
      </w:pPr>
      <w:r>
        <w:rPr>
          <w:lang w:eastAsia="es-ES"/>
        </w:rPr>
        <w:t>Quién, al parecer, incurrió en fraude o corrupción. Quién más puede hallarse involucrado.</w:t>
      </w:r>
    </w:p>
    <w:p w14:paraId="51FA70F1" w14:textId="77777777" w:rsidR="004C1E17" w:rsidRDefault="004C1E17" w:rsidP="009B54B5">
      <w:pPr>
        <w:pStyle w:val="numeradorom"/>
        <w:numPr>
          <w:ilvl w:val="2"/>
          <w:numId w:val="48"/>
        </w:numPr>
        <w:rPr>
          <w:lang w:eastAsia="es-ES"/>
        </w:rPr>
      </w:pPr>
      <w:r>
        <w:rPr>
          <w:lang w:eastAsia="es-ES"/>
        </w:rPr>
        <w:t>Qué ocurrió. Describir los hechos con la mayor cantidad posible de pormenores.</w:t>
      </w:r>
    </w:p>
    <w:p w14:paraId="0FCBB46E" w14:textId="77777777" w:rsidR="004C1E17" w:rsidRDefault="004C1E17" w:rsidP="009B54B5">
      <w:pPr>
        <w:pStyle w:val="numeradorom"/>
        <w:numPr>
          <w:ilvl w:val="2"/>
          <w:numId w:val="48"/>
        </w:numPr>
        <w:rPr>
          <w:lang w:eastAsia="es-ES"/>
        </w:rPr>
      </w:pPr>
      <w:r>
        <w:rPr>
          <w:lang w:eastAsia="es-ES"/>
        </w:rPr>
        <w:t>Cuando ocurrió. Fechas, horas, cuántas veces, etc.</w:t>
      </w:r>
    </w:p>
    <w:p w14:paraId="14D5A280" w14:textId="77777777" w:rsidR="004C1E17" w:rsidRDefault="004C1E17" w:rsidP="009B54B5">
      <w:pPr>
        <w:pStyle w:val="numeradorom"/>
        <w:numPr>
          <w:ilvl w:val="2"/>
          <w:numId w:val="48"/>
        </w:numPr>
        <w:rPr>
          <w:lang w:eastAsia="es-ES"/>
        </w:rPr>
      </w:pPr>
      <w:r>
        <w:rPr>
          <w:lang w:eastAsia="es-ES"/>
        </w:rPr>
        <w:t>Dónde ocurrió. Además de especificar la ciudad y el país, si es posible consignar el domicilio real, nombre del edificio, número de oficina, etc.</w:t>
      </w:r>
    </w:p>
    <w:p w14:paraId="62C7C75D" w14:textId="77777777" w:rsidR="004C1E17" w:rsidRDefault="004C1E17" w:rsidP="009B54B5">
      <w:pPr>
        <w:pStyle w:val="numeradorom"/>
        <w:numPr>
          <w:ilvl w:val="2"/>
          <w:numId w:val="48"/>
        </w:numPr>
        <w:rPr>
          <w:lang w:eastAsia="es-ES"/>
        </w:rPr>
      </w:pPr>
      <w:r>
        <w:rPr>
          <w:lang w:eastAsia="es-ES"/>
        </w:rPr>
        <w:t>Quién más puede poseer información.</w:t>
      </w:r>
    </w:p>
    <w:p w14:paraId="253823D6" w14:textId="77777777" w:rsidR="004C1E17" w:rsidRDefault="004C1E17" w:rsidP="009B54B5">
      <w:pPr>
        <w:pStyle w:val="numeradorom"/>
        <w:numPr>
          <w:ilvl w:val="2"/>
          <w:numId w:val="48"/>
        </w:numPr>
        <w:rPr>
          <w:lang w:eastAsia="es-ES"/>
        </w:rPr>
      </w:pPr>
      <w:r>
        <w:rPr>
          <w:lang w:eastAsia="es-ES"/>
        </w:rPr>
        <w:t>Quién sabrá que el denunciante remitió un informe</w:t>
      </w:r>
    </w:p>
    <w:p w14:paraId="75C3958A" w14:textId="17BAD18C" w:rsidR="004C1E17" w:rsidRDefault="004C1E17" w:rsidP="009B54B5">
      <w:pPr>
        <w:pStyle w:val="Estilo1"/>
      </w:pPr>
      <w:r w:rsidRPr="00D2169E">
        <w:rPr>
          <w:b/>
          <w:bCs/>
          <w:u w:val="single"/>
        </w:rPr>
        <w:t>Archivo de la documentación de los Procesos de Adquisiciones y Contrataciones</w:t>
      </w:r>
      <w:r>
        <w:t xml:space="preserve">.  El archivo se constituye en el centro fundamental para documentar todas las acciones y decisiones en el marco de las adquisiciones del Programa.  La seguridad, integridad, confidencialidad y cronología ordenada del archivo es un aspecto fundamental que debe ser garantizado obligatoriamente por el EDG del MEF </w:t>
      </w:r>
      <w:r w:rsidR="003B2131">
        <w:t>u OSE</w:t>
      </w:r>
      <w:r>
        <w:t xml:space="preserve">, según corresponda; para ello debe disponer de los recursos necesarios (espacio físico, muebles, personal, etc.) a fin de cumplir con esa obligación. El EDG del MEF </w:t>
      </w:r>
      <w:r w:rsidR="003B2131">
        <w:t>u OSE</w:t>
      </w:r>
      <w:r>
        <w:t xml:space="preserve">, según corresponda, permitirá el acceso a toda la documentación relativa al Programa por parte del BID. El EDG del MEF </w:t>
      </w:r>
      <w:r w:rsidR="003B2131">
        <w:t>u OSE</w:t>
      </w:r>
      <w:r>
        <w:t xml:space="preserve">, según corresponda, deberá contar con archivos físicos y registros electrónicos que ordenados cronológicamente de las siguientes etapas de cada contratación: </w:t>
      </w:r>
    </w:p>
    <w:p w14:paraId="6B4CD64D" w14:textId="77777777" w:rsidR="004C1E17" w:rsidRDefault="004C1E17" w:rsidP="009B54B5">
      <w:pPr>
        <w:pStyle w:val="Estilo1"/>
      </w:pPr>
      <w:r>
        <w:t>Carpeta de la etapa de licitación o selección:</w:t>
      </w:r>
    </w:p>
    <w:p w14:paraId="7DC63BE2" w14:textId="77777777" w:rsidR="004C1E17" w:rsidRDefault="004C1E17" w:rsidP="009B54B5">
      <w:pPr>
        <w:pStyle w:val="numeradorom"/>
        <w:numPr>
          <w:ilvl w:val="2"/>
          <w:numId w:val="50"/>
        </w:numPr>
        <w:rPr>
          <w:lang w:eastAsia="es-ES"/>
        </w:rPr>
      </w:pPr>
      <w:r>
        <w:rPr>
          <w:lang w:eastAsia="es-ES"/>
        </w:rPr>
        <w:t>Documentos insumo-técnico oficiales de los procesos de licitación de obras, bienes y servicios diferentes de consultoría (incluyendo planos, especificaciones técnicas, estudios sociales y ambientales, memorias de cálculo del precio referencial, etc.), de los procesos de selección de consultoría (incluyendo perfil de la firma, perfil de los profesionales para la consultoría, términos de referencia, memorias de cálculo del precio referencial, etc.)</w:t>
      </w:r>
    </w:p>
    <w:p w14:paraId="38F44D4E" w14:textId="34646A2C" w:rsidR="004C1E17" w:rsidRDefault="004C1E17" w:rsidP="009B54B5">
      <w:pPr>
        <w:pStyle w:val="numeradorom"/>
        <w:numPr>
          <w:ilvl w:val="2"/>
          <w:numId w:val="50"/>
        </w:numPr>
        <w:rPr>
          <w:lang w:eastAsia="es-ES"/>
        </w:rPr>
      </w:pPr>
      <w:r>
        <w:rPr>
          <w:lang w:eastAsia="es-ES"/>
        </w:rPr>
        <w:t>Comunicaciones entre e</w:t>
      </w:r>
      <w:r>
        <w:t xml:space="preserve">l EDG del MEF </w:t>
      </w:r>
      <w:r w:rsidR="003B2131">
        <w:t>u OSE</w:t>
      </w:r>
      <w:r>
        <w:t>, según corresponda,</w:t>
      </w:r>
      <w:r>
        <w:rPr>
          <w:lang w:eastAsia="es-ES"/>
        </w:rPr>
        <w:t xml:space="preserve"> y el Banco, incluyendo las solicitudes de no objeción y las correspondientes respuestas;</w:t>
      </w:r>
    </w:p>
    <w:p w14:paraId="0F467B16" w14:textId="4EA3FA07" w:rsidR="004C1E17" w:rsidRDefault="004C1E17" w:rsidP="009B54B5">
      <w:pPr>
        <w:pStyle w:val="numeradorom"/>
        <w:numPr>
          <w:ilvl w:val="2"/>
          <w:numId w:val="50"/>
        </w:numPr>
        <w:rPr>
          <w:lang w:eastAsia="es-ES"/>
        </w:rPr>
      </w:pPr>
      <w:r>
        <w:rPr>
          <w:lang w:eastAsia="es-ES"/>
        </w:rPr>
        <w:t>Documento de designación de la Comisión de Calificación;</w:t>
      </w:r>
    </w:p>
    <w:p w14:paraId="1DECB4FD" w14:textId="77777777" w:rsidR="004C1E17" w:rsidRDefault="004C1E17" w:rsidP="009B54B5">
      <w:pPr>
        <w:pStyle w:val="numeradorom"/>
        <w:numPr>
          <w:ilvl w:val="2"/>
          <w:numId w:val="50"/>
        </w:numPr>
        <w:rPr>
          <w:lang w:eastAsia="es-ES"/>
        </w:rPr>
      </w:pPr>
      <w:r>
        <w:rPr>
          <w:lang w:eastAsia="es-ES"/>
        </w:rPr>
        <w:t>DBC aprobados.</w:t>
      </w:r>
    </w:p>
    <w:p w14:paraId="1CE81804" w14:textId="0D3C4741" w:rsidR="004C1E17" w:rsidRDefault="004C1E17" w:rsidP="009B54B5">
      <w:pPr>
        <w:pStyle w:val="numeradorom"/>
        <w:numPr>
          <w:ilvl w:val="2"/>
          <w:numId w:val="50"/>
        </w:numPr>
        <w:rPr>
          <w:lang w:eastAsia="es-ES"/>
        </w:rPr>
      </w:pPr>
      <w:r>
        <w:rPr>
          <w:lang w:eastAsia="es-ES"/>
        </w:rPr>
        <w:t>Comunicaciones entre e</w:t>
      </w:r>
      <w:r>
        <w:t xml:space="preserve">l EDG del MEF </w:t>
      </w:r>
      <w:r w:rsidR="003B2131">
        <w:t>u OSE</w:t>
      </w:r>
      <w:r>
        <w:t>, según corresponda,</w:t>
      </w:r>
      <w:r>
        <w:rPr>
          <w:lang w:eastAsia="es-ES"/>
        </w:rPr>
        <w:t xml:space="preserve"> y los Oferentes, Consultores o Candidatos, incluyendo las solicitudes de aclaraciones o enmiendas.</w:t>
      </w:r>
    </w:p>
    <w:p w14:paraId="0EEE1D95" w14:textId="77777777" w:rsidR="004C1E17" w:rsidRDefault="004C1E17" w:rsidP="009B54B5">
      <w:pPr>
        <w:pStyle w:val="numeradorom"/>
        <w:numPr>
          <w:ilvl w:val="2"/>
          <w:numId w:val="50"/>
        </w:numPr>
        <w:rPr>
          <w:lang w:eastAsia="es-ES"/>
        </w:rPr>
      </w:pPr>
      <w:r>
        <w:rPr>
          <w:lang w:eastAsia="es-ES"/>
        </w:rPr>
        <w:t>Copia de los avisos públicos de los DBC, de las invitaciones dirigidas, de las circulares o boletines de aclaraciones y de las circulares o boletines de enmiendas a los DBC.</w:t>
      </w:r>
    </w:p>
    <w:p w14:paraId="5FF1A595" w14:textId="77777777" w:rsidR="004C1E17" w:rsidRDefault="004C1E17" w:rsidP="009B54B5">
      <w:pPr>
        <w:pStyle w:val="numeradorom"/>
        <w:numPr>
          <w:ilvl w:val="2"/>
          <w:numId w:val="50"/>
        </w:numPr>
        <w:rPr>
          <w:lang w:eastAsia="es-ES"/>
        </w:rPr>
      </w:pPr>
      <w:r>
        <w:rPr>
          <w:lang w:eastAsia="es-ES"/>
        </w:rPr>
        <w:t>Acta de reuniones de aclaraciones, de visitas al sitio de las obras, y otros similares.</w:t>
      </w:r>
    </w:p>
    <w:p w14:paraId="546A37C5" w14:textId="77777777" w:rsidR="004C1E17" w:rsidRDefault="004C1E17" w:rsidP="009B54B5">
      <w:pPr>
        <w:pStyle w:val="numeradorom"/>
        <w:numPr>
          <w:ilvl w:val="2"/>
          <w:numId w:val="50"/>
        </w:numPr>
        <w:rPr>
          <w:lang w:eastAsia="es-ES"/>
        </w:rPr>
      </w:pPr>
      <w:r>
        <w:rPr>
          <w:lang w:eastAsia="es-ES"/>
        </w:rPr>
        <w:t>Registro de recepción de ofertas o propuestas.</w:t>
      </w:r>
    </w:p>
    <w:p w14:paraId="09EA56F6" w14:textId="77777777" w:rsidR="004C1E17" w:rsidRDefault="004C1E17" w:rsidP="009B54B5">
      <w:pPr>
        <w:pStyle w:val="numeradorom"/>
        <w:numPr>
          <w:ilvl w:val="2"/>
          <w:numId w:val="50"/>
        </w:numPr>
        <w:rPr>
          <w:lang w:eastAsia="es-ES"/>
        </w:rPr>
      </w:pPr>
      <w:r>
        <w:rPr>
          <w:lang w:eastAsia="es-ES"/>
        </w:rPr>
        <w:t>Registro de oferentes, consultores y terceros asistentes a los actos de apertura de ofertas o propuestas.</w:t>
      </w:r>
    </w:p>
    <w:p w14:paraId="7E16DF66" w14:textId="77777777" w:rsidR="004C1E17" w:rsidRDefault="004C1E17" w:rsidP="009B54B5">
      <w:pPr>
        <w:pStyle w:val="numeradorom"/>
        <w:numPr>
          <w:ilvl w:val="2"/>
          <w:numId w:val="50"/>
        </w:numPr>
        <w:rPr>
          <w:lang w:eastAsia="es-ES"/>
        </w:rPr>
      </w:pPr>
      <w:r>
        <w:rPr>
          <w:lang w:eastAsia="es-ES"/>
        </w:rPr>
        <w:t>Acta de apertura de ofertas.</w:t>
      </w:r>
    </w:p>
    <w:p w14:paraId="4E85498F" w14:textId="77777777" w:rsidR="004C1E17" w:rsidRDefault="004C1E17" w:rsidP="009B54B5">
      <w:pPr>
        <w:pStyle w:val="numeradorom"/>
        <w:numPr>
          <w:ilvl w:val="2"/>
          <w:numId w:val="50"/>
        </w:numPr>
        <w:rPr>
          <w:lang w:eastAsia="es-ES"/>
        </w:rPr>
      </w:pPr>
      <w:r>
        <w:rPr>
          <w:lang w:eastAsia="es-ES"/>
        </w:rPr>
        <w:lastRenderedPageBreak/>
        <w:t>Ofertas o propuestas recibidas.</w:t>
      </w:r>
    </w:p>
    <w:p w14:paraId="6A63D660" w14:textId="77777777" w:rsidR="004C1E17" w:rsidRDefault="004C1E17" w:rsidP="009B54B5">
      <w:pPr>
        <w:pStyle w:val="numeradorom"/>
        <w:numPr>
          <w:ilvl w:val="2"/>
          <w:numId w:val="50"/>
        </w:numPr>
        <w:rPr>
          <w:lang w:eastAsia="es-ES"/>
        </w:rPr>
      </w:pPr>
      <w:r>
        <w:rPr>
          <w:lang w:eastAsia="es-ES"/>
        </w:rPr>
        <w:t>Informes de evaluación con la debida recomendación.</w:t>
      </w:r>
    </w:p>
    <w:p w14:paraId="13242281" w14:textId="77777777" w:rsidR="004C1E17" w:rsidRDefault="004C1E17" w:rsidP="009B54B5">
      <w:pPr>
        <w:pStyle w:val="numeradorom"/>
        <w:numPr>
          <w:ilvl w:val="2"/>
          <w:numId w:val="50"/>
        </w:numPr>
        <w:rPr>
          <w:lang w:eastAsia="es-ES"/>
        </w:rPr>
      </w:pPr>
      <w:r>
        <w:rPr>
          <w:lang w:eastAsia="es-ES"/>
        </w:rPr>
        <w:t>Notificación de adjudicación al oferente o consultor mejor evaluado y constancia de recepción.</w:t>
      </w:r>
    </w:p>
    <w:p w14:paraId="6C4C6B7A" w14:textId="77777777" w:rsidR="004C1E17" w:rsidRDefault="004C1E17" w:rsidP="009B54B5">
      <w:pPr>
        <w:pStyle w:val="numeradorom"/>
        <w:numPr>
          <w:ilvl w:val="2"/>
          <w:numId w:val="50"/>
        </w:numPr>
        <w:rPr>
          <w:lang w:eastAsia="es-ES"/>
        </w:rPr>
      </w:pPr>
      <w:r>
        <w:rPr>
          <w:lang w:eastAsia="es-ES"/>
        </w:rPr>
        <w:t>Aviso público de resultados de los procesos de licitación o de selección, y/o notificaciones a los Oferentes o Consultores no adjudicatarios y constancia de recepción.</w:t>
      </w:r>
    </w:p>
    <w:p w14:paraId="4AC42580" w14:textId="77777777" w:rsidR="004C1E17" w:rsidRDefault="004C1E17" w:rsidP="009B54B5">
      <w:pPr>
        <w:pStyle w:val="numeradorom"/>
        <w:numPr>
          <w:ilvl w:val="2"/>
          <w:numId w:val="50"/>
        </w:numPr>
        <w:rPr>
          <w:lang w:eastAsia="es-ES"/>
        </w:rPr>
      </w:pPr>
      <w:r>
        <w:rPr>
          <w:lang w:eastAsia="es-ES"/>
        </w:rPr>
        <w:t>Protestas o impugnaciones recibidas y notas de respuesta con constancia de recepción.</w:t>
      </w:r>
    </w:p>
    <w:p w14:paraId="61DF74D7" w14:textId="77777777" w:rsidR="004C1E17" w:rsidRDefault="004C1E17" w:rsidP="009B54B5">
      <w:pPr>
        <w:pStyle w:val="numeradorom"/>
        <w:numPr>
          <w:ilvl w:val="2"/>
          <w:numId w:val="50"/>
        </w:numPr>
        <w:rPr>
          <w:lang w:eastAsia="es-ES"/>
        </w:rPr>
      </w:pPr>
      <w:r>
        <w:rPr>
          <w:lang w:eastAsia="es-ES"/>
        </w:rPr>
        <w:t>Si corresponde, acta de negociación de contrato.</w:t>
      </w:r>
    </w:p>
    <w:p w14:paraId="54925809" w14:textId="77777777" w:rsidR="004C1E17" w:rsidRDefault="004C1E17" w:rsidP="009B54B5">
      <w:pPr>
        <w:pStyle w:val="numeradorom"/>
        <w:numPr>
          <w:ilvl w:val="2"/>
          <w:numId w:val="50"/>
        </w:numPr>
        <w:rPr>
          <w:lang w:eastAsia="es-ES"/>
        </w:rPr>
      </w:pPr>
      <w:r>
        <w:rPr>
          <w:lang w:eastAsia="es-ES"/>
        </w:rPr>
        <w:t>Contratos suscritos; entre otros.</w:t>
      </w:r>
    </w:p>
    <w:p w14:paraId="0D483BBF" w14:textId="77777777" w:rsidR="004C1E17" w:rsidRDefault="004C1E17" w:rsidP="009B54B5">
      <w:pPr>
        <w:pStyle w:val="Estilo1"/>
      </w:pPr>
      <w:r>
        <w:t>Carpeta de la etapa de ejecución de contratos:</w:t>
      </w:r>
    </w:p>
    <w:p w14:paraId="2728C623" w14:textId="77777777" w:rsidR="004C1E17" w:rsidRDefault="004C1E17" w:rsidP="009B54B5">
      <w:pPr>
        <w:pStyle w:val="numeradorom"/>
        <w:numPr>
          <w:ilvl w:val="2"/>
          <w:numId w:val="49"/>
        </w:numPr>
        <w:rPr>
          <w:lang w:eastAsia="es-ES"/>
        </w:rPr>
      </w:pPr>
      <w:r>
        <w:rPr>
          <w:lang w:eastAsia="es-ES"/>
        </w:rPr>
        <w:t>Órdenes de Inicio en obras.</w:t>
      </w:r>
    </w:p>
    <w:p w14:paraId="6245E595" w14:textId="77777777" w:rsidR="004C1E17" w:rsidRDefault="004C1E17" w:rsidP="009B54B5">
      <w:pPr>
        <w:pStyle w:val="numeradorom"/>
        <w:numPr>
          <w:ilvl w:val="2"/>
          <w:numId w:val="49"/>
        </w:numPr>
        <w:rPr>
          <w:lang w:eastAsia="es-ES"/>
        </w:rPr>
      </w:pPr>
      <w:r>
        <w:rPr>
          <w:lang w:eastAsia="es-ES"/>
        </w:rPr>
        <w:t xml:space="preserve">Orden de proceder en supervisión. </w:t>
      </w:r>
    </w:p>
    <w:p w14:paraId="2E85802A" w14:textId="77777777" w:rsidR="004C1E17" w:rsidRDefault="004C1E17" w:rsidP="009B54B5">
      <w:pPr>
        <w:pStyle w:val="numeradorom"/>
        <w:numPr>
          <w:ilvl w:val="2"/>
          <w:numId w:val="49"/>
        </w:numPr>
        <w:rPr>
          <w:lang w:eastAsia="es-ES"/>
        </w:rPr>
      </w:pPr>
      <w:r>
        <w:rPr>
          <w:lang w:eastAsia="es-ES"/>
        </w:rPr>
        <w:t>Actas de recepción de los bienes emitidas por la entidad beneficiaria de la adquisición.</w:t>
      </w:r>
    </w:p>
    <w:p w14:paraId="52928879" w14:textId="77777777" w:rsidR="004C1E17" w:rsidRDefault="004C1E17" w:rsidP="009B54B5">
      <w:pPr>
        <w:pStyle w:val="numeradorom"/>
        <w:numPr>
          <w:ilvl w:val="2"/>
          <w:numId w:val="49"/>
        </w:numPr>
        <w:rPr>
          <w:lang w:eastAsia="es-ES"/>
        </w:rPr>
      </w:pPr>
      <w:r>
        <w:rPr>
          <w:lang w:eastAsia="es-ES"/>
        </w:rPr>
        <w:t>Copia de los contratos firmados, original de enmiendas, órdenes de cambio, contratos modificatorios, etc.</w:t>
      </w:r>
    </w:p>
    <w:p w14:paraId="5A8A7328" w14:textId="77777777" w:rsidR="004C1E17" w:rsidRDefault="004C1E17" w:rsidP="009B54B5">
      <w:pPr>
        <w:pStyle w:val="numeradorom"/>
        <w:numPr>
          <w:ilvl w:val="2"/>
          <w:numId w:val="49"/>
        </w:numPr>
        <w:rPr>
          <w:lang w:eastAsia="es-ES"/>
        </w:rPr>
      </w:pPr>
      <w:r>
        <w:rPr>
          <w:lang w:eastAsia="es-ES"/>
        </w:rPr>
        <w:t>Planillas de ejecución, (si corresponde).</w:t>
      </w:r>
    </w:p>
    <w:p w14:paraId="0C70A046" w14:textId="77777777" w:rsidR="004C1E17" w:rsidRDefault="004C1E17" w:rsidP="009B54B5">
      <w:pPr>
        <w:pStyle w:val="numeradorom"/>
        <w:numPr>
          <w:ilvl w:val="2"/>
          <w:numId w:val="49"/>
        </w:numPr>
        <w:rPr>
          <w:lang w:eastAsia="es-ES"/>
        </w:rPr>
      </w:pPr>
      <w:r>
        <w:rPr>
          <w:lang w:eastAsia="es-ES"/>
        </w:rPr>
        <w:t xml:space="preserve">Órdenes de cambio (si corresponde). </w:t>
      </w:r>
    </w:p>
    <w:p w14:paraId="57C14FA1" w14:textId="77777777" w:rsidR="004C1E17" w:rsidRDefault="004C1E17" w:rsidP="009B54B5">
      <w:pPr>
        <w:pStyle w:val="numeradorom"/>
        <w:numPr>
          <w:ilvl w:val="2"/>
          <w:numId w:val="49"/>
        </w:numPr>
        <w:rPr>
          <w:lang w:eastAsia="es-ES"/>
        </w:rPr>
      </w:pPr>
      <w:r>
        <w:rPr>
          <w:lang w:eastAsia="es-ES"/>
        </w:rPr>
        <w:t>Actas de recepción provisional y definitiva de obras.</w:t>
      </w:r>
    </w:p>
    <w:p w14:paraId="2E18C827" w14:textId="77777777" w:rsidR="004C1E17" w:rsidRPr="00A42F4C" w:rsidRDefault="004C1E17" w:rsidP="009B54B5">
      <w:pPr>
        <w:pStyle w:val="numeradorom"/>
        <w:numPr>
          <w:ilvl w:val="2"/>
          <w:numId w:val="49"/>
        </w:numPr>
        <w:rPr>
          <w:lang w:val="pt-BR" w:eastAsia="es-ES"/>
        </w:rPr>
      </w:pPr>
      <w:r w:rsidRPr="00A42F4C">
        <w:rPr>
          <w:lang w:val="pt-BR" w:eastAsia="es-ES"/>
        </w:rPr>
        <w:t>Planos AS-BUILT (para obras).</w:t>
      </w:r>
    </w:p>
    <w:p w14:paraId="07C352E4" w14:textId="77777777" w:rsidR="004C1E17" w:rsidRDefault="004C1E17" w:rsidP="009B54B5">
      <w:pPr>
        <w:pStyle w:val="numeradorom"/>
        <w:numPr>
          <w:ilvl w:val="2"/>
          <w:numId w:val="49"/>
        </w:numPr>
        <w:rPr>
          <w:lang w:eastAsia="es-ES"/>
        </w:rPr>
      </w:pPr>
      <w:r>
        <w:rPr>
          <w:lang w:eastAsia="es-ES"/>
        </w:rPr>
        <w:t>Productos/Informes parciales y finales de consultoría.</w:t>
      </w:r>
    </w:p>
    <w:p w14:paraId="6B4FBCAF" w14:textId="77777777" w:rsidR="004C1E17" w:rsidRDefault="004C1E17" w:rsidP="009B54B5">
      <w:pPr>
        <w:pStyle w:val="numeradorom"/>
        <w:numPr>
          <w:ilvl w:val="2"/>
          <w:numId w:val="49"/>
        </w:numPr>
        <w:rPr>
          <w:lang w:eastAsia="es-ES"/>
        </w:rPr>
      </w:pPr>
      <w:r>
        <w:rPr>
          <w:lang w:eastAsia="es-ES"/>
        </w:rPr>
        <w:t>Boletas de garantía / pólizas.</w:t>
      </w:r>
    </w:p>
    <w:p w14:paraId="6D0666D4" w14:textId="77777777" w:rsidR="004C1E17" w:rsidRDefault="004C1E17" w:rsidP="009B54B5">
      <w:pPr>
        <w:pStyle w:val="numeradorom"/>
        <w:numPr>
          <w:ilvl w:val="2"/>
          <w:numId w:val="49"/>
        </w:numPr>
        <w:rPr>
          <w:lang w:eastAsia="es-ES"/>
        </w:rPr>
      </w:pPr>
      <w:r>
        <w:rPr>
          <w:lang w:eastAsia="es-ES"/>
        </w:rPr>
        <w:t>Acta de conformidad de recepción en el caso de Bienes.</w:t>
      </w:r>
    </w:p>
    <w:p w14:paraId="29A3CA87" w14:textId="77777777" w:rsidR="004C1E17" w:rsidRDefault="004C1E17" w:rsidP="009B54B5">
      <w:pPr>
        <w:pStyle w:val="numeradorom"/>
        <w:numPr>
          <w:ilvl w:val="2"/>
          <w:numId w:val="49"/>
        </w:numPr>
        <w:rPr>
          <w:lang w:eastAsia="es-ES"/>
        </w:rPr>
      </w:pPr>
      <w:r>
        <w:rPr>
          <w:lang w:eastAsia="es-ES"/>
        </w:rPr>
        <w:t xml:space="preserve">Entre otros. </w:t>
      </w:r>
    </w:p>
    <w:p w14:paraId="0D0C8405" w14:textId="44E37F71" w:rsidR="004B3A82" w:rsidRDefault="00F14560" w:rsidP="00A94976">
      <w:pPr>
        <w:pStyle w:val="Heading2"/>
      </w:pPr>
      <w:bookmarkStart w:id="75" w:name="_Toc23797313"/>
      <w:r>
        <w:t xml:space="preserve">Gestión </w:t>
      </w:r>
      <w:r w:rsidR="004B3A82">
        <w:t>Financier</w:t>
      </w:r>
      <w:r>
        <w:t>a</w:t>
      </w:r>
      <w:r w:rsidR="00413872">
        <w:t xml:space="preserve"> del Programa</w:t>
      </w:r>
      <w:bookmarkEnd w:id="66"/>
      <w:bookmarkEnd w:id="75"/>
    </w:p>
    <w:p w14:paraId="2E4D737F" w14:textId="7FE7FFC5" w:rsidR="003B37CB" w:rsidRDefault="004008CF" w:rsidP="009B54B5">
      <w:pPr>
        <w:pStyle w:val="Estilo1"/>
      </w:pPr>
      <w:r w:rsidRPr="006B4047">
        <w:rPr>
          <w:b/>
          <w:u w:val="single"/>
        </w:rPr>
        <w:t>Políticas de Gestión Financiera</w:t>
      </w:r>
      <w:r>
        <w:t xml:space="preserve">. </w:t>
      </w:r>
      <w:r w:rsidR="003B37CB" w:rsidRPr="004F7B39">
        <w:t xml:space="preserve">La gestión financiera del Programa, se ejecutará conforme a lo dispuesto en: </w:t>
      </w:r>
      <w:r w:rsidR="003B37CB">
        <w:t xml:space="preserve">(i) </w:t>
      </w:r>
      <w:r w:rsidR="003B37CB" w:rsidRPr="004F7B39">
        <w:t xml:space="preserve">el Contrato de </w:t>
      </w:r>
      <w:r w:rsidR="003B37CB" w:rsidRPr="0068353B">
        <w:t xml:space="preserve">Préstamo </w:t>
      </w:r>
      <w:r w:rsidR="003B37CB" w:rsidRPr="006B4047">
        <w:rPr>
          <w:highlight w:val="yellow"/>
        </w:rPr>
        <w:t>XXXX/OC-EC</w:t>
      </w:r>
      <w:r w:rsidR="003B37CB" w:rsidRPr="0068353B">
        <w:t>, y su ROP; (ii) la Política de Gestión Financiera BID OP-273</w:t>
      </w:r>
      <w:r w:rsidR="00CF642A">
        <w:t>-6</w:t>
      </w:r>
      <w:r w:rsidR="003B37CB" w:rsidRPr="0068353B">
        <w:t>; (iii)  la Guía de</w:t>
      </w:r>
      <w:r w:rsidR="003B37CB" w:rsidRPr="004F7B39">
        <w:t xml:space="preserve"> Desembolsos del BID</w:t>
      </w:r>
      <w:r w:rsidR="003B37CB">
        <w:t xml:space="preserve">; (iv) </w:t>
      </w:r>
      <w:r w:rsidR="003B37CB" w:rsidRPr="004F7B39">
        <w:t>la Guía de Informes Financieros y Auditoría Externa de las operaciones financiadas por el BID;</w:t>
      </w:r>
      <w:r w:rsidR="003B37CB">
        <w:t xml:space="preserve"> (v) </w:t>
      </w:r>
      <w:r w:rsidR="003B37CB" w:rsidRPr="004F7B39">
        <w:t>el Código Orgánico de Planificación y Finanzas Públicas (</w:t>
      </w:r>
      <w:r w:rsidR="003B37CB">
        <w:t>COPLAFIP</w:t>
      </w:r>
      <w:r w:rsidR="003B37CB" w:rsidRPr="004F7B39">
        <w:t>) y su reglamento</w:t>
      </w:r>
      <w:r w:rsidR="003B37CB">
        <w:t>; y, (vi) las</w:t>
      </w:r>
      <w:r w:rsidR="003B37CB" w:rsidRPr="00E358F5">
        <w:t xml:space="preserve"> </w:t>
      </w:r>
      <w:r w:rsidR="003B37CB">
        <w:t>N</w:t>
      </w:r>
      <w:r w:rsidR="003B37CB" w:rsidRPr="00E358F5">
        <w:t xml:space="preserve">ormas </w:t>
      </w:r>
      <w:r w:rsidR="003B37CB">
        <w:t>T</w:t>
      </w:r>
      <w:r w:rsidR="003B37CB" w:rsidRPr="00E358F5">
        <w:t xml:space="preserve">écnicas de </w:t>
      </w:r>
      <w:r w:rsidR="003B37CB">
        <w:t>C</w:t>
      </w:r>
      <w:r w:rsidR="003B37CB" w:rsidRPr="00E358F5">
        <w:t xml:space="preserve">ontrol </w:t>
      </w:r>
      <w:r w:rsidR="003B37CB">
        <w:t>I</w:t>
      </w:r>
      <w:r w:rsidR="003B37CB" w:rsidRPr="00E358F5">
        <w:t>nterno de la</w:t>
      </w:r>
      <w:r w:rsidR="003B37CB">
        <w:t xml:space="preserve"> Contraloría General del Estado (CGE)</w:t>
      </w:r>
      <w:r w:rsidR="003B37CB" w:rsidRPr="003A4FE5">
        <w:t xml:space="preserve"> </w:t>
      </w:r>
      <w:r w:rsidR="003B37CB" w:rsidRPr="00E358F5">
        <w:t xml:space="preserve">y el </w:t>
      </w:r>
      <w:r w:rsidR="003B37CB">
        <w:t>s</w:t>
      </w:r>
      <w:r w:rsidR="003B37CB" w:rsidRPr="00E358F5">
        <w:t>istema de pagos interbancario</w:t>
      </w:r>
      <w:r w:rsidR="003B37CB">
        <w:t>s del Banco Central del Ecuador (BCE).</w:t>
      </w:r>
      <w:r w:rsidR="006B4047">
        <w:t xml:space="preserve"> </w:t>
      </w:r>
      <w:r w:rsidR="003B37CB" w:rsidRPr="00527B43">
        <w:t>El</w:t>
      </w:r>
      <w:r w:rsidR="003B37CB">
        <w:t xml:space="preserve"> COPLAFIP,</w:t>
      </w:r>
      <w:r w:rsidR="003B37CB" w:rsidRPr="00527B43">
        <w:t xml:space="preserve"> establece las normas generales que rigen la programación, formulación, aprobación, ejecución, control, evaluación y liquidación de los presupuestos. Estas normas son aplicadas a la ejecución de los programas que financia el BID. El sistema integrado </w:t>
      </w:r>
      <w:r w:rsidR="003B37CB">
        <w:t>e-</w:t>
      </w:r>
      <w:r w:rsidR="003B37CB" w:rsidRPr="00527B43">
        <w:t xml:space="preserve">SIGEF, instrumentaliza y estandariza la aplicación de estas normas generales en </w:t>
      </w:r>
      <w:r w:rsidR="003B37CB">
        <w:t>el Estado</w:t>
      </w:r>
      <w:r w:rsidR="003B37CB">
        <w:rPr>
          <w:rStyle w:val="FootnoteReference"/>
        </w:rPr>
        <w:footnoteReference w:id="41"/>
      </w:r>
      <w:r w:rsidR="003B37CB">
        <w:t>.</w:t>
      </w:r>
      <w:r w:rsidR="00B21798">
        <w:t xml:space="preserve"> </w:t>
      </w:r>
    </w:p>
    <w:p w14:paraId="6F457345" w14:textId="565D6528" w:rsidR="003B37CB" w:rsidRDefault="00241BFE" w:rsidP="009B54B5">
      <w:pPr>
        <w:pStyle w:val="Estilo1"/>
      </w:pPr>
      <w:r w:rsidRPr="004008CF">
        <w:rPr>
          <w:b/>
          <w:u w:val="single"/>
        </w:rPr>
        <w:t>Programación y Presupuesto</w:t>
      </w:r>
      <w:r w:rsidR="004008CF" w:rsidRPr="004008CF">
        <w:rPr>
          <w:b/>
          <w:u w:val="single"/>
        </w:rPr>
        <w:t>.</w:t>
      </w:r>
      <w:r w:rsidR="004008CF">
        <w:t xml:space="preserve"> S</w:t>
      </w:r>
      <w:r>
        <w:t>e gestionará en función a</w:t>
      </w:r>
      <w:r w:rsidR="00BC426C">
        <w:t xml:space="preserve"> los P</w:t>
      </w:r>
      <w:r>
        <w:t>royecto</w:t>
      </w:r>
      <w:r w:rsidR="00BC426C">
        <w:t>s</w:t>
      </w:r>
      <w:r>
        <w:t xml:space="preserve"> de Inversión priorizado</w:t>
      </w:r>
      <w:r w:rsidR="00BC426C">
        <w:t>s,</w:t>
      </w:r>
      <w:r>
        <w:t xml:space="preserve"> a través de</w:t>
      </w:r>
      <w:r w:rsidR="00BC426C">
        <w:t xml:space="preserve"> los cuales </w:t>
      </w:r>
      <w:r>
        <w:t>se ejecutarán los recursos del Crédito.</w:t>
      </w:r>
      <w:r w:rsidR="00CC1C21">
        <w:t xml:space="preserve"> </w:t>
      </w:r>
      <w:r w:rsidR="00F36FCF">
        <w:t xml:space="preserve">El OE y cada OSE </w:t>
      </w:r>
      <w:r w:rsidR="00CB6B92">
        <w:t>gestionará</w:t>
      </w:r>
      <w:r w:rsidR="00BC426C">
        <w:t xml:space="preserve">n </w:t>
      </w:r>
      <w:r w:rsidR="00CB6B92">
        <w:t xml:space="preserve">la </w:t>
      </w:r>
      <w:r w:rsidR="00412ECD">
        <w:t xml:space="preserve">actualización y </w:t>
      </w:r>
      <w:r w:rsidR="00CB6B92">
        <w:t>obtención de</w:t>
      </w:r>
      <w:r w:rsidR="00BC426C">
        <w:t xml:space="preserve"> los </w:t>
      </w:r>
      <w:r w:rsidR="00CB6B92">
        <w:t>dict</w:t>
      </w:r>
      <w:r w:rsidR="00BC426C">
        <w:t xml:space="preserve">ámenes </w:t>
      </w:r>
      <w:r w:rsidR="00CB6B92">
        <w:t>de prioridad e inclusión de</w:t>
      </w:r>
      <w:r w:rsidR="00BC426C">
        <w:t xml:space="preserve"> los Proyectos </w:t>
      </w:r>
      <w:r w:rsidR="00CB6B92">
        <w:t xml:space="preserve">de </w:t>
      </w:r>
      <w:r>
        <w:t>I</w:t>
      </w:r>
      <w:r w:rsidR="00CB6B92">
        <w:t>nversión</w:t>
      </w:r>
      <w:r w:rsidR="00412ECD">
        <w:t xml:space="preserve"> correspondientes</w:t>
      </w:r>
      <w:r w:rsidR="00CB6B92">
        <w:t xml:space="preserve"> en el Plan Anual de Inversiones</w:t>
      </w:r>
      <w:r>
        <w:t xml:space="preserve"> (PAI) </w:t>
      </w:r>
      <w:r w:rsidR="00CB6B92">
        <w:t>del Gobierno</w:t>
      </w:r>
      <w:r>
        <w:t xml:space="preserve"> vigente y posteriores hasta </w:t>
      </w:r>
      <w:r w:rsidR="006462CB">
        <w:t xml:space="preserve">finalizar </w:t>
      </w:r>
      <w:r>
        <w:t>el plazo de ejecución de</w:t>
      </w:r>
      <w:r w:rsidR="00BC426C">
        <w:t xml:space="preserve"> los mismos</w:t>
      </w:r>
      <w:r w:rsidR="00411357">
        <w:t xml:space="preserve">. </w:t>
      </w:r>
      <w:r w:rsidR="00BC426C">
        <w:t xml:space="preserve"> </w:t>
      </w:r>
      <w:r w:rsidR="003E4DEE">
        <w:t xml:space="preserve">Cada </w:t>
      </w:r>
      <w:r w:rsidR="00D7609D">
        <w:t>EDG</w:t>
      </w:r>
      <w:r w:rsidR="003E4DEE">
        <w:t xml:space="preserve"> (</w:t>
      </w:r>
      <w:r w:rsidR="00D47127">
        <w:t>OE y OSE</w:t>
      </w:r>
      <w:r w:rsidR="003E4DEE">
        <w:t xml:space="preserve">) </w:t>
      </w:r>
      <w:r w:rsidR="00411357">
        <w:t xml:space="preserve">coordinará con las </w:t>
      </w:r>
      <w:r w:rsidR="00A34F02">
        <w:t xml:space="preserve">áreas </w:t>
      </w:r>
      <w:r w:rsidR="00411357">
        <w:t xml:space="preserve">de Planificación y </w:t>
      </w:r>
      <w:r w:rsidR="006462CB">
        <w:t xml:space="preserve">Administrativa </w:t>
      </w:r>
      <w:r w:rsidR="00411357">
        <w:t xml:space="preserve">Financiera </w:t>
      </w:r>
      <w:r w:rsidR="00A9718B">
        <w:t xml:space="preserve">respectiva </w:t>
      </w:r>
      <w:r w:rsidR="00411357">
        <w:t xml:space="preserve">que se incluyan las partidas presupuestarias requeridas para </w:t>
      </w:r>
      <w:r>
        <w:t>la ejecución de</w:t>
      </w:r>
      <w:r w:rsidR="00E15630">
        <w:t xml:space="preserve"> las actividades del </w:t>
      </w:r>
      <w:r>
        <w:t xml:space="preserve">Programa </w:t>
      </w:r>
      <w:r w:rsidR="00F85199">
        <w:t xml:space="preserve">que le correspondan </w:t>
      </w:r>
      <w:r>
        <w:t xml:space="preserve">en el </w:t>
      </w:r>
      <w:r w:rsidR="00B202AA">
        <w:t xml:space="preserve">PAPP, </w:t>
      </w:r>
      <w:r>
        <w:t>presupuesto anual</w:t>
      </w:r>
      <w:r w:rsidR="00CB6B92">
        <w:t xml:space="preserve">, </w:t>
      </w:r>
      <w:r w:rsidR="00411357">
        <w:t xml:space="preserve">y se realicen </w:t>
      </w:r>
      <w:r>
        <w:t xml:space="preserve">los trámites </w:t>
      </w:r>
      <w:r w:rsidR="00411357">
        <w:t xml:space="preserve">pertinentes </w:t>
      </w:r>
      <w:r>
        <w:t xml:space="preserve">para la </w:t>
      </w:r>
      <w:r w:rsidR="00CB6B92">
        <w:t>obtenci</w:t>
      </w:r>
      <w:r w:rsidR="00411357">
        <w:t xml:space="preserve">ón </w:t>
      </w:r>
      <w:r w:rsidR="00CB6B92">
        <w:t>de avales</w:t>
      </w:r>
      <w:r>
        <w:t xml:space="preserve">, espacios y certificaciones </w:t>
      </w:r>
      <w:r w:rsidR="00411357">
        <w:t xml:space="preserve">presupuestarias ante las instituciones que competan. </w:t>
      </w:r>
    </w:p>
    <w:p w14:paraId="2410B0A9" w14:textId="0CFF2CE4" w:rsidR="009A013C" w:rsidRDefault="009A013C" w:rsidP="009B54B5">
      <w:pPr>
        <w:pStyle w:val="Estilo1"/>
      </w:pPr>
      <w:r w:rsidRPr="00B21798">
        <w:lastRenderedPageBreak/>
        <w:t xml:space="preserve">El </w:t>
      </w:r>
      <w:r>
        <w:t>EDG-</w:t>
      </w:r>
      <w:r w:rsidRPr="00B21798">
        <w:t xml:space="preserve">MEF llevará el </w:t>
      </w:r>
      <w:r w:rsidRPr="006B4047">
        <w:rPr>
          <w:b/>
          <w:bCs/>
        </w:rPr>
        <w:t>control integral de la ejecución presupuestaria</w:t>
      </w:r>
      <w:r w:rsidR="00517348">
        <w:t xml:space="preserve"> del Programa mediante </w:t>
      </w:r>
      <w:r w:rsidRPr="00B21798">
        <w:t>los sistemas respectivos.</w:t>
      </w:r>
      <w:r>
        <w:t xml:space="preserve"> </w:t>
      </w:r>
      <w:r w:rsidRPr="0065306F">
        <w:t>El</w:t>
      </w:r>
      <w:r>
        <w:t xml:space="preserve"> EDG-MEF llevará el presupuesto del Programa en el </w:t>
      </w:r>
      <w:r w:rsidRPr="0065306F">
        <w:t>P</w:t>
      </w:r>
      <w:r w:rsidR="00517348">
        <w:t xml:space="preserve">F, el cual </w:t>
      </w:r>
      <w:r w:rsidRPr="0065306F">
        <w:t>consolida los recursos financiados por el Préstamo y permite gestionar, planificar y controlar la oportunidad de los flujos de fondos, monitorear los costos efectuados para el logro de los productos y alimentar el PMR.</w:t>
      </w:r>
      <w:r>
        <w:t xml:space="preserve">  El PF del programa, lo elabora el EDG-MEF, sobre la base del PEP, POA y el PA aprobados por el BID. </w:t>
      </w:r>
      <w:r w:rsidR="009E5521">
        <w:t xml:space="preserve"> El EDG-MEF, se asegurará que el PF, se encuentre preparado al inicio del Programa y se mantenga actualizado de acuerdo a la evolución de la ejecución del Programa, reflejando las necesidades reales de liquidez, para la entrega oportuna de los productos y logro de metas propuestas establecidas en el cronograma. El PF anual del Programa, deberá ser comunicado al Banco dentro de las dos primeras semanas del inicio del ejercicio fiscal, será responsabilidad del EDG-MEF velar por su cumplimiento y actualización. Toda modificación al PF, deberá ser acordada y notificada oportunamente al Banco por parte del EDG. </w:t>
      </w:r>
      <w:r w:rsidR="00517348">
        <w:t>El EDG-</w:t>
      </w:r>
      <w:r w:rsidR="008C643E">
        <w:t>OSE</w:t>
      </w:r>
      <w:r w:rsidR="00517348">
        <w:t xml:space="preserve"> deberá proporcionar oportunamente la información que le corresponda al EDG-MEF para su consolidación, elaboración y actualización.</w:t>
      </w:r>
    </w:p>
    <w:p w14:paraId="708199CC" w14:textId="297010F2" w:rsidR="00CA47DD" w:rsidRPr="00CA47DD" w:rsidRDefault="00517348" w:rsidP="009B54B5">
      <w:pPr>
        <w:pStyle w:val="Estilo1"/>
      </w:pPr>
      <w:r w:rsidRPr="00517348">
        <w:rPr>
          <w:b/>
          <w:u w:val="single"/>
        </w:rPr>
        <w:t>Contabilidad y Sistemas de Información.</w:t>
      </w:r>
      <w:r>
        <w:t xml:space="preserve"> </w:t>
      </w:r>
      <w:r w:rsidR="00F64CD1">
        <w:t>La contabilidad del proyecto se llevará en el e-SIGEF o en el nuevo sistema que desarrolla el gobierno cuando comience a operar, donde se registrarán todos los compromisos y pagos del programa. E</w:t>
      </w:r>
      <w:r w:rsidR="00F64CD1" w:rsidRPr="00F64CD1">
        <w:t>l e-SIGEF, no permite la elaboración de informes específicos de los recursos suministrados por el BID, por ello es necesario que mediante informes separados se revele el estado y evolución del proyecto</w:t>
      </w:r>
      <w:r w:rsidR="00F64CD1">
        <w:t xml:space="preserve">, por ello se requerirán de registros para llevar el detalle por componente y poder generar los informes financieros del programa; de igual manera se </w:t>
      </w:r>
      <w:r w:rsidR="00CA47DD">
        <w:t>operará mientras</w:t>
      </w:r>
      <w:r w:rsidR="00F64CD1">
        <w:t xml:space="preserve"> se verifica la confiabilidad del nuevo sistema y sus reportes.</w:t>
      </w:r>
      <w:r w:rsidR="004631F3" w:rsidRPr="008B4AB4">
        <w:t xml:space="preserve"> </w:t>
      </w:r>
      <w:r w:rsidR="00CA47DD" w:rsidRPr="00CA47DD">
        <w:t>Para este programa el Banco reconocerá la elaboración de informes financieros del proyecto en base al método del efectivo.</w:t>
      </w:r>
    </w:p>
    <w:p w14:paraId="797231B3" w14:textId="7C2CA29A" w:rsidR="009E5521" w:rsidRDefault="00CA47DD" w:rsidP="009B54B5">
      <w:pPr>
        <w:pStyle w:val="Estilo1"/>
      </w:pPr>
      <w:r>
        <w:t xml:space="preserve">El </w:t>
      </w:r>
      <w:r w:rsidR="00D7609D">
        <w:t>EDG</w:t>
      </w:r>
      <w:r w:rsidR="009A013C">
        <w:t xml:space="preserve">-MEF </w:t>
      </w:r>
      <w:r>
        <w:t>preparará la información financiera para la elaboración de los reportes e informes requeridos por el BID en los esquemas y formatos establecidos por el Banco para el efecto</w:t>
      </w:r>
      <w:r w:rsidR="009A013C">
        <w:rPr>
          <w:rStyle w:val="FootnoteReference"/>
        </w:rPr>
        <w:footnoteReference w:id="42"/>
      </w:r>
      <w:r>
        <w:t>. Los reportes financieros del Programa deberán: (i) permitir identificar las sumas recibidas de las distintas fuentes (BID y Local); (ii) consignar, de conformidad con el plan de cuentas del Programa, las inversiones por categoría, tanto con los recursos del financiamiento como con los demás fondos que deban aportarse para su ejecución; y (iii) demostrar el costo de las inversiones en cada categoría y sub categoría.</w:t>
      </w:r>
      <w:r w:rsidR="006B4047">
        <w:t xml:space="preserve"> Cada OSE </w:t>
      </w:r>
      <w:r w:rsidR="00C94A26" w:rsidRPr="00C94A26">
        <w:t>facilitará la información necesaria al MEF para la preparación y presentación de los Estados Financieros consolidados del programa al BID.</w:t>
      </w:r>
    </w:p>
    <w:p w14:paraId="5844A218" w14:textId="2248BE04" w:rsidR="007B6BE2" w:rsidRDefault="00517348" w:rsidP="009B54B5">
      <w:pPr>
        <w:pStyle w:val="Estilo1"/>
      </w:pPr>
      <w:r w:rsidRPr="00D47127">
        <w:rPr>
          <w:b/>
          <w:u w:val="single"/>
        </w:rPr>
        <w:t>Cuentas para el manejo de los recursos del Programa</w:t>
      </w:r>
      <w:r>
        <w:t xml:space="preserve">. </w:t>
      </w:r>
      <w:r w:rsidR="00184D45">
        <w:t xml:space="preserve">Desde el 2008 el Gobierno de Ecuador instauró el mecanismo de Cuenta Única del Tesoro Nacional (CUT) a través de la cual se unificó la gestión de la tesorería de todas las entidades que conforman el gobierno central.  La implementación de este mecanismo no eliminó el sistema de cuentas especiales, o de propósito específico, que se manejan en el Banco Central del Ecuador (BCE) para recibir el financiamiento de préstamos multilaterales. El programa contará con una cuenta bancaria especial en el BCE, a donde se desembolsarán los fondos provenientes del financiamiento. </w:t>
      </w:r>
      <w:r w:rsidR="001F29F4">
        <w:t xml:space="preserve"> </w:t>
      </w:r>
      <w:r w:rsidR="007B6BE2" w:rsidRPr="007B6BE2">
        <w:t>Todos los pagos del programa serán ejecutados a través del sistema e</w:t>
      </w:r>
      <w:r w:rsidR="003D4342">
        <w:t>-</w:t>
      </w:r>
      <w:r w:rsidR="007B6BE2" w:rsidRPr="007B6BE2">
        <w:t>S</w:t>
      </w:r>
      <w:r w:rsidR="00184D45">
        <w:t>IGEF</w:t>
      </w:r>
      <w:r w:rsidR="007B6BE2" w:rsidRPr="007B6BE2">
        <w:t xml:space="preserve"> </w:t>
      </w:r>
      <w:r w:rsidR="00184D45">
        <w:t xml:space="preserve">(o del nuevo sistema) </w:t>
      </w:r>
      <w:r w:rsidR="007B6BE2" w:rsidRPr="007B6BE2">
        <w:t>mediante débito a la CUT</w:t>
      </w:r>
      <w:r w:rsidR="00274211" w:rsidRPr="007B6BE2">
        <w:t>.</w:t>
      </w:r>
      <w:r w:rsidR="00303205">
        <w:t xml:space="preserve"> </w:t>
      </w:r>
    </w:p>
    <w:p w14:paraId="06A36A86" w14:textId="6F036BAD" w:rsidR="00CF77EC" w:rsidRDefault="00517348" w:rsidP="009B54B5">
      <w:pPr>
        <w:pStyle w:val="Estilo1"/>
      </w:pPr>
      <w:r w:rsidRPr="006B4047">
        <w:rPr>
          <w:b/>
          <w:u w:val="single"/>
        </w:rPr>
        <w:t>Desembolsos y flujo de fondos.</w:t>
      </w:r>
      <w:r>
        <w:t xml:space="preserve"> </w:t>
      </w:r>
      <w:r w:rsidR="00CF77EC">
        <w:t>El Banco efectuará los desembolsos del préstamo mediante la modalidad de anticipos de fondos según las necesidades reales de liquidez del proyecto</w:t>
      </w:r>
      <w:r w:rsidR="001F29F4">
        <w:t xml:space="preserve">, </w:t>
      </w:r>
      <w:r w:rsidR="001F29F4" w:rsidRPr="001F29F4">
        <w:t xml:space="preserve">incluyendo los compromisos de pago adquiridos tanto del MEF como de </w:t>
      </w:r>
      <w:r w:rsidR="00D47127">
        <w:t>los OSE</w:t>
      </w:r>
      <w:r w:rsidR="001F29F4" w:rsidRPr="001F29F4">
        <w:t>, conforme al plan financiero</w:t>
      </w:r>
      <w:r w:rsidR="00CF77EC">
        <w:t xml:space="preserve"> (PF)</w:t>
      </w:r>
      <w:r w:rsidR="00CF77EC">
        <w:rPr>
          <w:rStyle w:val="FootnoteReference"/>
        </w:rPr>
        <w:footnoteReference w:id="43"/>
      </w:r>
      <w:r w:rsidR="00CF77EC">
        <w:t xml:space="preserve"> y flujo de caja detallado, para un periodo de hasta máximo seis (6) meses.</w:t>
      </w:r>
      <w:r w:rsidR="007C3751">
        <w:t xml:space="preserve"> </w:t>
      </w:r>
      <w:r w:rsidR="007C3751" w:rsidRPr="006B4047">
        <w:rPr>
          <w:u w:val="single"/>
        </w:rPr>
        <w:t>El MEF será el responsable de la gestión de los desembolsos del programa.</w:t>
      </w:r>
      <w:r w:rsidR="006B4047" w:rsidRPr="006B4047">
        <w:rPr>
          <w:u w:val="single"/>
        </w:rPr>
        <w:t xml:space="preserve"> </w:t>
      </w:r>
      <w:r w:rsidR="00087B43">
        <w:t>La rendición de cuentas en relación con los anticipos se hace según lo establecido en la OP-273-6. Una vez se justifique al menos el 80% del saldo de anticipos anteriores, se puede realizar un nuevo desembolso.</w:t>
      </w:r>
      <w:r>
        <w:t xml:space="preserve"> </w:t>
      </w:r>
      <w:r w:rsidR="00DB6C6E">
        <w:t>La revisión de la documentación soporte de los pagos efectuados es realizada en forma ex post al desembolso de los recursos por parte del Banco y/o los auditores externos.</w:t>
      </w:r>
    </w:p>
    <w:p w14:paraId="37C0898A" w14:textId="73F81028" w:rsidR="0008122D" w:rsidRDefault="00517348" w:rsidP="009B54B5">
      <w:pPr>
        <w:pStyle w:val="Estilo1"/>
      </w:pPr>
      <w:r w:rsidRPr="006B4047">
        <w:rPr>
          <w:b/>
          <w:u w:val="single"/>
        </w:rPr>
        <w:lastRenderedPageBreak/>
        <w:t>Control externo e informes</w:t>
      </w:r>
      <w:r>
        <w:t xml:space="preserve">. </w:t>
      </w:r>
      <w:r w:rsidR="00D0439D">
        <w:t>L</w:t>
      </w:r>
      <w:r w:rsidR="00AB05F0">
        <w:t xml:space="preserve">a auditoría </w:t>
      </w:r>
      <w:r w:rsidR="00D0439D">
        <w:t xml:space="preserve">del Proyecto será efectuada por una firma </w:t>
      </w:r>
      <w:r w:rsidR="00AB05F0">
        <w:t xml:space="preserve">externa </w:t>
      </w:r>
      <w:r w:rsidR="00D0439D">
        <w:t>de</w:t>
      </w:r>
      <w:r w:rsidR="00AB05F0">
        <w:t xml:space="preserve"> auditores independientes aceptables por el Banco, de acuerdo con los requerimientos del BID (OP-273-6). </w:t>
      </w:r>
      <w:r w:rsidR="00D0439D">
        <w:t xml:space="preserve"> </w:t>
      </w:r>
      <w:r w:rsidR="00AB05F0">
        <w:t xml:space="preserve">La firma </w:t>
      </w:r>
      <w:r w:rsidR="0008122D">
        <w:t>auditora</w:t>
      </w:r>
      <w:r w:rsidR="00116BD6">
        <w:t xml:space="preserve"> será contratada </w:t>
      </w:r>
      <w:r w:rsidR="00AB05F0">
        <w:t>por el</w:t>
      </w:r>
      <w:r w:rsidR="00D0439D">
        <w:t xml:space="preserve"> MEF, para todo el Programa, incluyendo lo que ejecuta</w:t>
      </w:r>
      <w:r w:rsidR="00D47127">
        <w:t>n lo OSE</w:t>
      </w:r>
      <w:r w:rsidR="00D0439D">
        <w:t xml:space="preserve">, </w:t>
      </w:r>
      <w:r w:rsidR="00AB05F0">
        <w:t xml:space="preserve">sobre la base de </w:t>
      </w:r>
      <w:r w:rsidR="0008122D">
        <w:t>T</w:t>
      </w:r>
      <w:r w:rsidR="00AB05F0">
        <w:t xml:space="preserve">érminos de </w:t>
      </w:r>
      <w:r w:rsidR="0008122D">
        <w:t>R</w:t>
      </w:r>
      <w:r w:rsidR="00AB05F0">
        <w:t xml:space="preserve">eferencia </w:t>
      </w:r>
      <w:r w:rsidR="0008122D">
        <w:t xml:space="preserve">(TDR) </w:t>
      </w:r>
      <w:r w:rsidR="00AB05F0">
        <w:t>previamente acordados con el BID</w:t>
      </w:r>
      <w:r w:rsidR="00116BD6">
        <w:t xml:space="preserve">, </w:t>
      </w:r>
      <w:r w:rsidR="00D0439D">
        <w:t xml:space="preserve">y la misma podrá ser financiada </w:t>
      </w:r>
      <w:r w:rsidR="00116BD6">
        <w:t>con cargo a los recursos del Programa</w:t>
      </w:r>
      <w:r w:rsidR="00D0439D">
        <w:t xml:space="preserve">. </w:t>
      </w:r>
      <w:r w:rsidR="00AB05F0">
        <w:t>Durante la ejecución, los Informes financieros auditados se presentan</w:t>
      </w:r>
      <w:r w:rsidR="0008122D">
        <w:t xml:space="preserve"> </w:t>
      </w:r>
      <w:r w:rsidR="00AB05F0">
        <w:t xml:space="preserve">anualmente, dentro de los </w:t>
      </w:r>
      <w:r w:rsidR="0055168E">
        <w:t>ciento veinte (</w:t>
      </w:r>
      <w:r w:rsidR="00AB05F0">
        <w:t>120</w:t>
      </w:r>
      <w:r w:rsidR="0055168E">
        <w:t>)</w:t>
      </w:r>
      <w:r w:rsidR="00AB05F0">
        <w:t xml:space="preserve"> días siguientes a la fecha de cierre de cada</w:t>
      </w:r>
      <w:r w:rsidR="0008122D">
        <w:t xml:space="preserve"> </w:t>
      </w:r>
      <w:r w:rsidR="00AB05F0">
        <w:t>ejercicio económico, o de la fecha del último desembolso</w:t>
      </w:r>
      <w:r w:rsidR="006D521D">
        <w:t xml:space="preserve"> para la auditoría final</w:t>
      </w:r>
      <w:r w:rsidR="00AB05F0">
        <w:t xml:space="preserve">. </w:t>
      </w:r>
      <w:r w:rsidR="006D521D">
        <w:t xml:space="preserve"> </w:t>
      </w:r>
      <w:r w:rsidR="00AB05F0">
        <w:t>Adicionalmente,</w:t>
      </w:r>
      <w:r w:rsidR="0008122D">
        <w:t xml:space="preserve"> </w:t>
      </w:r>
      <w:r w:rsidR="00AB05F0">
        <w:t>el BID podrá requerir del OE reportes o informes financieros</w:t>
      </w:r>
      <w:r w:rsidR="006D521D">
        <w:t xml:space="preserve"> auditados o </w:t>
      </w:r>
      <w:r w:rsidR="00AB05F0">
        <w:t>no auditados</w:t>
      </w:r>
      <w:r w:rsidR="0008122D">
        <w:t xml:space="preserve"> </w:t>
      </w:r>
      <w:r w:rsidR="00AB05F0">
        <w:t xml:space="preserve">relacionados </w:t>
      </w:r>
      <w:r w:rsidR="0008122D">
        <w:t>con el Programa</w:t>
      </w:r>
      <w:r w:rsidR="006D521D">
        <w:t xml:space="preserve"> cuando lo estime necesario</w:t>
      </w:r>
      <w:r w:rsidR="00AB05F0">
        <w:t>.</w:t>
      </w:r>
      <w:r w:rsidR="006B4047">
        <w:t xml:space="preserve"> </w:t>
      </w:r>
      <w:r w:rsidR="0008122D">
        <w:t xml:space="preserve">Los informes auditados del Programa deberán ser publicados en los sistemas del Banco de acuerdo con </w:t>
      </w:r>
      <w:r w:rsidR="0008122D" w:rsidRPr="001B2BE6">
        <w:t>la política de acceso y divulgación de información vigente.</w:t>
      </w:r>
      <w:r w:rsidR="0008122D">
        <w:t xml:space="preserve"> </w:t>
      </w:r>
    </w:p>
    <w:p w14:paraId="38FBD1EF" w14:textId="49055573" w:rsidR="00961BAE" w:rsidRDefault="00961BAE" w:rsidP="009B54B5">
      <w:pPr>
        <w:pStyle w:val="Estilo1"/>
      </w:pPr>
      <w:bookmarkStart w:id="76" w:name="_Toc424879236"/>
      <w:r w:rsidRPr="0084030F">
        <w:t>Supervisión Fiduciaria</w:t>
      </w:r>
      <w:bookmarkEnd w:id="76"/>
      <w:r w:rsidR="004F1EFB">
        <w:t xml:space="preserve">: </w:t>
      </w:r>
    </w:p>
    <w:p w14:paraId="4C253A25" w14:textId="5035A1F2" w:rsidR="00961BAE" w:rsidRDefault="00961BAE" w:rsidP="00961BAE">
      <w:pPr>
        <w:pStyle w:val="Caption"/>
        <w:keepNext/>
      </w:pPr>
      <w:bookmarkStart w:id="77" w:name="_Toc423361327"/>
      <w:bookmarkStart w:id="78" w:name="_Toc454056478"/>
      <w:bookmarkStart w:id="79" w:name="_Toc23797282"/>
      <w:r>
        <w:t xml:space="preserve">Tabla </w:t>
      </w:r>
      <w:r w:rsidR="00972E0E">
        <w:rPr>
          <w:noProof/>
        </w:rPr>
        <w:fldChar w:fldCharType="begin"/>
      </w:r>
      <w:r w:rsidR="00972E0E">
        <w:rPr>
          <w:noProof/>
        </w:rPr>
        <w:instrText xml:space="preserve"> SEQ Tabla \* ARABIC </w:instrText>
      </w:r>
      <w:r w:rsidR="00972E0E">
        <w:rPr>
          <w:noProof/>
        </w:rPr>
        <w:fldChar w:fldCharType="separate"/>
      </w:r>
      <w:r w:rsidR="003538B4">
        <w:rPr>
          <w:noProof/>
        </w:rPr>
        <w:t>6</w:t>
      </w:r>
      <w:r w:rsidR="00972E0E">
        <w:rPr>
          <w:noProof/>
        </w:rPr>
        <w:fldChar w:fldCharType="end"/>
      </w:r>
      <w:r>
        <w:t>. Plan de Supervisión del Programa</w:t>
      </w:r>
      <w:bookmarkEnd w:id="77"/>
      <w:bookmarkEnd w:id="78"/>
      <w:bookmarkEnd w:id="79"/>
    </w:p>
    <w:tbl>
      <w:tblPr>
        <w:tblW w:w="9062" w:type="dxa"/>
        <w:jc w:val="center"/>
        <w:tblLayout w:type="fixed"/>
        <w:tblLook w:val="04A0" w:firstRow="1" w:lastRow="0" w:firstColumn="1" w:lastColumn="0" w:noHBand="0" w:noVBand="1"/>
      </w:tblPr>
      <w:tblGrid>
        <w:gridCol w:w="1408"/>
        <w:gridCol w:w="2048"/>
        <w:gridCol w:w="2214"/>
        <w:gridCol w:w="1696"/>
        <w:gridCol w:w="1696"/>
      </w:tblGrid>
      <w:tr w:rsidR="00961BAE" w:rsidRPr="00F37611" w14:paraId="3446728B" w14:textId="77777777" w:rsidTr="0008122D">
        <w:trPr>
          <w:trHeight w:val="160"/>
          <w:tblHeader/>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B346EF7" w14:textId="77777777" w:rsidR="00961BAE" w:rsidRPr="00F37611" w:rsidRDefault="00961BAE"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Actividad de Supervisión</w:t>
            </w:r>
          </w:p>
        </w:tc>
        <w:tc>
          <w:tcPr>
            <w:tcW w:w="7654" w:type="dxa"/>
            <w:gridSpan w:val="4"/>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3591C52F" w14:textId="07AE30BF" w:rsidR="00961BAE" w:rsidRPr="00F37611" w:rsidRDefault="003E060C" w:rsidP="0008122D">
            <w:pPr>
              <w:spacing w:before="60" w:after="40"/>
              <w:jc w:val="center"/>
              <w:rPr>
                <w:rFonts w:ascii="Arial Narrow" w:hAnsi="Arial Narrow"/>
                <w:b/>
                <w:szCs w:val="20"/>
                <w:lang w:val="es-ES_tradnl"/>
              </w:rPr>
            </w:pPr>
            <w:r w:rsidRPr="00F37611">
              <w:rPr>
                <w:rFonts w:ascii="Arial Narrow" w:hAnsi="Arial Narrow"/>
                <w:b/>
                <w:szCs w:val="20"/>
                <w:lang w:val="es-ES_tradnl"/>
              </w:rPr>
              <w:t xml:space="preserve">PLAN DE </w:t>
            </w:r>
            <w:r w:rsidR="00963524" w:rsidRPr="00F37611">
              <w:rPr>
                <w:rFonts w:ascii="Arial Narrow" w:hAnsi="Arial Narrow"/>
                <w:b/>
                <w:szCs w:val="20"/>
                <w:lang w:val="es-ES_tradnl"/>
              </w:rPr>
              <w:t>SUPERVISIÓN</w:t>
            </w:r>
          </w:p>
        </w:tc>
      </w:tr>
      <w:tr w:rsidR="00A810CC" w:rsidRPr="00F37611" w14:paraId="564133FF" w14:textId="77777777" w:rsidTr="0008122D">
        <w:trPr>
          <w:trHeight w:val="70"/>
          <w:tblHeader/>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DA50981" w14:textId="77777777" w:rsidR="00961BAE" w:rsidRPr="00F37611" w:rsidRDefault="00961BAE" w:rsidP="0008122D">
            <w:pPr>
              <w:spacing w:after="40"/>
              <w:jc w:val="center"/>
              <w:rPr>
                <w:rFonts w:ascii="Arial Narrow" w:hAnsi="Arial Narrow"/>
                <w:b/>
                <w:szCs w:val="20"/>
                <w:lang w:val="es-ES_tradnl"/>
              </w:rPr>
            </w:pPr>
          </w:p>
        </w:tc>
        <w:tc>
          <w:tcPr>
            <w:tcW w:w="2048"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F6A4686" w14:textId="77777777" w:rsidR="00961BAE" w:rsidRPr="00F37611" w:rsidRDefault="00961BAE"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Naturaleza y alcance</w:t>
            </w:r>
          </w:p>
        </w:tc>
        <w:tc>
          <w:tcPr>
            <w:tcW w:w="2214"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20400B" w14:textId="5EB2124C" w:rsidR="00961BAE" w:rsidRPr="00F37611" w:rsidRDefault="00961BAE"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F</w:t>
            </w:r>
            <w:r w:rsidR="003E060C" w:rsidRPr="00F37611">
              <w:rPr>
                <w:rFonts w:ascii="Arial Narrow" w:hAnsi="Arial Narrow"/>
                <w:b/>
                <w:szCs w:val="20"/>
                <w:u w:val="single"/>
                <w:lang w:val="es-ES_tradnl"/>
              </w:rPr>
              <w:t>recuencia</w:t>
            </w:r>
          </w:p>
        </w:tc>
        <w:tc>
          <w:tcPr>
            <w:tcW w:w="3392" w:type="dxa"/>
            <w:gridSpan w:val="2"/>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1F45DD22" w14:textId="77777777" w:rsidR="00961BAE" w:rsidRPr="00F37611" w:rsidRDefault="00961BAE"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Responsable</w:t>
            </w:r>
          </w:p>
        </w:tc>
      </w:tr>
      <w:tr w:rsidR="00A810CC" w:rsidRPr="00F37611" w14:paraId="3CF69134" w14:textId="77777777" w:rsidTr="0008122D">
        <w:trPr>
          <w:trHeight w:val="60"/>
          <w:tblHeader/>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E74A4E4" w14:textId="77777777" w:rsidR="00961BAE" w:rsidRPr="00F37611" w:rsidRDefault="00961BAE" w:rsidP="0008122D">
            <w:pPr>
              <w:spacing w:after="40"/>
              <w:jc w:val="center"/>
              <w:rPr>
                <w:rFonts w:ascii="Arial Narrow" w:hAnsi="Arial Narrow"/>
                <w:b/>
                <w:szCs w:val="20"/>
                <w:lang w:val="es-ES_tradnl"/>
              </w:rPr>
            </w:pPr>
          </w:p>
        </w:tc>
        <w:tc>
          <w:tcPr>
            <w:tcW w:w="2048"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E67DD7" w14:textId="77777777" w:rsidR="00961BAE" w:rsidRPr="00F37611" w:rsidRDefault="00961BAE" w:rsidP="0008122D">
            <w:pPr>
              <w:spacing w:after="40"/>
              <w:jc w:val="center"/>
              <w:rPr>
                <w:rFonts w:ascii="Arial Narrow" w:hAnsi="Arial Narrow"/>
                <w:b/>
                <w:szCs w:val="20"/>
                <w:u w:val="single"/>
                <w:lang w:val="es-ES_tradnl"/>
              </w:rPr>
            </w:pPr>
          </w:p>
        </w:tc>
        <w:tc>
          <w:tcPr>
            <w:tcW w:w="221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4769817" w14:textId="77777777" w:rsidR="00961BAE" w:rsidRPr="00F37611" w:rsidRDefault="00961BAE" w:rsidP="0008122D">
            <w:pPr>
              <w:spacing w:after="40"/>
              <w:jc w:val="center"/>
              <w:rPr>
                <w:rFonts w:ascii="Arial Narrow" w:hAnsi="Arial Narrow"/>
                <w:b/>
                <w:szCs w:val="20"/>
                <w:u w:val="single"/>
                <w:lang w:val="es-ES_tradnl"/>
              </w:rPr>
            </w:pPr>
          </w:p>
        </w:tc>
        <w:tc>
          <w:tcPr>
            <w:tcW w:w="1696" w:type="dxa"/>
            <w:tcBorders>
              <w:top w:val="nil"/>
              <w:left w:val="nil"/>
              <w:bottom w:val="single" w:sz="8" w:space="0" w:color="auto"/>
              <w:right w:val="single" w:sz="8" w:space="0" w:color="auto"/>
            </w:tcBorders>
            <w:shd w:val="clear" w:color="auto" w:fill="D9D9D9" w:themeFill="background1" w:themeFillShade="D9"/>
            <w:vAlign w:val="center"/>
            <w:hideMark/>
          </w:tcPr>
          <w:p w14:paraId="64B59547" w14:textId="77777777" w:rsidR="00961BAE" w:rsidRPr="00F37611" w:rsidRDefault="00961BAE"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Banco</w:t>
            </w:r>
          </w:p>
        </w:tc>
        <w:tc>
          <w:tcPr>
            <w:tcW w:w="1696" w:type="dxa"/>
            <w:tcBorders>
              <w:top w:val="nil"/>
              <w:left w:val="nil"/>
              <w:bottom w:val="single" w:sz="8" w:space="0" w:color="auto"/>
              <w:right w:val="single" w:sz="8" w:space="0" w:color="auto"/>
            </w:tcBorders>
            <w:shd w:val="clear" w:color="auto" w:fill="D9D9D9" w:themeFill="background1" w:themeFillShade="D9"/>
            <w:vAlign w:val="center"/>
            <w:hideMark/>
          </w:tcPr>
          <w:p w14:paraId="252CA65A" w14:textId="40D95541" w:rsidR="00961BAE" w:rsidRPr="00F37611" w:rsidRDefault="0008122D" w:rsidP="0008122D">
            <w:pPr>
              <w:spacing w:after="40"/>
              <w:jc w:val="center"/>
              <w:rPr>
                <w:rFonts w:ascii="Arial Narrow" w:hAnsi="Arial Narrow"/>
                <w:b/>
                <w:szCs w:val="20"/>
                <w:u w:val="single"/>
                <w:lang w:val="es-ES_tradnl"/>
              </w:rPr>
            </w:pPr>
            <w:r w:rsidRPr="00F37611">
              <w:rPr>
                <w:rFonts w:ascii="Arial Narrow" w:hAnsi="Arial Narrow"/>
                <w:b/>
                <w:szCs w:val="20"/>
                <w:u w:val="single"/>
                <w:lang w:val="es-ES_tradnl"/>
              </w:rPr>
              <w:t>Otro</w:t>
            </w:r>
          </w:p>
        </w:tc>
      </w:tr>
      <w:tr w:rsidR="00961BAE" w:rsidRPr="00F37611" w14:paraId="21DEA1A6" w14:textId="77777777" w:rsidTr="0008122D">
        <w:trPr>
          <w:trHeight w:val="88"/>
          <w:jc w:val="center"/>
        </w:trPr>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14:paraId="5A2D4ECE" w14:textId="05697860" w:rsidR="00961BAE" w:rsidRPr="00F37611" w:rsidRDefault="003E060C" w:rsidP="0008122D">
            <w:pPr>
              <w:spacing w:before="20" w:after="20"/>
              <w:jc w:val="center"/>
              <w:rPr>
                <w:rFonts w:ascii="Arial Narrow" w:hAnsi="Arial Narrow"/>
                <w:b/>
                <w:szCs w:val="20"/>
                <w:u w:val="single"/>
                <w:lang w:val="es-ES_tradnl"/>
              </w:rPr>
            </w:pPr>
            <w:r w:rsidRPr="00F37611">
              <w:rPr>
                <w:rFonts w:ascii="Arial Narrow" w:hAnsi="Arial Narrow"/>
                <w:b/>
                <w:szCs w:val="20"/>
                <w:u w:val="single"/>
                <w:lang w:val="es-ES_tradnl"/>
              </w:rPr>
              <w:t>Operacionales</w:t>
            </w:r>
          </w:p>
        </w:tc>
        <w:tc>
          <w:tcPr>
            <w:tcW w:w="2048" w:type="dxa"/>
            <w:tcBorders>
              <w:top w:val="nil"/>
              <w:left w:val="nil"/>
              <w:bottom w:val="nil"/>
              <w:right w:val="single" w:sz="8" w:space="0" w:color="auto"/>
            </w:tcBorders>
            <w:shd w:val="clear" w:color="auto" w:fill="auto"/>
            <w:vAlign w:val="center"/>
            <w:hideMark/>
          </w:tcPr>
          <w:p w14:paraId="173529A7" w14:textId="77777777"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Revisión del Informe de Progreso</w:t>
            </w:r>
          </w:p>
        </w:tc>
        <w:tc>
          <w:tcPr>
            <w:tcW w:w="2214" w:type="dxa"/>
            <w:tcBorders>
              <w:top w:val="nil"/>
              <w:left w:val="nil"/>
              <w:bottom w:val="nil"/>
              <w:right w:val="single" w:sz="8" w:space="0" w:color="auto"/>
            </w:tcBorders>
            <w:shd w:val="clear" w:color="auto" w:fill="auto"/>
            <w:vAlign w:val="center"/>
            <w:hideMark/>
          </w:tcPr>
          <w:p w14:paraId="6D8BA5F6" w14:textId="0FBB3659" w:rsidR="00961BAE" w:rsidRPr="00F37611" w:rsidRDefault="003E060C" w:rsidP="0008122D">
            <w:pPr>
              <w:spacing w:before="20" w:after="20"/>
              <w:jc w:val="center"/>
              <w:rPr>
                <w:rFonts w:ascii="Arial Narrow" w:hAnsi="Arial Narrow"/>
                <w:szCs w:val="20"/>
                <w:lang w:val="es-ES_tradnl"/>
              </w:rPr>
            </w:pPr>
            <w:r w:rsidRPr="00F37611">
              <w:rPr>
                <w:rFonts w:ascii="Arial Narrow" w:hAnsi="Arial Narrow"/>
                <w:szCs w:val="20"/>
                <w:lang w:val="es-ES_tradnl"/>
              </w:rPr>
              <w:t>Semestral</w:t>
            </w:r>
          </w:p>
        </w:tc>
        <w:tc>
          <w:tcPr>
            <w:tcW w:w="1696" w:type="dxa"/>
            <w:tcBorders>
              <w:top w:val="nil"/>
              <w:left w:val="nil"/>
              <w:bottom w:val="nil"/>
              <w:right w:val="single" w:sz="8" w:space="0" w:color="auto"/>
            </w:tcBorders>
            <w:shd w:val="clear" w:color="auto" w:fill="auto"/>
            <w:vAlign w:val="center"/>
            <w:hideMark/>
          </w:tcPr>
          <w:p w14:paraId="216AB459" w14:textId="5EB40936"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Equipo </w:t>
            </w:r>
            <w:r w:rsidR="0008122D" w:rsidRPr="00F37611">
              <w:rPr>
                <w:rFonts w:ascii="Arial Narrow" w:hAnsi="Arial Narrow"/>
                <w:szCs w:val="20"/>
                <w:lang w:val="es-ES_tradnl"/>
              </w:rPr>
              <w:t>de Proyecto</w:t>
            </w:r>
          </w:p>
        </w:tc>
        <w:tc>
          <w:tcPr>
            <w:tcW w:w="1696" w:type="dxa"/>
            <w:tcBorders>
              <w:top w:val="nil"/>
              <w:left w:val="nil"/>
              <w:bottom w:val="nil"/>
              <w:right w:val="single" w:sz="8" w:space="0" w:color="auto"/>
            </w:tcBorders>
            <w:shd w:val="clear" w:color="auto" w:fill="auto"/>
            <w:vAlign w:val="center"/>
            <w:hideMark/>
          </w:tcPr>
          <w:p w14:paraId="1595760E" w14:textId="77777777" w:rsidR="00961BAE" w:rsidRPr="00F37611" w:rsidRDefault="00961BAE" w:rsidP="0008122D">
            <w:pPr>
              <w:spacing w:before="20" w:after="20"/>
              <w:jc w:val="center"/>
              <w:rPr>
                <w:rFonts w:ascii="Arial Narrow" w:hAnsi="Arial Narrow"/>
                <w:szCs w:val="20"/>
                <w:lang w:val="es-ES_tradnl"/>
              </w:rPr>
            </w:pPr>
          </w:p>
        </w:tc>
      </w:tr>
      <w:tr w:rsidR="00A810CC" w:rsidRPr="00F37611" w14:paraId="11E9FE56" w14:textId="77777777" w:rsidTr="0008122D">
        <w:trPr>
          <w:trHeight w:val="295"/>
          <w:jc w:val="center"/>
        </w:trPr>
        <w:tc>
          <w:tcPr>
            <w:tcW w:w="1408" w:type="dxa"/>
            <w:vMerge/>
            <w:tcBorders>
              <w:top w:val="nil"/>
              <w:left w:val="single" w:sz="8" w:space="0" w:color="auto"/>
              <w:bottom w:val="single" w:sz="8" w:space="0" w:color="000000"/>
              <w:right w:val="single" w:sz="8" w:space="0" w:color="auto"/>
            </w:tcBorders>
            <w:vAlign w:val="center"/>
            <w:hideMark/>
          </w:tcPr>
          <w:p w14:paraId="74EC175F" w14:textId="77777777" w:rsidR="00961BAE" w:rsidRPr="00F37611" w:rsidRDefault="00961BAE" w:rsidP="0008122D">
            <w:pPr>
              <w:spacing w:before="20" w:after="20"/>
              <w:jc w:val="center"/>
              <w:rPr>
                <w:rFonts w:ascii="Arial Narrow" w:hAnsi="Arial Narrow"/>
                <w:b/>
                <w:szCs w:val="20"/>
                <w:u w:val="single"/>
                <w:lang w:val="es-ES_tradnl"/>
              </w:rPr>
            </w:pPr>
          </w:p>
        </w:tc>
        <w:tc>
          <w:tcPr>
            <w:tcW w:w="2048" w:type="dxa"/>
            <w:tcBorders>
              <w:top w:val="single" w:sz="8" w:space="0" w:color="auto"/>
              <w:left w:val="nil"/>
              <w:bottom w:val="nil"/>
              <w:right w:val="single" w:sz="8" w:space="0" w:color="auto"/>
            </w:tcBorders>
            <w:shd w:val="clear" w:color="auto" w:fill="auto"/>
            <w:vAlign w:val="center"/>
            <w:hideMark/>
          </w:tcPr>
          <w:p w14:paraId="20498EF3" w14:textId="06E3BEB1"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Revisión de Cartera con</w:t>
            </w:r>
            <w:r w:rsidR="006D521D" w:rsidRPr="00F37611">
              <w:rPr>
                <w:rFonts w:ascii="Arial Narrow" w:hAnsi="Arial Narrow"/>
                <w:szCs w:val="20"/>
                <w:lang w:val="es-ES_tradnl"/>
              </w:rPr>
              <w:t xml:space="preserve"> ejecutores y el MEF</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0FDC86F" w14:textId="1336075E"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De acuerdo a los requerimientos del </w:t>
            </w:r>
            <w:r w:rsidR="0008122D" w:rsidRPr="00F37611">
              <w:rPr>
                <w:rFonts w:ascii="Arial Narrow" w:hAnsi="Arial Narrow"/>
                <w:szCs w:val="20"/>
                <w:lang w:val="es-ES_tradnl"/>
              </w:rPr>
              <w:t>MEF</w:t>
            </w:r>
          </w:p>
        </w:tc>
        <w:tc>
          <w:tcPr>
            <w:tcW w:w="1696" w:type="dxa"/>
            <w:tcBorders>
              <w:top w:val="single" w:sz="8" w:space="0" w:color="auto"/>
              <w:left w:val="nil"/>
              <w:bottom w:val="nil"/>
              <w:right w:val="single" w:sz="8" w:space="0" w:color="auto"/>
            </w:tcBorders>
            <w:shd w:val="clear" w:color="auto" w:fill="auto"/>
            <w:vAlign w:val="center"/>
            <w:hideMark/>
          </w:tcPr>
          <w:p w14:paraId="62FF2117" w14:textId="7E426A0E" w:rsidR="00961BAE" w:rsidRPr="00F37611" w:rsidRDefault="0008122D" w:rsidP="0008122D">
            <w:pPr>
              <w:spacing w:before="20" w:after="20"/>
              <w:jc w:val="center"/>
              <w:rPr>
                <w:rFonts w:ascii="Arial Narrow" w:hAnsi="Arial Narrow"/>
                <w:szCs w:val="20"/>
                <w:lang w:val="es-ES_tradnl"/>
              </w:rPr>
            </w:pPr>
            <w:r w:rsidRPr="00F37611">
              <w:rPr>
                <w:rFonts w:ascii="Arial Narrow" w:hAnsi="Arial Narrow"/>
                <w:szCs w:val="20"/>
                <w:lang w:val="es-ES_tradnl"/>
              </w:rPr>
              <w:t>Equipo de Proyecto</w:t>
            </w:r>
          </w:p>
        </w:tc>
        <w:tc>
          <w:tcPr>
            <w:tcW w:w="1696" w:type="dxa"/>
            <w:tcBorders>
              <w:top w:val="single" w:sz="8" w:space="0" w:color="auto"/>
              <w:left w:val="nil"/>
              <w:bottom w:val="nil"/>
              <w:right w:val="single" w:sz="8" w:space="0" w:color="auto"/>
            </w:tcBorders>
            <w:shd w:val="clear" w:color="auto" w:fill="auto"/>
            <w:vAlign w:val="center"/>
            <w:hideMark/>
          </w:tcPr>
          <w:p w14:paraId="70A5563B" w14:textId="33E485B4"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OE y</w:t>
            </w:r>
            <w:r w:rsidR="004F3CB0">
              <w:rPr>
                <w:rFonts w:ascii="Arial Narrow" w:hAnsi="Arial Narrow"/>
                <w:szCs w:val="20"/>
                <w:lang w:val="es-ES_tradnl"/>
              </w:rPr>
              <w:t xml:space="preserve"> los</w:t>
            </w:r>
            <w:r>
              <w:rPr>
                <w:rFonts w:ascii="Arial Narrow" w:hAnsi="Arial Narrow"/>
                <w:szCs w:val="20"/>
                <w:lang w:val="es-ES_tradnl"/>
              </w:rPr>
              <w:t xml:space="preserve"> OSE</w:t>
            </w:r>
          </w:p>
        </w:tc>
      </w:tr>
      <w:tr w:rsidR="00320154" w:rsidRPr="00F37611" w14:paraId="38BD2521" w14:textId="77777777" w:rsidTr="006F0415">
        <w:trPr>
          <w:trHeight w:val="385"/>
          <w:jc w:val="center"/>
        </w:trPr>
        <w:tc>
          <w:tcPr>
            <w:tcW w:w="1408" w:type="dxa"/>
            <w:vMerge w:val="restart"/>
            <w:tcBorders>
              <w:top w:val="nil"/>
              <w:left w:val="single" w:sz="8" w:space="0" w:color="auto"/>
              <w:right w:val="single" w:sz="8" w:space="0" w:color="auto"/>
            </w:tcBorders>
            <w:shd w:val="clear" w:color="auto" w:fill="auto"/>
            <w:vAlign w:val="center"/>
            <w:hideMark/>
          </w:tcPr>
          <w:p w14:paraId="58CEE81B" w14:textId="1D913066" w:rsidR="00320154" w:rsidRPr="00F37611" w:rsidRDefault="00320154" w:rsidP="0008122D">
            <w:pPr>
              <w:spacing w:before="20" w:after="20"/>
              <w:jc w:val="center"/>
              <w:rPr>
                <w:rFonts w:ascii="Arial Narrow" w:hAnsi="Arial Narrow"/>
                <w:b/>
                <w:szCs w:val="20"/>
                <w:u w:val="single"/>
                <w:lang w:val="es-ES_tradnl"/>
              </w:rPr>
            </w:pPr>
            <w:r w:rsidRPr="00F37611">
              <w:rPr>
                <w:rFonts w:ascii="Arial Narrow" w:hAnsi="Arial Narrow"/>
                <w:b/>
                <w:szCs w:val="20"/>
                <w:u w:val="single"/>
                <w:lang w:val="es-ES_tradnl"/>
              </w:rPr>
              <w:t>Financiera</w:t>
            </w:r>
          </w:p>
        </w:tc>
        <w:tc>
          <w:tcPr>
            <w:tcW w:w="2048" w:type="dxa"/>
            <w:tcBorders>
              <w:top w:val="single" w:sz="8" w:space="0" w:color="auto"/>
              <w:left w:val="nil"/>
              <w:bottom w:val="single" w:sz="8" w:space="0" w:color="auto"/>
              <w:right w:val="single" w:sz="8" w:space="0" w:color="auto"/>
            </w:tcBorders>
            <w:shd w:val="clear" w:color="auto" w:fill="auto"/>
            <w:vAlign w:val="center"/>
          </w:tcPr>
          <w:p w14:paraId="14AB3CDC" w14:textId="77777777"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Revisión de programación de flujo de efectivo y desembolsos</w:t>
            </w:r>
          </w:p>
        </w:tc>
        <w:tc>
          <w:tcPr>
            <w:tcW w:w="2214" w:type="dxa"/>
            <w:tcBorders>
              <w:top w:val="nil"/>
              <w:left w:val="nil"/>
              <w:bottom w:val="single" w:sz="8" w:space="0" w:color="auto"/>
              <w:right w:val="nil"/>
            </w:tcBorders>
            <w:shd w:val="clear" w:color="auto" w:fill="auto"/>
            <w:vAlign w:val="center"/>
          </w:tcPr>
          <w:p w14:paraId="084A90BA" w14:textId="1BE1D0FD"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cs="Arial"/>
                <w:szCs w:val="20"/>
              </w:rPr>
              <w:t>A pedido del Banco, con cada solicitud de anticipo, en revisiones de cartera o visitas de supervisión</w:t>
            </w:r>
          </w:p>
        </w:tc>
        <w:tc>
          <w:tcPr>
            <w:tcW w:w="1696" w:type="dxa"/>
            <w:tcBorders>
              <w:top w:val="single" w:sz="8" w:space="0" w:color="auto"/>
              <w:left w:val="single" w:sz="8" w:space="0" w:color="auto"/>
              <w:bottom w:val="single" w:sz="8" w:space="0" w:color="auto"/>
              <w:right w:val="single" w:sz="8" w:space="0" w:color="auto"/>
            </w:tcBorders>
            <w:shd w:val="clear" w:color="auto" w:fill="auto"/>
            <w:vAlign w:val="center"/>
          </w:tcPr>
          <w:p w14:paraId="2F9EEA04" w14:textId="5054E2CD"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Equipo de Proyecto</w:t>
            </w:r>
          </w:p>
        </w:tc>
        <w:tc>
          <w:tcPr>
            <w:tcW w:w="1696" w:type="dxa"/>
            <w:tcBorders>
              <w:top w:val="single" w:sz="8" w:space="0" w:color="auto"/>
              <w:left w:val="nil"/>
              <w:bottom w:val="single" w:sz="8" w:space="0" w:color="auto"/>
              <w:right w:val="single" w:sz="8" w:space="0" w:color="auto"/>
            </w:tcBorders>
            <w:shd w:val="clear" w:color="auto" w:fill="auto"/>
            <w:vAlign w:val="center"/>
          </w:tcPr>
          <w:p w14:paraId="7E846900" w14:textId="4B9B90DD" w:rsidR="00320154"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320154" w:rsidRPr="00F37611" w14:paraId="3E41AFFC" w14:textId="77777777" w:rsidTr="006F0415">
        <w:trPr>
          <w:trHeight w:val="385"/>
          <w:jc w:val="center"/>
        </w:trPr>
        <w:tc>
          <w:tcPr>
            <w:tcW w:w="1408" w:type="dxa"/>
            <w:vMerge/>
            <w:tcBorders>
              <w:left w:val="single" w:sz="8" w:space="0" w:color="auto"/>
              <w:right w:val="single" w:sz="8" w:space="0" w:color="auto"/>
            </w:tcBorders>
            <w:shd w:val="clear" w:color="auto" w:fill="auto"/>
            <w:vAlign w:val="center"/>
          </w:tcPr>
          <w:p w14:paraId="4B462DD7" w14:textId="77777777" w:rsidR="00320154" w:rsidRPr="00F37611" w:rsidRDefault="00320154" w:rsidP="0008122D">
            <w:pPr>
              <w:spacing w:before="20" w:after="20"/>
              <w:jc w:val="center"/>
              <w:rPr>
                <w:rFonts w:ascii="Arial Narrow" w:hAnsi="Arial Narrow"/>
                <w:b/>
                <w:szCs w:val="20"/>
                <w:u w:val="single"/>
                <w:lang w:val="es-ES_tradnl"/>
              </w:rPr>
            </w:pPr>
          </w:p>
        </w:tc>
        <w:tc>
          <w:tcPr>
            <w:tcW w:w="2048" w:type="dxa"/>
            <w:tcBorders>
              <w:top w:val="single" w:sz="8" w:space="0" w:color="auto"/>
              <w:left w:val="nil"/>
              <w:bottom w:val="single" w:sz="8" w:space="0" w:color="auto"/>
              <w:right w:val="single" w:sz="8" w:space="0" w:color="auto"/>
            </w:tcBorders>
            <w:shd w:val="clear" w:color="auto" w:fill="auto"/>
            <w:vAlign w:val="center"/>
          </w:tcPr>
          <w:p w14:paraId="5E597C8D" w14:textId="55A6B38E"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Visitas de supervisión </w:t>
            </w:r>
          </w:p>
        </w:tc>
        <w:tc>
          <w:tcPr>
            <w:tcW w:w="2214" w:type="dxa"/>
            <w:tcBorders>
              <w:top w:val="nil"/>
              <w:left w:val="nil"/>
              <w:bottom w:val="single" w:sz="8" w:space="0" w:color="auto"/>
              <w:right w:val="nil"/>
            </w:tcBorders>
            <w:shd w:val="clear" w:color="auto" w:fill="auto"/>
            <w:vAlign w:val="center"/>
          </w:tcPr>
          <w:p w14:paraId="2A0C1932" w14:textId="2B488815"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Anual</w:t>
            </w:r>
          </w:p>
        </w:tc>
        <w:tc>
          <w:tcPr>
            <w:tcW w:w="1696" w:type="dxa"/>
            <w:tcBorders>
              <w:top w:val="single" w:sz="8" w:space="0" w:color="auto"/>
              <w:left w:val="single" w:sz="8" w:space="0" w:color="auto"/>
              <w:bottom w:val="single" w:sz="8" w:space="0" w:color="auto"/>
              <w:right w:val="single" w:sz="8" w:space="0" w:color="auto"/>
            </w:tcBorders>
            <w:shd w:val="clear" w:color="auto" w:fill="auto"/>
            <w:vAlign w:val="center"/>
          </w:tcPr>
          <w:p w14:paraId="2D2F6330" w14:textId="5EC01EE7"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Especialista Fiduciario</w:t>
            </w:r>
            <w:r w:rsidRPr="00F37611">
              <w:rPr>
                <w:rStyle w:val="FootnoteReference"/>
                <w:rFonts w:ascii="Arial Narrow" w:hAnsi="Arial Narrow"/>
                <w:szCs w:val="20"/>
                <w:lang w:val="es-ES_tradnl"/>
              </w:rPr>
              <w:footnoteReference w:id="44"/>
            </w:r>
          </w:p>
        </w:tc>
        <w:tc>
          <w:tcPr>
            <w:tcW w:w="1696" w:type="dxa"/>
            <w:tcBorders>
              <w:top w:val="single" w:sz="8" w:space="0" w:color="auto"/>
              <w:left w:val="nil"/>
              <w:bottom w:val="single" w:sz="8" w:space="0" w:color="auto"/>
              <w:right w:val="single" w:sz="8" w:space="0" w:color="auto"/>
            </w:tcBorders>
            <w:shd w:val="clear" w:color="auto" w:fill="auto"/>
            <w:vAlign w:val="center"/>
          </w:tcPr>
          <w:p w14:paraId="0DFD01FB" w14:textId="5946603E" w:rsidR="00320154"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320154" w:rsidRPr="00F37611" w14:paraId="57ECFC6D" w14:textId="77777777" w:rsidTr="006F0415">
        <w:trPr>
          <w:trHeight w:val="938"/>
          <w:jc w:val="center"/>
        </w:trPr>
        <w:tc>
          <w:tcPr>
            <w:tcW w:w="1408" w:type="dxa"/>
            <w:vMerge/>
            <w:tcBorders>
              <w:left w:val="single" w:sz="8" w:space="0" w:color="auto"/>
              <w:bottom w:val="nil"/>
              <w:right w:val="single" w:sz="8" w:space="0" w:color="auto"/>
            </w:tcBorders>
            <w:vAlign w:val="center"/>
            <w:hideMark/>
          </w:tcPr>
          <w:p w14:paraId="79091A0E" w14:textId="77777777" w:rsidR="00320154" w:rsidRPr="00F37611" w:rsidRDefault="00320154" w:rsidP="0008122D">
            <w:pPr>
              <w:spacing w:before="20" w:after="20"/>
              <w:jc w:val="center"/>
              <w:rPr>
                <w:rFonts w:ascii="Arial Narrow" w:hAnsi="Arial Narrow"/>
                <w:b/>
                <w:color w:val="FF0000"/>
                <w:szCs w:val="20"/>
                <w:u w:val="single"/>
                <w:lang w:val="es-ES_tradnl"/>
              </w:rPr>
            </w:pPr>
          </w:p>
        </w:tc>
        <w:tc>
          <w:tcPr>
            <w:tcW w:w="2048" w:type="dxa"/>
            <w:tcBorders>
              <w:top w:val="nil"/>
              <w:left w:val="single" w:sz="8" w:space="0" w:color="auto"/>
              <w:bottom w:val="single" w:sz="8" w:space="0" w:color="000000"/>
              <w:right w:val="single" w:sz="8" w:space="0" w:color="auto"/>
            </w:tcBorders>
            <w:shd w:val="clear" w:color="auto" w:fill="auto"/>
            <w:vAlign w:val="center"/>
            <w:hideMark/>
          </w:tcPr>
          <w:p w14:paraId="6D397E2C" w14:textId="01933FF1" w:rsidR="00320154" w:rsidRPr="00F37611" w:rsidRDefault="00320154" w:rsidP="0008122D">
            <w:pPr>
              <w:spacing w:before="20" w:after="20"/>
              <w:jc w:val="center"/>
              <w:rPr>
                <w:rFonts w:ascii="Arial Narrow" w:hAnsi="Arial Narrow"/>
                <w:szCs w:val="20"/>
                <w:lang w:val="es-ES_tradnl"/>
              </w:rPr>
            </w:pPr>
            <w:r w:rsidRPr="00F37611">
              <w:rPr>
                <w:rFonts w:ascii="Arial Narrow" w:eastAsia="Times New Roman" w:hAnsi="Arial Narrow" w:cs="Arial"/>
                <w:szCs w:val="20"/>
              </w:rPr>
              <w:t>Revisión de informes financieros auditados</w:t>
            </w:r>
            <w:r>
              <w:rPr>
                <w:rFonts w:ascii="Arial Narrow" w:eastAsia="Times New Roman" w:hAnsi="Arial Narrow" w:cs="Arial"/>
                <w:szCs w:val="20"/>
              </w:rPr>
              <w:t xml:space="preserve"> y no auditados</w:t>
            </w:r>
            <w:r w:rsidRPr="00F37611">
              <w:rPr>
                <w:rFonts w:ascii="Arial Narrow" w:eastAsia="Times New Roman" w:hAnsi="Arial Narrow" w:cs="Arial"/>
                <w:szCs w:val="20"/>
              </w:rPr>
              <w:t xml:space="preserve"> </w:t>
            </w:r>
          </w:p>
        </w:tc>
        <w:tc>
          <w:tcPr>
            <w:tcW w:w="2214" w:type="dxa"/>
            <w:tcBorders>
              <w:top w:val="nil"/>
              <w:left w:val="single" w:sz="8" w:space="0" w:color="auto"/>
              <w:bottom w:val="single" w:sz="8" w:space="0" w:color="000000"/>
              <w:right w:val="single" w:sz="8" w:space="0" w:color="auto"/>
            </w:tcBorders>
            <w:shd w:val="clear" w:color="auto" w:fill="auto"/>
            <w:vAlign w:val="center"/>
            <w:hideMark/>
          </w:tcPr>
          <w:p w14:paraId="51AA5E30" w14:textId="4B3830E9"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Anual</w:t>
            </w:r>
          </w:p>
        </w:tc>
        <w:tc>
          <w:tcPr>
            <w:tcW w:w="1696" w:type="dxa"/>
            <w:tcBorders>
              <w:top w:val="nil"/>
              <w:left w:val="single" w:sz="8" w:space="0" w:color="auto"/>
              <w:bottom w:val="single" w:sz="8" w:space="0" w:color="000000"/>
              <w:right w:val="single" w:sz="8" w:space="0" w:color="auto"/>
            </w:tcBorders>
            <w:shd w:val="clear" w:color="auto" w:fill="auto"/>
            <w:vAlign w:val="center"/>
            <w:hideMark/>
          </w:tcPr>
          <w:p w14:paraId="0FEC2930" w14:textId="702510BC" w:rsidR="00320154" w:rsidRPr="00F37611" w:rsidRDefault="00320154" w:rsidP="0008122D">
            <w:pPr>
              <w:spacing w:before="20" w:after="20"/>
              <w:jc w:val="center"/>
              <w:rPr>
                <w:rFonts w:ascii="Arial Narrow" w:hAnsi="Arial Narrow"/>
                <w:szCs w:val="20"/>
                <w:lang w:val="es-ES_tradnl"/>
              </w:rPr>
            </w:pPr>
            <w:r w:rsidRPr="00F37611">
              <w:rPr>
                <w:rFonts w:ascii="Arial Narrow" w:hAnsi="Arial Narrow"/>
                <w:szCs w:val="20"/>
                <w:lang w:val="es-ES_tradnl"/>
              </w:rPr>
              <w:t>Especialista Fiduciario (EF) y jefe del Equipo del Proyecto (JEP)</w:t>
            </w:r>
          </w:p>
        </w:tc>
        <w:tc>
          <w:tcPr>
            <w:tcW w:w="1696" w:type="dxa"/>
            <w:tcBorders>
              <w:top w:val="nil"/>
              <w:left w:val="single" w:sz="8" w:space="0" w:color="auto"/>
              <w:bottom w:val="single" w:sz="8" w:space="0" w:color="000000"/>
              <w:right w:val="single" w:sz="8" w:space="0" w:color="auto"/>
            </w:tcBorders>
            <w:shd w:val="clear" w:color="auto" w:fill="auto"/>
            <w:vAlign w:val="center"/>
            <w:hideMark/>
          </w:tcPr>
          <w:p w14:paraId="71F4D06E" w14:textId="7F509D36" w:rsidR="00320154"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320154" w:rsidRPr="00F37611" w14:paraId="28564811" w14:textId="77777777" w:rsidTr="006F0415">
        <w:trPr>
          <w:trHeight w:val="447"/>
          <w:jc w:val="center"/>
        </w:trPr>
        <w:tc>
          <w:tcPr>
            <w:tcW w:w="1408" w:type="dxa"/>
            <w:vMerge/>
            <w:tcBorders>
              <w:left w:val="single" w:sz="8" w:space="0" w:color="auto"/>
              <w:bottom w:val="nil"/>
              <w:right w:val="single" w:sz="8" w:space="0" w:color="auto"/>
            </w:tcBorders>
            <w:vAlign w:val="center"/>
          </w:tcPr>
          <w:p w14:paraId="09DAFAD2" w14:textId="77777777" w:rsidR="00320154" w:rsidRPr="00F37611" w:rsidRDefault="00320154" w:rsidP="0008122D">
            <w:pPr>
              <w:spacing w:before="20" w:after="20"/>
              <w:jc w:val="center"/>
              <w:rPr>
                <w:rFonts w:ascii="Arial Narrow" w:hAnsi="Arial Narrow"/>
                <w:b/>
                <w:color w:val="FF0000"/>
                <w:szCs w:val="20"/>
                <w:u w:val="single"/>
                <w:lang w:val="es-ES_tradnl"/>
              </w:rPr>
            </w:pPr>
          </w:p>
        </w:tc>
        <w:tc>
          <w:tcPr>
            <w:tcW w:w="2048" w:type="dxa"/>
            <w:tcBorders>
              <w:top w:val="nil"/>
              <w:left w:val="single" w:sz="8" w:space="0" w:color="auto"/>
              <w:bottom w:val="single" w:sz="8" w:space="0" w:color="000000"/>
              <w:right w:val="single" w:sz="8" w:space="0" w:color="auto"/>
            </w:tcBorders>
            <w:vAlign w:val="center"/>
          </w:tcPr>
          <w:p w14:paraId="30D4FAD8" w14:textId="57B29F2A" w:rsidR="00320154" w:rsidRPr="00F37611" w:rsidRDefault="00495A50" w:rsidP="0008122D">
            <w:pPr>
              <w:spacing w:before="20" w:after="20"/>
              <w:jc w:val="center"/>
              <w:rPr>
                <w:rFonts w:ascii="Arial Narrow" w:hAnsi="Arial Narrow"/>
                <w:szCs w:val="20"/>
                <w:lang w:val="es-ES_tradnl"/>
              </w:rPr>
            </w:pPr>
            <w:r w:rsidRPr="00495A50">
              <w:rPr>
                <w:rFonts w:ascii="Arial Narrow" w:hAnsi="Arial Narrow"/>
                <w:szCs w:val="20"/>
                <w:lang w:val="es-ES_tradnl"/>
              </w:rPr>
              <w:t>Revisión solicitudes de desembolso</w:t>
            </w:r>
          </w:p>
        </w:tc>
        <w:tc>
          <w:tcPr>
            <w:tcW w:w="2214" w:type="dxa"/>
            <w:tcBorders>
              <w:top w:val="nil"/>
              <w:left w:val="single" w:sz="8" w:space="0" w:color="auto"/>
              <w:bottom w:val="single" w:sz="8" w:space="0" w:color="000000"/>
              <w:right w:val="single" w:sz="8" w:space="0" w:color="auto"/>
            </w:tcBorders>
            <w:vAlign w:val="center"/>
          </w:tcPr>
          <w:p w14:paraId="75A7FEEA" w14:textId="26E1CFC0" w:rsidR="00320154" w:rsidRPr="00F37611" w:rsidRDefault="00495A50" w:rsidP="0008122D">
            <w:pPr>
              <w:spacing w:before="20" w:after="20"/>
              <w:jc w:val="center"/>
              <w:rPr>
                <w:rFonts w:ascii="Arial Narrow" w:hAnsi="Arial Narrow"/>
                <w:szCs w:val="20"/>
                <w:lang w:val="es-ES_tradnl"/>
              </w:rPr>
            </w:pPr>
            <w:r w:rsidRPr="00495A50">
              <w:rPr>
                <w:rFonts w:ascii="Arial Narrow" w:hAnsi="Arial Narrow"/>
                <w:szCs w:val="20"/>
                <w:lang w:val="es-ES_tradnl"/>
              </w:rPr>
              <w:t>Periódica</w:t>
            </w:r>
            <w:r w:rsidRPr="00495A50">
              <w:rPr>
                <w:rFonts w:ascii="Arial Narrow" w:hAnsi="Arial Narrow"/>
                <w:szCs w:val="20"/>
                <w:lang w:val="es-ES_tradnl"/>
              </w:rPr>
              <w:tab/>
            </w:r>
          </w:p>
        </w:tc>
        <w:tc>
          <w:tcPr>
            <w:tcW w:w="1696" w:type="dxa"/>
            <w:tcBorders>
              <w:top w:val="nil"/>
              <w:left w:val="single" w:sz="8" w:space="0" w:color="auto"/>
              <w:bottom w:val="single" w:sz="8" w:space="0" w:color="000000"/>
              <w:right w:val="single" w:sz="8" w:space="0" w:color="auto"/>
            </w:tcBorders>
            <w:vAlign w:val="center"/>
          </w:tcPr>
          <w:p w14:paraId="48EB5E07" w14:textId="3FEBAE06" w:rsidR="00320154" w:rsidRPr="00F37611" w:rsidRDefault="00495A50" w:rsidP="0008122D">
            <w:pPr>
              <w:spacing w:before="20" w:after="20"/>
              <w:jc w:val="center"/>
              <w:rPr>
                <w:rFonts w:ascii="Arial Narrow" w:hAnsi="Arial Narrow"/>
                <w:szCs w:val="20"/>
                <w:lang w:val="es-ES_tradnl"/>
              </w:rPr>
            </w:pPr>
            <w:r w:rsidRPr="00495A50">
              <w:rPr>
                <w:rFonts w:ascii="Arial Narrow" w:hAnsi="Arial Narrow"/>
                <w:szCs w:val="20"/>
                <w:lang w:val="es-ES_tradnl"/>
              </w:rPr>
              <w:t>Equipo fiduciario y sectorial</w:t>
            </w:r>
          </w:p>
        </w:tc>
        <w:tc>
          <w:tcPr>
            <w:tcW w:w="1696" w:type="dxa"/>
            <w:tcBorders>
              <w:top w:val="nil"/>
              <w:left w:val="single" w:sz="8" w:space="0" w:color="auto"/>
              <w:bottom w:val="single" w:sz="8" w:space="0" w:color="000000"/>
              <w:right w:val="single" w:sz="8" w:space="0" w:color="auto"/>
            </w:tcBorders>
            <w:vAlign w:val="center"/>
          </w:tcPr>
          <w:p w14:paraId="088318AD" w14:textId="5C8E06E4" w:rsidR="00320154" w:rsidRPr="00F37611" w:rsidRDefault="00546A3C" w:rsidP="004F3CB0">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A810CC" w:rsidRPr="00F37611" w14:paraId="5BB3BBBF" w14:textId="77777777" w:rsidTr="0008122D">
        <w:trPr>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44365E" w14:textId="5302D080" w:rsidR="00961BAE" w:rsidRPr="00F37611" w:rsidRDefault="003E060C" w:rsidP="0008122D">
            <w:pPr>
              <w:spacing w:before="20" w:after="20"/>
              <w:jc w:val="center"/>
              <w:rPr>
                <w:rFonts w:ascii="Arial Narrow" w:hAnsi="Arial Narrow"/>
                <w:b/>
                <w:szCs w:val="20"/>
                <w:u w:val="single"/>
                <w:lang w:val="es-ES_tradnl"/>
              </w:rPr>
            </w:pPr>
            <w:r w:rsidRPr="00F37611">
              <w:rPr>
                <w:rFonts w:ascii="Arial Narrow" w:hAnsi="Arial Narrow"/>
                <w:b/>
                <w:szCs w:val="20"/>
                <w:u w:val="single"/>
                <w:lang w:val="es-ES_tradnl"/>
              </w:rPr>
              <w:t>Adquisiciones</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14:paraId="64E67FE6" w14:textId="5AB8AE10"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Revisión Ex</w:t>
            </w:r>
            <w:r w:rsidR="00912755" w:rsidRPr="00F37611">
              <w:rPr>
                <w:rFonts w:ascii="Arial Narrow" w:hAnsi="Arial Narrow"/>
                <w:szCs w:val="20"/>
                <w:lang w:val="es-ES_tradnl"/>
              </w:rPr>
              <w:t xml:space="preserve"> </w:t>
            </w:r>
            <w:r w:rsidR="00750FFF">
              <w:rPr>
                <w:rFonts w:ascii="Arial Narrow" w:hAnsi="Arial Narrow"/>
                <w:szCs w:val="20"/>
                <w:lang w:val="es-ES_tradnl"/>
              </w:rPr>
              <w:t>–</w:t>
            </w:r>
            <w:r w:rsidR="00912755" w:rsidRPr="00F37611">
              <w:rPr>
                <w:rFonts w:ascii="Arial Narrow" w:hAnsi="Arial Narrow"/>
                <w:szCs w:val="20"/>
                <w:lang w:val="es-ES_tradnl"/>
              </w:rPr>
              <w:t xml:space="preserve"> </w:t>
            </w:r>
            <w:r w:rsidR="00750FFF">
              <w:rPr>
                <w:rFonts w:ascii="Arial Narrow" w:hAnsi="Arial Narrow"/>
                <w:szCs w:val="20"/>
                <w:lang w:val="es-ES_tradnl"/>
              </w:rPr>
              <w:t xml:space="preserve">post de </w:t>
            </w:r>
            <w:r w:rsidR="00750FFF" w:rsidRPr="00F37611">
              <w:rPr>
                <w:rFonts w:ascii="Arial Narrow" w:hAnsi="Arial Narrow"/>
                <w:szCs w:val="20"/>
                <w:lang w:val="es-ES_tradnl"/>
              </w:rPr>
              <w:t>adquisiciones</w:t>
            </w:r>
          </w:p>
        </w:tc>
        <w:tc>
          <w:tcPr>
            <w:tcW w:w="2214" w:type="dxa"/>
            <w:tcBorders>
              <w:top w:val="single" w:sz="8" w:space="0" w:color="auto"/>
              <w:left w:val="nil"/>
              <w:bottom w:val="nil"/>
              <w:right w:val="single" w:sz="8" w:space="0" w:color="auto"/>
            </w:tcBorders>
            <w:shd w:val="clear" w:color="auto" w:fill="auto"/>
            <w:vAlign w:val="center"/>
            <w:hideMark/>
          </w:tcPr>
          <w:p w14:paraId="79C58CE4" w14:textId="789EB2C9" w:rsidR="00961BAE" w:rsidRPr="00F37611" w:rsidRDefault="00750FFF" w:rsidP="0008122D">
            <w:pPr>
              <w:spacing w:before="20" w:after="20"/>
              <w:jc w:val="center"/>
              <w:rPr>
                <w:rFonts w:ascii="Arial Narrow" w:hAnsi="Arial Narrow"/>
                <w:szCs w:val="20"/>
                <w:lang w:val="es-ES_tradnl"/>
              </w:rPr>
            </w:pPr>
            <w:r>
              <w:rPr>
                <w:rFonts w:ascii="Arial Narrow" w:hAnsi="Arial Narrow"/>
                <w:szCs w:val="20"/>
                <w:lang w:val="es-ES_tradnl"/>
              </w:rPr>
              <w:t>Según plan de supervisión</w:t>
            </w:r>
          </w:p>
        </w:tc>
        <w:tc>
          <w:tcPr>
            <w:tcW w:w="1696" w:type="dxa"/>
            <w:tcBorders>
              <w:top w:val="single" w:sz="8" w:space="0" w:color="auto"/>
              <w:left w:val="nil"/>
              <w:bottom w:val="single" w:sz="8" w:space="0" w:color="auto"/>
              <w:right w:val="single" w:sz="8" w:space="0" w:color="auto"/>
            </w:tcBorders>
            <w:shd w:val="clear" w:color="auto" w:fill="auto"/>
            <w:vAlign w:val="center"/>
            <w:hideMark/>
          </w:tcPr>
          <w:p w14:paraId="2ABB0E13" w14:textId="0463811B"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JEP / </w:t>
            </w:r>
            <w:r w:rsidR="00750FFF">
              <w:rPr>
                <w:rFonts w:ascii="Arial Narrow" w:hAnsi="Arial Narrow"/>
                <w:szCs w:val="20"/>
                <w:lang w:val="es-ES_tradnl"/>
              </w:rPr>
              <w:t>EF</w:t>
            </w:r>
          </w:p>
        </w:tc>
        <w:tc>
          <w:tcPr>
            <w:tcW w:w="1696" w:type="dxa"/>
            <w:tcBorders>
              <w:top w:val="single" w:sz="8" w:space="0" w:color="auto"/>
              <w:left w:val="nil"/>
              <w:bottom w:val="nil"/>
              <w:right w:val="single" w:sz="8" w:space="0" w:color="auto"/>
            </w:tcBorders>
            <w:shd w:val="clear" w:color="auto" w:fill="auto"/>
            <w:vAlign w:val="center"/>
            <w:hideMark/>
          </w:tcPr>
          <w:p w14:paraId="6517C37F" w14:textId="1A78A3AC"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A810CC" w:rsidRPr="00F37611" w14:paraId="36077E12" w14:textId="77777777" w:rsidTr="0008122D">
        <w:trPr>
          <w:jc w:val="center"/>
        </w:trPr>
        <w:tc>
          <w:tcPr>
            <w:tcW w:w="1408" w:type="dxa"/>
            <w:vMerge/>
            <w:tcBorders>
              <w:top w:val="single" w:sz="8" w:space="0" w:color="auto"/>
              <w:left w:val="single" w:sz="8" w:space="0" w:color="auto"/>
              <w:bottom w:val="single" w:sz="8" w:space="0" w:color="000000"/>
              <w:right w:val="single" w:sz="8" w:space="0" w:color="auto"/>
            </w:tcBorders>
            <w:vAlign w:val="center"/>
            <w:hideMark/>
          </w:tcPr>
          <w:p w14:paraId="19367BB6" w14:textId="77777777" w:rsidR="00961BAE" w:rsidRPr="00F37611" w:rsidRDefault="00961BAE" w:rsidP="0008122D">
            <w:pPr>
              <w:spacing w:before="20" w:after="20"/>
              <w:jc w:val="center"/>
              <w:rPr>
                <w:rFonts w:ascii="Arial Narrow" w:hAnsi="Arial Narrow"/>
                <w:b/>
                <w:szCs w:val="20"/>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3148BFFD" w14:textId="6EB35D62" w:rsidR="00961BAE" w:rsidRPr="00F37611" w:rsidRDefault="00961BAE" w:rsidP="00750FFF">
            <w:pPr>
              <w:spacing w:before="20" w:after="20"/>
              <w:jc w:val="center"/>
              <w:rPr>
                <w:rFonts w:ascii="Arial Narrow" w:hAnsi="Arial Narrow"/>
                <w:szCs w:val="20"/>
                <w:lang w:val="es-ES_tradnl"/>
              </w:rPr>
            </w:pPr>
            <w:r w:rsidRPr="00F37611">
              <w:rPr>
                <w:rFonts w:ascii="Arial Narrow" w:hAnsi="Arial Narrow"/>
                <w:szCs w:val="20"/>
                <w:lang w:val="es-ES_tradnl"/>
              </w:rPr>
              <w:t xml:space="preserve">Revisión Ex – </w:t>
            </w:r>
            <w:r w:rsidR="00750FFF">
              <w:rPr>
                <w:rFonts w:ascii="Arial Narrow" w:hAnsi="Arial Narrow"/>
                <w:szCs w:val="20"/>
                <w:lang w:val="es-ES_tradnl"/>
              </w:rPr>
              <w:t>ante a</w:t>
            </w:r>
            <w:r w:rsidRPr="00F37611">
              <w:rPr>
                <w:rFonts w:ascii="Arial Narrow" w:hAnsi="Arial Narrow"/>
                <w:szCs w:val="20"/>
                <w:lang w:val="es-ES_tradnl"/>
              </w:rPr>
              <w:t>dquisiciones</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EFA0974" w14:textId="0A36FB64" w:rsidR="00961BAE" w:rsidRPr="00F37611" w:rsidRDefault="007164F4" w:rsidP="0008122D">
            <w:pPr>
              <w:spacing w:before="20" w:after="20"/>
              <w:jc w:val="center"/>
              <w:rPr>
                <w:rFonts w:ascii="Arial Narrow" w:hAnsi="Arial Narrow"/>
                <w:szCs w:val="20"/>
                <w:lang w:val="es-ES_tradnl"/>
              </w:rPr>
            </w:pPr>
            <w:r>
              <w:rPr>
                <w:rFonts w:ascii="Arial Narrow" w:hAnsi="Arial Narrow"/>
                <w:szCs w:val="20"/>
                <w:lang w:val="es-ES_tradnl"/>
              </w:rPr>
              <w:t>De acuerdo con el PA</w:t>
            </w:r>
          </w:p>
        </w:tc>
        <w:tc>
          <w:tcPr>
            <w:tcW w:w="1696" w:type="dxa"/>
            <w:tcBorders>
              <w:top w:val="nil"/>
              <w:left w:val="nil"/>
              <w:bottom w:val="single" w:sz="8" w:space="0" w:color="auto"/>
              <w:right w:val="single" w:sz="8" w:space="0" w:color="auto"/>
            </w:tcBorders>
            <w:shd w:val="clear" w:color="auto" w:fill="auto"/>
            <w:vAlign w:val="center"/>
            <w:hideMark/>
          </w:tcPr>
          <w:p w14:paraId="694977FC" w14:textId="1CB28BEF"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JEP /</w:t>
            </w:r>
            <w:r w:rsidR="007164F4">
              <w:rPr>
                <w:rFonts w:ascii="Arial Narrow" w:hAnsi="Arial Narrow"/>
                <w:szCs w:val="20"/>
                <w:lang w:val="es-ES_tradnl"/>
              </w:rPr>
              <w:t xml:space="preserve"> Especialista de adquisiciones (</w:t>
            </w:r>
            <w:r w:rsidR="00912755" w:rsidRPr="00F37611">
              <w:rPr>
                <w:rFonts w:ascii="Arial Narrow" w:hAnsi="Arial Narrow"/>
                <w:szCs w:val="20"/>
                <w:lang w:val="es-ES_tradnl"/>
              </w:rPr>
              <w:t>EA</w:t>
            </w:r>
            <w:r w:rsidR="007164F4">
              <w:rPr>
                <w:rFonts w:ascii="Arial Narrow" w:hAnsi="Arial Narrow"/>
                <w:szCs w:val="20"/>
                <w:lang w:val="es-ES_tradnl"/>
              </w:rPr>
              <w:t xml:space="preserve">) </w:t>
            </w:r>
          </w:p>
        </w:tc>
        <w:tc>
          <w:tcPr>
            <w:tcW w:w="1696" w:type="dxa"/>
            <w:tcBorders>
              <w:top w:val="single" w:sz="8" w:space="0" w:color="auto"/>
              <w:left w:val="nil"/>
              <w:bottom w:val="nil"/>
              <w:right w:val="single" w:sz="8" w:space="0" w:color="auto"/>
            </w:tcBorders>
            <w:shd w:val="clear" w:color="auto" w:fill="auto"/>
            <w:vAlign w:val="center"/>
            <w:hideMark/>
          </w:tcPr>
          <w:p w14:paraId="428CFE60" w14:textId="706116BA"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A810CC" w:rsidRPr="00F37611" w14:paraId="7ACFF28A" w14:textId="77777777" w:rsidTr="0008122D">
        <w:trPr>
          <w:jc w:val="center"/>
        </w:trPr>
        <w:tc>
          <w:tcPr>
            <w:tcW w:w="1408" w:type="dxa"/>
            <w:vMerge/>
            <w:tcBorders>
              <w:top w:val="single" w:sz="8" w:space="0" w:color="auto"/>
              <w:left w:val="single" w:sz="8" w:space="0" w:color="auto"/>
              <w:bottom w:val="single" w:sz="8" w:space="0" w:color="000000"/>
              <w:right w:val="single" w:sz="8" w:space="0" w:color="auto"/>
            </w:tcBorders>
            <w:vAlign w:val="center"/>
            <w:hideMark/>
          </w:tcPr>
          <w:p w14:paraId="587C402B" w14:textId="77777777" w:rsidR="00961BAE" w:rsidRPr="00F37611" w:rsidRDefault="00961BAE" w:rsidP="0008122D">
            <w:pPr>
              <w:spacing w:before="20" w:after="20"/>
              <w:jc w:val="center"/>
              <w:rPr>
                <w:rFonts w:ascii="Arial Narrow" w:hAnsi="Arial Narrow"/>
                <w:b/>
                <w:szCs w:val="20"/>
                <w:u w:val="single"/>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31B6A456" w14:textId="6F9F54B5"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Actualización P</w:t>
            </w:r>
            <w:r w:rsidR="00912755" w:rsidRPr="00F37611">
              <w:rPr>
                <w:rFonts w:ascii="Arial Narrow" w:hAnsi="Arial Narrow"/>
                <w:szCs w:val="20"/>
                <w:lang w:val="es-ES_tradnl"/>
              </w:rPr>
              <w:t>A</w:t>
            </w:r>
          </w:p>
        </w:tc>
        <w:tc>
          <w:tcPr>
            <w:tcW w:w="2214" w:type="dxa"/>
            <w:tcBorders>
              <w:top w:val="single" w:sz="8" w:space="0" w:color="auto"/>
              <w:left w:val="nil"/>
              <w:bottom w:val="single" w:sz="8" w:space="0" w:color="auto"/>
              <w:right w:val="single" w:sz="8" w:space="0" w:color="auto"/>
            </w:tcBorders>
            <w:shd w:val="clear" w:color="auto" w:fill="auto"/>
            <w:vAlign w:val="center"/>
            <w:hideMark/>
          </w:tcPr>
          <w:p w14:paraId="46CB549A" w14:textId="37F66627" w:rsidR="00961BAE" w:rsidRPr="00F37611" w:rsidRDefault="003E060C" w:rsidP="0008122D">
            <w:pPr>
              <w:spacing w:before="20" w:after="20"/>
              <w:jc w:val="center"/>
              <w:rPr>
                <w:rFonts w:ascii="Arial Narrow" w:hAnsi="Arial Narrow"/>
                <w:szCs w:val="20"/>
                <w:lang w:val="es-ES_tradnl"/>
              </w:rPr>
            </w:pPr>
            <w:r w:rsidRPr="00F37611">
              <w:rPr>
                <w:rFonts w:ascii="Arial Narrow" w:hAnsi="Arial Narrow"/>
                <w:szCs w:val="20"/>
                <w:lang w:val="es-ES_tradnl"/>
              </w:rPr>
              <w:t>Anual</w:t>
            </w:r>
          </w:p>
        </w:tc>
        <w:tc>
          <w:tcPr>
            <w:tcW w:w="1696" w:type="dxa"/>
            <w:tcBorders>
              <w:top w:val="nil"/>
              <w:left w:val="nil"/>
              <w:bottom w:val="single" w:sz="8" w:space="0" w:color="auto"/>
              <w:right w:val="single" w:sz="8" w:space="0" w:color="auto"/>
            </w:tcBorders>
            <w:shd w:val="clear" w:color="auto" w:fill="auto"/>
            <w:vAlign w:val="center"/>
            <w:hideMark/>
          </w:tcPr>
          <w:p w14:paraId="01797E3A" w14:textId="4EB5D2AF" w:rsidR="00961BAE" w:rsidRPr="00F37611" w:rsidRDefault="00912755" w:rsidP="0008122D">
            <w:pPr>
              <w:spacing w:before="20" w:after="20"/>
              <w:jc w:val="center"/>
              <w:rPr>
                <w:rFonts w:ascii="Arial Narrow" w:hAnsi="Arial Narrow"/>
                <w:szCs w:val="20"/>
                <w:lang w:val="es-ES_tradnl"/>
              </w:rPr>
            </w:pPr>
            <w:r w:rsidRPr="00F37611">
              <w:rPr>
                <w:rFonts w:ascii="Arial Narrow" w:hAnsi="Arial Narrow"/>
                <w:szCs w:val="20"/>
                <w:lang w:val="es-ES_tradnl"/>
              </w:rPr>
              <w:t>JEP / EA</w:t>
            </w:r>
          </w:p>
        </w:tc>
        <w:tc>
          <w:tcPr>
            <w:tcW w:w="1696" w:type="dxa"/>
            <w:tcBorders>
              <w:top w:val="single" w:sz="8" w:space="0" w:color="auto"/>
              <w:left w:val="nil"/>
              <w:bottom w:val="nil"/>
              <w:right w:val="single" w:sz="8" w:space="0" w:color="auto"/>
            </w:tcBorders>
            <w:shd w:val="clear" w:color="auto" w:fill="auto"/>
            <w:vAlign w:val="center"/>
            <w:hideMark/>
          </w:tcPr>
          <w:p w14:paraId="2CEC283A" w14:textId="59B4460D"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A810CC" w:rsidRPr="00F37611" w14:paraId="722C7818" w14:textId="77777777" w:rsidTr="0008122D">
        <w:trPr>
          <w:jc w:val="center"/>
        </w:trPr>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14:paraId="169889B1" w14:textId="28AC2807" w:rsidR="00961BAE" w:rsidRPr="00F37611" w:rsidRDefault="003E060C" w:rsidP="0008122D">
            <w:pPr>
              <w:spacing w:before="20" w:after="20"/>
              <w:jc w:val="center"/>
              <w:rPr>
                <w:rFonts w:ascii="Arial Narrow" w:hAnsi="Arial Narrow"/>
                <w:b/>
                <w:szCs w:val="20"/>
                <w:u w:val="single"/>
                <w:lang w:val="es-ES_tradnl"/>
              </w:rPr>
            </w:pPr>
            <w:r w:rsidRPr="00F37611">
              <w:rPr>
                <w:rFonts w:ascii="Arial Narrow" w:hAnsi="Arial Narrow"/>
                <w:b/>
                <w:szCs w:val="20"/>
                <w:u w:val="single"/>
                <w:lang w:val="es-ES_tradnl"/>
              </w:rPr>
              <w:t>Cumplimiento</w:t>
            </w:r>
          </w:p>
        </w:tc>
        <w:tc>
          <w:tcPr>
            <w:tcW w:w="2048" w:type="dxa"/>
            <w:tcBorders>
              <w:top w:val="nil"/>
              <w:left w:val="nil"/>
              <w:bottom w:val="single" w:sz="8" w:space="0" w:color="auto"/>
              <w:right w:val="single" w:sz="8" w:space="0" w:color="auto"/>
            </w:tcBorders>
            <w:shd w:val="clear" w:color="auto" w:fill="auto"/>
            <w:vAlign w:val="center"/>
            <w:hideMark/>
          </w:tcPr>
          <w:p w14:paraId="74E6F63B" w14:textId="77777777"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Cumplimiento Condiciones Previas</w:t>
            </w:r>
          </w:p>
        </w:tc>
        <w:tc>
          <w:tcPr>
            <w:tcW w:w="2214" w:type="dxa"/>
            <w:tcBorders>
              <w:top w:val="nil"/>
              <w:left w:val="nil"/>
              <w:bottom w:val="single" w:sz="8" w:space="0" w:color="auto"/>
              <w:right w:val="single" w:sz="8" w:space="0" w:color="auto"/>
            </w:tcBorders>
            <w:shd w:val="clear" w:color="auto" w:fill="auto"/>
            <w:vAlign w:val="center"/>
            <w:hideMark/>
          </w:tcPr>
          <w:p w14:paraId="5B8138B5" w14:textId="2AE856D3" w:rsidR="00961BAE" w:rsidRPr="00F37611" w:rsidRDefault="003E060C" w:rsidP="0008122D">
            <w:pPr>
              <w:spacing w:before="20" w:after="20"/>
              <w:jc w:val="center"/>
              <w:rPr>
                <w:rFonts w:ascii="Arial Narrow" w:hAnsi="Arial Narrow"/>
                <w:szCs w:val="20"/>
                <w:lang w:val="es-ES_tradnl"/>
              </w:rPr>
            </w:pPr>
            <w:r w:rsidRPr="00F37611">
              <w:rPr>
                <w:rFonts w:ascii="Arial Narrow" w:hAnsi="Arial Narrow"/>
                <w:szCs w:val="20"/>
                <w:lang w:val="es-ES_tradnl"/>
              </w:rPr>
              <w:t>Una vez</w:t>
            </w:r>
          </w:p>
        </w:tc>
        <w:tc>
          <w:tcPr>
            <w:tcW w:w="1696" w:type="dxa"/>
            <w:tcBorders>
              <w:top w:val="nil"/>
              <w:left w:val="nil"/>
              <w:bottom w:val="single" w:sz="8" w:space="0" w:color="auto"/>
              <w:right w:val="single" w:sz="8" w:space="0" w:color="auto"/>
            </w:tcBorders>
            <w:shd w:val="clear" w:color="auto" w:fill="auto"/>
            <w:vAlign w:val="center"/>
            <w:hideMark/>
          </w:tcPr>
          <w:p w14:paraId="07695A97" w14:textId="2FD044AF"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Equipo </w:t>
            </w:r>
            <w:r w:rsidR="00912755" w:rsidRPr="00F37611">
              <w:rPr>
                <w:rFonts w:ascii="Arial Narrow" w:hAnsi="Arial Narrow"/>
                <w:szCs w:val="20"/>
                <w:lang w:val="es-ES_tradnl"/>
              </w:rPr>
              <w:t>de Proyecto</w:t>
            </w:r>
          </w:p>
        </w:tc>
        <w:tc>
          <w:tcPr>
            <w:tcW w:w="1696" w:type="dxa"/>
            <w:tcBorders>
              <w:top w:val="single" w:sz="8" w:space="0" w:color="auto"/>
              <w:left w:val="nil"/>
              <w:bottom w:val="single" w:sz="8" w:space="0" w:color="auto"/>
              <w:right w:val="single" w:sz="8" w:space="0" w:color="auto"/>
            </w:tcBorders>
            <w:shd w:val="clear" w:color="auto" w:fill="auto"/>
            <w:vAlign w:val="center"/>
            <w:hideMark/>
          </w:tcPr>
          <w:p w14:paraId="6FC4F65E" w14:textId="6C8171BD"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961BAE" w:rsidRPr="00F37611" w14:paraId="748D06E7" w14:textId="77777777" w:rsidTr="0008122D">
        <w:trPr>
          <w:jc w:val="center"/>
        </w:trPr>
        <w:tc>
          <w:tcPr>
            <w:tcW w:w="1408" w:type="dxa"/>
            <w:vMerge/>
            <w:tcBorders>
              <w:top w:val="nil"/>
              <w:left w:val="single" w:sz="8" w:space="0" w:color="auto"/>
              <w:bottom w:val="single" w:sz="8" w:space="0" w:color="000000"/>
              <w:right w:val="single" w:sz="8" w:space="0" w:color="auto"/>
            </w:tcBorders>
            <w:vAlign w:val="center"/>
            <w:hideMark/>
          </w:tcPr>
          <w:p w14:paraId="2F082BFA" w14:textId="77777777" w:rsidR="00961BAE" w:rsidRPr="00F37611" w:rsidRDefault="00961BAE" w:rsidP="0008122D">
            <w:pPr>
              <w:spacing w:before="20" w:after="20"/>
              <w:jc w:val="center"/>
              <w:rPr>
                <w:rFonts w:ascii="Arial Narrow" w:hAnsi="Arial Narrow"/>
                <w:szCs w:val="20"/>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678BE804" w14:textId="6BCF59A6"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Revisión </w:t>
            </w:r>
            <w:r w:rsidR="00EE1813">
              <w:rPr>
                <w:rFonts w:ascii="Arial Narrow" w:hAnsi="Arial Narrow"/>
                <w:szCs w:val="20"/>
                <w:lang w:val="es-ES_tradnl"/>
              </w:rPr>
              <w:t xml:space="preserve">de asignación presupuestal </w:t>
            </w:r>
          </w:p>
        </w:tc>
        <w:tc>
          <w:tcPr>
            <w:tcW w:w="2214" w:type="dxa"/>
            <w:tcBorders>
              <w:top w:val="nil"/>
              <w:left w:val="nil"/>
              <w:bottom w:val="single" w:sz="8" w:space="0" w:color="auto"/>
              <w:right w:val="single" w:sz="8" w:space="0" w:color="auto"/>
            </w:tcBorders>
            <w:shd w:val="clear" w:color="auto" w:fill="auto"/>
            <w:vAlign w:val="center"/>
            <w:hideMark/>
          </w:tcPr>
          <w:p w14:paraId="7D50C541" w14:textId="2FD11049" w:rsidR="00961BAE" w:rsidRPr="00F37611" w:rsidRDefault="003E060C" w:rsidP="0008122D">
            <w:pPr>
              <w:spacing w:before="20" w:after="20"/>
              <w:jc w:val="center"/>
              <w:rPr>
                <w:rFonts w:ascii="Arial Narrow" w:hAnsi="Arial Narrow"/>
                <w:szCs w:val="20"/>
                <w:lang w:val="es-ES_tradnl"/>
              </w:rPr>
            </w:pPr>
            <w:r w:rsidRPr="00F37611">
              <w:rPr>
                <w:rFonts w:ascii="Arial Narrow" w:hAnsi="Arial Narrow"/>
                <w:szCs w:val="20"/>
                <w:lang w:val="es-ES_tradnl"/>
              </w:rPr>
              <w:t xml:space="preserve">Anual </w:t>
            </w:r>
          </w:p>
        </w:tc>
        <w:tc>
          <w:tcPr>
            <w:tcW w:w="1696" w:type="dxa"/>
            <w:tcBorders>
              <w:top w:val="nil"/>
              <w:left w:val="nil"/>
              <w:bottom w:val="single" w:sz="8" w:space="0" w:color="auto"/>
              <w:right w:val="single" w:sz="8" w:space="0" w:color="auto"/>
            </w:tcBorders>
            <w:shd w:val="clear" w:color="auto" w:fill="auto"/>
            <w:vAlign w:val="center"/>
            <w:hideMark/>
          </w:tcPr>
          <w:p w14:paraId="1EAC4CB8" w14:textId="76ACB1B2" w:rsidR="00961BAE" w:rsidRPr="00F37611" w:rsidRDefault="00EE1813" w:rsidP="0008122D">
            <w:pPr>
              <w:spacing w:before="20" w:after="20"/>
              <w:jc w:val="center"/>
              <w:rPr>
                <w:rFonts w:ascii="Arial Narrow" w:hAnsi="Arial Narrow"/>
                <w:szCs w:val="20"/>
                <w:lang w:val="es-ES_tradnl"/>
              </w:rPr>
            </w:pPr>
            <w:r>
              <w:rPr>
                <w:rFonts w:ascii="Arial Narrow" w:hAnsi="Arial Narrow"/>
                <w:szCs w:val="20"/>
                <w:lang w:val="es-ES_tradnl"/>
              </w:rPr>
              <w:t>Equipo de Proyecto</w:t>
            </w:r>
          </w:p>
        </w:tc>
        <w:tc>
          <w:tcPr>
            <w:tcW w:w="1696" w:type="dxa"/>
            <w:tcBorders>
              <w:top w:val="nil"/>
              <w:left w:val="nil"/>
              <w:bottom w:val="single" w:sz="8" w:space="0" w:color="auto"/>
              <w:right w:val="single" w:sz="8" w:space="0" w:color="auto"/>
            </w:tcBorders>
            <w:shd w:val="clear" w:color="auto" w:fill="auto"/>
            <w:vAlign w:val="center"/>
            <w:hideMark/>
          </w:tcPr>
          <w:p w14:paraId="5307FD4B" w14:textId="6E7E8C53"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 xml:space="preserve">OE y </w:t>
            </w:r>
            <w:r w:rsidR="004F3CB0">
              <w:rPr>
                <w:rFonts w:ascii="Arial Narrow" w:hAnsi="Arial Narrow"/>
                <w:szCs w:val="20"/>
                <w:lang w:val="es-ES_tradnl"/>
              </w:rPr>
              <w:t xml:space="preserve">los </w:t>
            </w:r>
            <w:r>
              <w:rPr>
                <w:rFonts w:ascii="Arial Narrow" w:hAnsi="Arial Narrow"/>
                <w:szCs w:val="20"/>
                <w:lang w:val="es-ES_tradnl"/>
              </w:rPr>
              <w:t>OSE</w:t>
            </w:r>
          </w:p>
        </w:tc>
      </w:tr>
      <w:tr w:rsidR="00961BAE" w:rsidRPr="00F37611" w14:paraId="78190FD1" w14:textId="77777777" w:rsidTr="0008122D">
        <w:trPr>
          <w:jc w:val="center"/>
        </w:trPr>
        <w:tc>
          <w:tcPr>
            <w:tcW w:w="1408" w:type="dxa"/>
            <w:vMerge/>
            <w:tcBorders>
              <w:top w:val="nil"/>
              <w:left w:val="single" w:sz="8" w:space="0" w:color="auto"/>
              <w:bottom w:val="single" w:sz="8" w:space="0" w:color="000000"/>
              <w:right w:val="single" w:sz="8" w:space="0" w:color="auto"/>
            </w:tcBorders>
            <w:vAlign w:val="center"/>
            <w:hideMark/>
          </w:tcPr>
          <w:p w14:paraId="614EB1E5" w14:textId="77777777" w:rsidR="00961BAE" w:rsidRPr="00F37611" w:rsidRDefault="00961BAE" w:rsidP="0008122D">
            <w:pPr>
              <w:spacing w:before="20" w:after="20"/>
              <w:jc w:val="center"/>
              <w:rPr>
                <w:rFonts w:ascii="Arial Narrow" w:hAnsi="Arial Narrow"/>
                <w:szCs w:val="20"/>
                <w:lang w:val="es-ES_tradnl"/>
              </w:rPr>
            </w:pPr>
          </w:p>
        </w:tc>
        <w:tc>
          <w:tcPr>
            <w:tcW w:w="2048" w:type="dxa"/>
            <w:tcBorders>
              <w:top w:val="nil"/>
              <w:left w:val="nil"/>
              <w:bottom w:val="single" w:sz="8" w:space="0" w:color="auto"/>
              <w:right w:val="single" w:sz="8" w:space="0" w:color="auto"/>
            </w:tcBorders>
            <w:shd w:val="clear" w:color="auto" w:fill="auto"/>
            <w:vAlign w:val="center"/>
            <w:hideMark/>
          </w:tcPr>
          <w:p w14:paraId="230B8046" w14:textId="18D36FBD" w:rsidR="00961BAE" w:rsidRPr="00F37611" w:rsidRDefault="00EE1813" w:rsidP="0008122D">
            <w:pPr>
              <w:spacing w:before="20" w:after="20"/>
              <w:jc w:val="center"/>
              <w:rPr>
                <w:rFonts w:ascii="Arial Narrow" w:hAnsi="Arial Narrow"/>
                <w:szCs w:val="20"/>
                <w:lang w:val="es-ES_tradnl"/>
              </w:rPr>
            </w:pPr>
            <w:r>
              <w:rPr>
                <w:rFonts w:ascii="Arial Narrow" w:eastAsia="Times New Roman" w:hAnsi="Arial Narrow" w:cs="Arial"/>
                <w:szCs w:val="20"/>
              </w:rPr>
              <w:t xml:space="preserve">Presentación de </w:t>
            </w:r>
            <w:r w:rsidR="00912755" w:rsidRPr="00F37611">
              <w:rPr>
                <w:rFonts w:ascii="Arial Narrow" w:eastAsia="Times New Roman" w:hAnsi="Arial Narrow" w:cs="Arial"/>
                <w:szCs w:val="20"/>
              </w:rPr>
              <w:t>informes financieros auditados</w:t>
            </w:r>
          </w:p>
        </w:tc>
        <w:tc>
          <w:tcPr>
            <w:tcW w:w="2214" w:type="dxa"/>
            <w:tcBorders>
              <w:top w:val="nil"/>
              <w:left w:val="nil"/>
              <w:bottom w:val="single" w:sz="8" w:space="0" w:color="auto"/>
              <w:right w:val="single" w:sz="8" w:space="0" w:color="auto"/>
            </w:tcBorders>
            <w:shd w:val="clear" w:color="auto" w:fill="auto"/>
            <w:vAlign w:val="center"/>
            <w:hideMark/>
          </w:tcPr>
          <w:p w14:paraId="0B44CE5B" w14:textId="527EA5A9" w:rsidR="00961BAE" w:rsidRPr="00F37611" w:rsidRDefault="003E060C" w:rsidP="0008122D">
            <w:pPr>
              <w:spacing w:before="20" w:after="20"/>
              <w:jc w:val="center"/>
              <w:rPr>
                <w:rFonts w:ascii="Arial Narrow" w:hAnsi="Arial Narrow"/>
                <w:szCs w:val="20"/>
                <w:lang w:val="es-ES_tradnl"/>
              </w:rPr>
            </w:pPr>
            <w:r w:rsidRPr="00F37611">
              <w:rPr>
                <w:rFonts w:ascii="Arial Narrow" w:hAnsi="Arial Narrow"/>
                <w:szCs w:val="20"/>
                <w:lang w:val="es-ES_tradnl"/>
              </w:rPr>
              <w:t>Anual</w:t>
            </w:r>
          </w:p>
        </w:tc>
        <w:tc>
          <w:tcPr>
            <w:tcW w:w="1696" w:type="dxa"/>
            <w:tcBorders>
              <w:top w:val="nil"/>
              <w:left w:val="nil"/>
              <w:bottom w:val="single" w:sz="8" w:space="0" w:color="auto"/>
              <w:right w:val="single" w:sz="8" w:space="0" w:color="auto"/>
            </w:tcBorders>
            <w:shd w:val="clear" w:color="auto" w:fill="auto"/>
            <w:vAlign w:val="center"/>
            <w:hideMark/>
          </w:tcPr>
          <w:p w14:paraId="69AD3320" w14:textId="31B25E19" w:rsidR="00961BAE" w:rsidRPr="00F37611" w:rsidRDefault="00961BAE" w:rsidP="0008122D">
            <w:pPr>
              <w:spacing w:before="20" w:after="20"/>
              <w:jc w:val="center"/>
              <w:rPr>
                <w:rFonts w:ascii="Arial Narrow" w:hAnsi="Arial Narrow"/>
                <w:szCs w:val="20"/>
                <w:lang w:val="es-ES_tradnl"/>
              </w:rPr>
            </w:pPr>
            <w:r w:rsidRPr="00F37611">
              <w:rPr>
                <w:rFonts w:ascii="Arial Narrow" w:hAnsi="Arial Narrow"/>
                <w:szCs w:val="20"/>
                <w:lang w:val="es-ES_tradnl"/>
              </w:rPr>
              <w:t>JEP y E</w:t>
            </w:r>
            <w:r w:rsidR="00912755" w:rsidRPr="00F37611">
              <w:rPr>
                <w:rFonts w:ascii="Arial Narrow" w:hAnsi="Arial Narrow"/>
                <w:szCs w:val="20"/>
                <w:lang w:val="es-ES_tradnl"/>
              </w:rPr>
              <w:t>F</w:t>
            </w:r>
          </w:p>
        </w:tc>
        <w:tc>
          <w:tcPr>
            <w:tcW w:w="1696" w:type="dxa"/>
            <w:tcBorders>
              <w:top w:val="nil"/>
              <w:left w:val="nil"/>
              <w:bottom w:val="single" w:sz="8" w:space="0" w:color="auto"/>
              <w:right w:val="single" w:sz="8" w:space="0" w:color="auto"/>
            </w:tcBorders>
            <w:shd w:val="clear" w:color="auto" w:fill="auto"/>
            <w:vAlign w:val="center"/>
            <w:hideMark/>
          </w:tcPr>
          <w:p w14:paraId="348F4A10" w14:textId="310DF241" w:rsidR="00961BAE" w:rsidRPr="00F37611" w:rsidRDefault="00546A3C" w:rsidP="0008122D">
            <w:pPr>
              <w:spacing w:before="20" w:after="20"/>
              <w:jc w:val="center"/>
              <w:rPr>
                <w:rFonts w:ascii="Arial Narrow" w:hAnsi="Arial Narrow"/>
                <w:szCs w:val="20"/>
                <w:lang w:val="es-ES_tradnl"/>
              </w:rPr>
            </w:pPr>
            <w:r>
              <w:rPr>
                <w:rFonts w:ascii="Arial Narrow" w:hAnsi="Arial Narrow"/>
                <w:szCs w:val="20"/>
                <w:lang w:val="es-ES_tradnl"/>
              </w:rPr>
              <w:t>OE y OSE</w:t>
            </w:r>
            <w:r w:rsidRPr="00F37611">
              <w:rPr>
                <w:rFonts w:ascii="Arial Narrow" w:hAnsi="Arial Narrow"/>
                <w:szCs w:val="20"/>
                <w:lang w:val="es-ES_tradnl"/>
              </w:rPr>
              <w:t xml:space="preserve"> </w:t>
            </w:r>
            <w:r w:rsidR="00961BAE" w:rsidRPr="00F37611">
              <w:rPr>
                <w:rFonts w:ascii="Arial Narrow" w:hAnsi="Arial Narrow"/>
                <w:szCs w:val="20"/>
                <w:lang w:val="es-ES_tradnl"/>
              </w:rPr>
              <w:t>/Auditor</w:t>
            </w:r>
          </w:p>
        </w:tc>
      </w:tr>
    </w:tbl>
    <w:p w14:paraId="7480B41E" w14:textId="77777777" w:rsidR="00961BAE" w:rsidRDefault="00961BAE" w:rsidP="00961BAE"/>
    <w:p w14:paraId="34383F57" w14:textId="4EDBD865" w:rsidR="004B3A82" w:rsidRPr="00171ED7" w:rsidRDefault="00332421" w:rsidP="00A94976">
      <w:pPr>
        <w:pStyle w:val="Heading2"/>
      </w:pPr>
      <w:bookmarkStart w:id="80" w:name="_Toc454056461"/>
      <w:bookmarkStart w:id="81" w:name="_Toc23797314"/>
      <w:r w:rsidRPr="00171ED7">
        <w:lastRenderedPageBreak/>
        <w:t xml:space="preserve">Gestión de </w:t>
      </w:r>
      <w:r w:rsidR="004B3A82" w:rsidRPr="00171ED7">
        <w:t xml:space="preserve">Monitoreo </w:t>
      </w:r>
      <w:r w:rsidRPr="00171ED7">
        <w:t>y Evaluación del Programa</w:t>
      </w:r>
      <w:bookmarkEnd w:id="80"/>
      <w:bookmarkEnd w:id="81"/>
    </w:p>
    <w:p w14:paraId="4457922E" w14:textId="77777777" w:rsidR="00EF513A" w:rsidRDefault="00AF3B08" w:rsidP="009B54B5">
      <w:pPr>
        <w:pStyle w:val="Estilo1"/>
      </w:pPr>
      <w:r>
        <w:t xml:space="preserve">El monitoreo de la ejecución del </w:t>
      </w:r>
      <w:r w:rsidR="006B3C0A">
        <w:t>P</w:t>
      </w:r>
      <w:r>
        <w:t xml:space="preserve">rograma se concentrará en </w:t>
      </w:r>
      <w:r w:rsidR="00B74692" w:rsidRPr="00B74692">
        <w:t xml:space="preserve">dos niveles: (i) el cumplimiento de la ejecución de las actividades del proyecto; y (ii) el seguimiento de los indicadores de producto contenidos en la MdR. </w:t>
      </w:r>
      <w:r w:rsidR="00EF513A">
        <w:t xml:space="preserve"> </w:t>
      </w:r>
    </w:p>
    <w:p w14:paraId="0B8B4B9B" w14:textId="4A2D70D1" w:rsidR="00F509AE" w:rsidRPr="00F509AE" w:rsidRDefault="00AF3B08" w:rsidP="009B54B5">
      <w:pPr>
        <w:pStyle w:val="Estilo1"/>
      </w:pPr>
      <w:r>
        <w:t>Para realizar la evaluación del programa se utilizará la MdR y el Plan de Monitoreo y Evaluación (PME) aprobado por el Banco.</w:t>
      </w:r>
      <w:r w:rsidR="00F509AE" w:rsidRPr="00F509AE">
        <w:t xml:space="preserve"> </w:t>
      </w:r>
      <w:r w:rsidR="00794B36">
        <w:t>El Plan de Monitoreo se actualizará conforme a lo establecido en el Contrato de Préstamo y el ROP</w:t>
      </w:r>
      <w:r w:rsidR="006669FD">
        <w:t>.</w:t>
      </w:r>
    </w:p>
    <w:p w14:paraId="68FBDC7D" w14:textId="2E6A7455" w:rsidR="00347325" w:rsidRDefault="004F1EFB" w:rsidP="009B54B5">
      <w:pPr>
        <w:pStyle w:val="Estilo1"/>
      </w:pPr>
      <w:bookmarkStart w:id="82" w:name="_Toc424879204"/>
      <w:r w:rsidRPr="004F1EFB">
        <w:rPr>
          <w:b/>
          <w:u w:val="single"/>
        </w:rPr>
        <w:t>Responsable de Monitoreo</w:t>
      </w:r>
      <w:r>
        <w:t xml:space="preserve">. </w:t>
      </w:r>
      <w:r w:rsidR="00347325" w:rsidRPr="00407209">
        <w:t xml:space="preserve">El </w:t>
      </w:r>
      <w:r w:rsidR="00347325">
        <w:t>M</w:t>
      </w:r>
      <w:r w:rsidR="00E76C27">
        <w:t xml:space="preserve">EF </w:t>
      </w:r>
      <w:r w:rsidR="00347325">
        <w:t>como OE de la operación, será</w:t>
      </w:r>
      <w:r w:rsidR="00347325" w:rsidRPr="00407209">
        <w:t xml:space="preserve"> el responsable </w:t>
      </w:r>
      <w:r w:rsidR="004F3CB0" w:rsidRPr="00407209">
        <w:t>del monitoreo</w:t>
      </w:r>
      <w:r w:rsidR="00347325" w:rsidRPr="00407209">
        <w:t xml:space="preserve"> periódico </w:t>
      </w:r>
      <w:r w:rsidR="00347325">
        <w:t>y control de avance de la ejecución del Programa</w:t>
      </w:r>
      <w:r w:rsidR="00347325" w:rsidRPr="00407209">
        <w:t xml:space="preserve"> a través de</w:t>
      </w:r>
      <w:r w:rsidR="00347325">
        <w:t>l</w:t>
      </w:r>
      <w:r w:rsidR="00347325" w:rsidRPr="00407209">
        <w:t xml:space="preserve"> </w:t>
      </w:r>
      <w:r w:rsidR="00D7609D">
        <w:t>EDG</w:t>
      </w:r>
      <w:r w:rsidR="00E76C27">
        <w:t>-MEF</w:t>
      </w:r>
      <w:r w:rsidR="00347325" w:rsidRPr="00407209">
        <w:t xml:space="preserve">.  </w:t>
      </w:r>
      <w:r w:rsidR="00347325" w:rsidRPr="00F43F7E">
        <w:t xml:space="preserve">La responsabilidad del cumplimiento de </w:t>
      </w:r>
      <w:r w:rsidR="00347325">
        <w:t xml:space="preserve">los arreglos y acuerdos para el seguimiento y evaluación, </w:t>
      </w:r>
      <w:r w:rsidR="00347325" w:rsidRPr="00F43F7E">
        <w:t xml:space="preserve">será </w:t>
      </w:r>
      <w:r w:rsidR="00347325">
        <w:t>del</w:t>
      </w:r>
      <w:r w:rsidR="00B81B5C">
        <w:t xml:space="preserve"> </w:t>
      </w:r>
      <w:r w:rsidR="00E31741">
        <w:t>Coordinador</w:t>
      </w:r>
      <w:r w:rsidR="00E76C27">
        <w:t xml:space="preserve"> General </w:t>
      </w:r>
      <w:r w:rsidR="00B81B5C">
        <w:t xml:space="preserve">del </w:t>
      </w:r>
      <w:r w:rsidR="00347325">
        <w:t xml:space="preserve">Programa y </w:t>
      </w:r>
      <w:r w:rsidR="00347325" w:rsidRPr="00F43F7E">
        <w:t xml:space="preserve">del </w:t>
      </w:r>
      <w:r w:rsidR="00347325">
        <w:t>e</w:t>
      </w:r>
      <w:r w:rsidR="00347325" w:rsidRPr="00F43F7E">
        <w:t>specialista en Planificación y Monitoreo</w:t>
      </w:r>
      <w:r w:rsidR="00347325">
        <w:t xml:space="preserve"> del </w:t>
      </w:r>
      <w:r w:rsidR="00D7609D">
        <w:t>EDG</w:t>
      </w:r>
      <w:r w:rsidR="00E76C27">
        <w:t>-MEF</w:t>
      </w:r>
      <w:r w:rsidR="00347325" w:rsidRPr="00F43F7E">
        <w:t>, quien</w:t>
      </w:r>
      <w:r w:rsidR="00347325">
        <w:t>es</w:t>
      </w:r>
      <w:r w:rsidR="00347325" w:rsidRPr="00F43F7E">
        <w:t xml:space="preserve"> contará</w:t>
      </w:r>
      <w:r w:rsidR="00347325">
        <w:t>n</w:t>
      </w:r>
      <w:r w:rsidR="00347325" w:rsidRPr="00F43F7E">
        <w:t xml:space="preserve"> con el apoyo</w:t>
      </w:r>
      <w:r w:rsidR="00E76C27">
        <w:t xml:space="preserve"> de</w:t>
      </w:r>
      <w:r w:rsidR="004F3CB0">
        <w:t xml:space="preserve"> los </w:t>
      </w:r>
      <w:r w:rsidR="00E76C27">
        <w:t>EDG-</w:t>
      </w:r>
      <w:r w:rsidR="004F3CB0">
        <w:t xml:space="preserve">OSE </w:t>
      </w:r>
      <w:r w:rsidR="00E76C27">
        <w:t xml:space="preserve">y el soporte </w:t>
      </w:r>
      <w:r w:rsidR="00347325" w:rsidRPr="00F43F7E">
        <w:t>técnico del BID.</w:t>
      </w:r>
      <w:r w:rsidR="00C74FE5">
        <w:t xml:space="preserve"> El monitoreo y evaluación se regirán sobre los acuerdos presentados en el Plan de monitoreo y evaluación anexo al Documento del Programa, aprobado por el BID</w:t>
      </w:r>
      <w:r w:rsidR="005244B2">
        <w:t>.</w:t>
      </w:r>
    </w:p>
    <w:p w14:paraId="214691F6" w14:textId="3B8D73A2" w:rsidR="00347325" w:rsidRDefault="004F1EFB" w:rsidP="009B54B5">
      <w:pPr>
        <w:pStyle w:val="Estilo1"/>
      </w:pPr>
      <w:r w:rsidRPr="004F1EFB">
        <w:rPr>
          <w:b/>
          <w:u w:val="single"/>
        </w:rPr>
        <w:t>Instrumentos.</w:t>
      </w:r>
      <w:r>
        <w:t xml:space="preserve"> </w:t>
      </w:r>
      <w:r w:rsidR="00347325" w:rsidRPr="00861B70">
        <w:t>El sistema de monitoreo del programa estará conformado por los siguientes instrumentos: (i) el Reglamento Operativo del Programa (ROP); (ii) Matriz de Resultados (MdR); (iii) Plan de Ejecución Plurianual (PEP); (iv) Plan Operativo Anual (POA)</w:t>
      </w:r>
      <w:r w:rsidR="00347325">
        <w:t xml:space="preserve"> vigente</w:t>
      </w:r>
      <w:r w:rsidR="00347325" w:rsidRPr="00861B70">
        <w:t>; (v)</w:t>
      </w:r>
      <w:r w:rsidR="00347325">
        <w:t xml:space="preserve">; el </w:t>
      </w:r>
      <w:r w:rsidR="00347325" w:rsidRPr="00861B70">
        <w:t xml:space="preserve">Plan de Monitoreo y Evaluación (PME); (vi) </w:t>
      </w:r>
      <w:r w:rsidR="00347325">
        <w:t xml:space="preserve">el </w:t>
      </w:r>
      <w:r w:rsidR="00347325" w:rsidRPr="00861B70">
        <w:t>Plan de Adquisiciones (PA)</w:t>
      </w:r>
      <w:r w:rsidR="00347325">
        <w:t xml:space="preserve"> vigente</w:t>
      </w:r>
      <w:r w:rsidR="00347325" w:rsidRPr="00861B70">
        <w:t xml:space="preserve">; (vii) </w:t>
      </w:r>
      <w:r w:rsidR="00347325" w:rsidRPr="00407209">
        <w:t>el Análisis de Riesgo (GRP)</w:t>
      </w:r>
      <w:r w:rsidR="00347325">
        <w:t xml:space="preserve"> y sus matrices</w:t>
      </w:r>
      <w:r w:rsidR="006A7A6B">
        <w:rPr>
          <w:rStyle w:val="FootnoteReference"/>
        </w:rPr>
        <w:footnoteReference w:id="45"/>
      </w:r>
      <w:r w:rsidR="00347325" w:rsidRPr="00861B70">
        <w:t xml:space="preserve">; (viii) </w:t>
      </w:r>
      <w:r w:rsidR="00347325">
        <w:t xml:space="preserve">Informe Inicial; (ix) </w:t>
      </w:r>
      <w:r w:rsidR="00347325" w:rsidRPr="00861B70">
        <w:t>Informes de Monitoreo del Progreso (PMR);</w:t>
      </w:r>
      <w:r w:rsidR="00347325">
        <w:t xml:space="preserve"> (x)</w:t>
      </w:r>
      <w:r w:rsidR="00347325" w:rsidRPr="00861B70">
        <w:t xml:space="preserve"> Informes Semestrales de </w:t>
      </w:r>
      <w:r w:rsidR="00347325">
        <w:t>Progreso</w:t>
      </w:r>
      <w:r w:rsidR="00347325" w:rsidRPr="00861B70">
        <w:t xml:space="preserve"> (IS</w:t>
      </w:r>
      <w:r w:rsidR="00347325">
        <w:t>P</w:t>
      </w:r>
      <w:r w:rsidR="00347325" w:rsidRPr="00861B70">
        <w:t>); (x</w:t>
      </w:r>
      <w:r w:rsidR="00347325">
        <w:t>i</w:t>
      </w:r>
      <w:r w:rsidR="00347325" w:rsidRPr="00861B70">
        <w:t>) Estados Financieros Auditados (EFA);</w:t>
      </w:r>
      <w:r w:rsidR="00347325">
        <w:t xml:space="preserve"> (xii) </w:t>
      </w:r>
      <w:r w:rsidR="00347325" w:rsidRPr="00407209">
        <w:t>las ayudas de memoria, actas o informes resultantes de las misiones de administración y evaluación, visitas de inspección realizadas</w:t>
      </w:r>
      <w:r w:rsidR="00347325">
        <w:t>, reuniones de Cartera con el MEF</w:t>
      </w:r>
      <w:r w:rsidR="00347325" w:rsidRPr="00407209">
        <w:t xml:space="preserve"> y otras que sean pertinentes</w:t>
      </w:r>
      <w:r w:rsidR="00347325">
        <w:t xml:space="preserve"> </w:t>
      </w:r>
      <w:r w:rsidR="00347325" w:rsidRPr="00861B70">
        <w:t>.</w:t>
      </w:r>
      <w:r w:rsidR="00347325">
        <w:t xml:space="preserve"> </w:t>
      </w:r>
    </w:p>
    <w:p w14:paraId="4FD0B899" w14:textId="77777777" w:rsidR="004F1EFB" w:rsidRDefault="004F1EFB" w:rsidP="009B54B5">
      <w:pPr>
        <w:pStyle w:val="Estilo1"/>
      </w:pPr>
      <w:r w:rsidRPr="004F1EFB">
        <w:rPr>
          <w:b/>
          <w:u w:val="single"/>
        </w:rPr>
        <w:t>Medios de verificación de los indicadores de la MdR</w:t>
      </w:r>
      <w:r>
        <w:t xml:space="preserve">. </w:t>
      </w:r>
      <w:r w:rsidR="0042264A" w:rsidRPr="0042264A">
        <w:t>Para medir el avance del programa y evaluar el cumplimiento de sus objetivos se utilizarán los indicadores de resultado y producto descritos para cada componente en la MdR y reflejados en el Informe de Monitoreo de Progreso (PMR).</w:t>
      </w:r>
      <w:r>
        <w:t xml:space="preserve"> </w:t>
      </w:r>
      <w:r w:rsidR="004C23FC">
        <w:t>Cu</w:t>
      </w:r>
      <w:r w:rsidR="00AA0855">
        <w:t>alquier modificación de l</w:t>
      </w:r>
      <w:r w:rsidR="004C23FC">
        <w:t>a</w:t>
      </w:r>
      <w:r w:rsidR="00B63D22">
        <w:t xml:space="preserve"> metodología de medición, </w:t>
      </w:r>
      <w:r w:rsidR="004C23FC">
        <w:t xml:space="preserve">unidades de medida, frecuencia de medición y fuentes de </w:t>
      </w:r>
      <w:r w:rsidR="004C23FC" w:rsidRPr="00131F00">
        <w:t>verificación para la medición y seguimiento de los indicadores</w:t>
      </w:r>
      <w:r w:rsidR="004C23FC">
        <w:t xml:space="preserve"> de la MdR, </w:t>
      </w:r>
      <w:r w:rsidR="00AA0855">
        <w:t>deberá</w:t>
      </w:r>
      <w:r w:rsidR="004C23FC">
        <w:t>n</w:t>
      </w:r>
      <w:r w:rsidR="00AA0855">
        <w:t xml:space="preserve"> contar con el consentimiento escrito del B</w:t>
      </w:r>
      <w:r w:rsidR="004C23FC">
        <w:t>ID</w:t>
      </w:r>
      <w:r w:rsidR="00C40CF6">
        <w:t xml:space="preserve">.  </w:t>
      </w:r>
    </w:p>
    <w:p w14:paraId="62DA427C" w14:textId="542FE94E" w:rsidR="00EA653C" w:rsidRDefault="00EA653C" w:rsidP="009B54B5">
      <w:pPr>
        <w:pStyle w:val="Estilo1"/>
      </w:pPr>
      <w:r>
        <w:t>El cálculo de la línea de base de los Indicadores, se enc</w:t>
      </w:r>
      <w:r w:rsidR="004F3CB0">
        <w:t xml:space="preserve">ontrará </w:t>
      </w:r>
      <w:r>
        <w:t>descrito en el “Informe de línea de base de metas e Indicadores”,</w:t>
      </w:r>
      <w:r w:rsidR="00D66AF2">
        <w:t xml:space="preserve"> elaborado por el EGP-MEF</w:t>
      </w:r>
      <w:r w:rsidR="004F3CB0">
        <w:t>, en colaboración con los EDG-OSE</w:t>
      </w:r>
      <w:r w:rsidR="00D66AF2">
        <w:t xml:space="preserve">, </w:t>
      </w:r>
      <w:r w:rsidR="004F3CB0">
        <w:t xml:space="preserve">y que deberá </w:t>
      </w:r>
      <w:r>
        <w:t>anexa</w:t>
      </w:r>
      <w:r w:rsidR="004F3CB0">
        <w:t>se</w:t>
      </w:r>
      <w:r>
        <w:t xml:space="preserve"> al presente ROP.</w:t>
      </w:r>
    </w:p>
    <w:p w14:paraId="407ED181" w14:textId="5FDDF0B7" w:rsidR="00347325" w:rsidRDefault="004F1EFB" w:rsidP="009B54B5">
      <w:pPr>
        <w:pStyle w:val="Estilo1"/>
      </w:pPr>
      <w:r w:rsidRPr="004F1EFB">
        <w:rPr>
          <w:b/>
          <w:u w:val="single"/>
        </w:rPr>
        <w:t>El ISP y PMR</w:t>
      </w:r>
      <w:r>
        <w:t xml:space="preserve">. </w:t>
      </w:r>
      <w:r w:rsidR="008C5B98" w:rsidRPr="00797DA2">
        <w:t xml:space="preserve">El ISP es el reporte contractual que </w:t>
      </w:r>
      <w:r w:rsidR="004D1F9F">
        <w:t xml:space="preserve">el OE </w:t>
      </w:r>
      <w:r w:rsidR="008C5B98" w:rsidRPr="001D71BD">
        <w:t>debe realizar semestralmente</w:t>
      </w:r>
      <w:r w:rsidR="008C5B98" w:rsidRPr="00797DA2">
        <w:t xml:space="preserve"> y constituirá la fuente oficial de información periódica sobre el avance del Programa. El objetivo del ISP es el de reportar el avance obtenido y detectar las desviaciones de la ejecución frente a lo programado, con la finalidad de identificar las acciones pertinentes para potenciar el cumplimiento de las metas y los costos de la Operación. El ISP </w:t>
      </w:r>
      <w:r w:rsidR="008C5B98">
        <w:t>i</w:t>
      </w:r>
      <w:r w:rsidR="008C5B98" w:rsidRPr="00797DA2">
        <w:t xml:space="preserve">ncorpora el PMR como la herramienta de reporte de la información de la gestión en resultados y ejecución del Programa.  El </w:t>
      </w:r>
      <w:r w:rsidR="00D7609D">
        <w:t>EDG</w:t>
      </w:r>
      <w:r w:rsidR="004F3CB0">
        <w:t>-OE</w:t>
      </w:r>
      <w:r w:rsidR="007E512E">
        <w:t xml:space="preserve"> </w:t>
      </w:r>
      <w:r w:rsidR="008C5B98" w:rsidRPr="00797DA2">
        <w:t>debe remitir dos veces al año el ISP y el PMR</w:t>
      </w:r>
      <w:r w:rsidR="008C5B98">
        <w:t xml:space="preserve"> del Programa</w:t>
      </w:r>
      <w:r w:rsidR="00F44D7D">
        <w:t xml:space="preserve"> correspondientes al cierre del semestre correspondiente</w:t>
      </w:r>
      <w:r w:rsidR="008C5B98" w:rsidRPr="00797DA2">
        <w:t xml:space="preserve">. El primer envío debe realizarse, durante los </w:t>
      </w:r>
      <w:r w:rsidR="00F44D7D">
        <w:t>treinta</w:t>
      </w:r>
      <w:r w:rsidR="00717D0F">
        <w:t xml:space="preserve"> (30)</w:t>
      </w:r>
      <w:r w:rsidR="00F44D7D">
        <w:t xml:space="preserve"> </w:t>
      </w:r>
      <w:r w:rsidR="008C5B98" w:rsidRPr="00797DA2">
        <w:t>primeros</w:t>
      </w:r>
      <w:r w:rsidR="00F44D7D">
        <w:t xml:space="preserve"> días </w:t>
      </w:r>
      <w:r w:rsidR="008C5B98" w:rsidRPr="00797DA2">
        <w:t xml:space="preserve">del año y con corte a diciembre del año inmediato anterior y el segundo envío, durante los </w:t>
      </w:r>
      <w:r w:rsidR="00F44D7D">
        <w:t>treinta</w:t>
      </w:r>
      <w:r w:rsidR="00717D0F">
        <w:t xml:space="preserve"> (30)</w:t>
      </w:r>
      <w:r w:rsidR="00F44D7D">
        <w:t xml:space="preserve"> días </w:t>
      </w:r>
      <w:r w:rsidR="008C5B98" w:rsidRPr="00797DA2">
        <w:t xml:space="preserve">posteriores a junio del año en curso, fecha de corte de dicho informe.  En el ISP y PMR, se deben reportar los logros del Programa durante el periodo analizado a nivel de resultados y productos, adicionalmente proporcionar información sobre los principales </w:t>
      </w:r>
      <w:r w:rsidR="005244B2">
        <w:t xml:space="preserve">logros y </w:t>
      </w:r>
      <w:r w:rsidR="008C5B98" w:rsidRPr="00797DA2">
        <w:t>cambios a la</w:t>
      </w:r>
      <w:r w:rsidR="008C5B98">
        <w:t xml:space="preserve"> MdR </w:t>
      </w:r>
      <w:r w:rsidR="008C5B98" w:rsidRPr="00797DA2">
        <w:t>y sus aprobaciones</w:t>
      </w:r>
      <w:r w:rsidR="005244B2">
        <w:rPr>
          <w:rStyle w:val="FootnoteReference"/>
        </w:rPr>
        <w:footnoteReference w:id="46"/>
      </w:r>
      <w:r w:rsidR="008C5B98" w:rsidRPr="00797DA2">
        <w:t xml:space="preserve">; los aspectos que han afectado la ejecución y sus causas; el estado y actualización de las matrices de gestión de riesgos y sus planes de mitigación; las principales lecciones aprendidas y los desafíos para el próximo período. </w:t>
      </w:r>
      <w:r w:rsidR="00F44D7D" w:rsidRPr="00F44D7D">
        <w:t>El I</w:t>
      </w:r>
      <w:r w:rsidR="00F44D7D">
        <w:t xml:space="preserve">SP </w:t>
      </w:r>
      <w:r w:rsidR="00F44D7D" w:rsidRPr="00F44D7D">
        <w:t>correspondiente al segundo semestre del año calendario deberá presentar una síntesis de los logros alcanzados por componentes, analizando los riesgos del Programa de acuerdo a la Matriz de Riesgo del mismo</w:t>
      </w:r>
      <w:r w:rsidR="00F44D7D">
        <w:t>, d</w:t>
      </w:r>
      <w:r w:rsidR="00F44D7D" w:rsidRPr="00F44D7D">
        <w:t xml:space="preserve">ebe presentar también una visión consolidada de las dificultades y lecciones aprendidas, así como las recomendaciones destinadas a </w:t>
      </w:r>
      <w:r w:rsidR="00F44D7D" w:rsidRPr="00F44D7D">
        <w:lastRenderedPageBreak/>
        <w:t>retroalimentar el Programa.</w:t>
      </w:r>
      <w:r w:rsidR="00F44D7D">
        <w:t xml:space="preserve"> </w:t>
      </w:r>
      <w:r w:rsidR="008C5B98" w:rsidRPr="00797DA2">
        <w:t>Los anexos que deben incorporarse al ISP son: PMR,</w:t>
      </w:r>
      <w:r w:rsidR="008C5B98">
        <w:t xml:space="preserve"> MdR</w:t>
      </w:r>
      <w:r w:rsidR="008C5B98" w:rsidRPr="00797DA2">
        <w:t xml:space="preserve">, Matrices </w:t>
      </w:r>
      <w:r w:rsidR="008C5B98">
        <w:t>GRP</w:t>
      </w:r>
      <w:r w:rsidR="008C5B98" w:rsidRPr="00797DA2">
        <w:t>; PEP, POA, PA, Flujo de Caja y Programación de Desembolsos; EFA y reportes de uso del aporte local</w:t>
      </w:r>
      <w:r w:rsidR="00F44D7D">
        <w:t xml:space="preserve">. </w:t>
      </w:r>
    </w:p>
    <w:p w14:paraId="2B8CF869" w14:textId="62F6CD5E" w:rsidR="005758D3" w:rsidRDefault="00F4456A" w:rsidP="009B54B5">
      <w:pPr>
        <w:pStyle w:val="Estilo1"/>
      </w:pPr>
      <w:r>
        <w:t xml:space="preserve">El OE </w:t>
      </w:r>
      <w:r w:rsidR="00EF513A">
        <w:t>y</w:t>
      </w:r>
      <w:r w:rsidR="004F3CB0">
        <w:t xml:space="preserve"> los </w:t>
      </w:r>
      <w:r w:rsidR="00EF513A">
        <w:t xml:space="preserve">OSE </w:t>
      </w:r>
      <w:r>
        <w:t>deber</w:t>
      </w:r>
      <w:r w:rsidR="00717D0F">
        <w:t>á</w:t>
      </w:r>
      <w:r w:rsidR="00EF513A">
        <w:t>n</w:t>
      </w:r>
      <w:r>
        <w:t xml:space="preserve"> participar en reuniones de revisión conjunta con el Banco, dentro de los treinta (30) </w:t>
      </w:r>
      <w:r w:rsidR="008D2558">
        <w:t>dí</w:t>
      </w:r>
      <w:r>
        <w:t>as siguientes a la recepción de los ISP</w:t>
      </w:r>
      <w:r w:rsidR="008D5AFC">
        <w:t>.</w:t>
      </w:r>
      <w:r w:rsidR="00717D0F">
        <w:t xml:space="preserve"> El ISP correspondiente al segundo semestre de cada año comprenderá la propuesta de POA para el año siguiente, </w:t>
      </w:r>
      <w:r w:rsidR="00623D64">
        <w:t xml:space="preserve">el cual </w:t>
      </w:r>
      <w:r w:rsidR="00717D0F">
        <w:t>deberá ser acordado con el Banco en la reunión de evaluación conjunta correspondiente.</w:t>
      </w:r>
    </w:p>
    <w:p w14:paraId="6B4CA814" w14:textId="23C26D52" w:rsidR="00390FCA" w:rsidRDefault="00485090" w:rsidP="009B54B5">
      <w:pPr>
        <w:pStyle w:val="Estilo1"/>
      </w:pPr>
      <w:r w:rsidRPr="00485090">
        <w:rPr>
          <w:b/>
          <w:u w:val="single"/>
        </w:rPr>
        <w:t>Misiones de administración o visitas de inspección</w:t>
      </w:r>
      <w:r>
        <w:t xml:space="preserve">. </w:t>
      </w:r>
      <w:r w:rsidR="008C5B98">
        <w:t>S</w:t>
      </w:r>
      <w:r w:rsidR="008C5B98" w:rsidRPr="001B4B0C">
        <w:t>e realizarán dependiendo de la importancia y complejidad de la ejecución, siguiendo el cronograma definido en el Plan de Supervisión</w:t>
      </w:r>
      <w:r w:rsidR="008C5B98">
        <w:t xml:space="preserve">. </w:t>
      </w:r>
      <w:r w:rsidR="008C5B98" w:rsidRPr="001B4B0C">
        <w:t xml:space="preserve">El equipo del Banco realizará visitas técnicas </w:t>
      </w:r>
      <w:r w:rsidR="009B3E02">
        <w:t xml:space="preserve">semestrales </w:t>
      </w:r>
      <w:r w:rsidR="008C5B98" w:rsidRPr="001B4B0C">
        <w:t>a los ejecutores para revisar el avance de actividades y hacer los ajustes que se deriven de su ejecución. Se harán visitas de supervisión fiduciaria anuales</w:t>
      </w:r>
      <w:r w:rsidR="00390FCA">
        <w:rPr>
          <w:rStyle w:val="FootnoteReference"/>
        </w:rPr>
        <w:footnoteReference w:id="47"/>
      </w:r>
      <w:r w:rsidR="008C5B98" w:rsidRPr="001B4B0C">
        <w:t>. Se tienen previstas auditorías externas contables y operacionales para validación del uso de los recursos del financiamiento y de los procesos y controles internos operativos que se implementarán en el OE</w:t>
      </w:r>
      <w:r w:rsidR="004F3CB0">
        <w:t xml:space="preserve"> y los OSE</w:t>
      </w:r>
      <w:r w:rsidR="008C5B98" w:rsidRPr="001B4B0C">
        <w:t xml:space="preserve">. </w:t>
      </w:r>
    </w:p>
    <w:p w14:paraId="6E8EA3DD" w14:textId="44C56C42" w:rsidR="008C5B98" w:rsidRDefault="00485090" w:rsidP="009B54B5">
      <w:pPr>
        <w:pStyle w:val="Estilo1"/>
      </w:pPr>
      <w:r w:rsidRPr="00485090">
        <w:rPr>
          <w:b/>
          <w:u w:val="single"/>
        </w:rPr>
        <w:t xml:space="preserve">Reuniones de Cartera entre el MEF, el BID, el OE y </w:t>
      </w:r>
      <w:r w:rsidR="004F3CB0">
        <w:rPr>
          <w:b/>
          <w:u w:val="single"/>
        </w:rPr>
        <w:t xml:space="preserve">los </w:t>
      </w:r>
      <w:r w:rsidRPr="00485090">
        <w:rPr>
          <w:b/>
          <w:u w:val="single"/>
        </w:rPr>
        <w:t>OSE</w:t>
      </w:r>
      <w:r>
        <w:t xml:space="preserve">. </w:t>
      </w:r>
      <w:r w:rsidR="008C5B98" w:rsidRPr="001260D7">
        <w:t>Como parte del proceso de seguimiento de los Proyectos, el BID ha previsto mantener al menos dos reuniones anuales con el M</w:t>
      </w:r>
      <w:r w:rsidR="008C5B98">
        <w:t>EF</w:t>
      </w:r>
      <w:r w:rsidR="008C5B98" w:rsidRPr="001260D7">
        <w:t xml:space="preserve"> y </w:t>
      </w:r>
      <w:r w:rsidR="008C5B98">
        <w:t>el OE</w:t>
      </w:r>
      <w:r w:rsidR="009B3E02">
        <w:t xml:space="preserve"> y</w:t>
      </w:r>
      <w:r w:rsidR="004F3CB0">
        <w:t xml:space="preserve"> los </w:t>
      </w:r>
      <w:r w:rsidR="009B3E02">
        <w:t>OSE</w:t>
      </w:r>
      <w:r w:rsidR="008C5B98" w:rsidRPr="001260D7">
        <w:t>, con el objetivo de: (i) presentar los avances del Proyecto por parte de</w:t>
      </w:r>
      <w:r w:rsidR="008C5B98">
        <w:t xml:space="preserve">l </w:t>
      </w:r>
      <w:r w:rsidR="00D7609D">
        <w:t>EDG</w:t>
      </w:r>
      <w:r w:rsidR="009B3E02">
        <w:t xml:space="preserve">-MEF </w:t>
      </w:r>
      <w:r w:rsidR="008C5B98" w:rsidRPr="001260D7">
        <w:t>tanto de las metas físicas, financieras y de adquisiciones; (ii) identificar potenciales problemas en la ejecución y de forma conjunta decidir acciones para superarlos; (iii) presentar la proyección de desembolsos para el año vigente; (iv) proponer un plan de acción para el año vigente. Dichas reuniones se realizan obligatoriamente durante enero y septiembre de cada año; y pueden realizarse en cualquier momento que se considere pertinente, según el desempeño de la ejecución de los proyectos o a pedido de los interesados.</w:t>
      </w:r>
    </w:p>
    <w:p w14:paraId="3037A4FC" w14:textId="4BAB40C2" w:rsidR="00FE1AB7" w:rsidRDefault="00485090" w:rsidP="009B54B5">
      <w:pPr>
        <w:pStyle w:val="Estilo1"/>
      </w:pPr>
      <w:r w:rsidRPr="00485090">
        <w:rPr>
          <w:b/>
          <w:u w:val="single"/>
        </w:rPr>
        <w:t>Recopilación de datos e instrumentos</w:t>
      </w:r>
      <w:r>
        <w:t xml:space="preserve">. </w:t>
      </w:r>
      <w:r w:rsidRPr="00485090">
        <w:t xml:space="preserve"> </w:t>
      </w:r>
      <w:r w:rsidR="00FE1AB7">
        <w:t xml:space="preserve">El </w:t>
      </w:r>
      <w:r w:rsidR="00D7609D">
        <w:t>EDG</w:t>
      </w:r>
      <w:r w:rsidR="009B3E02">
        <w:t>-MEF</w:t>
      </w:r>
      <w:r w:rsidR="006C219A">
        <w:t xml:space="preserve"> </w:t>
      </w:r>
      <w:r w:rsidR="00FE1AB7">
        <w:t>será el responsable de preparar, compilar y consolidar toda la información del sistema de monitoreo y de la ejecución del Programa y la presentará al Banco en los formatos y periodicidad que se requiera</w:t>
      </w:r>
      <w:r w:rsidR="009B3E02">
        <w:t>, con el apoyo de</w:t>
      </w:r>
      <w:r w:rsidR="00A055D4">
        <w:t xml:space="preserve"> los </w:t>
      </w:r>
      <w:r w:rsidR="009B3E02">
        <w:t>EDG-</w:t>
      </w:r>
      <w:r w:rsidR="00A055D4">
        <w:t xml:space="preserve">OSE </w:t>
      </w:r>
      <w:r w:rsidR="009B3E02">
        <w:t>en lo relacionado a las actividades y resultados del programa que le competen</w:t>
      </w:r>
      <w:r w:rsidR="00FE1AB7">
        <w:t>.</w:t>
      </w:r>
    </w:p>
    <w:p w14:paraId="61C12818" w14:textId="25320AE7" w:rsidR="00FE1AB7" w:rsidRDefault="00FE1AB7" w:rsidP="009B54B5">
      <w:pPr>
        <w:pStyle w:val="Estilo1"/>
      </w:pPr>
      <w:r>
        <w:t xml:space="preserve">El </w:t>
      </w:r>
      <w:r w:rsidR="00DA437D">
        <w:t>Especialista en Monitoreo y Evaluación (EM-</w:t>
      </w:r>
      <w:r w:rsidR="00D7609D">
        <w:t>EDG</w:t>
      </w:r>
      <w:r w:rsidR="009B3E02">
        <w:t>-MEF</w:t>
      </w:r>
      <w:r w:rsidR="00DA437D">
        <w:t>)</w:t>
      </w:r>
      <w:r>
        <w:t xml:space="preserve"> preparará un </w:t>
      </w:r>
      <w:r w:rsidR="005C5C6C">
        <w:rPr>
          <w:b/>
          <w:bCs/>
          <w:u w:val="single"/>
        </w:rPr>
        <w:t>Pl</w:t>
      </w:r>
      <w:r w:rsidRPr="005C5C6C">
        <w:rPr>
          <w:b/>
          <w:bCs/>
          <w:u w:val="single"/>
        </w:rPr>
        <w:t xml:space="preserve">an de </w:t>
      </w:r>
      <w:r w:rsidR="005C5C6C">
        <w:rPr>
          <w:b/>
          <w:bCs/>
          <w:u w:val="single"/>
        </w:rPr>
        <w:t>S</w:t>
      </w:r>
      <w:r w:rsidRPr="005C5C6C">
        <w:rPr>
          <w:b/>
          <w:bCs/>
          <w:u w:val="single"/>
        </w:rPr>
        <w:t>eguimiento</w:t>
      </w:r>
      <w:r>
        <w:t xml:space="preserve"> en el que se detallará la fuente de información, datos, indicadores, estadísticas, formatos</w:t>
      </w:r>
      <w:r w:rsidR="00DA437D">
        <w:t xml:space="preserve">, metodología de cálculo utilizada por cada indicador y su línea de </w:t>
      </w:r>
      <w:r w:rsidR="00361638">
        <w:t>base y</w:t>
      </w:r>
      <w:r>
        <w:t xml:space="preserve"> metodología a ser utilizada para la supervisión de cada una de las actividades del programa</w:t>
      </w:r>
      <w:r w:rsidR="00DA437D">
        <w:t>, el cual se deberá adjuntar al Informe Inicial del Programa</w:t>
      </w:r>
      <w:r>
        <w:t>. Asimismo, preparará los informes semestrales de avance</w:t>
      </w:r>
      <w:r w:rsidR="00DA437D">
        <w:t xml:space="preserve"> (ISP)</w:t>
      </w:r>
      <w:r>
        <w:t xml:space="preserve"> a ser revisados por el </w:t>
      </w:r>
      <w:r w:rsidR="00DA437D">
        <w:t>C</w:t>
      </w:r>
      <w:r w:rsidR="009B3E02">
        <w:t>G</w:t>
      </w:r>
      <w:r w:rsidR="00DA437D">
        <w:t>P</w:t>
      </w:r>
      <w:r>
        <w:t>, antes de su revisión por parte del Banco.  El E</w:t>
      </w:r>
      <w:r w:rsidR="00DA437D">
        <w:t>M-</w:t>
      </w:r>
      <w:r w:rsidR="00D7609D">
        <w:t>EDG</w:t>
      </w:r>
      <w:r w:rsidR="009B3E02">
        <w:t>-MEF</w:t>
      </w:r>
      <w:r>
        <w:t xml:space="preserve">, con el apoyo resto del </w:t>
      </w:r>
      <w:r w:rsidR="00D7609D">
        <w:t>EDG</w:t>
      </w:r>
      <w:r w:rsidR="009B3E02">
        <w:t>-MEF y de</w:t>
      </w:r>
      <w:r w:rsidR="005C5C6C">
        <w:t xml:space="preserve"> los </w:t>
      </w:r>
      <w:r w:rsidR="009B3E02">
        <w:t>EDG-</w:t>
      </w:r>
      <w:r w:rsidR="005C5C6C">
        <w:t>OSE</w:t>
      </w:r>
      <w:r>
        <w:t>, se asegurará que los instrumentos y datos necesarios para efectuar el seguimiento est</w:t>
      </w:r>
      <w:r w:rsidR="00DA437D">
        <w:t>é</w:t>
      </w:r>
      <w:r>
        <w:t xml:space="preserve">n actualizados en aras de que el seguimiento se pueda realizar sin contratiempos. </w:t>
      </w:r>
    </w:p>
    <w:p w14:paraId="45602439" w14:textId="631C40AF" w:rsidR="003E458A" w:rsidRPr="003E458A" w:rsidRDefault="00DA437D" w:rsidP="009B54B5">
      <w:pPr>
        <w:pStyle w:val="Estilo1"/>
      </w:pPr>
      <w:r>
        <w:t>El EM-</w:t>
      </w:r>
      <w:r w:rsidR="00D7609D">
        <w:t>EDG</w:t>
      </w:r>
      <w:r>
        <w:t>, será el responsable último de gestionar los datos requeridos para el monitoreo de los indicadores, los cuales quedarán reflejados en los ISP.</w:t>
      </w:r>
      <w:r w:rsidR="003E458A" w:rsidRPr="003E458A">
        <w:rPr>
          <w:highlight w:val="yellow"/>
        </w:rPr>
        <w:t xml:space="preserve"> </w:t>
      </w:r>
      <w:r w:rsidR="003E458A">
        <w:rPr>
          <w:highlight w:val="yellow"/>
        </w:rPr>
        <w:t xml:space="preserve"> </w:t>
      </w:r>
    </w:p>
    <w:p w14:paraId="7FB75D76" w14:textId="137B3195" w:rsidR="003E458A" w:rsidRDefault="003E458A" w:rsidP="009B54B5">
      <w:pPr>
        <w:pStyle w:val="Estilo1"/>
      </w:pPr>
      <w:r w:rsidRPr="00361638">
        <w:t xml:space="preserve">El </w:t>
      </w:r>
      <w:r w:rsidR="00D7609D">
        <w:t>EDG</w:t>
      </w:r>
      <w:r w:rsidR="009B3E02">
        <w:t>-MEF</w:t>
      </w:r>
      <w:r w:rsidRPr="00361638">
        <w:t xml:space="preserve"> será el encargado de presentar un informe formal de la autoridad competente del </w:t>
      </w:r>
      <w:r w:rsidR="009B3E02">
        <w:t>MEF respecto</w:t>
      </w:r>
      <w:r w:rsidRPr="00361638">
        <w:t xml:space="preserve"> al cumplimiento de los productos establecidos en la MdR, dando cumplimiento al medio de verificación establecido.</w:t>
      </w:r>
      <w:r w:rsidR="009B3E02">
        <w:t xml:space="preserve"> De igual manera, </w:t>
      </w:r>
      <w:r w:rsidR="001F45BF">
        <w:t>cada E</w:t>
      </w:r>
      <w:r w:rsidR="009B3E02">
        <w:t>DG-</w:t>
      </w:r>
      <w:r w:rsidR="001F45BF">
        <w:t>OSE</w:t>
      </w:r>
      <w:r w:rsidR="009B3E02">
        <w:t xml:space="preserve"> </w:t>
      </w:r>
      <w:r w:rsidR="009B3E02" w:rsidRPr="00361638">
        <w:t xml:space="preserve">será el encargado de presentar un informe formal de la autoridad competente </w:t>
      </w:r>
      <w:r w:rsidR="009B3E02">
        <w:t>respecto</w:t>
      </w:r>
      <w:r w:rsidR="009B3E02" w:rsidRPr="00361638">
        <w:t xml:space="preserve"> al cumplimiento de los productos establecidos en la MdR, dando cumplimiento al medio de verificación establecido</w:t>
      </w:r>
      <w:r w:rsidR="009B3E02">
        <w:t>, el cual lo presentará al EDG-MEF como constancia del logro de los productos.</w:t>
      </w:r>
      <w:r w:rsidR="001F45BF">
        <w:t xml:space="preserve"> </w:t>
      </w:r>
      <w:r w:rsidRPr="001F45BF">
        <w:rPr>
          <w:u w:val="single"/>
        </w:rPr>
        <w:t xml:space="preserve">Los mecanismos e instrumentos que se usarán para informar acerca de los </w:t>
      </w:r>
      <w:r w:rsidRPr="001F45BF">
        <w:rPr>
          <w:u w:val="single"/>
        </w:rPr>
        <w:lastRenderedPageBreak/>
        <w:t>resultados del seguimiento serán una fuente de información para las evaluaciones intermedias y el PCR</w:t>
      </w:r>
      <w:r w:rsidR="00D66AF2">
        <w:rPr>
          <w:rStyle w:val="FootnoteReference"/>
        </w:rPr>
        <w:footnoteReference w:id="48"/>
      </w:r>
    </w:p>
    <w:p w14:paraId="7440EADD" w14:textId="7BED0084" w:rsidR="00390FCA" w:rsidRDefault="00390FCA" w:rsidP="009B54B5">
      <w:pPr>
        <w:pStyle w:val="Estilo1"/>
      </w:pPr>
      <w:r w:rsidRPr="00485090">
        <w:rPr>
          <w:b/>
          <w:u w:val="single"/>
        </w:rPr>
        <w:t>Plan de trabajo para el monitoreo del Programa</w:t>
      </w:r>
      <w:r w:rsidR="00485090">
        <w:rPr>
          <w:b/>
          <w:u w:val="single"/>
        </w:rPr>
        <w:t xml:space="preserve">. </w:t>
      </w:r>
      <w:r w:rsidR="00485090">
        <w:t xml:space="preserve"> El Plan de trabajo para el monitoreo del Programa se encuentra establecido en el PME aprobado por el Banco y actualizado conforme la ejecución del Programa.</w:t>
      </w:r>
    </w:p>
    <w:p w14:paraId="65775301" w14:textId="627E0228" w:rsidR="00545760" w:rsidRPr="00B648AC" w:rsidRDefault="00485090" w:rsidP="009B54B5">
      <w:pPr>
        <w:pStyle w:val="Estilo1"/>
      </w:pPr>
      <w:r w:rsidRPr="00485090">
        <w:rPr>
          <w:b/>
          <w:u w:val="single"/>
        </w:rPr>
        <w:t>Evaluación del Programa</w:t>
      </w:r>
      <w:r>
        <w:t xml:space="preserve">. </w:t>
      </w:r>
      <w:r w:rsidR="006F0415" w:rsidRPr="006F0415">
        <w:t xml:space="preserve">El proyecto incluirá una </w:t>
      </w:r>
      <w:r w:rsidR="006F0415" w:rsidRPr="001F45BF">
        <w:rPr>
          <w:b/>
          <w:bCs/>
        </w:rPr>
        <w:t>evaluación intermedia y final</w:t>
      </w:r>
      <w:r w:rsidR="006F0415" w:rsidRPr="006F0415">
        <w:t xml:space="preserve"> que cubrirá aspectos técnicos, administrativos y financieros. Además, el proyecto incluirá una </w:t>
      </w:r>
      <w:r w:rsidR="006F0415" w:rsidRPr="001F45BF">
        <w:rPr>
          <w:b/>
          <w:bCs/>
        </w:rPr>
        <w:t>evaluación de costo beneficio ex post.</w:t>
      </w:r>
      <w:r w:rsidR="006F0415">
        <w:t xml:space="preserve"> </w:t>
      </w:r>
      <w:r w:rsidR="00545760" w:rsidRPr="00B648AC">
        <w:t xml:space="preserve">El OE </w:t>
      </w:r>
      <w:r w:rsidR="006F0415">
        <w:t xml:space="preserve">contratará </w:t>
      </w:r>
      <w:r w:rsidR="006F4453">
        <w:t xml:space="preserve">la </w:t>
      </w:r>
      <w:r w:rsidR="006F4453" w:rsidRPr="00B648AC">
        <w:t>evaluación</w:t>
      </w:r>
      <w:r w:rsidR="00545760" w:rsidRPr="00B648AC">
        <w:t xml:space="preserve"> de medio término y </w:t>
      </w:r>
      <w:r w:rsidR="006F4453">
        <w:t>final</w:t>
      </w:r>
      <w:r w:rsidR="00545760" w:rsidRPr="00B648AC">
        <w:t xml:space="preserve">. Los TDR para estas evaluaciones serán acordadas con el Banco antes de la contratación. El </w:t>
      </w:r>
      <w:r w:rsidR="006F4453">
        <w:t xml:space="preserve">OE </w:t>
      </w:r>
      <w:r w:rsidR="00545760" w:rsidRPr="00B648AC">
        <w:t xml:space="preserve">también </w:t>
      </w:r>
      <w:r w:rsidR="004B2B99" w:rsidRPr="00B648AC">
        <w:t xml:space="preserve">contratará </w:t>
      </w:r>
      <w:r w:rsidR="006F4453">
        <w:t>la evaluación de costo beneficio ex post</w:t>
      </w:r>
      <w:r w:rsidR="00545760" w:rsidRPr="00B648AC">
        <w:t>.</w:t>
      </w:r>
    </w:p>
    <w:p w14:paraId="72C7CD41" w14:textId="54677A92" w:rsidR="00B25BF4" w:rsidRDefault="00485090" w:rsidP="009B54B5">
      <w:pPr>
        <w:pStyle w:val="Estilo1"/>
      </w:pPr>
      <w:r w:rsidRPr="00476E26">
        <w:rPr>
          <w:b/>
        </w:rPr>
        <w:t>Evaluación de Medio Término</w:t>
      </w:r>
      <w:r>
        <w:t xml:space="preserve">. </w:t>
      </w:r>
      <w:r w:rsidR="00F95A9A" w:rsidRPr="00F95A9A">
        <w:t>La evaluación intermedia se realizará cuando se haya producido el primero de los dos eventos siguientes: que se haya realizado el 40% de los desembolsos o hayan pasado dos años y medio de la ejecución del proyecto</w:t>
      </w:r>
      <w:r w:rsidR="002E319F">
        <w:t xml:space="preserve"> </w:t>
      </w:r>
      <w:r w:rsidR="002E319F" w:rsidRPr="002E319F">
        <w:t>(lo que ocurra primero)</w:t>
      </w:r>
      <w:r w:rsidR="00F95A9A" w:rsidRPr="00F95A9A">
        <w:t xml:space="preserve">. </w:t>
      </w:r>
      <w:r w:rsidR="008B5CFD" w:rsidRPr="008B5CFD">
        <w:t xml:space="preserve">Esa evaluación tendrá como principales objetivos revisar el grado de avance y cumplimento de los indicadores de producto incluidos en la </w:t>
      </w:r>
      <w:r w:rsidR="00B46B91">
        <w:t>MdR</w:t>
      </w:r>
      <w:r w:rsidR="008B5CFD" w:rsidRPr="008B5CFD">
        <w:t>, las posibles desviaciones ocurridas, las causas de éstas y proponer medidas correctivas a ser aplicadas, además de presentar la ocurrencia de los riesgos previstos en la matriz correspondiente y la aplicación de las medidas</w:t>
      </w:r>
      <w:r w:rsidR="00343C51">
        <w:t xml:space="preserve"> de mitigación</w:t>
      </w:r>
      <w:r w:rsidR="008B5CFD" w:rsidRPr="008B5CFD">
        <w:t>.</w:t>
      </w:r>
      <w:r w:rsidR="00B25BF4">
        <w:t xml:space="preserve"> La evaluación intermedia deberá incluir </w:t>
      </w:r>
      <w:r w:rsidR="005A56F5">
        <w:t xml:space="preserve">al menos </w:t>
      </w:r>
      <w:r w:rsidR="00B25BF4">
        <w:t xml:space="preserve">lo siguiente: </w:t>
      </w:r>
    </w:p>
    <w:p w14:paraId="761A1877" w14:textId="53263529" w:rsidR="00B25BF4" w:rsidRDefault="00B25BF4" w:rsidP="009B54B5">
      <w:pPr>
        <w:pStyle w:val="numeradorom"/>
        <w:numPr>
          <w:ilvl w:val="2"/>
          <w:numId w:val="20"/>
        </w:numPr>
      </w:pPr>
      <w:r>
        <w:t xml:space="preserve">Una revisión de los desembolsos y contrataciones del Proyecto con referencia a la documentación aprobada </w:t>
      </w:r>
      <w:r w:rsidR="00343C51">
        <w:t>(PEP, POA)</w:t>
      </w:r>
      <w:r>
        <w:t xml:space="preserve">. Identificar cualquier déficit o rezago y las causas de estos, a fin de proponer acciones correctivas (y generar lecciones aprendidas para futuros proyectos), así como cualquier ahorro en términos presupuestales o de tiempos. </w:t>
      </w:r>
    </w:p>
    <w:p w14:paraId="6229961F" w14:textId="7A3924F4" w:rsidR="00B25BF4" w:rsidRDefault="00B25BF4" w:rsidP="009B54B5">
      <w:pPr>
        <w:pStyle w:val="numeradorom"/>
        <w:numPr>
          <w:ilvl w:val="2"/>
          <w:numId w:val="20"/>
        </w:numPr>
      </w:pPr>
      <w:r>
        <w:t xml:space="preserve">Una revisión del avance de los indicadores de la </w:t>
      </w:r>
      <w:r w:rsidR="00343C51">
        <w:t>MdR</w:t>
      </w:r>
      <w:r>
        <w:t xml:space="preserve">, incluyendo una revisión del soporte documental o físico de los mismos. Se identificará cualquier déficit o rezago de cumplimiento y analizará las causas de este, a fin de proponer acciones correctivas. Adicionalmente, se hará nota de cualquier ajuste que se haya hecho a la matriz de resultados durante la implementación del proyecto (del indicador mismo, su valor de línea de base o las metas) </w:t>
      </w:r>
    </w:p>
    <w:p w14:paraId="70711E11" w14:textId="77777777" w:rsidR="00B25BF4" w:rsidRDefault="00B25BF4" w:rsidP="009B54B5">
      <w:pPr>
        <w:pStyle w:val="numeradorom"/>
        <w:numPr>
          <w:ilvl w:val="2"/>
          <w:numId w:val="20"/>
        </w:numPr>
      </w:pPr>
      <w:r>
        <w:t xml:space="preserve">Identificar los resultados imprevistos (no incluidos en el objetivo declarado o la matriz de resultados) observados hasta la fecha y presentar evidencia del efecto directo del proyecto sobre los mismos. </w:t>
      </w:r>
    </w:p>
    <w:p w14:paraId="3E9B6737" w14:textId="77777777" w:rsidR="00B25BF4" w:rsidRDefault="00B25BF4" w:rsidP="009B54B5">
      <w:pPr>
        <w:pStyle w:val="numeradorom"/>
        <w:numPr>
          <w:ilvl w:val="2"/>
          <w:numId w:val="20"/>
        </w:numPr>
      </w:pPr>
      <w:r>
        <w:t xml:space="preserve">Sobre la base de la matriz de riesgos del Proyecto,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6AD37854" w14:textId="77777777" w:rsidR="00B25BF4" w:rsidRDefault="00B25BF4" w:rsidP="009B54B5">
      <w:pPr>
        <w:pStyle w:val="numeradorom"/>
        <w:numPr>
          <w:ilvl w:val="2"/>
          <w:numId w:val="20"/>
        </w:numPr>
      </w:pPr>
      <w:r>
        <w:t xml:space="preserve">Una revisión de la administración del proyecto y su impacto en el éxito del proyecto hasta la fecha, incluyendo: (a) los mandatos, las relaciones, las estructuras, los recursos las capacidades del organismo ejecutor y del organismo subejecutor, y su coordinación con otras entidades involucradas; (b) la gestión fiduciaria (gestión financiera y de adquisiciones); (c) cualquier conducta o acción de algún participante público o privado; (d) aspectos jurídicos o normativos, del país o del Banco; y (e) cualquier otro factor influyente. </w:t>
      </w:r>
    </w:p>
    <w:p w14:paraId="2FA3D5D9" w14:textId="7A183961" w:rsidR="00B25BF4" w:rsidRPr="00770D4A" w:rsidRDefault="00B25BF4" w:rsidP="009B54B5">
      <w:pPr>
        <w:pStyle w:val="numeradorom"/>
        <w:numPr>
          <w:ilvl w:val="2"/>
          <w:numId w:val="20"/>
        </w:numPr>
      </w:pPr>
      <w:r>
        <w:t xml:space="preserve">Una sección de conclusiones y recomendaciones con base en toda la información recopilada. </w:t>
      </w:r>
    </w:p>
    <w:p w14:paraId="2AB194B6" w14:textId="5608D0FA" w:rsidR="00C35B02" w:rsidRDefault="0094125F" w:rsidP="009B54B5">
      <w:pPr>
        <w:pStyle w:val="Estilo1"/>
      </w:pPr>
      <w:r w:rsidRPr="0094125F">
        <w:rPr>
          <w:b/>
          <w:u w:val="single"/>
        </w:rPr>
        <w:t>Evaluación Final del Programa</w:t>
      </w:r>
      <w:r>
        <w:t xml:space="preserve">. </w:t>
      </w:r>
      <w:r w:rsidR="005A56F5" w:rsidRPr="005A56F5">
        <w:t xml:space="preserve">La evaluación final se realizará cuando se haya realizado al menos el 90% de los desembolsos. </w:t>
      </w:r>
      <w:r w:rsidR="00F1066C" w:rsidRPr="00F1066C">
        <w:t>y su propósito será establecer el grado de cumplimiento de los objetivos de desarrollo del programa utilizando los indicadores en la matriz de resultados y el análisis económico ex post del proyecto</w:t>
      </w:r>
      <w:r w:rsidR="005A56F5" w:rsidRPr="005A56F5">
        <w:t>.</w:t>
      </w:r>
      <w:r>
        <w:t xml:space="preserve"> </w:t>
      </w:r>
      <w:r w:rsidR="00C35B02" w:rsidRPr="00C35B02">
        <w:t>La evaluación final incluirá una versión actualizada de las actividades enumeradas para la evaluación intermedia, así como las siguientes actividades, consistentes con las directrices del Banco:</w:t>
      </w:r>
    </w:p>
    <w:p w14:paraId="10C5D8B5" w14:textId="77777777" w:rsidR="004B78DE" w:rsidRDefault="004B78DE" w:rsidP="009B54B5">
      <w:pPr>
        <w:pStyle w:val="numeradorom"/>
        <w:numPr>
          <w:ilvl w:val="2"/>
          <w:numId w:val="21"/>
        </w:numPr>
      </w:pPr>
      <w:r w:rsidRPr="004F1EFB">
        <w:rPr>
          <w:b/>
        </w:rPr>
        <w:lastRenderedPageBreak/>
        <w:t>Análisis de la lógica vertical</w:t>
      </w:r>
      <w:r>
        <w:t>: la evaluación final de la validez del vínculo entre los productos, los resultados esperados y el resultado deseado (cadena de resultados). La evaluación evaluará el alcance de los resultados según lo desarrollado.</w:t>
      </w:r>
    </w:p>
    <w:p w14:paraId="11175A98" w14:textId="77777777" w:rsidR="004B78DE" w:rsidRDefault="004B78DE" w:rsidP="009B54B5">
      <w:pPr>
        <w:pStyle w:val="numeradorom"/>
        <w:numPr>
          <w:ilvl w:val="2"/>
          <w:numId w:val="21"/>
        </w:numPr>
      </w:pPr>
      <w:r w:rsidRPr="004F1EFB">
        <w:rPr>
          <w:b/>
        </w:rPr>
        <w:t>Análisis de atribución de resultados</w:t>
      </w:r>
      <w:r>
        <w:t xml:space="preserve">: en relación con el punto anterior sobre el análisis de la lógica vertical, la evaluación también evaluará el alcance de los cambios observados en los resultados o los resultados del proyecto. </w:t>
      </w:r>
    </w:p>
    <w:p w14:paraId="47FB2D98" w14:textId="77777777" w:rsidR="004B78DE" w:rsidRDefault="004B78DE" w:rsidP="009B54B5">
      <w:pPr>
        <w:pStyle w:val="numeradorom"/>
        <w:numPr>
          <w:ilvl w:val="2"/>
          <w:numId w:val="21"/>
        </w:numPr>
      </w:pPr>
      <w:r>
        <w:t xml:space="preserve"> </w:t>
      </w:r>
      <w:r w:rsidRPr="004F1EFB">
        <w:rPr>
          <w:b/>
        </w:rPr>
        <w:t>Análisis de relevancia</w:t>
      </w:r>
      <w:r>
        <w:t>: "Relevancia" en este contexto se refiere a la conexión entre los objetivos del proyecto y las necesidades del beneficiario, las prioridades y los objetivos estratégicos de desarrollo del país, la estrategia entre el Banco y el país y los objetivos institucionales del Banco. La relevancia se evalúa a través de un análisis de las circunstancias durante el diseño del proyecto, y debe responder la siguiente pregunta: ¿Han cambiado las condiciones que determinaron la relevancia presentada durante el diseño desde la aprobación del proyecto?</w:t>
      </w:r>
    </w:p>
    <w:p w14:paraId="0A10F8CA" w14:textId="77777777" w:rsidR="004B78DE" w:rsidRDefault="004B78DE" w:rsidP="009B54B5">
      <w:pPr>
        <w:pStyle w:val="numeradorom"/>
        <w:numPr>
          <w:ilvl w:val="2"/>
          <w:numId w:val="21"/>
        </w:numPr>
      </w:pPr>
      <w:r w:rsidRPr="004F1EFB">
        <w:rPr>
          <w:b/>
        </w:rPr>
        <w:t>Análisis de sostenibilidad</w:t>
      </w:r>
      <w:r>
        <w:t>: Tomando en consideración (a) los resultados logrados por el proyecto; y (b) la relevancia del proyecto, el análisis de sostenibilidad se enfoca en el examen de los factores que podrían afectar la continuidad de los resultados logrados y el logro futuro de los proyectos. Los resultados previstos o el análisis de sostenibilidad deben tener en cuenta la probabilidad de las amenazas identificadas para la continuidad más allá del cierre del proyecto, así como su impacto potencial a la luz de los mecanismos de mitigación implementados durante el diseño o ejecución del proyecto.</w:t>
      </w:r>
    </w:p>
    <w:p w14:paraId="48250552" w14:textId="77777777" w:rsidR="004B78DE" w:rsidRDefault="004B78DE" w:rsidP="009B54B5">
      <w:pPr>
        <w:pStyle w:val="numeradorom"/>
        <w:numPr>
          <w:ilvl w:val="2"/>
          <w:numId w:val="21"/>
        </w:numPr>
      </w:pPr>
      <w:r w:rsidRPr="004F1EFB">
        <w:rPr>
          <w:b/>
        </w:rPr>
        <w:t>Análisis de la contribución a los objetivos estratégicos del Banco</w:t>
      </w:r>
      <w:r>
        <w:t xml:space="preserve"> (institucionales, sectoriales y de país) </w:t>
      </w:r>
      <w:r w:rsidRPr="004F1EFB">
        <w:rPr>
          <w:b/>
        </w:rPr>
        <w:t>y estratégicos nacionales</w:t>
      </w:r>
      <w:r>
        <w:t xml:space="preserve"> (consagrados en el plan nacional de desarrollo u otro documento oficial).</w:t>
      </w:r>
    </w:p>
    <w:p w14:paraId="4F49ED82" w14:textId="77777777" w:rsidR="004B78DE" w:rsidRDefault="004B78DE" w:rsidP="009B54B5">
      <w:pPr>
        <w:pStyle w:val="numeradorom"/>
        <w:numPr>
          <w:ilvl w:val="2"/>
          <w:numId w:val="21"/>
        </w:numPr>
      </w:pPr>
      <w:r w:rsidRPr="004F1EFB">
        <w:rPr>
          <w:b/>
        </w:rPr>
        <w:t>Análisis de la calidad del plan de M &amp; E del proyecto</w:t>
      </w:r>
      <w:r>
        <w:t>, su implementación y el uso de la información generada, respondiendo las siguientes preguntas: (a) ¿Los indicadores fueron adecuados para capturar las principales intervenciones y el proyecto?; (b) ¿Los medios de verificación previstos en la matriz de resultados permiten la compilación de la información necesaria para actualizar la matriz de resultados?; (c) ¿Con qué frecuencia se actualizó la matriz de resultados?; y (d) ¿Cuáles fueron los usos dados a la información generada por el plan de M &amp; E? ¿Se utilizó el plan para informar o mejorar la implementación del proyecto?</w:t>
      </w:r>
    </w:p>
    <w:p w14:paraId="62298272" w14:textId="77777777" w:rsidR="004B78DE" w:rsidRDefault="004B78DE" w:rsidP="009B54B5">
      <w:pPr>
        <w:pStyle w:val="numeradorom"/>
        <w:numPr>
          <w:ilvl w:val="2"/>
          <w:numId w:val="21"/>
        </w:numPr>
      </w:pPr>
      <w:r w:rsidRPr="004F1EFB">
        <w:rPr>
          <w:b/>
        </w:rPr>
        <w:t>Uso de sistemas nacionales</w:t>
      </w:r>
      <w:r>
        <w:t>. En esta sección se revisará el grado en que la ejecución del proyecto contribuyó al fortalecimiento de los sistemas nacionales, tanto fiduciarios (gestión financiera y adquisiciones) como no fiduciarios (planificación estratégica, monitoreo y evaluación, estadísticas y evaluaciones de impacto ambiental), como relevantes para el proyecto.</w:t>
      </w:r>
    </w:p>
    <w:p w14:paraId="24044055" w14:textId="45CFE064" w:rsidR="00F1066C" w:rsidRPr="00001755" w:rsidRDefault="004B78DE" w:rsidP="009B54B5">
      <w:pPr>
        <w:pStyle w:val="numeradorom"/>
        <w:numPr>
          <w:ilvl w:val="2"/>
          <w:numId w:val="21"/>
        </w:numPr>
      </w:pPr>
      <w:r w:rsidRPr="004F1EFB">
        <w:rPr>
          <w:b/>
        </w:rPr>
        <w:t>Conclusiones y recomendaciones derivadas de la evidencia reunida en el curso de la evaluación</w:t>
      </w:r>
      <w:r>
        <w:t>. Las recomendaciones se harán al país para fortalecer la sostenibilidad del proyecto y del Banco para mejorar su desempeño en otros proyectos en el país u otros proyectos similares en otros países.</w:t>
      </w:r>
    </w:p>
    <w:p w14:paraId="4E8E8358" w14:textId="5B08F2F8" w:rsidR="00001755" w:rsidRDefault="00001755" w:rsidP="009B54B5">
      <w:pPr>
        <w:pStyle w:val="Estilo1"/>
      </w:pPr>
      <w:r w:rsidRPr="00001755">
        <w:t>La evaluación final, de carácter descriptivo, consistirá en un análisis exhaustivo del Proyecto, similar al formato del Informe de Terminación del Proyecto (PCR por sus siglas en inglés)</w:t>
      </w:r>
      <w:r w:rsidR="00097C74">
        <w:rPr>
          <w:rStyle w:val="FootnoteReference"/>
        </w:rPr>
        <w:footnoteReference w:id="49"/>
      </w:r>
      <w:r w:rsidRPr="00001755">
        <w:t xml:space="preserve"> incluyendo los aspectos mencionados para la evaluación intermedia</w:t>
      </w:r>
      <w:r w:rsidR="00B46B91">
        <w:rPr>
          <w:rStyle w:val="FootnoteReference"/>
        </w:rPr>
        <w:footnoteReference w:id="50"/>
      </w:r>
      <w:r w:rsidR="00097C74" w:rsidRPr="00770D4A">
        <w:t xml:space="preserve">.  </w:t>
      </w:r>
    </w:p>
    <w:p w14:paraId="3C94202D" w14:textId="0FBEC563" w:rsidR="00B46B91" w:rsidRDefault="0094125F" w:rsidP="009B54B5">
      <w:pPr>
        <w:pStyle w:val="Estilo1"/>
      </w:pPr>
      <w:r w:rsidRPr="002F76DD">
        <w:rPr>
          <w:b/>
          <w:u w:val="single"/>
        </w:rPr>
        <w:t>Análisis Económico Ex post</w:t>
      </w:r>
      <w:r w:rsidRPr="002F76DD">
        <w:t>.</w:t>
      </w:r>
      <w:r>
        <w:t xml:space="preserve"> </w:t>
      </w:r>
      <w:r w:rsidR="00B46B91" w:rsidRPr="00B46B91">
        <w:t>El análisis costo-beneficio (ACB) ex post se realizará una vez realizado el último desembolso del préstamo. Para calcular la tasa de retorno ex post, se utilizarán los costos de inversión y operación y mantenimiento efectivamente incurridos.  Los beneficios serán los mismos que se usaron en el análisis ex ante ajustados a precios al año en el cual se efectúe el análisis ex -post. El objetivo de llevar a cabo dicho análisis es estimar la tasa de retorno que efectivamente generó el proyecto. Se alimentará de registros administrativos del MEF</w:t>
      </w:r>
      <w:r w:rsidR="002F76DD">
        <w:t xml:space="preserve">, </w:t>
      </w:r>
      <w:r w:rsidR="00B46B91" w:rsidRPr="00B46B91">
        <w:t xml:space="preserve">de la </w:t>
      </w:r>
      <w:r w:rsidR="002F76DD">
        <w:t>VPR y de la SGP</w:t>
      </w:r>
      <w:r w:rsidR="00B46B91" w:rsidRPr="00B46B91">
        <w:t xml:space="preserve">. </w:t>
      </w:r>
    </w:p>
    <w:p w14:paraId="5F40FFF5" w14:textId="77777777" w:rsidR="007775CC" w:rsidRDefault="002F76DD" w:rsidP="009B54B5">
      <w:pPr>
        <w:pStyle w:val="Estilo1"/>
      </w:pPr>
      <w:r w:rsidRPr="00616C1C">
        <w:rPr>
          <w:b/>
          <w:u w:val="single"/>
        </w:rPr>
        <w:lastRenderedPageBreak/>
        <w:t>Evaluación de Impacto</w:t>
      </w:r>
      <w:r w:rsidRPr="002F76DD">
        <w:t>.</w:t>
      </w:r>
      <w:r>
        <w:t xml:space="preserve"> L</w:t>
      </w:r>
      <w:r w:rsidRPr="002F76DD">
        <w:t>a metodología de evaluación del programa de simplificación de trámites para el cierre de empresas en Ecuador</w:t>
      </w:r>
      <w:r>
        <w:t xml:space="preserve"> se describe en la sección del mismo nombre en el PME</w:t>
      </w:r>
      <w:r w:rsidRPr="002F76DD">
        <w:t>. En l</w:t>
      </w:r>
      <w:r>
        <w:t xml:space="preserve">os literales </w:t>
      </w:r>
      <w:r w:rsidRPr="002F76DD">
        <w:t xml:space="preserve">a y b </w:t>
      </w:r>
      <w:r>
        <w:t xml:space="preserve">se describe la </w:t>
      </w:r>
      <w:r w:rsidRPr="002F76DD">
        <w:t xml:space="preserve">de </w:t>
      </w:r>
      <w:r>
        <w:t xml:space="preserve">la </w:t>
      </w:r>
      <w:r w:rsidRPr="002F76DD">
        <w:t>propuesta definiendo las preguntas de investigación y el conocimiento existente. La sección c lista resultados clave. Las secciones d y e describen la metodología de evaluación. La sección f describe el reporte de resultados. La sección g describe el plan de trabajo y acuerdos de coordinación para llevar a cabo la evaluación.</w:t>
      </w:r>
      <w:r>
        <w:t xml:space="preserve"> La evaluac</w:t>
      </w:r>
      <w:r w:rsidR="00616C1C">
        <w:t xml:space="preserve">ión de impacto será </w:t>
      </w:r>
      <w:r w:rsidR="00C00C1E">
        <w:t xml:space="preserve">contratada por el </w:t>
      </w:r>
      <w:r w:rsidR="00616C1C">
        <w:t>OE</w:t>
      </w:r>
      <w:r w:rsidR="00C00C1E">
        <w:t xml:space="preserve"> previa no objeción del Banco a los TDR que deberán basarse en la metodología aprobada en el PME</w:t>
      </w:r>
      <w:r w:rsidR="00616C1C">
        <w:t>.</w:t>
      </w:r>
    </w:p>
    <w:p w14:paraId="0A7E7C99" w14:textId="24F34D49" w:rsidR="007775CC" w:rsidRPr="00770D4A" w:rsidRDefault="006A0F3C" w:rsidP="008161F2">
      <w:pPr>
        <w:pStyle w:val="Estilo1"/>
      </w:pPr>
      <w:r w:rsidRPr="006A0F3C">
        <w:t>De manera complementaria, se llevará a cabo la evaluación de resultados e impactos de los instrumentos de apoyo a la innovación y emprendimiento previstos en el componente 1 (Párrafo 1.23(</w:t>
      </w:r>
      <w:proofErr w:type="spellStart"/>
      <w:r w:rsidRPr="006A0F3C">
        <w:t>iii</w:t>
      </w:r>
      <w:proofErr w:type="spellEnd"/>
      <w:r w:rsidRPr="006A0F3C">
        <w:t>) de la Propuesta de Préstamo)</w:t>
      </w:r>
      <w:bookmarkStart w:id="83" w:name="_Hlk24029919"/>
      <w:r w:rsidRPr="006A0F3C">
        <w:t>.</w:t>
      </w:r>
      <w:bookmarkEnd w:id="83"/>
      <w:r w:rsidR="00320EDE">
        <w:t xml:space="preserve"> </w:t>
      </w:r>
      <w:r>
        <w:t xml:space="preserve"> </w:t>
      </w:r>
      <w:r w:rsidR="007775CC" w:rsidRPr="007775CC">
        <w:t>Se implementará una estrategia de evaluación mixta que combine métodos cuantitativos y cualitativos para identificar y cuantificar los efectos atribuibles a los pilotos. En primer lugar, mediante diversas técnicas econométricas no experimentales (típicamente diferencias en diferencias con grupos de control) se calcularán los impactos del financiamiento empresarial sobre los esfuerzos de inversión en innovación, productividad, resultados de innovación y el desempeño económico real o proyectado (</w:t>
      </w:r>
      <w:r w:rsidR="00447B43" w:rsidRPr="007775CC">
        <w:t>ventas,</w:t>
      </w:r>
      <w:r w:rsidR="007775CC" w:rsidRPr="007775CC">
        <w:t xml:space="preserve"> </w:t>
      </w:r>
      <w:bookmarkStart w:id="84" w:name="_GoBack"/>
      <w:bookmarkEnd w:id="84"/>
      <w:r w:rsidR="007775CC" w:rsidRPr="007775CC">
        <w:t>por ejemplo) de las empresas atendidas por el programa vs un grupo de control. La línea de base se levantará con encuestas que rellenarán las empresas al momento de las convocatorias. Por último, se realizará una evaluación cualitativa por medio de entrevistas en profundidad con el objetivo de comprender cómo son los procesos de gestión, la estructura organizacional y las principales barreras enfrentadas durante el proceso.</w:t>
      </w:r>
    </w:p>
    <w:p w14:paraId="64A81619" w14:textId="70BFCD46" w:rsidR="00EA49CC" w:rsidRPr="00142566" w:rsidRDefault="004A2C67" w:rsidP="009F3496">
      <w:pPr>
        <w:pStyle w:val="Heading1"/>
      </w:pPr>
      <w:bookmarkStart w:id="85" w:name="_Toc454056462"/>
      <w:bookmarkStart w:id="86" w:name="_Toc23797315"/>
      <w:r w:rsidRPr="00142566">
        <w:lastRenderedPageBreak/>
        <w:t xml:space="preserve">Estructura </w:t>
      </w:r>
      <w:r w:rsidR="00EA49CC" w:rsidRPr="00142566">
        <w:t>Administra</w:t>
      </w:r>
      <w:r w:rsidRPr="00142566">
        <w:t>tiva</w:t>
      </w:r>
      <w:r w:rsidR="00197CAF" w:rsidRPr="00142566">
        <w:t xml:space="preserve"> </w:t>
      </w:r>
      <w:r w:rsidR="00391896">
        <w:t xml:space="preserve">para la </w:t>
      </w:r>
      <w:r w:rsidR="00E87B61" w:rsidRPr="00142566">
        <w:t xml:space="preserve">Gestión </w:t>
      </w:r>
      <w:r w:rsidR="00EA49CC" w:rsidRPr="00142566">
        <w:t>el Programa</w:t>
      </w:r>
      <w:bookmarkEnd w:id="82"/>
      <w:bookmarkEnd w:id="85"/>
      <w:bookmarkEnd w:id="86"/>
    </w:p>
    <w:p w14:paraId="4FE5B2D1" w14:textId="7F00F454" w:rsidR="00661363" w:rsidRDefault="00701174" w:rsidP="00A94976">
      <w:pPr>
        <w:pStyle w:val="Heading2"/>
        <w:numPr>
          <w:ilvl w:val="0"/>
          <w:numId w:val="8"/>
        </w:numPr>
      </w:pPr>
      <w:bookmarkStart w:id="87" w:name="_Toc23797316"/>
      <w:bookmarkStart w:id="88" w:name="_Toc424879205"/>
      <w:bookmarkStart w:id="89" w:name="_Toc446407144"/>
      <w:r>
        <w:t xml:space="preserve">Funciones </w:t>
      </w:r>
      <w:r w:rsidR="000A0046">
        <w:t>y Responsabilidades de</w:t>
      </w:r>
      <w:r w:rsidR="00911A1C">
        <w:t xml:space="preserve"> los miembros del </w:t>
      </w:r>
      <w:r w:rsidR="00D7609D">
        <w:t>EDG</w:t>
      </w:r>
      <w:r w:rsidR="00A656DC">
        <w:t>-MEF</w:t>
      </w:r>
      <w:bookmarkEnd w:id="87"/>
      <w:r w:rsidR="00911A1C">
        <w:t xml:space="preserve"> </w:t>
      </w:r>
    </w:p>
    <w:p w14:paraId="58589A9E" w14:textId="3288F72A" w:rsidR="00701342" w:rsidRPr="007C4D3E" w:rsidRDefault="00701342" w:rsidP="009B54B5">
      <w:pPr>
        <w:pStyle w:val="Estilo1"/>
      </w:pPr>
      <w:r>
        <w:t xml:space="preserve">El </w:t>
      </w:r>
      <w:r w:rsidR="00D7609D">
        <w:t>EDG</w:t>
      </w:r>
      <w:r w:rsidR="00A656DC">
        <w:t xml:space="preserve">-MEF </w:t>
      </w:r>
      <w:r>
        <w:t>estará constituido</w:t>
      </w:r>
      <w:r w:rsidR="005941EE">
        <w:t xml:space="preserve"> al menos</w:t>
      </w:r>
      <w:r>
        <w:t xml:space="preserve"> por un Coordinador </w:t>
      </w:r>
      <w:r w:rsidR="00A656DC">
        <w:t>General d</w:t>
      </w:r>
      <w:r>
        <w:t>el Programa (C</w:t>
      </w:r>
      <w:r w:rsidR="00A656DC">
        <w:t>GP</w:t>
      </w:r>
      <w:r>
        <w:t>), un Especialista en Monitoreo y Evaluación (EM</w:t>
      </w:r>
      <w:r w:rsidR="00A656DC">
        <w:t>-EDG</w:t>
      </w:r>
      <w:r>
        <w:t>), un Especialista de Adquisiciones (EA-</w:t>
      </w:r>
      <w:r w:rsidR="00D7609D">
        <w:t>EDG</w:t>
      </w:r>
      <w:r>
        <w:t>), un Especialista Financiero (EF-</w:t>
      </w:r>
      <w:r w:rsidR="00D7609D">
        <w:t>EDG</w:t>
      </w:r>
      <w:r>
        <w:t xml:space="preserve">), que tendrán las siguientes funciones y responsabilidades: </w:t>
      </w:r>
    </w:p>
    <w:p w14:paraId="31FDDE31" w14:textId="1ED1B8DE" w:rsidR="00911A1C" w:rsidRDefault="007C4D3E" w:rsidP="00BD5D10">
      <w:pPr>
        <w:pStyle w:val="Heading3"/>
        <w:rPr>
          <w:lang w:eastAsia="es-ES"/>
        </w:rPr>
      </w:pPr>
      <w:r w:rsidRPr="00701174">
        <w:rPr>
          <w:lang w:eastAsia="es-ES"/>
        </w:rPr>
        <w:t xml:space="preserve">Coordinador </w:t>
      </w:r>
      <w:r w:rsidR="0041285F" w:rsidRPr="00701174">
        <w:rPr>
          <w:lang w:eastAsia="es-ES"/>
        </w:rPr>
        <w:t xml:space="preserve">General </w:t>
      </w:r>
      <w:r w:rsidRPr="00701174">
        <w:rPr>
          <w:lang w:eastAsia="es-ES"/>
        </w:rPr>
        <w:t>del Programa</w:t>
      </w:r>
      <w:r>
        <w:rPr>
          <w:lang w:eastAsia="es-ES"/>
        </w:rPr>
        <w:t xml:space="preserve"> (C</w:t>
      </w:r>
      <w:r w:rsidR="00A656DC">
        <w:rPr>
          <w:lang w:eastAsia="es-ES"/>
        </w:rPr>
        <w:t>GP</w:t>
      </w:r>
      <w:r>
        <w:rPr>
          <w:lang w:eastAsia="es-ES"/>
        </w:rPr>
        <w:t>-</w:t>
      </w:r>
      <w:r w:rsidR="00D7609D">
        <w:rPr>
          <w:lang w:eastAsia="es-ES"/>
        </w:rPr>
        <w:t>EDG</w:t>
      </w:r>
      <w:r>
        <w:rPr>
          <w:lang w:eastAsia="es-ES"/>
        </w:rPr>
        <w:t>)</w:t>
      </w:r>
    </w:p>
    <w:p w14:paraId="5D206F8D" w14:textId="77777777" w:rsidR="007C4D3E" w:rsidRDefault="007C4D3E" w:rsidP="009B54B5">
      <w:pPr>
        <w:pStyle w:val="numeradorom"/>
        <w:numPr>
          <w:ilvl w:val="2"/>
          <w:numId w:val="12"/>
        </w:numPr>
        <w:rPr>
          <w:lang w:eastAsia="es-ES"/>
        </w:rPr>
      </w:pPr>
      <w:r>
        <w:rPr>
          <w:lang w:eastAsia="es-ES"/>
        </w:rPr>
        <w:t>Gestionar la ejecución del Programa, enfocado en el logro de los productos y resultados establecidos en la MdR, asegurando el cumplimiento de presupuestos, cronogramas, calidad y satisfacción de los interesados, dando cumplimiento a lo estipulado en el Contrato de Préstamo, el ROP y demás normas y políticas que rigen la ejecución del Programa.</w:t>
      </w:r>
    </w:p>
    <w:p w14:paraId="40645B79" w14:textId="1D60E9F0" w:rsidR="007C4D3E" w:rsidRDefault="007C4D3E" w:rsidP="009B54B5">
      <w:pPr>
        <w:pStyle w:val="numeradorom"/>
        <w:numPr>
          <w:ilvl w:val="2"/>
          <w:numId w:val="12"/>
        </w:numPr>
        <w:rPr>
          <w:lang w:eastAsia="es-ES"/>
        </w:rPr>
      </w:pPr>
      <w:r>
        <w:rPr>
          <w:lang w:eastAsia="es-ES"/>
        </w:rPr>
        <w:t>Coordinar, gestionar y supervisar: la planificación integral del programa; la gestión financiera, de adquisiciones</w:t>
      </w:r>
      <w:r w:rsidR="00A656DC">
        <w:rPr>
          <w:lang w:eastAsia="es-ES"/>
        </w:rPr>
        <w:t>,</w:t>
      </w:r>
      <w:r>
        <w:rPr>
          <w:lang w:eastAsia="es-ES"/>
        </w:rPr>
        <w:t xml:space="preserve"> de riesgos, de comunicación, de seguimiento, monitoreo y control; la evaluación y los sistemas de información y archivo, de acuerdo a lo dispuesto en el Contrato de Préstamo, el ROP y a las necesidades de ejecución del Programa.  </w:t>
      </w:r>
    </w:p>
    <w:p w14:paraId="6C9BDA99" w14:textId="321E06AF" w:rsidR="005941EE" w:rsidRDefault="005941EE" w:rsidP="009B54B5">
      <w:pPr>
        <w:pStyle w:val="numeradorom"/>
        <w:numPr>
          <w:ilvl w:val="2"/>
          <w:numId w:val="12"/>
        </w:numPr>
        <w:rPr>
          <w:lang w:eastAsia="es-ES"/>
        </w:rPr>
      </w:pPr>
      <w:r>
        <w:rPr>
          <w:lang w:eastAsia="es-ES"/>
        </w:rPr>
        <w:t>Servir de nexo de coordinación e interlocución con el BID, para asegurar la adecuada ejecución del Programa.</w:t>
      </w:r>
    </w:p>
    <w:p w14:paraId="1B63B1DE" w14:textId="505DF63C" w:rsidR="007C4D3E" w:rsidRDefault="007C4D3E" w:rsidP="009B54B5">
      <w:pPr>
        <w:pStyle w:val="numeradorom"/>
        <w:numPr>
          <w:ilvl w:val="2"/>
          <w:numId w:val="12"/>
        </w:numPr>
        <w:rPr>
          <w:lang w:eastAsia="es-ES"/>
        </w:rPr>
      </w:pPr>
      <w:r>
        <w:rPr>
          <w:lang w:eastAsia="es-ES"/>
        </w:rPr>
        <w:t>Coordinar, supervisar, preparar y presentar</w:t>
      </w:r>
      <w:r w:rsidR="001863DC">
        <w:rPr>
          <w:lang w:eastAsia="es-ES"/>
        </w:rPr>
        <w:t xml:space="preserve"> </w:t>
      </w:r>
      <w:r>
        <w:rPr>
          <w:lang w:eastAsia="es-ES"/>
        </w:rPr>
        <w:t>para No objeción del Banco, las herramientas de planificación y gestión</w:t>
      </w:r>
      <w:r w:rsidR="005941EE">
        <w:rPr>
          <w:lang w:eastAsia="es-ES"/>
        </w:rPr>
        <w:t xml:space="preserve"> consolidadas </w:t>
      </w:r>
      <w:r>
        <w:rPr>
          <w:lang w:eastAsia="es-ES"/>
        </w:rPr>
        <w:t>del Programa; los Informes Semestrales de Progreso (ISP)</w:t>
      </w:r>
      <w:r w:rsidR="005941EE">
        <w:rPr>
          <w:lang w:eastAsia="es-ES"/>
        </w:rPr>
        <w:t xml:space="preserve"> consolidados del Programa</w:t>
      </w:r>
      <w:r>
        <w:rPr>
          <w:lang w:eastAsia="es-ES"/>
        </w:rPr>
        <w:t>; el ROP, sus modificaciones y/o actualizaciones; y demás informes administrativos, trámites e instrumentos de gestión fiduciaria (adquisiciones y financieros)</w:t>
      </w:r>
      <w:r w:rsidR="006B3C0A">
        <w:rPr>
          <w:lang w:eastAsia="es-ES"/>
        </w:rPr>
        <w:t xml:space="preserve">, </w:t>
      </w:r>
      <w:r w:rsidR="006B3C0A" w:rsidRPr="006B3C0A">
        <w:rPr>
          <w:lang w:eastAsia="es-ES"/>
        </w:rPr>
        <w:t>Informes Financieros Auditados, Informe de Evaluación de Medio Término, Informe de Evaluación Final</w:t>
      </w:r>
      <w:r w:rsidR="006B3C0A">
        <w:rPr>
          <w:lang w:eastAsia="es-ES"/>
        </w:rPr>
        <w:t>,</w:t>
      </w:r>
      <w:r>
        <w:rPr>
          <w:lang w:eastAsia="es-ES"/>
        </w:rPr>
        <w:t xml:space="preserve"> </w:t>
      </w:r>
      <w:r w:rsidR="00C00C1E">
        <w:rPr>
          <w:lang w:eastAsia="es-ES"/>
        </w:rPr>
        <w:t xml:space="preserve">Análisis económico ex post, </w:t>
      </w:r>
      <w:r w:rsidR="005941EE">
        <w:rPr>
          <w:lang w:eastAsia="es-ES"/>
        </w:rPr>
        <w:t xml:space="preserve">consolidados del Programa </w:t>
      </w:r>
      <w:r w:rsidR="00C00C1E">
        <w:rPr>
          <w:lang w:eastAsia="es-ES"/>
        </w:rPr>
        <w:t xml:space="preserve">y evaluación de impacto </w:t>
      </w:r>
      <w:r>
        <w:rPr>
          <w:lang w:eastAsia="es-ES"/>
        </w:rPr>
        <w:t>que se requieran en los plazos y estructuras establecidos en las normas e instrumentos que rigen la ejecución del Programa</w:t>
      </w:r>
      <w:r w:rsidR="001863DC">
        <w:rPr>
          <w:lang w:eastAsia="es-ES"/>
        </w:rPr>
        <w:t>, verificando las autorizaciones de las autoridades respectivas o sus delegados</w:t>
      </w:r>
      <w:r>
        <w:rPr>
          <w:lang w:eastAsia="es-ES"/>
        </w:rPr>
        <w:t>.</w:t>
      </w:r>
    </w:p>
    <w:p w14:paraId="32A79EE1" w14:textId="480ED3D8" w:rsidR="00433C2C" w:rsidRDefault="00433C2C" w:rsidP="009B54B5">
      <w:pPr>
        <w:pStyle w:val="numeradorom"/>
        <w:numPr>
          <w:ilvl w:val="2"/>
          <w:numId w:val="12"/>
        </w:numPr>
        <w:rPr>
          <w:lang w:eastAsia="es-ES"/>
        </w:rPr>
      </w:pPr>
      <w:r w:rsidRPr="00433C2C">
        <w:rPr>
          <w:lang w:eastAsia="es-ES"/>
        </w:rPr>
        <w:t>Coordinar la ejecución de las actividades que involucran la participación de los OSE, para lograr los productos y resultados establecidos en la MdR.</w:t>
      </w:r>
    </w:p>
    <w:p w14:paraId="5AAB5635" w14:textId="4E59D4F7" w:rsidR="007C4D3E" w:rsidRDefault="007C4D3E" w:rsidP="009B54B5">
      <w:pPr>
        <w:pStyle w:val="numeradorom"/>
        <w:numPr>
          <w:ilvl w:val="2"/>
          <w:numId w:val="12"/>
        </w:numPr>
        <w:rPr>
          <w:lang w:eastAsia="es-ES"/>
        </w:rPr>
      </w:pPr>
      <w:r>
        <w:rPr>
          <w:lang w:eastAsia="es-ES"/>
        </w:rPr>
        <w:t xml:space="preserve">Coordinar con </w:t>
      </w:r>
      <w:r w:rsidR="00C00C1E">
        <w:rPr>
          <w:lang w:eastAsia="es-ES"/>
        </w:rPr>
        <w:t xml:space="preserve">los </w:t>
      </w:r>
      <w:r w:rsidR="00A656DC">
        <w:rPr>
          <w:lang w:eastAsia="es-ES"/>
        </w:rPr>
        <w:t>OSE</w:t>
      </w:r>
      <w:r>
        <w:rPr>
          <w:lang w:eastAsia="es-ES"/>
        </w:rPr>
        <w:t xml:space="preserve">, la presentación de la información, documentación y reportes requeridos, respecto de las actividades </w:t>
      </w:r>
      <w:r w:rsidR="00F502E0">
        <w:rPr>
          <w:lang w:eastAsia="es-ES"/>
        </w:rPr>
        <w:t xml:space="preserve">relacionadas con </w:t>
      </w:r>
      <w:r>
        <w:rPr>
          <w:lang w:eastAsia="es-ES"/>
        </w:rPr>
        <w:t xml:space="preserve">el </w:t>
      </w:r>
      <w:r w:rsidR="00A656DC">
        <w:rPr>
          <w:lang w:eastAsia="es-ES"/>
        </w:rPr>
        <w:t>Programa</w:t>
      </w:r>
      <w:r>
        <w:rPr>
          <w:lang w:eastAsia="es-ES"/>
        </w:rPr>
        <w:t>, en los plazos</w:t>
      </w:r>
      <w:r w:rsidR="00A656DC">
        <w:rPr>
          <w:lang w:eastAsia="es-ES"/>
        </w:rPr>
        <w:t xml:space="preserve"> y formatos acordados con el Banco</w:t>
      </w:r>
      <w:r>
        <w:rPr>
          <w:lang w:eastAsia="es-ES"/>
        </w:rPr>
        <w:t>.</w:t>
      </w:r>
    </w:p>
    <w:p w14:paraId="7A1710CF" w14:textId="74201A5C" w:rsidR="007C4D3E" w:rsidRDefault="007C4D3E" w:rsidP="009B54B5">
      <w:pPr>
        <w:pStyle w:val="numeradorom"/>
        <w:numPr>
          <w:ilvl w:val="2"/>
          <w:numId w:val="12"/>
        </w:numPr>
        <w:rPr>
          <w:lang w:eastAsia="es-ES"/>
        </w:rPr>
      </w:pPr>
      <w:r>
        <w:rPr>
          <w:lang w:eastAsia="es-ES"/>
        </w:rPr>
        <w:t>Coordinar</w:t>
      </w:r>
      <w:r w:rsidR="00426F84">
        <w:rPr>
          <w:lang w:eastAsia="es-ES"/>
        </w:rPr>
        <w:t xml:space="preserve">, </w:t>
      </w:r>
      <w:r>
        <w:rPr>
          <w:lang w:eastAsia="es-ES"/>
        </w:rPr>
        <w:t>gestionar</w:t>
      </w:r>
      <w:r w:rsidR="00426F84">
        <w:rPr>
          <w:lang w:eastAsia="es-ES"/>
        </w:rPr>
        <w:t xml:space="preserve"> y dar seguimiento a</w:t>
      </w:r>
      <w:r>
        <w:rPr>
          <w:lang w:eastAsia="es-ES"/>
        </w:rPr>
        <w:t xml:space="preserve"> la asignación de los recursos y del presupuesto asignado para la ejecución integral del Programa. </w:t>
      </w:r>
    </w:p>
    <w:p w14:paraId="61ECC211" w14:textId="77777777" w:rsidR="007C4D3E" w:rsidRDefault="007C4D3E" w:rsidP="009B54B5">
      <w:pPr>
        <w:pStyle w:val="numeradorom"/>
        <w:numPr>
          <w:ilvl w:val="2"/>
          <w:numId w:val="12"/>
        </w:numPr>
        <w:rPr>
          <w:lang w:eastAsia="es-ES"/>
        </w:rPr>
      </w:pPr>
      <w:r>
        <w:rPr>
          <w:lang w:eastAsia="es-ES"/>
        </w:rPr>
        <w:t>Aprobar y preparar para remisión al Banco, las solicitudes de desembolso y justificación de gastos elegibles, los Informes de Ejecución Financiera del Programa (programación de gastos) que acompañarán las solicitudes de desembolso del Programa y solicitar la no objeción de los mismos.</w:t>
      </w:r>
    </w:p>
    <w:p w14:paraId="52DE0388" w14:textId="674BEF47" w:rsidR="007C4D3E" w:rsidRDefault="007C4D3E" w:rsidP="009B54B5">
      <w:pPr>
        <w:pStyle w:val="numeradorom"/>
        <w:numPr>
          <w:ilvl w:val="2"/>
          <w:numId w:val="12"/>
        </w:numPr>
        <w:rPr>
          <w:lang w:eastAsia="es-ES"/>
        </w:rPr>
      </w:pPr>
      <w:r>
        <w:rPr>
          <w:lang w:eastAsia="es-ES"/>
        </w:rPr>
        <w:t>Firmar y Aprobar los Estados Financieros Consolidados del Programa elaborados por el Especialista Financiero del Programa.</w:t>
      </w:r>
    </w:p>
    <w:p w14:paraId="6727780B" w14:textId="6BA35080" w:rsidR="00C00C1E" w:rsidRDefault="00C00C1E" w:rsidP="009B54B5">
      <w:pPr>
        <w:pStyle w:val="numeradorom"/>
        <w:numPr>
          <w:ilvl w:val="2"/>
          <w:numId w:val="12"/>
        </w:numPr>
        <w:rPr>
          <w:lang w:eastAsia="es-ES"/>
        </w:rPr>
      </w:pPr>
      <w:r>
        <w:rPr>
          <w:lang w:eastAsia="es-ES"/>
        </w:rPr>
        <w:t>Asegurar el cumplimiento de los acuerdos interinstitucionales específicos que se realicen con los beneficiarios del Programa</w:t>
      </w:r>
      <w:r w:rsidR="00973E36">
        <w:rPr>
          <w:lang w:eastAsia="es-ES"/>
        </w:rPr>
        <w:t>.</w:t>
      </w:r>
    </w:p>
    <w:p w14:paraId="22799989" w14:textId="3AA9F1D3" w:rsidR="00F502E0" w:rsidRDefault="00F502E0" w:rsidP="009B54B5">
      <w:pPr>
        <w:pStyle w:val="numeradorom"/>
        <w:numPr>
          <w:ilvl w:val="2"/>
          <w:numId w:val="12"/>
        </w:numPr>
        <w:rPr>
          <w:lang w:eastAsia="es-ES"/>
        </w:rPr>
      </w:pPr>
      <w:r>
        <w:rPr>
          <w:lang w:eastAsia="es-ES"/>
        </w:rPr>
        <w:t xml:space="preserve">Coordinar </w:t>
      </w:r>
      <w:r w:rsidR="006B3C0A">
        <w:rPr>
          <w:lang w:eastAsia="es-ES"/>
        </w:rPr>
        <w:t xml:space="preserve">la ejecución, </w:t>
      </w:r>
      <w:r>
        <w:rPr>
          <w:lang w:eastAsia="es-ES"/>
        </w:rPr>
        <w:t xml:space="preserve">con otros programas o asistencias técnicas del </w:t>
      </w:r>
      <w:r w:rsidR="00106D2C">
        <w:rPr>
          <w:lang w:eastAsia="es-ES"/>
        </w:rPr>
        <w:t>Banco relacionad</w:t>
      </w:r>
      <w:r w:rsidR="006B3C0A">
        <w:rPr>
          <w:lang w:eastAsia="es-ES"/>
        </w:rPr>
        <w:t>a</w:t>
      </w:r>
      <w:r w:rsidR="00106D2C">
        <w:rPr>
          <w:lang w:eastAsia="es-ES"/>
        </w:rPr>
        <w:t>s</w:t>
      </w:r>
      <w:r>
        <w:rPr>
          <w:lang w:eastAsia="es-ES"/>
        </w:rPr>
        <w:t xml:space="preserve"> con el </w:t>
      </w:r>
      <w:r w:rsidR="006B3C0A">
        <w:rPr>
          <w:lang w:eastAsia="es-ES"/>
        </w:rPr>
        <w:t>Programa, con</w:t>
      </w:r>
      <w:r>
        <w:rPr>
          <w:lang w:eastAsia="es-ES"/>
        </w:rPr>
        <w:t xml:space="preserve"> la finalidad de asegurar el logro de los resultados esperados</w:t>
      </w:r>
      <w:r w:rsidR="006B3C0A">
        <w:rPr>
          <w:lang w:eastAsia="es-ES"/>
        </w:rPr>
        <w:t xml:space="preserve"> y evitar la duplicidad de esfuerzos</w:t>
      </w:r>
    </w:p>
    <w:p w14:paraId="45AAA1EA" w14:textId="1E1CECD6" w:rsidR="007C4D3E" w:rsidRDefault="007C4D3E" w:rsidP="009B54B5">
      <w:pPr>
        <w:pStyle w:val="numeradorom"/>
        <w:numPr>
          <w:ilvl w:val="2"/>
          <w:numId w:val="12"/>
        </w:numPr>
        <w:rPr>
          <w:lang w:eastAsia="es-ES"/>
        </w:rPr>
      </w:pPr>
      <w:r>
        <w:rPr>
          <w:lang w:eastAsia="es-ES"/>
        </w:rPr>
        <w:t>Las demás funciones establecidas para la ejecución de los proyectos financiados por el BID, que no se contrapongan con lo establecido en el Contrato de Préstamo del Programa, ni en</w:t>
      </w:r>
      <w:r w:rsidR="00106D2C">
        <w:rPr>
          <w:lang w:eastAsia="es-ES"/>
        </w:rPr>
        <w:t xml:space="preserve"> el ROP</w:t>
      </w:r>
      <w:r>
        <w:rPr>
          <w:lang w:eastAsia="es-ES"/>
        </w:rPr>
        <w:t>.</w:t>
      </w:r>
    </w:p>
    <w:p w14:paraId="3F4AF749" w14:textId="5C10FA73" w:rsidR="007C4D3E" w:rsidRDefault="007C4D3E" w:rsidP="00BD5D10">
      <w:pPr>
        <w:pStyle w:val="Heading3"/>
      </w:pPr>
      <w:r w:rsidRPr="00E978D5">
        <w:lastRenderedPageBreak/>
        <w:t>Especialista en Monitoreo y Evaluación (EME-</w:t>
      </w:r>
      <w:r w:rsidR="00162231">
        <w:t>EDG/</w:t>
      </w:r>
      <w:r w:rsidR="00621A8B">
        <w:t>MEF</w:t>
      </w:r>
      <w:r w:rsidRPr="00E978D5">
        <w:t>)</w:t>
      </w:r>
    </w:p>
    <w:p w14:paraId="0C329834" w14:textId="1696D6F3" w:rsidR="007C4D3E" w:rsidRDefault="007C4D3E" w:rsidP="009B54B5">
      <w:pPr>
        <w:pStyle w:val="numeradorom"/>
        <w:numPr>
          <w:ilvl w:val="2"/>
          <w:numId w:val="13"/>
        </w:numPr>
        <w:rPr>
          <w:lang w:eastAsia="es-ES"/>
        </w:rPr>
      </w:pPr>
      <w:r>
        <w:rPr>
          <w:lang w:eastAsia="es-ES"/>
        </w:rPr>
        <w:t xml:space="preserve">Coordinar con </w:t>
      </w:r>
      <w:r w:rsidR="00E611D1">
        <w:rPr>
          <w:lang w:eastAsia="es-ES"/>
        </w:rPr>
        <w:t xml:space="preserve">el </w:t>
      </w:r>
      <w:r w:rsidR="00D7609D">
        <w:rPr>
          <w:lang w:eastAsia="es-ES"/>
        </w:rPr>
        <w:t>EDG</w:t>
      </w:r>
      <w:r w:rsidR="00E611D1">
        <w:rPr>
          <w:lang w:eastAsia="es-ES"/>
        </w:rPr>
        <w:t xml:space="preserve">-MEF </w:t>
      </w:r>
      <w:r w:rsidR="00AE4EC9">
        <w:rPr>
          <w:lang w:eastAsia="es-ES"/>
        </w:rPr>
        <w:t xml:space="preserve">y </w:t>
      </w:r>
      <w:r w:rsidR="00E611D1">
        <w:rPr>
          <w:lang w:eastAsia="es-ES"/>
        </w:rPr>
        <w:t xml:space="preserve">sus </w:t>
      </w:r>
      <w:r w:rsidR="00AE4EC9">
        <w:rPr>
          <w:lang w:eastAsia="es-ES"/>
        </w:rPr>
        <w:t xml:space="preserve">distintas áreas </w:t>
      </w:r>
      <w:r w:rsidR="00E611D1">
        <w:rPr>
          <w:lang w:eastAsia="es-ES"/>
        </w:rPr>
        <w:t xml:space="preserve">técnicas encargadas de los proyectos de inversión, así como con </w:t>
      </w:r>
      <w:r w:rsidR="00F77FD0">
        <w:rPr>
          <w:lang w:eastAsia="es-ES"/>
        </w:rPr>
        <w:t xml:space="preserve">los </w:t>
      </w:r>
      <w:r w:rsidR="00E611D1">
        <w:rPr>
          <w:lang w:eastAsia="es-ES"/>
        </w:rPr>
        <w:t>EDG-</w:t>
      </w:r>
      <w:r w:rsidR="00F77FD0">
        <w:rPr>
          <w:lang w:eastAsia="es-ES"/>
        </w:rPr>
        <w:t>OSE</w:t>
      </w:r>
      <w:r>
        <w:rPr>
          <w:lang w:eastAsia="es-ES"/>
        </w:rPr>
        <w:t>: (i) la planificación, coordinación técnica y ejecución de actividades del POA; (ii) el seguimiento al cumplimiento y avance de los productos y metas del Programa de acuerdo a la MdR; (iii) la preparación y actualización de las herramientas de gestión del Programa; (iv) la elaboración y presentación de los informes del Programa requeridos; (v) reuniones de seguimiento y avance de resultados, establecidas.</w:t>
      </w:r>
    </w:p>
    <w:p w14:paraId="0C05CBA6" w14:textId="33C0D47C" w:rsidR="007C4D3E" w:rsidRDefault="007C4D3E" w:rsidP="009B54B5">
      <w:pPr>
        <w:pStyle w:val="numeradorom"/>
        <w:numPr>
          <w:ilvl w:val="2"/>
          <w:numId w:val="13"/>
        </w:numPr>
        <w:rPr>
          <w:lang w:eastAsia="es-ES"/>
        </w:rPr>
      </w:pPr>
      <w:r>
        <w:rPr>
          <w:lang w:eastAsia="es-ES"/>
        </w:rPr>
        <w:t>Coordinar y poner en ejecución los sistemas de presentación de información, rendición de cuentas y monitoreo de las actividades, productos, resultados e impactos</w:t>
      </w:r>
      <w:r w:rsidR="004163FD">
        <w:rPr>
          <w:lang w:eastAsia="es-ES"/>
        </w:rPr>
        <w:t xml:space="preserve"> (indicadores)</w:t>
      </w:r>
      <w:r>
        <w:rPr>
          <w:lang w:eastAsia="es-ES"/>
        </w:rPr>
        <w:t xml:space="preserve"> del Programa, teniendo en cuenta la MdR, el Contrato de Préstamo y su ROP.</w:t>
      </w:r>
    </w:p>
    <w:p w14:paraId="07A47955" w14:textId="34204EED" w:rsidR="00F77FD0" w:rsidRDefault="00F77FD0" w:rsidP="009B54B5">
      <w:pPr>
        <w:pStyle w:val="numeradorom"/>
        <w:numPr>
          <w:ilvl w:val="2"/>
          <w:numId w:val="13"/>
        </w:numPr>
        <w:rPr>
          <w:lang w:eastAsia="es-ES"/>
        </w:rPr>
      </w:pPr>
      <w:r>
        <w:rPr>
          <w:lang w:eastAsia="es-ES"/>
        </w:rPr>
        <w:t>Monitorear el cumplimiento de los acuerdos interinstitucionales específicos que se realicen con los beneficiarios del Programa.</w:t>
      </w:r>
    </w:p>
    <w:p w14:paraId="55626117" w14:textId="31CC4AA3" w:rsidR="007C4D3E" w:rsidRDefault="007C4D3E" w:rsidP="009B54B5">
      <w:pPr>
        <w:pStyle w:val="numeradorom"/>
        <w:numPr>
          <w:ilvl w:val="2"/>
          <w:numId w:val="13"/>
        </w:numPr>
        <w:rPr>
          <w:lang w:eastAsia="es-ES"/>
        </w:rPr>
      </w:pPr>
      <w:r>
        <w:rPr>
          <w:lang w:eastAsia="es-ES"/>
        </w:rPr>
        <w:t>Definir los formatos y herramientas de monitoreo del Programa, tomando en consideración los lineamientos del BID establecidos para el efecto, así como capacitar a</w:t>
      </w:r>
      <w:r w:rsidR="004163FD">
        <w:rPr>
          <w:lang w:eastAsia="es-ES"/>
        </w:rPr>
        <w:t xml:space="preserve">l resto del </w:t>
      </w:r>
      <w:r w:rsidR="00D7609D">
        <w:rPr>
          <w:lang w:eastAsia="es-ES"/>
        </w:rPr>
        <w:t>EDG</w:t>
      </w:r>
      <w:r w:rsidR="00E611D1">
        <w:rPr>
          <w:lang w:eastAsia="es-ES"/>
        </w:rPr>
        <w:t xml:space="preserve">-MEF y </w:t>
      </w:r>
      <w:r w:rsidR="00F77FD0">
        <w:rPr>
          <w:lang w:eastAsia="es-ES"/>
        </w:rPr>
        <w:t xml:space="preserve">los </w:t>
      </w:r>
      <w:r w:rsidR="00E611D1">
        <w:rPr>
          <w:lang w:eastAsia="es-ES"/>
        </w:rPr>
        <w:t>EDG-</w:t>
      </w:r>
      <w:r w:rsidR="00F77FD0">
        <w:rPr>
          <w:lang w:eastAsia="es-ES"/>
        </w:rPr>
        <w:t>OSE</w:t>
      </w:r>
      <w:r w:rsidR="004163FD">
        <w:rPr>
          <w:lang w:eastAsia="es-ES"/>
        </w:rPr>
        <w:t xml:space="preserve"> </w:t>
      </w:r>
      <w:r>
        <w:rPr>
          <w:lang w:eastAsia="es-ES"/>
        </w:rPr>
        <w:t>para el uso y actualización de las herramientas.</w:t>
      </w:r>
    </w:p>
    <w:p w14:paraId="3A339BA1" w14:textId="25FE2B99" w:rsidR="007C4D3E" w:rsidRPr="00A2034E" w:rsidRDefault="007C4D3E" w:rsidP="009B54B5">
      <w:pPr>
        <w:pStyle w:val="numeradorom"/>
        <w:numPr>
          <w:ilvl w:val="2"/>
          <w:numId w:val="13"/>
        </w:numPr>
        <w:rPr>
          <w:lang w:eastAsia="es-ES"/>
        </w:rPr>
      </w:pPr>
      <w:r w:rsidRPr="00A2034E">
        <w:rPr>
          <w:lang w:eastAsia="es-ES"/>
        </w:rPr>
        <w:t xml:space="preserve">Coordinar y </w:t>
      </w:r>
      <w:r w:rsidR="004163FD" w:rsidRPr="00A2034E">
        <w:rPr>
          <w:lang w:eastAsia="es-ES"/>
        </w:rPr>
        <w:t xml:space="preserve">preparar </w:t>
      </w:r>
      <w:r w:rsidRPr="00A2034E">
        <w:rPr>
          <w:lang w:eastAsia="es-ES"/>
        </w:rPr>
        <w:t>sobre la base de la información suministrada por el resto de miembros del</w:t>
      </w:r>
      <w:r w:rsidR="004163FD" w:rsidRPr="00A2034E">
        <w:rPr>
          <w:lang w:eastAsia="es-ES"/>
        </w:rPr>
        <w:t xml:space="preserve"> </w:t>
      </w:r>
      <w:r w:rsidR="00D7609D" w:rsidRPr="00A2034E">
        <w:rPr>
          <w:lang w:eastAsia="es-ES"/>
        </w:rPr>
        <w:t>EDG</w:t>
      </w:r>
      <w:r w:rsidR="00A23852" w:rsidRPr="00A2034E">
        <w:rPr>
          <w:lang w:eastAsia="es-ES"/>
        </w:rPr>
        <w:t>-MEF</w:t>
      </w:r>
      <w:r w:rsidR="004163FD" w:rsidRPr="00A2034E">
        <w:rPr>
          <w:lang w:eastAsia="es-ES"/>
        </w:rPr>
        <w:t xml:space="preserve"> y</w:t>
      </w:r>
      <w:r w:rsidR="00A23852" w:rsidRPr="00A2034E">
        <w:rPr>
          <w:lang w:eastAsia="es-ES"/>
        </w:rPr>
        <w:t xml:space="preserve"> las áreas encargadas de los programas de inversión del  </w:t>
      </w:r>
      <w:r w:rsidRPr="00A2034E">
        <w:rPr>
          <w:lang w:eastAsia="es-ES"/>
        </w:rPr>
        <w:t xml:space="preserve">OE </w:t>
      </w:r>
      <w:r w:rsidR="00A23852" w:rsidRPr="00A2034E">
        <w:rPr>
          <w:lang w:eastAsia="es-ES"/>
        </w:rPr>
        <w:t xml:space="preserve"> </w:t>
      </w:r>
      <w:r w:rsidRPr="00A2034E">
        <w:rPr>
          <w:lang w:eastAsia="es-ES"/>
        </w:rPr>
        <w:t>la siguiente información del Programa: (i) de monitoreo técnico, de adquisiciones y financiera del Programa en general; (ii) monitoreo de la postulación del presupuesto requerido en el PAI del año respectivo</w:t>
      </w:r>
      <w:r w:rsidR="004163FD" w:rsidRPr="00A2034E">
        <w:rPr>
          <w:lang w:eastAsia="es-ES"/>
        </w:rPr>
        <w:t xml:space="preserve"> del Proyecto de Inversión</w:t>
      </w:r>
      <w:r w:rsidRPr="00A2034E">
        <w:rPr>
          <w:lang w:eastAsia="es-ES"/>
        </w:rPr>
        <w:t xml:space="preserve"> y la postulación del presupuesto en el SIPeIP; (iii) monitorear  los ajustes en el PAI o en la actualización de prioridad de</w:t>
      </w:r>
      <w:r w:rsidR="004163FD" w:rsidRPr="00A2034E">
        <w:rPr>
          <w:lang w:eastAsia="es-ES"/>
        </w:rPr>
        <w:t xml:space="preserve">l </w:t>
      </w:r>
      <w:r w:rsidRPr="00A2034E">
        <w:rPr>
          <w:lang w:eastAsia="es-ES"/>
        </w:rPr>
        <w:t xml:space="preserve"> Proyecto financiados por el Programa, cuando corresponda; (iv) preparar para presentar al BID la Programación de uso de recursos para el siguiente año</w:t>
      </w:r>
      <w:r w:rsidR="00A23852" w:rsidRPr="00A2034E">
        <w:rPr>
          <w:lang w:eastAsia="es-ES"/>
        </w:rPr>
        <w:t xml:space="preserve"> correspondiente al OE y </w:t>
      </w:r>
      <w:r w:rsidR="00F77FD0">
        <w:rPr>
          <w:lang w:eastAsia="es-ES"/>
        </w:rPr>
        <w:t xml:space="preserve">los </w:t>
      </w:r>
      <w:r w:rsidR="00A23852" w:rsidRPr="00A2034E">
        <w:rPr>
          <w:lang w:eastAsia="es-ES"/>
        </w:rPr>
        <w:t>OSE</w:t>
      </w:r>
      <w:r w:rsidR="004163FD" w:rsidRPr="00A2034E">
        <w:rPr>
          <w:lang w:eastAsia="es-ES"/>
        </w:rPr>
        <w:t xml:space="preserve"> (</w:t>
      </w:r>
      <w:r w:rsidRPr="00A2034E">
        <w:rPr>
          <w:lang w:eastAsia="es-ES"/>
        </w:rPr>
        <w:t>PEP, POA, PA y Matriz de Riesgos actualizados con el detalle de los productos, contratos, inversiones y resultados a ser alcanzados</w:t>
      </w:r>
      <w:r w:rsidR="004163FD" w:rsidRPr="00A2034E">
        <w:rPr>
          <w:lang w:eastAsia="es-ES"/>
        </w:rPr>
        <w:t>)</w:t>
      </w:r>
      <w:r w:rsidRPr="00A2034E">
        <w:rPr>
          <w:lang w:eastAsia="es-ES"/>
        </w:rPr>
        <w:t>;</w:t>
      </w:r>
    </w:p>
    <w:p w14:paraId="68E63505" w14:textId="5D748BA5" w:rsidR="007C4D3E" w:rsidRDefault="007C4D3E" w:rsidP="009B54B5">
      <w:pPr>
        <w:pStyle w:val="numeradorom"/>
        <w:numPr>
          <w:ilvl w:val="2"/>
          <w:numId w:val="13"/>
        </w:numPr>
        <w:rPr>
          <w:lang w:eastAsia="es-ES"/>
        </w:rPr>
      </w:pPr>
      <w:r>
        <w:rPr>
          <w:lang w:eastAsia="es-ES"/>
        </w:rPr>
        <w:t>Elaborar semestralmente los informes de avance del Programa</w:t>
      </w:r>
      <w:r w:rsidR="004163FD">
        <w:rPr>
          <w:lang w:eastAsia="es-ES"/>
        </w:rPr>
        <w:t xml:space="preserve"> (ISP) y </w:t>
      </w:r>
      <w:r>
        <w:rPr>
          <w:lang w:eastAsia="es-ES"/>
        </w:rPr>
        <w:t xml:space="preserve">(PMR), en base a la información proporcionada por </w:t>
      </w:r>
      <w:r w:rsidR="004163FD">
        <w:rPr>
          <w:lang w:eastAsia="es-ES"/>
        </w:rPr>
        <w:t xml:space="preserve">el </w:t>
      </w:r>
      <w:r w:rsidR="00D7609D">
        <w:rPr>
          <w:lang w:eastAsia="es-ES"/>
        </w:rPr>
        <w:t>EDG</w:t>
      </w:r>
      <w:r w:rsidR="00A23852">
        <w:rPr>
          <w:lang w:eastAsia="es-ES"/>
        </w:rPr>
        <w:t xml:space="preserve">-MEF y </w:t>
      </w:r>
      <w:r w:rsidR="00F77FD0">
        <w:rPr>
          <w:lang w:eastAsia="es-ES"/>
        </w:rPr>
        <w:t xml:space="preserve">los </w:t>
      </w:r>
      <w:r w:rsidR="00A23852">
        <w:rPr>
          <w:lang w:eastAsia="es-ES"/>
        </w:rPr>
        <w:t>EDG-</w:t>
      </w:r>
      <w:r w:rsidR="00F77FD0">
        <w:rPr>
          <w:lang w:eastAsia="es-ES"/>
        </w:rPr>
        <w:t>OSE</w:t>
      </w:r>
      <w:r>
        <w:rPr>
          <w:lang w:eastAsia="es-ES"/>
        </w:rPr>
        <w:t>; elaborar los informes requeridos para las reuniones de seguimiento y avance de resultados, establecidas en el presente ROP y que requiera la Coordinación General del Programa, el Banco, o el MEF.</w:t>
      </w:r>
    </w:p>
    <w:p w14:paraId="628CF03C" w14:textId="77777777" w:rsidR="007C4D3E" w:rsidRDefault="007C4D3E" w:rsidP="009B54B5">
      <w:pPr>
        <w:pStyle w:val="numeradorom"/>
        <w:numPr>
          <w:ilvl w:val="2"/>
          <w:numId w:val="13"/>
        </w:numPr>
        <w:rPr>
          <w:lang w:eastAsia="es-ES"/>
        </w:rPr>
      </w:pPr>
      <w:r>
        <w:rPr>
          <w:lang w:eastAsia="es-ES"/>
        </w:rPr>
        <w:t>Coordinar y supervisar el mantenimiento periódico de la información para alimentar las herramientas que formen parte del Sistema de Monitoreo y Evaluación;</w:t>
      </w:r>
    </w:p>
    <w:p w14:paraId="1D3175EE" w14:textId="3CCBCB45" w:rsidR="0042264A" w:rsidRDefault="0042264A" w:rsidP="009B54B5">
      <w:pPr>
        <w:pStyle w:val="numeradorom"/>
        <w:numPr>
          <w:ilvl w:val="2"/>
          <w:numId w:val="13"/>
        </w:numPr>
        <w:rPr>
          <w:lang w:eastAsia="es-ES"/>
        </w:rPr>
      </w:pPr>
      <w:r>
        <w:rPr>
          <w:lang w:eastAsia="es-ES"/>
        </w:rPr>
        <w:t xml:space="preserve">Asegurar </w:t>
      </w:r>
      <w:r w:rsidRPr="0042264A">
        <w:rPr>
          <w:lang w:eastAsia="es-ES"/>
        </w:rPr>
        <w:t xml:space="preserve">que los instrumentos y datos necesarios para efectuar el seguimiento están disponibles y actualizados permanentemente para el Coordinador del Proyecto y de la alta administración del MEF y de </w:t>
      </w:r>
      <w:r w:rsidR="00F77FD0">
        <w:rPr>
          <w:lang w:eastAsia="es-ES"/>
        </w:rPr>
        <w:t xml:space="preserve">los OSE </w:t>
      </w:r>
      <w:r w:rsidRPr="0042264A">
        <w:rPr>
          <w:lang w:eastAsia="es-ES"/>
        </w:rPr>
        <w:t>en aras de que el seguimiento se pueda realizar sin contratiempos.</w:t>
      </w:r>
    </w:p>
    <w:p w14:paraId="53E90B75" w14:textId="2BA612F1" w:rsidR="007C4D3E" w:rsidRDefault="007C4D3E" w:rsidP="009B54B5">
      <w:pPr>
        <w:pStyle w:val="numeradorom"/>
        <w:numPr>
          <w:ilvl w:val="2"/>
          <w:numId w:val="13"/>
        </w:numPr>
        <w:rPr>
          <w:lang w:eastAsia="es-ES"/>
        </w:rPr>
      </w:pPr>
      <w:r>
        <w:rPr>
          <w:lang w:eastAsia="es-ES"/>
        </w:rPr>
        <w:t xml:space="preserve">Coordinar la ejecución de las evaluaciones externas del Programa (intermedia y final), incluido la preparación de sus términos de referencia; y el apoyo en el proceso de selección y contratación; </w:t>
      </w:r>
    </w:p>
    <w:p w14:paraId="2E69634B" w14:textId="76632689" w:rsidR="007C4D3E" w:rsidRDefault="007C4D3E" w:rsidP="009B54B5">
      <w:pPr>
        <w:pStyle w:val="numeradorom"/>
        <w:numPr>
          <w:ilvl w:val="2"/>
          <w:numId w:val="13"/>
        </w:numPr>
        <w:rPr>
          <w:lang w:eastAsia="es-ES"/>
        </w:rPr>
      </w:pPr>
      <w:r>
        <w:rPr>
          <w:lang w:eastAsia="es-ES"/>
        </w:rPr>
        <w:t xml:space="preserve">Programar, organizar y supervisar técnicamente la evaluación </w:t>
      </w:r>
      <w:r w:rsidR="00E978D5">
        <w:rPr>
          <w:lang w:eastAsia="es-ES"/>
        </w:rPr>
        <w:t xml:space="preserve">integral </w:t>
      </w:r>
      <w:r>
        <w:rPr>
          <w:lang w:eastAsia="es-ES"/>
        </w:rPr>
        <w:t>del Programa;</w:t>
      </w:r>
    </w:p>
    <w:p w14:paraId="17FDB80F" w14:textId="56F4605F" w:rsidR="007C4D3E" w:rsidRDefault="007C4D3E" w:rsidP="009B54B5">
      <w:pPr>
        <w:pStyle w:val="numeradorom"/>
        <w:numPr>
          <w:ilvl w:val="2"/>
          <w:numId w:val="13"/>
        </w:numPr>
        <w:rPr>
          <w:lang w:eastAsia="es-ES"/>
        </w:rPr>
      </w:pPr>
      <w:r>
        <w:rPr>
          <w:lang w:eastAsia="es-ES"/>
        </w:rPr>
        <w:t xml:space="preserve">Las demás funciones </w:t>
      </w:r>
      <w:r w:rsidR="004163FD">
        <w:rPr>
          <w:lang w:eastAsia="es-ES"/>
        </w:rPr>
        <w:t xml:space="preserve">descritas en el ROP y las </w:t>
      </w:r>
      <w:r>
        <w:rPr>
          <w:lang w:eastAsia="es-ES"/>
        </w:rPr>
        <w:t xml:space="preserve">asignadas por el Coordinador General del </w:t>
      </w:r>
      <w:r w:rsidR="00D7609D">
        <w:rPr>
          <w:lang w:eastAsia="es-ES"/>
        </w:rPr>
        <w:t>EDG</w:t>
      </w:r>
      <w:r w:rsidR="00E978D5">
        <w:rPr>
          <w:lang w:eastAsia="es-ES"/>
        </w:rPr>
        <w:t>-MEF</w:t>
      </w:r>
      <w:r>
        <w:rPr>
          <w:lang w:eastAsia="es-ES"/>
        </w:rPr>
        <w:t>, con la finalidad de dar cumplimiento al Programa.</w:t>
      </w:r>
    </w:p>
    <w:p w14:paraId="43910797" w14:textId="40F166C7" w:rsidR="007C4D3E" w:rsidRDefault="007C4D3E" w:rsidP="00BD5D10">
      <w:pPr>
        <w:pStyle w:val="Heading3"/>
      </w:pPr>
      <w:r w:rsidRPr="00162231">
        <w:t>Especialista de Adquisiciones (EA-</w:t>
      </w:r>
      <w:r w:rsidR="00162231">
        <w:t>EDG/</w:t>
      </w:r>
      <w:r w:rsidR="004A2D29" w:rsidRPr="00162231">
        <w:t>MEF</w:t>
      </w:r>
      <w:r w:rsidRPr="00162231">
        <w:t>)</w:t>
      </w:r>
    </w:p>
    <w:p w14:paraId="5E2C0EC6" w14:textId="77777777" w:rsidR="007C4D3E" w:rsidRDefault="007C4D3E" w:rsidP="009B54B5">
      <w:pPr>
        <w:pStyle w:val="numeradorom"/>
        <w:numPr>
          <w:ilvl w:val="2"/>
          <w:numId w:val="14"/>
        </w:numPr>
        <w:rPr>
          <w:lang w:eastAsia="es-ES"/>
        </w:rPr>
      </w:pPr>
      <w:r>
        <w:rPr>
          <w:lang w:eastAsia="es-ES"/>
        </w:rPr>
        <w:t xml:space="preserve">Aplicar y dar cumplimiento a las Normas, Políticas y Procesos de Adquisiciones y Contrataciones establecidos para la ejecución del Programa, que se detallan en el Contrato de Préstamo, las Políticas del Banco y el ROP. </w:t>
      </w:r>
    </w:p>
    <w:p w14:paraId="5B3F9F10" w14:textId="2FAD2DC8" w:rsidR="007C4D3E" w:rsidRDefault="007C4D3E" w:rsidP="009B54B5">
      <w:pPr>
        <w:pStyle w:val="numeradorom"/>
        <w:numPr>
          <w:ilvl w:val="2"/>
          <w:numId w:val="14"/>
        </w:numPr>
        <w:rPr>
          <w:lang w:eastAsia="es-ES"/>
        </w:rPr>
      </w:pPr>
      <w:r>
        <w:rPr>
          <w:lang w:eastAsia="es-ES"/>
        </w:rPr>
        <w:t>Consolidar y mantener actualizados: (i) el PA del Programa</w:t>
      </w:r>
      <w:r w:rsidR="004A2D29">
        <w:rPr>
          <w:lang w:eastAsia="es-ES"/>
        </w:rPr>
        <w:t xml:space="preserve">, en coordinación con </w:t>
      </w:r>
      <w:r w:rsidR="007A0D63">
        <w:rPr>
          <w:lang w:eastAsia="es-ES"/>
        </w:rPr>
        <w:t>los EDG</w:t>
      </w:r>
      <w:r w:rsidR="004A2D29">
        <w:rPr>
          <w:lang w:eastAsia="es-ES"/>
        </w:rPr>
        <w:t>-</w:t>
      </w:r>
      <w:r w:rsidR="0081025F">
        <w:rPr>
          <w:lang w:eastAsia="es-ES"/>
        </w:rPr>
        <w:t>OSE</w:t>
      </w:r>
      <w:r w:rsidR="004A2D29">
        <w:rPr>
          <w:lang w:eastAsia="es-ES"/>
        </w:rPr>
        <w:t>,</w:t>
      </w:r>
      <w:r>
        <w:rPr>
          <w:lang w:eastAsia="es-ES"/>
        </w:rPr>
        <w:t xml:space="preserve"> garantizando su calidad de información; (ii) la documentación e informes consolidados de las adquisiciones del Programa, requeridos por el Coordinador General del Programa o el Banco</w:t>
      </w:r>
      <w:r w:rsidR="004A2D29">
        <w:rPr>
          <w:lang w:eastAsia="es-ES"/>
        </w:rPr>
        <w:t xml:space="preserve">, en coordinación con </w:t>
      </w:r>
      <w:r w:rsidR="0081025F">
        <w:rPr>
          <w:lang w:eastAsia="es-ES"/>
        </w:rPr>
        <w:t xml:space="preserve">los </w:t>
      </w:r>
      <w:r w:rsidR="004A2D29">
        <w:rPr>
          <w:lang w:eastAsia="es-ES"/>
        </w:rPr>
        <w:t>EDG-</w:t>
      </w:r>
      <w:r w:rsidR="0081025F">
        <w:rPr>
          <w:lang w:eastAsia="es-ES"/>
        </w:rPr>
        <w:t>OSE</w:t>
      </w:r>
      <w:r>
        <w:rPr>
          <w:lang w:eastAsia="es-ES"/>
        </w:rPr>
        <w:t>.</w:t>
      </w:r>
    </w:p>
    <w:p w14:paraId="32C6208D" w14:textId="078B120C" w:rsidR="007C4D3E" w:rsidRDefault="007C4D3E" w:rsidP="009B54B5">
      <w:pPr>
        <w:pStyle w:val="numeradorom"/>
        <w:numPr>
          <w:ilvl w:val="2"/>
          <w:numId w:val="14"/>
        </w:numPr>
        <w:rPr>
          <w:lang w:eastAsia="es-ES"/>
        </w:rPr>
      </w:pPr>
      <w:r>
        <w:rPr>
          <w:lang w:eastAsia="es-ES"/>
        </w:rPr>
        <w:t xml:space="preserve">Apoyar en la preparación de la documentación precontractual necesaria, según corresponda a cada tipo de adquisición o contratación de las actividades </w:t>
      </w:r>
      <w:r w:rsidR="00637885">
        <w:rPr>
          <w:lang w:eastAsia="es-ES"/>
        </w:rPr>
        <w:t xml:space="preserve">que </w:t>
      </w:r>
      <w:r w:rsidR="00637885">
        <w:rPr>
          <w:lang w:eastAsia="es-ES"/>
        </w:rPr>
        <w:lastRenderedPageBreak/>
        <w:t xml:space="preserve">corresponden al MEF en la ejecución </w:t>
      </w:r>
      <w:r>
        <w:rPr>
          <w:lang w:eastAsia="es-ES"/>
        </w:rPr>
        <w:t>del Programa, de acuerdo a las políticas y métodos definidos en el PA.</w:t>
      </w:r>
    </w:p>
    <w:p w14:paraId="75DB7EBC" w14:textId="4455D27A" w:rsidR="007C4D3E" w:rsidRDefault="007C4D3E" w:rsidP="009B54B5">
      <w:pPr>
        <w:pStyle w:val="numeradorom"/>
        <w:numPr>
          <w:ilvl w:val="2"/>
          <w:numId w:val="14"/>
        </w:numPr>
        <w:rPr>
          <w:lang w:eastAsia="es-ES"/>
        </w:rPr>
      </w:pPr>
      <w:r>
        <w:rPr>
          <w:lang w:eastAsia="es-ES"/>
        </w:rPr>
        <w:t xml:space="preserve">Gestionar y dar seguimiento a los procesos de No Objeción emitidos por el Banco, según corresponda a cada tipo de adquisición o contratación </w:t>
      </w:r>
      <w:r w:rsidR="00637885">
        <w:rPr>
          <w:lang w:eastAsia="es-ES"/>
        </w:rPr>
        <w:t>de las actividades que corresponden al MEF en la ejecución del Programa</w:t>
      </w:r>
      <w:r>
        <w:rPr>
          <w:lang w:eastAsia="es-ES"/>
        </w:rPr>
        <w:t xml:space="preserve">. </w:t>
      </w:r>
    </w:p>
    <w:p w14:paraId="0099F760" w14:textId="77777777" w:rsidR="007C4D3E" w:rsidRDefault="007C4D3E" w:rsidP="009B54B5">
      <w:pPr>
        <w:pStyle w:val="numeradorom"/>
        <w:numPr>
          <w:ilvl w:val="2"/>
          <w:numId w:val="14"/>
        </w:numPr>
        <w:rPr>
          <w:lang w:eastAsia="es-ES"/>
        </w:rPr>
      </w:pPr>
      <w:r>
        <w:rPr>
          <w:lang w:eastAsia="es-ES"/>
        </w:rPr>
        <w:t xml:space="preserve">Supervisar la gestión fiduciaria y administrativa del Programa </w:t>
      </w:r>
    </w:p>
    <w:p w14:paraId="2DB3C1C4" w14:textId="1B61A9E5" w:rsidR="007C4D3E" w:rsidRDefault="007C4D3E" w:rsidP="009B54B5">
      <w:pPr>
        <w:pStyle w:val="numeradorom"/>
        <w:numPr>
          <w:ilvl w:val="2"/>
          <w:numId w:val="14"/>
        </w:numPr>
        <w:rPr>
          <w:lang w:eastAsia="es-ES"/>
        </w:rPr>
      </w:pPr>
      <w:r>
        <w:rPr>
          <w:lang w:eastAsia="es-ES"/>
        </w:rPr>
        <w:t xml:space="preserve">Dar seguimiento a la contratación y ejecución de las auditorías </w:t>
      </w:r>
      <w:r w:rsidR="00545521">
        <w:rPr>
          <w:lang w:eastAsia="es-ES"/>
        </w:rPr>
        <w:t>d</w:t>
      </w:r>
      <w:r>
        <w:rPr>
          <w:lang w:eastAsia="es-ES"/>
        </w:rPr>
        <w:t>el Programa</w:t>
      </w:r>
    </w:p>
    <w:p w14:paraId="127FEB33" w14:textId="506EBA86" w:rsidR="001053F2" w:rsidRDefault="007C4D3E" w:rsidP="009B54B5">
      <w:pPr>
        <w:pStyle w:val="numeradorom"/>
        <w:numPr>
          <w:ilvl w:val="2"/>
          <w:numId w:val="14"/>
        </w:numPr>
        <w:rPr>
          <w:lang w:eastAsia="es-ES"/>
        </w:rPr>
      </w:pPr>
      <w:r>
        <w:rPr>
          <w:lang w:eastAsia="es-ES"/>
        </w:rPr>
        <w:t xml:space="preserve">Gestionar </w:t>
      </w:r>
      <w:r w:rsidR="003A2C48">
        <w:rPr>
          <w:lang w:eastAsia="es-ES"/>
        </w:rPr>
        <w:t xml:space="preserve">y coordinar </w:t>
      </w:r>
      <w:r>
        <w:rPr>
          <w:lang w:eastAsia="es-ES"/>
        </w:rPr>
        <w:t xml:space="preserve">los procesos de adquisiciones de las actividades </w:t>
      </w:r>
      <w:r w:rsidR="001053F2">
        <w:rPr>
          <w:lang w:eastAsia="es-ES"/>
        </w:rPr>
        <w:t xml:space="preserve">que corresponden al MEF en la ejecución del Programa. </w:t>
      </w:r>
    </w:p>
    <w:p w14:paraId="4F579A6B" w14:textId="2EC2ACF3" w:rsidR="0081025F" w:rsidRDefault="007C4D3E" w:rsidP="009B54B5">
      <w:pPr>
        <w:pStyle w:val="numeradorom"/>
        <w:numPr>
          <w:ilvl w:val="2"/>
          <w:numId w:val="14"/>
        </w:numPr>
        <w:rPr>
          <w:lang w:eastAsia="es-ES"/>
        </w:rPr>
      </w:pPr>
      <w:r>
        <w:rPr>
          <w:lang w:eastAsia="es-ES"/>
        </w:rPr>
        <w:t>Mantener un sistema de control y archivo documental y electrónico ordenado y completo de la información de sustento de los procesos de adquisiciones, contrataciones de</w:t>
      </w:r>
      <w:r w:rsidR="001053F2">
        <w:rPr>
          <w:lang w:eastAsia="es-ES"/>
        </w:rPr>
        <w:t xml:space="preserve"> las actividades que corresponden al MEF en la ejecución del Programa</w:t>
      </w:r>
      <w:r>
        <w:rPr>
          <w:lang w:eastAsia="es-ES"/>
        </w:rPr>
        <w:t xml:space="preserve">; y conocer y velar por el buen manejo de los procesos y sistemas de documentación, archivo y seguridad de los expedientes de contrataciones y adquisiciones relacionados con </w:t>
      </w:r>
      <w:r w:rsidR="001053F2">
        <w:rPr>
          <w:lang w:eastAsia="es-ES"/>
        </w:rPr>
        <w:t xml:space="preserve">las actividades que corresponden al MEF en la ejecución del Programa. </w:t>
      </w:r>
      <w:r w:rsidR="000F0474">
        <w:rPr>
          <w:lang w:eastAsia="es-ES"/>
        </w:rPr>
        <w:t>P</w:t>
      </w:r>
      <w:r w:rsidR="00C85768">
        <w:rPr>
          <w:lang w:eastAsia="es-ES"/>
        </w:rPr>
        <w:t xml:space="preserve">rocederá de igual manera con </w:t>
      </w:r>
      <w:r w:rsidR="0081025F">
        <w:rPr>
          <w:lang w:eastAsia="es-ES"/>
        </w:rPr>
        <w:t xml:space="preserve">el sistema de </w:t>
      </w:r>
      <w:r w:rsidR="00C85768">
        <w:rPr>
          <w:lang w:eastAsia="es-ES"/>
        </w:rPr>
        <w:t xml:space="preserve">archivo de los procesos de adquisiciones </w:t>
      </w:r>
      <w:r w:rsidR="00C85768" w:rsidRPr="00C85768">
        <w:rPr>
          <w:lang w:eastAsia="es-ES"/>
        </w:rPr>
        <w:t>que han sido</w:t>
      </w:r>
      <w:r w:rsidR="00C85768">
        <w:rPr>
          <w:lang w:eastAsia="es-ES"/>
        </w:rPr>
        <w:t xml:space="preserve"> </w:t>
      </w:r>
      <w:r w:rsidR="00C85768" w:rsidRPr="00C85768">
        <w:rPr>
          <w:lang w:eastAsia="es-ES"/>
        </w:rPr>
        <w:t>transferidos a las entidades beneficiarias</w:t>
      </w:r>
      <w:r w:rsidR="00C85768">
        <w:rPr>
          <w:lang w:eastAsia="es-ES"/>
        </w:rPr>
        <w:t>.</w:t>
      </w:r>
      <w:r w:rsidR="00C85768" w:rsidRPr="00C85768">
        <w:rPr>
          <w:lang w:eastAsia="es-ES"/>
        </w:rPr>
        <w:t xml:space="preserve"> </w:t>
      </w:r>
    </w:p>
    <w:p w14:paraId="31ACCEE5" w14:textId="24F2D43E" w:rsidR="007C4D3E" w:rsidRDefault="007C4D3E" w:rsidP="005749A4">
      <w:pPr>
        <w:pStyle w:val="numeradorom"/>
        <w:numPr>
          <w:ilvl w:val="2"/>
          <w:numId w:val="14"/>
        </w:numPr>
        <w:spacing w:after="120"/>
        <w:rPr>
          <w:lang w:eastAsia="es-ES"/>
        </w:rPr>
      </w:pPr>
      <w:r>
        <w:rPr>
          <w:lang w:eastAsia="es-ES"/>
        </w:rPr>
        <w:t xml:space="preserve">Las demás funciones </w:t>
      </w:r>
      <w:r w:rsidR="003A2C48">
        <w:rPr>
          <w:lang w:eastAsia="es-ES"/>
        </w:rPr>
        <w:t xml:space="preserve">descritas en el ROP y las </w:t>
      </w:r>
      <w:r>
        <w:rPr>
          <w:lang w:eastAsia="es-ES"/>
        </w:rPr>
        <w:t xml:space="preserve">asignadas por el </w:t>
      </w:r>
      <w:r w:rsidR="0041285F">
        <w:rPr>
          <w:lang w:eastAsia="es-ES"/>
        </w:rPr>
        <w:t>C</w:t>
      </w:r>
      <w:r w:rsidR="001053F2">
        <w:rPr>
          <w:lang w:eastAsia="es-ES"/>
        </w:rPr>
        <w:t>GP-EDG del MEF c</w:t>
      </w:r>
      <w:r w:rsidR="0041285F">
        <w:rPr>
          <w:lang w:eastAsia="es-ES"/>
        </w:rPr>
        <w:t>oordinador</w:t>
      </w:r>
      <w:r>
        <w:rPr>
          <w:lang w:eastAsia="es-ES"/>
        </w:rPr>
        <w:t>, con la finalidad de dar cumplimiento al Programa.</w:t>
      </w:r>
    </w:p>
    <w:p w14:paraId="7278C526" w14:textId="7E661845" w:rsidR="007C4D3E" w:rsidRDefault="007C4D3E" w:rsidP="00BD5D10">
      <w:pPr>
        <w:pStyle w:val="Heading3"/>
      </w:pPr>
      <w:r>
        <w:t>Especialista Financiero (EF-</w:t>
      </w:r>
      <w:r w:rsidR="00D7609D">
        <w:t>EDG</w:t>
      </w:r>
      <w:r w:rsidR="00162231">
        <w:t>/MEF</w:t>
      </w:r>
      <w:r>
        <w:t>)</w:t>
      </w:r>
    </w:p>
    <w:p w14:paraId="2B782465" w14:textId="21A2A1F2" w:rsidR="007C4D3E" w:rsidRDefault="007C4D3E" w:rsidP="009B54B5">
      <w:pPr>
        <w:pStyle w:val="numeradorom"/>
        <w:numPr>
          <w:ilvl w:val="2"/>
          <w:numId w:val="15"/>
        </w:numPr>
        <w:rPr>
          <w:lang w:eastAsia="es-ES"/>
        </w:rPr>
      </w:pPr>
      <w:r>
        <w:rPr>
          <w:lang w:eastAsia="es-ES"/>
        </w:rPr>
        <w:t>Coordinar, consolidar, preparar y presentar la programación del presupuesto, el P</w:t>
      </w:r>
      <w:r w:rsidR="00162231">
        <w:rPr>
          <w:lang w:eastAsia="es-ES"/>
        </w:rPr>
        <w:t>F</w:t>
      </w:r>
      <w:r>
        <w:rPr>
          <w:lang w:eastAsia="es-ES"/>
        </w:rPr>
        <w:t xml:space="preserve">, la programación de desembolsos, las solicitudes de desembolsos, los Estados </w:t>
      </w:r>
      <w:r w:rsidR="00162231">
        <w:rPr>
          <w:lang w:eastAsia="es-ES"/>
        </w:rPr>
        <w:t>F</w:t>
      </w:r>
      <w:r>
        <w:rPr>
          <w:lang w:eastAsia="es-ES"/>
        </w:rPr>
        <w:t>inancieros consolidados del Programa y sus correspondientes Notas explicativas, y demás documentación e informes de avance financiero del Programa requeridos por el C</w:t>
      </w:r>
      <w:r w:rsidR="00162231">
        <w:rPr>
          <w:lang w:eastAsia="es-ES"/>
        </w:rPr>
        <w:t>GP-</w:t>
      </w:r>
      <w:r w:rsidR="00D7609D">
        <w:rPr>
          <w:lang w:eastAsia="es-ES"/>
        </w:rPr>
        <w:t>EDG</w:t>
      </w:r>
      <w:r w:rsidR="00162231">
        <w:rPr>
          <w:lang w:eastAsia="es-ES"/>
        </w:rPr>
        <w:t>/MEF</w:t>
      </w:r>
      <w:r w:rsidR="00BA24B0">
        <w:rPr>
          <w:lang w:eastAsia="es-ES"/>
        </w:rPr>
        <w:t xml:space="preserve"> </w:t>
      </w:r>
      <w:r>
        <w:rPr>
          <w:lang w:eastAsia="es-ES"/>
        </w:rPr>
        <w:t>y el BID,</w:t>
      </w:r>
      <w:r w:rsidR="00BF6C5F">
        <w:rPr>
          <w:lang w:eastAsia="es-ES"/>
        </w:rPr>
        <w:t xml:space="preserve"> en coordinación con</w:t>
      </w:r>
      <w:r w:rsidR="00C85768">
        <w:rPr>
          <w:lang w:eastAsia="es-ES"/>
        </w:rPr>
        <w:t xml:space="preserve"> los </w:t>
      </w:r>
      <w:r w:rsidR="00BF6C5F">
        <w:rPr>
          <w:lang w:eastAsia="es-ES"/>
        </w:rPr>
        <w:t>EDG</w:t>
      </w:r>
      <w:r w:rsidR="00117519">
        <w:rPr>
          <w:lang w:eastAsia="es-ES"/>
        </w:rPr>
        <w:t>-</w:t>
      </w:r>
      <w:r w:rsidR="00C85768">
        <w:rPr>
          <w:lang w:eastAsia="es-ES"/>
        </w:rPr>
        <w:t>OSE</w:t>
      </w:r>
      <w:r w:rsidR="00117519">
        <w:rPr>
          <w:lang w:eastAsia="es-ES"/>
        </w:rPr>
        <w:t>,</w:t>
      </w:r>
      <w:r>
        <w:rPr>
          <w:lang w:eastAsia="es-ES"/>
        </w:rPr>
        <w:t xml:space="preserve"> en la forma y periodicidad establecidos, en el Contrato de Préstamo y el ROP. </w:t>
      </w:r>
    </w:p>
    <w:p w14:paraId="3B19031E" w14:textId="5FF7930A" w:rsidR="007C4D3E" w:rsidRDefault="007C4D3E" w:rsidP="009B54B5">
      <w:pPr>
        <w:pStyle w:val="numeradorom"/>
        <w:numPr>
          <w:ilvl w:val="2"/>
          <w:numId w:val="15"/>
        </w:numPr>
        <w:rPr>
          <w:lang w:eastAsia="es-ES"/>
        </w:rPr>
      </w:pPr>
      <w:r>
        <w:rPr>
          <w:lang w:eastAsia="es-ES"/>
        </w:rPr>
        <w:t>Consolidar mensualmente la información de la ejecución financiera del Programa con los reportes proporcionados por</w:t>
      </w:r>
      <w:r w:rsidR="00B53378">
        <w:rPr>
          <w:lang w:eastAsia="es-ES"/>
        </w:rPr>
        <w:t xml:space="preserve"> </w:t>
      </w:r>
      <w:r w:rsidR="00C85768">
        <w:rPr>
          <w:lang w:eastAsia="es-ES"/>
        </w:rPr>
        <w:t xml:space="preserve">los </w:t>
      </w:r>
      <w:r w:rsidR="005543B5">
        <w:rPr>
          <w:lang w:eastAsia="es-ES"/>
        </w:rPr>
        <w:t>EDG-</w:t>
      </w:r>
      <w:r w:rsidR="00C85768">
        <w:rPr>
          <w:lang w:eastAsia="es-ES"/>
        </w:rPr>
        <w:t>OSE</w:t>
      </w:r>
      <w:r>
        <w:rPr>
          <w:lang w:eastAsia="es-ES"/>
        </w:rPr>
        <w:t>, para preparar y presentar los informes requeridos.</w:t>
      </w:r>
    </w:p>
    <w:p w14:paraId="49997A3A" w14:textId="77777777" w:rsidR="007C4D3E" w:rsidRDefault="007C4D3E" w:rsidP="009B54B5">
      <w:pPr>
        <w:pStyle w:val="numeradorom"/>
        <w:numPr>
          <w:ilvl w:val="2"/>
          <w:numId w:val="15"/>
        </w:numPr>
        <w:rPr>
          <w:lang w:eastAsia="es-ES"/>
        </w:rPr>
      </w:pPr>
      <w:r>
        <w:rPr>
          <w:lang w:eastAsia="es-ES"/>
        </w:rPr>
        <w:t>Conciliar mensualmente el saldo del Programa con los registros del Banco</w:t>
      </w:r>
    </w:p>
    <w:p w14:paraId="1FF2E53B" w14:textId="77777777" w:rsidR="007C4D3E" w:rsidRDefault="007C4D3E" w:rsidP="009B54B5">
      <w:pPr>
        <w:pStyle w:val="numeradorom"/>
        <w:numPr>
          <w:ilvl w:val="2"/>
          <w:numId w:val="15"/>
        </w:numPr>
        <w:rPr>
          <w:lang w:eastAsia="es-ES"/>
        </w:rPr>
      </w:pPr>
      <w:r>
        <w:rPr>
          <w:lang w:eastAsia="es-ES"/>
        </w:rPr>
        <w:t>Liderar técnicamente el proceso de contratación de las firmas auditoras del Programa y coordinar y facilitar la ejecución de sus actividades mediante la entrega de información oportuna y confiable.</w:t>
      </w:r>
    </w:p>
    <w:p w14:paraId="4450B9F6" w14:textId="0B2C1EC2" w:rsidR="007C4D3E" w:rsidRDefault="007C4D3E" w:rsidP="009B54B5">
      <w:pPr>
        <w:pStyle w:val="numeradorom"/>
        <w:numPr>
          <w:ilvl w:val="2"/>
          <w:numId w:val="15"/>
        </w:numPr>
        <w:rPr>
          <w:lang w:eastAsia="es-ES"/>
        </w:rPr>
      </w:pPr>
      <w:r>
        <w:rPr>
          <w:lang w:eastAsia="es-ES"/>
        </w:rPr>
        <w:t xml:space="preserve">Proponer, implementar y actualizar el Plan de Cuentas del Programa en función de la normativa contable pertinente, de acuerdo </w:t>
      </w:r>
      <w:r w:rsidR="00B53378">
        <w:rPr>
          <w:lang w:eastAsia="es-ES"/>
        </w:rPr>
        <w:t>a las</w:t>
      </w:r>
      <w:r>
        <w:rPr>
          <w:lang w:eastAsia="es-ES"/>
        </w:rPr>
        <w:t xml:space="preserve"> necesidades de registro y presentación de información del programa, dentro de lo establecido en la gestión financiera del Programa descrita en el ROP.</w:t>
      </w:r>
      <w:r w:rsidR="005543B5">
        <w:rPr>
          <w:lang w:eastAsia="es-ES"/>
        </w:rPr>
        <w:t xml:space="preserve"> Y, coordinar la ejecución del mismo proceso en </w:t>
      </w:r>
      <w:r w:rsidR="00C85768">
        <w:rPr>
          <w:lang w:eastAsia="es-ES"/>
        </w:rPr>
        <w:t xml:space="preserve">los </w:t>
      </w:r>
      <w:r w:rsidR="005543B5">
        <w:rPr>
          <w:lang w:eastAsia="es-ES"/>
        </w:rPr>
        <w:t>EDG-</w:t>
      </w:r>
      <w:r w:rsidR="00C85768">
        <w:rPr>
          <w:lang w:eastAsia="es-ES"/>
        </w:rPr>
        <w:t>OSE.</w:t>
      </w:r>
    </w:p>
    <w:p w14:paraId="67FAEEAD" w14:textId="298C6C86" w:rsidR="007C4D3E" w:rsidRDefault="007C4D3E" w:rsidP="009B54B5">
      <w:pPr>
        <w:pStyle w:val="numeradorom"/>
        <w:numPr>
          <w:ilvl w:val="2"/>
          <w:numId w:val="15"/>
        </w:numPr>
        <w:rPr>
          <w:lang w:eastAsia="es-ES"/>
        </w:rPr>
      </w:pPr>
      <w:r>
        <w:rPr>
          <w:lang w:eastAsia="es-ES"/>
        </w:rPr>
        <w:t>Preparar las solicitudes de desembolso del Programa (anticipos, reembolso, justificaciones) de las actividades del Programa,</w:t>
      </w:r>
      <w:r w:rsidR="005543B5">
        <w:rPr>
          <w:lang w:eastAsia="es-ES"/>
        </w:rPr>
        <w:t xml:space="preserve"> en coordinación con </w:t>
      </w:r>
      <w:r w:rsidR="00C85768">
        <w:rPr>
          <w:lang w:eastAsia="es-ES"/>
        </w:rPr>
        <w:t xml:space="preserve">los </w:t>
      </w:r>
      <w:r w:rsidR="00531243">
        <w:rPr>
          <w:lang w:eastAsia="es-ES"/>
        </w:rPr>
        <w:t>OSE, para</w:t>
      </w:r>
      <w:r>
        <w:rPr>
          <w:lang w:eastAsia="es-ES"/>
        </w:rPr>
        <w:t xml:space="preserve"> su presentación al BID y remitirlo para la suscripción de la firma autorizada, así como gestionar la autorización respectiva del MEF. </w:t>
      </w:r>
    </w:p>
    <w:p w14:paraId="20A35AA9" w14:textId="25844D9D" w:rsidR="007C4D3E" w:rsidRDefault="007C4D3E" w:rsidP="009B54B5">
      <w:pPr>
        <w:pStyle w:val="numeradorom"/>
        <w:numPr>
          <w:ilvl w:val="2"/>
          <w:numId w:val="15"/>
        </w:numPr>
        <w:rPr>
          <w:lang w:eastAsia="es-ES"/>
        </w:rPr>
      </w:pPr>
      <w:r>
        <w:rPr>
          <w:lang w:eastAsia="es-ES"/>
        </w:rPr>
        <w:t xml:space="preserve">Coordinar con el MEF la gestión de los desembolsos del Programa, la aprobación de las reformas presupuestarias que correspondan y la transferencia de recursos y espacios presupuestarios </w:t>
      </w:r>
      <w:r w:rsidR="00B53378">
        <w:rPr>
          <w:lang w:eastAsia="es-ES"/>
        </w:rPr>
        <w:t>que sean necesarios</w:t>
      </w:r>
      <w:r>
        <w:rPr>
          <w:lang w:eastAsia="es-ES"/>
        </w:rPr>
        <w:t xml:space="preserve">. </w:t>
      </w:r>
    </w:p>
    <w:p w14:paraId="35D9C9E1" w14:textId="77777777" w:rsidR="007C4D3E" w:rsidRDefault="007C4D3E" w:rsidP="009B54B5">
      <w:pPr>
        <w:pStyle w:val="numeradorom"/>
        <w:numPr>
          <w:ilvl w:val="2"/>
          <w:numId w:val="15"/>
        </w:numPr>
        <w:rPr>
          <w:lang w:eastAsia="es-ES"/>
        </w:rPr>
      </w:pPr>
      <w:r>
        <w:rPr>
          <w:lang w:eastAsia="es-ES"/>
        </w:rPr>
        <w:t>Gestionar y coordinar oportunamente la disponibilidad de recursos tanto del aporte BID como de la contraparte local.</w:t>
      </w:r>
    </w:p>
    <w:p w14:paraId="7F229753" w14:textId="6C948842" w:rsidR="007C4D3E" w:rsidRDefault="007C4D3E" w:rsidP="009B54B5">
      <w:pPr>
        <w:pStyle w:val="numeradorom"/>
        <w:numPr>
          <w:ilvl w:val="2"/>
          <w:numId w:val="15"/>
        </w:numPr>
        <w:rPr>
          <w:lang w:eastAsia="es-ES"/>
        </w:rPr>
      </w:pPr>
      <w:r>
        <w:rPr>
          <w:lang w:eastAsia="es-ES"/>
        </w:rPr>
        <w:t>Apoyar y Gestionar en la emisión de las certificaciones y avales presupuestarios necesarias correspondientes a los procesos precontractuales del programa.</w:t>
      </w:r>
      <w:r w:rsidR="00531243">
        <w:rPr>
          <w:lang w:eastAsia="es-ES"/>
        </w:rPr>
        <w:t xml:space="preserve"> En coordinación con </w:t>
      </w:r>
      <w:r w:rsidR="00C85768">
        <w:rPr>
          <w:lang w:eastAsia="es-ES"/>
        </w:rPr>
        <w:t xml:space="preserve">los </w:t>
      </w:r>
      <w:r w:rsidR="00531243">
        <w:rPr>
          <w:lang w:eastAsia="es-ES"/>
        </w:rPr>
        <w:t>OSE.</w:t>
      </w:r>
    </w:p>
    <w:p w14:paraId="4D08DDF0" w14:textId="051CEB7F" w:rsidR="007C4D3E" w:rsidRDefault="007C4D3E" w:rsidP="009B54B5">
      <w:pPr>
        <w:pStyle w:val="numeradorom"/>
        <w:numPr>
          <w:ilvl w:val="2"/>
          <w:numId w:val="15"/>
        </w:numPr>
        <w:rPr>
          <w:lang w:eastAsia="es-ES"/>
        </w:rPr>
      </w:pPr>
      <w:r>
        <w:rPr>
          <w:lang w:eastAsia="es-ES"/>
        </w:rPr>
        <w:t>Las demás funciones</w:t>
      </w:r>
      <w:r w:rsidR="00B53378">
        <w:rPr>
          <w:lang w:eastAsia="es-ES"/>
        </w:rPr>
        <w:t xml:space="preserve"> descritas en el ROP y las </w:t>
      </w:r>
      <w:r>
        <w:rPr>
          <w:lang w:eastAsia="es-ES"/>
        </w:rPr>
        <w:t>asignadas por el C</w:t>
      </w:r>
      <w:r w:rsidR="00531243">
        <w:rPr>
          <w:lang w:eastAsia="es-ES"/>
        </w:rPr>
        <w:t>GP-EDG/MEF</w:t>
      </w:r>
      <w:r>
        <w:rPr>
          <w:lang w:eastAsia="es-ES"/>
        </w:rPr>
        <w:t xml:space="preserve">, con la finalidad de dar cumplimiento al </w:t>
      </w:r>
      <w:r w:rsidR="00B53378">
        <w:rPr>
          <w:lang w:eastAsia="es-ES"/>
        </w:rPr>
        <w:t>Programa.</w:t>
      </w:r>
      <w:r>
        <w:rPr>
          <w:lang w:eastAsia="es-ES"/>
        </w:rPr>
        <w:t xml:space="preserve"> </w:t>
      </w:r>
    </w:p>
    <w:p w14:paraId="02981ED9" w14:textId="3115F023" w:rsidR="00AA698A" w:rsidRDefault="00AA698A" w:rsidP="00A94976">
      <w:pPr>
        <w:pStyle w:val="Heading2"/>
        <w:numPr>
          <w:ilvl w:val="0"/>
          <w:numId w:val="8"/>
        </w:numPr>
      </w:pPr>
      <w:bookmarkStart w:id="90" w:name="_Toc23797317"/>
      <w:r>
        <w:lastRenderedPageBreak/>
        <w:t>Funciones y Responsabilidades de los miembros de</w:t>
      </w:r>
      <w:r w:rsidR="007A0D63">
        <w:t xml:space="preserve"> los </w:t>
      </w:r>
      <w:r>
        <w:t>EDG-</w:t>
      </w:r>
      <w:r w:rsidR="007A0D63">
        <w:t>OSE</w:t>
      </w:r>
      <w:bookmarkEnd w:id="90"/>
      <w:r>
        <w:t xml:space="preserve"> </w:t>
      </w:r>
    </w:p>
    <w:p w14:paraId="60A7743E" w14:textId="3669A547" w:rsidR="00AA698A" w:rsidRPr="007C4D3E" w:rsidRDefault="007A0D63" w:rsidP="009B54B5">
      <w:pPr>
        <w:pStyle w:val="Estilo1"/>
      </w:pPr>
      <w:r>
        <w:t>Los E</w:t>
      </w:r>
      <w:r w:rsidR="00AA698A">
        <w:t>DG-</w:t>
      </w:r>
      <w:r>
        <w:t>OSE</w:t>
      </w:r>
      <w:r w:rsidR="00AA698A">
        <w:t xml:space="preserve"> estará</w:t>
      </w:r>
      <w:r>
        <w:t xml:space="preserve">n </w:t>
      </w:r>
      <w:r w:rsidR="00AA698A">
        <w:t>constituido</w:t>
      </w:r>
      <w:r>
        <w:t>s</w:t>
      </w:r>
      <w:r w:rsidR="00AA698A">
        <w:t xml:space="preserve"> al menos por un Coordinador</w:t>
      </w:r>
      <w:r w:rsidR="002C4F1F">
        <w:t xml:space="preserve"> </w:t>
      </w:r>
      <w:r w:rsidR="002C4F1F" w:rsidRPr="002C4F1F">
        <w:t xml:space="preserve">de las actividades del Programa a cargo de </w:t>
      </w:r>
      <w:r>
        <w:t>cada OSE</w:t>
      </w:r>
      <w:r w:rsidR="002C4F1F">
        <w:t xml:space="preserve"> </w:t>
      </w:r>
      <w:r w:rsidR="00AA698A">
        <w:t>(C</w:t>
      </w:r>
      <w:r w:rsidR="002C4F1F">
        <w:t>P-EDG/</w:t>
      </w:r>
      <w:r>
        <w:t>OSE</w:t>
      </w:r>
      <w:r w:rsidR="00AA698A" w:rsidRPr="00DD5556">
        <w:t>)</w:t>
      </w:r>
      <w:r w:rsidR="002C4F1F" w:rsidRPr="00DD5556">
        <w:t xml:space="preserve">; </w:t>
      </w:r>
      <w:r w:rsidR="00AA698A" w:rsidRPr="00DD5556">
        <w:t>un Especialista de Adquisiciones (EA-EDG</w:t>
      </w:r>
      <w:r w:rsidR="009F7E6F">
        <w:t>/OSE</w:t>
      </w:r>
      <w:r w:rsidR="00AA698A" w:rsidRPr="00DD5556">
        <w:t>), un Especialista</w:t>
      </w:r>
      <w:r w:rsidR="009F7E6F">
        <w:t xml:space="preserve"> de Monitoreo (EM-EDG/OSE); un Especialista </w:t>
      </w:r>
      <w:r w:rsidR="00AA698A" w:rsidRPr="00DD5556">
        <w:t>Financiero (EF-EDG</w:t>
      </w:r>
      <w:r w:rsidR="009F7E6F">
        <w:t>/OSE</w:t>
      </w:r>
      <w:r w:rsidR="00AA698A" w:rsidRPr="00DD5556">
        <w:t>),</w:t>
      </w:r>
      <w:r w:rsidR="00AA698A">
        <w:t xml:space="preserve"> que tendrán las siguientes funciones y responsabilidades: </w:t>
      </w:r>
    </w:p>
    <w:p w14:paraId="1323472B" w14:textId="003793A9" w:rsidR="00AA698A" w:rsidRDefault="00AA698A" w:rsidP="00BD5D10">
      <w:pPr>
        <w:pStyle w:val="Heading3"/>
        <w:rPr>
          <w:lang w:eastAsia="es-ES"/>
        </w:rPr>
      </w:pPr>
      <w:r w:rsidRPr="00701174">
        <w:rPr>
          <w:lang w:eastAsia="es-ES"/>
        </w:rPr>
        <w:t xml:space="preserve">Coordinador </w:t>
      </w:r>
      <w:r w:rsidR="002C4F1F">
        <w:rPr>
          <w:lang w:eastAsia="es-ES"/>
        </w:rPr>
        <w:t>de las actividades de</w:t>
      </w:r>
      <w:r w:rsidRPr="00701174">
        <w:rPr>
          <w:lang w:eastAsia="es-ES"/>
        </w:rPr>
        <w:t>l Programa</w:t>
      </w:r>
      <w:r w:rsidR="002C4F1F">
        <w:rPr>
          <w:lang w:eastAsia="es-ES"/>
        </w:rPr>
        <w:t xml:space="preserve"> a cargo de l</w:t>
      </w:r>
      <w:r w:rsidR="00DD5556">
        <w:rPr>
          <w:lang w:eastAsia="es-ES"/>
        </w:rPr>
        <w:t xml:space="preserve">os OSE </w:t>
      </w:r>
      <w:r>
        <w:rPr>
          <w:lang w:eastAsia="es-ES"/>
        </w:rPr>
        <w:t>(CP-EDG</w:t>
      </w:r>
      <w:r w:rsidR="002C4F1F">
        <w:rPr>
          <w:lang w:eastAsia="es-ES"/>
        </w:rPr>
        <w:t>/</w:t>
      </w:r>
      <w:r w:rsidR="00DD5556">
        <w:rPr>
          <w:lang w:eastAsia="es-ES"/>
        </w:rPr>
        <w:t>OSE</w:t>
      </w:r>
      <w:r>
        <w:rPr>
          <w:lang w:eastAsia="es-ES"/>
        </w:rPr>
        <w:t>)</w:t>
      </w:r>
    </w:p>
    <w:p w14:paraId="4B6DEB87" w14:textId="755DD4F6" w:rsidR="00AA698A" w:rsidRDefault="00AA698A" w:rsidP="009B54B5">
      <w:pPr>
        <w:pStyle w:val="numeradorom"/>
        <w:numPr>
          <w:ilvl w:val="2"/>
          <w:numId w:val="22"/>
        </w:numPr>
        <w:rPr>
          <w:lang w:eastAsia="es-ES"/>
        </w:rPr>
      </w:pPr>
      <w:r>
        <w:rPr>
          <w:lang w:eastAsia="es-ES"/>
        </w:rPr>
        <w:t>Gestionar la ejecución de</w:t>
      </w:r>
      <w:r w:rsidR="00E519DF">
        <w:rPr>
          <w:lang w:eastAsia="es-ES"/>
        </w:rPr>
        <w:t xml:space="preserve"> las actividades del </w:t>
      </w:r>
      <w:r>
        <w:rPr>
          <w:lang w:eastAsia="es-ES"/>
        </w:rPr>
        <w:t>Programa</w:t>
      </w:r>
      <w:r w:rsidR="00E519DF">
        <w:rPr>
          <w:lang w:eastAsia="es-ES"/>
        </w:rPr>
        <w:t xml:space="preserve"> a cargo de</w:t>
      </w:r>
      <w:r w:rsidR="00DD5556">
        <w:rPr>
          <w:lang w:eastAsia="es-ES"/>
        </w:rPr>
        <w:t>l OSE correspondiente</w:t>
      </w:r>
      <w:r>
        <w:rPr>
          <w:lang w:eastAsia="es-ES"/>
        </w:rPr>
        <w:t>, enfocado en el logro de los productos y resultados establecidos en la MdR, asegurando el cumplimiento de presupuestos, cronogramas, calidad y satisfacción de los interesados, dando cumplimiento a lo estipulado en el Contrato de Préstamo, el ROP y demás normas y políticas que rigen la ejecución del Programa.</w:t>
      </w:r>
    </w:p>
    <w:p w14:paraId="2EF16EF3" w14:textId="1AB829FA" w:rsidR="00E519DF" w:rsidRPr="00E519DF" w:rsidRDefault="00E519DF" w:rsidP="009B54B5">
      <w:pPr>
        <w:pStyle w:val="numeradorom"/>
        <w:numPr>
          <w:ilvl w:val="2"/>
          <w:numId w:val="22"/>
        </w:numPr>
        <w:rPr>
          <w:lang w:eastAsia="es-ES"/>
        </w:rPr>
      </w:pPr>
      <w:r>
        <w:rPr>
          <w:lang w:eastAsia="es-ES"/>
        </w:rPr>
        <w:t>Informar y brindar asistencia al CGP-EDG/MEF</w:t>
      </w:r>
      <w:r w:rsidRPr="00E519DF">
        <w:rPr>
          <w:lang w:eastAsia="es-ES"/>
        </w:rPr>
        <w:t xml:space="preserve"> respecto de la ejecución del componente o actividades del Programa a cargo</w:t>
      </w:r>
      <w:r>
        <w:rPr>
          <w:lang w:eastAsia="es-ES"/>
        </w:rPr>
        <w:t xml:space="preserve"> d</w:t>
      </w:r>
      <w:r w:rsidR="009F7E6F">
        <w:rPr>
          <w:lang w:eastAsia="es-ES"/>
        </w:rPr>
        <w:t>el OSE correspondiente</w:t>
      </w:r>
      <w:r w:rsidRPr="00E519DF">
        <w:rPr>
          <w:lang w:eastAsia="es-ES"/>
        </w:rPr>
        <w:t xml:space="preserve">. </w:t>
      </w:r>
    </w:p>
    <w:p w14:paraId="614BBFD7" w14:textId="3CF3A58E" w:rsidR="00F15C75" w:rsidRDefault="00F15C75" w:rsidP="009B54B5">
      <w:pPr>
        <w:pStyle w:val="numeradorom"/>
        <w:numPr>
          <w:ilvl w:val="2"/>
          <w:numId w:val="22"/>
        </w:numPr>
        <w:rPr>
          <w:lang w:eastAsia="es-ES"/>
        </w:rPr>
      </w:pPr>
      <w:r w:rsidRPr="00E519DF">
        <w:rPr>
          <w:lang w:eastAsia="es-ES"/>
        </w:rPr>
        <w:t>Velar por el cumplimiento de los acuerdos establecidos para la ejecución de</w:t>
      </w:r>
      <w:r>
        <w:rPr>
          <w:lang w:eastAsia="es-ES"/>
        </w:rPr>
        <w:t xml:space="preserve">l </w:t>
      </w:r>
      <w:r w:rsidRPr="00E519DF">
        <w:rPr>
          <w:lang w:eastAsia="es-ES"/>
        </w:rPr>
        <w:t>componente y actividades</w:t>
      </w:r>
      <w:r>
        <w:rPr>
          <w:lang w:eastAsia="es-ES"/>
        </w:rPr>
        <w:t xml:space="preserve"> del Programa a cargo de</w:t>
      </w:r>
      <w:r w:rsidR="009F7E6F">
        <w:rPr>
          <w:lang w:eastAsia="es-ES"/>
        </w:rPr>
        <w:t>l OSE correspondiente</w:t>
      </w:r>
      <w:r w:rsidRPr="00E519DF">
        <w:rPr>
          <w:lang w:eastAsia="es-ES"/>
        </w:rPr>
        <w:t xml:space="preserve">, en el Contrato de Préstamo y ROP. </w:t>
      </w:r>
    </w:p>
    <w:p w14:paraId="72D04039" w14:textId="12C4F243" w:rsidR="00F15C75" w:rsidRPr="00F15C75" w:rsidRDefault="00F15C75" w:rsidP="009B54B5">
      <w:pPr>
        <w:pStyle w:val="numeradorom"/>
        <w:numPr>
          <w:ilvl w:val="2"/>
          <w:numId w:val="22"/>
        </w:numPr>
        <w:rPr>
          <w:lang w:eastAsia="es-ES"/>
        </w:rPr>
      </w:pPr>
      <w:r w:rsidRPr="00F15C75">
        <w:rPr>
          <w:lang w:eastAsia="es-ES"/>
        </w:rPr>
        <w:t xml:space="preserve">Ejecutar los mecanismos de coordinación, monitoreo y control, establecidos con el EDG-MEF, relacionadas con la ejecución del Componente y actividades </w:t>
      </w:r>
      <w:r>
        <w:rPr>
          <w:lang w:eastAsia="es-ES"/>
        </w:rPr>
        <w:t xml:space="preserve">del Programa </w:t>
      </w:r>
      <w:r w:rsidRPr="00F15C75">
        <w:rPr>
          <w:lang w:eastAsia="es-ES"/>
        </w:rPr>
        <w:t>a cargo</w:t>
      </w:r>
      <w:r>
        <w:rPr>
          <w:lang w:eastAsia="es-ES"/>
        </w:rPr>
        <w:t xml:space="preserve"> de</w:t>
      </w:r>
      <w:r w:rsidR="009F7E6F">
        <w:rPr>
          <w:lang w:eastAsia="es-ES"/>
        </w:rPr>
        <w:t>l OSE correspondiente</w:t>
      </w:r>
      <w:r w:rsidRPr="00F15C75">
        <w:rPr>
          <w:lang w:eastAsia="es-ES"/>
        </w:rPr>
        <w:t>.</w:t>
      </w:r>
    </w:p>
    <w:p w14:paraId="7462E7D9" w14:textId="4C956D46" w:rsidR="00F15C75" w:rsidRDefault="00F15C75" w:rsidP="009B54B5">
      <w:pPr>
        <w:pStyle w:val="numeradorom"/>
        <w:numPr>
          <w:ilvl w:val="2"/>
          <w:numId w:val="22"/>
        </w:numPr>
        <w:rPr>
          <w:lang w:eastAsia="es-ES"/>
        </w:rPr>
      </w:pPr>
      <w:r>
        <w:rPr>
          <w:lang w:eastAsia="es-ES"/>
        </w:rPr>
        <w:t>Preparar y suministrar la información del componente y actividades del Programa a cargo de</w:t>
      </w:r>
      <w:r w:rsidR="009F7E6F">
        <w:rPr>
          <w:lang w:eastAsia="es-ES"/>
        </w:rPr>
        <w:t>l OSE correspondiente</w:t>
      </w:r>
      <w:r>
        <w:rPr>
          <w:lang w:eastAsia="es-ES"/>
        </w:rPr>
        <w:t>: (i) elaborar y actualizar las herramientas de gestión; (ii) facilitar el seguimiento y monitoreo del Programa; (iii) elaborar los informes de avance del Programa (ISP); (iv) las Reuniones Técnicas de Seguimiento (RTS); (v) los informes solicitados por el EDG-MEF y el Banco.</w:t>
      </w:r>
    </w:p>
    <w:p w14:paraId="11655E5B" w14:textId="45482F10" w:rsidR="00F15C75" w:rsidRDefault="00F15C75" w:rsidP="009B54B5">
      <w:pPr>
        <w:pStyle w:val="numeradorom"/>
        <w:numPr>
          <w:ilvl w:val="2"/>
          <w:numId w:val="22"/>
        </w:numPr>
        <w:rPr>
          <w:lang w:eastAsia="es-ES"/>
        </w:rPr>
      </w:pPr>
      <w:r>
        <w:rPr>
          <w:lang w:eastAsia="es-ES"/>
        </w:rPr>
        <w:t>Remitir dentro de los 5 días laborables posteriores al cierre de cada trimestre, un informe del estado de cumplimiento de las metas, indicadores y productos de la MdR en lo que le corresponde a</w:t>
      </w:r>
      <w:r w:rsidR="009F7E6F">
        <w:rPr>
          <w:lang w:eastAsia="es-ES"/>
        </w:rPr>
        <w:t>l OSE respectivo</w:t>
      </w:r>
      <w:r>
        <w:rPr>
          <w:lang w:eastAsia="es-ES"/>
        </w:rPr>
        <w:t xml:space="preserve">. </w:t>
      </w:r>
    </w:p>
    <w:p w14:paraId="04FBA9F5" w14:textId="2AD2625A" w:rsidR="00F15C75" w:rsidRDefault="009F7E6F" w:rsidP="009B54B5">
      <w:pPr>
        <w:pStyle w:val="numeradorom"/>
        <w:numPr>
          <w:ilvl w:val="2"/>
          <w:numId w:val="22"/>
        </w:numPr>
        <w:rPr>
          <w:lang w:eastAsia="es-ES"/>
        </w:rPr>
      </w:pPr>
      <w:r>
        <w:rPr>
          <w:lang w:eastAsia="es-ES"/>
        </w:rPr>
        <w:t xml:space="preserve">Cada </w:t>
      </w:r>
      <w:r w:rsidR="00F15C75">
        <w:rPr>
          <w:lang w:eastAsia="es-ES"/>
        </w:rPr>
        <w:t>CP-EDG/</w:t>
      </w:r>
      <w:r>
        <w:rPr>
          <w:lang w:eastAsia="es-ES"/>
        </w:rPr>
        <w:t xml:space="preserve">OSE </w:t>
      </w:r>
      <w:r w:rsidR="00F15C75">
        <w:rPr>
          <w:lang w:eastAsia="es-ES"/>
        </w:rPr>
        <w:t xml:space="preserve">será el responsable del monitoreo y seguimiento y ejecutará las funciones de monitoreo y seguimiento </w:t>
      </w:r>
      <w:r w:rsidR="00F15C75" w:rsidRPr="00F15C75">
        <w:rPr>
          <w:lang w:eastAsia="es-ES"/>
        </w:rPr>
        <w:t>del Componente y actividades</w:t>
      </w:r>
      <w:r w:rsidR="00F15C75">
        <w:rPr>
          <w:lang w:eastAsia="es-ES"/>
        </w:rPr>
        <w:t xml:space="preserve"> del Programa </w:t>
      </w:r>
      <w:r w:rsidR="00F15C75" w:rsidRPr="00F15C75">
        <w:rPr>
          <w:lang w:eastAsia="es-ES"/>
        </w:rPr>
        <w:t>a cargo</w:t>
      </w:r>
      <w:r w:rsidR="00F15C75">
        <w:rPr>
          <w:lang w:eastAsia="es-ES"/>
        </w:rPr>
        <w:t xml:space="preserve"> de</w:t>
      </w:r>
      <w:r>
        <w:rPr>
          <w:lang w:eastAsia="es-ES"/>
        </w:rPr>
        <w:t>l OSE que corresponda</w:t>
      </w:r>
      <w:r w:rsidR="00F15C75" w:rsidRPr="00F15C75">
        <w:rPr>
          <w:lang w:eastAsia="es-ES"/>
        </w:rPr>
        <w:t>.</w:t>
      </w:r>
      <w:r w:rsidR="00F15C75">
        <w:rPr>
          <w:lang w:eastAsia="es-ES"/>
        </w:rPr>
        <w:t xml:space="preserve"> Las funciones de monitoreo y seguimiento se encuentran descritas en la sección del responsable de monitoreo y seguimiento</w:t>
      </w:r>
    </w:p>
    <w:p w14:paraId="12484A2D" w14:textId="0635872B" w:rsidR="00AA698A" w:rsidRDefault="00AA698A" w:rsidP="009B54B5">
      <w:pPr>
        <w:pStyle w:val="numeradorom"/>
        <w:numPr>
          <w:ilvl w:val="2"/>
          <w:numId w:val="22"/>
        </w:numPr>
        <w:rPr>
          <w:lang w:eastAsia="es-ES"/>
        </w:rPr>
      </w:pPr>
      <w:r>
        <w:rPr>
          <w:lang w:eastAsia="es-ES"/>
        </w:rPr>
        <w:t>Servir de nexo de coordinación e interlocución con el BID</w:t>
      </w:r>
      <w:r w:rsidR="00E519DF">
        <w:rPr>
          <w:lang w:eastAsia="es-ES"/>
        </w:rPr>
        <w:t xml:space="preserve">, respecto de la ejecución de las adquisiciones del </w:t>
      </w:r>
      <w:r w:rsidR="00E519DF" w:rsidRPr="00E519DF">
        <w:rPr>
          <w:lang w:eastAsia="es-ES"/>
        </w:rPr>
        <w:t>componente o actividades del Programa a cargo</w:t>
      </w:r>
      <w:r w:rsidR="00E519DF">
        <w:rPr>
          <w:lang w:eastAsia="es-ES"/>
        </w:rPr>
        <w:t xml:space="preserve"> de</w:t>
      </w:r>
      <w:r w:rsidR="009F7E6F">
        <w:rPr>
          <w:lang w:eastAsia="es-ES"/>
        </w:rPr>
        <w:t>l OSE que corresponda</w:t>
      </w:r>
      <w:r>
        <w:rPr>
          <w:lang w:eastAsia="es-ES"/>
        </w:rPr>
        <w:t>.</w:t>
      </w:r>
    </w:p>
    <w:p w14:paraId="31B4C102" w14:textId="1CAB7831" w:rsidR="00AA698A" w:rsidRDefault="00AA698A" w:rsidP="009B54B5">
      <w:pPr>
        <w:pStyle w:val="numeradorom"/>
        <w:numPr>
          <w:ilvl w:val="2"/>
          <w:numId w:val="22"/>
        </w:numPr>
        <w:rPr>
          <w:lang w:eastAsia="es-ES"/>
        </w:rPr>
      </w:pPr>
      <w:r>
        <w:rPr>
          <w:lang w:eastAsia="es-ES"/>
        </w:rPr>
        <w:t xml:space="preserve">Coordinar y gestionar la asignación de los recursos y del presupuesto asignado para la ejecución </w:t>
      </w:r>
      <w:r w:rsidR="00F9123D" w:rsidRPr="00E519DF">
        <w:rPr>
          <w:lang w:eastAsia="es-ES"/>
        </w:rPr>
        <w:t>de</w:t>
      </w:r>
      <w:r w:rsidR="00F9123D">
        <w:rPr>
          <w:lang w:eastAsia="es-ES"/>
        </w:rPr>
        <w:t xml:space="preserve">l </w:t>
      </w:r>
      <w:r w:rsidR="00F9123D" w:rsidRPr="00E519DF">
        <w:rPr>
          <w:lang w:eastAsia="es-ES"/>
        </w:rPr>
        <w:t>componente y actividades</w:t>
      </w:r>
      <w:r w:rsidR="00F9123D">
        <w:rPr>
          <w:lang w:eastAsia="es-ES"/>
        </w:rPr>
        <w:t xml:space="preserve"> del Programa a cargo de</w:t>
      </w:r>
      <w:r w:rsidR="009F7E6F">
        <w:rPr>
          <w:lang w:eastAsia="es-ES"/>
        </w:rPr>
        <w:t>l OSE respectivo</w:t>
      </w:r>
      <w:r>
        <w:rPr>
          <w:lang w:eastAsia="es-ES"/>
        </w:rPr>
        <w:t xml:space="preserve">. </w:t>
      </w:r>
    </w:p>
    <w:p w14:paraId="7E5D35ED" w14:textId="2B0FE0A2" w:rsidR="00AA698A" w:rsidRDefault="00AA698A" w:rsidP="009B54B5">
      <w:pPr>
        <w:pStyle w:val="numeradorom"/>
        <w:numPr>
          <w:ilvl w:val="2"/>
          <w:numId w:val="22"/>
        </w:numPr>
        <w:rPr>
          <w:lang w:eastAsia="es-ES"/>
        </w:rPr>
      </w:pPr>
      <w:r>
        <w:rPr>
          <w:lang w:eastAsia="es-ES"/>
        </w:rPr>
        <w:t>Aprobar y preparar para remisión al</w:t>
      </w:r>
      <w:r w:rsidR="00F9123D">
        <w:rPr>
          <w:lang w:eastAsia="es-ES"/>
        </w:rPr>
        <w:t xml:space="preserve"> EDG-MEF</w:t>
      </w:r>
      <w:r>
        <w:rPr>
          <w:lang w:eastAsia="es-ES"/>
        </w:rPr>
        <w:t xml:space="preserve">, </w:t>
      </w:r>
      <w:r w:rsidR="00F9123D">
        <w:rPr>
          <w:lang w:eastAsia="es-ES"/>
        </w:rPr>
        <w:t xml:space="preserve">los requerimientos </w:t>
      </w:r>
      <w:r>
        <w:rPr>
          <w:lang w:eastAsia="es-ES"/>
        </w:rPr>
        <w:t>de desembolso y justificación de gastos elegibles, los Informes de Ejecución Financiera de</w:t>
      </w:r>
      <w:r w:rsidR="00F9123D">
        <w:rPr>
          <w:lang w:eastAsia="es-ES"/>
        </w:rPr>
        <w:t xml:space="preserve">l </w:t>
      </w:r>
      <w:r w:rsidR="00F9123D" w:rsidRPr="00E519DF">
        <w:rPr>
          <w:lang w:eastAsia="es-ES"/>
        </w:rPr>
        <w:t>componente y actividades</w:t>
      </w:r>
      <w:r w:rsidR="00F9123D">
        <w:rPr>
          <w:lang w:eastAsia="es-ES"/>
        </w:rPr>
        <w:t xml:space="preserve"> del Programa a cargo de</w:t>
      </w:r>
      <w:r w:rsidR="009F7E6F">
        <w:rPr>
          <w:lang w:eastAsia="es-ES"/>
        </w:rPr>
        <w:t>l respectivo OSE</w:t>
      </w:r>
      <w:r>
        <w:rPr>
          <w:lang w:eastAsia="es-ES"/>
        </w:rPr>
        <w:t xml:space="preserve"> (programación de gastos) que acompañarán las solicitudes de desembolso del Programa.</w:t>
      </w:r>
    </w:p>
    <w:p w14:paraId="58EABAE2" w14:textId="7C1F537E" w:rsidR="00AA698A" w:rsidRDefault="00AA698A" w:rsidP="009B54B5">
      <w:pPr>
        <w:pStyle w:val="numeradorom"/>
        <w:numPr>
          <w:ilvl w:val="2"/>
          <w:numId w:val="22"/>
        </w:numPr>
        <w:rPr>
          <w:lang w:eastAsia="es-ES"/>
        </w:rPr>
      </w:pPr>
      <w:r>
        <w:rPr>
          <w:lang w:eastAsia="es-ES"/>
        </w:rPr>
        <w:t xml:space="preserve">Firmar y </w:t>
      </w:r>
      <w:r w:rsidR="00F9123D">
        <w:rPr>
          <w:lang w:eastAsia="es-ES"/>
        </w:rPr>
        <w:t>a</w:t>
      </w:r>
      <w:r>
        <w:rPr>
          <w:lang w:eastAsia="es-ES"/>
        </w:rPr>
        <w:t xml:space="preserve">probar los </w:t>
      </w:r>
      <w:r w:rsidR="00F9123D">
        <w:rPr>
          <w:lang w:eastAsia="es-ES"/>
        </w:rPr>
        <w:t>informes F</w:t>
      </w:r>
      <w:r>
        <w:rPr>
          <w:lang w:eastAsia="es-ES"/>
        </w:rPr>
        <w:t xml:space="preserve">inancieros </w:t>
      </w:r>
      <w:r w:rsidR="00F9123D">
        <w:rPr>
          <w:lang w:eastAsia="es-ES"/>
        </w:rPr>
        <w:t>correspondientes a</w:t>
      </w:r>
      <w:r w:rsidR="009F7E6F">
        <w:rPr>
          <w:lang w:eastAsia="es-ES"/>
        </w:rPr>
        <w:t xml:space="preserve">l </w:t>
      </w:r>
      <w:r w:rsidR="00F9123D" w:rsidRPr="00E519DF">
        <w:rPr>
          <w:lang w:eastAsia="es-ES"/>
        </w:rPr>
        <w:t>componente y actividades</w:t>
      </w:r>
      <w:r w:rsidR="00F9123D">
        <w:rPr>
          <w:lang w:eastAsia="es-ES"/>
        </w:rPr>
        <w:t xml:space="preserve"> del Programa a cargo de</w:t>
      </w:r>
      <w:r w:rsidR="009F7E6F">
        <w:rPr>
          <w:lang w:eastAsia="es-ES"/>
        </w:rPr>
        <w:t xml:space="preserve">l OSE respectivo </w:t>
      </w:r>
      <w:r>
        <w:rPr>
          <w:lang w:eastAsia="es-ES"/>
        </w:rPr>
        <w:t xml:space="preserve">elaborados por el Especialista Financiero </w:t>
      </w:r>
      <w:r w:rsidR="00F9123D">
        <w:rPr>
          <w:lang w:eastAsia="es-ES"/>
        </w:rPr>
        <w:t>del EDG/</w:t>
      </w:r>
      <w:r w:rsidR="009F7E6F">
        <w:rPr>
          <w:lang w:eastAsia="es-ES"/>
        </w:rPr>
        <w:t>OSE que corresponda</w:t>
      </w:r>
      <w:r>
        <w:rPr>
          <w:lang w:eastAsia="es-ES"/>
        </w:rPr>
        <w:t>.</w:t>
      </w:r>
    </w:p>
    <w:p w14:paraId="4F0AD087" w14:textId="77777777" w:rsidR="00AA698A" w:rsidRDefault="00AA698A" w:rsidP="009B54B5">
      <w:pPr>
        <w:pStyle w:val="numeradorom"/>
        <w:numPr>
          <w:ilvl w:val="2"/>
          <w:numId w:val="22"/>
        </w:numPr>
        <w:rPr>
          <w:lang w:eastAsia="es-ES"/>
        </w:rPr>
      </w:pPr>
      <w:r>
        <w:rPr>
          <w:lang w:eastAsia="es-ES"/>
        </w:rPr>
        <w:t>Las demás funciones establecidas para la ejecución de los proyectos financiados por el BID, que no se contrapongan con lo establecido en el Contrato de Préstamo del Programa, ni en el ROP.</w:t>
      </w:r>
    </w:p>
    <w:p w14:paraId="6CEEB1EB" w14:textId="123AB08C" w:rsidR="00AA698A" w:rsidRPr="00A42F4C" w:rsidRDefault="009F7E6F" w:rsidP="00BD5D10">
      <w:pPr>
        <w:pStyle w:val="Heading3"/>
        <w:rPr>
          <w:lang w:val="pt-BR"/>
        </w:rPr>
      </w:pPr>
      <w:r w:rsidRPr="00A42F4C">
        <w:rPr>
          <w:lang w:val="pt-BR"/>
        </w:rPr>
        <w:t xml:space="preserve">Especialista de </w:t>
      </w:r>
      <w:proofErr w:type="spellStart"/>
      <w:r w:rsidR="00AA698A" w:rsidRPr="00A42F4C">
        <w:rPr>
          <w:lang w:val="pt-BR"/>
        </w:rPr>
        <w:t>Monitoreo</w:t>
      </w:r>
      <w:proofErr w:type="spellEnd"/>
      <w:r w:rsidR="00A23002" w:rsidRPr="00A42F4C">
        <w:rPr>
          <w:lang w:val="pt-BR"/>
        </w:rPr>
        <w:t xml:space="preserve"> (EM-EDG/OSE)</w:t>
      </w:r>
      <w:r w:rsidR="00AA698A" w:rsidRPr="00A42F4C">
        <w:rPr>
          <w:lang w:val="pt-BR"/>
        </w:rPr>
        <w:t xml:space="preserve"> </w:t>
      </w:r>
    </w:p>
    <w:p w14:paraId="0CCF7808" w14:textId="55C9D2C3" w:rsidR="002F2E0B" w:rsidRDefault="002F2E0B" w:rsidP="009B54B5">
      <w:pPr>
        <w:pStyle w:val="numeradorom"/>
        <w:numPr>
          <w:ilvl w:val="2"/>
          <w:numId w:val="27"/>
        </w:numPr>
        <w:rPr>
          <w:lang w:eastAsia="es-ES"/>
        </w:rPr>
      </w:pPr>
      <w:r>
        <w:rPr>
          <w:lang w:eastAsia="es-ES"/>
        </w:rPr>
        <w:t>Coordinar con el EDG-MEF: (i) el seguimiento al cumplimiento y avance de los productos y metas de</w:t>
      </w:r>
      <w:r w:rsidR="007B0B49">
        <w:rPr>
          <w:lang w:eastAsia="es-ES"/>
        </w:rPr>
        <w:t>l componente y las actividades de</w:t>
      </w:r>
      <w:r>
        <w:rPr>
          <w:lang w:eastAsia="es-ES"/>
        </w:rPr>
        <w:t xml:space="preserve">l Programa </w:t>
      </w:r>
      <w:r w:rsidR="007B0B49">
        <w:rPr>
          <w:lang w:eastAsia="es-ES"/>
        </w:rPr>
        <w:t>a cargo de</w:t>
      </w:r>
      <w:r w:rsidR="00A23002">
        <w:rPr>
          <w:lang w:eastAsia="es-ES"/>
        </w:rPr>
        <w:t>l OSE respectivo</w:t>
      </w:r>
      <w:r w:rsidR="007B0B49">
        <w:rPr>
          <w:lang w:eastAsia="es-ES"/>
        </w:rPr>
        <w:t xml:space="preserve">, </w:t>
      </w:r>
      <w:r>
        <w:rPr>
          <w:lang w:eastAsia="es-ES"/>
        </w:rPr>
        <w:t xml:space="preserve">de acuerdo a la MdR; (ii) la actualización de las herramientas de gestión de las actividades que corresponden </w:t>
      </w:r>
      <w:r w:rsidR="007B0B49">
        <w:rPr>
          <w:lang w:eastAsia="es-ES"/>
        </w:rPr>
        <w:t>a</w:t>
      </w:r>
      <w:r w:rsidR="00A23002">
        <w:rPr>
          <w:lang w:eastAsia="es-ES"/>
        </w:rPr>
        <w:t>l OSE que corresponda</w:t>
      </w:r>
      <w:r>
        <w:rPr>
          <w:lang w:eastAsia="es-ES"/>
        </w:rPr>
        <w:t xml:space="preserve">; (iv) la elaboración y presentación de los informes de las actividades del Programa que corresponden </w:t>
      </w:r>
      <w:r w:rsidR="007B0B49">
        <w:rPr>
          <w:lang w:eastAsia="es-ES"/>
        </w:rPr>
        <w:t>a</w:t>
      </w:r>
      <w:r w:rsidR="00A23002">
        <w:rPr>
          <w:lang w:eastAsia="es-ES"/>
        </w:rPr>
        <w:t>l OSE respectivo</w:t>
      </w:r>
      <w:r>
        <w:rPr>
          <w:lang w:eastAsia="es-ES"/>
        </w:rPr>
        <w:t>; (v) las reuniones de seguimiento y avance de resultados, establecidas.</w:t>
      </w:r>
    </w:p>
    <w:p w14:paraId="0E3C7073" w14:textId="77777777" w:rsidR="002F2E0B" w:rsidRDefault="002F2E0B" w:rsidP="009B54B5">
      <w:pPr>
        <w:pStyle w:val="numeradorom"/>
        <w:numPr>
          <w:ilvl w:val="2"/>
          <w:numId w:val="27"/>
        </w:numPr>
        <w:rPr>
          <w:lang w:eastAsia="es-ES"/>
        </w:rPr>
      </w:pPr>
      <w:r>
        <w:rPr>
          <w:lang w:eastAsia="es-ES"/>
        </w:rPr>
        <w:lastRenderedPageBreak/>
        <w:t>Aplicar los formatos y herramientas de monitoreo del Programa, definidos por el EDG-MEF.</w:t>
      </w:r>
    </w:p>
    <w:p w14:paraId="3FB29F54" w14:textId="499B7572" w:rsidR="002F2E0B" w:rsidRDefault="002F2E0B" w:rsidP="009B54B5">
      <w:pPr>
        <w:pStyle w:val="numeradorom"/>
        <w:numPr>
          <w:ilvl w:val="2"/>
          <w:numId w:val="27"/>
        </w:numPr>
        <w:rPr>
          <w:lang w:eastAsia="es-ES"/>
        </w:rPr>
      </w:pPr>
      <w:r>
        <w:rPr>
          <w:lang w:eastAsia="es-ES"/>
        </w:rPr>
        <w:t>Preparar y proporcionar al EDG-MEF la siguiente información de las actividades del Programa a cargo de</w:t>
      </w:r>
      <w:r w:rsidR="00A23002">
        <w:rPr>
          <w:lang w:eastAsia="es-ES"/>
        </w:rPr>
        <w:t>l OSE que corresponda:</w:t>
      </w:r>
      <w:r>
        <w:rPr>
          <w:lang w:eastAsia="es-ES"/>
        </w:rPr>
        <w:t xml:space="preserve"> (i) de monitoreo técnico, de adquisiciones y financiera del Programa en general; (ii) presentar hasta el 15 de mayo de cada año al EDG-MEF el PEP actualizado de las actividades del Programa a cargo del</w:t>
      </w:r>
      <w:r w:rsidR="00A23002">
        <w:rPr>
          <w:lang w:eastAsia="es-ES"/>
        </w:rPr>
        <w:t xml:space="preserve"> OSE respectivo</w:t>
      </w:r>
      <w:r>
        <w:rPr>
          <w:lang w:eastAsia="es-ES"/>
        </w:rPr>
        <w:t xml:space="preserve">, con el detalle de los productos, contratos, inversiones y resultados a ser alcanzados; (iii) monitorear  la actualización de prioridad de los Proyectos de Inversión del </w:t>
      </w:r>
      <w:r w:rsidR="00A23002">
        <w:rPr>
          <w:lang w:eastAsia="es-ES"/>
        </w:rPr>
        <w:t>OSE que corresponda</w:t>
      </w:r>
      <w:r>
        <w:rPr>
          <w:lang w:eastAsia="es-ES"/>
        </w:rPr>
        <w:t xml:space="preserve"> relacionados al PROGRAMA; (iv) apoyar al EDG-MEF en la preparación de la Programación de uso de recursos para el siguiente año, en lo que corresponda a las actividades del</w:t>
      </w:r>
      <w:r w:rsidR="00A23002">
        <w:rPr>
          <w:lang w:eastAsia="es-ES"/>
        </w:rPr>
        <w:t xml:space="preserve"> OSE respectivo</w:t>
      </w:r>
      <w:r>
        <w:rPr>
          <w:lang w:eastAsia="es-ES"/>
        </w:rPr>
        <w:t xml:space="preserve"> dentro del Programa. </w:t>
      </w:r>
    </w:p>
    <w:p w14:paraId="42973228" w14:textId="77777777" w:rsidR="002F2E0B" w:rsidRDefault="002F2E0B" w:rsidP="009B54B5">
      <w:pPr>
        <w:pStyle w:val="numeradorom"/>
        <w:numPr>
          <w:ilvl w:val="2"/>
          <w:numId w:val="27"/>
        </w:numPr>
        <w:rPr>
          <w:lang w:eastAsia="es-ES"/>
        </w:rPr>
      </w:pPr>
      <w:r>
        <w:rPr>
          <w:lang w:eastAsia="es-ES"/>
        </w:rPr>
        <w:t>Proporcionar la información que el EDG-MEF requiera para la elaboración de los informes semestrales consolidados de avance del Programa (PMR) y los informes requeridos para las reuniones de seguimiento y avance de resultados, establecidas en el presente ROP y que requiera la Coordinación General del Programa, el Banco, o el EDG-MEF.</w:t>
      </w:r>
    </w:p>
    <w:p w14:paraId="204770E9" w14:textId="4339DAD1" w:rsidR="00AA698A" w:rsidRDefault="002F2E0B" w:rsidP="009B54B5">
      <w:pPr>
        <w:pStyle w:val="numeradorom"/>
        <w:numPr>
          <w:ilvl w:val="2"/>
          <w:numId w:val="27"/>
        </w:numPr>
        <w:rPr>
          <w:lang w:eastAsia="es-ES"/>
        </w:rPr>
      </w:pPr>
      <w:r>
        <w:rPr>
          <w:lang w:eastAsia="es-ES"/>
        </w:rPr>
        <w:t>Garantizar al EDG-MEF el mantenimiento periódico de la información para alimentar las herramientas que formen parte del Sistema de Monitoreo y Evaluación</w:t>
      </w:r>
      <w:r w:rsidR="00AA698A">
        <w:rPr>
          <w:lang w:eastAsia="es-ES"/>
        </w:rPr>
        <w:t>.</w:t>
      </w:r>
    </w:p>
    <w:p w14:paraId="1D8C6AF4" w14:textId="18DD1121" w:rsidR="000F0474" w:rsidRDefault="000F0474" w:rsidP="009B54B5">
      <w:pPr>
        <w:pStyle w:val="numeradorom"/>
        <w:numPr>
          <w:ilvl w:val="2"/>
          <w:numId w:val="27"/>
        </w:numPr>
        <w:rPr>
          <w:lang w:eastAsia="es-ES"/>
        </w:rPr>
      </w:pPr>
      <w:r>
        <w:rPr>
          <w:lang w:eastAsia="es-ES"/>
        </w:rPr>
        <w:t>Las demás funciones descritas en el ROP y las asignadas por el respectivo CP-EDG/OSE, con la finalidad de dar cumplimiento al Programa.</w:t>
      </w:r>
    </w:p>
    <w:p w14:paraId="6FC36D10" w14:textId="6F933584" w:rsidR="00AA698A" w:rsidRDefault="00AA698A" w:rsidP="00BD5D10">
      <w:pPr>
        <w:pStyle w:val="Heading3"/>
      </w:pPr>
      <w:r w:rsidRPr="004A6B20">
        <w:t>Especialista de Adquisiciones (EA-EDG/</w:t>
      </w:r>
      <w:r w:rsidR="00A23002">
        <w:t>OSE</w:t>
      </w:r>
      <w:r w:rsidRPr="004A6B20">
        <w:t>)</w:t>
      </w:r>
    </w:p>
    <w:p w14:paraId="373BF786" w14:textId="77777777" w:rsidR="00AA698A" w:rsidRDefault="00AA698A" w:rsidP="009B54B5">
      <w:pPr>
        <w:pStyle w:val="numeradorom"/>
        <w:numPr>
          <w:ilvl w:val="2"/>
          <w:numId w:val="23"/>
        </w:numPr>
        <w:rPr>
          <w:lang w:eastAsia="es-ES"/>
        </w:rPr>
      </w:pPr>
      <w:r>
        <w:rPr>
          <w:lang w:eastAsia="es-ES"/>
        </w:rPr>
        <w:t xml:space="preserve">Aplicar y dar cumplimiento a las Normas, Políticas y Procesos de Adquisiciones y Contrataciones establecidos para la ejecución del Programa, que se detallan en el Contrato de Préstamo, las Políticas del Banco y el ROP. </w:t>
      </w:r>
    </w:p>
    <w:p w14:paraId="12939B23" w14:textId="6EDA1170" w:rsidR="00AA698A" w:rsidRDefault="00176AB9" w:rsidP="009B54B5">
      <w:pPr>
        <w:pStyle w:val="numeradorom"/>
        <w:numPr>
          <w:ilvl w:val="2"/>
          <w:numId w:val="23"/>
        </w:numPr>
        <w:rPr>
          <w:lang w:eastAsia="es-ES"/>
        </w:rPr>
      </w:pPr>
      <w:r>
        <w:rPr>
          <w:lang w:eastAsia="es-ES"/>
        </w:rPr>
        <w:t xml:space="preserve">Proveer la información necesaria al EDG-MEF para que el EDG-MEF </w:t>
      </w:r>
      <w:r w:rsidR="00B87752">
        <w:rPr>
          <w:lang w:eastAsia="es-ES"/>
        </w:rPr>
        <w:t>mantenga actualizado</w:t>
      </w:r>
      <w:r w:rsidR="00AA698A">
        <w:rPr>
          <w:lang w:eastAsia="es-ES"/>
        </w:rPr>
        <w:t>: (i) el PA del Programa, garantizando su calidad de información.</w:t>
      </w:r>
    </w:p>
    <w:p w14:paraId="2F4CACA7" w14:textId="1B765A1F" w:rsidR="00B87752" w:rsidRPr="00B87752" w:rsidRDefault="00B87752" w:rsidP="009B54B5">
      <w:pPr>
        <w:pStyle w:val="numeradorom"/>
        <w:numPr>
          <w:ilvl w:val="2"/>
          <w:numId w:val="23"/>
        </w:numPr>
        <w:rPr>
          <w:lang w:eastAsia="es-ES"/>
        </w:rPr>
      </w:pPr>
      <w:r w:rsidRPr="00B87752">
        <w:rPr>
          <w:lang w:eastAsia="es-ES"/>
        </w:rPr>
        <w:t>Preparar la documentación e informes de las adquisiciones del componente o actividades del Programa a cargo de</w:t>
      </w:r>
      <w:r w:rsidR="00A23002">
        <w:rPr>
          <w:lang w:eastAsia="es-ES"/>
        </w:rPr>
        <w:t>l OSE respectivo</w:t>
      </w:r>
      <w:r w:rsidRPr="00B87752">
        <w:rPr>
          <w:lang w:eastAsia="es-ES"/>
        </w:rPr>
        <w:t xml:space="preserve">, requeridos por el Coordinador, por el EDG-MEF o por el Banco. </w:t>
      </w:r>
    </w:p>
    <w:p w14:paraId="43B33DD2" w14:textId="502C6998" w:rsidR="00AA698A" w:rsidRDefault="00AA698A" w:rsidP="009B54B5">
      <w:pPr>
        <w:pStyle w:val="numeradorom"/>
        <w:numPr>
          <w:ilvl w:val="2"/>
          <w:numId w:val="23"/>
        </w:numPr>
        <w:rPr>
          <w:lang w:eastAsia="es-ES"/>
        </w:rPr>
      </w:pPr>
      <w:r>
        <w:rPr>
          <w:lang w:eastAsia="es-ES"/>
        </w:rPr>
        <w:t>Apoyar en la preparación de la documentación precontractual necesaria, según corresponda a cada tipo de adquisición o contratación de las actividades que corresponden a</w:t>
      </w:r>
      <w:r w:rsidR="00A23002">
        <w:rPr>
          <w:lang w:eastAsia="es-ES"/>
        </w:rPr>
        <w:t xml:space="preserve">l OSE respectivo </w:t>
      </w:r>
      <w:r>
        <w:rPr>
          <w:lang w:eastAsia="es-ES"/>
        </w:rPr>
        <w:t>en la ejecución del Programa, de acuerdo a las políticas y métodos definidos en el PA.</w:t>
      </w:r>
    </w:p>
    <w:p w14:paraId="4E576C4B" w14:textId="238465F3" w:rsidR="00AA698A" w:rsidRDefault="00AA698A" w:rsidP="009B54B5">
      <w:pPr>
        <w:pStyle w:val="numeradorom"/>
        <w:numPr>
          <w:ilvl w:val="2"/>
          <w:numId w:val="23"/>
        </w:numPr>
        <w:rPr>
          <w:lang w:eastAsia="es-ES"/>
        </w:rPr>
      </w:pPr>
      <w:r>
        <w:rPr>
          <w:lang w:eastAsia="es-ES"/>
        </w:rPr>
        <w:t>Gestionar y dar seguimiento a los procesos de No Objeción emitidos por el Banco, según corresponda a cada tipo de adquisición o contratación de las actividades que corresponden a</w:t>
      </w:r>
      <w:r w:rsidR="00A23002">
        <w:rPr>
          <w:lang w:eastAsia="es-ES"/>
        </w:rPr>
        <w:t xml:space="preserve">l OSE que corresponda </w:t>
      </w:r>
      <w:r>
        <w:rPr>
          <w:lang w:eastAsia="es-ES"/>
        </w:rPr>
        <w:t xml:space="preserve">en la ejecución del Programa. </w:t>
      </w:r>
    </w:p>
    <w:p w14:paraId="0AE24C45" w14:textId="6DEFEDBC" w:rsidR="00AA698A" w:rsidRDefault="00AA698A" w:rsidP="009B54B5">
      <w:pPr>
        <w:pStyle w:val="numeradorom"/>
        <w:numPr>
          <w:ilvl w:val="2"/>
          <w:numId w:val="23"/>
        </w:numPr>
        <w:rPr>
          <w:lang w:eastAsia="es-ES"/>
        </w:rPr>
      </w:pPr>
      <w:r>
        <w:rPr>
          <w:lang w:eastAsia="es-ES"/>
        </w:rPr>
        <w:t xml:space="preserve">Supervisar la gestión </w:t>
      </w:r>
      <w:r w:rsidR="00B87752">
        <w:rPr>
          <w:lang w:eastAsia="es-ES"/>
        </w:rPr>
        <w:t>de adquisiciones de las actividades del Programa que corresponden a</w:t>
      </w:r>
      <w:r w:rsidR="00A23002">
        <w:rPr>
          <w:lang w:eastAsia="es-ES"/>
        </w:rPr>
        <w:t>l OSE respectivo.</w:t>
      </w:r>
      <w:r w:rsidR="00B87752">
        <w:rPr>
          <w:lang w:eastAsia="es-ES"/>
        </w:rPr>
        <w:t xml:space="preserve"> </w:t>
      </w:r>
    </w:p>
    <w:p w14:paraId="31416319" w14:textId="49C2220C" w:rsidR="00AA698A" w:rsidRDefault="00AA698A" w:rsidP="009B54B5">
      <w:pPr>
        <w:pStyle w:val="numeradorom"/>
        <w:numPr>
          <w:ilvl w:val="2"/>
          <w:numId w:val="23"/>
        </w:numPr>
        <w:rPr>
          <w:lang w:eastAsia="es-ES"/>
        </w:rPr>
      </w:pPr>
      <w:r>
        <w:rPr>
          <w:lang w:eastAsia="es-ES"/>
        </w:rPr>
        <w:t>Gestionar y coordinar los procesos de adquisiciones de las actividades que corresponden a</w:t>
      </w:r>
      <w:r w:rsidR="00A23002">
        <w:rPr>
          <w:lang w:eastAsia="es-ES"/>
        </w:rPr>
        <w:t xml:space="preserve"> su OSE </w:t>
      </w:r>
      <w:r>
        <w:rPr>
          <w:lang w:eastAsia="es-ES"/>
        </w:rPr>
        <w:t xml:space="preserve">en la ejecución del Programa. </w:t>
      </w:r>
    </w:p>
    <w:p w14:paraId="34838894" w14:textId="0FBEB241" w:rsidR="00AA698A" w:rsidRDefault="00AA698A" w:rsidP="009B54B5">
      <w:pPr>
        <w:pStyle w:val="numeradorom"/>
        <w:numPr>
          <w:ilvl w:val="2"/>
          <w:numId w:val="23"/>
        </w:numPr>
        <w:rPr>
          <w:lang w:eastAsia="es-ES"/>
        </w:rPr>
      </w:pPr>
      <w:r>
        <w:rPr>
          <w:lang w:eastAsia="es-ES"/>
        </w:rPr>
        <w:t>Mantener un sistema de control y archivo documental y electrónico ordenado y completo de la información de sustento de los procesos de adquisiciones, contrataciones de las actividades que corresponden a</w:t>
      </w:r>
      <w:r w:rsidR="00A23002">
        <w:rPr>
          <w:lang w:eastAsia="es-ES"/>
        </w:rPr>
        <w:t>l OSE respectivo</w:t>
      </w:r>
      <w:r w:rsidR="00B87752">
        <w:rPr>
          <w:lang w:eastAsia="es-ES"/>
        </w:rPr>
        <w:t xml:space="preserve"> </w:t>
      </w:r>
      <w:r>
        <w:rPr>
          <w:lang w:eastAsia="es-ES"/>
        </w:rPr>
        <w:t>en la ejecución del Programa; y conocer y velar por el buen manejo de los procesos y sistemas de documentación, archivo y seguridad de los expedientes de contrataciones y adquisiciones relacionados con las actividades que corresponden a</w:t>
      </w:r>
      <w:r w:rsidR="000F0474">
        <w:rPr>
          <w:lang w:eastAsia="es-ES"/>
        </w:rPr>
        <w:t>l respectivo OSE</w:t>
      </w:r>
      <w:r w:rsidR="00B87752">
        <w:rPr>
          <w:lang w:eastAsia="es-ES"/>
        </w:rPr>
        <w:t xml:space="preserve"> </w:t>
      </w:r>
      <w:r>
        <w:rPr>
          <w:lang w:eastAsia="es-ES"/>
        </w:rPr>
        <w:t xml:space="preserve">en la ejecución del Programa. </w:t>
      </w:r>
      <w:r w:rsidR="000F0474" w:rsidRPr="00CE556A">
        <w:rPr>
          <w:lang w:eastAsia="es-ES"/>
        </w:rPr>
        <w:t>Procederá de igual manera con el sistema de archivo de los procesos de adquisiciones que han sido transferidos a las entidades beneficiarias.</w:t>
      </w:r>
    </w:p>
    <w:p w14:paraId="266F4B2E" w14:textId="186D9024" w:rsidR="004A6B20" w:rsidRDefault="004A6B20" w:rsidP="009B54B5">
      <w:pPr>
        <w:pStyle w:val="numeradorom"/>
        <w:numPr>
          <w:ilvl w:val="2"/>
          <w:numId w:val="23"/>
        </w:numPr>
        <w:rPr>
          <w:lang w:eastAsia="es-ES"/>
        </w:rPr>
      </w:pPr>
      <w:r w:rsidRPr="004A6B20">
        <w:rPr>
          <w:lang w:eastAsia="es-ES"/>
        </w:rPr>
        <w:t xml:space="preserve">Velar por el cumplimiento de los acuerdos </w:t>
      </w:r>
      <w:r>
        <w:rPr>
          <w:lang w:eastAsia="es-ES"/>
        </w:rPr>
        <w:t xml:space="preserve">de adquisiciones y contrataciones </w:t>
      </w:r>
      <w:r w:rsidRPr="004A6B20">
        <w:rPr>
          <w:lang w:eastAsia="es-ES"/>
        </w:rPr>
        <w:t>establecidos para la ejecución de</w:t>
      </w:r>
      <w:r>
        <w:rPr>
          <w:lang w:eastAsia="es-ES"/>
        </w:rPr>
        <w:t xml:space="preserve">l </w:t>
      </w:r>
      <w:r w:rsidRPr="004A6B20">
        <w:rPr>
          <w:lang w:eastAsia="es-ES"/>
        </w:rPr>
        <w:t>componente</w:t>
      </w:r>
      <w:r>
        <w:rPr>
          <w:lang w:eastAsia="es-ES"/>
        </w:rPr>
        <w:t xml:space="preserve"> o actividades a cargo de</w:t>
      </w:r>
      <w:r w:rsidR="000F0474">
        <w:rPr>
          <w:lang w:eastAsia="es-ES"/>
        </w:rPr>
        <w:t xml:space="preserve">l OSE respectivo </w:t>
      </w:r>
      <w:r w:rsidRPr="004A6B20">
        <w:rPr>
          <w:lang w:eastAsia="es-ES"/>
        </w:rPr>
        <w:t>en el Contrato de Préstamo y en el ROP.</w:t>
      </w:r>
    </w:p>
    <w:p w14:paraId="351B6F15" w14:textId="3C8F5CF5" w:rsidR="00AA698A" w:rsidRDefault="00AA698A" w:rsidP="009B54B5">
      <w:pPr>
        <w:pStyle w:val="numeradorom"/>
        <w:numPr>
          <w:ilvl w:val="2"/>
          <w:numId w:val="23"/>
        </w:numPr>
        <w:rPr>
          <w:lang w:eastAsia="es-ES"/>
        </w:rPr>
      </w:pPr>
      <w:r>
        <w:rPr>
          <w:lang w:eastAsia="es-ES"/>
        </w:rPr>
        <w:t xml:space="preserve">Las demás funciones descritas en el ROP y las asignadas por el </w:t>
      </w:r>
      <w:r w:rsidR="000F0474">
        <w:rPr>
          <w:lang w:eastAsia="es-ES"/>
        </w:rPr>
        <w:t xml:space="preserve">respectivo </w:t>
      </w:r>
      <w:r>
        <w:rPr>
          <w:lang w:eastAsia="es-ES"/>
        </w:rPr>
        <w:t>CP-EDG</w:t>
      </w:r>
      <w:r w:rsidR="00B87752">
        <w:rPr>
          <w:lang w:eastAsia="es-ES"/>
        </w:rPr>
        <w:t>/</w:t>
      </w:r>
      <w:r w:rsidR="000F0474">
        <w:rPr>
          <w:lang w:eastAsia="es-ES"/>
        </w:rPr>
        <w:t>OSE</w:t>
      </w:r>
      <w:r>
        <w:rPr>
          <w:lang w:eastAsia="es-ES"/>
        </w:rPr>
        <w:t>, con la finalidad de dar cumplimiento al Programa.</w:t>
      </w:r>
    </w:p>
    <w:p w14:paraId="78813FE2" w14:textId="776B3E10" w:rsidR="00AA698A" w:rsidRDefault="00AA698A" w:rsidP="00BD5D10">
      <w:pPr>
        <w:pStyle w:val="Heading3"/>
      </w:pPr>
      <w:r>
        <w:lastRenderedPageBreak/>
        <w:t>Especialista Financiero (EF-EDG/</w:t>
      </w:r>
      <w:r w:rsidR="000F0474">
        <w:t>OSE</w:t>
      </w:r>
      <w:r>
        <w:t>)</w:t>
      </w:r>
    </w:p>
    <w:p w14:paraId="65D56AD4" w14:textId="46416DE5" w:rsidR="00940D0B" w:rsidRDefault="00940D0B" w:rsidP="009B54B5">
      <w:pPr>
        <w:pStyle w:val="numeradorom"/>
        <w:numPr>
          <w:ilvl w:val="2"/>
          <w:numId w:val="24"/>
        </w:numPr>
        <w:rPr>
          <w:lang w:eastAsia="es-ES"/>
        </w:rPr>
      </w:pPr>
      <w:r>
        <w:rPr>
          <w:lang w:eastAsia="es-ES"/>
        </w:rPr>
        <w:t>Preparar la información presupuestaria y financiera necesaria, del componente y actividades del Programa a cargo de</w:t>
      </w:r>
      <w:r w:rsidR="000F0474">
        <w:rPr>
          <w:lang w:eastAsia="es-ES"/>
        </w:rPr>
        <w:t>l OSE respectivo</w:t>
      </w:r>
      <w:r>
        <w:rPr>
          <w:lang w:eastAsia="es-ES"/>
        </w:rPr>
        <w:t xml:space="preserve">, con la finalidad de facilitar al EDG-MEF la preparación y consolidación de la información presupuestaria y financiera del Programa, en la forma y periodicidad establecidos, en el Contrato de Préstamo y el ROP. </w:t>
      </w:r>
    </w:p>
    <w:p w14:paraId="47703FCD" w14:textId="77777777" w:rsidR="00940D0B" w:rsidRDefault="00940D0B" w:rsidP="009B54B5">
      <w:pPr>
        <w:pStyle w:val="numeradorom"/>
        <w:numPr>
          <w:ilvl w:val="2"/>
          <w:numId w:val="24"/>
        </w:numPr>
        <w:rPr>
          <w:lang w:eastAsia="es-ES"/>
        </w:rPr>
      </w:pPr>
      <w:r>
        <w:rPr>
          <w:lang w:eastAsia="es-ES"/>
        </w:rPr>
        <w:t xml:space="preserve">Remitir al EDG-MEF en un plazo de 5 días calendarios posteriores al cierre de cada mes: (i) una base de datos en Excel que contenga cada uno de los CURs pagados en el mes, los cuales deberán estar clasificados por el producto de la MdR del Programa BID al que contribuyen y la fuente de financiamiento a la cual debe ser registrada en la Contabilidad del Programa. El detalle de CURs mensual debe estar cuadrado con el reporte de ejecución presupuestaria y en caso de existir diferencias, se deberá incluir las notas explicativas respectivas. El contenido (campos de información) de las bases de datos de los CURs deberán ser entregados según los requerimientos y formatos indicados por el EDG-MEF. </w:t>
      </w:r>
    </w:p>
    <w:p w14:paraId="384C6DD2" w14:textId="77777777" w:rsidR="00940D0B" w:rsidRDefault="00940D0B" w:rsidP="009B54B5">
      <w:pPr>
        <w:pStyle w:val="numeradorom"/>
        <w:numPr>
          <w:ilvl w:val="2"/>
          <w:numId w:val="24"/>
        </w:numPr>
        <w:rPr>
          <w:lang w:eastAsia="es-ES"/>
        </w:rPr>
      </w:pPr>
      <w:r>
        <w:rPr>
          <w:lang w:eastAsia="es-ES"/>
        </w:rPr>
        <w:t xml:space="preserve">Presentar la conciliación mensual de la información financiera, que deberá ser registrada en la contabilidad del Programa por parte del EDG-MEF. En caso de existir diferencias entre la ejecución presupuestaria y las inversiones que deben ser registradas en la contabilidad del Programa, se deberán incluir las notas explicativas respectivas. </w:t>
      </w:r>
    </w:p>
    <w:p w14:paraId="671DDCAA" w14:textId="58F508FF" w:rsidR="00940D0B" w:rsidRDefault="00940D0B" w:rsidP="009B54B5">
      <w:pPr>
        <w:pStyle w:val="numeradorom"/>
        <w:numPr>
          <w:ilvl w:val="2"/>
          <w:numId w:val="24"/>
        </w:numPr>
        <w:rPr>
          <w:lang w:eastAsia="es-ES"/>
        </w:rPr>
      </w:pPr>
      <w:r>
        <w:rPr>
          <w:lang w:eastAsia="es-ES"/>
        </w:rPr>
        <w:t>Mantener archivada y organizada toda la documentación de respaldo física y/o digital de los pagos ejecutados por</w:t>
      </w:r>
      <w:r w:rsidR="000F0474">
        <w:rPr>
          <w:lang w:eastAsia="es-ES"/>
        </w:rPr>
        <w:t xml:space="preserve"> el OSE que corresponda</w:t>
      </w:r>
      <w:r>
        <w:rPr>
          <w:lang w:eastAsia="es-ES"/>
        </w:rPr>
        <w:t xml:space="preserve">, con cargo al componente y productos del Contrato de Préstamo y enviar el respaldo digital al EDG- MEF en un plazo máximo de 5 días calendario. </w:t>
      </w:r>
    </w:p>
    <w:p w14:paraId="7FA75B9E" w14:textId="3E1ADE82" w:rsidR="00940D0B" w:rsidRDefault="00940D0B" w:rsidP="009B54B5">
      <w:pPr>
        <w:pStyle w:val="numeradorom"/>
        <w:numPr>
          <w:ilvl w:val="2"/>
          <w:numId w:val="24"/>
        </w:numPr>
        <w:rPr>
          <w:lang w:eastAsia="es-ES"/>
        </w:rPr>
      </w:pPr>
      <w:r>
        <w:rPr>
          <w:lang w:eastAsia="es-ES"/>
        </w:rPr>
        <w:t xml:space="preserve">Apoyar y facilitar la ejecución de las auditorías externas respecto de las actividades del </w:t>
      </w:r>
      <w:r w:rsidR="00E45D98">
        <w:rPr>
          <w:lang w:eastAsia="es-ES"/>
        </w:rPr>
        <w:t>P</w:t>
      </w:r>
      <w:r>
        <w:rPr>
          <w:lang w:eastAsia="es-ES"/>
        </w:rPr>
        <w:t>rograma a su cargo, mediante la entrega de información completa, oportuna y confiable.</w:t>
      </w:r>
    </w:p>
    <w:p w14:paraId="5272B1E3" w14:textId="77777777" w:rsidR="00940D0B" w:rsidRDefault="00940D0B" w:rsidP="009B54B5">
      <w:pPr>
        <w:pStyle w:val="numeradorom"/>
        <w:numPr>
          <w:ilvl w:val="2"/>
          <w:numId w:val="24"/>
        </w:numPr>
        <w:rPr>
          <w:lang w:eastAsia="es-ES"/>
        </w:rPr>
      </w:pPr>
      <w:r>
        <w:rPr>
          <w:lang w:eastAsia="es-ES"/>
        </w:rPr>
        <w:t>Implementar y actualizar el Plan de Cuentas del Programa acordado con el EDG-MEF en función de la normativa contable pertinente, las necesidades de registro y presentación de información del programa, dentro de lo establecido en la gestión financiera del Programa descrita en el ROP.</w:t>
      </w:r>
    </w:p>
    <w:p w14:paraId="151F241D" w14:textId="77777777" w:rsidR="00940D0B" w:rsidRDefault="00940D0B" w:rsidP="009B54B5">
      <w:pPr>
        <w:pStyle w:val="numeradorom"/>
        <w:numPr>
          <w:ilvl w:val="2"/>
          <w:numId w:val="24"/>
        </w:numPr>
        <w:rPr>
          <w:lang w:eastAsia="es-ES"/>
        </w:rPr>
      </w:pPr>
      <w:r>
        <w:rPr>
          <w:lang w:eastAsia="es-ES"/>
        </w:rPr>
        <w:t xml:space="preserve">Apoyar al EDG-MEF en la preparación de las solicitudes de desembolso (anticipos, reembolso, justificaciones) del Programa, para su presentación al BID. </w:t>
      </w:r>
    </w:p>
    <w:p w14:paraId="66B92D6C" w14:textId="5DBC62E2" w:rsidR="00940D0B" w:rsidRDefault="00940D0B" w:rsidP="009B54B5">
      <w:pPr>
        <w:pStyle w:val="numeradorom"/>
        <w:numPr>
          <w:ilvl w:val="2"/>
          <w:numId w:val="24"/>
        </w:numPr>
        <w:rPr>
          <w:lang w:eastAsia="es-ES"/>
        </w:rPr>
      </w:pPr>
      <w:r>
        <w:rPr>
          <w:lang w:eastAsia="es-ES"/>
        </w:rPr>
        <w:t>Gestionar y coordinar oportunamente la disponibilidad de recursos de los productos del Programa a cargo de</w:t>
      </w:r>
      <w:r w:rsidR="000F0474">
        <w:rPr>
          <w:lang w:eastAsia="es-ES"/>
        </w:rPr>
        <w:t>l OSE respectivo</w:t>
      </w:r>
      <w:r>
        <w:rPr>
          <w:lang w:eastAsia="es-ES"/>
        </w:rPr>
        <w:t>.</w:t>
      </w:r>
    </w:p>
    <w:p w14:paraId="69106D9C" w14:textId="7A069048" w:rsidR="00940D0B" w:rsidRDefault="00940D0B" w:rsidP="009B54B5">
      <w:pPr>
        <w:pStyle w:val="numeradorom"/>
        <w:numPr>
          <w:ilvl w:val="2"/>
          <w:numId w:val="24"/>
        </w:numPr>
        <w:rPr>
          <w:lang w:eastAsia="es-ES"/>
        </w:rPr>
      </w:pPr>
      <w:r>
        <w:rPr>
          <w:lang w:eastAsia="es-ES"/>
        </w:rPr>
        <w:t xml:space="preserve">Gestionar la emisión de las certificaciones y avales presupuestarios necesarios correspondientes a los procesos precontractuales de las actividades del </w:t>
      </w:r>
      <w:r w:rsidR="00E45D98">
        <w:rPr>
          <w:lang w:eastAsia="es-ES"/>
        </w:rPr>
        <w:t>P</w:t>
      </w:r>
      <w:r>
        <w:rPr>
          <w:lang w:eastAsia="es-ES"/>
        </w:rPr>
        <w:t>rograma a cargo</w:t>
      </w:r>
      <w:r w:rsidR="00E45D98">
        <w:rPr>
          <w:lang w:eastAsia="es-ES"/>
        </w:rPr>
        <w:t xml:space="preserve"> de</w:t>
      </w:r>
      <w:r w:rsidR="000F0474">
        <w:rPr>
          <w:lang w:eastAsia="es-ES"/>
        </w:rPr>
        <w:t>l OSE respectivo</w:t>
      </w:r>
      <w:r>
        <w:rPr>
          <w:lang w:eastAsia="es-ES"/>
        </w:rPr>
        <w:t>, en coordinación con el EDG-MEF.</w:t>
      </w:r>
    </w:p>
    <w:p w14:paraId="5560A31A" w14:textId="2345E52F" w:rsidR="00AA698A" w:rsidRDefault="00940D0B" w:rsidP="009B54B5">
      <w:pPr>
        <w:pStyle w:val="numeradorom"/>
        <w:numPr>
          <w:ilvl w:val="2"/>
          <w:numId w:val="24"/>
        </w:numPr>
        <w:rPr>
          <w:lang w:eastAsia="es-ES"/>
        </w:rPr>
      </w:pPr>
      <w:r>
        <w:rPr>
          <w:lang w:eastAsia="es-ES"/>
        </w:rPr>
        <w:t>Velar por el cumplimiento de los acuerdos establecidos para la ejecución de su componente, en el Contrato de Préstamo, RO</w:t>
      </w:r>
      <w:r w:rsidR="00E45D98">
        <w:rPr>
          <w:lang w:eastAsia="es-ES"/>
        </w:rPr>
        <w:t>P</w:t>
      </w:r>
      <w:r>
        <w:rPr>
          <w:lang w:eastAsia="es-ES"/>
        </w:rPr>
        <w:t>, que corresponda a gestión financiera del componente y actividades a su cargo.</w:t>
      </w:r>
    </w:p>
    <w:p w14:paraId="775DF861" w14:textId="3473AF58" w:rsidR="00AA698A" w:rsidRDefault="00AA698A" w:rsidP="009B54B5">
      <w:pPr>
        <w:pStyle w:val="numeradorom"/>
        <w:numPr>
          <w:ilvl w:val="2"/>
          <w:numId w:val="24"/>
        </w:numPr>
        <w:rPr>
          <w:lang w:eastAsia="es-ES"/>
        </w:rPr>
      </w:pPr>
      <w:r>
        <w:rPr>
          <w:lang w:eastAsia="es-ES"/>
        </w:rPr>
        <w:t xml:space="preserve">Las demás funciones descritas en el ROP y las asignadas por el </w:t>
      </w:r>
      <w:r w:rsidR="000F0474">
        <w:rPr>
          <w:lang w:eastAsia="es-ES"/>
        </w:rPr>
        <w:t xml:space="preserve">respectivo </w:t>
      </w:r>
      <w:r>
        <w:rPr>
          <w:lang w:eastAsia="es-ES"/>
        </w:rPr>
        <w:t>CP-EDG/</w:t>
      </w:r>
      <w:r w:rsidR="002D3DE3">
        <w:rPr>
          <w:lang w:eastAsia="es-ES"/>
        </w:rPr>
        <w:t>OSE, con</w:t>
      </w:r>
      <w:r>
        <w:rPr>
          <w:lang w:eastAsia="es-ES"/>
        </w:rPr>
        <w:t xml:space="preserve"> la finalidad de dar cumplimiento al Programa. </w:t>
      </w:r>
    </w:p>
    <w:p w14:paraId="5354713A" w14:textId="11E2A10A" w:rsidR="00F7387C" w:rsidRDefault="00F7387C" w:rsidP="00A94976">
      <w:pPr>
        <w:pStyle w:val="Heading2"/>
        <w:numPr>
          <w:ilvl w:val="0"/>
          <w:numId w:val="9"/>
        </w:numPr>
      </w:pPr>
      <w:bookmarkStart w:id="91" w:name="_Toc424879206"/>
      <w:bookmarkStart w:id="92" w:name="_Toc488537059"/>
      <w:bookmarkStart w:id="93" w:name="_Toc499198625"/>
      <w:bookmarkStart w:id="94" w:name="_Toc23797318"/>
      <w:bookmarkStart w:id="95" w:name="_Toc454056464"/>
      <w:bookmarkEnd w:id="88"/>
      <w:bookmarkEnd w:id="89"/>
      <w:r>
        <w:t xml:space="preserve">Perfiles básicos de los miembros el </w:t>
      </w:r>
      <w:r w:rsidR="00D7609D">
        <w:t>EDG</w:t>
      </w:r>
      <w:bookmarkEnd w:id="91"/>
      <w:bookmarkEnd w:id="92"/>
      <w:bookmarkEnd w:id="93"/>
      <w:bookmarkEnd w:id="94"/>
    </w:p>
    <w:p w14:paraId="0FE6D722" w14:textId="7995C5EF" w:rsidR="00F7387C" w:rsidRDefault="00F7387C" w:rsidP="00F7387C">
      <w:pPr>
        <w:pStyle w:val="Caption"/>
        <w:keepNext/>
      </w:pPr>
      <w:bookmarkStart w:id="96" w:name="_Toc438654256"/>
      <w:bookmarkStart w:id="97" w:name="_Toc499198645"/>
      <w:bookmarkStart w:id="98" w:name="_Toc23797283"/>
      <w:r>
        <w:t xml:space="preserve">Tabla </w:t>
      </w:r>
      <w:r>
        <w:rPr>
          <w:noProof/>
        </w:rPr>
        <w:fldChar w:fldCharType="begin"/>
      </w:r>
      <w:r>
        <w:rPr>
          <w:noProof/>
        </w:rPr>
        <w:instrText xml:space="preserve"> SEQ Tabla \* ARABIC </w:instrText>
      </w:r>
      <w:r>
        <w:rPr>
          <w:noProof/>
        </w:rPr>
        <w:fldChar w:fldCharType="separate"/>
      </w:r>
      <w:r w:rsidR="003538B4">
        <w:rPr>
          <w:noProof/>
        </w:rPr>
        <w:t>7</w:t>
      </w:r>
      <w:r>
        <w:rPr>
          <w:noProof/>
        </w:rPr>
        <w:fldChar w:fldCharType="end"/>
      </w:r>
      <w:r>
        <w:t xml:space="preserve">. Perfiles Básicos del </w:t>
      </w:r>
      <w:r w:rsidR="00D7609D">
        <w:t>EDG</w:t>
      </w:r>
      <w:r>
        <w:t xml:space="preserve"> y </w:t>
      </w:r>
      <w:r w:rsidR="00E45D98">
        <w:t xml:space="preserve">rango de </w:t>
      </w:r>
      <w:r>
        <w:t>referencias remunerativas</w:t>
      </w:r>
      <w:bookmarkEnd w:id="96"/>
      <w:bookmarkEnd w:id="97"/>
      <w:r w:rsidR="003306E1">
        <w:t xml:space="preserve"> sugeridas</w:t>
      </w:r>
      <w:bookmarkEnd w:id="98"/>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536"/>
        <w:gridCol w:w="2410"/>
      </w:tblGrid>
      <w:tr w:rsidR="00F7387C" w:rsidRPr="00A42F4C" w14:paraId="344D4985" w14:textId="77777777" w:rsidTr="00655DC9">
        <w:trPr>
          <w:tblHeader/>
        </w:trPr>
        <w:tc>
          <w:tcPr>
            <w:tcW w:w="2263" w:type="dxa"/>
            <w:shd w:val="clear" w:color="auto" w:fill="D9D9D9"/>
            <w:vAlign w:val="center"/>
          </w:tcPr>
          <w:p w14:paraId="25D7F118" w14:textId="77777777" w:rsidR="00F7387C" w:rsidRPr="00655DC9" w:rsidRDefault="00F7387C" w:rsidP="00883B5B">
            <w:pPr>
              <w:jc w:val="center"/>
              <w:rPr>
                <w:rFonts w:ascii="Arial Narrow" w:hAnsi="Arial Narrow" w:cstheme="minorHAnsi"/>
                <w:b/>
                <w:bCs/>
                <w:sz w:val="21"/>
                <w:szCs w:val="21"/>
                <w:u w:val="single"/>
              </w:rPr>
            </w:pPr>
            <w:r w:rsidRPr="00655DC9">
              <w:rPr>
                <w:rFonts w:ascii="Arial Narrow" w:hAnsi="Arial Narrow" w:cstheme="minorHAnsi"/>
                <w:b/>
                <w:bCs/>
                <w:sz w:val="21"/>
                <w:szCs w:val="21"/>
                <w:u w:val="single"/>
              </w:rPr>
              <w:t>Miembro</w:t>
            </w:r>
          </w:p>
        </w:tc>
        <w:tc>
          <w:tcPr>
            <w:tcW w:w="4536" w:type="dxa"/>
            <w:shd w:val="clear" w:color="auto" w:fill="D9D9D9"/>
            <w:vAlign w:val="center"/>
          </w:tcPr>
          <w:p w14:paraId="6848F2F8" w14:textId="77777777" w:rsidR="00F7387C" w:rsidRPr="00655DC9" w:rsidRDefault="00F7387C" w:rsidP="00883B5B">
            <w:pPr>
              <w:jc w:val="center"/>
              <w:rPr>
                <w:rFonts w:ascii="Arial Narrow" w:hAnsi="Arial Narrow" w:cstheme="minorHAnsi"/>
                <w:b/>
                <w:bCs/>
                <w:sz w:val="21"/>
                <w:szCs w:val="21"/>
                <w:u w:val="single"/>
              </w:rPr>
            </w:pPr>
            <w:r w:rsidRPr="00655DC9">
              <w:rPr>
                <w:rFonts w:ascii="Arial Narrow" w:hAnsi="Arial Narrow" w:cstheme="minorHAnsi"/>
                <w:b/>
                <w:bCs/>
                <w:sz w:val="21"/>
                <w:szCs w:val="21"/>
                <w:u w:val="single"/>
              </w:rPr>
              <w:t>Perfil Básico</w:t>
            </w:r>
          </w:p>
        </w:tc>
        <w:tc>
          <w:tcPr>
            <w:tcW w:w="2410" w:type="dxa"/>
            <w:shd w:val="clear" w:color="auto" w:fill="D9D9D9"/>
            <w:vAlign w:val="center"/>
          </w:tcPr>
          <w:p w14:paraId="519DF859" w14:textId="47975E68" w:rsidR="00F7387C" w:rsidRPr="00A42F4C" w:rsidRDefault="00E45D98" w:rsidP="00883B5B">
            <w:pPr>
              <w:jc w:val="center"/>
              <w:rPr>
                <w:rFonts w:ascii="Arial Narrow" w:hAnsi="Arial Narrow" w:cstheme="minorHAnsi"/>
                <w:b/>
                <w:bCs/>
                <w:sz w:val="21"/>
                <w:szCs w:val="21"/>
                <w:u w:val="single"/>
                <w:lang w:val="pt-BR"/>
              </w:rPr>
            </w:pPr>
            <w:r w:rsidRPr="00A42F4C">
              <w:rPr>
                <w:rFonts w:ascii="Arial Narrow" w:hAnsi="Arial Narrow" w:cstheme="minorHAnsi"/>
                <w:b/>
                <w:bCs/>
                <w:sz w:val="21"/>
                <w:szCs w:val="21"/>
                <w:u w:val="single"/>
                <w:lang w:val="pt-BR"/>
              </w:rPr>
              <w:t xml:space="preserve">Rango de </w:t>
            </w:r>
            <w:r w:rsidR="00F7387C" w:rsidRPr="00A42F4C">
              <w:rPr>
                <w:rFonts w:ascii="Arial Narrow" w:hAnsi="Arial Narrow" w:cstheme="minorHAnsi"/>
                <w:b/>
                <w:bCs/>
                <w:sz w:val="21"/>
                <w:szCs w:val="21"/>
                <w:u w:val="single"/>
                <w:lang w:val="pt-BR"/>
              </w:rPr>
              <w:t>Referencias Remunerativas (*)</w:t>
            </w:r>
            <w:r w:rsidR="003306E1" w:rsidRPr="00A42F4C">
              <w:rPr>
                <w:rFonts w:ascii="Arial Narrow" w:hAnsi="Arial Narrow" w:cstheme="minorHAnsi"/>
                <w:b/>
                <w:bCs/>
                <w:sz w:val="21"/>
                <w:szCs w:val="21"/>
                <w:u w:val="single"/>
                <w:lang w:val="pt-BR"/>
              </w:rPr>
              <w:t xml:space="preserve"> sugeridas</w:t>
            </w:r>
          </w:p>
        </w:tc>
      </w:tr>
      <w:tr w:rsidR="00F7387C" w:rsidRPr="00655DC9" w14:paraId="1E451344" w14:textId="77777777" w:rsidTr="00F7387C">
        <w:tc>
          <w:tcPr>
            <w:tcW w:w="2263" w:type="dxa"/>
          </w:tcPr>
          <w:p w14:paraId="140A4F55" w14:textId="77777777" w:rsidR="00F7387C" w:rsidRPr="00655DC9" w:rsidRDefault="00F7387C" w:rsidP="00883B5B">
            <w:pPr>
              <w:jc w:val="left"/>
              <w:rPr>
                <w:rFonts w:ascii="Arial Narrow" w:hAnsi="Arial Narrow" w:cstheme="minorHAnsi"/>
                <w:sz w:val="21"/>
                <w:szCs w:val="21"/>
              </w:rPr>
            </w:pPr>
            <w:r w:rsidRPr="00655DC9">
              <w:rPr>
                <w:rFonts w:ascii="Arial Narrow" w:hAnsi="Arial Narrow" w:cstheme="minorHAnsi"/>
                <w:sz w:val="21"/>
                <w:szCs w:val="21"/>
              </w:rPr>
              <w:t>Coordinador del Programa</w:t>
            </w:r>
          </w:p>
        </w:tc>
        <w:tc>
          <w:tcPr>
            <w:tcW w:w="4536" w:type="dxa"/>
          </w:tcPr>
          <w:p w14:paraId="6A922573" w14:textId="4E8D2C63" w:rsidR="00F7387C" w:rsidRPr="00655DC9" w:rsidRDefault="00F7387C" w:rsidP="00883B5B">
            <w:pPr>
              <w:rPr>
                <w:rFonts w:ascii="Arial Narrow" w:hAnsi="Arial Narrow" w:cstheme="minorHAnsi"/>
                <w:sz w:val="21"/>
                <w:szCs w:val="21"/>
              </w:rPr>
            </w:pPr>
            <w:r w:rsidRPr="00655DC9">
              <w:rPr>
                <w:rFonts w:ascii="Arial Narrow" w:hAnsi="Arial Narrow" w:cstheme="minorHAnsi"/>
                <w:sz w:val="21"/>
                <w:szCs w:val="21"/>
              </w:rPr>
              <w:t xml:space="preserve">Título de </w:t>
            </w:r>
            <w:r w:rsidR="00655DC9">
              <w:rPr>
                <w:rFonts w:ascii="Arial Narrow" w:hAnsi="Arial Narrow" w:cstheme="minorHAnsi"/>
                <w:sz w:val="21"/>
                <w:szCs w:val="21"/>
              </w:rPr>
              <w:t xml:space="preserve">Cuarto </w:t>
            </w:r>
            <w:r w:rsidRPr="00655DC9">
              <w:rPr>
                <w:rFonts w:ascii="Arial Narrow" w:hAnsi="Arial Narrow" w:cstheme="minorHAnsi"/>
                <w:sz w:val="21"/>
                <w:szCs w:val="21"/>
              </w:rPr>
              <w:t>Nivel en</w:t>
            </w:r>
            <w:r w:rsidR="00770D4A" w:rsidRPr="00655DC9">
              <w:rPr>
                <w:rFonts w:ascii="Arial Narrow" w:hAnsi="Arial Narrow" w:cstheme="minorHAnsi"/>
                <w:sz w:val="21"/>
                <w:szCs w:val="21"/>
              </w:rPr>
              <w:t xml:space="preserve"> </w:t>
            </w:r>
            <w:r w:rsidR="00655DC9">
              <w:rPr>
                <w:rFonts w:ascii="Arial Narrow" w:hAnsi="Arial Narrow" w:cstheme="minorHAnsi"/>
                <w:sz w:val="21"/>
                <w:szCs w:val="21"/>
              </w:rPr>
              <w:t>Gestión de Proyectos</w:t>
            </w:r>
            <w:r w:rsidR="00770D4A" w:rsidRPr="00655DC9">
              <w:rPr>
                <w:rFonts w:ascii="Arial Narrow" w:hAnsi="Arial Narrow" w:cstheme="minorHAnsi"/>
                <w:sz w:val="21"/>
                <w:szCs w:val="21"/>
              </w:rPr>
              <w:t xml:space="preserve">, </w:t>
            </w:r>
            <w:r w:rsidR="00655DC9">
              <w:rPr>
                <w:rFonts w:ascii="Arial Narrow" w:hAnsi="Arial Narrow" w:cstheme="minorHAnsi"/>
                <w:sz w:val="21"/>
                <w:szCs w:val="21"/>
              </w:rPr>
              <w:t>Economía, Ingeniería</w:t>
            </w:r>
            <w:r w:rsidRPr="00655DC9">
              <w:rPr>
                <w:rFonts w:ascii="Arial Narrow" w:hAnsi="Arial Narrow" w:cstheme="minorHAnsi"/>
                <w:sz w:val="21"/>
                <w:szCs w:val="21"/>
              </w:rPr>
              <w:t xml:space="preserve"> Comercial, Administración de Empresas, Experiencia General de 5 años en ejecución de Proyectos y </w:t>
            </w:r>
            <w:r w:rsidRPr="00655DC9">
              <w:rPr>
                <w:rFonts w:ascii="Arial Narrow" w:hAnsi="Arial Narrow" w:cstheme="minorHAnsi"/>
                <w:sz w:val="21"/>
                <w:szCs w:val="21"/>
              </w:rPr>
              <w:lastRenderedPageBreak/>
              <w:t>Experiencia Específica de 3 años en Proyectos de inversión; de los cuales 2 deberán ser bajo financiamiento BID.</w:t>
            </w:r>
          </w:p>
        </w:tc>
        <w:tc>
          <w:tcPr>
            <w:tcW w:w="2410" w:type="dxa"/>
          </w:tcPr>
          <w:p w14:paraId="03B3A81D" w14:textId="2DE70330" w:rsidR="00F7387C" w:rsidRPr="00655DC9" w:rsidRDefault="00F6672D" w:rsidP="00883B5B">
            <w:pPr>
              <w:rPr>
                <w:rFonts w:ascii="Arial Narrow" w:hAnsi="Arial Narrow" w:cstheme="minorHAnsi"/>
                <w:sz w:val="21"/>
                <w:szCs w:val="21"/>
              </w:rPr>
            </w:pPr>
            <w:r w:rsidRPr="00655DC9">
              <w:rPr>
                <w:rFonts w:ascii="Arial Narrow" w:hAnsi="Arial Narrow" w:cstheme="minorHAnsi"/>
                <w:sz w:val="21"/>
                <w:szCs w:val="21"/>
              </w:rPr>
              <w:lastRenderedPageBreak/>
              <w:t>Nivel SP 14</w:t>
            </w:r>
          </w:p>
        </w:tc>
      </w:tr>
      <w:tr w:rsidR="00F7387C" w:rsidRPr="00655DC9" w14:paraId="57BDDF01" w14:textId="77777777" w:rsidTr="00F7387C">
        <w:tc>
          <w:tcPr>
            <w:tcW w:w="2263" w:type="dxa"/>
          </w:tcPr>
          <w:p w14:paraId="3B93EAFF" w14:textId="77777777" w:rsidR="00F7387C" w:rsidRPr="00655DC9" w:rsidRDefault="00F7387C" w:rsidP="00883B5B">
            <w:pPr>
              <w:jc w:val="left"/>
              <w:rPr>
                <w:rFonts w:ascii="Arial Narrow" w:hAnsi="Arial Narrow" w:cstheme="minorHAnsi"/>
                <w:sz w:val="21"/>
                <w:szCs w:val="21"/>
              </w:rPr>
            </w:pPr>
            <w:r w:rsidRPr="00655DC9">
              <w:rPr>
                <w:rFonts w:ascii="Arial Narrow" w:hAnsi="Arial Narrow" w:cstheme="minorHAnsi"/>
                <w:sz w:val="21"/>
                <w:szCs w:val="21"/>
              </w:rPr>
              <w:t>Especialista de Adquisiciones</w:t>
            </w:r>
          </w:p>
        </w:tc>
        <w:tc>
          <w:tcPr>
            <w:tcW w:w="4536" w:type="dxa"/>
          </w:tcPr>
          <w:p w14:paraId="34AAFD6C" w14:textId="77777777" w:rsidR="00F7387C" w:rsidRPr="00655DC9" w:rsidRDefault="00F7387C" w:rsidP="00883B5B">
            <w:pPr>
              <w:rPr>
                <w:rFonts w:ascii="Arial Narrow" w:hAnsi="Arial Narrow" w:cstheme="minorHAnsi"/>
                <w:sz w:val="21"/>
                <w:szCs w:val="21"/>
              </w:rPr>
            </w:pPr>
            <w:r w:rsidRPr="00655DC9">
              <w:rPr>
                <w:rFonts w:ascii="Arial Narrow" w:hAnsi="Arial Narrow" w:cstheme="minorHAnsi"/>
                <w:sz w:val="21"/>
                <w:szCs w:val="21"/>
              </w:rPr>
              <w:t>Título de Tercer Nivel en Economía, Ingeniería Comercial, Administración de Empresas, Comercio exterior o carreras afines, Experiencia General de 5 años en áreas de compras públicas, Experiencia Específica de 3 años en Adquisiciones de Proyectos financiados por el BID.</w:t>
            </w:r>
          </w:p>
        </w:tc>
        <w:tc>
          <w:tcPr>
            <w:tcW w:w="2410" w:type="dxa"/>
          </w:tcPr>
          <w:p w14:paraId="4139B19B" w14:textId="5136C64F" w:rsidR="00F7387C" w:rsidRPr="00655DC9" w:rsidRDefault="00655DC9" w:rsidP="00883B5B">
            <w:pPr>
              <w:rPr>
                <w:rFonts w:ascii="Arial Narrow" w:hAnsi="Arial Narrow" w:cstheme="minorHAnsi"/>
                <w:sz w:val="21"/>
                <w:szCs w:val="21"/>
              </w:rPr>
            </w:pPr>
            <w:r>
              <w:rPr>
                <w:rFonts w:ascii="Arial Narrow" w:hAnsi="Arial Narrow" w:cstheme="minorHAnsi"/>
                <w:sz w:val="21"/>
                <w:szCs w:val="21"/>
              </w:rPr>
              <w:t>SP 7 - 11</w:t>
            </w:r>
          </w:p>
          <w:p w14:paraId="1C85E564" w14:textId="39C63E5C" w:rsidR="00415CB3" w:rsidRPr="00655DC9" w:rsidRDefault="00415CB3" w:rsidP="00883B5B">
            <w:pPr>
              <w:rPr>
                <w:rFonts w:ascii="Arial Narrow" w:hAnsi="Arial Narrow" w:cstheme="minorHAnsi"/>
                <w:sz w:val="21"/>
                <w:szCs w:val="21"/>
              </w:rPr>
            </w:pPr>
          </w:p>
        </w:tc>
      </w:tr>
      <w:tr w:rsidR="00F7387C" w:rsidRPr="00655DC9" w14:paraId="59AA15F6" w14:textId="77777777" w:rsidTr="00F7387C">
        <w:tc>
          <w:tcPr>
            <w:tcW w:w="2263" w:type="dxa"/>
          </w:tcPr>
          <w:p w14:paraId="2A21139D" w14:textId="77777777" w:rsidR="00F7387C" w:rsidRPr="00655DC9" w:rsidRDefault="00F7387C" w:rsidP="00883B5B">
            <w:pPr>
              <w:jc w:val="left"/>
              <w:rPr>
                <w:rFonts w:ascii="Arial Narrow" w:hAnsi="Arial Narrow" w:cstheme="minorHAnsi"/>
                <w:sz w:val="21"/>
                <w:szCs w:val="21"/>
              </w:rPr>
            </w:pPr>
            <w:r w:rsidRPr="00655DC9">
              <w:rPr>
                <w:rFonts w:ascii="Arial Narrow" w:hAnsi="Arial Narrow" w:cstheme="minorHAnsi"/>
                <w:sz w:val="21"/>
                <w:szCs w:val="21"/>
              </w:rPr>
              <w:t>Especialista Financiero</w:t>
            </w:r>
          </w:p>
        </w:tc>
        <w:tc>
          <w:tcPr>
            <w:tcW w:w="4536" w:type="dxa"/>
          </w:tcPr>
          <w:p w14:paraId="51FA373D" w14:textId="2A135D0A" w:rsidR="00F7387C" w:rsidRPr="00655DC9" w:rsidRDefault="00F7387C" w:rsidP="00883B5B">
            <w:pPr>
              <w:rPr>
                <w:rFonts w:ascii="Arial Narrow" w:hAnsi="Arial Narrow" w:cstheme="minorHAnsi"/>
                <w:sz w:val="21"/>
                <w:szCs w:val="21"/>
              </w:rPr>
            </w:pPr>
            <w:r w:rsidRPr="00655DC9">
              <w:rPr>
                <w:rFonts w:ascii="Arial Narrow" w:hAnsi="Arial Narrow" w:cstheme="minorHAnsi"/>
                <w:sz w:val="21"/>
                <w:szCs w:val="21"/>
              </w:rPr>
              <w:t xml:space="preserve">Título de Tercer Nivel en Economía, Experiencia General de 5 años en Coordinación Financiera de Proyectos, Experiencia Específica de </w:t>
            </w:r>
            <w:r w:rsidR="00002527" w:rsidRPr="00655DC9">
              <w:rPr>
                <w:rFonts w:ascii="Arial Narrow" w:hAnsi="Arial Narrow" w:cstheme="minorHAnsi"/>
                <w:sz w:val="21"/>
                <w:szCs w:val="21"/>
              </w:rPr>
              <w:t>3</w:t>
            </w:r>
            <w:r w:rsidRPr="00655DC9">
              <w:rPr>
                <w:rFonts w:ascii="Arial Narrow" w:hAnsi="Arial Narrow" w:cstheme="minorHAnsi"/>
                <w:sz w:val="21"/>
                <w:szCs w:val="21"/>
              </w:rPr>
              <w:t xml:space="preserve"> años en Coordinación Financiera de Proyectos financiados por el BID.</w:t>
            </w:r>
          </w:p>
        </w:tc>
        <w:tc>
          <w:tcPr>
            <w:tcW w:w="2410" w:type="dxa"/>
          </w:tcPr>
          <w:p w14:paraId="59778805" w14:textId="72312038" w:rsidR="00F7387C" w:rsidRPr="00655DC9" w:rsidRDefault="00655DC9" w:rsidP="00883B5B">
            <w:pPr>
              <w:rPr>
                <w:rFonts w:ascii="Arial Narrow" w:hAnsi="Arial Narrow" w:cstheme="minorHAnsi"/>
                <w:sz w:val="21"/>
                <w:szCs w:val="21"/>
              </w:rPr>
            </w:pPr>
            <w:r>
              <w:rPr>
                <w:rFonts w:ascii="Arial Narrow" w:hAnsi="Arial Narrow" w:cstheme="minorHAnsi"/>
                <w:sz w:val="21"/>
                <w:szCs w:val="21"/>
              </w:rPr>
              <w:t>SP 7 - 11</w:t>
            </w:r>
          </w:p>
        </w:tc>
      </w:tr>
      <w:tr w:rsidR="00F7387C" w:rsidRPr="00655DC9" w14:paraId="2567BCAF" w14:textId="77777777" w:rsidTr="00F7387C">
        <w:tc>
          <w:tcPr>
            <w:tcW w:w="2263" w:type="dxa"/>
          </w:tcPr>
          <w:p w14:paraId="6D1958A7" w14:textId="77777777" w:rsidR="00F7387C" w:rsidRPr="00655DC9" w:rsidRDefault="00F7387C" w:rsidP="00883B5B">
            <w:pPr>
              <w:jc w:val="left"/>
              <w:rPr>
                <w:rFonts w:ascii="Arial Narrow" w:hAnsi="Arial Narrow" w:cstheme="minorHAnsi"/>
                <w:sz w:val="21"/>
                <w:szCs w:val="21"/>
              </w:rPr>
            </w:pPr>
            <w:r w:rsidRPr="00655DC9">
              <w:rPr>
                <w:rFonts w:ascii="Arial Narrow" w:hAnsi="Arial Narrow" w:cstheme="minorHAnsi"/>
                <w:sz w:val="21"/>
                <w:szCs w:val="21"/>
              </w:rPr>
              <w:t>Especialista en Monitoreo y Seguimiento</w:t>
            </w:r>
          </w:p>
        </w:tc>
        <w:tc>
          <w:tcPr>
            <w:tcW w:w="4536" w:type="dxa"/>
          </w:tcPr>
          <w:p w14:paraId="006AFA27" w14:textId="77777777" w:rsidR="00F7387C" w:rsidRPr="00655DC9" w:rsidRDefault="00F7387C" w:rsidP="00883B5B">
            <w:pPr>
              <w:rPr>
                <w:rFonts w:ascii="Arial Narrow" w:hAnsi="Arial Narrow" w:cstheme="minorHAnsi"/>
                <w:sz w:val="21"/>
                <w:szCs w:val="21"/>
              </w:rPr>
            </w:pPr>
            <w:r w:rsidRPr="00655DC9">
              <w:rPr>
                <w:rFonts w:ascii="Arial Narrow" w:hAnsi="Arial Narrow" w:cstheme="minorHAnsi"/>
                <w:sz w:val="21"/>
                <w:szCs w:val="21"/>
              </w:rPr>
              <w:t>Título de Tercer Nivel en Economía, Ingeniería Comercial o carreras afines, Experiencia General de 5 años en Monitoreo y Evaluación Proyectos, Experiencia Específica de 3 años en Evaluación y Monitoreo de Proyectos financiados por el BID. Conocimiento en manejo de MS Project y tablas dinámicas de MS Excel.</w:t>
            </w:r>
          </w:p>
        </w:tc>
        <w:tc>
          <w:tcPr>
            <w:tcW w:w="2410" w:type="dxa"/>
          </w:tcPr>
          <w:p w14:paraId="230B6AD5" w14:textId="1B0CEB07" w:rsidR="00655DC9" w:rsidRPr="00655DC9" w:rsidRDefault="00655DC9" w:rsidP="00655DC9">
            <w:pPr>
              <w:rPr>
                <w:rFonts w:ascii="Arial Narrow" w:hAnsi="Arial Narrow" w:cstheme="minorHAnsi"/>
                <w:sz w:val="21"/>
                <w:szCs w:val="21"/>
              </w:rPr>
            </w:pPr>
            <w:r>
              <w:rPr>
                <w:rFonts w:ascii="Arial Narrow" w:hAnsi="Arial Narrow" w:cstheme="minorHAnsi"/>
                <w:sz w:val="21"/>
                <w:szCs w:val="21"/>
              </w:rPr>
              <w:t xml:space="preserve">SP </w:t>
            </w:r>
            <w:r w:rsidR="00F7387C" w:rsidRPr="00655DC9">
              <w:rPr>
                <w:rFonts w:ascii="Arial Narrow" w:hAnsi="Arial Narrow" w:cstheme="minorHAnsi"/>
                <w:sz w:val="21"/>
                <w:szCs w:val="21"/>
              </w:rPr>
              <w:t xml:space="preserve"> </w:t>
            </w:r>
            <w:r w:rsidR="000316AA" w:rsidRPr="00655DC9">
              <w:rPr>
                <w:rFonts w:ascii="Arial Narrow" w:hAnsi="Arial Narrow" w:cstheme="minorHAnsi"/>
                <w:sz w:val="21"/>
                <w:szCs w:val="21"/>
              </w:rPr>
              <w:t>7</w:t>
            </w:r>
            <w:r w:rsidR="006F2DE7" w:rsidRPr="00655DC9">
              <w:rPr>
                <w:rFonts w:ascii="Arial Narrow" w:hAnsi="Arial Narrow" w:cstheme="minorHAnsi"/>
                <w:sz w:val="21"/>
                <w:szCs w:val="21"/>
              </w:rPr>
              <w:t xml:space="preserve"> - 11</w:t>
            </w:r>
            <w:r w:rsidR="00F7387C" w:rsidRPr="00655DC9">
              <w:rPr>
                <w:rFonts w:ascii="Arial Narrow" w:hAnsi="Arial Narrow" w:cstheme="minorHAnsi"/>
                <w:sz w:val="21"/>
                <w:szCs w:val="21"/>
              </w:rPr>
              <w:t xml:space="preserve"> </w:t>
            </w:r>
          </w:p>
          <w:p w14:paraId="080E3DDB" w14:textId="0C9DDBC6" w:rsidR="00F7387C" w:rsidRPr="00655DC9" w:rsidRDefault="00F7387C" w:rsidP="00883B5B">
            <w:pPr>
              <w:rPr>
                <w:rFonts w:ascii="Arial Narrow" w:hAnsi="Arial Narrow" w:cstheme="minorHAnsi"/>
                <w:sz w:val="21"/>
                <w:szCs w:val="21"/>
              </w:rPr>
            </w:pPr>
          </w:p>
        </w:tc>
      </w:tr>
    </w:tbl>
    <w:p w14:paraId="232872D6" w14:textId="43BC62F6" w:rsidR="00132A3B" w:rsidRDefault="00CF3FC3" w:rsidP="00CF3FC3">
      <w:pPr>
        <w:rPr>
          <w:rFonts w:cstheme="minorHAnsi"/>
          <w:szCs w:val="20"/>
          <w:lang w:val="es-ES"/>
        </w:rPr>
      </w:pPr>
      <w:r>
        <w:rPr>
          <w:sz w:val="16"/>
          <w:szCs w:val="16"/>
        </w:rPr>
        <w:t>(</w:t>
      </w:r>
      <w:r w:rsidR="00F7387C" w:rsidRPr="005852D0">
        <w:rPr>
          <w:sz w:val="16"/>
          <w:szCs w:val="16"/>
        </w:rPr>
        <w:t xml:space="preserve">*): Referenciado a estructura de puestos del </w:t>
      </w:r>
      <w:r w:rsidR="00002527">
        <w:rPr>
          <w:sz w:val="16"/>
          <w:szCs w:val="16"/>
        </w:rPr>
        <w:t>Sector Público</w:t>
      </w:r>
      <w:r w:rsidR="00F7387C" w:rsidRPr="005852D0">
        <w:rPr>
          <w:sz w:val="16"/>
          <w:szCs w:val="16"/>
        </w:rPr>
        <w:t xml:space="preserve">. </w:t>
      </w:r>
      <w:bookmarkEnd w:id="95"/>
      <w:r w:rsidR="00132A3B">
        <w:rPr>
          <w:rFonts w:cstheme="minorHAnsi"/>
          <w:szCs w:val="20"/>
          <w:lang w:val="es-ES"/>
        </w:rPr>
        <w:br w:type="page"/>
      </w:r>
    </w:p>
    <w:p w14:paraId="207959DB" w14:textId="5DAC949F" w:rsidR="00545760" w:rsidRDefault="00545760" w:rsidP="009F3496">
      <w:pPr>
        <w:pStyle w:val="Heading1"/>
        <w:rPr>
          <w:lang w:val="es-ES"/>
        </w:rPr>
      </w:pPr>
      <w:bookmarkStart w:id="99" w:name="_Toc23797319"/>
      <w:r w:rsidRPr="00545760">
        <w:rPr>
          <w:lang w:val="es-ES"/>
        </w:rPr>
        <w:lastRenderedPageBreak/>
        <w:t>ASPECTOS PARTICULARES PARA LA EJECUCIÓN DEL</w:t>
      </w:r>
      <w:r>
        <w:rPr>
          <w:lang w:val="es-ES"/>
        </w:rPr>
        <w:t xml:space="preserve"> PROGRAMA</w:t>
      </w:r>
      <w:bookmarkEnd w:id="99"/>
      <w:r w:rsidR="00844C9C">
        <w:rPr>
          <w:lang w:val="es-ES"/>
        </w:rPr>
        <w:t xml:space="preserve"> </w:t>
      </w:r>
    </w:p>
    <w:p w14:paraId="4F1F3790" w14:textId="2B7644C4" w:rsidR="002F5FE9" w:rsidRPr="00A94976" w:rsidRDefault="002F5FE9" w:rsidP="00A94976">
      <w:pPr>
        <w:pStyle w:val="Heading2"/>
        <w:numPr>
          <w:ilvl w:val="0"/>
          <w:numId w:val="10"/>
        </w:numPr>
        <w:rPr>
          <w:lang w:val="es-ES"/>
        </w:rPr>
      </w:pPr>
      <w:bookmarkStart w:id="100" w:name="_Toc23797320"/>
      <w:r w:rsidRPr="00A94976">
        <w:rPr>
          <w:lang w:val="es-ES"/>
        </w:rPr>
        <w:t xml:space="preserve">Condiciones </w:t>
      </w:r>
      <w:r w:rsidR="000A37AA" w:rsidRPr="00A94976">
        <w:rPr>
          <w:lang w:val="es-ES"/>
        </w:rPr>
        <w:t>previas al primer desembolso</w:t>
      </w:r>
      <w:bookmarkEnd w:id="100"/>
    </w:p>
    <w:p w14:paraId="6F4B7A9E" w14:textId="750175DF" w:rsidR="00ED1E99" w:rsidRDefault="00701342" w:rsidP="009B54B5">
      <w:pPr>
        <w:pStyle w:val="Estilo1"/>
      </w:pPr>
      <w:bookmarkStart w:id="101" w:name="_Ref5129852"/>
      <w:r w:rsidRPr="00247067">
        <w:t>Las est</w:t>
      </w:r>
      <w:r w:rsidRPr="007B4B48">
        <w:t>able</w:t>
      </w:r>
      <w:r w:rsidRPr="00BB32BB">
        <w:t xml:space="preserve">cidas en el Artículo </w:t>
      </w:r>
      <w:r w:rsidR="003F57D8" w:rsidRPr="00B12BB0">
        <w:rPr>
          <w:highlight w:val="yellow"/>
        </w:rPr>
        <w:t>XXX</w:t>
      </w:r>
      <w:r w:rsidRPr="00BB32BB">
        <w:t xml:space="preserve"> de las Normas Generales del Contrato de Préstamo, dentro de los plazos establecidos para su cumplimiento que se detallan en el Artículo </w:t>
      </w:r>
      <w:r w:rsidR="003F57D8" w:rsidRPr="00B12BB0">
        <w:rPr>
          <w:highlight w:val="yellow"/>
        </w:rPr>
        <w:t>XXX</w:t>
      </w:r>
      <w:r w:rsidRPr="00BB32BB">
        <w:t xml:space="preserve"> del Contrato de Préstamo</w:t>
      </w:r>
      <w:r w:rsidRPr="00B12BB0">
        <w:t xml:space="preserve">; y las </w:t>
      </w:r>
      <w:r w:rsidR="00633C83" w:rsidRPr="00BB32BB">
        <w:t xml:space="preserve">condiciones especiales previas al primer desembolso establecidas en al Clausula </w:t>
      </w:r>
      <w:r w:rsidR="003F57D8" w:rsidRPr="00B12BB0">
        <w:rPr>
          <w:highlight w:val="yellow"/>
        </w:rPr>
        <w:t>XXX</w:t>
      </w:r>
      <w:r w:rsidR="00633C83" w:rsidRPr="00BB32BB">
        <w:t xml:space="preserve"> </w:t>
      </w:r>
      <w:r w:rsidR="00247067" w:rsidRPr="00BB32BB">
        <w:t>de las Estipulaciones Especiales del Contrato de Préstamo</w:t>
      </w:r>
      <w:r w:rsidR="003F4F01">
        <w:t xml:space="preserve">. </w:t>
      </w:r>
      <w:r w:rsidR="00247067" w:rsidRPr="00BB32BB">
        <w:t xml:space="preserve"> </w:t>
      </w:r>
      <w:bookmarkEnd w:id="101"/>
    </w:p>
    <w:p w14:paraId="0DBDE359" w14:textId="01F628A2" w:rsidR="003D0E7E" w:rsidRPr="002A15DC" w:rsidRDefault="003D0E7E" w:rsidP="00F705EB">
      <w:pPr>
        <w:pStyle w:val="Heading2"/>
      </w:pPr>
      <w:bookmarkStart w:id="102" w:name="_Toc23797321"/>
      <w:r w:rsidRPr="002A15DC">
        <w:t>Proyectos de Inversión y CUP</w:t>
      </w:r>
      <w:bookmarkEnd w:id="102"/>
      <w:r w:rsidR="00F705EB" w:rsidRPr="002A15DC">
        <w:t xml:space="preserve"> </w:t>
      </w:r>
    </w:p>
    <w:p w14:paraId="6B579AD0" w14:textId="712336AD" w:rsidR="00F705EB" w:rsidRPr="002A15DC" w:rsidRDefault="00F705EB" w:rsidP="009B54B5">
      <w:pPr>
        <w:pStyle w:val="Estilo1"/>
      </w:pPr>
      <w:r w:rsidRPr="002A15DC">
        <w:t xml:space="preserve">Todas las actividades del Programa EC-L1250, sujetas a contratación o adquisición, deberán encontrarse definidas en un Proyecto de Inversión que deberá contar con su CUP y dictamen de prioridad actualizado respectivamente.  En el marco del Programa se espera tener los proyectos de inversión que se detallan en la </w:t>
      </w:r>
      <w:r w:rsidRPr="00A2189A">
        <w:rPr>
          <w:color w:val="0070C0"/>
        </w:rPr>
        <w:fldChar w:fldCharType="begin"/>
      </w:r>
      <w:r w:rsidRPr="00A2189A">
        <w:rPr>
          <w:color w:val="0070C0"/>
        </w:rPr>
        <w:instrText xml:space="preserve"> REF _Ref17646617 \h </w:instrText>
      </w:r>
      <w:r w:rsidR="002A15DC" w:rsidRPr="00A2189A">
        <w:rPr>
          <w:color w:val="0070C0"/>
        </w:rPr>
        <w:instrText xml:space="preserve"> \* MERGEFORMAT </w:instrText>
      </w:r>
      <w:r w:rsidRPr="00A2189A">
        <w:rPr>
          <w:color w:val="0070C0"/>
        </w:rPr>
      </w:r>
      <w:r w:rsidRPr="00A2189A">
        <w:rPr>
          <w:color w:val="0070C0"/>
        </w:rPr>
        <w:fldChar w:fldCharType="separate"/>
      </w:r>
      <w:r w:rsidR="003538B4" w:rsidRPr="003538B4">
        <w:rPr>
          <w:color w:val="0070C0"/>
        </w:rPr>
        <w:t xml:space="preserve">Tabla </w:t>
      </w:r>
      <w:r w:rsidR="003538B4" w:rsidRPr="003538B4">
        <w:rPr>
          <w:noProof/>
          <w:color w:val="0070C0"/>
        </w:rPr>
        <w:t>2.</w:t>
      </w:r>
      <w:r w:rsidR="003538B4" w:rsidRPr="003538B4">
        <w:rPr>
          <w:color w:val="0070C0"/>
        </w:rPr>
        <w:t xml:space="preserve"> Proyectos de Inversión asociados al Programa EC-L1250</w:t>
      </w:r>
      <w:r w:rsidRPr="00A2189A">
        <w:rPr>
          <w:color w:val="0070C0"/>
        </w:rPr>
        <w:fldChar w:fldCharType="end"/>
      </w:r>
      <w:r w:rsidR="006A7E56" w:rsidRPr="002A15DC">
        <w:t xml:space="preserve"> en el presente ROP</w:t>
      </w:r>
      <w:r w:rsidRPr="002A15DC">
        <w:t xml:space="preserve">.  </w:t>
      </w:r>
      <w:r w:rsidR="006A7E56" w:rsidRPr="002A15DC">
        <w:t xml:space="preserve">  </w:t>
      </w:r>
      <w:r w:rsidRPr="002A15DC">
        <w:t xml:space="preserve"> </w:t>
      </w:r>
    </w:p>
    <w:p w14:paraId="2AAA446E" w14:textId="1F093699" w:rsidR="00806E12" w:rsidRDefault="00CA00B5" w:rsidP="009B54B5">
      <w:pPr>
        <w:pStyle w:val="Estilo1"/>
      </w:pPr>
      <w:r>
        <w:t>El</w:t>
      </w:r>
      <w:r w:rsidR="006932DF">
        <w:t xml:space="preserve"> EDG-</w:t>
      </w:r>
      <w:r>
        <w:t xml:space="preserve">MEF en calidad de OE del Programa, será el encargado de coordinar </w:t>
      </w:r>
      <w:r w:rsidR="006932DF">
        <w:t>junto a los OSE que los distintos ejecutores hayan postulado y obtenido el dictamen de prioridad, inclusión en el PAI</w:t>
      </w:r>
      <w:r w:rsidR="00551597" w:rsidRPr="007D2939">
        <w:t xml:space="preserve">, traspasos presupuestarios </w:t>
      </w:r>
      <w:r w:rsidR="007D2939" w:rsidRPr="007D2939">
        <w:t>relacionados y</w:t>
      </w:r>
      <w:r w:rsidR="00551597" w:rsidRPr="007D2939">
        <w:t xml:space="preserve"> obtenga las actualizaciones requeridas dentro de los plazos necesarios que faciliten la ejecución del Programa.</w:t>
      </w:r>
      <w:r w:rsidR="00806E12">
        <w:t xml:space="preserve"> </w:t>
      </w:r>
      <w:r w:rsidR="00806E12" w:rsidRPr="00806E12">
        <w:t>El EDG-MEF</w:t>
      </w:r>
      <w:r w:rsidR="00806E12">
        <w:t xml:space="preserve">, en calidad de EDG del OE, será responsable de dar seguimiento a la vigencia del dictamen de prioridad, inclusión en el PAI y transferencias presupuestarias relacionados de las actividades del Programa. </w:t>
      </w:r>
      <w:r w:rsidR="00551597" w:rsidRPr="003837F4">
        <w:t>Aquellas actividades que ya se encuentran definidas dentro de un proyecto de inversión priorizado de un beneficiario del Programa, se mantendrán en dicho CUP, cuidando de no duplicar su ejecución con el respectivo beneficiario</w:t>
      </w:r>
      <w:r w:rsidR="00551597">
        <w:t xml:space="preserve">. </w:t>
      </w:r>
      <w:r w:rsidR="00806E12">
        <w:t xml:space="preserve"> El EDG del OE u OSE que corresponda, </w:t>
      </w:r>
      <w:r w:rsidR="00551597">
        <w:t>será responsable de dar seguimiento a la vigencia del dictamen de prioridad, inclusión en el PAI y transferencias presupuestarias relacionados de las actividades que ya se encuentran dentro de otros proyectos priorizados.</w:t>
      </w:r>
      <w:r w:rsidR="007D2939">
        <w:t xml:space="preserve"> </w:t>
      </w:r>
    </w:p>
    <w:p w14:paraId="28F5C8BF" w14:textId="3A4FC276" w:rsidR="006932DF" w:rsidRDefault="00806E12" w:rsidP="009B54B5">
      <w:pPr>
        <w:pStyle w:val="Estilo1"/>
      </w:pPr>
      <w:r w:rsidRPr="00C05C00">
        <w:rPr>
          <w:u w:val="single"/>
        </w:rPr>
        <w:t>En casos particulares</w:t>
      </w:r>
      <w:r w:rsidRPr="00C05C00">
        <w:t xml:space="preserve"> en los cuales las entidades beneficiarias cuyas actividades se encuentren definidas en un proyecto de inversión priorizado, con su propio CUP </w:t>
      </w:r>
      <w:r w:rsidRPr="00C05C00">
        <w:rPr>
          <w:u w:val="single"/>
        </w:rPr>
        <w:t>y que éstas formen parte de un proyecto en ejecución</w:t>
      </w:r>
      <w:r w:rsidRPr="00C05C00">
        <w:t>, el OE u OSE que corresponda, podrá delegar la ejecución de dichas actividades a la entidad beneficiaria,</w:t>
      </w:r>
      <w:r w:rsidR="00C05C00" w:rsidRPr="00C05C00">
        <w:t xml:space="preserve"> mediante un convenio interinstitucional, </w:t>
      </w:r>
      <w:r w:rsidRPr="00C05C00">
        <w:t xml:space="preserve">siempre y cuando la entidad beneficiaria cuente </w:t>
      </w:r>
      <w:r w:rsidRPr="006932DF">
        <w:t>con</w:t>
      </w:r>
      <w:r w:rsidR="006932DF" w:rsidRPr="006932DF">
        <w:t xml:space="preserve"> las competencias y </w:t>
      </w:r>
      <w:r w:rsidRPr="006932DF">
        <w:t>la</w:t>
      </w:r>
      <w:r w:rsidRPr="00C05C00">
        <w:t xml:space="preserve"> capacidad institucional suficiente para ejecutar las actividades señaladas, demostrada mediante un Análisis de Capacidades Institucionales (ACI)</w:t>
      </w:r>
      <w:r w:rsidR="00C05C00" w:rsidRPr="00C05C00">
        <w:rPr>
          <w:rStyle w:val="FootnoteReference"/>
        </w:rPr>
        <w:t xml:space="preserve"> </w:t>
      </w:r>
      <w:r w:rsidR="00C05C00">
        <w:rPr>
          <w:rStyle w:val="FootnoteReference"/>
        </w:rPr>
        <w:footnoteReference w:id="51"/>
      </w:r>
      <w:r w:rsidRPr="00C05C00">
        <w:t xml:space="preserve">   y previa la no objeción escrita del Banco. </w:t>
      </w:r>
    </w:p>
    <w:p w14:paraId="4721C14D" w14:textId="20E3F8AB" w:rsidR="003D0E7E" w:rsidRPr="006932DF" w:rsidRDefault="006932DF" w:rsidP="009B54B5">
      <w:pPr>
        <w:pStyle w:val="Estilo1"/>
      </w:pPr>
      <w:r w:rsidRPr="006932DF">
        <w:t>Para la ejecución de los PIRIS del componente 3, se establece un procedimiento particular que se muestra en</w:t>
      </w:r>
      <w:r>
        <w:t xml:space="preserve"> el literal H. de la presente sección</w:t>
      </w:r>
      <w:r w:rsidR="00A2189A">
        <w:t>.</w:t>
      </w:r>
      <w:r w:rsidRPr="006932DF">
        <w:t xml:space="preserve"> </w:t>
      </w:r>
      <w:r w:rsidR="00806E12" w:rsidRPr="006932DF">
        <w:t xml:space="preserve"> </w:t>
      </w:r>
      <w:r w:rsidR="00F705EB" w:rsidRPr="006932DF">
        <w:t xml:space="preserve"> </w:t>
      </w:r>
      <w:r w:rsidR="003D0E7E" w:rsidRPr="006932DF">
        <w:t xml:space="preserve"> </w:t>
      </w:r>
    </w:p>
    <w:p w14:paraId="34F1E658" w14:textId="499AEA21" w:rsidR="000E3D34" w:rsidRDefault="000E3D34" w:rsidP="00A94976">
      <w:pPr>
        <w:pStyle w:val="Heading2"/>
      </w:pPr>
      <w:bookmarkStart w:id="103" w:name="_Toc23797322"/>
      <w:r>
        <w:t>Aspectos particulares para la ejecución de</w:t>
      </w:r>
      <w:r w:rsidR="00F66187">
        <w:t xml:space="preserve"> las actividades a cargo de la </w:t>
      </w:r>
      <w:r w:rsidR="003837F4">
        <w:t>VPR</w:t>
      </w:r>
      <w:bookmarkEnd w:id="103"/>
      <w:r w:rsidR="001C6C91">
        <w:t xml:space="preserve"> </w:t>
      </w:r>
      <w:r w:rsidR="00F66187">
        <w:t xml:space="preserve"> </w:t>
      </w:r>
    </w:p>
    <w:p w14:paraId="167DAD79" w14:textId="367E0190" w:rsidR="00F66187" w:rsidRPr="003C3EB6" w:rsidRDefault="00A94976" w:rsidP="009B54B5">
      <w:pPr>
        <w:pStyle w:val="Estilo1"/>
      </w:pPr>
      <w:r w:rsidRPr="004C4EA6">
        <w:rPr>
          <w:b/>
          <w:bCs/>
          <w:u w:val="single"/>
        </w:rPr>
        <w:t>Mecanismo de Ejecución</w:t>
      </w:r>
      <w:r w:rsidRPr="004C4EA6">
        <w:t xml:space="preserve">. - </w:t>
      </w:r>
      <w:r w:rsidR="00F66187" w:rsidRPr="004C4EA6">
        <w:t xml:space="preserve"> La VPR</w:t>
      </w:r>
      <w:r w:rsidR="004C4EA6" w:rsidRPr="004C4EA6">
        <w:t>,</w:t>
      </w:r>
      <w:r w:rsidR="00F66187" w:rsidRPr="004C4EA6">
        <w:t xml:space="preserve"> en calidad de OSE </w:t>
      </w:r>
      <w:r w:rsidR="00676F78">
        <w:t xml:space="preserve">será el responsable de la ejecución de </w:t>
      </w:r>
      <w:r w:rsidR="00F66187" w:rsidRPr="004C4EA6">
        <w:t>las actividades del Programa que le sean delegadas</w:t>
      </w:r>
      <w:r w:rsidR="004C4EA6" w:rsidRPr="004C4EA6">
        <w:t xml:space="preserve">. Para su ejecución se apoyará en la </w:t>
      </w:r>
      <w:r w:rsidR="00BD7404" w:rsidRPr="004C4EA6">
        <w:t>Secretaría Técnica del Comité de Competitividad</w:t>
      </w:r>
      <w:r w:rsidR="006A7A3D" w:rsidRPr="004C4EA6">
        <w:t xml:space="preserve"> y Emprendimiento</w:t>
      </w:r>
      <w:r w:rsidR="004C4EA6" w:rsidRPr="004C4EA6">
        <w:t xml:space="preserve"> (</w:t>
      </w:r>
      <w:r w:rsidR="00F66187" w:rsidRPr="004C4EA6">
        <w:t>ST</w:t>
      </w:r>
      <w:r w:rsidR="00A0093C">
        <w:t>-</w:t>
      </w:r>
      <w:r w:rsidR="00F66187" w:rsidRPr="004C4EA6">
        <w:t>CC</w:t>
      </w:r>
      <w:r w:rsidR="006A7A3D" w:rsidRPr="004C4EA6">
        <w:t>E</w:t>
      </w:r>
      <w:r w:rsidR="004C4EA6" w:rsidRPr="004C4EA6">
        <w:t>)</w:t>
      </w:r>
      <w:r w:rsidR="008B44F0">
        <w:rPr>
          <w:rStyle w:val="FootnoteReference"/>
        </w:rPr>
        <w:footnoteReference w:id="52"/>
      </w:r>
      <w:r w:rsidR="004C4EA6" w:rsidRPr="004C4EA6">
        <w:t xml:space="preserve"> que </w:t>
      </w:r>
      <w:r w:rsidR="00F66187" w:rsidRPr="004C4EA6">
        <w:t>estará adscrita a la VPR.  Las actividades del Programa que se ejecutarán bajo responsabilidad de la VPR serán</w:t>
      </w:r>
      <w:r w:rsidR="00F66187" w:rsidRPr="003C3EB6">
        <w:t>: (i) todas las actividades del Componente 1 “Fortalecimiento de la gobernanza para la competitividad e innovación”;</w:t>
      </w:r>
      <w:r w:rsidR="00C273ED">
        <w:t xml:space="preserve"> y</w:t>
      </w:r>
      <w:r w:rsidR="00F66187" w:rsidRPr="003C3EB6">
        <w:t xml:space="preserve"> (ii) el financiamiento del Equipo de Gestión (EDG-</w:t>
      </w:r>
      <w:r w:rsidR="00412ED1">
        <w:t>VPR</w:t>
      </w:r>
      <w:r w:rsidR="00F66187" w:rsidRPr="003C3EB6">
        <w:t xml:space="preserve">).  </w:t>
      </w:r>
      <w:r w:rsidR="00F66187" w:rsidRPr="003C3EB6">
        <w:lastRenderedPageBreak/>
        <w:t xml:space="preserve">La VPR también será responsable del seguimiento y control de la ejecución de dichas actividades </w:t>
      </w:r>
    </w:p>
    <w:p w14:paraId="263E87AF" w14:textId="03412AD0" w:rsidR="00247767" w:rsidRPr="00317D70" w:rsidRDefault="00F66187" w:rsidP="009B54B5">
      <w:pPr>
        <w:pStyle w:val="Estilo1"/>
      </w:pPr>
      <w:r w:rsidRPr="00317D70">
        <w:rPr>
          <w:b/>
          <w:bCs/>
          <w:u w:val="single"/>
        </w:rPr>
        <w:t>Responsables de la ejecución de productos y actividades. -</w:t>
      </w:r>
      <w:r w:rsidRPr="00317D70">
        <w:t xml:space="preserve"> La ejecución de las actividades del componente</w:t>
      </w:r>
      <w:r w:rsidR="005D50E3" w:rsidRPr="00317D70">
        <w:t xml:space="preserve"> 1</w:t>
      </w:r>
      <w:r w:rsidRPr="00317D70">
        <w:t>, estarán a cargo de las unidades</w:t>
      </w:r>
      <w:r w:rsidR="00247767" w:rsidRPr="00317D70">
        <w:t xml:space="preserve">, </w:t>
      </w:r>
      <w:r w:rsidRPr="00317D70">
        <w:t>administrativas</w:t>
      </w:r>
      <w:r w:rsidR="00314B9B" w:rsidRPr="00317D70">
        <w:t xml:space="preserve"> de la VPR, apoyada en los requerimientos técnicos de la </w:t>
      </w:r>
      <w:r w:rsidRPr="00317D70">
        <w:t>ST</w:t>
      </w:r>
      <w:r w:rsidR="00A0093C">
        <w:t>-</w:t>
      </w:r>
      <w:r w:rsidRPr="00317D70">
        <w:t>C</w:t>
      </w:r>
      <w:r w:rsidR="00314B9B" w:rsidRPr="00317D70">
        <w:t>CE</w:t>
      </w:r>
      <w:r w:rsidRPr="00317D70">
        <w:t xml:space="preserve">. </w:t>
      </w:r>
      <w:r w:rsidR="00247767" w:rsidRPr="00317D70">
        <w:t xml:space="preserve">La gestión gerencial </w:t>
      </w:r>
      <w:r w:rsidRPr="00317D70">
        <w:t xml:space="preserve">del componente </w:t>
      </w:r>
      <w:r w:rsidR="00247767" w:rsidRPr="00317D70">
        <w:t xml:space="preserve">se apoyará en </w:t>
      </w:r>
      <w:r w:rsidRPr="00317D70">
        <w:t>un Equipo de Gestión (EDG-VPR) que estar</w:t>
      </w:r>
      <w:r w:rsidR="000469ED" w:rsidRPr="00317D70">
        <w:t>á</w:t>
      </w:r>
      <w:r w:rsidRPr="00317D70">
        <w:t xml:space="preserve"> conformado por un Coordinador General, un especialista de adquisiciones, un especialista de planificación y monitoreo y un especialista financiero. </w:t>
      </w:r>
      <w:r w:rsidR="005D50E3" w:rsidRPr="00317D70">
        <w:t>Adicionalmente la VPR</w:t>
      </w:r>
      <w:r w:rsidR="00317D70" w:rsidRPr="00317D70">
        <w:t xml:space="preserve"> realizará el </w:t>
      </w:r>
      <w:r w:rsidR="005D50E3" w:rsidRPr="00317D70">
        <w:t xml:space="preserve">seguimiento y control de la ejecución del componente del Programa, </w:t>
      </w:r>
      <w:r w:rsidR="00317D70" w:rsidRPr="00317D70">
        <w:t xml:space="preserve">a través de su </w:t>
      </w:r>
      <w:r w:rsidR="005D50E3" w:rsidRPr="00317D70">
        <w:t xml:space="preserve">Dirección de Planificación y Gestión Estratégica, </w:t>
      </w:r>
      <w:r w:rsidR="00345DE1" w:rsidRPr="00317D70">
        <w:t>l</w:t>
      </w:r>
      <w:r w:rsidR="00317D70" w:rsidRPr="00317D70">
        <w:t xml:space="preserve">os </w:t>
      </w:r>
      <w:r w:rsidR="00345DE1" w:rsidRPr="00317D70">
        <w:t xml:space="preserve">cuales </w:t>
      </w:r>
      <w:r w:rsidR="005D50E3" w:rsidRPr="00317D70">
        <w:t>junto al EDG-</w:t>
      </w:r>
      <w:r w:rsidR="00317D70" w:rsidRPr="00317D70">
        <w:t>VPR</w:t>
      </w:r>
      <w:r w:rsidR="005D50E3" w:rsidRPr="00317D70">
        <w:t xml:space="preserve"> se</w:t>
      </w:r>
      <w:r w:rsidR="00345DE1" w:rsidRPr="00317D70">
        <w:t>rán fo</w:t>
      </w:r>
      <w:r w:rsidR="005D50E3" w:rsidRPr="00317D70">
        <w:t>rtalec</w:t>
      </w:r>
      <w:r w:rsidR="00345DE1" w:rsidRPr="00317D70">
        <w:t>id</w:t>
      </w:r>
      <w:r w:rsidR="00317D70" w:rsidRPr="00317D70">
        <w:t>o</w:t>
      </w:r>
      <w:r w:rsidR="00345DE1" w:rsidRPr="00317D70">
        <w:t xml:space="preserve">s </w:t>
      </w:r>
      <w:r w:rsidR="005D50E3" w:rsidRPr="00317D70">
        <w:t xml:space="preserve">por parte del Banco en las políticas de ejecución de proyectos del </w:t>
      </w:r>
      <w:r w:rsidR="00345DE1" w:rsidRPr="00317D70">
        <w:t>BID</w:t>
      </w:r>
      <w:r w:rsidR="005D50E3" w:rsidRPr="00317D70">
        <w:rPr>
          <w:rStyle w:val="FootnoteReference"/>
        </w:rPr>
        <w:footnoteReference w:id="53"/>
      </w:r>
      <w:r w:rsidR="005D50E3" w:rsidRPr="00317D70">
        <w:t xml:space="preserve">.  </w:t>
      </w:r>
    </w:p>
    <w:p w14:paraId="37001716" w14:textId="46B588E7" w:rsidR="00E61965" w:rsidRPr="008B2117" w:rsidRDefault="00402D4C" w:rsidP="009B54B5">
      <w:pPr>
        <w:pStyle w:val="Estilo1"/>
      </w:pPr>
      <w:r w:rsidRPr="008B2117">
        <w:rPr>
          <w:b/>
          <w:bCs/>
          <w:u w:val="single"/>
        </w:rPr>
        <w:t>Procedimientos generales de contratación</w:t>
      </w:r>
      <w:r w:rsidRPr="008B2117">
        <w:t xml:space="preserve">. </w:t>
      </w:r>
      <w:r w:rsidR="006E2D32" w:rsidRPr="008B2117">
        <w:t>–</w:t>
      </w:r>
      <w:r w:rsidRPr="008B2117">
        <w:t xml:space="preserve"> </w:t>
      </w:r>
      <w:r w:rsidR="006E2D32" w:rsidRPr="008B2117">
        <w:t xml:space="preserve">(i) </w:t>
      </w:r>
      <w:r w:rsidR="00E61965" w:rsidRPr="008B2117">
        <w:t>En la fase de Preparación, la elaboración de estudios técnicos, presupuestos referenciales, preparación de TDR, especificaciones técnicas, las realizarán las áreas técnicas de</w:t>
      </w:r>
      <w:r w:rsidRPr="008B2117">
        <w:t xml:space="preserve"> la </w:t>
      </w:r>
      <w:r w:rsidR="00A0093C" w:rsidRPr="004C2CB2">
        <w:t>ST-CCE</w:t>
      </w:r>
      <w:r w:rsidRPr="008B2117">
        <w:t xml:space="preserve"> de acuerdo </w:t>
      </w:r>
      <w:r w:rsidR="00E61965" w:rsidRPr="008B2117">
        <w:t>al tipo de contratación</w:t>
      </w:r>
      <w:r w:rsidR="006E2D32" w:rsidRPr="008B2117">
        <w:t xml:space="preserve"> que se trate; para el efecto contarán </w:t>
      </w:r>
      <w:r w:rsidR="00E61965" w:rsidRPr="008B2117">
        <w:t>con el apoyo del EDG</w:t>
      </w:r>
      <w:r w:rsidRPr="008B2117">
        <w:t>-</w:t>
      </w:r>
      <w:r w:rsidR="004C2CB2">
        <w:t>VPR</w:t>
      </w:r>
      <w:r w:rsidR="00787CC4" w:rsidRPr="008B2117">
        <w:t>; (ii) l</w:t>
      </w:r>
      <w:r w:rsidR="00E61965" w:rsidRPr="008B2117">
        <w:t>os Documentos de Licitación</w:t>
      </w:r>
      <w:r w:rsidR="00787CC4" w:rsidRPr="008B2117">
        <w:t xml:space="preserve"> (DEL) </w:t>
      </w:r>
      <w:r w:rsidR="00E61965" w:rsidRPr="008B2117">
        <w:t xml:space="preserve"> o Solicitudes de Propuestas serán realizadas por </w:t>
      </w:r>
      <w:r w:rsidR="006E2D32" w:rsidRPr="008B2117">
        <w:t xml:space="preserve">el </w:t>
      </w:r>
      <w:r w:rsidR="00C0782B">
        <w:t xml:space="preserve">especialista de adquisiciones </w:t>
      </w:r>
      <w:r w:rsidR="006E2D32" w:rsidRPr="008B2117">
        <w:t>d</w:t>
      </w:r>
      <w:r w:rsidR="00E61965" w:rsidRPr="008B2117">
        <w:t>el EDG</w:t>
      </w:r>
      <w:r w:rsidRPr="008B2117">
        <w:t>-</w:t>
      </w:r>
      <w:r w:rsidR="004C2CB2">
        <w:t>VPR</w:t>
      </w:r>
      <w:r w:rsidR="006E2D32" w:rsidRPr="008B2117">
        <w:t>; (ii</w:t>
      </w:r>
      <w:r w:rsidR="00787CC4" w:rsidRPr="008B2117">
        <w:t>i</w:t>
      </w:r>
      <w:r w:rsidR="006E2D32" w:rsidRPr="008B2117">
        <w:t xml:space="preserve">) </w:t>
      </w:r>
      <w:r w:rsidR="00E61965" w:rsidRPr="008B2117">
        <w:t>Los procedimientos de las fases precontractual y contractual tendrán en consideración las políticas del Banco y lo dispuesto en la LOSNCP y su reglamento</w:t>
      </w:r>
      <w:r w:rsidR="006E2D32" w:rsidRPr="008B2117">
        <w:t>; (i</w:t>
      </w:r>
      <w:r w:rsidR="00787CC4" w:rsidRPr="008B2117">
        <w:t>v</w:t>
      </w:r>
      <w:r w:rsidR="006E2D32" w:rsidRPr="008B2117">
        <w:t xml:space="preserve">) </w:t>
      </w:r>
      <w:r w:rsidR="00E61965" w:rsidRPr="008B2117">
        <w:t>En todos los Comités de calificación y/o selección de propuestas deberá participar el coordinador del EDG</w:t>
      </w:r>
      <w:r w:rsidR="006E2D32" w:rsidRPr="008B2117">
        <w:t>-</w:t>
      </w:r>
      <w:r w:rsidR="004C2CB2">
        <w:t>VPR</w:t>
      </w:r>
      <w:r w:rsidR="00E61965" w:rsidRPr="008B2117">
        <w:t>, un delegado del área técnica o administrativa correspondiente y los invitados técnicos cuando correspondan</w:t>
      </w:r>
      <w:r w:rsidR="006E2D32" w:rsidRPr="008B2117">
        <w:t xml:space="preserve">; (v) </w:t>
      </w:r>
      <w:r w:rsidR="00787CC4" w:rsidRPr="008B2117">
        <w:t>p</w:t>
      </w:r>
      <w:r w:rsidR="00E61965" w:rsidRPr="008B2117">
        <w:t>ara la fase contractual o de ejecución, los administradores de contrato serán designados por la máxima autoridad o su delegado y deberán ser parte del área responsable de la ejecución de la contratación respectiva.</w:t>
      </w:r>
      <w:r w:rsidR="00787CC4" w:rsidRPr="008B2117">
        <w:t xml:space="preserve"> (vi) e</w:t>
      </w:r>
      <w:r w:rsidR="00E61965" w:rsidRPr="008B2117">
        <w:t>l EDG</w:t>
      </w:r>
      <w:r w:rsidR="006E2D32" w:rsidRPr="008B2117">
        <w:t>-</w:t>
      </w:r>
      <w:r w:rsidR="004C2CB2">
        <w:t>VPR</w:t>
      </w:r>
      <w:r w:rsidR="00E61965" w:rsidRPr="008B2117">
        <w:t>, hará el monitoreo y seguimiento de la ejecución de las contrataciones</w:t>
      </w:r>
      <w:r w:rsidR="00787CC4" w:rsidRPr="008B2117">
        <w:t xml:space="preserve">; (vii) </w:t>
      </w:r>
      <w:r w:rsidR="00787CC4" w:rsidRPr="00CE556A">
        <w:t>l</w:t>
      </w:r>
      <w:r w:rsidR="00E61965" w:rsidRPr="00CE556A">
        <w:t xml:space="preserve">os administradores de contrato serán quienes aprueben </w:t>
      </w:r>
      <w:r w:rsidR="00787CC4" w:rsidRPr="00CE556A">
        <w:t xml:space="preserve">que </w:t>
      </w:r>
      <w:r w:rsidR="00E61965" w:rsidRPr="00CE556A">
        <w:t>la entrega recepción del objeto de las contrataciones cumplan con las especificaciones, características establecidas en los DEL o TDR y demás estipulaciones convenidas en los respectivos contratos</w:t>
      </w:r>
      <w:r w:rsidR="003F05F3" w:rsidRPr="008B2117">
        <w:t>; (viii) El EDG-</w:t>
      </w:r>
      <w:r w:rsidR="00D07FD5">
        <w:t>VPR</w:t>
      </w:r>
      <w:r w:rsidR="003F05F3" w:rsidRPr="008B2117">
        <w:t xml:space="preserve"> </w:t>
      </w:r>
      <w:r w:rsidR="00E61965" w:rsidRPr="008B2117">
        <w:t xml:space="preserve">deberá reportar al EDG-MEF todas sus actividades dentro de los plazos y en los formatos establecidos por el EDG-MEF, con la finalidad de realizar la consolidación y elaboración de los informes y herramientas de gestión respectivas establecidas en el ROP y las solicitadas por el Banco. </w:t>
      </w:r>
    </w:p>
    <w:p w14:paraId="1D952C7B" w14:textId="070C1CF9" w:rsidR="005C2B77" w:rsidRDefault="00017B85" w:rsidP="009B54B5">
      <w:pPr>
        <w:pStyle w:val="Estilo1"/>
      </w:pPr>
      <w:r w:rsidRPr="00017B85">
        <w:rPr>
          <w:b/>
          <w:bCs/>
          <w:u w:val="single"/>
        </w:rPr>
        <w:t>Criterios adicionales</w:t>
      </w:r>
      <w:r w:rsidR="00D07FD5">
        <w:rPr>
          <w:b/>
          <w:bCs/>
          <w:u w:val="single"/>
        </w:rPr>
        <w:t xml:space="preserve">. </w:t>
      </w:r>
      <w:r w:rsidR="0027724A">
        <w:t>La ejecución de las actividades relacionadas con el C</w:t>
      </w:r>
      <w:r w:rsidR="00D07FD5">
        <w:t>CE</w:t>
      </w:r>
      <w:r w:rsidR="0027724A">
        <w:t>, se ajustará</w:t>
      </w:r>
      <w:r w:rsidR="00BB6D5D">
        <w:t>n</w:t>
      </w:r>
      <w:r w:rsidR="0027724A">
        <w:t xml:space="preserve"> a las definiciones relaciona</w:t>
      </w:r>
      <w:r w:rsidR="00034B9C">
        <w:t>da</w:t>
      </w:r>
      <w:r w:rsidR="0027724A">
        <w:t xml:space="preserve">s con la estructura y funciones establecidas en el decreto de su </w:t>
      </w:r>
      <w:r w:rsidR="0027724A" w:rsidRPr="0027724A">
        <w:t>creación</w:t>
      </w:r>
      <w:r w:rsidR="00DF54D4">
        <w:rPr>
          <w:rStyle w:val="FootnoteReference"/>
        </w:rPr>
        <w:footnoteReference w:id="54"/>
      </w:r>
      <w:r w:rsidR="0027724A" w:rsidRPr="0027724A">
        <w:t xml:space="preserve"> </w:t>
      </w:r>
      <w:r w:rsidR="0027724A">
        <w:t xml:space="preserve">y a lo siguiente: (i) El </w:t>
      </w:r>
      <w:r w:rsidR="005C2B77">
        <w:t>C</w:t>
      </w:r>
      <w:r w:rsidR="00D07FD5">
        <w:t>CE</w:t>
      </w:r>
      <w:r w:rsidR="005C2B77">
        <w:t xml:space="preserve"> </w:t>
      </w:r>
      <w:r w:rsidR="005C2B77" w:rsidRPr="005C2B77">
        <w:t xml:space="preserve">es un órgano promotor de la competitividad </w:t>
      </w:r>
      <w:r w:rsidR="005C2B77">
        <w:t>que tiene por objetivo promover y facilitar la competitividad del país con un enfoque de desarrollo sostenible a través de: (</w:t>
      </w:r>
      <w:r w:rsidR="0027724A">
        <w:t>a</w:t>
      </w:r>
      <w:r w:rsidR="005C2B77">
        <w:t>) la elaboración y validación de una estrategia de competitividad y desarrollo sostenible de largo plazo para el Ecuador; (</w:t>
      </w:r>
      <w:r w:rsidR="0027724A">
        <w:t>b</w:t>
      </w:r>
      <w:r w:rsidR="005C2B77">
        <w:t>) el desarrollo y articulación de políticas públicas en materia de competitividad y desarrollo sostenible; (</w:t>
      </w:r>
      <w:r w:rsidR="0027724A">
        <w:t>c</w:t>
      </w:r>
      <w:r w:rsidR="005C2B77">
        <w:t>) el diálogo y la articulación de actores públicos, privados, académicos y sociales para facilitar la implementación de programas de apoyo a la competitividad; (</w:t>
      </w:r>
      <w:r w:rsidR="0027724A">
        <w:t>d</w:t>
      </w:r>
      <w:r w:rsidR="005C2B77">
        <w:t>) el seguimiento y evaluación de los avances del país en materia de competitividad</w:t>
      </w:r>
      <w:r w:rsidR="005C2B77" w:rsidRPr="005C2B77">
        <w:t>.</w:t>
      </w:r>
      <w:r w:rsidR="003C3EB6">
        <w:t xml:space="preserve"> </w:t>
      </w:r>
    </w:p>
    <w:p w14:paraId="1C62797F" w14:textId="5DAD7A6A" w:rsidR="003C3EB6" w:rsidRDefault="003C3EB6" w:rsidP="009B54B5">
      <w:pPr>
        <w:pStyle w:val="Estilo1"/>
      </w:pPr>
      <w:r>
        <w:rPr>
          <w:b/>
          <w:bCs/>
          <w:u w:val="single"/>
        </w:rPr>
        <w:t>Beneficiarios y transferencia de recursos.</w:t>
      </w:r>
      <w:r>
        <w:t xml:space="preserve"> </w:t>
      </w:r>
      <w:r w:rsidR="00BB6D5D">
        <w:t xml:space="preserve"> </w:t>
      </w:r>
      <w:r>
        <w:t xml:space="preserve">En caso de existir entidades beneficiarias de la ejecución de actividades del </w:t>
      </w:r>
      <w:r w:rsidRPr="008B27A1">
        <w:rPr>
          <w:u w:val="single"/>
        </w:rPr>
        <w:t>Componente</w:t>
      </w:r>
      <w:r>
        <w:rPr>
          <w:u w:val="single"/>
        </w:rPr>
        <w:t xml:space="preserve"> 1</w:t>
      </w:r>
      <w:r w:rsidRPr="008B27A1">
        <w:rPr>
          <w:u w:val="single"/>
        </w:rPr>
        <w:t xml:space="preserve"> “</w:t>
      </w:r>
      <w:r w:rsidRPr="00444FAA">
        <w:rPr>
          <w:u w:val="single"/>
        </w:rPr>
        <w:t>Fortalecimiento de la gobernanza para la competitividad e innovación</w:t>
      </w:r>
      <w:r w:rsidRPr="008B27A1">
        <w:rPr>
          <w:u w:val="single"/>
        </w:rPr>
        <w:t>”</w:t>
      </w:r>
      <w:r>
        <w:t xml:space="preserve">, suscribirán </w:t>
      </w:r>
      <w:r w:rsidRPr="00143B3A">
        <w:t xml:space="preserve">convenios interinstitucionales específicos </w:t>
      </w:r>
      <w:r>
        <w:t xml:space="preserve">los cuales </w:t>
      </w:r>
      <w:r w:rsidRPr="00143B3A">
        <w:lastRenderedPageBreak/>
        <w:t xml:space="preserve">contendrán los mecanismos </w:t>
      </w:r>
      <w:r>
        <w:t xml:space="preserve">para la transferencia de los bienes y servicios contratados o adquiridos por la VPR, </w:t>
      </w:r>
      <w:r w:rsidRPr="00143B3A">
        <w:t>a las entidades beneficiarias de dichas actividades</w:t>
      </w:r>
      <w:r>
        <w:t>, y actuarán de acuerdo a lo establecido para los beneficiarios mediante los convenios interinstitucionales específicos en (¶</w:t>
      </w:r>
      <w:r>
        <w:fldChar w:fldCharType="begin"/>
      </w:r>
      <w:r>
        <w:instrText xml:space="preserve"> REF _Ref12890444 \r \h </w:instrText>
      </w:r>
      <w:r>
        <w:fldChar w:fldCharType="separate"/>
      </w:r>
      <w:r w:rsidR="003538B4">
        <w:t>3.19</w:t>
      </w:r>
      <w:r>
        <w:fldChar w:fldCharType="end"/>
      </w:r>
      <w:r>
        <w:t xml:space="preserve">) del presente ROP. </w:t>
      </w:r>
    </w:p>
    <w:p w14:paraId="29CB747E" w14:textId="6FAF3B6D" w:rsidR="00A13EEB" w:rsidRDefault="007B77AC" w:rsidP="00A13EEB">
      <w:pPr>
        <w:pStyle w:val="Heading2"/>
      </w:pPr>
      <w:bookmarkStart w:id="104" w:name="_Toc23797323"/>
      <w:r>
        <w:t xml:space="preserve">Las </w:t>
      </w:r>
      <w:r w:rsidR="00264121" w:rsidRPr="007B77AC">
        <w:t>Mesas</w:t>
      </w:r>
      <w:r w:rsidR="007E3994">
        <w:t xml:space="preserve"> Ejecutivas para Resolver Obstáculos</w:t>
      </w:r>
      <w:r>
        <w:t xml:space="preserve"> al </w:t>
      </w:r>
      <w:r w:rsidR="00A13EEB">
        <w:t>S</w:t>
      </w:r>
      <w:r>
        <w:t xml:space="preserve">ector </w:t>
      </w:r>
      <w:r w:rsidR="00A13EEB">
        <w:t>P</w:t>
      </w:r>
      <w:r>
        <w:t>rivado</w:t>
      </w:r>
      <w:bookmarkEnd w:id="104"/>
      <w:r w:rsidR="00A13EEB">
        <w:t xml:space="preserve"> </w:t>
      </w:r>
    </w:p>
    <w:p w14:paraId="7E74D486" w14:textId="0F295779" w:rsidR="00132F1F" w:rsidRPr="007B77AC" w:rsidRDefault="007B77AC" w:rsidP="009B54B5">
      <w:pPr>
        <w:pStyle w:val="Estilo1"/>
      </w:pPr>
      <w:r w:rsidRPr="007B77AC">
        <w:t xml:space="preserve">Las </w:t>
      </w:r>
      <w:r w:rsidR="00A13EEB" w:rsidRPr="00A13EEB">
        <w:t>Mesas Ejecutivas para Resolver Obstáculos al Sector Privado</w:t>
      </w:r>
      <w:r w:rsidR="00A13EEB">
        <w:t xml:space="preserve"> </w:t>
      </w:r>
      <w:r w:rsidRPr="007B77AC">
        <w:t xml:space="preserve">“MERO” son un instrumento de coordinación público-público, privada-privada, y público-privada que tiene el objetivo de resolver problemas de sectores económicos, </w:t>
      </w:r>
      <w:r w:rsidR="00125534" w:rsidRPr="007B77AC">
        <w:t>clústeres</w:t>
      </w:r>
      <w:r w:rsidRPr="007B77AC">
        <w:t xml:space="preserve"> industriales, cadenas de valor, grupos de emprendedores, o incluso de atender temas de carácter transversal con potencial impacto en la competitividad, como, por ejemplo: compras públicas innovadoras, adopción de BIM, acceso a recursos humanos especializados, innovación social, etc.</w:t>
      </w:r>
      <w:r>
        <w:t xml:space="preserve">  </w:t>
      </w:r>
      <w:r w:rsidRPr="00827056">
        <w:rPr>
          <w:rFonts w:eastAsia="Arial" w:cstheme="minorHAnsi"/>
          <w:color w:val="000000"/>
          <w:lang w:val="es-ES_tradnl"/>
        </w:rPr>
        <w:t xml:space="preserve">Las MERO </w:t>
      </w:r>
      <w:r>
        <w:rPr>
          <w:rFonts w:eastAsia="Arial" w:cstheme="minorHAnsi"/>
          <w:color w:val="000000"/>
          <w:lang w:val="es-ES_tradnl"/>
        </w:rPr>
        <w:t>tienen</w:t>
      </w:r>
      <w:r w:rsidRPr="00827056">
        <w:rPr>
          <w:rFonts w:eastAsia="Arial" w:cstheme="minorHAnsi"/>
          <w:color w:val="000000"/>
          <w:lang w:val="es-ES_tradnl"/>
        </w:rPr>
        <w:t xml:space="preserve"> como función coordinar el apoyo de las diversas instituciones públicas en función de problemas específicos identificados por sus beneficiarios</w:t>
      </w:r>
      <w:r>
        <w:rPr>
          <w:rFonts w:eastAsia="Arial" w:cstheme="minorHAnsi"/>
          <w:color w:val="000000"/>
          <w:lang w:val="es-ES_tradnl"/>
        </w:rPr>
        <w:t>, así como facilitar la coordinación entre los privados</w:t>
      </w:r>
      <w:r w:rsidRPr="00827056">
        <w:rPr>
          <w:rFonts w:eastAsia="Arial" w:cstheme="minorHAnsi"/>
          <w:color w:val="000000"/>
          <w:lang w:val="es-ES_tradnl"/>
        </w:rPr>
        <w:t>.</w:t>
      </w:r>
      <w:r>
        <w:rPr>
          <w:rFonts w:eastAsia="Arial" w:cstheme="minorHAnsi"/>
          <w:color w:val="000000"/>
          <w:lang w:val="es-ES_tradnl"/>
        </w:rPr>
        <w:t xml:space="preserve"> Los </w:t>
      </w:r>
      <w:r w:rsidRPr="007B77AC">
        <w:rPr>
          <w:rFonts w:eastAsia="Arial" w:cstheme="minorHAnsi"/>
          <w:color w:val="000000"/>
          <w:lang w:val="es-ES_tradnl"/>
        </w:rPr>
        <w:t>beneficiarios</w:t>
      </w:r>
      <w:r>
        <w:rPr>
          <w:rFonts w:eastAsia="Arial" w:cstheme="minorHAnsi"/>
          <w:color w:val="000000"/>
          <w:lang w:val="es-ES_tradnl"/>
        </w:rPr>
        <w:t xml:space="preserve"> de las MERO son e</w:t>
      </w:r>
      <w:r w:rsidRPr="007B77AC">
        <w:rPr>
          <w:rFonts w:eastAsia="Arial" w:cstheme="minorHAnsi"/>
          <w:color w:val="000000"/>
          <w:lang w:val="es-ES_tradnl"/>
        </w:rPr>
        <w:t>mpresas y emprendedores con sede en el Ecuador.</w:t>
      </w:r>
      <w:r>
        <w:rPr>
          <w:rFonts w:eastAsia="Arial" w:cstheme="minorHAnsi"/>
          <w:color w:val="000000"/>
          <w:lang w:val="es-ES_tradnl"/>
        </w:rPr>
        <w:t xml:space="preserve"> </w:t>
      </w:r>
      <w:r w:rsidR="00E048B0">
        <w:rPr>
          <w:rFonts w:eastAsia="Arial" w:cstheme="minorHAnsi"/>
          <w:color w:val="000000"/>
          <w:lang w:val="es-ES_tradnl"/>
        </w:rPr>
        <w:t xml:space="preserve"> </w:t>
      </w:r>
      <w:r w:rsidR="00E048B0" w:rsidRPr="00E048B0">
        <w:rPr>
          <w:rFonts w:eastAsia="Arial" w:cstheme="minorHAnsi"/>
          <w:color w:val="000000"/>
          <w:lang w:val="es-ES_tradnl"/>
        </w:rPr>
        <w:t>Las MERO se financian con recursos del Programa de Fortalecimiento Institucional para la Competitividad (EC-L1250).</w:t>
      </w:r>
    </w:p>
    <w:p w14:paraId="5DCD4D6F" w14:textId="77777777" w:rsidR="00A13EEB" w:rsidRDefault="007B77AC" w:rsidP="009B54B5">
      <w:pPr>
        <w:pStyle w:val="Estilo1"/>
      </w:pPr>
      <w:r>
        <w:rPr>
          <w:b/>
          <w:bCs/>
          <w:u w:val="single"/>
        </w:rPr>
        <w:t xml:space="preserve">Organización de las </w:t>
      </w:r>
      <w:r w:rsidR="00E12903">
        <w:rPr>
          <w:b/>
          <w:bCs/>
          <w:u w:val="single"/>
        </w:rPr>
        <w:t>MERO.</w:t>
      </w:r>
      <w:r w:rsidR="00E12903">
        <w:t xml:space="preserve"> -</w:t>
      </w:r>
      <w:r>
        <w:t xml:space="preserve"> </w:t>
      </w:r>
      <w:r w:rsidR="00125534">
        <w:t>Se organizarán de la siguiente manera:</w:t>
      </w:r>
    </w:p>
    <w:p w14:paraId="22759AFE" w14:textId="0825DE67" w:rsidR="00A13EEB" w:rsidRDefault="007B77AC" w:rsidP="009B54B5">
      <w:pPr>
        <w:pStyle w:val="numeradorom"/>
        <w:numPr>
          <w:ilvl w:val="2"/>
          <w:numId w:val="55"/>
        </w:numPr>
        <w:rPr>
          <w:lang w:eastAsia="es-ES"/>
        </w:rPr>
      </w:pPr>
      <w:r w:rsidRPr="001C6C91">
        <w:rPr>
          <w:b/>
          <w:bCs/>
          <w:u w:val="single"/>
          <w:lang w:eastAsia="es-ES"/>
        </w:rPr>
        <w:t>Secretaría Técnica</w:t>
      </w:r>
      <w:r w:rsidR="001C6C91">
        <w:rPr>
          <w:b/>
          <w:bCs/>
          <w:u w:val="single"/>
          <w:lang w:eastAsia="es-ES"/>
        </w:rPr>
        <w:t>.</w:t>
      </w:r>
      <w:r w:rsidRPr="007B77AC">
        <w:rPr>
          <w:lang w:eastAsia="es-ES"/>
        </w:rPr>
        <w:t xml:space="preserve"> </w:t>
      </w:r>
      <w:r w:rsidR="001C6C91">
        <w:rPr>
          <w:lang w:eastAsia="es-ES"/>
        </w:rPr>
        <w:t xml:space="preserve"> </w:t>
      </w:r>
      <w:r w:rsidRPr="007B77AC">
        <w:rPr>
          <w:lang w:eastAsia="es-ES"/>
        </w:rPr>
        <w:t>El programa financiará una secretaría técnica de tiempo completo que será la instancia responsable de la ejecución de las MERO. El Programa además financiará a un Responsable Técnico de las MERO que contará con el apoyo de dos técnicos junior a tiempo completo. Para la selección del Responsable Técnico de las MERO la Secretaría Técnica del Programa propondrá una terna a</w:t>
      </w:r>
      <w:r w:rsidR="005E5B6B">
        <w:rPr>
          <w:lang w:eastAsia="es-ES"/>
        </w:rPr>
        <w:t>l CCE</w:t>
      </w:r>
      <w:r w:rsidRPr="007B77AC">
        <w:rPr>
          <w:lang w:eastAsia="es-ES"/>
        </w:rPr>
        <w:t>.</w:t>
      </w:r>
      <w:r w:rsidR="001C6C91">
        <w:rPr>
          <w:lang w:eastAsia="es-ES"/>
        </w:rPr>
        <w:t xml:space="preserve"> </w:t>
      </w:r>
    </w:p>
    <w:p w14:paraId="16A886B5" w14:textId="45F51143" w:rsidR="00A13EEB" w:rsidRPr="001C6C91" w:rsidRDefault="007B77AC" w:rsidP="009B54B5">
      <w:pPr>
        <w:pStyle w:val="numeradorom"/>
        <w:numPr>
          <w:ilvl w:val="2"/>
          <w:numId w:val="55"/>
        </w:numPr>
        <w:rPr>
          <w:b/>
          <w:bCs/>
          <w:u w:val="single"/>
          <w:lang w:eastAsia="es-ES"/>
        </w:rPr>
      </w:pPr>
      <w:r w:rsidRPr="00125534">
        <w:rPr>
          <w:b/>
          <w:bCs/>
          <w:u w:val="single"/>
          <w:lang w:eastAsia="es-ES"/>
        </w:rPr>
        <w:t>Dinamizadores</w:t>
      </w:r>
      <w:r w:rsidR="001C6C91">
        <w:rPr>
          <w:b/>
          <w:bCs/>
          <w:u w:val="single"/>
          <w:lang w:eastAsia="es-ES"/>
        </w:rPr>
        <w:t>.</w:t>
      </w:r>
      <w:r w:rsidR="001C6C91">
        <w:rPr>
          <w:lang w:eastAsia="es-ES"/>
        </w:rPr>
        <w:t xml:space="preserve"> A</w:t>
      </w:r>
      <w:r w:rsidRPr="001C6C91">
        <w:rPr>
          <w:lang w:eastAsia="es-ES"/>
        </w:rPr>
        <w:t xml:space="preserve">dicionalmente, el Responsable Técnico seleccionará para cada MERO dinamizadores neutrales (consultores a tiempo parcial) encargados de atender a cada colectivo de beneficiarios y de asegurar que el diálogo se mantenga activo y constructivo. Adicionalmente podrán contar con asesoría especializada en función de los problemas identificados. Los dinamizadores podrán permanecer o variar en función de las particularidades de cada MERO, y de acuerdo al criterio del Secretario Técnico. El número de dinamizadores por MERO puede ser entre uno y dos, pudiendo trabajar con más de una MERO. Los dinamizadores constituirán un equipo flexible gestionado por la Secretaría Técnica de forma independiente, ante la cual se reportarán. Los dinamizadores no necesariamente tienen que tener conocimiento sectorial, se trata </w:t>
      </w:r>
      <w:r w:rsidR="00125534" w:rsidRPr="001C6C91">
        <w:rPr>
          <w:lang w:eastAsia="es-ES"/>
        </w:rPr>
        <w:t>más</w:t>
      </w:r>
      <w:r w:rsidRPr="001C6C91">
        <w:rPr>
          <w:lang w:eastAsia="es-ES"/>
        </w:rPr>
        <w:t xml:space="preserve"> bien de profesionales con conocimientos de política pública y de negocios, que sean neutrales al colectivo beneficiario.</w:t>
      </w:r>
      <w:r w:rsidRPr="001C6C91">
        <w:rPr>
          <w:b/>
          <w:bCs/>
          <w:u w:val="single"/>
          <w:lang w:eastAsia="es-ES"/>
        </w:rPr>
        <w:t xml:space="preserve"> </w:t>
      </w:r>
    </w:p>
    <w:p w14:paraId="10BEC9C5" w14:textId="35FA77C6" w:rsidR="007B77AC" w:rsidRPr="001C6C91" w:rsidRDefault="00125534" w:rsidP="009B54B5">
      <w:pPr>
        <w:pStyle w:val="numeradorom"/>
        <w:numPr>
          <w:ilvl w:val="2"/>
          <w:numId w:val="55"/>
        </w:numPr>
        <w:rPr>
          <w:b/>
          <w:bCs/>
          <w:u w:val="single"/>
          <w:lang w:eastAsia="es-ES"/>
        </w:rPr>
      </w:pPr>
      <w:r w:rsidRPr="00125534">
        <w:rPr>
          <w:b/>
          <w:bCs/>
          <w:u w:val="single"/>
          <w:lang w:eastAsia="es-ES"/>
        </w:rPr>
        <w:t>Las MERO</w:t>
      </w:r>
      <w:r w:rsidR="001C6C91">
        <w:rPr>
          <w:b/>
          <w:bCs/>
          <w:u w:val="single"/>
          <w:lang w:eastAsia="es-ES"/>
        </w:rPr>
        <w:t>.</w:t>
      </w:r>
      <w:r w:rsidR="001C6C91">
        <w:rPr>
          <w:lang w:eastAsia="es-ES"/>
        </w:rPr>
        <w:t xml:space="preserve">  E</w:t>
      </w:r>
      <w:r w:rsidRPr="001C6C91">
        <w:rPr>
          <w:lang w:eastAsia="es-ES"/>
        </w:rPr>
        <w:t>n cada MERO participarán representantes del: (i) sector privado: serán representantes de asociaciones empresariales con conocimiento directo de la problemática de su respectivo colectivo y con capacidad de diálogo con el sector público; y (ii) sector público: representantes de instituciones vinculadas al colectivo beneficiario, podrán ser miembros permanentes de las mesas u ocasionales según el problema a atender, con conocimiento de gestión pública y con capacidad de diálogo con el sector privado, estos representantes deberán ser identificados por los dinamizadores e invitados a participar por la secretaría técnica. Las MERO no tendrán ningún tipo de formalización, ni contarán con presidente o estatutos. Se trata de un esquema de colaboración ágil que recibirá facilitación profesional.</w:t>
      </w:r>
    </w:p>
    <w:p w14:paraId="1DF450A2" w14:textId="3F83EE46" w:rsidR="00125534" w:rsidRDefault="00E048B0" w:rsidP="009B54B5">
      <w:pPr>
        <w:pStyle w:val="Estilo1"/>
      </w:pPr>
      <w:r>
        <w:rPr>
          <w:b/>
          <w:bCs/>
          <w:u w:val="single"/>
        </w:rPr>
        <w:t>C</w:t>
      </w:r>
      <w:r w:rsidR="00125534" w:rsidRPr="00125534">
        <w:rPr>
          <w:b/>
          <w:bCs/>
          <w:u w:val="single"/>
        </w:rPr>
        <w:t>reación y cesación de las MERO</w:t>
      </w:r>
      <w:r>
        <w:rPr>
          <w:b/>
          <w:bCs/>
          <w:u w:val="single"/>
        </w:rPr>
        <w:t>.</w:t>
      </w:r>
      <w:r w:rsidR="00125534">
        <w:t xml:space="preserve"> </w:t>
      </w:r>
      <w:r>
        <w:t xml:space="preserve">- </w:t>
      </w:r>
      <w:r w:rsidR="00125534">
        <w:t xml:space="preserve">Las MERO serán creadas y cesadas por el </w:t>
      </w:r>
      <w:r w:rsidR="005E5B6B">
        <w:t>CCE</w:t>
      </w:r>
      <w:r w:rsidR="00125534">
        <w:t xml:space="preserve"> de acuerdo a los siguientes criterios: (i) impacto en la competitividad del país; (ii) favorecimiento de actividades de exportación de productos de alto valor agregado; (iii) actividades intensivas en tecnología, como por ejemplo las BIM; (iv) favorecimiento de la inclusión </w:t>
      </w:r>
      <w:r w:rsidR="002D3DE3">
        <w:t>económica social</w:t>
      </w:r>
      <w:r w:rsidR="00125534">
        <w:t>; y (v) coyunturas adversas (por ejemplo, relacionadas a plagas, catástrofes naturales, etc. Se trata de un instrumento dinámico, se espera que el Programa trabajará simultáneamente con al menos dos MERO, pero estás podrán ser creadas y cesadas a lo largo del tiempo.</w:t>
      </w:r>
    </w:p>
    <w:p w14:paraId="0A10D879" w14:textId="176FB412" w:rsidR="00125534" w:rsidRDefault="00125534" w:rsidP="009B54B5">
      <w:pPr>
        <w:pStyle w:val="Estilo1"/>
      </w:pPr>
      <w:r w:rsidRPr="00E048B0">
        <w:rPr>
          <w:b/>
          <w:bCs/>
          <w:u w:val="single"/>
        </w:rPr>
        <w:t>Sobre los rubros financiables.</w:t>
      </w:r>
      <w:r>
        <w:t xml:space="preserve"> </w:t>
      </w:r>
      <w:r w:rsidR="00E048B0">
        <w:t xml:space="preserve">- </w:t>
      </w:r>
      <w:r>
        <w:t>Las MERO podrían financiar los siguientes rubros: (</w:t>
      </w:r>
      <w:r w:rsidR="000B5B40">
        <w:t>i</w:t>
      </w:r>
      <w:r>
        <w:t xml:space="preserve">) espacios para reuniones, gastos de logística, así como computadores portátiles y equipamiento de comunicación para los dinamizadores; (ii) desarrollo de planes de </w:t>
      </w:r>
      <w:r>
        <w:lastRenderedPageBreak/>
        <w:t>competitividad estratégicos; (</w:t>
      </w:r>
      <w:r w:rsidR="000B5B40">
        <w:t>iii</w:t>
      </w:r>
      <w:r>
        <w:t>) actividades de sensibilización, difusión y conocimiento; y (</w:t>
      </w:r>
      <w:r w:rsidR="000B5B40">
        <w:t>iv</w:t>
      </w:r>
      <w:r>
        <w:t xml:space="preserve">) consultoría especializada para problemas específicos de cada MERO. </w:t>
      </w:r>
    </w:p>
    <w:p w14:paraId="092FFB06" w14:textId="7B29F0F3" w:rsidR="00125534" w:rsidRDefault="00125534" w:rsidP="009B54B5">
      <w:pPr>
        <w:pStyle w:val="Estilo1"/>
      </w:pPr>
      <w:r w:rsidRPr="00E048B0">
        <w:rPr>
          <w:b/>
          <w:bCs/>
          <w:u w:val="single"/>
        </w:rPr>
        <w:t>Sobre la metodología de trabajo</w:t>
      </w:r>
      <w:r>
        <w:t>.</w:t>
      </w:r>
      <w:r w:rsidR="00E048B0">
        <w:t xml:space="preserve"> - </w:t>
      </w:r>
      <w:r>
        <w:t>Los dinamizadores recibirán un entrenamiento (con financiamiento del Programa) sobre prácticas para promover una discusión inclusiva y constructiva, dinámicas para generación de confianza entre actores diversos, metodologías para identificación de problemas de la productividad de empresas susceptibles de ser atendidos mediante mejoras de coordinación, metodologías para la búsqueda de soluciones y apropiación por parte de los beneficiarios. Este entrenamiento permitirá homogeneizar criterios y metodologías de trabajo. Al inicio de trabajo de la MERO el dinamizador fijará una ho</w:t>
      </w:r>
      <w:r w:rsidR="00CF5246">
        <w:t>j</w:t>
      </w:r>
      <w:r>
        <w:t>a de ruta referencial que podrá ser actualizada periódicamente.</w:t>
      </w:r>
    </w:p>
    <w:p w14:paraId="2A8EF35F" w14:textId="121936AA" w:rsidR="00125534" w:rsidRDefault="00125534" w:rsidP="009B54B5">
      <w:pPr>
        <w:pStyle w:val="Estilo1"/>
      </w:pPr>
      <w:r w:rsidRPr="00E048B0">
        <w:rPr>
          <w:b/>
          <w:bCs/>
          <w:u w:val="single"/>
        </w:rPr>
        <w:t>Sobre las reuniones de las MERO</w:t>
      </w:r>
      <w:r>
        <w:t xml:space="preserve">. </w:t>
      </w:r>
      <w:r w:rsidR="00E048B0">
        <w:t xml:space="preserve">- </w:t>
      </w:r>
      <w:r>
        <w:t xml:space="preserve">Todos los integrantes de las MERO se reunirán periódicamente entre 1 y 2 ocasiones por mes según la necesidad identificada por el dinamizador. Los dinamizadores podrán convocar a reuniones extraordinarias con un subgrupo de los integrantes de la MERO en función de las singularidades del problema a atender. Al final de cada reunión cada dinamizador deberá preparar una ayuda memoria, con definición de avances en la hoja de ruta, próximos pasos, tiempos y responsabilidades. </w:t>
      </w:r>
      <w:r w:rsidR="00E048B0">
        <w:t xml:space="preserve"> </w:t>
      </w:r>
      <w:r>
        <w:t>La secretaría técnica sostendrá reuniones quincenales con los dinamizadores de todas las MERO para intercambiar experiencias y documentar lecciones aprendidas.</w:t>
      </w:r>
    </w:p>
    <w:p w14:paraId="6A9E813B" w14:textId="4488797A" w:rsidR="00125534" w:rsidRDefault="00E048B0" w:rsidP="009B54B5">
      <w:pPr>
        <w:pStyle w:val="Estilo1"/>
      </w:pPr>
      <w:r w:rsidRPr="00AC6AFC">
        <w:rPr>
          <w:b/>
          <w:bCs/>
          <w:u w:val="single"/>
        </w:rPr>
        <w:t>Coordinación de las MERO con las mesas del MIPRO</w:t>
      </w:r>
      <w:r w:rsidRPr="00E048B0">
        <w:rPr>
          <w:b/>
          <w:bCs/>
          <w:u w:val="single"/>
        </w:rPr>
        <w:t>.</w:t>
      </w:r>
      <w:r>
        <w:t xml:space="preserve"> – El </w:t>
      </w:r>
      <w:r w:rsidRPr="00E048B0">
        <w:t>MIPRO tiene 19 mesas trabajando en los sectores de agroindustria e industria que siguen la misma lógica de las MERO en cuanto a enfocarse en problemas cuya solución requiere coordinación público-público, privado-privado y público-privado. El MIPRO podrá someter al secretario del Programa</w:t>
      </w:r>
      <w:r w:rsidR="00D46970">
        <w:t xml:space="preserve"> (MERO)</w:t>
      </w:r>
      <w:r w:rsidRPr="00E048B0">
        <w:t xml:space="preserve"> mesas para recibir apoyo. Se aplicarán los mismos criterios descritos en este Reglamento en cuanto a su creación y disolución, así como a sus rubros financiables. El Programa mantendrá la responsabilidad del monitoreo de las mesas del MIPRO que reciban su apoyo.</w:t>
      </w:r>
    </w:p>
    <w:p w14:paraId="42A905DA" w14:textId="54090CCB" w:rsidR="00D46970" w:rsidRDefault="00E12903" w:rsidP="009B54B5">
      <w:pPr>
        <w:pStyle w:val="Estilo1"/>
      </w:pPr>
      <w:r w:rsidRPr="00E12903">
        <w:rPr>
          <w:b/>
          <w:bCs/>
          <w:u w:val="single"/>
        </w:rPr>
        <w:t>Monitore</w:t>
      </w:r>
      <w:r>
        <w:rPr>
          <w:b/>
          <w:bCs/>
          <w:u w:val="single"/>
        </w:rPr>
        <w:t>o</w:t>
      </w:r>
      <w:r w:rsidRPr="00E12903">
        <w:rPr>
          <w:b/>
          <w:bCs/>
          <w:u w:val="single"/>
        </w:rPr>
        <w:t xml:space="preserve"> del impacto del trabajo de las MERO</w:t>
      </w:r>
      <w:r>
        <w:t xml:space="preserve">. - </w:t>
      </w:r>
      <w:r w:rsidRPr="00E12903">
        <w:t xml:space="preserve">El Programa contará con acciones de monitoreo, así como una evaluación intermedia y otra final. Adicionalmente, antes de la cesación de cada MERO la Secretaría Técnica deberá conducir encuesta/entrevistas de satisfacción de los beneficiarios, así como evaluaciones por parte de ellos a los dinamizadores. Adicionalmente, el </w:t>
      </w:r>
      <w:r w:rsidR="005E5B6B">
        <w:t>CCE</w:t>
      </w:r>
      <w:r w:rsidRPr="00E12903">
        <w:t xml:space="preserve"> podrá contratar, a su discreción y con cargo a recursos del Programa, una evaluación del desempeño de la Secretaría Técnica.</w:t>
      </w:r>
    </w:p>
    <w:p w14:paraId="4BCE20F0" w14:textId="5D5372B1" w:rsidR="00A13EEB" w:rsidRPr="00A13EEB" w:rsidRDefault="00A13EEB" w:rsidP="000B5B40">
      <w:pPr>
        <w:pStyle w:val="Heading2"/>
      </w:pPr>
      <w:bookmarkStart w:id="105" w:name="_Toc23797324"/>
      <w:r w:rsidRPr="00A13EEB">
        <w:t>Instrumentos de innovación</w:t>
      </w:r>
      <w:r>
        <w:t>. -</w:t>
      </w:r>
      <w:bookmarkEnd w:id="105"/>
      <w:r>
        <w:t xml:space="preserve"> </w:t>
      </w:r>
    </w:p>
    <w:p w14:paraId="1623348A" w14:textId="77777777" w:rsidR="00DB1479" w:rsidRDefault="000B5B40" w:rsidP="009B54B5">
      <w:pPr>
        <w:pStyle w:val="Estilo1"/>
      </w:pPr>
      <w:r>
        <w:t xml:space="preserve">Los instrumentos de innovación que se han considerado para en la ejecución del </w:t>
      </w:r>
      <w:r w:rsidR="008A3B95" w:rsidRPr="00F66187">
        <w:t>Componente 1 “Fortalecimiento de la gobernanza para la competitividad e innovación”</w:t>
      </w:r>
      <w:r w:rsidR="008A3B95">
        <w:t xml:space="preserve"> son: (i) a</w:t>
      </w:r>
      <w:r w:rsidR="008A3B95" w:rsidRPr="008A3B95">
        <w:t>portes no reembolsables de apoyo a la innovación empresarial</w:t>
      </w:r>
      <w:r w:rsidR="008A3B95">
        <w:t>; (ii) a</w:t>
      </w:r>
      <w:r w:rsidR="008A3B95" w:rsidRPr="008A3B95">
        <w:t>portes no reembolsables de apoyo al emprendimiento</w:t>
      </w:r>
      <w:r w:rsidR="008A3B95">
        <w:t xml:space="preserve">; (iii) </w:t>
      </w:r>
      <w:bookmarkStart w:id="106" w:name="_Hlk17636789"/>
      <w:r w:rsidR="00557493">
        <w:t>m</w:t>
      </w:r>
      <w:r w:rsidR="00557493" w:rsidRPr="00557493">
        <w:t>isiones tecnológicas para la innovación</w:t>
      </w:r>
      <w:bookmarkEnd w:id="106"/>
      <w:r w:rsidR="00557493">
        <w:t xml:space="preserve">; (iv) </w:t>
      </w:r>
      <w:r w:rsidR="00DB1479">
        <w:t>a</w:t>
      </w:r>
      <w:r w:rsidR="00557493" w:rsidRPr="00557493">
        <w:t>portes no reembolsables de apoyo a agentes intermediarios del ecosistema</w:t>
      </w:r>
      <w:r w:rsidR="00DB1479">
        <w:t>; y (v) f</w:t>
      </w:r>
      <w:r w:rsidR="00DB1479" w:rsidRPr="00DB1479">
        <w:t>inanciamiento de programas de formación</w:t>
      </w:r>
      <w:r w:rsidR="00DB1479">
        <w:t>.</w:t>
      </w:r>
    </w:p>
    <w:p w14:paraId="5105026C" w14:textId="287468B9" w:rsidR="00DB1479" w:rsidRDefault="00DB1479" w:rsidP="009B54B5">
      <w:pPr>
        <w:pStyle w:val="Estilo1"/>
      </w:pPr>
      <w:bookmarkStart w:id="107" w:name="_Ref17638992"/>
      <w:r w:rsidRPr="00EF2021">
        <w:rPr>
          <w:b/>
          <w:bCs/>
          <w:u w:val="single"/>
        </w:rPr>
        <w:t>Aportes no reembolsables de apoyo a la innovación empresarial.</w:t>
      </w:r>
      <w:r>
        <w:t xml:space="preserve"> - </w:t>
      </w:r>
      <w:r w:rsidRPr="00DB1479">
        <w:t xml:space="preserve"> </w:t>
      </w:r>
      <w:r>
        <w:t>Comprende el cofinanciamiento no reembolsable para empresas en actividades de innovación vinculadas con: (i) partidas asociadas al acceso y adquisición de conocimientos, métodos, componentes y tecnologías a ser modificados en el subproyecto; (ii) equipos de pruebas, prototipos y ensayos o de laboratorio, necesarios para el desarrollo del subproyecto; (iii) materiales e insumos necesarios para el desarrollo del subproyecto; (iv) material bibliográfico y software relacionados con el subproyecto; (v) recursos humanos especializados, internos y externos a la empresa, asociados a las actividades de innovación propuestas; (vi) honorarios para asesorías especializadas necesarias para el desarrollo del subproyecto; (vii) pasajes y viáticos relacionados con el desarrollo del subproyecto; (viii) adaptaciones físicas menores y/o medidas de protección ambiental y laboral asociadas al subproyecto; (ix) adecuación y adaptación de instalaciones necesarias para el desarrollo del subproyecto; (x) pago de derechos de propiedad intelectual; (xi) actividades de evaluación de estrategias de propiedad intelectual; (xii) subcontratos asociados a las actividades de innovación propuestas; y (xiii) Gastos de desaduanaje e IGV (financiable con la contrapartida nacional)."</w:t>
      </w:r>
      <w:r w:rsidR="00EF2021">
        <w:t xml:space="preserve">  </w:t>
      </w:r>
      <w:r w:rsidR="00E875D5" w:rsidRPr="00EF2021">
        <w:rPr>
          <w:u w:val="single"/>
        </w:rPr>
        <w:t xml:space="preserve">Cantidad de </w:t>
      </w:r>
      <w:r w:rsidR="00E875D5" w:rsidRPr="00EF2021">
        <w:rPr>
          <w:u w:val="single"/>
        </w:rPr>
        <w:lastRenderedPageBreak/>
        <w:t>Proyectos, montos y períodos de ejecución</w:t>
      </w:r>
      <w:r w:rsidR="00E875D5" w:rsidRPr="00E875D5">
        <w:t xml:space="preserve">. </w:t>
      </w:r>
      <w:r w:rsidR="00E875D5">
        <w:t>–</w:t>
      </w:r>
      <w:r w:rsidR="00E875D5" w:rsidRPr="00E875D5">
        <w:t xml:space="preserve"> </w:t>
      </w:r>
      <w:r w:rsidR="00E875D5">
        <w:t>En esta modalidad se espera cubrir 15 proyectos de innovación empresarial de h</w:t>
      </w:r>
      <w:r w:rsidR="00E875D5" w:rsidRPr="00E875D5">
        <w:t>asta USD60</w:t>
      </w:r>
      <w:r w:rsidR="00EF2021">
        <w:t>.</w:t>
      </w:r>
      <w:r w:rsidR="00E875D5" w:rsidRPr="00E875D5">
        <w:t xml:space="preserve">000 </w:t>
      </w:r>
      <w:r w:rsidR="00E875D5">
        <w:t xml:space="preserve">por proyecto, </w:t>
      </w:r>
      <w:r w:rsidR="00E875D5" w:rsidRPr="00E875D5">
        <w:t xml:space="preserve">con un </w:t>
      </w:r>
      <w:r w:rsidR="00E875D5">
        <w:t xml:space="preserve">porcentaje </w:t>
      </w:r>
      <w:r w:rsidR="00E875D5" w:rsidRPr="00E875D5">
        <w:t xml:space="preserve">de subsidio de hasta el 70%. </w:t>
      </w:r>
      <w:r w:rsidR="00E875D5">
        <w:t>Un p</w:t>
      </w:r>
      <w:r w:rsidR="00E875D5" w:rsidRPr="00E875D5">
        <w:t>er</w:t>
      </w:r>
      <w:r w:rsidR="00E875D5">
        <w:t>í</w:t>
      </w:r>
      <w:r w:rsidR="00E875D5" w:rsidRPr="00E875D5">
        <w:t>odo de ejecución de 2 años (más 3 meses adicionales para el cierre de proyectos)</w:t>
      </w:r>
      <w:r w:rsidR="00E875D5">
        <w:t>.</w:t>
      </w:r>
      <w:bookmarkEnd w:id="107"/>
    </w:p>
    <w:p w14:paraId="36D0C264" w14:textId="4AF3FDE9" w:rsidR="00EF2021" w:rsidRPr="00B16ED0" w:rsidRDefault="00A055A4" w:rsidP="009B54B5">
      <w:pPr>
        <w:pStyle w:val="Estilo1"/>
      </w:pPr>
      <w:bookmarkStart w:id="108" w:name="_Ref17639000"/>
      <w:r w:rsidRPr="00B16ED0">
        <w:rPr>
          <w:b/>
          <w:bCs/>
          <w:u w:val="single"/>
        </w:rPr>
        <w:t>Aportes no reembolsables de apoyo al emprendimiento</w:t>
      </w:r>
      <w:r w:rsidRPr="00B16ED0">
        <w:t xml:space="preserve">. – </w:t>
      </w:r>
      <w:r w:rsidR="00B16ED0" w:rsidRPr="00B16ED0">
        <w:t xml:space="preserve">Comprende el cofinanciamiento no reembolsable para startups en actividades vinculadas con: (i) actividades para el testeo preliminar y la validación comercial de la idea; (ii) acciones iniciales de protección de la propiedad intelectual; (iii) actividades de levantamiento de información de mercado; y (iv) otras asociadas a la formulación y evaluación de los modelos de negocio de los emprendimientos. </w:t>
      </w:r>
      <w:r w:rsidR="00B16ED0" w:rsidRPr="00B16ED0">
        <w:rPr>
          <w:u w:val="single"/>
        </w:rPr>
        <w:t>Cantidad de Proyectos, montos y períodos de ejecución</w:t>
      </w:r>
      <w:r w:rsidR="00B16ED0" w:rsidRPr="00B16ED0">
        <w:t xml:space="preserve">. – En esta modalidad se espera cubrir 20 proyectos de </w:t>
      </w:r>
      <w:r w:rsidR="00BA0E20">
        <w:t>h</w:t>
      </w:r>
      <w:r w:rsidR="00B16ED0" w:rsidRPr="00B16ED0">
        <w:t>asta USD</w:t>
      </w:r>
      <w:r w:rsidR="00BA0E20">
        <w:t xml:space="preserve"> </w:t>
      </w:r>
      <w:r w:rsidR="00B16ED0" w:rsidRPr="00B16ED0">
        <w:t>20</w:t>
      </w:r>
      <w:r w:rsidR="00BA0E20">
        <w:t>.</w:t>
      </w:r>
      <w:r w:rsidR="00B16ED0" w:rsidRPr="00B16ED0">
        <w:t>000 por proyecto, con un porcentaje de subsidio de hasta 70%. Periodo de ejecución de 1 año (más 3 meses adicionales para el cierre de proyectos).</w:t>
      </w:r>
      <w:bookmarkEnd w:id="108"/>
    </w:p>
    <w:p w14:paraId="10B2CF8B" w14:textId="1216824A" w:rsidR="00EF2021" w:rsidRPr="00FD62A3" w:rsidRDefault="00B16ED0" w:rsidP="009B54B5">
      <w:pPr>
        <w:pStyle w:val="Estilo1"/>
      </w:pPr>
      <w:bookmarkStart w:id="109" w:name="_Ref17639003"/>
      <w:r w:rsidRPr="00FD62A3">
        <w:rPr>
          <w:b/>
          <w:bCs/>
          <w:u w:val="single"/>
        </w:rPr>
        <w:t>Misiones tecnológicas para la innovación</w:t>
      </w:r>
      <w:r w:rsidRPr="00FD62A3">
        <w:t xml:space="preserve">. – Comprende el cofinanciamiento para financiar misiones tecnológicas de empresas, grupos de empresas, emprendedores u otros actores del ecosistema para conocer experiencias internacionales respecto a últimos desarrollos tecnológicos y de innovación. Serían financiables actividades tales como: (i) gastos de viajes; (ii) servicios de traducción; (iii) servicios logísticos adicionales vinculadas a la misión; (iv) cuotas de entrada a eventos tecnológicos complementarios a las visitas. </w:t>
      </w:r>
      <w:r w:rsidRPr="00FD62A3">
        <w:rPr>
          <w:u w:val="single"/>
        </w:rPr>
        <w:t>Cantidad de Proyectos, montos y períodos de ejecución</w:t>
      </w:r>
      <w:r w:rsidRPr="00FD62A3">
        <w:t xml:space="preserve">. – En esta modalidad se espera cubrir </w:t>
      </w:r>
      <w:r w:rsidR="00FD62A3" w:rsidRPr="00FD62A3">
        <w:t>15</w:t>
      </w:r>
      <w:r w:rsidRPr="00FD62A3">
        <w:t xml:space="preserve"> actividades de hasta USD15.000, con un porcentaje de subsidio de hasta el </w:t>
      </w:r>
      <w:r w:rsidR="00FD62A3" w:rsidRPr="00FD62A3">
        <w:t>50</w:t>
      </w:r>
      <w:r w:rsidRPr="00FD62A3">
        <w:t xml:space="preserve">%. Un período de ejecución de </w:t>
      </w:r>
      <w:r w:rsidR="00FD62A3" w:rsidRPr="00FD62A3">
        <w:t>6 meses</w:t>
      </w:r>
      <w:r w:rsidRPr="00FD62A3">
        <w:t xml:space="preserve"> (más </w:t>
      </w:r>
      <w:r w:rsidR="00FD62A3" w:rsidRPr="00FD62A3">
        <w:t>1</w:t>
      </w:r>
      <w:r w:rsidRPr="00FD62A3">
        <w:t xml:space="preserve"> meses adicional</w:t>
      </w:r>
      <w:r w:rsidR="00FD62A3" w:rsidRPr="00FD62A3">
        <w:t xml:space="preserve"> </w:t>
      </w:r>
      <w:r w:rsidRPr="00FD62A3">
        <w:t>para el cierre</w:t>
      </w:r>
      <w:r w:rsidR="00FD62A3" w:rsidRPr="00FD62A3">
        <w:t xml:space="preserve"> de proyectos</w:t>
      </w:r>
      <w:r w:rsidRPr="00FD62A3">
        <w:t>).</w:t>
      </w:r>
      <w:bookmarkEnd w:id="109"/>
      <w:r w:rsidRPr="00FD62A3">
        <w:t xml:space="preserve"> </w:t>
      </w:r>
    </w:p>
    <w:p w14:paraId="2E1B889E" w14:textId="1B14D80B" w:rsidR="00FD62A3" w:rsidRPr="00B16ED0" w:rsidRDefault="00FD62A3" w:rsidP="009B54B5">
      <w:pPr>
        <w:pStyle w:val="Estilo1"/>
      </w:pPr>
      <w:bookmarkStart w:id="110" w:name="_Ref17639005"/>
      <w:r w:rsidRPr="00BA0E20">
        <w:rPr>
          <w:b/>
          <w:bCs/>
          <w:u w:val="single"/>
        </w:rPr>
        <w:t>Aportes no reembolsables de apoyo a agentes intermediarios del ecosistema</w:t>
      </w:r>
      <w:r w:rsidRPr="00B16ED0">
        <w:t xml:space="preserve">. – Comprende el cofinanciamiento </w:t>
      </w:r>
      <w:r>
        <w:t>no reembolsable para fortalecimiento de incubadoras, aceleradoras y otros agentes intermediarios del ecosistema en actividades vinculadas con: (i) recursos humanos especializados, internos y externos, asociados a las actividades y funciones de apoyo recurrentes, honorarios para asesorías especializadas necesarias para el desarrollo del subproyecto;</w:t>
      </w:r>
      <w:r w:rsidR="00BA0E20">
        <w:t xml:space="preserve"> (ii) p</w:t>
      </w:r>
      <w:r>
        <w:t>asajes y viáticos relacionados con el desarrollo del subproyecto;</w:t>
      </w:r>
      <w:r w:rsidR="00BA0E20">
        <w:t xml:space="preserve"> (iii) ga</w:t>
      </w:r>
      <w:r>
        <w:t>stos asociados a la prestación de servicios especializados a emprendedores tales como evaluación y formulación de subproyectos, coaching, mentoring, articulación con potenciales inversionistas, etc.);</w:t>
      </w:r>
      <w:r w:rsidR="00BA0E20">
        <w:t xml:space="preserve"> (</w:t>
      </w:r>
      <w:r>
        <w:t>iv</w:t>
      </w:r>
      <w:r w:rsidR="00BA0E20">
        <w:t>) c</w:t>
      </w:r>
      <w:r>
        <w:t>apacitación del staff permanente de la incubadora;</w:t>
      </w:r>
      <w:r w:rsidR="00BA0E20">
        <w:t xml:space="preserve"> (v) a</w:t>
      </w:r>
      <w:r>
        <w:t>condicionamiento de espacios para albergar emprendedores y mobiliario menor;</w:t>
      </w:r>
      <w:r w:rsidR="00BA0E20">
        <w:t xml:space="preserve"> (</w:t>
      </w:r>
      <w:r>
        <w:t>vi</w:t>
      </w:r>
      <w:r w:rsidR="00BA0E20">
        <w:t>)</w:t>
      </w:r>
      <w:r>
        <w:t xml:space="preserve"> </w:t>
      </w:r>
      <w:r w:rsidR="00BA0E20">
        <w:t>a</w:t>
      </w:r>
      <w:r>
        <w:t>ctividades y eventos para la selección, presentación y graduación de emprendedores;</w:t>
      </w:r>
      <w:r w:rsidR="00BA0E20">
        <w:t xml:space="preserve"> (</w:t>
      </w:r>
      <w:r>
        <w:t>vii</w:t>
      </w:r>
      <w:r w:rsidR="00BA0E20">
        <w:t>)</w:t>
      </w:r>
      <w:r>
        <w:t xml:space="preserve"> </w:t>
      </w:r>
      <w:r w:rsidR="00BA0E20">
        <w:t>p</w:t>
      </w:r>
      <w:r>
        <w:t>asantías internacionales en incubadoras de amplia trayectoria;</w:t>
      </w:r>
      <w:r w:rsidR="00BA0E20">
        <w:t xml:space="preserve"> (</w:t>
      </w:r>
      <w:r>
        <w:t>viii</w:t>
      </w:r>
      <w:r w:rsidR="00BA0E20">
        <w:t>) m</w:t>
      </w:r>
      <w:r>
        <w:t>ateriales e insumos directamente asociados al subproyecto.</w:t>
      </w:r>
      <w:r w:rsidRPr="00B16ED0">
        <w:t xml:space="preserve">. </w:t>
      </w:r>
      <w:r w:rsidRPr="00BA0E20">
        <w:rPr>
          <w:u w:val="single"/>
        </w:rPr>
        <w:t>Cantidad de Proyectos, montos y períodos de ejecución</w:t>
      </w:r>
      <w:r w:rsidRPr="00B16ED0">
        <w:t xml:space="preserve">. – En esta modalidad se espera cubrir </w:t>
      </w:r>
      <w:r w:rsidR="00BA0E20">
        <w:t>4</w:t>
      </w:r>
      <w:r w:rsidRPr="00B16ED0">
        <w:t xml:space="preserve"> proyectos de </w:t>
      </w:r>
      <w:r w:rsidR="00BA0E20">
        <w:t>h</w:t>
      </w:r>
      <w:r w:rsidRPr="00B16ED0">
        <w:t>asta USD</w:t>
      </w:r>
      <w:r w:rsidR="00BA0E20">
        <w:t xml:space="preserve"> 150.000</w:t>
      </w:r>
      <w:r w:rsidRPr="00B16ED0">
        <w:t xml:space="preserve"> por proyecto, con un porcentaje de subsidio de hasta 70%. Periodo de ejecución de </w:t>
      </w:r>
      <w:r w:rsidR="00BA0E20">
        <w:t>2</w:t>
      </w:r>
      <w:r w:rsidRPr="00B16ED0">
        <w:t xml:space="preserve"> año</w:t>
      </w:r>
      <w:r w:rsidR="00BA0E20">
        <w:t>s</w:t>
      </w:r>
      <w:r w:rsidRPr="00B16ED0">
        <w:t xml:space="preserve"> (más 3 meses adicionales para el cierre de proyectos).</w:t>
      </w:r>
      <w:bookmarkEnd w:id="110"/>
    </w:p>
    <w:p w14:paraId="61541AA9" w14:textId="23E52F5C" w:rsidR="00455A4A" w:rsidRPr="00FD62A3" w:rsidRDefault="00455A4A" w:rsidP="009B54B5">
      <w:pPr>
        <w:pStyle w:val="Estilo1"/>
      </w:pPr>
      <w:bookmarkStart w:id="111" w:name="_Ref17639007"/>
      <w:r>
        <w:rPr>
          <w:b/>
          <w:bCs/>
          <w:u w:val="single"/>
        </w:rPr>
        <w:t>F</w:t>
      </w:r>
      <w:r w:rsidRPr="00455A4A">
        <w:rPr>
          <w:b/>
          <w:bCs/>
          <w:u w:val="single"/>
        </w:rPr>
        <w:t>inanciamiento de programas de formación</w:t>
      </w:r>
      <w:r w:rsidRPr="00FD62A3">
        <w:t xml:space="preserve">. – Comprende el cofinanciamiento </w:t>
      </w:r>
      <w:r>
        <w:t>para el desarrollo de cursos de formación de corto plazo en materia de innovación, habilidades digitales, entre otros. Se financiarían la creación y fortalecimiento de programas: (i) desarrollo curricular; (ii) entrenamiento de capacitadores y docentes; (iii) becas y subvenciones para alumnos o entidades; (iv) desarrollo de materiales para de apoyo, incluyendo desarrollo de plataformas virtuales; (v) gastos de logística de organización de las actividades formativas; (vi) apoyo en evaluación de candidatos para los cursos y otros apoyos técnicos para el diseño e implementación de los cursos.</w:t>
      </w:r>
      <w:r w:rsidRPr="00FD62A3">
        <w:t xml:space="preserve"> </w:t>
      </w:r>
      <w:r w:rsidRPr="00455A4A">
        <w:rPr>
          <w:u w:val="single"/>
        </w:rPr>
        <w:t>Cantidad de Proyectos, montos y períodos de ejecución</w:t>
      </w:r>
      <w:r w:rsidRPr="00FD62A3">
        <w:t xml:space="preserve">. – En esta modalidad se espera cubrir </w:t>
      </w:r>
      <w:r>
        <w:t>4</w:t>
      </w:r>
      <w:r w:rsidRPr="00FD62A3">
        <w:t xml:space="preserve"> actividades de hasta USD</w:t>
      </w:r>
      <w:r>
        <w:t xml:space="preserve"> 100</w:t>
      </w:r>
      <w:r w:rsidRPr="00FD62A3">
        <w:t xml:space="preserve">.000, con un porcentaje de subsidio de hasta el </w:t>
      </w:r>
      <w:r>
        <w:t>70</w:t>
      </w:r>
      <w:r w:rsidRPr="00FD62A3">
        <w:t xml:space="preserve">%. Un período de ejecución de </w:t>
      </w:r>
      <w:r>
        <w:t>1 año</w:t>
      </w:r>
      <w:r w:rsidRPr="00FD62A3">
        <w:t xml:space="preserve"> (más </w:t>
      </w:r>
      <w:r>
        <w:t>3</w:t>
      </w:r>
      <w:r w:rsidRPr="00FD62A3">
        <w:t xml:space="preserve"> meses adicional</w:t>
      </w:r>
      <w:r>
        <w:t>es</w:t>
      </w:r>
      <w:r w:rsidRPr="00FD62A3">
        <w:t xml:space="preserve"> para el cierre de proyectos).</w:t>
      </w:r>
      <w:bookmarkEnd w:id="111"/>
      <w:r w:rsidRPr="00FD62A3">
        <w:t xml:space="preserve"> </w:t>
      </w:r>
    </w:p>
    <w:p w14:paraId="749BF8FC" w14:textId="7647F4EB" w:rsidR="00A13EEB" w:rsidRDefault="00A13EEB" w:rsidP="009B54B5">
      <w:pPr>
        <w:pStyle w:val="Estilo1"/>
      </w:pPr>
      <w:r w:rsidRPr="00A150B2">
        <w:rPr>
          <w:b/>
          <w:bCs/>
          <w:u w:val="single"/>
        </w:rPr>
        <w:t>Reglamento</w:t>
      </w:r>
      <w:r w:rsidR="00FD62A3" w:rsidRPr="00A150B2">
        <w:rPr>
          <w:b/>
          <w:bCs/>
          <w:u w:val="single"/>
        </w:rPr>
        <w:t xml:space="preserve">s para la </w:t>
      </w:r>
      <w:r w:rsidRPr="00A150B2">
        <w:rPr>
          <w:b/>
          <w:bCs/>
          <w:u w:val="single"/>
        </w:rPr>
        <w:t>operación de los instrumentos de innovación</w:t>
      </w:r>
      <w:r>
        <w:t>. -  Para cada instrumento de innovación, que se financie con recursos del Programa, se emitirán reglamentos</w:t>
      </w:r>
      <w:r w:rsidR="006A21CB">
        <w:t xml:space="preserve"> específicos </w:t>
      </w:r>
      <w:r w:rsidR="00A150B2">
        <w:t xml:space="preserve">para la </w:t>
      </w:r>
      <w:r>
        <w:t>operación</w:t>
      </w:r>
      <w:r w:rsidR="006A21CB">
        <w:t xml:space="preserve"> de cada instrumento</w:t>
      </w:r>
      <w:r>
        <w:t xml:space="preserve">, que deberán contar con la No Objeción del Banco y ser suscritos por la máxima autoridad del </w:t>
      </w:r>
      <w:r w:rsidR="005E5B6B">
        <w:t>CCE</w:t>
      </w:r>
      <w:r>
        <w:t>.</w:t>
      </w:r>
      <w:r w:rsidR="00A150B2">
        <w:t xml:space="preserve"> Dichos reglamentos </w:t>
      </w:r>
      <w:r w:rsidR="006A21CB">
        <w:t>deberán contender al menos: (i) sus objetivos específicos (descritos en</w:t>
      </w:r>
      <w:r w:rsidR="00273E51">
        <w:t xml:space="preserve"> ¶</w:t>
      </w:r>
      <w:r w:rsidR="00273E51">
        <w:fldChar w:fldCharType="begin"/>
      </w:r>
      <w:r w:rsidR="00273E51">
        <w:instrText xml:space="preserve"> REF _Ref17639000 \n \h </w:instrText>
      </w:r>
      <w:r w:rsidR="00273E51">
        <w:fldChar w:fldCharType="separate"/>
      </w:r>
      <w:r w:rsidR="003538B4">
        <w:t>6.21</w:t>
      </w:r>
      <w:r w:rsidR="00273E51">
        <w:fldChar w:fldCharType="end"/>
      </w:r>
      <w:r w:rsidR="00273E51">
        <w:t>, ¶</w:t>
      </w:r>
      <w:r w:rsidR="00273E51">
        <w:fldChar w:fldCharType="begin"/>
      </w:r>
      <w:r w:rsidR="00273E51">
        <w:instrText xml:space="preserve"> REF _Ref17639003 \n \h </w:instrText>
      </w:r>
      <w:r w:rsidR="00273E51">
        <w:fldChar w:fldCharType="separate"/>
      </w:r>
      <w:r w:rsidR="003538B4">
        <w:t>6.22</w:t>
      </w:r>
      <w:r w:rsidR="00273E51">
        <w:fldChar w:fldCharType="end"/>
      </w:r>
      <w:r w:rsidR="00273E51">
        <w:t>, ¶</w:t>
      </w:r>
      <w:r w:rsidR="00273E51">
        <w:fldChar w:fldCharType="begin"/>
      </w:r>
      <w:r w:rsidR="00273E51">
        <w:instrText xml:space="preserve"> REF _Ref17639005 \n \h </w:instrText>
      </w:r>
      <w:r w:rsidR="00273E51">
        <w:fldChar w:fldCharType="separate"/>
      </w:r>
      <w:r w:rsidR="003538B4">
        <w:t>6.23</w:t>
      </w:r>
      <w:r w:rsidR="00273E51">
        <w:fldChar w:fldCharType="end"/>
      </w:r>
      <w:r w:rsidR="00273E51">
        <w:t>,  ¶</w:t>
      </w:r>
      <w:r w:rsidR="00273E51">
        <w:fldChar w:fldCharType="begin"/>
      </w:r>
      <w:r w:rsidR="00273E51">
        <w:instrText xml:space="preserve"> REF _Ref17639007 \n \h </w:instrText>
      </w:r>
      <w:r w:rsidR="00273E51">
        <w:fldChar w:fldCharType="separate"/>
      </w:r>
      <w:r w:rsidR="003538B4">
        <w:t>6.24</w:t>
      </w:r>
      <w:r w:rsidR="00273E51">
        <w:fldChar w:fldCharType="end"/>
      </w:r>
      <w:r w:rsidR="00235BC0">
        <w:t>, y ¶</w:t>
      </w:r>
      <w:r w:rsidR="00235BC0">
        <w:fldChar w:fldCharType="begin"/>
      </w:r>
      <w:r w:rsidR="00235BC0">
        <w:instrText xml:space="preserve"> REF _Ref17639007 \r \h </w:instrText>
      </w:r>
      <w:r w:rsidR="00235BC0">
        <w:fldChar w:fldCharType="separate"/>
      </w:r>
      <w:r w:rsidR="003538B4">
        <w:t>6.24</w:t>
      </w:r>
      <w:r w:rsidR="00235BC0">
        <w:fldChar w:fldCharType="end"/>
      </w:r>
      <w:r w:rsidR="006A21CB">
        <w:t>); (</w:t>
      </w:r>
      <w:proofErr w:type="spellStart"/>
      <w:r w:rsidR="006A21CB">
        <w:t>ii</w:t>
      </w:r>
      <w:proofErr w:type="spellEnd"/>
      <w:r w:rsidR="006A21CB">
        <w:t>) la b</w:t>
      </w:r>
      <w:r w:rsidR="006A21CB" w:rsidRPr="006A21CB">
        <w:t>ase legal</w:t>
      </w:r>
      <w:r w:rsidR="006A21CB">
        <w:t xml:space="preserve"> para su funcionamiento; (iii) el </w:t>
      </w:r>
      <w:r w:rsidR="006A21CB" w:rsidRPr="006A21CB">
        <w:t>proceso</w:t>
      </w:r>
      <w:r w:rsidR="006A21CB">
        <w:t xml:space="preserve"> </w:t>
      </w:r>
      <w:r w:rsidR="006A21CB" w:rsidRPr="006A21CB">
        <w:t>de establecimiento y manejo de dichos fondos</w:t>
      </w:r>
      <w:r w:rsidR="006A21CB">
        <w:t xml:space="preserve">; (iv) </w:t>
      </w:r>
      <w:r w:rsidR="006A21CB" w:rsidRPr="006A21CB">
        <w:t>reglas de funcionamiento</w:t>
      </w:r>
      <w:r w:rsidR="006A21CB">
        <w:t xml:space="preserve"> (</w:t>
      </w:r>
      <w:r w:rsidR="006A21CB" w:rsidRPr="006A21CB">
        <w:t>procesos y etapas, postulantes y requerimientos</w:t>
      </w:r>
      <w:r w:rsidR="006A21CB">
        <w:t xml:space="preserve">); (v) </w:t>
      </w:r>
      <w:r w:rsidR="006A21CB" w:rsidRPr="006A21CB">
        <w:t>criterios de elegibilidad</w:t>
      </w:r>
      <w:r w:rsidR="006A21CB">
        <w:t xml:space="preserve">; (vi) </w:t>
      </w:r>
      <w:r w:rsidR="006A21CB" w:rsidRPr="006A21CB">
        <w:t>sistema de selección</w:t>
      </w:r>
      <w:r w:rsidR="006A21CB">
        <w:t xml:space="preserve">; y (vi) </w:t>
      </w:r>
      <w:r w:rsidR="006A21CB" w:rsidRPr="006A21CB">
        <w:t>cronogramas</w:t>
      </w:r>
      <w:r w:rsidR="006A21CB">
        <w:t xml:space="preserve">. </w:t>
      </w:r>
      <w:r>
        <w:lastRenderedPageBreak/>
        <w:t>Estos reglamentos de operación pasarán a formar parte del presente ROP. Cualquier modificación a los reglamentos de operación de los instrumentos de operación, seguirán los procedimientos de modificación del ROP establecidos en el “literal C. Vigencia y Modificaciones” de la sección 1. “Objetivo y alcance del ROP”.</w:t>
      </w:r>
      <w:r w:rsidR="00A150B2">
        <w:t xml:space="preserve"> </w:t>
      </w:r>
    </w:p>
    <w:p w14:paraId="0864DF45" w14:textId="75270657" w:rsidR="001F29D4" w:rsidRDefault="00545760" w:rsidP="00A94976">
      <w:pPr>
        <w:pStyle w:val="Heading2"/>
      </w:pPr>
      <w:bookmarkStart w:id="112" w:name="_Toc23797325"/>
      <w:r w:rsidRPr="00545760">
        <w:t>A</w:t>
      </w:r>
      <w:r w:rsidR="00BD3C06">
        <w:t xml:space="preserve">spectos particulares </w:t>
      </w:r>
      <w:r w:rsidR="001F29D4">
        <w:t>para la ejecución a cargo de</w:t>
      </w:r>
      <w:r w:rsidR="002539C6">
        <w:t xml:space="preserve"> la S</w:t>
      </w:r>
      <w:r w:rsidR="00B15495">
        <w:t>GP</w:t>
      </w:r>
      <w:bookmarkEnd w:id="112"/>
    </w:p>
    <w:p w14:paraId="30B1570B" w14:textId="2C431C59" w:rsidR="002539C6" w:rsidRDefault="002539C6" w:rsidP="009B54B5">
      <w:pPr>
        <w:pStyle w:val="Estilo1"/>
      </w:pPr>
      <w:r w:rsidRPr="00A94976">
        <w:rPr>
          <w:b/>
          <w:bCs/>
          <w:u w:val="single"/>
        </w:rPr>
        <w:t>Mecanismo de Ejecución</w:t>
      </w:r>
      <w:r>
        <w:t xml:space="preserve">. -  </w:t>
      </w:r>
      <w:r w:rsidRPr="00F66187">
        <w:t xml:space="preserve">La </w:t>
      </w:r>
      <w:r w:rsidR="003F2193">
        <w:t>SGP</w:t>
      </w:r>
      <w:r w:rsidRPr="00F66187">
        <w:t xml:space="preserve"> en calidad de OSE ejecutará las actividades del Programa, que le sean delegadas</w:t>
      </w:r>
      <w:r w:rsidR="003F2193">
        <w:t xml:space="preserve">.  </w:t>
      </w:r>
      <w:r w:rsidRPr="00F66187">
        <w:t xml:space="preserve">Las actividades del Programa que se ejecutarán bajo responsabilidad de la </w:t>
      </w:r>
      <w:r w:rsidR="003F2193">
        <w:t>SGP s</w:t>
      </w:r>
      <w:r w:rsidRPr="00F66187">
        <w:t>erán: (i) todas las actividades del Componente</w:t>
      </w:r>
      <w:r w:rsidR="003F2193">
        <w:t xml:space="preserve"> 2</w:t>
      </w:r>
      <w:r w:rsidR="005348A9">
        <w:t xml:space="preserve"> “</w:t>
      </w:r>
      <w:r w:rsidR="005348A9" w:rsidRPr="005348A9">
        <w:t>Mejora de la calidad regulatoria y transparencia del ambiente de negocios</w:t>
      </w:r>
      <w:r w:rsidR="005348A9">
        <w:t>”</w:t>
      </w:r>
      <w:r w:rsidRPr="00F66187">
        <w:t>;</w:t>
      </w:r>
      <w:r w:rsidR="003F2193">
        <w:t xml:space="preserve"> (ii) todas las actividades del Componente 4</w:t>
      </w:r>
      <w:r w:rsidR="005348A9">
        <w:t xml:space="preserve"> “</w:t>
      </w:r>
      <w:r w:rsidR="005348A9" w:rsidRPr="005348A9">
        <w:t>Mejora en la entrega de servicios a empresas y ciudadanos</w:t>
      </w:r>
      <w:r w:rsidR="005348A9">
        <w:t>”</w:t>
      </w:r>
      <w:r w:rsidR="004F4E49">
        <w:t>; (iii) En el componente 4. El producto 4.1. “</w:t>
      </w:r>
      <w:r w:rsidR="004F4E49" w:rsidRPr="004F4E49">
        <w:t>Fortalecimiento de la Plataforma Ruter (Portal de Servicios del Estado)</w:t>
      </w:r>
      <w:r w:rsidR="004F4E49">
        <w:t>”</w:t>
      </w:r>
      <w:r w:rsidR="004F4E49" w:rsidRPr="004F4E49">
        <w:t xml:space="preserve"> </w:t>
      </w:r>
      <w:r w:rsidR="004F4E49">
        <w:t xml:space="preserve">será ejecutado directamente por el MINTEL; sin </w:t>
      </w:r>
      <w:r w:rsidR="003608E9">
        <w:t>embargo,</w:t>
      </w:r>
      <w:r w:rsidR="004F4E49">
        <w:t xml:space="preserve"> la responsabilidad de la ejecución será de la SGP</w:t>
      </w:r>
      <w:r w:rsidR="003F2193">
        <w:t>;</w:t>
      </w:r>
      <w:r w:rsidR="004F4E49">
        <w:t xml:space="preserve"> y, </w:t>
      </w:r>
      <w:r w:rsidRPr="00F66187">
        <w:t>(i</w:t>
      </w:r>
      <w:r w:rsidR="004F4E49">
        <w:t>v</w:t>
      </w:r>
      <w:r w:rsidRPr="00F66187">
        <w:t>) el financiamiento del Equipo de Gestión (EDG-S</w:t>
      </w:r>
      <w:r w:rsidR="003F2193">
        <w:t>GP</w:t>
      </w:r>
      <w:r w:rsidRPr="00F66187">
        <w:t xml:space="preserve">).  La </w:t>
      </w:r>
      <w:r w:rsidR="003F2193">
        <w:t xml:space="preserve">SGP </w:t>
      </w:r>
      <w:r w:rsidRPr="00F66187">
        <w:t xml:space="preserve">también será responsable de generar la información necesaria que requiera el MEF en calidad de OE del Programa. </w:t>
      </w:r>
    </w:p>
    <w:p w14:paraId="0DEACE38" w14:textId="2CBB706D" w:rsidR="00313B48" w:rsidRDefault="00821438" w:rsidP="009B54B5">
      <w:pPr>
        <w:pStyle w:val="Estilo1"/>
      </w:pPr>
      <w:bookmarkStart w:id="113" w:name="_Ref12890612"/>
      <w:r>
        <w:rPr>
          <w:b/>
          <w:bCs/>
        </w:rPr>
        <w:t>Beneficiarios</w:t>
      </w:r>
      <w:r w:rsidR="000469ED">
        <w:rPr>
          <w:b/>
          <w:bCs/>
        </w:rPr>
        <w:t xml:space="preserve"> y transferencia de recursos</w:t>
      </w:r>
      <w:r>
        <w:rPr>
          <w:b/>
          <w:bCs/>
        </w:rPr>
        <w:t>.</w:t>
      </w:r>
      <w:r>
        <w:t xml:space="preserve"> </w:t>
      </w:r>
      <w:r w:rsidR="003A579D">
        <w:t>–</w:t>
      </w:r>
      <w:r>
        <w:t xml:space="preserve"> </w:t>
      </w:r>
      <w:r w:rsidR="00143B3A">
        <w:t>Las entidades beneficiarias de</w:t>
      </w:r>
      <w:r w:rsidR="002442A8">
        <w:t xml:space="preserve"> la ejecución de actividades del </w:t>
      </w:r>
      <w:r w:rsidR="008B27A1" w:rsidRPr="001C4906">
        <w:rPr>
          <w:u w:val="single"/>
        </w:rPr>
        <w:t>C</w:t>
      </w:r>
      <w:r w:rsidR="00143B3A" w:rsidRPr="001C4906">
        <w:rPr>
          <w:u w:val="single"/>
        </w:rPr>
        <w:t>omponente 2 “Mejora de la calidad regulatoria y transparencia del ambiente de negocios”</w:t>
      </w:r>
      <w:r w:rsidR="00143B3A">
        <w:t xml:space="preserve">, suscribirán </w:t>
      </w:r>
      <w:r w:rsidR="00143B3A" w:rsidRPr="00143B3A">
        <w:t xml:space="preserve">convenios interinstitucionales específicos </w:t>
      </w:r>
      <w:r w:rsidR="00143B3A">
        <w:t xml:space="preserve">los cuales </w:t>
      </w:r>
      <w:r w:rsidR="00143B3A" w:rsidRPr="00143B3A">
        <w:t xml:space="preserve">contendrán los mecanismos </w:t>
      </w:r>
      <w:r w:rsidR="00143B3A">
        <w:t>para la trans</w:t>
      </w:r>
      <w:r w:rsidR="002442A8">
        <w:t xml:space="preserve">ferencia de los bienes y servicios contratados o adquiridos por la SGP, </w:t>
      </w:r>
      <w:r w:rsidR="00143B3A" w:rsidRPr="00143B3A">
        <w:t>a las entidades beneficiarias de dichas actividades</w:t>
      </w:r>
      <w:r w:rsidR="00313B48">
        <w:t>, y actuarán de acuerdo a lo establecido para los beneficiarios mediante los convenios interinstitucionales específicos en (¶</w:t>
      </w:r>
      <w:r w:rsidR="00313B48">
        <w:fldChar w:fldCharType="begin"/>
      </w:r>
      <w:r w:rsidR="00313B48">
        <w:instrText xml:space="preserve"> REF _Ref12890444 \r \h </w:instrText>
      </w:r>
      <w:r w:rsidR="00313B48">
        <w:fldChar w:fldCharType="separate"/>
      </w:r>
      <w:r w:rsidR="003538B4">
        <w:t>3.19</w:t>
      </w:r>
      <w:r w:rsidR="00313B48">
        <w:fldChar w:fldCharType="end"/>
      </w:r>
      <w:r w:rsidR="00313B48">
        <w:t xml:space="preserve">) del presente ROP. </w:t>
      </w:r>
    </w:p>
    <w:bookmarkEnd w:id="113"/>
    <w:p w14:paraId="2D67E4A9" w14:textId="1AD0C265" w:rsidR="002442A8" w:rsidRPr="00F66187" w:rsidRDefault="002442A8" w:rsidP="009B54B5">
      <w:pPr>
        <w:pStyle w:val="Estilo1"/>
      </w:pPr>
      <w:r>
        <w:t xml:space="preserve">Las entidades beneficiarias de la ejecución de actividades del </w:t>
      </w:r>
      <w:r w:rsidR="008B27A1" w:rsidRPr="00C05C00">
        <w:rPr>
          <w:u w:val="single"/>
        </w:rPr>
        <w:t>C</w:t>
      </w:r>
      <w:r w:rsidRPr="00C05C00">
        <w:rPr>
          <w:u w:val="single"/>
        </w:rPr>
        <w:t>omponente 4 “Mejora en la entrega de servicios a empresas y ciudadanos”</w:t>
      </w:r>
      <w:r w:rsidRPr="00F66187">
        <w:t>,</w:t>
      </w:r>
      <w:r>
        <w:t xml:space="preserve"> suscribirán </w:t>
      </w:r>
      <w:r w:rsidRPr="00143B3A">
        <w:t xml:space="preserve">convenios interinstitucionales específicos </w:t>
      </w:r>
      <w:r w:rsidR="008B27A1">
        <w:t>y actuarán de acuerdo a lo establecido para los beneficiarios mediante los convenios interinstitucionales específicos en (¶</w:t>
      </w:r>
      <w:r w:rsidR="008B27A1">
        <w:fldChar w:fldCharType="begin"/>
      </w:r>
      <w:r w:rsidR="008B27A1">
        <w:instrText xml:space="preserve"> REF _Ref12890444 \r \h </w:instrText>
      </w:r>
      <w:r w:rsidR="008B27A1">
        <w:fldChar w:fldCharType="separate"/>
      </w:r>
      <w:r w:rsidR="003538B4">
        <w:t>3.19</w:t>
      </w:r>
      <w:r w:rsidR="008B27A1">
        <w:fldChar w:fldCharType="end"/>
      </w:r>
      <w:r w:rsidR="008B27A1">
        <w:t>) del presente ROP</w:t>
      </w:r>
      <w:r w:rsidR="001C4906">
        <w:t>. En el caso del producto 4.</w:t>
      </w:r>
      <w:bookmarkStart w:id="114" w:name="_Hlk22830173"/>
      <w:r w:rsidR="001C4906">
        <w:t>1 “</w:t>
      </w:r>
      <w:r w:rsidR="001C4906" w:rsidRPr="004F4E49">
        <w:t>Fortalecimiento de la Plataforma Ruter (Portal de Servicios del Estado)</w:t>
      </w:r>
      <w:r w:rsidR="001C4906">
        <w:t>”</w:t>
      </w:r>
      <w:r w:rsidR="002E3429">
        <w:t xml:space="preserve">, </w:t>
      </w:r>
      <w:bookmarkEnd w:id="114"/>
      <w:r w:rsidR="002E3429">
        <w:t>éste</w:t>
      </w:r>
      <w:r w:rsidR="001C4906" w:rsidRPr="004F4E49">
        <w:t xml:space="preserve"> </w:t>
      </w:r>
      <w:r w:rsidR="001C4906">
        <w:t xml:space="preserve">será ejecutado directamente por el MINTEL utilizando el </w:t>
      </w:r>
      <w:r w:rsidR="001C4906" w:rsidRPr="001C4906">
        <w:t>proyecto</w:t>
      </w:r>
      <w:r w:rsidR="001C4906">
        <w:t xml:space="preserve"> de inversión</w:t>
      </w:r>
      <w:r w:rsidR="001C4906" w:rsidRPr="001C4906">
        <w:t xml:space="preserve"> “Provisión de servicios electrónicos para trámites en línea / CUP 175400000.0000.384656”  con la firma de los </w:t>
      </w:r>
      <w:r w:rsidR="001C4906">
        <w:t xml:space="preserve">respectivos </w:t>
      </w:r>
      <w:r w:rsidR="001C4906" w:rsidRPr="001C4906">
        <w:t>convenios interinstitucionales con el MEF y la SGP</w:t>
      </w:r>
      <w:r w:rsidR="002E3429">
        <w:t>, que se detallan en (¶</w:t>
      </w:r>
      <w:r w:rsidR="002E3429">
        <w:fldChar w:fldCharType="begin"/>
      </w:r>
      <w:r w:rsidR="002E3429">
        <w:instrText xml:space="preserve"> REF _Ref12890444 \r \h </w:instrText>
      </w:r>
      <w:r w:rsidR="002E3429">
        <w:fldChar w:fldCharType="separate"/>
      </w:r>
      <w:r w:rsidR="003538B4">
        <w:t>3.19</w:t>
      </w:r>
      <w:r w:rsidR="002E3429">
        <w:fldChar w:fldCharType="end"/>
      </w:r>
      <w:r w:rsidR="002E3429">
        <w:t xml:space="preserve">) del presente ROP, para garantizar la transferencia de recursos y los adecuados canales de información entre el MINTEL, el EDG-SGP (OSE) y el EDG-MEF (OE). </w:t>
      </w:r>
    </w:p>
    <w:p w14:paraId="2403409C" w14:textId="3193AAA0" w:rsidR="002539C6" w:rsidRPr="00E05637" w:rsidRDefault="002539C6" w:rsidP="009B54B5">
      <w:pPr>
        <w:pStyle w:val="Estilo1"/>
      </w:pPr>
      <w:r w:rsidRPr="00E05637">
        <w:rPr>
          <w:b/>
          <w:bCs/>
          <w:u w:val="single"/>
        </w:rPr>
        <w:t>Responsables de la ejecución de productos y actividades. -</w:t>
      </w:r>
      <w:r w:rsidRPr="00E05637">
        <w:t xml:space="preserve"> La ejecución de las actividades de</w:t>
      </w:r>
      <w:r w:rsidR="000469ED">
        <w:t xml:space="preserve"> los componentes 2 y 4</w:t>
      </w:r>
      <w:r w:rsidRPr="00E05637">
        <w:t>, estarán a cargo de las unidades, administrativas y técnicas, requirentes que formen parte de la S</w:t>
      </w:r>
      <w:r w:rsidR="000469ED">
        <w:t>GP</w:t>
      </w:r>
      <w:r w:rsidR="002E3429">
        <w:t xml:space="preserve">, exceptuando los del producto 4.1 que estarán a cargo de </w:t>
      </w:r>
      <w:r w:rsidR="002E3429" w:rsidRPr="00E05637">
        <w:t>las unidades, administrativas y técnicas, requirentes</w:t>
      </w:r>
      <w:r w:rsidR="002E3429">
        <w:t xml:space="preserve"> del MINTEL</w:t>
      </w:r>
      <w:r w:rsidRPr="00E05637">
        <w:t>. La gestión gerencial de</w:t>
      </w:r>
      <w:r w:rsidR="000469ED">
        <w:t xml:space="preserve"> dichos </w:t>
      </w:r>
      <w:r w:rsidRPr="00E05637">
        <w:t>componente</w:t>
      </w:r>
      <w:r w:rsidR="000469ED">
        <w:t>s</w:t>
      </w:r>
      <w:r w:rsidRPr="00E05637">
        <w:t xml:space="preserve"> se apoyará en un Equipo de Gestión (EDG-</w:t>
      </w:r>
      <w:r w:rsidR="000469ED">
        <w:t xml:space="preserve">SGP) </w:t>
      </w:r>
      <w:r w:rsidRPr="00E05637">
        <w:t>que estar</w:t>
      </w:r>
      <w:r w:rsidR="000469ED">
        <w:t>á</w:t>
      </w:r>
      <w:r w:rsidRPr="00E05637">
        <w:t xml:space="preserve"> conformado por un Coordinador General, un especialista de adquisiciones, un especialista de planificación y monitoreo y un especialista financiero. </w:t>
      </w:r>
      <w:r w:rsidR="00345DE1">
        <w:t xml:space="preserve">Las unidades de apoyo de la </w:t>
      </w:r>
      <w:r w:rsidR="000469ED">
        <w:t>SGP</w:t>
      </w:r>
      <w:r w:rsidR="00345DE1">
        <w:t xml:space="preserve"> (planificación, compras públicas, finanzas)</w:t>
      </w:r>
      <w:r>
        <w:t xml:space="preserve"> junto al EDG-</w:t>
      </w:r>
      <w:r w:rsidR="00345DE1">
        <w:t xml:space="preserve">SGP </w:t>
      </w:r>
      <w:r>
        <w:t>se</w:t>
      </w:r>
      <w:r w:rsidR="00345DE1">
        <w:t>rán f</w:t>
      </w:r>
      <w:r>
        <w:t>ortalec</w:t>
      </w:r>
      <w:r w:rsidR="00345DE1">
        <w:t xml:space="preserve">idas </w:t>
      </w:r>
      <w:r>
        <w:t xml:space="preserve">por parte del Banco en las políticas de ejecución de proyectos del </w:t>
      </w:r>
      <w:r w:rsidR="00345DE1">
        <w:t>BID</w:t>
      </w:r>
      <w:r>
        <w:rPr>
          <w:rStyle w:val="FootnoteReference"/>
        </w:rPr>
        <w:footnoteReference w:id="55"/>
      </w:r>
      <w:r>
        <w:t xml:space="preserve">.  </w:t>
      </w:r>
    </w:p>
    <w:p w14:paraId="2BD2756B" w14:textId="0E37CAD8" w:rsidR="002539C6" w:rsidRPr="008B2117" w:rsidRDefault="002539C6" w:rsidP="009B54B5">
      <w:pPr>
        <w:pStyle w:val="Estilo1"/>
      </w:pPr>
      <w:r w:rsidRPr="008B2117">
        <w:rPr>
          <w:b/>
          <w:bCs/>
          <w:u w:val="single"/>
        </w:rPr>
        <w:t>Procedimientos generales de contratación</w:t>
      </w:r>
      <w:r w:rsidRPr="008B2117">
        <w:t xml:space="preserve">. – (i) En la fase de Preparación, la elaboración de estudios técnicos, presupuestos referenciales, preparación de TDR, especificaciones técnicas, las realizarán las áreas técnicas y/o administrativas de la </w:t>
      </w:r>
      <w:r w:rsidR="00345DE1">
        <w:t>SGP o de las entidades beneficiarias según corresponda</w:t>
      </w:r>
      <w:r w:rsidR="00345DE1">
        <w:rPr>
          <w:rStyle w:val="FootnoteReference"/>
        </w:rPr>
        <w:footnoteReference w:id="56"/>
      </w:r>
      <w:r w:rsidR="00345DE1">
        <w:t xml:space="preserve"> y </w:t>
      </w:r>
      <w:r w:rsidRPr="008B2117">
        <w:t>de acuerdo al tipo de contratación que se trate; para el efecto contarán con el apoyo del EDG-S</w:t>
      </w:r>
      <w:r w:rsidR="00345DE1">
        <w:t>GP</w:t>
      </w:r>
      <w:r w:rsidRPr="008B2117">
        <w:t xml:space="preserve">; (ii) los Documentos de Licitación (DEL)  o </w:t>
      </w:r>
      <w:r w:rsidRPr="008B2117">
        <w:lastRenderedPageBreak/>
        <w:t>Solicitudes de Propuestas serán realizadas por el EA del EDG-S</w:t>
      </w:r>
      <w:r w:rsidR="004D688B">
        <w:t>GP</w:t>
      </w:r>
      <w:r w:rsidR="00663208">
        <w:rPr>
          <w:rStyle w:val="FootnoteReference"/>
        </w:rPr>
        <w:footnoteReference w:id="57"/>
      </w:r>
      <w:r w:rsidRPr="008B2117">
        <w:t>; (iii) Los procedimientos de las fases precontractual y contractual tendrán en consideración las políticas del Banco</w:t>
      </w:r>
      <w:r w:rsidR="004D688B">
        <w:t xml:space="preserve">, lo establecido en los convenios interinstitucionales específicos </w:t>
      </w:r>
      <w:r w:rsidR="00787ECA">
        <w:t>que correspondan</w:t>
      </w:r>
      <w:r w:rsidR="004D688B">
        <w:t xml:space="preserve"> </w:t>
      </w:r>
      <w:r w:rsidRPr="008B2117">
        <w:t xml:space="preserve">y lo dispuesto en la LOSNCP y su reglamento; (iv) </w:t>
      </w:r>
      <w:r w:rsidR="004D688B">
        <w:t>e</w:t>
      </w:r>
      <w:r w:rsidRPr="008B2117">
        <w:t>n todos los Comités de calificación y/o selección de propuestas deberá participar el coordinador del EDG-S</w:t>
      </w:r>
      <w:r w:rsidR="004D688B">
        <w:t>GP</w:t>
      </w:r>
      <w:r w:rsidRPr="008B2117">
        <w:t xml:space="preserve">, un delegado del área técnica o administrativa correspondiente y los invitados técnicos </w:t>
      </w:r>
      <w:r w:rsidR="004D688B">
        <w:t xml:space="preserve">y tomarán en consideración lo establecido en los convenios específicos interinstitucionales </w:t>
      </w:r>
      <w:r w:rsidR="00787ECA">
        <w:t>que correspondan</w:t>
      </w:r>
      <w:r w:rsidRPr="008B2117">
        <w:t>; (v) para la fase contractual o de ejecución, los administradores de contrato serán designados por la máxima autoridad o su delegado y deberán ser parte del área responsable de la ejecución de la contratación respectiva</w:t>
      </w:r>
      <w:r w:rsidR="00787ECA">
        <w:t xml:space="preserve"> y tomar en consideración lo establecido en los convenios interinstitucionales que correspondan</w:t>
      </w:r>
      <w:r w:rsidRPr="008B2117">
        <w:t>. (vi) el EDG-</w:t>
      </w:r>
      <w:r w:rsidR="00787ECA">
        <w:t>SGP</w:t>
      </w:r>
      <w:r w:rsidRPr="008B2117">
        <w:t>, hará el monitoreo y seguimiento de la ejecución de las contrataciones</w:t>
      </w:r>
      <w:r w:rsidR="00787ECA">
        <w:t xml:space="preserve"> y coordinará la</w:t>
      </w:r>
      <w:r w:rsidR="0056480E">
        <w:t>s</w:t>
      </w:r>
      <w:r w:rsidR="00787ECA">
        <w:t xml:space="preserve"> misma</w:t>
      </w:r>
      <w:r w:rsidR="0056480E">
        <w:t>s</w:t>
      </w:r>
      <w:r w:rsidR="00787ECA">
        <w:t xml:space="preserve"> con las entidades beneficiarias cuando corresponda</w:t>
      </w:r>
      <w:r w:rsidRPr="008B2117">
        <w:t>; (vii) los administradores de contrato</w:t>
      </w:r>
      <w:r w:rsidR="00787ECA">
        <w:t>,</w:t>
      </w:r>
      <w:r w:rsidRPr="008B2117">
        <w:t xml:space="preserve"> serán quienes aprueben que la entrega recepción del objeto de las contrataciones cumplan con las especificaciones, características establecidas en los DEL o TDR y demás estipulaciones convenidas en los respectivos contratos</w:t>
      </w:r>
      <w:r w:rsidR="00787ECA">
        <w:t xml:space="preserve"> y en los convenios interinstitucionales específicos cuando correspondan</w:t>
      </w:r>
      <w:r w:rsidRPr="008B2117">
        <w:t>; (viii) El EDG-S</w:t>
      </w:r>
      <w:r w:rsidR="00787ECA">
        <w:t>GP</w:t>
      </w:r>
      <w:r w:rsidRPr="008B2117">
        <w:t xml:space="preserve"> deberá reportar al EDG-MEF todas sus actividades dentro de los plazos y en los formatos establecidos por el EDG-MEF, con la finalidad de realizar la consolidación y elaboración de los informes y herramientas de gestión respectivas establecidas en el ROP y las solicitadas por el Banco. </w:t>
      </w:r>
    </w:p>
    <w:p w14:paraId="4FB3763D" w14:textId="62A3D16C" w:rsidR="00787ECA" w:rsidRDefault="001F29D4" w:rsidP="009B54B5">
      <w:pPr>
        <w:pStyle w:val="Estilo1"/>
      </w:pPr>
      <w:r w:rsidRPr="009162D1">
        <w:rPr>
          <w:b/>
          <w:bCs/>
        </w:rPr>
        <w:t xml:space="preserve">Aspectos particulares de las contrataciones ejecutadas por </w:t>
      </w:r>
      <w:r w:rsidR="00787ECA" w:rsidRPr="009162D1">
        <w:rPr>
          <w:b/>
          <w:bCs/>
        </w:rPr>
        <w:t xml:space="preserve">la </w:t>
      </w:r>
      <w:r w:rsidR="002D3DE3" w:rsidRPr="009162D1">
        <w:rPr>
          <w:b/>
          <w:bCs/>
        </w:rPr>
        <w:t>SGP.</w:t>
      </w:r>
      <w:r w:rsidR="002D3DE3">
        <w:t xml:space="preserve"> -</w:t>
      </w:r>
      <w:r w:rsidR="00512148">
        <w:t xml:space="preserve"> Para el </w:t>
      </w:r>
      <w:r w:rsidR="00512148" w:rsidRPr="009162D1">
        <w:t>Componente 2 “Mejora de la calidad regulatoria y transparencia del ambiente de negocios”</w:t>
      </w:r>
      <w:r w:rsidR="002D3DE3">
        <w:t>: (</w:t>
      </w:r>
      <w:r w:rsidR="009162D1">
        <w:t xml:space="preserve">i) </w:t>
      </w:r>
      <w:r w:rsidR="00512148">
        <w:t xml:space="preserve">en el producto </w:t>
      </w:r>
      <w:r w:rsidR="009162D1">
        <w:t>“</w:t>
      </w:r>
      <w:r w:rsidR="00512148">
        <w:t xml:space="preserve">2.1. </w:t>
      </w:r>
      <w:r w:rsidR="009162D1">
        <w:t xml:space="preserve">Modelo de gobernanza de la política regulatoria”, se prevé la actividad “2.1.5 Asistencia técnica especializada en temas de mejora regulatoria”, la misma que sería una asistencia técnica con la OCDE a ejecutarse mediante cartas acuerdo para cubrir consultores específicos; (ii) el producto “2.7 </w:t>
      </w:r>
      <w:r w:rsidR="009162D1" w:rsidRPr="009162D1">
        <w:t xml:space="preserve">Customización de la Plataforma </w:t>
      </w:r>
      <w:r w:rsidR="002D3DE3">
        <w:t>G</w:t>
      </w:r>
      <w:r w:rsidR="002D3DE3" w:rsidRPr="009162D1">
        <w:t>eorreferenciada</w:t>
      </w:r>
      <w:r w:rsidR="009162D1" w:rsidRPr="009162D1">
        <w:t xml:space="preserve"> de la Inversión en Obra Pública</w:t>
      </w:r>
      <w:r w:rsidR="009162D1">
        <w:t>” se</w:t>
      </w:r>
      <w:r w:rsidR="00CB4C72">
        <w:t xml:space="preserve">ría una asistencia técnica con el BID mediante cartas acuerdo para cubrir consultores específicos.  </w:t>
      </w:r>
      <w:r w:rsidR="009162D1">
        <w:t xml:space="preserve"> </w:t>
      </w:r>
    </w:p>
    <w:p w14:paraId="13CC2500" w14:textId="3B324D44" w:rsidR="00CB4C72" w:rsidRDefault="00CB4C72" w:rsidP="00CB4C72">
      <w:pPr>
        <w:pStyle w:val="Heading2"/>
      </w:pPr>
      <w:bookmarkStart w:id="115" w:name="_Toc23797326"/>
      <w:r w:rsidRPr="00545760">
        <w:t>A</w:t>
      </w:r>
      <w:r>
        <w:t>spectos particulares para la ejecución a cargo del M</w:t>
      </w:r>
      <w:r w:rsidR="00591FD3">
        <w:t>EF</w:t>
      </w:r>
      <w:bookmarkEnd w:id="115"/>
    </w:p>
    <w:p w14:paraId="19B43137" w14:textId="2FA921D6" w:rsidR="00CB4C72" w:rsidRPr="000054EF" w:rsidRDefault="00CB4C72" w:rsidP="009B54B5">
      <w:pPr>
        <w:pStyle w:val="Estilo1"/>
      </w:pPr>
      <w:r w:rsidRPr="000054EF">
        <w:rPr>
          <w:b/>
          <w:bCs/>
          <w:u w:val="single"/>
        </w:rPr>
        <w:t>Mecanismo de Ejecución</w:t>
      </w:r>
      <w:r w:rsidRPr="000054EF">
        <w:t xml:space="preserve">. -  El MEF </w:t>
      </w:r>
      <w:r w:rsidR="00862E14" w:rsidRPr="000054EF">
        <w:t xml:space="preserve">como </w:t>
      </w:r>
      <w:r w:rsidRPr="000054EF">
        <w:t xml:space="preserve">OE </w:t>
      </w:r>
      <w:r w:rsidR="002B05F1" w:rsidRPr="000054EF">
        <w:t xml:space="preserve">del Programa </w:t>
      </w:r>
      <w:r w:rsidR="00862E14" w:rsidRPr="000054EF">
        <w:t xml:space="preserve">tendrá a su cargo la coordinación general del Programa, así como su administración. </w:t>
      </w:r>
      <w:r w:rsidR="0056480E" w:rsidRPr="000054EF">
        <w:t xml:space="preserve">El MEF será el responsable de la ejecución del componente 3 </w:t>
      </w:r>
      <w:r w:rsidR="00862E14" w:rsidRPr="000054EF">
        <w:t>“Fortalecimiento de la gestión de entidades y activos públicos de apoyo a la competitividad”</w:t>
      </w:r>
      <w:r w:rsidR="0056480E" w:rsidRPr="000054EF">
        <w:t xml:space="preserve">. </w:t>
      </w:r>
      <w:r w:rsidR="00AB4347" w:rsidRPr="000054EF">
        <w:t xml:space="preserve">El MEF también será el responsable de </w:t>
      </w:r>
      <w:r w:rsidR="00862E14" w:rsidRPr="000054EF">
        <w:t xml:space="preserve">la contratación de las auditorías y evaluaciones del Programa; y </w:t>
      </w:r>
      <w:r w:rsidR="00AB4347" w:rsidRPr="000054EF">
        <w:t>de</w:t>
      </w:r>
      <w:r w:rsidR="00862E14" w:rsidRPr="000054EF">
        <w:t xml:space="preserve"> la contratación del EDG-MEF</w:t>
      </w:r>
      <w:r w:rsidR="000054EF" w:rsidRPr="000054EF">
        <w:t xml:space="preserve">. </w:t>
      </w:r>
      <w:r w:rsidR="00A54031" w:rsidRPr="000054EF">
        <w:t>Asimismo,</w:t>
      </w:r>
      <w:r w:rsidR="00AB4347" w:rsidRPr="000054EF">
        <w:t xml:space="preserve"> el EDG-MEF </w:t>
      </w:r>
      <w:r w:rsidRPr="000054EF">
        <w:t xml:space="preserve">será responsable de </w:t>
      </w:r>
      <w:r w:rsidR="00862E14" w:rsidRPr="000054EF">
        <w:t xml:space="preserve">consolidar toda la </w:t>
      </w:r>
      <w:r w:rsidRPr="000054EF">
        <w:t>información</w:t>
      </w:r>
      <w:r w:rsidR="000054EF" w:rsidRPr="000054EF">
        <w:t xml:space="preserve"> del Programa </w:t>
      </w:r>
      <w:r w:rsidR="00862E14" w:rsidRPr="000054EF">
        <w:t>presentada por los OSE del Programa y sus beneficiarios</w:t>
      </w:r>
      <w:r w:rsidRPr="000054EF">
        <w:t xml:space="preserve">. </w:t>
      </w:r>
    </w:p>
    <w:p w14:paraId="3A223108" w14:textId="0166CFAD" w:rsidR="00CB4C72" w:rsidRPr="000054EF" w:rsidRDefault="00CB4C72" w:rsidP="009B54B5">
      <w:pPr>
        <w:pStyle w:val="Estilo1"/>
      </w:pPr>
      <w:r w:rsidRPr="000054EF">
        <w:rPr>
          <w:b/>
          <w:bCs/>
          <w:u w:val="single"/>
        </w:rPr>
        <w:t>Beneficiarios y transferencia de recursos</w:t>
      </w:r>
      <w:r w:rsidRPr="000054EF">
        <w:rPr>
          <w:b/>
          <w:bCs/>
        </w:rPr>
        <w:t>.</w:t>
      </w:r>
      <w:r w:rsidRPr="000054EF">
        <w:t xml:space="preserve"> –</w:t>
      </w:r>
      <w:r w:rsidR="001B5659" w:rsidRPr="000054EF">
        <w:t xml:space="preserve"> </w:t>
      </w:r>
      <w:r w:rsidRPr="000054EF">
        <w:t xml:space="preserve"> Las entidades beneficiarias de la ejecución de actividades del </w:t>
      </w:r>
      <w:r w:rsidR="009423E8" w:rsidRPr="000054EF">
        <w:t>Componente 3 “Fortalecimiento de la gestión de entidades y activos públicos de apoyo a la competitividad”</w:t>
      </w:r>
      <w:r w:rsidRPr="000054EF">
        <w:t xml:space="preserve">, suscribirán </w:t>
      </w:r>
      <w:r w:rsidR="00412B12" w:rsidRPr="000054EF">
        <w:t xml:space="preserve">los </w:t>
      </w:r>
      <w:r w:rsidRPr="000054EF">
        <w:t xml:space="preserve">convenios interinstitucionales </w:t>
      </w:r>
      <w:r w:rsidR="00412B12" w:rsidRPr="000054EF">
        <w:t>necesarios para su ejecución, d</w:t>
      </w:r>
      <w:r w:rsidRPr="000054EF">
        <w:t>e acuerdo a lo establecido en (¶</w:t>
      </w:r>
      <w:r w:rsidRPr="000054EF">
        <w:fldChar w:fldCharType="begin"/>
      </w:r>
      <w:r w:rsidRPr="000054EF">
        <w:instrText xml:space="preserve"> REF _Ref12890444 \r \h </w:instrText>
      </w:r>
      <w:r w:rsidR="001B5659" w:rsidRPr="000054EF">
        <w:instrText xml:space="preserve"> \* MERGEFORMAT </w:instrText>
      </w:r>
      <w:r w:rsidRPr="000054EF">
        <w:fldChar w:fldCharType="separate"/>
      </w:r>
      <w:r w:rsidR="003538B4">
        <w:t>3.19</w:t>
      </w:r>
      <w:r w:rsidRPr="000054EF">
        <w:fldChar w:fldCharType="end"/>
      </w:r>
      <w:r w:rsidRPr="000054EF">
        <w:t>) del presente ROP.</w:t>
      </w:r>
    </w:p>
    <w:p w14:paraId="0ABE543C" w14:textId="7AA40F6A" w:rsidR="009A484A" w:rsidRDefault="00CB4C72" w:rsidP="009B54B5">
      <w:pPr>
        <w:pStyle w:val="Estilo1"/>
      </w:pPr>
      <w:r w:rsidRPr="009852F6">
        <w:rPr>
          <w:b/>
          <w:bCs/>
          <w:u w:val="single"/>
        </w:rPr>
        <w:t>Responsables de la ejecución de productos y actividades</w:t>
      </w:r>
      <w:r w:rsidRPr="00E05637">
        <w:rPr>
          <w:b/>
          <w:bCs/>
        </w:rPr>
        <w:t xml:space="preserve">. </w:t>
      </w:r>
      <w:r w:rsidR="000054EF">
        <w:rPr>
          <w:b/>
          <w:bCs/>
        </w:rPr>
        <w:t>–</w:t>
      </w:r>
      <w:r w:rsidR="00412B12">
        <w:rPr>
          <w:b/>
          <w:bCs/>
        </w:rPr>
        <w:t xml:space="preserve"> </w:t>
      </w:r>
      <w:r w:rsidR="000054EF">
        <w:t>E</w:t>
      </w:r>
      <w:r w:rsidR="00412B12">
        <w:t>l</w:t>
      </w:r>
      <w:r w:rsidR="000054EF">
        <w:t xml:space="preserve"> componente 3 </w:t>
      </w:r>
      <w:r w:rsidR="000054EF" w:rsidRPr="000054EF">
        <w:t>“Fortalecimiento de la gestión de entidades y activos públicos de apoyo a la competitividad”</w:t>
      </w:r>
      <w:r w:rsidR="000054EF">
        <w:t xml:space="preserve"> contiene tres (3) productos. El </w:t>
      </w:r>
      <w:r w:rsidR="00412B12">
        <w:t>MEF</w:t>
      </w:r>
      <w:r w:rsidR="000054EF">
        <w:t>,</w:t>
      </w:r>
      <w:r w:rsidR="00412B12">
        <w:t xml:space="preserve"> ejecutará directamente el producto 3.1. “Estrategia para la mejora del acceso a financiamiento y sostenibilidad de MIPYMEs”</w:t>
      </w:r>
      <w:r w:rsidR="000054EF">
        <w:t xml:space="preserve">. Los </w:t>
      </w:r>
      <w:r w:rsidR="00412B12">
        <w:t>productos 3.2</w:t>
      </w:r>
      <w:r w:rsidR="000054EF">
        <w:t xml:space="preserve"> “</w:t>
      </w:r>
      <w:r w:rsidR="000E35EA" w:rsidRPr="000E35EA">
        <w:t>Planes de Inversión de Reforma Institucional (PIRIs) para fortalecer la capacidad de gestión de los activos públicos, incluyendo su monitoreo y control, para maximizar su contribución a la PTF, implementados</w:t>
      </w:r>
      <w:r w:rsidR="000E35EA">
        <w:t>”</w:t>
      </w:r>
      <w:r w:rsidR="00412B12">
        <w:t xml:space="preserve"> y 3.3 </w:t>
      </w:r>
      <w:r w:rsidR="000E35EA">
        <w:t>“</w:t>
      </w:r>
      <w:r w:rsidR="000E35EA" w:rsidRPr="000E35EA">
        <w:t>PIRIS para el reordenamiento, racionalización y fortalecimiento de agencias públicas que prestan servicios al sector productivo, implementados</w:t>
      </w:r>
      <w:r w:rsidR="000E35EA">
        <w:t xml:space="preserve">”, </w:t>
      </w:r>
      <w:r w:rsidR="00412B12">
        <w:t>serán ejecutados bajo el mecanismo de</w:t>
      </w:r>
      <w:r w:rsidR="000E35EA">
        <w:t xml:space="preserve"> los </w:t>
      </w:r>
      <w:r w:rsidR="00412B12">
        <w:t>PIRI</w:t>
      </w:r>
      <w:r w:rsidR="000E35EA">
        <w:t xml:space="preserve">s directamente por los beneficiarios de los mismos, </w:t>
      </w:r>
      <w:r w:rsidR="000E35EA">
        <w:lastRenderedPageBreak/>
        <w:t xml:space="preserve">bajo la supervisión y coordinación del MEF a través del EDG-MEF. El procedimiento de </w:t>
      </w:r>
      <w:r w:rsidR="00412B12">
        <w:t xml:space="preserve">ejecución </w:t>
      </w:r>
      <w:r w:rsidR="000E35EA">
        <w:t xml:space="preserve">de los PIRIS </w:t>
      </w:r>
      <w:r w:rsidR="00412B12">
        <w:t xml:space="preserve">se detalla </w:t>
      </w:r>
      <w:r w:rsidR="000E35EA">
        <w:t xml:space="preserve">más adelante, </w:t>
      </w:r>
      <w:r w:rsidR="00412B12">
        <w:t>en el presente ROP.</w:t>
      </w:r>
      <w:r w:rsidRPr="00E05637">
        <w:t xml:space="preserve"> </w:t>
      </w:r>
    </w:p>
    <w:p w14:paraId="7337526A" w14:textId="3513D45E" w:rsidR="00CB4C72" w:rsidRPr="00E05637" w:rsidRDefault="00CB4C72" w:rsidP="009B54B5">
      <w:pPr>
        <w:pStyle w:val="Estilo1"/>
      </w:pPr>
      <w:r w:rsidRPr="00BC37A2">
        <w:t>La ejecución de las actividades del</w:t>
      </w:r>
      <w:r w:rsidR="009423E8" w:rsidRPr="00BC37A2">
        <w:t xml:space="preserve"> Componente</w:t>
      </w:r>
      <w:r w:rsidR="009A484A" w:rsidRPr="00BC37A2">
        <w:t xml:space="preserve"> 3</w:t>
      </w:r>
      <w:r w:rsidRPr="00E05637">
        <w:t>, estarán a cargo de las unidades, administrativas y técnicas, requirentes que formen parte de</w:t>
      </w:r>
      <w:r w:rsidR="007D133A">
        <w:t>l MEF</w:t>
      </w:r>
      <w:r w:rsidR="009A484A">
        <w:t xml:space="preserve"> o de las instituciones que ejecuten </w:t>
      </w:r>
      <w:r w:rsidR="000E35EA">
        <w:t xml:space="preserve">los </w:t>
      </w:r>
      <w:r w:rsidR="009A484A">
        <w:t>PIRI</w:t>
      </w:r>
      <w:r w:rsidR="000E35EA">
        <w:t>S</w:t>
      </w:r>
      <w:r w:rsidR="009A484A">
        <w:t xml:space="preserve"> correspondiente</w:t>
      </w:r>
      <w:r w:rsidR="000E35EA">
        <w:t>s</w:t>
      </w:r>
      <w:r w:rsidRPr="00E05637">
        <w:t>. La gestión gerencial de</w:t>
      </w:r>
      <w:r>
        <w:t xml:space="preserve"> dichos </w:t>
      </w:r>
      <w:r w:rsidRPr="00E05637">
        <w:t>componente</w:t>
      </w:r>
      <w:r>
        <w:t>s</w:t>
      </w:r>
      <w:r w:rsidRPr="00E05637">
        <w:t xml:space="preserve"> se apoyará en un Equipo de Gestión (EDG-</w:t>
      </w:r>
      <w:r w:rsidR="007D133A">
        <w:t>MEF</w:t>
      </w:r>
      <w:r>
        <w:t xml:space="preserve">) </w:t>
      </w:r>
      <w:r w:rsidRPr="00E05637">
        <w:t>que estar</w:t>
      </w:r>
      <w:r>
        <w:t>á</w:t>
      </w:r>
      <w:r w:rsidRPr="00E05637">
        <w:t xml:space="preserve"> conformado</w:t>
      </w:r>
      <w:r w:rsidR="007D133A">
        <w:t xml:space="preserve"> al menos</w:t>
      </w:r>
      <w:r w:rsidRPr="00E05637">
        <w:t xml:space="preserve"> por un Coordinador General, un especialista de adquisiciones, un especialista de planificación y monitoreo y un especialista financiero. </w:t>
      </w:r>
      <w:r>
        <w:t>Las unidades de apoyo de</w:t>
      </w:r>
      <w:r w:rsidR="007D133A">
        <w:t>l MEF</w:t>
      </w:r>
      <w:r w:rsidR="009A484A">
        <w:t xml:space="preserve"> y de las entidades que ejecuten los PIRIS</w:t>
      </w:r>
      <w:r w:rsidR="007D133A">
        <w:t xml:space="preserve"> </w:t>
      </w:r>
      <w:r>
        <w:t>(planificación, compras públicas, finanzas) junto al EDG-</w:t>
      </w:r>
      <w:r w:rsidR="007D133A">
        <w:t xml:space="preserve">MEF </w:t>
      </w:r>
      <w:r>
        <w:t>serán fortalecidas por parte del Banco en las políticas de ejecución de proyectos del BID</w:t>
      </w:r>
      <w:r>
        <w:rPr>
          <w:rStyle w:val="FootnoteReference"/>
        </w:rPr>
        <w:footnoteReference w:id="58"/>
      </w:r>
      <w:r>
        <w:t xml:space="preserve">.  </w:t>
      </w:r>
    </w:p>
    <w:p w14:paraId="2C61A658" w14:textId="23B8C223" w:rsidR="00CB4C72" w:rsidRPr="008B2117" w:rsidRDefault="00CB4C72" w:rsidP="009B54B5">
      <w:pPr>
        <w:pStyle w:val="Estilo1"/>
      </w:pPr>
      <w:r w:rsidRPr="008B2117">
        <w:rPr>
          <w:b/>
          <w:bCs/>
          <w:u w:val="single"/>
        </w:rPr>
        <w:t>Procedimientos generales de contratación</w:t>
      </w:r>
      <w:r w:rsidRPr="008B2117">
        <w:t>. – (i) En la fase de Preparación, la elaboración de estudios técnicos, presupuestos referenciales, preparación de TDR, especificaciones técnicas, las realizarán las áreas técnicas y/o administrativas de</w:t>
      </w:r>
      <w:r w:rsidR="007D133A">
        <w:t xml:space="preserve">l MEF </w:t>
      </w:r>
      <w:r>
        <w:t>o de las entidades beneficiarias según corresponda</w:t>
      </w:r>
      <w:r>
        <w:rPr>
          <w:rStyle w:val="FootnoteReference"/>
        </w:rPr>
        <w:footnoteReference w:id="59"/>
      </w:r>
      <w:r>
        <w:t xml:space="preserve"> y </w:t>
      </w:r>
      <w:r w:rsidRPr="008B2117">
        <w:t>de acuerdo al tipo de contratación que se trate; para el efecto contarán con el apoyo del EDG-</w:t>
      </w:r>
      <w:r w:rsidR="0054592A">
        <w:t>MEF</w:t>
      </w:r>
      <w:r w:rsidRPr="008B2117">
        <w:t>; (ii) los Documentos de Licitación (DEL)  o Solicitudes de Propuestas serán realizadas por el EA del EDG-</w:t>
      </w:r>
      <w:r w:rsidR="0090764F">
        <w:t>MEF</w:t>
      </w:r>
      <w:r w:rsidRPr="008B2117">
        <w:t>; (iii) Los procedimientos de las fases precontractual y contractual tendrán en consideración las políticas del Banco</w:t>
      </w:r>
      <w:r>
        <w:t xml:space="preserve">, lo establecido en los convenios interinstitucionales específicos que correspondan </w:t>
      </w:r>
      <w:r w:rsidRPr="008B2117">
        <w:t xml:space="preserve">y lo dispuesto en la LOSNCP y su reglamento; (iv) </w:t>
      </w:r>
      <w:r>
        <w:t>e</w:t>
      </w:r>
      <w:r w:rsidRPr="008B2117">
        <w:t>n todos los Comités de calificación y/o selección de propuestas deberá participar el coordinador del EDG-</w:t>
      </w:r>
      <w:r w:rsidR="0090764F">
        <w:t>MEF</w:t>
      </w:r>
      <w:r w:rsidRPr="008B2117">
        <w:t xml:space="preserve">, un delegado del área técnica o administrativa correspondiente y los invitados técnicos </w:t>
      </w:r>
      <w:r>
        <w:t>y tomarán en consideración lo establecido en los convenios específicos interinstitucionales que correspondan</w:t>
      </w:r>
      <w:r w:rsidRPr="008B2117">
        <w:t>; (v) para la fase contractual o de ejecución, los administradores de contrato serán designados por la máxima autoridad o su delegado y deberán ser parte del área responsable de la ejecución de la contratación respectiva</w:t>
      </w:r>
      <w:r>
        <w:t xml:space="preserve"> y tomar en consideración lo establecido en los convenios interinstitucionales que correspondan</w:t>
      </w:r>
      <w:r w:rsidRPr="008B2117">
        <w:t>. (vi) el EDG-</w:t>
      </w:r>
      <w:r w:rsidR="0090764F">
        <w:t>MEF</w:t>
      </w:r>
      <w:r w:rsidRPr="008B2117">
        <w:t>, hará el monitoreo y seguimiento de la ejecución de las contrataciones</w:t>
      </w:r>
      <w:r>
        <w:t xml:space="preserve"> y coordinará la misma con las entidades beneficiarias cuando corresponda</w:t>
      </w:r>
      <w:r w:rsidRPr="008B2117">
        <w:t>; (vii) los administradores de contrato</w:t>
      </w:r>
      <w:r>
        <w:t>,</w:t>
      </w:r>
      <w:r w:rsidRPr="008B2117">
        <w:t xml:space="preserve"> serán quienes aprueben que la entrega recepción del objeto de las contrataciones cumplan con las especificaciones, características establecidas en los DEL o TDR y demás estipulaciones convenidas en los respectivos contratos</w:t>
      </w:r>
      <w:r>
        <w:t xml:space="preserve"> y en los convenios interinstitucionales específicos cuando correspondan</w:t>
      </w:r>
      <w:r w:rsidR="0090764F">
        <w:t xml:space="preserve">. </w:t>
      </w:r>
    </w:p>
    <w:p w14:paraId="5D84CE04" w14:textId="317B5FD3" w:rsidR="008F4FF0" w:rsidRDefault="009B6E5A" w:rsidP="009852F6">
      <w:pPr>
        <w:pStyle w:val="Heading2"/>
        <w:ind w:left="924" w:hanging="357"/>
      </w:pPr>
      <w:bookmarkStart w:id="116" w:name="_Toc23797327"/>
      <w:r>
        <w:t>E</w:t>
      </w:r>
      <w:r w:rsidR="00CC3E46">
        <w:t>jecución</w:t>
      </w:r>
      <w:r w:rsidR="00E03CCD">
        <w:t xml:space="preserve"> -</w:t>
      </w:r>
      <w:r w:rsidR="00CC3E46">
        <w:t xml:space="preserve"> </w:t>
      </w:r>
      <w:bookmarkStart w:id="117" w:name="_Hlk23780703"/>
      <w:r w:rsidR="00E03CCD">
        <w:t>E</w:t>
      </w:r>
      <w:r w:rsidR="008F4FF0" w:rsidRPr="008F4FF0">
        <w:t xml:space="preserve">strategia mejora del acceso a financiamiento y sostenibilidad </w:t>
      </w:r>
      <w:r w:rsidR="00007BAD">
        <w:t>de</w:t>
      </w:r>
      <w:r w:rsidR="008F4FF0" w:rsidRPr="008F4FF0">
        <w:t xml:space="preserve"> MIPYMEs</w:t>
      </w:r>
      <w:bookmarkEnd w:id="116"/>
      <w:bookmarkEnd w:id="117"/>
    </w:p>
    <w:p w14:paraId="056CC84C" w14:textId="5BC36EB8" w:rsidR="008F4FF0" w:rsidRDefault="00D17333" w:rsidP="00CA3F7F">
      <w:pPr>
        <w:pStyle w:val="Estilo1"/>
      </w:pPr>
      <w:r>
        <w:t xml:space="preserve">Esta estrategia </w:t>
      </w:r>
      <w:r w:rsidR="0039176F">
        <w:t xml:space="preserve">para la mejora del acceso a financiamiento y sostenibilidad de MIPYMEs </w:t>
      </w:r>
      <w:r>
        <w:t xml:space="preserve">será ejecutada por el MEF en el componente 3. </w:t>
      </w:r>
      <w:r w:rsidRPr="000054EF">
        <w:t>“Fortalecimiento de la gestión de entidades y activos públicos de apoyo a la competitividad”</w:t>
      </w:r>
      <w:r>
        <w:t xml:space="preserve">.  </w:t>
      </w:r>
      <w:r w:rsidR="00CA3F7F">
        <w:t>El objetivo de la consiste en f</w:t>
      </w:r>
      <w:r w:rsidR="00CA3F7F" w:rsidRPr="00CA3F7F">
        <w:t>ortalecer las condiciones de acceso al crédito y sostenibilidad de los negocios a través del desarrollo de nuevas intervenciones de política pública enfocadas al mejoramiento de la competitividad de las MIPYME y los nuevos emprendimientos dinámicos.</w:t>
      </w:r>
      <w:r w:rsidR="00CA3F7F">
        <w:t xml:space="preserve"> Específicamente: (i) generar y validar una estrategia integral para promover la mejora del acceso a crédito y la sostenibilidad de las MIPYMEs ecuatorianas. (ii) desarrollar intervenciones de política pública para apoyar la mejora del acceso a crédito y la sostenibilidad de las MIPYMEs ecuatorianas en temas vinculados con nuevas fuentes de financiamiento alternativas, mejora de la gestión empresarial, entre otros. </w:t>
      </w:r>
    </w:p>
    <w:p w14:paraId="2BC9082B" w14:textId="278CE088" w:rsidR="00CA3F7F" w:rsidRDefault="00CA3F7F" w:rsidP="00CA3F7F">
      <w:pPr>
        <w:pStyle w:val="Estilo1"/>
      </w:pPr>
      <w:r w:rsidRPr="00CA3F7F">
        <w:rPr>
          <w:b/>
          <w:bCs/>
          <w:u w:val="single"/>
        </w:rPr>
        <w:t>Mecanismo de Ejecución.</w:t>
      </w:r>
      <w:r>
        <w:t xml:space="preserve"> – Para la ejecución de la estrategia, el MEF conformará un comité con representantes de las principales instituciones vinculadas al tema de financiamiento </w:t>
      </w:r>
      <w:r>
        <w:lastRenderedPageBreak/>
        <w:t xml:space="preserve">público al sector empresarial (MEF, bancos de desarrollo, instituciones regulatorias, MPCEIP, </w:t>
      </w:r>
      <w:r w:rsidR="003608E9">
        <w:t>etc.</w:t>
      </w:r>
      <w:r>
        <w:t xml:space="preserve">). El comité estará presidido por el MEF. </w:t>
      </w:r>
    </w:p>
    <w:p w14:paraId="4BF980B0" w14:textId="1CC30F49" w:rsidR="00CA3F7F" w:rsidRPr="008F4FF0" w:rsidRDefault="00CA3F7F" w:rsidP="00C0782B">
      <w:pPr>
        <w:pStyle w:val="Estilo1"/>
      </w:pPr>
      <w:r>
        <w:t xml:space="preserve">Las principales decisiones que tomará el Comité son: (i) definición de los temas específicos que requerirán estudios de consultoría; (ii) aprobación de los TDRs de las consultorías que serán preparados por el EDG-MEF; </w:t>
      </w:r>
      <w:r w:rsidR="00D17333">
        <w:t>(iii) a</w:t>
      </w:r>
      <w:r>
        <w:t>probación de los estudios de consultoría</w:t>
      </w:r>
      <w:r w:rsidR="00D17333">
        <w:t>; (iv) d</w:t>
      </w:r>
      <w:r>
        <w:t xml:space="preserve">efinición de una </w:t>
      </w:r>
      <w:r w:rsidR="00215D9B">
        <w:t>h</w:t>
      </w:r>
      <w:r>
        <w:t xml:space="preserve">oja de </w:t>
      </w:r>
      <w:r w:rsidR="00215D9B">
        <w:t>r</w:t>
      </w:r>
      <w:r>
        <w:t xml:space="preserve">uta para la implementación de las recomendaciones de las consultorías. </w:t>
      </w:r>
    </w:p>
    <w:p w14:paraId="506B756A" w14:textId="4AE05727" w:rsidR="00BC37A2" w:rsidRDefault="008F4FF0" w:rsidP="009852F6">
      <w:pPr>
        <w:pStyle w:val="Heading2"/>
        <w:ind w:left="924" w:hanging="357"/>
      </w:pPr>
      <w:r>
        <w:t xml:space="preserve"> </w:t>
      </w:r>
      <w:bookmarkStart w:id="118" w:name="_Toc23797328"/>
      <w:r w:rsidR="00BC37A2">
        <w:t>Procedimiento de ejecución de los PIRIS</w:t>
      </w:r>
      <w:bookmarkEnd w:id="118"/>
    </w:p>
    <w:p w14:paraId="4DBB94E0" w14:textId="77777777" w:rsidR="00F33C7A" w:rsidRDefault="00E766FD" w:rsidP="009B54B5">
      <w:pPr>
        <w:pStyle w:val="Estilo1"/>
      </w:pPr>
      <w:r>
        <w:t>El presente Programa</w:t>
      </w:r>
      <w:r w:rsidR="000372D5">
        <w:t>,</w:t>
      </w:r>
      <w:r>
        <w:t xml:space="preserve"> financiará la implementación de los siguientes </w:t>
      </w:r>
      <w:r w:rsidR="00F45FA5" w:rsidRPr="00645888">
        <w:t>Planes de Inversión para la Reforma Institucional (PIRIS)</w:t>
      </w:r>
      <w:r>
        <w:t>: (i) Inmobiliar; (ii) CGE; (iii) MPCEIP; (iv) SERCOP; y (v)</w:t>
      </w:r>
      <w:r w:rsidR="000372D5">
        <w:t xml:space="preserve"> MERNNR.</w:t>
      </w:r>
      <w:r w:rsidR="00F233C8">
        <w:t xml:space="preserve"> </w:t>
      </w:r>
    </w:p>
    <w:p w14:paraId="0EC53DD9" w14:textId="7E40BC6F" w:rsidR="00F45FA5" w:rsidRDefault="00F45FA5" w:rsidP="009B54B5">
      <w:pPr>
        <w:pStyle w:val="Estilo1"/>
      </w:pPr>
      <w:r w:rsidRPr="00645888">
        <w:t>Los PIRIS, responden a una visión integral para la reestructuración y fortalecimiento de las entidades del Sector Público Ecuatoriano</w:t>
      </w:r>
      <w:r w:rsidR="007A1D19">
        <w:t xml:space="preserve"> y se fundamentan en el Modelo de Reestructuración de la Gestión Pública Institucional</w:t>
      </w:r>
      <w:r w:rsidR="00F33C7A">
        <w:t xml:space="preserve"> (Modelo R)</w:t>
      </w:r>
      <w:r w:rsidR="007A1D19">
        <w:rPr>
          <w:rStyle w:val="FootnoteReference"/>
        </w:rPr>
        <w:footnoteReference w:id="60"/>
      </w:r>
      <w:r w:rsidR="00FF1D91">
        <w:t xml:space="preserve"> y la normativa vigente expedida para su implementación</w:t>
      </w:r>
      <w:r w:rsidR="007A1D19">
        <w:t xml:space="preserve">. </w:t>
      </w:r>
      <w:r w:rsidR="00FF1D91">
        <w:t xml:space="preserve"> </w:t>
      </w:r>
    </w:p>
    <w:p w14:paraId="17EEDADD" w14:textId="514DCA90" w:rsidR="003B30C2" w:rsidRDefault="00FC1A3B" w:rsidP="00CA3F7F">
      <w:pPr>
        <w:pStyle w:val="Estilo1"/>
      </w:pPr>
      <w:r w:rsidRPr="00C13A85">
        <w:rPr>
          <w:b/>
          <w:bCs/>
          <w:u w:val="single"/>
        </w:rPr>
        <w:t>E</w:t>
      </w:r>
      <w:r w:rsidR="00F33C7A" w:rsidRPr="00C13A85">
        <w:rPr>
          <w:b/>
          <w:bCs/>
          <w:u w:val="single"/>
        </w:rPr>
        <w:t>squema</w:t>
      </w:r>
      <w:r w:rsidR="006C3FF7">
        <w:rPr>
          <w:b/>
          <w:bCs/>
          <w:u w:val="single"/>
        </w:rPr>
        <w:t xml:space="preserve"> y acuerdos</w:t>
      </w:r>
      <w:r w:rsidR="00F33C7A" w:rsidRPr="00C13A85">
        <w:rPr>
          <w:b/>
          <w:bCs/>
          <w:u w:val="single"/>
        </w:rPr>
        <w:t xml:space="preserve"> </w:t>
      </w:r>
      <w:r w:rsidR="00FF1D91" w:rsidRPr="00C13A85">
        <w:rPr>
          <w:b/>
          <w:bCs/>
          <w:u w:val="single"/>
        </w:rPr>
        <w:t xml:space="preserve">de </w:t>
      </w:r>
      <w:r w:rsidR="00F33C7A" w:rsidRPr="00C13A85">
        <w:rPr>
          <w:b/>
          <w:bCs/>
          <w:u w:val="single"/>
        </w:rPr>
        <w:t>e</w:t>
      </w:r>
      <w:r w:rsidR="00FF1D91" w:rsidRPr="00C13A85">
        <w:rPr>
          <w:b/>
          <w:bCs/>
          <w:u w:val="single"/>
        </w:rPr>
        <w:t>jecución</w:t>
      </w:r>
      <w:r w:rsidR="00FF1D91">
        <w:t xml:space="preserve">. - </w:t>
      </w:r>
      <w:r w:rsidR="00F33C7A">
        <w:t xml:space="preserve">El esquema de ejecución </w:t>
      </w:r>
      <w:r w:rsidR="00F33C7A" w:rsidRPr="00645888">
        <w:t>se</w:t>
      </w:r>
      <w:r w:rsidR="00AE7BFA">
        <w:t xml:space="preserve">rá similar al utilizado </w:t>
      </w:r>
      <w:r w:rsidR="00725685">
        <w:t>para el financiamiento de los PIRIS d</w:t>
      </w:r>
      <w:r w:rsidR="00725685" w:rsidRPr="00645888">
        <w:t>el Programa de Reforma Institucional de la Gestión Pública</w:t>
      </w:r>
      <w:r w:rsidR="00725685">
        <w:t xml:space="preserve">, </w:t>
      </w:r>
      <w:r w:rsidR="00725685" w:rsidRPr="00AE7BFA">
        <w:t>CUP 30400000.1780.7402</w:t>
      </w:r>
      <w:r w:rsidR="00725685">
        <w:t xml:space="preserve"> del MDT</w:t>
      </w:r>
      <w:r w:rsidR="0048711E">
        <w:t xml:space="preserve"> (PRIGP-MDT)</w:t>
      </w:r>
      <w:r w:rsidR="00725685">
        <w:t xml:space="preserve"> mediante l</w:t>
      </w:r>
      <w:r w:rsidR="00AE7BFA">
        <w:t>as operaciones del BID (</w:t>
      </w:r>
      <w:r w:rsidR="00AE7BFA" w:rsidRPr="00AE7BFA">
        <w:t>2653/OC-EC, 3073/OC-EC y EC-L1227</w:t>
      </w:r>
      <w:r w:rsidR="00AE7BFA">
        <w:t>)</w:t>
      </w:r>
      <w:r w:rsidR="00725685">
        <w:rPr>
          <w:rStyle w:val="FootnoteReference"/>
        </w:rPr>
        <w:footnoteReference w:id="61"/>
      </w:r>
      <w:r w:rsidR="00725685">
        <w:t xml:space="preserve">. </w:t>
      </w:r>
      <w:r w:rsidR="00F801CB">
        <w:t xml:space="preserve"> </w:t>
      </w:r>
      <w:r>
        <w:t>Sin embargo, se deberá tener en consideración que e</w:t>
      </w:r>
      <w:r w:rsidR="00F801CB">
        <w:t xml:space="preserve">l esquema de </w:t>
      </w:r>
      <w:r w:rsidR="004E4EC2">
        <w:t xml:space="preserve">ejecución </w:t>
      </w:r>
      <w:r w:rsidR="00610970">
        <w:t xml:space="preserve">y los acuerdos institucionales para el efecto </w:t>
      </w:r>
      <w:r w:rsidR="004E4EC2">
        <w:t>ha</w:t>
      </w:r>
      <w:r w:rsidR="00610970">
        <w:t>n</w:t>
      </w:r>
      <w:r w:rsidR="004E4EC2">
        <w:t xml:space="preserve"> variado desde la creación del Modelo R</w:t>
      </w:r>
      <w:r w:rsidR="004E6B3A">
        <w:t xml:space="preserve"> de la siguiente manera: </w:t>
      </w:r>
      <w:r w:rsidR="00E85C37">
        <w:t xml:space="preserve">(i) </w:t>
      </w:r>
      <w:r w:rsidR="00F801CB">
        <w:t xml:space="preserve">durante el </w:t>
      </w:r>
      <w:r w:rsidR="004E4EC2" w:rsidRPr="004E4EC2">
        <w:t xml:space="preserve">periodo 2011-2016, </w:t>
      </w:r>
      <w:r>
        <w:t xml:space="preserve">la rectoría de implementación de los PIRIS </w:t>
      </w:r>
      <w:r w:rsidR="004E4EC2" w:rsidRPr="004E4EC2">
        <w:t xml:space="preserve">se encontraba </w:t>
      </w:r>
      <w:r w:rsidR="00F801CB">
        <w:t xml:space="preserve">bajo el </w:t>
      </w:r>
      <w:r w:rsidR="004E4EC2" w:rsidRPr="004E4EC2">
        <w:t xml:space="preserve">Comité de Gestión Pública Interinstitucional (CGPI) </w:t>
      </w:r>
      <w:r>
        <w:t xml:space="preserve">como </w:t>
      </w:r>
      <w:r w:rsidR="004E4EC2" w:rsidRPr="004E4EC2">
        <w:t>cuerpo colegiado responsable</w:t>
      </w:r>
      <w:r w:rsidR="004E6B3A">
        <w:t>;</w:t>
      </w:r>
      <w:r w:rsidR="00E85C37">
        <w:t xml:space="preserve"> (ii)</w:t>
      </w:r>
      <w:r w:rsidR="004E6B3A">
        <w:t xml:space="preserve"> </w:t>
      </w:r>
      <w:r>
        <w:t xml:space="preserve"> </w:t>
      </w:r>
      <w:r w:rsidR="004E6B3A">
        <w:t>en 2014, el C</w:t>
      </w:r>
      <w:r w:rsidR="00037430">
        <w:t>GPI designó al EDG de los Programas BID en el MEF para gestionar los temas presupuestarios del Programa de Reforma Institucional de la Gestión Pública, CUP 30400000.1780.7402</w:t>
      </w:r>
      <w:r w:rsidR="0048711E">
        <w:t xml:space="preserve"> (PRIGP-MDT)</w:t>
      </w:r>
      <w:r w:rsidR="00037430">
        <w:t>, directamente con SENPLADES</w:t>
      </w:r>
      <w:r w:rsidR="00037430">
        <w:rPr>
          <w:rStyle w:val="FootnoteReference"/>
        </w:rPr>
        <w:footnoteReference w:id="62"/>
      </w:r>
      <w:r w:rsidR="00037430">
        <w:t xml:space="preserve">; </w:t>
      </w:r>
      <w:r w:rsidR="00E85C37">
        <w:t xml:space="preserve">(iii) </w:t>
      </w:r>
      <w:r w:rsidR="00037430">
        <w:t>en octubre de 2016 se suprime el CGPI y se ratifica al M</w:t>
      </w:r>
      <w:r w:rsidR="00610970">
        <w:t xml:space="preserve">EF </w:t>
      </w:r>
      <w:r w:rsidR="00037430">
        <w:t>como el encargado de la gestión financiera y recursos presupuestarios que estaban coordinados por el Comité de Gestión Pública</w:t>
      </w:r>
      <w:r w:rsidR="002933A1">
        <w:t xml:space="preserve"> </w:t>
      </w:r>
      <w:r w:rsidR="00037430">
        <w:t>Interinstitucional</w:t>
      </w:r>
      <w:r w:rsidR="002933A1">
        <w:rPr>
          <w:rStyle w:val="FootnoteReference"/>
        </w:rPr>
        <w:footnoteReference w:id="63"/>
      </w:r>
      <w:r w:rsidR="002933A1">
        <w:t xml:space="preserve">; </w:t>
      </w:r>
      <w:r>
        <w:t xml:space="preserve"> </w:t>
      </w:r>
      <w:r w:rsidR="00E85C37">
        <w:t xml:space="preserve">(iv) </w:t>
      </w:r>
      <w:r w:rsidR="002933A1">
        <w:t xml:space="preserve">en septiembre de 2017, se llega a un acuerdo institucional entre </w:t>
      </w:r>
      <w:r w:rsidR="00B57CC5" w:rsidRPr="00B23C6D">
        <w:t xml:space="preserve">la Secretaría Nacional de Planificación y Desarrollo (SENPLADES) </w:t>
      </w:r>
      <w:r w:rsidR="002933A1">
        <w:t>y el EDG de los Programas BID en el MEF, donde se ratifica que las modificaciones presupuestarias del CUP 30400000.1780.7402, relacionadas con los créditos BID</w:t>
      </w:r>
      <w:r w:rsidR="00E85C37">
        <w:t>, se solicitarán directamente por parte del EDG de los Programas BID en el MEF</w:t>
      </w:r>
      <w:r w:rsidR="00E85C37">
        <w:rPr>
          <w:rStyle w:val="FootnoteReference"/>
        </w:rPr>
        <w:footnoteReference w:id="64"/>
      </w:r>
      <w:r w:rsidR="00E85C37">
        <w:t>; (v)</w:t>
      </w:r>
      <w:r w:rsidR="0020291D">
        <w:t xml:space="preserve"> </w:t>
      </w:r>
      <w:r w:rsidR="00B23C6D" w:rsidRPr="00B23C6D">
        <w:t>en</w:t>
      </w:r>
      <w:r w:rsidR="00B57CC5">
        <w:t xml:space="preserve"> mayo de 2019</w:t>
      </w:r>
      <w:r w:rsidR="00B23C6D" w:rsidRPr="00B23C6D">
        <w:t>, se suprime</w:t>
      </w:r>
      <w:r w:rsidR="00B57CC5">
        <w:t xml:space="preserve"> SENPLADES </w:t>
      </w:r>
      <w:r w:rsidR="00B23C6D" w:rsidRPr="00B23C6D">
        <w:t>y se crea la Secretaría Técnica de Planificación “Planifica Ecuador”</w:t>
      </w:r>
      <w:r w:rsidR="00B57CC5">
        <w:rPr>
          <w:rStyle w:val="FootnoteReference"/>
        </w:rPr>
        <w:footnoteReference w:id="65"/>
      </w:r>
      <w:r w:rsidR="00B23C6D" w:rsidRPr="00B23C6D">
        <w:t xml:space="preserve"> a cargo de la planificación nacional de forma integral y de todos los componentes e instrumentos del Sistema</w:t>
      </w:r>
      <w:r w:rsidR="00B57CC5">
        <w:rPr>
          <w:rStyle w:val="FootnoteReference"/>
        </w:rPr>
        <w:footnoteReference w:id="66"/>
      </w:r>
      <w:r w:rsidR="00B86FF0">
        <w:t>; (vi)</w:t>
      </w:r>
      <w:r w:rsidR="0034010F">
        <w:t xml:space="preserve"> </w:t>
      </w:r>
      <w:r w:rsidR="00600EC6">
        <w:t>e</w:t>
      </w:r>
      <w:r w:rsidR="0034010F">
        <w:t xml:space="preserve">l </w:t>
      </w:r>
      <w:r w:rsidR="0034010F" w:rsidRPr="00D30803">
        <w:t>Proyecto de Fortalecimiento Institucional para la Competitividad (EC-L1250)</w:t>
      </w:r>
      <w:r w:rsidR="00B86FF0">
        <w:t xml:space="preserve"> </w:t>
      </w:r>
      <w:r w:rsidR="0034010F">
        <w:t xml:space="preserve">financiado por el BID tiene como OE al MEF; (vii) </w:t>
      </w:r>
      <w:r w:rsidR="00C13A85">
        <w:t>e</w:t>
      </w:r>
      <w:r w:rsidR="00D30803">
        <w:t xml:space="preserve">n la Misión Especial </w:t>
      </w:r>
      <w:r w:rsidR="00D30803" w:rsidRPr="00D30803">
        <w:t>del Proyecto de Fortalecimiento Institucional para la Competitividad (EC-L1250)</w:t>
      </w:r>
      <w:r w:rsidR="00D30803">
        <w:t>, de octubre de 2019, conforme a lo solicitado por el MEF</w:t>
      </w:r>
      <w:r w:rsidR="00C13A85">
        <w:t xml:space="preserve">, </w:t>
      </w:r>
      <w:r w:rsidR="00D30803">
        <w:t xml:space="preserve">se acordó </w:t>
      </w:r>
      <w:r w:rsidR="00725685">
        <w:t xml:space="preserve">que en </w:t>
      </w:r>
      <w:r w:rsidR="00C13A85">
        <w:t xml:space="preserve">la estructura </w:t>
      </w:r>
      <w:r w:rsidR="00D30803">
        <w:t xml:space="preserve">del componente 3 del Programa </w:t>
      </w:r>
      <w:r w:rsidR="00C13A85">
        <w:t>EC-L1250, se financiará</w:t>
      </w:r>
      <w:r w:rsidR="00725685">
        <w:t xml:space="preserve"> entre otros, </w:t>
      </w:r>
      <w:r w:rsidR="00C13A85">
        <w:t>la puesta en marcha de Planes de Inversión de Reforma Institucional (PIRIS) para</w:t>
      </w:r>
      <w:r w:rsidR="003B30C2">
        <w:t xml:space="preserve"> los beneficiarios</w:t>
      </w:r>
      <w:r w:rsidR="00C13A85">
        <w:t xml:space="preserve"> </w:t>
      </w:r>
      <w:r w:rsidR="00C13A85" w:rsidRPr="00C13A85">
        <w:t>Inmobiliar</w:t>
      </w:r>
      <w:r w:rsidR="00C13A85">
        <w:t xml:space="preserve">, </w:t>
      </w:r>
      <w:r w:rsidR="00C13A85" w:rsidRPr="00C13A85">
        <w:t>CGE</w:t>
      </w:r>
      <w:r w:rsidR="00C13A85">
        <w:t xml:space="preserve">, </w:t>
      </w:r>
      <w:r w:rsidR="00C13A85" w:rsidRPr="00C13A85">
        <w:t>MPCEIP</w:t>
      </w:r>
      <w:r w:rsidR="00C13A85">
        <w:t xml:space="preserve">, </w:t>
      </w:r>
      <w:r w:rsidR="00C13A85" w:rsidRPr="00C13A85">
        <w:t>SERCOP</w:t>
      </w:r>
      <w:r w:rsidR="00C13A85">
        <w:t xml:space="preserve">, </w:t>
      </w:r>
      <w:r w:rsidR="00C13A85" w:rsidRPr="00C13A85">
        <w:t>y MERNNR</w:t>
      </w:r>
      <w:r w:rsidR="00C13A85">
        <w:t>; (v)</w:t>
      </w:r>
      <w:r w:rsidR="00600EC6">
        <w:t xml:space="preserve"> la Coordinación General de Programas del BID en el MEF es la responsable de la coordinación y supervisión de la ejecución de las actividades financiadas por el BID en el </w:t>
      </w:r>
      <w:r w:rsidR="00600EC6" w:rsidRPr="00D30803">
        <w:t>P</w:t>
      </w:r>
      <w:r w:rsidR="000C4FBE">
        <w:t>RIGP-MDT</w:t>
      </w:r>
      <w:r w:rsidR="00600EC6">
        <w:t xml:space="preserve">; (vi) </w:t>
      </w:r>
      <w:r w:rsidR="00D30803">
        <w:t>c</w:t>
      </w:r>
      <w:r w:rsidR="00B86FF0">
        <w:t xml:space="preserve">onsiderando que el MDT </w:t>
      </w:r>
      <w:r w:rsidR="00D30803">
        <w:t xml:space="preserve">es el responsable del CUP </w:t>
      </w:r>
      <w:r w:rsidR="00D30803" w:rsidRPr="00AE7BFA">
        <w:t>30400000.1780.7402</w:t>
      </w:r>
      <w:r w:rsidR="00D30803">
        <w:t xml:space="preserve"> </w:t>
      </w:r>
      <w:r w:rsidR="00E468D6">
        <w:t xml:space="preserve">del </w:t>
      </w:r>
      <w:r w:rsidR="00D30803" w:rsidRPr="00D30803">
        <w:t>P</w:t>
      </w:r>
      <w:r w:rsidR="000C4FBE">
        <w:t xml:space="preserve">RIGP-MDT </w:t>
      </w:r>
      <w:r w:rsidR="00C13A85">
        <w:t xml:space="preserve">donde se encuentran los PIRIS, </w:t>
      </w:r>
      <w:r w:rsidR="00136D40">
        <w:lastRenderedPageBreak/>
        <w:t>el MEF deberá trabajar de manera coordinada</w:t>
      </w:r>
      <w:r w:rsidR="00600EC6">
        <w:t xml:space="preserve"> y articulada </w:t>
      </w:r>
      <w:r w:rsidR="00136D40">
        <w:t>con el MDT</w:t>
      </w:r>
      <w:r w:rsidR="003B30C2">
        <w:t>, para ejecutar los procedimientos de postulación del Plan Anual de Inversiones (PAI), transferencias de presupuestos, entre el MEF, el MDT y las entidades beneficiarias de los PIRIS, conforme a las directrices de Planifica Ecuador; (vi</w:t>
      </w:r>
      <w:r w:rsidR="00600EC6">
        <w:t>i</w:t>
      </w:r>
      <w:r w:rsidR="003B30C2">
        <w:t>) Para que se pueda aplicar lo señalado en el marco del Programa EC-L1250, se suscribirán los respectivos acuerdos interinstitucionales que ratifiquen el esquema de ejecución que se ha venido aplicando, entre el MEF, el MDT y los Beneficiarios.</w:t>
      </w:r>
    </w:p>
    <w:p w14:paraId="186EB7C2" w14:textId="12BAA2F4" w:rsidR="006C3FF7" w:rsidRDefault="006C3FF7" w:rsidP="00CA3F7F">
      <w:pPr>
        <w:pStyle w:val="Estilo1"/>
      </w:pPr>
      <w:r>
        <w:t xml:space="preserve">Tomando en consideración lo expuesto anteriormente el mecanismo de ejecución considerará lo siguiente: </w:t>
      </w:r>
    </w:p>
    <w:p w14:paraId="6AE4A31D" w14:textId="307CE5F0" w:rsidR="00966C9F" w:rsidRDefault="000372D5" w:rsidP="009B54B5">
      <w:pPr>
        <w:pStyle w:val="Estilo1"/>
      </w:pPr>
      <w:r w:rsidRPr="000372D5">
        <w:rPr>
          <w:b/>
          <w:bCs/>
          <w:u w:val="single"/>
        </w:rPr>
        <w:t>Formulación y aprobación</w:t>
      </w:r>
      <w:r w:rsidR="00BC7B9D">
        <w:rPr>
          <w:b/>
          <w:bCs/>
          <w:u w:val="single"/>
        </w:rPr>
        <w:t xml:space="preserve"> de los PIRIS</w:t>
      </w:r>
      <w:r>
        <w:t xml:space="preserve">. </w:t>
      </w:r>
      <w:r w:rsidR="009D3C60">
        <w:t>–</w:t>
      </w:r>
      <w:r>
        <w:t xml:space="preserve"> </w:t>
      </w:r>
      <w:r w:rsidR="009D3C60">
        <w:t xml:space="preserve">(i) </w:t>
      </w:r>
      <w:r w:rsidRPr="000372D5">
        <w:t xml:space="preserve">Las entidades </w:t>
      </w:r>
      <w:r>
        <w:t xml:space="preserve">beneficiarias de los PIRIS </w:t>
      </w:r>
      <w:r w:rsidRPr="000372D5">
        <w:t xml:space="preserve">podrán iniciar el proceso mediante la formulación de un PIRI que contenga </w:t>
      </w:r>
      <w:r w:rsidR="00645888">
        <w:t xml:space="preserve">sus </w:t>
      </w:r>
      <w:r w:rsidRPr="000372D5">
        <w:t xml:space="preserve">objetivos principales </w:t>
      </w:r>
      <w:r w:rsidR="009D3C60">
        <w:t xml:space="preserve">y </w:t>
      </w:r>
      <w:r w:rsidR="00AA5FD2">
        <w:t xml:space="preserve">su </w:t>
      </w:r>
      <w:r w:rsidR="009D3C60">
        <w:t xml:space="preserve">estructura </w:t>
      </w:r>
      <w:r w:rsidR="00522361">
        <w:t>detallada</w:t>
      </w:r>
      <w:r w:rsidR="00B424FD">
        <w:t xml:space="preserve"> la cual la presentarán a la Coordinación General de Programas BID del MEF</w:t>
      </w:r>
      <w:r w:rsidR="009D3C60">
        <w:t xml:space="preserve">; (ii) </w:t>
      </w:r>
      <w:r w:rsidR="00B424FD">
        <w:t xml:space="preserve">la Coordinación General de Programas BID del MEF a través del </w:t>
      </w:r>
      <w:r w:rsidR="00B0711A">
        <w:t>EDG-MEF</w:t>
      </w:r>
      <w:r w:rsidR="006D63B9">
        <w:t xml:space="preserve">, de manera conjunta con un delegado del MDT, </w:t>
      </w:r>
      <w:r w:rsidR="00B424FD">
        <w:t xml:space="preserve">revisará </w:t>
      </w:r>
      <w:r w:rsidR="00C3711B">
        <w:t>y verificará la pertinencia en función a los lineamientos contractuales</w:t>
      </w:r>
      <w:r w:rsidR="0048711E">
        <w:t xml:space="preserve"> del Programa EC-L1250 y del P</w:t>
      </w:r>
      <w:r w:rsidR="000C4FBE">
        <w:t>RIGP-MDT</w:t>
      </w:r>
      <w:r w:rsidR="006D63B9">
        <w:t xml:space="preserve"> </w:t>
      </w:r>
      <w:r w:rsidR="0048711E">
        <w:t xml:space="preserve">de manera que el PIRI </w:t>
      </w:r>
      <w:r w:rsidR="006D63B9">
        <w:t xml:space="preserve">pueda ser incluido </w:t>
      </w:r>
      <w:r w:rsidR="000C4FBE">
        <w:t>en el PRIGP-MDT</w:t>
      </w:r>
      <w:r w:rsidR="00966C9F">
        <w:t xml:space="preserve">; (iii) El EDG-MEF solicitará la no objeción del PIRI </w:t>
      </w:r>
      <w:r w:rsidR="00E30436">
        <w:t xml:space="preserve">correspondiente </w:t>
      </w:r>
      <w:r w:rsidR="00966C9F">
        <w:t>al Banco</w:t>
      </w:r>
      <w:r w:rsidR="00E30436">
        <w:t>, presentando evidencia que el PIRI cumple con los requerimientos establecidos en la legislación nacional y la estructura del Programa</w:t>
      </w:r>
      <w:r w:rsidR="00966C9F">
        <w:t>;</w:t>
      </w:r>
      <w:r w:rsidR="006D63B9">
        <w:t xml:space="preserve"> (iv) la Coordinación General de Programas BID del MEF solicitará a Planifica Ecuador el dictamen favorable del Incremento de techo o transferencia de techo presupuestario; </w:t>
      </w:r>
      <w:r w:rsidR="00966C9F">
        <w:t>(iv).</w:t>
      </w:r>
      <w:r w:rsidR="006D63B9">
        <w:t xml:space="preserve"> Planifica Ecuador revisará la pertinencia de solicitud del MEF y emitirá el criterio respectivo; (v). </w:t>
      </w:r>
      <w:r w:rsidR="00966C9F">
        <w:t xml:space="preserve"> </w:t>
      </w:r>
      <w:r w:rsidRPr="000372D5">
        <w:t xml:space="preserve">Para poner en vigencia </w:t>
      </w:r>
      <w:r>
        <w:t xml:space="preserve">el </w:t>
      </w:r>
      <w:r w:rsidRPr="000372D5">
        <w:t>PIRI</w:t>
      </w:r>
      <w:r w:rsidR="00966C9F">
        <w:t xml:space="preserve">, </w:t>
      </w:r>
      <w:r w:rsidRPr="000372D5">
        <w:t xml:space="preserve">las entidades beneficiarias deberán firmar un convenio interinstitucional que viabilice </w:t>
      </w:r>
      <w:r w:rsidR="00640418">
        <w:t xml:space="preserve">la </w:t>
      </w:r>
      <w:r w:rsidRPr="000372D5">
        <w:t>implementación de</w:t>
      </w:r>
      <w:r w:rsidR="00BD503A">
        <w:t xml:space="preserve">l </w:t>
      </w:r>
      <w:r w:rsidRPr="000372D5">
        <w:t>PIRI. En la firma de este convenio participa</w:t>
      </w:r>
      <w:r w:rsidR="00522361">
        <w:t xml:space="preserve">rán </w:t>
      </w:r>
      <w:r w:rsidRPr="000372D5">
        <w:t xml:space="preserve">el </w:t>
      </w:r>
      <w:r>
        <w:t>Ministerio de Trabajo</w:t>
      </w:r>
      <w:r w:rsidR="00AB64C5">
        <w:t xml:space="preserve"> en su calidad de responsable del </w:t>
      </w:r>
      <w:r w:rsidR="00640418">
        <w:t>PRIGP-MDT</w:t>
      </w:r>
      <w:r w:rsidR="00AB64C5">
        <w:t xml:space="preserve">; </w:t>
      </w:r>
      <w:r w:rsidRPr="000372D5">
        <w:t xml:space="preserve">el </w:t>
      </w:r>
      <w:r w:rsidR="00AB64C5">
        <w:t>MEF</w:t>
      </w:r>
      <w:r w:rsidRPr="000372D5">
        <w:t xml:space="preserve"> en su calidad de </w:t>
      </w:r>
      <w:r w:rsidR="00AB64C5">
        <w:t>OE del Programa</w:t>
      </w:r>
      <w:r w:rsidR="00D7641D">
        <w:t xml:space="preserve"> de Fortalecimiento Institucional para la Competitividad</w:t>
      </w:r>
      <w:r w:rsidR="00640418">
        <w:t xml:space="preserve"> EC-L1250</w:t>
      </w:r>
      <w:r w:rsidRPr="000372D5">
        <w:t xml:space="preserve">; y la entidad beneficiaria </w:t>
      </w:r>
      <w:r w:rsidR="00AB64C5">
        <w:t>que corresponda</w:t>
      </w:r>
      <w:r w:rsidR="004B30C7">
        <w:t xml:space="preserve"> de acuerdo a la materia de competencia</w:t>
      </w:r>
      <w:r w:rsidRPr="000372D5">
        <w:t>.</w:t>
      </w:r>
    </w:p>
    <w:p w14:paraId="77B39A52" w14:textId="23E0344D" w:rsidR="00722E01" w:rsidRDefault="007F7475" w:rsidP="009B54B5">
      <w:pPr>
        <w:pStyle w:val="Estilo1"/>
      </w:pPr>
      <w:r w:rsidRPr="007F7475">
        <w:rPr>
          <w:b/>
          <w:bCs/>
          <w:u w:val="single"/>
        </w:rPr>
        <w:t>Convenio de Cooperación Interinstitucional</w:t>
      </w:r>
      <w:r w:rsidR="007B1384">
        <w:rPr>
          <w:b/>
          <w:bCs/>
          <w:u w:val="single"/>
        </w:rPr>
        <w:t xml:space="preserve"> para la ejecución del PIRI</w:t>
      </w:r>
      <w:r w:rsidRPr="007F7475">
        <w:rPr>
          <w:b/>
          <w:bCs/>
          <w:u w:val="single"/>
        </w:rPr>
        <w:t>.</w:t>
      </w:r>
      <w:r>
        <w:t xml:space="preserve"> -</w:t>
      </w:r>
      <w:r w:rsidRPr="00722E01">
        <w:t xml:space="preserve"> </w:t>
      </w:r>
      <w:r w:rsidR="00722E01" w:rsidRPr="00722E01">
        <w:t>El convenio de cooperación interinstitucional</w:t>
      </w:r>
      <w:r w:rsidR="00BD503A">
        <w:t xml:space="preserve">, </w:t>
      </w:r>
      <w:r w:rsidR="00722E01" w:rsidRPr="00722E01">
        <w:t>será suscrito entre los titulares de cada una de las instituciones y en él se establecerá, al menos, l</w:t>
      </w:r>
      <w:r w:rsidR="00BD503A">
        <w:t xml:space="preserve">o siguiente: </w:t>
      </w:r>
      <w:r w:rsidR="00722E01" w:rsidRPr="00722E01">
        <w:t>(i)</w:t>
      </w:r>
      <w:r w:rsidR="00BD503A">
        <w:t xml:space="preserve"> el detalle del PIRI </w:t>
      </w:r>
      <w:r w:rsidR="00F363ED">
        <w:t>diseñado y aprobado;</w:t>
      </w:r>
      <w:r w:rsidR="00966C9F">
        <w:t xml:space="preserve"> (ii)</w:t>
      </w:r>
      <w:r w:rsidR="00F363ED">
        <w:t xml:space="preserve"> la conformación d</w:t>
      </w:r>
      <w:r w:rsidR="00722E01" w:rsidRPr="00722E01">
        <w:t xml:space="preserve">el equipo interno para la implementación del PIRI y </w:t>
      </w:r>
      <w:r w:rsidR="00F363ED">
        <w:t xml:space="preserve">el compromiso de </w:t>
      </w:r>
      <w:r w:rsidR="00722E01" w:rsidRPr="00722E01">
        <w:t xml:space="preserve">mantenerlo mientras dure la implementación del </w:t>
      </w:r>
      <w:r w:rsidR="00F363ED">
        <w:t>mismo</w:t>
      </w:r>
      <w:r w:rsidR="00722E01" w:rsidRPr="00722E01">
        <w:t xml:space="preserve">; (iii) </w:t>
      </w:r>
      <w:r w:rsidR="00F363ED">
        <w:t xml:space="preserve">el compromiso de </w:t>
      </w:r>
      <w:r w:rsidR="00722E01" w:rsidRPr="00722E01">
        <w:t>brindar las facilidades para la formulación</w:t>
      </w:r>
      <w:r w:rsidR="00966C9F">
        <w:t xml:space="preserve"> definitiva </w:t>
      </w:r>
      <w:r w:rsidR="00722E01" w:rsidRPr="00722E01">
        <w:t xml:space="preserve">e implementación del PIRI; (iv) </w:t>
      </w:r>
      <w:r w:rsidR="00966C9F">
        <w:t xml:space="preserve">el compromiso de </w:t>
      </w:r>
      <w:r w:rsidR="00722E01" w:rsidRPr="00722E01">
        <w:t>elaborar y entregar a</w:t>
      </w:r>
      <w:r w:rsidR="00722E01">
        <w:t>l EDG</w:t>
      </w:r>
      <w:r w:rsidR="00966C9F">
        <w:t>-</w:t>
      </w:r>
      <w:r w:rsidR="00722E01">
        <w:t>ME</w:t>
      </w:r>
      <w:r w:rsidR="00640418">
        <w:t>F</w:t>
      </w:r>
      <w:r w:rsidR="00966C9F">
        <w:t>,</w:t>
      </w:r>
      <w:r w:rsidR="00722E01">
        <w:t xml:space="preserve"> </w:t>
      </w:r>
      <w:r w:rsidR="00722E01" w:rsidRPr="00722E01">
        <w:t>los reportes de avances de la implementación del PIRI en los aspectos fiduciarios</w:t>
      </w:r>
      <w:r w:rsidR="00722E01">
        <w:t xml:space="preserve"> y administrativos</w:t>
      </w:r>
      <w:r w:rsidR="00966C9F">
        <w:t>; (v) el compromiso de facilitar toda la información relacionada con la ejecución de los PIRIS al Banco, a las auditorías del Programa y a los procesos de evaluación contratados por el Programa</w:t>
      </w:r>
      <w:r w:rsidR="00E673DD">
        <w:t xml:space="preserve">; </w:t>
      </w:r>
      <w:r w:rsidR="0052208B">
        <w:t xml:space="preserve">(vi) el procedimiento que se utilizará para las adquisiciones y contrataciones y los pagos del PIRI; </w:t>
      </w:r>
      <w:r w:rsidR="00E673DD">
        <w:t>(vi) el compromiso de dar cumplimiento en lo que le concierne para la ejecución del PIRI a lo establecido en el contrato de Préstamo y el R</w:t>
      </w:r>
      <w:r w:rsidR="00640418">
        <w:t>O</w:t>
      </w:r>
      <w:r w:rsidR="00E673DD">
        <w:t>P del Programa</w:t>
      </w:r>
      <w:r w:rsidR="00722E01" w:rsidRPr="00722E01">
        <w:t>.</w:t>
      </w:r>
    </w:p>
    <w:p w14:paraId="510AE3FB" w14:textId="76F4B4BB" w:rsidR="007F7475" w:rsidRDefault="00AA75A9" w:rsidP="00CA3F7F">
      <w:pPr>
        <w:pStyle w:val="Estilo1"/>
      </w:pPr>
      <w:r w:rsidRPr="00AA75A9">
        <w:rPr>
          <w:b/>
          <w:bCs/>
          <w:u w:val="single"/>
        </w:rPr>
        <w:t>El equipo interno para la implementación del PIRI.</w:t>
      </w:r>
      <w:r>
        <w:t xml:space="preserve"> – El equipo interno para la implementación integral del PIRI en la institución beneficiaria, tendrá a su cargo las siguientes responsabilidades</w:t>
      </w:r>
      <w:r>
        <w:rPr>
          <w:rStyle w:val="FootnoteReference"/>
        </w:rPr>
        <w:footnoteReference w:id="67"/>
      </w:r>
      <w:r>
        <w:t xml:space="preserve">: </w:t>
      </w:r>
      <w:r w:rsidR="007F7475">
        <w:t xml:space="preserve">(i) </w:t>
      </w:r>
      <w:r>
        <w:t>c</w:t>
      </w:r>
      <w:r w:rsidR="007F7475">
        <w:t xml:space="preserve">oordinar el diseño del PIRI; (ii) </w:t>
      </w:r>
      <w:r>
        <w:t>c</w:t>
      </w:r>
      <w:r w:rsidR="007F7475">
        <w:t xml:space="preserve">oordinar el dimensionamiento de los requerimientos de recursos necesarios para la Optimización del Talento Humano bajo las modalidades de jubilación obligatoria, jubilación voluntaria y renuncia voluntaria; (iii) </w:t>
      </w:r>
      <w:r>
        <w:t>c</w:t>
      </w:r>
      <w:r w:rsidR="007F7475">
        <w:t xml:space="preserve">oordinar que se cumplan los trámites legales pertinentes para la desvinculación y selección de los servidores públicos </w:t>
      </w:r>
      <w:r>
        <w:t>y lo dispuesto en el ROP del Programa EC-L1250 en relación a las desvinculaciones</w:t>
      </w:r>
      <w:r w:rsidR="007F7475">
        <w:t xml:space="preserve">; (iv) </w:t>
      </w:r>
      <w:r>
        <w:t>c</w:t>
      </w:r>
      <w:r w:rsidR="007F7475">
        <w:t>oordinar la implementación del PIRI en las unidades de la institución</w:t>
      </w:r>
      <w:r>
        <w:t xml:space="preserve"> que correspondan</w:t>
      </w:r>
      <w:r w:rsidR="007F7475">
        <w:t xml:space="preserve">; (v) </w:t>
      </w:r>
      <w:r w:rsidR="00DB7054">
        <w:t>r</w:t>
      </w:r>
      <w:r w:rsidR="007F7475">
        <w:t xml:space="preserve">eportar mensualmente los avances y resultados de la implementación y ejecución del </w:t>
      </w:r>
      <w:r>
        <w:t>PIRI</w:t>
      </w:r>
      <w:r w:rsidR="007F7475">
        <w:t xml:space="preserve">; (vi) </w:t>
      </w:r>
      <w:r w:rsidR="00DB7054">
        <w:t>c</w:t>
      </w:r>
      <w:r w:rsidR="007F7475">
        <w:t>oordinar el registro contable y presupuestario de los gastos que se efectúen con cargo al Programa; (vii) reportar al Equipo de Gestión de Programa</w:t>
      </w:r>
      <w:r w:rsidR="00DB7054">
        <w:t xml:space="preserve"> del MEF </w:t>
      </w:r>
      <w:r w:rsidR="007F7475">
        <w:t>los gastos efectuados con cargo al Programa, con sus respectivos documentos de respaldo, en los formatos establecidos para el efecto.</w:t>
      </w:r>
    </w:p>
    <w:p w14:paraId="60CB8ED1" w14:textId="543716DD" w:rsidR="00722E01" w:rsidRPr="00BC37A2" w:rsidRDefault="0075113F" w:rsidP="00CA3F7F">
      <w:pPr>
        <w:pStyle w:val="Estilo1"/>
      </w:pPr>
      <w:r w:rsidRPr="00E86023">
        <w:rPr>
          <w:b/>
          <w:bCs/>
          <w:u w:val="single"/>
        </w:rPr>
        <w:lastRenderedPageBreak/>
        <w:t>Ejecución de los PIRIS</w:t>
      </w:r>
      <w:r>
        <w:t>. - Las contrataciones y adquisiciones de las actividades aprobadas en los PIRIS será responsabilidad de las entidades beneficiarias (</w:t>
      </w:r>
      <w:r w:rsidRPr="0075113F">
        <w:t xml:space="preserve">Inmobiliar, CGE, MPCEIP, SERCOP, </w:t>
      </w:r>
      <w:r>
        <w:t xml:space="preserve">o </w:t>
      </w:r>
      <w:r w:rsidRPr="0075113F">
        <w:t>MERNNR</w:t>
      </w:r>
      <w:r>
        <w:t>) que correspondan. La Coordinación General de Programas BID, a través del EDG-MEF será responsable de asesorar y supervisar la ejecución</w:t>
      </w:r>
      <w:r w:rsidR="00A33FF5">
        <w:t xml:space="preserve"> de los PIRIS</w:t>
      </w:r>
      <w:r>
        <w:t xml:space="preserve"> a fin de asegurar el cumplimiento de los requerimientos</w:t>
      </w:r>
      <w:r w:rsidR="00A33FF5">
        <w:t xml:space="preserve"> contractuales de cada una de las actividades</w:t>
      </w:r>
      <w:r>
        <w:t>.</w:t>
      </w:r>
      <w:r w:rsidR="00722E01" w:rsidRPr="00722E01">
        <w:t xml:space="preserve"> </w:t>
      </w:r>
    </w:p>
    <w:p w14:paraId="67C488B0" w14:textId="458449EF" w:rsidR="009852F6" w:rsidRDefault="00BC37A2" w:rsidP="009852F6">
      <w:pPr>
        <w:pStyle w:val="Heading2"/>
        <w:ind w:left="924" w:hanging="357"/>
      </w:pPr>
      <w:r>
        <w:t xml:space="preserve"> </w:t>
      </w:r>
      <w:bookmarkStart w:id="119" w:name="_Toc23797329"/>
      <w:r w:rsidR="002D3DE3" w:rsidRPr="009852F6">
        <w:t>Desvinculaciones</w:t>
      </w:r>
      <w:bookmarkEnd w:id="119"/>
      <w:r w:rsidR="001F29D4">
        <w:t xml:space="preserve"> </w:t>
      </w:r>
      <w:r w:rsidR="00D34605">
        <w:t xml:space="preserve"> </w:t>
      </w:r>
    </w:p>
    <w:p w14:paraId="7B9C9F35" w14:textId="50AECB14" w:rsidR="00DB7054" w:rsidRDefault="00E86023" w:rsidP="00CA3F7F">
      <w:pPr>
        <w:pStyle w:val="Estilo1"/>
      </w:pPr>
      <w:r>
        <w:t xml:space="preserve">En los PIRIS del MPCEIP y del MERNNR, se ha contemplado el financiamiento de desvinculaciones, dentro de sus procesos de optimización de personal </w:t>
      </w:r>
      <w:r w:rsidR="00DB7054" w:rsidRPr="00722E01">
        <w:t>bajo las modalidades de jubilación obligatoria, jubilación voluntaria y renuncia voluntaria</w:t>
      </w:r>
      <w:r>
        <w:t xml:space="preserve">. Estas entidades </w:t>
      </w:r>
      <w:r w:rsidR="00DB7054" w:rsidRPr="00722E01">
        <w:t xml:space="preserve">podrán acceder a los recursos de Programa para este propósito siempre y cuando hayan estructurado el PIRI </w:t>
      </w:r>
      <w:r w:rsidR="00DB7054">
        <w:t xml:space="preserve">correspondiente y </w:t>
      </w:r>
      <w:r w:rsidR="00DB7054" w:rsidRPr="00722E01">
        <w:t xml:space="preserve">hayan firmado </w:t>
      </w:r>
      <w:r w:rsidR="00DB7054">
        <w:t xml:space="preserve">el </w:t>
      </w:r>
      <w:r w:rsidR="00DB7054" w:rsidRPr="00722E01">
        <w:t>convenio de Cooperación interinstitucional</w:t>
      </w:r>
      <w:r w:rsidR="00DB7054">
        <w:t xml:space="preserve"> y de acuerdo a lo establecido en el</w:t>
      </w:r>
      <w:r>
        <w:t xml:space="preserve"> procedimiento de ejecución de los PIRIS de </w:t>
      </w:r>
      <w:r w:rsidR="00DB7054">
        <w:t>la presente sección del ROP</w:t>
      </w:r>
      <w:r>
        <w:t>.</w:t>
      </w:r>
    </w:p>
    <w:p w14:paraId="1C035E42" w14:textId="10409B83" w:rsidR="00BD3A31" w:rsidRDefault="003F57D8" w:rsidP="009B54B5">
      <w:pPr>
        <w:pStyle w:val="Estilo1"/>
        <w:rPr>
          <w:rStyle w:val="Hyperlink"/>
          <w:color w:val="auto"/>
          <w:u w:val="none"/>
        </w:rPr>
      </w:pPr>
      <w:r w:rsidRPr="00D34605">
        <w:rPr>
          <w:rStyle w:val="Hyperlink"/>
          <w:color w:val="auto"/>
          <w:u w:val="none"/>
        </w:rPr>
        <w:t xml:space="preserve">Los gastos en desvinculaciones </w:t>
      </w:r>
      <w:r w:rsidR="006D521D" w:rsidRPr="00D34605">
        <w:rPr>
          <w:rStyle w:val="Hyperlink"/>
          <w:color w:val="auto"/>
          <w:u w:val="none"/>
        </w:rPr>
        <w:t>de personal</w:t>
      </w:r>
      <w:r w:rsidR="00043819">
        <w:rPr>
          <w:rStyle w:val="FootnoteReference"/>
        </w:rPr>
        <w:footnoteReference w:id="68"/>
      </w:r>
      <w:r w:rsidR="00BD3A31">
        <w:rPr>
          <w:rStyle w:val="Hyperlink"/>
          <w:color w:val="auto"/>
          <w:u w:val="none"/>
        </w:rPr>
        <w:t xml:space="preserve"> serán sobre los procesos </w:t>
      </w:r>
      <w:r w:rsidR="00043819" w:rsidRPr="00D34605">
        <w:rPr>
          <w:rStyle w:val="Hyperlink"/>
          <w:color w:val="auto"/>
          <w:u w:val="none"/>
        </w:rPr>
        <w:t>priorizad</w:t>
      </w:r>
      <w:r w:rsidR="00BD3A31">
        <w:rPr>
          <w:rStyle w:val="Hyperlink"/>
          <w:color w:val="auto"/>
          <w:u w:val="none"/>
        </w:rPr>
        <w:t>o</w:t>
      </w:r>
      <w:r w:rsidR="00043819" w:rsidRPr="00D34605">
        <w:rPr>
          <w:rStyle w:val="Hyperlink"/>
          <w:color w:val="auto"/>
          <w:u w:val="none"/>
        </w:rPr>
        <w:t>s en las</w:t>
      </w:r>
      <w:r w:rsidR="00BD3A31">
        <w:rPr>
          <w:rStyle w:val="Hyperlink"/>
          <w:color w:val="auto"/>
          <w:u w:val="none"/>
        </w:rPr>
        <w:t xml:space="preserve"> siguientes </w:t>
      </w:r>
      <w:r w:rsidR="00043819" w:rsidRPr="00D34605">
        <w:rPr>
          <w:rStyle w:val="Hyperlink"/>
          <w:color w:val="auto"/>
          <w:u w:val="none"/>
        </w:rPr>
        <w:t>modalidades</w:t>
      </w:r>
      <w:r w:rsidR="00CB4712">
        <w:rPr>
          <w:rStyle w:val="FootnoteReference"/>
        </w:rPr>
        <w:footnoteReference w:id="69"/>
      </w:r>
      <w:r w:rsidR="00043819" w:rsidRPr="00D34605">
        <w:rPr>
          <w:rStyle w:val="Hyperlink"/>
          <w:color w:val="auto"/>
          <w:u w:val="none"/>
        </w:rPr>
        <w:t xml:space="preserve"> : </w:t>
      </w:r>
      <w:bookmarkStart w:id="120" w:name="_Hlk22812314"/>
      <w:r w:rsidR="00043819" w:rsidRPr="00D34605">
        <w:rPr>
          <w:rStyle w:val="Hyperlink"/>
          <w:color w:val="auto"/>
          <w:u w:val="none"/>
        </w:rPr>
        <w:t>(i) desvinculación obligatoria por edad (más de 70 años); (ii) voluntaria por enfermedad catastrófica, invalidez o discapacidad</w:t>
      </w:r>
      <w:bookmarkEnd w:id="120"/>
      <w:r w:rsidR="00043819" w:rsidRPr="00D34605">
        <w:rPr>
          <w:rStyle w:val="Hyperlink"/>
          <w:color w:val="auto"/>
          <w:u w:val="none"/>
        </w:rPr>
        <w:t>;</w:t>
      </w:r>
      <w:r w:rsidR="009E35B8">
        <w:rPr>
          <w:rStyle w:val="Hyperlink"/>
          <w:color w:val="auto"/>
          <w:u w:val="none"/>
        </w:rPr>
        <w:t xml:space="preserve"> </w:t>
      </w:r>
      <w:r w:rsidR="00043819" w:rsidRPr="00D34605">
        <w:rPr>
          <w:rStyle w:val="Hyperlink"/>
          <w:color w:val="auto"/>
          <w:u w:val="none"/>
        </w:rPr>
        <w:t>y (</w:t>
      </w:r>
      <w:r w:rsidR="009E35B8">
        <w:rPr>
          <w:rStyle w:val="Hyperlink"/>
          <w:color w:val="auto"/>
          <w:u w:val="none"/>
        </w:rPr>
        <w:t>iii</w:t>
      </w:r>
      <w:r w:rsidR="00043819" w:rsidRPr="00D34605">
        <w:rPr>
          <w:rStyle w:val="Hyperlink"/>
          <w:color w:val="auto"/>
          <w:u w:val="none"/>
        </w:rPr>
        <w:t xml:space="preserve">) compra de </w:t>
      </w:r>
      <w:r w:rsidR="00CB4712" w:rsidRPr="00D34605">
        <w:rPr>
          <w:rStyle w:val="Hyperlink"/>
          <w:color w:val="auto"/>
          <w:u w:val="none"/>
        </w:rPr>
        <w:t>renuncias</w:t>
      </w:r>
      <w:r w:rsidR="00CB4712">
        <w:rPr>
          <w:rStyle w:val="FootnoteReference"/>
        </w:rPr>
        <w:footnoteReference w:id="70"/>
      </w:r>
      <w:r w:rsidR="00CB4712" w:rsidRPr="00D34605">
        <w:rPr>
          <w:rStyle w:val="Hyperlink"/>
          <w:color w:val="auto"/>
          <w:u w:val="none"/>
        </w:rPr>
        <w:t>,</w:t>
      </w:r>
      <w:r w:rsidR="00CF1087">
        <w:rPr>
          <w:rStyle w:val="Hyperlink"/>
          <w:color w:val="auto"/>
          <w:u w:val="none"/>
        </w:rPr>
        <w:t xml:space="preserve"> y </w:t>
      </w:r>
      <w:r w:rsidRPr="00D34605">
        <w:rPr>
          <w:rStyle w:val="Hyperlink"/>
          <w:color w:val="auto"/>
          <w:u w:val="none"/>
        </w:rPr>
        <w:t>serán respaldados mediante auditorías recurrentes a ser presentadas al Banco</w:t>
      </w:r>
      <w:r w:rsidR="00CF1087">
        <w:rPr>
          <w:rStyle w:val="Hyperlink"/>
          <w:color w:val="auto"/>
          <w:u w:val="none"/>
        </w:rPr>
        <w:t xml:space="preserve">, </w:t>
      </w:r>
      <w:r w:rsidRPr="00D34605">
        <w:rPr>
          <w:rStyle w:val="Hyperlink"/>
          <w:color w:val="auto"/>
          <w:u w:val="none"/>
        </w:rPr>
        <w:t>por parte del MEF</w:t>
      </w:r>
      <w:r w:rsidR="00381F3B" w:rsidRPr="00D34605">
        <w:rPr>
          <w:rStyle w:val="Hyperlink"/>
          <w:color w:val="auto"/>
          <w:u w:val="none"/>
        </w:rPr>
        <w:t xml:space="preserve">, al momento de su </w:t>
      </w:r>
      <w:r w:rsidR="00D34605" w:rsidRPr="00D34605">
        <w:rPr>
          <w:rStyle w:val="Hyperlink"/>
          <w:color w:val="auto"/>
          <w:u w:val="none"/>
        </w:rPr>
        <w:t xml:space="preserve">justificación o </w:t>
      </w:r>
      <w:r w:rsidR="00381F3B" w:rsidRPr="00D34605">
        <w:rPr>
          <w:rStyle w:val="Hyperlink"/>
          <w:color w:val="auto"/>
          <w:u w:val="none"/>
        </w:rPr>
        <w:t xml:space="preserve">solicitud de reembolso en los </w:t>
      </w:r>
      <w:r w:rsidR="006D521D" w:rsidRPr="006D521D">
        <w:t>términos previamente acordado</w:t>
      </w:r>
      <w:r w:rsidR="00381F3B">
        <w:t>s</w:t>
      </w:r>
      <w:r w:rsidR="006D521D" w:rsidRPr="006D521D">
        <w:t xml:space="preserve"> con el Banco</w:t>
      </w:r>
      <w:r w:rsidRPr="00D34605">
        <w:rPr>
          <w:rStyle w:val="Hyperlink"/>
          <w:color w:val="auto"/>
          <w:u w:val="none"/>
        </w:rPr>
        <w:t>.</w:t>
      </w:r>
      <w:r w:rsidR="001F29D4" w:rsidRPr="00D34605">
        <w:rPr>
          <w:rStyle w:val="Hyperlink"/>
          <w:color w:val="auto"/>
          <w:u w:val="none"/>
        </w:rPr>
        <w:t xml:space="preserve"> </w:t>
      </w:r>
    </w:p>
    <w:p w14:paraId="533584FB" w14:textId="00ECD86F" w:rsidR="008820F6" w:rsidRDefault="00381F3B" w:rsidP="009B54B5">
      <w:pPr>
        <w:pStyle w:val="Estilo1"/>
        <w:rPr>
          <w:rStyle w:val="Hyperlink"/>
          <w:color w:val="auto"/>
          <w:u w:val="none"/>
        </w:rPr>
      </w:pPr>
      <w:r w:rsidRPr="00D34605">
        <w:rPr>
          <w:rStyle w:val="Hyperlink"/>
          <w:color w:val="auto"/>
          <w:u w:val="none"/>
        </w:rPr>
        <w:t xml:space="preserve">El Banco podrá modificar la periodicidad de presentación de las auditorías recurrentes mediante comunicación escrita. </w:t>
      </w:r>
      <w:r w:rsidR="008820F6" w:rsidRPr="00D34605">
        <w:rPr>
          <w:rStyle w:val="Hyperlink"/>
          <w:color w:val="auto"/>
          <w:u w:val="none"/>
        </w:rPr>
        <w:t xml:space="preserve">no obstante, este informe se presentará </w:t>
      </w:r>
      <w:r w:rsidRPr="00D34605">
        <w:rPr>
          <w:rStyle w:val="Hyperlink"/>
          <w:color w:val="auto"/>
          <w:u w:val="none"/>
        </w:rPr>
        <w:t xml:space="preserve">también </w:t>
      </w:r>
      <w:r w:rsidR="008820F6" w:rsidRPr="00D34605">
        <w:rPr>
          <w:rStyle w:val="Hyperlink"/>
          <w:color w:val="auto"/>
          <w:u w:val="none"/>
        </w:rPr>
        <w:t xml:space="preserve">junto con los Estados Financieros Auditados. Los auditores efectuarán una revisión, bajo </w:t>
      </w:r>
      <w:r w:rsidR="00D34605" w:rsidRPr="00D34605">
        <w:rPr>
          <w:rStyle w:val="Hyperlink"/>
          <w:color w:val="auto"/>
          <w:u w:val="none"/>
        </w:rPr>
        <w:t>a</w:t>
      </w:r>
      <w:r w:rsidR="008820F6" w:rsidRPr="00D34605">
        <w:rPr>
          <w:rStyle w:val="Hyperlink"/>
          <w:color w:val="auto"/>
          <w:u w:val="none"/>
        </w:rPr>
        <w:t xml:space="preserve">seguramiento </w:t>
      </w:r>
      <w:r w:rsidR="00D34605" w:rsidRPr="00D34605">
        <w:rPr>
          <w:rStyle w:val="Hyperlink"/>
          <w:color w:val="auto"/>
          <w:u w:val="none"/>
        </w:rPr>
        <w:t>r</w:t>
      </w:r>
      <w:r w:rsidR="008820F6" w:rsidRPr="00D34605">
        <w:rPr>
          <w:rStyle w:val="Hyperlink"/>
          <w:color w:val="auto"/>
          <w:u w:val="none"/>
        </w:rPr>
        <w:t xml:space="preserve">azonable, para verificar los registros, la documentación soporte y la pertinencia de los gastos efectuados, considerando </w:t>
      </w:r>
      <w:r w:rsidR="00D34605" w:rsidRPr="00D34605">
        <w:rPr>
          <w:rStyle w:val="Hyperlink"/>
          <w:color w:val="auto"/>
          <w:u w:val="none"/>
        </w:rPr>
        <w:t xml:space="preserve">el estricto cumplimiento a la legislación nacional y </w:t>
      </w:r>
      <w:r w:rsidR="008820F6" w:rsidRPr="00D34605">
        <w:rPr>
          <w:rStyle w:val="Hyperlink"/>
          <w:color w:val="auto"/>
          <w:u w:val="none"/>
        </w:rPr>
        <w:t xml:space="preserve">lo indicado en el </w:t>
      </w:r>
      <w:r w:rsidR="00D34605" w:rsidRPr="00D34605">
        <w:rPr>
          <w:rStyle w:val="Hyperlink"/>
          <w:color w:val="auto"/>
          <w:u w:val="none"/>
        </w:rPr>
        <w:t xml:space="preserve">Contrato de Préstamo y </w:t>
      </w:r>
      <w:r w:rsidR="008820F6" w:rsidRPr="00D34605">
        <w:rPr>
          <w:rStyle w:val="Hyperlink"/>
          <w:color w:val="auto"/>
          <w:u w:val="none"/>
        </w:rPr>
        <w:t xml:space="preserve">ROP. </w:t>
      </w:r>
    </w:p>
    <w:p w14:paraId="1937D346" w14:textId="7ABE3EC8" w:rsidR="003815AF" w:rsidRDefault="00F54858" w:rsidP="009B54B5">
      <w:pPr>
        <w:pStyle w:val="Estilo1"/>
        <w:rPr>
          <w:rStyle w:val="Hyperlink"/>
          <w:color w:val="auto"/>
          <w:u w:val="none"/>
        </w:rPr>
      </w:pPr>
      <w:r w:rsidRPr="00F54858">
        <w:rPr>
          <w:rStyle w:val="Hyperlink"/>
          <w:b/>
          <w:bCs/>
          <w:color w:val="auto"/>
        </w:rPr>
        <w:t>Modelo de gestión para los planes de desvinculación.</w:t>
      </w:r>
      <w:r>
        <w:rPr>
          <w:rStyle w:val="Hyperlink"/>
          <w:color w:val="auto"/>
          <w:u w:val="none"/>
        </w:rPr>
        <w:t xml:space="preserve"> – El modelo de gestión del Programa para los planes de desvinculación se fundamentará en lo establecido por el MDT, a través de la Coordinación de Planificación y Gestión Estratégica del Ministerio. A continuación, el esquema de gestión 2017-2021 para los planes de desvinculación del MDT:</w:t>
      </w:r>
    </w:p>
    <w:p w14:paraId="1E4F0D21" w14:textId="13981D48" w:rsidR="00F54858" w:rsidRDefault="00F54858" w:rsidP="00F54858">
      <w:pPr>
        <w:pStyle w:val="Estilo1"/>
        <w:numPr>
          <w:ilvl w:val="0"/>
          <w:numId w:val="0"/>
        </w:numPr>
        <w:rPr>
          <w:rStyle w:val="Hyperlink"/>
          <w:color w:val="auto"/>
          <w:u w:val="none"/>
        </w:rPr>
      </w:pPr>
    </w:p>
    <w:p w14:paraId="4DA81B9D" w14:textId="32488CC5" w:rsidR="00F54858" w:rsidRDefault="00CF0D30" w:rsidP="00F54858">
      <w:pPr>
        <w:pStyle w:val="Estilo1"/>
        <w:numPr>
          <w:ilvl w:val="0"/>
          <w:numId w:val="0"/>
        </w:numPr>
        <w:rPr>
          <w:rStyle w:val="Hyperlink"/>
          <w:color w:val="auto"/>
          <w:u w:val="none"/>
        </w:rPr>
      </w:pPr>
      <w:r w:rsidRPr="00CF0D30">
        <w:rPr>
          <w:noProof/>
        </w:rPr>
        <w:lastRenderedPageBreak/>
        <mc:AlternateContent>
          <mc:Choice Requires="wpg">
            <w:drawing>
              <wp:inline distT="0" distB="0" distL="0" distR="0" wp14:anchorId="244D3C15" wp14:editId="5C161763">
                <wp:extent cx="5760000" cy="3676698"/>
                <wp:effectExtent l="0" t="0" r="0" b="0"/>
                <wp:docPr id="2" name="Grupo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760000" cy="3676698"/>
                          <a:chOff x="0" y="0"/>
                          <a:chExt cx="7598329" cy="4850356"/>
                        </a:xfrm>
                      </wpg:grpSpPr>
                      <wps:wsp>
                        <wps:cNvPr id="4" name="Rectángulo 4"/>
                        <wps:cNvSpPr/>
                        <wps:spPr>
                          <a:xfrm>
                            <a:off x="0" y="1"/>
                            <a:ext cx="2497822" cy="474135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8580" tIns="34290" rIns="68580" bIns="34290" numCol="1" spcCol="0" rtlCol="0" fromWordArt="0" anchor="ctr" anchorCtr="0" forceAA="0" compatLnSpc="1">
                          <a:prstTxWarp prst="textNoShape">
                            <a:avLst/>
                          </a:prstTxWarp>
                          <a:noAutofit/>
                        </wps:bodyPr>
                      </wps:wsp>
                      <wps:wsp>
                        <wps:cNvPr id="5" name="Rectángulo 5"/>
                        <wps:cNvSpPr/>
                        <wps:spPr>
                          <a:xfrm>
                            <a:off x="2550253" y="1"/>
                            <a:ext cx="2497822" cy="4741353"/>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8580" tIns="34290" rIns="68580" bIns="34290" numCol="1" spcCol="0" rtlCol="0" fromWordArt="0" anchor="ctr" anchorCtr="0" forceAA="0" compatLnSpc="1">
                          <a:prstTxWarp prst="textNoShape">
                            <a:avLst/>
                          </a:prstTxWarp>
                          <a:noAutofit/>
                        </wps:bodyPr>
                      </wps:wsp>
                      <wps:wsp>
                        <wps:cNvPr id="6" name="Rectángulo 6"/>
                        <wps:cNvSpPr/>
                        <wps:spPr>
                          <a:xfrm>
                            <a:off x="5100507" y="0"/>
                            <a:ext cx="2497822" cy="474135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68580" tIns="34290" rIns="68580" bIns="34290" numCol="1" spcCol="0" rtlCol="0" fromWordArt="0" anchor="ctr" anchorCtr="0" forceAA="0" compatLnSpc="1">
                          <a:prstTxWarp prst="textNoShape">
                            <a:avLst/>
                          </a:prstTxWarp>
                          <a:noAutofit/>
                        </wps:bodyPr>
                      </wps:wsp>
                      <wps:wsp>
                        <wps:cNvPr id="7" name="CuadroTexto 4"/>
                        <wps:cNvSpPr txBox="1"/>
                        <wps:spPr>
                          <a:xfrm>
                            <a:off x="220152" y="4428992"/>
                            <a:ext cx="2057300" cy="421364"/>
                          </a:xfrm>
                          <a:prstGeom prst="rect">
                            <a:avLst/>
                          </a:prstGeom>
                          <a:noFill/>
                        </wps:spPr>
                        <wps:txbx>
                          <w:txbxContent>
                            <w:p w14:paraId="64EDC485"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FINANCIAMIENTO</w:t>
                              </w:r>
                            </w:p>
                          </w:txbxContent>
                        </wps:txbx>
                        <wps:bodyPr wrap="square" rtlCol="0">
                          <a:spAutoFit/>
                        </wps:bodyPr>
                      </wps:wsp>
                      <wps:wsp>
                        <wps:cNvPr id="8" name="CuadroTexto 5"/>
                        <wps:cNvSpPr txBox="1"/>
                        <wps:spPr>
                          <a:xfrm>
                            <a:off x="2769731" y="4428959"/>
                            <a:ext cx="2056463" cy="421364"/>
                          </a:xfrm>
                          <a:prstGeom prst="rect">
                            <a:avLst/>
                          </a:prstGeom>
                          <a:noFill/>
                        </wps:spPr>
                        <wps:txbx>
                          <w:txbxContent>
                            <w:p w14:paraId="5C5B4AAB"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OPERACIÓN</w:t>
                              </w:r>
                            </w:p>
                          </w:txbxContent>
                        </wps:txbx>
                        <wps:bodyPr wrap="square" rtlCol="0">
                          <a:spAutoFit/>
                        </wps:bodyPr>
                      </wps:wsp>
                      <wps:wsp>
                        <wps:cNvPr id="9" name="CuadroTexto 6"/>
                        <wps:cNvSpPr txBox="1"/>
                        <wps:spPr>
                          <a:xfrm>
                            <a:off x="5319313" y="4428937"/>
                            <a:ext cx="2057300" cy="421364"/>
                          </a:xfrm>
                          <a:prstGeom prst="rect">
                            <a:avLst/>
                          </a:prstGeom>
                          <a:noFill/>
                        </wps:spPr>
                        <wps:txbx>
                          <w:txbxContent>
                            <w:p w14:paraId="524D660A"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BENEFICIARIO</w:t>
                              </w:r>
                            </w:p>
                          </w:txbxContent>
                        </wps:txbx>
                        <wps:bodyPr wrap="square" rtlCol="0">
                          <a:spAutoFit/>
                        </wps:bodyPr>
                      </wps:wsp>
                      <wps:wsp>
                        <wps:cNvPr id="10" name="Rectángulo 10"/>
                        <wps:cNvSpPr/>
                        <wps:spPr>
                          <a:xfrm>
                            <a:off x="2947682" y="307759"/>
                            <a:ext cx="1702965" cy="75500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58DF33"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PRESIDENCIA CONSEJO SECTORIAL DE LO SOCIAL</w:t>
                              </w:r>
                              <w:r w:rsidRPr="00CF0D30">
                                <w:rPr>
                                  <w:rFonts w:asciiTheme="minorHAnsi"/>
                                  <w:color w:val="FFFFFF" w:themeColor="light1"/>
                                  <w:kern w:val="24"/>
                                  <w:sz w:val="18"/>
                                  <w:szCs w:val="18"/>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Rectángulo 11"/>
                        <wps:cNvSpPr/>
                        <wps:spPr>
                          <a:xfrm>
                            <a:off x="2947680" y="1415196"/>
                            <a:ext cx="1702965" cy="75500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C3CA2F"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PLANIFICA ECUADOR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ectángulo 12"/>
                        <wps:cNvSpPr/>
                        <wps:spPr>
                          <a:xfrm>
                            <a:off x="2947680" y="2522634"/>
                            <a:ext cx="1702965" cy="75500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AAD863"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MDT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ectángulo 13"/>
                        <wps:cNvSpPr/>
                        <wps:spPr>
                          <a:xfrm>
                            <a:off x="367017" y="1952539"/>
                            <a:ext cx="1702965" cy="755009"/>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DF3FE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MEF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ángulo 14"/>
                        <wps:cNvSpPr/>
                        <wps:spPr>
                          <a:xfrm>
                            <a:off x="367016" y="3191144"/>
                            <a:ext cx="1702965" cy="755009"/>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8B375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BID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ángulo 15"/>
                        <wps:cNvSpPr/>
                        <wps:spPr>
                          <a:xfrm>
                            <a:off x="5445502" y="1952539"/>
                            <a:ext cx="1702965" cy="75500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FBD535"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ENTIDADES PUBLICAS DE LA FUNCION EJECUTIVA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Rectángulo 16"/>
                        <wps:cNvSpPr/>
                        <wps:spPr>
                          <a:xfrm>
                            <a:off x="5445501" y="3191143"/>
                            <a:ext cx="1702965" cy="75500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C3AEF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SERVIDOR PUBLICO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Conector recto de flecha 17"/>
                        <wps:cNvCnPr/>
                        <wps:spPr>
                          <a:xfrm>
                            <a:off x="2069982" y="2330044"/>
                            <a:ext cx="877698" cy="570094"/>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s:wsp>
                        <wps:cNvPr id="18" name="Conector recto de flecha 18"/>
                        <wps:cNvCnPr>
                          <a:cxnSpLocks/>
                        </wps:cNvCnPr>
                        <wps:spPr>
                          <a:xfrm flipV="1">
                            <a:off x="1218499" y="2707548"/>
                            <a:ext cx="1" cy="483596"/>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s:wsp>
                        <wps:cNvPr id="19" name="Conector recto de flecha 19"/>
                        <wps:cNvCnPr>
                          <a:cxnSpLocks/>
                        </wps:cNvCnPr>
                        <wps:spPr>
                          <a:xfrm flipV="1">
                            <a:off x="4650645" y="2330044"/>
                            <a:ext cx="794857" cy="570095"/>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s:wsp>
                        <wps:cNvPr id="20" name="Conector recto de flecha 20"/>
                        <wps:cNvCnPr>
                          <a:cxnSpLocks/>
                        </wps:cNvCnPr>
                        <wps:spPr>
                          <a:xfrm flipH="1">
                            <a:off x="6296984" y="2707548"/>
                            <a:ext cx="1" cy="483595"/>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s:wsp>
                        <wps:cNvPr id="21" name="Conector recto de flecha 21"/>
                        <wps:cNvCnPr>
                          <a:cxnSpLocks/>
                        </wps:cNvCnPr>
                        <wps:spPr>
                          <a:xfrm>
                            <a:off x="3799163" y="2170205"/>
                            <a:ext cx="0" cy="352429"/>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s:wsp>
                        <wps:cNvPr id="22" name="Conector recto de flecha 22"/>
                        <wps:cNvCnPr>
                          <a:cxnSpLocks/>
                        </wps:cNvCnPr>
                        <wps:spPr>
                          <a:xfrm flipH="1">
                            <a:off x="3799163" y="1062768"/>
                            <a:ext cx="2" cy="352428"/>
                          </a:xfrm>
                          <a:prstGeom prst="straightConnector1">
                            <a:avLst/>
                          </a:prstGeom>
                          <a:ln>
                            <a:tailEnd type="none"/>
                          </a:ln>
                        </wps:spPr>
                        <wps:style>
                          <a:lnRef idx="3">
                            <a:schemeClr val="accent3"/>
                          </a:lnRef>
                          <a:fillRef idx="0">
                            <a:schemeClr val="accent3"/>
                          </a:fillRef>
                          <a:effectRef idx="2">
                            <a:schemeClr val="accent3"/>
                          </a:effectRef>
                          <a:fontRef idx="minor">
                            <a:schemeClr val="tx1"/>
                          </a:fontRef>
                        </wps:style>
                        <wps:bodyPr/>
                      </wps:wsp>
                    </wpg:wgp>
                  </a:graphicData>
                </a:graphic>
              </wp:inline>
            </w:drawing>
          </mc:Choice>
          <mc:Fallback>
            <w:pict>
              <v:group w14:anchorId="244D3C15" id="Grupo 33" o:spid="_x0000_s1026" style="width:453.55pt;height:289.5pt;mso-position-horizontal-relative:char;mso-position-vertical-relative:line" coordsize="75983,48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">
                <o:lock v:ext="edit" aspectratio="t"/>
                <v:rect id="Rectángulo 4" o:spid="_x0000_s1027" style="position:absolute;width:24978;height:47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" fillcolor="#f2f2f2 [3052]" stroked="f" strokeweight="1pt">
                  <v:textbox inset="5.4pt,2.7pt,5.4pt,2.7pt"/>
                </v:rect>
                <v:rect id="Rectángulo 5" o:spid="_x0000_s1028" style="position:absolute;left:25502;width:24978;height:47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" fillcolor="#e7e6e6 [3214]" stroked="f" strokeweight="1pt">
                  <v:textbox inset="5.4pt,2.7pt,5.4pt,2.7pt"/>
                </v:rect>
                <v:rect id="Rectángulo 6" o:spid="_x0000_s1029" style="position:absolute;left:51005;width:24978;height:47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" fillcolor="#d8d8d8 [2732]" stroked="f" strokeweight="1pt">
                  <v:textbox inset="5.4pt,2.7pt,5.4pt,2.7pt"/>
                </v:rect>
                <v:shapetype id="_x0000_t202" coordsize="21600,21600" o:spt="202" path="m,l,21600r21600,l21600,xe">
                  <v:stroke joinstyle="miter"/>
                  <v:path gradientshapeok="t" o:connecttype="rect"/>
                </v:shapetype>
                <v:shape id="CuadroTexto 4" o:spid="_x0000_s1030" type="#_x0000_t202" style="position:absolute;left:2201;top:44289;width:20573;height:4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64EDC485"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FINANCIAMIENTO</w:t>
                        </w:r>
                      </w:p>
                    </w:txbxContent>
                  </v:textbox>
                </v:shape>
                <v:shape id="CuadroTexto 5" o:spid="_x0000_s1031" type="#_x0000_t202" style="position:absolute;left:27697;top:44289;width:20564;height:4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14:paraId="5C5B4AAB"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OPERACIÓN</w:t>
                        </w:r>
                      </w:p>
                    </w:txbxContent>
                  </v:textbox>
                </v:shape>
                <v:shape id="CuadroTexto 6" o:spid="_x0000_s1032" type="#_x0000_t202" style="position:absolute;left:53193;top:44289;width:20573;height:4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524D660A" w14:textId="77777777" w:rsidR="00622372" w:rsidRPr="00CF0D30" w:rsidRDefault="00622372" w:rsidP="00CF0D30">
                        <w:pPr>
                          <w:jc w:val="center"/>
                          <w:rPr>
                            <w:sz w:val="18"/>
                            <w:szCs w:val="18"/>
                          </w:rPr>
                        </w:pPr>
                        <w:r w:rsidRPr="00CF0D30">
                          <w:rPr>
                            <w:rFonts w:asciiTheme="minorHAnsi"/>
                            <w:b/>
                            <w:bCs/>
                            <w:color w:val="000000" w:themeColor="text1"/>
                            <w:spacing w:val="-8"/>
                            <w:kern w:val="24"/>
                            <w:sz w:val="18"/>
                            <w:szCs w:val="18"/>
                          </w:rPr>
                          <w:t>BENEFICIARIO</w:t>
                        </w:r>
                      </w:p>
                    </w:txbxContent>
                  </v:textbox>
                </v:shape>
                <v:rect id="Rectángulo 10" o:spid="_x0000_s1033" style="position:absolute;left:29476;top:3077;width:17030;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" fillcolor="#f2f2f2 [3052]" stroked="f" strokeweight="1pt">
                  <v:textbox>
                    <w:txbxContent>
                      <w:p w14:paraId="7058DF33"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PRESIDENCIA CONSEJO SECTORIAL DE LO SOCIAL</w:t>
                        </w:r>
                        <w:r w:rsidRPr="00CF0D30">
                          <w:rPr>
                            <w:rFonts w:asciiTheme="minorHAnsi"/>
                            <w:color w:val="FFFFFF" w:themeColor="light1"/>
                            <w:kern w:val="24"/>
                            <w:sz w:val="18"/>
                            <w:szCs w:val="18"/>
                          </w:rPr>
                          <w:t xml:space="preserve"> </w:t>
                        </w:r>
                      </w:p>
                    </w:txbxContent>
                  </v:textbox>
                </v:rect>
                <v:rect id="Rectángulo 11" o:spid="_x0000_s1034" style="position:absolute;left:29476;top:14151;width:17030;height:75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" fillcolor="#f2f2f2 [3052]" stroked="f" strokeweight="1pt">
                  <v:textbox>
                    <w:txbxContent>
                      <w:p w14:paraId="34C3CA2F"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PLANIFICA ECUADOR</w:t>
                        </w:r>
                      </w:p>
                    </w:txbxContent>
                  </v:textbox>
                </v:rect>
                <v:rect id="Rectángulo 12" o:spid="_x0000_s1035" style="position:absolute;left:29476;top:25226;width:17030;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" fillcolor="#f2f2f2 [3052]" stroked="f" strokeweight="1pt">
                  <v:textbox>
                    <w:txbxContent>
                      <w:p w14:paraId="11AAD863"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MDT</w:t>
                        </w:r>
                      </w:p>
                    </w:txbxContent>
                  </v:textbox>
                </v:rect>
                <v:rect id="Rectángulo 13" o:spid="_x0000_s1036" style="position:absolute;left:3670;top:19525;width:17029;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" fillcolor="#cfcdcd [2894]" stroked="f" strokeweight="1pt">
                  <v:textbox>
                    <w:txbxContent>
                      <w:p w14:paraId="32DF3FE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MEF</w:t>
                        </w:r>
                      </w:p>
                    </w:txbxContent>
                  </v:textbox>
                </v:rect>
                <v:rect id="Rectángulo 14" o:spid="_x0000_s1037" style="position:absolute;left:3670;top:31911;width:17029;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" fillcolor="#cfcdcd [2894]" stroked="f" strokeweight="1pt">
                  <v:textbox>
                    <w:txbxContent>
                      <w:p w14:paraId="668B375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BID</w:t>
                        </w:r>
                      </w:p>
                    </w:txbxContent>
                  </v:textbox>
                </v:rect>
                <v:rect id="Rectángulo 15" o:spid="_x0000_s1038" style="position:absolute;left:54455;top:19525;width:17029;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" fillcolor="#f2f2f2 [3052]" stroked="f" strokeweight="1pt">
                  <v:textbox>
                    <w:txbxContent>
                      <w:p w14:paraId="3CFBD535"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ENTIDADES PUBLICAS DE LA FUNCION EJECUTIVA</w:t>
                        </w:r>
                      </w:p>
                    </w:txbxContent>
                  </v:textbox>
                </v:rect>
                <v:rect id="Rectángulo 16" o:spid="_x0000_s1039" style="position:absolute;left:54455;top:31911;width:17029;height:7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" fillcolor="#f2f2f2 [3052]" stroked="f" strokeweight="1pt">
                  <v:textbox>
                    <w:txbxContent>
                      <w:p w14:paraId="42C3AEFC" w14:textId="77777777" w:rsidR="00622372" w:rsidRPr="00CF0D30" w:rsidRDefault="00622372" w:rsidP="00CF0D30">
                        <w:pPr>
                          <w:jc w:val="center"/>
                          <w:rPr>
                            <w:sz w:val="18"/>
                            <w:szCs w:val="18"/>
                          </w:rPr>
                        </w:pPr>
                        <w:r w:rsidRPr="00CF0D30">
                          <w:rPr>
                            <w:rFonts w:asciiTheme="minorHAnsi"/>
                            <w:color w:val="000000" w:themeColor="text1"/>
                            <w:spacing w:val="-14"/>
                            <w:kern w:val="24"/>
                            <w:sz w:val="18"/>
                            <w:szCs w:val="18"/>
                          </w:rPr>
                          <w:t>SERVIDOR PUBLICO</w:t>
                        </w:r>
                      </w:p>
                    </w:txbxContent>
                  </v:textbox>
                </v:rect>
                <v:shapetype id="_x0000_t32" coordsize="21600,21600" o:spt="32" o:oned="t" path="m,l21600,21600e" filled="f">
                  <v:path arrowok="t" fillok="f" o:connecttype="none"/>
                  <o:lock v:ext="edit" shapetype="t"/>
                </v:shapetype>
                <v:shape id="Conector recto de flecha 17" o:spid="_x0000_s1040" type="#_x0000_t32" style="position:absolute;left:20699;top:23300;width:8777;height:57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" strokecolor="#a5a5a5 [3206]" strokeweight="1.5pt">
                  <v:stroke joinstyle="miter"/>
                </v:shape>
                <v:shape id="Conector recto de flecha 18" o:spid="_x0000_s1041" type="#_x0000_t32" style="position:absolute;left:12184;top:27075;width:1;height:483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" strokecolor="#a5a5a5 [3206]" strokeweight="1.5pt">
                  <v:stroke joinstyle="miter"/>
                  <o:lock v:ext="edit" shapetype="f"/>
                </v:shape>
                <v:shape id="Conector recto de flecha 19" o:spid="_x0000_s1042" type="#_x0000_t32" style="position:absolute;left:46506;top:23300;width:7949;height:57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" strokecolor="#a5a5a5 [3206]" strokeweight="1.5pt">
                  <v:stroke joinstyle="miter"/>
                  <o:lock v:ext="edit" shapetype="f"/>
                </v:shape>
                <v:shape id="Conector recto de flecha 20" o:spid="_x0000_s1043" type="#_x0000_t32" style="position:absolute;left:62969;top:27075;width:0;height:48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" strokecolor="#a5a5a5 [3206]" strokeweight="1.5pt">
                  <v:stroke joinstyle="miter"/>
                  <o:lock v:ext="edit" shapetype="f"/>
                </v:shape>
                <v:shape id="Conector recto de flecha 21" o:spid="_x0000_s1044" type="#_x0000_t32" style="position:absolute;left:37991;top:21702;width:0;height:3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" strokecolor="#a5a5a5 [3206]" strokeweight="1.5pt">
                  <v:stroke joinstyle="miter"/>
                  <o:lock v:ext="edit" shapetype="f"/>
                </v:shape>
                <v:shape id="Conector recto de flecha 22" o:spid="_x0000_s1045" type="#_x0000_t32" style="position:absolute;left:37991;top:10627;width:0;height:35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" strokecolor="#a5a5a5 [3206]" strokeweight="1.5pt">
                  <v:stroke joinstyle="miter"/>
                  <o:lock v:ext="edit" shapetype="f"/>
                </v:shape>
                <w10:anchorlock/>
              </v:group>
            </w:pict>
          </mc:Fallback>
        </mc:AlternateContent>
      </w:r>
    </w:p>
    <w:p w14:paraId="15892D75" w14:textId="77777777" w:rsidR="00F54858" w:rsidRPr="00D34605" w:rsidRDefault="00F54858" w:rsidP="00F54858">
      <w:pPr>
        <w:pStyle w:val="Estilo1"/>
        <w:numPr>
          <w:ilvl w:val="0"/>
          <w:numId w:val="0"/>
        </w:numPr>
        <w:rPr>
          <w:rStyle w:val="Hyperlink"/>
          <w:color w:val="auto"/>
          <w:u w:val="none"/>
        </w:rPr>
      </w:pPr>
    </w:p>
    <w:p w14:paraId="7DFBF667" w14:textId="4843DC66" w:rsidR="005173F3" w:rsidRPr="001F29D4" w:rsidRDefault="001F29D4" w:rsidP="009B54B5">
      <w:pPr>
        <w:pStyle w:val="Estilo1"/>
        <w:rPr>
          <w:rStyle w:val="Hyperlink"/>
          <w:color w:val="auto"/>
          <w:u w:val="none"/>
        </w:rPr>
      </w:pPr>
      <w:r w:rsidRPr="001F29D4">
        <w:rPr>
          <w:b/>
          <w:bCs/>
          <w:u w:val="single"/>
        </w:rPr>
        <w:t xml:space="preserve">Criterios de elegibilidad de </w:t>
      </w:r>
      <w:r w:rsidR="00E12903" w:rsidRPr="001F29D4">
        <w:rPr>
          <w:b/>
          <w:bCs/>
          <w:u w:val="single"/>
        </w:rPr>
        <w:t xml:space="preserve">las </w:t>
      </w:r>
      <w:r w:rsidR="002D3DE3" w:rsidRPr="001F29D4">
        <w:rPr>
          <w:b/>
          <w:bCs/>
          <w:u w:val="single"/>
        </w:rPr>
        <w:t>desvinculaciones.</w:t>
      </w:r>
      <w:r w:rsidR="002D3DE3" w:rsidRPr="001F29D4">
        <w:rPr>
          <w:rStyle w:val="Hyperlink"/>
          <w:color w:val="auto"/>
          <w:u w:val="none"/>
        </w:rPr>
        <w:t xml:space="preserve"> -</w:t>
      </w:r>
      <w:r w:rsidRPr="001F29D4">
        <w:rPr>
          <w:rStyle w:val="Hyperlink"/>
          <w:color w:val="auto"/>
          <w:u w:val="none"/>
        </w:rPr>
        <w:t xml:space="preserve"> </w:t>
      </w:r>
      <w:r w:rsidR="00CC0AFF" w:rsidRPr="001F29D4">
        <w:rPr>
          <w:rStyle w:val="Hyperlink"/>
          <w:color w:val="auto"/>
          <w:u w:val="none"/>
        </w:rPr>
        <w:t>Todo proceso de desvinculación debe tener el aval del MDT.  El dictamen del MDT consiste en la priorización y emisión del aval para el pago, el cual se elabora sobre la base de lo establecido en la normativa nacional.  Sin el aval del MDT no se considerará elegible ningún tipo de desvinculación.</w:t>
      </w:r>
      <w:r w:rsidR="005173F3" w:rsidRPr="001F29D4">
        <w:rPr>
          <w:rStyle w:val="Hyperlink"/>
          <w:color w:val="auto"/>
          <w:u w:val="none"/>
        </w:rPr>
        <w:t xml:space="preserve"> </w:t>
      </w:r>
    </w:p>
    <w:p w14:paraId="3695C4EE" w14:textId="77777777" w:rsidR="00703BB3" w:rsidRPr="00DD5556" w:rsidRDefault="00703BB3" w:rsidP="00C7571A">
      <w:pPr>
        <w:ind w:left="720" w:hanging="720"/>
      </w:pPr>
    </w:p>
    <w:p w14:paraId="37F50E45" w14:textId="77777777" w:rsidR="0011580F" w:rsidRDefault="0011580F" w:rsidP="0011580F">
      <w:pPr>
        <w:spacing w:after="0"/>
        <w:contextualSpacing/>
        <w:rPr>
          <w:rFonts w:cstheme="minorHAnsi"/>
          <w:szCs w:val="20"/>
          <w:lang w:val="es-ES"/>
        </w:rPr>
      </w:pPr>
    </w:p>
    <w:p w14:paraId="4F31518B" w14:textId="47A149B2" w:rsidR="002B22F9" w:rsidRDefault="002B22F9">
      <w:pPr>
        <w:tabs>
          <w:tab w:val="clear" w:pos="720"/>
        </w:tabs>
        <w:spacing w:after="160" w:line="259" w:lineRule="auto"/>
        <w:jc w:val="left"/>
        <w:rPr>
          <w:rFonts w:cstheme="minorHAnsi"/>
          <w:szCs w:val="20"/>
          <w:lang w:val="es-ES"/>
        </w:rPr>
      </w:pPr>
      <w:r>
        <w:rPr>
          <w:rFonts w:cstheme="minorHAnsi"/>
          <w:szCs w:val="20"/>
          <w:lang w:val="es-ES"/>
        </w:rPr>
        <w:br w:type="page"/>
      </w:r>
    </w:p>
    <w:p w14:paraId="64D4AEBD" w14:textId="4470A3B2" w:rsidR="009D078D" w:rsidRPr="0011580F" w:rsidRDefault="009D078D" w:rsidP="009D078D">
      <w:pPr>
        <w:spacing w:after="0"/>
        <w:contextualSpacing/>
        <w:rPr>
          <w:rFonts w:cstheme="minorHAnsi"/>
          <w:szCs w:val="20"/>
          <w:lang w:val="es-ES"/>
        </w:rPr>
      </w:pPr>
      <w:r w:rsidRPr="0011580F">
        <w:rPr>
          <w:rFonts w:cstheme="minorHAnsi"/>
          <w:szCs w:val="20"/>
          <w:lang w:val="es-ES"/>
        </w:rPr>
        <w:lastRenderedPageBreak/>
        <w:t xml:space="preserve">Para constancia y fiel cumplimiento de lo estipulado, las partes declaran expresamente aceptar y someterse a todas y cada una de las cláusulas descritas en el presente instrumento, por lo que proceden a suscribirlo en </w:t>
      </w:r>
      <w:r>
        <w:rPr>
          <w:rFonts w:cstheme="minorHAnsi"/>
          <w:szCs w:val="20"/>
          <w:lang w:val="es-ES"/>
        </w:rPr>
        <w:t xml:space="preserve">seis </w:t>
      </w:r>
      <w:r w:rsidRPr="0011580F">
        <w:rPr>
          <w:rFonts w:cstheme="minorHAnsi"/>
          <w:szCs w:val="20"/>
          <w:lang w:val="es-ES"/>
        </w:rPr>
        <w:t>(</w:t>
      </w:r>
      <w:r>
        <w:rPr>
          <w:rFonts w:cstheme="minorHAnsi"/>
          <w:szCs w:val="20"/>
          <w:lang w:val="es-ES"/>
        </w:rPr>
        <w:t>6</w:t>
      </w:r>
      <w:r w:rsidRPr="0011580F">
        <w:rPr>
          <w:rFonts w:cstheme="minorHAnsi"/>
          <w:szCs w:val="20"/>
          <w:lang w:val="es-ES"/>
        </w:rPr>
        <w:t xml:space="preserve">) ejemplares de igual tenor y valor, en </w:t>
      </w:r>
      <w:r>
        <w:rPr>
          <w:rFonts w:cstheme="minorHAnsi"/>
          <w:szCs w:val="20"/>
          <w:lang w:val="es-ES"/>
        </w:rPr>
        <w:t>el DM Quito</w:t>
      </w:r>
      <w:r w:rsidRPr="0011580F">
        <w:rPr>
          <w:rFonts w:cstheme="minorHAnsi"/>
          <w:szCs w:val="20"/>
          <w:lang w:val="es-ES"/>
        </w:rPr>
        <w:t xml:space="preserve">, </w:t>
      </w:r>
      <w:r w:rsidRPr="001245D3">
        <w:rPr>
          <w:rFonts w:cstheme="minorHAnsi"/>
          <w:szCs w:val="20"/>
          <w:highlight w:val="yellow"/>
          <w:lang w:val="es-ES"/>
        </w:rPr>
        <w:t>a los XX días del mes de XXXXX de 2019</w:t>
      </w:r>
      <w:r w:rsidRPr="0011580F">
        <w:rPr>
          <w:rFonts w:cstheme="minorHAnsi"/>
          <w:szCs w:val="20"/>
          <w:lang w:val="es-ES"/>
        </w:rPr>
        <w:t>.</w:t>
      </w:r>
    </w:p>
    <w:p w14:paraId="7F053D80" w14:textId="3044B5DD" w:rsidR="0011580F" w:rsidRDefault="0011580F" w:rsidP="0011580F">
      <w:pPr>
        <w:spacing w:after="0"/>
        <w:contextualSpacing/>
        <w:rPr>
          <w:rFonts w:cstheme="minorHAnsi"/>
          <w:szCs w:val="20"/>
          <w:lang w:val="es-ES"/>
        </w:rPr>
      </w:pPr>
    </w:p>
    <w:p w14:paraId="57019CBA" w14:textId="77777777" w:rsidR="009D078D" w:rsidRDefault="009D078D" w:rsidP="0011580F">
      <w:pPr>
        <w:spacing w:after="0"/>
        <w:contextualSpacing/>
        <w:rPr>
          <w:rFonts w:cstheme="minorHAnsi"/>
          <w:szCs w:val="20"/>
          <w:lang w:val="es-ES"/>
        </w:rPr>
      </w:pPr>
    </w:p>
    <w:p w14:paraId="2D78BA19" w14:textId="0B881BA4" w:rsidR="009D078D" w:rsidRDefault="009D078D" w:rsidP="0011580F">
      <w:pPr>
        <w:spacing w:after="0"/>
        <w:contextualSpacing/>
        <w:rPr>
          <w:rFonts w:cstheme="minorHAnsi"/>
          <w:szCs w:val="20"/>
          <w:lang w:val="es-ES"/>
        </w:rPr>
      </w:pPr>
    </w:p>
    <w:p w14:paraId="7F990BC9" w14:textId="2D661A7A" w:rsidR="009D078D" w:rsidRDefault="009D078D" w:rsidP="0011580F">
      <w:pPr>
        <w:spacing w:after="0"/>
        <w:contextualSpacing/>
        <w:rPr>
          <w:rFonts w:cstheme="minorHAnsi"/>
          <w:szCs w:val="20"/>
          <w:lang w:val="es-ES"/>
        </w:rPr>
      </w:pPr>
    </w:p>
    <w:p w14:paraId="411288EC" w14:textId="4ECF9DDF" w:rsidR="009D078D" w:rsidRDefault="009D078D" w:rsidP="0011580F">
      <w:pPr>
        <w:spacing w:after="0"/>
        <w:contextualSpacing/>
        <w:rPr>
          <w:rFonts w:cstheme="minorHAnsi"/>
          <w:szCs w:val="20"/>
          <w:lang w:val="es-ES"/>
        </w:rPr>
      </w:pPr>
    </w:p>
    <w:p w14:paraId="0DE8423E" w14:textId="2241E9EA" w:rsidR="009D078D" w:rsidRDefault="009D078D" w:rsidP="0011580F">
      <w:pPr>
        <w:spacing w:after="0"/>
        <w:contextualSpacing/>
        <w:rPr>
          <w:rFonts w:cstheme="minorHAnsi"/>
          <w:szCs w:val="20"/>
          <w:lang w:val="es-ES"/>
        </w:rPr>
      </w:pPr>
    </w:p>
    <w:p w14:paraId="55B781FC" w14:textId="77777777" w:rsidR="009D078D" w:rsidRDefault="009D078D" w:rsidP="0011580F">
      <w:pPr>
        <w:spacing w:after="0"/>
        <w:contextualSpacing/>
        <w:rPr>
          <w:rFonts w:cstheme="minorHAnsi"/>
          <w:szCs w:val="20"/>
          <w:lang w:val="es-ES"/>
        </w:rPr>
      </w:pPr>
    </w:p>
    <w:p w14:paraId="5F221A77" w14:textId="3A5E2A10" w:rsidR="009D078D" w:rsidRDefault="009D078D" w:rsidP="0011580F">
      <w:pPr>
        <w:spacing w:after="0"/>
        <w:contextualSpacing/>
        <w:rPr>
          <w:rFonts w:cstheme="minorHAnsi"/>
          <w:szCs w:val="20"/>
          <w:lang w:val="es-ES"/>
        </w:rPr>
      </w:pPr>
    </w:p>
    <w:p w14:paraId="498071B1" w14:textId="125EE921" w:rsidR="009D078D" w:rsidRPr="009D078D" w:rsidRDefault="009D078D" w:rsidP="0011580F">
      <w:pPr>
        <w:spacing w:after="0"/>
        <w:contextualSpacing/>
        <w:rPr>
          <w:rFonts w:cstheme="minorHAnsi"/>
          <w:b/>
          <w:szCs w:val="20"/>
          <w:lang w:val="es-ES"/>
        </w:rPr>
      </w:pPr>
      <w:r w:rsidRPr="009D078D">
        <w:rPr>
          <w:rFonts w:cstheme="minorHAnsi"/>
          <w:b/>
          <w:szCs w:val="20"/>
          <w:lang w:val="es-ES"/>
        </w:rPr>
        <w:t>ORGANISMO EJECUTOR</w:t>
      </w:r>
    </w:p>
    <w:p w14:paraId="594E00A6" w14:textId="04460BD1" w:rsidR="0011580F" w:rsidRDefault="0011580F" w:rsidP="0011580F">
      <w:pPr>
        <w:spacing w:after="0"/>
        <w:contextualSpacing/>
        <w:rPr>
          <w:rFonts w:cstheme="minorHAnsi"/>
          <w:b/>
          <w:szCs w:val="20"/>
          <w:lang w:val="es-ES"/>
        </w:rPr>
      </w:pPr>
      <w:r w:rsidRPr="0011580F">
        <w:rPr>
          <w:rFonts w:cstheme="minorHAnsi"/>
          <w:b/>
          <w:szCs w:val="20"/>
          <w:lang w:val="es-ES"/>
        </w:rPr>
        <w:t>MINISTERIO</w:t>
      </w:r>
      <w:r w:rsidR="00964B0D">
        <w:rPr>
          <w:rFonts w:cstheme="minorHAnsi"/>
          <w:b/>
          <w:szCs w:val="20"/>
          <w:lang w:val="es-ES"/>
        </w:rPr>
        <w:t xml:space="preserve"> D</w:t>
      </w:r>
      <w:r w:rsidR="00110771">
        <w:rPr>
          <w:rFonts w:cstheme="minorHAnsi"/>
          <w:b/>
          <w:szCs w:val="20"/>
          <w:lang w:val="es-ES"/>
        </w:rPr>
        <w:t>E ECONOMIA Y FINANZAS</w:t>
      </w:r>
    </w:p>
    <w:p w14:paraId="0E3FF186" w14:textId="462155AE" w:rsidR="00110771" w:rsidRDefault="00110771" w:rsidP="0011580F">
      <w:pPr>
        <w:spacing w:after="0"/>
        <w:contextualSpacing/>
        <w:rPr>
          <w:rFonts w:cstheme="minorHAnsi"/>
          <w:b/>
          <w:szCs w:val="20"/>
          <w:lang w:val="es-ES"/>
        </w:rPr>
      </w:pPr>
    </w:p>
    <w:p w14:paraId="666956CC" w14:textId="7233CFEF" w:rsidR="00110771" w:rsidRDefault="00110771" w:rsidP="0011580F">
      <w:pPr>
        <w:spacing w:after="0"/>
        <w:contextualSpacing/>
        <w:rPr>
          <w:rFonts w:cstheme="minorHAnsi"/>
          <w:b/>
          <w:szCs w:val="20"/>
          <w:lang w:val="es-ES"/>
        </w:rPr>
      </w:pPr>
    </w:p>
    <w:p w14:paraId="48BCFF61" w14:textId="73E6634F" w:rsidR="00110771" w:rsidRDefault="00110771" w:rsidP="0011580F">
      <w:pPr>
        <w:spacing w:after="0"/>
        <w:contextualSpacing/>
        <w:rPr>
          <w:rFonts w:cstheme="minorHAnsi"/>
          <w:b/>
          <w:szCs w:val="20"/>
          <w:lang w:val="es-ES"/>
        </w:rPr>
      </w:pPr>
    </w:p>
    <w:p w14:paraId="687CC26F" w14:textId="153C1C88" w:rsidR="009D078D" w:rsidRDefault="009D078D" w:rsidP="0011580F">
      <w:pPr>
        <w:spacing w:after="0"/>
        <w:contextualSpacing/>
        <w:rPr>
          <w:rFonts w:cstheme="minorHAnsi"/>
          <w:b/>
          <w:szCs w:val="20"/>
          <w:lang w:val="es-ES"/>
        </w:rPr>
      </w:pPr>
    </w:p>
    <w:p w14:paraId="3E1F38B7" w14:textId="77777777" w:rsidR="009D078D" w:rsidRDefault="009D078D" w:rsidP="0011580F">
      <w:pPr>
        <w:spacing w:after="0"/>
        <w:contextualSpacing/>
        <w:rPr>
          <w:rFonts w:cstheme="minorHAnsi"/>
          <w:b/>
          <w:szCs w:val="20"/>
          <w:lang w:val="es-ES"/>
        </w:rPr>
      </w:pPr>
    </w:p>
    <w:p w14:paraId="6CD74026" w14:textId="050AE4BF" w:rsidR="00110771" w:rsidRDefault="009D078D" w:rsidP="0011580F">
      <w:pPr>
        <w:spacing w:after="0"/>
        <w:contextualSpacing/>
        <w:rPr>
          <w:rFonts w:cstheme="minorHAnsi"/>
          <w:b/>
          <w:szCs w:val="20"/>
          <w:lang w:val="es-ES"/>
        </w:rPr>
      </w:pPr>
      <w:r>
        <w:rPr>
          <w:rFonts w:cstheme="minorHAnsi"/>
          <w:b/>
          <w:szCs w:val="20"/>
          <w:lang w:val="es-ES"/>
        </w:rPr>
        <w:t>ORGANISMO SUBEJECUTOR</w:t>
      </w:r>
      <w:r w:rsidR="004416A6">
        <w:rPr>
          <w:rFonts w:cstheme="minorHAnsi"/>
          <w:b/>
          <w:szCs w:val="20"/>
          <w:lang w:val="es-ES"/>
        </w:rPr>
        <w:t xml:space="preserve"> </w:t>
      </w:r>
      <w:r w:rsidR="00910810">
        <w:rPr>
          <w:rFonts w:cstheme="minorHAnsi"/>
          <w:b/>
          <w:szCs w:val="20"/>
          <w:lang w:val="es-ES"/>
        </w:rPr>
        <w:t>1</w:t>
      </w:r>
    </w:p>
    <w:p w14:paraId="26DE789F" w14:textId="0D255AF1" w:rsidR="00647C07" w:rsidRPr="004416A6" w:rsidRDefault="00647C07" w:rsidP="0011580F">
      <w:pPr>
        <w:spacing w:after="0"/>
        <w:contextualSpacing/>
        <w:rPr>
          <w:rFonts w:cstheme="minorHAnsi"/>
          <w:b/>
          <w:szCs w:val="20"/>
        </w:rPr>
      </w:pPr>
      <w:r>
        <w:rPr>
          <w:rFonts w:cstheme="minorHAnsi"/>
          <w:b/>
          <w:szCs w:val="20"/>
          <w:lang w:val="es-ES"/>
        </w:rPr>
        <w:t>SECRETARIA GENERAL DE LA PRESIDENCIA DE LA REPUBLICA</w:t>
      </w:r>
    </w:p>
    <w:p w14:paraId="52F011A7" w14:textId="269C0FE7" w:rsidR="00110771" w:rsidRDefault="00110771" w:rsidP="0011580F">
      <w:pPr>
        <w:spacing w:after="0"/>
        <w:contextualSpacing/>
        <w:rPr>
          <w:rFonts w:cstheme="minorHAnsi"/>
          <w:b/>
          <w:szCs w:val="20"/>
          <w:lang w:val="es-ES"/>
        </w:rPr>
      </w:pPr>
    </w:p>
    <w:p w14:paraId="4C1ADBFF" w14:textId="3D769FA0" w:rsidR="00647C07" w:rsidRDefault="00647C07" w:rsidP="0011580F">
      <w:pPr>
        <w:spacing w:after="0"/>
        <w:contextualSpacing/>
        <w:rPr>
          <w:rFonts w:cstheme="minorHAnsi"/>
          <w:b/>
          <w:szCs w:val="20"/>
          <w:lang w:val="es-ES"/>
        </w:rPr>
      </w:pPr>
    </w:p>
    <w:p w14:paraId="0AD69CBD" w14:textId="77777777" w:rsidR="00647C07" w:rsidRDefault="00647C07" w:rsidP="0011580F">
      <w:pPr>
        <w:spacing w:after="0"/>
        <w:contextualSpacing/>
        <w:rPr>
          <w:rFonts w:cstheme="minorHAnsi"/>
          <w:b/>
          <w:szCs w:val="20"/>
          <w:lang w:val="es-ES"/>
        </w:rPr>
      </w:pPr>
    </w:p>
    <w:p w14:paraId="5A5989C6" w14:textId="222393E5" w:rsidR="004416A6" w:rsidRDefault="004416A6" w:rsidP="0011580F">
      <w:pPr>
        <w:spacing w:after="0"/>
        <w:contextualSpacing/>
        <w:rPr>
          <w:rFonts w:cstheme="minorHAnsi"/>
          <w:b/>
          <w:szCs w:val="20"/>
          <w:lang w:val="es-ES"/>
        </w:rPr>
      </w:pPr>
    </w:p>
    <w:p w14:paraId="49ED6D64" w14:textId="348A6DD2" w:rsidR="00647C07" w:rsidRDefault="00647C07" w:rsidP="0011580F">
      <w:pPr>
        <w:spacing w:after="0"/>
        <w:contextualSpacing/>
        <w:rPr>
          <w:rFonts w:cstheme="minorHAnsi"/>
          <w:b/>
          <w:szCs w:val="20"/>
          <w:lang w:val="es-ES"/>
        </w:rPr>
      </w:pPr>
    </w:p>
    <w:p w14:paraId="3DA3D89F" w14:textId="77777777" w:rsidR="00647C07" w:rsidRDefault="00647C07" w:rsidP="0011580F">
      <w:pPr>
        <w:spacing w:after="0"/>
        <w:contextualSpacing/>
        <w:rPr>
          <w:rFonts w:cstheme="minorHAnsi"/>
          <w:b/>
          <w:szCs w:val="20"/>
          <w:lang w:val="es-ES"/>
        </w:rPr>
      </w:pPr>
    </w:p>
    <w:p w14:paraId="3E486F14" w14:textId="6D1E7B3B" w:rsidR="004416A6" w:rsidRDefault="004416A6" w:rsidP="004416A6">
      <w:pPr>
        <w:spacing w:after="0"/>
        <w:contextualSpacing/>
        <w:rPr>
          <w:rFonts w:cstheme="minorHAnsi"/>
          <w:b/>
          <w:szCs w:val="20"/>
          <w:lang w:val="es-ES"/>
        </w:rPr>
      </w:pPr>
      <w:r>
        <w:rPr>
          <w:rFonts w:cstheme="minorHAnsi"/>
          <w:b/>
          <w:szCs w:val="20"/>
          <w:lang w:val="es-ES"/>
        </w:rPr>
        <w:t>ORGANISMO SUBEJECUTOR 2</w:t>
      </w:r>
    </w:p>
    <w:p w14:paraId="456A82AA" w14:textId="2318CFD2" w:rsidR="00647C07" w:rsidRPr="004416A6" w:rsidRDefault="00647C07" w:rsidP="004416A6">
      <w:pPr>
        <w:spacing w:after="0"/>
        <w:contextualSpacing/>
        <w:rPr>
          <w:rFonts w:cstheme="minorHAnsi"/>
          <w:b/>
          <w:szCs w:val="20"/>
        </w:rPr>
      </w:pPr>
      <w:r>
        <w:rPr>
          <w:rFonts w:cstheme="minorHAnsi"/>
          <w:b/>
          <w:szCs w:val="20"/>
        </w:rPr>
        <w:t xml:space="preserve">VICEPRESIDENCIA DE LA </w:t>
      </w:r>
      <w:r w:rsidR="00683C12">
        <w:rPr>
          <w:rFonts w:cstheme="minorHAnsi"/>
          <w:b/>
          <w:szCs w:val="20"/>
        </w:rPr>
        <w:t xml:space="preserve">REPUBLICA </w:t>
      </w:r>
    </w:p>
    <w:p w14:paraId="09EC0354" w14:textId="77777777" w:rsidR="004416A6" w:rsidRDefault="004416A6" w:rsidP="0011580F">
      <w:pPr>
        <w:spacing w:after="0"/>
        <w:contextualSpacing/>
        <w:rPr>
          <w:rFonts w:cstheme="minorHAnsi"/>
          <w:b/>
          <w:szCs w:val="20"/>
          <w:lang w:val="es-ES"/>
        </w:rPr>
      </w:pPr>
    </w:p>
    <w:p w14:paraId="0C5777B2" w14:textId="77777777" w:rsidR="00110771" w:rsidRPr="0011580F" w:rsidRDefault="00110771" w:rsidP="0011580F">
      <w:pPr>
        <w:spacing w:after="0"/>
        <w:contextualSpacing/>
        <w:rPr>
          <w:rFonts w:cstheme="minorHAnsi"/>
          <w:b/>
          <w:szCs w:val="20"/>
          <w:lang w:val="es-ES"/>
        </w:rPr>
      </w:pPr>
    </w:p>
    <w:p w14:paraId="207BD63E" w14:textId="77777777" w:rsidR="00EA27E5" w:rsidRDefault="00EA27E5" w:rsidP="0011580F">
      <w:pPr>
        <w:spacing w:after="0"/>
        <w:contextualSpacing/>
        <w:rPr>
          <w:rFonts w:cstheme="minorHAnsi"/>
          <w:b/>
          <w:szCs w:val="20"/>
          <w:lang w:val="es-ES"/>
        </w:rPr>
      </w:pPr>
    </w:p>
    <w:p w14:paraId="49D6DE9E" w14:textId="77777777" w:rsidR="00EA27E5" w:rsidRDefault="00EA27E5" w:rsidP="0011580F">
      <w:pPr>
        <w:spacing w:after="0"/>
        <w:contextualSpacing/>
        <w:rPr>
          <w:rFonts w:cstheme="minorHAnsi"/>
          <w:b/>
          <w:szCs w:val="20"/>
          <w:lang w:val="es-ES"/>
        </w:rPr>
      </w:pPr>
    </w:p>
    <w:p w14:paraId="532721EC" w14:textId="77777777" w:rsidR="00EA27E5" w:rsidRDefault="00EA27E5" w:rsidP="0011580F">
      <w:pPr>
        <w:spacing w:after="0"/>
        <w:contextualSpacing/>
        <w:rPr>
          <w:rFonts w:cstheme="minorHAnsi"/>
          <w:b/>
          <w:szCs w:val="20"/>
          <w:lang w:val="es-ES"/>
        </w:rPr>
      </w:pPr>
    </w:p>
    <w:p w14:paraId="4B5A2F81" w14:textId="77777777" w:rsidR="00001CD0" w:rsidRDefault="00001CD0" w:rsidP="0011580F">
      <w:pPr>
        <w:spacing w:after="0"/>
        <w:contextualSpacing/>
        <w:rPr>
          <w:rFonts w:cstheme="minorHAnsi"/>
          <w:b/>
          <w:szCs w:val="20"/>
          <w:lang w:val="es-ES"/>
        </w:rPr>
      </w:pPr>
    </w:p>
    <w:p w14:paraId="5DDD582E" w14:textId="77777777" w:rsidR="00001CD0" w:rsidRDefault="00001CD0" w:rsidP="0011580F">
      <w:pPr>
        <w:spacing w:after="0"/>
        <w:contextualSpacing/>
        <w:rPr>
          <w:rFonts w:cstheme="minorHAnsi"/>
          <w:b/>
          <w:szCs w:val="20"/>
          <w:lang w:val="es-ES"/>
        </w:rPr>
      </w:pPr>
    </w:p>
    <w:p w14:paraId="0F39A576" w14:textId="5467BA35" w:rsidR="002E10A9" w:rsidRDefault="00BA58FD" w:rsidP="009F3496">
      <w:pPr>
        <w:pStyle w:val="Heading1"/>
      </w:pPr>
      <w:bookmarkStart w:id="121" w:name="_Toc424879247"/>
      <w:bookmarkStart w:id="122" w:name="_Toc454056474"/>
      <w:bookmarkStart w:id="123" w:name="_Toc23797330"/>
      <w:r>
        <w:lastRenderedPageBreak/>
        <w:t xml:space="preserve">Enlaces y </w:t>
      </w:r>
      <w:r w:rsidR="002E10A9">
        <w:t>Anexos</w:t>
      </w:r>
      <w:bookmarkEnd w:id="121"/>
      <w:bookmarkEnd w:id="122"/>
      <w:bookmarkEnd w:id="123"/>
    </w:p>
    <w:p w14:paraId="318D56F1" w14:textId="77777777" w:rsidR="00917CBC" w:rsidRDefault="00D83EB9" w:rsidP="00A94976">
      <w:pPr>
        <w:pStyle w:val="Heading2"/>
        <w:numPr>
          <w:ilvl w:val="0"/>
          <w:numId w:val="4"/>
        </w:numPr>
      </w:pPr>
      <w:bookmarkStart w:id="124" w:name="_Toc424879248"/>
      <w:bookmarkStart w:id="125" w:name="_Toc454056475"/>
      <w:bookmarkStart w:id="126" w:name="_Toc23797331"/>
      <w:r>
        <w:t xml:space="preserve">Enlaces </w:t>
      </w:r>
      <w:r w:rsidR="001F238B">
        <w:t xml:space="preserve">de </w:t>
      </w:r>
      <w:r w:rsidR="00F20E0E">
        <w:t>anexos</w:t>
      </w:r>
      <w:r w:rsidR="00140390">
        <w:t xml:space="preserve"> digitales</w:t>
      </w:r>
      <w:bookmarkEnd w:id="124"/>
      <w:bookmarkEnd w:id="125"/>
      <w:bookmarkEnd w:id="126"/>
    </w:p>
    <w:p w14:paraId="282ECFB9" w14:textId="7E7D8AE6" w:rsidR="002E57F7" w:rsidRPr="00F712DE" w:rsidRDefault="002E57F7" w:rsidP="00C54F8B">
      <w:pPr>
        <w:pStyle w:val="ListParagraph"/>
        <w:numPr>
          <w:ilvl w:val="0"/>
          <w:numId w:val="31"/>
        </w:numPr>
        <w:spacing w:after="0"/>
        <w:rPr>
          <w:rFonts w:ascii="Arial" w:hAnsi="Arial" w:cs="Arial"/>
        </w:rPr>
      </w:pPr>
      <w:r w:rsidRPr="00F712DE">
        <w:rPr>
          <w:rFonts w:ascii="Arial" w:hAnsi="Arial" w:cs="Arial"/>
        </w:rPr>
        <w:t xml:space="preserve">Contrato de </w:t>
      </w:r>
      <w:r w:rsidR="003608E9" w:rsidRPr="00F712DE">
        <w:rPr>
          <w:rFonts w:ascii="Arial" w:hAnsi="Arial" w:cs="Arial"/>
        </w:rPr>
        <w:t>Préstamo XXXX</w:t>
      </w:r>
      <w:r w:rsidR="00347325" w:rsidRPr="00F712DE">
        <w:rPr>
          <w:rFonts w:ascii="Arial" w:hAnsi="Arial" w:cs="Arial"/>
        </w:rPr>
        <w:t>/</w:t>
      </w:r>
      <w:r w:rsidR="00A038B9" w:rsidRPr="00F712DE">
        <w:rPr>
          <w:rFonts w:ascii="Arial" w:hAnsi="Arial" w:cs="Arial"/>
        </w:rPr>
        <w:t>OC-EC</w:t>
      </w:r>
      <w:r w:rsidRPr="00F712DE">
        <w:rPr>
          <w:rFonts w:ascii="Arial" w:hAnsi="Arial" w:cs="Arial"/>
        </w:rPr>
        <w:t xml:space="preserve">  </w:t>
      </w:r>
    </w:p>
    <w:p w14:paraId="319A9D77" w14:textId="23A6AD64" w:rsidR="00D83EB9" w:rsidRPr="00F712DE" w:rsidRDefault="00F20E0E" w:rsidP="00C54F8B">
      <w:pPr>
        <w:pStyle w:val="ListParagraph"/>
        <w:numPr>
          <w:ilvl w:val="0"/>
          <w:numId w:val="31"/>
        </w:numPr>
        <w:spacing w:after="0"/>
        <w:rPr>
          <w:rFonts w:ascii="Arial" w:hAnsi="Arial" w:cs="Arial"/>
        </w:rPr>
      </w:pPr>
      <w:r w:rsidRPr="00F712DE">
        <w:rPr>
          <w:rFonts w:ascii="Arial" w:hAnsi="Arial" w:cs="Arial"/>
        </w:rPr>
        <w:t xml:space="preserve">Políticas de Adquisiciones de Obras y Bienes Financiados por el </w:t>
      </w:r>
      <w:r w:rsidR="00A94B31" w:rsidRPr="00F712DE">
        <w:rPr>
          <w:rFonts w:ascii="Arial" w:hAnsi="Arial" w:cs="Arial"/>
        </w:rPr>
        <w:t>BID (</w:t>
      </w:r>
      <w:r w:rsidRPr="00F712DE">
        <w:rPr>
          <w:rFonts w:ascii="Arial" w:hAnsi="Arial" w:cs="Arial"/>
        </w:rPr>
        <w:t>GN-2349-9)</w:t>
      </w:r>
      <w:r w:rsidR="00F712DE" w:rsidRPr="00F712DE">
        <w:rPr>
          <w:rFonts w:ascii="Arial" w:hAnsi="Arial" w:cs="Arial"/>
        </w:rPr>
        <w:t xml:space="preserve"> </w:t>
      </w:r>
      <w:hyperlink r:id="rId27" w:history="1">
        <w:r w:rsidR="00F712DE" w:rsidRPr="005C57B2">
          <w:rPr>
            <w:rStyle w:val="Hyperlink"/>
            <w:rFonts w:ascii="Arial" w:hAnsi="Arial" w:cs="Arial"/>
          </w:rPr>
          <w:t>http://idbdocs.iadb.org/wsdocs/getdocument.aspx?docnum=774396</w:t>
        </w:r>
      </w:hyperlink>
    </w:p>
    <w:p w14:paraId="3D9D264C" w14:textId="5B74805B" w:rsidR="00DF5661" w:rsidRPr="00F712DE" w:rsidRDefault="00F20E0E" w:rsidP="00C54F8B">
      <w:pPr>
        <w:pStyle w:val="ListParagraph"/>
        <w:numPr>
          <w:ilvl w:val="0"/>
          <w:numId w:val="31"/>
        </w:numPr>
        <w:spacing w:after="0"/>
        <w:rPr>
          <w:rFonts w:ascii="Arial" w:hAnsi="Arial" w:cs="Arial"/>
        </w:rPr>
      </w:pPr>
      <w:r w:rsidRPr="00F712DE">
        <w:rPr>
          <w:rFonts w:ascii="Arial" w:hAnsi="Arial" w:cs="Arial"/>
        </w:rPr>
        <w:t>Políticas de Adquisiciones de Consultores Financiados por el BID (GN-2350-9)</w:t>
      </w:r>
      <w:r w:rsidR="00F712DE" w:rsidRPr="00F712DE">
        <w:rPr>
          <w:rFonts w:ascii="Arial" w:hAnsi="Arial" w:cs="Arial"/>
        </w:rPr>
        <w:t xml:space="preserve"> </w:t>
      </w:r>
      <w:hyperlink r:id="rId28" w:history="1">
        <w:r w:rsidR="0094337A" w:rsidRPr="00F712DE">
          <w:rPr>
            <w:rStyle w:val="Hyperlink"/>
            <w:rFonts w:ascii="Arial" w:hAnsi="Arial" w:cs="Arial"/>
          </w:rPr>
          <w:t>http://idbdocs.iadb.org/wsdocs/getdocument.aspx?docnum=774399</w:t>
        </w:r>
      </w:hyperlink>
    </w:p>
    <w:p w14:paraId="4D877423" w14:textId="6283D5AC" w:rsidR="00105C06" w:rsidRPr="00F712DE" w:rsidRDefault="00105C06" w:rsidP="00C54F8B">
      <w:pPr>
        <w:pStyle w:val="ListParagraph"/>
        <w:numPr>
          <w:ilvl w:val="0"/>
          <w:numId w:val="31"/>
        </w:numPr>
        <w:spacing w:after="0"/>
        <w:rPr>
          <w:rFonts w:ascii="Arial" w:hAnsi="Arial" w:cs="Arial"/>
        </w:rPr>
      </w:pPr>
      <w:r w:rsidRPr="00F712DE">
        <w:rPr>
          <w:rFonts w:ascii="Arial" w:hAnsi="Arial" w:cs="Arial"/>
        </w:rPr>
        <w:t xml:space="preserve">Documentos Estándar de Adquisiciones </w:t>
      </w:r>
      <w:r w:rsidR="00F712DE" w:rsidRPr="00F712DE">
        <w:rPr>
          <w:rFonts w:ascii="Arial" w:hAnsi="Arial" w:cs="Arial"/>
        </w:rPr>
        <w:t xml:space="preserve"> </w:t>
      </w:r>
      <w:hyperlink r:id="rId29" w:history="1">
        <w:r w:rsidR="00F712DE" w:rsidRPr="00F712DE">
          <w:rPr>
            <w:rStyle w:val="Hyperlink"/>
            <w:rFonts w:ascii="Arial" w:hAnsi="Arial" w:cs="Arial"/>
          </w:rPr>
          <w:t>http://www.iadb.org/es/adquisiciones-de-proyectos/documentos-estandar-de-adquisiciones-del-banco-interamericano-de-desarrollo,8183.html</w:t>
        </w:r>
      </w:hyperlink>
      <w:r w:rsidRPr="00F712DE">
        <w:rPr>
          <w:rFonts w:ascii="Arial" w:hAnsi="Arial" w:cs="Arial"/>
        </w:rPr>
        <w:t>.</w:t>
      </w:r>
    </w:p>
    <w:p w14:paraId="09756322" w14:textId="074EF187" w:rsidR="00B54323" w:rsidRPr="00F712DE" w:rsidRDefault="00B54323" w:rsidP="00C54F8B">
      <w:pPr>
        <w:pStyle w:val="ListParagraph"/>
        <w:numPr>
          <w:ilvl w:val="0"/>
          <w:numId w:val="31"/>
        </w:numPr>
        <w:spacing w:after="0"/>
        <w:rPr>
          <w:rFonts w:ascii="Arial" w:hAnsi="Arial" w:cs="Arial"/>
        </w:rPr>
      </w:pPr>
      <w:r w:rsidRPr="00F712DE">
        <w:rPr>
          <w:rFonts w:ascii="Arial" w:hAnsi="Arial" w:cs="Arial"/>
        </w:rPr>
        <w:t xml:space="preserve">Uso de Sistemas Nacionales de Adquisiciones </w:t>
      </w:r>
      <w:hyperlink r:id="rId30" w:history="1">
        <w:r w:rsidRPr="00F712DE">
          <w:rPr>
            <w:rStyle w:val="Hyperlink"/>
            <w:rFonts w:ascii="Arial" w:hAnsi="Arial" w:cs="Arial"/>
          </w:rPr>
          <w:t>http://cecbidtoolkit.org/Uso-de-Sistema-de-Adquisiciones-Nacionales.php</w:t>
        </w:r>
      </w:hyperlink>
    </w:p>
    <w:p w14:paraId="1F0017C5" w14:textId="4145628D" w:rsidR="00042106" w:rsidRPr="00A42F4C" w:rsidRDefault="00042106" w:rsidP="00C54F8B">
      <w:pPr>
        <w:pStyle w:val="ListParagraph"/>
        <w:numPr>
          <w:ilvl w:val="0"/>
          <w:numId w:val="31"/>
        </w:numPr>
        <w:spacing w:after="0"/>
        <w:rPr>
          <w:rFonts w:ascii="Arial" w:hAnsi="Arial" w:cs="Arial"/>
          <w:lang w:val="pt-BR"/>
        </w:rPr>
      </w:pPr>
      <w:r w:rsidRPr="00A42F4C">
        <w:rPr>
          <w:rFonts w:ascii="Arial" w:hAnsi="Arial" w:cs="Arial"/>
          <w:lang w:val="pt-BR"/>
        </w:rPr>
        <w:t xml:space="preserve">Informe Semestral </w:t>
      </w:r>
      <w:r w:rsidR="00F712DE" w:rsidRPr="00A42F4C">
        <w:rPr>
          <w:rFonts w:ascii="Arial" w:hAnsi="Arial" w:cs="Arial"/>
          <w:lang w:val="pt-BR"/>
        </w:rPr>
        <w:t>–</w:t>
      </w:r>
      <w:r w:rsidRPr="00A42F4C">
        <w:rPr>
          <w:rFonts w:ascii="Arial" w:hAnsi="Arial" w:cs="Arial"/>
          <w:lang w:val="pt-BR"/>
        </w:rPr>
        <w:t xml:space="preserve"> PMR</w:t>
      </w:r>
      <w:r w:rsidR="00F712DE" w:rsidRPr="00A42F4C">
        <w:rPr>
          <w:rFonts w:ascii="Arial" w:hAnsi="Arial" w:cs="Arial"/>
          <w:lang w:val="pt-BR"/>
        </w:rPr>
        <w:t xml:space="preserve"> </w:t>
      </w:r>
      <w:hyperlink r:id="rId31" w:history="1">
        <w:r w:rsidRPr="00A42F4C">
          <w:rPr>
            <w:rStyle w:val="Hyperlink"/>
            <w:rFonts w:ascii="Arial" w:hAnsi="Arial" w:cs="Arial"/>
            <w:lang w:val="pt-BR"/>
          </w:rPr>
          <w:t>http://cecbidtoolkit.org/Informe-Semestral.php#</w:t>
        </w:r>
      </w:hyperlink>
    </w:p>
    <w:p w14:paraId="0B1232F8" w14:textId="2ADC0598" w:rsidR="00140390" w:rsidRDefault="00140390" w:rsidP="00A94976">
      <w:pPr>
        <w:pStyle w:val="Heading2"/>
      </w:pPr>
      <w:bookmarkStart w:id="127" w:name="_Toc454056476"/>
      <w:bookmarkStart w:id="128" w:name="_Toc23797332"/>
      <w:bookmarkStart w:id="129" w:name="_Toc424879249"/>
      <w:r>
        <w:t>Anexos</w:t>
      </w:r>
      <w:bookmarkEnd w:id="127"/>
      <w:bookmarkEnd w:id="128"/>
      <w:r>
        <w:t xml:space="preserve"> </w:t>
      </w:r>
      <w:bookmarkEnd w:id="129"/>
    </w:p>
    <w:p w14:paraId="543A15F4" w14:textId="24D66D27" w:rsidR="00017A81" w:rsidRPr="00740D2E" w:rsidRDefault="003B1B29" w:rsidP="002528CB">
      <w:pPr>
        <w:pStyle w:val="ListParagraph"/>
        <w:numPr>
          <w:ilvl w:val="0"/>
          <w:numId w:val="28"/>
        </w:numPr>
      </w:pPr>
      <w:r w:rsidRPr="00740D2E">
        <w:t xml:space="preserve">Los </w:t>
      </w:r>
      <w:r w:rsidR="00001CD0" w:rsidRPr="00740D2E">
        <w:t xml:space="preserve">anexos </w:t>
      </w:r>
      <w:r w:rsidR="004D4A3A" w:rsidRPr="00740D2E">
        <w:t>que s</w:t>
      </w:r>
      <w:r w:rsidR="00017A81" w:rsidRPr="00740D2E">
        <w:t>e adjuntan</w:t>
      </w:r>
      <w:r w:rsidRPr="00740D2E">
        <w:t xml:space="preserve">, </w:t>
      </w:r>
      <w:r w:rsidR="005F3881" w:rsidRPr="00740D2E">
        <w:t xml:space="preserve">deberán mantenerse </w:t>
      </w:r>
      <w:r w:rsidR="00411DD0" w:rsidRPr="00740D2E">
        <w:t>actualizados de</w:t>
      </w:r>
      <w:r w:rsidR="005F3881" w:rsidRPr="00740D2E">
        <w:t xml:space="preserve"> acuerdo a lo </w:t>
      </w:r>
      <w:r w:rsidR="004D4A3A" w:rsidRPr="00740D2E">
        <w:t>establecido en el presente RO</w:t>
      </w:r>
      <w:r w:rsidR="00067290">
        <w:t>P</w:t>
      </w:r>
      <w:r w:rsidR="00017A81" w:rsidRPr="00740D2E">
        <w:t>:</w:t>
      </w:r>
    </w:p>
    <w:p w14:paraId="7984BCAE" w14:textId="30C8BE5D" w:rsidR="005F3881" w:rsidRDefault="0090704D" w:rsidP="002528CB">
      <w:pPr>
        <w:pStyle w:val="ListParagraph"/>
        <w:numPr>
          <w:ilvl w:val="0"/>
          <w:numId w:val="28"/>
        </w:numPr>
      </w:pPr>
      <w:r w:rsidRPr="00740D2E">
        <w:t>Convenios suscritos</w:t>
      </w:r>
      <w:r w:rsidR="00067290">
        <w:t xml:space="preserve"> a los que hace referencia el ROP</w:t>
      </w:r>
    </w:p>
    <w:p w14:paraId="6888F932" w14:textId="2F9F158F" w:rsidR="0036324B" w:rsidRPr="00740D2E" w:rsidRDefault="0036324B" w:rsidP="002528CB">
      <w:pPr>
        <w:pStyle w:val="ListParagraph"/>
        <w:numPr>
          <w:ilvl w:val="0"/>
          <w:numId w:val="28"/>
        </w:numPr>
      </w:pPr>
      <w:r>
        <w:t xml:space="preserve">Reglamentos de </w:t>
      </w:r>
      <w:r w:rsidR="00910810">
        <w:t>o</w:t>
      </w:r>
      <w:r>
        <w:t>peración de los Instrumentos de Innovación</w:t>
      </w:r>
    </w:p>
    <w:p w14:paraId="220E8329" w14:textId="77777777" w:rsidR="00E24251" w:rsidRPr="0012380A" w:rsidRDefault="00E24251" w:rsidP="00E24251">
      <w:pPr>
        <w:spacing w:after="0"/>
        <w:contextualSpacing/>
        <w:rPr>
          <w:rFonts w:ascii="Arial" w:hAnsi="Arial" w:cs="Arial"/>
          <w:szCs w:val="20"/>
        </w:rPr>
      </w:pPr>
    </w:p>
    <w:p w14:paraId="21CA8BB2" w14:textId="77777777" w:rsidR="00E24251" w:rsidRPr="0012380A" w:rsidRDefault="00E24251" w:rsidP="00E24251">
      <w:pPr>
        <w:spacing w:after="0"/>
        <w:contextualSpacing/>
        <w:rPr>
          <w:rFonts w:ascii="Arial" w:hAnsi="Arial" w:cs="Arial"/>
          <w:szCs w:val="20"/>
        </w:rPr>
      </w:pPr>
    </w:p>
    <w:sectPr w:rsidR="00E24251" w:rsidRPr="0012380A" w:rsidSect="00542D63">
      <w:footerReference w:type="default" r:id="rId32"/>
      <w:pgSz w:w="11906" w:h="16838"/>
      <w:pgMar w:top="1417" w:right="141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67B7B" w14:textId="77777777" w:rsidR="00373BCC" w:rsidRDefault="00373BCC" w:rsidP="004D1C1C">
      <w:pPr>
        <w:spacing w:after="0"/>
      </w:pPr>
      <w:r>
        <w:separator/>
      </w:r>
    </w:p>
  </w:endnote>
  <w:endnote w:type="continuationSeparator" w:id="0">
    <w:p w14:paraId="7A47B1CA" w14:textId="77777777" w:rsidR="00373BCC" w:rsidRDefault="00373BCC" w:rsidP="004D1C1C">
      <w:pPr>
        <w:spacing w:after="0"/>
      </w:pPr>
      <w:r>
        <w:continuationSeparator/>
      </w:r>
    </w:p>
  </w:endnote>
  <w:endnote w:type="continuationNotice" w:id="1">
    <w:p w14:paraId="63F0E32B" w14:textId="77777777" w:rsidR="00373BCC" w:rsidRDefault="00373B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224127569"/>
      <w:docPartObj>
        <w:docPartGallery w:val="Page Numbers (Bottom of Page)"/>
        <w:docPartUnique/>
      </w:docPartObj>
    </w:sdtPr>
    <w:sdtEndPr/>
    <w:sdtContent>
      <w:sdt>
        <w:sdtPr>
          <w:rPr>
            <w:sz w:val="16"/>
            <w:szCs w:val="16"/>
          </w:rPr>
          <w:id w:val="-1133943987"/>
          <w:docPartObj>
            <w:docPartGallery w:val="Page Numbers (Top of Page)"/>
            <w:docPartUnique/>
          </w:docPartObj>
        </w:sdtPr>
        <w:sdtEndPr/>
        <w:sdtContent>
          <w:p w14:paraId="44FFD293" w14:textId="77777777" w:rsidR="00622372" w:rsidRPr="00E87FE6" w:rsidRDefault="00622372">
            <w:pPr>
              <w:pStyle w:val="Footer"/>
              <w:jc w:val="right"/>
              <w:rPr>
                <w:sz w:val="16"/>
                <w:szCs w:val="16"/>
              </w:rPr>
            </w:pPr>
            <w:r w:rsidRPr="00E87FE6">
              <w:rPr>
                <w:sz w:val="16"/>
                <w:szCs w:val="16"/>
                <w:lang w:val="es-ES"/>
              </w:rPr>
              <w:t xml:space="preserve">Página </w:t>
            </w:r>
            <w:r w:rsidRPr="00E87FE6">
              <w:rPr>
                <w:b/>
                <w:bCs/>
                <w:sz w:val="16"/>
                <w:szCs w:val="16"/>
              </w:rPr>
              <w:fldChar w:fldCharType="begin"/>
            </w:r>
            <w:r w:rsidRPr="00E87FE6">
              <w:rPr>
                <w:b/>
                <w:bCs/>
                <w:sz w:val="16"/>
                <w:szCs w:val="16"/>
              </w:rPr>
              <w:instrText>PAGE</w:instrText>
            </w:r>
            <w:r w:rsidRPr="00E87FE6">
              <w:rPr>
                <w:b/>
                <w:bCs/>
                <w:sz w:val="16"/>
                <w:szCs w:val="16"/>
              </w:rPr>
              <w:fldChar w:fldCharType="separate"/>
            </w:r>
            <w:r>
              <w:rPr>
                <w:b/>
                <w:bCs/>
                <w:noProof/>
                <w:sz w:val="16"/>
                <w:szCs w:val="16"/>
              </w:rPr>
              <w:t>41</w:t>
            </w:r>
            <w:r w:rsidRPr="00E87FE6">
              <w:rPr>
                <w:b/>
                <w:bCs/>
                <w:sz w:val="16"/>
                <w:szCs w:val="16"/>
              </w:rPr>
              <w:fldChar w:fldCharType="end"/>
            </w:r>
            <w:r w:rsidRPr="00E87FE6">
              <w:rPr>
                <w:sz w:val="16"/>
                <w:szCs w:val="16"/>
                <w:lang w:val="es-ES"/>
              </w:rPr>
              <w:t xml:space="preserve"> de </w:t>
            </w:r>
            <w:r w:rsidRPr="00E87FE6">
              <w:rPr>
                <w:b/>
                <w:bCs/>
                <w:sz w:val="16"/>
                <w:szCs w:val="16"/>
              </w:rPr>
              <w:fldChar w:fldCharType="begin"/>
            </w:r>
            <w:r w:rsidRPr="00E87FE6">
              <w:rPr>
                <w:b/>
                <w:bCs/>
                <w:sz w:val="16"/>
                <w:szCs w:val="16"/>
              </w:rPr>
              <w:instrText>NUMPAGES</w:instrText>
            </w:r>
            <w:r w:rsidRPr="00E87FE6">
              <w:rPr>
                <w:b/>
                <w:bCs/>
                <w:sz w:val="16"/>
                <w:szCs w:val="16"/>
              </w:rPr>
              <w:fldChar w:fldCharType="separate"/>
            </w:r>
            <w:r>
              <w:rPr>
                <w:b/>
                <w:bCs/>
                <w:noProof/>
                <w:sz w:val="16"/>
                <w:szCs w:val="16"/>
              </w:rPr>
              <w:t>42</w:t>
            </w:r>
            <w:r w:rsidRPr="00E87FE6">
              <w:rPr>
                <w:b/>
                <w:bCs/>
                <w:sz w:val="16"/>
                <w:szCs w:val="16"/>
              </w:rPr>
              <w:fldChar w:fldCharType="end"/>
            </w:r>
          </w:p>
        </w:sdtContent>
      </w:sdt>
    </w:sdtContent>
  </w:sdt>
  <w:p w14:paraId="253E38F5" w14:textId="77777777" w:rsidR="00622372" w:rsidRDefault="00622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9DD80" w14:textId="77777777" w:rsidR="00373BCC" w:rsidRDefault="00373BCC" w:rsidP="004D1C1C">
      <w:pPr>
        <w:spacing w:after="0"/>
      </w:pPr>
      <w:r>
        <w:separator/>
      </w:r>
    </w:p>
  </w:footnote>
  <w:footnote w:type="continuationSeparator" w:id="0">
    <w:p w14:paraId="177003D4" w14:textId="77777777" w:rsidR="00373BCC" w:rsidRDefault="00373BCC" w:rsidP="004D1C1C">
      <w:pPr>
        <w:spacing w:after="0"/>
      </w:pPr>
      <w:r>
        <w:continuationSeparator/>
      </w:r>
    </w:p>
  </w:footnote>
  <w:footnote w:type="continuationNotice" w:id="1">
    <w:p w14:paraId="69800F1C" w14:textId="77777777" w:rsidR="00373BCC" w:rsidRDefault="00373BCC">
      <w:pPr>
        <w:spacing w:after="0"/>
      </w:pPr>
    </w:p>
  </w:footnote>
  <w:footnote w:id="2">
    <w:p w14:paraId="1B81F26E" w14:textId="216CADDD" w:rsidR="00622372" w:rsidRDefault="00622372">
      <w:pPr>
        <w:pStyle w:val="FootnoteText"/>
      </w:pPr>
      <w:r>
        <w:rPr>
          <w:rStyle w:val="FootnoteReference"/>
        </w:rPr>
        <w:footnoteRef/>
      </w:r>
      <w:r>
        <w:t xml:space="preserve"> “E</w:t>
      </w:r>
      <w:r w:rsidRPr="005262F8">
        <w:t>l Comité de Competitividad y Emprendimiento como un cuerpo colegiado de carácter intersectorial de la Función Ejecutiva, encargado de la coordinación interinstitucional para promover y fortalecer la competitividad y el desarrollo del emprendimiento del país a través de la evaluación permanente de las condiciones e índices de competitividad y la definición de lineamientos de política pública asociadas a esta en todos sus ámbitos, para el desarrollo de la Agenda Nacional de Competitividad y la posterior vigilancia de su cumplimiento</w:t>
      </w:r>
      <w:r>
        <w:t>”</w:t>
      </w:r>
      <w:r w:rsidRPr="005262F8">
        <w:t>.</w:t>
      </w:r>
      <w:r>
        <w:t xml:space="preserve"> Artículo 1 del decreto ejecutivo de creación del Comité. El CCE estará presidido por la VPR y compuesto por la SGP y los entes rectores de Economía y Finanzas; Producción, Comercio Exterior, Inversiones y Pesca; Telecomunicaciones y de la Sociedad de Información; Transporte y Obras Públicas; y, Educación Superior, Ciencia y Tecnología e Innovación.</w:t>
      </w:r>
    </w:p>
  </w:footnote>
  <w:footnote w:id="3">
    <w:p w14:paraId="18A34180" w14:textId="6DA17863" w:rsidR="00622372" w:rsidRDefault="00622372">
      <w:pPr>
        <w:pStyle w:val="FootnoteText"/>
      </w:pPr>
      <w:r>
        <w:rPr>
          <w:rStyle w:val="FootnoteReference"/>
        </w:rPr>
        <w:footnoteRef/>
      </w:r>
      <w:r>
        <w:t xml:space="preserve">  Conforme a la tabla 2 </w:t>
      </w:r>
      <w:r w:rsidRPr="00184BD3">
        <w:t>Proyectos de Inversión asociados al Programa EC-L1250</w:t>
      </w:r>
      <w:r>
        <w:t>, del presente ROP</w:t>
      </w:r>
    </w:p>
  </w:footnote>
  <w:footnote w:id="4">
    <w:p w14:paraId="401B6398" w14:textId="77777777" w:rsidR="00622372" w:rsidRPr="008972DB" w:rsidRDefault="00622372" w:rsidP="00303956">
      <w:pPr>
        <w:pStyle w:val="FootnoteText"/>
      </w:pPr>
      <w:r>
        <w:rPr>
          <w:rStyle w:val="FootnoteReference"/>
        </w:rPr>
        <w:footnoteRef/>
      </w:r>
      <w:r>
        <w:t xml:space="preserve"> Extracto de la CRE: </w:t>
      </w:r>
      <w:r w:rsidRPr="006521E9">
        <w:t>“Art. 425.- El orden jerárquico de aplicación de las normas será el siguiente: La Constitución; los tratados y convenios internacionales; las leyes orgán</w:t>
      </w:r>
      <w:r w:rsidRPr="0043333B">
        <w:t>icas; las leyes ordinarias; las normas regionales y las ordenanzas distritales; los decretos y reglamentos; las ordenanzas; los acuerdos y las resoluciones; y los demás actos y decisiones de los poderes públicos.</w:t>
      </w:r>
      <w:r w:rsidRPr="00225C88">
        <w:t xml:space="preserve"> </w:t>
      </w:r>
      <w:bookmarkStart w:id="18" w:name="_Hlk9971027"/>
      <w:r w:rsidRPr="00225C88">
        <w:t>En caso de conflicto entre normas de distinta jerarquía, la Corte Constitucional, las juezas y jueces, autoridades administrativas y ser</w:t>
      </w:r>
      <w:r w:rsidRPr="00440131">
        <w:t xml:space="preserve">vidoras y servidores públicos, lo resolverán mediante aplicación de la norma jerárquica </w:t>
      </w:r>
      <w:r w:rsidRPr="001300CC">
        <w:t>superior.</w:t>
      </w:r>
      <w:bookmarkEnd w:id="18"/>
      <w:r w:rsidRPr="006C5E2C">
        <w:t xml:space="preserve"> La jerar</w:t>
      </w:r>
      <w:r w:rsidRPr="00426A42">
        <w:t xml:space="preserve">quía </w:t>
      </w:r>
      <w:r w:rsidRPr="00171A15">
        <w:t>normativa considerará, en lo que corresp</w:t>
      </w:r>
      <w:r w:rsidRPr="0037374B">
        <w:t xml:space="preserve">onda, el principio de competencia, </w:t>
      </w:r>
      <w:r w:rsidRPr="000129DF">
        <w:t>en especial la titularidad de las competencias exclusivas de los gobiernos autónomos descentralizados.”</w:t>
      </w:r>
    </w:p>
  </w:footnote>
  <w:footnote w:id="5">
    <w:p w14:paraId="4C96786B" w14:textId="2D34F10C" w:rsidR="00622372" w:rsidRDefault="00622372" w:rsidP="00303956">
      <w:pPr>
        <w:pStyle w:val="FootnoteText"/>
      </w:pPr>
      <w:r>
        <w:rPr>
          <w:rStyle w:val="FootnoteReference"/>
        </w:rPr>
        <w:footnoteRef/>
      </w:r>
      <w:r>
        <w:t xml:space="preserve">  El detalle del Costo del Programa se encuentra en el Anexo ‘El Programa’ del Contrato de </w:t>
      </w:r>
      <w:r w:rsidRPr="00A038B9">
        <w:t xml:space="preserve">Préstamo </w:t>
      </w:r>
      <w:r w:rsidRPr="006E0293">
        <w:rPr>
          <w:highlight w:val="yellow"/>
        </w:rPr>
        <w:t>XXXX/OC-EC</w:t>
      </w:r>
      <w:r>
        <w:t xml:space="preserve">. </w:t>
      </w:r>
    </w:p>
  </w:footnote>
  <w:footnote w:id="6">
    <w:p w14:paraId="291222EB" w14:textId="2973FEC1" w:rsidR="00622372" w:rsidRDefault="00622372" w:rsidP="00303956">
      <w:pPr>
        <w:pStyle w:val="FootnoteText"/>
      </w:pPr>
      <w:r>
        <w:rPr>
          <w:rStyle w:val="FootnoteReference"/>
        </w:rPr>
        <w:footnoteRef/>
      </w:r>
      <w:r>
        <w:t xml:space="preserve">   A través de la Secretaría Técnica del Comité Nacional de Competitividad, organismo adscrita a la VPR</w:t>
      </w:r>
    </w:p>
  </w:footnote>
  <w:footnote w:id="7">
    <w:p w14:paraId="637312B1" w14:textId="52FBE3D8" w:rsidR="00622372" w:rsidRDefault="00622372">
      <w:pPr>
        <w:pStyle w:val="FootnoteText"/>
      </w:pPr>
      <w:r>
        <w:rPr>
          <w:rStyle w:val="FootnoteReference"/>
        </w:rPr>
        <w:footnoteRef/>
      </w:r>
      <w:r>
        <w:t xml:space="preserve">  En el componente 3, la ejecución de los productos 3.2 “</w:t>
      </w:r>
      <w:r w:rsidRPr="001863C1">
        <w:t>Planes de Inversión de Reforma Institucional (PIRI</w:t>
      </w:r>
      <w:r>
        <w:t>S</w:t>
      </w:r>
      <w:r w:rsidRPr="001863C1">
        <w:t>) para fortalecer la capacidad de gestión de los activos públicos, incluyendo su monitoreo y control, para maximizar su contribución a la PTF, implementados</w:t>
      </w:r>
      <w:r>
        <w:t xml:space="preserve">”  y 3.3 “ </w:t>
      </w:r>
      <w:r w:rsidRPr="001863C1">
        <w:t>PIRIS para el reordenamiento, racionalización y fortalecimiento de agencias públicas que prestan servicios al sector productivo, implementados</w:t>
      </w:r>
      <w:r>
        <w:t xml:space="preserve">”, serán ejecutados directamente por los </w:t>
      </w:r>
      <w:r w:rsidRPr="00D9240B">
        <w:t xml:space="preserve">beneficiarios </w:t>
      </w:r>
      <w:r>
        <w:t xml:space="preserve">de los PIRIS, que serán INMOBILIAR, CGE, </w:t>
      </w:r>
      <w:r w:rsidRPr="00D9240B">
        <w:t>MPCEIP</w:t>
      </w:r>
      <w:r>
        <w:t xml:space="preserve">, </w:t>
      </w:r>
      <w:r w:rsidRPr="00D9240B">
        <w:t xml:space="preserve">SERCOP y </w:t>
      </w:r>
      <w:r>
        <w:t>MERNNR</w:t>
      </w:r>
      <w:r w:rsidRPr="00D9240B">
        <w:t>.</w:t>
      </w:r>
      <w:r>
        <w:t xml:space="preserve"> La ejecución de estas actividades serán responsabilidad del MEF quien coordinará y apoyará el desarrollo de las mismas.</w:t>
      </w:r>
    </w:p>
  </w:footnote>
  <w:footnote w:id="8">
    <w:p w14:paraId="6002C903" w14:textId="27990456" w:rsidR="00622372" w:rsidRDefault="00622372" w:rsidP="00303956">
      <w:pPr>
        <w:pStyle w:val="FootnoteText"/>
      </w:pPr>
      <w:r>
        <w:rPr>
          <w:rStyle w:val="FootnoteReference"/>
        </w:rPr>
        <w:footnoteRef/>
      </w:r>
      <w:r>
        <w:t xml:space="preserve"> </w:t>
      </w:r>
      <w:r>
        <w:tab/>
        <w:t>Tanto el MEF como los OSE (SGP, VPR) deberán gestionar la priorización de sus proyectos de inversión bajo su ejecución ante el ente rector</w:t>
      </w:r>
    </w:p>
  </w:footnote>
  <w:footnote w:id="9">
    <w:p w14:paraId="263B77D4" w14:textId="3ABCC9BD" w:rsidR="00622372" w:rsidRDefault="00622372" w:rsidP="00303956">
      <w:pPr>
        <w:pStyle w:val="FootnoteText"/>
      </w:pPr>
      <w:r>
        <w:rPr>
          <w:rStyle w:val="FootnoteReference"/>
        </w:rPr>
        <w:footnoteRef/>
      </w:r>
      <w:r>
        <w:t xml:space="preserve"> </w:t>
      </w:r>
      <w:r>
        <w:tab/>
        <w:t xml:space="preserve">Bienes o servicios producto de la materialización de los Componentes o actividades del Programa que estarán custodiadas por el MEF o serán transferidas a las entidades beneficiarias de las actividades del componente ejecutado por el MEF, que se encuentran definidas en el PEP y POA.  </w:t>
      </w:r>
      <w:r w:rsidRPr="005A22C2">
        <w:t>En el convenio interinstitucional específico se establecerá los mecanismos de control que aseguren la custodia y conservación de dichos activos.</w:t>
      </w:r>
      <w:r>
        <w:t xml:space="preserve"> </w:t>
      </w:r>
    </w:p>
  </w:footnote>
  <w:footnote w:id="10">
    <w:p w14:paraId="6288A945" w14:textId="65F65687" w:rsidR="00622372" w:rsidRDefault="00622372" w:rsidP="00303956">
      <w:pPr>
        <w:pStyle w:val="FootnoteText"/>
      </w:pPr>
      <w:r>
        <w:rPr>
          <w:rStyle w:val="FootnoteReference"/>
        </w:rPr>
        <w:footnoteRef/>
      </w:r>
      <w:r>
        <w:t xml:space="preserve"> </w:t>
      </w:r>
      <w:r>
        <w:tab/>
        <w:t>L</w:t>
      </w:r>
      <w:r w:rsidRPr="00C6129A">
        <w:t>a información y documentación de la gestión integral del Programa (inicio, planificación, ejecución, monitoreo y cierre) requerida, de acuerdo al cronograma, formatos y requerimientos solicitados por el Banco</w:t>
      </w:r>
      <w:r>
        <w:t>, incluye</w:t>
      </w:r>
      <w:r w:rsidRPr="00C6129A">
        <w:t>: el Plan de Ejecución del Proyecto (PEP), Plan Operativo Anual (POA), Plan de Adquisiciones (PA), Plan Financiero (PF), Matrices de Riesgos (GRP), Informes Semestrales de Progreso (ISP), Actualización de la Matriz de Resultados - PMR, Proyecciones, Solicitudes de Desembolso, Informes Financieros auditados y no auditados, informes de evaluación y demás informes que el BID requiera durante la ejecución del Programa</w:t>
      </w:r>
      <w:r>
        <w:t>.</w:t>
      </w:r>
    </w:p>
  </w:footnote>
  <w:footnote w:id="11">
    <w:p w14:paraId="6D723783" w14:textId="19452CE7" w:rsidR="00622372" w:rsidRDefault="00622372" w:rsidP="00303956">
      <w:pPr>
        <w:pStyle w:val="FootnoteText"/>
      </w:pPr>
      <w:r>
        <w:rPr>
          <w:rStyle w:val="FootnoteReference"/>
        </w:rPr>
        <w:footnoteRef/>
      </w:r>
      <w:r>
        <w:t xml:space="preserve">  Los </w:t>
      </w:r>
      <w:r w:rsidRPr="005A22C2">
        <w:t>convenio</w:t>
      </w:r>
      <w:r>
        <w:t>s</w:t>
      </w:r>
      <w:r w:rsidRPr="005A22C2">
        <w:t xml:space="preserve"> interinstitucional</w:t>
      </w:r>
      <w:r>
        <w:t>es</w:t>
      </w:r>
      <w:r w:rsidRPr="005A22C2">
        <w:t xml:space="preserve"> específico</w:t>
      </w:r>
      <w:r>
        <w:t>s</w:t>
      </w:r>
      <w:r w:rsidRPr="005A22C2">
        <w:t xml:space="preserve"> </w:t>
      </w:r>
      <w:r>
        <w:t xml:space="preserve">contendrán </w:t>
      </w:r>
      <w:r w:rsidRPr="005A22C2">
        <w:t xml:space="preserve">los mecanismos de control que aseguren la custodia y conservación de </w:t>
      </w:r>
      <w:r>
        <w:t xml:space="preserve">los bienes o servicios producto de la materialización de los Componentes o actividades del Programa que serán transferidos a las entidades beneficiarias de dichas actividades y que se encuentran definidas en el PEP y POA.  </w:t>
      </w:r>
    </w:p>
  </w:footnote>
  <w:footnote w:id="12">
    <w:p w14:paraId="0D6EEC88" w14:textId="77777777" w:rsidR="00622372" w:rsidRDefault="00622372" w:rsidP="00303956">
      <w:pPr>
        <w:pStyle w:val="FootnoteText"/>
      </w:pPr>
      <w:r>
        <w:rPr>
          <w:rStyle w:val="FootnoteReference"/>
        </w:rPr>
        <w:footnoteRef/>
      </w:r>
      <w:r>
        <w:t xml:space="preserve"> </w:t>
      </w:r>
      <w:r>
        <w:tab/>
        <w:t xml:space="preserve">Bienes o servicios producto de la materialización de los Componentes o actividades del Programa que estarán custodiadas por el MEF o serán transferidas a las entidades beneficiarias de las actividades del componente ejecutado por el MEF, que se encuentran definidas en el PEP y POA.  </w:t>
      </w:r>
      <w:r w:rsidRPr="005A22C2">
        <w:t>En el convenio interinstitucional específico se establecerá los mecanismos de control que aseguren la custodia y conservación de dichos activos.</w:t>
      </w:r>
      <w:r>
        <w:t xml:space="preserve"> </w:t>
      </w:r>
    </w:p>
  </w:footnote>
  <w:footnote w:id="13">
    <w:p w14:paraId="333B77A2" w14:textId="3EEB3C80" w:rsidR="00622372" w:rsidRDefault="00622372" w:rsidP="00303956">
      <w:pPr>
        <w:pStyle w:val="FootnoteText"/>
      </w:pPr>
      <w:r>
        <w:rPr>
          <w:rStyle w:val="FootnoteReference"/>
        </w:rPr>
        <w:footnoteRef/>
      </w:r>
      <w:r>
        <w:t xml:space="preserve"> </w:t>
      </w:r>
      <w:r>
        <w:tab/>
        <w:t>L</w:t>
      </w:r>
      <w:r w:rsidRPr="00C6129A">
        <w:t>a información y documentación de la gestión integral del Programa (inicio, planificación, ejecución, monitoreo y cierre) requerida, de acuerdo al cronograma, formatos y requerimientos solicitados por el Banco</w:t>
      </w:r>
      <w:r>
        <w:t>, incluye</w:t>
      </w:r>
      <w:r w:rsidRPr="00C6129A">
        <w:t>: el Plan de Ejecución del Proyecto (PEP), Plan Operativo Anual (POA), Plan de Adquisiciones (PA), Plan Financiero (PF), Matrices de Riesgos (GRP), Informes Semestrales de Progreso (ISP), Actualización de la Matriz de Resultados - PMR, Proyecciones, Solicitudes de Desembolso, Informes Financieros auditados y no auditados, informes de evaluación y demás informes que el BID requiera durante la ejecución del Programa</w:t>
      </w:r>
      <w:r>
        <w:t>.</w:t>
      </w:r>
    </w:p>
  </w:footnote>
  <w:footnote w:id="14">
    <w:p w14:paraId="51C991B6" w14:textId="2BAD1456" w:rsidR="00622372" w:rsidRDefault="00622372" w:rsidP="00303956">
      <w:pPr>
        <w:pStyle w:val="FootnoteText"/>
      </w:pPr>
      <w:r>
        <w:rPr>
          <w:rStyle w:val="FootnoteReference"/>
        </w:rPr>
        <w:footnoteRef/>
      </w:r>
      <w:r>
        <w:t xml:space="preserve">  </w:t>
      </w:r>
      <w:r w:rsidRPr="0095652E">
        <w:t>Ambas herramientas se describen en la guía del PM4R y su objeto fundamental consiste en describir cómo se manejarán los canales de comunicación adecuados entre los distintos interesados, fundamentalmente entre los EGP del OE y del OSE y el Banco, de forma tal de hacer más eficiente el proceso de intercambio de información</w:t>
      </w:r>
      <w:r>
        <w:t>.</w:t>
      </w:r>
    </w:p>
  </w:footnote>
  <w:footnote w:id="15">
    <w:p w14:paraId="1F284346" w14:textId="5FB77F8E" w:rsidR="00622372" w:rsidRDefault="00622372" w:rsidP="00303956">
      <w:pPr>
        <w:pStyle w:val="FootnoteText"/>
      </w:pPr>
      <w:r>
        <w:rPr>
          <w:rStyle w:val="FootnoteReference"/>
        </w:rPr>
        <w:footnoteRef/>
      </w:r>
      <w:r>
        <w:t xml:space="preserve"> Establecido inicialmente en el POD de la operación</w:t>
      </w:r>
    </w:p>
  </w:footnote>
  <w:footnote w:id="16">
    <w:p w14:paraId="6BA0257C" w14:textId="5123250B" w:rsidR="00622372" w:rsidRDefault="00622372" w:rsidP="00303956">
      <w:pPr>
        <w:pStyle w:val="FootnoteText"/>
      </w:pPr>
      <w:r>
        <w:rPr>
          <w:rStyle w:val="FootnoteReference"/>
        </w:rPr>
        <w:footnoteRef/>
      </w:r>
      <w:r>
        <w:t xml:space="preserve"> Los proyectos de inversión </w:t>
      </w:r>
    </w:p>
  </w:footnote>
  <w:footnote w:id="17">
    <w:p w14:paraId="42CA0DFA" w14:textId="18954639" w:rsidR="00622372" w:rsidRDefault="00622372" w:rsidP="00303956">
      <w:pPr>
        <w:pStyle w:val="FootnoteText"/>
      </w:pPr>
      <w:r>
        <w:rPr>
          <w:rStyle w:val="FootnoteReference"/>
        </w:rPr>
        <w:footnoteRef/>
      </w:r>
      <w:r>
        <w:t xml:space="preserve"> Proyecto de inversión principal, nombre final por definirse en la postulación. Incluye las actividades de los componentes asociados exceptuando los que se atan a otros proyectos de inversión previamente priorizados.</w:t>
      </w:r>
    </w:p>
  </w:footnote>
  <w:footnote w:id="18">
    <w:p w14:paraId="5E436B0D" w14:textId="083E7DE5" w:rsidR="00622372" w:rsidRDefault="00622372" w:rsidP="00303956">
      <w:pPr>
        <w:pStyle w:val="FootnoteText"/>
      </w:pPr>
      <w:r>
        <w:rPr>
          <w:rStyle w:val="FootnoteReference"/>
        </w:rPr>
        <w:footnoteRef/>
      </w:r>
      <w:r>
        <w:t xml:space="preserve"> A través de la Secretaría Técnica del CCE, organismo adscrito a la VPR</w:t>
      </w:r>
    </w:p>
  </w:footnote>
  <w:footnote w:id="19">
    <w:p w14:paraId="14256E7D" w14:textId="565D67AA" w:rsidR="00622372" w:rsidRDefault="00622372" w:rsidP="00851356">
      <w:pPr>
        <w:pStyle w:val="FootnoteText"/>
      </w:pPr>
      <w:r>
        <w:rPr>
          <w:rStyle w:val="FootnoteReference"/>
        </w:rPr>
        <w:footnoteRef/>
      </w:r>
      <w:r>
        <w:t xml:space="preserve"> </w:t>
      </w:r>
      <w:r w:rsidR="003608E9">
        <w:t>La incorporación de las actividades se realizará</w:t>
      </w:r>
      <w:r>
        <w:t xml:space="preserve"> bajo el esquema de “</w:t>
      </w:r>
      <w:r w:rsidRPr="00810ED2">
        <w:t>Plan de Inversión de Reforma Institucional</w:t>
      </w:r>
      <w:r>
        <w:t xml:space="preserve"> (PIRI)” destinados a los beneficiarios de los productos los PIRIS seleccionados serán de: INMOBILIAR, CGE, MPCEIP; SERCOP y </w:t>
      </w:r>
      <w:bookmarkStart w:id="57" w:name="_Hlk22810803"/>
      <w:r w:rsidR="003608E9">
        <w:t>MERNNR.</w:t>
      </w:r>
      <w:r>
        <w:t xml:space="preserve"> </w:t>
      </w:r>
    </w:p>
    <w:bookmarkEnd w:id="57"/>
  </w:footnote>
  <w:footnote w:id="20">
    <w:p w14:paraId="26BE70EE" w14:textId="4745C1E8" w:rsidR="00622372" w:rsidRDefault="00622372">
      <w:pPr>
        <w:pStyle w:val="FootnoteText"/>
      </w:pPr>
      <w:r>
        <w:rPr>
          <w:rStyle w:val="FootnoteReference"/>
        </w:rPr>
        <w:footnoteRef/>
      </w:r>
      <w:r>
        <w:t xml:space="preserve"> Incluye las actividades relacionadas con el p</w:t>
      </w:r>
      <w:r w:rsidRPr="00494952">
        <w:t>ersonal con beneficios por desvinculación producto del Proceso de Fusión del MPCEIP</w:t>
      </w:r>
      <w:r>
        <w:t xml:space="preserve"> y p</w:t>
      </w:r>
      <w:r w:rsidRPr="00494952">
        <w:t>ersonal con beneficios por desvinculación en el Ministerio de Energía resultado del proceso de optimización</w:t>
      </w:r>
    </w:p>
  </w:footnote>
  <w:footnote w:id="21">
    <w:p w14:paraId="67C5701F" w14:textId="405B4742" w:rsidR="00622372" w:rsidRDefault="00622372" w:rsidP="00303956">
      <w:pPr>
        <w:pStyle w:val="FootnoteText"/>
      </w:pPr>
      <w:r>
        <w:rPr>
          <w:rStyle w:val="FootnoteReference"/>
        </w:rPr>
        <w:footnoteRef/>
      </w:r>
      <w:r>
        <w:t xml:space="preserve">   Para un </w:t>
      </w:r>
      <w:r w:rsidRPr="009F4641">
        <w:t>Mayor detalle</w:t>
      </w:r>
      <w:r>
        <w:t xml:space="preserve"> del ISP el Banco proveerá al EGP el acceso digital al </w:t>
      </w:r>
      <w:r w:rsidRPr="00B97A56">
        <w:rPr>
          <w:i/>
        </w:rPr>
        <w:t xml:space="preserve">Toolkit </w:t>
      </w:r>
      <w:r w:rsidRPr="00B97A56">
        <w:t>para Ejecutores del BID – Ecuador, donde</w:t>
      </w:r>
      <w:r>
        <w:t xml:space="preserve"> se encuentran los formatos y detalles requeridos </w:t>
      </w:r>
    </w:p>
  </w:footnote>
  <w:footnote w:id="22">
    <w:p w14:paraId="4AD16463" w14:textId="44524F98" w:rsidR="00622372" w:rsidRPr="00A74448" w:rsidRDefault="00622372" w:rsidP="00303956">
      <w:pPr>
        <w:pStyle w:val="FootnoteText"/>
        <w:rPr>
          <w:lang w:val="en-US"/>
        </w:rPr>
      </w:pPr>
      <w:r>
        <w:rPr>
          <w:rStyle w:val="FootnoteReference"/>
        </w:rPr>
        <w:footnoteRef/>
      </w:r>
      <w:r w:rsidRPr="00A74448">
        <w:rPr>
          <w:lang w:val="en-US"/>
        </w:rPr>
        <w:t xml:space="preserve"> EDG-M</w:t>
      </w:r>
      <w:r>
        <w:rPr>
          <w:lang w:val="en-US"/>
        </w:rPr>
        <w:t>EF; EDG-SGP; EDG-VPR</w:t>
      </w:r>
    </w:p>
  </w:footnote>
  <w:footnote w:id="23">
    <w:p w14:paraId="55FC8EC2" w14:textId="4949274B" w:rsidR="00622372" w:rsidRPr="00A90150" w:rsidRDefault="00622372" w:rsidP="00303956">
      <w:pPr>
        <w:pStyle w:val="FootnoteText"/>
        <w:rPr>
          <w:lang w:val="en-US"/>
        </w:rPr>
      </w:pPr>
      <w:r>
        <w:rPr>
          <w:rStyle w:val="FootnoteReference"/>
        </w:rPr>
        <w:footnoteRef/>
      </w:r>
      <w:r w:rsidRPr="00A90150">
        <w:rPr>
          <w:lang w:val="en-US"/>
        </w:rPr>
        <w:t xml:space="preserve"> EDG-M</w:t>
      </w:r>
      <w:r>
        <w:rPr>
          <w:lang w:val="en-US"/>
        </w:rPr>
        <w:t>EF</w:t>
      </w:r>
    </w:p>
  </w:footnote>
  <w:footnote w:id="24">
    <w:p w14:paraId="397E2612" w14:textId="77777777" w:rsidR="00622372" w:rsidRPr="00A74448" w:rsidRDefault="00622372" w:rsidP="00303956">
      <w:pPr>
        <w:pStyle w:val="FootnoteText"/>
        <w:rPr>
          <w:lang w:val="en-US"/>
        </w:rPr>
      </w:pPr>
      <w:r>
        <w:rPr>
          <w:rStyle w:val="FootnoteReference"/>
        </w:rPr>
        <w:footnoteRef/>
      </w:r>
      <w:r w:rsidRPr="00A74448">
        <w:rPr>
          <w:lang w:val="en-US"/>
        </w:rPr>
        <w:t xml:space="preserve">  </w:t>
      </w:r>
      <w:r w:rsidR="00373BCC">
        <w:fldChar w:fldCharType="begin"/>
      </w:r>
      <w:r w:rsidR="00373BCC" w:rsidRPr="00A42F4C">
        <w:rPr>
          <w:lang w:val="en-US"/>
        </w:rPr>
        <w:instrText xml:space="preserve"> HYPERLINK "http://www.iniciativasepa.org" </w:instrText>
      </w:r>
      <w:r w:rsidR="00373BCC">
        <w:fldChar w:fldCharType="separate"/>
      </w:r>
      <w:r w:rsidRPr="00A74448">
        <w:rPr>
          <w:rStyle w:val="Hyperlink"/>
          <w:lang w:val="en-US"/>
        </w:rPr>
        <w:t>www.iniciativasepa.org</w:t>
      </w:r>
      <w:r w:rsidR="00373BCC">
        <w:rPr>
          <w:rStyle w:val="Hyperlink"/>
          <w:lang w:val="en-US"/>
        </w:rPr>
        <w:fldChar w:fldCharType="end"/>
      </w:r>
    </w:p>
  </w:footnote>
  <w:footnote w:id="25">
    <w:p w14:paraId="24BBDD1D" w14:textId="118A79E9" w:rsidR="00622372" w:rsidRPr="00426F84" w:rsidRDefault="00622372" w:rsidP="00303956">
      <w:pPr>
        <w:pStyle w:val="FootnoteText"/>
        <w:rPr>
          <w:lang w:val="en-US"/>
        </w:rPr>
      </w:pPr>
      <w:r>
        <w:rPr>
          <w:rStyle w:val="FootnoteReference"/>
        </w:rPr>
        <w:footnoteRef/>
      </w:r>
      <w:r w:rsidRPr="00426F84">
        <w:rPr>
          <w:lang w:val="en-US"/>
        </w:rPr>
        <w:t xml:space="preserve"> EDG-MEF</w:t>
      </w:r>
    </w:p>
  </w:footnote>
  <w:footnote w:id="26">
    <w:p w14:paraId="378759B4" w14:textId="77777777" w:rsidR="00622372" w:rsidRDefault="00622372" w:rsidP="00303956">
      <w:pPr>
        <w:pStyle w:val="FootnoteText"/>
      </w:pPr>
      <w:r>
        <w:rPr>
          <w:rStyle w:val="FootnoteReference"/>
        </w:rPr>
        <w:footnoteRef/>
      </w:r>
      <w:r>
        <w:t xml:space="preserve"> Los formularios V-1 y V-2 son anexos al ROP</w:t>
      </w:r>
    </w:p>
  </w:footnote>
  <w:footnote w:id="27">
    <w:p w14:paraId="5E892E13" w14:textId="77777777" w:rsidR="00622372" w:rsidRDefault="00622372" w:rsidP="00303956">
      <w:pPr>
        <w:pStyle w:val="FootnoteText"/>
      </w:pPr>
      <w:r>
        <w:rPr>
          <w:rStyle w:val="FootnoteReference"/>
        </w:rPr>
        <w:footnoteRef/>
      </w:r>
      <w:r>
        <w:t xml:space="preserve"> Corresponde a las responsabilidades del CGP </w:t>
      </w:r>
    </w:p>
  </w:footnote>
  <w:footnote w:id="28">
    <w:p w14:paraId="4FB96704" w14:textId="77777777" w:rsidR="00622372" w:rsidRDefault="00622372" w:rsidP="00303956">
      <w:pPr>
        <w:pStyle w:val="FootnoteText"/>
      </w:pPr>
      <w:r>
        <w:rPr>
          <w:rStyle w:val="FootnoteReference"/>
        </w:rPr>
        <w:footnoteRef/>
      </w:r>
      <w:r>
        <w:t xml:space="preserve"> Sólo aplica para el CGP-EDG/MEF</w:t>
      </w:r>
    </w:p>
  </w:footnote>
  <w:footnote w:id="29">
    <w:p w14:paraId="16B1F5AC" w14:textId="653B711E" w:rsidR="00622372" w:rsidRDefault="00622372" w:rsidP="00303956">
      <w:pPr>
        <w:pStyle w:val="FootnoteText"/>
      </w:pPr>
      <w:r>
        <w:rPr>
          <w:rStyle w:val="FootnoteReference"/>
        </w:rPr>
        <w:footnoteRef/>
      </w:r>
      <w:r>
        <w:t xml:space="preserve"> Corresponde a las responsabilidades del </w:t>
      </w:r>
      <w:r>
        <w:rPr>
          <w:lang w:eastAsia="es-ES"/>
        </w:rPr>
        <w:t>CP-EDG-SGP y /</w:t>
      </w:r>
      <w:r w:rsidRPr="00F01A69">
        <w:rPr>
          <w:lang w:eastAsia="es-ES"/>
        </w:rPr>
        <w:t xml:space="preserve"> </w:t>
      </w:r>
      <w:r>
        <w:rPr>
          <w:lang w:eastAsia="es-ES"/>
        </w:rPr>
        <w:t>CP-EDG-SGP</w:t>
      </w:r>
      <w:r>
        <w:t xml:space="preserve"> </w:t>
      </w:r>
    </w:p>
  </w:footnote>
  <w:footnote w:id="30">
    <w:p w14:paraId="442A8C91" w14:textId="2A408C81" w:rsidR="00622372" w:rsidRDefault="00622372" w:rsidP="00303956">
      <w:pPr>
        <w:pStyle w:val="FootnoteText"/>
      </w:pPr>
      <w:r>
        <w:rPr>
          <w:rStyle w:val="FootnoteReference"/>
        </w:rPr>
        <w:footnoteRef/>
      </w:r>
      <w:r>
        <w:t xml:space="preserve"> El MEF en calidad de OE, la SGP y la VPR en calidad de OSE. Corresponde a las funciones de las unidades o áreas requirentes </w:t>
      </w:r>
    </w:p>
  </w:footnote>
  <w:footnote w:id="31">
    <w:p w14:paraId="2F5F82A6" w14:textId="76CBD55C" w:rsidR="00622372" w:rsidRDefault="00622372" w:rsidP="00303956">
      <w:pPr>
        <w:pStyle w:val="FootnoteText"/>
      </w:pPr>
      <w:r>
        <w:rPr>
          <w:rStyle w:val="FootnoteReference"/>
        </w:rPr>
        <w:footnoteRef/>
      </w:r>
      <w:r>
        <w:t xml:space="preserve">  El MEF en calidad de OE y la SGP y VPR en calidad de OSE. Corresponde a las funciones del equivalente a la Unidad de Licitaciones y Contrataciones dependiente de la Gerencia o Dirección Administrativa Financiera, para los procesos de contratación del Programa </w:t>
      </w:r>
    </w:p>
  </w:footnote>
  <w:footnote w:id="32">
    <w:p w14:paraId="7E23EA53" w14:textId="6FF58DEA" w:rsidR="00622372" w:rsidRDefault="00622372" w:rsidP="00303956">
      <w:pPr>
        <w:pStyle w:val="FootnoteText"/>
      </w:pPr>
      <w:r>
        <w:rPr>
          <w:rStyle w:val="FootnoteReference"/>
        </w:rPr>
        <w:footnoteRef/>
      </w:r>
      <w:r>
        <w:t xml:space="preserve">  El MEF en calidad de OE y la SGP y VPR en calidad de OSE. Corresponde a las funciones del equivalente al Gerente Administrativo Financiero en los procesos de contratación del Programa </w:t>
      </w:r>
    </w:p>
  </w:footnote>
  <w:footnote w:id="33">
    <w:p w14:paraId="7959EA14" w14:textId="13046C39" w:rsidR="00622372" w:rsidRDefault="00622372" w:rsidP="00303956">
      <w:pPr>
        <w:pStyle w:val="FootnoteText"/>
      </w:pPr>
      <w:r>
        <w:rPr>
          <w:rStyle w:val="FootnoteReference"/>
        </w:rPr>
        <w:footnoteRef/>
      </w:r>
      <w:r>
        <w:t xml:space="preserve"> Corresponde al </w:t>
      </w:r>
      <w:r w:rsidRPr="00A51980">
        <w:t>EA-EDG</w:t>
      </w:r>
      <w:r>
        <w:t>-</w:t>
      </w:r>
      <w:r w:rsidRPr="00A51980">
        <w:t>MEF</w:t>
      </w:r>
      <w:r>
        <w:t xml:space="preserve">, </w:t>
      </w:r>
      <w:r w:rsidRPr="00A51980">
        <w:t>EA-EDG</w:t>
      </w:r>
      <w:r>
        <w:t xml:space="preserve">-SGP y </w:t>
      </w:r>
      <w:r w:rsidRPr="00A51980">
        <w:t>EA-EDG</w:t>
      </w:r>
      <w:r>
        <w:t>-VPR</w:t>
      </w:r>
    </w:p>
  </w:footnote>
  <w:footnote w:id="34">
    <w:p w14:paraId="42E1720E" w14:textId="2FCB8E09" w:rsidR="00622372" w:rsidRDefault="00622372" w:rsidP="00303956">
      <w:pPr>
        <w:pStyle w:val="FootnoteText"/>
      </w:pPr>
      <w:r>
        <w:rPr>
          <w:rStyle w:val="FootnoteReference"/>
        </w:rPr>
        <w:footnoteRef/>
      </w:r>
      <w:r>
        <w:t xml:space="preserve"> El MEF en calidad de OE, la </w:t>
      </w:r>
      <w:r w:rsidR="003608E9">
        <w:t>SGP y VPR</w:t>
      </w:r>
      <w:r>
        <w:t xml:space="preserve"> en calidad de OSE. Corresponde a las funciones de la coordinación o dirección jurídica </w:t>
      </w:r>
    </w:p>
  </w:footnote>
  <w:footnote w:id="35">
    <w:p w14:paraId="5DE15F52" w14:textId="77777777" w:rsidR="00622372" w:rsidRDefault="00622372" w:rsidP="00303956">
      <w:pPr>
        <w:pStyle w:val="FootnoteText"/>
      </w:pPr>
      <w:r>
        <w:rPr>
          <w:rStyle w:val="FootnoteReference"/>
        </w:rPr>
        <w:footnoteRef/>
      </w:r>
      <w:r>
        <w:t xml:space="preserve"> Donde: </w:t>
      </w:r>
    </w:p>
    <w:p w14:paraId="2A12BDA2" w14:textId="77777777" w:rsidR="00622372" w:rsidRDefault="00622372" w:rsidP="00303956">
      <w:pPr>
        <w:pStyle w:val="FootnoteText"/>
      </w:pPr>
      <w:r>
        <w:t>LPI: Licitación Pública Internacional.</w:t>
      </w:r>
    </w:p>
    <w:p w14:paraId="2C01B875" w14:textId="77777777" w:rsidR="00622372" w:rsidRDefault="00622372" w:rsidP="00303956">
      <w:pPr>
        <w:pStyle w:val="FootnoteText"/>
      </w:pPr>
      <w:r>
        <w:t>LPN: Licitación Pública Nacional.</w:t>
      </w:r>
    </w:p>
    <w:p w14:paraId="590E3AB7" w14:textId="77777777" w:rsidR="00622372" w:rsidRDefault="00622372" w:rsidP="00303956">
      <w:pPr>
        <w:pStyle w:val="FootnoteText"/>
      </w:pPr>
      <w:r>
        <w:t>CP: Comparación de Precios.</w:t>
      </w:r>
    </w:p>
    <w:p w14:paraId="11EF72FF" w14:textId="77777777" w:rsidR="00622372" w:rsidRDefault="00622372" w:rsidP="00303956">
      <w:pPr>
        <w:pStyle w:val="FootnoteText"/>
      </w:pPr>
      <w:r>
        <w:t>CD: Contrataciones Directas</w:t>
      </w:r>
    </w:p>
  </w:footnote>
  <w:footnote w:id="36">
    <w:p w14:paraId="2A1B656C" w14:textId="77777777" w:rsidR="00622372" w:rsidRPr="008F4AA7" w:rsidRDefault="00622372" w:rsidP="00303956">
      <w:pPr>
        <w:pStyle w:val="FootnoteText"/>
      </w:pPr>
      <w:r>
        <w:rPr>
          <w:rStyle w:val="FootnoteReference"/>
        </w:rPr>
        <w:footnoteRef/>
      </w:r>
      <w:r>
        <w:t xml:space="preserve"> Cuando se trate de obras comunes o sencillas, se podrá aplicar el método de CP, siempre que se obtenga la aprobación previa del Banco.</w:t>
      </w:r>
      <w:r>
        <w:rPr>
          <w:rFonts w:cs="Arial"/>
        </w:rPr>
        <w:t xml:space="preserve"> </w:t>
      </w:r>
      <w:r>
        <w:t xml:space="preserve"> </w:t>
      </w:r>
    </w:p>
  </w:footnote>
  <w:footnote w:id="37">
    <w:p w14:paraId="780EB054" w14:textId="77777777" w:rsidR="00622372" w:rsidRPr="008F4AA7" w:rsidRDefault="00622372" w:rsidP="00303956">
      <w:pPr>
        <w:pStyle w:val="FootnoteText"/>
      </w:pPr>
      <w:r>
        <w:rPr>
          <w:rStyle w:val="FootnoteReference"/>
        </w:rPr>
        <w:footnoteRef/>
      </w:r>
      <w:r>
        <w:t xml:space="preserve"> Cuando se trate de bienes o servicios diferentes de consultoría comunes, se podrá aplicar el método de CP, siempre que se obtenga la aprobación previa del Banco.</w:t>
      </w:r>
      <w:r>
        <w:rPr>
          <w:rFonts w:cs="Arial"/>
        </w:rPr>
        <w:t xml:space="preserve"> </w:t>
      </w:r>
      <w:r>
        <w:t xml:space="preserve"> </w:t>
      </w:r>
    </w:p>
  </w:footnote>
  <w:footnote w:id="38">
    <w:p w14:paraId="668F8D62" w14:textId="77777777" w:rsidR="00622372" w:rsidRPr="002A1014" w:rsidRDefault="00622372" w:rsidP="00303956">
      <w:pPr>
        <w:pStyle w:val="FootnoteText"/>
      </w:pPr>
      <w:r>
        <w:rPr>
          <w:rStyle w:val="FootnoteReference"/>
        </w:rPr>
        <w:footnoteRef/>
      </w:r>
      <w:r>
        <w:t xml:space="preserve"> Siempre que se justifiquen con base en las razones establecidas en las Políticas del BID GN-2349-9 y GN-2350-9  </w:t>
      </w:r>
    </w:p>
  </w:footnote>
  <w:footnote w:id="39">
    <w:p w14:paraId="2C2FE702" w14:textId="77777777" w:rsidR="00622372" w:rsidRDefault="00622372" w:rsidP="00303956">
      <w:pPr>
        <w:pStyle w:val="FootnoteText"/>
      </w:pPr>
      <w:r>
        <w:rPr>
          <w:rStyle w:val="FootnoteReference"/>
        </w:rPr>
        <w:footnoteRef/>
      </w:r>
      <w:r>
        <w:t xml:space="preserve"> Donde: </w:t>
      </w:r>
    </w:p>
    <w:p w14:paraId="44BDFB9D" w14:textId="77777777" w:rsidR="00622372" w:rsidRDefault="00622372" w:rsidP="00303956">
      <w:pPr>
        <w:pStyle w:val="FootnoteText"/>
      </w:pPr>
      <w:r>
        <w:t>SBCC: Selección Basada en Calidad y Costo.</w:t>
      </w:r>
    </w:p>
    <w:p w14:paraId="476A7F3D" w14:textId="77777777" w:rsidR="00622372" w:rsidRDefault="00622372" w:rsidP="00303956">
      <w:pPr>
        <w:pStyle w:val="FootnoteText"/>
      </w:pPr>
      <w:r>
        <w:t>SBC: Selección Basada en Calidad.</w:t>
      </w:r>
    </w:p>
    <w:p w14:paraId="5BA032C1" w14:textId="77777777" w:rsidR="00622372" w:rsidRDefault="00622372" w:rsidP="00303956">
      <w:pPr>
        <w:pStyle w:val="FootnoteText"/>
      </w:pPr>
      <w:r>
        <w:t>SBPF: Selección Basada en Presupuesto Fijo.</w:t>
      </w:r>
    </w:p>
    <w:p w14:paraId="2BC81006" w14:textId="77777777" w:rsidR="00622372" w:rsidRDefault="00622372" w:rsidP="00303956">
      <w:pPr>
        <w:pStyle w:val="FootnoteText"/>
      </w:pPr>
      <w:r>
        <w:t>SBMC: Selección Basada en el Menor Costo.</w:t>
      </w:r>
    </w:p>
    <w:p w14:paraId="351B7DF6" w14:textId="77777777" w:rsidR="00622372" w:rsidRDefault="00622372" w:rsidP="00303956">
      <w:pPr>
        <w:pStyle w:val="FootnoteText"/>
      </w:pPr>
      <w:r>
        <w:t>SCC: Selección Basada en la Calificación de los Consultores</w:t>
      </w:r>
    </w:p>
    <w:p w14:paraId="7ABC20A7" w14:textId="77777777" w:rsidR="00622372" w:rsidRDefault="00622372" w:rsidP="00303956">
      <w:pPr>
        <w:pStyle w:val="FootnoteText"/>
      </w:pPr>
      <w:r>
        <w:t>CCIN: Selección Basada en la Comparación de Calificaciones de Consultores Individuales Nacionales.</w:t>
      </w:r>
    </w:p>
    <w:p w14:paraId="1E3DA227" w14:textId="77777777" w:rsidR="00622372" w:rsidRDefault="00622372" w:rsidP="00303956">
      <w:pPr>
        <w:pStyle w:val="FootnoteText"/>
      </w:pPr>
      <w:r>
        <w:t>CCII: Selección basada en la comparación de calificaciones de consultores individuales internacionales.</w:t>
      </w:r>
    </w:p>
  </w:footnote>
  <w:footnote w:id="40">
    <w:p w14:paraId="3D8272D5" w14:textId="77777777" w:rsidR="00622372" w:rsidRDefault="00622372" w:rsidP="00303956">
      <w:pPr>
        <w:pStyle w:val="FootnoteText"/>
      </w:pPr>
      <w:r>
        <w:rPr>
          <w:rStyle w:val="FootnoteReference"/>
        </w:rPr>
        <w:footnoteRef/>
      </w:r>
      <w:r>
        <w:t xml:space="preserve"> </w:t>
      </w:r>
      <w:r w:rsidRPr="00AF40FF">
        <w:t>La protesta se entiende como un manifiesto escrito de una afectación, inconformidad o queja, con relación a las decisiones y/o a las actuaciones que son contrarias a las disposiciones establecidas en las Políticas del BID y/o en los DBC.</w:t>
      </w:r>
    </w:p>
  </w:footnote>
  <w:footnote w:id="41">
    <w:p w14:paraId="33A6EFF7" w14:textId="54FBE2AE" w:rsidR="00622372" w:rsidRDefault="00622372" w:rsidP="00303956">
      <w:pPr>
        <w:pStyle w:val="FootnoteText"/>
      </w:pPr>
      <w:r>
        <w:rPr>
          <w:rStyle w:val="FootnoteReference"/>
        </w:rPr>
        <w:footnoteRef/>
      </w:r>
      <w:r>
        <w:t xml:space="preserve"> El Gobierno del Ecuador se encuentra desarrollando un nuevo sistema que reemplazará al e-SIGEF, si en el transcurso de la ejecución del Programa éste entra en funcionamiento, se utilizará el nuevo sistema.</w:t>
      </w:r>
    </w:p>
  </w:footnote>
  <w:footnote w:id="42">
    <w:p w14:paraId="2F29E532" w14:textId="5D5424B9" w:rsidR="00622372" w:rsidRDefault="00622372" w:rsidP="00303956">
      <w:pPr>
        <w:pStyle w:val="FootnoteText"/>
      </w:pPr>
      <w:r>
        <w:rPr>
          <w:rStyle w:val="FootnoteReference"/>
        </w:rPr>
        <w:footnoteRef/>
      </w:r>
      <w:r>
        <w:t xml:space="preserve"> Los formatos establecidos por el Banco se encuentran publicados en el ToolKit del BID para el país. El acceso al mismo será proporcionado por la representación del Banco al EDG, previa petición del EDG </w:t>
      </w:r>
    </w:p>
  </w:footnote>
  <w:footnote w:id="43">
    <w:p w14:paraId="7A66BB8B" w14:textId="373C6A7D" w:rsidR="00622372" w:rsidRDefault="00622372" w:rsidP="00303956">
      <w:pPr>
        <w:pStyle w:val="FootnoteText"/>
      </w:pPr>
      <w:r>
        <w:rPr>
          <w:rStyle w:val="FootnoteReference"/>
        </w:rPr>
        <w:footnoteRef/>
      </w:r>
      <w:r>
        <w:t xml:space="preserve"> El PF, deberá</w:t>
      </w:r>
      <w:r w:rsidRPr="00CF77EC">
        <w:t xml:space="preserve"> ser consistente con el PEP, POA y el PA y deberá cubrir un horizonte móvil de al menos 12 meses. </w:t>
      </w:r>
    </w:p>
  </w:footnote>
  <w:footnote w:id="44">
    <w:p w14:paraId="0B6E7A3C" w14:textId="77A7E215" w:rsidR="00622372" w:rsidRDefault="00622372" w:rsidP="00303956">
      <w:pPr>
        <w:pStyle w:val="FootnoteText"/>
      </w:pPr>
      <w:r>
        <w:rPr>
          <w:rStyle w:val="FootnoteReference"/>
        </w:rPr>
        <w:footnoteRef/>
      </w:r>
      <w:r>
        <w:t xml:space="preserve"> Especialista Fiduciario del Banco</w:t>
      </w:r>
    </w:p>
  </w:footnote>
  <w:footnote w:id="45">
    <w:p w14:paraId="396187BB" w14:textId="4DCF9741" w:rsidR="00622372" w:rsidRDefault="00622372" w:rsidP="00303956">
      <w:pPr>
        <w:pStyle w:val="FootnoteText"/>
      </w:pPr>
      <w:r>
        <w:rPr>
          <w:rStyle w:val="FootnoteReference"/>
        </w:rPr>
        <w:footnoteRef/>
      </w:r>
      <w:r>
        <w:t xml:space="preserve"> Registro de Riesgos y Factores de Probabilidad (RRF); Matriz de Evaluación de Riesgos (MER); Matriz de Mitigación de Riesgos (MMR)</w:t>
      </w:r>
    </w:p>
  </w:footnote>
  <w:footnote w:id="46">
    <w:p w14:paraId="7E8A5959" w14:textId="110FE220" w:rsidR="00622372" w:rsidRDefault="00622372" w:rsidP="00303956">
      <w:pPr>
        <w:pStyle w:val="FootnoteText"/>
      </w:pPr>
      <w:r>
        <w:rPr>
          <w:rStyle w:val="FootnoteReference"/>
        </w:rPr>
        <w:footnoteRef/>
      </w:r>
      <w:r>
        <w:t xml:space="preserve"> Si existen también las actualizaciones de los indicadores de la MdR </w:t>
      </w:r>
    </w:p>
  </w:footnote>
  <w:footnote w:id="47">
    <w:p w14:paraId="0C828E52" w14:textId="4DB86BFF" w:rsidR="00622372" w:rsidRDefault="00622372" w:rsidP="00303956">
      <w:pPr>
        <w:pStyle w:val="FootnoteText"/>
      </w:pPr>
      <w:r>
        <w:rPr>
          <w:rStyle w:val="FootnoteReference"/>
        </w:rPr>
        <w:footnoteRef/>
      </w:r>
      <w:r>
        <w:t xml:space="preserve"> L</w:t>
      </w:r>
      <w:r w:rsidRPr="00390FCA">
        <w:t>a supervisión técnica de la ejecución del proyecto estará a cargo de la División de Innovación al Servicio del Ciudadano (IFD/ICS) con el apoyo de la Oficina de Adquisiciones para Operaciones (FMP) y de la Representación del Banco en Ecuador CEC. Se realizará anualmente, al menos, una reunión conjunta entre el OE, el OSE y el Banco, donde se discutirá, entre otros aspectos: (i) el avance de las actividades identificadas en el POA; (ii) el nivel de cumplimiento de los indicadores establecidos para cada componente; (iii) el POA para el año siguiente; (iv) el PA para los próximos 12 meses y las posibles modificaciones de las asignaciones presupuestarias por componente; y (v) el seguimiento a las matrices de riesgos del proyecto.</w:t>
      </w:r>
    </w:p>
  </w:footnote>
  <w:footnote w:id="48">
    <w:p w14:paraId="27DD1053" w14:textId="11DF9968" w:rsidR="00622372" w:rsidRDefault="00622372" w:rsidP="00303956">
      <w:pPr>
        <w:pStyle w:val="FootnoteText"/>
      </w:pPr>
      <w:r>
        <w:rPr>
          <w:rStyle w:val="FootnoteReference"/>
        </w:rPr>
        <w:footnoteRef/>
      </w:r>
      <w:r>
        <w:t xml:space="preserve"> Informe de Terminación del Proyecto</w:t>
      </w:r>
    </w:p>
  </w:footnote>
  <w:footnote w:id="49">
    <w:p w14:paraId="4461DA5A" w14:textId="6E80BC09" w:rsidR="00622372" w:rsidRPr="00FA4527" w:rsidRDefault="00622372" w:rsidP="00303956">
      <w:pPr>
        <w:pStyle w:val="FootnoteText"/>
        <w:rPr>
          <w:lang w:val="es-ES"/>
        </w:rPr>
      </w:pPr>
      <w:r>
        <w:rPr>
          <w:rStyle w:val="FootnoteReference"/>
        </w:rPr>
        <w:footnoteRef/>
      </w:r>
      <w:r>
        <w:t xml:space="preserve"> </w:t>
      </w:r>
      <w:r w:rsidRPr="00097C74">
        <w:tab/>
        <w:t>El Reporte de Cierre del Programa (P</w:t>
      </w:r>
      <w:r>
        <w:t>C</w:t>
      </w:r>
      <w:r w:rsidRPr="00097C74">
        <w:t>R), se elaborará siguiendo las directrices del Banco establecidos en la guía y formatos para el PCR del BID, vigentes al momento de concluir la operación.</w:t>
      </w:r>
    </w:p>
  </w:footnote>
  <w:footnote w:id="50">
    <w:p w14:paraId="015DFD86" w14:textId="65501B62" w:rsidR="00622372" w:rsidRDefault="00622372" w:rsidP="00303956">
      <w:pPr>
        <w:pStyle w:val="FootnoteText"/>
      </w:pPr>
      <w:r>
        <w:rPr>
          <w:rStyle w:val="FootnoteReference"/>
        </w:rPr>
        <w:footnoteRef/>
      </w:r>
      <w:r>
        <w:t xml:space="preserve"> </w:t>
      </w:r>
      <w:r w:rsidRPr="00B46B91">
        <w:t>Los detalles metodológicos de la Evaluación final se muestran en el Plan de Monitoreo y Evaluación anexo al POD aprobado por el Banco</w:t>
      </w:r>
    </w:p>
  </w:footnote>
  <w:footnote w:id="51">
    <w:p w14:paraId="52C08336" w14:textId="77777777" w:rsidR="00622372" w:rsidRDefault="00622372" w:rsidP="00303956">
      <w:pPr>
        <w:pStyle w:val="FootnoteText"/>
      </w:pPr>
      <w:r>
        <w:rPr>
          <w:rStyle w:val="FootnoteReference"/>
        </w:rPr>
        <w:footnoteRef/>
      </w:r>
      <w:r>
        <w:t xml:space="preserve"> </w:t>
      </w:r>
      <w:r w:rsidRPr="0054592A">
        <w:t xml:space="preserve">Por Capacidad Institucional (CI) se entiende la disponibilidad, por parte del </w:t>
      </w:r>
      <w:r>
        <w:t>ejecutor</w:t>
      </w:r>
      <w:r w:rsidRPr="0054592A">
        <w:t>, de recursos humanos, materiales y equipos, en términos de estructura orgánica y de gobernanza, planificación, organización, dirección y control, de tal forma que permitan la adecuada ejecución del programa y el manejo eficaz y eficiente de dichos recursos de acuerdo a los términos acordados con el Banco.</w:t>
      </w:r>
    </w:p>
  </w:footnote>
  <w:footnote w:id="52">
    <w:p w14:paraId="24D24C2E" w14:textId="531F5AA6" w:rsidR="00622372" w:rsidRDefault="00622372">
      <w:pPr>
        <w:pStyle w:val="FootnoteText"/>
      </w:pPr>
      <w:r>
        <w:rPr>
          <w:rStyle w:val="FootnoteReference"/>
        </w:rPr>
        <w:footnoteRef/>
      </w:r>
      <w:r>
        <w:t xml:space="preserve"> L</w:t>
      </w:r>
      <w:r w:rsidRPr="008B44F0">
        <w:t xml:space="preserve">a Secretaría Técnica del Comité de Competitividad y Emprendimiento, </w:t>
      </w:r>
      <w:r>
        <w:t xml:space="preserve">se crea como una </w:t>
      </w:r>
      <w:r w:rsidRPr="008B44F0">
        <w:t>entidad adscrita a la Vicepresidencia de la República, para la coordinación, seguimiento y evaluación de la implementación de la Agenda Nacional de Competitividad y Emprendimiento.</w:t>
      </w:r>
      <w:r>
        <w:t xml:space="preserve"> Artículo 4 del decreto de creación del CCE. </w:t>
      </w:r>
    </w:p>
  </w:footnote>
  <w:footnote w:id="53">
    <w:p w14:paraId="4B2AE66F" w14:textId="11864AE8" w:rsidR="00622372" w:rsidRDefault="00622372" w:rsidP="00303956">
      <w:pPr>
        <w:pStyle w:val="FootnoteText"/>
      </w:pPr>
      <w:r>
        <w:rPr>
          <w:rStyle w:val="FootnoteReference"/>
        </w:rPr>
        <w:footnoteRef/>
      </w:r>
      <w:r>
        <w:t xml:space="preserve"> Considerando que la VPR no ha ejecutado proyectos de inversión desde 2013. Las c</w:t>
      </w:r>
      <w:r w:rsidRPr="00402D4C">
        <w:t xml:space="preserve">apacitaciones </w:t>
      </w:r>
      <w:r>
        <w:t xml:space="preserve">serán </w:t>
      </w:r>
      <w:r w:rsidRPr="00402D4C">
        <w:t>en gestión de proyectos con el BID, PM4R; Políticas para Adquisición de Obras y Bienes Financiados por el BID; Políticas para la Selección y Contratación de Consultores Financiados por el BID; Guías de  buenas prácticas para evaluación de ofertas y negociación de contratos del BID; Política de Gestión Financiera para Programas Financiados por el BID; Guía de Desembolsos para Programas financiados por el BID; Guías de Informes Financieros y de Auditoría Externa de las Operaciones Financiadas por el Banco.</w:t>
      </w:r>
    </w:p>
  </w:footnote>
  <w:footnote w:id="54">
    <w:p w14:paraId="76C0212B" w14:textId="025A929D" w:rsidR="00622372" w:rsidRDefault="00622372" w:rsidP="00DF54D4">
      <w:pPr>
        <w:pStyle w:val="FootnoteText"/>
      </w:pPr>
      <w:r>
        <w:rPr>
          <w:rStyle w:val="FootnoteReference"/>
        </w:rPr>
        <w:footnoteRef/>
      </w:r>
      <w:r>
        <w:t xml:space="preserve"> Según el artículo 3 de creación del CCE, serán atribuciones del CCE, las siguientes: i. definir lineamientos para la política pública de competitividad y emprendimiento; ii. establecer lineamientos para la construcción de la Agenda Nacional de Competitividad y Emprendimiento; iii. aprobar la Agenda Nacional de Competitividad y Emprendimiento y definir mecanismos para su operativización con instituciones públicas y privadas; iv. desarrollar lineamientos para la coordinación, seguimiento, monitoreo y evaluación de los objetivos y metas de la Agenda Nacional de Competitividad y Emprendimiento; v. promover la realización de estudios de sectores productivos y cadenas productivas para la toma de decisiones y formulación de políticas públicas; f. aprobar los informes de la Secretaria Técnica; g. evaluar la gestión de la Secretaría Técnica en base a los informes de avance en la implementación de la Agenda Nacional de Competitividad y Emprendimiento; y, h. las demás que les asigne el Presidente de la República.</w:t>
      </w:r>
    </w:p>
  </w:footnote>
  <w:footnote w:id="55">
    <w:p w14:paraId="4E92542A" w14:textId="77777777" w:rsidR="00622372" w:rsidRDefault="00622372" w:rsidP="00303956">
      <w:pPr>
        <w:pStyle w:val="FootnoteText"/>
      </w:pPr>
      <w:r>
        <w:rPr>
          <w:rStyle w:val="FootnoteReference"/>
        </w:rPr>
        <w:footnoteRef/>
      </w:r>
      <w:r>
        <w:t xml:space="preserve"> </w:t>
      </w:r>
      <w:r w:rsidRPr="00402D4C">
        <w:t>Capacitaciones en gestión de proyectos con el BID, PM4R; Políticas para Adquisición de Obras y Bienes Financiados por el BID; Políticas para la Selección y Contratación de Consultores Financiados por el BID; Guías de  buenas prácticas para evaluación de ofertas y negociación de contratos del BID; Política de Gestión Financiera para Programas Financiados por el BID; Guía de Desembolsos para Programas financiados por el BID; Guías de Informes Financieros y de Auditoría Externa de las Operaciones Financiadas por el Banco.</w:t>
      </w:r>
      <w:r>
        <w:t>.</w:t>
      </w:r>
    </w:p>
  </w:footnote>
  <w:footnote w:id="56">
    <w:p w14:paraId="2C73B3F1" w14:textId="25502A1F" w:rsidR="00622372" w:rsidRDefault="00622372" w:rsidP="00303956">
      <w:pPr>
        <w:pStyle w:val="FootnoteText"/>
      </w:pPr>
      <w:r>
        <w:rPr>
          <w:rStyle w:val="FootnoteReference"/>
        </w:rPr>
        <w:footnoteRef/>
      </w:r>
      <w:r>
        <w:t xml:space="preserve"> De acuerdo a lo establecido para los Convenios Interinstitucionales Específicos (¶ </w:t>
      </w:r>
      <w:r>
        <w:fldChar w:fldCharType="begin"/>
      </w:r>
      <w:r>
        <w:instrText xml:space="preserve"> REF _Ref12890444 \r \h </w:instrText>
      </w:r>
      <w:r>
        <w:fldChar w:fldCharType="separate"/>
      </w:r>
      <w:r w:rsidR="003538B4">
        <w:t>3.19</w:t>
      </w:r>
      <w:r>
        <w:fldChar w:fldCharType="end"/>
      </w:r>
      <w:r>
        <w:t>).</w:t>
      </w:r>
    </w:p>
  </w:footnote>
  <w:footnote w:id="57">
    <w:p w14:paraId="6F45225B" w14:textId="496320A4" w:rsidR="00622372" w:rsidRDefault="00622372">
      <w:pPr>
        <w:pStyle w:val="FootnoteText"/>
      </w:pPr>
      <w:r>
        <w:rPr>
          <w:rStyle w:val="FootnoteReference"/>
        </w:rPr>
        <w:footnoteRef/>
      </w:r>
      <w:r>
        <w:t xml:space="preserve"> En el caso de las contrataciones del producto 4.1 </w:t>
      </w:r>
      <w:r w:rsidRPr="00663208">
        <w:t>“Fortalecimiento de la Plataforma Ruter (Portal de Servicios del Estado)”,</w:t>
      </w:r>
      <w:r>
        <w:t xml:space="preserve"> el equipo del MINTEL elaborará los </w:t>
      </w:r>
      <w:r w:rsidRPr="008B2117">
        <w:t>Documentos de Licitación (</w:t>
      </w:r>
      <w:r w:rsidR="003608E9" w:rsidRPr="008B2117">
        <w:t>DEL) o</w:t>
      </w:r>
      <w:r w:rsidRPr="008B2117">
        <w:t xml:space="preserve"> Solicitudes de Propuestas</w:t>
      </w:r>
      <w:r>
        <w:t xml:space="preserve"> con el asesoramiento del EA-EDG-SGP y deberá contar con la aprobación del EDG-SGP.</w:t>
      </w:r>
    </w:p>
  </w:footnote>
  <w:footnote w:id="58">
    <w:p w14:paraId="293BFDB4" w14:textId="77777777" w:rsidR="00622372" w:rsidRDefault="00622372" w:rsidP="00303956">
      <w:pPr>
        <w:pStyle w:val="FootnoteText"/>
      </w:pPr>
      <w:r>
        <w:rPr>
          <w:rStyle w:val="FootnoteReference"/>
        </w:rPr>
        <w:footnoteRef/>
      </w:r>
      <w:r>
        <w:t xml:space="preserve"> </w:t>
      </w:r>
      <w:r w:rsidRPr="00402D4C">
        <w:t>Capacitaciones en gestión de proyectos con el BID, PM4R; Políticas para Adquisición de Obras y Bienes Financiados por el BID; Políticas para la Selección y Contratación de Consultores Financiados por el BID; Guías de  buenas prácticas para evaluación de ofertas y negociación de contratos del BID; Política de Gestión Financiera para Programas Financiados por el BID; Guía de Desembolsos para Programas financiados por el BID; Guías de Informes Financieros y de Auditoría Externa de las Operaciones Financiadas por el Banco.</w:t>
      </w:r>
      <w:r>
        <w:t>.</w:t>
      </w:r>
    </w:p>
  </w:footnote>
  <w:footnote w:id="59">
    <w:p w14:paraId="7D80A752" w14:textId="61E93B8A" w:rsidR="00622372" w:rsidRDefault="00622372" w:rsidP="00303956">
      <w:pPr>
        <w:pStyle w:val="FootnoteText"/>
      </w:pPr>
      <w:r>
        <w:rPr>
          <w:rStyle w:val="FootnoteReference"/>
        </w:rPr>
        <w:footnoteRef/>
      </w:r>
      <w:r>
        <w:t xml:space="preserve"> De acuerdo a lo establecido para los Convenios Interinstitucionales Específicos (¶ </w:t>
      </w:r>
      <w:r>
        <w:fldChar w:fldCharType="begin"/>
      </w:r>
      <w:r>
        <w:instrText xml:space="preserve"> REF _Ref12890444 \r \h </w:instrText>
      </w:r>
      <w:r>
        <w:fldChar w:fldCharType="separate"/>
      </w:r>
      <w:r w:rsidR="003538B4">
        <w:t>3.19</w:t>
      </w:r>
      <w:r>
        <w:fldChar w:fldCharType="end"/>
      </w:r>
      <w:r>
        <w:t>) y a los casos particulares en (</w:t>
      </w:r>
      <w:r>
        <w:fldChar w:fldCharType="begin"/>
      </w:r>
      <w:r>
        <w:instrText xml:space="preserve"> REF _Ref12912070 \r \h </w:instrText>
      </w:r>
      <w:r>
        <w:fldChar w:fldCharType="separate"/>
      </w:r>
      <w:r w:rsidR="003538B4">
        <w:rPr>
          <w:b/>
          <w:bCs/>
          <w:lang w:val="es-ES"/>
        </w:rPr>
        <w:t>¡Error! No se encuentra el origen de la referencia.</w:t>
      </w:r>
      <w:r>
        <w:fldChar w:fldCharType="end"/>
      </w:r>
      <w:r>
        <w:t>)</w:t>
      </w:r>
    </w:p>
  </w:footnote>
  <w:footnote w:id="60">
    <w:p w14:paraId="41A371E8" w14:textId="4C20762C" w:rsidR="00622372" w:rsidRDefault="00622372">
      <w:pPr>
        <w:pStyle w:val="FootnoteText"/>
      </w:pPr>
      <w:r>
        <w:rPr>
          <w:rStyle w:val="FootnoteReference"/>
        </w:rPr>
        <w:footnoteRef/>
      </w:r>
      <w:r>
        <w:t xml:space="preserve"> Establecido mediante Norma Técnica de Reestructuración de la Gestión Pública Institucional, mediante Acuerdo Interministerial 996 de diciembre de 2011 </w:t>
      </w:r>
    </w:p>
  </w:footnote>
  <w:footnote w:id="61">
    <w:p w14:paraId="6FEE6D7B" w14:textId="32175080" w:rsidR="00622372" w:rsidRDefault="00622372">
      <w:pPr>
        <w:pStyle w:val="FootnoteText"/>
      </w:pPr>
      <w:r>
        <w:rPr>
          <w:rStyle w:val="FootnoteReference"/>
        </w:rPr>
        <w:footnoteRef/>
      </w:r>
      <w:r>
        <w:t xml:space="preserve">  El esquema de ejecución utilizado para los PIRIS puede </w:t>
      </w:r>
      <w:r w:rsidRPr="00645888">
        <w:t>revisarse en el Manual Operativo del Contrato de Préstamo 2653OC/EC del BID (Programa Reforma Institucional de la Gestión Pública EC- L</w:t>
      </w:r>
      <w:r>
        <w:t>1</w:t>
      </w:r>
      <w:r w:rsidRPr="00645888">
        <w:t>084)</w:t>
      </w:r>
    </w:p>
  </w:footnote>
  <w:footnote w:id="62">
    <w:p w14:paraId="1291DD67" w14:textId="7B56F62B" w:rsidR="00622372" w:rsidRDefault="00622372" w:rsidP="00037430">
      <w:pPr>
        <w:pStyle w:val="FootnoteText"/>
      </w:pPr>
      <w:r>
        <w:rPr>
          <w:rStyle w:val="FootnoteReference"/>
        </w:rPr>
        <w:footnoteRef/>
      </w:r>
      <w:r>
        <w:t xml:space="preserve"> Oficio Nro.SNAP-SNADP-2014-000585-O, de fecha 21 de septiembre de 2014, donde el secretario del Comité de Gestión Pública Interinstitucional informa lo indicado de acuerdo al Acta Nro. 37 del 8 de agosto del 2014.</w:t>
      </w:r>
    </w:p>
  </w:footnote>
  <w:footnote w:id="63">
    <w:p w14:paraId="2DA18CE4" w14:textId="4309A174" w:rsidR="00622372" w:rsidRDefault="00622372" w:rsidP="002933A1">
      <w:pPr>
        <w:pStyle w:val="FootnoteText"/>
      </w:pPr>
      <w:r>
        <w:rPr>
          <w:rStyle w:val="FootnoteReference"/>
        </w:rPr>
        <w:footnoteRef/>
      </w:r>
      <w:r>
        <w:t xml:space="preserve"> Disposición General Primera del Decreto Ejecutivo No 1212 del 14 de octubre de 2016</w:t>
      </w:r>
    </w:p>
  </w:footnote>
  <w:footnote w:id="64">
    <w:p w14:paraId="1F1F68BB" w14:textId="7605D777" w:rsidR="00622372" w:rsidRDefault="00622372" w:rsidP="00E85C37">
      <w:pPr>
        <w:pStyle w:val="FootnoteText"/>
      </w:pPr>
      <w:r>
        <w:rPr>
          <w:rStyle w:val="FootnoteReference"/>
        </w:rPr>
        <w:footnoteRef/>
      </w:r>
      <w:r>
        <w:t xml:space="preserve"> “Programa de Reforma </w:t>
      </w:r>
      <w:r w:rsidRPr="00E85C37">
        <w:t>Institucional de la Gestión Pública, CUP 30400000.1780.7402,</w:t>
      </w:r>
      <w:r>
        <w:t xml:space="preserve"> enero 2018, página 76.  </w:t>
      </w:r>
    </w:p>
  </w:footnote>
  <w:footnote w:id="65">
    <w:p w14:paraId="6B503028" w14:textId="37D9B288" w:rsidR="00622372" w:rsidRDefault="00622372">
      <w:pPr>
        <w:pStyle w:val="FootnoteText"/>
      </w:pPr>
      <w:r>
        <w:rPr>
          <w:rStyle w:val="FootnoteReference"/>
        </w:rPr>
        <w:footnoteRef/>
      </w:r>
      <w:r>
        <w:t xml:space="preserve">  M</w:t>
      </w:r>
      <w:r w:rsidRPr="00B57CC5">
        <w:t>ediante decreto presidencial 732 de mayo 13 de 2019, artículos 1 y 2</w:t>
      </w:r>
    </w:p>
  </w:footnote>
  <w:footnote w:id="66">
    <w:p w14:paraId="0BCA53E1" w14:textId="696DF519" w:rsidR="00622372" w:rsidRDefault="00622372">
      <w:pPr>
        <w:pStyle w:val="FootnoteText"/>
      </w:pPr>
      <w:r>
        <w:rPr>
          <w:rStyle w:val="FootnoteReference"/>
        </w:rPr>
        <w:footnoteRef/>
      </w:r>
      <w:r>
        <w:t xml:space="preserve">  Planifica Ecuador se crea como una </w:t>
      </w:r>
      <w:r w:rsidRPr="00B57CC5">
        <w:t>entidad de derecho público, con personería jurídica, dotada de autonomía administrativa y financiera, adscrita a la Presidencia de la República</w:t>
      </w:r>
      <w:r>
        <w:t>.</w:t>
      </w:r>
    </w:p>
  </w:footnote>
  <w:footnote w:id="67">
    <w:p w14:paraId="1FBFB5BA" w14:textId="1DF2BC63" w:rsidR="00622372" w:rsidRDefault="00622372">
      <w:pPr>
        <w:pStyle w:val="FootnoteText"/>
      </w:pPr>
      <w:r>
        <w:rPr>
          <w:rStyle w:val="FootnoteReference"/>
        </w:rPr>
        <w:footnoteRef/>
      </w:r>
      <w:r>
        <w:t xml:space="preserve"> En consonancia a </w:t>
      </w:r>
      <w:r w:rsidRPr="00AA75A9">
        <w:t>los términos establecidos en la Norma Técnica de Reestructuración de la Gestión Pública Institucional</w:t>
      </w:r>
      <w:r>
        <w:t xml:space="preserve"> (modelo R)</w:t>
      </w:r>
      <w:r w:rsidRPr="00AA75A9">
        <w:t>.</w:t>
      </w:r>
    </w:p>
  </w:footnote>
  <w:footnote w:id="68">
    <w:p w14:paraId="31DD8F40" w14:textId="5510283F" w:rsidR="00622372" w:rsidRDefault="00622372" w:rsidP="00303956">
      <w:pPr>
        <w:pStyle w:val="FootnoteText"/>
      </w:pPr>
      <w:r>
        <w:rPr>
          <w:rStyle w:val="FootnoteReference"/>
        </w:rPr>
        <w:footnoteRef/>
      </w:r>
      <w:r>
        <w:t xml:space="preserve"> </w:t>
      </w:r>
      <w:r w:rsidRPr="006C7969">
        <w:rPr>
          <w:lang w:val="es-PE"/>
        </w:rPr>
        <w:t>Este gasto cumple con la política “Modernización de políticas y prácticas de restricción al uso de recursos en préstamos de inversión” (GN-2331-5), y con los Parámetros de Financiamiento de País acordados con Ecuador (CP-28273 y anexo IX del GN-2495).</w:t>
      </w:r>
    </w:p>
  </w:footnote>
  <w:footnote w:id="69">
    <w:p w14:paraId="23EE33BC" w14:textId="7F720AAA" w:rsidR="00622372" w:rsidRDefault="00622372" w:rsidP="00303956">
      <w:pPr>
        <w:pStyle w:val="FootnoteText"/>
      </w:pPr>
      <w:r>
        <w:rPr>
          <w:rStyle w:val="FootnoteReference"/>
        </w:rPr>
        <w:footnoteRef/>
      </w:r>
      <w:r>
        <w:t xml:space="preserve"> </w:t>
      </w:r>
      <w:r w:rsidRPr="00CB4712">
        <w:t>El apoyo a otras modalidades de desvinculación previstas en la legislación nacional estará sujeto a que las mismas sean consistentes con los preceptos legales y constitucionales del país, y se ajusten a los criterios y objetivos previstos en el programa análisis y previo no objeción del Banco.</w:t>
      </w:r>
    </w:p>
  </w:footnote>
  <w:footnote w:id="70">
    <w:p w14:paraId="59D16540" w14:textId="21B8BCB5" w:rsidR="00622372" w:rsidRDefault="00622372" w:rsidP="00303956">
      <w:pPr>
        <w:pStyle w:val="FootnoteText"/>
      </w:pPr>
      <w:r>
        <w:rPr>
          <w:rStyle w:val="FootnoteReference"/>
        </w:rPr>
        <w:footnoteRef/>
      </w:r>
      <w:r>
        <w:t xml:space="preserve"> </w:t>
      </w:r>
      <w:r w:rsidRPr="00CB4712">
        <w:t>Modalidad regulada en el Artículo 108(bis) del Reglamento de la Ley Orgánica de Servicio Público, diseñada para ser utilizada por las instituciones “en virtud de procesos de reestructuración, optimización o racionalización de las mismas”.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B1C82"/>
    <w:multiLevelType w:val="multilevel"/>
    <w:tmpl w:val="B996308E"/>
    <w:lvl w:ilvl="0">
      <w:start w:val="1"/>
      <w:numFmt w:val="lowerRoman"/>
      <w:lvlText w:val="%1."/>
      <w:lvlJc w:val="right"/>
      <w:pPr>
        <w:ind w:left="1068" w:hanging="360"/>
      </w:pPr>
      <w:rPr>
        <w:rFonts w:hint="default"/>
        <w:lang w:val="es-ES_tradnl"/>
      </w:rPr>
    </w:lvl>
    <w:lvl w:ilvl="1">
      <w:start w:val="1"/>
      <w:numFmt w:val="none"/>
      <w:isLgl/>
      <w:lvlText w:val="a. "/>
      <w:lvlJc w:val="left"/>
      <w:pPr>
        <w:ind w:left="1443" w:hanging="375"/>
      </w:pPr>
      <w:rPr>
        <w:rFonts w:hint="default"/>
      </w:rPr>
    </w:lvl>
    <w:lvl w:ilvl="2">
      <w:start w:val="1"/>
      <w:numFmt w:val="lowerRoman"/>
      <w:lvlText w:val="%3."/>
      <w:lvlJc w:val="right"/>
      <w:pPr>
        <w:ind w:left="2148" w:hanging="720"/>
      </w:pPr>
      <w:rPr>
        <w:rFonts w:hint="default"/>
      </w:rPr>
    </w:lvl>
    <w:lvl w:ilvl="3">
      <w:start w:val="1"/>
      <w:numFmt w:val="none"/>
      <w:isLgl/>
      <w:lvlText w:val="i."/>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3948" w:hanging="108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1" w15:restartNumberingAfterBreak="0">
    <w:nsid w:val="073118F5"/>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0A7F5D7C"/>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B4F0F04"/>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0DAB7FC9"/>
    <w:multiLevelType w:val="multilevel"/>
    <w:tmpl w:val="D966ABC2"/>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lvlText w:val="%1.%2"/>
      <w:lvlJc w:val="left"/>
      <w:pPr>
        <w:tabs>
          <w:tab w:val="num" w:pos="720"/>
        </w:tabs>
        <w:ind w:left="720" w:hanging="720"/>
      </w:pPr>
      <w:rPr>
        <w:b w:val="0"/>
        <w:sz w:val="24"/>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15:restartNumberingAfterBreak="0">
    <w:nsid w:val="0EDD5B49"/>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168C2A78"/>
    <w:multiLevelType w:val="multilevel"/>
    <w:tmpl w:val="DCC6120E"/>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bullet"/>
      <w:lvlText w:val="-"/>
      <w:lvlJc w:val="left"/>
      <w:pPr>
        <w:tabs>
          <w:tab w:val="num" w:pos="2088"/>
        </w:tabs>
        <w:ind w:left="2088" w:hanging="288"/>
      </w:pPr>
      <w:rPr>
        <w:rFonts w:ascii="Arial Narrow" w:hAnsi="Arial Narrow"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16A14576"/>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19226E90"/>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15:restartNumberingAfterBreak="0">
    <w:nsid w:val="1978510A"/>
    <w:multiLevelType w:val="hybridMultilevel"/>
    <w:tmpl w:val="52F28840"/>
    <w:lvl w:ilvl="0" w:tplc="300A0019">
      <w:start w:val="1"/>
      <w:numFmt w:val="lowerLetter"/>
      <w:lvlText w:val="%1."/>
      <w:lvlJc w:val="left"/>
      <w:pPr>
        <w:ind w:left="1911" w:hanging="360"/>
      </w:pPr>
      <w:rPr>
        <w:rFonts w:hint="default"/>
      </w:rPr>
    </w:lvl>
    <w:lvl w:ilvl="1" w:tplc="300A0003">
      <w:start w:val="1"/>
      <w:numFmt w:val="bullet"/>
      <w:lvlText w:val="o"/>
      <w:lvlJc w:val="left"/>
      <w:pPr>
        <w:ind w:left="2631" w:hanging="360"/>
      </w:pPr>
      <w:rPr>
        <w:rFonts w:ascii="Courier New" w:hAnsi="Courier New" w:cs="Courier New" w:hint="default"/>
      </w:rPr>
    </w:lvl>
    <w:lvl w:ilvl="2" w:tplc="300A0005">
      <w:start w:val="1"/>
      <w:numFmt w:val="bullet"/>
      <w:lvlText w:val=""/>
      <w:lvlJc w:val="left"/>
      <w:pPr>
        <w:ind w:left="3351" w:hanging="360"/>
      </w:pPr>
      <w:rPr>
        <w:rFonts w:ascii="Wingdings" w:hAnsi="Wingdings" w:hint="default"/>
      </w:rPr>
    </w:lvl>
    <w:lvl w:ilvl="3" w:tplc="300A0001" w:tentative="1">
      <w:start w:val="1"/>
      <w:numFmt w:val="bullet"/>
      <w:lvlText w:val=""/>
      <w:lvlJc w:val="left"/>
      <w:pPr>
        <w:ind w:left="4071" w:hanging="360"/>
      </w:pPr>
      <w:rPr>
        <w:rFonts w:ascii="Symbol" w:hAnsi="Symbol" w:hint="default"/>
      </w:rPr>
    </w:lvl>
    <w:lvl w:ilvl="4" w:tplc="300A0003" w:tentative="1">
      <w:start w:val="1"/>
      <w:numFmt w:val="bullet"/>
      <w:lvlText w:val="o"/>
      <w:lvlJc w:val="left"/>
      <w:pPr>
        <w:ind w:left="4791" w:hanging="360"/>
      </w:pPr>
      <w:rPr>
        <w:rFonts w:ascii="Courier New" w:hAnsi="Courier New" w:cs="Courier New" w:hint="default"/>
      </w:rPr>
    </w:lvl>
    <w:lvl w:ilvl="5" w:tplc="300A0005" w:tentative="1">
      <w:start w:val="1"/>
      <w:numFmt w:val="bullet"/>
      <w:lvlText w:val=""/>
      <w:lvlJc w:val="left"/>
      <w:pPr>
        <w:ind w:left="5511" w:hanging="360"/>
      </w:pPr>
      <w:rPr>
        <w:rFonts w:ascii="Wingdings" w:hAnsi="Wingdings" w:hint="default"/>
      </w:rPr>
    </w:lvl>
    <w:lvl w:ilvl="6" w:tplc="300A0001" w:tentative="1">
      <w:start w:val="1"/>
      <w:numFmt w:val="bullet"/>
      <w:lvlText w:val=""/>
      <w:lvlJc w:val="left"/>
      <w:pPr>
        <w:ind w:left="6231" w:hanging="360"/>
      </w:pPr>
      <w:rPr>
        <w:rFonts w:ascii="Symbol" w:hAnsi="Symbol" w:hint="default"/>
      </w:rPr>
    </w:lvl>
    <w:lvl w:ilvl="7" w:tplc="300A0003" w:tentative="1">
      <w:start w:val="1"/>
      <w:numFmt w:val="bullet"/>
      <w:lvlText w:val="o"/>
      <w:lvlJc w:val="left"/>
      <w:pPr>
        <w:ind w:left="6951" w:hanging="360"/>
      </w:pPr>
      <w:rPr>
        <w:rFonts w:ascii="Courier New" w:hAnsi="Courier New" w:cs="Courier New" w:hint="default"/>
      </w:rPr>
    </w:lvl>
    <w:lvl w:ilvl="8" w:tplc="300A0005" w:tentative="1">
      <w:start w:val="1"/>
      <w:numFmt w:val="bullet"/>
      <w:lvlText w:val=""/>
      <w:lvlJc w:val="left"/>
      <w:pPr>
        <w:ind w:left="7671" w:hanging="360"/>
      </w:pPr>
      <w:rPr>
        <w:rFonts w:ascii="Wingdings" w:hAnsi="Wingdings" w:hint="default"/>
      </w:rPr>
    </w:lvl>
  </w:abstractNum>
  <w:abstractNum w:abstractNumId="10" w15:restartNumberingAfterBreak="0">
    <w:nsid w:val="1A822274"/>
    <w:multiLevelType w:val="multilevel"/>
    <w:tmpl w:val="0342364C"/>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val="0"/>
        <w:bCs/>
        <w:i w:val="0"/>
        <w:sz w:val="18"/>
        <w:szCs w:val="16"/>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1B320B48"/>
    <w:multiLevelType w:val="multilevel"/>
    <w:tmpl w:val="4EC65582"/>
    <w:lvl w:ilvl="0">
      <w:start w:val="1"/>
      <w:numFmt w:val="lowerRoman"/>
      <w:lvlText w:val="%1."/>
      <w:lvlJc w:val="right"/>
      <w:pPr>
        <w:ind w:left="1068" w:hanging="360"/>
      </w:pPr>
      <w:rPr>
        <w:rFonts w:hint="default"/>
      </w:rPr>
    </w:lvl>
    <w:lvl w:ilvl="1">
      <w:start w:val="1"/>
      <w:numFmt w:val="none"/>
      <w:isLgl/>
      <w:lvlText w:val="a. "/>
      <w:lvlJc w:val="left"/>
      <w:pPr>
        <w:ind w:left="1443" w:hanging="375"/>
      </w:pPr>
      <w:rPr>
        <w:rFonts w:hint="default"/>
      </w:rPr>
    </w:lvl>
    <w:lvl w:ilvl="2">
      <w:start w:val="1"/>
      <w:numFmt w:val="lowerRoman"/>
      <w:lvlText w:val="%3."/>
      <w:lvlJc w:val="right"/>
      <w:pPr>
        <w:ind w:left="2148" w:hanging="720"/>
      </w:pPr>
      <w:rPr>
        <w:rFonts w:hint="default"/>
      </w:rPr>
    </w:lvl>
    <w:lvl w:ilvl="3">
      <w:start w:val="1"/>
      <w:numFmt w:val="none"/>
      <w:isLgl/>
      <w:lvlText w:val="i."/>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3948" w:hanging="108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12" w15:restartNumberingAfterBreak="0">
    <w:nsid w:val="1DD11828"/>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15:restartNumberingAfterBreak="0">
    <w:nsid w:val="212006EB"/>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15:restartNumberingAfterBreak="0">
    <w:nsid w:val="219F1157"/>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5" w15:restartNumberingAfterBreak="0">
    <w:nsid w:val="32856222"/>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15:restartNumberingAfterBreak="0">
    <w:nsid w:val="365D471E"/>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15:restartNumberingAfterBreak="0">
    <w:nsid w:val="3B7120B0"/>
    <w:multiLevelType w:val="hybridMultilevel"/>
    <w:tmpl w:val="C46E3C76"/>
    <w:lvl w:ilvl="0" w:tplc="C73E4E64">
      <w:start w:val="1"/>
      <w:numFmt w:val="upperLetter"/>
      <w:pStyle w:val="Heading2"/>
      <w:lvlText w:val="%1."/>
      <w:lvlJc w:val="left"/>
      <w:pPr>
        <w:ind w:left="927" w:hanging="360"/>
      </w:pPr>
      <w:rPr>
        <w:rFonts w:hint="default"/>
      </w:rPr>
    </w:lvl>
    <w:lvl w:ilvl="1" w:tplc="300A0019">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18" w15:restartNumberingAfterBreak="0">
    <w:nsid w:val="3D1C11A0"/>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15:restartNumberingAfterBreak="0">
    <w:nsid w:val="3E13244E"/>
    <w:multiLevelType w:val="hybridMultilevel"/>
    <w:tmpl w:val="F8E04452"/>
    <w:lvl w:ilvl="0" w:tplc="829AD664">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0" w15:restartNumberingAfterBreak="0">
    <w:nsid w:val="42DE7C2D"/>
    <w:multiLevelType w:val="multilevel"/>
    <w:tmpl w:val="4EC65582"/>
    <w:lvl w:ilvl="0">
      <w:start w:val="1"/>
      <w:numFmt w:val="lowerRoman"/>
      <w:lvlText w:val="%1."/>
      <w:lvlJc w:val="right"/>
      <w:pPr>
        <w:ind w:left="1068" w:hanging="360"/>
      </w:pPr>
      <w:rPr>
        <w:rFonts w:hint="default"/>
      </w:rPr>
    </w:lvl>
    <w:lvl w:ilvl="1">
      <w:start w:val="1"/>
      <w:numFmt w:val="none"/>
      <w:isLgl/>
      <w:lvlText w:val="a. "/>
      <w:lvlJc w:val="left"/>
      <w:pPr>
        <w:ind w:left="1443" w:hanging="375"/>
      </w:pPr>
      <w:rPr>
        <w:rFonts w:hint="default"/>
      </w:rPr>
    </w:lvl>
    <w:lvl w:ilvl="2">
      <w:start w:val="1"/>
      <w:numFmt w:val="lowerRoman"/>
      <w:lvlText w:val="%3."/>
      <w:lvlJc w:val="right"/>
      <w:pPr>
        <w:ind w:left="2148" w:hanging="720"/>
      </w:pPr>
      <w:rPr>
        <w:rFonts w:hint="default"/>
      </w:rPr>
    </w:lvl>
    <w:lvl w:ilvl="3">
      <w:start w:val="1"/>
      <w:numFmt w:val="none"/>
      <w:isLgl/>
      <w:lvlText w:val="i."/>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3948" w:hanging="108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21" w15:restartNumberingAfterBreak="0">
    <w:nsid w:val="4F647C6E"/>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15:restartNumberingAfterBreak="0">
    <w:nsid w:val="503A7C9F"/>
    <w:multiLevelType w:val="hybridMultilevel"/>
    <w:tmpl w:val="FA4A9836"/>
    <w:lvl w:ilvl="0" w:tplc="E328F7B8">
      <w:start w:val="1"/>
      <w:numFmt w:val="decimal"/>
      <w:pStyle w:val="ListParagraph"/>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3" w15:restartNumberingAfterBreak="0">
    <w:nsid w:val="53F353D6"/>
    <w:multiLevelType w:val="multilevel"/>
    <w:tmpl w:val="8EA82700"/>
    <w:lvl w:ilvl="0">
      <w:start w:val="1"/>
      <w:numFmt w:val="upperRoman"/>
      <w:pStyle w:val="Heading1"/>
      <w:lvlText w:val="%1."/>
      <w:lvlJc w:val="right"/>
      <w:pPr>
        <w:ind w:left="720" w:hanging="360"/>
      </w:pPr>
      <w:rPr>
        <w:rFonts w:hint="default"/>
      </w:rPr>
    </w:lvl>
    <w:lvl w:ilvl="1">
      <w:start w:val="1"/>
      <w:numFmt w:val="none"/>
      <w:isLgl/>
      <w:lvlText w:val="a. "/>
      <w:lvlJc w:val="left"/>
      <w:pPr>
        <w:ind w:left="1095" w:hanging="375"/>
      </w:pPr>
      <w:rPr>
        <w:rFonts w:hint="default"/>
      </w:rPr>
    </w:lvl>
    <w:lvl w:ilvl="2">
      <w:start w:val="1"/>
      <w:numFmt w:val="decimal"/>
      <w:pStyle w:val="Estilo1"/>
      <w:isLgl/>
      <w:lvlText w:val="%1%2.%3"/>
      <w:lvlJc w:val="left"/>
      <w:pPr>
        <w:ind w:left="1800" w:hanging="720"/>
      </w:pPr>
      <w:rPr>
        <w:rFonts w:hint="default"/>
      </w:rPr>
    </w:lvl>
    <w:lvl w:ilvl="3">
      <w:start w:val="1"/>
      <w:numFmt w:val="none"/>
      <w:isLgl/>
      <w:lvlText w:val="i."/>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5A9E2533"/>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15:restartNumberingAfterBreak="0">
    <w:nsid w:val="6E1E3972"/>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6" w15:restartNumberingAfterBreak="0">
    <w:nsid w:val="6E725453"/>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15:restartNumberingAfterBreak="0">
    <w:nsid w:val="72B905CA"/>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8" w15:restartNumberingAfterBreak="0">
    <w:nsid w:val="753011BE"/>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9" w15:restartNumberingAfterBreak="0">
    <w:nsid w:val="79063575"/>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0" w15:restartNumberingAfterBreak="0">
    <w:nsid w:val="7A6E3277"/>
    <w:multiLevelType w:val="multilevel"/>
    <w:tmpl w:val="D1007A8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lang w:val="es-EC"/>
      </w:rPr>
    </w:lvl>
    <w:lvl w:ilvl="2">
      <w:start w:val="1"/>
      <w:numFmt w:val="lowerRoman"/>
      <w:lvlRestart w:val="0"/>
      <w:lvlText w:val="%3."/>
      <w:lvlJc w:val="left"/>
      <w:pPr>
        <w:tabs>
          <w:tab w:val="num" w:pos="1800"/>
        </w:tabs>
        <w:ind w:left="1191" w:hanging="454"/>
      </w:pPr>
      <w:rPr>
        <w:rFonts w:ascii="Segoe UI" w:hAnsi="Segoe UI" w:hint="default"/>
        <w:b w:val="0"/>
        <w:i w:val="0"/>
        <w:sz w:val="22"/>
        <w:lang w:val="es-EC"/>
      </w:rPr>
    </w:lvl>
    <w:lvl w:ilvl="3">
      <w:start w:val="1"/>
      <w:numFmt w:val="lowerLetter"/>
      <w:lvlText w:val="%4)"/>
      <w:lvlJc w:val="left"/>
      <w:pPr>
        <w:tabs>
          <w:tab w:val="num" w:pos="2088"/>
        </w:tabs>
        <w:ind w:left="2088" w:hanging="288"/>
      </w:pPr>
      <w:rPr>
        <w:rFonts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1" w15:restartNumberingAfterBreak="0">
    <w:nsid w:val="7CAB7736"/>
    <w:multiLevelType w:val="hybridMultilevel"/>
    <w:tmpl w:val="3372ECA4"/>
    <w:lvl w:ilvl="0" w:tplc="829AD664">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D1E4BB3"/>
    <w:multiLevelType w:val="hybridMultilevel"/>
    <w:tmpl w:val="C382FFB8"/>
    <w:lvl w:ilvl="0" w:tplc="0416000F">
      <w:start w:val="1"/>
      <w:numFmt w:val="decimal"/>
      <w:lvlText w:val="%1."/>
      <w:lvlJc w:val="left"/>
      <w:pPr>
        <w:ind w:left="720" w:hanging="360"/>
      </w:pPr>
      <w:rPr>
        <w:rFonts w:cs="Times New Roman"/>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F2751A2"/>
    <w:multiLevelType w:val="multilevel"/>
    <w:tmpl w:val="B996308E"/>
    <w:lvl w:ilvl="0">
      <w:start w:val="1"/>
      <w:numFmt w:val="lowerRoman"/>
      <w:lvlText w:val="%1."/>
      <w:lvlJc w:val="right"/>
      <w:pPr>
        <w:ind w:left="1068" w:hanging="360"/>
      </w:pPr>
      <w:rPr>
        <w:rFonts w:hint="default"/>
        <w:lang w:val="es-ES_tradnl"/>
      </w:rPr>
    </w:lvl>
    <w:lvl w:ilvl="1">
      <w:start w:val="1"/>
      <w:numFmt w:val="none"/>
      <w:isLgl/>
      <w:lvlText w:val="a. "/>
      <w:lvlJc w:val="left"/>
      <w:pPr>
        <w:ind w:left="1443" w:hanging="375"/>
      </w:pPr>
      <w:rPr>
        <w:rFonts w:hint="default"/>
      </w:rPr>
    </w:lvl>
    <w:lvl w:ilvl="2">
      <w:start w:val="1"/>
      <w:numFmt w:val="lowerRoman"/>
      <w:lvlText w:val="%3."/>
      <w:lvlJc w:val="right"/>
      <w:pPr>
        <w:ind w:left="2148" w:hanging="720"/>
      </w:pPr>
      <w:rPr>
        <w:rFonts w:hint="default"/>
      </w:rPr>
    </w:lvl>
    <w:lvl w:ilvl="3">
      <w:start w:val="1"/>
      <w:numFmt w:val="none"/>
      <w:isLgl/>
      <w:lvlText w:val="i."/>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3948" w:hanging="108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num w:numId="1">
    <w:abstractNumId w:val="23"/>
  </w:num>
  <w:num w:numId="2">
    <w:abstractNumId w:val="17"/>
  </w:num>
  <w:num w:numId="3">
    <w:abstractNumId w:val="17"/>
    <w:lvlOverride w:ilvl="0">
      <w:startOverride w:val="1"/>
    </w:lvlOverride>
  </w:num>
  <w:num w:numId="4">
    <w:abstractNumId w:val="17"/>
    <w:lvlOverride w:ilvl="0">
      <w:startOverride w:val="1"/>
    </w:lvlOverride>
  </w:num>
  <w:num w:numId="5">
    <w:abstractNumId w:val="17"/>
    <w:lvlOverride w:ilvl="0">
      <w:startOverride w:val="1"/>
    </w:lvlOverride>
  </w:num>
  <w:num w:numId="6">
    <w:abstractNumId w:val="17"/>
    <w:lvlOverride w:ilvl="0">
      <w:startOverride w:val="1"/>
    </w:lvlOverride>
  </w:num>
  <w:num w:numId="7">
    <w:abstractNumId w:val="16"/>
  </w:num>
  <w:num w:numId="8">
    <w:abstractNumId w:val="17"/>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0"/>
  </w:num>
  <w:num w:numId="30">
    <w:abstractNumId w:val="19"/>
  </w:num>
  <w:num w:numId="31">
    <w:abstractNumId w:val="31"/>
  </w:num>
  <w:num w:numId="32">
    <w:abstractNumId w:val="10"/>
  </w:num>
  <w:num w:numId="33">
    <w:abstractNumId w:val="5"/>
  </w:num>
  <w:num w:numId="34">
    <w:abstractNumId w:val="26"/>
  </w:num>
  <w:num w:numId="35">
    <w:abstractNumId w:val="13"/>
  </w:num>
  <w:num w:numId="36">
    <w:abstractNumId w:val="15"/>
  </w:num>
  <w:num w:numId="37">
    <w:abstractNumId w:val="18"/>
  </w:num>
  <w:num w:numId="38">
    <w:abstractNumId w:val="14"/>
  </w:num>
  <w:num w:numId="39">
    <w:abstractNumId w:val="25"/>
  </w:num>
  <w:num w:numId="40">
    <w:abstractNumId w:val="28"/>
  </w:num>
  <w:num w:numId="41">
    <w:abstractNumId w:val="29"/>
  </w:num>
  <w:num w:numId="42">
    <w:abstractNumId w:val="2"/>
  </w:num>
  <w:num w:numId="43">
    <w:abstractNumId w:val="24"/>
  </w:num>
  <w:num w:numId="44">
    <w:abstractNumId w:val="7"/>
  </w:num>
  <w:num w:numId="45">
    <w:abstractNumId w:val="1"/>
  </w:num>
  <w:num w:numId="46">
    <w:abstractNumId w:val="6"/>
  </w:num>
  <w:num w:numId="47">
    <w:abstractNumId w:val="12"/>
  </w:num>
  <w:num w:numId="48">
    <w:abstractNumId w:val="3"/>
  </w:num>
  <w:num w:numId="49">
    <w:abstractNumId w:val="8"/>
  </w:num>
  <w:num w:numId="50">
    <w:abstractNumId w:val="27"/>
  </w:num>
  <w:num w:numId="51">
    <w:abstractNumId w:val="11"/>
  </w:num>
  <w:num w:numId="52">
    <w:abstractNumId w:val="33"/>
  </w:num>
  <w:num w:numId="53">
    <w:abstractNumId w:val="0"/>
  </w:num>
  <w:num w:numId="54">
    <w:abstractNumId w:val="9"/>
  </w:num>
  <w:num w:numId="55">
    <w:abstractNumId w:val="30"/>
  </w:num>
  <w:num w:numId="56">
    <w:abstractNumId w:val="2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45D"/>
    <w:rsid w:val="00001755"/>
    <w:rsid w:val="00001CD0"/>
    <w:rsid w:val="0000214C"/>
    <w:rsid w:val="00002527"/>
    <w:rsid w:val="000026FE"/>
    <w:rsid w:val="000031BD"/>
    <w:rsid w:val="0000333A"/>
    <w:rsid w:val="000034C8"/>
    <w:rsid w:val="00004154"/>
    <w:rsid w:val="0000424F"/>
    <w:rsid w:val="000045F7"/>
    <w:rsid w:val="000049F6"/>
    <w:rsid w:val="00004EC0"/>
    <w:rsid w:val="000054EF"/>
    <w:rsid w:val="0000571B"/>
    <w:rsid w:val="00006566"/>
    <w:rsid w:val="0000672A"/>
    <w:rsid w:val="00006B8A"/>
    <w:rsid w:val="000071BB"/>
    <w:rsid w:val="000076C2"/>
    <w:rsid w:val="00007BAD"/>
    <w:rsid w:val="00011F3F"/>
    <w:rsid w:val="000126DA"/>
    <w:rsid w:val="0001381C"/>
    <w:rsid w:val="000144E4"/>
    <w:rsid w:val="000149B7"/>
    <w:rsid w:val="0001500B"/>
    <w:rsid w:val="000153D4"/>
    <w:rsid w:val="000155A8"/>
    <w:rsid w:val="000156D5"/>
    <w:rsid w:val="00015862"/>
    <w:rsid w:val="000160D4"/>
    <w:rsid w:val="000164D5"/>
    <w:rsid w:val="000166E1"/>
    <w:rsid w:val="000171E7"/>
    <w:rsid w:val="0001755A"/>
    <w:rsid w:val="00017940"/>
    <w:rsid w:val="00017A81"/>
    <w:rsid w:val="00017B85"/>
    <w:rsid w:val="000203D5"/>
    <w:rsid w:val="00020D28"/>
    <w:rsid w:val="00022490"/>
    <w:rsid w:val="00022D34"/>
    <w:rsid w:val="00024411"/>
    <w:rsid w:val="0002461F"/>
    <w:rsid w:val="000246D1"/>
    <w:rsid w:val="0002509C"/>
    <w:rsid w:val="000259B5"/>
    <w:rsid w:val="00025AF7"/>
    <w:rsid w:val="00025E77"/>
    <w:rsid w:val="00027124"/>
    <w:rsid w:val="00027384"/>
    <w:rsid w:val="00027796"/>
    <w:rsid w:val="000301B5"/>
    <w:rsid w:val="0003042E"/>
    <w:rsid w:val="000304E8"/>
    <w:rsid w:val="00030C14"/>
    <w:rsid w:val="00030F49"/>
    <w:rsid w:val="00031167"/>
    <w:rsid w:val="000315A0"/>
    <w:rsid w:val="000316AA"/>
    <w:rsid w:val="00031DD3"/>
    <w:rsid w:val="00032DF9"/>
    <w:rsid w:val="00033327"/>
    <w:rsid w:val="00033440"/>
    <w:rsid w:val="00033A72"/>
    <w:rsid w:val="00033AEB"/>
    <w:rsid w:val="00033B58"/>
    <w:rsid w:val="00033CFC"/>
    <w:rsid w:val="0003451F"/>
    <w:rsid w:val="00034B9C"/>
    <w:rsid w:val="0003512C"/>
    <w:rsid w:val="000351CA"/>
    <w:rsid w:val="00035243"/>
    <w:rsid w:val="000357A1"/>
    <w:rsid w:val="00035979"/>
    <w:rsid w:val="00036251"/>
    <w:rsid w:val="000365B4"/>
    <w:rsid w:val="000372CE"/>
    <w:rsid w:val="000372D5"/>
    <w:rsid w:val="00037430"/>
    <w:rsid w:val="000374D0"/>
    <w:rsid w:val="00037706"/>
    <w:rsid w:val="0003782A"/>
    <w:rsid w:val="00040FCD"/>
    <w:rsid w:val="000414BC"/>
    <w:rsid w:val="00042106"/>
    <w:rsid w:val="0004230A"/>
    <w:rsid w:val="00042385"/>
    <w:rsid w:val="000425B2"/>
    <w:rsid w:val="00043819"/>
    <w:rsid w:val="0004393D"/>
    <w:rsid w:val="000439BD"/>
    <w:rsid w:val="00043BC4"/>
    <w:rsid w:val="000445EE"/>
    <w:rsid w:val="00044A5A"/>
    <w:rsid w:val="00044E51"/>
    <w:rsid w:val="00045279"/>
    <w:rsid w:val="000456FC"/>
    <w:rsid w:val="00045979"/>
    <w:rsid w:val="00045AF7"/>
    <w:rsid w:val="00045C11"/>
    <w:rsid w:val="00045F2D"/>
    <w:rsid w:val="0004605B"/>
    <w:rsid w:val="000464F5"/>
    <w:rsid w:val="000469ED"/>
    <w:rsid w:val="00047882"/>
    <w:rsid w:val="00047EB7"/>
    <w:rsid w:val="000500B3"/>
    <w:rsid w:val="000514F6"/>
    <w:rsid w:val="0005152D"/>
    <w:rsid w:val="0005260A"/>
    <w:rsid w:val="000534AD"/>
    <w:rsid w:val="00053FE3"/>
    <w:rsid w:val="00054771"/>
    <w:rsid w:val="00054B27"/>
    <w:rsid w:val="000556C4"/>
    <w:rsid w:val="000556F7"/>
    <w:rsid w:val="00055B9B"/>
    <w:rsid w:val="00056652"/>
    <w:rsid w:val="00057516"/>
    <w:rsid w:val="00060508"/>
    <w:rsid w:val="00060580"/>
    <w:rsid w:val="00060811"/>
    <w:rsid w:val="000610B1"/>
    <w:rsid w:val="00061B4B"/>
    <w:rsid w:val="000626F9"/>
    <w:rsid w:val="0006271F"/>
    <w:rsid w:val="000633FC"/>
    <w:rsid w:val="000635EA"/>
    <w:rsid w:val="000638C4"/>
    <w:rsid w:val="00063F3C"/>
    <w:rsid w:val="000643F1"/>
    <w:rsid w:val="000648A4"/>
    <w:rsid w:val="00064D60"/>
    <w:rsid w:val="00065C20"/>
    <w:rsid w:val="00066D13"/>
    <w:rsid w:val="00066DAA"/>
    <w:rsid w:val="00067143"/>
    <w:rsid w:val="00067290"/>
    <w:rsid w:val="000704F7"/>
    <w:rsid w:val="000707D5"/>
    <w:rsid w:val="00070DCE"/>
    <w:rsid w:val="00071BF5"/>
    <w:rsid w:val="00072248"/>
    <w:rsid w:val="00072F10"/>
    <w:rsid w:val="00072FC7"/>
    <w:rsid w:val="00073220"/>
    <w:rsid w:val="00073EAB"/>
    <w:rsid w:val="000743BC"/>
    <w:rsid w:val="000743BF"/>
    <w:rsid w:val="00074402"/>
    <w:rsid w:val="0007555F"/>
    <w:rsid w:val="00075799"/>
    <w:rsid w:val="00075F60"/>
    <w:rsid w:val="00077399"/>
    <w:rsid w:val="000805F8"/>
    <w:rsid w:val="0008122D"/>
    <w:rsid w:val="00081889"/>
    <w:rsid w:val="0008188A"/>
    <w:rsid w:val="00081E1A"/>
    <w:rsid w:val="00082A90"/>
    <w:rsid w:val="00082B75"/>
    <w:rsid w:val="00084C4F"/>
    <w:rsid w:val="00084E0E"/>
    <w:rsid w:val="00085431"/>
    <w:rsid w:val="000855CC"/>
    <w:rsid w:val="0008631F"/>
    <w:rsid w:val="000874BA"/>
    <w:rsid w:val="00087B43"/>
    <w:rsid w:val="00087F9C"/>
    <w:rsid w:val="00090315"/>
    <w:rsid w:val="00090329"/>
    <w:rsid w:val="0009032C"/>
    <w:rsid w:val="00090B8A"/>
    <w:rsid w:val="0009298D"/>
    <w:rsid w:val="00092D9C"/>
    <w:rsid w:val="00093758"/>
    <w:rsid w:val="00094750"/>
    <w:rsid w:val="00094B40"/>
    <w:rsid w:val="0009527F"/>
    <w:rsid w:val="000954F0"/>
    <w:rsid w:val="000974B8"/>
    <w:rsid w:val="00097781"/>
    <w:rsid w:val="00097C74"/>
    <w:rsid w:val="000A0046"/>
    <w:rsid w:val="000A05FF"/>
    <w:rsid w:val="000A0824"/>
    <w:rsid w:val="000A0AF5"/>
    <w:rsid w:val="000A16D8"/>
    <w:rsid w:val="000A1B68"/>
    <w:rsid w:val="000A1DDE"/>
    <w:rsid w:val="000A1F91"/>
    <w:rsid w:val="000A224A"/>
    <w:rsid w:val="000A2BD0"/>
    <w:rsid w:val="000A3794"/>
    <w:rsid w:val="000A37AA"/>
    <w:rsid w:val="000A41F0"/>
    <w:rsid w:val="000A42AE"/>
    <w:rsid w:val="000A4387"/>
    <w:rsid w:val="000A43B3"/>
    <w:rsid w:val="000A4FF1"/>
    <w:rsid w:val="000A5640"/>
    <w:rsid w:val="000A5D1B"/>
    <w:rsid w:val="000A6354"/>
    <w:rsid w:val="000A64AE"/>
    <w:rsid w:val="000A6D80"/>
    <w:rsid w:val="000B0C6E"/>
    <w:rsid w:val="000B0F1B"/>
    <w:rsid w:val="000B16BF"/>
    <w:rsid w:val="000B38B9"/>
    <w:rsid w:val="000B3D25"/>
    <w:rsid w:val="000B4CFE"/>
    <w:rsid w:val="000B4F1B"/>
    <w:rsid w:val="000B5B40"/>
    <w:rsid w:val="000B60A8"/>
    <w:rsid w:val="000B6185"/>
    <w:rsid w:val="000B6BB5"/>
    <w:rsid w:val="000B7581"/>
    <w:rsid w:val="000C0442"/>
    <w:rsid w:val="000C1F33"/>
    <w:rsid w:val="000C39D8"/>
    <w:rsid w:val="000C3EDB"/>
    <w:rsid w:val="000C4FBE"/>
    <w:rsid w:val="000C536E"/>
    <w:rsid w:val="000C5D62"/>
    <w:rsid w:val="000C6AE5"/>
    <w:rsid w:val="000C6E79"/>
    <w:rsid w:val="000C700D"/>
    <w:rsid w:val="000C7A79"/>
    <w:rsid w:val="000C7E81"/>
    <w:rsid w:val="000D1AE9"/>
    <w:rsid w:val="000D1BFF"/>
    <w:rsid w:val="000D1C0B"/>
    <w:rsid w:val="000D2529"/>
    <w:rsid w:val="000D3BBE"/>
    <w:rsid w:val="000D4367"/>
    <w:rsid w:val="000D43BA"/>
    <w:rsid w:val="000D4D7E"/>
    <w:rsid w:val="000D4F8F"/>
    <w:rsid w:val="000D4FF5"/>
    <w:rsid w:val="000D59F2"/>
    <w:rsid w:val="000D6BAF"/>
    <w:rsid w:val="000D74A3"/>
    <w:rsid w:val="000D7C64"/>
    <w:rsid w:val="000D7CAD"/>
    <w:rsid w:val="000D7E44"/>
    <w:rsid w:val="000E00A6"/>
    <w:rsid w:val="000E0CA3"/>
    <w:rsid w:val="000E12C9"/>
    <w:rsid w:val="000E19E5"/>
    <w:rsid w:val="000E1BBE"/>
    <w:rsid w:val="000E276C"/>
    <w:rsid w:val="000E33CB"/>
    <w:rsid w:val="000E3576"/>
    <w:rsid w:val="000E35EA"/>
    <w:rsid w:val="000E3751"/>
    <w:rsid w:val="000E3D34"/>
    <w:rsid w:val="000E3F61"/>
    <w:rsid w:val="000E47E8"/>
    <w:rsid w:val="000E5978"/>
    <w:rsid w:val="000E5B60"/>
    <w:rsid w:val="000E642E"/>
    <w:rsid w:val="000E6806"/>
    <w:rsid w:val="000E6C06"/>
    <w:rsid w:val="000E7073"/>
    <w:rsid w:val="000E72CB"/>
    <w:rsid w:val="000F0474"/>
    <w:rsid w:val="000F0780"/>
    <w:rsid w:val="000F108A"/>
    <w:rsid w:val="000F1618"/>
    <w:rsid w:val="000F1650"/>
    <w:rsid w:val="000F1AC7"/>
    <w:rsid w:val="000F25D4"/>
    <w:rsid w:val="000F2678"/>
    <w:rsid w:val="000F29AB"/>
    <w:rsid w:val="000F3909"/>
    <w:rsid w:val="000F42ED"/>
    <w:rsid w:val="000F4823"/>
    <w:rsid w:val="000F4BF0"/>
    <w:rsid w:val="000F6830"/>
    <w:rsid w:val="000F6EFD"/>
    <w:rsid w:val="000F7032"/>
    <w:rsid w:val="000F73A6"/>
    <w:rsid w:val="000F7E23"/>
    <w:rsid w:val="00100571"/>
    <w:rsid w:val="00100D46"/>
    <w:rsid w:val="0010176B"/>
    <w:rsid w:val="001024A7"/>
    <w:rsid w:val="00103250"/>
    <w:rsid w:val="00103411"/>
    <w:rsid w:val="00105160"/>
    <w:rsid w:val="001053F2"/>
    <w:rsid w:val="00105C06"/>
    <w:rsid w:val="001060E7"/>
    <w:rsid w:val="00106D2C"/>
    <w:rsid w:val="00106FCC"/>
    <w:rsid w:val="0010767C"/>
    <w:rsid w:val="00110771"/>
    <w:rsid w:val="00110A01"/>
    <w:rsid w:val="00110D9E"/>
    <w:rsid w:val="001110C4"/>
    <w:rsid w:val="00111C1E"/>
    <w:rsid w:val="00111E9B"/>
    <w:rsid w:val="0011206E"/>
    <w:rsid w:val="00112101"/>
    <w:rsid w:val="0011227C"/>
    <w:rsid w:val="00112440"/>
    <w:rsid w:val="00112818"/>
    <w:rsid w:val="0011327D"/>
    <w:rsid w:val="001140CD"/>
    <w:rsid w:val="001144E6"/>
    <w:rsid w:val="001147C9"/>
    <w:rsid w:val="00114F8C"/>
    <w:rsid w:val="0011580F"/>
    <w:rsid w:val="00115E06"/>
    <w:rsid w:val="001161CA"/>
    <w:rsid w:val="00116BD6"/>
    <w:rsid w:val="00117519"/>
    <w:rsid w:val="001175DC"/>
    <w:rsid w:val="001177B1"/>
    <w:rsid w:val="00117A25"/>
    <w:rsid w:val="00117F98"/>
    <w:rsid w:val="001202E0"/>
    <w:rsid w:val="00120CAD"/>
    <w:rsid w:val="00122217"/>
    <w:rsid w:val="00122532"/>
    <w:rsid w:val="00122846"/>
    <w:rsid w:val="001233CD"/>
    <w:rsid w:val="00123C15"/>
    <w:rsid w:val="0012439A"/>
    <w:rsid w:val="001245D3"/>
    <w:rsid w:val="00125534"/>
    <w:rsid w:val="00125C80"/>
    <w:rsid w:val="00127228"/>
    <w:rsid w:val="00127398"/>
    <w:rsid w:val="00127916"/>
    <w:rsid w:val="001302F2"/>
    <w:rsid w:val="001304A7"/>
    <w:rsid w:val="00130695"/>
    <w:rsid w:val="00131FCB"/>
    <w:rsid w:val="0013241E"/>
    <w:rsid w:val="00132A3B"/>
    <w:rsid w:val="00132F1F"/>
    <w:rsid w:val="001336BA"/>
    <w:rsid w:val="001352CC"/>
    <w:rsid w:val="00135D82"/>
    <w:rsid w:val="0013674B"/>
    <w:rsid w:val="00136D40"/>
    <w:rsid w:val="001376C8"/>
    <w:rsid w:val="00137B3D"/>
    <w:rsid w:val="00140390"/>
    <w:rsid w:val="001424FE"/>
    <w:rsid w:val="00142566"/>
    <w:rsid w:val="0014270A"/>
    <w:rsid w:val="001428C9"/>
    <w:rsid w:val="00142A7A"/>
    <w:rsid w:val="00143237"/>
    <w:rsid w:val="00143406"/>
    <w:rsid w:val="001435E1"/>
    <w:rsid w:val="00143B3A"/>
    <w:rsid w:val="00143B8B"/>
    <w:rsid w:val="00143D72"/>
    <w:rsid w:val="00144A06"/>
    <w:rsid w:val="00145212"/>
    <w:rsid w:val="0014588D"/>
    <w:rsid w:val="00146608"/>
    <w:rsid w:val="001467DE"/>
    <w:rsid w:val="001477F0"/>
    <w:rsid w:val="0014780B"/>
    <w:rsid w:val="00150C92"/>
    <w:rsid w:val="00150E30"/>
    <w:rsid w:val="001515E5"/>
    <w:rsid w:val="0015160B"/>
    <w:rsid w:val="001525EE"/>
    <w:rsid w:val="0015386C"/>
    <w:rsid w:val="001543AC"/>
    <w:rsid w:val="0015460F"/>
    <w:rsid w:val="0015519D"/>
    <w:rsid w:val="00155361"/>
    <w:rsid w:val="00155AA2"/>
    <w:rsid w:val="00155CCD"/>
    <w:rsid w:val="0015621A"/>
    <w:rsid w:val="00156329"/>
    <w:rsid w:val="00156E56"/>
    <w:rsid w:val="001573F7"/>
    <w:rsid w:val="00157524"/>
    <w:rsid w:val="0015761E"/>
    <w:rsid w:val="00157865"/>
    <w:rsid w:val="00160B9E"/>
    <w:rsid w:val="0016148A"/>
    <w:rsid w:val="00162231"/>
    <w:rsid w:val="0016293C"/>
    <w:rsid w:val="00162ACA"/>
    <w:rsid w:val="001647C1"/>
    <w:rsid w:val="001647F9"/>
    <w:rsid w:val="00165FD1"/>
    <w:rsid w:val="00166224"/>
    <w:rsid w:val="00166D2A"/>
    <w:rsid w:val="00167B7C"/>
    <w:rsid w:val="00171ED7"/>
    <w:rsid w:val="00172312"/>
    <w:rsid w:val="00172746"/>
    <w:rsid w:val="00172D22"/>
    <w:rsid w:val="0017364A"/>
    <w:rsid w:val="00176AB9"/>
    <w:rsid w:val="00176E0E"/>
    <w:rsid w:val="00177705"/>
    <w:rsid w:val="0017799B"/>
    <w:rsid w:val="001779A4"/>
    <w:rsid w:val="00177D00"/>
    <w:rsid w:val="00177D62"/>
    <w:rsid w:val="00180717"/>
    <w:rsid w:val="0018239D"/>
    <w:rsid w:val="00182CB3"/>
    <w:rsid w:val="00183279"/>
    <w:rsid w:val="00184BD3"/>
    <w:rsid w:val="00184D45"/>
    <w:rsid w:val="001859DD"/>
    <w:rsid w:val="001859F7"/>
    <w:rsid w:val="001863C1"/>
    <w:rsid w:val="001863DC"/>
    <w:rsid w:val="00186460"/>
    <w:rsid w:val="00186766"/>
    <w:rsid w:val="0019001F"/>
    <w:rsid w:val="00190672"/>
    <w:rsid w:val="00190AF1"/>
    <w:rsid w:val="0019131D"/>
    <w:rsid w:val="00191955"/>
    <w:rsid w:val="001941FE"/>
    <w:rsid w:val="0019437A"/>
    <w:rsid w:val="00194404"/>
    <w:rsid w:val="00194877"/>
    <w:rsid w:val="00194CDC"/>
    <w:rsid w:val="00195138"/>
    <w:rsid w:val="00195A77"/>
    <w:rsid w:val="001961E6"/>
    <w:rsid w:val="00196E7F"/>
    <w:rsid w:val="0019761A"/>
    <w:rsid w:val="00197CAF"/>
    <w:rsid w:val="001A02F6"/>
    <w:rsid w:val="001A04C8"/>
    <w:rsid w:val="001A05AC"/>
    <w:rsid w:val="001A101E"/>
    <w:rsid w:val="001A1AD8"/>
    <w:rsid w:val="001A2F85"/>
    <w:rsid w:val="001A36EB"/>
    <w:rsid w:val="001A526A"/>
    <w:rsid w:val="001A5B71"/>
    <w:rsid w:val="001A5CDF"/>
    <w:rsid w:val="001A5DFC"/>
    <w:rsid w:val="001A64E9"/>
    <w:rsid w:val="001A6756"/>
    <w:rsid w:val="001A688D"/>
    <w:rsid w:val="001A6CAB"/>
    <w:rsid w:val="001A6F1A"/>
    <w:rsid w:val="001A7286"/>
    <w:rsid w:val="001A7368"/>
    <w:rsid w:val="001A7DCC"/>
    <w:rsid w:val="001B09DE"/>
    <w:rsid w:val="001B0C4C"/>
    <w:rsid w:val="001B1451"/>
    <w:rsid w:val="001B1784"/>
    <w:rsid w:val="001B1B9F"/>
    <w:rsid w:val="001B1E87"/>
    <w:rsid w:val="001B2EAD"/>
    <w:rsid w:val="001B48CE"/>
    <w:rsid w:val="001B4E96"/>
    <w:rsid w:val="001B5551"/>
    <w:rsid w:val="001B5659"/>
    <w:rsid w:val="001B5913"/>
    <w:rsid w:val="001B5971"/>
    <w:rsid w:val="001B59B8"/>
    <w:rsid w:val="001B5C18"/>
    <w:rsid w:val="001B6BF5"/>
    <w:rsid w:val="001B792D"/>
    <w:rsid w:val="001B7A5F"/>
    <w:rsid w:val="001B7CF8"/>
    <w:rsid w:val="001C0857"/>
    <w:rsid w:val="001C16C6"/>
    <w:rsid w:val="001C1FD1"/>
    <w:rsid w:val="001C287B"/>
    <w:rsid w:val="001C2996"/>
    <w:rsid w:val="001C3557"/>
    <w:rsid w:val="001C3DF5"/>
    <w:rsid w:val="001C4080"/>
    <w:rsid w:val="001C4749"/>
    <w:rsid w:val="001C47D2"/>
    <w:rsid w:val="001C48D7"/>
    <w:rsid w:val="001C4906"/>
    <w:rsid w:val="001C5C6F"/>
    <w:rsid w:val="001C5CDE"/>
    <w:rsid w:val="001C6943"/>
    <w:rsid w:val="001C6C91"/>
    <w:rsid w:val="001C6DEC"/>
    <w:rsid w:val="001C6F0A"/>
    <w:rsid w:val="001C74B6"/>
    <w:rsid w:val="001C7933"/>
    <w:rsid w:val="001C7F53"/>
    <w:rsid w:val="001D00C1"/>
    <w:rsid w:val="001D0151"/>
    <w:rsid w:val="001D0C7E"/>
    <w:rsid w:val="001D1078"/>
    <w:rsid w:val="001D18D9"/>
    <w:rsid w:val="001D2F40"/>
    <w:rsid w:val="001D3FD1"/>
    <w:rsid w:val="001D4029"/>
    <w:rsid w:val="001D48F6"/>
    <w:rsid w:val="001D6912"/>
    <w:rsid w:val="001D6918"/>
    <w:rsid w:val="001D6C6B"/>
    <w:rsid w:val="001D6F92"/>
    <w:rsid w:val="001D71BD"/>
    <w:rsid w:val="001D7540"/>
    <w:rsid w:val="001D7831"/>
    <w:rsid w:val="001E04C1"/>
    <w:rsid w:val="001E0879"/>
    <w:rsid w:val="001E143B"/>
    <w:rsid w:val="001E15B5"/>
    <w:rsid w:val="001E26EF"/>
    <w:rsid w:val="001E27C2"/>
    <w:rsid w:val="001E2B04"/>
    <w:rsid w:val="001E333F"/>
    <w:rsid w:val="001E3742"/>
    <w:rsid w:val="001E421C"/>
    <w:rsid w:val="001E4A8E"/>
    <w:rsid w:val="001E4FCC"/>
    <w:rsid w:val="001E5B90"/>
    <w:rsid w:val="001E6232"/>
    <w:rsid w:val="001E6EDE"/>
    <w:rsid w:val="001F1D82"/>
    <w:rsid w:val="001F2190"/>
    <w:rsid w:val="001F22B1"/>
    <w:rsid w:val="001F238B"/>
    <w:rsid w:val="001F29D4"/>
    <w:rsid w:val="001F29F4"/>
    <w:rsid w:val="001F45BF"/>
    <w:rsid w:val="001F4A83"/>
    <w:rsid w:val="001F5AD0"/>
    <w:rsid w:val="001F7B45"/>
    <w:rsid w:val="0020019A"/>
    <w:rsid w:val="002013F8"/>
    <w:rsid w:val="00201C89"/>
    <w:rsid w:val="0020291D"/>
    <w:rsid w:val="00202C43"/>
    <w:rsid w:val="00202D11"/>
    <w:rsid w:val="00203106"/>
    <w:rsid w:val="002039A6"/>
    <w:rsid w:val="002044A4"/>
    <w:rsid w:val="00204C63"/>
    <w:rsid w:val="00204D64"/>
    <w:rsid w:val="00204E9A"/>
    <w:rsid w:val="002051FE"/>
    <w:rsid w:val="00205628"/>
    <w:rsid w:val="002061DE"/>
    <w:rsid w:val="002074A8"/>
    <w:rsid w:val="00207E10"/>
    <w:rsid w:val="0021022C"/>
    <w:rsid w:val="002124E2"/>
    <w:rsid w:val="002125A5"/>
    <w:rsid w:val="0021548B"/>
    <w:rsid w:val="00215A75"/>
    <w:rsid w:val="00215C02"/>
    <w:rsid w:val="00215D9B"/>
    <w:rsid w:val="0021628D"/>
    <w:rsid w:val="00216EDF"/>
    <w:rsid w:val="00217169"/>
    <w:rsid w:val="00217770"/>
    <w:rsid w:val="00217B29"/>
    <w:rsid w:val="00217C3E"/>
    <w:rsid w:val="002200C9"/>
    <w:rsid w:val="00220433"/>
    <w:rsid w:val="002218A2"/>
    <w:rsid w:val="00221B8D"/>
    <w:rsid w:val="00221E23"/>
    <w:rsid w:val="002231A6"/>
    <w:rsid w:val="0022342B"/>
    <w:rsid w:val="00223643"/>
    <w:rsid w:val="0022370A"/>
    <w:rsid w:val="00223D8B"/>
    <w:rsid w:val="00223E42"/>
    <w:rsid w:val="002251CE"/>
    <w:rsid w:val="00225C8B"/>
    <w:rsid w:val="00226133"/>
    <w:rsid w:val="00226242"/>
    <w:rsid w:val="002273FF"/>
    <w:rsid w:val="00227447"/>
    <w:rsid w:val="002300CF"/>
    <w:rsid w:val="00232D5A"/>
    <w:rsid w:val="002330E0"/>
    <w:rsid w:val="00233113"/>
    <w:rsid w:val="00233301"/>
    <w:rsid w:val="00233EC7"/>
    <w:rsid w:val="00234138"/>
    <w:rsid w:val="00235020"/>
    <w:rsid w:val="00235088"/>
    <w:rsid w:val="002352CB"/>
    <w:rsid w:val="002354FD"/>
    <w:rsid w:val="002356A5"/>
    <w:rsid w:val="002358DD"/>
    <w:rsid w:val="002359FB"/>
    <w:rsid w:val="00235A2C"/>
    <w:rsid w:val="00235BC0"/>
    <w:rsid w:val="00236174"/>
    <w:rsid w:val="00236621"/>
    <w:rsid w:val="002366DF"/>
    <w:rsid w:val="0023688A"/>
    <w:rsid w:val="00236940"/>
    <w:rsid w:val="00237732"/>
    <w:rsid w:val="00237C96"/>
    <w:rsid w:val="00237D93"/>
    <w:rsid w:val="00237DA2"/>
    <w:rsid w:val="0024095E"/>
    <w:rsid w:val="00240DBA"/>
    <w:rsid w:val="00241BFE"/>
    <w:rsid w:val="00241C87"/>
    <w:rsid w:val="00241E08"/>
    <w:rsid w:val="0024241B"/>
    <w:rsid w:val="00242A66"/>
    <w:rsid w:val="00242DFC"/>
    <w:rsid w:val="00242E68"/>
    <w:rsid w:val="00243214"/>
    <w:rsid w:val="002433D1"/>
    <w:rsid w:val="00244281"/>
    <w:rsid w:val="002442A8"/>
    <w:rsid w:val="00244741"/>
    <w:rsid w:val="00245623"/>
    <w:rsid w:val="00245C4F"/>
    <w:rsid w:val="0024692E"/>
    <w:rsid w:val="00247067"/>
    <w:rsid w:val="002471C0"/>
    <w:rsid w:val="00247767"/>
    <w:rsid w:val="00247FB9"/>
    <w:rsid w:val="00250068"/>
    <w:rsid w:val="00250366"/>
    <w:rsid w:val="00250460"/>
    <w:rsid w:val="002505EA"/>
    <w:rsid w:val="00250C44"/>
    <w:rsid w:val="0025284D"/>
    <w:rsid w:val="002528CB"/>
    <w:rsid w:val="0025305B"/>
    <w:rsid w:val="002539C6"/>
    <w:rsid w:val="00254005"/>
    <w:rsid w:val="0025439A"/>
    <w:rsid w:val="00255A17"/>
    <w:rsid w:val="00257387"/>
    <w:rsid w:val="00257692"/>
    <w:rsid w:val="00260E6C"/>
    <w:rsid w:val="0026136D"/>
    <w:rsid w:val="00261D75"/>
    <w:rsid w:val="002621D5"/>
    <w:rsid w:val="00262591"/>
    <w:rsid w:val="002635EA"/>
    <w:rsid w:val="00263CE8"/>
    <w:rsid w:val="00263F5B"/>
    <w:rsid w:val="00264121"/>
    <w:rsid w:val="002647BE"/>
    <w:rsid w:val="002651D3"/>
    <w:rsid w:val="002654B9"/>
    <w:rsid w:val="00265A4E"/>
    <w:rsid w:val="00265A79"/>
    <w:rsid w:val="002666BB"/>
    <w:rsid w:val="00266FA9"/>
    <w:rsid w:val="00267307"/>
    <w:rsid w:val="00267F5B"/>
    <w:rsid w:val="00267F67"/>
    <w:rsid w:val="00267FF4"/>
    <w:rsid w:val="0027160A"/>
    <w:rsid w:val="00271DFD"/>
    <w:rsid w:val="00272158"/>
    <w:rsid w:val="00273E51"/>
    <w:rsid w:val="00274211"/>
    <w:rsid w:val="00274474"/>
    <w:rsid w:val="002746DF"/>
    <w:rsid w:val="00275783"/>
    <w:rsid w:val="00275BFD"/>
    <w:rsid w:val="002764E5"/>
    <w:rsid w:val="00276CA0"/>
    <w:rsid w:val="00276CD8"/>
    <w:rsid w:val="00276FAC"/>
    <w:rsid w:val="00277190"/>
    <w:rsid w:val="0027724A"/>
    <w:rsid w:val="00277797"/>
    <w:rsid w:val="00277CD2"/>
    <w:rsid w:val="002815EC"/>
    <w:rsid w:val="00281E52"/>
    <w:rsid w:val="00281FF2"/>
    <w:rsid w:val="002836BE"/>
    <w:rsid w:val="00284113"/>
    <w:rsid w:val="002845D8"/>
    <w:rsid w:val="0028589F"/>
    <w:rsid w:val="00285A0F"/>
    <w:rsid w:val="00285C50"/>
    <w:rsid w:val="00285F55"/>
    <w:rsid w:val="002864C4"/>
    <w:rsid w:val="00286C50"/>
    <w:rsid w:val="00287168"/>
    <w:rsid w:val="00287EBE"/>
    <w:rsid w:val="00290BF2"/>
    <w:rsid w:val="00290D75"/>
    <w:rsid w:val="00290F2E"/>
    <w:rsid w:val="002912E9"/>
    <w:rsid w:val="00291C9D"/>
    <w:rsid w:val="00292017"/>
    <w:rsid w:val="0029269E"/>
    <w:rsid w:val="00292734"/>
    <w:rsid w:val="00292875"/>
    <w:rsid w:val="0029327F"/>
    <w:rsid w:val="002933A1"/>
    <w:rsid w:val="00293734"/>
    <w:rsid w:val="00294389"/>
    <w:rsid w:val="00294742"/>
    <w:rsid w:val="00294C7D"/>
    <w:rsid w:val="00295204"/>
    <w:rsid w:val="00295599"/>
    <w:rsid w:val="002957CD"/>
    <w:rsid w:val="002959A2"/>
    <w:rsid w:val="00296356"/>
    <w:rsid w:val="002966CB"/>
    <w:rsid w:val="00296D4C"/>
    <w:rsid w:val="00296D80"/>
    <w:rsid w:val="00297841"/>
    <w:rsid w:val="002A06EF"/>
    <w:rsid w:val="002A13C7"/>
    <w:rsid w:val="002A146F"/>
    <w:rsid w:val="002A15DC"/>
    <w:rsid w:val="002A1758"/>
    <w:rsid w:val="002A1A33"/>
    <w:rsid w:val="002A3E28"/>
    <w:rsid w:val="002A3E63"/>
    <w:rsid w:val="002A3F6E"/>
    <w:rsid w:val="002A4809"/>
    <w:rsid w:val="002A49DE"/>
    <w:rsid w:val="002A4A86"/>
    <w:rsid w:val="002A512C"/>
    <w:rsid w:val="002A5D00"/>
    <w:rsid w:val="002A5D3D"/>
    <w:rsid w:val="002A66D5"/>
    <w:rsid w:val="002A6E06"/>
    <w:rsid w:val="002A7974"/>
    <w:rsid w:val="002A7D6E"/>
    <w:rsid w:val="002B05F1"/>
    <w:rsid w:val="002B0962"/>
    <w:rsid w:val="002B1249"/>
    <w:rsid w:val="002B1503"/>
    <w:rsid w:val="002B19AF"/>
    <w:rsid w:val="002B1AFD"/>
    <w:rsid w:val="002B1C77"/>
    <w:rsid w:val="002B22F9"/>
    <w:rsid w:val="002B23D3"/>
    <w:rsid w:val="002B257A"/>
    <w:rsid w:val="002B342D"/>
    <w:rsid w:val="002B3E2E"/>
    <w:rsid w:val="002B49B5"/>
    <w:rsid w:val="002B4EA1"/>
    <w:rsid w:val="002B57F4"/>
    <w:rsid w:val="002B5F77"/>
    <w:rsid w:val="002B6DD5"/>
    <w:rsid w:val="002B7CA5"/>
    <w:rsid w:val="002C0388"/>
    <w:rsid w:val="002C0839"/>
    <w:rsid w:val="002C0895"/>
    <w:rsid w:val="002C22C5"/>
    <w:rsid w:val="002C232F"/>
    <w:rsid w:val="002C2C32"/>
    <w:rsid w:val="002C2F56"/>
    <w:rsid w:val="002C3ECB"/>
    <w:rsid w:val="002C4375"/>
    <w:rsid w:val="002C4F1F"/>
    <w:rsid w:val="002C5C4C"/>
    <w:rsid w:val="002C5EE4"/>
    <w:rsid w:val="002C5FB6"/>
    <w:rsid w:val="002C68C7"/>
    <w:rsid w:val="002C6C59"/>
    <w:rsid w:val="002C6DE0"/>
    <w:rsid w:val="002C71E0"/>
    <w:rsid w:val="002C7221"/>
    <w:rsid w:val="002C7413"/>
    <w:rsid w:val="002C74C3"/>
    <w:rsid w:val="002C785F"/>
    <w:rsid w:val="002C7A62"/>
    <w:rsid w:val="002D01E1"/>
    <w:rsid w:val="002D0238"/>
    <w:rsid w:val="002D1531"/>
    <w:rsid w:val="002D16B2"/>
    <w:rsid w:val="002D18A6"/>
    <w:rsid w:val="002D207E"/>
    <w:rsid w:val="002D2628"/>
    <w:rsid w:val="002D2A2F"/>
    <w:rsid w:val="002D2D48"/>
    <w:rsid w:val="002D3149"/>
    <w:rsid w:val="002D39CB"/>
    <w:rsid w:val="002D3DE3"/>
    <w:rsid w:val="002D48F1"/>
    <w:rsid w:val="002D4E96"/>
    <w:rsid w:val="002D526C"/>
    <w:rsid w:val="002D696A"/>
    <w:rsid w:val="002D697B"/>
    <w:rsid w:val="002D6ABB"/>
    <w:rsid w:val="002D7153"/>
    <w:rsid w:val="002D7660"/>
    <w:rsid w:val="002D775D"/>
    <w:rsid w:val="002E0B2C"/>
    <w:rsid w:val="002E10A9"/>
    <w:rsid w:val="002E141D"/>
    <w:rsid w:val="002E26D7"/>
    <w:rsid w:val="002E2C3A"/>
    <w:rsid w:val="002E2E41"/>
    <w:rsid w:val="002E319F"/>
    <w:rsid w:val="002E3429"/>
    <w:rsid w:val="002E348C"/>
    <w:rsid w:val="002E43FE"/>
    <w:rsid w:val="002E4627"/>
    <w:rsid w:val="002E57F7"/>
    <w:rsid w:val="002E5F7A"/>
    <w:rsid w:val="002E6308"/>
    <w:rsid w:val="002E631F"/>
    <w:rsid w:val="002E66D7"/>
    <w:rsid w:val="002E6774"/>
    <w:rsid w:val="002E7143"/>
    <w:rsid w:val="002E787A"/>
    <w:rsid w:val="002F0752"/>
    <w:rsid w:val="002F1A6D"/>
    <w:rsid w:val="002F1D45"/>
    <w:rsid w:val="002F2BE0"/>
    <w:rsid w:val="002F2E0B"/>
    <w:rsid w:val="002F2E4D"/>
    <w:rsid w:val="002F3C06"/>
    <w:rsid w:val="002F46AA"/>
    <w:rsid w:val="002F4916"/>
    <w:rsid w:val="002F5069"/>
    <w:rsid w:val="002F5290"/>
    <w:rsid w:val="002F547A"/>
    <w:rsid w:val="002F5FE9"/>
    <w:rsid w:val="002F690D"/>
    <w:rsid w:val="002F6EC0"/>
    <w:rsid w:val="002F72F2"/>
    <w:rsid w:val="002F75E2"/>
    <w:rsid w:val="002F76DD"/>
    <w:rsid w:val="002F7D1A"/>
    <w:rsid w:val="00300841"/>
    <w:rsid w:val="00301878"/>
    <w:rsid w:val="00302032"/>
    <w:rsid w:val="0030287C"/>
    <w:rsid w:val="00302998"/>
    <w:rsid w:val="00302CB4"/>
    <w:rsid w:val="00302F17"/>
    <w:rsid w:val="003030AA"/>
    <w:rsid w:val="00303205"/>
    <w:rsid w:val="00303956"/>
    <w:rsid w:val="00303AE6"/>
    <w:rsid w:val="00303B72"/>
    <w:rsid w:val="0030491B"/>
    <w:rsid w:val="00304EB9"/>
    <w:rsid w:val="00305699"/>
    <w:rsid w:val="003060DD"/>
    <w:rsid w:val="00306811"/>
    <w:rsid w:val="00306DAE"/>
    <w:rsid w:val="00307190"/>
    <w:rsid w:val="003072C7"/>
    <w:rsid w:val="00307B8A"/>
    <w:rsid w:val="00310BA3"/>
    <w:rsid w:val="0031179F"/>
    <w:rsid w:val="00311BCC"/>
    <w:rsid w:val="00312979"/>
    <w:rsid w:val="00312C71"/>
    <w:rsid w:val="00312F06"/>
    <w:rsid w:val="00313386"/>
    <w:rsid w:val="00313B48"/>
    <w:rsid w:val="0031497B"/>
    <w:rsid w:val="00314B9B"/>
    <w:rsid w:val="003162D6"/>
    <w:rsid w:val="003173CA"/>
    <w:rsid w:val="00317BDA"/>
    <w:rsid w:val="00317D70"/>
    <w:rsid w:val="00320154"/>
    <w:rsid w:val="00320536"/>
    <w:rsid w:val="00320660"/>
    <w:rsid w:val="00320EDE"/>
    <w:rsid w:val="003219A1"/>
    <w:rsid w:val="0032204B"/>
    <w:rsid w:val="0032230E"/>
    <w:rsid w:val="00322519"/>
    <w:rsid w:val="00322B80"/>
    <w:rsid w:val="00322C0D"/>
    <w:rsid w:val="00322C5A"/>
    <w:rsid w:val="00323D2D"/>
    <w:rsid w:val="00324A5D"/>
    <w:rsid w:val="00324AA9"/>
    <w:rsid w:val="003253F9"/>
    <w:rsid w:val="0032560B"/>
    <w:rsid w:val="003258FE"/>
    <w:rsid w:val="00326048"/>
    <w:rsid w:val="00326078"/>
    <w:rsid w:val="00326E96"/>
    <w:rsid w:val="00327839"/>
    <w:rsid w:val="003278CA"/>
    <w:rsid w:val="00327B8B"/>
    <w:rsid w:val="00330388"/>
    <w:rsid w:val="003306E1"/>
    <w:rsid w:val="003311DF"/>
    <w:rsid w:val="0033216F"/>
    <w:rsid w:val="00332400"/>
    <w:rsid w:val="00332421"/>
    <w:rsid w:val="00332825"/>
    <w:rsid w:val="003332EF"/>
    <w:rsid w:val="0033398D"/>
    <w:rsid w:val="00333D22"/>
    <w:rsid w:val="00333E67"/>
    <w:rsid w:val="0033449B"/>
    <w:rsid w:val="003347C4"/>
    <w:rsid w:val="003351F9"/>
    <w:rsid w:val="00336390"/>
    <w:rsid w:val="00336440"/>
    <w:rsid w:val="00337C3D"/>
    <w:rsid w:val="003400C1"/>
    <w:rsid w:val="0034010F"/>
    <w:rsid w:val="0034085E"/>
    <w:rsid w:val="00340CBA"/>
    <w:rsid w:val="00340E81"/>
    <w:rsid w:val="00340FE9"/>
    <w:rsid w:val="00341116"/>
    <w:rsid w:val="0034133D"/>
    <w:rsid w:val="00341E99"/>
    <w:rsid w:val="003422D9"/>
    <w:rsid w:val="00342397"/>
    <w:rsid w:val="00342C96"/>
    <w:rsid w:val="00343565"/>
    <w:rsid w:val="00343C51"/>
    <w:rsid w:val="003445B9"/>
    <w:rsid w:val="003446A8"/>
    <w:rsid w:val="00344C6F"/>
    <w:rsid w:val="00345B5C"/>
    <w:rsid w:val="00345DE1"/>
    <w:rsid w:val="00346A27"/>
    <w:rsid w:val="00346CF7"/>
    <w:rsid w:val="00347065"/>
    <w:rsid w:val="00347325"/>
    <w:rsid w:val="00347EC9"/>
    <w:rsid w:val="00351823"/>
    <w:rsid w:val="00351881"/>
    <w:rsid w:val="003534D7"/>
    <w:rsid w:val="00353742"/>
    <w:rsid w:val="003538B4"/>
    <w:rsid w:val="00354105"/>
    <w:rsid w:val="00355C20"/>
    <w:rsid w:val="003560EC"/>
    <w:rsid w:val="00356A9C"/>
    <w:rsid w:val="003573FF"/>
    <w:rsid w:val="00357426"/>
    <w:rsid w:val="003578A1"/>
    <w:rsid w:val="00357C91"/>
    <w:rsid w:val="003608E9"/>
    <w:rsid w:val="00360B00"/>
    <w:rsid w:val="00361638"/>
    <w:rsid w:val="00362603"/>
    <w:rsid w:val="00362EAB"/>
    <w:rsid w:val="003630BE"/>
    <w:rsid w:val="0036324B"/>
    <w:rsid w:val="0036392F"/>
    <w:rsid w:val="00363C0B"/>
    <w:rsid w:val="0036441F"/>
    <w:rsid w:val="0036596A"/>
    <w:rsid w:val="00365A8D"/>
    <w:rsid w:val="003663C6"/>
    <w:rsid w:val="00366C40"/>
    <w:rsid w:val="00366FDA"/>
    <w:rsid w:val="0036766B"/>
    <w:rsid w:val="00370A37"/>
    <w:rsid w:val="00370DEC"/>
    <w:rsid w:val="003712F4"/>
    <w:rsid w:val="0037143A"/>
    <w:rsid w:val="00371522"/>
    <w:rsid w:val="00371B9E"/>
    <w:rsid w:val="00371EA8"/>
    <w:rsid w:val="00372A93"/>
    <w:rsid w:val="00373478"/>
    <w:rsid w:val="00373731"/>
    <w:rsid w:val="0037385D"/>
    <w:rsid w:val="00373BCC"/>
    <w:rsid w:val="0037469F"/>
    <w:rsid w:val="00375567"/>
    <w:rsid w:val="0037681C"/>
    <w:rsid w:val="00376E12"/>
    <w:rsid w:val="00377037"/>
    <w:rsid w:val="00377080"/>
    <w:rsid w:val="003805E1"/>
    <w:rsid w:val="003815AF"/>
    <w:rsid w:val="00381667"/>
    <w:rsid w:val="00381F3B"/>
    <w:rsid w:val="003821DC"/>
    <w:rsid w:val="00382793"/>
    <w:rsid w:val="00382BCF"/>
    <w:rsid w:val="00382F19"/>
    <w:rsid w:val="0038322B"/>
    <w:rsid w:val="003835C5"/>
    <w:rsid w:val="003837F4"/>
    <w:rsid w:val="00383DFF"/>
    <w:rsid w:val="00383FA6"/>
    <w:rsid w:val="0038678B"/>
    <w:rsid w:val="00386865"/>
    <w:rsid w:val="00386FFC"/>
    <w:rsid w:val="00387442"/>
    <w:rsid w:val="00390FCA"/>
    <w:rsid w:val="0039176F"/>
    <w:rsid w:val="00391896"/>
    <w:rsid w:val="00391C5E"/>
    <w:rsid w:val="003924BF"/>
    <w:rsid w:val="00392F3E"/>
    <w:rsid w:val="0039324C"/>
    <w:rsid w:val="0039336C"/>
    <w:rsid w:val="0039352C"/>
    <w:rsid w:val="00393BAE"/>
    <w:rsid w:val="00393F69"/>
    <w:rsid w:val="00394846"/>
    <w:rsid w:val="00395731"/>
    <w:rsid w:val="00395EA2"/>
    <w:rsid w:val="00396C2A"/>
    <w:rsid w:val="00396E4A"/>
    <w:rsid w:val="00397023"/>
    <w:rsid w:val="00397592"/>
    <w:rsid w:val="00397985"/>
    <w:rsid w:val="00397F0A"/>
    <w:rsid w:val="003A0487"/>
    <w:rsid w:val="003A0DB1"/>
    <w:rsid w:val="003A138D"/>
    <w:rsid w:val="003A256E"/>
    <w:rsid w:val="003A2A6E"/>
    <w:rsid w:val="003A2C48"/>
    <w:rsid w:val="003A2C72"/>
    <w:rsid w:val="003A46AA"/>
    <w:rsid w:val="003A4975"/>
    <w:rsid w:val="003A579D"/>
    <w:rsid w:val="003A6237"/>
    <w:rsid w:val="003A7885"/>
    <w:rsid w:val="003B0286"/>
    <w:rsid w:val="003B1081"/>
    <w:rsid w:val="003B16B1"/>
    <w:rsid w:val="003B1B28"/>
    <w:rsid w:val="003B1B29"/>
    <w:rsid w:val="003B1C4D"/>
    <w:rsid w:val="003B2131"/>
    <w:rsid w:val="003B22AB"/>
    <w:rsid w:val="003B308E"/>
    <w:rsid w:val="003B309F"/>
    <w:rsid w:val="003B30C2"/>
    <w:rsid w:val="003B37CB"/>
    <w:rsid w:val="003B5B59"/>
    <w:rsid w:val="003B643C"/>
    <w:rsid w:val="003B6DDA"/>
    <w:rsid w:val="003B786A"/>
    <w:rsid w:val="003C0A04"/>
    <w:rsid w:val="003C0AF9"/>
    <w:rsid w:val="003C0BE2"/>
    <w:rsid w:val="003C19C2"/>
    <w:rsid w:val="003C1B86"/>
    <w:rsid w:val="003C241C"/>
    <w:rsid w:val="003C280E"/>
    <w:rsid w:val="003C2C81"/>
    <w:rsid w:val="003C351F"/>
    <w:rsid w:val="003C3EB6"/>
    <w:rsid w:val="003C4255"/>
    <w:rsid w:val="003C4ADF"/>
    <w:rsid w:val="003C50C5"/>
    <w:rsid w:val="003C5AC2"/>
    <w:rsid w:val="003C5D8C"/>
    <w:rsid w:val="003C5E1A"/>
    <w:rsid w:val="003C67B4"/>
    <w:rsid w:val="003C7739"/>
    <w:rsid w:val="003D0E7E"/>
    <w:rsid w:val="003D275B"/>
    <w:rsid w:val="003D2A98"/>
    <w:rsid w:val="003D2D70"/>
    <w:rsid w:val="003D31B2"/>
    <w:rsid w:val="003D3361"/>
    <w:rsid w:val="003D3621"/>
    <w:rsid w:val="003D373A"/>
    <w:rsid w:val="003D3B4D"/>
    <w:rsid w:val="003D4342"/>
    <w:rsid w:val="003D4E34"/>
    <w:rsid w:val="003D55DA"/>
    <w:rsid w:val="003D69B3"/>
    <w:rsid w:val="003D7E8C"/>
    <w:rsid w:val="003E00D9"/>
    <w:rsid w:val="003E060C"/>
    <w:rsid w:val="003E065C"/>
    <w:rsid w:val="003E0AF4"/>
    <w:rsid w:val="003E1417"/>
    <w:rsid w:val="003E162C"/>
    <w:rsid w:val="003E232F"/>
    <w:rsid w:val="003E2350"/>
    <w:rsid w:val="003E289F"/>
    <w:rsid w:val="003E2C83"/>
    <w:rsid w:val="003E380F"/>
    <w:rsid w:val="003E3AC1"/>
    <w:rsid w:val="003E4238"/>
    <w:rsid w:val="003E458A"/>
    <w:rsid w:val="003E47AA"/>
    <w:rsid w:val="003E4A80"/>
    <w:rsid w:val="003E4DEE"/>
    <w:rsid w:val="003E4E68"/>
    <w:rsid w:val="003E555B"/>
    <w:rsid w:val="003E6348"/>
    <w:rsid w:val="003E6B9D"/>
    <w:rsid w:val="003F0142"/>
    <w:rsid w:val="003F03E2"/>
    <w:rsid w:val="003F05F3"/>
    <w:rsid w:val="003F07CE"/>
    <w:rsid w:val="003F12C0"/>
    <w:rsid w:val="003F170F"/>
    <w:rsid w:val="003F1EF2"/>
    <w:rsid w:val="003F2193"/>
    <w:rsid w:val="003F2665"/>
    <w:rsid w:val="003F2A2A"/>
    <w:rsid w:val="003F2B6B"/>
    <w:rsid w:val="003F3314"/>
    <w:rsid w:val="003F3990"/>
    <w:rsid w:val="003F46A2"/>
    <w:rsid w:val="003F4CCE"/>
    <w:rsid w:val="003F4F01"/>
    <w:rsid w:val="003F56BD"/>
    <w:rsid w:val="003F57D8"/>
    <w:rsid w:val="003F5877"/>
    <w:rsid w:val="003F59B5"/>
    <w:rsid w:val="003F5A50"/>
    <w:rsid w:val="003F5B8A"/>
    <w:rsid w:val="003F5CAB"/>
    <w:rsid w:val="003F62ED"/>
    <w:rsid w:val="003F68BD"/>
    <w:rsid w:val="003F7185"/>
    <w:rsid w:val="003F7480"/>
    <w:rsid w:val="004008CF"/>
    <w:rsid w:val="0040133C"/>
    <w:rsid w:val="00401774"/>
    <w:rsid w:val="00401F1C"/>
    <w:rsid w:val="00401F32"/>
    <w:rsid w:val="0040241C"/>
    <w:rsid w:val="00402D4C"/>
    <w:rsid w:val="0040383F"/>
    <w:rsid w:val="004041ED"/>
    <w:rsid w:val="004054EC"/>
    <w:rsid w:val="00406577"/>
    <w:rsid w:val="004074F2"/>
    <w:rsid w:val="00407692"/>
    <w:rsid w:val="00407C2A"/>
    <w:rsid w:val="00407C92"/>
    <w:rsid w:val="004107D0"/>
    <w:rsid w:val="00411357"/>
    <w:rsid w:val="00411A0D"/>
    <w:rsid w:val="00411DD0"/>
    <w:rsid w:val="0041285F"/>
    <w:rsid w:val="00412B12"/>
    <w:rsid w:val="00412D29"/>
    <w:rsid w:val="00412ECD"/>
    <w:rsid w:val="00412ED1"/>
    <w:rsid w:val="00413630"/>
    <w:rsid w:val="00413872"/>
    <w:rsid w:val="00414C82"/>
    <w:rsid w:val="00415CB3"/>
    <w:rsid w:val="004160CA"/>
    <w:rsid w:val="004163FD"/>
    <w:rsid w:val="004170E1"/>
    <w:rsid w:val="004179CE"/>
    <w:rsid w:val="00417A92"/>
    <w:rsid w:val="00420166"/>
    <w:rsid w:val="0042084F"/>
    <w:rsid w:val="00420990"/>
    <w:rsid w:val="0042102F"/>
    <w:rsid w:val="004225BA"/>
    <w:rsid w:val="0042264A"/>
    <w:rsid w:val="004227A8"/>
    <w:rsid w:val="00423493"/>
    <w:rsid w:val="00423D32"/>
    <w:rsid w:val="00424582"/>
    <w:rsid w:val="004251CF"/>
    <w:rsid w:val="00425C31"/>
    <w:rsid w:val="00426012"/>
    <w:rsid w:val="004261A0"/>
    <w:rsid w:val="004263A1"/>
    <w:rsid w:val="00426CAA"/>
    <w:rsid w:val="00426F84"/>
    <w:rsid w:val="00427DF6"/>
    <w:rsid w:val="004307A1"/>
    <w:rsid w:val="0043114D"/>
    <w:rsid w:val="00431E11"/>
    <w:rsid w:val="00432A4D"/>
    <w:rsid w:val="00432B46"/>
    <w:rsid w:val="00433C2C"/>
    <w:rsid w:val="00434053"/>
    <w:rsid w:val="00434905"/>
    <w:rsid w:val="00434C4F"/>
    <w:rsid w:val="00436537"/>
    <w:rsid w:val="0043694E"/>
    <w:rsid w:val="00436B21"/>
    <w:rsid w:val="004370A2"/>
    <w:rsid w:val="00437EF6"/>
    <w:rsid w:val="004406C0"/>
    <w:rsid w:val="004407BD"/>
    <w:rsid w:val="004407EA"/>
    <w:rsid w:val="00441090"/>
    <w:rsid w:val="004416A6"/>
    <w:rsid w:val="00441E54"/>
    <w:rsid w:val="00442095"/>
    <w:rsid w:val="004427AB"/>
    <w:rsid w:val="00442B8C"/>
    <w:rsid w:val="00443786"/>
    <w:rsid w:val="004446E8"/>
    <w:rsid w:val="004447D5"/>
    <w:rsid w:val="00444FAA"/>
    <w:rsid w:val="00445C9E"/>
    <w:rsid w:val="004470E0"/>
    <w:rsid w:val="00447309"/>
    <w:rsid w:val="00447B43"/>
    <w:rsid w:val="00451025"/>
    <w:rsid w:val="00452008"/>
    <w:rsid w:val="004538FA"/>
    <w:rsid w:val="00453C99"/>
    <w:rsid w:val="00455012"/>
    <w:rsid w:val="004552C9"/>
    <w:rsid w:val="0045565A"/>
    <w:rsid w:val="00455A4A"/>
    <w:rsid w:val="00455FD1"/>
    <w:rsid w:val="0045642C"/>
    <w:rsid w:val="0045771F"/>
    <w:rsid w:val="0045794B"/>
    <w:rsid w:val="00457ACF"/>
    <w:rsid w:val="00457FEF"/>
    <w:rsid w:val="00460491"/>
    <w:rsid w:val="0046076B"/>
    <w:rsid w:val="00460D6B"/>
    <w:rsid w:val="00462131"/>
    <w:rsid w:val="00462419"/>
    <w:rsid w:val="0046254F"/>
    <w:rsid w:val="00462B96"/>
    <w:rsid w:val="004631F3"/>
    <w:rsid w:val="00463762"/>
    <w:rsid w:val="0046476F"/>
    <w:rsid w:val="004647D1"/>
    <w:rsid w:val="00464F41"/>
    <w:rsid w:val="00464FA3"/>
    <w:rsid w:val="00465017"/>
    <w:rsid w:val="00465252"/>
    <w:rsid w:val="0046641E"/>
    <w:rsid w:val="004665BB"/>
    <w:rsid w:val="004669E7"/>
    <w:rsid w:val="004672D8"/>
    <w:rsid w:val="00467E72"/>
    <w:rsid w:val="00470368"/>
    <w:rsid w:val="00470CA5"/>
    <w:rsid w:val="004714B3"/>
    <w:rsid w:val="00471A38"/>
    <w:rsid w:val="00471B44"/>
    <w:rsid w:val="00471EC3"/>
    <w:rsid w:val="00473659"/>
    <w:rsid w:val="00473ADC"/>
    <w:rsid w:val="00473CF6"/>
    <w:rsid w:val="00474778"/>
    <w:rsid w:val="00474DAF"/>
    <w:rsid w:val="00475340"/>
    <w:rsid w:val="00475AA7"/>
    <w:rsid w:val="00475ACA"/>
    <w:rsid w:val="00475F9E"/>
    <w:rsid w:val="004768D4"/>
    <w:rsid w:val="00476E26"/>
    <w:rsid w:val="00476EDE"/>
    <w:rsid w:val="004773A7"/>
    <w:rsid w:val="00477651"/>
    <w:rsid w:val="00480C98"/>
    <w:rsid w:val="00480EA9"/>
    <w:rsid w:val="0048178C"/>
    <w:rsid w:val="00481C6A"/>
    <w:rsid w:val="004821FB"/>
    <w:rsid w:val="00482679"/>
    <w:rsid w:val="00482AB4"/>
    <w:rsid w:val="0048309F"/>
    <w:rsid w:val="00484397"/>
    <w:rsid w:val="0048447E"/>
    <w:rsid w:val="00484642"/>
    <w:rsid w:val="00485090"/>
    <w:rsid w:val="0048534E"/>
    <w:rsid w:val="00486BD0"/>
    <w:rsid w:val="0048711E"/>
    <w:rsid w:val="00490961"/>
    <w:rsid w:val="00491333"/>
    <w:rsid w:val="004923AF"/>
    <w:rsid w:val="00492CEA"/>
    <w:rsid w:val="00492D4F"/>
    <w:rsid w:val="00492E2C"/>
    <w:rsid w:val="004932E7"/>
    <w:rsid w:val="0049421B"/>
    <w:rsid w:val="00494685"/>
    <w:rsid w:val="004948CA"/>
    <w:rsid w:val="00494952"/>
    <w:rsid w:val="00495A50"/>
    <w:rsid w:val="00495C42"/>
    <w:rsid w:val="00497FD9"/>
    <w:rsid w:val="004A177A"/>
    <w:rsid w:val="004A2C67"/>
    <w:rsid w:val="004A2CA2"/>
    <w:rsid w:val="004A2D29"/>
    <w:rsid w:val="004A3811"/>
    <w:rsid w:val="004A396E"/>
    <w:rsid w:val="004A42F6"/>
    <w:rsid w:val="004A4AEF"/>
    <w:rsid w:val="004A52EA"/>
    <w:rsid w:val="004A55CB"/>
    <w:rsid w:val="004A598C"/>
    <w:rsid w:val="004A5E45"/>
    <w:rsid w:val="004A6B15"/>
    <w:rsid w:val="004A6B20"/>
    <w:rsid w:val="004A6EB5"/>
    <w:rsid w:val="004B0306"/>
    <w:rsid w:val="004B0452"/>
    <w:rsid w:val="004B07EC"/>
    <w:rsid w:val="004B0AE2"/>
    <w:rsid w:val="004B0E2A"/>
    <w:rsid w:val="004B20A5"/>
    <w:rsid w:val="004B2B6A"/>
    <w:rsid w:val="004B2B99"/>
    <w:rsid w:val="004B30C7"/>
    <w:rsid w:val="004B38BD"/>
    <w:rsid w:val="004B3A82"/>
    <w:rsid w:val="004B40D1"/>
    <w:rsid w:val="004B4C41"/>
    <w:rsid w:val="004B4DB5"/>
    <w:rsid w:val="004B4E6B"/>
    <w:rsid w:val="004B5167"/>
    <w:rsid w:val="004B55FA"/>
    <w:rsid w:val="004B5BC5"/>
    <w:rsid w:val="004B6010"/>
    <w:rsid w:val="004B6254"/>
    <w:rsid w:val="004B66B0"/>
    <w:rsid w:val="004B6FCB"/>
    <w:rsid w:val="004B77C5"/>
    <w:rsid w:val="004B78DE"/>
    <w:rsid w:val="004C0EF5"/>
    <w:rsid w:val="004C198C"/>
    <w:rsid w:val="004C1E17"/>
    <w:rsid w:val="004C2264"/>
    <w:rsid w:val="004C23FC"/>
    <w:rsid w:val="004C25C2"/>
    <w:rsid w:val="004C2A04"/>
    <w:rsid w:val="004C2CB2"/>
    <w:rsid w:val="004C33F8"/>
    <w:rsid w:val="004C3845"/>
    <w:rsid w:val="004C4127"/>
    <w:rsid w:val="004C4129"/>
    <w:rsid w:val="004C4D0B"/>
    <w:rsid w:val="004C4D4C"/>
    <w:rsid w:val="004C4E7D"/>
    <w:rsid w:val="004C4EA6"/>
    <w:rsid w:val="004C5F2D"/>
    <w:rsid w:val="004C6BA4"/>
    <w:rsid w:val="004C6F45"/>
    <w:rsid w:val="004C71BD"/>
    <w:rsid w:val="004C73CF"/>
    <w:rsid w:val="004C745D"/>
    <w:rsid w:val="004C759B"/>
    <w:rsid w:val="004C7A88"/>
    <w:rsid w:val="004D01AE"/>
    <w:rsid w:val="004D04C9"/>
    <w:rsid w:val="004D1021"/>
    <w:rsid w:val="004D1603"/>
    <w:rsid w:val="004D16E2"/>
    <w:rsid w:val="004D1C1C"/>
    <w:rsid w:val="004D1F9F"/>
    <w:rsid w:val="004D2CAE"/>
    <w:rsid w:val="004D2F8E"/>
    <w:rsid w:val="004D34D1"/>
    <w:rsid w:val="004D3A5C"/>
    <w:rsid w:val="004D3EAC"/>
    <w:rsid w:val="004D4827"/>
    <w:rsid w:val="004D4A3A"/>
    <w:rsid w:val="004D4F2E"/>
    <w:rsid w:val="004D4FD5"/>
    <w:rsid w:val="004D6198"/>
    <w:rsid w:val="004D641D"/>
    <w:rsid w:val="004D688B"/>
    <w:rsid w:val="004D6FFA"/>
    <w:rsid w:val="004D77DE"/>
    <w:rsid w:val="004D7C46"/>
    <w:rsid w:val="004D7DC4"/>
    <w:rsid w:val="004E0583"/>
    <w:rsid w:val="004E0C9D"/>
    <w:rsid w:val="004E21BD"/>
    <w:rsid w:val="004E28D1"/>
    <w:rsid w:val="004E3CE1"/>
    <w:rsid w:val="004E4295"/>
    <w:rsid w:val="004E42EB"/>
    <w:rsid w:val="004E43E5"/>
    <w:rsid w:val="004E452E"/>
    <w:rsid w:val="004E4B1E"/>
    <w:rsid w:val="004E4CD4"/>
    <w:rsid w:val="004E4EC2"/>
    <w:rsid w:val="004E5446"/>
    <w:rsid w:val="004E5673"/>
    <w:rsid w:val="004E5CB4"/>
    <w:rsid w:val="004E647B"/>
    <w:rsid w:val="004E6B3A"/>
    <w:rsid w:val="004E75A5"/>
    <w:rsid w:val="004E770A"/>
    <w:rsid w:val="004E7A9D"/>
    <w:rsid w:val="004F033C"/>
    <w:rsid w:val="004F034A"/>
    <w:rsid w:val="004F1EFB"/>
    <w:rsid w:val="004F2323"/>
    <w:rsid w:val="004F3CB0"/>
    <w:rsid w:val="004F4C34"/>
    <w:rsid w:val="004F4E49"/>
    <w:rsid w:val="004F5EAE"/>
    <w:rsid w:val="004F6986"/>
    <w:rsid w:val="004F74D6"/>
    <w:rsid w:val="004F7B39"/>
    <w:rsid w:val="004F7B67"/>
    <w:rsid w:val="004F7F49"/>
    <w:rsid w:val="00500FF6"/>
    <w:rsid w:val="005016BE"/>
    <w:rsid w:val="00501D70"/>
    <w:rsid w:val="00502C7B"/>
    <w:rsid w:val="00502E77"/>
    <w:rsid w:val="00504C16"/>
    <w:rsid w:val="00504E0D"/>
    <w:rsid w:val="005053B6"/>
    <w:rsid w:val="00506A15"/>
    <w:rsid w:val="00506BAB"/>
    <w:rsid w:val="00506C93"/>
    <w:rsid w:val="005070F4"/>
    <w:rsid w:val="005079AE"/>
    <w:rsid w:val="005079DF"/>
    <w:rsid w:val="00507B96"/>
    <w:rsid w:val="00507E94"/>
    <w:rsid w:val="005114F5"/>
    <w:rsid w:val="00511E2B"/>
    <w:rsid w:val="00512148"/>
    <w:rsid w:val="005121C7"/>
    <w:rsid w:val="005126D0"/>
    <w:rsid w:val="005127DF"/>
    <w:rsid w:val="005135AF"/>
    <w:rsid w:val="00513618"/>
    <w:rsid w:val="005138B4"/>
    <w:rsid w:val="00514194"/>
    <w:rsid w:val="00515BFA"/>
    <w:rsid w:val="005161CA"/>
    <w:rsid w:val="00516A39"/>
    <w:rsid w:val="00517348"/>
    <w:rsid w:val="005173F3"/>
    <w:rsid w:val="00517651"/>
    <w:rsid w:val="005177BF"/>
    <w:rsid w:val="00517A1F"/>
    <w:rsid w:val="00517A59"/>
    <w:rsid w:val="00520F09"/>
    <w:rsid w:val="00520F95"/>
    <w:rsid w:val="0052133C"/>
    <w:rsid w:val="005214BF"/>
    <w:rsid w:val="00521656"/>
    <w:rsid w:val="005217D3"/>
    <w:rsid w:val="0052208B"/>
    <w:rsid w:val="00522361"/>
    <w:rsid w:val="005226CB"/>
    <w:rsid w:val="00522DCE"/>
    <w:rsid w:val="00523031"/>
    <w:rsid w:val="0052306C"/>
    <w:rsid w:val="00523A51"/>
    <w:rsid w:val="00523E48"/>
    <w:rsid w:val="00523F0E"/>
    <w:rsid w:val="005240FA"/>
    <w:rsid w:val="005244B2"/>
    <w:rsid w:val="00524F54"/>
    <w:rsid w:val="00525427"/>
    <w:rsid w:val="005255D4"/>
    <w:rsid w:val="00525AE0"/>
    <w:rsid w:val="00525F4F"/>
    <w:rsid w:val="00526280"/>
    <w:rsid w:val="005262F8"/>
    <w:rsid w:val="00526310"/>
    <w:rsid w:val="00526315"/>
    <w:rsid w:val="00527FE9"/>
    <w:rsid w:val="00531243"/>
    <w:rsid w:val="00531930"/>
    <w:rsid w:val="005321C0"/>
    <w:rsid w:val="005321E5"/>
    <w:rsid w:val="0053237A"/>
    <w:rsid w:val="005329F0"/>
    <w:rsid w:val="00533EBF"/>
    <w:rsid w:val="005342C9"/>
    <w:rsid w:val="005348A9"/>
    <w:rsid w:val="00534CEC"/>
    <w:rsid w:val="00535216"/>
    <w:rsid w:val="005354D0"/>
    <w:rsid w:val="00535D62"/>
    <w:rsid w:val="00536A48"/>
    <w:rsid w:val="00536FAB"/>
    <w:rsid w:val="005375AC"/>
    <w:rsid w:val="00537683"/>
    <w:rsid w:val="005405D5"/>
    <w:rsid w:val="00540A1F"/>
    <w:rsid w:val="00540DBF"/>
    <w:rsid w:val="00540F81"/>
    <w:rsid w:val="00541E75"/>
    <w:rsid w:val="0054222B"/>
    <w:rsid w:val="00542D63"/>
    <w:rsid w:val="0054306E"/>
    <w:rsid w:val="00543729"/>
    <w:rsid w:val="00543B36"/>
    <w:rsid w:val="00543F9E"/>
    <w:rsid w:val="00545521"/>
    <w:rsid w:val="00545562"/>
    <w:rsid w:val="00545760"/>
    <w:rsid w:val="0054592A"/>
    <w:rsid w:val="00546A3C"/>
    <w:rsid w:val="0054737B"/>
    <w:rsid w:val="00547418"/>
    <w:rsid w:val="005476BB"/>
    <w:rsid w:val="005505C0"/>
    <w:rsid w:val="00550764"/>
    <w:rsid w:val="00550B74"/>
    <w:rsid w:val="005512AB"/>
    <w:rsid w:val="00551597"/>
    <w:rsid w:val="0055168E"/>
    <w:rsid w:val="00551C20"/>
    <w:rsid w:val="00552488"/>
    <w:rsid w:val="005529D0"/>
    <w:rsid w:val="00552AC7"/>
    <w:rsid w:val="00553101"/>
    <w:rsid w:val="00553E9C"/>
    <w:rsid w:val="005543B5"/>
    <w:rsid w:val="00554D5B"/>
    <w:rsid w:val="00554E16"/>
    <w:rsid w:val="00555553"/>
    <w:rsid w:val="00555922"/>
    <w:rsid w:val="00555AD5"/>
    <w:rsid w:val="00556102"/>
    <w:rsid w:val="00556C71"/>
    <w:rsid w:val="00557276"/>
    <w:rsid w:val="00557493"/>
    <w:rsid w:val="00557CAB"/>
    <w:rsid w:val="00560502"/>
    <w:rsid w:val="005606C0"/>
    <w:rsid w:val="00560A7F"/>
    <w:rsid w:val="00561012"/>
    <w:rsid w:val="00561C50"/>
    <w:rsid w:val="005625E3"/>
    <w:rsid w:val="00562C97"/>
    <w:rsid w:val="00564021"/>
    <w:rsid w:val="0056480E"/>
    <w:rsid w:val="00565BAC"/>
    <w:rsid w:val="00566158"/>
    <w:rsid w:val="00566B2F"/>
    <w:rsid w:val="00566F50"/>
    <w:rsid w:val="00567911"/>
    <w:rsid w:val="00570F81"/>
    <w:rsid w:val="005727CF"/>
    <w:rsid w:val="00572823"/>
    <w:rsid w:val="00572D2F"/>
    <w:rsid w:val="00572D6B"/>
    <w:rsid w:val="005734F7"/>
    <w:rsid w:val="00573B03"/>
    <w:rsid w:val="00573C38"/>
    <w:rsid w:val="005742D4"/>
    <w:rsid w:val="005744C0"/>
    <w:rsid w:val="005749A4"/>
    <w:rsid w:val="00575149"/>
    <w:rsid w:val="005758D3"/>
    <w:rsid w:val="00575D84"/>
    <w:rsid w:val="005764C6"/>
    <w:rsid w:val="005764DA"/>
    <w:rsid w:val="00576A72"/>
    <w:rsid w:val="005772AF"/>
    <w:rsid w:val="00580222"/>
    <w:rsid w:val="00581058"/>
    <w:rsid w:val="005811A2"/>
    <w:rsid w:val="00581748"/>
    <w:rsid w:val="00582240"/>
    <w:rsid w:val="005826D0"/>
    <w:rsid w:val="005827AF"/>
    <w:rsid w:val="00582F13"/>
    <w:rsid w:val="0058391F"/>
    <w:rsid w:val="00583B43"/>
    <w:rsid w:val="0058466F"/>
    <w:rsid w:val="005855DD"/>
    <w:rsid w:val="00586810"/>
    <w:rsid w:val="00586EBE"/>
    <w:rsid w:val="005910D3"/>
    <w:rsid w:val="00591C69"/>
    <w:rsid w:val="00591EA9"/>
    <w:rsid w:val="00591FD3"/>
    <w:rsid w:val="005921B1"/>
    <w:rsid w:val="00592478"/>
    <w:rsid w:val="005925E1"/>
    <w:rsid w:val="00594078"/>
    <w:rsid w:val="005941EE"/>
    <w:rsid w:val="00595193"/>
    <w:rsid w:val="005953F7"/>
    <w:rsid w:val="00595A01"/>
    <w:rsid w:val="00595B77"/>
    <w:rsid w:val="00595C28"/>
    <w:rsid w:val="00595F69"/>
    <w:rsid w:val="00596639"/>
    <w:rsid w:val="00596968"/>
    <w:rsid w:val="00596ABC"/>
    <w:rsid w:val="00596EAF"/>
    <w:rsid w:val="005974AD"/>
    <w:rsid w:val="0059796F"/>
    <w:rsid w:val="00597AA3"/>
    <w:rsid w:val="005A041F"/>
    <w:rsid w:val="005A043B"/>
    <w:rsid w:val="005A0A6E"/>
    <w:rsid w:val="005A165B"/>
    <w:rsid w:val="005A1B61"/>
    <w:rsid w:val="005A22C2"/>
    <w:rsid w:val="005A3FD5"/>
    <w:rsid w:val="005A53EF"/>
    <w:rsid w:val="005A55B2"/>
    <w:rsid w:val="005A56F5"/>
    <w:rsid w:val="005A5FF2"/>
    <w:rsid w:val="005A6A00"/>
    <w:rsid w:val="005A6F2B"/>
    <w:rsid w:val="005A7CDD"/>
    <w:rsid w:val="005B0E96"/>
    <w:rsid w:val="005B1133"/>
    <w:rsid w:val="005B19E6"/>
    <w:rsid w:val="005B1FEE"/>
    <w:rsid w:val="005B245E"/>
    <w:rsid w:val="005B25E5"/>
    <w:rsid w:val="005B2C04"/>
    <w:rsid w:val="005B31FA"/>
    <w:rsid w:val="005B3A2C"/>
    <w:rsid w:val="005B3E6A"/>
    <w:rsid w:val="005B3EF1"/>
    <w:rsid w:val="005B42A9"/>
    <w:rsid w:val="005B482E"/>
    <w:rsid w:val="005B49BF"/>
    <w:rsid w:val="005B50B9"/>
    <w:rsid w:val="005B5825"/>
    <w:rsid w:val="005B5AE7"/>
    <w:rsid w:val="005B60E0"/>
    <w:rsid w:val="005B657E"/>
    <w:rsid w:val="005B7081"/>
    <w:rsid w:val="005B79F1"/>
    <w:rsid w:val="005C0AE1"/>
    <w:rsid w:val="005C1743"/>
    <w:rsid w:val="005C2B77"/>
    <w:rsid w:val="005C3C9C"/>
    <w:rsid w:val="005C3E19"/>
    <w:rsid w:val="005C40F3"/>
    <w:rsid w:val="005C43BC"/>
    <w:rsid w:val="005C5C6C"/>
    <w:rsid w:val="005C620B"/>
    <w:rsid w:val="005C688A"/>
    <w:rsid w:val="005C7CBE"/>
    <w:rsid w:val="005D0B58"/>
    <w:rsid w:val="005D0D31"/>
    <w:rsid w:val="005D0DD3"/>
    <w:rsid w:val="005D11F6"/>
    <w:rsid w:val="005D136C"/>
    <w:rsid w:val="005D1BDE"/>
    <w:rsid w:val="005D23A3"/>
    <w:rsid w:val="005D2821"/>
    <w:rsid w:val="005D33CE"/>
    <w:rsid w:val="005D351C"/>
    <w:rsid w:val="005D47AE"/>
    <w:rsid w:val="005D4D74"/>
    <w:rsid w:val="005D50E3"/>
    <w:rsid w:val="005D528C"/>
    <w:rsid w:val="005D5BD0"/>
    <w:rsid w:val="005D66E2"/>
    <w:rsid w:val="005D6740"/>
    <w:rsid w:val="005D7017"/>
    <w:rsid w:val="005D74EA"/>
    <w:rsid w:val="005D765C"/>
    <w:rsid w:val="005D7BE5"/>
    <w:rsid w:val="005E0C16"/>
    <w:rsid w:val="005E144E"/>
    <w:rsid w:val="005E1587"/>
    <w:rsid w:val="005E164D"/>
    <w:rsid w:val="005E224D"/>
    <w:rsid w:val="005E2471"/>
    <w:rsid w:val="005E2A69"/>
    <w:rsid w:val="005E3EA7"/>
    <w:rsid w:val="005E4CF3"/>
    <w:rsid w:val="005E4F72"/>
    <w:rsid w:val="005E57C1"/>
    <w:rsid w:val="005E5B6B"/>
    <w:rsid w:val="005E613E"/>
    <w:rsid w:val="005E629D"/>
    <w:rsid w:val="005E64D9"/>
    <w:rsid w:val="005E6855"/>
    <w:rsid w:val="005E6AEC"/>
    <w:rsid w:val="005E6B34"/>
    <w:rsid w:val="005F03A5"/>
    <w:rsid w:val="005F090A"/>
    <w:rsid w:val="005F0D43"/>
    <w:rsid w:val="005F2093"/>
    <w:rsid w:val="005F2C4B"/>
    <w:rsid w:val="005F3034"/>
    <w:rsid w:val="005F3881"/>
    <w:rsid w:val="005F3931"/>
    <w:rsid w:val="005F42B4"/>
    <w:rsid w:val="005F4612"/>
    <w:rsid w:val="005F49CA"/>
    <w:rsid w:val="005F4BE0"/>
    <w:rsid w:val="005F4DB7"/>
    <w:rsid w:val="005F4FE0"/>
    <w:rsid w:val="005F524A"/>
    <w:rsid w:val="005F6606"/>
    <w:rsid w:val="005F6ADB"/>
    <w:rsid w:val="005F6F09"/>
    <w:rsid w:val="005F720A"/>
    <w:rsid w:val="00600AF9"/>
    <w:rsid w:val="00600EC6"/>
    <w:rsid w:val="006010FE"/>
    <w:rsid w:val="006017F8"/>
    <w:rsid w:val="006023D8"/>
    <w:rsid w:val="00602732"/>
    <w:rsid w:val="00603504"/>
    <w:rsid w:val="00604617"/>
    <w:rsid w:val="00604749"/>
    <w:rsid w:val="00605241"/>
    <w:rsid w:val="006053B4"/>
    <w:rsid w:val="00605EED"/>
    <w:rsid w:val="00606A48"/>
    <w:rsid w:val="00606CD6"/>
    <w:rsid w:val="006070C9"/>
    <w:rsid w:val="006072E4"/>
    <w:rsid w:val="00607342"/>
    <w:rsid w:val="00607672"/>
    <w:rsid w:val="00610970"/>
    <w:rsid w:val="0061457B"/>
    <w:rsid w:val="00614EC0"/>
    <w:rsid w:val="00614FD4"/>
    <w:rsid w:val="00615E8B"/>
    <w:rsid w:val="00616AC1"/>
    <w:rsid w:val="00616C1C"/>
    <w:rsid w:val="0061797C"/>
    <w:rsid w:val="00617F8B"/>
    <w:rsid w:val="006204E1"/>
    <w:rsid w:val="00620E85"/>
    <w:rsid w:val="0062108C"/>
    <w:rsid w:val="006218B1"/>
    <w:rsid w:val="00621A8B"/>
    <w:rsid w:val="00622372"/>
    <w:rsid w:val="00622A12"/>
    <w:rsid w:val="00622EB8"/>
    <w:rsid w:val="00623954"/>
    <w:rsid w:val="006239EA"/>
    <w:rsid w:val="00623D64"/>
    <w:rsid w:val="0062492F"/>
    <w:rsid w:val="00624E24"/>
    <w:rsid w:val="00624F4F"/>
    <w:rsid w:val="00624FF5"/>
    <w:rsid w:val="00625AC2"/>
    <w:rsid w:val="006267EA"/>
    <w:rsid w:val="006269EA"/>
    <w:rsid w:val="00626BB7"/>
    <w:rsid w:val="00626D87"/>
    <w:rsid w:val="0062709E"/>
    <w:rsid w:val="0062727F"/>
    <w:rsid w:val="0062784E"/>
    <w:rsid w:val="00627CBE"/>
    <w:rsid w:val="00630128"/>
    <w:rsid w:val="00630469"/>
    <w:rsid w:val="006309E7"/>
    <w:rsid w:val="006318CE"/>
    <w:rsid w:val="00632046"/>
    <w:rsid w:val="00632D39"/>
    <w:rsid w:val="00633C83"/>
    <w:rsid w:val="00634AD8"/>
    <w:rsid w:val="0063556B"/>
    <w:rsid w:val="00635661"/>
    <w:rsid w:val="00636160"/>
    <w:rsid w:val="0063685F"/>
    <w:rsid w:val="006368AC"/>
    <w:rsid w:val="00637166"/>
    <w:rsid w:val="00637885"/>
    <w:rsid w:val="00637A1E"/>
    <w:rsid w:val="00637AAB"/>
    <w:rsid w:val="00640418"/>
    <w:rsid w:val="0064042C"/>
    <w:rsid w:val="00640839"/>
    <w:rsid w:val="00640913"/>
    <w:rsid w:val="00640B75"/>
    <w:rsid w:val="00641332"/>
    <w:rsid w:val="00641E13"/>
    <w:rsid w:val="006421A2"/>
    <w:rsid w:val="0064293B"/>
    <w:rsid w:val="006429D4"/>
    <w:rsid w:val="00642DB5"/>
    <w:rsid w:val="00643050"/>
    <w:rsid w:val="00643576"/>
    <w:rsid w:val="0064410F"/>
    <w:rsid w:val="00644213"/>
    <w:rsid w:val="00644CC3"/>
    <w:rsid w:val="00645888"/>
    <w:rsid w:val="00645DBD"/>
    <w:rsid w:val="00645FD3"/>
    <w:rsid w:val="006462CB"/>
    <w:rsid w:val="006463DD"/>
    <w:rsid w:val="0064644F"/>
    <w:rsid w:val="00646EFB"/>
    <w:rsid w:val="00647379"/>
    <w:rsid w:val="00647596"/>
    <w:rsid w:val="00647C07"/>
    <w:rsid w:val="006500C2"/>
    <w:rsid w:val="0065048F"/>
    <w:rsid w:val="006505B5"/>
    <w:rsid w:val="006510F8"/>
    <w:rsid w:val="00651C9B"/>
    <w:rsid w:val="00652C15"/>
    <w:rsid w:val="0065306F"/>
    <w:rsid w:val="00653CD5"/>
    <w:rsid w:val="00654A83"/>
    <w:rsid w:val="00655065"/>
    <w:rsid w:val="00655622"/>
    <w:rsid w:val="00655DC9"/>
    <w:rsid w:val="00656481"/>
    <w:rsid w:val="00656A58"/>
    <w:rsid w:val="00656D4B"/>
    <w:rsid w:val="006576E6"/>
    <w:rsid w:val="00657928"/>
    <w:rsid w:val="00657B26"/>
    <w:rsid w:val="00660631"/>
    <w:rsid w:val="006608AB"/>
    <w:rsid w:val="00660B20"/>
    <w:rsid w:val="00661363"/>
    <w:rsid w:val="00661B21"/>
    <w:rsid w:val="00663208"/>
    <w:rsid w:val="0066486E"/>
    <w:rsid w:val="006655DA"/>
    <w:rsid w:val="006664A7"/>
    <w:rsid w:val="006669FD"/>
    <w:rsid w:val="00666C0E"/>
    <w:rsid w:val="00667DF4"/>
    <w:rsid w:val="0067028C"/>
    <w:rsid w:val="006718C1"/>
    <w:rsid w:val="00672222"/>
    <w:rsid w:val="0067227F"/>
    <w:rsid w:val="006732C3"/>
    <w:rsid w:val="00673E82"/>
    <w:rsid w:val="00673EC5"/>
    <w:rsid w:val="006748AC"/>
    <w:rsid w:val="00674D85"/>
    <w:rsid w:val="006755DD"/>
    <w:rsid w:val="006759DE"/>
    <w:rsid w:val="006764A0"/>
    <w:rsid w:val="006768EF"/>
    <w:rsid w:val="00676F78"/>
    <w:rsid w:val="00677DF7"/>
    <w:rsid w:val="00680049"/>
    <w:rsid w:val="00680494"/>
    <w:rsid w:val="006805F5"/>
    <w:rsid w:val="006806DF"/>
    <w:rsid w:val="00681293"/>
    <w:rsid w:val="0068196C"/>
    <w:rsid w:val="00681A8C"/>
    <w:rsid w:val="00682151"/>
    <w:rsid w:val="0068274F"/>
    <w:rsid w:val="006827E3"/>
    <w:rsid w:val="006836C2"/>
    <w:rsid w:val="00683C12"/>
    <w:rsid w:val="006841CA"/>
    <w:rsid w:val="00684680"/>
    <w:rsid w:val="006851D1"/>
    <w:rsid w:val="0068546C"/>
    <w:rsid w:val="006857C8"/>
    <w:rsid w:val="006877B3"/>
    <w:rsid w:val="006911C0"/>
    <w:rsid w:val="00691718"/>
    <w:rsid w:val="00691E2D"/>
    <w:rsid w:val="00692354"/>
    <w:rsid w:val="00692716"/>
    <w:rsid w:val="00692BF6"/>
    <w:rsid w:val="00693276"/>
    <w:rsid w:val="006932B9"/>
    <w:rsid w:val="006932DF"/>
    <w:rsid w:val="00693940"/>
    <w:rsid w:val="00693CCF"/>
    <w:rsid w:val="00693D92"/>
    <w:rsid w:val="00695193"/>
    <w:rsid w:val="00695B64"/>
    <w:rsid w:val="006965EE"/>
    <w:rsid w:val="00696619"/>
    <w:rsid w:val="00697737"/>
    <w:rsid w:val="00697F2D"/>
    <w:rsid w:val="006A02C2"/>
    <w:rsid w:val="006A0F3C"/>
    <w:rsid w:val="006A1069"/>
    <w:rsid w:val="006A1589"/>
    <w:rsid w:val="006A1615"/>
    <w:rsid w:val="006A21CB"/>
    <w:rsid w:val="006A3483"/>
    <w:rsid w:val="006A4DCB"/>
    <w:rsid w:val="006A5233"/>
    <w:rsid w:val="006A5460"/>
    <w:rsid w:val="006A565A"/>
    <w:rsid w:val="006A5E9C"/>
    <w:rsid w:val="006A657D"/>
    <w:rsid w:val="006A6989"/>
    <w:rsid w:val="006A69CB"/>
    <w:rsid w:val="006A7A3D"/>
    <w:rsid w:val="006A7A6B"/>
    <w:rsid w:val="006A7DCB"/>
    <w:rsid w:val="006A7E56"/>
    <w:rsid w:val="006B0715"/>
    <w:rsid w:val="006B18D7"/>
    <w:rsid w:val="006B246B"/>
    <w:rsid w:val="006B3C0A"/>
    <w:rsid w:val="006B3FB5"/>
    <w:rsid w:val="006B4047"/>
    <w:rsid w:val="006B417E"/>
    <w:rsid w:val="006B4BAC"/>
    <w:rsid w:val="006B55A4"/>
    <w:rsid w:val="006B5F7F"/>
    <w:rsid w:val="006B6E47"/>
    <w:rsid w:val="006B7270"/>
    <w:rsid w:val="006C219A"/>
    <w:rsid w:val="006C2752"/>
    <w:rsid w:val="006C2F8E"/>
    <w:rsid w:val="006C3502"/>
    <w:rsid w:val="006C3F40"/>
    <w:rsid w:val="006C3FF7"/>
    <w:rsid w:val="006C4CA6"/>
    <w:rsid w:val="006C5553"/>
    <w:rsid w:val="006C5B74"/>
    <w:rsid w:val="006C5FA9"/>
    <w:rsid w:val="006C6065"/>
    <w:rsid w:val="006C71BD"/>
    <w:rsid w:val="006D03BA"/>
    <w:rsid w:val="006D06FE"/>
    <w:rsid w:val="006D07AF"/>
    <w:rsid w:val="006D1C05"/>
    <w:rsid w:val="006D1DB1"/>
    <w:rsid w:val="006D253A"/>
    <w:rsid w:val="006D254A"/>
    <w:rsid w:val="006D2EDA"/>
    <w:rsid w:val="006D3CFF"/>
    <w:rsid w:val="006D3E21"/>
    <w:rsid w:val="006D46AF"/>
    <w:rsid w:val="006D521D"/>
    <w:rsid w:val="006D63B9"/>
    <w:rsid w:val="006D6ECC"/>
    <w:rsid w:val="006D71D0"/>
    <w:rsid w:val="006D7640"/>
    <w:rsid w:val="006D7A52"/>
    <w:rsid w:val="006D7E8F"/>
    <w:rsid w:val="006E0009"/>
    <w:rsid w:val="006E0293"/>
    <w:rsid w:val="006E0431"/>
    <w:rsid w:val="006E1559"/>
    <w:rsid w:val="006E19E8"/>
    <w:rsid w:val="006E25DD"/>
    <w:rsid w:val="006E2D32"/>
    <w:rsid w:val="006E346B"/>
    <w:rsid w:val="006E42DF"/>
    <w:rsid w:val="006E4448"/>
    <w:rsid w:val="006E4CF4"/>
    <w:rsid w:val="006E4F15"/>
    <w:rsid w:val="006E5B24"/>
    <w:rsid w:val="006E5BC2"/>
    <w:rsid w:val="006E6842"/>
    <w:rsid w:val="006E7F9C"/>
    <w:rsid w:val="006F01A9"/>
    <w:rsid w:val="006F0415"/>
    <w:rsid w:val="006F0D19"/>
    <w:rsid w:val="006F13E6"/>
    <w:rsid w:val="006F2A2A"/>
    <w:rsid w:val="006F2DE7"/>
    <w:rsid w:val="006F3018"/>
    <w:rsid w:val="006F3A29"/>
    <w:rsid w:val="006F4453"/>
    <w:rsid w:val="006F6108"/>
    <w:rsid w:val="006F62F0"/>
    <w:rsid w:val="006F6532"/>
    <w:rsid w:val="006F6BFB"/>
    <w:rsid w:val="0070074B"/>
    <w:rsid w:val="00701174"/>
    <w:rsid w:val="00701342"/>
    <w:rsid w:val="007022FF"/>
    <w:rsid w:val="00702E02"/>
    <w:rsid w:val="00703442"/>
    <w:rsid w:val="00703BB3"/>
    <w:rsid w:val="00703BC8"/>
    <w:rsid w:val="00704006"/>
    <w:rsid w:val="00704E8F"/>
    <w:rsid w:val="00705E03"/>
    <w:rsid w:val="00706610"/>
    <w:rsid w:val="00706A6F"/>
    <w:rsid w:val="007071CE"/>
    <w:rsid w:val="00707207"/>
    <w:rsid w:val="007073F7"/>
    <w:rsid w:val="0071057A"/>
    <w:rsid w:val="00711DE0"/>
    <w:rsid w:val="00711DE4"/>
    <w:rsid w:val="00713678"/>
    <w:rsid w:val="007137DC"/>
    <w:rsid w:val="007140E9"/>
    <w:rsid w:val="00714584"/>
    <w:rsid w:val="0071566E"/>
    <w:rsid w:val="007157E0"/>
    <w:rsid w:val="007164F4"/>
    <w:rsid w:val="007166B9"/>
    <w:rsid w:val="0071762A"/>
    <w:rsid w:val="00717D0F"/>
    <w:rsid w:val="00717D4B"/>
    <w:rsid w:val="00720193"/>
    <w:rsid w:val="0072120A"/>
    <w:rsid w:val="00722D9E"/>
    <w:rsid w:val="00722E01"/>
    <w:rsid w:val="00723990"/>
    <w:rsid w:val="00723EDB"/>
    <w:rsid w:val="007251A4"/>
    <w:rsid w:val="00725685"/>
    <w:rsid w:val="00727241"/>
    <w:rsid w:val="007273CC"/>
    <w:rsid w:val="00727421"/>
    <w:rsid w:val="00727479"/>
    <w:rsid w:val="00727779"/>
    <w:rsid w:val="0073095D"/>
    <w:rsid w:val="00730F20"/>
    <w:rsid w:val="007313A3"/>
    <w:rsid w:val="00731777"/>
    <w:rsid w:val="0073229D"/>
    <w:rsid w:val="007326DE"/>
    <w:rsid w:val="0073293E"/>
    <w:rsid w:val="00732BB1"/>
    <w:rsid w:val="00732E50"/>
    <w:rsid w:val="00732FF7"/>
    <w:rsid w:val="00734105"/>
    <w:rsid w:val="00734BA6"/>
    <w:rsid w:val="0073586A"/>
    <w:rsid w:val="007369C9"/>
    <w:rsid w:val="007375AE"/>
    <w:rsid w:val="0074022E"/>
    <w:rsid w:val="007405FC"/>
    <w:rsid w:val="00740C84"/>
    <w:rsid w:val="00740D2E"/>
    <w:rsid w:val="00740D56"/>
    <w:rsid w:val="00740D78"/>
    <w:rsid w:val="007416A4"/>
    <w:rsid w:val="00741CA5"/>
    <w:rsid w:val="007426A2"/>
    <w:rsid w:val="007437E5"/>
    <w:rsid w:val="0074390E"/>
    <w:rsid w:val="007448D9"/>
    <w:rsid w:val="00744A9B"/>
    <w:rsid w:val="007453A5"/>
    <w:rsid w:val="0074651C"/>
    <w:rsid w:val="007465A3"/>
    <w:rsid w:val="00746AFE"/>
    <w:rsid w:val="0074720C"/>
    <w:rsid w:val="0074721B"/>
    <w:rsid w:val="00747F5A"/>
    <w:rsid w:val="007502D3"/>
    <w:rsid w:val="00750FFF"/>
    <w:rsid w:val="0075113F"/>
    <w:rsid w:val="00751258"/>
    <w:rsid w:val="00751460"/>
    <w:rsid w:val="0075342A"/>
    <w:rsid w:val="00753B33"/>
    <w:rsid w:val="007543AD"/>
    <w:rsid w:val="007547FA"/>
    <w:rsid w:val="007555F1"/>
    <w:rsid w:val="007558C3"/>
    <w:rsid w:val="00755E77"/>
    <w:rsid w:val="00755ED3"/>
    <w:rsid w:val="00756199"/>
    <w:rsid w:val="007576EC"/>
    <w:rsid w:val="00757E6E"/>
    <w:rsid w:val="007602DF"/>
    <w:rsid w:val="00760A80"/>
    <w:rsid w:val="00760D69"/>
    <w:rsid w:val="00761CAF"/>
    <w:rsid w:val="007626DB"/>
    <w:rsid w:val="00763659"/>
    <w:rsid w:val="00763D1B"/>
    <w:rsid w:val="00764A27"/>
    <w:rsid w:val="007652C9"/>
    <w:rsid w:val="007654C5"/>
    <w:rsid w:val="0076603A"/>
    <w:rsid w:val="00766FB5"/>
    <w:rsid w:val="007676EE"/>
    <w:rsid w:val="00770D4A"/>
    <w:rsid w:val="0077150A"/>
    <w:rsid w:val="007716B1"/>
    <w:rsid w:val="00771B56"/>
    <w:rsid w:val="00772504"/>
    <w:rsid w:val="00772A11"/>
    <w:rsid w:val="00772F8E"/>
    <w:rsid w:val="00772FD9"/>
    <w:rsid w:val="007733D5"/>
    <w:rsid w:val="0077397E"/>
    <w:rsid w:val="00773A97"/>
    <w:rsid w:val="0077460E"/>
    <w:rsid w:val="00774988"/>
    <w:rsid w:val="00774E3B"/>
    <w:rsid w:val="00776341"/>
    <w:rsid w:val="00776759"/>
    <w:rsid w:val="00776877"/>
    <w:rsid w:val="00776AB2"/>
    <w:rsid w:val="00776C4C"/>
    <w:rsid w:val="00776E49"/>
    <w:rsid w:val="00776FDD"/>
    <w:rsid w:val="007775CC"/>
    <w:rsid w:val="00777757"/>
    <w:rsid w:val="00777A32"/>
    <w:rsid w:val="00777CC4"/>
    <w:rsid w:val="007804F2"/>
    <w:rsid w:val="00781D88"/>
    <w:rsid w:val="00782F00"/>
    <w:rsid w:val="00782F22"/>
    <w:rsid w:val="00783494"/>
    <w:rsid w:val="007837CA"/>
    <w:rsid w:val="00783DB3"/>
    <w:rsid w:val="00783E29"/>
    <w:rsid w:val="0078670B"/>
    <w:rsid w:val="00786726"/>
    <w:rsid w:val="00786C99"/>
    <w:rsid w:val="00787B5D"/>
    <w:rsid w:val="00787B9F"/>
    <w:rsid w:val="00787CC4"/>
    <w:rsid w:val="00787D34"/>
    <w:rsid w:val="00787E0C"/>
    <w:rsid w:val="00787ECA"/>
    <w:rsid w:val="00790548"/>
    <w:rsid w:val="007911C6"/>
    <w:rsid w:val="007917C1"/>
    <w:rsid w:val="00791DBA"/>
    <w:rsid w:val="00791F12"/>
    <w:rsid w:val="0079204A"/>
    <w:rsid w:val="007936E8"/>
    <w:rsid w:val="00794B36"/>
    <w:rsid w:val="007951E6"/>
    <w:rsid w:val="00795C28"/>
    <w:rsid w:val="00795CA5"/>
    <w:rsid w:val="00796FFF"/>
    <w:rsid w:val="00797B2A"/>
    <w:rsid w:val="007A0D63"/>
    <w:rsid w:val="007A170E"/>
    <w:rsid w:val="007A1732"/>
    <w:rsid w:val="007A1BD9"/>
    <w:rsid w:val="007A1D19"/>
    <w:rsid w:val="007A2719"/>
    <w:rsid w:val="007A2752"/>
    <w:rsid w:val="007A2A3E"/>
    <w:rsid w:val="007A2D31"/>
    <w:rsid w:val="007A2ED2"/>
    <w:rsid w:val="007A34CF"/>
    <w:rsid w:val="007A469B"/>
    <w:rsid w:val="007A5C99"/>
    <w:rsid w:val="007A6342"/>
    <w:rsid w:val="007A6453"/>
    <w:rsid w:val="007A6AC8"/>
    <w:rsid w:val="007A6B28"/>
    <w:rsid w:val="007B023A"/>
    <w:rsid w:val="007B086B"/>
    <w:rsid w:val="007B0B49"/>
    <w:rsid w:val="007B0C48"/>
    <w:rsid w:val="007B12EF"/>
    <w:rsid w:val="007B1384"/>
    <w:rsid w:val="007B1497"/>
    <w:rsid w:val="007B1D7D"/>
    <w:rsid w:val="007B1F6A"/>
    <w:rsid w:val="007B358A"/>
    <w:rsid w:val="007B3631"/>
    <w:rsid w:val="007B39AC"/>
    <w:rsid w:val="007B3C17"/>
    <w:rsid w:val="007B40AC"/>
    <w:rsid w:val="007B460C"/>
    <w:rsid w:val="007B4B48"/>
    <w:rsid w:val="007B6BE2"/>
    <w:rsid w:val="007B6DC2"/>
    <w:rsid w:val="007B77AC"/>
    <w:rsid w:val="007B7A3D"/>
    <w:rsid w:val="007C02FA"/>
    <w:rsid w:val="007C1A28"/>
    <w:rsid w:val="007C3751"/>
    <w:rsid w:val="007C43B2"/>
    <w:rsid w:val="007C46DD"/>
    <w:rsid w:val="007C4D3E"/>
    <w:rsid w:val="007C5DE7"/>
    <w:rsid w:val="007C7341"/>
    <w:rsid w:val="007C73CF"/>
    <w:rsid w:val="007C7E4C"/>
    <w:rsid w:val="007C7F9B"/>
    <w:rsid w:val="007D133A"/>
    <w:rsid w:val="007D17F0"/>
    <w:rsid w:val="007D1807"/>
    <w:rsid w:val="007D18F5"/>
    <w:rsid w:val="007D2218"/>
    <w:rsid w:val="007D2939"/>
    <w:rsid w:val="007D2A32"/>
    <w:rsid w:val="007D2B54"/>
    <w:rsid w:val="007D2C09"/>
    <w:rsid w:val="007D304B"/>
    <w:rsid w:val="007D5A80"/>
    <w:rsid w:val="007D60EE"/>
    <w:rsid w:val="007D616C"/>
    <w:rsid w:val="007D6E76"/>
    <w:rsid w:val="007D6F79"/>
    <w:rsid w:val="007D6F85"/>
    <w:rsid w:val="007D6FA8"/>
    <w:rsid w:val="007E016E"/>
    <w:rsid w:val="007E02BF"/>
    <w:rsid w:val="007E0A1C"/>
    <w:rsid w:val="007E0B8A"/>
    <w:rsid w:val="007E13B0"/>
    <w:rsid w:val="007E2345"/>
    <w:rsid w:val="007E2524"/>
    <w:rsid w:val="007E2BF9"/>
    <w:rsid w:val="007E2F2D"/>
    <w:rsid w:val="007E3994"/>
    <w:rsid w:val="007E4583"/>
    <w:rsid w:val="007E4A32"/>
    <w:rsid w:val="007E4D6C"/>
    <w:rsid w:val="007E50DD"/>
    <w:rsid w:val="007E512E"/>
    <w:rsid w:val="007E5343"/>
    <w:rsid w:val="007E6239"/>
    <w:rsid w:val="007E65DF"/>
    <w:rsid w:val="007E6803"/>
    <w:rsid w:val="007E6C7C"/>
    <w:rsid w:val="007F068B"/>
    <w:rsid w:val="007F0ED6"/>
    <w:rsid w:val="007F107D"/>
    <w:rsid w:val="007F1D87"/>
    <w:rsid w:val="007F1DD7"/>
    <w:rsid w:val="007F2675"/>
    <w:rsid w:val="007F2E37"/>
    <w:rsid w:val="007F3BF8"/>
    <w:rsid w:val="007F6C29"/>
    <w:rsid w:val="007F708E"/>
    <w:rsid w:val="007F7475"/>
    <w:rsid w:val="00801B53"/>
    <w:rsid w:val="00803B17"/>
    <w:rsid w:val="00804709"/>
    <w:rsid w:val="00804A43"/>
    <w:rsid w:val="00805332"/>
    <w:rsid w:val="00805B3D"/>
    <w:rsid w:val="0080636E"/>
    <w:rsid w:val="00806AAC"/>
    <w:rsid w:val="00806E12"/>
    <w:rsid w:val="0080708A"/>
    <w:rsid w:val="008074B3"/>
    <w:rsid w:val="0081025F"/>
    <w:rsid w:val="00810ED2"/>
    <w:rsid w:val="0081123E"/>
    <w:rsid w:val="00811489"/>
    <w:rsid w:val="008116FB"/>
    <w:rsid w:val="00811BEA"/>
    <w:rsid w:val="008120B2"/>
    <w:rsid w:val="00812A5A"/>
    <w:rsid w:val="008131E1"/>
    <w:rsid w:val="00813348"/>
    <w:rsid w:val="00813BC1"/>
    <w:rsid w:val="0081479F"/>
    <w:rsid w:val="00814FDF"/>
    <w:rsid w:val="00815C1A"/>
    <w:rsid w:val="00815EC1"/>
    <w:rsid w:val="0081606E"/>
    <w:rsid w:val="00816D72"/>
    <w:rsid w:val="00816F59"/>
    <w:rsid w:val="0081709C"/>
    <w:rsid w:val="00817240"/>
    <w:rsid w:val="0081725A"/>
    <w:rsid w:val="0081790C"/>
    <w:rsid w:val="00817D5C"/>
    <w:rsid w:val="00821438"/>
    <w:rsid w:val="008214D8"/>
    <w:rsid w:val="00821B66"/>
    <w:rsid w:val="00822171"/>
    <w:rsid w:val="00822D84"/>
    <w:rsid w:val="00822F6D"/>
    <w:rsid w:val="00823352"/>
    <w:rsid w:val="00823551"/>
    <w:rsid w:val="008245C7"/>
    <w:rsid w:val="008248AC"/>
    <w:rsid w:val="0082575D"/>
    <w:rsid w:val="00825A0F"/>
    <w:rsid w:val="00825DB2"/>
    <w:rsid w:val="00826922"/>
    <w:rsid w:val="008269FD"/>
    <w:rsid w:val="0083121A"/>
    <w:rsid w:val="00831438"/>
    <w:rsid w:val="008318E9"/>
    <w:rsid w:val="00832483"/>
    <w:rsid w:val="00832E2D"/>
    <w:rsid w:val="00833291"/>
    <w:rsid w:val="00833911"/>
    <w:rsid w:val="00834D64"/>
    <w:rsid w:val="00835896"/>
    <w:rsid w:val="00836EA2"/>
    <w:rsid w:val="008372FB"/>
    <w:rsid w:val="00837FD1"/>
    <w:rsid w:val="00837FE7"/>
    <w:rsid w:val="0084030F"/>
    <w:rsid w:val="00840831"/>
    <w:rsid w:val="00841239"/>
    <w:rsid w:val="00842836"/>
    <w:rsid w:val="00842947"/>
    <w:rsid w:val="00842C7B"/>
    <w:rsid w:val="00843171"/>
    <w:rsid w:val="0084326C"/>
    <w:rsid w:val="008437A1"/>
    <w:rsid w:val="00844026"/>
    <w:rsid w:val="0084434B"/>
    <w:rsid w:val="00844601"/>
    <w:rsid w:val="00844C9C"/>
    <w:rsid w:val="00845EB1"/>
    <w:rsid w:val="00845FB1"/>
    <w:rsid w:val="00847C32"/>
    <w:rsid w:val="008500DC"/>
    <w:rsid w:val="00850511"/>
    <w:rsid w:val="00850908"/>
    <w:rsid w:val="008509EA"/>
    <w:rsid w:val="00851356"/>
    <w:rsid w:val="00851487"/>
    <w:rsid w:val="00852ADB"/>
    <w:rsid w:val="00854911"/>
    <w:rsid w:val="00854E52"/>
    <w:rsid w:val="00855564"/>
    <w:rsid w:val="00856265"/>
    <w:rsid w:val="0085678E"/>
    <w:rsid w:val="00856C11"/>
    <w:rsid w:val="0085733D"/>
    <w:rsid w:val="00861C67"/>
    <w:rsid w:val="00861E40"/>
    <w:rsid w:val="00862462"/>
    <w:rsid w:val="008628E6"/>
    <w:rsid w:val="00862E14"/>
    <w:rsid w:val="008652C6"/>
    <w:rsid w:val="0086591F"/>
    <w:rsid w:val="00865B2A"/>
    <w:rsid w:val="00866027"/>
    <w:rsid w:val="0086637F"/>
    <w:rsid w:val="0086657D"/>
    <w:rsid w:val="00867360"/>
    <w:rsid w:val="00867D27"/>
    <w:rsid w:val="0087017E"/>
    <w:rsid w:val="00870333"/>
    <w:rsid w:val="00871327"/>
    <w:rsid w:val="008739F9"/>
    <w:rsid w:val="00873B22"/>
    <w:rsid w:val="00873C92"/>
    <w:rsid w:val="008746E7"/>
    <w:rsid w:val="00874A10"/>
    <w:rsid w:val="00874E99"/>
    <w:rsid w:val="00876061"/>
    <w:rsid w:val="008769BC"/>
    <w:rsid w:val="00876A5E"/>
    <w:rsid w:val="008805E0"/>
    <w:rsid w:val="0088161A"/>
    <w:rsid w:val="008816A5"/>
    <w:rsid w:val="008817D4"/>
    <w:rsid w:val="00881CB6"/>
    <w:rsid w:val="00881DE7"/>
    <w:rsid w:val="008820F6"/>
    <w:rsid w:val="0088212F"/>
    <w:rsid w:val="00882705"/>
    <w:rsid w:val="00882A51"/>
    <w:rsid w:val="00882E11"/>
    <w:rsid w:val="00883B5B"/>
    <w:rsid w:val="00883F36"/>
    <w:rsid w:val="00884B59"/>
    <w:rsid w:val="008855F1"/>
    <w:rsid w:val="0088607F"/>
    <w:rsid w:val="00886753"/>
    <w:rsid w:val="008868F6"/>
    <w:rsid w:val="00886FB3"/>
    <w:rsid w:val="008873E2"/>
    <w:rsid w:val="00887501"/>
    <w:rsid w:val="008903F5"/>
    <w:rsid w:val="00890CF8"/>
    <w:rsid w:val="00891FF0"/>
    <w:rsid w:val="00892060"/>
    <w:rsid w:val="008928E4"/>
    <w:rsid w:val="00892F31"/>
    <w:rsid w:val="00894198"/>
    <w:rsid w:val="0089562C"/>
    <w:rsid w:val="00895B76"/>
    <w:rsid w:val="00895B7D"/>
    <w:rsid w:val="008963FD"/>
    <w:rsid w:val="008964A5"/>
    <w:rsid w:val="00896E98"/>
    <w:rsid w:val="008A054D"/>
    <w:rsid w:val="008A0563"/>
    <w:rsid w:val="008A0C54"/>
    <w:rsid w:val="008A0F66"/>
    <w:rsid w:val="008A1A55"/>
    <w:rsid w:val="008A1D05"/>
    <w:rsid w:val="008A2C86"/>
    <w:rsid w:val="008A341B"/>
    <w:rsid w:val="008A374A"/>
    <w:rsid w:val="008A3802"/>
    <w:rsid w:val="008A3B95"/>
    <w:rsid w:val="008A47AD"/>
    <w:rsid w:val="008A4DA6"/>
    <w:rsid w:val="008A580B"/>
    <w:rsid w:val="008A60D1"/>
    <w:rsid w:val="008A6107"/>
    <w:rsid w:val="008A6884"/>
    <w:rsid w:val="008A6BE7"/>
    <w:rsid w:val="008A7E12"/>
    <w:rsid w:val="008B0157"/>
    <w:rsid w:val="008B02EF"/>
    <w:rsid w:val="008B1C10"/>
    <w:rsid w:val="008B2056"/>
    <w:rsid w:val="008B2117"/>
    <w:rsid w:val="008B2134"/>
    <w:rsid w:val="008B226A"/>
    <w:rsid w:val="008B27A1"/>
    <w:rsid w:val="008B293A"/>
    <w:rsid w:val="008B37E1"/>
    <w:rsid w:val="008B44F0"/>
    <w:rsid w:val="008B4AB4"/>
    <w:rsid w:val="008B52A3"/>
    <w:rsid w:val="008B588A"/>
    <w:rsid w:val="008B5CFD"/>
    <w:rsid w:val="008B695D"/>
    <w:rsid w:val="008B6B88"/>
    <w:rsid w:val="008B7CA9"/>
    <w:rsid w:val="008C0E1E"/>
    <w:rsid w:val="008C0F06"/>
    <w:rsid w:val="008C102B"/>
    <w:rsid w:val="008C176D"/>
    <w:rsid w:val="008C1950"/>
    <w:rsid w:val="008C2281"/>
    <w:rsid w:val="008C2A2D"/>
    <w:rsid w:val="008C2BDF"/>
    <w:rsid w:val="008C2BF1"/>
    <w:rsid w:val="008C2FB4"/>
    <w:rsid w:val="008C3C1C"/>
    <w:rsid w:val="008C3D19"/>
    <w:rsid w:val="008C4152"/>
    <w:rsid w:val="008C420B"/>
    <w:rsid w:val="008C42E1"/>
    <w:rsid w:val="008C45FE"/>
    <w:rsid w:val="008C4745"/>
    <w:rsid w:val="008C4BC8"/>
    <w:rsid w:val="008C4EB3"/>
    <w:rsid w:val="008C4FD1"/>
    <w:rsid w:val="008C5B98"/>
    <w:rsid w:val="008C643E"/>
    <w:rsid w:val="008C6B7C"/>
    <w:rsid w:val="008C6D20"/>
    <w:rsid w:val="008D0798"/>
    <w:rsid w:val="008D0BC9"/>
    <w:rsid w:val="008D0FD8"/>
    <w:rsid w:val="008D1317"/>
    <w:rsid w:val="008D1B03"/>
    <w:rsid w:val="008D2558"/>
    <w:rsid w:val="008D275C"/>
    <w:rsid w:val="008D2B18"/>
    <w:rsid w:val="008D34EB"/>
    <w:rsid w:val="008D49AB"/>
    <w:rsid w:val="008D4C88"/>
    <w:rsid w:val="008D4DD8"/>
    <w:rsid w:val="008D5825"/>
    <w:rsid w:val="008D58E4"/>
    <w:rsid w:val="008D5AFC"/>
    <w:rsid w:val="008D5F82"/>
    <w:rsid w:val="008D6502"/>
    <w:rsid w:val="008D6948"/>
    <w:rsid w:val="008D6C41"/>
    <w:rsid w:val="008D741A"/>
    <w:rsid w:val="008D7BD1"/>
    <w:rsid w:val="008E1E96"/>
    <w:rsid w:val="008E2B81"/>
    <w:rsid w:val="008E31AB"/>
    <w:rsid w:val="008E3969"/>
    <w:rsid w:val="008E5925"/>
    <w:rsid w:val="008E5CD9"/>
    <w:rsid w:val="008E61E6"/>
    <w:rsid w:val="008E71A3"/>
    <w:rsid w:val="008E7E50"/>
    <w:rsid w:val="008E7EC8"/>
    <w:rsid w:val="008F0077"/>
    <w:rsid w:val="008F06DB"/>
    <w:rsid w:val="008F12E6"/>
    <w:rsid w:val="008F1370"/>
    <w:rsid w:val="008F155F"/>
    <w:rsid w:val="008F1C37"/>
    <w:rsid w:val="008F1D97"/>
    <w:rsid w:val="008F21DC"/>
    <w:rsid w:val="008F2EE1"/>
    <w:rsid w:val="008F3295"/>
    <w:rsid w:val="008F3609"/>
    <w:rsid w:val="008F3A3D"/>
    <w:rsid w:val="008F4FF0"/>
    <w:rsid w:val="008F55ED"/>
    <w:rsid w:val="008F5787"/>
    <w:rsid w:val="008F5E13"/>
    <w:rsid w:val="008F5F05"/>
    <w:rsid w:val="008F604C"/>
    <w:rsid w:val="008F6730"/>
    <w:rsid w:val="008F6D4C"/>
    <w:rsid w:val="008F773C"/>
    <w:rsid w:val="008F7959"/>
    <w:rsid w:val="00900B1B"/>
    <w:rsid w:val="009011EA"/>
    <w:rsid w:val="009026F3"/>
    <w:rsid w:val="00902BA0"/>
    <w:rsid w:val="009035B1"/>
    <w:rsid w:val="00904917"/>
    <w:rsid w:val="009049BB"/>
    <w:rsid w:val="0090616C"/>
    <w:rsid w:val="00906597"/>
    <w:rsid w:val="00906938"/>
    <w:rsid w:val="00906D02"/>
    <w:rsid w:val="00906DC6"/>
    <w:rsid w:val="00906F99"/>
    <w:rsid w:val="0090704D"/>
    <w:rsid w:val="00907164"/>
    <w:rsid w:val="009071CB"/>
    <w:rsid w:val="009071D9"/>
    <w:rsid w:val="00907369"/>
    <w:rsid w:val="0090764F"/>
    <w:rsid w:val="00907B1C"/>
    <w:rsid w:val="00910810"/>
    <w:rsid w:val="009109EE"/>
    <w:rsid w:val="00910D9D"/>
    <w:rsid w:val="00911A1C"/>
    <w:rsid w:val="00911CC6"/>
    <w:rsid w:val="00912055"/>
    <w:rsid w:val="00912755"/>
    <w:rsid w:val="00913886"/>
    <w:rsid w:val="00913B1D"/>
    <w:rsid w:val="0091430C"/>
    <w:rsid w:val="009145FD"/>
    <w:rsid w:val="009148F7"/>
    <w:rsid w:val="00914C48"/>
    <w:rsid w:val="00915508"/>
    <w:rsid w:val="00915635"/>
    <w:rsid w:val="009159F5"/>
    <w:rsid w:val="009162D1"/>
    <w:rsid w:val="00917035"/>
    <w:rsid w:val="00917430"/>
    <w:rsid w:val="009176BD"/>
    <w:rsid w:val="009179F5"/>
    <w:rsid w:val="00917CBC"/>
    <w:rsid w:val="00920065"/>
    <w:rsid w:val="00920227"/>
    <w:rsid w:val="009208D2"/>
    <w:rsid w:val="00920E63"/>
    <w:rsid w:val="00920F49"/>
    <w:rsid w:val="009212E4"/>
    <w:rsid w:val="009219FA"/>
    <w:rsid w:val="00921CA1"/>
    <w:rsid w:val="009226BE"/>
    <w:rsid w:val="0092281C"/>
    <w:rsid w:val="00922901"/>
    <w:rsid w:val="009230E8"/>
    <w:rsid w:val="0092435B"/>
    <w:rsid w:val="00924CD0"/>
    <w:rsid w:val="00925767"/>
    <w:rsid w:val="009271E2"/>
    <w:rsid w:val="009273D5"/>
    <w:rsid w:val="00927FA8"/>
    <w:rsid w:val="00930682"/>
    <w:rsid w:val="0093179B"/>
    <w:rsid w:val="00931E16"/>
    <w:rsid w:val="00931FB9"/>
    <w:rsid w:val="00932D0A"/>
    <w:rsid w:val="0093301D"/>
    <w:rsid w:val="00933327"/>
    <w:rsid w:val="0093378B"/>
    <w:rsid w:val="00933A0B"/>
    <w:rsid w:val="00934693"/>
    <w:rsid w:val="009371AF"/>
    <w:rsid w:val="00937ABF"/>
    <w:rsid w:val="00937FAE"/>
    <w:rsid w:val="00940103"/>
    <w:rsid w:val="009407FB"/>
    <w:rsid w:val="00940D0B"/>
    <w:rsid w:val="0094125F"/>
    <w:rsid w:val="00941C33"/>
    <w:rsid w:val="009423BD"/>
    <w:rsid w:val="009423E8"/>
    <w:rsid w:val="00942517"/>
    <w:rsid w:val="009428FC"/>
    <w:rsid w:val="00942A98"/>
    <w:rsid w:val="00942BEC"/>
    <w:rsid w:val="00942CE2"/>
    <w:rsid w:val="0094337A"/>
    <w:rsid w:val="00943D68"/>
    <w:rsid w:val="00944300"/>
    <w:rsid w:val="00944542"/>
    <w:rsid w:val="00944957"/>
    <w:rsid w:val="00944F20"/>
    <w:rsid w:val="00945C0E"/>
    <w:rsid w:val="009466DC"/>
    <w:rsid w:val="00946B82"/>
    <w:rsid w:val="00946B84"/>
    <w:rsid w:val="00946F03"/>
    <w:rsid w:val="0095027F"/>
    <w:rsid w:val="00950DF8"/>
    <w:rsid w:val="00951081"/>
    <w:rsid w:val="0095152A"/>
    <w:rsid w:val="009519E4"/>
    <w:rsid w:val="0095227D"/>
    <w:rsid w:val="009530FC"/>
    <w:rsid w:val="00953ACC"/>
    <w:rsid w:val="009542BF"/>
    <w:rsid w:val="00954D08"/>
    <w:rsid w:val="0095556A"/>
    <w:rsid w:val="0095652E"/>
    <w:rsid w:val="00956D32"/>
    <w:rsid w:val="009573E1"/>
    <w:rsid w:val="00957500"/>
    <w:rsid w:val="00960173"/>
    <w:rsid w:val="009603A1"/>
    <w:rsid w:val="00960D7D"/>
    <w:rsid w:val="00961654"/>
    <w:rsid w:val="00961BAE"/>
    <w:rsid w:val="00961CAE"/>
    <w:rsid w:val="00962A9C"/>
    <w:rsid w:val="00962D33"/>
    <w:rsid w:val="00963124"/>
    <w:rsid w:val="00963334"/>
    <w:rsid w:val="00963524"/>
    <w:rsid w:val="0096394E"/>
    <w:rsid w:val="009644B7"/>
    <w:rsid w:val="0096458A"/>
    <w:rsid w:val="009647AD"/>
    <w:rsid w:val="00964B0D"/>
    <w:rsid w:val="0096558B"/>
    <w:rsid w:val="0096558C"/>
    <w:rsid w:val="009659B9"/>
    <w:rsid w:val="00965A9B"/>
    <w:rsid w:val="00965FE6"/>
    <w:rsid w:val="00966C9F"/>
    <w:rsid w:val="0096713B"/>
    <w:rsid w:val="00967FCF"/>
    <w:rsid w:val="009707A9"/>
    <w:rsid w:val="00970D57"/>
    <w:rsid w:val="00970E3C"/>
    <w:rsid w:val="00971DB2"/>
    <w:rsid w:val="00971F8D"/>
    <w:rsid w:val="009720E3"/>
    <w:rsid w:val="00972184"/>
    <w:rsid w:val="00972E0E"/>
    <w:rsid w:val="00972EBB"/>
    <w:rsid w:val="00972F8D"/>
    <w:rsid w:val="00973E1B"/>
    <w:rsid w:val="00973E36"/>
    <w:rsid w:val="00974ED0"/>
    <w:rsid w:val="00976BFC"/>
    <w:rsid w:val="00977173"/>
    <w:rsid w:val="00977BD0"/>
    <w:rsid w:val="00980298"/>
    <w:rsid w:val="00981E57"/>
    <w:rsid w:val="0098348E"/>
    <w:rsid w:val="00983EE0"/>
    <w:rsid w:val="00983F95"/>
    <w:rsid w:val="009840E3"/>
    <w:rsid w:val="0098458E"/>
    <w:rsid w:val="009852F6"/>
    <w:rsid w:val="00985654"/>
    <w:rsid w:val="00986A9D"/>
    <w:rsid w:val="00987D93"/>
    <w:rsid w:val="00987F2F"/>
    <w:rsid w:val="0099058E"/>
    <w:rsid w:val="00990933"/>
    <w:rsid w:val="00990DF4"/>
    <w:rsid w:val="009913BD"/>
    <w:rsid w:val="00991889"/>
    <w:rsid w:val="009919BF"/>
    <w:rsid w:val="00991C24"/>
    <w:rsid w:val="009928DD"/>
    <w:rsid w:val="00993AC3"/>
    <w:rsid w:val="00993D51"/>
    <w:rsid w:val="009943AE"/>
    <w:rsid w:val="00994F4B"/>
    <w:rsid w:val="00995958"/>
    <w:rsid w:val="00995A66"/>
    <w:rsid w:val="009967C3"/>
    <w:rsid w:val="00997789"/>
    <w:rsid w:val="009977CF"/>
    <w:rsid w:val="00997A18"/>
    <w:rsid w:val="009A013C"/>
    <w:rsid w:val="009A0EB1"/>
    <w:rsid w:val="009A0F0C"/>
    <w:rsid w:val="009A2B20"/>
    <w:rsid w:val="009A3427"/>
    <w:rsid w:val="009A3729"/>
    <w:rsid w:val="009A3AD3"/>
    <w:rsid w:val="009A484A"/>
    <w:rsid w:val="009A4C1E"/>
    <w:rsid w:val="009A5040"/>
    <w:rsid w:val="009A5DFF"/>
    <w:rsid w:val="009A601B"/>
    <w:rsid w:val="009A6222"/>
    <w:rsid w:val="009A6622"/>
    <w:rsid w:val="009A728D"/>
    <w:rsid w:val="009A7AAD"/>
    <w:rsid w:val="009A7D02"/>
    <w:rsid w:val="009B12D1"/>
    <w:rsid w:val="009B1553"/>
    <w:rsid w:val="009B2227"/>
    <w:rsid w:val="009B246E"/>
    <w:rsid w:val="009B2715"/>
    <w:rsid w:val="009B328D"/>
    <w:rsid w:val="009B3858"/>
    <w:rsid w:val="009B3AE1"/>
    <w:rsid w:val="009B3E02"/>
    <w:rsid w:val="009B46E7"/>
    <w:rsid w:val="009B48A1"/>
    <w:rsid w:val="009B54B5"/>
    <w:rsid w:val="009B569E"/>
    <w:rsid w:val="009B6E5A"/>
    <w:rsid w:val="009B738B"/>
    <w:rsid w:val="009B77EB"/>
    <w:rsid w:val="009C17BA"/>
    <w:rsid w:val="009C1FCE"/>
    <w:rsid w:val="009C3734"/>
    <w:rsid w:val="009C39E6"/>
    <w:rsid w:val="009C47EA"/>
    <w:rsid w:val="009C5406"/>
    <w:rsid w:val="009C56CA"/>
    <w:rsid w:val="009C606E"/>
    <w:rsid w:val="009C6358"/>
    <w:rsid w:val="009C70BB"/>
    <w:rsid w:val="009C7542"/>
    <w:rsid w:val="009C7EE3"/>
    <w:rsid w:val="009D023E"/>
    <w:rsid w:val="009D05E7"/>
    <w:rsid w:val="009D078D"/>
    <w:rsid w:val="009D0801"/>
    <w:rsid w:val="009D0CBC"/>
    <w:rsid w:val="009D1124"/>
    <w:rsid w:val="009D146B"/>
    <w:rsid w:val="009D150F"/>
    <w:rsid w:val="009D16CF"/>
    <w:rsid w:val="009D20B0"/>
    <w:rsid w:val="009D280D"/>
    <w:rsid w:val="009D2C4D"/>
    <w:rsid w:val="009D305F"/>
    <w:rsid w:val="009D3097"/>
    <w:rsid w:val="009D3569"/>
    <w:rsid w:val="009D3C60"/>
    <w:rsid w:val="009D3E05"/>
    <w:rsid w:val="009D4561"/>
    <w:rsid w:val="009D46C7"/>
    <w:rsid w:val="009D5478"/>
    <w:rsid w:val="009D5BA4"/>
    <w:rsid w:val="009D5D66"/>
    <w:rsid w:val="009D6B22"/>
    <w:rsid w:val="009D72AA"/>
    <w:rsid w:val="009E015D"/>
    <w:rsid w:val="009E05B4"/>
    <w:rsid w:val="009E16A5"/>
    <w:rsid w:val="009E1BC2"/>
    <w:rsid w:val="009E251D"/>
    <w:rsid w:val="009E2828"/>
    <w:rsid w:val="009E3191"/>
    <w:rsid w:val="009E35B8"/>
    <w:rsid w:val="009E3B80"/>
    <w:rsid w:val="009E4AE7"/>
    <w:rsid w:val="009E5521"/>
    <w:rsid w:val="009E59FD"/>
    <w:rsid w:val="009E5EB0"/>
    <w:rsid w:val="009E6005"/>
    <w:rsid w:val="009E607B"/>
    <w:rsid w:val="009E6B42"/>
    <w:rsid w:val="009E737E"/>
    <w:rsid w:val="009F0291"/>
    <w:rsid w:val="009F0698"/>
    <w:rsid w:val="009F07A2"/>
    <w:rsid w:val="009F0CDA"/>
    <w:rsid w:val="009F115C"/>
    <w:rsid w:val="009F1424"/>
    <w:rsid w:val="009F19A3"/>
    <w:rsid w:val="009F1C64"/>
    <w:rsid w:val="009F267E"/>
    <w:rsid w:val="009F3496"/>
    <w:rsid w:val="009F34FB"/>
    <w:rsid w:val="009F36D2"/>
    <w:rsid w:val="009F3CF1"/>
    <w:rsid w:val="009F41B1"/>
    <w:rsid w:val="009F47B2"/>
    <w:rsid w:val="009F4DE8"/>
    <w:rsid w:val="009F4F15"/>
    <w:rsid w:val="009F4F29"/>
    <w:rsid w:val="009F68DF"/>
    <w:rsid w:val="009F7777"/>
    <w:rsid w:val="009F7C74"/>
    <w:rsid w:val="009F7E6F"/>
    <w:rsid w:val="009F7FF5"/>
    <w:rsid w:val="00A004E2"/>
    <w:rsid w:val="00A004FA"/>
    <w:rsid w:val="00A0093C"/>
    <w:rsid w:val="00A00C1A"/>
    <w:rsid w:val="00A00CBB"/>
    <w:rsid w:val="00A01196"/>
    <w:rsid w:val="00A0193F"/>
    <w:rsid w:val="00A01D6F"/>
    <w:rsid w:val="00A0380F"/>
    <w:rsid w:val="00A038B9"/>
    <w:rsid w:val="00A03CF8"/>
    <w:rsid w:val="00A053C4"/>
    <w:rsid w:val="00A055A4"/>
    <w:rsid w:val="00A055D4"/>
    <w:rsid w:val="00A06855"/>
    <w:rsid w:val="00A079CE"/>
    <w:rsid w:val="00A07B6F"/>
    <w:rsid w:val="00A07BF4"/>
    <w:rsid w:val="00A1034C"/>
    <w:rsid w:val="00A10650"/>
    <w:rsid w:val="00A118DD"/>
    <w:rsid w:val="00A11962"/>
    <w:rsid w:val="00A120E6"/>
    <w:rsid w:val="00A128CD"/>
    <w:rsid w:val="00A13BB8"/>
    <w:rsid w:val="00A13C63"/>
    <w:rsid w:val="00A13EEB"/>
    <w:rsid w:val="00A14376"/>
    <w:rsid w:val="00A148DA"/>
    <w:rsid w:val="00A14D78"/>
    <w:rsid w:val="00A150B2"/>
    <w:rsid w:val="00A15897"/>
    <w:rsid w:val="00A15CDF"/>
    <w:rsid w:val="00A1609C"/>
    <w:rsid w:val="00A16A9E"/>
    <w:rsid w:val="00A176BE"/>
    <w:rsid w:val="00A17C52"/>
    <w:rsid w:val="00A2034E"/>
    <w:rsid w:val="00A2189A"/>
    <w:rsid w:val="00A221B3"/>
    <w:rsid w:val="00A227AE"/>
    <w:rsid w:val="00A23002"/>
    <w:rsid w:val="00A235BA"/>
    <w:rsid w:val="00A23852"/>
    <w:rsid w:val="00A244B0"/>
    <w:rsid w:val="00A249CB"/>
    <w:rsid w:val="00A2513B"/>
    <w:rsid w:val="00A25200"/>
    <w:rsid w:val="00A259A0"/>
    <w:rsid w:val="00A26210"/>
    <w:rsid w:val="00A26297"/>
    <w:rsid w:val="00A26E52"/>
    <w:rsid w:val="00A27ACE"/>
    <w:rsid w:val="00A302C7"/>
    <w:rsid w:val="00A3034D"/>
    <w:rsid w:val="00A30611"/>
    <w:rsid w:val="00A3100D"/>
    <w:rsid w:val="00A3190F"/>
    <w:rsid w:val="00A32F1F"/>
    <w:rsid w:val="00A33FF5"/>
    <w:rsid w:val="00A3422B"/>
    <w:rsid w:val="00A34F02"/>
    <w:rsid w:val="00A3508C"/>
    <w:rsid w:val="00A35386"/>
    <w:rsid w:val="00A35387"/>
    <w:rsid w:val="00A3599F"/>
    <w:rsid w:val="00A35EDD"/>
    <w:rsid w:val="00A35EF5"/>
    <w:rsid w:val="00A360A3"/>
    <w:rsid w:val="00A363F2"/>
    <w:rsid w:val="00A37FAA"/>
    <w:rsid w:val="00A40CC2"/>
    <w:rsid w:val="00A40DA9"/>
    <w:rsid w:val="00A41886"/>
    <w:rsid w:val="00A4274A"/>
    <w:rsid w:val="00A42F4C"/>
    <w:rsid w:val="00A4313D"/>
    <w:rsid w:val="00A44233"/>
    <w:rsid w:val="00A450CB"/>
    <w:rsid w:val="00A45791"/>
    <w:rsid w:val="00A45C3A"/>
    <w:rsid w:val="00A46868"/>
    <w:rsid w:val="00A46E02"/>
    <w:rsid w:val="00A478F9"/>
    <w:rsid w:val="00A47953"/>
    <w:rsid w:val="00A5012A"/>
    <w:rsid w:val="00A502BA"/>
    <w:rsid w:val="00A512FE"/>
    <w:rsid w:val="00A51980"/>
    <w:rsid w:val="00A52F10"/>
    <w:rsid w:val="00A531BE"/>
    <w:rsid w:val="00A53A7A"/>
    <w:rsid w:val="00A53F33"/>
    <w:rsid w:val="00A54031"/>
    <w:rsid w:val="00A54058"/>
    <w:rsid w:val="00A5437F"/>
    <w:rsid w:val="00A5454E"/>
    <w:rsid w:val="00A54F65"/>
    <w:rsid w:val="00A55675"/>
    <w:rsid w:val="00A55829"/>
    <w:rsid w:val="00A56731"/>
    <w:rsid w:val="00A570AE"/>
    <w:rsid w:val="00A57818"/>
    <w:rsid w:val="00A6004D"/>
    <w:rsid w:val="00A60C84"/>
    <w:rsid w:val="00A617AD"/>
    <w:rsid w:val="00A61EBE"/>
    <w:rsid w:val="00A62060"/>
    <w:rsid w:val="00A62606"/>
    <w:rsid w:val="00A62CA7"/>
    <w:rsid w:val="00A62EC0"/>
    <w:rsid w:val="00A63753"/>
    <w:rsid w:val="00A63B1D"/>
    <w:rsid w:val="00A63C62"/>
    <w:rsid w:val="00A643A4"/>
    <w:rsid w:val="00A64688"/>
    <w:rsid w:val="00A6479F"/>
    <w:rsid w:val="00A648BD"/>
    <w:rsid w:val="00A64C4B"/>
    <w:rsid w:val="00A64ECC"/>
    <w:rsid w:val="00A656DC"/>
    <w:rsid w:val="00A66E62"/>
    <w:rsid w:val="00A671E8"/>
    <w:rsid w:val="00A673A3"/>
    <w:rsid w:val="00A70E64"/>
    <w:rsid w:val="00A70EC2"/>
    <w:rsid w:val="00A71316"/>
    <w:rsid w:val="00A71821"/>
    <w:rsid w:val="00A72004"/>
    <w:rsid w:val="00A728F6"/>
    <w:rsid w:val="00A72987"/>
    <w:rsid w:val="00A72D5E"/>
    <w:rsid w:val="00A73952"/>
    <w:rsid w:val="00A7401F"/>
    <w:rsid w:val="00A7434F"/>
    <w:rsid w:val="00A74448"/>
    <w:rsid w:val="00A75DCF"/>
    <w:rsid w:val="00A7639B"/>
    <w:rsid w:val="00A7693B"/>
    <w:rsid w:val="00A76A93"/>
    <w:rsid w:val="00A772E2"/>
    <w:rsid w:val="00A8056B"/>
    <w:rsid w:val="00A80866"/>
    <w:rsid w:val="00A80E0C"/>
    <w:rsid w:val="00A810CC"/>
    <w:rsid w:val="00A8130D"/>
    <w:rsid w:val="00A815D4"/>
    <w:rsid w:val="00A81DCF"/>
    <w:rsid w:val="00A826E0"/>
    <w:rsid w:val="00A834B6"/>
    <w:rsid w:val="00A83E3D"/>
    <w:rsid w:val="00A84855"/>
    <w:rsid w:val="00A852B5"/>
    <w:rsid w:val="00A855D0"/>
    <w:rsid w:val="00A85C5B"/>
    <w:rsid w:val="00A862C5"/>
    <w:rsid w:val="00A86C77"/>
    <w:rsid w:val="00A87CFE"/>
    <w:rsid w:val="00A90150"/>
    <w:rsid w:val="00A9017F"/>
    <w:rsid w:val="00A9067A"/>
    <w:rsid w:val="00A90948"/>
    <w:rsid w:val="00A909D9"/>
    <w:rsid w:val="00A912DF"/>
    <w:rsid w:val="00A9228C"/>
    <w:rsid w:val="00A925C0"/>
    <w:rsid w:val="00A931C7"/>
    <w:rsid w:val="00A93687"/>
    <w:rsid w:val="00A94976"/>
    <w:rsid w:val="00A94B31"/>
    <w:rsid w:val="00A94D49"/>
    <w:rsid w:val="00A9505F"/>
    <w:rsid w:val="00A96DA3"/>
    <w:rsid w:val="00A970B6"/>
    <w:rsid w:val="00A9718B"/>
    <w:rsid w:val="00A97277"/>
    <w:rsid w:val="00A9768A"/>
    <w:rsid w:val="00AA07EC"/>
    <w:rsid w:val="00AA0855"/>
    <w:rsid w:val="00AA116B"/>
    <w:rsid w:val="00AA1A67"/>
    <w:rsid w:val="00AA284B"/>
    <w:rsid w:val="00AA2BA1"/>
    <w:rsid w:val="00AA2D09"/>
    <w:rsid w:val="00AA2D80"/>
    <w:rsid w:val="00AA3542"/>
    <w:rsid w:val="00AA3582"/>
    <w:rsid w:val="00AA413D"/>
    <w:rsid w:val="00AA41BB"/>
    <w:rsid w:val="00AA4A1B"/>
    <w:rsid w:val="00AA5B41"/>
    <w:rsid w:val="00AA5F9C"/>
    <w:rsid w:val="00AA5FD2"/>
    <w:rsid w:val="00AA610A"/>
    <w:rsid w:val="00AA63D9"/>
    <w:rsid w:val="00AA698A"/>
    <w:rsid w:val="00AA6C3C"/>
    <w:rsid w:val="00AA747F"/>
    <w:rsid w:val="00AA75A9"/>
    <w:rsid w:val="00AA7B8E"/>
    <w:rsid w:val="00AB01E3"/>
    <w:rsid w:val="00AB026A"/>
    <w:rsid w:val="00AB05F0"/>
    <w:rsid w:val="00AB0D7A"/>
    <w:rsid w:val="00AB12C5"/>
    <w:rsid w:val="00AB12FA"/>
    <w:rsid w:val="00AB1372"/>
    <w:rsid w:val="00AB18CD"/>
    <w:rsid w:val="00AB1983"/>
    <w:rsid w:val="00AB226A"/>
    <w:rsid w:val="00AB227E"/>
    <w:rsid w:val="00AB392F"/>
    <w:rsid w:val="00AB3CA6"/>
    <w:rsid w:val="00AB4347"/>
    <w:rsid w:val="00AB44B7"/>
    <w:rsid w:val="00AB4E55"/>
    <w:rsid w:val="00AB56CB"/>
    <w:rsid w:val="00AB64C5"/>
    <w:rsid w:val="00AB6740"/>
    <w:rsid w:val="00AB7ABC"/>
    <w:rsid w:val="00AB7CDA"/>
    <w:rsid w:val="00AC066B"/>
    <w:rsid w:val="00AC0865"/>
    <w:rsid w:val="00AC0FA1"/>
    <w:rsid w:val="00AC1438"/>
    <w:rsid w:val="00AC1740"/>
    <w:rsid w:val="00AC1744"/>
    <w:rsid w:val="00AC2445"/>
    <w:rsid w:val="00AC321F"/>
    <w:rsid w:val="00AC3B42"/>
    <w:rsid w:val="00AC5BDD"/>
    <w:rsid w:val="00AC5F42"/>
    <w:rsid w:val="00AC6602"/>
    <w:rsid w:val="00AC6AFC"/>
    <w:rsid w:val="00AC74D4"/>
    <w:rsid w:val="00AC7A4F"/>
    <w:rsid w:val="00AC7FD1"/>
    <w:rsid w:val="00AD02F9"/>
    <w:rsid w:val="00AD0EAE"/>
    <w:rsid w:val="00AD1195"/>
    <w:rsid w:val="00AD180C"/>
    <w:rsid w:val="00AD29EA"/>
    <w:rsid w:val="00AD2FB3"/>
    <w:rsid w:val="00AD3680"/>
    <w:rsid w:val="00AD3922"/>
    <w:rsid w:val="00AD49A8"/>
    <w:rsid w:val="00AD506C"/>
    <w:rsid w:val="00AD63F6"/>
    <w:rsid w:val="00AD642E"/>
    <w:rsid w:val="00AD72CE"/>
    <w:rsid w:val="00AD7464"/>
    <w:rsid w:val="00AD7769"/>
    <w:rsid w:val="00AD783D"/>
    <w:rsid w:val="00AD7FC6"/>
    <w:rsid w:val="00AE0387"/>
    <w:rsid w:val="00AE1344"/>
    <w:rsid w:val="00AE1380"/>
    <w:rsid w:val="00AE189C"/>
    <w:rsid w:val="00AE1F79"/>
    <w:rsid w:val="00AE2294"/>
    <w:rsid w:val="00AE2706"/>
    <w:rsid w:val="00AE37F9"/>
    <w:rsid w:val="00AE3C20"/>
    <w:rsid w:val="00AE4C1C"/>
    <w:rsid w:val="00AE4EC9"/>
    <w:rsid w:val="00AE4EF1"/>
    <w:rsid w:val="00AE5771"/>
    <w:rsid w:val="00AE57A0"/>
    <w:rsid w:val="00AE58BE"/>
    <w:rsid w:val="00AE5D76"/>
    <w:rsid w:val="00AE5DE3"/>
    <w:rsid w:val="00AE5EF4"/>
    <w:rsid w:val="00AE6580"/>
    <w:rsid w:val="00AE6875"/>
    <w:rsid w:val="00AE74EA"/>
    <w:rsid w:val="00AE7BA5"/>
    <w:rsid w:val="00AE7BFA"/>
    <w:rsid w:val="00AE7E73"/>
    <w:rsid w:val="00AF0062"/>
    <w:rsid w:val="00AF0387"/>
    <w:rsid w:val="00AF1E19"/>
    <w:rsid w:val="00AF2A76"/>
    <w:rsid w:val="00AF31C5"/>
    <w:rsid w:val="00AF3984"/>
    <w:rsid w:val="00AF3B08"/>
    <w:rsid w:val="00AF3B68"/>
    <w:rsid w:val="00AF3CFD"/>
    <w:rsid w:val="00AF547A"/>
    <w:rsid w:val="00AF594A"/>
    <w:rsid w:val="00AF6E24"/>
    <w:rsid w:val="00B001B9"/>
    <w:rsid w:val="00B019D1"/>
    <w:rsid w:val="00B01AC1"/>
    <w:rsid w:val="00B01D56"/>
    <w:rsid w:val="00B02A95"/>
    <w:rsid w:val="00B0322E"/>
    <w:rsid w:val="00B048AE"/>
    <w:rsid w:val="00B04961"/>
    <w:rsid w:val="00B05057"/>
    <w:rsid w:val="00B05162"/>
    <w:rsid w:val="00B0593B"/>
    <w:rsid w:val="00B05EFE"/>
    <w:rsid w:val="00B06459"/>
    <w:rsid w:val="00B0678F"/>
    <w:rsid w:val="00B0711A"/>
    <w:rsid w:val="00B0750F"/>
    <w:rsid w:val="00B075DA"/>
    <w:rsid w:val="00B07F2F"/>
    <w:rsid w:val="00B1006A"/>
    <w:rsid w:val="00B10765"/>
    <w:rsid w:val="00B1158A"/>
    <w:rsid w:val="00B12585"/>
    <w:rsid w:val="00B12BB0"/>
    <w:rsid w:val="00B15495"/>
    <w:rsid w:val="00B1588E"/>
    <w:rsid w:val="00B165FF"/>
    <w:rsid w:val="00B166AE"/>
    <w:rsid w:val="00B16C08"/>
    <w:rsid w:val="00B16CEC"/>
    <w:rsid w:val="00B16D7F"/>
    <w:rsid w:val="00B16ED0"/>
    <w:rsid w:val="00B17202"/>
    <w:rsid w:val="00B1750C"/>
    <w:rsid w:val="00B17871"/>
    <w:rsid w:val="00B178EE"/>
    <w:rsid w:val="00B17CE4"/>
    <w:rsid w:val="00B202AA"/>
    <w:rsid w:val="00B204DA"/>
    <w:rsid w:val="00B211CA"/>
    <w:rsid w:val="00B21732"/>
    <w:rsid w:val="00B21798"/>
    <w:rsid w:val="00B2196E"/>
    <w:rsid w:val="00B22993"/>
    <w:rsid w:val="00B22A53"/>
    <w:rsid w:val="00B22E0D"/>
    <w:rsid w:val="00B23346"/>
    <w:rsid w:val="00B23584"/>
    <w:rsid w:val="00B23C6D"/>
    <w:rsid w:val="00B2463A"/>
    <w:rsid w:val="00B24B59"/>
    <w:rsid w:val="00B24D56"/>
    <w:rsid w:val="00B25BF4"/>
    <w:rsid w:val="00B264DC"/>
    <w:rsid w:val="00B26C1C"/>
    <w:rsid w:val="00B27345"/>
    <w:rsid w:val="00B2749D"/>
    <w:rsid w:val="00B279A3"/>
    <w:rsid w:val="00B27FDC"/>
    <w:rsid w:val="00B303A4"/>
    <w:rsid w:val="00B304C5"/>
    <w:rsid w:val="00B308FA"/>
    <w:rsid w:val="00B30A90"/>
    <w:rsid w:val="00B316C0"/>
    <w:rsid w:val="00B317A1"/>
    <w:rsid w:val="00B318C1"/>
    <w:rsid w:val="00B31A39"/>
    <w:rsid w:val="00B31D98"/>
    <w:rsid w:val="00B32BD2"/>
    <w:rsid w:val="00B35542"/>
    <w:rsid w:val="00B35F50"/>
    <w:rsid w:val="00B37981"/>
    <w:rsid w:val="00B37F0B"/>
    <w:rsid w:val="00B40DA7"/>
    <w:rsid w:val="00B410D5"/>
    <w:rsid w:val="00B41C91"/>
    <w:rsid w:val="00B421F4"/>
    <w:rsid w:val="00B422F0"/>
    <w:rsid w:val="00B424FD"/>
    <w:rsid w:val="00B425C2"/>
    <w:rsid w:val="00B42FF8"/>
    <w:rsid w:val="00B4392B"/>
    <w:rsid w:val="00B43E4F"/>
    <w:rsid w:val="00B448A2"/>
    <w:rsid w:val="00B44917"/>
    <w:rsid w:val="00B44CD8"/>
    <w:rsid w:val="00B46380"/>
    <w:rsid w:val="00B464E1"/>
    <w:rsid w:val="00B467FE"/>
    <w:rsid w:val="00B468EF"/>
    <w:rsid w:val="00B46B91"/>
    <w:rsid w:val="00B4751F"/>
    <w:rsid w:val="00B50EB9"/>
    <w:rsid w:val="00B5166F"/>
    <w:rsid w:val="00B521E3"/>
    <w:rsid w:val="00B52392"/>
    <w:rsid w:val="00B52552"/>
    <w:rsid w:val="00B52C03"/>
    <w:rsid w:val="00B53066"/>
    <w:rsid w:val="00B53378"/>
    <w:rsid w:val="00B54323"/>
    <w:rsid w:val="00B544B1"/>
    <w:rsid w:val="00B54AEC"/>
    <w:rsid w:val="00B565EF"/>
    <w:rsid w:val="00B569B7"/>
    <w:rsid w:val="00B57428"/>
    <w:rsid w:val="00B57CC5"/>
    <w:rsid w:val="00B60CB0"/>
    <w:rsid w:val="00B61809"/>
    <w:rsid w:val="00B62A15"/>
    <w:rsid w:val="00B62BFC"/>
    <w:rsid w:val="00B6319C"/>
    <w:rsid w:val="00B636E7"/>
    <w:rsid w:val="00B63B83"/>
    <w:rsid w:val="00B63D22"/>
    <w:rsid w:val="00B63FAE"/>
    <w:rsid w:val="00B640B8"/>
    <w:rsid w:val="00B648AC"/>
    <w:rsid w:val="00B64941"/>
    <w:rsid w:val="00B64CA2"/>
    <w:rsid w:val="00B6554E"/>
    <w:rsid w:val="00B658A2"/>
    <w:rsid w:val="00B65A65"/>
    <w:rsid w:val="00B65DC3"/>
    <w:rsid w:val="00B65DE8"/>
    <w:rsid w:val="00B65EB8"/>
    <w:rsid w:val="00B66ACE"/>
    <w:rsid w:val="00B6744A"/>
    <w:rsid w:val="00B67C4B"/>
    <w:rsid w:val="00B67DEF"/>
    <w:rsid w:val="00B67EFC"/>
    <w:rsid w:val="00B70474"/>
    <w:rsid w:val="00B70DC4"/>
    <w:rsid w:val="00B71604"/>
    <w:rsid w:val="00B71CF4"/>
    <w:rsid w:val="00B71EEE"/>
    <w:rsid w:val="00B7213C"/>
    <w:rsid w:val="00B722C3"/>
    <w:rsid w:val="00B733B7"/>
    <w:rsid w:val="00B73769"/>
    <w:rsid w:val="00B73F5F"/>
    <w:rsid w:val="00B74692"/>
    <w:rsid w:val="00B754FF"/>
    <w:rsid w:val="00B75856"/>
    <w:rsid w:val="00B758F1"/>
    <w:rsid w:val="00B75DC1"/>
    <w:rsid w:val="00B76BD1"/>
    <w:rsid w:val="00B77435"/>
    <w:rsid w:val="00B77C3C"/>
    <w:rsid w:val="00B8044C"/>
    <w:rsid w:val="00B81B5C"/>
    <w:rsid w:val="00B81DDB"/>
    <w:rsid w:val="00B82519"/>
    <w:rsid w:val="00B8338A"/>
    <w:rsid w:val="00B83441"/>
    <w:rsid w:val="00B83843"/>
    <w:rsid w:val="00B8439D"/>
    <w:rsid w:val="00B84488"/>
    <w:rsid w:val="00B8474E"/>
    <w:rsid w:val="00B85895"/>
    <w:rsid w:val="00B85BBA"/>
    <w:rsid w:val="00B85BE2"/>
    <w:rsid w:val="00B86FF0"/>
    <w:rsid w:val="00B8723B"/>
    <w:rsid w:val="00B87752"/>
    <w:rsid w:val="00B9010E"/>
    <w:rsid w:val="00B90671"/>
    <w:rsid w:val="00B90F95"/>
    <w:rsid w:val="00B91561"/>
    <w:rsid w:val="00B9274C"/>
    <w:rsid w:val="00B9293C"/>
    <w:rsid w:val="00B9296E"/>
    <w:rsid w:val="00B940D5"/>
    <w:rsid w:val="00B94227"/>
    <w:rsid w:val="00B945C2"/>
    <w:rsid w:val="00B946E4"/>
    <w:rsid w:val="00B94CC0"/>
    <w:rsid w:val="00B95531"/>
    <w:rsid w:val="00B95C55"/>
    <w:rsid w:val="00B96117"/>
    <w:rsid w:val="00B96671"/>
    <w:rsid w:val="00B970FC"/>
    <w:rsid w:val="00B973FB"/>
    <w:rsid w:val="00B97A56"/>
    <w:rsid w:val="00BA0470"/>
    <w:rsid w:val="00BA08DE"/>
    <w:rsid w:val="00BA0E20"/>
    <w:rsid w:val="00BA10E1"/>
    <w:rsid w:val="00BA1C7D"/>
    <w:rsid w:val="00BA1CF2"/>
    <w:rsid w:val="00BA24B0"/>
    <w:rsid w:val="00BA253F"/>
    <w:rsid w:val="00BA25DC"/>
    <w:rsid w:val="00BA319A"/>
    <w:rsid w:val="00BA3A0A"/>
    <w:rsid w:val="00BA3C6E"/>
    <w:rsid w:val="00BA427E"/>
    <w:rsid w:val="00BA43B3"/>
    <w:rsid w:val="00BA4843"/>
    <w:rsid w:val="00BA56B8"/>
    <w:rsid w:val="00BA5886"/>
    <w:rsid w:val="00BA58CC"/>
    <w:rsid w:val="00BA58FD"/>
    <w:rsid w:val="00BA6371"/>
    <w:rsid w:val="00BA6730"/>
    <w:rsid w:val="00BA6FF5"/>
    <w:rsid w:val="00BA7BB4"/>
    <w:rsid w:val="00BA7E77"/>
    <w:rsid w:val="00BB00A2"/>
    <w:rsid w:val="00BB01D8"/>
    <w:rsid w:val="00BB02E7"/>
    <w:rsid w:val="00BB0D80"/>
    <w:rsid w:val="00BB1256"/>
    <w:rsid w:val="00BB13C5"/>
    <w:rsid w:val="00BB1ACF"/>
    <w:rsid w:val="00BB1DE4"/>
    <w:rsid w:val="00BB1E3B"/>
    <w:rsid w:val="00BB1E7C"/>
    <w:rsid w:val="00BB2276"/>
    <w:rsid w:val="00BB2469"/>
    <w:rsid w:val="00BB28BC"/>
    <w:rsid w:val="00BB2B28"/>
    <w:rsid w:val="00BB2B88"/>
    <w:rsid w:val="00BB32BB"/>
    <w:rsid w:val="00BB3605"/>
    <w:rsid w:val="00BB3ECB"/>
    <w:rsid w:val="00BB47BF"/>
    <w:rsid w:val="00BB4FBC"/>
    <w:rsid w:val="00BB6B03"/>
    <w:rsid w:val="00BB6D5D"/>
    <w:rsid w:val="00BB6D6B"/>
    <w:rsid w:val="00BB6E44"/>
    <w:rsid w:val="00BB7393"/>
    <w:rsid w:val="00BB768E"/>
    <w:rsid w:val="00BC0F5F"/>
    <w:rsid w:val="00BC10EA"/>
    <w:rsid w:val="00BC185B"/>
    <w:rsid w:val="00BC21D7"/>
    <w:rsid w:val="00BC26B1"/>
    <w:rsid w:val="00BC2A71"/>
    <w:rsid w:val="00BC37A2"/>
    <w:rsid w:val="00BC385C"/>
    <w:rsid w:val="00BC426C"/>
    <w:rsid w:val="00BC44E5"/>
    <w:rsid w:val="00BC48C3"/>
    <w:rsid w:val="00BC58CB"/>
    <w:rsid w:val="00BC5C40"/>
    <w:rsid w:val="00BC5EBD"/>
    <w:rsid w:val="00BC6F12"/>
    <w:rsid w:val="00BC7833"/>
    <w:rsid w:val="00BC7B9D"/>
    <w:rsid w:val="00BD02D7"/>
    <w:rsid w:val="00BD0762"/>
    <w:rsid w:val="00BD0BE4"/>
    <w:rsid w:val="00BD0CBB"/>
    <w:rsid w:val="00BD13C7"/>
    <w:rsid w:val="00BD1426"/>
    <w:rsid w:val="00BD1A5C"/>
    <w:rsid w:val="00BD1DF2"/>
    <w:rsid w:val="00BD3A31"/>
    <w:rsid w:val="00BD3C06"/>
    <w:rsid w:val="00BD4190"/>
    <w:rsid w:val="00BD4FD8"/>
    <w:rsid w:val="00BD503A"/>
    <w:rsid w:val="00BD54B6"/>
    <w:rsid w:val="00BD5D10"/>
    <w:rsid w:val="00BD5D37"/>
    <w:rsid w:val="00BD5E55"/>
    <w:rsid w:val="00BD6196"/>
    <w:rsid w:val="00BD7017"/>
    <w:rsid w:val="00BD7404"/>
    <w:rsid w:val="00BD769F"/>
    <w:rsid w:val="00BE14D8"/>
    <w:rsid w:val="00BE2083"/>
    <w:rsid w:val="00BE23FE"/>
    <w:rsid w:val="00BE2A31"/>
    <w:rsid w:val="00BE2E82"/>
    <w:rsid w:val="00BE3102"/>
    <w:rsid w:val="00BE31BD"/>
    <w:rsid w:val="00BE3BAB"/>
    <w:rsid w:val="00BE3FD0"/>
    <w:rsid w:val="00BE4B24"/>
    <w:rsid w:val="00BE58A5"/>
    <w:rsid w:val="00BE596D"/>
    <w:rsid w:val="00BE5A1B"/>
    <w:rsid w:val="00BE6392"/>
    <w:rsid w:val="00BE647D"/>
    <w:rsid w:val="00BE68B4"/>
    <w:rsid w:val="00BE781F"/>
    <w:rsid w:val="00BE7835"/>
    <w:rsid w:val="00BE7B1E"/>
    <w:rsid w:val="00BF07B8"/>
    <w:rsid w:val="00BF090C"/>
    <w:rsid w:val="00BF10CF"/>
    <w:rsid w:val="00BF1705"/>
    <w:rsid w:val="00BF1E1F"/>
    <w:rsid w:val="00BF1F54"/>
    <w:rsid w:val="00BF2144"/>
    <w:rsid w:val="00BF3A4E"/>
    <w:rsid w:val="00BF3BDC"/>
    <w:rsid w:val="00BF5229"/>
    <w:rsid w:val="00BF5AF7"/>
    <w:rsid w:val="00BF5C61"/>
    <w:rsid w:val="00BF6C5F"/>
    <w:rsid w:val="00BF6FF3"/>
    <w:rsid w:val="00BF751D"/>
    <w:rsid w:val="00C0002F"/>
    <w:rsid w:val="00C00829"/>
    <w:rsid w:val="00C00931"/>
    <w:rsid w:val="00C00C1E"/>
    <w:rsid w:val="00C011D9"/>
    <w:rsid w:val="00C012C9"/>
    <w:rsid w:val="00C0182F"/>
    <w:rsid w:val="00C03653"/>
    <w:rsid w:val="00C0434E"/>
    <w:rsid w:val="00C05032"/>
    <w:rsid w:val="00C05166"/>
    <w:rsid w:val="00C05C00"/>
    <w:rsid w:val="00C062C3"/>
    <w:rsid w:val="00C06A09"/>
    <w:rsid w:val="00C07553"/>
    <w:rsid w:val="00C077D0"/>
    <w:rsid w:val="00C0782B"/>
    <w:rsid w:val="00C07F64"/>
    <w:rsid w:val="00C10F2D"/>
    <w:rsid w:val="00C10FFA"/>
    <w:rsid w:val="00C12092"/>
    <w:rsid w:val="00C124ED"/>
    <w:rsid w:val="00C12D1B"/>
    <w:rsid w:val="00C12DE5"/>
    <w:rsid w:val="00C1333D"/>
    <w:rsid w:val="00C13A2F"/>
    <w:rsid w:val="00C13A85"/>
    <w:rsid w:val="00C14211"/>
    <w:rsid w:val="00C14F78"/>
    <w:rsid w:val="00C1548C"/>
    <w:rsid w:val="00C15FC0"/>
    <w:rsid w:val="00C16863"/>
    <w:rsid w:val="00C16947"/>
    <w:rsid w:val="00C17714"/>
    <w:rsid w:val="00C17AD1"/>
    <w:rsid w:val="00C20ADA"/>
    <w:rsid w:val="00C2133D"/>
    <w:rsid w:val="00C228B7"/>
    <w:rsid w:val="00C22D19"/>
    <w:rsid w:val="00C230C9"/>
    <w:rsid w:val="00C232E8"/>
    <w:rsid w:val="00C2363B"/>
    <w:rsid w:val="00C23A67"/>
    <w:rsid w:val="00C23B63"/>
    <w:rsid w:val="00C242C0"/>
    <w:rsid w:val="00C24AAC"/>
    <w:rsid w:val="00C24ADE"/>
    <w:rsid w:val="00C25A0A"/>
    <w:rsid w:val="00C26FE6"/>
    <w:rsid w:val="00C273ED"/>
    <w:rsid w:val="00C302E5"/>
    <w:rsid w:val="00C30551"/>
    <w:rsid w:val="00C308BB"/>
    <w:rsid w:val="00C30A8F"/>
    <w:rsid w:val="00C31FB6"/>
    <w:rsid w:val="00C32FE3"/>
    <w:rsid w:val="00C33AA4"/>
    <w:rsid w:val="00C33C1F"/>
    <w:rsid w:val="00C34055"/>
    <w:rsid w:val="00C346E1"/>
    <w:rsid w:val="00C347BD"/>
    <w:rsid w:val="00C34FAB"/>
    <w:rsid w:val="00C354DC"/>
    <w:rsid w:val="00C35B02"/>
    <w:rsid w:val="00C368A7"/>
    <w:rsid w:val="00C36E12"/>
    <w:rsid w:val="00C3711B"/>
    <w:rsid w:val="00C37D39"/>
    <w:rsid w:val="00C409D3"/>
    <w:rsid w:val="00C40B16"/>
    <w:rsid w:val="00C40CF6"/>
    <w:rsid w:val="00C40EED"/>
    <w:rsid w:val="00C410BE"/>
    <w:rsid w:val="00C4141A"/>
    <w:rsid w:val="00C41C5C"/>
    <w:rsid w:val="00C421C2"/>
    <w:rsid w:val="00C425E1"/>
    <w:rsid w:val="00C42892"/>
    <w:rsid w:val="00C42C13"/>
    <w:rsid w:val="00C42C2A"/>
    <w:rsid w:val="00C434E1"/>
    <w:rsid w:val="00C435CA"/>
    <w:rsid w:val="00C4368F"/>
    <w:rsid w:val="00C438E2"/>
    <w:rsid w:val="00C44264"/>
    <w:rsid w:val="00C44A23"/>
    <w:rsid w:val="00C4628F"/>
    <w:rsid w:val="00C465FD"/>
    <w:rsid w:val="00C46A49"/>
    <w:rsid w:val="00C46F9A"/>
    <w:rsid w:val="00C4700A"/>
    <w:rsid w:val="00C472DD"/>
    <w:rsid w:val="00C4787C"/>
    <w:rsid w:val="00C47FEB"/>
    <w:rsid w:val="00C50397"/>
    <w:rsid w:val="00C5181F"/>
    <w:rsid w:val="00C51881"/>
    <w:rsid w:val="00C52944"/>
    <w:rsid w:val="00C53771"/>
    <w:rsid w:val="00C54777"/>
    <w:rsid w:val="00C54F8B"/>
    <w:rsid w:val="00C55132"/>
    <w:rsid w:val="00C55B29"/>
    <w:rsid w:val="00C56FFA"/>
    <w:rsid w:val="00C5727C"/>
    <w:rsid w:val="00C57CD6"/>
    <w:rsid w:val="00C60089"/>
    <w:rsid w:val="00C6016B"/>
    <w:rsid w:val="00C60F95"/>
    <w:rsid w:val="00C6129A"/>
    <w:rsid w:val="00C62461"/>
    <w:rsid w:val="00C63067"/>
    <w:rsid w:val="00C63195"/>
    <w:rsid w:val="00C63276"/>
    <w:rsid w:val="00C6376A"/>
    <w:rsid w:val="00C6470B"/>
    <w:rsid w:val="00C652B1"/>
    <w:rsid w:val="00C65634"/>
    <w:rsid w:val="00C66018"/>
    <w:rsid w:val="00C66082"/>
    <w:rsid w:val="00C66753"/>
    <w:rsid w:val="00C70B0E"/>
    <w:rsid w:val="00C711B3"/>
    <w:rsid w:val="00C712E1"/>
    <w:rsid w:val="00C714BE"/>
    <w:rsid w:val="00C73FAE"/>
    <w:rsid w:val="00C74DEA"/>
    <w:rsid w:val="00C74FE5"/>
    <w:rsid w:val="00C7571A"/>
    <w:rsid w:val="00C75CA3"/>
    <w:rsid w:val="00C75E4F"/>
    <w:rsid w:val="00C7620C"/>
    <w:rsid w:val="00C76E58"/>
    <w:rsid w:val="00C77228"/>
    <w:rsid w:val="00C77BCF"/>
    <w:rsid w:val="00C77DB5"/>
    <w:rsid w:val="00C77F29"/>
    <w:rsid w:val="00C80052"/>
    <w:rsid w:val="00C81211"/>
    <w:rsid w:val="00C815E4"/>
    <w:rsid w:val="00C81B2E"/>
    <w:rsid w:val="00C81CFA"/>
    <w:rsid w:val="00C828D2"/>
    <w:rsid w:val="00C83259"/>
    <w:rsid w:val="00C83D6B"/>
    <w:rsid w:val="00C84611"/>
    <w:rsid w:val="00C846BF"/>
    <w:rsid w:val="00C850ED"/>
    <w:rsid w:val="00C851E7"/>
    <w:rsid w:val="00C852D9"/>
    <w:rsid w:val="00C85768"/>
    <w:rsid w:val="00C85D76"/>
    <w:rsid w:val="00C865CB"/>
    <w:rsid w:val="00C872D5"/>
    <w:rsid w:val="00C872E3"/>
    <w:rsid w:val="00C90570"/>
    <w:rsid w:val="00C916FE"/>
    <w:rsid w:val="00C91953"/>
    <w:rsid w:val="00C91FDF"/>
    <w:rsid w:val="00C92288"/>
    <w:rsid w:val="00C928E1"/>
    <w:rsid w:val="00C93347"/>
    <w:rsid w:val="00C9428E"/>
    <w:rsid w:val="00C94A26"/>
    <w:rsid w:val="00C96893"/>
    <w:rsid w:val="00C96D9B"/>
    <w:rsid w:val="00C971EC"/>
    <w:rsid w:val="00CA00B5"/>
    <w:rsid w:val="00CA09E5"/>
    <w:rsid w:val="00CA11CB"/>
    <w:rsid w:val="00CA1493"/>
    <w:rsid w:val="00CA155C"/>
    <w:rsid w:val="00CA1A55"/>
    <w:rsid w:val="00CA1AF2"/>
    <w:rsid w:val="00CA1BC2"/>
    <w:rsid w:val="00CA3075"/>
    <w:rsid w:val="00CA3085"/>
    <w:rsid w:val="00CA30A3"/>
    <w:rsid w:val="00CA3159"/>
    <w:rsid w:val="00CA3905"/>
    <w:rsid w:val="00CA3F7F"/>
    <w:rsid w:val="00CA426B"/>
    <w:rsid w:val="00CA47DD"/>
    <w:rsid w:val="00CA4E39"/>
    <w:rsid w:val="00CA5279"/>
    <w:rsid w:val="00CA6619"/>
    <w:rsid w:val="00CA6E19"/>
    <w:rsid w:val="00CA70F5"/>
    <w:rsid w:val="00CA713A"/>
    <w:rsid w:val="00CA7E53"/>
    <w:rsid w:val="00CB06AC"/>
    <w:rsid w:val="00CB0E36"/>
    <w:rsid w:val="00CB1E15"/>
    <w:rsid w:val="00CB2EB3"/>
    <w:rsid w:val="00CB43F7"/>
    <w:rsid w:val="00CB4712"/>
    <w:rsid w:val="00CB4C72"/>
    <w:rsid w:val="00CB521C"/>
    <w:rsid w:val="00CB5443"/>
    <w:rsid w:val="00CB5B97"/>
    <w:rsid w:val="00CB680A"/>
    <w:rsid w:val="00CB6B92"/>
    <w:rsid w:val="00CB7A13"/>
    <w:rsid w:val="00CC0417"/>
    <w:rsid w:val="00CC09B4"/>
    <w:rsid w:val="00CC0AFF"/>
    <w:rsid w:val="00CC14ED"/>
    <w:rsid w:val="00CC15F4"/>
    <w:rsid w:val="00CC192B"/>
    <w:rsid w:val="00CC1C21"/>
    <w:rsid w:val="00CC2182"/>
    <w:rsid w:val="00CC3E46"/>
    <w:rsid w:val="00CC40AA"/>
    <w:rsid w:val="00CC4AF6"/>
    <w:rsid w:val="00CC4C84"/>
    <w:rsid w:val="00CC5604"/>
    <w:rsid w:val="00CC6191"/>
    <w:rsid w:val="00CC6A25"/>
    <w:rsid w:val="00CC72B7"/>
    <w:rsid w:val="00CC7902"/>
    <w:rsid w:val="00CC7D82"/>
    <w:rsid w:val="00CC7F0C"/>
    <w:rsid w:val="00CD0489"/>
    <w:rsid w:val="00CD15D8"/>
    <w:rsid w:val="00CD19FB"/>
    <w:rsid w:val="00CD1BF4"/>
    <w:rsid w:val="00CD1FA2"/>
    <w:rsid w:val="00CD2D95"/>
    <w:rsid w:val="00CD3108"/>
    <w:rsid w:val="00CD33E0"/>
    <w:rsid w:val="00CD50A2"/>
    <w:rsid w:val="00CD573C"/>
    <w:rsid w:val="00CD7240"/>
    <w:rsid w:val="00CD734C"/>
    <w:rsid w:val="00CE0D41"/>
    <w:rsid w:val="00CE0E1F"/>
    <w:rsid w:val="00CE0EAF"/>
    <w:rsid w:val="00CE14AF"/>
    <w:rsid w:val="00CE1725"/>
    <w:rsid w:val="00CE1901"/>
    <w:rsid w:val="00CE2B29"/>
    <w:rsid w:val="00CE3BFB"/>
    <w:rsid w:val="00CE4630"/>
    <w:rsid w:val="00CE4882"/>
    <w:rsid w:val="00CE4CAA"/>
    <w:rsid w:val="00CE538C"/>
    <w:rsid w:val="00CE53AC"/>
    <w:rsid w:val="00CE556A"/>
    <w:rsid w:val="00CE5626"/>
    <w:rsid w:val="00CE5C17"/>
    <w:rsid w:val="00CE5DAA"/>
    <w:rsid w:val="00CE66C3"/>
    <w:rsid w:val="00CE71D2"/>
    <w:rsid w:val="00CE76CC"/>
    <w:rsid w:val="00CE7F54"/>
    <w:rsid w:val="00CF0D30"/>
    <w:rsid w:val="00CF1087"/>
    <w:rsid w:val="00CF1334"/>
    <w:rsid w:val="00CF18DA"/>
    <w:rsid w:val="00CF2578"/>
    <w:rsid w:val="00CF2E08"/>
    <w:rsid w:val="00CF309B"/>
    <w:rsid w:val="00CF30C5"/>
    <w:rsid w:val="00CF30DB"/>
    <w:rsid w:val="00CF352D"/>
    <w:rsid w:val="00CF3CC2"/>
    <w:rsid w:val="00CF3FC3"/>
    <w:rsid w:val="00CF481C"/>
    <w:rsid w:val="00CF50DA"/>
    <w:rsid w:val="00CF5246"/>
    <w:rsid w:val="00CF5BA6"/>
    <w:rsid w:val="00CF5BC9"/>
    <w:rsid w:val="00CF5CAE"/>
    <w:rsid w:val="00CF6252"/>
    <w:rsid w:val="00CF642A"/>
    <w:rsid w:val="00CF6C4F"/>
    <w:rsid w:val="00CF6C53"/>
    <w:rsid w:val="00CF6F0D"/>
    <w:rsid w:val="00CF77EC"/>
    <w:rsid w:val="00CF7D5A"/>
    <w:rsid w:val="00D000E4"/>
    <w:rsid w:val="00D001DA"/>
    <w:rsid w:val="00D00A15"/>
    <w:rsid w:val="00D01591"/>
    <w:rsid w:val="00D016CA"/>
    <w:rsid w:val="00D01B62"/>
    <w:rsid w:val="00D02335"/>
    <w:rsid w:val="00D029F1"/>
    <w:rsid w:val="00D03179"/>
    <w:rsid w:val="00D03674"/>
    <w:rsid w:val="00D0439D"/>
    <w:rsid w:val="00D04A08"/>
    <w:rsid w:val="00D04B16"/>
    <w:rsid w:val="00D0583E"/>
    <w:rsid w:val="00D05FA6"/>
    <w:rsid w:val="00D06351"/>
    <w:rsid w:val="00D0650D"/>
    <w:rsid w:val="00D07A08"/>
    <w:rsid w:val="00D07F27"/>
    <w:rsid w:val="00D07FD5"/>
    <w:rsid w:val="00D1133D"/>
    <w:rsid w:val="00D11C3A"/>
    <w:rsid w:val="00D11E51"/>
    <w:rsid w:val="00D136D4"/>
    <w:rsid w:val="00D13DA1"/>
    <w:rsid w:val="00D13EB8"/>
    <w:rsid w:val="00D14AF1"/>
    <w:rsid w:val="00D1665C"/>
    <w:rsid w:val="00D16A8E"/>
    <w:rsid w:val="00D16F88"/>
    <w:rsid w:val="00D17333"/>
    <w:rsid w:val="00D17CDE"/>
    <w:rsid w:val="00D207AF"/>
    <w:rsid w:val="00D220A5"/>
    <w:rsid w:val="00D226F5"/>
    <w:rsid w:val="00D22942"/>
    <w:rsid w:val="00D22AFE"/>
    <w:rsid w:val="00D24F4C"/>
    <w:rsid w:val="00D250A8"/>
    <w:rsid w:val="00D2569A"/>
    <w:rsid w:val="00D2575E"/>
    <w:rsid w:val="00D27BFB"/>
    <w:rsid w:val="00D27C89"/>
    <w:rsid w:val="00D30803"/>
    <w:rsid w:val="00D312CD"/>
    <w:rsid w:val="00D32115"/>
    <w:rsid w:val="00D32279"/>
    <w:rsid w:val="00D32709"/>
    <w:rsid w:val="00D32F45"/>
    <w:rsid w:val="00D33DC3"/>
    <w:rsid w:val="00D34605"/>
    <w:rsid w:val="00D346D4"/>
    <w:rsid w:val="00D34DCB"/>
    <w:rsid w:val="00D36346"/>
    <w:rsid w:val="00D36D55"/>
    <w:rsid w:val="00D37E76"/>
    <w:rsid w:val="00D37FB6"/>
    <w:rsid w:val="00D4080B"/>
    <w:rsid w:val="00D41943"/>
    <w:rsid w:val="00D41A70"/>
    <w:rsid w:val="00D41C02"/>
    <w:rsid w:val="00D420ED"/>
    <w:rsid w:val="00D4230F"/>
    <w:rsid w:val="00D423E0"/>
    <w:rsid w:val="00D42B98"/>
    <w:rsid w:val="00D42DB1"/>
    <w:rsid w:val="00D43602"/>
    <w:rsid w:val="00D43BB3"/>
    <w:rsid w:val="00D440AC"/>
    <w:rsid w:val="00D4475F"/>
    <w:rsid w:val="00D44F2F"/>
    <w:rsid w:val="00D45299"/>
    <w:rsid w:val="00D458B1"/>
    <w:rsid w:val="00D4639B"/>
    <w:rsid w:val="00D468AE"/>
    <w:rsid w:val="00D46970"/>
    <w:rsid w:val="00D46E04"/>
    <w:rsid w:val="00D47127"/>
    <w:rsid w:val="00D47392"/>
    <w:rsid w:val="00D47881"/>
    <w:rsid w:val="00D47CE9"/>
    <w:rsid w:val="00D51138"/>
    <w:rsid w:val="00D51933"/>
    <w:rsid w:val="00D51B7B"/>
    <w:rsid w:val="00D51CD1"/>
    <w:rsid w:val="00D52E8D"/>
    <w:rsid w:val="00D55003"/>
    <w:rsid w:val="00D55300"/>
    <w:rsid w:val="00D555CA"/>
    <w:rsid w:val="00D5657A"/>
    <w:rsid w:val="00D57A2B"/>
    <w:rsid w:val="00D57E17"/>
    <w:rsid w:val="00D57E5C"/>
    <w:rsid w:val="00D57F17"/>
    <w:rsid w:val="00D60451"/>
    <w:rsid w:val="00D61A20"/>
    <w:rsid w:val="00D62875"/>
    <w:rsid w:val="00D639F5"/>
    <w:rsid w:val="00D64212"/>
    <w:rsid w:val="00D6514A"/>
    <w:rsid w:val="00D65546"/>
    <w:rsid w:val="00D65698"/>
    <w:rsid w:val="00D66050"/>
    <w:rsid w:val="00D663E8"/>
    <w:rsid w:val="00D665B1"/>
    <w:rsid w:val="00D66AF2"/>
    <w:rsid w:val="00D66C2A"/>
    <w:rsid w:val="00D66E0E"/>
    <w:rsid w:val="00D67128"/>
    <w:rsid w:val="00D700D3"/>
    <w:rsid w:val="00D70178"/>
    <w:rsid w:val="00D70299"/>
    <w:rsid w:val="00D7094F"/>
    <w:rsid w:val="00D71118"/>
    <w:rsid w:val="00D71462"/>
    <w:rsid w:val="00D7176C"/>
    <w:rsid w:val="00D71B86"/>
    <w:rsid w:val="00D72047"/>
    <w:rsid w:val="00D726E3"/>
    <w:rsid w:val="00D7270C"/>
    <w:rsid w:val="00D72E8B"/>
    <w:rsid w:val="00D73010"/>
    <w:rsid w:val="00D73086"/>
    <w:rsid w:val="00D7358D"/>
    <w:rsid w:val="00D739AF"/>
    <w:rsid w:val="00D73F30"/>
    <w:rsid w:val="00D740A1"/>
    <w:rsid w:val="00D74416"/>
    <w:rsid w:val="00D759FD"/>
    <w:rsid w:val="00D75B94"/>
    <w:rsid w:val="00D75C9A"/>
    <w:rsid w:val="00D7609D"/>
    <w:rsid w:val="00D7622B"/>
    <w:rsid w:val="00D7641D"/>
    <w:rsid w:val="00D76710"/>
    <w:rsid w:val="00D76EA1"/>
    <w:rsid w:val="00D80336"/>
    <w:rsid w:val="00D8148E"/>
    <w:rsid w:val="00D81FD6"/>
    <w:rsid w:val="00D8293E"/>
    <w:rsid w:val="00D82AD0"/>
    <w:rsid w:val="00D82C35"/>
    <w:rsid w:val="00D830D0"/>
    <w:rsid w:val="00D83336"/>
    <w:rsid w:val="00D83507"/>
    <w:rsid w:val="00D8389D"/>
    <w:rsid w:val="00D83EB9"/>
    <w:rsid w:val="00D84744"/>
    <w:rsid w:val="00D854E7"/>
    <w:rsid w:val="00D8577D"/>
    <w:rsid w:val="00D8742F"/>
    <w:rsid w:val="00D87CC8"/>
    <w:rsid w:val="00D90503"/>
    <w:rsid w:val="00D907E5"/>
    <w:rsid w:val="00D90B6C"/>
    <w:rsid w:val="00D90F4E"/>
    <w:rsid w:val="00D91CA5"/>
    <w:rsid w:val="00D921E6"/>
    <w:rsid w:val="00D9240B"/>
    <w:rsid w:val="00D92F2F"/>
    <w:rsid w:val="00D93265"/>
    <w:rsid w:val="00D933F1"/>
    <w:rsid w:val="00D93BE9"/>
    <w:rsid w:val="00D94123"/>
    <w:rsid w:val="00D9435A"/>
    <w:rsid w:val="00D94C35"/>
    <w:rsid w:val="00D94FE2"/>
    <w:rsid w:val="00D95171"/>
    <w:rsid w:val="00D961F3"/>
    <w:rsid w:val="00D96704"/>
    <w:rsid w:val="00D97067"/>
    <w:rsid w:val="00D97633"/>
    <w:rsid w:val="00DA011A"/>
    <w:rsid w:val="00DA19B7"/>
    <w:rsid w:val="00DA1ACE"/>
    <w:rsid w:val="00DA2C2F"/>
    <w:rsid w:val="00DA313D"/>
    <w:rsid w:val="00DA318D"/>
    <w:rsid w:val="00DA3C32"/>
    <w:rsid w:val="00DA437D"/>
    <w:rsid w:val="00DA4E8B"/>
    <w:rsid w:val="00DA56D1"/>
    <w:rsid w:val="00DA6274"/>
    <w:rsid w:val="00DA663F"/>
    <w:rsid w:val="00DA67D7"/>
    <w:rsid w:val="00DA72C6"/>
    <w:rsid w:val="00DA7A01"/>
    <w:rsid w:val="00DB0097"/>
    <w:rsid w:val="00DB04CB"/>
    <w:rsid w:val="00DB0AF3"/>
    <w:rsid w:val="00DB1479"/>
    <w:rsid w:val="00DB1644"/>
    <w:rsid w:val="00DB2102"/>
    <w:rsid w:val="00DB2F1C"/>
    <w:rsid w:val="00DB2FEC"/>
    <w:rsid w:val="00DB3928"/>
    <w:rsid w:val="00DB434D"/>
    <w:rsid w:val="00DB4E0E"/>
    <w:rsid w:val="00DB4F19"/>
    <w:rsid w:val="00DB4F5D"/>
    <w:rsid w:val="00DB5128"/>
    <w:rsid w:val="00DB56F8"/>
    <w:rsid w:val="00DB5A89"/>
    <w:rsid w:val="00DB5AE5"/>
    <w:rsid w:val="00DB5E8F"/>
    <w:rsid w:val="00DB622E"/>
    <w:rsid w:val="00DB6C6E"/>
    <w:rsid w:val="00DB7054"/>
    <w:rsid w:val="00DB743F"/>
    <w:rsid w:val="00DB7705"/>
    <w:rsid w:val="00DB7771"/>
    <w:rsid w:val="00DB7BDB"/>
    <w:rsid w:val="00DC0447"/>
    <w:rsid w:val="00DC0821"/>
    <w:rsid w:val="00DC0931"/>
    <w:rsid w:val="00DC0DE7"/>
    <w:rsid w:val="00DC1985"/>
    <w:rsid w:val="00DC2190"/>
    <w:rsid w:val="00DC2555"/>
    <w:rsid w:val="00DC2BB2"/>
    <w:rsid w:val="00DC2CA8"/>
    <w:rsid w:val="00DC2EBA"/>
    <w:rsid w:val="00DC3A3B"/>
    <w:rsid w:val="00DC4C02"/>
    <w:rsid w:val="00DC52B2"/>
    <w:rsid w:val="00DC6923"/>
    <w:rsid w:val="00DC71BA"/>
    <w:rsid w:val="00DC7434"/>
    <w:rsid w:val="00DC7BC4"/>
    <w:rsid w:val="00DD05BD"/>
    <w:rsid w:val="00DD08D8"/>
    <w:rsid w:val="00DD0D2F"/>
    <w:rsid w:val="00DD0DCE"/>
    <w:rsid w:val="00DD0F78"/>
    <w:rsid w:val="00DD163C"/>
    <w:rsid w:val="00DD1EF1"/>
    <w:rsid w:val="00DD24DC"/>
    <w:rsid w:val="00DD5556"/>
    <w:rsid w:val="00DD5847"/>
    <w:rsid w:val="00DD5C23"/>
    <w:rsid w:val="00DD5CC0"/>
    <w:rsid w:val="00DD6287"/>
    <w:rsid w:val="00DD6485"/>
    <w:rsid w:val="00DD71B5"/>
    <w:rsid w:val="00DD7466"/>
    <w:rsid w:val="00DE1059"/>
    <w:rsid w:val="00DE13F8"/>
    <w:rsid w:val="00DE177F"/>
    <w:rsid w:val="00DE206B"/>
    <w:rsid w:val="00DE43A3"/>
    <w:rsid w:val="00DE4932"/>
    <w:rsid w:val="00DE517C"/>
    <w:rsid w:val="00DE6588"/>
    <w:rsid w:val="00DE679F"/>
    <w:rsid w:val="00DE76CA"/>
    <w:rsid w:val="00DF0220"/>
    <w:rsid w:val="00DF08B4"/>
    <w:rsid w:val="00DF0A9F"/>
    <w:rsid w:val="00DF1BB0"/>
    <w:rsid w:val="00DF1FD5"/>
    <w:rsid w:val="00DF2BF5"/>
    <w:rsid w:val="00DF35B2"/>
    <w:rsid w:val="00DF3828"/>
    <w:rsid w:val="00DF4791"/>
    <w:rsid w:val="00DF4F23"/>
    <w:rsid w:val="00DF5241"/>
    <w:rsid w:val="00DF54D4"/>
    <w:rsid w:val="00DF5661"/>
    <w:rsid w:val="00DF566D"/>
    <w:rsid w:val="00DF5966"/>
    <w:rsid w:val="00DF6332"/>
    <w:rsid w:val="00DF6A08"/>
    <w:rsid w:val="00DF7008"/>
    <w:rsid w:val="00DF7E3E"/>
    <w:rsid w:val="00DF7FCA"/>
    <w:rsid w:val="00E00253"/>
    <w:rsid w:val="00E00959"/>
    <w:rsid w:val="00E01627"/>
    <w:rsid w:val="00E01827"/>
    <w:rsid w:val="00E0220A"/>
    <w:rsid w:val="00E029AF"/>
    <w:rsid w:val="00E030A5"/>
    <w:rsid w:val="00E03A95"/>
    <w:rsid w:val="00E03B91"/>
    <w:rsid w:val="00E03CCD"/>
    <w:rsid w:val="00E045E6"/>
    <w:rsid w:val="00E048B0"/>
    <w:rsid w:val="00E05637"/>
    <w:rsid w:val="00E05727"/>
    <w:rsid w:val="00E064EB"/>
    <w:rsid w:val="00E06684"/>
    <w:rsid w:val="00E070AB"/>
    <w:rsid w:val="00E0790F"/>
    <w:rsid w:val="00E07D3A"/>
    <w:rsid w:val="00E1034D"/>
    <w:rsid w:val="00E1043B"/>
    <w:rsid w:val="00E11203"/>
    <w:rsid w:val="00E120D2"/>
    <w:rsid w:val="00E12903"/>
    <w:rsid w:val="00E12B52"/>
    <w:rsid w:val="00E141FC"/>
    <w:rsid w:val="00E14F18"/>
    <w:rsid w:val="00E152D7"/>
    <w:rsid w:val="00E15630"/>
    <w:rsid w:val="00E160E7"/>
    <w:rsid w:val="00E1674F"/>
    <w:rsid w:val="00E16EA5"/>
    <w:rsid w:val="00E170A1"/>
    <w:rsid w:val="00E171A1"/>
    <w:rsid w:val="00E178DF"/>
    <w:rsid w:val="00E17E73"/>
    <w:rsid w:val="00E208AE"/>
    <w:rsid w:val="00E20FD9"/>
    <w:rsid w:val="00E2172C"/>
    <w:rsid w:val="00E21944"/>
    <w:rsid w:val="00E21CE7"/>
    <w:rsid w:val="00E21F79"/>
    <w:rsid w:val="00E227CC"/>
    <w:rsid w:val="00E22E46"/>
    <w:rsid w:val="00E23376"/>
    <w:rsid w:val="00E23A2B"/>
    <w:rsid w:val="00E23A7A"/>
    <w:rsid w:val="00E24251"/>
    <w:rsid w:val="00E242A7"/>
    <w:rsid w:val="00E252FB"/>
    <w:rsid w:val="00E257B9"/>
    <w:rsid w:val="00E25CA0"/>
    <w:rsid w:val="00E25CC8"/>
    <w:rsid w:val="00E262B8"/>
    <w:rsid w:val="00E264DD"/>
    <w:rsid w:val="00E26E44"/>
    <w:rsid w:val="00E2704D"/>
    <w:rsid w:val="00E30436"/>
    <w:rsid w:val="00E30982"/>
    <w:rsid w:val="00E31741"/>
    <w:rsid w:val="00E31809"/>
    <w:rsid w:val="00E3183A"/>
    <w:rsid w:val="00E31E58"/>
    <w:rsid w:val="00E31FBC"/>
    <w:rsid w:val="00E3251D"/>
    <w:rsid w:val="00E325C3"/>
    <w:rsid w:val="00E33179"/>
    <w:rsid w:val="00E334A4"/>
    <w:rsid w:val="00E33674"/>
    <w:rsid w:val="00E344DD"/>
    <w:rsid w:val="00E349CE"/>
    <w:rsid w:val="00E34B7E"/>
    <w:rsid w:val="00E36167"/>
    <w:rsid w:val="00E36841"/>
    <w:rsid w:val="00E37502"/>
    <w:rsid w:val="00E404DF"/>
    <w:rsid w:val="00E41894"/>
    <w:rsid w:val="00E432B7"/>
    <w:rsid w:val="00E433CA"/>
    <w:rsid w:val="00E43A8D"/>
    <w:rsid w:val="00E45145"/>
    <w:rsid w:val="00E455C1"/>
    <w:rsid w:val="00E4562E"/>
    <w:rsid w:val="00E45695"/>
    <w:rsid w:val="00E4582F"/>
    <w:rsid w:val="00E45A8C"/>
    <w:rsid w:val="00E45D98"/>
    <w:rsid w:val="00E468D6"/>
    <w:rsid w:val="00E47329"/>
    <w:rsid w:val="00E473BE"/>
    <w:rsid w:val="00E47D3B"/>
    <w:rsid w:val="00E50342"/>
    <w:rsid w:val="00E50C1D"/>
    <w:rsid w:val="00E5114D"/>
    <w:rsid w:val="00E512AE"/>
    <w:rsid w:val="00E5134D"/>
    <w:rsid w:val="00E519DF"/>
    <w:rsid w:val="00E51A47"/>
    <w:rsid w:val="00E51D62"/>
    <w:rsid w:val="00E52EE0"/>
    <w:rsid w:val="00E5354C"/>
    <w:rsid w:val="00E5364F"/>
    <w:rsid w:val="00E53F47"/>
    <w:rsid w:val="00E54347"/>
    <w:rsid w:val="00E54654"/>
    <w:rsid w:val="00E54C6A"/>
    <w:rsid w:val="00E54D0F"/>
    <w:rsid w:val="00E54E2A"/>
    <w:rsid w:val="00E54F25"/>
    <w:rsid w:val="00E5502D"/>
    <w:rsid w:val="00E55452"/>
    <w:rsid w:val="00E558A3"/>
    <w:rsid w:val="00E56A44"/>
    <w:rsid w:val="00E57479"/>
    <w:rsid w:val="00E5786A"/>
    <w:rsid w:val="00E57D17"/>
    <w:rsid w:val="00E6009A"/>
    <w:rsid w:val="00E61145"/>
    <w:rsid w:val="00E611D1"/>
    <w:rsid w:val="00E618AF"/>
    <w:rsid w:val="00E61965"/>
    <w:rsid w:val="00E61ED5"/>
    <w:rsid w:val="00E61F43"/>
    <w:rsid w:val="00E628C7"/>
    <w:rsid w:val="00E62CD6"/>
    <w:rsid w:val="00E63BFB"/>
    <w:rsid w:val="00E6468A"/>
    <w:rsid w:val="00E65503"/>
    <w:rsid w:val="00E655C1"/>
    <w:rsid w:val="00E66574"/>
    <w:rsid w:val="00E66E13"/>
    <w:rsid w:val="00E673DD"/>
    <w:rsid w:val="00E70592"/>
    <w:rsid w:val="00E70E77"/>
    <w:rsid w:val="00E72C22"/>
    <w:rsid w:val="00E73729"/>
    <w:rsid w:val="00E7485E"/>
    <w:rsid w:val="00E74DE6"/>
    <w:rsid w:val="00E75012"/>
    <w:rsid w:val="00E75923"/>
    <w:rsid w:val="00E75B3F"/>
    <w:rsid w:val="00E75D89"/>
    <w:rsid w:val="00E766FD"/>
    <w:rsid w:val="00E76C27"/>
    <w:rsid w:val="00E774F3"/>
    <w:rsid w:val="00E802E3"/>
    <w:rsid w:val="00E80320"/>
    <w:rsid w:val="00E803AF"/>
    <w:rsid w:val="00E80B76"/>
    <w:rsid w:val="00E81469"/>
    <w:rsid w:val="00E81D56"/>
    <w:rsid w:val="00E82659"/>
    <w:rsid w:val="00E835EA"/>
    <w:rsid w:val="00E837EF"/>
    <w:rsid w:val="00E83F04"/>
    <w:rsid w:val="00E85C37"/>
    <w:rsid w:val="00E85F0D"/>
    <w:rsid w:val="00E86023"/>
    <w:rsid w:val="00E86E81"/>
    <w:rsid w:val="00E875D5"/>
    <w:rsid w:val="00E875EA"/>
    <w:rsid w:val="00E87678"/>
    <w:rsid w:val="00E87B61"/>
    <w:rsid w:val="00E87FE6"/>
    <w:rsid w:val="00E90A49"/>
    <w:rsid w:val="00E91AAA"/>
    <w:rsid w:val="00E92EA0"/>
    <w:rsid w:val="00E943DF"/>
    <w:rsid w:val="00E94676"/>
    <w:rsid w:val="00E94FAC"/>
    <w:rsid w:val="00E9673A"/>
    <w:rsid w:val="00E97787"/>
    <w:rsid w:val="00E978D5"/>
    <w:rsid w:val="00E97A52"/>
    <w:rsid w:val="00E97B3A"/>
    <w:rsid w:val="00EA0662"/>
    <w:rsid w:val="00EA1281"/>
    <w:rsid w:val="00EA18C1"/>
    <w:rsid w:val="00EA1FD8"/>
    <w:rsid w:val="00EA2255"/>
    <w:rsid w:val="00EA2634"/>
    <w:rsid w:val="00EA27E5"/>
    <w:rsid w:val="00EA2C00"/>
    <w:rsid w:val="00EA2CBF"/>
    <w:rsid w:val="00EA3209"/>
    <w:rsid w:val="00EA3630"/>
    <w:rsid w:val="00EA44B2"/>
    <w:rsid w:val="00EA44CA"/>
    <w:rsid w:val="00EA49CC"/>
    <w:rsid w:val="00EA5B92"/>
    <w:rsid w:val="00EA5F4B"/>
    <w:rsid w:val="00EA6188"/>
    <w:rsid w:val="00EA653C"/>
    <w:rsid w:val="00EA6D14"/>
    <w:rsid w:val="00EA719A"/>
    <w:rsid w:val="00EA7BFC"/>
    <w:rsid w:val="00EB05E3"/>
    <w:rsid w:val="00EB072A"/>
    <w:rsid w:val="00EB130F"/>
    <w:rsid w:val="00EB2239"/>
    <w:rsid w:val="00EB366A"/>
    <w:rsid w:val="00EB3752"/>
    <w:rsid w:val="00EB3EB5"/>
    <w:rsid w:val="00EB3F1E"/>
    <w:rsid w:val="00EB417A"/>
    <w:rsid w:val="00EB4B5C"/>
    <w:rsid w:val="00EB5512"/>
    <w:rsid w:val="00EB583F"/>
    <w:rsid w:val="00EB5E3A"/>
    <w:rsid w:val="00EB60A4"/>
    <w:rsid w:val="00EB665D"/>
    <w:rsid w:val="00EB68C6"/>
    <w:rsid w:val="00EB6A78"/>
    <w:rsid w:val="00EB6FE3"/>
    <w:rsid w:val="00EB72B2"/>
    <w:rsid w:val="00EB7979"/>
    <w:rsid w:val="00EC0039"/>
    <w:rsid w:val="00EC03DD"/>
    <w:rsid w:val="00EC0906"/>
    <w:rsid w:val="00EC0B11"/>
    <w:rsid w:val="00EC1005"/>
    <w:rsid w:val="00EC17E0"/>
    <w:rsid w:val="00EC2BD4"/>
    <w:rsid w:val="00EC2F53"/>
    <w:rsid w:val="00EC3284"/>
    <w:rsid w:val="00EC35AB"/>
    <w:rsid w:val="00EC3F0E"/>
    <w:rsid w:val="00EC4473"/>
    <w:rsid w:val="00EC5030"/>
    <w:rsid w:val="00EC5626"/>
    <w:rsid w:val="00EC56FE"/>
    <w:rsid w:val="00EC60AA"/>
    <w:rsid w:val="00EC64A1"/>
    <w:rsid w:val="00EC64A3"/>
    <w:rsid w:val="00EC6756"/>
    <w:rsid w:val="00ED0480"/>
    <w:rsid w:val="00ED1E99"/>
    <w:rsid w:val="00ED476F"/>
    <w:rsid w:val="00ED4CE3"/>
    <w:rsid w:val="00ED5037"/>
    <w:rsid w:val="00ED5121"/>
    <w:rsid w:val="00ED5A7B"/>
    <w:rsid w:val="00ED5B18"/>
    <w:rsid w:val="00ED5F60"/>
    <w:rsid w:val="00ED6F9F"/>
    <w:rsid w:val="00ED76F9"/>
    <w:rsid w:val="00ED79C7"/>
    <w:rsid w:val="00ED7C2F"/>
    <w:rsid w:val="00EE0096"/>
    <w:rsid w:val="00EE0A7C"/>
    <w:rsid w:val="00EE0C78"/>
    <w:rsid w:val="00EE1813"/>
    <w:rsid w:val="00EE2732"/>
    <w:rsid w:val="00EE33A4"/>
    <w:rsid w:val="00EE45CC"/>
    <w:rsid w:val="00EE5E55"/>
    <w:rsid w:val="00EE6A99"/>
    <w:rsid w:val="00EE79FC"/>
    <w:rsid w:val="00EF0604"/>
    <w:rsid w:val="00EF1094"/>
    <w:rsid w:val="00EF1379"/>
    <w:rsid w:val="00EF1739"/>
    <w:rsid w:val="00EF2021"/>
    <w:rsid w:val="00EF2A1B"/>
    <w:rsid w:val="00EF3153"/>
    <w:rsid w:val="00EF3280"/>
    <w:rsid w:val="00EF33E1"/>
    <w:rsid w:val="00EF36ED"/>
    <w:rsid w:val="00EF40A1"/>
    <w:rsid w:val="00EF513A"/>
    <w:rsid w:val="00EF6181"/>
    <w:rsid w:val="00EF6B57"/>
    <w:rsid w:val="00EF6C36"/>
    <w:rsid w:val="00EF7332"/>
    <w:rsid w:val="00EF7997"/>
    <w:rsid w:val="00EF79F0"/>
    <w:rsid w:val="00EF7EC1"/>
    <w:rsid w:val="00F002F2"/>
    <w:rsid w:val="00F009F1"/>
    <w:rsid w:val="00F01833"/>
    <w:rsid w:val="00F01A69"/>
    <w:rsid w:val="00F01BDD"/>
    <w:rsid w:val="00F03165"/>
    <w:rsid w:val="00F05EF0"/>
    <w:rsid w:val="00F07B6E"/>
    <w:rsid w:val="00F1066C"/>
    <w:rsid w:val="00F10C22"/>
    <w:rsid w:val="00F113B5"/>
    <w:rsid w:val="00F1165D"/>
    <w:rsid w:val="00F1235B"/>
    <w:rsid w:val="00F1297E"/>
    <w:rsid w:val="00F14560"/>
    <w:rsid w:val="00F14748"/>
    <w:rsid w:val="00F1540B"/>
    <w:rsid w:val="00F15B5F"/>
    <w:rsid w:val="00F15C75"/>
    <w:rsid w:val="00F16D5B"/>
    <w:rsid w:val="00F17458"/>
    <w:rsid w:val="00F1750F"/>
    <w:rsid w:val="00F201B0"/>
    <w:rsid w:val="00F2099D"/>
    <w:rsid w:val="00F20CBE"/>
    <w:rsid w:val="00F20E0E"/>
    <w:rsid w:val="00F2143C"/>
    <w:rsid w:val="00F21F19"/>
    <w:rsid w:val="00F21FE4"/>
    <w:rsid w:val="00F232AA"/>
    <w:rsid w:val="00F233C8"/>
    <w:rsid w:val="00F2351A"/>
    <w:rsid w:val="00F243CA"/>
    <w:rsid w:val="00F24ED2"/>
    <w:rsid w:val="00F2617C"/>
    <w:rsid w:val="00F263C9"/>
    <w:rsid w:val="00F26A46"/>
    <w:rsid w:val="00F271A8"/>
    <w:rsid w:val="00F272D5"/>
    <w:rsid w:val="00F274F2"/>
    <w:rsid w:val="00F276C5"/>
    <w:rsid w:val="00F3010F"/>
    <w:rsid w:val="00F3096A"/>
    <w:rsid w:val="00F30A9A"/>
    <w:rsid w:val="00F310DA"/>
    <w:rsid w:val="00F31DFA"/>
    <w:rsid w:val="00F3203E"/>
    <w:rsid w:val="00F325B7"/>
    <w:rsid w:val="00F32AE2"/>
    <w:rsid w:val="00F32B3F"/>
    <w:rsid w:val="00F32BB0"/>
    <w:rsid w:val="00F332CE"/>
    <w:rsid w:val="00F3380C"/>
    <w:rsid w:val="00F33C7A"/>
    <w:rsid w:val="00F33D7B"/>
    <w:rsid w:val="00F34139"/>
    <w:rsid w:val="00F3413C"/>
    <w:rsid w:val="00F34C8A"/>
    <w:rsid w:val="00F35A56"/>
    <w:rsid w:val="00F363ED"/>
    <w:rsid w:val="00F367A5"/>
    <w:rsid w:val="00F36FCF"/>
    <w:rsid w:val="00F37611"/>
    <w:rsid w:val="00F40967"/>
    <w:rsid w:val="00F41D41"/>
    <w:rsid w:val="00F420CD"/>
    <w:rsid w:val="00F4456A"/>
    <w:rsid w:val="00F445A5"/>
    <w:rsid w:val="00F445FB"/>
    <w:rsid w:val="00F44B6F"/>
    <w:rsid w:val="00F44D7D"/>
    <w:rsid w:val="00F45FA5"/>
    <w:rsid w:val="00F4659C"/>
    <w:rsid w:val="00F47DDD"/>
    <w:rsid w:val="00F47ED1"/>
    <w:rsid w:val="00F502E0"/>
    <w:rsid w:val="00F5036D"/>
    <w:rsid w:val="00F5037B"/>
    <w:rsid w:val="00F506A5"/>
    <w:rsid w:val="00F509AE"/>
    <w:rsid w:val="00F5173D"/>
    <w:rsid w:val="00F52C22"/>
    <w:rsid w:val="00F536A4"/>
    <w:rsid w:val="00F54306"/>
    <w:rsid w:val="00F54755"/>
    <w:rsid w:val="00F54858"/>
    <w:rsid w:val="00F54F9B"/>
    <w:rsid w:val="00F54FFC"/>
    <w:rsid w:val="00F55C3C"/>
    <w:rsid w:val="00F56550"/>
    <w:rsid w:val="00F57259"/>
    <w:rsid w:val="00F573ED"/>
    <w:rsid w:val="00F60167"/>
    <w:rsid w:val="00F60FCC"/>
    <w:rsid w:val="00F610EF"/>
    <w:rsid w:val="00F61752"/>
    <w:rsid w:val="00F61C62"/>
    <w:rsid w:val="00F61CEC"/>
    <w:rsid w:val="00F62120"/>
    <w:rsid w:val="00F6311F"/>
    <w:rsid w:val="00F63678"/>
    <w:rsid w:val="00F6394C"/>
    <w:rsid w:val="00F64B53"/>
    <w:rsid w:val="00F64CD1"/>
    <w:rsid w:val="00F6541D"/>
    <w:rsid w:val="00F6560B"/>
    <w:rsid w:val="00F656E5"/>
    <w:rsid w:val="00F65DE5"/>
    <w:rsid w:val="00F65E6E"/>
    <w:rsid w:val="00F66187"/>
    <w:rsid w:val="00F66551"/>
    <w:rsid w:val="00F6672D"/>
    <w:rsid w:val="00F66D6A"/>
    <w:rsid w:val="00F66FE5"/>
    <w:rsid w:val="00F67469"/>
    <w:rsid w:val="00F67547"/>
    <w:rsid w:val="00F678FE"/>
    <w:rsid w:val="00F679C5"/>
    <w:rsid w:val="00F67C1B"/>
    <w:rsid w:val="00F70288"/>
    <w:rsid w:val="00F705EB"/>
    <w:rsid w:val="00F707AD"/>
    <w:rsid w:val="00F70877"/>
    <w:rsid w:val="00F70C5E"/>
    <w:rsid w:val="00F70DE0"/>
    <w:rsid w:val="00F712DE"/>
    <w:rsid w:val="00F71935"/>
    <w:rsid w:val="00F71D50"/>
    <w:rsid w:val="00F72564"/>
    <w:rsid w:val="00F72A09"/>
    <w:rsid w:val="00F73780"/>
    <w:rsid w:val="00F7387C"/>
    <w:rsid w:val="00F742CD"/>
    <w:rsid w:val="00F7472E"/>
    <w:rsid w:val="00F7492B"/>
    <w:rsid w:val="00F74C62"/>
    <w:rsid w:val="00F74E23"/>
    <w:rsid w:val="00F75063"/>
    <w:rsid w:val="00F75B5E"/>
    <w:rsid w:val="00F75FDB"/>
    <w:rsid w:val="00F76963"/>
    <w:rsid w:val="00F77A68"/>
    <w:rsid w:val="00F77FD0"/>
    <w:rsid w:val="00F77FD2"/>
    <w:rsid w:val="00F801CB"/>
    <w:rsid w:val="00F81B57"/>
    <w:rsid w:val="00F82546"/>
    <w:rsid w:val="00F8347F"/>
    <w:rsid w:val="00F83868"/>
    <w:rsid w:val="00F83ABB"/>
    <w:rsid w:val="00F84433"/>
    <w:rsid w:val="00F84DEE"/>
    <w:rsid w:val="00F84F41"/>
    <w:rsid w:val="00F85199"/>
    <w:rsid w:val="00F852CB"/>
    <w:rsid w:val="00F8532F"/>
    <w:rsid w:val="00F855A9"/>
    <w:rsid w:val="00F85AAC"/>
    <w:rsid w:val="00F85B71"/>
    <w:rsid w:val="00F8704F"/>
    <w:rsid w:val="00F87884"/>
    <w:rsid w:val="00F87F1C"/>
    <w:rsid w:val="00F9075D"/>
    <w:rsid w:val="00F90810"/>
    <w:rsid w:val="00F90B83"/>
    <w:rsid w:val="00F90B8C"/>
    <w:rsid w:val="00F9123D"/>
    <w:rsid w:val="00F91633"/>
    <w:rsid w:val="00F92596"/>
    <w:rsid w:val="00F92DE0"/>
    <w:rsid w:val="00F93A83"/>
    <w:rsid w:val="00F93E82"/>
    <w:rsid w:val="00F94CB5"/>
    <w:rsid w:val="00F94CF8"/>
    <w:rsid w:val="00F94D02"/>
    <w:rsid w:val="00F94F11"/>
    <w:rsid w:val="00F95A9A"/>
    <w:rsid w:val="00F9670C"/>
    <w:rsid w:val="00F96C14"/>
    <w:rsid w:val="00F9747F"/>
    <w:rsid w:val="00F977E8"/>
    <w:rsid w:val="00FA0371"/>
    <w:rsid w:val="00FA0F48"/>
    <w:rsid w:val="00FA18CC"/>
    <w:rsid w:val="00FA1B0D"/>
    <w:rsid w:val="00FA2FAF"/>
    <w:rsid w:val="00FA40FA"/>
    <w:rsid w:val="00FA451D"/>
    <w:rsid w:val="00FA4527"/>
    <w:rsid w:val="00FA5905"/>
    <w:rsid w:val="00FA6260"/>
    <w:rsid w:val="00FA6535"/>
    <w:rsid w:val="00FA69A7"/>
    <w:rsid w:val="00FA6A35"/>
    <w:rsid w:val="00FA720B"/>
    <w:rsid w:val="00FA737B"/>
    <w:rsid w:val="00FA77EC"/>
    <w:rsid w:val="00FA7C6E"/>
    <w:rsid w:val="00FA7FDF"/>
    <w:rsid w:val="00FB03E2"/>
    <w:rsid w:val="00FB226F"/>
    <w:rsid w:val="00FB2ACD"/>
    <w:rsid w:val="00FB3180"/>
    <w:rsid w:val="00FB31E7"/>
    <w:rsid w:val="00FB357F"/>
    <w:rsid w:val="00FB3859"/>
    <w:rsid w:val="00FB48B4"/>
    <w:rsid w:val="00FB544F"/>
    <w:rsid w:val="00FB69E5"/>
    <w:rsid w:val="00FB6DE6"/>
    <w:rsid w:val="00FB6F3E"/>
    <w:rsid w:val="00FB789C"/>
    <w:rsid w:val="00FC1A3B"/>
    <w:rsid w:val="00FC1E9A"/>
    <w:rsid w:val="00FC1EAE"/>
    <w:rsid w:val="00FC1FC2"/>
    <w:rsid w:val="00FC2317"/>
    <w:rsid w:val="00FC39C7"/>
    <w:rsid w:val="00FC6387"/>
    <w:rsid w:val="00FC6830"/>
    <w:rsid w:val="00FC6EE2"/>
    <w:rsid w:val="00FC705D"/>
    <w:rsid w:val="00FC715C"/>
    <w:rsid w:val="00FD0F22"/>
    <w:rsid w:val="00FD11AD"/>
    <w:rsid w:val="00FD147A"/>
    <w:rsid w:val="00FD2217"/>
    <w:rsid w:val="00FD28C3"/>
    <w:rsid w:val="00FD30CA"/>
    <w:rsid w:val="00FD3ACC"/>
    <w:rsid w:val="00FD3B0D"/>
    <w:rsid w:val="00FD41E0"/>
    <w:rsid w:val="00FD4DC6"/>
    <w:rsid w:val="00FD5B3A"/>
    <w:rsid w:val="00FD5B56"/>
    <w:rsid w:val="00FD628C"/>
    <w:rsid w:val="00FD62A3"/>
    <w:rsid w:val="00FD65B2"/>
    <w:rsid w:val="00FD6DA0"/>
    <w:rsid w:val="00FD7689"/>
    <w:rsid w:val="00FE0181"/>
    <w:rsid w:val="00FE0958"/>
    <w:rsid w:val="00FE1147"/>
    <w:rsid w:val="00FE1602"/>
    <w:rsid w:val="00FE1AB7"/>
    <w:rsid w:val="00FE1DF5"/>
    <w:rsid w:val="00FE366B"/>
    <w:rsid w:val="00FE447C"/>
    <w:rsid w:val="00FE4EC6"/>
    <w:rsid w:val="00FE6691"/>
    <w:rsid w:val="00FE6E17"/>
    <w:rsid w:val="00FE6E90"/>
    <w:rsid w:val="00FE7A9F"/>
    <w:rsid w:val="00FE7CA4"/>
    <w:rsid w:val="00FF03D8"/>
    <w:rsid w:val="00FF0712"/>
    <w:rsid w:val="00FF07F6"/>
    <w:rsid w:val="00FF0C00"/>
    <w:rsid w:val="00FF1489"/>
    <w:rsid w:val="00FF1C3E"/>
    <w:rsid w:val="00FF1D91"/>
    <w:rsid w:val="00FF274B"/>
    <w:rsid w:val="00FF3149"/>
    <w:rsid w:val="00FF3607"/>
    <w:rsid w:val="00FF363D"/>
    <w:rsid w:val="00FF3C7C"/>
    <w:rsid w:val="00FF562C"/>
    <w:rsid w:val="00FF5D3E"/>
    <w:rsid w:val="00FF6B2D"/>
    <w:rsid w:val="00FF6D4B"/>
    <w:rsid w:val="00FF75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6033"/>
  <w15:docId w15:val="{9B2D24C6-1FB3-439B-8D00-E2047A70C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9269E"/>
    <w:pPr>
      <w:tabs>
        <w:tab w:val="left" w:pos="720"/>
      </w:tabs>
      <w:spacing w:after="120" w:line="240" w:lineRule="auto"/>
      <w:jc w:val="both"/>
    </w:pPr>
    <w:rPr>
      <w:rFonts w:ascii="Segoe UI" w:hAnsi="Segoe UI"/>
      <w:spacing w:val="-7"/>
    </w:rPr>
  </w:style>
  <w:style w:type="paragraph" w:styleId="Heading1">
    <w:name w:val="heading 1"/>
    <w:basedOn w:val="Normal"/>
    <w:next w:val="ListParagraph"/>
    <w:link w:val="Heading1Char"/>
    <w:autoRedefine/>
    <w:uiPriority w:val="9"/>
    <w:qFormat/>
    <w:rsid w:val="009F3496"/>
    <w:pPr>
      <w:keepNext/>
      <w:keepLines/>
      <w:pageBreakBefore/>
      <w:numPr>
        <w:numId w:val="1"/>
      </w:numPr>
      <w:spacing w:before="120"/>
      <w:jc w:val="center"/>
      <w:outlineLvl w:val="0"/>
    </w:pPr>
    <w:rPr>
      <w:rFonts w:eastAsiaTheme="majorEastAsia" w:cstheme="majorBidi"/>
      <w:b/>
      <w:smallCaps/>
      <w:color w:val="222A35" w:themeColor="text2" w:themeShade="80"/>
      <w:sz w:val="28"/>
      <w:szCs w:val="32"/>
    </w:rPr>
  </w:style>
  <w:style w:type="paragraph" w:styleId="Heading2">
    <w:name w:val="heading 2"/>
    <w:basedOn w:val="Normal"/>
    <w:next w:val="ListParagraph"/>
    <w:link w:val="Heading2Char"/>
    <w:autoRedefine/>
    <w:uiPriority w:val="9"/>
    <w:unhideWhenUsed/>
    <w:qFormat/>
    <w:rsid w:val="00A94976"/>
    <w:pPr>
      <w:keepNext/>
      <w:keepLines/>
      <w:numPr>
        <w:numId w:val="2"/>
      </w:numPr>
      <w:spacing w:before="240" w:line="259" w:lineRule="auto"/>
      <w:jc w:val="left"/>
      <w:outlineLvl w:val="1"/>
    </w:pPr>
    <w:rPr>
      <w:rFonts w:eastAsiaTheme="majorEastAsia" w:cstheme="majorBidi"/>
      <w:b/>
      <w:spacing w:val="-8"/>
      <w:sz w:val="26"/>
      <w:szCs w:val="26"/>
    </w:rPr>
  </w:style>
  <w:style w:type="paragraph" w:styleId="Heading3">
    <w:name w:val="heading 3"/>
    <w:basedOn w:val="Normal"/>
    <w:next w:val="Normal"/>
    <w:link w:val="Heading3Char"/>
    <w:autoRedefine/>
    <w:uiPriority w:val="9"/>
    <w:unhideWhenUsed/>
    <w:qFormat/>
    <w:rsid w:val="00BD5D10"/>
    <w:pPr>
      <w:keepNext/>
      <w:keepLines/>
      <w:tabs>
        <w:tab w:val="left" w:pos="5230"/>
      </w:tabs>
      <w:ind w:left="708"/>
      <w:outlineLvl w:val="2"/>
    </w:pPr>
    <w:rPr>
      <w:rFonts w:ascii="Arial" w:hAnsi="Arial"/>
      <w:b/>
      <w:spacing w:val="-2"/>
      <w:sz w:val="21"/>
      <w:szCs w:val="21"/>
    </w:rPr>
  </w:style>
  <w:style w:type="paragraph" w:styleId="Heading4">
    <w:name w:val="heading 4"/>
    <w:basedOn w:val="Normal"/>
    <w:next w:val="Normal"/>
    <w:link w:val="Heading4Char"/>
    <w:uiPriority w:val="9"/>
    <w:unhideWhenUsed/>
    <w:qFormat/>
    <w:rsid w:val="00A53A7A"/>
    <w:pPr>
      <w:keepNext/>
      <w:keepLines/>
      <w:spacing w:before="120" w:after="20"/>
      <w:ind w:left="567"/>
      <w:outlineLvl w:val="3"/>
    </w:pPr>
    <w:rPr>
      <w:rFonts w:ascii="Arial" w:eastAsiaTheme="majorEastAsia" w:hAnsi="Arial" w:cstheme="majorBidi"/>
      <w:b/>
      <w:iCs/>
      <w:spacing w:val="-4"/>
      <w:sz w:val="21"/>
      <w:u w:val="single"/>
    </w:rPr>
  </w:style>
  <w:style w:type="paragraph" w:styleId="Heading5">
    <w:name w:val="heading 5"/>
    <w:basedOn w:val="Normal"/>
    <w:next w:val="Normal"/>
    <w:link w:val="Heading5Char"/>
    <w:uiPriority w:val="9"/>
    <w:semiHidden/>
    <w:unhideWhenUsed/>
    <w:qFormat/>
    <w:rsid w:val="001302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496"/>
    <w:rPr>
      <w:rFonts w:ascii="Segoe UI" w:eastAsiaTheme="majorEastAsia" w:hAnsi="Segoe UI" w:cstheme="majorBidi"/>
      <w:b/>
      <w:smallCaps/>
      <w:color w:val="222A35" w:themeColor="text2" w:themeShade="80"/>
      <w:spacing w:val="-7"/>
      <w:sz w:val="28"/>
      <w:szCs w:val="32"/>
    </w:rPr>
  </w:style>
  <w:style w:type="character" w:customStyle="1" w:styleId="Heading2Char">
    <w:name w:val="Heading 2 Char"/>
    <w:basedOn w:val="DefaultParagraphFont"/>
    <w:link w:val="Heading2"/>
    <w:uiPriority w:val="9"/>
    <w:rsid w:val="00A94976"/>
    <w:rPr>
      <w:rFonts w:ascii="Segoe UI" w:eastAsiaTheme="majorEastAsia" w:hAnsi="Segoe UI" w:cstheme="majorBidi"/>
      <w:b/>
      <w:spacing w:val="-8"/>
      <w:sz w:val="26"/>
      <w:szCs w:val="26"/>
    </w:rPr>
  </w:style>
  <w:style w:type="paragraph" w:styleId="ListParagraph">
    <w:name w:val="List Paragraph"/>
    <w:aliases w:val="titulo 5,MAPA,Viñeta,TITULO A,Cuadro 2-1,paul2,Iz - Párrafo de lista,Sivsa Parrafo,Titulo de Fígura,Fundamentacion,ct parrafo,FooterText,numbered,lp1,Bullet Normal,Bulleted List1,Bullet List,Paragraphe de liste,List1"/>
    <w:basedOn w:val="Normal"/>
    <w:link w:val="ListParagraphChar"/>
    <w:autoRedefine/>
    <w:uiPriority w:val="34"/>
    <w:qFormat/>
    <w:rsid w:val="00177705"/>
    <w:pPr>
      <w:numPr>
        <w:numId w:val="26"/>
      </w:numPr>
      <w:spacing w:before="40" w:after="40"/>
      <w:jc w:val="left"/>
    </w:pPr>
    <w:rPr>
      <w:rFonts w:ascii="Arial Narrow" w:hAnsi="Arial Narrow"/>
      <w:sz w:val="18"/>
      <w:lang w:val="es-ES"/>
    </w:rPr>
  </w:style>
  <w:style w:type="character" w:styleId="LineNumber">
    <w:name w:val="line number"/>
    <w:basedOn w:val="DefaultParagraphFont"/>
    <w:uiPriority w:val="99"/>
    <w:semiHidden/>
    <w:unhideWhenUsed/>
    <w:rsid w:val="005A043B"/>
  </w:style>
  <w:style w:type="paragraph" w:styleId="TOC1">
    <w:name w:val="toc 1"/>
    <w:basedOn w:val="Normal"/>
    <w:next w:val="Normal"/>
    <w:autoRedefine/>
    <w:uiPriority w:val="39"/>
    <w:unhideWhenUsed/>
    <w:rsid w:val="00FB6F3E"/>
    <w:pPr>
      <w:tabs>
        <w:tab w:val="right" w:leader="dot" w:pos="9061"/>
      </w:tabs>
      <w:spacing w:before="120"/>
      <w:jc w:val="left"/>
    </w:pPr>
    <w:rPr>
      <w:rFonts w:cstheme="minorHAnsi"/>
      <w:b/>
      <w:bCs/>
      <w:caps/>
      <w:szCs w:val="20"/>
    </w:rPr>
  </w:style>
  <w:style w:type="paragraph" w:styleId="TOC2">
    <w:name w:val="toc 2"/>
    <w:basedOn w:val="Normal"/>
    <w:next w:val="Normal"/>
    <w:autoRedefine/>
    <w:uiPriority w:val="39"/>
    <w:unhideWhenUsed/>
    <w:rsid w:val="00324A5D"/>
    <w:pPr>
      <w:tabs>
        <w:tab w:val="right" w:leader="dot" w:pos="9061"/>
      </w:tabs>
      <w:spacing w:after="0"/>
      <w:ind w:left="200"/>
      <w:jc w:val="left"/>
    </w:pPr>
    <w:rPr>
      <w:rFonts w:cstheme="minorHAnsi"/>
      <w:smallCaps/>
      <w:szCs w:val="20"/>
    </w:rPr>
  </w:style>
  <w:style w:type="paragraph" w:styleId="TOC3">
    <w:name w:val="toc 3"/>
    <w:basedOn w:val="Normal"/>
    <w:next w:val="Normal"/>
    <w:autoRedefine/>
    <w:uiPriority w:val="39"/>
    <w:unhideWhenUsed/>
    <w:rsid w:val="00A32F1F"/>
    <w:pPr>
      <w:spacing w:after="0"/>
      <w:ind w:left="400"/>
      <w:jc w:val="left"/>
    </w:pPr>
    <w:rPr>
      <w:rFonts w:cstheme="minorHAnsi"/>
      <w:i/>
      <w:iCs/>
      <w:szCs w:val="20"/>
    </w:rPr>
  </w:style>
  <w:style w:type="paragraph" w:styleId="TOC4">
    <w:name w:val="toc 4"/>
    <w:basedOn w:val="Normal"/>
    <w:next w:val="Normal"/>
    <w:autoRedefine/>
    <w:uiPriority w:val="39"/>
    <w:unhideWhenUsed/>
    <w:rsid w:val="00A32F1F"/>
    <w:pPr>
      <w:spacing w:after="0"/>
      <w:ind w:left="600"/>
      <w:jc w:val="left"/>
    </w:pPr>
    <w:rPr>
      <w:rFonts w:cstheme="minorHAnsi"/>
      <w:sz w:val="18"/>
      <w:szCs w:val="18"/>
    </w:rPr>
  </w:style>
  <w:style w:type="paragraph" w:styleId="TOC5">
    <w:name w:val="toc 5"/>
    <w:basedOn w:val="Normal"/>
    <w:next w:val="Normal"/>
    <w:autoRedefine/>
    <w:uiPriority w:val="39"/>
    <w:unhideWhenUsed/>
    <w:rsid w:val="00A32F1F"/>
    <w:pPr>
      <w:spacing w:after="0"/>
      <w:ind w:left="800"/>
      <w:jc w:val="left"/>
    </w:pPr>
    <w:rPr>
      <w:rFonts w:cstheme="minorHAnsi"/>
      <w:sz w:val="18"/>
      <w:szCs w:val="18"/>
    </w:rPr>
  </w:style>
  <w:style w:type="paragraph" w:styleId="TOC6">
    <w:name w:val="toc 6"/>
    <w:basedOn w:val="Normal"/>
    <w:next w:val="Normal"/>
    <w:autoRedefine/>
    <w:uiPriority w:val="39"/>
    <w:unhideWhenUsed/>
    <w:rsid w:val="00A32F1F"/>
    <w:pPr>
      <w:spacing w:after="0"/>
      <w:ind w:left="1000"/>
      <w:jc w:val="left"/>
    </w:pPr>
    <w:rPr>
      <w:rFonts w:cstheme="minorHAnsi"/>
      <w:sz w:val="18"/>
      <w:szCs w:val="18"/>
    </w:rPr>
  </w:style>
  <w:style w:type="paragraph" w:styleId="TOC7">
    <w:name w:val="toc 7"/>
    <w:basedOn w:val="Normal"/>
    <w:next w:val="Normal"/>
    <w:autoRedefine/>
    <w:uiPriority w:val="39"/>
    <w:unhideWhenUsed/>
    <w:rsid w:val="00A32F1F"/>
    <w:pPr>
      <w:spacing w:after="0"/>
      <w:ind w:left="1200"/>
      <w:jc w:val="left"/>
    </w:pPr>
    <w:rPr>
      <w:rFonts w:cstheme="minorHAnsi"/>
      <w:sz w:val="18"/>
      <w:szCs w:val="18"/>
    </w:rPr>
  </w:style>
  <w:style w:type="paragraph" w:styleId="TOC8">
    <w:name w:val="toc 8"/>
    <w:basedOn w:val="Normal"/>
    <w:next w:val="Normal"/>
    <w:autoRedefine/>
    <w:uiPriority w:val="39"/>
    <w:unhideWhenUsed/>
    <w:rsid w:val="00A32F1F"/>
    <w:pPr>
      <w:spacing w:after="0"/>
      <w:ind w:left="1400"/>
      <w:jc w:val="left"/>
    </w:pPr>
    <w:rPr>
      <w:rFonts w:cstheme="minorHAnsi"/>
      <w:sz w:val="18"/>
      <w:szCs w:val="18"/>
    </w:rPr>
  </w:style>
  <w:style w:type="paragraph" w:styleId="TOC9">
    <w:name w:val="toc 9"/>
    <w:basedOn w:val="Normal"/>
    <w:next w:val="Normal"/>
    <w:autoRedefine/>
    <w:uiPriority w:val="39"/>
    <w:unhideWhenUsed/>
    <w:rsid w:val="00A32F1F"/>
    <w:pPr>
      <w:spacing w:after="0"/>
      <w:ind w:left="1600"/>
      <w:jc w:val="left"/>
    </w:pPr>
    <w:rPr>
      <w:rFonts w:cstheme="minorHAnsi"/>
      <w:sz w:val="18"/>
      <w:szCs w:val="18"/>
    </w:rPr>
  </w:style>
  <w:style w:type="character" w:styleId="Hyperlink">
    <w:name w:val="Hyperlink"/>
    <w:basedOn w:val="DefaultParagraphFont"/>
    <w:uiPriority w:val="99"/>
    <w:unhideWhenUsed/>
    <w:rsid w:val="00A32F1F"/>
    <w:rPr>
      <w:color w:val="0563C1" w:themeColor="hyperlink"/>
      <w:u w:val="single"/>
    </w:rPr>
  </w:style>
  <w:style w:type="paragraph" w:styleId="NormalWeb">
    <w:name w:val="Normal (Web)"/>
    <w:basedOn w:val="Normal"/>
    <w:uiPriority w:val="99"/>
    <w:unhideWhenUsed/>
    <w:rsid w:val="00C33AA4"/>
    <w:pPr>
      <w:spacing w:before="100" w:beforeAutospacing="1" w:after="100" w:afterAutospacing="1"/>
      <w:jc w:val="left"/>
    </w:pPr>
    <w:rPr>
      <w:rFonts w:ascii="Times New Roman" w:eastAsiaTheme="minorEastAsia" w:hAnsi="Times New Roman" w:cs="Times New Roman"/>
      <w:spacing w:val="0"/>
      <w:sz w:val="24"/>
      <w:szCs w:val="24"/>
      <w:lang w:eastAsia="es-EC"/>
    </w:rPr>
  </w:style>
  <w:style w:type="paragraph" w:styleId="Caption">
    <w:name w:val="caption"/>
    <w:basedOn w:val="Normal"/>
    <w:next w:val="Normal"/>
    <w:uiPriority w:val="35"/>
    <w:unhideWhenUsed/>
    <w:qFormat/>
    <w:rsid w:val="00F420CD"/>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D5D10"/>
    <w:rPr>
      <w:rFonts w:ascii="Arial" w:hAnsi="Arial"/>
      <w:b/>
      <w:spacing w:val="-2"/>
      <w:sz w:val="21"/>
      <w:szCs w:val="21"/>
    </w:rPr>
  </w:style>
  <w:style w:type="paragraph" w:styleId="FootnoteText">
    <w:name w:val="footnote text"/>
    <w:aliases w:val="fn,footnote,ft,foottextfra,F,Texto nota pie IIRSA,Texto de rodapé,nota_rodapé,nota de rodapé,FOOTNOTES,single space,footnote text,Style 25,Texto nota piepddes Car Car,Texto nota piepddes Car,Footnote Text Char2,Footnote Text Char1 Char1,f"/>
    <w:basedOn w:val="Normal"/>
    <w:link w:val="FootnoteTextChar"/>
    <w:autoRedefine/>
    <w:uiPriority w:val="99"/>
    <w:unhideWhenUsed/>
    <w:qFormat/>
    <w:rsid w:val="00303956"/>
    <w:pPr>
      <w:spacing w:after="0"/>
      <w:ind w:left="170" w:hanging="170"/>
    </w:pPr>
    <w:rPr>
      <w:rFonts w:ascii="Arial" w:hAnsi="Arial"/>
      <w:sz w:val="17"/>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303956"/>
    <w:rPr>
      <w:rFonts w:ascii="Arial" w:hAnsi="Arial"/>
      <w:spacing w:val="-7"/>
      <w:sz w:val="17"/>
      <w:szCs w:val="20"/>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s refss,Texto de nota al pie,o"/>
    <w:basedOn w:val="DefaultParagraphFont"/>
    <w:unhideWhenUsed/>
    <w:qFormat/>
    <w:rsid w:val="004D1C1C"/>
    <w:rPr>
      <w:vertAlign w:val="superscript"/>
    </w:rPr>
  </w:style>
  <w:style w:type="paragraph" w:styleId="Title">
    <w:name w:val="Title"/>
    <w:basedOn w:val="Normal"/>
    <w:next w:val="Normal"/>
    <w:link w:val="TitleChar"/>
    <w:uiPriority w:val="10"/>
    <w:qFormat/>
    <w:rsid w:val="00F1165D"/>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165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AC1740"/>
    <w:rPr>
      <w:color w:val="954F72" w:themeColor="followedHyperlink"/>
      <w:u w:val="single"/>
    </w:rPr>
  </w:style>
  <w:style w:type="table" w:styleId="TableGrid">
    <w:name w:val="Table Grid"/>
    <w:aliases w:val="Estilo_C230 Consultores_1"/>
    <w:basedOn w:val="TableNormal"/>
    <w:uiPriority w:val="59"/>
    <w:rsid w:val="002B3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3E2E"/>
    <w:pPr>
      <w:spacing w:after="0" w:line="240" w:lineRule="auto"/>
      <w:jc w:val="both"/>
    </w:pPr>
    <w:rPr>
      <w:spacing w:val="-2"/>
      <w:sz w:val="20"/>
    </w:rPr>
  </w:style>
  <w:style w:type="character" w:customStyle="1" w:styleId="ListParagraphChar">
    <w:name w:val="List Paragraph Char"/>
    <w:aliases w:val="titulo 5 Char,MAPA Char,Viñeta Char,TITULO A Char,Cuadro 2-1 Char,paul2 Char,Iz - Párrafo de lista Char,Sivsa Parrafo Char,Titulo de Fígura Char,Fundamentacion Char,ct parrafo Char,FooterText Char,numbered Char,lp1 Char,List1 Char"/>
    <w:link w:val="ListParagraph"/>
    <w:uiPriority w:val="34"/>
    <w:qFormat/>
    <w:rsid w:val="00177705"/>
    <w:rPr>
      <w:rFonts w:ascii="Arial Narrow" w:hAnsi="Arial Narrow"/>
      <w:spacing w:val="-7"/>
      <w:sz w:val="18"/>
      <w:lang w:val="es-ES"/>
    </w:rPr>
  </w:style>
  <w:style w:type="paragraph" w:styleId="Header">
    <w:name w:val="header"/>
    <w:basedOn w:val="Normal"/>
    <w:link w:val="HeaderChar"/>
    <w:uiPriority w:val="99"/>
    <w:unhideWhenUsed/>
    <w:rsid w:val="003C4ADF"/>
    <w:pPr>
      <w:tabs>
        <w:tab w:val="center" w:pos="4252"/>
        <w:tab w:val="right" w:pos="8504"/>
      </w:tabs>
      <w:spacing w:after="0"/>
    </w:pPr>
  </w:style>
  <w:style w:type="character" w:customStyle="1" w:styleId="HeaderChar">
    <w:name w:val="Header Char"/>
    <w:basedOn w:val="DefaultParagraphFont"/>
    <w:link w:val="Header"/>
    <w:uiPriority w:val="99"/>
    <w:rsid w:val="003C4ADF"/>
    <w:rPr>
      <w:spacing w:val="-2"/>
      <w:sz w:val="20"/>
    </w:rPr>
  </w:style>
  <w:style w:type="paragraph" w:styleId="Footer">
    <w:name w:val="footer"/>
    <w:basedOn w:val="Normal"/>
    <w:link w:val="FooterChar"/>
    <w:uiPriority w:val="99"/>
    <w:unhideWhenUsed/>
    <w:rsid w:val="003C4ADF"/>
    <w:pPr>
      <w:tabs>
        <w:tab w:val="center" w:pos="4252"/>
        <w:tab w:val="right" w:pos="8504"/>
      </w:tabs>
      <w:spacing w:after="0"/>
    </w:pPr>
  </w:style>
  <w:style w:type="character" w:customStyle="1" w:styleId="FooterChar">
    <w:name w:val="Footer Char"/>
    <w:basedOn w:val="DefaultParagraphFont"/>
    <w:link w:val="Footer"/>
    <w:uiPriority w:val="99"/>
    <w:rsid w:val="003C4ADF"/>
    <w:rPr>
      <w:spacing w:val="-2"/>
      <w:sz w:val="20"/>
    </w:rPr>
  </w:style>
  <w:style w:type="paragraph" w:styleId="TableofFigures">
    <w:name w:val="table of figures"/>
    <w:basedOn w:val="Normal"/>
    <w:next w:val="Normal"/>
    <w:uiPriority w:val="99"/>
    <w:unhideWhenUsed/>
    <w:rsid w:val="00591FD3"/>
    <w:pPr>
      <w:tabs>
        <w:tab w:val="clear" w:pos="720"/>
      </w:tabs>
      <w:spacing w:after="0"/>
      <w:ind w:left="680" w:hanging="680"/>
      <w:jc w:val="left"/>
    </w:pPr>
    <w:rPr>
      <w:rFonts w:cstheme="minorHAnsi"/>
      <w:smallCaps/>
      <w:sz w:val="20"/>
      <w:szCs w:val="20"/>
    </w:rPr>
  </w:style>
  <w:style w:type="paragraph" w:customStyle="1" w:styleId="Style2">
    <w:name w:val="Style 2"/>
    <w:basedOn w:val="Normal"/>
    <w:rsid w:val="009D5D66"/>
    <w:pPr>
      <w:widowControl w:val="0"/>
      <w:autoSpaceDE w:val="0"/>
      <w:autoSpaceDN w:val="0"/>
      <w:spacing w:after="0"/>
    </w:pPr>
    <w:rPr>
      <w:rFonts w:ascii="Calibri" w:eastAsia="Times New Roman" w:hAnsi="Calibri" w:cs="Times New Roman"/>
      <w:spacing w:val="0"/>
      <w:szCs w:val="24"/>
      <w:lang w:val="es-ES" w:eastAsia="es-ES"/>
    </w:rPr>
  </w:style>
  <w:style w:type="paragraph" w:styleId="BalloonText">
    <w:name w:val="Balloon Text"/>
    <w:basedOn w:val="Normal"/>
    <w:link w:val="BalloonTextChar"/>
    <w:uiPriority w:val="99"/>
    <w:semiHidden/>
    <w:unhideWhenUsed/>
    <w:rsid w:val="00D000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E4"/>
    <w:rPr>
      <w:rFonts w:ascii="Tahoma" w:hAnsi="Tahoma" w:cs="Tahoma"/>
      <w:spacing w:val="-2"/>
      <w:sz w:val="16"/>
      <w:szCs w:val="16"/>
    </w:rPr>
  </w:style>
  <w:style w:type="table" w:customStyle="1" w:styleId="Tabladecuadrcula6concolores1">
    <w:name w:val="Tabla de cuadrícula 6 con colores1"/>
    <w:basedOn w:val="TableNormal"/>
    <w:uiPriority w:val="51"/>
    <w:rsid w:val="004447D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eNormal"/>
    <w:uiPriority w:val="40"/>
    <w:rsid w:val="004447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A53A7A"/>
    <w:rPr>
      <w:rFonts w:ascii="Arial" w:eastAsiaTheme="majorEastAsia" w:hAnsi="Arial" w:cstheme="majorBidi"/>
      <w:b/>
      <w:iCs/>
      <w:spacing w:val="-4"/>
      <w:sz w:val="21"/>
      <w:u w:val="single"/>
    </w:rPr>
  </w:style>
  <w:style w:type="table" w:customStyle="1" w:styleId="Tabladecuadrcula6concolores10">
    <w:name w:val="Tabla de cuadrícula 6 con colores1"/>
    <w:basedOn w:val="TableNormal"/>
    <w:uiPriority w:val="51"/>
    <w:rsid w:val="0004238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0">
    <w:name w:val="Cuadrícula de tabla clara1"/>
    <w:basedOn w:val="TableNormal"/>
    <w:uiPriority w:val="40"/>
    <w:rsid w:val="000423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042385"/>
    <w:rPr>
      <w:sz w:val="16"/>
      <w:szCs w:val="16"/>
    </w:rPr>
  </w:style>
  <w:style w:type="paragraph" w:styleId="CommentText">
    <w:name w:val="annotation text"/>
    <w:basedOn w:val="Normal"/>
    <w:link w:val="CommentTextChar"/>
    <w:uiPriority w:val="99"/>
    <w:semiHidden/>
    <w:unhideWhenUsed/>
    <w:rsid w:val="00042385"/>
    <w:rPr>
      <w:szCs w:val="20"/>
    </w:rPr>
  </w:style>
  <w:style w:type="character" w:customStyle="1" w:styleId="CommentTextChar">
    <w:name w:val="Comment Text Char"/>
    <w:basedOn w:val="DefaultParagraphFont"/>
    <w:link w:val="CommentText"/>
    <w:uiPriority w:val="99"/>
    <w:semiHidden/>
    <w:rsid w:val="00042385"/>
    <w:rPr>
      <w:spacing w:val="-2"/>
      <w:sz w:val="20"/>
      <w:szCs w:val="20"/>
    </w:rPr>
  </w:style>
  <w:style w:type="paragraph" w:styleId="CommentSubject">
    <w:name w:val="annotation subject"/>
    <w:basedOn w:val="CommentText"/>
    <w:next w:val="CommentText"/>
    <w:link w:val="CommentSubjectChar"/>
    <w:uiPriority w:val="99"/>
    <w:semiHidden/>
    <w:unhideWhenUsed/>
    <w:rsid w:val="00042385"/>
    <w:rPr>
      <w:b/>
      <w:bCs/>
    </w:rPr>
  </w:style>
  <w:style w:type="character" w:customStyle="1" w:styleId="CommentSubjectChar">
    <w:name w:val="Comment Subject Char"/>
    <w:basedOn w:val="CommentTextChar"/>
    <w:link w:val="CommentSubject"/>
    <w:uiPriority w:val="99"/>
    <w:semiHidden/>
    <w:rsid w:val="00042385"/>
    <w:rPr>
      <w:b/>
      <w:bCs/>
      <w:spacing w:val="-2"/>
      <w:sz w:val="20"/>
      <w:szCs w:val="20"/>
    </w:rPr>
  </w:style>
  <w:style w:type="paragraph" w:styleId="Revision">
    <w:name w:val="Revision"/>
    <w:hidden/>
    <w:uiPriority w:val="99"/>
    <w:semiHidden/>
    <w:rsid w:val="00042385"/>
    <w:pPr>
      <w:spacing w:after="0" w:line="240" w:lineRule="auto"/>
    </w:pPr>
    <w:rPr>
      <w:spacing w:val="-2"/>
      <w:sz w:val="20"/>
    </w:rPr>
  </w:style>
  <w:style w:type="paragraph" w:customStyle="1" w:styleId="Default">
    <w:name w:val="Default"/>
    <w:rsid w:val="00234138"/>
    <w:pPr>
      <w:autoSpaceDE w:val="0"/>
      <w:autoSpaceDN w:val="0"/>
      <w:adjustRightInd w:val="0"/>
      <w:spacing w:after="0" w:line="240" w:lineRule="auto"/>
    </w:pPr>
    <w:rPr>
      <w:rFonts w:ascii="Segoe UI" w:hAnsi="Segoe UI" w:cs="Segoe UI"/>
      <w:color w:val="000000"/>
      <w:sz w:val="24"/>
      <w:szCs w:val="24"/>
    </w:rPr>
  </w:style>
  <w:style w:type="table" w:customStyle="1" w:styleId="Tablaconcuadrcula1">
    <w:name w:val="Tabla con cuadrícula1"/>
    <w:basedOn w:val="TableNormal"/>
    <w:next w:val="TableGrid"/>
    <w:uiPriority w:val="59"/>
    <w:rsid w:val="00993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1302F2"/>
    <w:rPr>
      <w:rFonts w:asciiTheme="majorHAnsi" w:eastAsiaTheme="majorEastAsia" w:hAnsiTheme="majorHAnsi" w:cstheme="majorBidi"/>
      <w:color w:val="2E74B5" w:themeColor="accent1" w:themeShade="BF"/>
      <w:spacing w:val="-2"/>
      <w:sz w:val="20"/>
    </w:rPr>
  </w:style>
  <w:style w:type="paragraph" w:customStyle="1" w:styleId="Estilo1">
    <w:name w:val="Estilo1"/>
    <w:basedOn w:val="ListParagraph"/>
    <w:link w:val="Estilo1Car"/>
    <w:autoRedefine/>
    <w:qFormat/>
    <w:rsid w:val="009B54B5"/>
    <w:pPr>
      <w:numPr>
        <w:ilvl w:val="2"/>
        <w:numId w:val="1"/>
      </w:numPr>
      <w:tabs>
        <w:tab w:val="clear" w:pos="720"/>
      </w:tabs>
      <w:spacing w:before="0" w:after="80"/>
      <w:ind w:left="567" w:hanging="567"/>
      <w:jc w:val="both"/>
    </w:pPr>
    <w:rPr>
      <w:rFonts w:ascii="Arial" w:hAnsi="Arial"/>
      <w:spacing w:val="-2"/>
      <w:sz w:val="21"/>
      <w:lang w:val="es-EC"/>
    </w:rPr>
  </w:style>
  <w:style w:type="character" w:customStyle="1" w:styleId="Estilo1Car">
    <w:name w:val="Estilo1 Car"/>
    <w:basedOn w:val="DefaultParagraphFont"/>
    <w:link w:val="Estilo1"/>
    <w:rsid w:val="009B54B5"/>
    <w:rPr>
      <w:rFonts w:ascii="Arial" w:hAnsi="Arial"/>
      <w:spacing w:val="-2"/>
      <w:sz w:val="21"/>
    </w:rPr>
  </w:style>
  <w:style w:type="character" w:customStyle="1" w:styleId="Mencinsinresolver1">
    <w:name w:val="Mención sin resolver1"/>
    <w:basedOn w:val="DefaultParagraphFont"/>
    <w:uiPriority w:val="99"/>
    <w:semiHidden/>
    <w:unhideWhenUsed/>
    <w:rsid w:val="002359FB"/>
    <w:rPr>
      <w:color w:val="605E5C"/>
      <w:shd w:val="clear" w:color="auto" w:fill="E1DFDD"/>
    </w:rPr>
  </w:style>
  <w:style w:type="paragraph" w:customStyle="1" w:styleId="numeradorom">
    <w:name w:val="numerado rom"/>
    <w:basedOn w:val="Estilo1"/>
    <w:link w:val="numeradoromCar"/>
    <w:qFormat/>
    <w:rsid w:val="008B695D"/>
    <w:pPr>
      <w:spacing w:after="0"/>
      <w:ind w:left="1800" w:hanging="720"/>
    </w:pPr>
  </w:style>
  <w:style w:type="character" w:customStyle="1" w:styleId="numeradoromCar">
    <w:name w:val="numerado rom Car"/>
    <w:basedOn w:val="Estilo1Car"/>
    <w:link w:val="numeradorom"/>
    <w:rsid w:val="008B695D"/>
    <w:rPr>
      <w:rFonts w:ascii="Arial" w:hAnsi="Arial"/>
      <w:spacing w:val="-2"/>
      <w:sz w:val="21"/>
    </w:rPr>
  </w:style>
  <w:style w:type="paragraph" w:styleId="EndnoteText">
    <w:name w:val="endnote text"/>
    <w:basedOn w:val="Normal"/>
    <w:link w:val="EndnoteTextChar"/>
    <w:uiPriority w:val="99"/>
    <w:semiHidden/>
    <w:unhideWhenUsed/>
    <w:rsid w:val="0062784E"/>
    <w:pPr>
      <w:spacing w:after="0"/>
    </w:pPr>
    <w:rPr>
      <w:szCs w:val="20"/>
    </w:rPr>
  </w:style>
  <w:style w:type="character" w:customStyle="1" w:styleId="EndnoteTextChar">
    <w:name w:val="Endnote Text Char"/>
    <w:basedOn w:val="DefaultParagraphFont"/>
    <w:link w:val="EndnoteText"/>
    <w:uiPriority w:val="99"/>
    <w:semiHidden/>
    <w:rsid w:val="0062784E"/>
    <w:rPr>
      <w:spacing w:val="-6"/>
      <w:sz w:val="20"/>
      <w:szCs w:val="20"/>
    </w:rPr>
  </w:style>
  <w:style w:type="character" w:styleId="EndnoteReference">
    <w:name w:val="endnote reference"/>
    <w:basedOn w:val="DefaultParagraphFont"/>
    <w:uiPriority w:val="99"/>
    <w:semiHidden/>
    <w:unhideWhenUsed/>
    <w:rsid w:val="0062784E"/>
    <w:rPr>
      <w:vertAlign w:val="superscript"/>
    </w:rPr>
  </w:style>
  <w:style w:type="paragraph" w:customStyle="1" w:styleId="Chapter">
    <w:name w:val="Chapter"/>
    <w:basedOn w:val="Normal"/>
    <w:next w:val="Normal"/>
    <w:rsid w:val="0098458E"/>
    <w:pPr>
      <w:numPr>
        <w:numId w:val="25"/>
      </w:numPr>
      <w:tabs>
        <w:tab w:val="clear" w:pos="720"/>
        <w:tab w:val="left" w:pos="1440"/>
      </w:tabs>
      <w:spacing w:after="240"/>
      <w:jc w:val="center"/>
    </w:pPr>
    <w:rPr>
      <w:rFonts w:ascii="Times New Roman" w:eastAsia="Times New Roman" w:hAnsi="Times New Roman" w:cs="Times New Roman"/>
      <w:b/>
      <w:smallCaps/>
      <w:spacing w:val="0"/>
      <w:sz w:val="24"/>
      <w:szCs w:val="20"/>
      <w:lang w:val="es-ES_tradnl"/>
    </w:rPr>
  </w:style>
  <w:style w:type="paragraph" w:customStyle="1" w:styleId="Paragraph">
    <w:name w:val="Paragraph"/>
    <w:aliases w:val="paragraph,p,PARAGRAPH,PG,pa,at"/>
    <w:basedOn w:val="BodyTextIndent"/>
    <w:rsid w:val="0098458E"/>
    <w:pPr>
      <w:numPr>
        <w:ilvl w:val="1"/>
        <w:numId w:val="25"/>
      </w:numPr>
      <w:tabs>
        <w:tab w:val="left" w:pos="720"/>
      </w:tabs>
      <w:spacing w:before="120"/>
      <w:ind w:left="2148" w:hanging="360"/>
      <w:outlineLvl w:val="1"/>
    </w:pPr>
    <w:rPr>
      <w:rFonts w:ascii="Times New Roman" w:eastAsia="Times New Roman" w:hAnsi="Times New Roman" w:cs="Times New Roman"/>
      <w:spacing w:val="0"/>
      <w:sz w:val="24"/>
      <w:szCs w:val="20"/>
      <w:lang w:val="pt-BR"/>
    </w:rPr>
  </w:style>
  <w:style w:type="paragraph" w:customStyle="1" w:styleId="subpar">
    <w:name w:val="subpar"/>
    <w:basedOn w:val="BodyTextIndent3"/>
    <w:rsid w:val="0098458E"/>
    <w:pPr>
      <w:numPr>
        <w:ilvl w:val="2"/>
        <w:numId w:val="25"/>
      </w:numPr>
      <w:tabs>
        <w:tab w:val="clear" w:pos="720"/>
        <w:tab w:val="clear" w:pos="1152"/>
      </w:tabs>
      <w:spacing w:before="120"/>
      <w:ind w:left="2868" w:hanging="180"/>
      <w:outlineLvl w:val="2"/>
    </w:pPr>
    <w:rPr>
      <w:rFonts w:ascii="Times New Roman" w:eastAsia="Times New Roman" w:hAnsi="Times New Roman" w:cs="Times New Roman"/>
      <w:spacing w:val="0"/>
      <w:sz w:val="24"/>
      <w:szCs w:val="20"/>
      <w:lang w:val="es-ES_tradnl"/>
    </w:rPr>
  </w:style>
  <w:style w:type="paragraph" w:customStyle="1" w:styleId="SubSubPar">
    <w:name w:val="SubSubPar"/>
    <w:basedOn w:val="subpar"/>
    <w:rsid w:val="0098458E"/>
    <w:pPr>
      <w:numPr>
        <w:ilvl w:val="3"/>
      </w:numPr>
      <w:tabs>
        <w:tab w:val="clear" w:pos="1584"/>
        <w:tab w:val="left" w:pos="0"/>
      </w:tabs>
      <w:ind w:left="2745" w:hanging="360"/>
    </w:pPr>
  </w:style>
  <w:style w:type="paragraph" w:styleId="BodyTextIndent">
    <w:name w:val="Body Text Indent"/>
    <w:basedOn w:val="Normal"/>
    <w:link w:val="BodyTextIndentChar"/>
    <w:uiPriority w:val="99"/>
    <w:semiHidden/>
    <w:unhideWhenUsed/>
    <w:rsid w:val="0098458E"/>
    <w:pPr>
      <w:ind w:left="283"/>
    </w:pPr>
  </w:style>
  <w:style w:type="character" w:customStyle="1" w:styleId="BodyTextIndentChar">
    <w:name w:val="Body Text Indent Char"/>
    <w:basedOn w:val="DefaultParagraphFont"/>
    <w:link w:val="BodyTextIndent"/>
    <w:uiPriority w:val="99"/>
    <w:semiHidden/>
    <w:rsid w:val="0098458E"/>
    <w:rPr>
      <w:spacing w:val="-6"/>
      <w:sz w:val="20"/>
    </w:rPr>
  </w:style>
  <w:style w:type="paragraph" w:styleId="BodyTextIndent3">
    <w:name w:val="Body Text Indent 3"/>
    <w:basedOn w:val="Normal"/>
    <w:link w:val="BodyTextIndent3Char"/>
    <w:uiPriority w:val="99"/>
    <w:semiHidden/>
    <w:unhideWhenUsed/>
    <w:rsid w:val="0098458E"/>
    <w:pPr>
      <w:ind w:left="283"/>
    </w:pPr>
    <w:rPr>
      <w:sz w:val="16"/>
      <w:szCs w:val="16"/>
    </w:rPr>
  </w:style>
  <w:style w:type="character" w:customStyle="1" w:styleId="BodyTextIndent3Char">
    <w:name w:val="Body Text Indent 3 Char"/>
    <w:basedOn w:val="DefaultParagraphFont"/>
    <w:link w:val="BodyTextIndent3"/>
    <w:uiPriority w:val="99"/>
    <w:semiHidden/>
    <w:rsid w:val="0098458E"/>
    <w:rPr>
      <w:spacing w:val="-6"/>
      <w:sz w:val="16"/>
      <w:szCs w:val="16"/>
    </w:rPr>
  </w:style>
  <w:style w:type="character" w:customStyle="1" w:styleId="Mencinsinresolver2">
    <w:name w:val="Mención sin resolver2"/>
    <w:basedOn w:val="DefaultParagraphFont"/>
    <w:uiPriority w:val="99"/>
    <w:semiHidden/>
    <w:unhideWhenUsed/>
    <w:rsid w:val="00F712DE"/>
    <w:rPr>
      <w:color w:val="605E5C"/>
      <w:shd w:val="clear" w:color="auto" w:fill="E1DFDD"/>
    </w:rPr>
  </w:style>
  <w:style w:type="character" w:styleId="UnresolvedMention">
    <w:name w:val="Unresolved Mention"/>
    <w:basedOn w:val="DefaultParagraphFont"/>
    <w:uiPriority w:val="99"/>
    <w:semiHidden/>
    <w:unhideWhenUsed/>
    <w:rsid w:val="00A74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5906">
      <w:bodyDiv w:val="1"/>
      <w:marLeft w:val="0"/>
      <w:marRight w:val="0"/>
      <w:marTop w:val="0"/>
      <w:marBottom w:val="0"/>
      <w:divBdr>
        <w:top w:val="none" w:sz="0" w:space="0" w:color="auto"/>
        <w:left w:val="none" w:sz="0" w:space="0" w:color="auto"/>
        <w:bottom w:val="none" w:sz="0" w:space="0" w:color="auto"/>
        <w:right w:val="none" w:sz="0" w:space="0" w:color="auto"/>
      </w:divBdr>
    </w:div>
    <w:div w:id="684333220">
      <w:bodyDiv w:val="1"/>
      <w:marLeft w:val="0"/>
      <w:marRight w:val="0"/>
      <w:marTop w:val="0"/>
      <w:marBottom w:val="0"/>
      <w:divBdr>
        <w:top w:val="none" w:sz="0" w:space="0" w:color="auto"/>
        <w:left w:val="none" w:sz="0" w:space="0" w:color="auto"/>
        <w:bottom w:val="none" w:sz="0" w:space="0" w:color="auto"/>
        <w:right w:val="none" w:sz="0" w:space="0" w:color="auto"/>
      </w:divBdr>
    </w:div>
    <w:div w:id="830684312">
      <w:bodyDiv w:val="1"/>
      <w:marLeft w:val="0"/>
      <w:marRight w:val="0"/>
      <w:marTop w:val="0"/>
      <w:marBottom w:val="0"/>
      <w:divBdr>
        <w:top w:val="none" w:sz="0" w:space="0" w:color="auto"/>
        <w:left w:val="none" w:sz="0" w:space="0" w:color="auto"/>
        <w:bottom w:val="none" w:sz="0" w:space="0" w:color="auto"/>
        <w:right w:val="none" w:sz="0" w:space="0" w:color="auto"/>
      </w:divBdr>
    </w:div>
    <w:div w:id="863516575">
      <w:bodyDiv w:val="1"/>
      <w:marLeft w:val="0"/>
      <w:marRight w:val="0"/>
      <w:marTop w:val="0"/>
      <w:marBottom w:val="0"/>
      <w:divBdr>
        <w:top w:val="none" w:sz="0" w:space="0" w:color="auto"/>
        <w:left w:val="none" w:sz="0" w:space="0" w:color="auto"/>
        <w:bottom w:val="none" w:sz="0" w:space="0" w:color="auto"/>
        <w:right w:val="none" w:sz="0" w:space="0" w:color="auto"/>
      </w:divBdr>
    </w:div>
    <w:div w:id="981889846">
      <w:bodyDiv w:val="1"/>
      <w:marLeft w:val="0"/>
      <w:marRight w:val="0"/>
      <w:marTop w:val="0"/>
      <w:marBottom w:val="0"/>
      <w:divBdr>
        <w:top w:val="none" w:sz="0" w:space="0" w:color="auto"/>
        <w:left w:val="none" w:sz="0" w:space="0" w:color="auto"/>
        <w:bottom w:val="none" w:sz="0" w:space="0" w:color="auto"/>
        <w:right w:val="none" w:sz="0" w:space="0" w:color="auto"/>
      </w:divBdr>
    </w:div>
    <w:div w:id="1021593671">
      <w:bodyDiv w:val="1"/>
      <w:marLeft w:val="0"/>
      <w:marRight w:val="0"/>
      <w:marTop w:val="0"/>
      <w:marBottom w:val="0"/>
      <w:divBdr>
        <w:top w:val="none" w:sz="0" w:space="0" w:color="auto"/>
        <w:left w:val="none" w:sz="0" w:space="0" w:color="auto"/>
        <w:bottom w:val="none" w:sz="0" w:space="0" w:color="auto"/>
        <w:right w:val="none" w:sz="0" w:space="0" w:color="auto"/>
      </w:divBdr>
    </w:div>
    <w:div w:id="1136679654">
      <w:bodyDiv w:val="1"/>
      <w:marLeft w:val="0"/>
      <w:marRight w:val="0"/>
      <w:marTop w:val="0"/>
      <w:marBottom w:val="0"/>
      <w:divBdr>
        <w:top w:val="none" w:sz="0" w:space="0" w:color="auto"/>
        <w:left w:val="none" w:sz="0" w:space="0" w:color="auto"/>
        <w:bottom w:val="none" w:sz="0" w:space="0" w:color="auto"/>
        <w:right w:val="none" w:sz="0" w:space="0" w:color="auto"/>
      </w:divBdr>
    </w:div>
    <w:div w:id="1308436177">
      <w:bodyDiv w:val="1"/>
      <w:marLeft w:val="0"/>
      <w:marRight w:val="0"/>
      <w:marTop w:val="0"/>
      <w:marBottom w:val="0"/>
      <w:divBdr>
        <w:top w:val="none" w:sz="0" w:space="0" w:color="auto"/>
        <w:left w:val="none" w:sz="0" w:space="0" w:color="auto"/>
        <w:bottom w:val="none" w:sz="0" w:space="0" w:color="auto"/>
        <w:right w:val="none" w:sz="0" w:space="0" w:color="auto"/>
      </w:divBdr>
    </w:div>
    <w:div w:id="1326595094">
      <w:bodyDiv w:val="1"/>
      <w:marLeft w:val="0"/>
      <w:marRight w:val="0"/>
      <w:marTop w:val="0"/>
      <w:marBottom w:val="0"/>
      <w:divBdr>
        <w:top w:val="none" w:sz="0" w:space="0" w:color="auto"/>
        <w:left w:val="none" w:sz="0" w:space="0" w:color="auto"/>
        <w:bottom w:val="none" w:sz="0" w:space="0" w:color="auto"/>
        <w:right w:val="none" w:sz="0" w:space="0" w:color="auto"/>
      </w:divBdr>
    </w:div>
    <w:div w:id="1404110742">
      <w:bodyDiv w:val="1"/>
      <w:marLeft w:val="0"/>
      <w:marRight w:val="0"/>
      <w:marTop w:val="0"/>
      <w:marBottom w:val="0"/>
      <w:divBdr>
        <w:top w:val="none" w:sz="0" w:space="0" w:color="auto"/>
        <w:left w:val="none" w:sz="0" w:space="0" w:color="auto"/>
        <w:bottom w:val="none" w:sz="0" w:space="0" w:color="auto"/>
        <w:right w:val="none" w:sz="0" w:space="0" w:color="auto"/>
      </w:divBdr>
    </w:div>
    <w:div w:id="1537933800">
      <w:bodyDiv w:val="1"/>
      <w:marLeft w:val="0"/>
      <w:marRight w:val="0"/>
      <w:marTop w:val="0"/>
      <w:marBottom w:val="0"/>
      <w:divBdr>
        <w:top w:val="none" w:sz="0" w:space="0" w:color="auto"/>
        <w:left w:val="none" w:sz="0" w:space="0" w:color="auto"/>
        <w:bottom w:val="none" w:sz="0" w:space="0" w:color="auto"/>
        <w:right w:val="none" w:sz="0" w:space="0" w:color="auto"/>
      </w:divBdr>
    </w:div>
    <w:div w:id="1919057024">
      <w:bodyDiv w:val="1"/>
      <w:marLeft w:val="0"/>
      <w:marRight w:val="0"/>
      <w:marTop w:val="0"/>
      <w:marBottom w:val="0"/>
      <w:divBdr>
        <w:top w:val="none" w:sz="0" w:space="0" w:color="auto"/>
        <w:left w:val="none" w:sz="0" w:space="0" w:color="auto"/>
        <w:bottom w:val="none" w:sz="0" w:space="0" w:color="auto"/>
        <w:right w:val="none" w:sz="0" w:space="0" w:color="auto"/>
      </w:divBdr>
    </w:div>
    <w:div w:id="193829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adb.org/es/projects/adquisiciones-de-proyectos" TargetMode="External"/><Relationship Id="rId18" Type="http://schemas.openxmlformats.org/officeDocument/2006/relationships/hyperlink" Target="mailto:dbusiness@un.org" TargetMode="External"/><Relationship Id="rId26"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adb.org/es/projects/adquisiciones-de-proyectos" TargetMode="External"/><Relationship Id="rId25" Type="http://schemas.openxmlformats.org/officeDocument/2006/relationships/diagramColors" Target="diagrams/colors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business@un.org" TargetMode="External"/><Relationship Id="rId20" Type="http://schemas.openxmlformats.org/officeDocument/2006/relationships/hyperlink" Target="mailto:dbusiness@un.org" TargetMode="External"/><Relationship Id="rId29" Type="http://schemas.openxmlformats.org/officeDocument/2006/relationships/hyperlink" Target="http://www.iadb.org/es/adquisiciones-de-proyectos/documentos-estandar-de-adquisiciones-del-banco-interamericano-de-desarrollo,8183.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diagramQuickStyle" Target="diagrams/quickStyle1.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iadb.org/es/projects/adquisiciones-de-proyectos" TargetMode="External"/><Relationship Id="rId23" Type="http://schemas.openxmlformats.org/officeDocument/2006/relationships/diagramLayout" Target="diagrams/layout1.xml"/><Relationship Id="rId28" Type="http://schemas.openxmlformats.org/officeDocument/2006/relationships/hyperlink" Target="http://idbdocs.iadb.org/wsdocs/getdocument.aspx?docnum=774399" TargetMode="External"/><Relationship Id="rId10" Type="http://schemas.openxmlformats.org/officeDocument/2006/relationships/webSettings" Target="webSettings.xml"/><Relationship Id="rId19" Type="http://schemas.openxmlformats.org/officeDocument/2006/relationships/hyperlink" Target="https://www.iadb.org/es/projects/adquisiciones-de-proyectos" TargetMode="External"/><Relationship Id="rId31" Type="http://schemas.openxmlformats.org/officeDocument/2006/relationships/hyperlink" Target="http://cecbidtoolkit.org/Informe-Semestral.ph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business@un.org" TargetMode="External"/><Relationship Id="rId22" Type="http://schemas.openxmlformats.org/officeDocument/2006/relationships/diagramData" Target="diagrams/data1.xml"/><Relationship Id="rId27" Type="http://schemas.openxmlformats.org/officeDocument/2006/relationships/hyperlink" Target="http://idbdocs.iadb.org/wsdocs/getdocument.aspx?docnum=774396" TargetMode="External"/><Relationship Id="rId30" Type="http://schemas.openxmlformats.org/officeDocument/2006/relationships/hyperlink" Target="http://cecbidtoolkit.org/Uso-de-Sistema-de-Adquisiciones-Nacionales.php" TargetMode="External"/><Relationship Id="rId35" Type="http://schemas.openxmlformats.org/officeDocument/2006/relationships/customXml" Target="../customXml/item7.xml"/><Relationship Id="rId8"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DAB2AF-8E18-4ED8-A813-FCD3F16D395D}"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s-EC"/>
        </a:p>
      </dgm:t>
    </dgm:pt>
    <dgm:pt modelId="{3B5FF3B9-120F-42E3-A811-FD0518A8C2E6}">
      <dgm:prSet phldrT="[Texto]" custT="1"/>
      <dgm:spPr>
        <a:solidFill>
          <a:schemeClr val="bg1">
            <a:lumMod val="95000"/>
          </a:schemeClr>
        </a:solidFill>
        <a:ln>
          <a:noFill/>
        </a:ln>
      </dgm:spPr>
      <dgm:t>
        <a:bodyPr/>
        <a:lstStyle/>
        <a:p>
          <a:pPr algn="l"/>
          <a:r>
            <a:rPr lang="es-EC" sz="1050" b="1">
              <a:solidFill>
                <a:schemeClr val="accent1">
                  <a:lumMod val="75000"/>
                </a:schemeClr>
              </a:solidFill>
              <a:latin typeface="Arial Narrow" panose="020B0606020202030204" pitchFamily="34" charset="0"/>
            </a:rPr>
            <a:t>Por correo o personalmente:</a:t>
          </a:r>
        </a:p>
        <a:p>
          <a:pPr algn="l"/>
          <a:endParaRPr lang="es-EC" sz="1050" b="1">
            <a:solidFill>
              <a:sysClr val="windowText" lastClr="000000"/>
            </a:solidFill>
            <a:latin typeface="Arial Narrow" panose="020B0606020202030204" pitchFamily="34" charset="0"/>
          </a:endParaRPr>
        </a:p>
        <a:p>
          <a:pPr algn="l"/>
          <a:r>
            <a:rPr lang="es-EC" sz="1050" b="1">
              <a:solidFill>
                <a:sysClr val="windowText" lastClr="000000"/>
              </a:solidFill>
              <a:latin typeface="Arial Narrow" panose="020B0606020202030204" pitchFamily="34" charset="0"/>
            </a:rPr>
            <a:t>Banco Interamericano de Desarrollo</a:t>
          </a:r>
        </a:p>
        <a:p>
          <a:pPr algn="l"/>
          <a:r>
            <a:rPr lang="es-EC" sz="1050">
              <a:solidFill>
                <a:sysClr val="windowText" lastClr="000000"/>
              </a:solidFill>
              <a:latin typeface="Arial Narrow" panose="020B0606020202030204" pitchFamily="34" charset="0"/>
            </a:rPr>
            <a:t>1300 New York Avenue, N.W., Oficina de Integridad Instituciional, </a:t>
          </a:r>
        </a:p>
        <a:p>
          <a:pPr algn="l"/>
          <a:r>
            <a:rPr lang="es-EC" sz="1050">
              <a:solidFill>
                <a:sysClr val="windowText" lastClr="000000"/>
              </a:solidFill>
              <a:latin typeface="Arial Narrow" panose="020B0606020202030204" pitchFamily="34" charset="0"/>
            </a:rPr>
            <a:t>Washington, D.C. 20577, USA</a:t>
          </a:r>
        </a:p>
        <a:p>
          <a:pPr algn="l"/>
          <a:r>
            <a:rPr lang="es-EC" sz="1050">
              <a:solidFill>
                <a:sysClr val="windowText" lastClr="000000"/>
              </a:solidFill>
              <a:latin typeface="Arial Narrow" panose="020B0606020202030204" pitchFamily="34" charset="0"/>
            </a:rPr>
            <a:t>La correspondencia debe rotularse </a:t>
          </a:r>
          <a:r>
            <a:rPr lang="es-EC" sz="1050" b="1">
              <a:solidFill>
                <a:sysClr val="windowText" lastClr="000000"/>
              </a:solidFill>
              <a:latin typeface="Arial Narrow" panose="020B0606020202030204" pitchFamily="34" charset="0"/>
            </a:rPr>
            <a:t>"Personal y Confidencial"</a:t>
          </a:r>
          <a:endParaRPr lang="es-EC" sz="1050" b="1">
            <a:solidFill>
              <a:schemeClr val="accent1">
                <a:lumMod val="75000"/>
              </a:schemeClr>
            </a:solidFill>
            <a:latin typeface="Arial Narrow" panose="020B0606020202030204" pitchFamily="34" charset="0"/>
          </a:endParaRPr>
        </a:p>
      </dgm:t>
    </dgm:pt>
    <dgm:pt modelId="{1377CFCA-C43A-4749-8524-DC6A4381F794}" type="parTrans" cxnId="{D1477857-B3BA-4F67-B4A0-1FFF9BD92E88}">
      <dgm:prSet/>
      <dgm:spPr/>
      <dgm:t>
        <a:bodyPr/>
        <a:lstStyle/>
        <a:p>
          <a:endParaRPr lang="es-EC" sz="1050">
            <a:latin typeface="Arial Narrow" panose="020B0606020202030204" pitchFamily="34" charset="0"/>
          </a:endParaRPr>
        </a:p>
      </dgm:t>
    </dgm:pt>
    <dgm:pt modelId="{0F901BC7-F3D6-427E-9A74-B81C05D74DDC}" type="sibTrans" cxnId="{D1477857-B3BA-4F67-B4A0-1FFF9BD92E88}">
      <dgm:prSet/>
      <dgm:spPr/>
      <dgm:t>
        <a:bodyPr/>
        <a:lstStyle/>
        <a:p>
          <a:endParaRPr lang="es-EC" sz="1050">
            <a:latin typeface="Arial Narrow" panose="020B0606020202030204" pitchFamily="34" charset="0"/>
          </a:endParaRPr>
        </a:p>
      </dgm:t>
    </dgm:pt>
    <dgm:pt modelId="{7F2AB7B8-B5F0-4E32-95BE-B59297FF35F3}">
      <dgm:prSet phldrT="[Texto]" custT="1"/>
      <dgm:spPr>
        <a:solidFill>
          <a:schemeClr val="bg1">
            <a:lumMod val="95000"/>
          </a:schemeClr>
        </a:solidFill>
        <a:ln>
          <a:noFill/>
        </a:ln>
      </dgm:spPr>
      <dgm:t>
        <a:bodyPr/>
        <a:lstStyle/>
        <a:p>
          <a:pPr algn="l"/>
          <a:r>
            <a:rPr lang="es-EC" sz="1050" b="1">
              <a:solidFill>
                <a:schemeClr val="accent1">
                  <a:lumMod val="75000"/>
                </a:schemeClr>
              </a:solidFill>
              <a:latin typeface="Arial Narrow" panose="020B0606020202030204" pitchFamily="34" charset="0"/>
            </a:rPr>
            <a:t>Por vía electrónica :</a:t>
          </a:r>
        </a:p>
        <a:p>
          <a:pPr algn="l"/>
          <a:endParaRPr lang="es-EC" sz="1050" b="1">
            <a:solidFill>
              <a:sysClr val="windowText" lastClr="000000"/>
            </a:solidFill>
            <a:latin typeface="Arial Narrow" panose="020B0606020202030204" pitchFamily="34" charset="0"/>
          </a:endParaRPr>
        </a:p>
        <a:p>
          <a:pPr algn="l"/>
          <a:r>
            <a:rPr lang="es-EC" sz="1050" b="1">
              <a:solidFill>
                <a:sysClr val="windowText" lastClr="000000"/>
              </a:solidFill>
              <a:latin typeface="Arial Narrow" panose="020B0606020202030204" pitchFamily="34" charset="0"/>
            </a:rPr>
            <a:t>Formulario para la presentación de denuncias</a:t>
          </a:r>
        </a:p>
        <a:p>
          <a:pPr algn="l"/>
          <a:r>
            <a:rPr lang="es-EC" sz="1050">
              <a:solidFill>
                <a:sysClr val="windowText" lastClr="000000"/>
              </a:solidFill>
              <a:latin typeface="Arial Narrow" panose="020B0606020202030204" pitchFamily="34" charset="0"/>
            </a:rPr>
            <a:t>Si desea suministrar información de manera anónima, use el formulario que se ofrece en la internet. </a:t>
          </a:r>
        </a:p>
        <a:p>
          <a:pPr algn="l"/>
          <a:r>
            <a:rPr lang="es-EC" sz="1050">
              <a:solidFill>
                <a:sysClr val="windowText" lastClr="000000"/>
              </a:solidFill>
              <a:latin typeface="Arial Narrow" panose="020B0606020202030204" pitchFamily="34" charset="0"/>
            </a:rPr>
            <a:t>Correo electrónico:</a:t>
          </a:r>
        </a:p>
        <a:p>
          <a:pPr algn="l"/>
          <a:r>
            <a:rPr lang="es-EC" sz="1050" b="1">
              <a:solidFill>
                <a:sysClr val="windowText" lastClr="000000"/>
              </a:solidFill>
              <a:latin typeface="Arial Narrow" panose="020B0606020202030204" pitchFamily="34" charset="0"/>
            </a:rPr>
            <a:t>Oll-reportfraud@iadb.org</a:t>
          </a:r>
          <a:endParaRPr lang="es-EC" sz="1050">
            <a:latin typeface="Arial Narrow" panose="020B0606020202030204" pitchFamily="34" charset="0"/>
          </a:endParaRPr>
        </a:p>
      </dgm:t>
    </dgm:pt>
    <dgm:pt modelId="{5C4F13D3-FEC8-4624-9EA4-85437389A118}" type="parTrans" cxnId="{FB36B794-26D2-4A1B-B8F3-E83806A6A0C3}">
      <dgm:prSet/>
      <dgm:spPr/>
      <dgm:t>
        <a:bodyPr/>
        <a:lstStyle/>
        <a:p>
          <a:endParaRPr lang="es-EC"/>
        </a:p>
      </dgm:t>
    </dgm:pt>
    <dgm:pt modelId="{9697DE2B-0D65-4EBB-AA88-9718DD6BA9A6}" type="sibTrans" cxnId="{FB36B794-26D2-4A1B-B8F3-E83806A6A0C3}">
      <dgm:prSet/>
      <dgm:spPr/>
      <dgm:t>
        <a:bodyPr/>
        <a:lstStyle/>
        <a:p>
          <a:endParaRPr lang="es-EC"/>
        </a:p>
      </dgm:t>
    </dgm:pt>
    <dgm:pt modelId="{6F964ED0-33E0-4BD4-8101-967C5830FC51}">
      <dgm:prSet phldrT="[Texto]" custT="1"/>
      <dgm:spPr>
        <a:solidFill>
          <a:schemeClr val="bg1">
            <a:lumMod val="95000"/>
          </a:schemeClr>
        </a:solidFill>
        <a:ln>
          <a:noFill/>
        </a:ln>
      </dgm:spPr>
      <dgm:t>
        <a:bodyPr/>
        <a:lstStyle/>
        <a:p>
          <a:pPr algn="l"/>
          <a:r>
            <a:rPr lang="es-EC" sz="1050" b="1">
              <a:solidFill>
                <a:schemeClr val="accent1">
                  <a:lumMod val="75000"/>
                </a:schemeClr>
              </a:solidFill>
              <a:latin typeface="Arial Narrow" panose="020B0606020202030204" pitchFamily="34" charset="0"/>
            </a:rPr>
            <a:t>Por teléfono:</a:t>
          </a:r>
        </a:p>
        <a:p>
          <a:pPr algn="l"/>
          <a:r>
            <a:rPr lang="es-EC" sz="1050" b="1">
              <a:solidFill>
                <a:sysClr val="windowText" lastClr="000000"/>
              </a:solidFill>
              <a:latin typeface="Arial Narrow" panose="020B0606020202030204" pitchFamily="34" charset="0"/>
            </a:rPr>
            <a:t>+(1-877) 223-4551</a:t>
          </a:r>
        </a:p>
        <a:p>
          <a:pPr algn="l"/>
          <a:r>
            <a:rPr lang="es-EC" sz="1050">
              <a:solidFill>
                <a:sysClr val="windowText" lastClr="000000"/>
              </a:solidFill>
              <a:latin typeface="Arial Narrow" panose="020B0606020202030204" pitchFamily="34" charset="0"/>
            </a:rPr>
            <a:t>Sin cargo dentro de los Estados Unidos y con cargo desde el exterior</a:t>
          </a:r>
        </a:p>
        <a:p>
          <a:pPr algn="l"/>
          <a:endParaRPr lang="es-EC" sz="1050">
            <a:solidFill>
              <a:sysClr val="windowText" lastClr="000000"/>
            </a:solidFill>
            <a:latin typeface="Arial Narrow" panose="020B0606020202030204" pitchFamily="34" charset="0"/>
          </a:endParaRPr>
        </a:p>
        <a:p>
          <a:pPr algn="l"/>
          <a:r>
            <a:rPr lang="es-EC" sz="1050" b="1">
              <a:solidFill>
                <a:schemeClr val="accent1">
                  <a:lumMod val="75000"/>
                </a:schemeClr>
              </a:solidFill>
              <a:latin typeface="Arial Narrow" panose="020B0606020202030204" pitchFamily="34" charset="0"/>
            </a:rPr>
            <a:t>Por fax:</a:t>
          </a:r>
        </a:p>
        <a:p>
          <a:pPr algn="l"/>
          <a:r>
            <a:rPr lang="es-EC" sz="1050" b="1">
              <a:solidFill>
                <a:sysClr val="windowText" lastClr="000000"/>
              </a:solidFill>
              <a:latin typeface="Arial Narrow" panose="020B0606020202030204" pitchFamily="34" charset="0"/>
            </a:rPr>
            <a:t>+(1-202) 312-4019</a:t>
          </a:r>
        </a:p>
        <a:p>
          <a:pPr algn="l"/>
          <a:r>
            <a:rPr lang="es-EC" sz="1050">
              <a:solidFill>
                <a:sysClr val="windowText" lastClr="000000"/>
              </a:solidFill>
              <a:latin typeface="Arial Narrow" panose="020B0606020202030204" pitchFamily="34" charset="0"/>
            </a:rPr>
            <a:t>Se cobran los cargos por llamada de larga distancia</a:t>
          </a:r>
          <a:endParaRPr lang="es-EC" sz="1050">
            <a:latin typeface="Arial Narrow" panose="020B0606020202030204" pitchFamily="34" charset="0"/>
          </a:endParaRPr>
        </a:p>
      </dgm:t>
    </dgm:pt>
    <dgm:pt modelId="{C6C9209D-0649-458E-A169-6B2C4C362D28}" type="parTrans" cxnId="{83EB297D-2C20-4B85-BAB1-4A9A9C8FA70A}">
      <dgm:prSet/>
      <dgm:spPr/>
      <dgm:t>
        <a:bodyPr/>
        <a:lstStyle/>
        <a:p>
          <a:endParaRPr lang="es-EC"/>
        </a:p>
      </dgm:t>
    </dgm:pt>
    <dgm:pt modelId="{55B86132-0653-4E44-9C47-015CF1B567F5}" type="sibTrans" cxnId="{83EB297D-2C20-4B85-BAB1-4A9A9C8FA70A}">
      <dgm:prSet/>
      <dgm:spPr/>
      <dgm:t>
        <a:bodyPr/>
        <a:lstStyle/>
        <a:p>
          <a:endParaRPr lang="es-EC"/>
        </a:p>
      </dgm:t>
    </dgm:pt>
    <dgm:pt modelId="{888685B1-A958-4661-86DA-E1A2D3D7F14D}" type="pres">
      <dgm:prSet presAssocID="{3FDAB2AF-8E18-4ED8-A813-FCD3F16D395D}" presName="diagram" presStyleCnt="0">
        <dgm:presLayoutVars>
          <dgm:dir/>
          <dgm:resizeHandles val="exact"/>
        </dgm:presLayoutVars>
      </dgm:prSet>
      <dgm:spPr/>
    </dgm:pt>
    <dgm:pt modelId="{202AC232-EECB-4A64-91C9-258E3D2AC538}" type="pres">
      <dgm:prSet presAssocID="{3B5FF3B9-120F-42E3-A811-FD0518A8C2E6}" presName="node" presStyleLbl="node1" presStyleIdx="0" presStyleCnt="3" custScaleY="157736">
        <dgm:presLayoutVars>
          <dgm:bulletEnabled val="1"/>
        </dgm:presLayoutVars>
      </dgm:prSet>
      <dgm:spPr/>
    </dgm:pt>
    <dgm:pt modelId="{11ADFFDF-0F8C-4B03-B60A-C31125515AD9}" type="pres">
      <dgm:prSet presAssocID="{0F901BC7-F3D6-427E-9A74-B81C05D74DDC}" presName="sibTrans" presStyleCnt="0"/>
      <dgm:spPr/>
    </dgm:pt>
    <dgm:pt modelId="{ACB40408-A27F-41DC-BF19-492DB38A57AD}" type="pres">
      <dgm:prSet presAssocID="{7F2AB7B8-B5F0-4E32-95BE-B59297FF35F3}" presName="node" presStyleLbl="node1" presStyleIdx="1" presStyleCnt="3" custScaleY="157736">
        <dgm:presLayoutVars>
          <dgm:bulletEnabled val="1"/>
        </dgm:presLayoutVars>
      </dgm:prSet>
      <dgm:spPr/>
    </dgm:pt>
    <dgm:pt modelId="{BAE9D420-0441-4212-997B-2123E63159C6}" type="pres">
      <dgm:prSet presAssocID="{9697DE2B-0D65-4EBB-AA88-9718DD6BA9A6}" presName="sibTrans" presStyleCnt="0"/>
      <dgm:spPr/>
    </dgm:pt>
    <dgm:pt modelId="{6264EA4A-1706-47C9-9B26-BF057C787E9B}" type="pres">
      <dgm:prSet presAssocID="{6F964ED0-33E0-4BD4-8101-967C5830FC51}" presName="node" presStyleLbl="node1" presStyleIdx="2" presStyleCnt="3" custScaleY="157736">
        <dgm:presLayoutVars>
          <dgm:bulletEnabled val="1"/>
        </dgm:presLayoutVars>
      </dgm:prSet>
      <dgm:spPr/>
    </dgm:pt>
  </dgm:ptLst>
  <dgm:cxnLst>
    <dgm:cxn modelId="{BB459912-CEFD-469E-B58D-792E60D7707B}" type="presOf" srcId="{3FDAB2AF-8E18-4ED8-A813-FCD3F16D395D}" destId="{888685B1-A958-4661-86DA-E1A2D3D7F14D}" srcOrd="0" destOrd="0" presId="urn:microsoft.com/office/officeart/2005/8/layout/default"/>
    <dgm:cxn modelId="{9CD6A81A-7AEF-4613-9B08-7F65D5014205}" type="presOf" srcId="{7F2AB7B8-B5F0-4E32-95BE-B59297FF35F3}" destId="{ACB40408-A27F-41DC-BF19-492DB38A57AD}" srcOrd="0" destOrd="0" presId="urn:microsoft.com/office/officeart/2005/8/layout/default"/>
    <dgm:cxn modelId="{D1477857-B3BA-4F67-B4A0-1FFF9BD92E88}" srcId="{3FDAB2AF-8E18-4ED8-A813-FCD3F16D395D}" destId="{3B5FF3B9-120F-42E3-A811-FD0518A8C2E6}" srcOrd="0" destOrd="0" parTransId="{1377CFCA-C43A-4749-8524-DC6A4381F794}" sibTransId="{0F901BC7-F3D6-427E-9A74-B81C05D74DDC}"/>
    <dgm:cxn modelId="{83EB297D-2C20-4B85-BAB1-4A9A9C8FA70A}" srcId="{3FDAB2AF-8E18-4ED8-A813-FCD3F16D395D}" destId="{6F964ED0-33E0-4BD4-8101-967C5830FC51}" srcOrd="2" destOrd="0" parTransId="{C6C9209D-0649-458E-A169-6B2C4C362D28}" sibTransId="{55B86132-0653-4E44-9C47-015CF1B567F5}"/>
    <dgm:cxn modelId="{FB36B794-26D2-4A1B-B8F3-E83806A6A0C3}" srcId="{3FDAB2AF-8E18-4ED8-A813-FCD3F16D395D}" destId="{7F2AB7B8-B5F0-4E32-95BE-B59297FF35F3}" srcOrd="1" destOrd="0" parTransId="{5C4F13D3-FEC8-4624-9EA4-85437389A118}" sibTransId="{9697DE2B-0D65-4EBB-AA88-9718DD6BA9A6}"/>
    <dgm:cxn modelId="{E58E8EDB-1507-41E3-9FB2-49143073A458}" type="presOf" srcId="{3B5FF3B9-120F-42E3-A811-FD0518A8C2E6}" destId="{202AC232-EECB-4A64-91C9-258E3D2AC538}" srcOrd="0" destOrd="0" presId="urn:microsoft.com/office/officeart/2005/8/layout/default"/>
    <dgm:cxn modelId="{E0311CF7-32A8-4100-B274-5A66DAFE01A6}" type="presOf" srcId="{6F964ED0-33E0-4BD4-8101-967C5830FC51}" destId="{6264EA4A-1706-47C9-9B26-BF057C787E9B}" srcOrd="0" destOrd="0" presId="urn:microsoft.com/office/officeart/2005/8/layout/default"/>
    <dgm:cxn modelId="{BCF46462-7B6C-42E2-B932-56202B0698E2}" type="presParOf" srcId="{888685B1-A958-4661-86DA-E1A2D3D7F14D}" destId="{202AC232-EECB-4A64-91C9-258E3D2AC538}" srcOrd="0" destOrd="0" presId="urn:microsoft.com/office/officeart/2005/8/layout/default"/>
    <dgm:cxn modelId="{3B5A1153-0F16-4E46-BCF5-87F4CACCFD91}" type="presParOf" srcId="{888685B1-A958-4661-86DA-E1A2D3D7F14D}" destId="{11ADFFDF-0F8C-4B03-B60A-C31125515AD9}" srcOrd="1" destOrd="0" presId="urn:microsoft.com/office/officeart/2005/8/layout/default"/>
    <dgm:cxn modelId="{674AFB52-1E84-4CF6-82C8-8668009960F1}" type="presParOf" srcId="{888685B1-A958-4661-86DA-E1A2D3D7F14D}" destId="{ACB40408-A27F-41DC-BF19-492DB38A57AD}" srcOrd="2" destOrd="0" presId="urn:microsoft.com/office/officeart/2005/8/layout/default"/>
    <dgm:cxn modelId="{1A8DB5CA-096A-4EDE-8877-B66F53FE004E}" type="presParOf" srcId="{888685B1-A958-4661-86DA-E1A2D3D7F14D}" destId="{BAE9D420-0441-4212-997B-2123E63159C6}" srcOrd="3" destOrd="0" presId="urn:microsoft.com/office/officeart/2005/8/layout/default"/>
    <dgm:cxn modelId="{36CF9949-8B95-47EE-AA87-B98AD24C51BD}" type="presParOf" srcId="{888685B1-A958-4661-86DA-E1A2D3D7F14D}" destId="{6264EA4A-1706-47C9-9B26-BF057C787E9B}" srcOrd="4" destOrd="0" presId="urn:microsoft.com/office/officeart/2005/8/layout/defaul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2AC232-EECB-4A64-91C9-258E3D2AC538}">
      <dsp:nvSpPr>
        <dsp:cNvPr id="0" name=""/>
        <dsp:cNvSpPr/>
      </dsp:nvSpPr>
      <dsp:spPr>
        <a:xfrm>
          <a:off x="0" y="102295"/>
          <a:ext cx="1879004" cy="1778320"/>
        </a:xfrm>
        <a:prstGeom prst="rect">
          <a:avLst/>
        </a:prstGeom>
        <a:solidFill>
          <a:schemeClr val="bg1">
            <a:lumMod val="9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66725">
            <a:lnSpc>
              <a:spcPct val="90000"/>
            </a:lnSpc>
            <a:spcBef>
              <a:spcPct val="0"/>
            </a:spcBef>
            <a:spcAft>
              <a:spcPct val="35000"/>
            </a:spcAft>
            <a:buNone/>
          </a:pPr>
          <a:r>
            <a:rPr lang="es-EC" sz="1050" b="1" kern="1200">
              <a:solidFill>
                <a:schemeClr val="accent1">
                  <a:lumMod val="75000"/>
                </a:schemeClr>
              </a:solidFill>
              <a:latin typeface="Arial Narrow" panose="020B0606020202030204" pitchFamily="34" charset="0"/>
            </a:rPr>
            <a:t>Por correo o personalmente:</a:t>
          </a:r>
        </a:p>
        <a:p>
          <a:pPr marL="0" lvl="0" indent="0" algn="l" defTabSz="466725">
            <a:lnSpc>
              <a:spcPct val="90000"/>
            </a:lnSpc>
            <a:spcBef>
              <a:spcPct val="0"/>
            </a:spcBef>
            <a:spcAft>
              <a:spcPct val="35000"/>
            </a:spcAft>
            <a:buNone/>
          </a:pPr>
          <a:endParaRPr lang="es-EC" sz="1050" b="1" kern="1200">
            <a:solidFill>
              <a:sysClr val="windowText" lastClr="000000"/>
            </a:solidFill>
            <a:latin typeface="Arial Narrow" panose="020B0606020202030204" pitchFamily="34" charset="0"/>
          </a:endParaRPr>
        </a:p>
        <a:p>
          <a:pPr marL="0" lvl="0" indent="0" algn="l" defTabSz="466725">
            <a:lnSpc>
              <a:spcPct val="90000"/>
            </a:lnSpc>
            <a:spcBef>
              <a:spcPct val="0"/>
            </a:spcBef>
            <a:spcAft>
              <a:spcPct val="35000"/>
            </a:spcAft>
            <a:buNone/>
          </a:pPr>
          <a:r>
            <a:rPr lang="es-EC" sz="1050" b="1" kern="1200">
              <a:solidFill>
                <a:sysClr val="windowText" lastClr="000000"/>
              </a:solidFill>
              <a:latin typeface="Arial Narrow" panose="020B0606020202030204" pitchFamily="34" charset="0"/>
            </a:rPr>
            <a:t>Banco Interamericano de Desarrollo</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1300 New York Avenue, N.W., Oficina de Integridad Instituciional, </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Washington, D.C. 20577, USA</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La correspondencia debe rotularse </a:t>
          </a:r>
          <a:r>
            <a:rPr lang="es-EC" sz="1050" b="1" kern="1200">
              <a:solidFill>
                <a:sysClr val="windowText" lastClr="000000"/>
              </a:solidFill>
              <a:latin typeface="Arial Narrow" panose="020B0606020202030204" pitchFamily="34" charset="0"/>
            </a:rPr>
            <a:t>"Personal y Confidencial"</a:t>
          </a:r>
          <a:endParaRPr lang="es-EC" sz="1050" b="1" kern="1200">
            <a:solidFill>
              <a:schemeClr val="accent1">
                <a:lumMod val="75000"/>
              </a:schemeClr>
            </a:solidFill>
            <a:latin typeface="Arial Narrow" panose="020B0606020202030204" pitchFamily="34" charset="0"/>
          </a:endParaRPr>
        </a:p>
      </dsp:txBody>
      <dsp:txXfrm>
        <a:off x="0" y="102295"/>
        <a:ext cx="1879004" cy="1778320"/>
      </dsp:txXfrm>
    </dsp:sp>
    <dsp:sp modelId="{ACB40408-A27F-41DC-BF19-492DB38A57AD}">
      <dsp:nvSpPr>
        <dsp:cNvPr id="0" name=""/>
        <dsp:cNvSpPr/>
      </dsp:nvSpPr>
      <dsp:spPr>
        <a:xfrm>
          <a:off x="2066905" y="102295"/>
          <a:ext cx="1879004" cy="1778320"/>
        </a:xfrm>
        <a:prstGeom prst="rect">
          <a:avLst/>
        </a:prstGeom>
        <a:solidFill>
          <a:schemeClr val="bg1">
            <a:lumMod val="9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66725">
            <a:lnSpc>
              <a:spcPct val="90000"/>
            </a:lnSpc>
            <a:spcBef>
              <a:spcPct val="0"/>
            </a:spcBef>
            <a:spcAft>
              <a:spcPct val="35000"/>
            </a:spcAft>
            <a:buNone/>
          </a:pPr>
          <a:r>
            <a:rPr lang="es-EC" sz="1050" b="1" kern="1200">
              <a:solidFill>
                <a:schemeClr val="accent1">
                  <a:lumMod val="75000"/>
                </a:schemeClr>
              </a:solidFill>
              <a:latin typeface="Arial Narrow" panose="020B0606020202030204" pitchFamily="34" charset="0"/>
            </a:rPr>
            <a:t>Por vía electrónica :</a:t>
          </a:r>
        </a:p>
        <a:p>
          <a:pPr marL="0" lvl="0" indent="0" algn="l" defTabSz="466725">
            <a:lnSpc>
              <a:spcPct val="90000"/>
            </a:lnSpc>
            <a:spcBef>
              <a:spcPct val="0"/>
            </a:spcBef>
            <a:spcAft>
              <a:spcPct val="35000"/>
            </a:spcAft>
            <a:buNone/>
          </a:pPr>
          <a:endParaRPr lang="es-EC" sz="1050" b="1" kern="1200">
            <a:solidFill>
              <a:sysClr val="windowText" lastClr="000000"/>
            </a:solidFill>
            <a:latin typeface="Arial Narrow" panose="020B0606020202030204" pitchFamily="34" charset="0"/>
          </a:endParaRPr>
        </a:p>
        <a:p>
          <a:pPr marL="0" lvl="0" indent="0" algn="l" defTabSz="466725">
            <a:lnSpc>
              <a:spcPct val="90000"/>
            </a:lnSpc>
            <a:spcBef>
              <a:spcPct val="0"/>
            </a:spcBef>
            <a:spcAft>
              <a:spcPct val="35000"/>
            </a:spcAft>
            <a:buNone/>
          </a:pPr>
          <a:r>
            <a:rPr lang="es-EC" sz="1050" b="1" kern="1200">
              <a:solidFill>
                <a:sysClr val="windowText" lastClr="000000"/>
              </a:solidFill>
              <a:latin typeface="Arial Narrow" panose="020B0606020202030204" pitchFamily="34" charset="0"/>
            </a:rPr>
            <a:t>Formulario para la presentación de denuncias</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Si desea suministrar información de manera anónima, use el formulario que se ofrece en la internet. </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Correo electrónico:</a:t>
          </a:r>
        </a:p>
        <a:p>
          <a:pPr marL="0" lvl="0" indent="0" algn="l" defTabSz="466725">
            <a:lnSpc>
              <a:spcPct val="90000"/>
            </a:lnSpc>
            <a:spcBef>
              <a:spcPct val="0"/>
            </a:spcBef>
            <a:spcAft>
              <a:spcPct val="35000"/>
            </a:spcAft>
            <a:buNone/>
          </a:pPr>
          <a:r>
            <a:rPr lang="es-EC" sz="1050" b="1" kern="1200">
              <a:solidFill>
                <a:sysClr val="windowText" lastClr="000000"/>
              </a:solidFill>
              <a:latin typeface="Arial Narrow" panose="020B0606020202030204" pitchFamily="34" charset="0"/>
            </a:rPr>
            <a:t>Oll-reportfraud@iadb.org</a:t>
          </a:r>
          <a:endParaRPr lang="es-EC" sz="1050" kern="1200">
            <a:latin typeface="Arial Narrow" panose="020B0606020202030204" pitchFamily="34" charset="0"/>
          </a:endParaRPr>
        </a:p>
      </dsp:txBody>
      <dsp:txXfrm>
        <a:off x="2066905" y="102295"/>
        <a:ext cx="1879004" cy="1778320"/>
      </dsp:txXfrm>
    </dsp:sp>
    <dsp:sp modelId="{6264EA4A-1706-47C9-9B26-BF057C787E9B}">
      <dsp:nvSpPr>
        <dsp:cNvPr id="0" name=""/>
        <dsp:cNvSpPr/>
      </dsp:nvSpPr>
      <dsp:spPr>
        <a:xfrm>
          <a:off x="4133810" y="102295"/>
          <a:ext cx="1879004" cy="1778320"/>
        </a:xfrm>
        <a:prstGeom prst="rect">
          <a:avLst/>
        </a:prstGeom>
        <a:solidFill>
          <a:schemeClr val="bg1">
            <a:lumMod val="95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66725">
            <a:lnSpc>
              <a:spcPct val="90000"/>
            </a:lnSpc>
            <a:spcBef>
              <a:spcPct val="0"/>
            </a:spcBef>
            <a:spcAft>
              <a:spcPct val="35000"/>
            </a:spcAft>
            <a:buNone/>
          </a:pPr>
          <a:r>
            <a:rPr lang="es-EC" sz="1050" b="1" kern="1200">
              <a:solidFill>
                <a:schemeClr val="accent1">
                  <a:lumMod val="75000"/>
                </a:schemeClr>
              </a:solidFill>
              <a:latin typeface="Arial Narrow" panose="020B0606020202030204" pitchFamily="34" charset="0"/>
            </a:rPr>
            <a:t>Por teléfono:</a:t>
          </a:r>
        </a:p>
        <a:p>
          <a:pPr marL="0" lvl="0" indent="0" algn="l" defTabSz="466725">
            <a:lnSpc>
              <a:spcPct val="90000"/>
            </a:lnSpc>
            <a:spcBef>
              <a:spcPct val="0"/>
            </a:spcBef>
            <a:spcAft>
              <a:spcPct val="35000"/>
            </a:spcAft>
            <a:buNone/>
          </a:pPr>
          <a:r>
            <a:rPr lang="es-EC" sz="1050" b="1" kern="1200">
              <a:solidFill>
                <a:sysClr val="windowText" lastClr="000000"/>
              </a:solidFill>
              <a:latin typeface="Arial Narrow" panose="020B0606020202030204" pitchFamily="34" charset="0"/>
            </a:rPr>
            <a:t>+(1-877) 223-4551</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Sin cargo dentro de los Estados Unidos y con cargo desde el exterior</a:t>
          </a:r>
        </a:p>
        <a:p>
          <a:pPr marL="0" lvl="0" indent="0" algn="l" defTabSz="466725">
            <a:lnSpc>
              <a:spcPct val="90000"/>
            </a:lnSpc>
            <a:spcBef>
              <a:spcPct val="0"/>
            </a:spcBef>
            <a:spcAft>
              <a:spcPct val="35000"/>
            </a:spcAft>
            <a:buNone/>
          </a:pPr>
          <a:endParaRPr lang="es-EC" sz="1050" kern="1200">
            <a:solidFill>
              <a:sysClr val="windowText" lastClr="000000"/>
            </a:solidFill>
            <a:latin typeface="Arial Narrow" panose="020B0606020202030204" pitchFamily="34" charset="0"/>
          </a:endParaRPr>
        </a:p>
        <a:p>
          <a:pPr marL="0" lvl="0" indent="0" algn="l" defTabSz="466725">
            <a:lnSpc>
              <a:spcPct val="90000"/>
            </a:lnSpc>
            <a:spcBef>
              <a:spcPct val="0"/>
            </a:spcBef>
            <a:spcAft>
              <a:spcPct val="35000"/>
            </a:spcAft>
            <a:buNone/>
          </a:pPr>
          <a:r>
            <a:rPr lang="es-EC" sz="1050" b="1" kern="1200">
              <a:solidFill>
                <a:schemeClr val="accent1">
                  <a:lumMod val="75000"/>
                </a:schemeClr>
              </a:solidFill>
              <a:latin typeface="Arial Narrow" panose="020B0606020202030204" pitchFamily="34" charset="0"/>
            </a:rPr>
            <a:t>Por fax:</a:t>
          </a:r>
        </a:p>
        <a:p>
          <a:pPr marL="0" lvl="0" indent="0" algn="l" defTabSz="466725">
            <a:lnSpc>
              <a:spcPct val="90000"/>
            </a:lnSpc>
            <a:spcBef>
              <a:spcPct val="0"/>
            </a:spcBef>
            <a:spcAft>
              <a:spcPct val="35000"/>
            </a:spcAft>
            <a:buNone/>
          </a:pPr>
          <a:r>
            <a:rPr lang="es-EC" sz="1050" b="1" kern="1200">
              <a:solidFill>
                <a:sysClr val="windowText" lastClr="000000"/>
              </a:solidFill>
              <a:latin typeface="Arial Narrow" panose="020B0606020202030204" pitchFamily="34" charset="0"/>
            </a:rPr>
            <a:t>+(1-202) 312-4019</a:t>
          </a:r>
        </a:p>
        <a:p>
          <a:pPr marL="0" lvl="0" indent="0" algn="l" defTabSz="466725">
            <a:lnSpc>
              <a:spcPct val="90000"/>
            </a:lnSpc>
            <a:spcBef>
              <a:spcPct val="0"/>
            </a:spcBef>
            <a:spcAft>
              <a:spcPct val="35000"/>
            </a:spcAft>
            <a:buNone/>
          </a:pPr>
          <a:r>
            <a:rPr lang="es-EC" sz="1050" kern="1200">
              <a:solidFill>
                <a:sysClr val="windowText" lastClr="000000"/>
              </a:solidFill>
              <a:latin typeface="Arial Narrow" panose="020B0606020202030204" pitchFamily="34" charset="0"/>
            </a:rPr>
            <a:t>Se cobran los cargos por llamada de larga distancia</a:t>
          </a:r>
          <a:endParaRPr lang="es-EC" sz="1050" kern="1200">
            <a:latin typeface="Arial Narrow" panose="020B0606020202030204" pitchFamily="34" charset="0"/>
          </a:endParaRPr>
        </a:p>
      </dsp:txBody>
      <dsp:txXfrm>
        <a:off x="4133810" y="102295"/>
        <a:ext cx="1879004" cy="177832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Informes de Consultoría">
      <a:majorFont>
        <a:latin typeface="Segoe UI Semi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33AE3169F5B84381602D320376D788" ma:contentTypeVersion="3030" ma:contentTypeDescription="A content type to manage public (operations) IDB documents" ma:contentTypeScope="" ma:versionID="fa51d3967d6b97ae3cabec9762d32b1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EZSHARE-572666339-74</_dlc_DocId>
    <Document_x0020_Author xmlns="cdc7663a-08f0-4737-9e8c-148ce897a09c">Mahfouz, Giovanna L.</Document_x0020_Author>
    <TaxCatchAll xmlns="cdc7663a-08f0-4737-9e8c-148ce897a09c">
      <Value>46</Value>
      <Value>45</Value>
      <Value>32</Value>
      <Value>1</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EC-L1250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https://idbg.sharepoint.com/teams/EZ-EC-LON/EC-L1250/_layouts/15/DocIdRedir.aspx?ID=EZSHARE-572666339-74</Url>
      <Description>EZSHARE-572666339-74</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F5B4EFA-E8AD-4301-8488-C07853ABF93A}">
  <ds:schemaRefs>
    <ds:schemaRef ds:uri="http://schemas.microsoft.com/sharepoint/events"/>
  </ds:schemaRefs>
</ds:datastoreItem>
</file>

<file path=customXml/itemProps2.xml><?xml version="1.0" encoding="utf-8"?>
<ds:datastoreItem xmlns:ds="http://schemas.openxmlformats.org/officeDocument/2006/customXml" ds:itemID="{AAAD9ABF-1C8A-4595-BB87-2A16232C57B1}"/>
</file>

<file path=customXml/itemProps3.xml><?xml version="1.0" encoding="utf-8"?>
<ds:datastoreItem xmlns:ds="http://schemas.openxmlformats.org/officeDocument/2006/customXml" ds:itemID="{217D69A8-2158-47A5-946F-76E495D8B407}">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A51FF8E8-A7EF-4264-9B67-44C54ADF37A3}"/>
</file>

<file path=customXml/itemProps5.xml><?xml version="1.0" encoding="utf-8"?>
<ds:datastoreItem xmlns:ds="http://schemas.openxmlformats.org/officeDocument/2006/customXml" ds:itemID="{F3E6A74C-875B-4630-9723-3D8C20B00BD0}">
  <ds:schemaRefs>
    <ds:schemaRef ds:uri="http://schemas.microsoft.com/sharepoint/v3/contenttype/forms"/>
  </ds:schemaRefs>
</ds:datastoreItem>
</file>

<file path=customXml/itemProps6.xml><?xml version="1.0" encoding="utf-8"?>
<ds:datastoreItem xmlns:ds="http://schemas.openxmlformats.org/officeDocument/2006/customXml" ds:itemID="{152ABDEE-2EE4-49DD-B8E4-CE4DA66190C1}">
  <ds:schemaRefs>
    <ds:schemaRef ds:uri="http://schemas.openxmlformats.org/officeDocument/2006/bibliography"/>
  </ds:schemaRefs>
</ds:datastoreItem>
</file>

<file path=customXml/itemProps7.xml><?xml version="1.0" encoding="utf-8"?>
<ds:datastoreItem xmlns:ds="http://schemas.openxmlformats.org/officeDocument/2006/customXml" ds:itemID="{4A0E1B63-CC07-4ED4-8AC2-632FEF4B102C}"/>
</file>

<file path=docProps/app.xml><?xml version="1.0" encoding="utf-8"?>
<Properties xmlns="http://schemas.openxmlformats.org/officeDocument/2006/extended-properties" xmlns:vt="http://schemas.openxmlformats.org/officeDocument/2006/docPropsVTypes">
  <Template>Normal.dotm</Template>
  <TotalTime>103</TotalTime>
  <Pages>62</Pages>
  <Words>31102</Words>
  <Characters>171062</Characters>
  <Application>Microsoft Office Word</Application>
  <DocSecurity>0</DocSecurity>
  <Lines>1425</Lines>
  <Paragraphs>403</Paragraphs>
  <ScaleCrop>false</ScaleCrop>
  <HeadingPairs>
    <vt:vector size="2" baseType="variant">
      <vt:variant>
        <vt:lpstr>Título</vt:lpstr>
      </vt:variant>
      <vt:variant>
        <vt:i4>1</vt:i4>
      </vt:variant>
    </vt:vector>
  </HeadingPairs>
  <TitlesOfParts>
    <vt:vector size="1" baseType="lpstr">
      <vt:lpstr/>
    </vt:vector>
  </TitlesOfParts>
  <Company>Unknown</Company>
  <LinksUpToDate>false</LinksUpToDate>
  <CharactersWithSpaces>201761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 Bedoya</dc:creator>
  <cp:keywords/>
  <cp:lastModifiedBy>Garcia Mejia, Mauricio</cp:lastModifiedBy>
  <cp:revision>9</cp:revision>
  <cp:lastPrinted>2019-11-05T03:08:00Z</cp:lastPrinted>
  <dcterms:created xsi:type="dcterms:W3CDTF">2019-11-05T03:07:00Z</dcterms:created>
  <dcterms:modified xsi:type="dcterms:W3CDTF">2019-11-08T17:33:00Z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46;#RM-PUB|6679f56e-8b55-402b-90a0-8fe4c41c00ba</vt:lpwstr>
  </property>
  <property fmtid="{D5CDD505-2E9C-101B-9397-08002B2CF9AE}" pid="7" name="Country">
    <vt:lpwstr>32;#EC|8f163189-00fa-4e7c-827d-28fb5798781c</vt:lpwstr>
  </property>
  <property fmtid="{D5CDD505-2E9C-101B-9397-08002B2CF9AE}" pid="8" name="_dlc_DocIdItemGuid">
    <vt:lpwstr>201f4fc2-761d-4387-98da-e7e029b9d59a</vt:lpwstr>
  </property>
  <property fmtid="{D5CDD505-2E9C-101B-9397-08002B2CF9AE}" pid="9" name="Fund IDB">
    <vt:lpwstr/>
  </property>
  <property fmtid="{D5CDD505-2E9C-101B-9397-08002B2CF9AE}" pid="10" name="Disclosed">
    <vt:bool>false</vt:bool>
  </property>
  <property fmtid="{D5CDD505-2E9C-101B-9397-08002B2CF9AE}" pid="11" name="Sector IDB">
    <vt:lpwstr>45;#RM|c8fda4a7-691a-4c65-b227-9825197b5cd2</vt:lpwstr>
  </property>
  <property fmtid="{D5CDD505-2E9C-101B-9397-08002B2CF9AE}" pid="12"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0x0101001A458A224826124E8B45B1D613300CFC002E33AE3169F5B84381602D320376D788</vt:lpwstr>
  </property>
</Properties>
</file>